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AFBCA" w14:textId="777E3FC9" w:rsidR="001E349B" w:rsidRDefault="000E7C5E" w:rsidP="00ED173F">
      <w:pPr>
        <w:mirrorIndents/>
      </w:pPr>
      <w:bookmarkStart w:id="0" w:name="_GoBack"/>
      <w:bookmarkEnd w:id="0"/>
      <w:r>
        <w:rPr>
          <w:noProof/>
          <w:color w:val="2B579A"/>
          <w:shd w:val="clear" w:color="auto" w:fill="E6E6E6"/>
          <w:lang w:eastAsia="en-AU"/>
        </w:rPr>
        <w:drawing>
          <wp:inline distT="0" distB="0" distL="0" distR="0" wp14:anchorId="656B1E4A" wp14:editId="656B1E4B">
            <wp:extent cx="2086118" cy="914400"/>
            <wp:effectExtent l="0" t="0" r="0" b="0"/>
            <wp:docPr id="1700302064" name="Frontpage_Logo_Positiv"/>
            <wp:cNvGraphicFramePr/>
            <a:graphic xmlns:a="http://schemas.openxmlformats.org/drawingml/2006/main">
              <a:graphicData uri="http://schemas.openxmlformats.org/drawingml/2006/picture">
                <pic:pic xmlns:pic="http://schemas.openxmlformats.org/drawingml/2006/picture">
                  <pic:nvPicPr>
                    <pic:cNvPr id="1048826389" name="Frontpage_Logo_Positiv"/>
                    <pic:cNvPicPr/>
                  </pic:nvPicPr>
                  <pic:blipFill>
                    <a:blip r:embed="rId11"/>
                    <a:srcRect/>
                    <a:stretch/>
                  </pic:blipFill>
                  <pic:spPr>
                    <a:xfrm>
                      <a:off x="0" y="0"/>
                      <a:ext cx="2086118" cy="914400"/>
                    </a:xfrm>
                    <a:prstGeom prst="rect">
                      <a:avLst/>
                    </a:prstGeom>
                  </pic:spPr>
                </pic:pic>
              </a:graphicData>
            </a:graphic>
          </wp:inline>
        </w:drawing>
      </w:r>
      <w:r w:rsidR="008B20E8" w:rsidRPr="008B20E8">
        <w:rPr>
          <w:noProof/>
          <w:color w:val="2B579A"/>
          <w:shd w:val="clear" w:color="auto" w:fill="E6E6E6"/>
          <w:lang w:eastAsia="en-AU"/>
        </w:rPr>
        <w:drawing>
          <wp:anchor distT="0" distB="0" distL="114300" distR="114300" simplePos="0" relativeHeight="251658264" behindDoc="0" locked="0" layoutInCell="1" allowOverlap="1" wp14:anchorId="656B1E4C" wp14:editId="656B1E4D">
            <wp:simplePos x="0" y="0"/>
            <wp:positionH relativeFrom="page">
              <wp:posOffset>431800</wp:posOffset>
            </wp:positionH>
            <wp:positionV relativeFrom="page">
              <wp:posOffset>431800</wp:posOffset>
            </wp:positionV>
            <wp:extent cx="3185786" cy="914400"/>
            <wp:effectExtent l="0" t="0" r="0" b="0"/>
            <wp:wrapNone/>
            <wp:docPr id="17" name="Frontpage_Logo_Negativ" descr="D:\Tortoise\DeloitteAU\Templafy\Graphics\White_Logo_Access_Economics.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rtoise\DeloitteAU\Templafy\Graphics\White_Logo_Access_Economics.e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5786" cy="914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ayout w:type="fixed"/>
        <w:tblLook w:val="04A0" w:firstRow="1" w:lastRow="0" w:firstColumn="1" w:lastColumn="0" w:noHBand="0" w:noVBand="1"/>
      </w:tblPr>
      <w:tblGrid>
        <w:gridCol w:w="9781"/>
      </w:tblGrid>
      <w:tr w:rsidR="000E7C5E" w:rsidRPr="00AA1B91" w14:paraId="656AFBCF" w14:textId="77777777" w:rsidTr="00951752">
        <w:trPr>
          <w:cnfStyle w:val="100000000000" w:firstRow="1" w:lastRow="0" w:firstColumn="0" w:lastColumn="0" w:oddVBand="0" w:evenVBand="0" w:oddHBand="0" w:evenHBand="0" w:firstRowFirstColumn="0" w:firstRowLastColumn="0" w:lastRowFirstColumn="0" w:lastRowLastColumn="0"/>
          <w:trHeight w:val="1604"/>
        </w:trPr>
        <w:tc>
          <w:tcPr>
            <w:tcW w:w="97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6AFBCB" w14:textId="77777777" w:rsidR="000E7C5E" w:rsidRDefault="000E7C5E" w:rsidP="000E7C5E">
            <w:bookmarkStart w:id="1" w:name="Frontpage_Logo_Positiv"/>
            <w:bookmarkEnd w:id="1"/>
            <w:r w:rsidRPr="00E1078C">
              <w:rPr>
                <w:noProof/>
                <w:color w:val="2B579A"/>
                <w:shd w:val="clear" w:color="auto" w:fill="E6E6E6"/>
                <w:lang w:eastAsia="en-AU"/>
              </w:rPr>
              <w:drawing>
                <wp:inline distT="0" distB="0" distL="0" distR="0" wp14:anchorId="656B1E4E" wp14:editId="656B1E4F">
                  <wp:extent cx="5857875" cy="5857875"/>
                  <wp:effectExtent l="0" t="0" r="9525" b="9525"/>
                  <wp:docPr id="1565245726" name="Picture 1565245726" descr="C:\Users\rleith\AppData\Local\Microsoft\Windows\INetCache\IE\B3WNI4AO\CY09G6_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ith\AppData\Local\Microsoft\Windows\INetCache\IE\B3WNI4AO\CY09G6_l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5857875"/>
                          </a:xfrm>
                          <a:prstGeom prst="rect">
                            <a:avLst/>
                          </a:prstGeom>
                          <a:noFill/>
                          <a:ln>
                            <a:noFill/>
                          </a:ln>
                        </pic:spPr>
                      </pic:pic>
                    </a:graphicData>
                  </a:graphic>
                </wp:inline>
              </w:drawing>
            </w:r>
          </w:p>
          <w:sdt>
            <w:sdtPr>
              <w:rPr>
                <w:rFonts w:ascii="Segoe UI Light" w:eastAsiaTheme="minorHAnsi" w:hAnsi="Segoe UI Light" w:cs="Segoe UI Light"/>
                <w:bCs w:val="0"/>
                <w:color w:val="auto"/>
                <w:szCs w:val="18"/>
              </w:rPr>
              <w:alias w:val="Titel"/>
              <w:id w:val="-1881384284"/>
              <w:dataBinding w:prefixMappings="xmlns:ns0='http://purl.org/dc/elements/1.1/' xmlns:ns1='http://schemas.openxmlformats.org/package/2006/metadata/core-properties' " w:xpath="/ns1:coreProperties[1]/ns0:title[1]" w:storeItemID="{6C3C8BC8-F283-45AE-878A-BAB7291924A1}"/>
              <w:text/>
            </w:sdtPr>
            <w:sdtEndPr/>
            <w:sdtContent>
              <w:p w14:paraId="656AFBCC" w14:textId="4D1C55BE" w:rsidR="000E7C5E" w:rsidRPr="00CB51FF" w:rsidRDefault="00785A28" w:rsidP="000E7C5E">
                <w:pPr>
                  <w:pStyle w:val="Documenttitle"/>
                  <w:rPr>
                    <w:rFonts w:ascii="Segoe UI Light" w:eastAsiaTheme="minorHAnsi" w:hAnsi="Segoe UI Light" w:cs="Segoe UI Light"/>
                    <w:bCs w:val="0"/>
                    <w:color w:val="auto"/>
                    <w:szCs w:val="18"/>
                  </w:rPr>
                </w:pPr>
                <w:r>
                  <w:rPr>
                    <w:rFonts w:ascii="Segoe UI Light" w:eastAsiaTheme="minorHAnsi" w:hAnsi="Segoe UI Light" w:cs="Segoe UI Light"/>
                    <w:bCs w:val="0"/>
                    <w:color w:val="auto"/>
                    <w:szCs w:val="18"/>
                  </w:rPr>
                  <w:t>Regulatory Impact Statement: Proposed Environment Protection Regulations</w:t>
                </w:r>
              </w:p>
            </w:sdtContent>
          </w:sdt>
          <w:p w14:paraId="656AFBCD" w14:textId="77777777" w:rsidR="000E7C5E" w:rsidRPr="00B932A6" w:rsidRDefault="000E7C5E" w:rsidP="000E7C5E">
            <w:pPr>
              <w:pStyle w:val="Documentsubtitle"/>
              <w:rPr>
                <w:rFonts w:cs="Segoe UI Light"/>
              </w:rPr>
            </w:pPr>
            <w:r>
              <w:rPr>
                <w:rFonts w:cs="Segoe UI Light"/>
              </w:rPr>
              <w:t>DELWP and EPA</w:t>
            </w:r>
          </w:p>
          <w:p w14:paraId="656AFBCE" w14:textId="42A86064" w:rsidR="000E7C5E" w:rsidRPr="00AA1B91" w:rsidRDefault="00A21E27" w:rsidP="000E7C5E">
            <w:r>
              <w:rPr>
                <w:rFonts w:cs="Segoe UI Light"/>
                <w:sz w:val="24"/>
              </w:rPr>
              <w:t>August</w:t>
            </w:r>
            <w:r w:rsidR="00350EF0" w:rsidRPr="00CB51FF">
              <w:rPr>
                <w:rFonts w:cs="Segoe UI Light"/>
                <w:sz w:val="24"/>
              </w:rPr>
              <w:t xml:space="preserve"> </w:t>
            </w:r>
            <w:r w:rsidR="000E7C5E" w:rsidRPr="00CB51FF">
              <w:rPr>
                <w:rFonts w:cs="Segoe UI Light"/>
                <w:sz w:val="24"/>
              </w:rPr>
              <w:t>2019</w:t>
            </w:r>
          </w:p>
        </w:tc>
      </w:tr>
    </w:tbl>
    <w:p w14:paraId="656AFBD0" w14:textId="77777777" w:rsidR="001E349B" w:rsidRPr="004A7D78" w:rsidRDefault="001E349B" w:rsidP="00ED173F">
      <w:pPr>
        <w:mirrorIndents/>
      </w:pPr>
      <w:bookmarkStart w:id="2" w:name="BIT_CoverPage"/>
    </w:p>
    <w:bookmarkEnd w:id="2"/>
    <w:p w14:paraId="656AFBD1" w14:textId="77777777" w:rsidR="00A31EF9" w:rsidRPr="002C378C" w:rsidRDefault="00A31EF9" w:rsidP="00ED173F">
      <w:pPr>
        <w:mirrorIndents/>
        <w:rPr>
          <w:rFonts w:cs="Segoe UI Light"/>
        </w:rPr>
      </w:pPr>
    </w:p>
    <w:p w14:paraId="656AFBD2" w14:textId="77777777" w:rsidR="00B932A6" w:rsidRDefault="002268CC" w:rsidP="000E7C5E">
      <w:pPr>
        <w:pStyle w:val="Heading1un-numbered"/>
      </w:pPr>
      <w:bookmarkStart w:id="3" w:name="_Toc10018315"/>
      <w:bookmarkStart w:id="4" w:name="_Toc10021422"/>
      <w:bookmarkStart w:id="5" w:name="_Toc10021836"/>
      <w:bookmarkStart w:id="6" w:name="_Toc12892320"/>
      <w:bookmarkStart w:id="7" w:name="LAN_ContentsRP"/>
      <w:r w:rsidRPr="002C378C">
        <w:lastRenderedPageBreak/>
        <w:t>C</w:t>
      </w:r>
      <w:r w:rsidR="00B932A6">
        <w:t>ontents</w:t>
      </w:r>
      <w:bookmarkEnd w:id="3"/>
      <w:bookmarkEnd w:id="4"/>
      <w:bookmarkEnd w:id="5"/>
      <w:bookmarkEnd w:id="6"/>
    </w:p>
    <w:bookmarkEnd w:id="7"/>
    <w:p w14:paraId="656AFBD3" w14:textId="5F3E91B4" w:rsidR="00AC3E3D" w:rsidRDefault="00B932A6" w:rsidP="0090642D">
      <w:pPr>
        <w:pStyle w:val="TOC1"/>
        <w:spacing w:after="0" w:line="240" w:lineRule="auto"/>
        <w:rPr>
          <w:rFonts w:asciiTheme="minorHAnsi" w:eastAsiaTheme="minorEastAsia" w:hAnsiTheme="minorHAnsi"/>
          <w:noProof/>
          <w:sz w:val="22"/>
          <w:szCs w:val="22"/>
          <w:lang w:eastAsia="en-AU"/>
        </w:rPr>
      </w:pPr>
      <w:r>
        <w:rPr>
          <w:rFonts w:cs="Segoe UI Light"/>
          <w:color w:val="2B579A"/>
          <w:shd w:val="clear" w:color="auto" w:fill="E6E6E6"/>
        </w:rPr>
        <w:fldChar w:fldCharType="begin"/>
      </w:r>
      <w:r>
        <w:rPr>
          <w:rFonts w:cs="Segoe UI Light"/>
          <w:bCs/>
        </w:rPr>
        <w:instrText xml:space="preserve"> TOC \o "1-1" </w:instrText>
      </w:r>
      <w:r>
        <w:rPr>
          <w:rFonts w:cs="Segoe UI Light"/>
          <w:color w:val="2B579A"/>
          <w:shd w:val="clear" w:color="auto" w:fill="E6E6E6"/>
        </w:rPr>
        <w:fldChar w:fldCharType="separate"/>
      </w:r>
      <w:r w:rsidR="00AC3E3D">
        <w:rPr>
          <w:noProof/>
        </w:rPr>
        <w:t>Contents</w:t>
      </w:r>
      <w:r w:rsidR="00AC3E3D">
        <w:rPr>
          <w:noProof/>
        </w:rPr>
        <w:tab/>
      </w:r>
      <w:r w:rsidR="00AC3E3D">
        <w:rPr>
          <w:noProof/>
        </w:rPr>
        <w:fldChar w:fldCharType="begin"/>
      </w:r>
      <w:r w:rsidR="00AC3E3D">
        <w:rPr>
          <w:noProof/>
        </w:rPr>
        <w:instrText xml:space="preserve"> PAGEREF _Toc12892320 \h </w:instrText>
      </w:r>
      <w:r w:rsidR="00AC3E3D">
        <w:rPr>
          <w:noProof/>
        </w:rPr>
      </w:r>
      <w:r w:rsidR="00AC3E3D">
        <w:rPr>
          <w:noProof/>
        </w:rPr>
        <w:fldChar w:fldCharType="separate"/>
      </w:r>
      <w:r w:rsidR="00245EE3">
        <w:rPr>
          <w:noProof/>
        </w:rPr>
        <w:t>iii</w:t>
      </w:r>
      <w:r w:rsidR="00AC3E3D">
        <w:rPr>
          <w:noProof/>
        </w:rPr>
        <w:fldChar w:fldCharType="end"/>
      </w:r>
    </w:p>
    <w:p w14:paraId="656AFBD4" w14:textId="1E6486C8"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Glossary</w:t>
      </w:r>
      <w:r w:rsidRPr="00AC3E3D">
        <w:rPr>
          <w:noProof/>
        </w:rPr>
        <w:tab/>
      </w:r>
      <w:r w:rsidRPr="00846550">
        <w:rPr>
          <w:noProof/>
        </w:rPr>
        <w:fldChar w:fldCharType="begin"/>
      </w:r>
      <w:r w:rsidRPr="00AC3E3D">
        <w:rPr>
          <w:noProof/>
        </w:rPr>
        <w:instrText xml:space="preserve"> PAGEREF _Toc12892321 \h </w:instrText>
      </w:r>
      <w:r w:rsidRPr="00846550">
        <w:rPr>
          <w:noProof/>
        </w:rPr>
      </w:r>
      <w:r w:rsidRPr="00846550">
        <w:rPr>
          <w:noProof/>
        </w:rPr>
        <w:fldChar w:fldCharType="separate"/>
      </w:r>
      <w:r w:rsidR="00245EE3">
        <w:rPr>
          <w:noProof/>
        </w:rPr>
        <w:t>iv</w:t>
      </w:r>
      <w:r w:rsidRPr="00846550">
        <w:rPr>
          <w:noProof/>
        </w:rPr>
        <w:fldChar w:fldCharType="end"/>
      </w:r>
    </w:p>
    <w:p w14:paraId="656AFBD5" w14:textId="009C59DE"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Foreword</w:t>
      </w:r>
      <w:r w:rsidRPr="00AC3E3D">
        <w:rPr>
          <w:noProof/>
        </w:rPr>
        <w:tab/>
      </w:r>
      <w:r w:rsidRPr="00846550">
        <w:rPr>
          <w:noProof/>
        </w:rPr>
        <w:fldChar w:fldCharType="begin"/>
      </w:r>
      <w:r w:rsidRPr="00AC3E3D">
        <w:rPr>
          <w:noProof/>
        </w:rPr>
        <w:instrText xml:space="preserve"> PAGEREF _Toc12892322 \h </w:instrText>
      </w:r>
      <w:r w:rsidRPr="00846550">
        <w:rPr>
          <w:noProof/>
        </w:rPr>
      </w:r>
      <w:r w:rsidRPr="00846550">
        <w:rPr>
          <w:noProof/>
        </w:rPr>
        <w:fldChar w:fldCharType="separate"/>
      </w:r>
      <w:r w:rsidR="00245EE3">
        <w:rPr>
          <w:noProof/>
        </w:rPr>
        <w:t>7</w:t>
      </w:r>
      <w:r w:rsidRPr="00846550">
        <w:rPr>
          <w:noProof/>
        </w:rPr>
        <w:fldChar w:fldCharType="end"/>
      </w:r>
    </w:p>
    <w:p w14:paraId="656AFBD6" w14:textId="190C1598"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Executive Summary</w:t>
      </w:r>
      <w:r w:rsidRPr="00AC3E3D">
        <w:rPr>
          <w:noProof/>
        </w:rPr>
        <w:tab/>
      </w:r>
      <w:r w:rsidRPr="00846550">
        <w:rPr>
          <w:noProof/>
        </w:rPr>
        <w:fldChar w:fldCharType="begin"/>
      </w:r>
      <w:r w:rsidRPr="00AC3E3D">
        <w:rPr>
          <w:noProof/>
        </w:rPr>
        <w:instrText xml:space="preserve"> PAGEREF _Toc12892323 \h </w:instrText>
      </w:r>
      <w:r w:rsidRPr="00846550">
        <w:rPr>
          <w:noProof/>
        </w:rPr>
      </w:r>
      <w:r w:rsidRPr="00846550">
        <w:rPr>
          <w:noProof/>
        </w:rPr>
        <w:fldChar w:fldCharType="separate"/>
      </w:r>
      <w:r w:rsidR="00245EE3">
        <w:rPr>
          <w:noProof/>
        </w:rPr>
        <w:t>8</w:t>
      </w:r>
      <w:r w:rsidRPr="00846550">
        <w:rPr>
          <w:noProof/>
        </w:rPr>
        <w:fldChar w:fldCharType="end"/>
      </w:r>
    </w:p>
    <w:p w14:paraId="656AFBD7" w14:textId="49EAE6E7"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PART 1 – INTRODUCTION AND GENERAL ANALYSIS</w:t>
      </w:r>
      <w:r w:rsidRPr="00AC3E3D">
        <w:rPr>
          <w:noProof/>
        </w:rPr>
        <w:tab/>
      </w:r>
      <w:r w:rsidRPr="00846550">
        <w:rPr>
          <w:noProof/>
        </w:rPr>
        <w:fldChar w:fldCharType="begin"/>
      </w:r>
      <w:r w:rsidRPr="00AC3E3D">
        <w:rPr>
          <w:noProof/>
        </w:rPr>
        <w:instrText xml:space="preserve"> PAGEREF _Toc12892325 \h </w:instrText>
      </w:r>
      <w:r w:rsidRPr="00846550">
        <w:rPr>
          <w:noProof/>
        </w:rPr>
      </w:r>
      <w:r w:rsidRPr="00846550">
        <w:rPr>
          <w:noProof/>
        </w:rPr>
        <w:fldChar w:fldCharType="separate"/>
      </w:r>
      <w:r w:rsidR="00245EE3">
        <w:rPr>
          <w:noProof/>
        </w:rPr>
        <w:t>20</w:t>
      </w:r>
      <w:r w:rsidRPr="00846550">
        <w:rPr>
          <w:noProof/>
        </w:rPr>
        <w:fldChar w:fldCharType="end"/>
      </w:r>
    </w:p>
    <w:p w14:paraId="656AFBD8" w14:textId="61A761AA"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1</w:t>
      </w:r>
      <w:r w:rsidRPr="00AC3E3D">
        <w:rPr>
          <w:rFonts w:asciiTheme="minorHAnsi" w:eastAsiaTheme="minorEastAsia" w:hAnsiTheme="minorHAnsi"/>
          <w:noProof/>
          <w:sz w:val="22"/>
          <w:szCs w:val="22"/>
          <w:lang w:eastAsia="en-AU"/>
        </w:rPr>
        <w:tab/>
      </w:r>
      <w:r w:rsidRPr="00AC3E3D">
        <w:rPr>
          <w:noProof/>
        </w:rPr>
        <w:t>Introduction</w:t>
      </w:r>
      <w:r w:rsidRPr="00AC3E3D">
        <w:rPr>
          <w:noProof/>
        </w:rPr>
        <w:tab/>
      </w:r>
      <w:r w:rsidRPr="00846550">
        <w:rPr>
          <w:noProof/>
        </w:rPr>
        <w:fldChar w:fldCharType="begin"/>
      </w:r>
      <w:r w:rsidRPr="00AC3E3D">
        <w:rPr>
          <w:noProof/>
        </w:rPr>
        <w:instrText xml:space="preserve"> PAGEREF _Toc12892326 \h </w:instrText>
      </w:r>
      <w:r w:rsidRPr="00846550">
        <w:rPr>
          <w:noProof/>
        </w:rPr>
      </w:r>
      <w:r w:rsidRPr="00846550">
        <w:rPr>
          <w:noProof/>
        </w:rPr>
        <w:fldChar w:fldCharType="separate"/>
      </w:r>
      <w:r w:rsidR="00245EE3">
        <w:rPr>
          <w:noProof/>
        </w:rPr>
        <w:t>21</w:t>
      </w:r>
      <w:r w:rsidRPr="00846550">
        <w:rPr>
          <w:noProof/>
        </w:rPr>
        <w:fldChar w:fldCharType="end"/>
      </w:r>
    </w:p>
    <w:p w14:paraId="656AFBD9" w14:textId="12EFDA2B"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2</w:t>
      </w:r>
      <w:r w:rsidRPr="00AC3E3D">
        <w:rPr>
          <w:rFonts w:asciiTheme="minorHAnsi" w:eastAsiaTheme="minorEastAsia" w:hAnsiTheme="minorHAnsi"/>
          <w:noProof/>
          <w:sz w:val="22"/>
          <w:szCs w:val="22"/>
          <w:lang w:eastAsia="en-AU"/>
        </w:rPr>
        <w:tab/>
      </w:r>
      <w:r w:rsidRPr="00AC3E3D">
        <w:rPr>
          <w:noProof/>
        </w:rPr>
        <w:t>Background</w:t>
      </w:r>
      <w:r w:rsidRPr="00AC3E3D">
        <w:rPr>
          <w:noProof/>
        </w:rPr>
        <w:tab/>
      </w:r>
      <w:r w:rsidRPr="00846550">
        <w:rPr>
          <w:noProof/>
        </w:rPr>
        <w:fldChar w:fldCharType="begin"/>
      </w:r>
      <w:r w:rsidRPr="00AC3E3D">
        <w:rPr>
          <w:noProof/>
        </w:rPr>
        <w:instrText xml:space="preserve"> PAGEREF _Toc12892327 \h </w:instrText>
      </w:r>
      <w:r w:rsidRPr="00846550">
        <w:rPr>
          <w:noProof/>
        </w:rPr>
      </w:r>
      <w:r w:rsidRPr="00846550">
        <w:rPr>
          <w:noProof/>
        </w:rPr>
        <w:fldChar w:fldCharType="separate"/>
      </w:r>
      <w:r w:rsidR="00245EE3">
        <w:rPr>
          <w:noProof/>
        </w:rPr>
        <w:t>25</w:t>
      </w:r>
      <w:r w:rsidRPr="00846550">
        <w:rPr>
          <w:noProof/>
        </w:rPr>
        <w:fldChar w:fldCharType="end"/>
      </w:r>
    </w:p>
    <w:p w14:paraId="656AFBDA" w14:textId="06E3F322"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3</w:t>
      </w:r>
      <w:r w:rsidRPr="00AC3E3D">
        <w:rPr>
          <w:rFonts w:asciiTheme="minorHAnsi" w:eastAsiaTheme="minorEastAsia" w:hAnsiTheme="minorHAnsi"/>
          <w:noProof/>
          <w:sz w:val="22"/>
          <w:szCs w:val="22"/>
          <w:lang w:eastAsia="en-AU"/>
        </w:rPr>
        <w:tab/>
      </w:r>
      <w:r w:rsidRPr="00AC3E3D">
        <w:rPr>
          <w:noProof/>
        </w:rPr>
        <w:t>Nature and extent of problem</w:t>
      </w:r>
      <w:r w:rsidRPr="00AC3E3D">
        <w:rPr>
          <w:noProof/>
        </w:rPr>
        <w:tab/>
      </w:r>
      <w:r w:rsidRPr="00846550">
        <w:rPr>
          <w:noProof/>
        </w:rPr>
        <w:fldChar w:fldCharType="begin"/>
      </w:r>
      <w:r w:rsidRPr="00AC3E3D">
        <w:rPr>
          <w:noProof/>
        </w:rPr>
        <w:instrText xml:space="preserve"> PAGEREF _Toc12892328 \h </w:instrText>
      </w:r>
      <w:r w:rsidRPr="00846550">
        <w:rPr>
          <w:noProof/>
        </w:rPr>
      </w:r>
      <w:r w:rsidRPr="00846550">
        <w:rPr>
          <w:noProof/>
        </w:rPr>
        <w:fldChar w:fldCharType="separate"/>
      </w:r>
      <w:r w:rsidR="00245EE3">
        <w:rPr>
          <w:noProof/>
        </w:rPr>
        <w:t>33</w:t>
      </w:r>
      <w:r w:rsidRPr="00846550">
        <w:rPr>
          <w:noProof/>
        </w:rPr>
        <w:fldChar w:fldCharType="end"/>
      </w:r>
    </w:p>
    <w:p w14:paraId="656AFBDB" w14:textId="4BD00B53"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4</w:t>
      </w:r>
      <w:r w:rsidRPr="00AC3E3D">
        <w:rPr>
          <w:rFonts w:asciiTheme="minorHAnsi" w:eastAsiaTheme="minorEastAsia" w:hAnsiTheme="minorHAnsi"/>
          <w:noProof/>
          <w:sz w:val="22"/>
          <w:szCs w:val="22"/>
          <w:lang w:eastAsia="en-AU"/>
        </w:rPr>
        <w:tab/>
      </w:r>
      <w:r w:rsidRPr="00AC3E3D">
        <w:rPr>
          <w:noProof/>
        </w:rPr>
        <w:t>Options</w:t>
      </w:r>
      <w:r w:rsidRPr="00AC3E3D">
        <w:rPr>
          <w:noProof/>
        </w:rPr>
        <w:tab/>
      </w:r>
      <w:r w:rsidRPr="00846550">
        <w:rPr>
          <w:noProof/>
        </w:rPr>
        <w:fldChar w:fldCharType="begin"/>
      </w:r>
      <w:r w:rsidRPr="00AC3E3D">
        <w:rPr>
          <w:noProof/>
        </w:rPr>
        <w:instrText xml:space="preserve"> PAGEREF _Toc12892329 \h </w:instrText>
      </w:r>
      <w:r w:rsidRPr="00846550">
        <w:rPr>
          <w:noProof/>
        </w:rPr>
      </w:r>
      <w:r w:rsidRPr="00846550">
        <w:rPr>
          <w:noProof/>
        </w:rPr>
        <w:fldChar w:fldCharType="separate"/>
      </w:r>
      <w:r w:rsidR="00245EE3">
        <w:rPr>
          <w:noProof/>
        </w:rPr>
        <w:t>44</w:t>
      </w:r>
      <w:r w:rsidRPr="00846550">
        <w:rPr>
          <w:noProof/>
        </w:rPr>
        <w:fldChar w:fldCharType="end"/>
      </w:r>
    </w:p>
    <w:p w14:paraId="656AFBDC" w14:textId="59C93326"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CB1191">
        <w:rPr>
          <w:noProof/>
        </w:rPr>
        <w:t>PART 2 – ANALYSIS BY SPECIFIC PROBLEM AREA</w:t>
      </w:r>
      <w:r w:rsidRPr="00AC3E3D">
        <w:rPr>
          <w:noProof/>
        </w:rPr>
        <w:tab/>
      </w:r>
      <w:r w:rsidRPr="00846550">
        <w:rPr>
          <w:noProof/>
        </w:rPr>
        <w:fldChar w:fldCharType="begin"/>
      </w:r>
      <w:r w:rsidRPr="00AC3E3D">
        <w:rPr>
          <w:noProof/>
        </w:rPr>
        <w:instrText xml:space="preserve"> PAGEREF _Toc12892330 \h </w:instrText>
      </w:r>
      <w:r w:rsidRPr="00846550">
        <w:rPr>
          <w:noProof/>
        </w:rPr>
      </w:r>
      <w:r w:rsidRPr="00846550">
        <w:rPr>
          <w:noProof/>
        </w:rPr>
        <w:fldChar w:fldCharType="separate"/>
      </w:r>
      <w:r w:rsidR="00245EE3">
        <w:rPr>
          <w:noProof/>
        </w:rPr>
        <w:t>48</w:t>
      </w:r>
      <w:r w:rsidRPr="00846550">
        <w:rPr>
          <w:noProof/>
        </w:rPr>
        <w:fldChar w:fldCharType="end"/>
      </w:r>
    </w:p>
    <w:p w14:paraId="656AFBDD" w14:textId="207777B4"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5</w:t>
      </w:r>
      <w:r w:rsidRPr="00AC3E3D">
        <w:rPr>
          <w:rFonts w:asciiTheme="minorHAnsi" w:eastAsiaTheme="minorEastAsia" w:hAnsiTheme="minorHAnsi"/>
          <w:noProof/>
          <w:sz w:val="22"/>
          <w:szCs w:val="22"/>
          <w:lang w:eastAsia="en-AU"/>
        </w:rPr>
        <w:tab/>
      </w:r>
      <w:r w:rsidRPr="00AC3E3D">
        <w:rPr>
          <w:noProof/>
        </w:rPr>
        <w:t>Introduction to problem areas</w:t>
      </w:r>
      <w:r w:rsidRPr="00AC3E3D">
        <w:rPr>
          <w:noProof/>
        </w:rPr>
        <w:tab/>
      </w:r>
      <w:r w:rsidRPr="00846550">
        <w:rPr>
          <w:noProof/>
        </w:rPr>
        <w:fldChar w:fldCharType="begin"/>
      </w:r>
      <w:r w:rsidRPr="00AC3E3D">
        <w:rPr>
          <w:noProof/>
        </w:rPr>
        <w:instrText xml:space="preserve"> PAGEREF _Toc12892331 \h </w:instrText>
      </w:r>
      <w:r w:rsidRPr="00846550">
        <w:rPr>
          <w:noProof/>
        </w:rPr>
      </w:r>
      <w:r w:rsidRPr="00846550">
        <w:rPr>
          <w:noProof/>
        </w:rPr>
        <w:fldChar w:fldCharType="separate"/>
      </w:r>
      <w:r w:rsidR="00245EE3">
        <w:rPr>
          <w:noProof/>
        </w:rPr>
        <w:t>49</w:t>
      </w:r>
      <w:r w:rsidRPr="00846550">
        <w:rPr>
          <w:noProof/>
        </w:rPr>
        <w:fldChar w:fldCharType="end"/>
      </w:r>
    </w:p>
    <w:p w14:paraId="656AFBDE" w14:textId="1D046E34"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6</w:t>
      </w:r>
      <w:r w:rsidRPr="00AC3E3D">
        <w:rPr>
          <w:rFonts w:asciiTheme="minorHAnsi" w:eastAsiaTheme="minorEastAsia" w:hAnsiTheme="minorHAnsi"/>
          <w:noProof/>
          <w:sz w:val="22"/>
          <w:szCs w:val="22"/>
          <w:lang w:eastAsia="en-AU"/>
        </w:rPr>
        <w:tab/>
      </w:r>
      <w:r w:rsidRPr="00AC3E3D">
        <w:rPr>
          <w:noProof/>
        </w:rPr>
        <w:t>Permissioning</w:t>
      </w:r>
      <w:r w:rsidRPr="00AC3E3D">
        <w:rPr>
          <w:noProof/>
        </w:rPr>
        <w:tab/>
      </w:r>
      <w:r w:rsidRPr="00846550">
        <w:rPr>
          <w:noProof/>
        </w:rPr>
        <w:fldChar w:fldCharType="begin"/>
      </w:r>
      <w:r w:rsidRPr="00AC3E3D">
        <w:rPr>
          <w:noProof/>
        </w:rPr>
        <w:instrText xml:space="preserve"> PAGEREF _Toc12892332 \h </w:instrText>
      </w:r>
      <w:r w:rsidRPr="00846550">
        <w:rPr>
          <w:noProof/>
        </w:rPr>
      </w:r>
      <w:r w:rsidRPr="00846550">
        <w:rPr>
          <w:noProof/>
        </w:rPr>
        <w:fldChar w:fldCharType="separate"/>
      </w:r>
      <w:r w:rsidR="00245EE3">
        <w:rPr>
          <w:noProof/>
        </w:rPr>
        <w:t>54</w:t>
      </w:r>
      <w:r w:rsidRPr="00846550">
        <w:rPr>
          <w:noProof/>
        </w:rPr>
        <w:fldChar w:fldCharType="end"/>
      </w:r>
    </w:p>
    <w:p w14:paraId="656AFBDF" w14:textId="59C65BF2"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7</w:t>
      </w:r>
      <w:r w:rsidRPr="00AC3E3D">
        <w:rPr>
          <w:rFonts w:asciiTheme="minorHAnsi" w:eastAsiaTheme="minorEastAsia" w:hAnsiTheme="minorHAnsi"/>
          <w:noProof/>
          <w:sz w:val="22"/>
          <w:szCs w:val="22"/>
          <w:lang w:eastAsia="en-AU"/>
        </w:rPr>
        <w:tab/>
      </w:r>
      <w:r w:rsidRPr="00AC3E3D">
        <w:rPr>
          <w:noProof/>
        </w:rPr>
        <w:t>On-site wastewater management systems (Septic tank systems)</w:t>
      </w:r>
      <w:r w:rsidRPr="00AC3E3D">
        <w:rPr>
          <w:noProof/>
        </w:rPr>
        <w:tab/>
      </w:r>
      <w:r w:rsidRPr="00846550">
        <w:rPr>
          <w:noProof/>
        </w:rPr>
        <w:fldChar w:fldCharType="begin"/>
      </w:r>
      <w:r w:rsidRPr="00AC3E3D">
        <w:rPr>
          <w:noProof/>
        </w:rPr>
        <w:instrText xml:space="preserve"> PAGEREF _Toc12892333 \h </w:instrText>
      </w:r>
      <w:r w:rsidRPr="00846550">
        <w:rPr>
          <w:noProof/>
        </w:rPr>
      </w:r>
      <w:r w:rsidRPr="00846550">
        <w:rPr>
          <w:noProof/>
        </w:rPr>
        <w:fldChar w:fldCharType="separate"/>
      </w:r>
      <w:r w:rsidR="00245EE3">
        <w:rPr>
          <w:noProof/>
        </w:rPr>
        <w:t>69</w:t>
      </w:r>
      <w:r w:rsidRPr="00846550">
        <w:rPr>
          <w:noProof/>
        </w:rPr>
        <w:fldChar w:fldCharType="end"/>
      </w:r>
    </w:p>
    <w:p w14:paraId="656AFBE0" w14:textId="2D5756BE"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8</w:t>
      </w:r>
      <w:r w:rsidRPr="00AC3E3D">
        <w:rPr>
          <w:rFonts w:asciiTheme="minorHAnsi" w:eastAsiaTheme="minorEastAsia" w:hAnsiTheme="minorHAnsi"/>
          <w:noProof/>
          <w:sz w:val="22"/>
          <w:szCs w:val="22"/>
          <w:lang w:eastAsia="en-AU"/>
        </w:rPr>
        <w:tab/>
      </w:r>
      <w:r w:rsidRPr="00AC3E3D">
        <w:rPr>
          <w:noProof/>
        </w:rPr>
        <w:t>Contaminated land</w:t>
      </w:r>
      <w:r w:rsidRPr="00AC3E3D">
        <w:rPr>
          <w:noProof/>
        </w:rPr>
        <w:tab/>
      </w:r>
      <w:r w:rsidRPr="00846550">
        <w:rPr>
          <w:noProof/>
        </w:rPr>
        <w:fldChar w:fldCharType="begin"/>
      </w:r>
      <w:r w:rsidRPr="00AC3E3D">
        <w:rPr>
          <w:noProof/>
        </w:rPr>
        <w:instrText xml:space="preserve"> PAGEREF _Toc12892334 \h </w:instrText>
      </w:r>
      <w:r w:rsidRPr="00846550">
        <w:rPr>
          <w:noProof/>
        </w:rPr>
      </w:r>
      <w:r w:rsidRPr="00846550">
        <w:rPr>
          <w:noProof/>
        </w:rPr>
        <w:fldChar w:fldCharType="separate"/>
      </w:r>
      <w:r w:rsidR="00245EE3">
        <w:rPr>
          <w:noProof/>
        </w:rPr>
        <w:t>78</w:t>
      </w:r>
      <w:r w:rsidRPr="00846550">
        <w:rPr>
          <w:noProof/>
        </w:rPr>
        <w:fldChar w:fldCharType="end"/>
      </w:r>
    </w:p>
    <w:p w14:paraId="656AFBE1" w14:textId="7376F7F7"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9</w:t>
      </w:r>
      <w:r w:rsidRPr="00AC3E3D">
        <w:rPr>
          <w:rFonts w:asciiTheme="minorHAnsi" w:eastAsiaTheme="minorEastAsia" w:hAnsiTheme="minorHAnsi"/>
          <w:noProof/>
          <w:sz w:val="22"/>
          <w:szCs w:val="22"/>
          <w:lang w:eastAsia="en-AU"/>
        </w:rPr>
        <w:tab/>
      </w:r>
      <w:r w:rsidRPr="00AC3E3D">
        <w:rPr>
          <w:noProof/>
        </w:rPr>
        <w:t>Waste</w:t>
      </w:r>
      <w:r w:rsidRPr="00AC3E3D">
        <w:rPr>
          <w:noProof/>
        </w:rPr>
        <w:tab/>
      </w:r>
      <w:r w:rsidRPr="00846550">
        <w:rPr>
          <w:noProof/>
        </w:rPr>
        <w:fldChar w:fldCharType="begin"/>
      </w:r>
      <w:r w:rsidRPr="00AC3E3D">
        <w:rPr>
          <w:noProof/>
        </w:rPr>
        <w:instrText xml:space="preserve"> PAGEREF _Toc12892335 \h </w:instrText>
      </w:r>
      <w:r w:rsidRPr="00846550">
        <w:rPr>
          <w:noProof/>
        </w:rPr>
      </w:r>
      <w:r w:rsidRPr="00846550">
        <w:rPr>
          <w:noProof/>
        </w:rPr>
        <w:fldChar w:fldCharType="separate"/>
      </w:r>
      <w:r w:rsidR="00245EE3">
        <w:rPr>
          <w:noProof/>
        </w:rPr>
        <w:t>99</w:t>
      </w:r>
      <w:r w:rsidRPr="00846550">
        <w:rPr>
          <w:noProof/>
        </w:rPr>
        <w:fldChar w:fldCharType="end"/>
      </w:r>
    </w:p>
    <w:p w14:paraId="656AFBE2" w14:textId="26D22997"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10</w:t>
      </w:r>
      <w:r w:rsidRPr="00AC3E3D">
        <w:rPr>
          <w:rFonts w:asciiTheme="minorHAnsi" w:eastAsiaTheme="minorEastAsia" w:hAnsiTheme="minorHAnsi"/>
          <w:noProof/>
          <w:sz w:val="22"/>
          <w:szCs w:val="22"/>
          <w:lang w:eastAsia="en-AU"/>
        </w:rPr>
        <w:tab/>
      </w:r>
      <w:r w:rsidRPr="00AC3E3D">
        <w:rPr>
          <w:noProof/>
        </w:rPr>
        <w:t>Litter</w:t>
      </w:r>
      <w:r w:rsidRPr="00AC3E3D">
        <w:rPr>
          <w:noProof/>
        </w:rPr>
        <w:tab/>
      </w:r>
      <w:r w:rsidRPr="00846550">
        <w:rPr>
          <w:noProof/>
        </w:rPr>
        <w:fldChar w:fldCharType="begin"/>
      </w:r>
      <w:r w:rsidRPr="00AC3E3D">
        <w:rPr>
          <w:noProof/>
        </w:rPr>
        <w:instrText xml:space="preserve"> PAGEREF _Toc12892336 \h </w:instrText>
      </w:r>
      <w:r w:rsidRPr="00846550">
        <w:rPr>
          <w:noProof/>
        </w:rPr>
      </w:r>
      <w:r w:rsidRPr="00846550">
        <w:rPr>
          <w:noProof/>
        </w:rPr>
        <w:fldChar w:fldCharType="separate"/>
      </w:r>
      <w:r w:rsidR="00245EE3">
        <w:rPr>
          <w:noProof/>
        </w:rPr>
        <w:t>147</w:t>
      </w:r>
      <w:r w:rsidRPr="00846550">
        <w:rPr>
          <w:noProof/>
        </w:rPr>
        <w:fldChar w:fldCharType="end"/>
      </w:r>
    </w:p>
    <w:p w14:paraId="656AFBE3" w14:textId="5826B942"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11</w:t>
      </w:r>
      <w:r w:rsidRPr="00AC3E3D">
        <w:rPr>
          <w:rFonts w:asciiTheme="minorHAnsi" w:eastAsiaTheme="minorEastAsia" w:hAnsiTheme="minorHAnsi"/>
          <w:noProof/>
          <w:sz w:val="22"/>
          <w:szCs w:val="22"/>
          <w:lang w:eastAsia="en-AU"/>
        </w:rPr>
        <w:tab/>
      </w:r>
      <w:r w:rsidRPr="00AC3E3D">
        <w:rPr>
          <w:noProof/>
        </w:rPr>
        <w:t>Plastic bags</w:t>
      </w:r>
      <w:r w:rsidRPr="00AC3E3D">
        <w:rPr>
          <w:noProof/>
        </w:rPr>
        <w:tab/>
      </w:r>
      <w:r w:rsidRPr="00846550">
        <w:rPr>
          <w:noProof/>
        </w:rPr>
        <w:fldChar w:fldCharType="begin"/>
      </w:r>
      <w:r w:rsidRPr="00AC3E3D">
        <w:rPr>
          <w:noProof/>
        </w:rPr>
        <w:instrText xml:space="preserve"> PAGEREF _Toc12892337 \h </w:instrText>
      </w:r>
      <w:r w:rsidRPr="00846550">
        <w:rPr>
          <w:noProof/>
        </w:rPr>
      </w:r>
      <w:r w:rsidRPr="00846550">
        <w:rPr>
          <w:noProof/>
        </w:rPr>
        <w:fldChar w:fldCharType="separate"/>
      </w:r>
      <w:r w:rsidR="00245EE3">
        <w:rPr>
          <w:noProof/>
        </w:rPr>
        <w:t>153</w:t>
      </w:r>
      <w:r w:rsidRPr="00846550">
        <w:rPr>
          <w:noProof/>
        </w:rPr>
        <w:fldChar w:fldCharType="end"/>
      </w:r>
    </w:p>
    <w:p w14:paraId="656AFBE4" w14:textId="7BB6385B"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12</w:t>
      </w:r>
      <w:r w:rsidRPr="00AC3E3D">
        <w:rPr>
          <w:rFonts w:asciiTheme="minorHAnsi" w:eastAsiaTheme="minorEastAsia" w:hAnsiTheme="minorHAnsi"/>
          <w:noProof/>
          <w:sz w:val="22"/>
          <w:szCs w:val="22"/>
          <w:lang w:eastAsia="en-AU"/>
        </w:rPr>
        <w:tab/>
      </w:r>
      <w:r w:rsidRPr="00AC3E3D">
        <w:rPr>
          <w:noProof/>
        </w:rPr>
        <w:t>Air</w:t>
      </w:r>
      <w:r w:rsidRPr="00AC3E3D">
        <w:rPr>
          <w:noProof/>
        </w:rPr>
        <w:tab/>
      </w:r>
      <w:r w:rsidRPr="00846550">
        <w:rPr>
          <w:noProof/>
        </w:rPr>
        <w:fldChar w:fldCharType="begin"/>
      </w:r>
      <w:r w:rsidRPr="00AC3E3D">
        <w:rPr>
          <w:noProof/>
        </w:rPr>
        <w:instrText xml:space="preserve"> PAGEREF _Toc12892338 \h </w:instrText>
      </w:r>
      <w:r w:rsidRPr="00846550">
        <w:rPr>
          <w:noProof/>
        </w:rPr>
      </w:r>
      <w:r w:rsidRPr="00846550">
        <w:rPr>
          <w:noProof/>
        </w:rPr>
        <w:fldChar w:fldCharType="separate"/>
      </w:r>
      <w:r w:rsidR="00245EE3">
        <w:rPr>
          <w:noProof/>
        </w:rPr>
        <w:t>162</w:t>
      </w:r>
      <w:r w:rsidRPr="00846550">
        <w:rPr>
          <w:noProof/>
        </w:rPr>
        <w:fldChar w:fldCharType="end"/>
      </w:r>
    </w:p>
    <w:p w14:paraId="656AFBE5" w14:textId="223BC8DB"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13</w:t>
      </w:r>
      <w:r w:rsidRPr="00AC3E3D">
        <w:rPr>
          <w:rFonts w:asciiTheme="minorHAnsi" w:eastAsiaTheme="minorEastAsia" w:hAnsiTheme="minorHAnsi"/>
          <w:noProof/>
          <w:sz w:val="22"/>
          <w:szCs w:val="22"/>
          <w:lang w:eastAsia="en-AU"/>
        </w:rPr>
        <w:tab/>
      </w:r>
      <w:r w:rsidRPr="00AC3E3D">
        <w:rPr>
          <w:noProof/>
        </w:rPr>
        <w:t>Water</w:t>
      </w:r>
      <w:r w:rsidRPr="00AC3E3D">
        <w:rPr>
          <w:noProof/>
        </w:rPr>
        <w:tab/>
      </w:r>
      <w:r w:rsidRPr="00846550">
        <w:rPr>
          <w:noProof/>
        </w:rPr>
        <w:fldChar w:fldCharType="begin"/>
      </w:r>
      <w:r w:rsidRPr="00AC3E3D">
        <w:rPr>
          <w:noProof/>
        </w:rPr>
        <w:instrText xml:space="preserve"> PAGEREF _Toc12892339 \h </w:instrText>
      </w:r>
      <w:r w:rsidRPr="00846550">
        <w:rPr>
          <w:noProof/>
        </w:rPr>
      </w:r>
      <w:r w:rsidRPr="00846550">
        <w:rPr>
          <w:noProof/>
        </w:rPr>
        <w:fldChar w:fldCharType="separate"/>
      </w:r>
      <w:r w:rsidR="00245EE3">
        <w:rPr>
          <w:noProof/>
        </w:rPr>
        <w:t>183</w:t>
      </w:r>
      <w:r w:rsidRPr="00846550">
        <w:rPr>
          <w:noProof/>
        </w:rPr>
        <w:fldChar w:fldCharType="end"/>
      </w:r>
    </w:p>
    <w:p w14:paraId="656AFBE6" w14:textId="14CDB067"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14</w:t>
      </w:r>
      <w:r w:rsidRPr="00AC3E3D">
        <w:rPr>
          <w:rFonts w:asciiTheme="minorHAnsi" w:eastAsiaTheme="minorEastAsia" w:hAnsiTheme="minorHAnsi"/>
          <w:noProof/>
          <w:sz w:val="22"/>
          <w:szCs w:val="22"/>
          <w:lang w:eastAsia="en-AU"/>
        </w:rPr>
        <w:tab/>
      </w:r>
      <w:r w:rsidRPr="00AC3E3D">
        <w:rPr>
          <w:noProof/>
        </w:rPr>
        <w:t>Noise</w:t>
      </w:r>
      <w:r w:rsidRPr="00AC3E3D">
        <w:rPr>
          <w:noProof/>
        </w:rPr>
        <w:tab/>
      </w:r>
      <w:r w:rsidRPr="00846550">
        <w:rPr>
          <w:noProof/>
        </w:rPr>
        <w:fldChar w:fldCharType="begin"/>
      </w:r>
      <w:r w:rsidRPr="00AC3E3D">
        <w:rPr>
          <w:noProof/>
        </w:rPr>
        <w:instrText xml:space="preserve"> PAGEREF _Toc12892340 \h </w:instrText>
      </w:r>
      <w:r w:rsidRPr="00846550">
        <w:rPr>
          <w:noProof/>
        </w:rPr>
      </w:r>
      <w:r w:rsidRPr="00846550">
        <w:rPr>
          <w:noProof/>
        </w:rPr>
        <w:fldChar w:fldCharType="separate"/>
      </w:r>
      <w:r w:rsidR="00245EE3">
        <w:rPr>
          <w:noProof/>
        </w:rPr>
        <w:t>195</w:t>
      </w:r>
      <w:r w:rsidRPr="00846550">
        <w:rPr>
          <w:noProof/>
        </w:rPr>
        <w:fldChar w:fldCharType="end"/>
      </w:r>
    </w:p>
    <w:p w14:paraId="656AFBE7" w14:textId="6E721A3D"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15</w:t>
      </w:r>
      <w:r w:rsidRPr="00AC3E3D">
        <w:rPr>
          <w:rFonts w:asciiTheme="minorHAnsi" w:eastAsiaTheme="minorEastAsia" w:hAnsiTheme="minorHAnsi"/>
          <w:noProof/>
          <w:sz w:val="22"/>
          <w:szCs w:val="22"/>
          <w:lang w:eastAsia="en-AU"/>
        </w:rPr>
        <w:tab/>
      </w:r>
      <w:r w:rsidRPr="00AC3E3D">
        <w:rPr>
          <w:noProof/>
        </w:rPr>
        <w:t>Vehicle emissions</w:t>
      </w:r>
      <w:r w:rsidRPr="00AC3E3D">
        <w:rPr>
          <w:noProof/>
        </w:rPr>
        <w:tab/>
      </w:r>
      <w:r w:rsidRPr="00846550">
        <w:rPr>
          <w:noProof/>
        </w:rPr>
        <w:fldChar w:fldCharType="begin"/>
      </w:r>
      <w:r w:rsidRPr="00AC3E3D">
        <w:rPr>
          <w:noProof/>
        </w:rPr>
        <w:instrText xml:space="preserve"> PAGEREF _Toc12892341 \h </w:instrText>
      </w:r>
      <w:r w:rsidRPr="00846550">
        <w:rPr>
          <w:noProof/>
        </w:rPr>
      </w:r>
      <w:r w:rsidRPr="00846550">
        <w:rPr>
          <w:noProof/>
        </w:rPr>
        <w:fldChar w:fldCharType="separate"/>
      </w:r>
      <w:r w:rsidR="00245EE3">
        <w:rPr>
          <w:noProof/>
        </w:rPr>
        <w:t>215</w:t>
      </w:r>
      <w:r w:rsidRPr="00846550">
        <w:rPr>
          <w:noProof/>
        </w:rPr>
        <w:fldChar w:fldCharType="end"/>
      </w:r>
    </w:p>
    <w:p w14:paraId="656AFBE8" w14:textId="17ABBC84"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16</w:t>
      </w:r>
      <w:r w:rsidRPr="00AC3E3D">
        <w:rPr>
          <w:rFonts w:asciiTheme="minorHAnsi" w:eastAsiaTheme="minorEastAsia" w:hAnsiTheme="minorHAnsi"/>
          <w:noProof/>
          <w:sz w:val="22"/>
          <w:szCs w:val="22"/>
          <w:lang w:eastAsia="en-AU"/>
        </w:rPr>
        <w:tab/>
      </w:r>
      <w:r w:rsidRPr="00AC3E3D">
        <w:rPr>
          <w:noProof/>
        </w:rPr>
        <w:t>Cost recovery and fees analysis</w:t>
      </w:r>
      <w:r w:rsidRPr="00AC3E3D">
        <w:rPr>
          <w:noProof/>
        </w:rPr>
        <w:tab/>
      </w:r>
      <w:r w:rsidRPr="00846550">
        <w:rPr>
          <w:noProof/>
        </w:rPr>
        <w:fldChar w:fldCharType="begin"/>
      </w:r>
      <w:r w:rsidRPr="00AC3E3D">
        <w:rPr>
          <w:noProof/>
        </w:rPr>
        <w:instrText xml:space="preserve"> PAGEREF _Toc12892342 \h </w:instrText>
      </w:r>
      <w:r w:rsidRPr="00846550">
        <w:rPr>
          <w:noProof/>
        </w:rPr>
      </w:r>
      <w:r w:rsidRPr="00846550">
        <w:rPr>
          <w:noProof/>
        </w:rPr>
        <w:fldChar w:fldCharType="separate"/>
      </w:r>
      <w:r w:rsidR="00245EE3">
        <w:rPr>
          <w:noProof/>
        </w:rPr>
        <w:t>222</w:t>
      </w:r>
      <w:r w:rsidRPr="00846550">
        <w:rPr>
          <w:noProof/>
        </w:rPr>
        <w:fldChar w:fldCharType="end"/>
      </w:r>
    </w:p>
    <w:p w14:paraId="656AFBE9" w14:textId="6B83684C"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17</w:t>
      </w:r>
      <w:r w:rsidRPr="00AC3E3D">
        <w:rPr>
          <w:rFonts w:asciiTheme="minorHAnsi" w:eastAsiaTheme="minorEastAsia" w:hAnsiTheme="minorHAnsi"/>
          <w:noProof/>
          <w:sz w:val="22"/>
          <w:szCs w:val="22"/>
          <w:lang w:eastAsia="en-AU"/>
        </w:rPr>
        <w:tab/>
      </w:r>
      <w:r w:rsidRPr="00AC3E3D">
        <w:rPr>
          <w:noProof/>
        </w:rPr>
        <w:t>Preferred options</w:t>
      </w:r>
      <w:r w:rsidRPr="00AC3E3D">
        <w:rPr>
          <w:noProof/>
        </w:rPr>
        <w:tab/>
      </w:r>
      <w:r w:rsidRPr="00846550">
        <w:rPr>
          <w:noProof/>
        </w:rPr>
        <w:fldChar w:fldCharType="begin"/>
      </w:r>
      <w:r w:rsidRPr="00AC3E3D">
        <w:rPr>
          <w:noProof/>
        </w:rPr>
        <w:instrText xml:space="preserve"> PAGEREF _Toc12892343 \h </w:instrText>
      </w:r>
      <w:r w:rsidRPr="00846550">
        <w:rPr>
          <w:noProof/>
        </w:rPr>
      </w:r>
      <w:r w:rsidRPr="00846550">
        <w:rPr>
          <w:noProof/>
        </w:rPr>
        <w:fldChar w:fldCharType="separate"/>
      </w:r>
      <w:r w:rsidR="00245EE3">
        <w:rPr>
          <w:noProof/>
        </w:rPr>
        <w:t>290</w:t>
      </w:r>
      <w:r w:rsidRPr="00846550">
        <w:rPr>
          <w:noProof/>
        </w:rPr>
        <w:fldChar w:fldCharType="end"/>
      </w:r>
    </w:p>
    <w:p w14:paraId="656AFBEA" w14:textId="7EB95AB5"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PART 3 – IMPLEMENTATION AND EVALUATION</w:t>
      </w:r>
      <w:r w:rsidRPr="00AC3E3D">
        <w:rPr>
          <w:noProof/>
        </w:rPr>
        <w:tab/>
      </w:r>
      <w:r w:rsidRPr="00846550">
        <w:rPr>
          <w:noProof/>
        </w:rPr>
        <w:fldChar w:fldCharType="begin"/>
      </w:r>
      <w:r w:rsidRPr="00AC3E3D">
        <w:rPr>
          <w:noProof/>
        </w:rPr>
        <w:instrText xml:space="preserve"> PAGEREF _Toc12892345 \h </w:instrText>
      </w:r>
      <w:r w:rsidRPr="00846550">
        <w:rPr>
          <w:noProof/>
        </w:rPr>
      </w:r>
      <w:r w:rsidRPr="00846550">
        <w:rPr>
          <w:noProof/>
        </w:rPr>
        <w:fldChar w:fldCharType="separate"/>
      </w:r>
      <w:r w:rsidR="00245EE3">
        <w:rPr>
          <w:noProof/>
        </w:rPr>
        <w:t>303</w:t>
      </w:r>
      <w:r w:rsidRPr="00846550">
        <w:rPr>
          <w:noProof/>
        </w:rPr>
        <w:fldChar w:fldCharType="end"/>
      </w:r>
    </w:p>
    <w:p w14:paraId="656AFBEB" w14:textId="74CD325F"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18</w:t>
      </w:r>
      <w:r w:rsidRPr="00AC3E3D">
        <w:rPr>
          <w:rFonts w:asciiTheme="minorHAnsi" w:eastAsiaTheme="minorEastAsia" w:hAnsiTheme="minorHAnsi"/>
          <w:noProof/>
          <w:sz w:val="22"/>
          <w:szCs w:val="22"/>
          <w:lang w:eastAsia="en-AU"/>
        </w:rPr>
        <w:tab/>
      </w:r>
      <w:r w:rsidRPr="00AC3E3D">
        <w:rPr>
          <w:noProof/>
        </w:rPr>
        <w:t>Implementation plan</w:t>
      </w:r>
      <w:r w:rsidRPr="00AC3E3D">
        <w:rPr>
          <w:noProof/>
        </w:rPr>
        <w:tab/>
      </w:r>
      <w:r w:rsidRPr="00846550">
        <w:rPr>
          <w:noProof/>
        </w:rPr>
        <w:fldChar w:fldCharType="begin"/>
      </w:r>
      <w:r w:rsidRPr="00AC3E3D">
        <w:rPr>
          <w:noProof/>
        </w:rPr>
        <w:instrText xml:space="preserve"> PAGEREF _Toc12892346 \h </w:instrText>
      </w:r>
      <w:r w:rsidRPr="00846550">
        <w:rPr>
          <w:noProof/>
        </w:rPr>
      </w:r>
      <w:r w:rsidRPr="00846550">
        <w:rPr>
          <w:noProof/>
        </w:rPr>
        <w:fldChar w:fldCharType="separate"/>
      </w:r>
      <w:r w:rsidR="00245EE3">
        <w:rPr>
          <w:noProof/>
        </w:rPr>
        <w:t>304</w:t>
      </w:r>
      <w:r w:rsidRPr="00846550">
        <w:rPr>
          <w:noProof/>
        </w:rPr>
        <w:fldChar w:fldCharType="end"/>
      </w:r>
    </w:p>
    <w:p w14:paraId="656AFBEC" w14:textId="1309E170"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19</w:t>
      </w:r>
      <w:r w:rsidRPr="00AC3E3D">
        <w:rPr>
          <w:rFonts w:asciiTheme="minorHAnsi" w:eastAsiaTheme="minorEastAsia" w:hAnsiTheme="minorHAnsi"/>
          <w:noProof/>
          <w:sz w:val="22"/>
          <w:szCs w:val="22"/>
          <w:lang w:eastAsia="en-AU"/>
        </w:rPr>
        <w:tab/>
      </w:r>
      <w:r w:rsidRPr="00AC3E3D">
        <w:rPr>
          <w:noProof/>
        </w:rPr>
        <w:t>Evaluation strategy</w:t>
      </w:r>
      <w:r w:rsidRPr="00AC3E3D">
        <w:rPr>
          <w:noProof/>
        </w:rPr>
        <w:tab/>
      </w:r>
      <w:r w:rsidRPr="00846550">
        <w:rPr>
          <w:noProof/>
        </w:rPr>
        <w:fldChar w:fldCharType="begin"/>
      </w:r>
      <w:r w:rsidRPr="00AC3E3D">
        <w:rPr>
          <w:noProof/>
        </w:rPr>
        <w:instrText xml:space="preserve"> PAGEREF _Toc12892347 \h </w:instrText>
      </w:r>
      <w:r w:rsidRPr="00846550">
        <w:rPr>
          <w:noProof/>
        </w:rPr>
      </w:r>
      <w:r w:rsidRPr="00846550">
        <w:rPr>
          <w:noProof/>
        </w:rPr>
        <w:fldChar w:fldCharType="separate"/>
      </w:r>
      <w:r w:rsidR="00245EE3">
        <w:rPr>
          <w:noProof/>
        </w:rPr>
        <w:t>311</w:t>
      </w:r>
      <w:r w:rsidRPr="00846550">
        <w:rPr>
          <w:noProof/>
        </w:rPr>
        <w:fldChar w:fldCharType="end"/>
      </w:r>
    </w:p>
    <w:p w14:paraId="656AFBED" w14:textId="5AD846DF"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20</w:t>
      </w:r>
      <w:r w:rsidRPr="00AC3E3D">
        <w:rPr>
          <w:rFonts w:asciiTheme="minorHAnsi" w:eastAsiaTheme="minorEastAsia" w:hAnsiTheme="minorHAnsi"/>
          <w:noProof/>
          <w:sz w:val="22"/>
          <w:szCs w:val="22"/>
          <w:lang w:eastAsia="en-AU"/>
        </w:rPr>
        <w:tab/>
      </w:r>
      <w:r w:rsidRPr="00AC3E3D">
        <w:rPr>
          <w:noProof/>
        </w:rPr>
        <w:t>Stakeholder consultation</w:t>
      </w:r>
      <w:r w:rsidRPr="00AC3E3D">
        <w:rPr>
          <w:noProof/>
        </w:rPr>
        <w:tab/>
      </w:r>
      <w:r w:rsidRPr="00846550">
        <w:rPr>
          <w:noProof/>
        </w:rPr>
        <w:fldChar w:fldCharType="begin"/>
      </w:r>
      <w:r w:rsidRPr="00AC3E3D">
        <w:rPr>
          <w:noProof/>
        </w:rPr>
        <w:instrText xml:space="preserve"> PAGEREF _Toc12892348 \h </w:instrText>
      </w:r>
      <w:r w:rsidRPr="00846550">
        <w:rPr>
          <w:noProof/>
        </w:rPr>
      </w:r>
      <w:r w:rsidRPr="00846550">
        <w:rPr>
          <w:noProof/>
        </w:rPr>
        <w:fldChar w:fldCharType="separate"/>
      </w:r>
      <w:r w:rsidR="00245EE3">
        <w:rPr>
          <w:noProof/>
        </w:rPr>
        <w:t>319</w:t>
      </w:r>
      <w:r w:rsidRPr="00846550">
        <w:rPr>
          <w:noProof/>
        </w:rPr>
        <w:fldChar w:fldCharType="end"/>
      </w:r>
    </w:p>
    <w:p w14:paraId="656AFBEE" w14:textId="2FBBD984"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Appendix 1 – Environment Reference Standard</w:t>
      </w:r>
      <w:r w:rsidRPr="00AC3E3D">
        <w:rPr>
          <w:noProof/>
        </w:rPr>
        <w:tab/>
      </w:r>
      <w:r w:rsidRPr="00846550">
        <w:rPr>
          <w:noProof/>
        </w:rPr>
        <w:fldChar w:fldCharType="begin"/>
      </w:r>
      <w:r w:rsidRPr="00AC3E3D">
        <w:rPr>
          <w:noProof/>
        </w:rPr>
        <w:instrText xml:space="preserve"> PAGEREF _Toc12892349 \h </w:instrText>
      </w:r>
      <w:r w:rsidRPr="00846550">
        <w:rPr>
          <w:noProof/>
        </w:rPr>
      </w:r>
      <w:r w:rsidRPr="00846550">
        <w:rPr>
          <w:noProof/>
        </w:rPr>
        <w:fldChar w:fldCharType="separate"/>
      </w:r>
      <w:r w:rsidR="00245EE3">
        <w:rPr>
          <w:noProof/>
        </w:rPr>
        <w:t>324</w:t>
      </w:r>
      <w:r w:rsidRPr="00846550">
        <w:rPr>
          <w:noProof/>
        </w:rPr>
        <w:fldChar w:fldCharType="end"/>
      </w:r>
    </w:p>
    <w:p w14:paraId="656AFBEF" w14:textId="5FCAB1AF"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Appendix 2 – Noise pollution legislative and regulatory instruments</w:t>
      </w:r>
      <w:r w:rsidRPr="00AC3E3D">
        <w:rPr>
          <w:noProof/>
        </w:rPr>
        <w:tab/>
      </w:r>
      <w:r w:rsidRPr="00846550">
        <w:rPr>
          <w:noProof/>
        </w:rPr>
        <w:fldChar w:fldCharType="begin"/>
      </w:r>
      <w:r w:rsidRPr="00AC3E3D">
        <w:rPr>
          <w:noProof/>
        </w:rPr>
        <w:instrText xml:space="preserve"> PAGEREF _Toc12892350 \h </w:instrText>
      </w:r>
      <w:r w:rsidRPr="00846550">
        <w:rPr>
          <w:noProof/>
        </w:rPr>
      </w:r>
      <w:r w:rsidRPr="00846550">
        <w:rPr>
          <w:noProof/>
        </w:rPr>
        <w:fldChar w:fldCharType="separate"/>
      </w:r>
      <w:r w:rsidR="00245EE3">
        <w:rPr>
          <w:noProof/>
        </w:rPr>
        <w:t>326</w:t>
      </w:r>
      <w:r w:rsidRPr="00846550">
        <w:rPr>
          <w:noProof/>
        </w:rPr>
        <w:fldChar w:fldCharType="end"/>
      </w:r>
    </w:p>
    <w:p w14:paraId="656AFBF0" w14:textId="34CB8EC2"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Appendix 3 – Contaminated land current legislative and regulatory framework</w:t>
      </w:r>
      <w:r w:rsidRPr="00AC3E3D">
        <w:rPr>
          <w:noProof/>
        </w:rPr>
        <w:tab/>
      </w:r>
      <w:r w:rsidRPr="00846550">
        <w:rPr>
          <w:noProof/>
        </w:rPr>
        <w:fldChar w:fldCharType="begin"/>
      </w:r>
      <w:r w:rsidRPr="00AC3E3D">
        <w:rPr>
          <w:noProof/>
        </w:rPr>
        <w:instrText xml:space="preserve"> PAGEREF _Toc12892351 \h </w:instrText>
      </w:r>
      <w:r w:rsidRPr="00846550">
        <w:rPr>
          <w:noProof/>
        </w:rPr>
      </w:r>
      <w:r w:rsidRPr="00846550">
        <w:rPr>
          <w:noProof/>
        </w:rPr>
        <w:fldChar w:fldCharType="separate"/>
      </w:r>
      <w:r w:rsidR="00245EE3">
        <w:rPr>
          <w:noProof/>
        </w:rPr>
        <w:t>327</w:t>
      </w:r>
      <w:r w:rsidRPr="00846550">
        <w:rPr>
          <w:noProof/>
        </w:rPr>
        <w:fldChar w:fldCharType="end"/>
      </w:r>
    </w:p>
    <w:p w14:paraId="656AFBF1" w14:textId="53EFD52B"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Appendix 4 – Marginal air and water emissions values</w:t>
      </w:r>
      <w:r w:rsidRPr="00AC3E3D">
        <w:rPr>
          <w:noProof/>
        </w:rPr>
        <w:tab/>
      </w:r>
      <w:r w:rsidRPr="00846550">
        <w:rPr>
          <w:noProof/>
        </w:rPr>
        <w:fldChar w:fldCharType="begin"/>
      </w:r>
      <w:r w:rsidRPr="00AC3E3D">
        <w:rPr>
          <w:noProof/>
        </w:rPr>
        <w:instrText xml:space="preserve"> PAGEREF _Toc12892352 \h </w:instrText>
      </w:r>
      <w:r w:rsidRPr="00846550">
        <w:rPr>
          <w:noProof/>
        </w:rPr>
      </w:r>
      <w:r w:rsidRPr="00846550">
        <w:rPr>
          <w:noProof/>
        </w:rPr>
        <w:fldChar w:fldCharType="separate"/>
      </w:r>
      <w:r w:rsidR="00245EE3">
        <w:rPr>
          <w:noProof/>
        </w:rPr>
        <w:t>329</w:t>
      </w:r>
      <w:r w:rsidRPr="00846550">
        <w:rPr>
          <w:noProof/>
        </w:rPr>
        <w:fldChar w:fldCharType="end"/>
      </w:r>
    </w:p>
    <w:p w14:paraId="656AFBF2" w14:textId="64189389"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Appendix 5 – Cohort size for proposed permission tier</w:t>
      </w:r>
      <w:r w:rsidRPr="00AC3E3D">
        <w:rPr>
          <w:noProof/>
        </w:rPr>
        <w:tab/>
      </w:r>
      <w:r w:rsidRPr="00846550">
        <w:rPr>
          <w:noProof/>
        </w:rPr>
        <w:fldChar w:fldCharType="begin"/>
      </w:r>
      <w:r w:rsidRPr="00AC3E3D">
        <w:rPr>
          <w:noProof/>
        </w:rPr>
        <w:instrText xml:space="preserve"> PAGEREF _Toc12892353 \h </w:instrText>
      </w:r>
      <w:r w:rsidRPr="00846550">
        <w:rPr>
          <w:noProof/>
        </w:rPr>
      </w:r>
      <w:r w:rsidRPr="00846550">
        <w:rPr>
          <w:noProof/>
        </w:rPr>
        <w:fldChar w:fldCharType="separate"/>
      </w:r>
      <w:r w:rsidR="00245EE3">
        <w:rPr>
          <w:noProof/>
        </w:rPr>
        <w:t>331</w:t>
      </w:r>
      <w:r w:rsidRPr="00846550">
        <w:rPr>
          <w:noProof/>
        </w:rPr>
        <w:fldChar w:fldCharType="end"/>
      </w:r>
    </w:p>
    <w:p w14:paraId="656AFBF3" w14:textId="1449B2F2"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Appendix 6 – Process map example</w:t>
      </w:r>
      <w:r w:rsidRPr="00AC3E3D">
        <w:rPr>
          <w:noProof/>
        </w:rPr>
        <w:tab/>
      </w:r>
      <w:r w:rsidRPr="00846550">
        <w:rPr>
          <w:noProof/>
        </w:rPr>
        <w:fldChar w:fldCharType="begin"/>
      </w:r>
      <w:r w:rsidRPr="00AC3E3D">
        <w:rPr>
          <w:noProof/>
        </w:rPr>
        <w:instrText xml:space="preserve"> PAGEREF _Toc12892354 \h </w:instrText>
      </w:r>
      <w:r w:rsidRPr="00846550">
        <w:rPr>
          <w:noProof/>
        </w:rPr>
      </w:r>
      <w:r w:rsidRPr="00846550">
        <w:rPr>
          <w:noProof/>
        </w:rPr>
        <w:fldChar w:fldCharType="separate"/>
      </w:r>
      <w:r w:rsidR="00245EE3">
        <w:rPr>
          <w:noProof/>
        </w:rPr>
        <w:t>333</w:t>
      </w:r>
      <w:r w:rsidRPr="00846550">
        <w:rPr>
          <w:noProof/>
        </w:rPr>
        <w:fldChar w:fldCharType="end"/>
      </w:r>
    </w:p>
    <w:p w14:paraId="656AFBF4" w14:textId="13CCD825"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Appendix 7 – List of fees</w:t>
      </w:r>
      <w:r w:rsidRPr="00AC3E3D">
        <w:rPr>
          <w:noProof/>
        </w:rPr>
        <w:tab/>
      </w:r>
      <w:r w:rsidRPr="00846550">
        <w:rPr>
          <w:noProof/>
        </w:rPr>
        <w:fldChar w:fldCharType="begin"/>
      </w:r>
      <w:r w:rsidRPr="00AC3E3D">
        <w:rPr>
          <w:noProof/>
        </w:rPr>
        <w:instrText xml:space="preserve"> PAGEREF _Toc12892355 \h </w:instrText>
      </w:r>
      <w:r w:rsidRPr="00846550">
        <w:rPr>
          <w:noProof/>
        </w:rPr>
      </w:r>
      <w:r w:rsidRPr="00846550">
        <w:rPr>
          <w:noProof/>
        </w:rPr>
        <w:fldChar w:fldCharType="separate"/>
      </w:r>
      <w:r w:rsidR="00245EE3">
        <w:rPr>
          <w:noProof/>
        </w:rPr>
        <w:t>335</w:t>
      </w:r>
      <w:r w:rsidRPr="00846550">
        <w:rPr>
          <w:noProof/>
        </w:rPr>
        <w:fldChar w:fldCharType="end"/>
      </w:r>
    </w:p>
    <w:p w14:paraId="656AFBF5" w14:textId="3126133D"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Appendix 8 – Comparison of proposed fees to current</w:t>
      </w:r>
      <w:r w:rsidRPr="00AC3E3D">
        <w:rPr>
          <w:noProof/>
        </w:rPr>
        <w:tab/>
      </w:r>
      <w:r w:rsidRPr="00846550">
        <w:rPr>
          <w:noProof/>
        </w:rPr>
        <w:fldChar w:fldCharType="begin"/>
      </w:r>
      <w:r w:rsidRPr="00AC3E3D">
        <w:rPr>
          <w:noProof/>
        </w:rPr>
        <w:instrText xml:space="preserve"> PAGEREF _Toc12892356 \h </w:instrText>
      </w:r>
      <w:r w:rsidRPr="00846550">
        <w:rPr>
          <w:noProof/>
        </w:rPr>
      </w:r>
      <w:r w:rsidRPr="00846550">
        <w:rPr>
          <w:noProof/>
        </w:rPr>
        <w:fldChar w:fldCharType="separate"/>
      </w:r>
      <w:r w:rsidR="00245EE3">
        <w:rPr>
          <w:noProof/>
        </w:rPr>
        <w:t>346</w:t>
      </w:r>
      <w:r w:rsidRPr="00846550">
        <w:rPr>
          <w:noProof/>
        </w:rPr>
        <w:fldChar w:fldCharType="end"/>
      </w:r>
    </w:p>
    <w:p w14:paraId="656AFBF6" w14:textId="1D2D9C6B"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Appendix 9 – Fee assumptions</w:t>
      </w:r>
      <w:r w:rsidRPr="00AC3E3D">
        <w:rPr>
          <w:noProof/>
        </w:rPr>
        <w:tab/>
      </w:r>
      <w:r w:rsidRPr="00846550">
        <w:rPr>
          <w:noProof/>
        </w:rPr>
        <w:fldChar w:fldCharType="begin"/>
      </w:r>
      <w:r w:rsidRPr="00AC3E3D">
        <w:rPr>
          <w:noProof/>
        </w:rPr>
        <w:instrText xml:space="preserve"> PAGEREF _Toc12892357 \h </w:instrText>
      </w:r>
      <w:r w:rsidRPr="00846550">
        <w:rPr>
          <w:noProof/>
        </w:rPr>
      </w:r>
      <w:r w:rsidRPr="00846550">
        <w:rPr>
          <w:noProof/>
        </w:rPr>
        <w:fldChar w:fldCharType="separate"/>
      </w:r>
      <w:r w:rsidR="00245EE3">
        <w:rPr>
          <w:noProof/>
        </w:rPr>
        <w:t>357</w:t>
      </w:r>
      <w:r w:rsidRPr="00846550">
        <w:rPr>
          <w:noProof/>
        </w:rPr>
        <w:fldChar w:fldCharType="end"/>
      </w:r>
    </w:p>
    <w:p w14:paraId="656AFBF7" w14:textId="0FFD6645"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Appendix 10 – Changes to soil management</w:t>
      </w:r>
      <w:r w:rsidRPr="00AC3E3D">
        <w:rPr>
          <w:noProof/>
        </w:rPr>
        <w:tab/>
      </w:r>
      <w:r w:rsidRPr="00846550">
        <w:rPr>
          <w:noProof/>
        </w:rPr>
        <w:fldChar w:fldCharType="begin"/>
      </w:r>
      <w:r w:rsidRPr="00AC3E3D">
        <w:rPr>
          <w:noProof/>
        </w:rPr>
        <w:instrText xml:space="preserve"> PAGEREF _Toc12892358 \h </w:instrText>
      </w:r>
      <w:r w:rsidRPr="00846550">
        <w:rPr>
          <w:noProof/>
        </w:rPr>
      </w:r>
      <w:r w:rsidRPr="00846550">
        <w:rPr>
          <w:noProof/>
        </w:rPr>
        <w:fldChar w:fldCharType="separate"/>
      </w:r>
      <w:r w:rsidR="00245EE3">
        <w:rPr>
          <w:noProof/>
        </w:rPr>
        <w:t>358</w:t>
      </w:r>
      <w:r w:rsidRPr="00846550">
        <w:rPr>
          <w:noProof/>
        </w:rPr>
        <w:fldChar w:fldCharType="end"/>
      </w:r>
    </w:p>
    <w:p w14:paraId="656AFBF8" w14:textId="747ADF76"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Appendix 11 – Human rights certificates</w:t>
      </w:r>
      <w:r w:rsidRPr="00AC3E3D">
        <w:rPr>
          <w:noProof/>
        </w:rPr>
        <w:tab/>
      </w:r>
      <w:r w:rsidRPr="00846550">
        <w:rPr>
          <w:noProof/>
        </w:rPr>
        <w:fldChar w:fldCharType="begin"/>
      </w:r>
      <w:r w:rsidRPr="00AC3E3D">
        <w:rPr>
          <w:noProof/>
        </w:rPr>
        <w:instrText xml:space="preserve"> PAGEREF _Toc12892359 \h </w:instrText>
      </w:r>
      <w:r w:rsidRPr="00846550">
        <w:rPr>
          <w:noProof/>
        </w:rPr>
      </w:r>
      <w:r w:rsidRPr="00846550">
        <w:rPr>
          <w:noProof/>
        </w:rPr>
        <w:fldChar w:fldCharType="separate"/>
      </w:r>
      <w:r w:rsidR="00245EE3">
        <w:rPr>
          <w:noProof/>
        </w:rPr>
        <w:t>359</w:t>
      </w:r>
      <w:r w:rsidRPr="00846550">
        <w:rPr>
          <w:noProof/>
        </w:rPr>
        <w:fldChar w:fldCharType="end"/>
      </w:r>
    </w:p>
    <w:p w14:paraId="656AFBF9" w14:textId="41792698" w:rsidR="00AC3E3D" w:rsidRPr="00AC3E3D" w:rsidRDefault="00AC3E3D" w:rsidP="0090642D">
      <w:pPr>
        <w:pStyle w:val="TOC1"/>
        <w:spacing w:after="0" w:line="240" w:lineRule="auto"/>
        <w:rPr>
          <w:rFonts w:asciiTheme="minorHAnsi" w:eastAsiaTheme="minorEastAsia" w:hAnsiTheme="minorHAnsi"/>
          <w:noProof/>
          <w:sz w:val="22"/>
          <w:szCs w:val="22"/>
          <w:lang w:eastAsia="en-AU"/>
        </w:rPr>
      </w:pPr>
      <w:r w:rsidRPr="00AC3E3D">
        <w:rPr>
          <w:noProof/>
        </w:rPr>
        <w:t>Limitation of our work</w:t>
      </w:r>
      <w:r w:rsidRPr="00AC3E3D">
        <w:rPr>
          <w:noProof/>
        </w:rPr>
        <w:tab/>
      </w:r>
      <w:r w:rsidRPr="00846550">
        <w:rPr>
          <w:noProof/>
        </w:rPr>
        <w:fldChar w:fldCharType="begin"/>
      </w:r>
      <w:r w:rsidRPr="00AC3E3D">
        <w:rPr>
          <w:noProof/>
        </w:rPr>
        <w:instrText xml:space="preserve"> PAGEREF _Toc12892360 \h </w:instrText>
      </w:r>
      <w:r w:rsidRPr="00846550">
        <w:rPr>
          <w:noProof/>
        </w:rPr>
      </w:r>
      <w:r w:rsidRPr="00846550">
        <w:rPr>
          <w:noProof/>
        </w:rPr>
        <w:fldChar w:fldCharType="separate"/>
      </w:r>
      <w:r w:rsidR="00245EE3">
        <w:rPr>
          <w:noProof/>
        </w:rPr>
        <w:t>363</w:t>
      </w:r>
      <w:r w:rsidRPr="00846550">
        <w:rPr>
          <w:noProof/>
        </w:rPr>
        <w:fldChar w:fldCharType="end"/>
      </w:r>
    </w:p>
    <w:p w14:paraId="656AFBFA" w14:textId="77777777" w:rsidR="00262B79" w:rsidRDefault="00B932A6">
      <w:pPr>
        <w:spacing w:after="0" w:line="240" w:lineRule="auto"/>
      </w:pPr>
      <w:r>
        <w:rPr>
          <w:color w:val="2B579A"/>
          <w:shd w:val="clear" w:color="auto" w:fill="E6E6E6"/>
        </w:rPr>
        <w:fldChar w:fldCharType="end"/>
      </w:r>
    </w:p>
    <w:p w14:paraId="656AFBFB" w14:textId="77777777" w:rsidR="00262B79" w:rsidRPr="00262B79" w:rsidRDefault="00262B79" w:rsidP="00D85A7F"/>
    <w:p w14:paraId="656AFBFC" w14:textId="77777777" w:rsidR="00BF3260" w:rsidRPr="002C378C" w:rsidRDefault="00B3542F" w:rsidP="000E7C5E">
      <w:pPr>
        <w:pStyle w:val="Heading1un-numbered"/>
      </w:pPr>
      <w:bookmarkStart w:id="8" w:name="_Toc462313127"/>
      <w:bookmarkStart w:id="9" w:name="_Toc462317836"/>
      <w:bookmarkStart w:id="10" w:name="_Toc462397801"/>
      <w:bookmarkStart w:id="11" w:name="_Toc463002428"/>
      <w:bookmarkStart w:id="12" w:name="_Toc472586340"/>
      <w:bookmarkStart w:id="13" w:name="_Toc482168118"/>
      <w:bookmarkStart w:id="14" w:name="_Toc482174905"/>
      <w:bookmarkStart w:id="15" w:name="_Toc525554609"/>
      <w:bookmarkStart w:id="16" w:name="_Toc536054805"/>
      <w:bookmarkStart w:id="17" w:name="_Toc536807091"/>
      <w:bookmarkStart w:id="18" w:name="_Toc10018316"/>
      <w:bookmarkStart w:id="19" w:name="_Toc10021423"/>
      <w:bookmarkStart w:id="20" w:name="_Toc10021837"/>
      <w:bookmarkStart w:id="21" w:name="_Toc12892321"/>
      <w:bookmarkEnd w:id="8"/>
      <w:bookmarkEnd w:id="9"/>
      <w:bookmarkEnd w:id="10"/>
      <w:bookmarkEnd w:id="11"/>
      <w:bookmarkEnd w:id="12"/>
      <w:bookmarkEnd w:id="13"/>
      <w:bookmarkEnd w:id="14"/>
      <w:bookmarkEnd w:id="15"/>
      <w:bookmarkEnd w:id="16"/>
      <w:bookmarkEnd w:id="17"/>
      <w:r>
        <w:lastRenderedPageBreak/>
        <w:t>Glossary</w:t>
      </w:r>
      <w:bookmarkEnd w:id="18"/>
      <w:bookmarkEnd w:id="19"/>
      <w:bookmarkEnd w:id="20"/>
      <w:bookmarkEnd w:id="21"/>
    </w:p>
    <w:tbl>
      <w:tblPr>
        <w:tblStyle w:val="Deloittetable"/>
        <w:tblW w:w="0" w:type="auto"/>
        <w:tblLayout w:type="fixed"/>
        <w:tblLook w:val="04A0" w:firstRow="1" w:lastRow="0" w:firstColumn="1" w:lastColumn="0" w:noHBand="0" w:noVBand="1"/>
      </w:tblPr>
      <w:tblGrid>
        <w:gridCol w:w="2132"/>
        <w:gridCol w:w="4813"/>
      </w:tblGrid>
      <w:tr w:rsidR="00C624E0" w:rsidRPr="002C378C" w14:paraId="656AFC00" w14:textId="77777777" w:rsidTr="00C624E0">
        <w:trPr>
          <w:cnfStyle w:val="100000000000" w:firstRow="1" w:lastRow="0" w:firstColumn="0" w:lastColumn="0" w:oddVBand="0" w:evenVBand="0" w:oddHBand="0" w:evenHBand="0" w:firstRowFirstColumn="0" w:firstRowLastColumn="0" w:lastRowFirstColumn="0" w:lastRowLastColumn="0"/>
          <w:tblHeader/>
        </w:trPr>
        <w:tc>
          <w:tcPr>
            <w:tcW w:w="2132" w:type="dxa"/>
          </w:tcPr>
          <w:p w14:paraId="656AFBFE" w14:textId="77777777" w:rsidR="00C624E0" w:rsidRPr="002C378C" w:rsidRDefault="00C624E0" w:rsidP="00C624E0">
            <w:pPr>
              <w:pStyle w:val="TabletextLeft"/>
              <w:ind w:right="0"/>
              <w:mirrorIndents/>
              <w:rPr>
                <w:rFonts w:cs="Segoe UI Light"/>
                <w:b/>
              </w:rPr>
            </w:pPr>
            <w:r w:rsidRPr="002C378C">
              <w:rPr>
                <w:rFonts w:cs="Segoe UI Light"/>
                <w:b/>
              </w:rPr>
              <w:t>Acronym</w:t>
            </w:r>
          </w:p>
        </w:tc>
        <w:tc>
          <w:tcPr>
            <w:tcW w:w="4813" w:type="dxa"/>
          </w:tcPr>
          <w:p w14:paraId="656AFBFF" w14:textId="77777777" w:rsidR="00C624E0" w:rsidRPr="002C378C" w:rsidRDefault="00C624E0" w:rsidP="00C624E0">
            <w:pPr>
              <w:pStyle w:val="TabletextLeft"/>
              <w:ind w:right="0"/>
              <w:mirrorIndents/>
              <w:rPr>
                <w:rFonts w:cs="Segoe UI Light"/>
                <w:b/>
              </w:rPr>
            </w:pPr>
            <w:r w:rsidRPr="002C378C">
              <w:rPr>
                <w:rFonts w:cs="Segoe UI Light"/>
                <w:b/>
              </w:rPr>
              <w:t>Full name</w:t>
            </w:r>
          </w:p>
        </w:tc>
      </w:tr>
      <w:tr w:rsidR="00C624E0" w:rsidRPr="002C378C" w14:paraId="656AFC03" w14:textId="77777777" w:rsidTr="00C624E0">
        <w:tc>
          <w:tcPr>
            <w:tcW w:w="2132" w:type="dxa"/>
          </w:tcPr>
          <w:p w14:paraId="656AFC01" w14:textId="77777777" w:rsidR="00C624E0" w:rsidRDefault="00C624E0" w:rsidP="00C624E0">
            <w:pPr>
              <w:pStyle w:val="TabletextLeft"/>
              <w:ind w:right="0"/>
              <w:mirrorIndents/>
              <w:rPr>
                <w:rFonts w:cs="Segoe UI Light"/>
              </w:rPr>
            </w:pPr>
            <w:r>
              <w:rPr>
                <w:rFonts w:cs="Segoe UI Light"/>
              </w:rPr>
              <w:t>AAQ NEPM</w:t>
            </w:r>
          </w:p>
        </w:tc>
        <w:tc>
          <w:tcPr>
            <w:tcW w:w="4813" w:type="dxa"/>
          </w:tcPr>
          <w:p w14:paraId="656AFC02" w14:textId="77777777" w:rsidR="00C624E0" w:rsidRDefault="00C624E0" w:rsidP="00C624E0">
            <w:pPr>
              <w:pStyle w:val="TabletextLeft"/>
              <w:ind w:right="0"/>
              <w:mirrorIndents/>
              <w:rPr>
                <w:rFonts w:cs="Segoe UI Light"/>
              </w:rPr>
            </w:pPr>
            <w:r>
              <w:rPr>
                <w:rFonts w:cs="Segoe UI Light"/>
              </w:rPr>
              <w:t>National Environment Protection (Ambient Air Quality) Measure</w:t>
            </w:r>
          </w:p>
        </w:tc>
      </w:tr>
      <w:tr w:rsidR="001676C7" w:rsidRPr="002C378C" w14:paraId="656AFC06" w14:textId="77777777" w:rsidTr="00C624E0">
        <w:tc>
          <w:tcPr>
            <w:tcW w:w="2132" w:type="dxa"/>
          </w:tcPr>
          <w:p w14:paraId="656AFC04" w14:textId="77777777" w:rsidR="001676C7" w:rsidRDefault="001676C7" w:rsidP="00C624E0">
            <w:pPr>
              <w:pStyle w:val="TabletextLeft"/>
              <w:ind w:right="0"/>
              <w:mirrorIndents/>
              <w:rPr>
                <w:rFonts w:cs="Segoe UI Light"/>
              </w:rPr>
            </w:pPr>
            <w:r w:rsidRPr="000E0E8A">
              <w:rPr>
                <w:rFonts w:cs="Segoe UI Light"/>
                <w:szCs w:val="20"/>
              </w:rPr>
              <w:t>ADGC</w:t>
            </w:r>
          </w:p>
        </w:tc>
        <w:tc>
          <w:tcPr>
            <w:tcW w:w="4813" w:type="dxa"/>
          </w:tcPr>
          <w:p w14:paraId="656AFC05" w14:textId="77777777" w:rsidR="001676C7" w:rsidRDefault="001676C7" w:rsidP="00C624E0">
            <w:pPr>
              <w:pStyle w:val="TabletextLeft"/>
              <w:ind w:right="0"/>
              <w:mirrorIndents/>
              <w:rPr>
                <w:rFonts w:cs="Segoe UI Light"/>
              </w:rPr>
            </w:pPr>
            <w:r w:rsidRPr="000E0E8A">
              <w:rPr>
                <w:rFonts w:cs="Segoe UI Light"/>
                <w:szCs w:val="20"/>
              </w:rPr>
              <w:t>Australian Dangerous Good Code</w:t>
            </w:r>
          </w:p>
        </w:tc>
      </w:tr>
      <w:tr w:rsidR="00C624E0" w:rsidRPr="002C378C" w14:paraId="656AFC09" w14:textId="77777777" w:rsidTr="00C624E0">
        <w:tc>
          <w:tcPr>
            <w:tcW w:w="2132" w:type="dxa"/>
          </w:tcPr>
          <w:p w14:paraId="656AFC07" w14:textId="77777777" w:rsidR="00C624E0" w:rsidRDefault="00C624E0" w:rsidP="00C624E0">
            <w:pPr>
              <w:pStyle w:val="TabletextLeft"/>
              <w:ind w:right="0"/>
              <w:mirrorIndents/>
              <w:rPr>
                <w:rFonts w:cs="Segoe UI Light"/>
              </w:rPr>
            </w:pPr>
            <w:r>
              <w:rPr>
                <w:rFonts w:cs="Segoe UI Light"/>
              </w:rPr>
              <w:t>ADR</w:t>
            </w:r>
          </w:p>
        </w:tc>
        <w:tc>
          <w:tcPr>
            <w:tcW w:w="4813" w:type="dxa"/>
          </w:tcPr>
          <w:p w14:paraId="656AFC08" w14:textId="77777777" w:rsidR="00C624E0" w:rsidRDefault="00C624E0" w:rsidP="00C624E0">
            <w:pPr>
              <w:pStyle w:val="TabletextLeft"/>
              <w:ind w:right="0"/>
              <w:mirrorIndents/>
              <w:rPr>
                <w:rFonts w:cs="Segoe UI Light"/>
              </w:rPr>
            </w:pPr>
            <w:r>
              <w:rPr>
                <w:rFonts w:cs="Segoe UI Light"/>
              </w:rPr>
              <w:t>Australian Design Rules</w:t>
            </w:r>
          </w:p>
        </w:tc>
      </w:tr>
      <w:tr w:rsidR="009A3655" w:rsidRPr="002C378C" w14:paraId="656AFC0C" w14:textId="77777777" w:rsidTr="00C624E0">
        <w:tc>
          <w:tcPr>
            <w:tcW w:w="2132" w:type="dxa"/>
          </w:tcPr>
          <w:p w14:paraId="656AFC0A" w14:textId="77777777" w:rsidR="009A3655" w:rsidRDefault="009A3655" w:rsidP="00C624E0">
            <w:pPr>
              <w:pStyle w:val="TabletextLeft"/>
              <w:ind w:right="0"/>
              <w:mirrorIndents/>
              <w:rPr>
                <w:rFonts w:cs="Segoe UI Light"/>
              </w:rPr>
            </w:pPr>
            <w:r>
              <w:t>AHHA</w:t>
            </w:r>
          </w:p>
        </w:tc>
        <w:tc>
          <w:tcPr>
            <w:tcW w:w="4813" w:type="dxa"/>
          </w:tcPr>
          <w:p w14:paraId="656AFC0B" w14:textId="77777777" w:rsidR="009A3655" w:rsidRDefault="009A3655" w:rsidP="009A3655">
            <w:pPr>
              <w:pStyle w:val="TabletextLeft"/>
              <w:ind w:right="0"/>
              <w:mirrorIndents/>
              <w:rPr>
                <w:rFonts w:cs="Segoe UI Light"/>
              </w:rPr>
            </w:pPr>
            <w:r>
              <w:t xml:space="preserve">Australian Home Heater Association </w:t>
            </w:r>
          </w:p>
        </w:tc>
      </w:tr>
      <w:tr w:rsidR="00C624E0" w:rsidRPr="002C378C" w14:paraId="656AFC0F" w14:textId="77777777" w:rsidTr="00C624E0">
        <w:tc>
          <w:tcPr>
            <w:tcW w:w="2132" w:type="dxa"/>
          </w:tcPr>
          <w:p w14:paraId="656AFC0D" w14:textId="77777777" w:rsidR="00C624E0" w:rsidRDefault="00C624E0" w:rsidP="00C624E0">
            <w:pPr>
              <w:pStyle w:val="TabletextLeft"/>
              <w:ind w:right="0"/>
              <w:mirrorIndents/>
              <w:rPr>
                <w:rFonts w:cs="Segoe UI Light"/>
              </w:rPr>
            </w:pPr>
            <w:r>
              <w:rPr>
                <w:rFonts w:cs="Segoe UI Light"/>
              </w:rPr>
              <w:t>AS/NZS</w:t>
            </w:r>
          </w:p>
        </w:tc>
        <w:tc>
          <w:tcPr>
            <w:tcW w:w="4813" w:type="dxa"/>
          </w:tcPr>
          <w:p w14:paraId="656AFC0E" w14:textId="77777777" w:rsidR="00C624E0" w:rsidRDefault="00C624E0" w:rsidP="00C624E0">
            <w:pPr>
              <w:pStyle w:val="TabletextLeft"/>
              <w:ind w:right="0"/>
              <w:mirrorIndents/>
              <w:rPr>
                <w:rFonts w:cs="Segoe UI Light"/>
              </w:rPr>
            </w:pPr>
            <w:r>
              <w:rPr>
                <w:rFonts w:cs="Segoe UI Light"/>
              </w:rPr>
              <w:t xml:space="preserve">Australian and New Zealand Standard </w:t>
            </w:r>
          </w:p>
        </w:tc>
      </w:tr>
      <w:tr w:rsidR="00C624E0" w:rsidRPr="002C378C" w14:paraId="656AFC12" w14:textId="77777777" w:rsidTr="00C624E0">
        <w:tc>
          <w:tcPr>
            <w:tcW w:w="2132" w:type="dxa"/>
          </w:tcPr>
          <w:p w14:paraId="656AFC10" w14:textId="77777777" w:rsidR="00C624E0" w:rsidRDefault="00C624E0" w:rsidP="00C624E0">
            <w:pPr>
              <w:pStyle w:val="TabletextLeft"/>
              <w:ind w:right="0"/>
              <w:mirrorIndents/>
              <w:rPr>
                <w:rFonts w:cs="Segoe UI Light"/>
              </w:rPr>
            </w:pPr>
            <w:r>
              <w:rPr>
                <w:rFonts w:cs="Segoe UI Light"/>
              </w:rPr>
              <w:t>AVSRs</w:t>
            </w:r>
          </w:p>
        </w:tc>
        <w:tc>
          <w:tcPr>
            <w:tcW w:w="4813" w:type="dxa"/>
          </w:tcPr>
          <w:p w14:paraId="656AFC11" w14:textId="77777777" w:rsidR="00C624E0" w:rsidRDefault="00C624E0" w:rsidP="00C624E0">
            <w:pPr>
              <w:pStyle w:val="TabletextLeft"/>
              <w:ind w:right="0"/>
              <w:mirrorIndents/>
              <w:rPr>
                <w:rFonts w:cs="Segoe UI Light"/>
              </w:rPr>
            </w:pPr>
            <w:r w:rsidRPr="00040A06">
              <w:rPr>
                <w:rFonts w:cs="Segoe UI Light"/>
              </w:rPr>
              <w:t>Australian Vehicle Standards Rules</w:t>
            </w:r>
          </w:p>
        </w:tc>
      </w:tr>
      <w:tr w:rsidR="00EC680C" w:rsidRPr="002C378C" w14:paraId="656AFC15" w14:textId="77777777" w:rsidTr="00C624E0">
        <w:tc>
          <w:tcPr>
            <w:tcW w:w="2132" w:type="dxa"/>
          </w:tcPr>
          <w:p w14:paraId="656AFC13" w14:textId="77777777" w:rsidR="00EC680C" w:rsidRDefault="00EC680C" w:rsidP="00C624E0">
            <w:pPr>
              <w:pStyle w:val="TabletextLeft"/>
              <w:ind w:right="0"/>
              <w:mirrorIndents/>
              <w:rPr>
                <w:rFonts w:cs="Segoe UI Light"/>
              </w:rPr>
            </w:pPr>
            <w:r>
              <w:rPr>
                <w:rFonts w:cs="Segoe UI Light"/>
                <w:lang w:eastAsia="ja-JP"/>
              </w:rPr>
              <w:t>BPEM</w:t>
            </w:r>
          </w:p>
        </w:tc>
        <w:tc>
          <w:tcPr>
            <w:tcW w:w="4813" w:type="dxa"/>
          </w:tcPr>
          <w:p w14:paraId="656AFC14" w14:textId="7A432962" w:rsidR="00EC680C" w:rsidRDefault="00EC680C" w:rsidP="00EC680C">
            <w:pPr>
              <w:pStyle w:val="TabletextLeft"/>
              <w:ind w:right="0"/>
              <w:mirrorIndents/>
              <w:rPr>
                <w:rFonts w:cs="Segoe UI Light"/>
              </w:rPr>
            </w:pPr>
            <w:r w:rsidRPr="00ED173F">
              <w:rPr>
                <w:rFonts w:cs="Segoe UI Light"/>
                <w:lang w:eastAsia="ja-JP"/>
              </w:rPr>
              <w:t>Best Practice Environment</w:t>
            </w:r>
            <w:r w:rsidR="00DF0273">
              <w:rPr>
                <w:rFonts w:cs="Segoe UI Light"/>
                <w:lang w:eastAsia="ja-JP"/>
              </w:rPr>
              <w:t>al</w:t>
            </w:r>
            <w:r w:rsidRPr="00ED173F">
              <w:rPr>
                <w:rFonts w:cs="Segoe UI Light"/>
                <w:lang w:eastAsia="ja-JP"/>
              </w:rPr>
              <w:t xml:space="preserve"> Management </w:t>
            </w:r>
          </w:p>
        </w:tc>
      </w:tr>
      <w:tr w:rsidR="00C624E0" w:rsidRPr="002C378C" w14:paraId="656AFC18" w14:textId="77777777" w:rsidTr="00C624E0">
        <w:tc>
          <w:tcPr>
            <w:tcW w:w="2132" w:type="dxa"/>
          </w:tcPr>
          <w:p w14:paraId="656AFC16" w14:textId="77777777" w:rsidR="00C624E0" w:rsidRDefault="00C624E0" w:rsidP="00C624E0">
            <w:pPr>
              <w:pStyle w:val="TabletextLeft"/>
              <w:ind w:right="0"/>
              <w:mirrorIndents/>
              <w:rPr>
                <w:rFonts w:cs="Segoe UI Light"/>
              </w:rPr>
            </w:pPr>
            <w:r>
              <w:rPr>
                <w:rFonts w:cs="Segoe UI Light"/>
              </w:rPr>
              <w:t>CBA</w:t>
            </w:r>
          </w:p>
        </w:tc>
        <w:tc>
          <w:tcPr>
            <w:tcW w:w="4813" w:type="dxa"/>
          </w:tcPr>
          <w:p w14:paraId="656AFC17" w14:textId="77777777" w:rsidR="00C624E0" w:rsidRPr="002C378C" w:rsidRDefault="00C624E0" w:rsidP="00C624E0">
            <w:pPr>
              <w:pStyle w:val="TabletextLeft"/>
              <w:ind w:right="0"/>
              <w:mirrorIndents/>
              <w:rPr>
                <w:rFonts w:cs="Segoe UI Light"/>
              </w:rPr>
            </w:pPr>
            <w:r>
              <w:rPr>
                <w:rFonts w:cs="Segoe UI Light"/>
              </w:rPr>
              <w:t>Cost benefit analysis</w:t>
            </w:r>
          </w:p>
        </w:tc>
      </w:tr>
      <w:tr w:rsidR="00C624E0" w:rsidRPr="002C378C" w14:paraId="656AFC1B" w14:textId="77777777" w:rsidTr="00C624E0">
        <w:tc>
          <w:tcPr>
            <w:tcW w:w="2132" w:type="dxa"/>
          </w:tcPr>
          <w:p w14:paraId="656AFC19" w14:textId="77777777" w:rsidR="00C624E0" w:rsidRDefault="00C624E0" w:rsidP="00C624E0">
            <w:pPr>
              <w:pStyle w:val="TabletextLeft"/>
              <w:ind w:right="0"/>
              <w:mirrorIndents/>
              <w:rPr>
                <w:rFonts w:cs="Segoe UI Light"/>
              </w:rPr>
            </w:pPr>
            <w:r>
              <w:rPr>
                <w:rFonts w:cs="Segoe UI Light"/>
              </w:rPr>
              <w:t>CC Act</w:t>
            </w:r>
          </w:p>
        </w:tc>
        <w:tc>
          <w:tcPr>
            <w:tcW w:w="4813" w:type="dxa"/>
          </w:tcPr>
          <w:p w14:paraId="656AFC1A" w14:textId="77777777" w:rsidR="00C624E0" w:rsidRPr="00E11EA5" w:rsidRDefault="00C624E0" w:rsidP="00C624E0">
            <w:pPr>
              <w:pStyle w:val="TabletextLeft"/>
              <w:ind w:right="0"/>
              <w:mirrorIndents/>
              <w:rPr>
                <w:rFonts w:cs="Segoe UI Light"/>
                <w:i/>
              </w:rPr>
            </w:pPr>
            <w:r w:rsidRPr="00E11EA5">
              <w:rPr>
                <w:rFonts w:cs="Segoe UI Light"/>
                <w:i/>
              </w:rPr>
              <w:t>Climate Change Act 2010</w:t>
            </w:r>
          </w:p>
        </w:tc>
      </w:tr>
      <w:tr w:rsidR="00C624E0" w:rsidRPr="002C378C" w14:paraId="656AFC1E" w14:textId="77777777" w:rsidTr="00C624E0">
        <w:tc>
          <w:tcPr>
            <w:tcW w:w="2132" w:type="dxa"/>
          </w:tcPr>
          <w:p w14:paraId="656AFC1C" w14:textId="77777777" w:rsidR="00C624E0" w:rsidRDefault="00C624E0" w:rsidP="00C624E0">
            <w:pPr>
              <w:pStyle w:val="TabletextLeft"/>
              <w:ind w:right="0"/>
              <w:mirrorIndents/>
              <w:rPr>
                <w:rFonts w:cs="Segoe UI Light"/>
              </w:rPr>
            </w:pPr>
            <w:r>
              <w:rPr>
                <w:rFonts w:cs="Segoe UI Light"/>
              </w:rPr>
              <w:t>CIT</w:t>
            </w:r>
          </w:p>
        </w:tc>
        <w:tc>
          <w:tcPr>
            <w:tcW w:w="4813" w:type="dxa"/>
          </w:tcPr>
          <w:p w14:paraId="656AFC1D" w14:textId="77777777" w:rsidR="00C624E0" w:rsidRDefault="00C624E0" w:rsidP="00C624E0">
            <w:pPr>
              <w:pStyle w:val="TabletextLeft"/>
              <w:ind w:right="0"/>
              <w:mirrorIndents/>
              <w:rPr>
                <w:rFonts w:cs="Segoe UI Light"/>
              </w:rPr>
            </w:pPr>
            <w:r>
              <w:rPr>
                <w:rFonts w:cs="Segoe UI Light"/>
              </w:rPr>
              <w:t>Commercial, industrial or trade (premises)</w:t>
            </w:r>
          </w:p>
        </w:tc>
      </w:tr>
      <w:tr w:rsidR="00C624E0" w:rsidRPr="002C378C" w14:paraId="656AFC21" w14:textId="77777777" w:rsidTr="00C624E0">
        <w:tc>
          <w:tcPr>
            <w:tcW w:w="2132" w:type="dxa"/>
          </w:tcPr>
          <w:p w14:paraId="656AFC1F" w14:textId="77777777" w:rsidR="00C624E0" w:rsidRDefault="00C624E0" w:rsidP="00C624E0">
            <w:pPr>
              <w:pStyle w:val="TabletextLeft"/>
              <w:ind w:right="0"/>
              <w:mirrorIndents/>
              <w:rPr>
                <w:rFonts w:cs="Segoe UI Light"/>
              </w:rPr>
            </w:pPr>
            <w:r>
              <w:rPr>
                <w:rFonts w:cs="Segoe UI Light"/>
              </w:rPr>
              <w:t>CO</w:t>
            </w:r>
          </w:p>
        </w:tc>
        <w:tc>
          <w:tcPr>
            <w:tcW w:w="4813" w:type="dxa"/>
          </w:tcPr>
          <w:p w14:paraId="656AFC20" w14:textId="77777777" w:rsidR="00C624E0" w:rsidRDefault="00C624E0" w:rsidP="00C624E0">
            <w:pPr>
              <w:pStyle w:val="TabletextLeft"/>
              <w:ind w:right="0"/>
              <w:mirrorIndents/>
              <w:rPr>
                <w:rFonts w:cs="Segoe UI Light"/>
              </w:rPr>
            </w:pPr>
            <w:r>
              <w:rPr>
                <w:rFonts w:cs="Segoe UI Light"/>
              </w:rPr>
              <w:t>Carbon monoxide</w:t>
            </w:r>
          </w:p>
        </w:tc>
      </w:tr>
      <w:tr w:rsidR="001676C7" w:rsidRPr="002C378C" w14:paraId="656AFC24" w14:textId="77777777" w:rsidTr="00C624E0">
        <w:tc>
          <w:tcPr>
            <w:tcW w:w="2132" w:type="dxa"/>
          </w:tcPr>
          <w:p w14:paraId="656AFC22" w14:textId="77777777" w:rsidR="001676C7" w:rsidRDefault="001676C7" w:rsidP="00C624E0">
            <w:pPr>
              <w:pStyle w:val="TabletextLeft"/>
              <w:ind w:right="0"/>
              <w:mirrorIndents/>
              <w:rPr>
                <w:rFonts w:cs="Segoe UI Light"/>
              </w:rPr>
            </w:pPr>
            <w:r>
              <w:rPr>
                <w:rFonts w:cs="Segoe UI Light"/>
              </w:rPr>
              <w:t>C&amp;D (waste)</w:t>
            </w:r>
          </w:p>
        </w:tc>
        <w:tc>
          <w:tcPr>
            <w:tcW w:w="4813" w:type="dxa"/>
          </w:tcPr>
          <w:p w14:paraId="656AFC23" w14:textId="77777777" w:rsidR="001676C7" w:rsidRDefault="001676C7" w:rsidP="00C624E0">
            <w:pPr>
              <w:pStyle w:val="TabletextLeft"/>
              <w:ind w:right="0"/>
              <w:mirrorIndents/>
              <w:rPr>
                <w:rFonts w:cs="Segoe UI Light"/>
              </w:rPr>
            </w:pPr>
            <w:r w:rsidRPr="0058441D">
              <w:rPr>
                <w:rFonts w:cs="Segoe UI Light"/>
                <w:szCs w:val="20"/>
              </w:rPr>
              <w:t>Construction and demolition waste</w:t>
            </w:r>
          </w:p>
        </w:tc>
      </w:tr>
      <w:tr w:rsidR="001676C7" w:rsidRPr="002C378C" w14:paraId="656AFC27" w14:textId="77777777" w:rsidTr="00C624E0">
        <w:tc>
          <w:tcPr>
            <w:tcW w:w="2132" w:type="dxa"/>
          </w:tcPr>
          <w:p w14:paraId="656AFC25" w14:textId="77777777" w:rsidR="001676C7" w:rsidRDefault="001676C7" w:rsidP="00C624E0">
            <w:pPr>
              <w:pStyle w:val="TabletextLeft"/>
              <w:ind w:right="0"/>
              <w:mirrorIndents/>
              <w:rPr>
                <w:rFonts w:cs="Segoe UI Light"/>
              </w:rPr>
            </w:pPr>
            <w:r>
              <w:rPr>
                <w:rFonts w:cs="Segoe UI Light"/>
              </w:rPr>
              <w:t>C&amp;I (waste)</w:t>
            </w:r>
          </w:p>
        </w:tc>
        <w:tc>
          <w:tcPr>
            <w:tcW w:w="4813" w:type="dxa"/>
          </w:tcPr>
          <w:p w14:paraId="656AFC26" w14:textId="77777777" w:rsidR="001676C7" w:rsidRDefault="001676C7" w:rsidP="00C624E0">
            <w:pPr>
              <w:pStyle w:val="TabletextLeft"/>
              <w:ind w:right="0"/>
              <w:mirrorIndents/>
              <w:rPr>
                <w:rFonts w:cs="Segoe UI Light"/>
              </w:rPr>
            </w:pPr>
            <w:r>
              <w:rPr>
                <w:rFonts w:cs="Segoe UI Light"/>
              </w:rPr>
              <w:t>Commercial and industrial waste</w:t>
            </w:r>
          </w:p>
        </w:tc>
      </w:tr>
      <w:tr w:rsidR="00C624E0" w:rsidRPr="002C378C" w14:paraId="656AFC2A" w14:textId="77777777" w:rsidTr="00C624E0">
        <w:tc>
          <w:tcPr>
            <w:tcW w:w="2132" w:type="dxa"/>
          </w:tcPr>
          <w:p w14:paraId="656AFC28" w14:textId="77777777" w:rsidR="00C624E0" w:rsidRDefault="00C624E0" w:rsidP="00C624E0">
            <w:pPr>
              <w:pStyle w:val="TabletextLeft"/>
              <w:ind w:right="0"/>
              <w:mirrorIndents/>
              <w:rPr>
                <w:rFonts w:cs="Segoe UI Light"/>
              </w:rPr>
            </w:pPr>
            <w:r>
              <w:rPr>
                <w:rFonts w:cs="Segoe UI Light"/>
              </w:rPr>
              <w:t>DELWP</w:t>
            </w:r>
          </w:p>
        </w:tc>
        <w:tc>
          <w:tcPr>
            <w:tcW w:w="4813" w:type="dxa"/>
          </w:tcPr>
          <w:p w14:paraId="656AFC29" w14:textId="77777777" w:rsidR="00C624E0" w:rsidRDefault="00C624E0" w:rsidP="00C624E0">
            <w:pPr>
              <w:pStyle w:val="TabletextLeft"/>
              <w:ind w:right="0"/>
              <w:mirrorIndents/>
              <w:rPr>
                <w:rFonts w:cs="Segoe UI Light"/>
              </w:rPr>
            </w:pPr>
            <w:r>
              <w:rPr>
                <w:rFonts w:cs="Segoe UI Light"/>
              </w:rPr>
              <w:t>Department of Environment, Land, Water, and Planning</w:t>
            </w:r>
          </w:p>
        </w:tc>
      </w:tr>
      <w:tr w:rsidR="00C624E0" w:rsidRPr="002C378C" w14:paraId="656AFC2D" w14:textId="77777777" w:rsidTr="00C624E0">
        <w:tc>
          <w:tcPr>
            <w:tcW w:w="2132" w:type="dxa"/>
          </w:tcPr>
          <w:p w14:paraId="656AFC2B" w14:textId="77777777" w:rsidR="00C624E0" w:rsidRDefault="00C624E0" w:rsidP="00C624E0">
            <w:pPr>
              <w:pStyle w:val="TabletextLeft"/>
              <w:ind w:right="0"/>
              <w:mirrorIndents/>
              <w:rPr>
                <w:rFonts w:cs="Segoe UI Light"/>
              </w:rPr>
            </w:pPr>
            <w:r>
              <w:rPr>
                <w:rFonts w:cs="Segoe UI Light"/>
              </w:rPr>
              <w:t>DHHS</w:t>
            </w:r>
          </w:p>
        </w:tc>
        <w:tc>
          <w:tcPr>
            <w:tcW w:w="4813" w:type="dxa"/>
          </w:tcPr>
          <w:p w14:paraId="656AFC2C" w14:textId="77777777" w:rsidR="00C624E0" w:rsidRDefault="00C624E0" w:rsidP="00C624E0">
            <w:pPr>
              <w:pStyle w:val="TabletextLeft"/>
              <w:ind w:right="0"/>
              <w:mirrorIndents/>
              <w:rPr>
                <w:rFonts w:cs="Segoe UI Light"/>
              </w:rPr>
            </w:pPr>
            <w:r>
              <w:rPr>
                <w:rFonts w:cs="Segoe UI Light"/>
              </w:rPr>
              <w:t>Department of Health and Human Services</w:t>
            </w:r>
          </w:p>
        </w:tc>
      </w:tr>
      <w:tr w:rsidR="00C624E0" w:rsidRPr="002C378C" w14:paraId="656AFC30" w14:textId="77777777" w:rsidTr="00C624E0">
        <w:tc>
          <w:tcPr>
            <w:tcW w:w="2132" w:type="dxa"/>
          </w:tcPr>
          <w:p w14:paraId="656AFC2E" w14:textId="77777777" w:rsidR="00C624E0" w:rsidRDefault="00C624E0" w:rsidP="00C624E0">
            <w:pPr>
              <w:pStyle w:val="TabletextLeft"/>
              <w:ind w:right="0"/>
              <w:mirrorIndents/>
              <w:rPr>
                <w:rFonts w:cs="Segoe UI Light"/>
              </w:rPr>
            </w:pPr>
            <w:r w:rsidRPr="00B70E30">
              <w:rPr>
                <w:rFonts w:cs="Segoe UI Light"/>
                <w:szCs w:val="20"/>
              </w:rPr>
              <w:t>DJPR</w:t>
            </w:r>
          </w:p>
        </w:tc>
        <w:tc>
          <w:tcPr>
            <w:tcW w:w="4813" w:type="dxa"/>
          </w:tcPr>
          <w:p w14:paraId="656AFC2F" w14:textId="77777777" w:rsidR="00C624E0" w:rsidRDefault="00C624E0" w:rsidP="00C624E0">
            <w:pPr>
              <w:pStyle w:val="TabletextLeft"/>
              <w:ind w:right="0"/>
              <w:mirrorIndents/>
              <w:rPr>
                <w:rFonts w:cs="Segoe UI Light"/>
              </w:rPr>
            </w:pPr>
            <w:r>
              <w:rPr>
                <w:rFonts w:cs="Segoe UI Light"/>
              </w:rPr>
              <w:t>Department of Jobs, Precincts and Regions</w:t>
            </w:r>
          </w:p>
        </w:tc>
      </w:tr>
      <w:tr w:rsidR="00C624E0" w:rsidRPr="002C378C" w14:paraId="656AFC33" w14:textId="77777777" w:rsidTr="00C624E0">
        <w:tc>
          <w:tcPr>
            <w:tcW w:w="2132" w:type="dxa"/>
          </w:tcPr>
          <w:p w14:paraId="656AFC31" w14:textId="77777777" w:rsidR="00C624E0" w:rsidRDefault="00C624E0" w:rsidP="00C624E0">
            <w:pPr>
              <w:pStyle w:val="TabletextLeft"/>
              <w:ind w:right="0"/>
              <w:mirrorIndents/>
              <w:rPr>
                <w:rFonts w:cs="Segoe UI Light"/>
              </w:rPr>
            </w:pPr>
            <w:r>
              <w:rPr>
                <w:rFonts w:cs="Segoe UI Light"/>
              </w:rPr>
              <w:t>DWMP</w:t>
            </w:r>
          </w:p>
        </w:tc>
        <w:tc>
          <w:tcPr>
            <w:tcW w:w="4813" w:type="dxa"/>
          </w:tcPr>
          <w:p w14:paraId="656AFC32" w14:textId="77777777" w:rsidR="00C624E0" w:rsidRDefault="00C624E0" w:rsidP="00C624E0">
            <w:pPr>
              <w:pStyle w:val="TabletextLeft"/>
              <w:ind w:right="0"/>
              <w:mirrorIndents/>
            </w:pPr>
            <w:r>
              <w:rPr>
                <w:rFonts w:eastAsiaTheme="majorEastAsia" w:cs="Arial"/>
                <w:color w:val="000000" w:themeColor="text1"/>
              </w:rPr>
              <w:t>Domestic wastewater management plan</w:t>
            </w:r>
          </w:p>
        </w:tc>
      </w:tr>
      <w:tr w:rsidR="00C624E0" w:rsidRPr="002C378C" w14:paraId="656AFC36" w14:textId="77777777" w:rsidTr="00C624E0">
        <w:tc>
          <w:tcPr>
            <w:tcW w:w="2132" w:type="dxa"/>
          </w:tcPr>
          <w:p w14:paraId="656AFC34" w14:textId="77777777" w:rsidR="00C624E0" w:rsidRDefault="00C624E0" w:rsidP="00C624E0">
            <w:pPr>
              <w:pStyle w:val="TabletextLeft"/>
              <w:ind w:right="0"/>
              <w:mirrorIndents/>
              <w:rPr>
                <w:rFonts w:cs="Segoe UI Light"/>
              </w:rPr>
            </w:pPr>
            <w:r>
              <w:rPr>
                <w:rFonts w:cs="Segoe UI Light"/>
              </w:rPr>
              <w:t>DoU</w:t>
            </w:r>
          </w:p>
        </w:tc>
        <w:tc>
          <w:tcPr>
            <w:tcW w:w="4813" w:type="dxa"/>
          </w:tcPr>
          <w:p w14:paraId="656AFC35" w14:textId="77777777" w:rsidR="00C624E0" w:rsidRDefault="00C624E0" w:rsidP="00C624E0">
            <w:pPr>
              <w:pStyle w:val="TabletextLeft"/>
              <w:ind w:right="0"/>
              <w:mirrorIndents/>
              <w:rPr>
                <w:rFonts w:cs="Segoe UI Light"/>
              </w:rPr>
            </w:pPr>
            <w:r>
              <w:t>Declaration of Use</w:t>
            </w:r>
          </w:p>
        </w:tc>
      </w:tr>
      <w:tr w:rsidR="00C624E0" w:rsidRPr="002C378C" w14:paraId="656AFC39" w14:textId="77777777" w:rsidTr="00C624E0">
        <w:tc>
          <w:tcPr>
            <w:tcW w:w="2132" w:type="dxa"/>
          </w:tcPr>
          <w:p w14:paraId="656AFC37" w14:textId="77777777" w:rsidR="00C624E0" w:rsidRDefault="00C624E0" w:rsidP="00C624E0">
            <w:pPr>
              <w:pStyle w:val="TabletextLeft"/>
              <w:ind w:right="0"/>
              <w:mirrorIndents/>
              <w:rPr>
                <w:rFonts w:cs="Segoe UI Light"/>
              </w:rPr>
            </w:pPr>
            <w:r>
              <w:rPr>
                <w:rFonts w:cs="Segoe UI Light"/>
              </w:rPr>
              <w:t>EIP</w:t>
            </w:r>
          </w:p>
        </w:tc>
        <w:tc>
          <w:tcPr>
            <w:tcW w:w="4813" w:type="dxa"/>
          </w:tcPr>
          <w:p w14:paraId="656AFC38" w14:textId="77777777" w:rsidR="00C624E0" w:rsidRDefault="00C624E0" w:rsidP="00C624E0">
            <w:pPr>
              <w:pStyle w:val="TabletextLeft"/>
              <w:ind w:right="0"/>
              <w:mirrorIndents/>
              <w:rPr>
                <w:rFonts w:cs="Segoe UI Light"/>
              </w:rPr>
            </w:pPr>
            <w:r w:rsidRPr="00DE1A33">
              <w:t xml:space="preserve">Environment Improvement Plan </w:t>
            </w:r>
          </w:p>
        </w:tc>
      </w:tr>
      <w:tr w:rsidR="00C624E0" w:rsidRPr="002C378C" w14:paraId="656AFC3C" w14:textId="77777777" w:rsidTr="00C624E0">
        <w:tc>
          <w:tcPr>
            <w:tcW w:w="2132" w:type="dxa"/>
          </w:tcPr>
          <w:p w14:paraId="656AFC3A" w14:textId="77777777" w:rsidR="00C624E0" w:rsidRPr="002C378C" w:rsidRDefault="00C624E0" w:rsidP="00C624E0">
            <w:pPr>
              <w:pStyle w:val="TabletextLeft"/>
              <w:ind w:right="0"/>
              <w:mirrorIndents/>
              <w:rPr>
                <w:rFonts w:cs="Segoe UI Light"/>
              </w:rPr>
            </w:pPr>
            <w:r>
              <w:rPr>
                <w:rFonts w:cs="Segoe UI Light"/>
              </w:rPr>
              <w:t>EPA</w:t>
            </w:r>
          </w:p>
        </w:tc>
        <w:tc>
          <w:tcPr>
            <w:tcW w:w="4813" w:type="dxa"/>
          </w:tcPr>
          <w:p w14:paraId="656AFC3B" w14:textId="77777777" w:rsidR="00C624E0" w:rsidRPr="002C378C" w:rsidRDefault="00C624E0" w:rsidP="00C624E0">
            <w:pPr>
              <w:pStyle w:val="TabletextLeft"/>
              <w:ind w:right="0"/>
              <w:mirrorIndents/>
              <w:rPr>
                <w:rFonts w:cs="Segoe UI Light"/>
              </w:rPr>
            </w:pPr>
            <w:r>
              <w:rPr>
                <w:rFonts w:cs="Segoe UI Light"/>
              </w:rPr>
              <w:t>Environment Protection Authority Victoria</w:t>
            </w:r>
          </w:p>
        </w:tc>
      </w:tr>
      <w:tr w:rsidR="00C624E0" w:rsidRPr="002C378C" w14:paraId="656AFC3F" w14:textId="77777777" w:rsidTr="00C624E0">
        <w:tc>
          <w:tcPr>
            <w:tcW w:w="2132" w:type="dxa"/>
          </w:tcPr>
          <w:p w14:paraId="656AFC3D" w14:textId="77777777" w:rsidR="00C624E0" w:rsidRDefault="00C624E0" w:rsidP="00C624E0">
            <w:pPr>
              <w:pStyle w:val="TabletextLeft"/>
              <w:ind w:right="0"/>
              <w:mirrorIndents/>
              <w:rPr>
                <w:rFonts w:cs="Segoe UI Light"/>
              </w:rPr>
            </w:pPr>
            <w:r>
              <w:rPr>
                <w:rFonts w:cs="Segoe UI Light"/>
              </w:rPr>
              <w:t>EP Act 1970</w:t>
            </w:r>
          </w:p>
        </w:tc>
        <w:tc>
          <w:tcPr>
            <w:tcW w:w="4813" w:type="dxa"/>
          </w:tcPr>
          <w:p w14:paraId="656AFC3E" w14:textId="77777777" w:rsidR="00C624E0" w:rsidRPr="00ED173F" w:rsidRDefault="00C624E0" w:rsidP="00C624E0">
            <w:pPr>
              <w:pStyle w:val="TabletextLeft"/>
              <w:ind w:right="0"/>
              <w:mirrorIndents/>
              <w:rPr>
                <w:rFonts w:cs="Segoe UI Light"/>
                <w:i/>
              </w:rPr>
            </w:pPr>
            <w:r w:rsidRPr="00ED173F">
              <w:rPr>
                <w:rFonts w:cs="Segoe UI Light"/>
                <w:i/>
              </w:rPr>
              <w:t>Environment Protection Act 1970</w:t>
            </w:r>
          </w:p>
        </w:tc>
      </w:tr>
      <w:tr w:rsidR="00C624E0" w:rsidRPr="002C378C" w14:paraId="656AFC42" w14:textId="77777777" w:rsidTr="00C624E0">
        <w:tc>
          <w:tcPr>
            <w:tcW w:w="2132" w:type="dxa"/>
          </w:tcPr>
          <w:p w14:paraId="656AFC40" w14:textId="77777777" w:rsidR="00C624E0" w:rsidRDefault="00C624E0" w:rsidP="00C624E0">
            <w:pPr>
              <w:pStyle w:val="TabletextLeft"/>
              <w:ind w:right="0"/>
              <w:mirrorIndents/>
              <w:rPr>
                <w:rFonts w:cs="Segoe UI Light"/>
              </w:rPr>
            </w:pPr>
            <w:r>
              <w:rPr>
                <w:rFonts w:cs="Segoe UI Light"/>
              </w:rPr>
              <w:t>EP Act 2017</w:t>
            </w:r>
          </w:p>
        </w:tc>
        <w:tc>
          <w:tcPr>
            <w:tcW w:w="4813" w:type="dxa"/>
          </w:tcPr>
          <w:p w14:paraId="656AFC41" w14:textId="77777777" w:rsidR="00C624E0" w:rsidRPr="00ED173F" w:rsidRDefault="00C624E0" w:rsidP="00C624E0">
            <w:pPr>
              <w:pStyle w:val="TabletextLeft"/>
              <w:ind w:right="0"/>
              <w:mirrorIndents/>
              <w:rPr>
                <w:rFonts w:cs="Segoe UI Light"/>
                <w:i/>
              </w:rPr>
            </w:pPr>
            <w:r w:rsidRPr="00ED173F">
              <w:rPr>
                <w:rFonts w:cs="Segoe UI Light"/>
                <w:i/>
              </w:rPr>
              <w:t>Environment Protection Act 2017</w:t>
            </w:r>
          </w:p>
        </w:tc>
      </w:tr>
      <w:tr w:rsidR="00C624E0" w:rsidRPr="002C378C" w14:paraId="656AFC45" w14:textId="77777777" w:rsidTr="00C624E0">
        <w:tc>
          <w:tcPr>
            <w:tcW w:w="2132" w:type="dxa"/>
          </w:tcPr>
          <w:p w14:paraId="656AFC43" w14:textId="77777777" w:rsidR="00C624E0" w:rsidRDefault="00C624E0" w:rsidP="00C624E0">
            <w:pPr>
              <w:pStyle w:val="TabletextLeft"/>
              <w:ind w:right="0"/>
              <w:mirrorIndents/>
            </w:pPr>
            <w:r>
              <w:t>EP Amendment Act 2018</w:t>
            </w:r>
          </w:p>
        </w:tc>
        <w:tc>
          <w:tcPr>
            <w:tcW w:w="4813" w:type="dxa"/>
          </w:tcPr>
          <w:p w14:paraId="656AFC44" w14:textId="77777777" w:rsidR="00C624E0" w:rsidRPr="00ED173F" w:rsidRDefault="00C624E0" w:rsidP="00C624E0">
            <w:pPr>
              <w:pStyle w:val="TabletextLeft"/>
              <w:ind w:right="0"/>
              <w:mirrorIndents/>
              <w:rPr>
                <w:i/>
              </w:rPr>
            </w:pPr>
            <w:r w:rsidRPr="00ED173F">
              <w:rPr>
                <w:i/>
              </w:rPr>
              <w:t>Environment Protection Amendment Act 2018</w:t>
            </w:r>
          </w:p>
        </w:tc>
      </w:tr>
      <w:tr w:rsidR="00C624E0" w:rsidRPr="002C378C" w14:paraId="656AFC48" w14:textId="77777777" w:rsidTr="00C624E0">
        <w:tc>
          <w:tcPr>
            <w:tcW w:w="2132" w:type="dxa"/>
          </w:tcPr>
          <w:p w14:paraId="656AFC46" w14:textId="77777777" w:rsidR="00C624E0" w:rsidRDefault="00C624E0" w:rsidP="007941FA">
            <w:pPr>
              <w:pStyle w:val="TabletextLeft"/>
              <w:ind w:right="0"/>
              <w:mirrorIndents/>
            </w:pPr>
            <w:r>
              <w:rPr>
                <w:rFonts w:cs="Segoe UI Light"/>
                <w:szCs w:val="20"/>
              </w:rPr>
              <w:t>EP (Fees) Regulations 2012</w:t>
            </w:r>
          </w:p>
        </w:tc>
        <w:tc>
          <w:tcPr>
            <w:tcW w:w="4813" w:type="dxa"/>
          </w:tcPr>
          <w:p w14:paraId="656AFC47" w14:textId="77777777" w:rsidR="00C624E0" w:rsidRPr="007D4AD7" w:rsidRDefault="00C624E0" w:rsidP="00C624E0">
            <w:pPr>
              <w:pStyle w:val="TabletextLeft"/>
              <w:ind w:right="0"/>
              <w:mirrorIndents/>
            </w:pPr>
            <w:r w:rsidRPr="00920425">
              <w:rPr>
                <w:rFonts w:cs="Segoe UI Light"/>
                <w:i/>
                <w:szCs w:val="20"/>
              </w:rPr>
              <w:t>Environment Protection (Fees) Regulations 2012</w:t>
            </w:r>
            <w:r>
              <w:rPr>
                <w:rFonts w:cs="Segoe UI Light"/>
                <w:i/>
                <w:szCs w:val="20"/>
              </w:rPr>
              <w:t xml:space="preserve"> </w:t>
            </w:r>
          </w:p>
        </w:tc>
      </w:tr>
      <w:tr w:rsidR="00C624E0" w:rsidRPr="002C378C" w14:paraId="656AFC4B" w14:textId="77777777" w:rsidTr="00C624E0">
        <w:tc>
          <w:tcPr>
            <w:tcW w:w="2132" w:type="dxa"/>
          </w:tcPr>
          <w:p w14:paraId="656AFC49" w14:textId="77777777" w:rsidR="00C624E0" w:rsidRDefault="00C624E0" w:rsidP="00C624E0">
            <w:pPr>
              <w:pStyle w:val="TabletextLeft"/>
              <w:ind w:right="0"/>
              <w:mirrorIndents/>
              <w:rPr>
                <w:rFonts w:cs="Segoe UI Light"/>
              </w:rPr>
            </w:pPr>
            <w:r>
              <w:t>EPA </w:t>
            </w:r>
            <w:r w:rsidRPr="007D4AD7">
              <w:t>Inquiry</w:t>
            </w:r>
          </w:p>
        </w:tc>
        <w:tc>
          <w:tcPr>
            <w:tcW w:w="4813" w:type="dxa"/>
          </w:tcPr>
          <w:p w14:paraId="656AFC4A" w14:textId="77777777" w:rsidR="00C624E0" w:rsidRDefault="00C624E0" w:rsidP="00C624E0">
            <w:pPr>
              <w:pStyle w:val="TabletextLeft"/>
              <w:ind w:right="0"/>
              <w:mirrorIndents/>
              <w:rPr>
                <w:rFonts w:cs="Segoe UI Light"/>
              </w:rPr>
            </w:pPr>
            <w:r w:rsidRPr="007D4AD7">
              <w:t>Ministeria</w:t>
            </w:r>
            <w:r>
              <w:t>l Advisory Committee’s Independent I</w:t>
            </w:r>
            <w:r w:rsidRPr="007D4AD7">
              <w:t>nquiry into the EPA</w:t>
            </w:r>
          </w:p>
        </w:tc>
      </w:tr>
      <w:tr w:rsidR="00C624E0" w:rsidRPr="002C378C" w14:paraId="656AFC4E" w14:textId="77777777" w:rsidTr="00C624E0">
        <w:tc>
          <w:tcPr>
            <w:tcW w:w="2132" w:type="dxa"/>
          </w:tcPr>
          <w:p w14:paraId="656AFC4C" w14:textId="77777777" w:rsidR="00C624E0" w:rsidRDefault="00C624E0" w:rsidP="00C624E0">
            <w:pPr>
              <w:pStyle w:val="TabletextLeft"/>
              <w:ind w:right="0"/>
              <w:mirrorIndents/>
            </w:pPr>
            <w:r>
              <w:t>ERS</w:t>
            </w:r>
          </w:p>
        </w:tc>
        <w:tc>
          <w:tcPr>
            <w:tcW w:w="4813" w:type="dxa"/>
          </w:tcPr>
          <w:p w14:paraId="656AFC4D" w14:textId="67DB81F5" w:rsidR="00C624E0" w:rsidRPr="007D4AD7" w:rsidRDefault="00C624E0" w:rsidP="00C624E0">
            <w:pPr>
              <w:pStyle w:val="TabletextLeft"/>
              <w:ind w:right="0"/>
              <w:mirrorIndents/>
            </w:pPr>
            <w:r>
              <w:t>Environment Reference Standard</w:t>
            </w:r>
          </w:p>
        </w:tc>
      </w:tr>
      <w:tr w:rsidR="00C624E0" w:rsidRPr="002C378C" w14:paraId="656AFC51" w14:textId="77777777" w:rsidTr="00C624E0">
        <w:tc>
          <w:tcPr>
            <w:tcW w:w="2132" w:type="dxa"/>
          </w:tcPr>
          <w:p w14:paraId="656AFC4F" w14:textId="77777777" w:rsidR="00C624E0" w:rsidRDefault="00C624E0" w:rsidP="00C624E0">
            <w:pPr>
              <w:pStyle w:val="TabletextLeft"/>
              <w:ind w:right="0"/>
              <w:mirrorIndents/>
              <w:rPr>
                <w:rFonts w:cs="Segoe UI Light"/>
              </w:rPr>
            </w:pPr>
            <w:r>
              <w:rPr>
                <w:rFonts w:cs="Segoe UI Light"/>
              </w:rPr>
              <w:t>GED</w:t>
            </w:r>
          </w:p>
        </w:tc>
        <w:tc>
          <w:tcPr>
            <w:tcW w:w="4813" w:type="dxa"/>
          </w:tcPr>
          <w:p w14:paraId="656AFC50" w14:textId="77777777" w:rsidR="00C624E0" w:rsidRDefault="00C624E0" w:rsidP="00C624E0">
            <w:pPr>
              <w:pStyle w:val="TabletextLeft"/>
              <w:ind w:right="0"/>
              <w:mirrorIndents/>
              <w:rPr>
                <w:rFonts w:cs="Segoe UI Light"/>
              </w:rPr>
            </w:pPr>
            <w:r>
              <w:rPr>
                <w:rFonts w:cs="Segoe UI Light"/>
              </w:rPr>
              <w:t>General environmental duty</w:t>
            </w:r>
          </w:p>
        </w:tc>
      </w:tr>
      <w:tr w:rsidR="00C624E0" w:rsidRPr="002C378C" w14:paraId="656AFC54" w14:textId="77777777" w:rsidTr="00C624E0">
        <w:tc>
          <w:tcPr>
            <w:tcW w:w="2132" w:type="dxa"/>
          </w:tcPr>
          <w:p w14:paraId="656AFC52" w14:textId="77777777" w:rsidR="00C624E0" w:rsidRDefault="00C624E0" w:rsidP="00C624E0">
            <w:pPr>
              <w:pStyle w:val="TabletextLeft"/>
              <w:ind w:right="0"/>
              <w:mirrorIndents/>
              <w:rPr>
                <w:rFonts w:cs="Segoe UI Light"/>
              </w:rPr>
            </w:pPr>
            <w:r>
              <w:rPr>
                <w:rFonts w:cs="Segoe UI Light"/>
              </w:rPr>
              <w:t>HCs</w:t>
            </w:r>
          </w:p>
        </w:tc>
        <w:tc>
          <w:tcPr>
            <w:tcW w:w="4813" w:type="dxa"/>
          </w:tcPr>
          <w:p w14:paraId="656AFC53" w14:textId="77777777" w:rsidR="00C624E0" w:rsidRDefault="00C624E0" w:rsidP="00C624E0">
            <w:pPr>
              <w:pStyle w:val="TabletextLeft"/>
              <w:ind w:right="0"/>
              <w:mirrorIndents/>
              <w:rPr>
                <w:rFonts w:cs="Segoe UI Light"/>
              </w:rPr>
            </w:pPr>
            <w:r>
              <w:rPr>
                <w:rFonts w:cs="Segoe UI Light"/>
              </w:rPr>
              <w:t>Hydrocarbons</w:t>
            </w:r>
          </w:p>
        </w:tc>
      </w:tr>
      <w:tr w:rsidR="001676C7" w:rsidRPr="002C378C" w:rsidDel="007901B3" w14:paraId="656AFC57" w14:textId="77777777" w:rsidTr="00C624E0">
        <w:tc>
          <w:tcPr>
            <w:tcW w:w="2132" w:type="dxa"/>
          </w:tcPr>
          <w:p w14:paraId="656AFC55" w14:textId="77777777" w:rsidR="001676C7" w:rsidRDefault="001676C7" w:rsidP="00C624E0">
            <w:pPr>
              <w:pStyle w:val="TabletextLeft"/>
              <w:ind w:right="0"/>
              <w:mirrorIndents/>
            </w:pPr>
            <w:r>
              <w:t>ICAC</w:t>
            </w:r>
          </w:p>
        </w:tc>
        <w:tc>
          <w:tcPr>
            <w:tcW w:w="4813" w:type="dxa"/>
          </w:tcPr>
          <w:p w14:paraId="656AFC56" w14:textId="77777777" w:rsidR="001676C7" w:rsidRDefault="001676C7" w:rsidP="00C624E0">
            <w:pPr>
              <w:pStyle w:val="TabletextLeft"/>
              <w:ind w:right="0"/>
              <w:mirrorIndents/>
              <w:rPr>
                <w:rFonts w:cs="Segoe UI Light"/>
                <w:szCs w:val="20"/>
              </w:rPr>
            </w:pPr>
            <w:r>
              <w:t>NSW Independent Commission Against Corruption</w:t>
            </w:r>
          </w:p>
        </w:tc>
      </w:tr>
      <w:tr w:rsidR="000730C7" w:rsidRPr="002C378C" w:rsidDel="007901B3" w14:paraId="656AFC5A" w14:textId="77777777" w:rsidTr="00C624E0">
        <w:tc>
          <w:tcPr>
            <w:tcW w:w="2132" w:type="dxa"/>
          </w:tcPr>
          <w:p w14:paraId="656AFC58" w14:textId="77777777" w:rsidR="000730C7" w:rsidRDefault="000730C7" w:rsidP="00C624E0">
            <w:pPr>
              <w:pStyle w:val="TabletextLeft"/>
              <w:ind w:right="0"/>
              <w:mirrorIndents/>
            </w:pPr>
            <w:r>
              <w:t>IWMP</w:t>
            </w:r>
          </w:p>
        </w:tc>
        <w:tc>
          <w:tcPr>
            <w:tcW w:w="4813" w:type="dxa"/>
          </w:tcPr>
          <w:p w14:paraId="656AFC59" w14:textId="77777777" w:rsidR="000730C7" w:rsidRPr="00FD526C" w:rsidRDefault="000730C7" w:rsidP="00C624E0">
            <w:pPr>
              <w:pStyle w:val="TabletextLeft"/>
              <w:ind w:right="0"/>
              <w:mirrorIndents/>
              <w:rPr>
                <w:rFonts w:cs="Segoe UI Light"/>
                <w:szCs w:val="20"/>
              </w:rPr>
            </w:pPr>
            <w:r>
              <w:rPr>
                <w:rFonts w:cs="Segoe UI Light"/>
                <w:szCs w:val="20"/>
              </w:rPr>
              <w:t>Industrial Waste Management Policy</w:t>
            </w:r>
          </w:p>
        </w:tc>
      </w:tr>
      <w:tr w:rsidR="00C624E0" w:rsidRPr="002C378C" w:rsidDel="007901B3" w14:paraId="656AFC5D" w14:textId="77777777" w:rsidTr="00C624E0">
        <w:tc>
          <w:tcPr>
            <w:tcW w:w="2132" w:type="dxa"/>
          </w:tcPr>
          <w:p w14:paraId="656AFC5B" w14:textId="77777777" w:rsidR="00C624E0" w:rsidDel="007901B3" w:rsidRDefault="00C624E0" w:rsidP="00C624E0">
            <w:pPr>
              <w:pStyle w:val="TabletextLeft"/>
              <w:ind w:right="0"/>
              <w:mirrorIndents/>
            </w:pPr>
            <w:r>
              <w:t>MAC</w:t>
            </w:r>
          </w:p>
        </w:tc>
        <w:tc>
          <w:tcPr>
            <w:tcW w:w="4813" w:type="dxa"/>
          </w:tcPr>
          <w:p w14:paraId="656AFC5C" w14:textId="77777777" w:rsidR="00C624E0" w:rsidDel="007901B3" w:rsidRDefault="00C624E0" w:rsidP="00C624E0">
            <w:pPr>
              <w:pStyle w:val="TabletextLeft"/>
              <w:ind w:right="0"/>
              <w:mirrorIndents/>
            </w:pPr>
            <w:r w:rsidRPr="00FD526C">
              <w:rPr>
                <w:rFonts w:cs="Segoe UI Light"/>
                <w:szCs w:val="20"/>
              </w:rPr>
              <w:t>Ministerial Advisory Committee</w:t>
            </w:r>
          </w:p>
        </w:tc>
      </w:tr>
      <w:tr w:rsidR="00C624E0" w:rsidRPr="002C378C" w14:paraId="656AFC60" w14:textId="77777777" w:rsidTr="00C624E0">
        <w:tc>
          <w:tcPr>
            <w:tcW w:w="2132" w:type="dxa"/>
          </w:tcPr>
          <w:p w14:paraId="656AFC5E" w14:textId="77777777" w:rsidR="00C624E0" w:rsidRDefault="00C624E0" w:rsidP="00C624E0">
            <w:pPr>
              <w:pStyle w:val="TabletextLeft"/>
              <w:ind w:right="0"/>
              <w:mirrorIndents/>
              <w:rPr>
                <w:rFonts w:cs="Segoe UI Light"/>
              </w:rPr>
            </w:pPr>
            <w:r>
              <w:rPr>
                <w:rFonts w:cs="Segoe UI Light"/>
              </w:rPr>
              <w:t>MCA</w:t>
            </w:r>
          </w:p>
        </w:tc>
        <w:tc>
          <w:tcPr>
            <w:tcW w:w="4813" w:type="dxa"/>
          </w:tcPr>
          <w:p w14:paraId="656AFC5F" w14:textId="77777777" w:rsidR="00C624E0" w:rsidRDefault="00C624E0" w:rsidP="00C624E0">
            <w:pPr>
              <w:pStyle w:val="TabletextLeft"/>
              <w:ind w:right="0"/>
              <w:mirrorIndents/>
              <w:rPr>
                <w:rFonts w:cs="Segoe UI Light"/>
              </w:rPr>
            </w:pPr>
            <w:r>
              <w:rPr>
                <w:rFonts w:cs="Segoe UI Light"/>
              </w:rPr>
              <w:t>Multi criteria analysis</w:t>
            </w:r>
          </w:p>
        </w:tc>
      </w:tr>
      <w:tr w:rsidR="001676C7" w:rsidRPr="002C378C" w14:paraId="656AFC63" w14:textId="77777777" w:rsidTr="00C624E0">
        <w:tc>
          <w:tcPr>
            <w:tcW w:w="2132" w:type="dxa"/>
          </w:tcPr>
          <w:p w14:paraId="656AFC61" w14:textId="77777777" w:rsidR="001676C7" w:rsidRDefault="001676C7" w:rsidP="00C624E0">
            <w:pPr>
              <w:pStyle w:val="TabletextLeft"/>
              <w:ind w:right="0"/>
              <w:mirrorIndents/>
              <w:rPr>
                <w:rFonts w:cs="Segoe UI Light"/>
              </w:rPr>
            </w:pPr>
            <w:r>
              <w:rPr>
                <w:rFonts w:cs="Segoe UI Light"/>
              </w:rPr>
              <w:t>MSW</w:t>
            </w:r>
          </w:p>
        </w:tc>
        <w:tc>
          <w:tcPr>
            <w:tcW w:w="4813" w:type="dxa"/>
          </w:tcPr>
          <w:p w14:paraId="656AFC62" w14:textId="77777777" w:rsidR="001676C7" w:rsidRDefault="001676C7" w:rsidP="00C624E0">
            <w:pPr>
              <w:pStyle w:val="TabletextLeft"/>
              <w:ind w:right="0"/>
              <w:mirrorIndents/>
              <w:rPr>
                <w:rFonts w:cs="Segoe UI Light"/>
              </w:rPr>
            </w:pPr>
            <w:r>
              <w:rPr>
                <w:rFonts w:cs="Segoe UI Light"/>
              </w:rPr>
              <w:t>Municipal solid waste</w:t>
            </w:r>
          </w:p>
        </w:tc>
      </w:tr>
      <w:tr w:rsidR="00C624E0" w:rsidRPr="002C378C" w14:paraId="656AFC66" w14:textId="77777777" w:rsidTr="00C624E0">
        <w:tc>
          <w:tcPr>
            <w:tcW w:w="2132" w:type="dxa"/>
          </w:tcPr>
          <w:p w14:paraId="656AFC64" w14:textId="77777777" w:rsidR="00C624E0" w:rsidRDefault="00C624E0" w:rsidP="00C624E0">
            <w:pPr>
              <w:pStyle w:val="TabletextLeft"/>
              <w:ind w:right="0"/>
              <w:mirrorIndents/>
              <w:rPr>
                <w:rFonts w:cs="Segoe UI Light"/>
              </w:rPr>
            </w:pPr>
            <w:r>
              <w:rPr>
                <w:rFonts w:cs="Segoe UI Light"/>
              </w:rPr>
              <w:t>NAPL</w:t>
            </w:r>
          </w:p>
        </w:tc>
        <w:tc>
          <w:tcPr>
            <w:tcW w:w="4813" w:type="dxa"/>
          </w:tcPr>
          <w:p w14:paraId="656AFC65" w14:textId="77777777" w:rsidR="00C624E0" w:rsidRDefault="00C624E0" w:rsidP="00C624E0">
            <w:pPr>
              <w:pStyle w:val="TabletextLeft"/>
              <w:ind w:right="0"/>
              <w:mirrorIndents/>
              <w:rPr>
                <w:rFonts w:cs="Segoe UI Light"/>
              </w:rPr>
            </w:pPr>
            <w:r>
              <w:rPr>
                <w:rFonts w:cs="Segoe UI Light"/>
              </w:rPr>
              <w:t>Non-aqueous phase liquid</w:t>
            </w:r>
          </w:p>
        </w:tc>
      </w:tr>
      <w:tr w:rsidR="009A3655" w:rsidRPr="002C378C" w14:paraId="656AFC69" w14:textId="77777777" w:rsidTr="00C624E0">
        <w:tc>
          <w:tcPr>
            <w:tcW w:w="2132" w:type="dxa"/>
          </w:tcPr>
          <w:p w14:paraId="656AFC67" w14:textId="77777777" w:rsidR="009A3655" w:rsidRDefault="009A3655" w:rsidP="00C624E0">
            <w:pPr>
              <w:pStyle w:val="TabletextLeft"/>
              <w:ind w:right="0"/>
              <w:mirrorIndents/>
              <w:rPr>
                <w:rFonts w:cs="Segoe UI Light"/>
              </w:rPr>
            </w:pPr>
            <w:r>
              <w:lastRenderedPageBreak/>
              <w:t>NCAA</w:t>
            </w:r>
          </w:p>
        </w:tc>
        <w:tc>
          <w:tcPr>
            <w:tcW w:w="4813" w:type="dxa"/>
          </w:tcPr>
          <w:p w14:paraId="656AFC68" w14:textId="77777777" w:rsidR="009A3655" w:rsidRDefault="009A3655" w:rsidP="009A3655">
            <w:pPr>
              <w:pStyle w:val="TabletextLeft"/>
              <w:ind w:right="0"/>
              <w:mirrorIndents/>
              <w:rPr>
                <w:rFonts w:cs="Segoe UI Light"/>
              </w:rPr>
            </w:pPr>
            <w:r w:rsidRPr="009B5C4F">
              <w:t>National Clean Air Agreement</w:t>
            </w:r>
            <w:r>
              <w:t xml:space="preserve"> </w:t>
            </w:r>
          </w:p>
        </w:tc>
      </w:tr>
      <w:tr w:rsidR="00C624E0" w:rsidRPr="002C378C" w14:paraId="656AFC6C" w14:textId="77777777" w:rsidTr="00C624E0">
        <w:tc>
          <w:tcPr>
            <w:tcW w:w="2132" w:type="dxa"/>
          </w:tcPr>
          <w:p w14:paraId="656AFC6A" w14:textId="77777777" w:rsidR="00C624E0" w:rsidRDefault="00C624E0" w:rsidP="00C624E0">
            <w:pPr>
              <w:pStyle w:val="TabletextLeft"/>
              <w:ind w:right="0"/>
              <w:mirrorIndents/>
              <w:rPr>
                <w:rFonts w:cs="Segoe UI Light"/>
              </w:rPr>
            </w:pPr>
            <w:r>
              <w:rPr>
                <w:rFonts w:cs="Segoe UI Light"/>
              </w:rPr>
              <w:t>NCO</w:t>
            </w:r>
          </w:p>
        </w:tc>
        <w:tc>
          <w:tcPr>
            <w:tcW w:w="4813" w:type="dxa"/>
          </w:tcPr>
          <w:p w14:paraId="656AFC6B" w14:textId="77777777" w:rsidR="00C624E0" w:rsidRDefault="00C624E0" w:rsidP="00C624E0">
            <w:pPr>
              <w:pStyle w:val="TabletextLeft"/>
              <w:ind w:right="0"/>
              <w:mirrorIndents/>
              <w:rPr>
                <w:rFonts w:cs="Segoe UI Light"/>
              </w:rPr>
            </w:pPr>
            <w:r>
              <w:rPr>
                <w:rFonts w:cs="Segoe UI Light"/>
              </w:rPr>
              <w:t>Notifiable chemical order</w:t>
            </w:r>
          </w:p>
        </w:tc>
      </w:tr>
      <w:tr w:rsidR="00ED229D" w:rsidRPr="002C378C" w14:paraId="656AFC6F" w14:textId="77777777" w:rsidTr="00C624E0">
        <w:tc>
          <w:tcPr>
            <w:tcW w:w="2132" w:type="dxa"/>
          </w:tcPr>
          <w:p w14:paraId="656AFC6D" w14:textId="77777777" w:rsidR="00ED229D" w:rsidRDefault="00ED229D" w:rsidP="00C624E0">
            <w:pPr>
              <w:pStyle w:val="TabletextLeft"/>
              <w:ind w:right="0"/>
              <w:mirrorIndents/>
              <w:rPr>
                <w:rFonts w:cs="Segoe UI Light"/>
              </w:rPr>
            </w:pPr>
            <w:r>
              <w:rPr>
                <w:rFonts w:cs="Segoe UI Light"/>
              </w:rPr>
              <w:t>NIRV</w:t>
            </w:r>
          </w:p>
        </w:tc>
        <w:tc>
          <w:tcPr>
            <w:tcW w:w="4813" w:type="dxa"/>
          </w:tcPr>
          <w:p w14:paraId="656AFC6E" w14:textId="77777777" w:rsidR="00ED229D" w:rsidRDefault="00ED229D" w:rsidP="00C624E0">
            <w:pPr>
              <w:pStyle w:val="TabletextLeft"/>
              <w:ind w:right="0"/>
              <w:mirrorIndents/>
              <w:rPr>
                <w:rFonts w:cs="Segoe UI Light"/>
              </w:rPr>
            </w:pPr>
            <w:r>
              <w:rPr>
                <w:rFonts w:cs="Segoe UI Light"/>
              </w:rPr>
              <w:t>Noise from Industry in Regional Victoria (Guidelines)</w:t>
            </w:r>
          </w:p>
        </w:tc>
      </w:tr>
      <w:tr w:rsidR="00C624E0" w:rsidRPr="002C378C" w14:paraId="656AFC72" w14:textId="77777777" w:rsidTr="00C624E0">
        <w:tc>
          <w:tcPr>
            <w:tcW w:w="2132" w:type="dxa"/>
          </w:tcPr>
          <w:p w14:paraId="656AFC70" w14:textId="77777777" w:rsidR="00C624E0" w:rsidRDefault="00C624E0" w:rsidP="00C624E0">
            <w:pPr>
              <w:pStyle w:val="TabletextLeft"/>
              <w:ind w:right="0"/>
              <w:mirrorIndents/>
              <w:rPr>
                <w:rFonts w:cs="Segoe UI Light"/>
              </w:rPr>
            </w:pPr>
            <w:r>
              <w:rPr>
                <w:rFonts w:cs="Segoe UI Light"/>
              </w:rPr>
              <w:t>NPI</w:t>
            </w:r>
          </w:p>
        </w:tc>
        <w:tc>
          <w:tcPr>
            <w:tcW w:w="4813" w:type="dxa"/>
          </w:tcPr>
          <w:p w14:paraId="656AFC71" w14:textId="77777777" w:rsidR="00C624E0" w:rsidRDefault="00C624E0" w:rsidP="00C624E0">
            <w:pPr>
              <w:pStyle w:val="TabletextLeft"/>
              <w:ind w:right="0"/>
              <w:mirrorIndents/>
              <w:rPr>
                <w:rFonts w:cs="Segoe UI Light"/>
              </w:rPr>
            </w:pPr>
            <w:r>
              <w:rPr>
                <w:rFonts w:cs="Segoe UI Light"/>
              </w:rPr>
              <w:t>National pollutant inventory</w:t>
            </w:r>
          </w:p>
        </w:tc>
      </w:tr>
      <w:tr w:rsidR="00122387" w:rsidRPr="002C378C" w14:paraId="656AFC75" w14:textId="77777777" w:rsidTr="00C624E0">
        <w:tc>
          <w:tcPr>
            <w:tcW w:w="2132" w:type="dxa"/>
          </w:tcPr>
          <w:p w14:paraId="656AFC73" w14:textId="77777777" w:rsidR="00122387" w:rsidRDefault="00122387" w:rsidP="00C624E0">
            <w:pPr>
              <w:pStyle w:val="TabletextLeft"/>
              <w:ind w:right="0"/>
              <w:mirrorIndents/>
            </w:pPr>
            <w:r>
              <w:t>NPI NEPM</w:t>
            </w:r>
          </w:p>
        </w:tc>
        <w:tc>
          <w:tcPr>
            <w:tcW w:w="4813" w:type="dxa"/>
          </w:tcPr>
          <w:p w14:paraId="656AFC74" w14:textId="77777777" w:rsidR="00122387" w:rsidRPr="001F0061" w:rsidRDefault="00122387" w:rsidP="00C624E0">
            <w:pPr>
              <w:pStyle w:val="TabletextLeft"/>
              <w:ind w:right="0"/>
              <w:mirrorIndents/>
            </w:pPr>
            <w:r>
              <w:t>N</w:t>
            </w:r>
            <w:r w:rsidRPr="002C7973">
              <w:t>PI National Environment Protection Measure</w:t>
            </w:r>
          </w:p>
        </w:tc>
      </w:tr>
      <w:tr w:rsidR="00C624E0" w:rsidRPr="002C378C" w14:paraId="656AFC78" w14:textId="77777777" w:rsidTr="00C624E0">
        <w:tc>
          <w:tcPr>
            <w:tcW w:w="2132" w:type="dxa"/>
          </w:tcPr>
          <w:p w14:paraId="656AFC76" w14:textId="77777777" w:rsidR="00C624E0" w:rsidRDefault="007941FA" w:rsidP="00C624E0">
            <w:pPr>
              <w:pStyle w:val="TabletextLeft"/>
              <w:ind w:right="0"/>
              <w:mirrorIndents/>
              <w:rPr>
                <w:rFonts w:cs="Segoe UI Light"/>
              </w:rPr>
            </w:pPr>
            <w:r>
              <w:t>n</w:t>
            </w:r>
            <w:r w:rsidR="00C624E0" w:rsidRPr="00B943BC">
              <w:t>ew EP legislation</w:t>
            </w:r>
          </w:p>
        </w:tc>
        <w:tc>
          <w:tcPr>
            <w:tcW w:w="4813" w:type="dxa"/>
          </w:tcPr>
          <w:p w14:paraId="656AFC77" w14:textId="77777777" w:rsidR="00C624E0" w:rsidRPr="008E7E85" w:rsidRDefault="00C624E0" w:rsidP="00C624E0">
            <w:pPr>
              <w:pStyle w:val="TabletextLeft"/>
              <w:ind w:right="0"/>
              <w:mirrorIndents/>
            </w:pPr>
            <w:r w:rsidRPr="001F0061">
              <w:t xml:space="preserve">EP Act 2017 as amended by </w:t>
            </w:r>
            <w:r w:rsidRPr="00F000C8">
              <w:t xml:space="preserve">the </w:t>
            </w:r>
            <w:r w:rsidRPr="00D85A7F">
              <w:rPr>
                <w:iCs/>
              </w:rPr>
              <w:t>EP Amendment Act 2018</w:t>
            </w:r>
          </w:p>
        </w:tc>
      </w:tr>
      <w:tr w:rsidR="00C624E0" w:rsidRPr="002C378C" w14:paraId="656AFC7B" w14:textId="77777777" w:rsidTr="00C624E0">
        <w:tc>
          <w:tcPr>
            <w:tcW w:w="2132" w:type="dxa"/>
          </w:tcPr>
          <w:p w14:paraId="656AFC79" w14:textId="77777777" w:rsidR="00C624E0" w:rsidRDefault="00C624E0" w:rsidP="00C624E0">
            <w:pPr>
              <w:pStyle w:val="TabletextLeft"/>
              <w:ind w:right="0"/>
              <w:mirrorIndents/>
              <w:rPr>
                <w:rFonts w:cs="Segoe UI Light"/>
              </w:rPr>
            </w:pPr>
            <w:r>
              <w:rPr>
                <w:rFonts w:cs="Segoe UI Light"/>
              </w:rPr>
              <w:t>NSW ICAC</w:t>
            </w:r>
          </w:p>
        </w:tc>
        <w:tc>
          <w:tcPr>
            <w:tcW w:w="4813" w:type="dxa"/>
          </w:tcPr>
          <w:p w14:paraId="656AFC7A" w14:textId="77777777" w:rsidR="00C624E0" w:rsidRDefault="00C624E0" w:rsidP="00C624E0">
            <w:pPr>
              <w:pStyle w:val="TabletextLeft"/>
              <w:ind w:right="0"/>
              <w:mirrorIndents/>
              <w:rPr>
                <w:rFonts w:cs="Segoe UI Light"/>
              </w:rPr>
            </w:pPr>
            <w:r w:rsidRPr="008E7E85">
              <w:t xml:space="preserve">NSW Independent Commission Against Corruption </w:t>
            </w:r>
          </w:p>
        </w:tc>
      </w:tr>
      <w:tr w:rsidR="00C624E0" w:rsidRPr="002C378C" w14:paraId="656AFC7E" w14:textId="77777777" w:rsidTr="00C624E0">
        <w:tc>
          <w:tcPr>
            <w:tcW w:w="2132" w:type="dxa"/>
          </w:tcPr>
          <w:p w14:paraId="656AFC7C" w14:textId="77777777" w:rsidR="00C624E0" w:rsidRDefault="00C624E0" w:rsidP="00C624E0">
            <w:pPr>
              <w:pStyle w:val="TabletextLeft"/>
              <w:ind w:right="0"/>
              <w:mirrorIndents/>
              <w:rPr>
                <w:rFonts w:cs="Segoe UI Light"/>
              </w:rPr>
            </w:pPr>
            <w:r>
              <w:rPr>
                <w:rFonts w:cs="Segoe UI Light"/>
              </w:rPr>
              <w:t>NOx</w:t>
            </w:r>
          </w:p>
        </w:tc>
        <w:tc>
          <w:tcPr>
            <w:tcW w:w="4813" w:type="dxa"/>
          </w:tcPr>
          <w:p w14:paraId="656AFC7D" w14:textId="77777777" w:rsidR="00C624E0" w:rsidRDefault="00C624E0" w:rsidP="00C624E0">
            <w:pPr>
              <w:pStyle w:val="TabletextLeft"/>
              <w:ind w:right="0"/>
              <w:mirrorIndents/>
              <w:rPr>
                <w:rFonts w:cs="Segoe UI Light"/>
              </w:rPr>
            </w:pPr>
            <w:r>
              <w:rPr>
                <w:rFonts w:cs="Segoe UI Light"/>
              </w:rPr>
              <w:t>Oxides of nitrogen</w:t>
            </w:r>
          </w:p>
        </w:tc>
      </w:tr>
      <w:tr w:rsidR="00C624E0" w:rsidRPr="002C378C" w14:paraId="656AFC81" w14:textId="77777777" w:rsidTr="00C624E0">
        <w:tc>
          <w:tcPr>
            <w:tcW w:w="2132" w:type="dxa"/>
          </w:tcPr>
          <w:p w14:paraId="656AFC7F" w14:textId="77777777" w:rsidR="00C624E0" w:rsidRDefault="00C624E0" w:rsidP="00C624E0">
            <w:pPr>
              <w:pStyle w:val="TabletextLeft"/>
              <w:ind w:right="0"/>
              <w:mirrorIndents/>
              <w:rPr>
                <w:rFonts w:cs="Segoe UI Light"/>
              </w:rPr>
            </w:pPr>
            <w:r>
              <w:rPr>
                <w:rFonts w:cs="Segoe UI Light"/>
              </w:rPr>
              <w:t>ODS</w:t>
            </w:r>
          </w:p>
        </w:tc>
        <w:tc>
          <w:tcPr>
            <w:tcW w:w="4813" w:type="dxa"/>
          </w:tcPr>
          <w:p w14:paraId="656AFC80" w14:textId="77777777" w:rsidR="00C624E0" w:rsidRDefault="00C624E0" w:rsidP="00C624E0">
            <w:pPr>
              <w:pStyle w:val="TabletextLeft"/>
              <w:ind w:right="0"/>
              <w:mirrorIndents/>
              <w:rPr>
                <w:rFonts w:cs="Segoe UI Light"/>
              </w:rPr>
            </w:pPr>
            <w:r>
              <w:rPr>
                <w:rFonts w:cs="Segoe UI Light"/>
              </w:rPr>
              <w:t>Ozone-depleting substance</w:t>
            </w:r>
          </w:p>
        </w:tc>
      </w:tr>
      <w:tr w:rsidR="00C624E0" w:rsidRPr="002C378C" w14:paraId="656AFC84" w14:textId="77777777" w:rsidTr="00C624E0">
        <w:tc>
          <w:tcPr>
            <w:tcW w:w="2132" w:type="dxa"/>
          </w:tcPr>
          <w:p w14:paraId="656AFC82" w14:textId="77777777" w:rsidR="00C624E0" w:rsidRDefault="00C624E0" w:rsidP="00C624E0">
            <w:pPr>
              <w:pStyle w:val="TabletextLeft"/>
              <w:ind w:right="0"/>
              <w:mirrorIndents/>
              <w:rPr>
                <w:rFonts w:cs="Segoe UI Light"/>
              </w:rPr>
            </w:pPr>
            <w:r>
              <w:rPr>
                <w:rFonts w:cs="Segoe UI Light"/>
              </w:rPr>
              <w:t>OL</w:t>
            </w:r>
          </w:p>
        </w:tc>
        <w:tc>
          <w:tcPr>
            <w:tcW w:w="4813" w:type="dxa"/>
          </w:tcPr>
          <w:p w14:paraId="656AFC83" w14:textId="77777777" w:rsidR="00C624E0" w:rsidRDefault="00C624E0" w:rsidP="00C624E0">
            <w:pPr>
              <w:pStyle w:val="TabletextLeft"/>
              <w:ind w:right="0"/>
              <w:mirrorIndents/>
              <w:rPr>
                <w:rFonts w:cs="Segoe UI Light"/>
              </w:rPr>
            </w:pPr>
            <w:r>
              <w:rPr>
                <w:rFonts w:cs="Segoe UI Light"/>
              </w:rPr>
              <w:t xml:space="preserve">Ozone </w:t>
            </w:r>
            <w:r w:rsidR="007941FA">
              <w:rPr>
                <w:rFonts w:cs="Segoe UI Light"/>
              </w:rPr>
              <w:t>l</w:t>
            </w:r>
            <w:r>
              <w:rPr>
                <w:rFonts w:cs="Segoe UI Light"/>
              </w:rPr>
              <w:t>ayer</w:t>
            </w:r>
          </w:p>
        </w:tc>
      </w:tr>
      <w:tr w:rsidR="00EC680C" w:rsidRPr="002C378C" w14:paraId="656AFC87" w14:textId="77777777" w:rsidTr="00C624E0">
        <w:tc>
          <w:tcPr>
            <w:tcW w:w="2132" w:type="dxa"/>
          </w:tcPr>
          <w:p w14:paraId="656AFC85" w14:textId="77777777" w:rsidR="00EC680C" w:rsidRDefault="00EC680C" w:rsidP="00C624E0">
            <w:pPr>
              <w:pStyle w:val="TabletextLeft"/>
              <w:ind w:right="0"/>
              <w:mirrorIndents/>
              <w:rPr>
                <w:rFonts w:cs="Segoe UI Light"/>
              </w:rPr>
            </w:pPr>
            <w:r>
              <w:rPr>
                <w:rFonts w:cs="Segoe UI Light"/>
              </w:rPr>
              <w:t>PIW</w:t>
            </w:r>
          </w:p>
        </w:tc>
        <w:tc>
          <w:tcPr>
            <w:tcW w:w="4813" w:type="dxa"/>
          </w:tcPr>
          <w:p w14:paraId="656AFC86" w14:textId="77777777" w:rsidR="00EC680C" w:rsidRDefault="00EC680C" w:rsidP="00C624E0">
            <w:pPr>
              <w:pStyle w:val="TabletextLeft"/>
              <w:ind w:right="0"/>
              <w:mirrorIndents/>
              <w:rPr>
                <w:rFonts w:cs="Segoe UI Light"/>
              </w:rPr>
            </w:pPr>
            <w:r>
              <w:rPr>
                <w:rFonts w:cs="Segoe UI Light"/>
              </w:rPr>
              <w:t>Prescribed Industrial Waste</w:t>
            </w:r>
          </w:p>
        </w:tc>
      </w:tr>
      <w:tr w:rsidR="00C624E0" w:rsidRPr="002C378C" w14:paraId="656AFC8A" w14:textId="77777777" w:rsidTr="00C624E0">
        <w:tc>
          <w:tcPr>
            <w:tcW w:w="2132" w:type="dxa"/>
          </w:tcPr>
          <w:p w14:paraId="656AFC88" w14:textId="77777777" w:rsidR="00C624E0" w:rsidRDefault="00C624E0" w:rsidP="00C624E0">
            <w:pPr>
              <w:pStyle w:val="TabletextLeft"/>
              <w:ind w:right="0"/>
              <w:mirrorIndents/>
              <w:rPr>
                <w:rFonts w:cs="Segoe UI Light"/>
              </w:rPr>
            </w:pPr>
            <w:r>
              <w:rPr>
                <w:rFonts w:cs="Segoe UI Light"/>
              </w:rPr>
              <w:t>PM</w:t>
            </w:r>
          </w:p>
        </w:tc>
        <w:tc>
          <w:tcPr>
            <w:tcW w:w="4813" w:type="dxa"/>
          </w:tcPr>
          <w:p w14:paraId="656AFC89" w14:textId="77777777" w:rsidR="00C624E0" w:rsidRDefault="00C624E0" w:rsidP="00C624E0">
            <w:pPr>
              <w:pStyle w:val="TabletextLeft"/>
              <w:ind w:right="0"/>
              <w:mirrorIndents/>
              <w:rPr>
                <w:rFonts w:cs="Segoe UI Light"/>
              </w:rPr>
            </w:pPr>
            <w:r>
              <w:rPr>
                <w:rFonts w:cs="Segoe UI Light"/>
              </w:rPr>
              <w:t>Particulate matter</w:t>
            </w:r>
          </w:p>
        </w:tc>
      </w:tr>
      <w:tr w:rsidR="000E3B50" w:rsidRPr="002C378C" w14:paraId="656AFC8D" w14:textId="77777777" w:rsidTr="00C624E0">
        <w:tc>
          <w:tcPr>
            <w:tcW w:w="2132" w:type="dxa"/>
          </w:tcPr>
          <w:p w14:paraId="656AFC8B" w14:textId="77777777" w:rsidR="000E3B50" w:rsidRDefault="000E3B50" w:rsidP="00C624E0">
            <w:pPr>
              <w:pStyle w:val="TabletextLeft"/>
              <w:ind w:right="0"/>
              <w:mirrorIndents/>
              <w:rPr>
                <w:rFonts w:cs="Segoe UI Light"/>
              </w:rPr>
            </w:pPr>
            <w:r>
              <w:t>PPAQCR</w:t>
            </w:r>
          </w:p>
        </w:tc>
        <w:tc>
          <w:tcPr>
            <w:tcW w:w="4813" w:type="dxa"/>
          </w:tcPr>
          <w:p w14:paraId="656AFC8C" w14:textId="77777777" w:rsidR="000E3B50" w:rsidRDefault="000E3B50" w:rsidP="000E3B50">
            <w:pPr>
              <w:pStyle w:val="TabletextLeft"/>
              <w:ind w:right="0"/>
              <w:mirrorIndents/>
              <w:rPr>
                <w:rFonts w:cs="Segoe UI Light"/>
              </w:rPr>
            </w:pPr>
            <w:r>
              <w:t xml:space="preserve">Port Philip Air Quality Control Region </w:t>
            </w:r>
          </w:p>
        </w:tc>
      </w:tr>
      <w:tr w:rsidR="00C624E0" w:rsidRPr="002C378C" w14:paraId="656AFC90" w14:textId="77777777" w:rsidTr="00C624E0">
        <w:tc>
          <w:tcPr>
            <w:tcW w:w="2132" w:type="dxa"/>
          </w:tcPr>
          <w:p w14:paraId="656AFC8E" w14:textId="77777777" w:rsidR="00C624E0" w:rsidRDefault="00C624E0" w:rsidP="00C624E0">
            <w:pPr>
              <w:pStyle w:val="TabletextLeft"/>
              <w:ind w:right="0"/>
              <w:mirrorIndents/>
              <w:rPr>
                <w:rFonts w:cs="Segoe UI Light"/>
              </w:rPr>
            </w:pPr>
            <w:r>
              <w:rPr>
                <w:rFonts w:cs="Segoe UI Light"/>
              </w:rPr>
              <w:t>proposed Regulations</w:t>
            </w:r>
          </w:p>
        </w:tc>
        <w:tc>
          <w:tcPr>
            <w:tcW w:w="4813" w:type="dxa"/>
          </w:tcPr>
          <w:p w14:paraId="656AFC8F" w14:textId="77777777" w:rsidR="00C624E0" w:rsidRDefault="00C624E0" w:rsidP="00C624E0">
            <w:pPr>
              <w:pStyle w:val="TabletextLeft"/>
              <w:ind w:right="0"/>
              <w:mirrorIndents/>
              <w:rPr>
                <w:rFonts w:cs="Segoe UI Light"/>
              </w:rPr>
            </w:pPr>
            <w:r>
              <w:rPr>
                <w:rFonts w:cs="Segoe UI Light"/>
              </w:rPr>
              <w:t>proposed Environment Protection Regulations</w:t>
            </w:r>
          </w:p>
        </w:tc>
      </w:tr>
      <w:tr w:rsidR="00C624E0" w:rsidRPr="002C378C" w14:paraId="656AFC93" w14:textId="77777777" w:rsidTr="00C624E0">
        <w:tc>
          <w:tcPr>
            <w:tcW w:w="2132" w:type="dxa"/>
          </w:tcPr>
          <w:p w14:paraId="656AFC91" w14:textId="77777777" w:rsidR="00C624E0" w:rsidRDefault="00C624E0" w:rsidP="00C624E0">
            <w:pPr>
              <w:pStyle w:val="TabletextLeft"/>
              <w:ind w:right="0"/>
              <w:mirrorIndents/>
              <w:rPr>
                <w:rFonts w:cs="Segoe UI Light"/>
              </w:rPr>
            </w:pPr>
            <w:r>
              <w:rPr>
                <w:rFonts w:cs="Segoe UI Light"/>
              </w:rPr>
              <w:t>RIS</w:t>
            </w:r>
          </w:p>
        </w:tc>
        <w:tc>
          <w:tcPr>
            <w:tcW w:w="4813" w:type="dxa"/>
          </w:tcPr>
          <w:p w14:paraId="656AFC92" w14:textId="77777777" w:rsidR="00C624E0" w:rsidRDefault="00C624E0" w:rsidP="00C624E0">
            <w:pPr>
              <w:pStyle w:val="TabletextLeft"/>
              <w:ind w:right="0"/>
              <w:mirrorIndents/>
              <w:rPr>
                <w:rFonts w:cs="Segoe UI Light"/>
              </w:rPr>
            </w:pPr>
            <w:r>
              <w:rPr>
                <w:rFonts w:cs="Segoe UI Light"/>
              </w:rPr>
              <w:t>Regulatory Impact Statement</w:t>
            </w:r>
          </w:p>
        </w:tc>
      </w:tr>
      <w:tr w:rsidR="00C624E0" w:rsidRPr="002C378C" w14:paraId="656AFC96" w14:textId="77777777" w:rsidTr="00C624E0">
        <w:tc>
          <w:tcPr>
            <w:tcW w:w="2132" w:type="dxa"/>
          </w:tcPr>
          <w:p w14:paraId="656AFC94" w14:textId="77777777" w:rsidR="00C624E0" w:rsidRDefault="00C624E0" w:rsidP="00C624E0">
            <w:pPr>
              <w:pStyle w:val="TabletextLeft"/>
              <w:ind w:right="0"/>
              <w:mirrorIndents/>
              <w:rPr>
                <w:rFonts w:cs="Segoe UI Light"/>
              </w:rPr>
            </w:pPr>
            <w:r>
              <w:rPr>
                <w:rFonts w:cs="Segoe UI Light"/>
              </w:rPr>
              <w:t>SEPP</w:t>
            </w:r>
          </w:p>
        </w:tc>
        <w:tc>
          <w:tcPr>
            <w:tcW w:w="4813" w:type="dxa"/>
          </w:tcPr>
          <w:p w14:paraId="656AFC95" w14:textId="77777777" w:rsidR="00C624E0" w:rsidRDefault="00C624E0" w:rsidP="00C624E0">
            <w:pPr>
              <w:pStyle w:val="TabletextLeft"/>
              <w:ind w:right="0"/>
              <w:mirrorIndents/>
              <w:rPr>
                <w:rFonts w:cs="Segoe UI Light"/>
              </w:rPr>
            </w:pPr>
            <w:r>
              <w:rPr>
                <w:rFonts w:cs="Segoe UI Light"/>
              </w:rPr>
              <w:t>State Environment Protection Policy</w:t>
            </w:r>
          </w:p>
        </w:tc>
      </w:tr>
      <w:tr w:rsidR="00C624E0" w:rsidRPr="002C378C" w14:paraId="656AFC99" w14:textId="77777777" w:rsidTr="00C624E0">
        <w:tc>
          <w:tcPr>
            <w:tcW w:w="2132" w:type="dxa"/>
          </w:tcPr>
          <w:p w14:paraId="656AFC97" w14:textId="77777777" w:rsidR="00C624E0" w:rsidRDefault="00C624E0" w:rsidP="00C624E0">
            <w:pPr>
              <w:pStyle w:val="TabletextLeft"/>
              <w:ind w:right="0"/>
              <w:mirrorIndents/>
              <w:rPr>
                <w:rFonts w:cs="Segoe UI Light"/>
              </w:rPr>
            </w:pPr>
            <w:r w:rsidRPr="00BC1A0C">
              <w:rPr>
                <w:rFonts w:cs="Segoe UI Light"/>
              </w:rPr>
              <w:t>SEPP AAQ</w:t>
            </w:r>
          </w:p>
        </w:tc>
        <w:tc>
          <w:tcPr>
            <w:tcW w:w="4813" w:type="dxa"/>
          </w:tcPr>
          <w:p w14:paraId="656AFC98" w14:textId="77777777" w:rsidR="00C624E0" w:rsidRDefault="00C624E0" w:rsidP="00C624E0">
            <w:pPr>
              <w:pStyle w:val="TabletextLeft"/>
              <w:mirrorIndents/>
              <w:rPr>
                <w:rFonts w:cs="Segoe UI Light"/>
              </w:rPr>
            </w:pPr>
            <w:r w:rsidRPr="00BC1A0C">
              <w:rPr>
                <w:rFonts w:cs="Segoe UI Light"/>
              </w:rPr>
              <w:t>SEPP (Ambient Air Quality)</w:t>
            </w:r>
          </w:p>
        </w:tc>
      </w:tr>
      <w:tr w:rsidR="00C624E0" w:rsidRPr="002C378C" w14:paraId="656AFC9C" w14:textId="77777777" w:rsidTr="00C624E0">
        <w:tc>
          <w:tcPr>
            <w:tcW w:w="2132" w:type="dxa"/>
          </w:tcPr>
          <w:p w14:paraId="656AFC9A" w14:textId="77777777" w:rsidR="00C624E0" w:rsidRDefault="00C624E0" w:rsidP="00C624E0">
            <w:pPr>
              <w:pStyle w:val="TabletextLeft"/>
              <w:ind w:right="0"/>
              <w:mirrorIndents/>
              <w:rPr>
                <w:rFonts w:cs="Segoe UI Light"/>
              </w:rPr>
            </w:pPr>
            <w:r w:rsidRPr="00BC1A0C">
              <w:rPr>
                <w:rFonts w:cs="Segoe UI Light"/>
              </w:rPr>
              <w:t>SEPP AQM</w:t>
            </w:r>
          </w:p>
        </w:tc>
        <w:tc>
          <w:tcPr>
            <w:tcW w:w="4813" w:type="dxa"/>
          </w:tcPr>
          <w:p w14:paraId="656AFC9B" w14:textId="77777777" w:rsidR="00C624E0" w:rsidRDefault="00C624E0" w:rsidP="00C624E0">
            <w:pPr>
              <w:pStyle w:val="TabletextLeft"/>
              <w:mirrorIndents/>
              <w:rPr>
                <w:rFonts w:cs="Segoe UI Light"/>
              </w:rPr>
            </w:pPr>
            <w:r w:rsidRPr="00BC1A0C">
              <w:rPr>
                <w:rFonts w:cs="Segoe UI Light"/>
              </w:rPr>
              <w:t>SEPP (Air Quality Management)</w:t>
            </w:r>
          </w:p>
        </w:tc>
      </w:tr>
      <w:tr w:rsidR="00ED229D" w:rsidRPr="002C378C" w14:paraId="656AFC9F" w14:textId="77777777" w:rsidTr="00C624E0">
        <w:tc>
          <w:tcPr>
            <w:tcW w:w="2132" w:type="dxa"/>
          </w:tcPr>
          <w:p w14:paraId="656AFC9D" w14:textId="77777777" w:rsidR="00ED229D" w:rsidRDefault="00ED229D" w:rsidP="00C624E0">
            <w:pPr>
              <w:pStyle w:val="TabletextLeft"/>
              <w:ind w:right="0"/>
              <w:mirrorIndents/>
              <w:rPr>
                <w:rFonts w:cs="Segoe UI Light"/>
              </w:rPr>
            </w:pPr>
            <w:r>
              <w:rPr>
                <w:rFonts w:cs="Segoe UI Light"/>
              </w:rPr>
              <w:t>SEPP N-1</w:t>
            </w:r>
          </w:p>
        </w:tc>
        <w:tc>
          <w:tcPr>
            <w:tcW w:w="4813" w:type="dxa"/>
          </w:tcPr>
          <w:p w14:paraId="656AFC9E" w14:textId="77777777" w:rsidR="00ED229D" w:rsidRDefault="00ED229D" w:rsidP="00C624E0">
            <w:pPr>
              <w:pStyle w:val="TabletextLeft"/>
              <w:mirrorIndents/>
              <w:rPr>
                <w:rFonts w:cs="Segoe UI Light"/>
              </w:rPr>
            </w:pPr>
            <w:r>
              <w:rPr>
                <w:rFonts w:cs="Segoe UI Light"/>
              </w:rPr>
              <w:t>SEPP (Control of Noise from Industry, Commerce and Trade)</w:t>
            </w:r>
          </w:p>
        </w:tc>
      </w:tr>
      <w:tr w:rsidR="00ED229D" w:rsidRPr="002C378C" w14:paraId="656AFCA2" w14:textId="77777777" w:rsidTr="00C624E0">
        <w:tc>
          <w:tcPr>
            <w:tcW w:w="2132" w:type="dxa"/>
          </w:tcPr>
          <w:p w14:paraId="656AFCA0" w14:textId="77777777" w:rsidR="00ED229D" w:rsidRPr="00BC1A0C" w:rsidRDefault="00ED229D" w:rsidP="00C624E0">
            <w:pPr>
              <w:pStyle w:val="TabletextLeft"/>
              <w:ind w:right="0"/>
              <w:mirrorIndents/>
              <w:rPr>
                <w:rFonts w:cs="Segoe UI Light"/>
              </w:rPr>
            </w:pPr>
            <w:r>
              <w:rPr>
                <w:rFonts w:cs="Segoe UI Light"/>
              </w:rPr>
              <w:t>SEPP N-2</w:t>
            </w:r>
          </w:p>
        </w:tc>
        <w:tc>
          <w:tcPr>
            <w:tcW w:w="4813" w:type="dxa"/>
          </w:tcPr>
          <w:p w14:paraId="656AFCA1" w14:textId="77777777" w:rsidR="00ED229D" w:rsidRPr="00BC1A0C" w:rsidRDefault="00ED229D" w:rsidP="00C624E0">
            <w:pPr>
              <w:pStyle w:val="TabletextLeft"/>
              <w:mirrorIndents/>
              <w:rPr>
                <w:rFonts w:cs="Segoe UI Light"/>
              </w:rPr>
            </w:pPr>
            <w:r>
              <w:rPr>
                <w:rFonts w:cs="Segoe UI Light"/>
              </w:rPr>
              <w:t>SEPP (Control of Music Noise from Public Premises)</w:t>
            </w:r>
          </w:p>
        </w:tc>
      </w:tr>
      <w:tr w:rsidR="00D06D24" w:rsidRPr="002C378C" w14:paraId="656AFCA5" w14:textId="77777777" w:rsidTr="00C624E0">
        <w:tc>
          <w:tcPr>
            <w:tcW w:w="2132" w:type="dxa"/>
          </w:tcPr>
          <w:p w14:paraId="656AFCA3" w14:textId="77777777" w:rsidR="00D06D24" w:rsidRDefault="00D06D24" w:rsidP="00C624E0">
            <w:pPr>
              <w:pStyle w:val="TabletextLeft"/>
              <w:ind w:right="0"/>
              <w:mirrorIndents/>
              <w:rPr>
                <w:rFonts w:cs="Segoe UI Light"/>
              </w:rPr>
            </w:pPr>
            <w:r>
              <w:rPr>
                <w:rFonts w:cs="Segoe UI Light"/>
              </w:rPr>
              <w:t>SGG</w:t>
            </w:r>
          </w:p>
        </w:tc>
        <w:tc>
          <w:tcPr>
            <w:tcW w:w="4813" w:type="dxa"/>
          </w:tcPr>
          <w:p w14:paraId="656AFCA4" w14:textId="77777777" w:rsidR="00D06D24" w:rsidRDefault="00D06D24" w:rsidP="00C624E0">
            <w:pPr>
              <w:pStyle w:val="TabletextLeft"/>
              <w:ind w:right="0"/>
              <w:mirrorIndents/>
              <w:rPr>
                <w:rFonts w:cs="Segoe UI Light"/>
              </w:rPr>
            </w:pPr>
            <w:r>
              <w:rPr>
                <w:rFonts w:cs="Segoe UI Light"/>
              </w:rPr>
              <w:t>Synthetic Greenhouse Gases</w:t>
            </w:r>
          </w:p>
        </w:tc>
      </w:tr>
      <w:tr w:rsidR="00C624E0" w:rsidRPr="002C378C" w14:paraId="656AFCA8" w14:textId="77777777" w:rsidTr="00C624E0">
        <w:tc>
          <w:tcPr>
            <w:tcW w:w="2132" w:type="dxa"/>
          </w:tcPr>
          <w:p w14:paraId="656AFCA6" w14:textId="77777777" w:rsidR="00C624E0" w:rsidRDefault="00C624E0" w:rsidP="00C624E0">
            <w:pPr>
              <w:pStyle w:val="TabletextLeft"/>
              <w:ind w:right="0"/>
              <w:mirrorIndents/>
              <w:rPr>
                <w:rFonts w:cs="Segoe UI Light"/>
              </w:rPr>
            </w:pPr>
            <w:r>
              <w:rPr>
                <w:rFonts w:cs="Segoe UI Light"/>
              </w:rPr>
              <w:t>SoE 2018</w:t>
            </w:r>
          </w:p>
        </w:tc>
        <w:tc>
          <w:tcPr>
            <w:tcW w:w="4813" w:type="dxa"/>
          </w:tcPr>
          <w:p w14:paraId="656AFCA7" w14:textId="77777777" w:rsidR="00C624E0" w:rsidRDefault="00C624E0" w:rsidP="00C624E0">
            <w:pPr>
              <w:pStyle w:val="TabletextLeft"/>
              <w:ind w:right="0"/>
              <w:mirrorIndents/>
              <w:rPr>
                <w:rFonts w:cs="Segoe UI Light"/>
              </w:rPr>
            </w:pPr>
            <w:r>
              <w:rPr>
                <w:rFonts w:cs="Segoe UI Light"/>
              </w:rPr>
              <w:t>State of the Environment Report 2018</w:t>
            </w:r>
          </w:p>
        </w:tc>
      </w:tr>
      <w:tr w:rsidR="00C624E0" w:rsidRPr="002C378C" w14:paraId="656AFCAB" w14:textId="77777777" w:rsidTr="00C624E0">
        <w:tc>
          <w:tcPr>
            <w:tcW w:w="2132" w:type="dxa"/>
          </w:tcPr>
          <w:p w14:paraId="656AFCA9" w14:textId="77777777" w:rsidR="00C624E0" w:rsidRDefault="00C624E0" w:rsidP="00C624E0">
            <w:pPr>
              <w:pStyle w:val="TabletextLeft"/>
              <w:ind w:right="0"/>
              <w:mirrorIndents/>
              <w:rPr>
                <w:rFonts w:cs="Segoe UI Light"/>
              </w:rPr>
            </w:pPr>
            <w:r>
              <w:rPr>
                <w:rFonts w:cs="Segoe UI Light"/>
              </w:rPr>
              <w:t>SoA</w:t>
            </w:r>
          </w:p>
        </w:tc>
        <w:tc>
          <w:tcPr>
            <w:tcW w:w="4813" w:type="dxa"/>
          </w:tcPr>
          <w:p w14:paraId="656AFCAA" w14:textId="77777777" w:rsidR="00C624E0" w:rsidRPr="00BF2C24" w:rsidRDefault="00C624E0" w:rsidP="00C624E0">
            <w:pPr>
              <w:pStyle w:val="TabletextLeft"/>
              <w:ind w:right="0"/>
              <w:mirrorIndents/>
              <w:rPr>
                <w:rFonts w:cs="Segoe UI Light"/>
              </w:rPr>
            </w:pPr>
            <w:r w:rsidRPr="00C75AF2">
              <w:t>Statement of Acceptance</w:t>
            </w:r>
          </w:p>
        </w:tc>
      </w:tr>
      <w:tr w:rsidR="00C624E0" w:rsidRPr="002C378C" w14:paraId="656AFCAE" w14:textId="77777777" w:rsidTr="00C624E0">
        <w:tc>
          <w:tcPr>
            <w:tcW w:w="2132" w:type="dxa"/>
          </w:tcPr>
          <w:p w14:paraId="656AFCAC" w14:textId="77777777" w:rsidR="00C624E0" w:rsidRDefault="00C624E0" w:rsidP="00C624E0">
            <w:pPr>
              <w:pStyle w:val="TabletextLeft"/>
              <w:ind w:right="0"/>
              <w:mirrorIndents/>
              <w:rPr>
                <w:rFonts w:cs="Segoe UI Light"/>
              </w:rPr>
            </w:pPr>
            <w:r>
              <w:rPr>
                <w:rFonts w:cs="Segoe UI Light"/>
              </w:rPr>
              <w:t>SoC</w:t>
            </w:r>
          </w:p>
        </w:tc>
        <w:tc>
          <w:tcPr>
            <w:tcW w:w="4813" w:type="dxa"/>
          </w:tcPr>
          <w:p w14:paraId="656AFCAD" w14:textId="77777777" w:rsidR="00C624E0" w:rsidRPr="00BF2C24" w:rsidRDefault="00C624E0" w:rsidP="00C624E0">
            <w:pPr>
              <w:pStyle w:val="TabletextLeft"/>
              <w:ind w:right="0"/>
              <w:mirrorIndents/>
              <w:rPr>
                <w:rFonts w:cs="Segoe UI Light"/>
              </w:rPr>
            </w:pPr>
            <w:r w:rsidRPr="00C75AF2">
              <w:rPr>
                <w:rFonts w:cs="Segoe UI Light"/>
              </w:rPr>
              <w:t>Statement of Compliance</w:t>
            </w:r>
          </w:p>
        </w:tc>
      </w:tr>
      <w:tr w:rsidR="00C624E0" w:rsidRPr="002C378C" w14:paraId="656AFCB1" w14:textId="77777777" w:rsidTr="00C624E0">
        <w:tc>
          <w:tcPr>
            <w:tcW w:w="2132" w:type="dxa"/>
          </w:tcPr>
          <w:p w14:paraId="656AFCAF" w14:textId="77777777" w:rsidR="00C624E0" w:rsidRDefault="00C624E0" w:rsidP="00C624E0">
            <w:pPr>
              <w:pStyle w:val="TabletextLeft"/>
              <w:ind w:right="0"/>
              <w:mirrorIndents/>
              <w:rPr>
                <w:rFonts w:cs="Segoe UI Light"/>
              </w:rPr>
            </w:pPr>
            <w:r>
              <w:rPr>
                <w:rFonts w:cs="Segoe UI Light"/>
              </w:rPr>
              <w:t>S02</w:t>
            </w:r>
          </w:p>
        </w:tc>
        <w:tc>
          <w:tcPr>
            <w:tcW w:w="4813" w:type="dxa"/>
          </w:tcPr>
          <w:p w14:paraId="656AFCB0" w14:textId="77777777" w:rsidR="00C624E0" w:rsidRDefault="00C624E0" w:rsidP="00C624E0">
            <w:pPr>
              <w:pStyle w:val="TabletextLeft"/>
              <w:ind w:right="0"/>
              <w:mirrorIndents/>
              <w:rPr>
                <w:rFonts w:cs="Segoe UI Light"/>
              </w:rPr>
            </w:pPr>
            <w:r w:rsidRPr="00C75AF2">
              <w:rPr>
                <w:rFonts w:cs="Segoe UI Light"/>
              </w:rPr>
              <w:t>Sulfur dioxide</w:t>
            </w:r>
          </w:p>
        </w:tc>
      </w:tr>
      <w:tr w:rsidR="00C624E0" w:rsidRPr="002C378C" w14:paraId="656AFCB7" w14:textId="77777777" w:rsidTr="00C624E0">
        <w:tc>
          <w:tcPr>
            <w:tcW w:w="2132" w:type="dxa"/>
          </w:tcPr>
          <w:p w14:paraId="656AFCB5" w14:textId="77777777" w:rsidR="00C624E0" w:rsidRDefault="00C624E0" w:rsidP="00C624E0">
            <w:pPr>
              <w:pStyle w:val="TabletextLeft"/>
              <w:ind w:right="0"/>
              <w:mirrorIndents/>
              <w:rPr>
                <w:rFonts w:cs="Segoe UI Light"/>
              </w:rPr>
            </w:pPr>
            <w:r>
              <w:rPr>
                <w:rFonts w:cs="Segoe UI Light"/>
              </w:rPr>
              <w:t>VAGO</w:t>
            </w:r>
          </w:p>
        </w:tc>
        <w:tc>
          <w:tcPr>
            <w:tcW w:w="4813" w:type="dxa"/>
          </w:tcPr>
          <w:p w14:paraId="656AFCB6" w14:textId="77777777" w:rsidR="00C624E0" w:rsidRDefault="00C624E0" w:rsidP="00C624E0">
            <w:pPr>
              <w:pStyle w:val="TabletextLeft"/>
              <w:ind w:right="0"/>
              <w:mirrorIndents/>
              <w:rPr>
                <w:rFonts w:cs="Segoe UI Light"/>
              </w:rPr>
            </w:pPr>
            <w:r w:rsidRPr="00F54C16">
              <w:rPr>
                <w:rFonts w:cs="Segoe UI Light"/>
              </w:rPr>
              <w:t>Victorian Auditor-General's Office</w:t>
            </w:r>
          </w:p>
        </w:tc>
      </w:tr>
      <w:tr w:rsidR="00C624E0" w:rsidRPr="002C378C" w14:paraId="656AFCBA" w14:textId="77777777" w:rsidTr="00C624E0">
        <w:tc>
          <w:tcPr>
            <w:tcW w:w="2132" w:type="dxa"/>
          </w:tcPr>
          <w:p w14:paraId="656AFCB8" w14:textId="77777777" w:rsidR="00C624E0" w:rsidRDefault="00C624E0" w:rsidP="00C624E0">
            <w:pPr>
              <w:pStyle w:val="TabletextLeft"/>
              <w:ind w:right="0"/>
              <w:mirrorIndents/>
              <w:rPr>
                <w:rFonts w:cs="Segoe UI Light"/>
              </w:rPr>
            </w:pPr>
            <w:r>
              <w:rPr>
                <w:rFonts w:cs="Segoe UI Light"/>
              </w:rPr>
              <w:t>VOCs</w:t>
            </w:r>
          </w:p>
        </w:tc>
        <w:tc>
          <w:tcPr>
            <w:tcW w:w="4813" w:type="dxa"/>
          </w:tcPr>
          <w:p w14:paraId="656AFCB9" w14:textId="77777777" w:rsidR="00C624E0" w:rsidRDefault="00C624E0" w:rsidP="00C624E0">
            <w:pPr>
              <w:pStyle w:val="TabletextLeft"/>
              <w:ind w:right="0"/>
              <w:mirrorIndents/>
              <w:rPr>
                <w:rFonts w:cs="Segoe UI Light"/>
              </w:rPr>
            </w:pPr>
            <w:r>
              <w:rPr>
                <w:rFonts w:cs="Segoe UI Light"/>
              </w:rPr>
              <w:t>Volatile organic compounds</w:t>
            </w:r>
          </w:p>
        </w:tc>
      </w:tr>
      <w:tr w:rsidR="00122387" w:rsidRPr="002C378C" w14:paraId="656AFCBD" w14:textId="77777777" w:rsidTr="00C624E0">
        <w:tc>
          <w:tcPr>
            <w:tcW w:w="2132" w:type="dxa"/>
          </w:tcPr>
          <w:p w14:paraId="656AFCBB" w14:textId="77777777" w:rsidR="00122387" w:rsidRDefault="00122387" w:rsidP="00C624E0">
            <w:pPr>
              <w:pStyle w:val="TabletextLeft"/>
              <w:ind w:right="0"/>
              <w:mirrorIndents/>
              <w:rPr>
                <w:rFonts w:cs="Segoe UI Light"/>
              </w:rPr>
            </w:pPr>
            <w:r>
              <w:rPr>
                <w:rFonts w:cs="Segoe UI Light"/>
              </w:rPr>
              <w:t>WHO</w:t>
            </w:r>
          </w:p>
        </w:tc>
        <w:tc>
          <w:tcPr>
            <w:tcW w:w="4813" w:type="dxa"/>
          </w:tcPr>
          <w:p w14:paraId="656AFCBC" w14:textId="77777777" w:rsidR="00122387" w:rsidRDefault="00122387" w:rsidP="00C624E0">
            <w:pPr>
              <w:pStyle w:val="TabletextLeft"/>
              <w:ind w:right="0"/>
              <w:mirrorIndents/>
              <w:rPr>
                <w:rFonts w:cs="Segoe UI Light"/>
              </w:rPr>
            </w:pPr>
            <w:r>
              <w:rPr>
                <w:rFonts w:cs="Segoe UI Light"/>
              </w:rPr>
              <w:t>World Health Organisation</w:t>
            </w:r>
          </w:p>
        </w:tc>
      </w:tr>
      <w:tr w:rsidR="00C624E0" w:rsidRPr="002C378C" w14:paraId="656AFCC0" w14:textId="77777777" w:rsidTr="00C624E0">
        <w:tc>
          <w:tcPr>
            <w:tcW w:w="2132" w:type="dxa"/>
          </w:tcPr>
          <w:p w14:paraId="656AFCBE" w14:textId="77777777" w:rsidR="00C624E0" w:rsidRDefault="00C624E0" w:rsidP="00C624E0">
            <w:pPr>
              <w:pStyle w:val="TabletextLeft"/>
              <w:ind w:right="0"/>
              <w:mirrorIndents/>
              <w:rPr>
                <w:rFonts w:cs="Segoe UI Light"/>
              </w:rPr>
            </w:pPr>
            <w:r>
              <w:rPr>
                <w:rFonts w:cs="Segoe UI Light"/>
              </w:rPr>
              <w:t>WMP</w:t>
            </w:r>
          </w:p>
        </w:tc>
        <w:tc>
          <w:tcPr>
            <w:tcW w:w="4813" w:type="dxa"/>
          </w:tcPr>
          <w:p w14:paraId="656AFCBF" w14:textId="77777777" w:rsidR="00C624E0" w:rsidRDefault="00C624E0" w:rsidP="00C624E0">
            <w:pPr>
              <w:pStyle w:val="TabletextLeft"/>
              <w:ind w:right="0"/>
              <w:mirrorIndents/>
              <w:rPr>
                <w:rFonts w:cs="Segoe UI Light"/>
              </w:rPr>
            </w:pPr>
            <w:r>
              <w:rPr>
                <w:rFonts w:cs="Segoe UI Light"/>
              </w:rPr>
              <w:t>Waste Management Policy</w:t>
            </w:r>
          </w:p>
        </w:tc>
      </w:tr>
      <w:tr w:rsidR="00D06D24" w:rsidRPr="002C378C" w14:paraId="656AFCC3" w14:textId="77777777" w:rsidTr="00C624E0">
        <w:tc>
          <w:tcPr>
            <w:tcW w:w="2132" w:type="dxa"/>
          </w:tcPr>
          <w:p w14:paraId="656AFCC1" w14:textId="77777777" w:rsidR="00D06D24" w:rsidRDefault="00D06D24" w:rsidP="00C624E0">
            <w:pPr>
              <w:pStyle w:val="TabletextLeft"/>
              <w:ind w:right="0"/>
              <w:mirrorIndents/>
              <w:rPr>
                <w:rFonts w:cs="Segoe UI Light"/>
              </w:rPr>
            </w:pPr>
            <w:r>
              <w:t>WMP POL</w:t>
            </w:r>
          </w:p>
        </w:tc>
        <w:tc>
          <w:tcPr>
            <w:tcW w:w="4813" w:type="dxa"/>
          </w:tcPr>
          <w:p w14:paraId="656AFCC2" w14:textId="77777777" w:rsidR="00D06D24" w:rsidRDefault="00D06D24" w:rsidP="00C624E0">
            <w:pPr>
              <w:pStyle w:val="TabletextLeft"/>
              <w:ind w:right="0"/>
              <w:mirrorIndents/>
              <w:rPr>
                <w:rFonts w:cs="Segoe UI Light"/>
              </w:rPr>
            </w:pPr>
            <w:r>
              <w:t>Waste Management Policy (Protection of the Ozone Layer)</w:t>
            </w:r>
          </w:p>
        </w:tc>
      </w:tr>
      <w:tr w:rsidR="00D06D24" w:rsidRPr="002C378C" w14:paraId="656AFCC6" w14:textId="77777777" w:rsidTr="00C624E0">
        <w:tc>
          <w:tcPr>
            <w:tcW w:w="2132" w:type="dxa"/>
          </w:tcPr>
          <w:p w14:paraId="656AFCC4" w14:textId="77777777" w:rsidR="00D06D24" w:rsidRDefault="00D06D24" w:rsidP="00D06D24">
            <w:pPr>
              <w:pStyle w:val="TabletextLeft"/>
              <w:ind w:right="0"/>
              <w:mirrorIndents/>
              <w:rPr>
                <w:rFonts w:cs="Segoe UI Light"/>
              </w:rPr>
            </w:pPr>
            <w:r w:rsidRPr="00BC1A0C">
              <w:rPr>
                <w:rFonts w:cs="Segoe UI Light"/>
              </w:rPr>
              <w:t>WMP NPI</w:t>
            </w:r>
          </w:p>
        </w:tc>
        <w:tc>
          <w:tcPr>
            <w:tcW w:w="4813" w:type="dxa"/>
          </w:tcPr>
          <w:p w14:paraId="656AFCC5" w14:textId="77777777" w:rsidR="00D06D24" w:rsidRDefault="00D06D24" w:rsidP="00D06D24">
            <w:pPr>
              <w:pStyle w:val="TabletextLeft"/>
              <w:ind w:right="0"/>
              <w:mirrorIndents/>
              <w:rPr>
                <w:rFonts w:cs="Segoe UI Light"/>
              </w:rPr>
            </w:pPr>
            <w:r w:rsidRPr="00BC1A0C">
              <w:rPr>
                <w:rFonts w:cs="Segoe UI Light"/>
              </w:rPr>
              <w:t xml:space="preserve">WMP (National Pollutant Inventory) </w:t>
            </w:r>
            <w:r w:rsidRPr="00BC1A0C">
              <w:rPr>
                <w:rFonts w:cs="Segoe UI Light"/>
              </w:rPr>
              <w:tab/>
            </w:r>
          </w:p>
        </w:tc>
      </w:tr>
      <w:tr w:rsidR="00D06D24" w:rsidRPr="002C378C" w14:paraId="656AFCC9" w14:textId="77777777" w:rsidTr="00C624E0">
        <w:tc>
          <w:tcPr>
            <w:tcW w:w="2132" w:type="dxa"/>
          </w:tcPr>
          <w:p w14:paraId="656AFCC7" w14:textId="77777777" w:rsidR="00D06D24" w:rsidRDefault="00D06D24" w:rsidP="00D06D24">
            <w:pPr>
              <w:pStyle w:val="TabletextLeft"/>
              <w:ind w:right="0"/>
              <w:mirrorIndents/>
              <w:rPr>
                <w:rFonts w:cs="Segoe UI Light"/>
              </w:rPr>
            </w:pPr>
            <w:r>
              <w:rPr>
                <w:rFonts w:cs="Segoe UI Light"/>
              </w:rPr>
              <w:t>WRR</w:t>
            </w:r>
          </w:p>
        </w:tc>
        <w:tc>
          <w:tcPr>
            <w:tcW w:w="4813" w:type="dxa"/>
          </w:tcPr>
          <w:p w14:paraId="656AFCC8" w14:textId="77777777" w:rsidR="00D06D24" w:rsidRDefault="00D06D24" w:rsidP="00D06D24">
            <w:pPr>
              <w:pStyle w:val="TabletextLeft"/>
              <w:ind w:right="0"/>
              <w:mirrorIndents/>
              <w:rPr>
                <w:rFonts w:cs="Segoe UI Light"/>
              </w:rPr>
            </w:pPr>
            <w:r>
              <w:rPr>
                <w:rFonts w:cs="Segoe UI Light"/>
              </w:rPr>
              <w:t>Waste and Resource Recovery (facility)</w:t>
            </w:r>
          </w:p>
        </w:tc>
      </w:tr>
      <w:tr w:rsidR="00D06D24" w:rsidRPr="002C378C" w14:paraId="656AFCCC" w14:textId="77777777" w:rsidTr="00C624E0">
        <w:tc>
          <w:tcPr>
            <w:tcW w:w="2132" w:type="dxa"/>
          </w:tcPr>
          <w:p w14:paraId="656AFCCA" w14:textId="77777777" w:rsidR="00D06D24" w:rsidRDefault="00D06D24" w:rsidP="00D06D24">
            <w:pPr>
              <w:pStyle w:val="TabletextLeft"/>
              <w:ind w:right="0"/>
              <w:mirrorIndents/>
              <w:rPr>
                <w:rFonts w:cs="Segoe UI Light"/>
              </w:rPr>
            </w:pPr>
            <w:r>
              <w:rPr>
                <w:rFonts w:cs="Segoe UI Light"/>
              </w:rPr>
              <w:t>IWMP</w:t>
            </w:r>
          </w:p>
        </w:tc>
        <w:tc>
          <w:tcPr>
            <w:tcW w:w="4813" w:type="dxa"/>
          </w:tcPr>
          <w:p w14:paraId="656AFCCB" w14:textId="77777777" w:rsidR="00D06D24" w:rsidRPr="00BC1A0C" w:rsidRDefault="00D06D24" w:rsidP="00D06D24">
            <w:pPr>
              <w:pStyle w:val="TabletextLeft"/>
              <w:mirrorIndents/>
              <w:rPr>
                <w:rFonts w:cs="Segoe UI Light"/>
              </w:rPr>
            </w:pPr>
            <w:r>
              <w:rPr>
                <w:rFonts w:cs="Segoe UI Light"/>
              </w:rPr>
              <w:t>Industrial Waste Management Policies</w:t>
            </w:r>
            <w:r w:rsidRPr="00BC1A0C">
              <w:rPr>
                <w:rFonts w:cs="Segoe UI Light"/>
              </w:rPr>
              <w:t xml:space="preserve"> </w:t>
            </w:r>
          </w:p>
        </w:tc>
      </w:tr>
      <w:tr w:rsidR="00D06D24" w:rsidRPr="002C378C" w14:paraId="656AFCCF" w14:textId="77777777" w:rsidTr="00C624E0">
        <w:tc>
          <w:tcPr>
            <w:tcW w:w="2132" w:type="dxa"/>
          </w:tcPr>
          <w:p w14:paraId="656AFCCD" w14:textId="77777777" w:rsidR="00D06D24" w:rsidRDefault="00D06D24" w:rsidP="00D06D24">
            <w:pPr>
              <w:pStyle w:val="TabletextLeft"/>
              <w:ind w:right="0"/>
              <w:mirrorIndents/>
              <w:rPr>
                <w:rFonts w:cs="Segoe UI Light"/>
              </w:rPr>
            </w:pPr>
            <w:r w:rsidRPr="00BC1A0C">
              <w:rPr>
                <w:rFonts w:cs="Segoe UI Light"/>
              </w:rPr>
              <w:t>IWMP POL</w:t>
            </w:r>
          </w:p>
        </w:tc>
        <w:tc>
          <w:tcPr>
            <w:tcW w:w="4813" w:type="dxa"/>
          </w:tcPr>
          <w:p w14:paraId="656AFCCE" w14:textId="77777777" w:rsidR="00D06D24" w:rsidRPr="00BC1A0C" w:rsidRDefault="00D06D24" w:rsidP="00D06D24">
            <w:pPr>
              <w:pStyle w:val="TabletextLeft"/>
              <w:mirrorIndents/>
              <w:rPr>
                <w:rFonts w:cs="Segoe UI Light"/>
              </w:rPr>
            </w:pPr>
            <w:r w:rsidRPr="00BC1A0C">
              <w:rPr>
                <w:rFonts w:cs="Segoe UI Light"/>
              </w:rPr>
              <w:t>IWMP (Protection of the Ozone Layer)</w:t>
            </w:r>
            <w:r w:rsidRPr="00BC1A0C">
              <w:rPr>
                <w:rFonts w:cs="Segoe UI Light"/>
              </w:rPr>
              <w:tab/>
            </w:r>
          </w:p>
        </w:tc>
      </w:tr>
      <w:tr w:rsidR="00D06D24" w:rsidRPr="002C378C" w14:paraId="656AFCD2" w14:textId="77777777" w:rsidTr="00C624E0">
        <w:tc>
          <w:tcPr>
            <w:tcW w:w="2132" w:type="dxa"/>
          </w:tcPr>
          <w:p w14:paraId="656AFCD0" w14:textId="77777777" w:rsidR="00D06D24" w:rsidRDefault="00D06D24" w:rsidP="00D06D24">
            <w:pPr>
              <w:pStyle w:val="TabletextLeft"/>
              <w:ind w:right="0"/>
              <w:mirrorIndents/>
              <w:rPr>
                <w:rFonts w:cs="Segoe UI Light"/>
              </w:rPr>
            </w:pPr>
            <w:r w:rsidRPr="00BC1A0C">
              <w:rPr>
                <w:rFonts w:cs="Segoe UI Light"/>
              </w:rPr>
              <w:t>WMP SFH</w:t>
            </w:r>
          </w:p>
        </w:tc>
        <w:tc>
          <w:tcPr>
            <w:tcW w:w="4813" w:type="dxa"/>
          </w:tcPr>
          <w:p w14:paraId="656AFCD1" w14:textId="77777777" w:rsidR="00D06D24" w:rsidRDefault="00D06D24" w:rsidP="00D06D24">
            <w:pPr>
              <w:pStyle w:val="TabletextLeft"/>
              <w:mirrorIndents/>
              <w:rPr>
                <w:rFonts w:cs="Segoe UI Light"/>
              </w:rPr>
            </w:pPr>
            <w:r w:rsidRPr="00BC1A0C">
              <w:rPr>
                <w:rFonts w:cs="Segoe UI Light"/>
              </w:rPr>
              <w:t>WMP (Solid Fuel Heating)</w:t>
            </w:r>
            <w:r w:rsidRPr="00BC1A0C">
              <w:rPr>
                <w:rFonts w:cs="Segoe UI Light"/>
              </w:rPr>
              <w:tab/>
            </w:r>
          </w:p>
        </w:tc>
      </w:tr>
    </w:tbl>
    <w:p w14:paraId="656AFCD3" w14:textId="77777777" w:rsidR="00C624E0" w:rsidRDefault="00C624E0" w:rsidP="00ED173F">
      <w:pPr>
        <w:mirrorIndents/>
        <w:rPr>
          <w:rFonts w:ascii="Calibri" w:eastAsia="Times New Roman" w:hAnsi="Calibri" w:cs="Segoe UI Light"/>
          <w:sz w:val="22"/>
          <w:szCs w:val="20"/>
        </w:rPr>
      </w:pPr>
    </w:p>
    <w:p w14:paraId="656AFCD4" w14:textId="77777777" w:rsidR="00C624E0" w:rsidRDefault="00C624E0" w:rsidP="00ED173F">
      <w:pPr>
        <w:mirrorIndents/>
        <w:rPr>
          <w:rFonts w:ascii="Calibri" w:eastAsia="Times New Roman" w:hAnsi="Calibri" w:cs="Segoe UI Light"/>
          <w:sz w:val="22"/>
          <w:szCs w:val="20"/>
        </w:rPr>
      </w:pPr>
    </w:p>
    <w:p w14:paraId="656AFCD5" w14:textId="77777777" w:rsidR="00613A67" w:rsidRDefault="00613A67" w:rsidP="00613A67">
      <w:pPr>
        <w:pStyle w:val="Bullet2"/>
        <w:numPr>
          <w:ilvl w:val="0"/>
          <w:numId w:val="0"/>
        </w:numPr>
        <w:spacing w:before="0"/>
        <w:rPr>
          <w:rFonts w:ascii="Segoe UI Light" w:hAnsi="Segoe UI Light" w:cs="Segoe UI Light"/>
          <w:b/>
          <w:sz w:val="20"/>
        </w:rPr>
      </w:pPr>
      <w:r w:rsidRPr="00B943BC">
        <w:rPr>
          <w:rFonts w:ascii="Segoe UI Light" w:hAnsi="Segoe UI Light" w:cs="Segoe UI Light"/>
          <w:b/>
          <w:sz w:val="20"/>
        </w:rPr>
        <w:lastRenderedPageBreak/>
        <w:t>Terminology</w:t>
      </w:r>
    </w:p>
    <w:p w14:paraId="656AFCD6" w14:textId="77777777" w:rsidR="00613A67" w:rsidRDefault="00613A67" w:rsidP="00613A67">
      <w:r>
        <w:t>The RIS refers to the Acts as follows:</w:t>
      </w:r>
    </w:p>
    <w:p w14:paraId="656AFCD7" w14:textId="77777777" w:rsidR="00613A67" w:rsidRDefault="009002DA" w:rsidP="004A2442">
      <w:pPr>
        <w:pStyle w:val="ListParagraph"/>
        <w:numPr>
          <w:ilvl w:val="0"/>
          <w:numId w:val="27"/>
        </w:numPr>
      </w:pPr>
      <w:r>
        <w:t>T</w:t>
      </w:r>
      <w:r w:rsidR="00613A67">
        <w:t xml:space="preserve">he </w:t>
      </w:r>
      <w:r w:rsidR="00613A67" w:rsidRPr="00D85A7F">
        <w:rPr>
          <w:i/>
        </w:rPr>
        <w:t>Environment Protection Act 1970</w:t>
      </w:r>
      <w:r w:rsidR="00613A67">
        <w:t xml:space="preserve"> is referred to as the EP Act 1970.</w:t>
      </w:r>
    </w:p>
    <w:p w14:paraId="656AFCD8" w14:textId="77777777" w:rsidR="004357F6" w:rsidRDefault="009002DA" w:rsidP="004A2442">
      <w:pPr>
        <w:pStyle w:val="ListParagraph"/>
        <w:numPr>
          <w:ilvl w:val="0"/>
          <w:numId w:val="27"/>
        </w:numPr>
      </w:pPr>
      <w:r>
        <w:t>T</w:t>
      </w:r>
      <w:r w:rsidR="00613A67">
        <w:t xml:space="preserve">he </w:t>
      </w:r>
      <w:r w:rsidR="00613A67" w:rsidRPr="00D85A7F">
        <w:rPr>
          <w:i/>
        </w:rPr>
        <w:t>Environment Protection Act 2017</w:t>
      </w:r>
      <w:r w:rsidR="00613A67" w:rsidRPr="001F0061">
        <w:t xml:space="preserve"> (as </w:t>
      </w:r>
      <w:r w:rsidR="00613A67" w:rsidRPr="00B943BC">
        <w:t xml:space="preserve">in place prior to the amendments in the </w:t>
      </w:r>
      <w:r w:rsidR="00613A67" w:rsidRPr="00D85A7F">
        <w:rPr>
          <w:i/>
        </w:rPr>
        <w:t>Environment Protection</w:t>
      </w:r>
      <w:r w:rsidR="007941FA">
        <w:rPr>
          <w:i/>
        </w:rPr>
        <w:t>.</w:t>
      </w:r>
      <w:r w:rsidR="00613A67" w:rsidRPr="00D85A7F">
        <w:rPr>
          <w:i/>
        </w:rPr>
        <w:t xml:space="preserve"> Amendment Act 2018</w:t>
      </w:r>
      <w:r w:rsidR="00613A67" w:rsidRPr="00B943BC">
        <w:t xml:space="preserve"> (itself referred to as the EP Amendment Act 2018) taking effect) is referred to as the EP Act 2017</w:t>
      </w:r>
      <w:r w:rsidR="007941FA">
        <w:t>.</w:t>
      </w:r>
    </w:p>
    <w:p w14:paraId="656AFCD9" w14:textId="77777777" w:rsidR="00613A67" w:rsidRPr="001F0061" w:rsidRDefault="009002DA" w:rsidP="004A2442">
      <w:pPr>
        <w:pStyle w:val="ListParagraph"/>
        <w:numPr>
          <w:ilvl w:val="0"/>
          <w:numId w:val="27"/>
        </w:numPr>
      </w:pPr>
      <w:r>
        <w:t>T</w:t>
      </w:r>
      <w:r w:rsidR="00613A67" w:rsidRPr="001F0061">
        <w:t xml:space="preserve">he EP Act 2017 as amended by </w:t>
      </w:r>
      <w:r w:rsidR="00613A67" w:rsidRPr="00F000C8">
        <w:t xml:space="preserve">the </w:t>
      </w:r>
      <w:r w:rsidR="00613A67" w:rsidRPr="00D85A7F">
        <w:rPr>
          <w:iCs/>
        </w:rPr>
        <w:t>EP Amendment Act 2018</w:t>
      </w:r>
      <w:r w:rsidR="004357F6">
        <w:t xml:space="preserve"> </w:t>
      </w:r>
      <w:r w:rsidR="00613A67" w:rsidRPr="001F0061">
        <w:t xml:space="preserve">is referred to as the </w:t>
      </w:r>
      <w:r w:rsidR="00613A67" w:rsidRPr="00B943BC">
        <w:t>new EP legislation.</w:t>
      </w:r>
    </w:p>
    <w:p w14:paraId="656AFCDA" w14:textId="77777777" w:rsidR="00F9113D" w:rsidRPr="002C378C" w:rsidRDefault="00F9113D" w:rsidP="00ED173F">
      <w:pPr>
        <w:mirrorIndents/>
        <w:rPr>
          <w:rFonts w:cs="Segoe UI Light"/>
        </w:rPr>
        <w:sectPr w:rsidR="00F9113D" w:rsidRPr="002C378C" w:rsidSect="00D9169B">
          <w:headerReference w:type="even" r:id="rId14"/>
          <w:headerReference w:type="default" r:id="rId15"/>
          <w:footerReference w:type="even" r:id="rId16"/>
          <w:footerReference w:type="default" r:id="rId17"/>
          <w:headerReference w:type="first" r:id="rId18"/>
          <w:footerReference w:type="first" r:id="rId19"/>
          <w:pgSz w:w="11906" w:h="16838" w:code="9"/>
          <w:pgMar w:top="1985" w:right="851" w:bottom="1134" w:left="851" w:header="680" w:footer="425" w:gutter="0"/>
          <w:pgNumType w:fmt="lowerRoman" w:start="1"/>
          <w:cols w:space="284"/>
          <w:titlePg/>
          <w:docGrid w:linePitch="360"/>
        </w:sectPr>
      </w:pPr>
    </w:p>
    <w:p w14:paraId="656AFCDB" w14:textId="77777777" w:rsidR="00B515F4" w:rsidRDefault="00B515F4" w:rsidP="000E7C5E">
      <w:pPr>
        <w:pStyle w:val="Heading1un-numbered"/>
      </w:pPr>
      <w:bookmarkStart w:id="25" w:name="_Toc453841552"/>
      <w:bookmarkStart w:id="26" w:name="_Toc536054806"/>
      <w:bookmarkStart w:id="27" w:name="_Toc536807092"/>
      <w:bookmarkStart w:id="28" w:name="_Toc342466"/>
      <w:bookmarkStart w:id="29" w:name="_Toc10018317"/>
      <w:bookmarkStart w:id="30" w:name="_Toc10021424"/>
      <w:bookmarkStart w:id="31" w:name="_Toc10021838"/>
      <w:bookmarkStart w:id="32" w:name="_Toc12892322"/>
      <w:bookmarkStart w:id="33" w:name="_Toc215906318"/>
      <w:bookmarkStart w:id="34" w:name="_Toc227746675"/>
      <w:bookmarkStart w:id="35" w:name="_Toc227746679"/>
      <w:bookmarkStart w:id="36" w:name="_Toc227746683"/>
      <w:bookmarkStart w:id="37" w:name="_Toc227746687"/>
      <w:bookmarkStart w:id="38" w:name="_Toc227748309"/>
      <w:bookmarkStart w:id="39" w:name="_Toc227748327"/>
      <w:bookmarkStart w:id="40" w:name="_Toc227748331"/>
      <w:bookmarkStart w:id="41" w:name="_Toc227748335"/>
      <w:bookmarkStart w:id="42" w:name="_Toc227748374"/>
      <w:bookmarkStart w:id="43" w:name="_Toc227748378"/>
      <w:bookmarkStart w:id="44" w:name="_Toc227748382"/>
      <w:bookmarkStart w:id="45" w:name="_Toc227748494"/>
      <w:bookmarkStart w:id="46" w:name="_Toc227748498"/>
      <w:bookmarkStart w:id="47" w:name="_Toc228005205"/>
      <w:bookmarkStart w:id="48" w:name="_Toc228092496"/>
      <w:bookmarkStart w:id="49" w:name="_Toc228264951"/>
      <w:bookmarkStart w:id="50" w:name="_Toc228264973"/>
      <w:bookmarkStart w:id="51" w:name="_Toc228264977"/>
      <w:bookmarkStart w:id="52" w:name="_Toc228264981"/>
      <w:bookmarkStart w:id="53" w:name="_Toc228264985"/>
      <w:bookmarkStart w:id="54" w:name="_Toc228265215"/>
      <w:bookmarkStart w:id="55" w:name="_Toc288198024"/>
      <w:bookmarkStart w:id="56" w:name="_Toc448829185"/>
      <w:bookmarkStart w:id="57" w:name="_Toc456353381"/>
      <w:bookmarkStart w:id="58" w:name="_Toc462313128"/>
      <w:bookmarkStart w:id="59" w:name="_Toc462317837"/>
      <w:bookmarkStart w:id="60" w:name="_Toc462397802"/>
      <w:bookmarkStart w:id="61" w:name="_Toc463002429"/>
      <w:bookmarkStart w:id="62" w:name="_Toc472586341"/>
      <w:bookmarkStart w:id="63" w:name="_Toc482168119"/>
      <w:bookmarkStart w:id="64" w:name="_Toc482174906"/>
      <w:bookmarkStart w:id="65" w:name="_Toc525554610"/>
      <w:r w:rsidRPr="00103A4E">
        <w:lastRenderedPageBreak/>
        <w:t>Foreword</w:t>
      </w:r>
      <w:bookmarkEnd w:id="25"/>
      <w:bookmarkEnd w:id="26"/>
      <w:bookmarkEnd w:id="27"/>
      <w:bookmarkEnd w:id="28"/>
      <w:bookmarkEnd w:id="29"/>
      <w:bookmarkEnd w:id="30"/>
      <w:bookmarkEnd w:id="31"/>
      <w:bookmarkEnd w:id="32"/>
    </w:p>
    <w:p w14:paraId="656AFCDC" w14:textId="198C194F" w:rsidR="00D3772B" w:rsidRPr="0085335E" w:rsidRDefault="00B515F4" w:rsidP="00ED173F">
      <w:pPr>
        <w:pStyle w:val="BodyText"/>
        <w:rPr>
          <w:rFonts w:asciiTheme="minorHAnsi" w:hAnsiTheme="minorHAnsi"/>
        </w:rPr>
      </w:pPr>
      <w:r>
        <w:rPr>
          <w:lang w:eastAsia="en-AU"/>
        </w:rPr>
        <w:t xml:space="preserve">This Regulatory Impact Statement (RIS) has been prepared with respect to the </w:t>
      </w:r>
      <w:r w:rsidRPr="00ED173F">
        <w:rPr>
          <w:lang w:eastAsia="en-AU"/>
        </w:rPr>
        <w:t xml:space="preserve">proposed Environment Protection Regulations </w:t>
      </w:r>
      <w:r w:rsidR="00AA0212">
        <w:rPr>
          <w:lang w:eastAsia="en-AU"/>
        </w:rPr>
        <w:t xml:space="preserve">and </w:t>
      </w:r>
      <w:r w:rsidR="00AA0212" w:rsidRPr="005E6E61">
        <w:rPr>
          <w:lang w:eastAsia="en-AU"/>
        </w:rPr>
        <w:t>the Environment Protection Transitional Regulations</w:t>
      </w:r>
      <w:r>
        <w:rPr>
          <w:lang w:eastAsia="en-AU"/>
        </w:rPr>
        <w:t xml:space="preserve"> (proposed Regulations) -</w:t>
      </w:r>
      <w:r w:rsidRPr="00ED173F">
        <w:rPr>
          <w:lang w:eastAsia="en-AU"/>
        </w:rPr>
        <w:t xml:space="preserve"> to be made under the </w:t>
      </w:r>
      <w:r w:rsidR="00926822">
        <w:rPr>
          <w:lang w:eastAsia="en-AU"/>
        </w:rPr>
        <w:t>new environment protection (EP) legislation.</w:t>
      </w:r>
      <w:r>
        <w:rPr>
          <w:lang w:eastAsia="en-AU"/>
        </w:rPr>
        <w:t xml:space="preserve"> </w:t>
      </w:r>
    </w:p>
    <w:p w14:paraId="656AFCDD" w14:textId="77777777" w:rsidR="00B515F4" w:rsidRPr="009D0695" w:rsidRDefault="00B515F4" w:rsidP="00B515F4">
      <w:pPr>
        <w:pStyle w:val="BodyText"/>
        <w:rPr>
          <w:lang w:eastAsia="en-AU"/>
        </w:rPr>
      </w:pPr>
      <w:r>
        <w:rPr>
          <w:lang w:eastAsia="en-AU"/>
        </w:rPr>
        <w:t>The RIS should be read in conjunction with the proposed Regulations</w:t>
      </w:r>
      <w:r w:rsidRPr="009D0695">
        <w:rPr>
          <w:lang w:eastAsia="en-AU"/>
        </w:rPr>
        <w:t>, which are provided as</w:t>
      </w:r>
      <w:r>
        <w:rPr>
          <w:lang w:eastAsia="en-AU"/>
        </w:rPr>
        <w:t xml:space="preserve"> a </w:t>
      </w:r>
      <w:r w:rsidRPr="009D0695">
        <w:rPr>
          <w:lang w:eastAsia="en-AU"/>
        </w:rPr>
        <w:t xml:space="preserve">separate </w:t>
      </w:r>
      <w:r>
        <w:rPr>
          <w:lang w:eastAsia="en-AU"/>
        </w:rPr>
        <w:t xml:space="preserve">document. </w:t>
      </w:r>
    </w:p>
    <w:p w14:paraId="656AFCDE" w14:textId="77777777" w:rsidR="00B515F4" w:rsidRPr="00B515F4" w:rsidRDefault="00B515F4" w:rsidP="00B515F4">
      <w:pPr>
        <w:pStyle w:val="BodyText"/>
        <w:rPr>
          <w:lang w:eastAsia="en-AU"/>
        </w:rPr>
      </w:pPr>
      <w:r w:rsidRPr="009D0695">
        <w:rPr>
          <w:lang w:eastAsia="en-AU"/>
        </w:rPr>
        <w:t>This RIS sets out the objectives of the proposed Regulations, explains their</w:t>
      </w:r>
      <w:r>
        <w:rPr>
          <w:lang w:eastAsia="en-AU"/>
        </w:rPr>
        <w:t xml:space="preserve"> effect and assesses the nature and scope of the problem that the proposed Regulations seek to address. It also sets out the likely impacts (costs and benefits) and </w:t>
      </w:r>
      <w:r w:rsidRPr="00B515F4">
        <w:rPr>
          <w:lang w:eastAsia="en-AU"/>
        </w:rPr>
        <w:t>discusses regulatory and non–regulatory alternatives.</w:t>
      </w:r>
    </w:p>
    <w:p w14:paraId="656AFCDF" w14:textId="77777777" w:rsidR="00B515F4" w:rsidRPr="00B515F4" w:rsidRDefault="00B515F4" w:rsidP="00B515F4">
      <w:pPr>
        <w:pStyle w:val="HeadingC"/>
        <w:rPr>
          <w:lang w:eastAsia="en-AU"/>
        </w:rPr>
      </w:pPr>
      <w:r w:rsidRPr="00B515F4">
        <w:rPr>
          <w:lang w:eastAsia="en-AU"/>
        </w:rPr>
        <w:t>How to respond to the proposed regulatory package</w:t>
      </w:r>
    </w:p>
    <w:p w14:paraId="656AFCE0" w14:textId="77777777" w:rsidR="00B515F4" w:rsidRDefault="00B515F4" w:rsidP="00B515F4">
      <w:pPr>
        <w:pStyle w:val="BodyText"/>
        <w:rPr>
          <w:lang w:eastAsia="en-AU"/>
        </w:rPr>
      </w:pPr>
      <w:r w:rsidRPr="00B515F4">
        <w:rPr>
          <w:lang w:eastAsia="en-AU"/>
        </w:rPr>
        <w:t xml:space="preserve">Businesses, other interested parties and members of the public are invited to make submissions responding to the RIS or the proposed Regulations. </w:t>
      </w:r>
    </w:p>
    <w:p w14:paraId="656AFCE1" w14:textId="309C83B6" w:rsidR="00697E16" w:rsidRPr="00B515F4" w:rsidRDefault="00697E16" w:rsidP="00B515F4">
      <w:pPr>
        <w:pStyle w:val="BodyText"/>
        <w:rPr>
          <w:lang w:eastAsia="en-AU"/>
        </w:rPr>
      </w:pPr>
      <w:r>
        <w:rPr>
          <w:lang w:eastAsia="en-AU"/>
        </w:rPr>
        <w:t xml:space="preserve">The closing date for submissions </w:t>
      </w:r>
      <w:r w:rsidRPr="005E6E61">
        <w:rPr>
          <w:lang w:eastAsia="en-AU"/>
        </w:rPr>
        <w:t xml:space="preserve">is </w:t>
      </w:r>
      <w:r w:rsidR="005E6E61" w:rsidRPr="0014751B">
        <w:rPr>
          <w:lang w:eastAsia="en-AU"/>
        </w:rPr>
        <w:t>31</w:t>
      </w:r>
      <w:r w:rsidRPr="0014751B">
        <w:rPr>
          <w:lang w:eastAsia="en-AU"/>
        </w:rPr>
        <w:t xml:space="preserve"> October 2019.</w:t>
      </w:r>
      <w:r>
        <w:rPr>
          <w:lang w:eastAsia="en-AU"/>
        </w:rPr>
        <w:t xml:space="preserve"> </w:t>
      </w:r>
    </w:p>
    <w:p w14:paraId="656AFCE2" w14:textId="77777777" w:rsidR="004F2BCF" w:rsidRDefault="00B515F4" w:rsidP="00B515F4">
      <w:pPr>
        <w:pStyle w:val="BodyText"/>
        <w:rPr>
          <w:lang w:eastAsia="en-AU"/>
        </w:rPr>
      </w:pPr>
      <w:r>
        <w:rPr>
          <w:lang w:eastAsia="en-AU"/>
        </w:rPr>
        <w:t xml:space="preserve">The </w:t>
      </w:r>
      <w:r w:rsidR="00926822">
        <w:rPr>
          <w:lang w:eastAsia="en-AU"/>
        </w:rPr>
        <w:t xml:space="preserve">Department of Environment, Land, Water and Planning (DELWP) and </w:t>
      </w:r>
      <w:r>
        <w:rPr>
          <w:lang w:eastAsia="en-AU"/>
        </w:rPr>
        <w:t xml:space="preserve">Environment Protection </w:t>
      </w:r>
      <w:r w:rsidRPr="000C04F1">
        <w:rPr>
          <w:lang w:eastAsia="en-AU"/>
        </w:rPr>
        <w:t xml:space="preserve">Authority </w:t>
      </w:r>
      <w:r w:rsidR="00926822">
        <w:rPr>
          <w:lang w:eastAsia="en-AU"/>
        </w:rPr>
        <w:t xml:space="preserve">Victoria </w:t>
      </w:r>
      <w:r w:rsidRPr="000C04F1">
        <w:rPr>
          <w:lang w:eastAsia="en-AU"/>
        </w:rPr>
        <w:t>(EPA) ha</w:t>
      </w:r>
      <w:r w:rsidR="00926822">
        <w:rPr>
          <w:lang w:eastAsia="en-AU"/>
        </w:rPr>
        <w:t>ve</w:t>
      </w:r>
      <w:r w:rsidRPr="000C04F1">
        <w:rPr>
          <w:lang w:eastAsia="en-AU"/>
        </w:rPr>
        <w:t xml:space="preserve"> prepared templates to assist members of the public to provide comment on the proposed Regulations and the RIS. </w:t>
      </w:r>
    </w:p>
    <w:p w14:paraId="656AFCE3" w14:textId="77777777" w:rsidR="00B515F4" w:rsidRPr="000C04F1" w:rsidRDefault="00B515F4" w:rsidP="00B515F4">
      <w:pPr>
        <w:pStyle w:val="BodyText"/>
        <w:rPr>
          <w:lang w:eastAsia="en-AU"/>
        </w:rPr>
      </w:pPr>
      <w:r w:rsidRPr="000C04F1">
        <w:rPr>
          <w:lang w:eastAsia="en-AU"/>
        </w:rPr>
        <w:t xml:space="preserve">All documents, including the proposed Regulations and </w:t>
      </w:r>
      <w:r w:rsidRPr="007901B3">
        <w:rPr>
          <w:lang w:eastAsia="en-AU"/>
        </w:rPr>
        <w:t xml:space="preserve">RIS, </w:t>
      </w:r>
      <w:r w:rsidR="000514DD" w:rsidRPr="007901B3">
        <w:rPr>
          <w:lang w:eastAsia="en-AU"/>
        </w:rPr>
        <w:t xml:space="preserve">can be accessed via </w:t>
      </w:r>
      <w:r w:rsidR="00DD117A" w:rsidRPr="007901B3">
        <w:rPr>
          <w:lang w:eastAsia="en-AU"/>
        </w:rPr>
        <w:t>Engage Victoria</w:t>
      </w:r>
      <w:r w:rsidR="007E275A" w:rsidRPr="007901B3">
        <w:rPr>
          <w:lang w:eastAsia="en-AU"/>
        </w:rPr>
        <w:t>’s</w:t>
      </w:r>
      <w:r w:rsidR="00DD117A" w:rsidRPr="007901B3">
        <w:rPr>
          <w:lang w:eastAsia="en-AU"/>
        </w:rPr>
        <w:t xml:space="preserve"> </w:t>
      </w:r>
      <w:r w:rsidRPr="007901B3">
        <w:rPr>
          <w:lang w:eastAsia="en-AU"/>
        </w:rPr>
        <w:t>website</w:t>
      </w:r>
      <w:r w:rsidRPr="00CB51FF">
        <w:rPr>
          <w:rFonts w:cs="Segoe UI Light"/>
          <w:lang w:eastAsia="en-AU"/>
        </w:rPr>
        <w:t xml:space="preserve">: </w:t>
      </w:r>
      <w:r w:rsidR="007E275A">
        <w:rPr>
          <w:rFonts w:cs="Segoe UI Light"/>
          <w:lang w:eastAsia="en-AU"/>
        </w:rPr>
        <w:t>www.</w:t>
      </w:r>
      <w:r w:rsidR="00DD117A" w:rsidRPr="00DD117A">
        <w:rPr>
          <w:rStyle w:val="Hyperlink"/>
          <w:rFonts w:cs="Segoe UI Light"/>
          <w:b/>
          <w:bCs/>
          <w:color w:val="auto"/>
          <w:lang w:eastAsia="en-AU"/>
        </w:rPr>
        <w:t>engage.vic.gov.au</w:t>
      </w:r>
      <w:r w:rsidRPr="000C04F1">
        <w:rPr>
          <w:lang w:eastAsia="en-AU"/>
        </w:rPr>
        <w:t xml:space="preserve"> </w:t>
      </w:r>
    </w:p>
    <w:p w14:paraId="656AFCE4" w14:textId="77777777" w:rsidR="00B515F4" w:rsidRPr="00ED173F" w:rsidRDefault="00B515F4" w:rsidP="00B515F4">
      <w:pPr>
        <w:pStyle w:val="BodyText"/>
        <w:rPr>
          <w:lang w:eastAsia="en-AU"/>
        </w:rPr>
      </w:pPr>
      <w:r w:rsidRPr="00ED173F">
        <w:rPr>
          <w:lang w:eastAsia="en-AU"/>
        </w:rPr>
        <w:t xml:space="preserve">Alternatively, comments may be provided via email to the </w:t>
      </w:r>
      <w:r w:rsidRPr="007901B3">
        <w:rPr>
          <w:lang w:eastAsia="en-AU"/>
        </w:rPr>
        <w:t xml:space="preserve">following email address: </w:t>
      </w:r>
      <w:hyperlink r:id="rId20" w:history="1">
        <w:r w:rsidR="003C77E3" w:rsidRPr="00495852">
          <w:rPr>
            <w:rStyle w:val="Hyperlink"/>
          </w:rPr>
          <w:t>sublegreform@epa.vic.gov.au</w:t>
        </w:r>
      </w:hyperlink>
      <w:r w:rsidR="003C77E3" w:rsidRPr="00CB51FF">
        <w:rPr>
          <w:lang w:eastAsia="en-AU"/>
        </w:rPr>
        <w:t>.</w:t>
      </w:r>
      <w:r w:rsidRPr="00CB51FF">
        <w:rPr>
          <w:lang w:eastAsia="en-AU"/>
        </w:rPr>
        <w:t>.</w:t>
      </w:r>
    </w:p>
    <w:p w14:paraId="656AFCE5" w14:textId="77777777" w:rsidR="00B515F4" w:rsidRDefault="00B515F4" w:rsidP="00B515F4">
      <w:pPr>
        <w:pStyle w:val="BodyText"/>
        <w:rPr>
          <w:lang w:eastAsia="en-AU"/>
        </w:rPr>
      </w:pPr>
      <w:r>
        <w:rPr>
          <w:lang w:eastAsia="en-AU"/>
        </w:rPr>
        <w:t>Hard</w:t>
      </w:r>
      <w:r w:rsidR="00BD752F">
        <w:rPr>
          <w:lang w:eastAsia="en-AU"/>
        </w:rPr>
        <w:t xml:space="preserve"> </w:t>
      </w:r>
      <w:r>
        <w:rPr>
          <w:lang w:eastAsia="en-AU"/>
        </w:rPr>
        <w:t>copy submissions will also be accepted and should be addressed to:</w:t>
      </w:r>
    </w:p>
    <w:p w14:paraId="656AFCE6" w14:textId="77777777" w:rsidR="00B515F4" w:rsidRPr="00ED173F" w:rsidRDefault="0061268F" w:rsidP="00CB51FF">
      <w:pPr>
        <w:pStyle w:val="BodyText"/>
        <w:spacing w:after="0"/>
        <w:rPr>
          <w:lang w:eastAsia="en-AU"/>
        </w:rPr>
      </w:pPr>
      <w:r>
        <w:rPr>
          <w:lang w:eastAsia="en-AU"/>
        </w:rPr>
        <w:t>Director, Policy and Regulation Unit</w:t>
      </w:r>
    </w:p>
    <w:p w14:paraId="656AFCE7" w14:textId="2308EB20" w:rsidR="00B515F4" w:rsidRPr="00ED173F" w:rsidRDefault="00B515F4" w:rsidP="00CB51FF">
      <w:pPr>
        <w:pStyle w:val="BodyText"/>
        <w:spacing w:after="0"/>
        <w:rPr>
          <w:lang w:eastAsia="en-AU"/>
        </w:rPr>
      </w:pPr>
      <w:r w:rsidRPr="00ED173F">
        <w:rPr>
          <w:lang w:eastAsia="en-AU"/>
        </w:rPr>
        <w:t>EPA</w:t>
      </w:r>
      <w:r w:rsidR="00DF0273">
        <w:rPr>
          <w:lang w:eastAsia="en-AU"/>
        </w:rPr>
        <w:t xml:space="preserve"> Victoria</w:t>
      </w:r>
    </w:p>
    <w:p w14:paraId="656AFCE8" w14:textId="77777777" w:rsidR="00B515F4" w:rsidRPr="00ED173F" w:rsidRDefault="00B515F4" w:rsidP="00CB51FF">
      <w:pPr>
        <w:pStyle w:val="BodyText"/>
        <w:spacing w:after="0"/>
        <w:rPr>
          <w:lang w:eastAsia="en-AU"/>
        </w:rPr>
      </w:pPr>
      <w:r w:rsidRPr="00ED173F">
        <w:rPr>
          <w:lang w:eastAsia="en-AU"/>
        </w:rPr>
        <w:t xml:space="preserve">GPO Box </w:t>
      </w:r>
      <w:r w:rsidR="0061268F">
        <w:rPr>
          <w:lang w:eastAsia="en-AU"/>
        </w:rPr>
        <w:t>4395</w:t>
      </w:r>
    </w:p>
    <w:p w14:paraId="656AFCE9" w14:textId="77777777" w:rsidR="00B515F4" w:rsidRPr="00ED173F" w:rsidRDefault="00B515F4" w:rsidP="00ED173F">
      <w:pPr>
        <w:pStyle w:val="BodyText"/>
        <w:rPr>
          <w:lang w:eastAsia="en-AU"/>
        </w:rPr>
      </w:pPr>
      <w:r w:rsidRPr="00ED173F">
        <w:rPr>
          <w:lang w:eastAsia="en-AU"/>
        </w:rPr>
        <w:t xml:space="preserve">Melbourne, VIC, </w:t>
      </w:r>
      <w:r w:rsidR="0061268F">
        <w:rPr>
          <w:lang w:eastAsia="en-AU"/>
        </w:rPr>
        <w:t>3001</w:t>
      </w:r>
    </w:p>
    <w:p w14:paraId="656AFCEA" w14:textId="77777777" w:rsidR="00B515F4" w:rsidRPr="00ED173F" w:rsidRDefault="00B515F4" w:rsidP="00B515F4">
      <w:pPr>
        <w:pStyle w:val="BodyText"/>
        <w:rPr>
          <w:lang w:eastAsia="en-AU"/>
        </w:rPr>
      </w:pPr>
      <w:r w:rsidRPr="0009416B">
        <w:rPr>
          <w:lang w:eastAsia="en-AU"/>
        </w:rPr>
        <w:t xml:space="preserve">For further assistance about the public comment process, or to obtain copies of the RIS and proposed Regulations, please call </w:t>
      </w:r>
      <w:hyperlink r:id="rId21" w:history="1">
        <w:r w:rsidR="00EE7081" w:rsidRPr="00CB51FF">
          <w:rPr>
            <w:lang w:eastAsia="en-AU"/>
          </w:rPr>
          <w:t>1300 372 842 (1300 EPA VIC)</w:t>
        </w:r>
      </w:hyperlink>
      <w:r w:rsidRPr="0009416B">
        <w:rPr>
          <w:lang w:eastAsia="en-AU"/>
        </w:rPr>
        <w:t>.</w:t>
      </w:r>
    </w:p>
    <w:p w14:paraId="656AFCEB" w14:textId="77777777" w:rsidR="00F613EA" w:rsidRDefault="00F613EA" w:rsidP="000E7C5E">
      <w:pPr>
        <w:pStyle w:val="Heading1un-numbered"/>
      </w:pPr>
      <w:bookmarkStart w:id="66" w:name="_Toc10018318"/>
      <w:bookmarkStart w:id="67" w:name="_Toc10021425"/>
      <w:bookmarkStart w:id="68" w:name="_Toc10021839"/>
      <w:bookmarkStart w:id="69" w:name="_Toc1289232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lastRenderedPageBreak/>
        <w:t>Executive Summary</w:t>
      </w:r>
      <w:bookmarkEnd w:id="66"/>
      <w:bookmarkEnd w:id="67"/>
      <w:bookmarkEnd w:id="68"/>
      <w:bookmarkEnd w:id="69"/>
    </w:p>
    <w:p w14:paraId="656AFCEC" w14:textId="77777777" w:rsidR="008E4239" w:rsidRPr="000E3635" w:rsidRDefault="008E4239" w:rsidP="008E4239">
      <w:pPr>
        <w:ind w:right="565"/>
        <w:rPr>
          <w:rFonts w:cs="Segoe UI Light"/>
          <w:szCs w:val="20"/>
        </w:rPr>
      </w:pPr>
      <w:r w:rsidRPr="000E3635">
        <w:rPr>
          <w:rFonts w:cs="Segoe UI Light"/>
          <w:szCs w:val="20"/>
        </w:rPr>
        <w:t xml:space="preserve">The Victorian Government is modernising the Environment Protection Authority Victoria (EPA), including its governance, legislative and regulatory framework. The </w:t>
      </w:r>
      <w:r w:rsidR="00A80158">
        <w:rPr>
          <w:rFonts w:cs="Segoe UI Light"/>
          <w:szCs w:val="20"/>
        </w:rPr>
        <w:t xml:space="preserve">legislative </w:t>
      </w:r>
      <w:r w:rsidRPr="000E3635">
        <w:rPr>
          <w:rFonts w:cs="Segoe UI Light"/>
          <w:szCs w:val="20"/>
        </w:rPr>
        <w:t xml:space="preserve">reforms are being implemented through two packages: </w:t>
      </w:r>
    </w:p>
    <w:p w14:paraId="656AFCED" w14:textId="77777777" w:rsidR="008E4239" w:rsidRPr="000E3635" w:rsidRDefault="008E4239" w:rsidP="004A2442">
      <w:pPr>
        <w:numPr>
          <w:ilvl w:val="0"/>
          <w:numId w:val="26"/>
        </w:numPr>
        <w:spacing w:after="0"/>
        <w:contextualSpacing/>
      </w:pPr>
      <w:r>
        <w:t>T</w:t>
      </w:r>
      <w:r w:rsidRPr="000E3635">
        <w:t xml:space="preserve">he </w:t>
      </w:r>
      <w:r>
        <w:rPr>
          <w:i/>
        </w:rPr>
        <w:t>Environment</w:t>
      </w:r>
      <w:r w:rsidRPr="000E3635">
        <w:rPr>
          <w:i/>
        </w:rPr>
        <w:t xml:space="preserve"> Protection Act 2017</w:t>
      </w:r>
      <w:r w:rsidRPr="000E3635">
        <w:t xml:space="preserve"> (the EP Act 2017)</w:t>
      </w:r>
      <w:r w:rsidR="00A70979">
        <w:t>,</w:t>
      </w:r>
      <w:r w:rsidR="0068179C">
        <w:t xml:space="preserve"> which</w:t>
      </w:r>
      <w:r w:rsidR="00A70979">
        <w:t xml:space="preserve"> modernises EPA’s corporate governance</w:t>
      </w:r>
      <w:r w:rsidR="00765C35">
        <w:t>,</w:t>
      </w:r>
      <w:r w:rsidR="00A70979">
        <w:t xml:space="preserve"> strengthens its status </w:t>
      </w:r>
      <w:r w:rsidR="00A70979" w:rsidRPr="0093229A">
        <w:t xml:space="preserve">as </w:t>
      </w:r>
      <w:r w:rsidR="00A70979" w:rsidRPr="0090642D">
        <w:t>a</w:t>
      </w:r>
      <w:r w:rsidR="008634E6" w:rsidRPr="0090642D">
        <w:t>n independent</w:t>
      </w:r>
      <w:r w:rsidR="00A70979" w:rsidRPr="0093229A">
        <w:t xml:space="preserve"> science</w:t>
      </w:r>
      <w:r w:rsidR="00A70979">
        <w:t>-based regulator, and states that the objective of the EPA is to protect human health and the environment by reducing the harmful effects of pollution and waste</w:t>
      </w:r>
      <w:r>
        <w:t>.</w:t>
      </w:r>
    </w:p>
    <w:p w14:paraId="656AFCEE" w14:textId="77777777" w:rsidR="008E4239" w:rsidRPr="000E3635" w:rsidRDefault="008E4239" w:rsidP="004A2442">
      <w:pPr>
        <w:pStyle w:val="ListParagraph"/>
        <w:numPr>
          <w:ilvl w:val="0"/>
          <w:numId w:val="19"/>
        </w:numPr>
        <w:ind w:right="565"/>
        <w:rPr>
          <w:rFonts w:cs="Segoe UI Light"/>
          <w:szCs w:val="20"/>
        </w:rPr>
      </w:pPr>
      <w:r>
        <w:rPr>
          <w:rFonts w:cs="Segoe UI Light"/>
          <w:szCs w:val="20"/>
        </w:rPr>
        <w:t>T</w:t>
      </w:r>
      <w:r w:rsidRPr="000E3635">
        <w:rPr>
          <w:rFonts w:cs="Segoe UI Light"/>
          <w:szCs w:val="20"/>
        </w:rPr>
        <w:t xml:space="preserve">he </w:t>
      </w:r>
      <w:r w:rsidRPr="000E3635">
        <w:rPr>
          <w:rFonts w:cs="Segoe UI Light"/>
          <w:i/>
          <w:szCs w:val="20"/>
        </w:rPr>
        <w:t>Envi</w:t>
      </w:r>
      <w:r>
        <w:rPr>
          <w:rFonts w:cs="Segoe UI Light"/>
          <w:i/>
          <w:szCs w:val="20"/>
        </w:rPr>
        <w:t>ronment</w:t>
      </w:r>
      <w:r w:rsidRPr="000E3635">
        <w:rPr>
          <w:rFonts w:cs="Segoe UI Light"/>
          <w:i/>
          <w:szCs w:val="20"/>
        </w:rPr>
        <w:t xml:space="preserve"> Protection Amendment Act 2018</w:t>
      </w:r>
      <w:r w:rsidRPr="000E3635">
        <w:rPr>
          <w:rFonts w:cs="Segoe UI Light"/>
          <w:szCs w:val="20"/>
        </w:rPr>
        <w:t xml:space="preserve"> (the EP Amendment Act 2018)</w:t>
      </w:r>
      <w:r w:rsidR="00A70979">
        <w:rPr>
          <w:rFonts w:cs="Segoe UI Light"/>
          <w:szCs w:val="20"/>
        </w:rPr>
        <w:t>,</w:t>
      </w:r>
      <w:r w:rsidRPr="000E3635">
        <w:rPr>
          <w:rFonts w:cs="Segoe UI Light"/>
          <w:szCs w:val="20"/>
        </w:rPr>
        <w:t xml:space="preserve"> which will repeal the </w:t>
      </w:r>
      <w:r w:rsidRPr="000E3635">
        <w:rPr>
          <w:rFonts w:cs="Segoe UI Light"/>
          <w:i/>
          <w:szCs w:val="20"/>
        </w:rPr>
        <w:t>Environment Protection Act 1970</w:t>
      </w:r>
      <w:r w:rsidRPr="000E3635">
        <w:rPr>
          <w:rFonts w:cs="Segoe UI Light"/>
          <w:szCs w:val="20"/>
        </w:rPr>
        <w:t xml:space="preserve"> (EP Act 1970) and amend the EP Act 2017 to establish a modern </w:t>
      </w:r>
      <w:r>
        <w:rPr>
          <w:rFonts w:cs="Segoe UI Light"/>
          <w:szCs w:val="20"/>
        </w:rPr>
        <w:t xml:space="preserve">regulatory </w:t>
      </w:r>
      <w:r w:rsidRPr="000E3635">
        <w:rPr>
          <w:rFonts w:cs="Segoe UI Light"/>
          <w:szCs w:val="20"/>
        </w:rPr>
        <w:t xml:space="preserve">approach focusing on preventing waste and pollution impacts, rather than managing the impacts after they have occurred. </w:t>
      </w:r>
    </w:p>
    <w:p w14:paraId="656AFCEF" w14:textId="77777777" w:rsidR="008E4239" w:rsidRPr="000E3635" w:rsidRDefault="008E4239" w:rsidP="008E4239">
      <w:pPr>
        <w:autoSpaceDE w:val="0"/>
        <w:autoSpaceDN w:val="0"/>
        <w:adjustRightInd w:val="0"/>
        <w:spacing w:line="240" w:lineRule="auto"/>
        <w:ind w:right="-113"/>
        <w:rPr>
          <w:rFonts w:eastAsia="MS Mincho" w:cs="Segoe UI Light"/>
          <w:szCs w:val="20"/>
          <w:lang w:eastAsia="en-AU"/>
        </w:rPr>
      </w:pPr>
      <w:r w:rsidRPr="000E3635">
        <w:rPr>
          <w:rFonts w:eastAsia="MS Mincho" w:cs="Segoe UI Light"/>
          <w:szCs w:val="20"/>
          <w:lang w:eastAsia="en-AU"/>
        </w:rPr>
        <w:t xml:space="preserve">The EP Act 2017 has already been enacted, and the more significant changes contained in the EP Amendment Act 2018 are </w:t>
      </w:r>
      <w:r w:rsidR="00A80158">
        <w:rPr>
          <w:rFonts w:eastAsia="MS Mincho" w:cs="Segoe UI Light"/>
          <w:szCs w:val="20"/>
          <w:lang w:eastAsia="en-AU"/>
        </w:rPr>
        <w:t>intended</w:t>
      </w:r>
      <w:r w:rsidR="00A80158" w:rsidRPr="000E3635">
        <w:rPr>
          <w:rFonts w:eastAsia="MS Mincho" w:cs="Segoe UI Light"/>
          <w:szCs w:val="20"/>
          <w:lang w:eastAsia="en-AU"/>
        </w:rPr>
        <w:t xml:space="preserve"> </w:t>
      </w:r>
      <w:r w:rsidRPr="000E3635">
        <w:rPr>
          <w:rFonts w:eastAsia="MS Mincho" w:cs="Segoe UI Light"/>
          <w:szCs w:val="20"/>
          <w:lang w:eastAsia="en-AU"/>
        </w:rPr>
        <w:t>to take effect</w:t>
      </w:r>
      <w:r>
        <w:rPr>
          <w:rFonts w:eastAsia="MS Mincho" w:cs="Segoe UI Light"/>
          <w:szCs w:val="20"/>
          <w:lang w:eastAsia="en-AU"/>
        </w:rPr>
        <w:t xml:space="preserve"> on</w:t>
      </w:r>
      <w:r w:rsidRPr="000E3635">
        <w:rPr>
          <w:rFonts w:eastAsia="MS Mincho" w:cs="Segoe UI Light"/>
          <w:szCs w:val="20"/>
          <w:lang w:eastAsia="en-AU"/>
        </w:rPr>
        <w:t xml:space="preserve"> </w:t>
      </w:r>
      <w:r>
        <w:rPr>
          <w:rFonts w:eastAsia="MS Mincho" w:cs="Segoe UI Light"/>
          <w:szCs w:val="20"/>
          <w:lang w:eastAsia="en-AU"/>
        </w:rPr>
        <w:t xml:space="preserve">1 </w:t>
      </w:r>
      <w:r w:rsidRPr="000E3635">
        <w:rPr>
          <w:rFonts w:eastAsia="MS Mincho" w:cs="Segoe UI Light"/>
          <w:szCs w:val="20"/>
          <w:lang w:eastAsia="en-AU"/>
        </w:rPr>
        <w:t>July 2020.</w:t>
      </w:r>
      <w:r>
        <w:rPr>
          <w:rFonts w:eastAsia="MS Mincho" w:cs="Segoe UI Light"/>
          <w:szCs w:val="20"/>
          <w:lang w:eastAsia="en-AU"/>
        </w:rPr>
        <w:t xml:space="preserve"> The </w:t>
      </w:r>
      <w:r>
        <w:rPr>
          <w:rFonts w:cs="Segoe UI Light"/>
        </w:rPr>
        <w:t xml:space="preserve">EP Act 2017, as amended by the </w:t>
      </w:r>
      <w:r w:rsidRPr="009A6560">
        <w:rPr>
          <w:rFonts w:cs="Segoe UI Light"/>
        </w:rPr>
        <w:t>EP Amendment Act 2018</w:t>
      </w:r>
      <w:r>
        <w:rPr>
          <w:rFonts w:cs="Segoe UI Light"/>
        </w:rPr>
        <w:t>, is referred to as the “new EP legislation” throughout this document.</w:t>
      </w:r>
    </w:p>
    <w:p w14:paraId="656AFCF0" w14:textId="7746DDEE" w:rsidR="000C18C5" w:rsidRDefault="00467F61" w:rsidP="000C18C5">
      <w:pPr>
        <w:ind w:right="565"/>
        <w:rPr>
          <w:rFonts w:cs="Segoe UI Light"/>
        </w:rPr>
      </w:pPr>
      <w:r w:rsidRPr="00951752">
        <w:rPr>
          <w:rFonts w:cs="Segoe UI Light"/>
        </w:rPr>
        <w:t>The next phase of the reform is</w:t>
      </w:r>
      <w:r w:rsidR="000C18C5" w:rsidRPr="00951752">
        <w:rPr>
          <w:rFonts w:cs="Segoe UI Light"/>
        </w:rPr>
        <w:t xml:space="preserve"> to</w:t>
      </w:r>
      <w:r w:rsidR="000C18C5" w:rsidRPr="000E3635">
        <w:rPr>
          <w:rFonts w:cs="Segoe UI Light"/>
        </w:rPr>
        <w:t xml:space="preserve"> consider the nature of any new </w:t>
      </w:r>
      <w:r w:rsidR="005E6E61">
        <w:rPr>
          <w:rFonts w:cs="Segoe UI Light"/>
        </w:rPr>
        <w:t>E</w:t>
      </w:r>
      <w:r w:rsidR="000C18C5" w:rsidRPr="000E3635">
        <w:rPr>
          <w:rFonts w:cs="Segoe UI Light"/>
        </w:rPr>
        <w:t xml:space="preserve">nvironment </w:t>
      </w:r>
      <w:r w:rsidR="005E6E61">
        <w:rPr>
          <w:rFonts w:cs="Segoe UI Light"/>
        </w:rPr>
        <w:t>P</w:t>
      </w:r>
      <w:r w:rsidR="000C18C5" w:rsidRPr="000E3635">
        <w:rPr>
          <w:rFonts w:cs="Segoe UI Light"/>
        </w:rPr>
        <w:t xml:space="preserve">rotection </w:t>
      </w:r>
      <w:r w:rsidR="005E6E61">
        <w:rPr>
          <w:rFonts w:cs="Segoe UI Light"/>
        </w:rPr>
        <w:t>R</w:t>
      </w:r>
      <w:r w:rsidR="000C18C5" w:rsidRPr="000E3635">
        <w:rPr>
          <w:rFonts w:cs="Segoe UI Light"/>
        </w:rPr>
        <w:t>egulations</w:t>
      </w:r>
      <w:r w:rsidR="0090642D">
        <w:rPr>
          <w:rFonts w:cs="Segoe UI Light"/>
        </w:rPr>
        <w:t xml:space="preserve"> and </w:t>
      </w:r>
      <w:r w:rsidR="005E6E61">
        <w:rPr>
          <w:rFonts w:cs="Segoe UI Light"/>
        </w:rPr>
        <w:t>the E</w:t>
      </w:r>
      <w:r w:rsidR="0090642D">
        <w:rPr>
          <w:rFonts w:cs="Segoe UI Light"/>
        </w:rPr>
        <w:t xml:space="preserve">nvironment </w:t>
      </w:r>
      <w:r w:rsidR="005E6E61">
        <w:rPr>
          <w:rFonts w:cs="Segoe UI Light"/>
        </w:rPr>
        <w:t>P</w:t>
      </w:r>
      <w:r w:rsidR="0090642D">
        <w:rPr>
          <w:rFonts w:cs="Segoe UI Light"/>
        </w:rPr>
        <w:t xml:space="preserve">rotection </w:t>
      </w:r>
      <w:r w:rsidR="005E6E61">
        <w:rPr>
          <w:rFonts w:cs="Segoe UI Light"/>
        </w:rPr>
        <w:t>T</w:t>
      </w:r>
      <w:r w:rsidR="0090642D">
        <w:rPr>
          <w:rFonts w:cs="Segoe UI Light"/>
        </w:rPr>
        <w:t xml:space="preserve">ransitional </w:t>
      </w:r>
      <w:r w:rsidR="005E6E61">
        <w:rPr>
          <w:rFonts w:cs="Segoe UI Light"/>
        </w:rPr>
        <w:t>R</w:t>
      </w:r>
      <w:r w:rsidR="0090642D">
        <w:rPr>
          <w:rFonts w:cs="Segoe UI Light"/>
        </w:rPr>
        <w:t>egulations</w:t>
      </w:r>
      <w:r w:rsidR="000C18C5">
        <w:rPr>
          <w:rFonts w:cs="Segoe UI Light"/>
        </w:rPr>
        <w:t xml:space="preserve"> (proposed Regulations)</w:t>
      </w:r>
      <w:r w:rsidR="000C18C5" w:rsidRPr="000E3635">
        <w:rPr>
          <w:rFonts w:cs="Segoe UI Light"/>
        </w:rPr>
        <w:t xml:space="preserve">. Such regulations may be required to support the </w:t>
      </w:r>
      <w:r w:rsidR="000C18C5">
        <w:rPr>
          <w:rFonts w:cs="Segoe UI Light"/>
        </w:rPr>
        <w:t>new EP legislation</w:t>
      </w:r>
      <w:r w:rsidR="000C18C5" w:rsidRPr="000E3635">
        <w:rPr>
          <w:rFonts w:cs="Segoe UI Light"/>
        </w:rPr>
        <w:t xml:space="preserve"> and EPA to achieve </w:t>
      </w:r>
      <w:r w:rsidR="00A80158">
        <w:rPr>
          <w:rFonts w:cs="Segoe UI Light"/>
        </w:rPr>
        <w:t xml:space="preserve">their </w:t>
      </w:r>
      <w:r w:rsidR="000C18C5" w:rsidRPr="000E3635">
        <w:rPr>
          <w:rFonts w:cs="Segoe UI Light"/>
        </w:rPr>
        <w:t xml:space="preserve">objective of </w:t>
      </w:r>
      <w:r w:rsidR="0076174B">
        <w:rPr>
          <w:rFonts w:cs="Segoe UI Light"/>
        </w:rPr>
        <w:t xml:space="preserve">protecting </w:t>
      </w:r>
      <w:r w:rsidR="000C18C5" w:rsidRPr="000E3635">
        <w:rPr>
          <w:rFonts w:cs="Segoe UI Light"/>
        </w:rPr>
        <w:t xml:space="preserve">human health and the environment </w:t>
      </w:r>
      <w:r w:rsidR="0076174B">
        <w:rPr>
          <w:rFonts w:cs="Segoe UI Light"/>
        </w:rPr>
        <w:t xml:space="preserve">by reducing the harmful effects of </w:t>
      </w:r>
      <w:r w:rsidR="000C18C5" w:rsidRPr="000E3635">
        <w:rPr>
          <w:rFonts w:cs="Segoe UI Light"/>
        </w:rPr>
        <w:t>pollution and waste.</w:t>
      </w:r>
    </w:p>
    <w:p w14:paraId="0890E052" w14:textId="4570849B" w:rsidR="00890AD3" w:rsidRPr="00890AD3" w:rsidRDefault="00890AD3" w:rsidP="0027653A">
      <w:pPr>
        <w:rPr>
          <w:rFonts w:cs="Segoe UI Light"/>
        </w:rPr>
      </w:pPr>
      <w:r w:rsidRPr="00890AD3">
        <w:rPr>
          <w:rFonts w:cs="Segoe UI Light"/>
        </w:rPr>
        <w:t xml:space="preserve">In accordance with the provisions of the </w:t>
      </w:r>
      <w:r w:rsidRPr="00890AD3">
        <w:rPr>
          <w:rFonts w:cs="Segoe UI Light"/>
          <w:i/>
          <w:iCs/>
        </w:rPr>
        <w:t>Subordinate Legislation Act 1994</w:t>
      </w:r>
      <w:r w:rsidRPr="00890AD3">
        <w:rPr>
          <w:rFonts w:cs="Segoe UI Light"/>
        </w:rPr>
        <w:t xml:space="preserve"> (SL Act), a Regulatory Impact Statement (RIS) must be prepared for any proposed regulations (unless the criteria for an exemption is met, as prescribed in the SL Act)</w:t>
      </w:r>
      <w:r>
        <w:rPr>
          <w:rFonts w:cs="Segoe UI Light"/>
        </w:rPr>
        <w:t>.</w:t>
      </w:r>
      <w:r w:rsidRPr="00890AD3">
        <w:rPr>
          <w:rFonts w:cs="Segoe UI Light"/>
        </w:rPr>
        <w:t xml:space="preserve"> </w:t>
      </w:r>
    </w:p>
    <w:p w14:paraId="656AFCF2" w14:textId="3F0A489F" w:rsidR="0027653A" w:rsidRPr="007A7DB2" w:rsidRDefault="000C18C5" w:rsidP="0027653A">
      <w:pPr>
        <w:rPr>
          <w:rFonts w:cs="Segoe UI Light"/>
        </w:rPr>
      </w:pPr>
      <w:r>
        <w:t>This</w:t>
      </w:r>
      <w:r w:rsidRPr="000E3635">
        <w:t xml:space="preserve"> RIS </w:t>
      </w:r>
      <w:r>
        <w:t xml:space="preserve">has been prepared </w:t>
      </w:r>
      <w:r w:rsidRPr="000E3635">
        <w:t xml:space="preserve">in accordance with the </w:t>
      </w:r>
      <w:r w:rsidRPr="5DA0151C">
        <w:rPr>
          <w:i/>
        </w:rPr>
        <w:t>Victorian Guide to Regulation,</w:t>
      </w:r>
      <w:r w:rsidRPr="000E3635">
        <w:rPr>
          <w:vertAlign w:val="superscript"/>
        </w:rPr>
        <w:footnoteReference w:id="2"/>
      </w:r>
      <w:r w:rsidRPr="000E3635">
        <w:t xml:space="preserve"> which provides a best practice approach to analysing any proposed regulatory intervention. This RIS estimates the impact of the proposed Regulations</w:t>
      </w:r>
      <w:r w:rsidRPr="5DA0151C">
        <w:rPr>
          <w:i/>
        </w:rPr>
        <w:t xml:space="preserve"> </w:t>
      </w:r>
      <w:r w:rsidRPr="000E3635">
        <w:t>on Victorian businesses</w:t>
      </w:r>
      <w:r w:rsidR="00A80158">
        <w:t>,</w:t>
      </w:r>
      <w:r w:rsidRPr="000E3635">
        <w:t xml:space="preserve"> </w:t>
      </w:r>
      <w:r w:rsidR="5DA0151C" w:rsidRPr="000E3635">
        <w:t xml:space="preserve">the </w:t>
      </w:r>
      <w:r w:rsidRPr="000E3635">
        <w:t>community</w:t>
      </w:r>
      <w:r w:rsidR="00A80158">
        <w:t xml:space="preserve"> and environment</w:t>
      </w:r>
      <w:r w:rsidRPr="000E3635">
        <w:t>.</w:t>
      </w:r>
      <w:r w:rsidR="00A80158">
        <w:t xml:space="preserve"> R</w:t>
      </w:r>
      <w:r>
        <w:t xml:space="preserve">ather than considering </w:t>
      </w:r>
      <w:r w:rsidR="00A80158">
        <w:t xml:space="preserve">proposed </w:t>
      </w:r>
      <w:r>
        <w:t>regulations in terms of incremental changes from regulations that are currently in place</w:t>
      </w:r>
      <w:r w:rsidR="00A80158">
        <w:t xml:space="preserve">, their impact has been estimated relative to a </w:t>
      </w:r>
      <w:r w:rsidR="000050A1">
        <w:t>counter</w:t>
      </w:r>
      <w:r w:rsidR="00496CE6">
        <w:t>-</w:t>
      </w:r>
      <w:r w:rsidR="000050A1">
        <w:t xml:space="preserve">factual </w:t>
      </w:r>
      <w:r w:rsidR="00A80158">
        <w:t>scenario where</w:t>
      </w:r>
      <w:r w:rsidR="000050A1">
        <w:t xml:space="preserve"> </w:t>
      </w:r>
      <w:r w:rsidR="000050A1" w:rsidRPr="00127A61">
        <w:rPr>
          <w:rFonts w:cs="Segoe UI Light"/>
        </w:rPr>
        <w:t>the new EP legislatio</w:t>
      </w:r>
      <w:r w:rsidR="000050A1" w:rsidRPr="00D97812">
        <w:rPr>
          <w:rFonts w:cs="Segoe UI Light"/>
        </w:rPr>
        <w:t>n</w:t>
      </w:r>
      <w:r w:rsidR="000050A1" w:rsidRPr="000B2793">
        <w:rPr>
          <w:rFonts w:cs="Segoe UI Light"/>
        </w:rPr>
        <w:t xml:space="preserve"> applies but there are no regulations to supplement it</w:t>
      </w:r>
      <w:r>
        <w:t>.</w:t>
      </w:r>
      <w:r w:rsidR="0027653A">
        <w:t xml:space="preserve"> </w:t>
      </w:r>
      <w:r w:rsidR="000050A1">
        <w:t xml:space="preserve">This counter-factual scenario </w:t>
      </w:r>
      <w:r w:rsidR="0027653A">
        <w:t>assume</w:t>
      </w:r>
      <w:r w:rsidR="000050A1">
        <w:t xml:space="preserve">s, however, that </w:t>
      </w:r>
      <w:r w:rsidR="004F3B3A">
        <w:t xml:space="preserve">business practices would continue to be influenced by the </w:t>
      </w:r>
      <w:r w:rsidR="0027653A">
        <w:t>existing “state of knowledge”</w:t>
      </w:r>
      <w:r w:rsidR="000050A1">
        <w:t xml:space="preserve"> </w:t>
      </w:r>
      <w:r w:rsidR="004F3B3A">
        <w:t xml:space="preserve">of good environmental practice and good management of harms. This </w:t>
      </w:r>
      <w:r w:rsidR="0027653A" w:rsidRPr="00127A61">
        <w:rPr>
          <w:rFonts w:cs="Segoe UI Light"/>
        </w:rPr>
        <w:t>includ</w:t>
      </w:r>
      <w:r w:rsidR="000050A1" w:rsidRPr="00D97812">
        <w:rPr>
          <w:rFonts w:cs="Segoe UI Light"/>
        </w:rPr>
        <w:t>es</w:t>
      </w:r>
      <w:r w:rsidR="0027653A" w:rsidRPr="00127A61">
        <w:rPr>
          <w:rFonts w:cs="Segoe UI Light"/>
        </w:rPr>
        <w:t xml:space="preserve"> the understanding</w:t>
      </w:r>
      <w:r w:rsidR="004E16B1">
        <w:rPr>
          <w:rFonts w:cs="Segoe UI Light"/>
        </w:rPr>
        <w:t xml:space="preserve"> of, </w:t>
      </w:r>
      <w:r w:rsidR="0027653A" w:rsidRPr="000B2793">
        <w:rPr>
          <w:rFonts w:cs="Segoe UI Light"/>
        </w:rPr>
        <w:t>and arrangements organisation</w:t>
      </w:r>
      <w:r w:rsidR="0027653A" w:rsidRPr="0026504A">
        <w:rPr>
          <w:rFonts w:cs="Segoe UI Light"/>
        </w:rPr>
        <w:t>s</w:t>
      </w:r>
      <w:r w:rsidR="0027653A" w:rsidRPr="00ED397A">
        <w:t xml:space="preserve"> </w:t>
      </w:r>
      <w:r w:rsidR="0027653A" w:rsidRPr="00127A61">
        <w:rPr>
          <w:rFonts w:cs="Segoe UI Light"/>
        </w:rPr>
        <w:t>have in place to comply with</w:t>
      </w:r>
      <w:r w:rsidR="004E16B1">
        <w:rPr>
          <w:rFonts w:cs="Segoe UI Light"/>
        </w:rPr>
        <w:t>,</w:t>
      </w:r>
      <w:r w:rsidR="0027653A" w:rsidRPr="000B2793">
        <w:rPr>
          <w:rFonts w:cs="Segoe UI Light"/>
        </w:rPr>
        <w:t xml:space="preserve"> the current regulatory framework</w:t>
      </w:r>
      <w:r w:rsidR="0027653A" w:rsidRPr="0026504A">
        <w:rPr>
          <w:rFonts w:cs="Segoe UI Light"/>
        </w:rPr>
        <w:t xml:space="preserve">. </w:t>
      </w:r>
    </w:p>
    <w:p w14:paraId="656AFCF3" w14:textId="08F62470" w:rsidR="008E4239" w:rsidRPr="00FD526C" w:rsidRDefault="008E4239" w:rsidP="00982D63">
      <w:pPr>
        <w:pStyle w:val="Heading2un-numbered"/>
        <w:numPr>
          <w:ilvl w:val="0"/>
          <w:numId w:val="0"/>
        </w:numPr>
        <w:ind w:left="576"/>
      </w:pPr>
      <w:r>
        <w:t xml:space="preserve">Findings of Independent Inquiry into </w:t>
      </w:r>
      <w:r w:rsidR="007B237C">
        <w:t>Environment Protection Authority Victoria</w:t>
      </w:r>
    </w:p>
    <w:p w14:paraId="656AFCF4" w14:textId="77777777" w:rsidR="008E4239" w:rsidRPr="00FD526C" w:rsidRDefault="008E4239" w:rsidP="0027653A">
      <w:pPr>
        <w:autoSpaceDE w:val="0"/>
        <w:autoSpaceDN w:val="0"/>
        <w:adjustRightInd w:val="0"/>
        <w:spacing w:after="0" w:line="240" w:lineRule="auto"/>
        <w:rPr>
          <w:rFonts w:cs="Segoe UI Light"/>
          <w:szCs w:val="20"/>
        </w:rPr>
      </w:pPr>
      <w:r w:rsidRPr="00FD526C">
        <w:rPr>
          <w:rFonts w:cs="Segoe UI Light"/>
          <w:szCs w:val="20"/>
        </w:rPr>
        <w:t xml:space="preserve">In 2015, a Ministerial Advisory Committee (MAC) conducted an Independent Inquiry into </w:t>
      </w:r>
      <w:r w:rsidR="000514DD">
        <w:rPr>
          <w:rFonts w:cs="Segoe UI Light"/>
          <w:szCs w:val="20"/>
        </w:rPr>
        <w:t xml:space="preserve">the </w:t>
      </w:r>
      <w:r w:rsidRPr="00FD526C">
        <w:rPr>
          <w:rFonts w:cs="Segoe UI Light"/>
          <w:szCs w:val="20"/>
        </w:rPr>
        <w:t>EPA (the EPA Inquiry).</w:t>
      </w:r>
    </w:p>
    <w:p w14:paraId="656AFCF5" w14:textId="77777777" w:rsidR="008E4239" w:rsidRPr="00B70E30" w:rsidRDefault="008E4239" w:rsidP="008E4239">
      <w:pPr>
        <w:autoSpaceDE w:val="0"/>
        <w:autoSpaceDN w:val="0"/>
        <w:adjustRightInd w:val="0"/>
        <w:spacing w:before="120" w:after="0" w:line="240" w:lineRule="auto"/>
        <w:rPr>
          <w:rFonts w:cs="Segoe UI Light"/>
          <w:szCs w:val="20"/>
        </w:rPr>
      </w:pPr>
      <w:r w:rsidRPr="00B70E30">
        <w:rPr>
          <w:rFonts w:cs="Segoe UI Light"/>
          <w:szCs w:val="20"/>
        </w:rPr>
        <w:t>The</w:t>
      </w:r>
      <w:r w:rsidR="00496CE6">
        <w:rPr>
          <w:rFonts w:cs="Segoe UI Light"/>
          <w:szCs w:val="20"/>
        </w:rPr>
        <w:t xml:space="preserve"> then</w:t>
      </w:r>
      <w:r w:rsidRPr="00B70E30">
        <w:rPr>
          <w:rFonts w:cs="Segoe UI Light"/>
          <w:szCs w:val="20"/>
        </w:rPr>
        <w:t xml:space="preserve"> Minister for Environment, Climate Change and Water asked the MAC to examine and advise on what </w:t>
      </w:r>
      <w:r w:rsidR="00496CE6">
        <w:rPr>
          <w:rFonts w:cs="Segoe UI Light"/>
          <w:szCs w:val="20"/>
        </w:rPr>
        <w:t xml:space="preserve">the EPA needs </w:t>
      </w:r>
      <w:r w:rsidRPr="00B70E30">
        <w:rPr>
          <w:rFonts w:cs="Segoe UI Light"/>
          <w:szCs w:val="20"/>
        </w:rPr>
        <w:t xml:space="preserve">to address both present </w:t>
      </w:r>
      <w:r>
        <w:rPr>
          <w:rFonts w:cs="Segoe UI Light"/>
          <w:szCs w:val="20"/>
        </w:rPr>
        <w:t>and future environmental risks.</w:t>
      </w:r>
      <w:r w:rsidRPr="00B70E30">
        <w:rPr>
          <w:rFonts w:cs="Segoe UI Light"/>
          <w:szCs w:val="20"/>
          <w:vertAlign w:val="superscript"/>
        </w:rPr>
        <w:footnoteReference w:id="3"/>
      </w:r>
    </w:p>
    <w:p w14:paraId="656AFCF6" w14:textId="77777777" w:rsidR="008E4239" w:rsidRPr="004B2262" w:rsidRDefault="008E4239" w:rsidP="00930C22">
      <w:pPr>
        <w:autoSpaceDE w:val="0"/>
        <w:autoSpaceDN w:val="0"/>
        <w:adjustRightInd w:val="0"/>
        <w:spacing w:before="120" w:after="0" w:line="240" w:lineRule="auto"/>
        <w:rPr>
          <w:rFonts w:cs="Segoe UI Light"/>
        </w:rPr>
      </w:pPr>
      <w:r w:rsidRPr="00930C22">
        <w:rPr>
          <w:rFonts w:cs="Segoe UI Light"/>
        </w:rPr>
        <w:t xml:space="preserve">The </w:t>
      </w:r>
      <w:r w:rsidR="00AA757D" w:rsidRPr="00930C22">
        <w:rPr>
          <w:rFonts w:cs="Segoe UI Light"/>
        </w:rPr>
        <w:t>MAC</w:t>
      </w:r>
      <w:r w:rsidRPr="00B76B8F">
        <w:rPr>
          <w:rFonts w:cs="Segoe UI Light"/>
        </w:rPr>
        <w:t>’s Final Report</w:t>
      </w:r>
      <w:r w:rsidRPr="00930C22">
        <w:rPr>
          <w:rStyle w:val="FootnoteReference"/>
          <w:rFonts w:cs="Segoe UI Light"/>
        </w:rPr>
        <w:footnoteReference w:id="4"/>
      </w:r>
      <w:r w:rsidRPr="00930C22">
        <w:rPr>
          <w:rFonts w:cs="Segoe UI Light"/>
        </w:rPr>
        <w:t xml:space="preserve"> observed that the legislative framework</w:t>
      </w:r>
      <w:r w:rsidRPr="00B76B8F">
        <w:rPr>
          <w:rFonts w:cs="Segoe UI Light"/>
        </w:rPr>
        <w:t xml:space="preserve"> </w:t>
      </w:r>
      <w:r w:rsidR="00F167B3" w:rsidRPr="00B76B8F">
        <w:rPr>
          <w:rFonts w:cs="Segoe UI Light"/>
        </w:rPr>
        <w:t>under the EP Act 1970</w:t>
      </w:r>
      <w:r w:rsidRPr="00B76B8F">
        <w:rPr>
          <w:rFonts w:cs="Segoe UI Light"/>
        </w:rPr>
        <w:t xml:space="preserve"> was not </w:t>
      </w:r>
      <w:r w:rsidRPr="00930C22">
        <w:rPr>
          <w:rFonts w:cs="Segoe UI Light"/>
        </w:rPr>
        <w:t>meet</w:t>
      </w:r>
      <w:r w:rsidR="00F167B3" w:rsidRPr="00B76B8F">
        <w:rPr>
          <w:rFonts w:cs="Segoe UI Light"/>
        </w:rPr>
        <w:t>ing</w:t>
      </w:r>
      <w:r w:rsidRPr="00B76B8F">
        <w:rPr>
          <w:rFonts w:cs="Segoe UI Light"/>
        </w:rPr>
        <w:t xml:space="preserve"> the community’s expectations, particularly in light of major trends and emerging challenges</w:t>
      </w:r>
      <w:r w:rsidR="007B237C">
        <w:rPr>
          <w:rFonts w:cs="Segoe UI Light"/>
        </w:rPr>
        <w:t xml:space="preserve"> such as</w:t>
      </w:r>
      <w:r w:rsidRPr="00B76B8F">
        <w:rPr>
          <w:rFonts w:cs="Segoe UI Light"/>
        </w:rPr>
        <w:t>:</w:t>
      </w:r>
    </w:p>
    <w:p w14:paraId="656AFCF7" w14:textId="77777777" w:rsidR="008E4239" w:rsidRPr="008E4239" w:rsidRDefault="008E4239" w:rsidP="004A2442">
      <w:pPr>
        <w:pStyle w:val="ListParagraph"/>
        <w:numPr>
          <w:ilvl w:val="0"/>
          <w:numId w:val="19"/>
        </w:numPr>
        <w:autoSpaceDE w:val="0"/>
        <w:autoSpaceDN w:val="0"/>
        <w:adjustRightInd w:val="0"/>
        <w:spacing w:before="120" w:after="0" w:line="240" w:lineRule="auto"/>
        <w:rPr>
          <w:rFonts w:cs="Segoe UI Light"/>
          <w:szCs w:val="20"/>
        </w:rPr>
      </w:pPr>
      <w:r w:rsidRPr="008E4239">
        <w:rPr>
          <w:rFonts w:cs="Segoe UI Light"/>
          <w:szCs w:val="20"/>
        </w:rPr>
        <w:t>The changing economy including the transition from a manufacturing to service-based economy.</w:t>
      </w:r>
    </w:p>
    <w:p w14:paraId="656AFCF8" w14:textId="77777777" w:rsidR="008E4239" w:rsidRPr="008E4239" w:rsidRDefault="008E4239" w:rsidP="004A2442">
      <w:pPr>
        <w:pStyle w:val="ListParagraph"/>
        <w:numPr>
          <w:ilvl w:val="0"/>
          <w:numId w:val="19"/>
        </w:numPr>
        <w:autoSpaceDE w:val="0"/>
        <w:autoSpaceDN w:val="0"/>
        <w:adjustRightInd w:val="0"/>
        <w:spacing w:before="120" w:after="0" w:line="240" w:lineRule="auto"/>
        <w:rPr>
          <w:rFonts w:cs="Segoe UI Light"/>
          <w:szCs w:val="20"/>
        </w:rPr>
      </w:pPr>
      <w:r w:rsidRPr="008E4239">
        <w:rPr>
          <w:rFonts w:cs="Segoe UI Light"/>
          <w:szCs w:val="20"/>
        </w:rPr>
        <w:t>Rapid population growth and urbanisation.</w:t>
      </w:r>
    </w:p>
    <w:p w14:paraId="656AFCF9" w14:textId="77777777" w:rsidR="008E4239" w:rsidRPr="008E4239" w:rsidRDefault="008E4239" w:rsidP="004A2442">
      <w:pPr>
        <w:pStyle w:val="ListParagraph"/>
        <w:numPr>
          <w:ilvl w:val="0"/>
          <w:numId w:val="19"/>
        </w:numPr>
        <w:autoSpaceDE w:val="0"/>
        <w:autoSpaceDN w:val="0"/>
        <w:adjustRightInd w:val="0"/>
        <w:spacing w:before="120" w:after="0" w:line="240" w:lineRule="auto"/>
        <w:rPr>
          <w:rFonts w:cs="Segoe UI Light"/>
          <w:szCs w:val="20"/>
        </w:rPr>
      </w:pPr>
      <w:r w:rsidRPr="008E4239">
        <w:rPr>
          <w:rFonts w:cs="Segoe UI Light"/>
          <w:szCs w:val="20"/>
        </w:rPr>
        <w:lastRenderedPageBreak/>
        <w:t>The changing environment.</w:t>
      </w:r>
    </w:p>
    <w:p w14:paraId="656AFCFA" w14:textId="77777777" w:rsidR="008E4239" w:rsidRPr="008E4239" w:rsidRDefault="008E4239" w:rsidP="004A2442">
      <w:pPr>
        <w:pStyle w:val="ListParagraph"/>
        <w:numPr>
          <w:ilvl w:val="0"/>
          <w:numId w:val="19"/>
        </w:numPr>
        <w:autoSpaceDE w:val="0"/>
        <w:autoSpaceDN w:val="0"/>
        <w:adjustRightInd w:val="0"/>
        <w:spacing w:before="120" w:after="0" w:line="240" w:lineRule="auto"/>
        <w:rPr>
          <w:rFonts w:cs="Segoe UI Light"/>
          <w:szCs w:val="20"/>
        </w:rPr>
      </w:pPr>
      <w:r w:rsidRPr="008E4239">
        <w:rPr>
          <w:rFonts w:cs="Segoe UI Light"/>
          <w:szCs w:val="20"/>
        </w:rPr>
        <w:t>Technological change.</w:t>
      </w:r>
      <w:r w:rsidRPr="008E4239">
        <w:rPr>
          <w:rFonts w:cs="Segoe UI Light"/>
          <w:szCs w:val="20"/>
          <w:vertAlign w:val="superscript"/>
        </w:rPr>
        <w:t xml:space="preserve"> </w:t>
      </w:r>
      <w:r w:rsidRPr="00FD526C">
        <w:rPr>
          <w:rFonts w:cs="Segoe UI Light"/>
          <w:szCs w:val="20"/>
          <w:vertAlign w:val="superscript"/>
        </w:rPr>
        <w:footnoteReference w:id="5"/>
      </w:r>
    </w:p>
    <w:p w14:paraId="656AFCFB" w14:textId="77777777" w:rsidR="000C18C5" w:rsidRDefault="00A55130" w:rsidP="000C18C5">
      <w:pPr>
        <w:autoSpaceDE w:val="0"/>
        <w:autoSpaceDN w:val="0"/>
        <w:adjustRightInd w:val="0"/>
        <w:spacing w:before="120" w:after="0" w:line="240" w:lineRule="auto"/>
      </w:pPr>
      <w:r w:rsidRPr="00930C22">
        <w:rPr>
          <w:rFonts w:cs="Segoe UI Light"/>
        </w:rPr>
        <w:t xml:space="preserve">The MAC recommended an overhaul of Victoria’s environment protection legislation and the introduction of a </w:t>
      </w:r>
      <w:r w:rsidR="000C18C5" w:rsidRPr="00930C22">
        <w:rPr>
          <w:rFonts w:cs="Segoe UI Light"/>
        </w:rPr>
        <w:t>general duty to minimise risks of harm to human health and the environment</w:t>
      </w:r>
      <w:r w:rsidR="023F613A" w:rsidRPr="004B2262">
        <w:rPr>
          <w:rFonts w:cs="Segoe UI Light"/>
        </w:rPr>
        <w:t>, as t</w:t>
      </w:r>
      <w:r w:rsidR="023F613A" w:rsidRPr="00323DB0">
        <w:rPr>
          <w:rFonts w:cs="Segoe UI Light"/>
        </w:rPr>
        <w:t>he cornerstone of</w:t>
      </w:r>
      <w:r w:rsidR="000C18C5" w:rsidRPr="023F613A">
        <w:rPr>
          <w:rFonts w:cs="Segoe UI Light"/>
        </w:rPr>
        <w:t xml:space="preserve"> </w:t>
      </w:r>
      <w:r w:rsidR="00617BA1" w:rsidRPr="00930C22">
        <w:rPr>
          <w:rFonts w:cs="Segoe UI Light"/>
        </w:rPr>
        <w:t>a</w:t>
      </w:r>
      <w:r w:rsidR="00617BA1" w:rsidRPr="004B2262">
        <w:rPr>
          <w:rFonts w:cs="Segoe UI Light"/>
        </w:rPr>
        <w:t xml:space="preserve"> </w:t>
      </w:r>
      <w:r w:rsidR="000C18C5" w:rsidRPr="00323DB0">
        <w:rPr>
          <w:rFonts w:cs="Segoe UI Light"/>
        </w:rPr>
        <w:t>preventative focus for EPA (Recommendation 12.1)</w:t>
      </w:r>
      <w:r w:rsidR="000C18C5" w:rsidRPr="023F613A">
        <w:rPr>
          <w:rFonts w:cs="Segoe UI Light"/>
        </w:rPr>
        <w:t>.</w:t>
      </w:r>
      <w:r w:rsidR="000C18C5" w:rsidRPr="00930C22">
        <w:rPr>
          <w:rFonts w:cs="Segoe UI Light"/>
          <w:vertAlign w:val="superscript"/>
        </w:rPr>
        <w:footnoteReference w:id="6"/>
      </w:r>
      <w:r w:rsidR="000C18C5" w:rsidRPr="00930C22">
        <w:rPr>
          <w:rFonts w:cs="Segoe UI Light"/>
        </w:rPr>
        <w:t xml:space="preserve"> </w:t>
      </w:r>
      <w:r w:rsidR="000C18C5" w:rsidRPr="004B2262">
        <w:rPr>
          <w:rFonts w:cs="Segoe UI Light"/>
        </w:rPr>
        <w:t xml:space="preserve">The </w:t>
      </w:r>
      <w:r w:rsidR="00617BA1" w:rsidRPr="00930C22">
        <w:rPr>
          <w:rFonts w:cs="Segoe UI Light"/>
        </w:rPr>
        <w:t>MAC</w:t>
      </w:r>
      <w:r w:rsidR="000C18C5" w:rsidRPr="004B2262">
        <w:rPr>
          <w:rFonts w:cs="Segoe UI Light"/>
        </w:rPr>
        <w:t xml:space="preserve"> also made specific recommendations in relation to contaminated land and waste management</w:t>
      </w:r>
      <w:r w:rsidR="009D792B" w:rsidRPr="00323DB0">
        <w:rPr>
          <w:rFonts w:cs="Segoe UI Light"/>
        </w:rPr>
        <w:t xml:space="preserve"> that </w:t>
      </w:r>
      <w:r w:rsidR="009D792B" w:rsidRPr="00B03B72">
        <w:rPr>
          <w:rFonts w:cs="Segoe UI Light"/>
        </w:rPr>
        <w:t>are relevant to the proposed Regulations</w:t>
      </w:r>
      <w:r w:rsidR="000C18C5" w:rsidRPr="009C0A12">
        <w:rPr>
          <w:rFonts w:cs="Segoe UI Light"/>
        </w:rPr>
        <w:t>.</w:t>
      </w:r>
      <w:r w:rsidR="000C18C5" w:rsidRPr="00930C22">
        <w:rPr>
          <w:rFonts w:cs="Segoe UI Light"/>
          <w:vertAlign w:val="superscript"/>
        </w:rPr>
        <w:footnoteReference w:id="7"/>
      </w:r>
    </w:p>
    <w:p w14:paraId="656AFCFC" w14:textId="77777777" w:rsidR="008E4239" w:rsidRPr="00AF5948" w:rsidRDefault="008E4239" w:rsidP="00982D63">
      <w:pPr>
        <w:pStyle w:val="Heading2un-numbered"/>
        <w:numPr>
          <w:ilvl w:val="0"/>
          <w:numId w:val="0"/>
        </w:numPr>
        <w:ind w:left="576"/>
      </w:pPr>
      <w:r>
        <w:t>Legislative reform</w:t>
      </w:r>
    </w:p>
    <w:p w14:paraId="656AFCFD" w14:textId="77777777" w:rsidR="00250201" w:rsidRPr="00930C22" w:rsidRDefault="00250201" w:rsidP="00250201">
      <w:pPr>
        <w:ind w:right="565"/>
        <w:rPr>
          <w:rFonts w:cs="Segoe UI Light"/>
        </w:rPr>
      </w:pPr>
      <w:r w:rsidRPr="00930C22">
        <w:rPr>
          <w:rFonts w:cs="Segoe UI Light"/>
        </w:rPr>
        <w:t xml:space="preserve">The Government’s response to </w:t>
      </w:r>
      <w:r w:rsidR="000514DD" w:rsidRPr="004B2262">
        <w:rPr>
          <w:rFonts w:cs="Segoe UI Light"/>
        </w:rPr>
        <w:t>the EPA</w:t>
      </w:r>
      <w:r w:rsidRPr="00323DB0">
        <w:rPr>
          <w:rFonts w:cs="Segoe UI Light"/>
        </w:rPr>
        <w:t xml:space="preserve"> Inquiry</w:t>
      </w:r>
      <w:r w:rsidRPr="6785D2AD">
        <w:rPr>
          <w:rFonts w:cs="Segoe UI Light"/>
        </w:rPr>
        <w:t xml:space="preserve"> endorsed </w:t>
      </w:r>
      <w:r w:rsidR="6785D2AD" w:rsidRPr="6785D2AD">
        <w:rPr>
          <w:rFonts w:cs="Segoe UI Light"/>
        </w:rPr>
        <w:t>a</w:t>
      </w:r>
      <w:r w:rsidRPr="00930C22">
        <w:rPr>
          <w:rFonts w:cs="Segoe UI Light"/>
        </w:rPr>
        <w:t xml:space="preserve"> vision of </w:t>
      </w:r>
      <w:r w:rsidRPr="00323DB0">
        <w:rPr>
          <w:rFonts w:cs="Segoe UI Light"/>
        </w:rPr>
        <w:t>EPA</w:t>
      </w:r>
      <w:r w:rsidRPr="6785D2AD">
        <w:rPr>
          <w:rFonts w:cs="Segoe UI Light"/>
        </w:rPr>
        <w:t xml:space="preserve">’s approach </w:t>
      </w:r>
      <w:r w:rsidR="6785D2AD" w:rsidRPr="6785D2AD">
        <w:rPr>
          <w:rFonts w:cs="Segoe UI Light"/>
        </w:rPr>
        <w:t xml:space="preserve">being </w:t>
      </w:r>
      <w:r w:rsidRPr="00930C22">
        <w:rPr>
          <w:rFonts w:cs="Segoe UI Light"/>
        </w:rPr>
        <w:t xml:space="preserve">prevention of harm, and the reforms are intended to deliver modern, fit-for-purpose </w:t>
      </w:r>
      <w:r w:rsidRPr="004B2262">
        <w:rPr>
          <w:rFonts w:cs="Segoe UI Light"/>
        </w:rPr>
        <w:t>legislation to support this.</w:t>
      </w:r>
      <w:r w:rsidRPr="00930C22">
        <w:rPr>
          <w:rFonts w:cs="Segoe UI Light"/>
          <w:vertAlign w:val="superscript"/>
        </w:rPr>
        <w:footnoteReference w:id="8"/>
      </w:r>
    </w:p>
    <w:p w14:paraId="656AFCFE" w14:textId="77777777" w:rsidR="000C18C5" w:rsidRPr="00B70E30" w:rsidRDefault="000C18C5" w:rsidP="000C18C5">
      <w:r w:rsidRPr="00B70E30">
        <w:t>The</w:t>
      </w:r>
      <w:r w:rsidR="00A55130">
        <w:t xml:space="preserve"> new</w:t>
      </w:r>
      <w:r w:rsidRPr="00B70E30">
        <w:t xml:space="preserve"> EP </w:t>
      </w:r>
      <w:r w:rsidR="00A55130">
        <w:t xml:space="preserve">legislation </w:t>
      </w:r>
      <w:r w:rsidRPr="00B70E30">
        <w:t xml:space="preserve">is </w:t>
      </w:r>
      <w:r w:rsidR="006F2B70">
        <w:t>intended</w:t>
      </w:r>
      <w:r w:rsidR="006F2B70" w:rsidRPr="00B70E30">
        <w:t xml:space="preserve"> </w:t>
      </w:r>
      <w:r w:rsidRPr="00B70E30">
        <w:t xml:space="preserve">to come into operation on 1 July 2020. Until then, the EP Act 1970 and the current EP Act 2017 will apply. </w:t>
      </w:r>
      <w:r>
        <w:t>With the</w:t>
      </w:r>
      <w:r w:rsidR="00852412">
        <w:t xml:space="preserve"> repeal of the EP Act 1970, most</w:t>
      </w:r>
      <w:r>
        <w:t xml:space="preserve"> existing</w:t>
      </w:r>
      <w:r w:rsidRPr="00B70E30">
        <w:t xml:space="preserve"> </w:t>
      </w:r>
      <w:r>
        <w:rPr>
          <w:rFonts w:cs="Segoe UI Light"/>
        </w:rPr>
        <w:t>State Environment Protection Policies</w:t>
      </w:r>
      <w:r>
        <w:t xml:space="preserve">, Waste Management Policies and </w:t>
      </w:r>
      <w:r w:rsidRPr="00B70E30">
        <w:t>Regulations will cease to operate</w:t>
      </w:r>
      <w:r w:rsidR="007B237C">
        <w:t>.</w:t>
      </w:r>
      <w:r w:rsidR="00852412">
        <w:rPr>
          <w:rStyle w:val="FootnoteReference"/>
        </w:rPr>
        <w:footnoteReference w:id="9"/>
      </w:r>
    </w:p>
    <w:p w14:paraId="656AFCFF" w14:textId="77777777" w:rsidR="000C18C5" w:rsidRPr="009C0A12" w:rsidRDefault="000C18C5" w:rsidP="000C18C5">
      <w:pPr>
        <w:ind w:right="565"/>
        <w:rPr>
          <w:rFonts w:cs="Segoe UI Light"/>
        </w:rPr>
      </w:pPr>
      <w:r w:rsidRPr="004B2262">
        <w:rPr>
          <w:rFonts w:cs="Segoe UI Light"/>
        </w:rPr>
        <w:t>The primary objective of the legislative reforms is to reduce harm, and the risk of harm, to human h</w:t>
      </w:r>
      <w:r w:rsidRPr="00323DB0">
        <w:rPr>
          <w:rFonts w:cs="Segoe UI Light"/>
        </w:rPr>
        <w:t xml:space="preserve">ealth and the environment from pollution and waste. Consistent with </w:t>
      </w:r>
      <w:r w:rsidRPr="00B03B72">
        <w:rPr>
          <w:rFonts w:cs="Segoe UI Light"/>
        </w:rPr>
        <w:t xml:space="preserve">the </w:t>
      </w:r>
      <w:r w:rsidR="000845E2" w:rsidRPr="004B2262">
        <w:rPr>
          <w:rFonts w:cs="Segoe UI Light"/>
        </w:rPr>
        <w:t>MAC</w:t>
      </w:r>
      <w:r w:rsidRPr="00323DB0">
        <w:rPr>
          <w:rFonts w:cs="Segoe UI Light"/>
        </w:rPr>
        <w:t>’s recommendations, a cornerstone of the new</w:t>
      </w:r>
      <w:r w:rsidRPr="00B03B72">
        <w:rPr>
          <w:rFonts w:cs="Segoe UI Light"/>
        </w:rPr>
        <w:t xml:space="preserve"> legislative framework</w:t>
      </w:r>
      <w:r w:rsidRPr="009C0A12">
        <w:rPr>
          <w:rFonts w:cs="Segoe UI Light"/>
        </w:rPr>
        <w:t xml:space="preserve"> is the establishment of a general environmental duty (GED). </w:t>
      </w:r>
      <w:r>
        <w:t xml:space="preserve">The GED requires business, industry and the community (anyone </w:t>
      </w:r>
      <w:r w:rsidRPr="00A8570F">
        <w:t>conducting an activity that poses risks to human health and the environment) to unders</w:t>
      </w:r>
      <w:r>
        <w:t xml:space="preserve">tand and minimise those risks. </w:t>
      </w:r>
      <w:r w:rsidRPr="00A8570F">
        <w:t xml:space="preserve">The GED provides </w:t>
      </w:r>
      <w:r w:rsidRPr="00D30B5B">
        <w:t>EPA with a more effective tool to deal with poor industry practices and drive investment in preventative measures</w:t>
      </w:r>
      <w:r>
        <w:t>.</w:t>
      </w:r>
      <w:r w:rsidRPr="004B2262">
        <w:rPr>
          <w:rFonts w:cs="Segoe UI Light"/>
        </w:rPr>
        <w:t xml:space="preserve"> This is a similar model of protection </w:t>
      </w:r>
      <w:r w:rsidRPr="00323DB0">
        <w:rPr>
          <w:rFonts w:cs="Segoe UI Light"/>
        </w:rPr>
        <w:t>e</w:t>
      </w:r>
      <w:r w:rsidRPr="00B03B72">
        <w:rPr>
          <w:rFonts w:cs="Segoe UI Light"/>
        </w:rPr>
        <w:t>stablished</w:t>
      </w:r>
      <w:r w:rsidRPr="009C0A12">
        <w:rPr>
          <w:rFonts w:cs="Segoe UI Light"/>
        </w:rPr>
        <w:t xml:space="preserve"> </w:t>
      </w:r>
      <w:r w:rsidR="03E88B4A" w:rsidRPr="03E88B4A">
        <w:rPr>
          <w:rFonts w:cs="Segoe UI Light"/>
        </w:rPr>
        <w:t>in</w:t>
      </w:r>
      <w:r w:rsidRPr="002D5B34">
        <w:rPr>
          <w:rFonts w:cs="Segoe UI Light"/>
        </w:rPr>
        <w:t xml:space="preserve"> </w:t>
      </w:r>
      <w:r w:rsidRPr="004B2262">
        <w:rPr>
          <w:rFonts w:cs="Segoe UI Light"/>
        </w:rPr>
        <w:t xml:space="preserve">Victoria’s occupational health and safety laws. Other key features of the new legislative framework </w:t>
      </w:r>
      <w:r w:rsidRPr="00323DB0">
        <w:rPr>
          <w:rFonts w:cs="Segoe UI Light"/>
        </w:rPr>
        <w:t>a</w:t>
      </w:r>
      <w:r w:rsidRPr="00B03B72">
        <w:rPr>
          <w:rFonts w:cs="Segoe UI Light"/>
        </w:rPr>
        <w:t xml:space="preserve">re: </w:t>
      </w:r>
    </w:p>
    <w:p w14:paraId="656AFD00" w14:textId="77777777" w:rsidR="000C18C5" w:rsidRPr="00B70E30" w:rsidRDefault="000C18C5" w:rsidP="000C18C5">
      <w:pPr>
        <w:numPr>
          <w:ilvl w:val="0"/>
          <w:numId w:val="12"/>
        </w:numPr>
        <w:ind w:right="565"/>
        <w:contextualSpacing/>
        <w:rPr>
          <w:rFonts w:cs="Segoe UI Light"/>
          <w:szCs w:val="20"/>
        </w:rPr>
      </w:pPr>
      <w:r w:rsidRPr="00B70E30">
        <w:rPr>
          <w:rFonts w:cs="Segoe UI Light"/>
          <w:szCs w:val="20"/>
        </w:rPr>
        <w:t xml:space="preserve">Introduction of a duty to notify </w:t>
      </w:r>
      <w:r>
        <w:rPr>
          <w:rFonts w:cs="Segoe UI Light"/>
          <w:szCs w:val="20"/>
        </w:rPr>
        <w:t>EPA</w:t>
      </w:r>
      <w:r w:rsidRPr="00B70E30">
        <w:rPr>
          <w:rFonts w:cs="Segoe UI Light"/>
          <w:szCs w:val="20"/>
        </w:rPr>
        <w:t xml:space="preserve"> of pollution incidents</w:t>
      </w:r>
      <w:r>
        <w:rPr>
          <w:rFonts w:cs="Segoe UI Light"/>
          <w:szCs w:val="20"/>
        </w:rPr>
        <w:t>.</w:t>
      </w:r>
    </w:p>
    <w:p w14:paraId="656AFD01" w14:textId="77777777" w:rsidR="000C18C5" w:rsidRPr="00B70E30" w:rsidRDefault="000C18C5" w:rsidP="000C18C5">
      <w:pPr>
        <w:numPr>
          <w:ilvl w:val="0"/>
          <w:numId w:val="12"/>
        </w:numPr>
        <w:ind w:right="565"/>
        <w:contextualSpacing/>
        <w:rPr>
          <w:rFonts w:cs="Segoe UI Light"/>
          <w:szCs w:val="20"/>
        </w:rPr>
      </w:pPr>
      <w:r w:rsidRPr="00B70E30">
        <w:rPr>
          <w:rFonts w:cs="Segoe UI Light"/>
          <w:szCs w:val="20"/>
        </w:rPr>
        <w:t>A new duty to manage</w:t>
      </w:r>
      <w:r>
        <w:rPr>
          <w:rFonts w:cs="Segoe UI Light"/>
          <w:szCs w:val="20"/>
        </w:rPr>
        <w:t xml:space="preserve"> </w:t>
      </w:r>
      <w:r w:rsidRPr="00B70E30">
        <w:rPr>
          <w:rFonts w:cs="Segoe UI Light"/>
          <w:szCs w:val="20"/>
        </w:rPr>
        <w:t>contaminated sites</w:t>
      </w:r>
      <w:r>
        <w:rPr>
          <w:rFonts w:cs="Segoe UI Light"/>
          <w:szCs w:val="20"/>
        </w:rPr>
        <w:t>, and</w:t>
      </w:r>
      <w:r w:rsidR="00197820">
        <w:rPr>
          <w:rFonts w:cs="Segoe UI Light"/>
          <w:szCs w:val="20"/>
        </w:rPr>
        <w:t>,</w:t>
      </w:r>
      <w:r>
        <w:rPr>
          <w:rFonts w:cs="Segoe UI Light"/>
          <w:szCs w:val="20"/>
        </w:rPr>
        <w:t xml:space="preserve"> </w:t>
      </w:r>
      <w:r>
        <w:t xml:space="preserve">in instances of </w:t>
      </w:r>
      <w:r w:rsidRPr="00B71672">
        <w:t xml:space="preserve">contamination </w:t>
      </w:r>
      <w:r>
        <w:t xml:space="preserve">that </w:t>
      </w:r>
      <w:r w:rsidRPr="00B71672">
        <w:t>may pose a significant risk to human health or the environment</w:t>
      </w:r>
      <w:r w:rsidR="00197820">
        <w:t>,</w:t>
      </w:r>
      <w:r w:rsidRPr="00B71672">
        <w:t xml:space="preserve"> to notify EPA</w:t>
      </w:r>
      <w:r>
        <w:rPr>
          <w:rFonts w:cs="Segoe UI Light"/>
          <w:szCs w:val="20"/>
        </w:rPr>
        <w:t>.</w:t>
      </w:r>
    </w:p>
    <w:p w14:paraId="656AFD02" w14:textId="77777777" w:rsidR="000C18C5" w:rsidRDefault="000C18C5" w:rsidP="000C18C5">
      <w:pPr>
        <w:numPr>
          <w:ilvl w:val="0"/>
          <w:numId w:val="12"/>
        </w:numPr>
        <w:ind w:right="565"/>
        <w:contextualSpacing/>
        <w:rPr>
          <w:rFonts w:cs="Segoe UI Light"/>
          <w:szCs w:val="20"/>
        </w:rPr>
      </w:pPr>
      <w:r w:rsidRPr="00B70E30">
        <w:rPr>
          <w:rFonts w:cs="Segoe UI Light"/>
          <w:szCs w:val="20"/>
        </w:rPr>
        <w:t xml:space="preserve">The introduction of </w:t>
      </w:r>
      <w:r>
        <w:rPr>
          <w:rFonts w:cs="Segoe UI Light"/>
          <w:szCs w:val="20"/>
        </w:rPr>
        <w:t>industrial waste duties and complementary offences,</w:t>
      </w:r>
      <w:r w:rsidRPr="00B70E30">
        <w:rPr>
          <w:rFonts w:cs="Segoe UI Light"/>
          <w:szCs w:val="20"/>
        </w:rPr>
        <w:t xml:space="preserve"> which require that businesses must demonstrate that reasonable steps were taken to ensure industrial waste is taken to a place with lawful authority</w:t>
      </w:r>
      <w:r>
        <w:rPr>
          <w:rFonts w:cs="Segoe UI Light"/>
          <w:szCs w:val="20"/>
        </w:rPr>
        <w:t xml:space="preserve">. A </w:t>
      </w:r>
      <w:r w:rsidRPr="00B70E30">
        <w:rPr>
          <w:rFonts w:cs="Segoe UI Light"/>
          <w:szCs w:val="20"/>
        </w:rPr>
        <w:t>new waste management obligation for priority wastes has</w:t>
      </w:r>
      <w:r>
        <w:rPr>
          <w:rFonts w:cs="Segoe UI Light"/>
          <w:szCs w:val="20"/>
        </w:rPr>
        <w:t xml:space="preserve"> also</w:t>
      </w:r>
      <w:r w:rsidRPr="00B70E30">
        <w:rPr>
          <w:rFonts w:cs="Segoe UI Light"/>
          <w:szCs w:val="20"/>
        </w:rPr>
        <w:t xml:space="preserve"> been introduced.</w:t>
      </w:r>
    </w:p>
    <w:p w14:paraId="656AFD03" w14:textId="77777777" w:rsidR="000C18C5" w:rsidRPr="00B70E30" w:rsidRDefault="000C18C5" w:rsidP="000C18C5">
      <w:pPr>
        <w:numPr>
          <w:ilvl w:val="0"/>
          <w:numId w:val="12"/>
        </w:numPr>
        <w:ind w:right="565"/>
        <w:contextualSpacing/>
        <w:rPr>
          <w:rFonts w:cs="Segoe UI Light"/>
          <w:szCs w:val="20"/>
        </w:rPr>
      </w:pPr>
      <w:r>
        <w:rPr>
          <w:rFonts w:cs="Segoe UI Light"/>
          <w:szCs w:val="20"/>
        </w:rPr>
        <w:t xml:space="preserve">A </w:t>
      </w:r>
      <w:r w:rsidRPr="0008713A">
        <w:rPr>
          <w:rFonts w:cs="Segoe UI Light"/>
          <w:szCs w:val="20"/>
        </w:rPr>
        <w:t>new penalty system incorporating custodial sentences in the most serious of</w:t>
      </w:r>
      <w:r>
        <w:rPr>
          <w:rFonts w:cs="Segoe UI Light"/>
          <w:szCs w:val="20"/>
        </w:rPr>
        <w:t xml:space="preserve"> waste</w:t>
      </w:r>
      <w:r w:rsidRPr="0008713A">
        <w:rPr>
          <w:rFonts w:cs="Segoe UI Light"/>
          <w:szCs w:val="20"/>
        </w:rPr>
        <w:t xml:space="preserve"> offences</w:t>
      </w:r>
      <w:r>
        <w:rPr>
          <w:rFonts w:cs="Segoe UI Light"/>
          <w:szCs w:val="20"/>
        </w:rPr>
        <w:t>.</w:t>
      </w:r>
      <w:r w:rsidRPr="0008713A">
        <w:rPr>
          <w:rFonts w:cs="Segoe UI Light"/>
          <w:szCs w:val="20"/>
        </w:rPr>
        <w:t xml:space="preserve"> </w:t>
      </w:r>
    </w:p>
    <w:p w14:paraId="656AFD04" w14:textId="77777777" w:rsidR="000C18C5" w:rsidRPr="00B70E30" w:rsidRDefault="000C18C5" w:rsidP="000C18C5">
      <w:pPr>
        <w:numPr>
          <w:ilvl w:val="0"/>
          <w:numId w:val="12"/>
        </w:numPr>
        <w:ind w:right="565"/>
        <w:contextualSpacing/>
        <w:rPr>
          <w:rFonts w:cs="Segoe UI Light"/>
          <w:szCs w:val="20"/>
        </w:rPr>
      </w:pPr>
      <w:r w:rsidRPr="00B70E30">
        <w:rPr>
          <w:rFonts w:cs="Segoe UI Light"/>
          <w:szCs w:val="20"/>
        </w:rPr>
        <w:t>Introduction of a new tailored and proportionate framework of controls for dealing with hazardous or mismanaged wastes and wastes with materials recovery potential</w:t>
      </w:r>
      <w:r>
        <w:rPr>
          <w:rFonts w:cs="Segoe UI Light"/>
          <w:szCs w:val="20"/>
        </w:rPr>
        <w:t>.</w:t>
      </w:r>
    </w:p>
    <w:p w14:paraId="656AFD05" w14:textId="77777777" w:rsidR="000C18C5" w:rsidRPr="00B70E30" w:rsidRDefault="000C18C5" w:rsidP="000C18C5">
      <w:pPr>
        <w:numPr>
          <w:ilvl w:val="0"/>
          <w:numId w:val="12"/>
        </w:numPr>
        <w:spacing w:after="0"/>
        <w:ind w:right="565"/>
        <w:contextualSpacing/>
        <w:rPr>
          <w:szCs w:val="20"/>
        </w:rPr>
      </w:pPr>
      <w:r w:rsidRPr="00B70E30">
        <w:rPr>
          <w:rFonts w:cs="Segoe UI Light"/>
          <w:szCs w:val="20"/>
        </w:rPr>
        <w:t>Introduction of a three-tiered permissions framework consisting of registrations, permits and licences</w:t>
      </w:r>
      <w:r>
        <w:rPr>
          <w:rFonts w:cs="Segoe UI Light"/>
          <w:szCs w:val="20"/>
        </w:rPr>
        <w:t>.</w:t>
      </w:r>
    </w:p>
    <w:p w14:paraId="656AFD06" w14:textId="77777777" w:rsidR="000C18C5" w:rsidRPr="00735701" w:rsidRDefault="001B537F" w:rsidP="000C18C5">
      <w:pPr>
        <w:numPr>
          <w:ilvl w:val="0"/>
          <w:numId w:val="12"/>
        </w:numPr>
        <w:ind w:right="565"/>
        <w:contextualSpacing/>
        <w:rPr>
          <w:strike/>
        </w:rPr>
      </w:pPr>
      <w:r>
        <w:rPr>
          <w:rFonts w:cs="Segoe UI Light"/>
          <w:szCs w:val="20"/>
        </w:rPr>
        <w:t>G</w:t>
      </w:r>
      <w:r w:rsidR="000C18C5" w:rsidRPr="00B70E30">
        <w:rPr>
          <w:rFonts w:cs="Segoe UI Light"/>
          <w:szCs w:val="20"/>
        </w:rPr>
        <w:t xml:space="preserve">reater capacity </w:t>
      </w:r>
      <w:r>
        <w:rPr>
          <w:rFonts w:cs="Segoe UI Light"/>
          <w:szCs w:val="20"/>
        </w:rPr>
        <w:t>for councils and police</w:t>
      </w:r>
      <w:r w:rsidR="000C18C5" w:rsidRPr="00B70E30">
        <w:rPr>
          <w:rFonts w:cs="Segoe UI Light"/>
          <w:szCs w:val="20"/>
        </w:rPr>
        <w:t xml:space="preserve"> to respond to unreasonable and aggravated noise in various contexts</w:t>
      </w:r>
      <w:r w:rsidR="000C18C5">
        <w:rPr>
          <w:rFonts w:cs="Segoe UI Light"/>
          <w:szCs w:val="20"/>
        </w:rPr>
        <w:t>.</w:t>
      </w:r>
    </w:p>
    <w:p w14:paraId="656AFD07" w14:textId="77777777" w:rsidR="000C18C5" w:rsidRPr="00B70E30" w:rsidRDefault="000C18C5" w:rsidP="000C18C5">
      <w:pPr>
        <w:numPr>
          <w:ilvl w:val="0"/>
          <w:numId w:val="12"/>
        </w:numPr>
        <w:spacing w:after="0"/>
        <w:ind w:right="565"/>
        <w:contextualSpacing/>
        <w:rPr>
          <w:rFonts w:cs="Segoe UI Light"/>
          <w:szCs w:val="20"/>
        </w:rPr>
      </w:pPr>
      <w:r w:rsidRPr="00B70E30">
        <w:rPr>
          <w:rFonts w:cs="Segoe UI Light"/>
          <w:szCs w:val="20"/>
        </w:rPr>
        <w:t xml:space="preserve">Duty to remediate harm – additional legal powers for </w:t>
      </w:r>
      <w:r>
        <w:rPr>
          <w:rFonts w:cs="Segoe UI Light"/>
          <w:szCs w:val="20"/>
        </w:rPr>
        <w:t>EPA</w:t>
      </w:r>
      <w:r w:rsidRPr="00B70E30">
        <w:rPr>
          <w:rFonts w:cs="Segoe UI Light"/>
          <w:szCs w:val="20"/>
        </w:rPr>
        <w:t xml:space="preserve"> to work with site operators to plan for site closure and to require management of post-closure risks over extended periods of time</w:t>
      </w:r>
      <w:r>
        <w:rPr>
          <w:rFonts w:cs="Segoe UI Light"/>
          <w:szCs w:val="20"/>
        </w:rPr>
        <w:t>.</w:t>
      </w:r>
    </w:p>
    <w:p w14:paraId="656AFD08" w14:textId="77777777" w:rsidR="000C18C5" w:rsidRPr="00B70E30" w:rsidRDefault="000C18C5" w:rsidP="000C18C5">
      <w:pPr>
        <w:pStyle w:val="ListParagraph"/>
        <w:numPr>
          <w:ilvl w:val="0"/>
          <w:numId w:val="19"/>
        </w:numPr>
        <w:ind w:right="565"/>
        <w:rPr>
          <w:szCs w:val="20"/>
        </w:rPr>
      </w:pPr>
      <w:r w:rsidRPr="00B70E30">
        <w:rPr>
          <w:rFonts w:cs="Segoe UI Light"/>
          <w:szCs w:val="20"/>
        </w:rPr>
        <w:t>New volume-based litter offences with increased penalties.</w:t>
      </w:r>
    </w:p>
    <w:p w14:paraId="656AFD09" w14:textId="77777777" w:rsidR="00D763A6" w:rsidRPr="00FD526C" w:rsidRDefault="00D763A6" w:rsidP="00D763A6">
      <w:pPr>
        <w:mirrorIndents/>
      </w:pPr>
      <w:r>
        <w:rPr>
          <w:rFonts w:cs="Segoe UI Light"/>
          <w:szCs w:val="22"/>
        </w:rPr>
        <w:t>The</w:t>
      </w:r>
      <w:r w:rsidRPr="00827D05" w:rsidDel="00D9086A">
        <w:rPr>
          <w:rFonts w:cs="Segoe UI Light"/>
          <w:szCs w:val="22"/>
        </w:rPr>
        <w:t xml:space="preserve"> </w:t>
      </w:r>
      <w:r>
        <w:rPr>
          <w:rFonts w:cs="Segoe UI Light"/>
          <w:szCs w:val="22"/>
        </w:rPr>
        <w:t xml:space="preserve">new EP legislation introduces a new legislative instrument called </w:t>
      </w:r>
      <w:r>
        <w:rPr>
          <w:rFonts w:cs="Segoe UI Light"/>
        </w:rPr>
        <w:t>an</w:t>
      </w:r>
      <w:r w:rsidRPr="003637AC">
        <w:rPr>
          <w:rFonts w:cs="Segoe UI Light"/>
        </w:rPr>
        <w:t xml:space="preserve"> </w:t>
      </w:r>
      <w:r w:rsidRPr="00827D05">
        <w:rPr>
          <w:rFonts w:cs="Segoe UI Light"/>
          <w:szCs w:val="22"/>
        </w:rPr>
        <w:t xml:space="preserve">Environment Reference </w:t>
      </w:r>
      <w:r w:rsidRPr="001170FC">
        <w:rPr>
          <w:rFonts w:cs="Segoe UI Light"/>
        </w:rPr>
        <w:t>Standard</w:t>
      </w:r>
      <w:r w:rsidRPr="00827D05">
        <w:rPr>
          <w:rFonts w:cs="Segoe UI Light"/>
          <w:szCs w:val="22"/>
        </w:rPr>
        <w:t xml:space="preserve"> (ERS)</w:t>
      </w:r>
      <w:r>
        <w:rPr>
          <w:rFonts w:cs="Segoe UI Light"/>
          <w:szCs w:val="22"/>
        </w:rPr>
        <w:t xml:space="preserve">. The </w:t>
      </w:r>
      <w:r w:rsidRPr="0008713A">
        <w:rPr>
          <w:rFonts w:cs="Segoe UI Light"/>
          <w:szCs w:val="22"/>
        </w:rPr>
        <w:t xml:space="preserve">purpose of the </w:t>
      </w:r>
      <w:r>
        <w:rPr>
          <w:rFonts w:cs="Segoe UI Light"/>
          <w:szCs w:val="22"/>
        </w:rPr>
        <w:t xml:space="preserve">ERS is to set </w:t>
      </w:r>
      <w:r w:rsidRPr="0008713A">
        <w:rPr>
          <w:rFonts w:cs="Segoe UI Light"/>
          <w:szCs w:val="22"/>
        </w:rPr>
        <w:t>environmental values for the community, in a clear and accessible way, to help achieve and protect the environmental outco</w:t>
      </w:r>
      <w:r>
        <w:rPr>
          <w:rFonts w:cs="Segoe UI Light"/>
          <w:szCs w:val="22"/>
        </w:rPr>
        <w:t>mes sought by all Victorians.</w:t>
      </w:r>
      <w:r>
        <w:t xml:space="preserve"> A draft ERS has been prepared, however it is not examined</w:t>
      </w:r>
      <w:r w:rsidRPr="00205C2E">
        <w:t xml:space="preserve"> as part of the </w:t>
      </w:r>
      <w:r>
        <w:t xml:space="preserve">RIS </w:t>
      </w:r>
      <w:r w:rsidRPr="00205C2E">
        <w:t xml:space="preserve">as </w:t>
      </w:r>
      <w:r>
        <w:t>it is not a</w:t>
      </w:r>
      <w:r w:rsidRPr="00205C2E">
        <w:t xml:space="preserve"> regulatio</w:t>
      </w:r>
      <w:r>
        <w:t>n. It is</w:t>
      </w:r>
      <w:r w:rsidRPr="00205C2E">
        <w:t xml:space="preserve"> subject to </w:t>
      </w:r>
      <w:r>
        <w:t>its</w:t>
      </w:r>
      <w:r w:rsidRPr="00205C2E">
        <w:t xml:space="preserve"> own impact assessment</w:t>
      </w:r>
      <w:r>
        <w:t xml:space="preserve">, </w:t>
      </w:r>
      <w:r w:rsidRPr="00FD526C">
        <w:t xml:space="preserve">reflecting the scientific origins </w:t>
      </w:r>
      <w:r>
        <w:t>of the standards it contains</w:t>
      </w:r>
      <w:r w:rsidRPr="00FD526C">
        <w:t xml:space="preserve">. More information about </w:t>
      </w:r>
      <w:r>
        <w:t xml:space="preserve">the </w:t>
      </w:r>
      <w:r w:rsidRPr="00FD526C">
        <w:t xml:space="preserve">ERS is provided </w:t>
      </w:r>
      <w:r w:rsidRPr="00710F8E">
        <w:t xml:space="preserve">in </w:t>
      </w:r>
      <w:r w:rsidRPr="00CB51FF">
        <w:t xml:space="preserve">Appendix </w:t>
      </w:r>
      <w:r w:rsidR="007901B3" w:rsidRPr="002E0185">
        <w:t>1</w:t>
      </w:r>
      <w:r w:rsidR="00C36F1B" w:rsidRPr="002E0185">
        <w:t>.</w:t>
      </w:r>
    </w:p>
    <w:p w14:paraId="656AFD0A" w14:textId="77777777" w:rsidR="00E918F0" w:rsidRPr="00710F8E" w:rsidRDefault="00E918F0" w:rsidP="00982D63">
      <w:pPr>
        <w:pStyle w:val="Heading2un-numbered"/>
        <w:numPr>
          <w:ilvl w:val="0"/>
          <w:numId w:val="0"/>
        </w:numPr>
        <w:ind w:left="576"/>
      </w:pPr>
      <w:r w:rsidRPr="00710F8E">
        <w:lastRenderedPageBreak/>
        <w:t>Problem being addressed in this RIS</w:t>
      </w:r>
    </w:p>
    <w:p w14:paraId="656AFD0B" w14:textId="77777777" w:rsidR="00A05752" w:rsidRDefault="00A05752" w:rsidP="00A05752">
      <w:pPr>
        <w:ind w:right="293"/>
        <w:rPr>
          <w:rFonts w:cs="Segoe UI Light"/>
        </w:rPr>
      </w:pPr>
      <w:r>
        <w:rPr>
          <w:rFonts w:cs="Segoe UI Light"/>
        </w:rPr>
        <w:t>The new EP legislation provides a broad and flexible legislative framework which aims to better manage waste and pollution risks. Establishing the GED shifts pollution and waste management in Victoria from a more ‘reactive’ framework to a 'preventative’ framework, which will require duty holders to take all reasonable steps to minimise the risk of harm to the environment from waste generation activities and to avoid or minimise pollution so far as reasonably practicable.</w:t>
      </w:r>
      <w:r w:rsidRPr="007A49A5">
        <w:rPr>
          <w:rFonts w:cs="Segoe UI Light"/>
        </w:rPr>
        <w:t xml:space="preserve"> </w:t>
      </w:r>
      <w:r>
        <w:rPr>
          <w:rFonts w:cs="Segoe UI Light"/>
        </w:rPr>
        <w:t xml:space="preserve">The risks and opportunities associated with waste management will be further managed under new industrial waste and priority waste duties. The GED and waste duties will work in conjunction with targeted permissions and </w:t>
      </w:r>
      <w:r>
        <w:t>contaminated land framework and supporting compliance instruments, and alongside the ERS</w:t>
      </w:r>
      <w:r>
        <w:rPr>
          <w:rFonts w:cs="Segoe UI Light"/>
        </w:rPr>
        <w:t xml:space="preserve">. </w:t>
      </w:r>
    </w:p>
    <w:p w14:paraId="656AFD0C" w14:textId="77777777" w:rsidR="00A05752" w:rsidRPr="002240FF" w:rsidRDefault="00A05752" w:rsidP="00A05752">
      <w:pPr>
        <w:ind w:right="293"/>
        <w:rPr>
          <w:rFonts w:cs="Segoe UI Light"/>
        </w:rPr>
      </w:pPr>
      <w:r w:rsidRPr="00435DA2">
        <w:rPr>
          <w:rFonts w:cs="Segoe UI Light"/>
        </w:rPr>
        <w:t xml:space="preserve">The general nature of these duties means that they cover a very wide variety of circumstances and risks, whereas the </w:t>
      </w:r>
      <w:r>
        <w:rPr>
          <w:rFonts w:cs="Segoe UI Light"/>
        </w:rPr>
        <w:t>proposed R</w:t>
      </w:r>
      <w:r w:rsidRPr="00435DA2">
        <w:rPr>
          <w:rFonts w:cs="Segoe UI Light"/>
        </w:rPr>
        <w:t>egulations focus on a subset of those risks</w:t>
      </w:r>
      <w:r>
        <w:rPr>
          <w:rFonts w:cs="Segoe UI Light"/>
        </w:rPr>
        <w:t xml:space="preserve"> of harm</w:t>
      </w:r>
      <w:r w:rsidRPr="00435DA2">
        <w:rPr>
          <w:rFonts w:cs="Segoe UI Light"/>
        </w:rPr>
        <w:t>.</w:t>
      </w:r>
      <w:r>
        <w:rPr>
          <w:rFonts w:cs="Segoe UI Light"/>
        </w:rPr>
        <w:t xml:space="preserve"> </w:t>
      </w:r>
    </w:p>
    <w:p w14:paraId="656AFD0D" w14:textId="77777777" w:rsidR="00E66588" w:rsidRPr="0009416B" w:rsidRDefault="000C18C5" w:rsidP="000C18C5">
      <w:pPr>
        <w:ind w:right="293"/>
      </w:pPr>
      <w:r w:rsidRPr="000F7DF7">
        <w:rPr>
          <w:rFonts w:cs="Segoe UI Light"/>
        </w:rPr>
        <w:t>Under the new EP legislation, there will remain a number of residual risks where additional government intervention should be considered.</w:t>
      </w:r>
      <w:r w:rsidRPr="0009416B">
        <w:rPr>
          <w:rFonts w:cs="Segoe UI Light"/>
        </w:rPr>
        <w:t xml:space="preserve"> </w:t>
      </w:r>
      <w:r w:rsidR="00E66588" w:rsidRPr="0009416B">
        <w:rPr>
          <w:rFonts w:cs="Segoe UI Light"/>
        </w:rPr>
        <w:t>These residual</w:t>
      </w:r>
      <w:r w:rsidR="00E66588" w:rsidRPr="0009416B">
        <w:t xml:space="preserve"> risks</w:t>
      </w:r>
      <w:r w:rsidR="00850F5B">
        <w:t xml:space="preserve">, which are represented in Figure E-1, </w:t>
      </w:r>
      <w:r w:rsidR="00E66588" w:rsidRPr="0009416B">
        <w:t xml:space="preserve">arise </w:t>
      </w:r>
      <w:r w:rsidR="00354341" w:rsidRPr="0009416B">
        <w:t>principally for the following reasons.</w:t>
      </w:r>
    </w:p>
    <w:p w14:paraId="656AFD0E" w14:textId="77777777" w:rsidR="00D53A09" w:rsidRPr="000F7DF7" w:rsidRDefault="00D53A09" w:rsidP="00D53A09">
      <w:pPr>
        <w:pStyle w:val="ListParagraph"/>
        <w:numPr>
          <w:ilvl w:val="0"/>
          <w:numId w:val="19"/>
        </w:numPr>
        <w:ind w:right="565"/>
        <w:rPr>
          <w:rFonts w:cs="Segoe UI Light"/>
          <w:szCs w:val="20"/>
        </w:rPr>
      </w:pPr>
      <w:r w:rsidRPr="000F7DF7">
        <w:rPr>
          <w:rFonts w:cs="Segoe UI Light"/>
          <w:b/>
          <w:szCs w:val="20"/>
        </w:rPr>
        <w:t>Necessary for legislation to function</w:t>
      </w:r>
      <w:r w:rsidRPr="000F7DF7">
        <w:rPr>
          <w:rFonts w:cs="Segoe UI Light"/>
          <w:szCs w:val="20"/>
        </w:rPr>
        <w:t xml:space="preserve"> - Some obligations under the new legislative framework cannot function or would not be enforceable without prescription under regulation. </w:t>
      </w:r>
    </w:p>
    <w:p w14:paraId="656AFD0F" w14:textId="77777777" w:rsidR="00D53A09" w:rsidRPr="00951752" w:rsidRDefault="00D53A09">
      <w:pPr>
        <w:pStyle w:val="ListParagraph"/>
        <w:numPr>
          <w:ilvl w:val="0"/>
          <w:numId w:val="19"/>
        </w:numPr>
        <w:ind w:right="565"/>
        <w:rPr>
          <w:rFonts w:cs="Segoe UI Light"/>
        </w:rPr>
      </w:pPr>
      <w:r w:rsidRPr="00E13276">
        <w:rPr>
          <w:rFonts w:cs="Segoe UI Light"/>
          <w:b/>
          <w:bCs/>
        </w:rPr>
        <w:t xml:space="preserve">Significant impacts on human health and the </w:t>
      </w:r>
      <w:r w:rsidRPr="00951752">
        <w:rPr>
          <w:rFonts w:cs="Segoe UI Light"/>
          <w:b/>
          <w:bCs/>
        </w:rPr>
        <w:t>environment</w:t>
      </w:r>
      <w:r w:rsidRPr="00951752">
        <w:rPr>
          <w:rFonts w:cs="Segoe UI Light"/>
        </w:rPr>
        <w:t xml:space="preserve"> - Some risks of harm to human health and the environment can lead to significant consequences</w:t>
      </w:r>
      <w:r w:rsidR="00E13276" w:rsidRPr="00951752">
        <w:rPr>
          <w:rFonts w:cs="Segoe UI Light"/>
        </w:rPr>
        <w:t>.</w:t>
      </w:r>
    </w:p>
    <w:p w14:paraId="656AFD10" w14:textId="77777777" w:rsidR="00D53A09" w:rsidRPr="000F7DF7" w:rsidRDefault="00D53A09" w:rsidP="00D53A09">
      <w:pPr>
        <w:pStyle w:val="ListParagraph"/>
        <w:numPr>
          <w:ilvl w:val="0"/>
          <w:numId w:val="19"/>
        </w:numPr>
        <w:ind w:right="565"/>
        <w:rPr>
          <w:rFonts w:cs="Segoe UI Light"/>
          <w:szCs w:val="20"/>
        </w:rPr>
      </w:pPr>
      <w:r w:rsidRPr="000F7DF7">
        <w:rPr>
          <w:rFonts w:cs="Segoe UI Light"/>
          <w:b/>
          <w:szCs w:val="20"/>
        </w:rPr>
        <w:t>Risk of mismanagement</w:t>
      </w:r>
      <w:r w:rsidRPr="000F7DF7">
        <w:rPr>
          <w:rFonts w:cs="Segoe UI Light"/>
          <w:szCs w:val="20"/>
        </w:rPr>
        <w:t xml:space="preserve"> - There are some areas of harm to human health and the environment where there is a known risk of mismanagement by duty holders</w:t>
      </w:r>
      <w:r w:rsidR="009D3914">
        <w:rPr>
          <w:rFonts w:cs="Segoe UI Light"/>
          <w:szCs w:val="20"/>
        </w:rPr>
        <w:t>.</w:t>
      </w:r>
    </w:p>
    <w:p w14:paraId="656AFD11" w14:textId="77777777" w:rsidR="000C18C5" w:rsidRPr="006F2B70" w:rsidDel="00427BEE" w:rsidRDefault="00D53A09" w:rsidP="00951752">
      <w:pPr>
        <w:pStyle w:val="ListParagraph"/>
        <w:numPr>
          <w:ilvl w:val="0"/>
          <w:numId w:val="19"/>
        </w:numPr>
        <w:ind w:right="565"/>
        <w:rPr>
          <w:rFonts w:cs="Segoe UI Light"/>
          <w:szCs w:val="20"/>
        </w:rPr>
      </w:pPr>
      <w:r w:rsidRPr="003D4594">
        <w:rPr>
          <w:rFonts w:cs="Segoe UI Light"/>
          <w:b/>
          <w:szCs w:val="20"/>
        </w:rPr>
        <w:t>Certainty and consistency</w:t>
      </w:r>
      <w:r w:rsidRPr="003D4594">
        <w:rPr>
          <w:rFonts w:cs="Segoe UI Light"/>
          <w:szCs w:val="20"/>
        </w:rPr>
        <w:t xml:space="preserve"> - Greater certainty is required by duty holders to ensure consistent compliance with the duties and obligations under the GED and other EP legislation.</w:t>
      </w:r>
    </w:p>
    <w:p w14:paraId="656AFD12" w14:textId="77777777" w:rsidR="005C682A" w:rsidRDefault="005C682A" w:rsidP="005C682A">
      <w:pPr>
        <w:ind w:right="293"/>
      </w:pPr>
      <w:r w:rsidRPr="00435DA2">
        <w:rPr>
          <w:rFonts w:cs="Segoe UI Light"/>
        </w:rPr>
        <w:t xml:space="preserve">The targeting of particular risks through the </w:t>
      </w:r>
      <w:r>
        <w:rPr>
          <w:rFonts w:cs="Segoe UI Light"/>
        </w:rPr>
        <w:t xml:space="preserve">proposed </w:t>
      </w:r>
      <w:r w:rsidRPr="00435DA2">
        <w:rPr>
          <w:rFonts w:cs="Segoe UI Light"/>
        </w:rPr>
        <w:t xml:space="preserve">Regulations occurs in cases where </w:t>
      </w:r>
      <w:r>
        <w:rPr>
          <w:rFonts w:cs="Segoe UI Light"/>
        </w:rPr>
        <w:t>it</w:t>
      </w:r>
      <w:r w:rsidRPr="00435DA2">
        <w:rPr>
          <w:rFonts w:cs="Segoe UI Light"/>
        </w:rPr>
        <w:t xml:space="preserve"> is deemed the most effectiv</w:t>
      </w:r>
      <w:r w:rsidRPr="00D300BC">
        <w:rPr>
          <w:rFonts w:cs="Segoe UI Light"/>
        </w:rPr>
        <w:t xml:space="preserve">e and appropriate way to deal with the risk, having considered other possible statutory responses (such as ERSs, compliance instruments, other legislative regimes) or non-statutory responses (such as policies, guidelines, education, market responses) </w:t>
      </w:r>
      <w:r w:rsidRPr="007337DC">
        <w:t>that are</w:t>
      </w:r>
      <w:r w:rsidRPr="00D300BC">
        <w:t xml:space="preserve"> </w:t>
      </w:r>
      <w:r w:rsidRPr="007337DC">
        <w:t>considered</w:t>
      </w:r>
      <w:r w:rsidRPr="00D300BC">
        <w:t xml:space="preserve"> unlikely to adequately address </w:t>
      </w:r>
      <w:r w:rsidRPr="007337DC">
        <w:t>the risk</w:t>
      </w:r>
      <w:r w:rsidRPr="00D300BC">
        <w:t>.</w:t>
      </w:r>
      <w:r w:rsidRPr="00D300BC">
        <w:rPr>
          <w:rFonts w:cs="Segoe UI Light"/>
        </w:rPr>
        <w:t xml:space="preserve"> </w:t>
      </w:r>
      <w:r>
        <w:rPr>
          <w:rFonts w:cs="Segoe UI Light"/>
        </w:rPr>
        <w:t>As previously mentioned</w:t>
      </w:r>
      <w:r>
        <w:t>, most existing</w:t>
      </w:r>
      <w:r w:rsidRPr="00B70E30">
        <w:t xml:space="preserve"> </w:t>
      </w:r>
      <w:r>
        <w:rPr>
          <w:rFonts w:cs="Segoe UI Light"/>
        </w:rPr>
        <w:t xml:space="preserve">subordinate legislation under the EP Act 1970 </w:t>
      </w:r>
      <w:r w:rsidRPr="00B70E30">
        <w:t>will cease to operate</w:t>
      </w:r>
      <w:r>
        <w:t xml:space="preserve"> when the new EP legislation takes effect, meaning that some of the proposed regulations will address specific risks that are currently the focus of these outgoing instruments.</w:t>
      </w:r>
    </w:p>
    <w:p w14:paraId="656AFD13" w14:textId="77777777" w:rsidR="00F613EA" w:rsidRDefault="00850F5B" w:rsidP="00F613EA">
      <w:pPr>
        <w:pStyle w:val="Caption"/>
        <w:rPr>
          <w:rFonts w:cs="Segoe UI Light"/>
        </w:rPr>
      </w:pPr>
      <w:r w:rsidRPr="008C5D06">
        <w:t xml:space="preserve">Figure </w:t>
      </w:r>
      <w:r w:rsidRPr="00850F5B">
        <w:t>E</w:t>
      </w:r>
      <w:r w:rsidRPr="008C5D06">
        <w:noBreakHyphen/>
      </w:r>
      <w:r w:rsidRPr="00850F5B">
        <w:fldChar w:fldCharType="begin"/>
      </w:r>
      <w:r w:rsidRPr="008C5D06">
        <w:instrText xml:space="preserve"> SEQ Figure \* ARABIC \s 1 </w:instrText>
      </w:r>
      <w:r w:rsidRPr="00850F5B">
        <w:fldChar w:fldCharType="separate"/>
      </w:r>
      <w:r w:rsidR="00B11C1E">
        <w:rPr>
          <w:noProof/>
        </w:rPr>
        <w:t>1</w:t>
      </w:r>
      <w:r w:rsidRPr="00850F5B">
        <w:fldChar w:fldCharType="end"/>
      </w:r>
      <w:r w:rsidRPr="008C5D06">
        <w:t xml:space="preserve"> </w:t>
      </w:r>
      <w:r>
        <w:t>The overarching and residual problems</w:t>
      </w:r>
      <w:r w:rsidRPr="00827D05">
        <w:rPr>
          <w:noProof/>
          <w:color w:val="2B579A"/>
          <w:shd w:val="clear" w:color="auto" w:fill="E6E6E6"/>
          <w:lang w:eastAsia="en-AU"/>
        </w:rPr>
        <w:t xml:space="preserve"> </w:t>
      </w:r>
      <w:r w:rsidR="005651B6" w:rsidRPr="00827D05">
        <w:rPr>
          <w:noProof/>
          <w:color w:val="2B579A"/>
          <w:shd w:val="clear" w:color="auto" w:fill="E6E6E6"/>
          <w:lang w:eastAsia="en-AU"/>
        </w:rPr>
        <mc:AlternateContent>
          <mc:Choice Requires="wps">
            <w:drawing>
              <wp:anchor distT="0" distB="0" distL="114300" distR="114300" simplePos="0" relativeHeight="251658254" behindDoc="0" locked="0" layoutInCell="1" allowOverlap="1" wp14:anchorId="656B1E50" wp14:editId="656B1E51">
                <wp:simplePos x="0" y="0"/>
                <wp:positionH relativeFrom="column">
                  <wp:posOffset>273338</wp:posOffset>
                </wp:positionH>
                <wp:positionV relativeFrom="paragraph">
                  <wp:posOffset>1247082</wp:posOffset>
                </wp:positionV>
                <wp:extent cx="996042" cy="1172210"/>
                <wp:effectExtent l="0" t="0" r="13970" b="0"/>
                <wp:wrapNone/>
                <wp:docPr id="1797047459" name="Text Box 1797047459"/>
                <wp:cNvGraphicFramePr/>
                <a:graphic xmlns:a="http://schemas.openxmlformats.org/drawingml/2006/main">
                  <a:graphicData uri="http://schemas.microsoft.com/office/word/2010/wordprocessingShape">
                    <wps:wsp>
                      <wps:cNvSpPr txBox="1"/>
                      <wps:spPr>
                        <a:xfrm>
                          <a:off x="0" y="0"/>
                          <a:ext cx="996042" cy="1172210"/>
                        </a:xfrm>
                        <a:prstGeom prst="rect">
                          <a:avLst/>
                        </a:prstGeom>
                        <a:noFill/>
                        <a:ln w="6350">
                          <a:noFill/>
                        </a:ln>
                      </wps:spPr>
                      <wps:txbx>
                        <w:txbxContent>
                          <w:p w14:paraId="656B2194" w14:textId="77777777" w:rsidR="00E752DE" w:rsidRDefault="00E752DE" w:rsidP="005651B6"/>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56B1E50" id="_x0000_t202" coordsize="21600,21600" o:spt="202" path="m,l,21600r21600,l21600,xe">
                <v:stroke joinstyle="miter"/>
                <v:path gradientshapeok="t" o:connecttype="rect"/>
              </v:shapetype>
              <v:shape id="Text Box 1797047459" o:spid="_x0000_s1026" type="#_x0000_t202" style="position:absolute;margin-left:21.5pt;margin-top:98.2pt;width:78.45pt;height:92.3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" filled="f" stroked="f" strokeweight=".5pt">
                <v:textbox style="mso-fit-shape-to-text:t" inset="0,0,0,0">
                  <w:txbxContent>
                    <w:p w14:paraId="656B2194" w14:textId="77777777" w:rsidR="00E752DE" w:rsidRDefault="00E752DE" w:rsidP="005651B6"/>
                  </w:txbxContent>
                </v:textbox>
              </v:shape>
            </w:pict>
          </mc:Fallback>
        </mc:AlternateContent>
      </w:r>
      <w:r w:rsidR="005651B6" w:rsidRPr="00827D05">
        <w:rPr>
          <w:noProof/>
          <w:color w:val="2B579A"/>
          <w:shd w:val="clear" w:color="auto" w:fill="E6E6E6"/>
          <w:lang w:eastAsia="en-AU"/>
        </w:rPr>
        <mc:AlternateContent>
          <mc:Choice Requires="wps">
            <w:drawing>
              <wp:anchor distT="0" distB="0" distL="114300" distR="114300" simplePos="0" relativeHeight="251658253" behindDoc="0" locked="0" layoutInCell="1" allowOverlap="1" wp14:anchorId="656B1E52" wp14:editId="656B1E53">
                <wp:simplePos x="0" y="0"/>
                <wp:positionH relativeFrom="column">
                  <wp:posOffset>273338</wp:posOffset>
                </wp:positionH>
                <wp:positionV relativeFrom="paragraph">
                  <wp:posOffset>1247082</wp:posOffset>
                </wp:positionV>
                <wp:extent cx="996042" cy="1172210"/>
                <wp:effectExtent l="0" t="0" r="13970" b="0"/>
                <wp:wrapNone/>
                <wp:docPr id="1797047460" name="Text Box 1797047460"/>
                <wp:cNvGraphicFramePr/>
                <a:graphic xmlns:a="http://schemas.openxmlformats.org/drawingml/2006/main">
                  <a:graphicData uri="http://schemas.microsoft.com/office/word/2010/wordprocessingShape">
                    <wps:wsp>
                      <wps:cNvSpPr txBox="1"/>
                      <wps:spPr>
                        <a:xfrm>
                          <a:off x="0" y="0"/>
                          <a:ext cx="996042" cy="1172210"/>
                        </a:xfrm>
                        <a:prstGeom prst="rect">
                          <a:avLst/>
                        </a:prstGeom>
                        <a:noFill/>
                        <a:ln w="6350">
                          <a:noFill/>
                        </a:ln>
                      </wps:spPr>
                      <wps:txbx>
                        <w:txbxContent>
                          <w:p w14:paraId="656B2195" w14:textId="77777777" w:rsidR="00E752DE" w:rsidRPr="005B5CD1" w:rsidRDefault="00E752DE" w:rsidP="005651B6">
                            <w:pPr>
                              <w:rPr>
                                <w:b/>
                                <w:color w:val="FFFFFF" w:themeColor="background1"/>
                              </w:rPr>
                            </w:pPr>
                            <w:r>
                              <w:rPr>
                                <w:b/>
                                <w:color w:val="FFFFFF" w:themeColor="background1"/>
                              </w:rPr>
                              <w:t>Overarching problem</w:t>
                            </w:r>
                            <w:r w:rsidRPr="005B5CD1">
                              <w:rPr>
                                <w:b/>
                                <w:color w:val="FFFFFF" w:themeColor="background1"/>
                              </w:rPr>
                              <w:t xml:space="preserve">: </w:t>
                            </w:r>
                          </w:p>
                          <w:p w14:paraId="656B2196" w14:textId="77777777" w:rsidR="00E752DE" w:rsidRPr="005B5CD1" w:rsidRDefault="00E752DE" w:rsidP="005651B6">
                            <w:pPr>
                              <w:rPr>
                                <w:color w:val="FFFFFF" w:themeColor="background1"/>
                              </w:rPr>
                            </w:pPr>
                            <w:r>
                              <w:rPr>
                                <w:color w:val="FFFFFF" w:themeColor="background1"/>
                              </w:rPr>
                              <w:t>Harms to human health and the environment caused by pollution and waste</w:t>
                            </w:r>
                            <w:r w:rsidRPr="005B5CD1">
                              <w:rPr>
                                <w:color w:val="FFFFFF" w:themeColor="background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6B1E52" id="Text Box 1797047460" o:spid="_x0000_s1027" type="#_x0000_t202" style="position:absolute;margin-left:21.5pt;margin-top:98.2pt;width:78.45pt;height:92.3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" filled="f" stroked="f" strokeweight=".5pt">
                <v:textbox style="mso-fit-shape-to-text:t" inset="0,0,0,0">
                  <w:txbxContent>
                    <w:p w14:paraId="656B2195" w14:textId="77777777" w:rsidR="00E752DE" w:rsidRPr="005B5CD1" w:rsidRDefault="00E752DE" w:rsidP="005651B6">
                      <w:pPr>
                        <w:rPr>
                          <w:b/>
                          <w:color w:val="FFFFFF" w:themeColor="background1"/>
                        </w:rPr>
                      </w:pPr>
                      <w:r>
                        <w:rPr>
                          <w:b/>
                          <w:color w:val="FFFFFF" w:themeColor="background1"/>
                        </w:rPr>
                        <w:t>Overarching problem</w:t>
                      </w:r>
                      <w:r w:rsidRPr="005B5CD1">
                        <w:rPr>
                          <w:b/>
                          <w:color w:val="FFFFFF" w:themeColor="background1"/>
                        </w:rPr>
                        <w:t xml:space="preserve">: </w:t>
                      </w:r>
                    </w:p>
                    <w:p w14:paraId="656B2196" w14:textId="77777777" w:rsidR="00E752DE" w:rsidRPr="005B5CD1" w:rsidRDefault="00E752DE" w:rsidP="005651B6">
                      <w:pPr>
                        <w:rPr>
                          <w:color w:val="FFFFFF" w:themeColor="background1"/>
                        </w:rPr>
                      </w:pPr>
                      <w:r>
                        <w:rPr>
                          <w:color w:val="FFFFFF" w:themeColor="background1"/>
                        </w:rPr>
                        <w:t>Harms to human health and the environment caused by pollution and waste</w:t>
                      </w:r>
                      <w:r w:rsidRPr="005B5CD1">
                        <w:rPr>
                          <w:color w:val="FFFFFF" w:themeColor="background1"/>
                        </w:rPr>
                        <w:t xml:space="preserve"> </w:t>
                      </w:r>
                    </w:p>
                  </w:txbxContent>
                </v:textbox>
              </v:shape>
            </w:pict>
          </mc:Fallback>
        </mc:AlternateContent>
      </w:r>
      <w:r w:rsidR="00F613EA" w:rsidRPr="00827D05">
        <w:rPr>
          <w:rFonts w:cs="Segoe UI Light"/>
          <w:noProof/>
          <w:color w:val="2B579A"/>
          <w:shd w:val="clear" w:color="auto" w:fill="E6E6E6"/>
          <w:lang w:eastAsia="en-AU"/>
        </w:rPr>
        <mc:AlternateContent>
          <mc:Choice Requires="wpc">
            <w:drawing>
              <wp:anchor distT="0" distB="0" distL="114300" distR="114300" simplePos="0" relativeHeight="251658267" behindDoc="0" locked="0" layoutInCell="1" allowOverlap="1" wp14:anchorId="656B1E54" wp14:editId="656B1E55">
                <wp:simplePos x="0" y="0"/>
                <wp:positionH relativeFrom="column">
                  <wp:posOffset>5715</wp:posOffset>
                </wp:positionH>
                <wp:positionV relativeFrom="paragraph">
                  <wp:posOffset>257175</wp:posOffset>
                </wp:positionV>
                <wp:extent cx="3823335" cy="3626485"/>
                <wp:effectExtent l="0" t="0" r="0" b="0"/>
                <wp:wrapTopAndBottom/>
                <wp:docPr id="1048826393" name="Canvas 10488263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2474236" name="Oval 5"/>
                        <wps:cNvSpPr>
                          <a:spLocks noChangeArrowheads="1"/>
                        </wps:cNvSpPr>
                        <wps:spPr bwMode="auto">
                          <a:xfrm>
                            <a:off x="6350" y="6350"/>
                            <a:ext cx="3590925" cy="3590925"/>
                          </a:xfrm>
                          <a:prstGeom prst="ellipse">
                            <a:avLst/>
                          </a:prstGeom>
                          <a:solidFill>
                            <a:srgbClr val="618918"/>
                          </a:solidFill>
                          <a:ln w="0">
                            <a:solidFill>
                              <a:srgbClr val="000000"/>
                            </a:solidFill>
                            <a:prstDash val="solid"/>
                            <a:round/>
                            <a:headEnd/>
                            <a:tailEnd/>
                          </a:ln>
                        </wps:spPr>
                        <wps:bodyPr rot="0" vert="horz" wrap="square" lIns="91440" tIns="45720" rIns="91440" bIns="45720" anchor="t" anchorCtr="0" upright="1">
                          <a:noAutofit/>
                        </wps:bodyPr>
                      </wps:wsp>
                      <wps:wsp>
                        <wps:cNvPr id="662474237" name="Oval 6"/>
                        <wps:cNvSpPr>
                          <a:spLocks noChangeArrowheads="1"/>
                        </wps:cNvSpPr>
                        <wps:spPr bwMode="auto">
                          <a:xfrm>
                            <a:off x="6350" y="6350"/>
                            <a:ext cx="3590925" cy="3590925"/>
                          </a:xfrm>
                          <a:prstGeom prst="ellipse">
                            <a:avLst/>
                          </a:prstGeom>
                          <a:noFill/>
                          <a:ln w="1651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474238" name="Oval 7"/>
                        <wps:cNvSpPr>
                          <a:spLocks noChangeArrowheads="1"/>
                        </wps:cNvSpPr>
                        <wps:spPr bwMode="auto">
                          <a:xfrm>
                            <a:off x="1240155" y="654050"/>
                            <a:ext cx="2345055" cy="2295525"/>
                          </a:xfrm>
                          <a:prstGeom prst="ellipse">
                            <a:avLst/>
                          </a:prstGeom>
                          <a:solidFill>
                            <a:srgbClr val="86BC25"/>
                          </a:solidFill>
                          <a:ln w="0">
                            <a:solidFill>
                              <a:srgbClr val="000000"/>
                            </a:solidFill>
                            <a:prstDash val="solid"/>
                            <a:round/>
                            <a:headEnd/>
                            <a:tailEnd/>
                          </a:ln>
                        </wps:spPr>
                        <wps:bodyPr rot="0" vert="horz" wrap="square" lIns="91440" tIns="45720" rIns="91440" bIns="45720" anchor="t" anchorCtr="0" upright="1">
                          <a:noAutofit/>
                        </wps:bodyPr>
                      </wps:wsp>
                      <wps:wsp>
                        <wps:cNvPr id="662474239" name="Oval 8"/>
                        <wps:cNvSpPr>
                          <a:spLocks noChangeArrowheads="1"/>
                        </wps:cNvSpPr>
                        <wps:spPr bwMode="auto">
                          <a:xfrm>
                            <a:off x="1240155" y="654050"/>
                            <a:ext cx="2345055" cy="2295525"/>
                          </a:xfrm>
                          <a:prstGeom prst="ellipse">
                            <a:avLst/>
                          </a:prstGeom>
                          <a:noFill/>
                          <a:ln w="1651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826370" name="Rectangle 18"/>
                        <wps:cNvSpPr>
                          <a:spLocks noChangeArrowheads="1"/>
                        </wps:cNvSpPr>
                        <wps:spPr bwMode="auto">
                          <a:xfrm>
                            <a:off x="2367280" y="1610995"/>
                            <a:ext cx="6032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B2197" w14:textId="77777777" w:rsidR="00E752DE" w:rsidRDefault="00E752DE" w:rsidP="00F613EA"/>
                          </w:txbxContent>
                        </wps:txbx>
                        <wps:bodyPr rot="0" vert="horz" wrap="none" lIns="0" tIns="0" rIns="0" bIns="0" anchor="t" anchorCtr="0">
                          <a:spAutoFit/>
                        </wps:bodyPr>
                      </wps:wsp>
                      <wps:wsp>
                        <wps:cNvPr id="1048826374" name="Rectangle 20"/>
                        <wps:cNvSpPr>
                          <a:spLocks noChangeArrowheads="1"/>
                        </wps:cNvSpPr>
                        <wps:spPr bwMode="auto">
                          <a:xfrm>
                            <a:off x="1932940" y="1143000"/>
                            <a:ext cx="6032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B2198" w14:textId="77777777" w:rsidR="00E752DE" w:rsidRDefault="00E752DE" w:rsidP="00F613EA"/>
                          </w:txbxContent>
                        </wps:txbx>
                        <wps:bodyPr rot="0" vert="horz" wrap="none" lIns="0" tIns="0" rIns="0" bIns="0" anchor="t" anchorCtr="0">
                          <a:noAutofit/>
                        </wps:bodyPr>
                      </wps:wsp>
                      <wps:wsp>
                        <wps:cNvPr id="1048826376" name="Text Box 1048826376"/>
                        <wps:cNvSpPr txBox="1"/>
                        <wps:spPr>
                          <a:xfrm>
                            <a:off x="1636311" y="1115579"/>
                            <a:ext cx="1589405" cy="1510030"/>
                          </a:xfrm>
                          <a:prstGeom prst="rect">
                            <a:avLst/>
                          </a:prstGeom>
                          <a:noFill/>
                          <a:ln w="6350">
                            <a:noFill/>
                          </a:ln>
                        </wps:spPr>
                        <wps:txbx>
                          <w:txbxContent>
                            <w:p w14:paraId="656B2199" w14:textId="77777777" w:rsidR="00E752DE" w:rsidRPr="005B5CD1" w:rsidRDefault="00E752DE" w:rsidP="00F613EA">
                              <w:pPr>
                                <w:rPr>
                                  <w:b/>
                                  <w:color w:val="FFFFFF" w:themeColor="background1"/>
                                </w:rPr>
                              </w:pPr>
                              <w:r>
                                <w:rPr>
                                  <w:b/>
                                  <w:color w:val="FFFFFF" w:themeColor="background1"/>
                                </w:rPr>
                                <w:t>Residual</w:t>
                              </w:r>
                              <w:r w:rsidRPr="005B5CD1">
                                <w:rPr>
                                  <w:b/>
                                  <w:color w:val="FFFFFF" w:themeColor="background1"/>
                                </w:rPr>
                                <w:t xml:space="preserve"> Problem: </w:t>
                              </w:r>
                            </w:p>
                            <w:p w14:paraId="656B219A" w14:textId="77777777" w:rsidR="00E752DE" w:rsidRPr="005B5CD1" w:rsidRDefault="00E752DE" w:rsidP="00F613EA">
                              <w:pPr>
                                <w:rPr>
                                  <w:color w:val="FFFFFF" w:themeColor="background1"/>
                                </w:rPr>
                              </w:pPr>
                              <w:r w:rsidRPr="005B5CD1">
                                <w:rPr>
                                  <w:color w:val="FFFFFF" w:themeColor="background1"/>
                                </w:rPr>
                                <w:t xml:space="preserve">Some residual </w:t>
                              </w:r>
                              <w:r>
                                <w:rPr>
                                  <w:color w:val="FFFFFF" w:themeColor="background1"/>
                                </w:rPr>
                                <w:t xml:space="preserve">risks of </w:t>
                              </w:r>
                              <w:r w:rsidRPr="005B5CD1">
                                <w:rPr>
                                  <w:color w:val="FFFFFF" w:themeColor="background1"/>
                                </w:rPr>
                                <w:t xml:space="preserve">harms to human health and the environment </w:t>
                              </w:r>
                              <w:r>
                                <w:rPr>
                                  <w:color w:val="FFFFFF" w:themeColor="background1"/>
                                </w:rPr>
                                <w:t xml:space="preserve">will </w:t>
                              </w:r>
                              <w:r w:rsidRPr="005B5CD1">
                                <w:rPr>
                                  <w:color w:val="FFFFFF" w:themeColor="background1"/>
                                </w:rPr>
                                <w:t xml:space="preserve">continue after other controls and standards </w:t>
                              </w:r>
                              <w:r>
                                <w:rPr>
                                  <w:color w:val="FFFFFF" w:themeColor="background1"/>
                                </w:rPr>
                                <w:t xml:space="preserve">(including the new EP legislation) </w:t>
                              </w:r>
                              <w:r w:rsidRPr="005B5CD1">
                                <w:rPr>
                                  <w:color w:val="FFFFFF" w:themeColor="background1"/>
                                </w:rPr>
                                <w:t xml:space="preserve">have taken effect.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656B1E54" id="Canvas 1048826393" o:spid="_x0000_s1028" editas="canvas" style="position:absolute;margin-left:.45pt;margin-top:20.25pt;width:301.05pt;height:285.55pt;z-index:251658267" coordsize="38233,3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38233;height:36264;visibility:visible;mso-wrap-style:square">
                  <v:fill o:detectmouseclick="t"/>
                  <v:path o:connecttype="none"/>
                </v:shape>
                <v:oval id="Oval 5" o:spid="_x0000_s1030" style="position:absolute;left:63;top:63;width:35909;height:3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" fillcolor="#618918" strokeweight="0"/>
                <v:oval id="Oval 6" o:spid="_x0000_s1031" style="position:absolute;left:63;top:63;width:35909;height:3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" filled="f" strokecolor="white" strokeweight="1.3pt"/>
                <v:oval id="Oval 7" o:spid="_x0000_s1032" style="position:absolute;left:12401;top:6540;width:23451;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" fillcolor="#86bc25" strokeweight="0"/>
                <v:oval id="Oval 8" o:spid="_x0000_s1033" style="position:absolute;left:12401;top:6540;width:23451;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" filled="f" strokecolor="white" strokeweight="1.3pt"/>
                <v:rect id="Rectangle 18" o:spid="_x0000_s1034" style="position:absolute;left:23672;top:16109;width:604;height:24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" filled="f" stroked="f">
                  <v:textbox style="mso-fit-shape-to-text:t" inset="0,0,0,0">
                    <w:txbxContent>
                      <w:p w14:paraId="656B2197" w14:textId="77777777" w:rsidR="00E752DE" w:rsidRDefault="00E752DE" w:rsidP="00F613EA"/>
                    </w:txbxContent>
                  </v:textbox>
                </v:rect>
                <v:rect id="Rectangle 20" o:spid="_x0000_s1035" style="position:absolute;left:19329;top:11430;width:603;height:9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" filled="f" stroked="f">
                  <v:textbox inset="0,0,0,0">
                    <w:txbxContent>
                      <w:p w14:paraId="656B2198" w14:textId="77777777" w:rsidR="00E752DE" w:rsidRDefault="00E752DE" w:rsidP="00F613EA"/>
                    </w:txbxContent>
                  </v:textbox>
                </v:rect>
                <v:shape id="Text Box 1048826376" o:spid="_x0000_s1036" type="#_x0000_t202" style="position:absolute;left:16363;top:11155;width:15894;height:1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" filled="f" stroked="f" strokeweight=".5pt">
                  <v:textbox style="mso-fit-shape-to-text:t" inset="0,0,0,0">
                    <w:txbxContent>
                      <w:p w14:paraId="656B2199" w14:textId="77777777" w:rsidR="00E752DE" w:rsidRPr="005B5CD1" w:rsidRDefault="00E752DE" w:rsidP="00F613EA">
                        <w:pPr>
                          <w:rPr>
                            <w:b/>
                            <w:color w:val="FFFFFF" w:themeColor="background1"/>
                          </w:rPr>
                        </w:pPr>
                        <w:r>
                          <w:rPr>
                            <w:b/>
                            <w:color w:val="FFFFFF" w:themeColor="background1"/>
                          </w:rPr>
                          <w:t>Residual</w:t>
                        </w:r>
                        <w:r w:rsidRPr="005B5CD1">
                          <w:rPr>
                            <w:b/>
                            <w:color w:val="FFFFFF" w:themeColor="background1"/>
                          </w:rPr>
                          <w:t xml:space="preserve"> Problem: </w:t>
                        </w:r>
                      </w:p>
                      <w:p w14:paraId="656B219A" w14:textId="77777777" w:rsidR="00E752DE" w:rsidRPr="005B5CD1" w:rsidRDefault="00E752DE" w:rsidP="00F613EA">
                        <w:pPr>
                          <w:rPr>
                            <w:color w:val="FFFFFF" w:themeColor="background1"/>
                          </w:rPr>
                        </w:pPr>
                        <w:r w:rsidRPr="005B5CD1">
                          <w:rPr>
                            <w:color w:val="FFFFFF" w:themeColor="background1"/>
                          </w:rPr>
                          <w:t xml:space="preserve">Some residual </w:t>
                        </w:r>
                        <w:r>
                          <w:rPr>
                            <w:color w:val="FFFFFF" w:themeColor="background1"/>
                          </w:rPr>
                          <w:t xml:space="preserve">risks of </w:t>
                        </w:r>
                        <w:r w:rsidRPr="005B5CD1">
                          <w:rPr>
                            <w:color w:val="FFFFFF" w:themeColor="background1"/>
                          </w:rPr>
                          <w:t xml:space="preserve">harms to human health and the environment </w:t>
                        </w:r>
                        <w:r>
                          <w:rPr>
                            <w:color w:val="FFFFFF" w:themeColor="background1"/>
                          </w:rPr>
                          <w:t xml:space="preserve">will </w:t>
                        </w:r>
                        <w:r w:rsidRPr="005B5CD1">
                          <w:rPr>
                            <w:color w:val="FFFFFF" w:themeColor="background1"/>
                          </w:rPr>
                          <w:t xml:space="preserve">continue after other controls and standards </w:t>
                        </w:r>
                        <w:r>
                          <w:rPr>
                            <w:color w:val="FFFFFF" w:themeColor="background1"/>
                          </w:rPr>
                          <w:t xml:space="preserve">(including the new EP legislation) </w:t>
                        </w:r>
                        <w:r w:rsidRPr="005B5CD1">
                          <w:rPr>
                            <w:color w:val="FFFFFF" w:themeColor="background1"/>
                          </w:rPr>
                          <w:t xml:space="preserve">have taken effect. </w:t>
                        </w:r>
                      </w:p>
                    </w:txbxContent>
                  </v:textbox>
                </v:shape>
                <w10:wrap type="topAndBottom"/>
              </v:group>
            </w:pict>
          </mc:Fallback>
        </mc:AlternateContent>
      </w:r>
      <w:r w:rsidR="00F613EA" w:rsidRPr="00827D05">
        <w:rPr>
          <w:noProof/>
          <w:color w:val="2B579A"/>
          <w:shd w:val="clear" w:color="auto" w:fill="E6E6E6"/>
          <w:lang w:eastAsia="en-AU"/>
        </w:rPr>
        <mc:AlternateContent>
          <mc:Choice Requires="wps">
            <w:drawing>
              <wp:anchor distT="0" distB="0" distL="114300" distR="114300" simplePos="0" relativeHeight="251658269" behindDoc="0" locked="0" layoutInCell="1" allowOverlap="1" wp14:anchorId="656B1E56" wp14:editId="656B1E57">
                <wp:simplePos x="0" y="0"/>
                <wp:positionH relativeFrom="column">
                  <wp:posOffset>273338</wp:posOffset>
                </wp:positionH>
                <wp:positionV relativeFrom="paragraph">
                  <wp:posOffset>1247082</wp:posOffset>
                </wp:positionV>
                <wp:extent cx="996042" cy="1172210"/>
                <wp:effectExtent l="0" t="0" r="13970" b="0"/>
                <wp:wrapNone/>
                <wp:docPr id="1048826379" name="Text Box 1048826379"/>
                <wp:cNvGraphicFramePr/>
                <a:graphic xmlns:a="http://schemas.openxmlformats.org/drawingml/2006/main">
                  <a:graphicData uri="http://schemas.microsoft.com/office/word/2010/wordprocessingShape">
                    <wps:wsp>
                      <wps:cNvSpPr txBox="1"/>
                      <wps:spPr>
                        <a:xfrm>
                          <a:off x="0" y="0"/>
                          <a:ext cx="996042" cy="1172210"/>
                        </a:xfrm>
                        <a:prstGeom prst="rect">
                          <a:avLst/>
                        </a:prstGeom>
                        <a:noFill/>
                        <a:ln w="6350">
                          <a:noFill/>
                        </a:ln>
                      </wps:spPr>
                      <wps:txbx>
                        <w:txbxContent>
                          <w:p w14:paraId="656B219B" w14:textId="77777777" w:rsidR="00E752DE" w:rsidRDefault="00E752DE" w:rsidP="00F613EA"/>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6B1E56" id="Text Box 1048826379" o:spid="_x0000_s1037" type="#_x0000_t202" style="position:absolute;margin-left:21.5pt;margin-top:98.2pt;width:78.45pt;height:92.3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" filled="f" stroked="f" strokeweight=".5pt">
                <v:textbox style="mso-fit-shape-to-text:t" inset="0,0,0,0">
                  <w:txbxContent>
                    <w:p w14:paraId="656B219B" w14:textId="77777777" w:rsidR="00E752DE" w:rsidRDefault="00E752DE" w:rsidP="00F613EA"/>
                  </w:txbxContent>
                </v:textbox>
              </v:shape>
            </w:pict>
          </mc:Fallback>
        </mc:AlternateContent>
      </w:r>
      <w:r w:rsidR="00F613EA" w:rsidRPr="00827D05">
        <w:rPr>
          <w:noProof/>
          <w:color w:val="2B579A"/>
          <w:shd w:val="clear" w:color="auto" w:fill="E6E6E6"/>
          <w:lang w:eastAsia="en-AU"/>
        </w:rPr>
        <mc:AlternateContent>
          <mc:Choice Requires="wps">
            <w:drawing>
              <wp:anchor distT="0" distB="0" distL="114300" distR="114300" simplePos="0" relativeHeight="251658268" behindDoc="0" locked="0" layoutInCell="1" allowOverlap="1" wp14:anchorId="656B1E58" wp14:editId="656B1E59">
                <wp:simplePos x="0" y="0"/>
                <wp:positionH relativeFrom="column">
                  <wp:posOffset>273338</wp:posOffset>
                </wp:positionH>
                <wp:positionV relativeFrom="paragraph">
                  <wp:posOffset>1247082</wp:posOffset>
                </wp:positionV>
                <wp:extent cx="996042" cy="1172210"/>
                <wp:effectExtent l="0" t="0" r="13970" b="0"/>
                <wp:wrapNone/>
                <wp:docPr id="1048826380" name="Text Box 1048826380"/>
                <wp:cNvGraphicFramePr/>
                <a:graphic xmlns:a="http://schemas.openxmlformats.org/drawingml/2006/main">
                  <a:graphicData uri="http://schemas.microsoft.com/office/word/2010/wordprocessingShape">
                    <wps:wsp>
                      <wps:cNvSpPr txBox="1"/>
                      <wps:spPr>
                        <a:xfrm>
                          <a:off x="0" y="0"/>
                          <a:ext cx="996042" cy="1172210"/>
                        </a:xfrm>
                        <a:prstGeom prst="rect">
                          <a:avLst/>
                        </a:prstGeom>
                        <a:noFill/>
                        <a:ln w="6350">
                          <a:noFill/>
                        </a:ln>
                      </wps:spPr>
                      <wps:txbx>
                        <w:txbxContent>
                          <w:p w14:paraId="656B219C" w14:textId="77777777" w:rsidR="00E752DE" w:rsidRPr="005B5CD1" w:rsidRDefault="00E752DE" w:rsidP="00F613EA">
                            <w:pPr>
                              <w:rPr>
                                <w:b/>
                                <w:color w:val="FFFFFF" w:themeColor="background1"/>
                              </w:rPr>
                            </w:pPr>
                            <w:r>
                              <w:rPr>
                                <w:b/>
                                <w:color w:val="FFFFFF" w:themeColor="background1"/>
                              </w:rPr>
                              <w:t>Overarching problem</w:t>
                            </w:r>
                            <w:r w:rsidRPr="005B5CD1">
                              <w:rPr>
                                <w:b/>
                                <w:color w:val="FFFFFF" w:themeColor="background1"/>
                              </w:rPr>
                              <w:t xml:space="preserve">: </w:t>
                            </w:r>
                          </w:p>
                          <w:p w14:paraId="656B219D" w14:textId="77777777" w:rsidR="00E752DE" w:rsidRPr="005B5CD1" w:rsidRDefault="00E752DE" w:rsidP="00F613EA">
                            <w:pPr>
                              <w:rPr>
                                <w:color w:val="FFFFFF" w:themeColor="background1"/>
                              </w:rPr>
                            </w:pPr>
                            <w:r>
                              <w:rPr>
                                <w:color w:val="FFFFFF" w:themeColor="background1"/>
                              </w:rPr>
                              <w:t>Risks of harm to human health and the environment caused by pollution and waste</w:t>
                            </w:r>
                            <w:r w:rsidRPr="005B5CD1">
                              <w:rPr>
                                <w:color w:val="FFFFFF" w:themeColor="background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6B1E58" id="Text Box 1048826380" o:spid="_x0000_s1038" type="#_x0000_t202" style="position:absolute;margin-left:21.5pt;margin-top:98.2pt;width:78.45pt;height:92.3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" filled="f" stroked="f" strokeweight=".5pt">
                <v:textbox style="mso-fit-shape-to-text:t" inset="0,0,0,0">
                  <w:txbxContent>
                    <w:p w14:paraId="656B219C" w14:textId="77777777" w:rsidR="00E752DE" w:rsidRPr="005B5CD1" w:rsidRDefault="00E752DE" w:rsidP="00F613EA">
                      <w:pPr>
                        <w:rPr>
                          <w:b/>
                          <w:color w:val="FFFFFF" w:themeColor="background1"/>
                        </w:rPr>
                      </w:pPr>
                      <w:r>
                        <w:rPr>
                          <w:b/>
                          <w:color w:val="FFFFFF" w:themeColor="background1"/>
                        </w:rPr>
                        <w:t>Overarching problem</w:t>
                      </w:r>
                      <w:r w:rsidRPr="005B5CD1">
                        <w:rPr>
                          <w:b/>
                          <w:color w:val="FFFFFF" w:themeColor="background1"/>
                        </w:rPr>
                        <w:t xml:space="preserve">: </w:t>
                      </w:r>
                    </w:p>
                    <w:p w14:paraId="656B219D" w14:textId="77777777" w:rsidR="00E752DE" w:rsidRPr="005B5CD1" w:rsidRDefault="00E752DE" w:rsidP="00F613EA">
                      <w:pPr>
                        <w:rPr>
                          <w:color w:val="FFFFFF" w:themeColor="background1"/>
                        </w:rPr>
                      </w:pPr>
                      <w:r>
                        <w:rPr>
                          <w:color w:val="FFFFFF" w:themeColor="background1"/>
                        </w:rPr>
                        <w:t>Risks of harm to human health and the environment caused by pollution and waste</w:t>
                      </w:r>
                      <w:r w:rsidRPr="005B5CD1">
                        <w:rPr>
                          <w:color w:val="FFFFFF" w:themeColor="background1"/>
                        </w:rPr>
                        <w:t xml:space="preserve"> </w:t>
                      </w:r>
                    </w:p>
                  </w:txbxContent>
                </v:textbox>
              </v:shape>
            </w:pict>
          </mc:Fallback>
        </mc:AlternateContent>
      </w:r>
    </w:p>
    <w:p w14:paraId="656AFD14" w14:textId="77777777" w:rsidR="00F613EA" w:rsidRDefault="00F613EA" w:rsidP="00F613EA">
      <w:pPr>
        <w:ind w:right="293"/>
        <w:jc w:val="center"/>
        <w:rPr>
          <w:rFonts w:cs="Segoe UI Light"/>
        </w:rPr>
      </w:pPr>
    </w:p>
    <w:p w14:paraId="656AFD15" w14:textId="77777777" w:rsidR="000C18C5" w:rsidRPr="000C18C5" w:rsidRDefault="000C18C5" w:rsidP="000C18C5">
      <w:pPr>
        <w:ind w:right="293"/>
        <w:rPr>
          <w:rFonts w:cs="Segoe UI Light"/>
          <w:szCs w:val="20"/>
        </w:rPr>
      </w:pPr>
      <w:r w:rsidRPr="000C18C5">
        <w:rPr>
          <w:rFonts w:cs="Segoe UI Light"/>
          <w:szCs w:val="20"/>
        </w:rPr>
        <w:lastRenderedPageBreak/>
        <w:t>While there are 10 specific problem areas in this RIS where regulations are being proposed, each with different drivers, harms and costs attached, some broad observations can be made at an overall level about the potential impacts of not addressing the risk of harm.</w:t>
      </w:r>
    </w:p>
    <w:p w14:paraId="656AFD16" w14:textId="77777777" w:rsidR="000C18C5" w:rsidRPr="000C18C5" w:rsidRDefault="000C18C5" w:rsidP="000C18C5">
      <w:pPr>
        <w:spacing w:after="0"/>
        <w:mirrorIndents/>
      </w:pPr>
      <w:r w:rsidRPr="000C18C5">
        <w:t>Pollution and waste in their many forms are a problem because they can:</w:t>
      </w:r>
    </w:p>
    <w:p w14:paraId="656AFD17" w14:textId="77777777" w:rsidR="000C18C5" w:rsidRPr="00850F5B" w:rsidRDefault="000C18C5" w:rsidP="000C18C5">
      <w:pPr>
        <w:numPr>
          <w:ilvl w:val="0"/>
          <w:numId w:val="26"/>
        </w:numPr>
        <w:contextualSpacing/>
      </w:pPr>
      <w:r w:rsidRPr="000C18C5">
        <w:t xml:space="preserve">Damage human health, imposing financial costs on the health care system and impacting quality of life including causing disease, premature death and reduction </w:t>
      </w:r>
      <w:r w:rsidRPr="00850F5B">
        <w:t>in mental health.</w:t>
      </w:r>
    </w:p>
    <w:p w14:paraId="656AFD18" w14:textId="77777777" w:rsidR="00697E99" w:rsidRPr="00697E99" w:rsidRDefault="000C18C5" w:rsidP="000C18C5">
      <w:pPr>
        <w:numPr>
          <w:ilvl w:val="0"/>
          <w:numId w:val="26"/>
        </w:numPr>
        <w:contextualSpacing/>
        <w:rPr>
          <w:szCs w:val="20"/>
        </w:rPr>
      </w:pPr>
      <w:r w:rsidRPr="00850F5B">
        <w:t>Create economic loss, including increased business costs</w:t>
      </w:r>
      <w:r w:rsidR="00447D5D" w:rsidRPr="00850F5B">
        <w:t>,</w:t>
      </w:r>
      <w:r w:rsidRPr="00850F5B">
        <w:t xml:space="preserve"> business</w:t>
      </w:r>
      <w:r w:rsidRPr="000C18C5">
        <w:t xml:space="preserve"> closures and loss of income, as a result of land being deemed unsuitable for certain uses, damaged products, causing disruption to business activities and transport.</w:t>
      </w:r>
    </w:p>
    <w:p w14:paraId="656AFD19" w14:textId="77777777" w:rsidR="000C18C5" w:rsidRPr="000C18C5" w:rsidRDefault="000C18C5" w:rsidP="000C18C5">
      <w:pPr>
        <w:numPr>
          <w:ilvl w:val="0"/>
          <w:numId w:val="26"/>
        </w:numPr>
        <w:contextualSpacing/>
        <w:rPr>
          <w:szCs w:val="20"/>
        </w:rPr>
      </w:pPr>
      <w:r w:rsidRPr="000C18C5">
        <w:rPr>
          <w:szCs w:val="20"/>
        </w:rPr>
        <w:t xml:space="preserve">Impose remediation / </w:t>
      </w:r>
      <w:r w:rsidR="005E035A" w:rsidRPr="000C18C5">
        <w:rPr>
          <w:szCs w:val="20"/>
        </w:rPr>
        <w:t>clean-up</w:t>
      </w:r>
      <w:r w:rsidRPr="000C18C5">
        <w:rPr>
          <w:szCs w:val="20"/>
        </w:rPr>
        <w:t xml:space="preserve"> costs in response to legacy contamination.</w:t>
      </w:r>
    </w:p>
    <w:p w14:paraId="656AFD1A" w14:textId="77777777" w:rsidR="000C18C5" w:rsidRPr="000C18C5" w:rsidRDefault="000C18C5" w:rsidP="000C18C5">
      <w:pPr>
        <w:numPr>
          <w:ilvl w:val="0"/>
          <w:numId w:val="26"/>
        </w:numPr>
        <w:contextualSpacing/>
        <w:rPr>
          <w:szCs w:val="20"/>
        </w:rPr>
      </w:pPr>
      <w:r w:rsidRPr="000C18C5">
        <w:rPr>
          <w:szCs w:val="20"/>
        </w:rPr>
        <w:t>Generate incident response costs, for example emergency services and EPA and council clean-up costs.</w:t>
      </w:r>
    </w:p>
    <w:p w14:paraId="656AFD1B" w14:textId="77777777" w:rsidR="000C18C5" w:rsidRPr="000C18C5" w:rsidRDefault="000C18C5" w:rsidP="000C18C5">
      <w:pPr>
        <w:numPr>
          <w:ilvl w:val="0"/>
          <w:numId w:val="26"/>
        </w:numPr>
        <w:contextualSpacing/>
        <w:rPr>
          <w:szCs w:val="20"/>
        </w:rPr>
      </w:pPr>
      <w:r w:rsidRPr="000C18C5">
        <w:rPr>
          <w:szCs w:val="20"/>
        </w:rPr>
        <w:t>Impose costs on the community such as school closures and the requirement to stay indoors in the case of toxic chemical fires.</w:t>
      </w:r>
    </w:p>
    <w:p w14:paraId="656AFD1C" w14:textId="77777777" w:rsidR="000C18C5" w:rsidRPr="000C18C5" w:rsidRDefault="000C18C5" w:rsidP="000C18C5">
      <w:pPr>
        <w:numPr>
          <w:ilvl w:val="0"/>
          <w:numId w:val="26"/>
        </w:numPr>
        <w:contextualSpacing/>
        <w:rPr>
          <w:szCs w:val="20"/>
        </w:rPr>
      </w:pPr>
      <w:r w:rsidRPr="000C18C5">
        <w:rPr>
          <w:szCs w:val="20"/>
        </w:rPr>
        <w:t>Negatively impact amenity and recreational value, for example due to reduced enjoyment of natural environment.</w:t>
      </w:r>
    </w:p>
    <w:p w14:paraId="656AFD1D" w14:textId="77777777" w:rsidR="000C18C5" w:rsidRPr="000C18C5" w:rsidRDefault="000C18C5" w:rsidP="000C18C5">
      <w:pPr>
        <w:numPr>
          <w:ilvl w:val="0"/>
          <w:numId w:val="26"/>
        </w:numPr>
        <w:spacing w:after="0"/>
        <w:contextualSpacing/>
        <w:rPr>
          <w:szCs w:val="20"/>
        </w:rPr>
      </w:pPr>
      <w:r w:rsidRPr="000C18C5">
        <w:rPr>
          <w:szCs w:val="20"/>
        </w:rPr>
        <w:t>Damage animal and plant health, including causing animal and plant death.</w:t>
      </w:r>
    </w:p>
    <w:p w14:paraId="656AFD1E" w14:textId="77777777" w:rsidR="000C18C5" w:rsidRPr="000C18C5" w:rsidRDefault="000C18C5" w:rsidP="000C18C5">
      <w:pPr>
        <w:numPr>
          <w:ilvl w:val="0"/>
          <w:numId w:val="19"/>
        </w:numPr>
        <w:ind w:right="565"/>
        <w:contextualSpacing/>
        <w:textboxTightWrap w:val="allLines"/>
        <w:rPr>
          <w:szCs w:val="20"/>
        </w:rPr>
      </w:pPr>
      <w:r w:rsidRPr="000C18C5">
        <w:rPr>
          <w:szCs w:val="20"/>
        </w:rPr>
        <w:t>Reduce biodiversity, including in some cases threaten entire species.</w:t>
      </w:r>
    </w:p>
    <w:p w14:paraId="656AFD1F" w14:textId="77777777" w:rsidR="000C18C5" w:rsidRPr="000C18C5" w:rsidRDefault="000C18C5" w:rsidP="000F7DF7">
      <w:pPr>
        <w:spacing w:before="120"/>
      </w:pPr>
      <w:r w:rsidRPr="000C18C5">
        <w:rPr>
          <w:rFonts w:cs="Segoe UI Light"/>
          <w:szCs w:val="20"/>
        </w:rPr>
        <w:t xml:space="preserve">Costs incurred as a result of waste and pollution can be significant. </w:t>
      </w:r>
      <w:r w:rsidR="00EA725F">
        <w:rPr>
          <w:rFonts w:cs="Segoe UI Light"/>
          <w:szCs w:val="20"/>
        </w:rPr>
        <w:t xml:space="preserve">For example, the </w:t>
      </w:r>
      <w:r w:rsidRPr="000C18C5">
        <w:rPr>
          <w:rFonts w:cs="Segoe UI Light"/>
          <w:szCs w:val="20"/>
        </w:rPr>
        <w:t xml:space="preserve">costs of the Hazelwood mine fire </w:t>
      </w:r>
      <w:r w:rsidR="00EA725F">
        <w:rPr>
          <w:rFonts w:cs="Segoe UI Light"/>
          <w:szCs w:val="20"/>
        </w:rPr>
        <w:t xml:space="preserve">are </w:t>
      </w:r>
      <w:r w:rsidRPr="000C18C5">
        <w:rPr>
          <w:rFonts w:cs="Segoe UI Light"/>
          <w:szCs w:val="20"/>
        </w:rPr>
        <w:t xml:space="preserve">estimated to </w:t>
      </w:r>
      <w:r w:rsidR="00EA725F">
        <w:rPr>
          <w:rFonts w:cs="Segoe UI Light"/>
          <w:szCs w:val="20"/>
        </w:rPr>
        <w:t xml:space="preserve">have </w:t>
      </w:r>
      <w:r w:rsidRPr="000C18C5">
        <w:rPr>
          <w:rFonts w:cs="Segoe UI Light"/>
          <w:szCs w:val="20"/>
        </w:rPr>
        <w:t>exceed</w:t>
      </w:r>
      <w:r w:rsidR="00EA725F">
        <w:rPr>
          <w:rFonts w:cs="Segoe UI Light"/>
          <w:szCs w:val="20"/>
        </w:rPr>
        <w:t>ed</w:t>
      </w:r>
      <w:r w:rsidRPr="000C18C5">
        <w:rPr>
          <w:rFonts w:cs="Segoe UI Light"/>
          <w:szCs w:val="20"/>
        </w:rPr>
        <w:t xml:space="preserve"> $100 million</w:t>
      </w:r>
      <w:r w:rsidR="00EA725F">
        <w:rPr>
          <w:rFonts w:cs="Segoe UI Light"/>
          <w:szCs w:val="20"/>
        </w:rPr>
        <w:t>.</w:t>
      </w:r>
      <w:r w:rsidRPr="000C18C5">
        <w:rPr>
          <w:rFonts w:cs="Segoe UI Light"/>
          <w:i/>
          <w:szCs w:val="20"/>
          <w:vertAlign w:val="superscript"/>
        </w:rPr>
        <w:footnoteReference w:id="10"/>
      </w:r>
      <w:r w:rsidRPr="000C18C5">
        <w:rPr>
          <w:rFonts w:cs="Segoe UI Light"/>
          <w:szCs w:val="20"/>
        </w:rPr>
        <w:t xml:space="preserve"> </w:t>
      </w:r>
      <w:r w:rsidR="00EA725F">
        <w:rPr>
          <w:rFonts w:cs="Segoe UI Light"/>
          <w:szCs w:val="20"/>
        </w:rPr>
        <w:t xml:space="preserve">In another example, </w:t>
      </w:r>
      <w:r w:rsidR="008C2F61">
        <w:rPr>
          <w:rFonts w:cs="Segoe UI Light"/>
          <w:szCs w:val="20"/>
        </w:rPr>
        <w:t xml:space="preserve">initial funding </w:t>
      </w:r>
      <w:r w:rsidR="001A1CDF">
        <w:rPr>
          <w:rFonts w:cs="Segoe UI Light"/>
          <w:szCs w:val="20"/>
        </w:rPr>
        <w:t>provided</w:t>
      </w:r>
      <w:r w:rsidR="008C2F61">
        <w:rPr>
          <w:rFonts w:cs="Segoe UI Light"/>
          <w:szCs w:val="20"/>
        </w:rPr>
        <w:t xml:space="preserve"> by the Victorian Government to </w:t>
      </w:r>
      <w:r w:rsidR="001A1CDF">
        <w:t>maintain</w:t>
      </w:r>
      <w:r w:rsidRPr="000C18C5">
        <w:t xml:space="preserve"> </w:t>
      </w:r>
      <w:r w:rsidR="001A1CDF">
        <w:t xml:space="preserve">and clean up the </w:t>
      </w:r>
      <w:r w:rsidRPr="000C18C5">
        <w:t xml:space="preserve">former recycling site at Lara </w:t>
      </w:r>
      <w:r w:rsidR="008C2F61">
        <w:t xml:space="preserve"> was $30 million.</w:t>
      </w:r>
      <w:r w:rsidR="001A1CDF">
        <w:rPr>
          <w:rStyle w:val="FootnoteReference"/>
        </w:rPr>
        <w:footnoteReference w:id="11"/>
      </w:r>
      <w:r w:rsidR="00EA725F">
        <w:t xml:space="preserve"> </w:t>
      </w:r>
      <w:r w:rsidRPr="000C18C5">
        <w:t xml:space="preserve">This RIS </w:t>
      </w:r>
      <w:r w:rsidR="00103622">
        <w:t xml:space="preserve">also </w:t>
      </w:r>
      <w:r w:rsidRPr="000C18C5">
        <w:t>estimates costs of stockpile fires, abandoned waste sites and illegal dumping alone at:</w:t>
      </w:r>
    </w:p>
    <w:p w14:paraId="656AFD20" w14:textId="77777777" w:rsidR="000C18C5" w:rsidRPr="000C18C5" w:rsidRDefault="000C18C5" w:rsidP="000C18C5">
      <w:pPr>
        <w:numPr>
          <w:ilvl w:val="0"/>
          <w:numId w:val="16"/>
        </w:numPr>
        <w:contextualSpacing/>
        <w:textboxTightWrap w:val="allLines"/>
      </w:pPr>
      <w:r w:rsidRPr="000C18C5">
        <w:t>$105 million per year from stockpile fires.</w:t>
      </w:r>
    </w:p>
    <w:p w14:paraId="656AFD21" w14:textId="77777777" w:rsidR="000C18C5" w:rsidRPr="000C18C5" w:rsidRDefault="000C18C5" w:rsidP="000C18C5">
      <w:pPr>
        <w:numPr>
          <w:ilvl w:val="0"/>
          <w:numId w:val="16"/>
        </w:numPr>
        <w:contextualSpacing/>
        <w:textboxTightWrap w:val="allLines"/>
      </w:pPr>
      <w:r w:rsidRPr="000C18C5">
        <w:t>$58 million per year in annual clean-up costs of abandoned waste sites in</w:t>
      </w:r>
      <w:r w:rsidR="001F5F46">
        <w:t xml:space="preserve"> </w:t>
      </w:r>
      <w:r w:rsidRPr="000C18C5">
        <w:t>Victoria.</w:t>
      </w:r>
    </w:p>
    <w:p w14:paraId="656AFD22" w14:textId="77777777" w:rsidR="000C18C5" w:rsidRPr="000C18C5" w:rsidRDefault="000C18C5" w:rsidP="000C18C5">
      <w:pPr>
        <w:numPr>
          <w:ilvl w:val="0"/>
          <w:numId w:val="16"/>
        </w:numPr>
        <w:contextualSpacing/>
        <w:textboxTightWrap w:val="allLines"/>
      </w:pPr>
      <w:r w:rsidRPr="000C18C5">
        <w:t>$30 million per year</w:t>
      </w:r>
      <w:r w:rsidRPr="000C18C5">
        <w:rPr>
          <w:b/>
        </w:rPr>
        <w:t xml:space="preserve"> </w:t>
      </w:r>
      <w:r w:rsidRPr="000C18C5">
        <w:t>for Victoria on clean-up costs and lost landfills levy revenue due to illegal dumping.</w:t>
      </w:r>
    </w:p>
    <w:p w14:paraId="656AFD23" w14:textId="77777777" w:rsidR="00D9086A" w:rsidRDefault="00D9086A" w:rsidP="000F7DF7">
      <w:pPr>
        <w:spacing w:after="0"/>
      </w:pPr>
    </w:p>
    <w:p w14:paraId="656AFD24" w14:textId="77777777" w:rsidR="000C18C5" w:rsidRPr="000C18C5" w:rsidRDefault="000C18C5" w:rsidP="000C18C5">
      <w:r w:rsidRPr="000C18C5">
        <w:t xml:space="preserve">Importantly, it must be noted these estimates are partial in that they include principally the financial costs of response and clean-up of these incidences. They do not capture the costs to human health </w:t>
      </w:r>
      <w:r w:rsidR="00103622">
        <w:t>or the</w:t>
      </w:r>
      <w:r w:rsidR="00103622" w:rsidRPr="000C18C5">
        <w:t xml:space="preserve"> </w:t>
      </w:r>
      <w:r w:rsidRPr="000C18C5">
        <w:t>environmental damage costs.</w:t>
      </w:r>
    </w:p>
    <w:p w14:paraId="656AFD25" w14:textId="77777777" w:rsidR="000C18C5" w:rsidRPr="000C18C5" w:rsidRDefault="00D9086A" w:rsidP="000C18C5">
      <w:r>
        <w:t xml:space="preserve">There are some studies which </w:t>
      </w:r>
      <w:r w:rsidR="00C85947">
        <w:t xml:space="preserve">demonstrate </w:t>
      </w:r>
      <w:r>
        <w:t xml:space="preserve">the </w:t>
      </w:r>
      <w:r w:rsidR="00C85947">
        <w:t xml:space="preserve">human health </w:t>
      </w:r>
      <w:r>
        <w:t>cost</w:t>
      </w:r>
      <w:r w:rsidR="00C85947">
        <w:t>s</w:t>
      </w:r>
      <w:r>
        <w:t xml:space="preserve"> of </w:t>
      </w:r>
      <w:r w:rsidR="00C85947">
        <w:t xml:space="preserve">certain types of </w:t>
      </w:r>
      <w:r>
        <w:t xml:space="preserve">pollution </w:t>
      </w:r>
      <w:r w:rsidR="00C85947">
        <w:t>in Victoria</w:t>
      </w:r>
      <w:r>
        <w:t>. For example, the total q</w:t>
      </w:r>
      <w:r w:rsidRPr="000C18C5">
        <w:t xml:space="preserve">uantified </w:t>
      </w:r>
      <w:r w:rsidR="000C18C5" w:rsidRPr="000C18C5">
        <w:t>health costs from particulate matter emissions from the use of wood heaters in Victoria have been estimated at over $8 billion over 10 years to 2028, or $5.8 billion in present value terms (2017 dollars).</w:t>
      </w:r>
      <w:r w:rsidR="000C18C5" w:rsidRPr="000C18C5">
        <w:rPr>
          <w:vertAlign w:val="superscript"/>
        </w:rPr>
        <w:footnoteReference w:id="12"/>
      </w:r>
    </w:p>
    <w:p w14:paraId="656AFD26" w14:textId="77777777" w:rsidR="000C18C5" w:rsidRDefault="000C18C5" w:rsidP="000C18C5">
      <w:pPr>
        <w:ind w:right="293"/>
        <w:rPr>
          <w:rFonts w:cs="Segoe UI Light"/>
          <w:szCs w:val="20"/>
        </w:rPr>
      </w:pPr>
      <w:r w:rsidRPr="000C18C5">
        <w:rPr>
          <w:rFonts w:cs="Segoe UI Light"/>
          <w:szCs w:val="20"/>
        </w:rPr>
        <w:t xml:space="preserve">In the absence of regulations to support the </w:t>
      </w:r>
      <w:r w:rsidRPr="00850F5B">
        <w:rPr>
          <w:rFonts w:cs="Segoe UI Light"/>
          <w:szCs w:val="20"/>
        </w:rPr>
        <w:t xml:space="preserve">new EP legislation, </w:t>
      </w:r>
      <w:r w:rsidRPr="00850F5B">
        <w:t>risks of harm that may impact the environment and human health may not be addressed.</w:t>
      </w:r>
      <w:r w:rsidRPr="00850F5B">
        <w:rPr>
          <w:rFonts w:cs="Segoe UI Light"/>
          <w:szCs w:val="20"/>
        </w:rPr>
        <w:t xml:space="preserve"> For example, key</w:t>
      </w:r>
      <w:r w:rsidRPr="000C18C5">
        <w:rPr>
          <w:rFonts w:cs="Segoe UI Light"/>
          <w:szCs w:val="20"/>
        </w:rPr>
        <w:t xml:space="preserve"> elements of the new waste framework established in the new EP legislation will not come into effect.</w:t>
      </w:r>
    </w:p>
    <w:p w14:paraId="656AFD27" w14:textId="77777777" w:rsidR="005A40EF" w:rsidRDefault="005A40EF" w:rsidP="000E7C5E">
      <w:pPr>
        <w:pStyle w:val="Heading3un-numbered"/>
      </w:pPr>
      <w:r>
        <w:t>Other legislation and existing state</w:t>
      </w:r>
      <w:r w:rsidR="009E58AC">
        <w:t xml:space="preserve"> </w:t>
      </w:r>
      <w:r>
        <w:t>of</w:t>
      </w:r>
      <w:r w:rsidR="009E58AC">
        <w:t xml:space="preserve"> </w:t>
      </w:r>
      <w:r>
        <w:t>knowledge</w:t>
      </w:r>
    </w:p>
    <w:p w14:paraId="656AFD28" w14:textId="77777777" w:rsidR="005A40EF" w:rsidRPr="00827D05" w:rsidRDefault="005A40EF" w:rsidP="005A40EF">
      <w:pPr>
        <w:mirrorIndents/>
        <w:rPr>
          <w:rFonts w:cs="Segoe UI Light"/>
          <w:szCs w:val="22"/>
        </w:rPr>
      </w:pPr>
      <w:r>
        <w:rPr>
          <w:rFonts w:cs="Segoe UI Light"/>
          <w:szCs w:val="22"/>
        </w:rPr>
        <w:t>It is important to note that in</w:t>
      </w:r>
      <w:r w:rsidRPr="00827D05">
        <w:rPr>
          <w:rFonts w:cs="Segoe UI Light"/>
          <w:szCs w:val="22"/>
        </w:rPr>
        <w:t xml:space="preserve"> the absence of the EP Act 1970 and the </w:t>
      </w:r>
      <w:r>
        <w:rPr>
          <w:rFonts w:cs="Segoe UI Light"/>
          <w:szCs w:val="22"/>
        </w:rPr>
        <w:t>new EP legislation</w:t>
      </w:r>
      <w:r w:rsidRPr="00827D05">
        <w:rPr>
          <w:rFonts w:cs="Segoe UI Light"/>
          <w:szCs w:val="22"/>
        </w:rPr>
        <w:t xml:space="preserve">, some environment protection </w:t>
      </w:r>
      <w:r>
        <w:rPr>
          <w:rFonts w:cs="Segoe UI Light"/>
          <w:szCs w:val="22"/>
        </w:rPr>
        <w:t>would</w:t>
      </w:r>
      <w:r w:rsidRPr="00827D05">
        <w:rPr>
          <w:rFonts w:cs="Segoe UI Light"/>
          <w:szCs w:val="22"/>
        </w:rPr>
        <w:t xml:space="preserve"> nevertheless occur as a result of other legislation, policies and program delivery in Victoria</w:t>
      </w:r>
      <w:r>
        <w:rPr>
          <w:rFonts w:cs="Segoe UI Light"/>
          <w:szCs w:val="22"/>
        </w:rPr>
        <w:t>. Over</w:t>
      </w:r>
      <w:r w:rsidRPr="00827D05">
        <w:rPr>
          <w:rFonts w:cs="Segoe UI Light"/>
          <w:szCs w:val="22"/>
        </w:rPr>
        <w:t xml:space="preserve"> 40 separate </w:t>
      </w:r>
      <w:r>
        <w:rPr>
          <w:rFonts w:cs="Segoe UI Light"/>
          <w:szCs w:val="22"/>
        </w:rPr>
        <w:t>A</w:t>
      </w:r>
      <w:r w:rsidRPr="00827D05">
        <w:rPr>
          <w:rFonts w:cs="Segoe UI Light"/>
          <w:szCs w:val="22"/>
        </w:rPr>
        <w:t xml:space="preserve">cts cover environmental regulation in Victoria. </w:t>
      </w:r>
      <w:r>
        <w:rPr>
          <w:rFonts w:cs="Segoe UI Light"/>
          <w:szCs w:val="22"/>
        </w:rPr>
        <w:t xml:space="preserve">These instruments will continue to exist once when the EPA Act 1970 ceases to operate and the new EP legislation commences </w:t>
      </w:r>
      <w:r w:rsidR="00492DED">
        <w:rPr>
          <w:rFonts w:cs="Segoe UI Light"/>
          <w:szCs w:val="22"/>
        </w:rPr>
        <w:t xml:space="preserve">(intended to commence effect </w:t>
      </w:r>
      <w:r>
        <w:rPr>
          <w:rFonts w:cs="Segoe UI Light"/>
          <w:szCs w:val="22"/>
        </w:rPr>
        <w:t>on 1 July 2020</w:t>
      </w:r>
      <w:r w:rsidR="00492DED">
        <w:rPr>
          <w:rFonts w:cs="Segoe UI Light"/>
          <w:szCs w:val="22"/>
        </w:rPr>
        <w:t>)</w:t>
      </w:r>
      <w:r>
        <w:rPr>
          <w:rFonts w:cs="Segoe UI Light"/>
          <w:szCs w:val="22"/>
        </w:rPr>
        <w:t>.</w:t>
      </w:r>
    </w:p>
    <w:p w14:paraId="656AFD29" w14:textId="77777777" w:rsidR="005A40EF" w:rsidRPr="00827D05" w:rsidRDefault="005A40EF" w:rsidP="005A40EF">
      <w:pPr>
        <w:rPr>
          <w:rFonts w:cs="Segoe UI Light"/>
          <w:szCs w:val="20"/>
        </w:rPr>
      </w:pPr>
      <w:r w:rsidRPr="00827D05">
        <w:rPr>
          <w:rFonts w:cs="Segoe UI Light"/>
          <w:szCs w:val="20"/>
        </w:rPr>
        <w:t>There would also be an existing ‘state</w:t>
      </w:r>
      <w:r w:rsidR="009E58AC">
        <w:rPr>
          <w:rFonts w:cs="Segoe UI Light"/>
          <w:szCs w:val="20"/>
        </w:rPr>
        <w:t xml:space="preserve"> </w:t>
      </w:r>
      <w:r w:rsidRPr="00827D05">
        <w:rPr>
          <w:rFonts w:cs="Segoe UI Light"/>
          <w:szCs w:val="20"/>
        </w:rPr>
        <w:t>of</w:t>
      </w:r>
      <w:r w:rsidR="009E58AC">
        <w:rPr>
          <w:rFonts w:cs="Segoe UI Light"/>
          <w:szCs w:val="20"/>
        </w:rPr>
        <w:t xml:space="preserve"> </w:t>
      </w:r>
      <w:r w:rsidRPr="00827D05">
        <w:rPr>
          <w:rFonts w:cs="Segoe UI Light"/>
          <w:szCs w:val="20"/>
        </w:rPr>
        <w:t>knowledge’ including the understanding of, and arrangements organisation</w:t>
      </w:r>
      <w:r w:rsidRPr="00AE4BDD">
        <w:rPr>
          <w:rFonts w:cs="Segoe UI Light"/>
          <w:szCs w:val="20"/>
        </w:rPr>
        <w:t>s</w:t>
      </w:r>
      <w:r w:rsidRPr="00B52F8A">
        <w:rPr>
          <w:b/>
        </w:rPr>
        <w:t xml:space="preserve"> </w:t>
      </w:r>
      <w:r w:rsidRPr="00827D05">
        <w:rPr>
          <w:rFonts w:cs="Segoe UI Light"/>
          <w:szCs w:val="20"/>
        </w:rPr>
        <w:t>have in place to comply with</w:t>
      </w:r>
      <w:r w:rsidR="009D3914">
        <w:rPr>
          <w:rFonts w:cs="Segoe UI Light"/>
          <w:szCs w:val="20"/>
        </w:rPr>
        <w:t>,</w:t>
      </w:r>
      <w:r w:rsidRPr="00827D05">
        <w:rPr>
          <w:rFonts w:cs="Segoe UI Light"/>
          <w:szCs w:val="20"/>
        </w:rPr>
        <w:t xml:space="preserve"> the current regulatory framework</w:t>
      </w:r>
      <w:r>
        <w:rPr>
          <w:rFonts w:cs="Segoe UI Light"/>
          <w:szCs w:val="20"/>
        </w:rPr>
        <w:t>,</w:t>
      </w:r>
      <w:r w:rsidRPr="00827D05">
        <w:rPr>
          <w:rFonts w:cs="Segoe UI Light"/>
          <w:szCs w:val="20"/>
        </w:rPr>
        <w:t xml:space="preserve"> which includes:</w:t>
      </w:r>
    </w:p>
    <w:p w14:paraId="656AFD2A" w14:textId="77777777" w:rsidR="005A40EF" w:rsidRPr="00827D05" w:rsidRDefault="005A40EF" w:rsidP="005A40EF">
      <w:pPr>
        <w:numPr>
          <w:ilvl w:val="0"/>
          <w:numId w:val="26"/>
        </w:numPr>
        <w:contextualSpacing/>
        <w:rPr>
          <w:rFonts w:cs="Segoe UI Light"/>
          <w:szCs w:val="20"/>
        </w:rPr>
      </w:pPr>
      <w:r>
        <w:rPr>
          <w:rFonts w:cs="Segoe UI Light"/>
          <w:noProof/>
          <w:color w:val="2B579A"/>
          <w:szCs w:val="20"/>
          <w:shd w:val="clear" w:color="auto" w:fill="E6E6E6"/>
          <w:lang w:eastAsia="en-AU"/>
        </w:rPr>
        <mc:AlternateContent>
          <mc:Choice Requires="wps">
            <w:drawing>
              <wp:anchor distT="0" distB="0" distL="114300" distR="114300" simplePos="0" relativeHeight="251658270" behindDoc="0" locked="0" layoutInCell="1" allowOverlap="1" wp14:anchorId="656B1E5A" wp14:editId="656B1E5B">
                <wp:simplePos x="0" y="0"/>
                <wp:positionH relativeFrom="column">
                  <wp:posOffset>8644558</wp:posOffset>
                </wp:positionH>
                <wp:positionV relativeFrom="paragraph">
                  <wp:posOffset>91344</wp:posOffset>
                </wp:positionV>
                <wp:extent cx="0" cy="0"/>
                <wp:effectExtent l="0" t="0" r="0" b="0"/>
                <wp:wrapNone/>
                <wp:docPr id="1048826418" name="Straight Connector 1048826418"/>
                <wp:cNvGraphicFramePr/>
                <a:graphic xmlns:a="http://schemas.openxmlformats.org/drawingml/2006/main">
                  <a:graphicData uri="http://schemas.microsoft.com/office/word/2010/wordprocessingShape">
                    <wps:wsp>
                      <wps:cNvCnPr/>
                      <wps:spPr>
                        <a:xfrm flipV="1">
                          <a:off x="0" y="0"/>
                          <a:ext cx="0" cy="0"/>
                        </a:xfrm>
                        <a:prstGeom prst="line">
                          <a:avLst/>
                        </a:prstGeom>
                        <a:noFill/>
                        <a:ln w="9525" cap="flat" cmpd="sng" algn="ctr">
                          <a:solidFill>
                            <a:srgbClr val="44546A"/>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A3337C" id="Straight Connector 1048826418" o:spid="_x0000_s1026" style="position:absolute;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65pt,7.2pt" to="680.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" strokecolor="#44546a"/>
            </w:pict>
          </mc:Fallback>
        </mc:AlternateContent>
      </w:r>
      <w:r w:rsidRPr="00827D05">
        <w:rPr>
          <w:rFonts w:cs="Segoe UI Light"/>
          <w:szCs w:val="20"/>
        </w:rPr>
        <w:t>the EP Act 1970</w:t>
      </w:r>
    </w:p>
    <w:p w14:paraId="656AFD2B" w14:textId="77777777" w:rsidR="005A40EF" w:rsidRPr="00827D05" w:rsidRDefault="005A40EF" w:rsidP="005A40EF">
      <w:pPr>
        <w:numPr>
          <w:ilvl w:val="0"/>
          <w:numId w:val="26"/>
        </w:numPr>
        <w:contextualSpacing/>
        <w:rPr>
          <w:rFonts w:cs="Segoe UI Light"/>
          <w:szCs w:val="20"/>
        </w:rPr>
      </w:pPr>
      <w:r w:rsidRPr="00827D05">
        <w:rPr>
          <w:rFonts w:cs="Segoe UI Light"/>
          <w:szCs w:val="20"/>
        </w:rPr>
        <w:t>existing Regulations under the EP Act 1970</w:t>
      </w:r>
    </w:p>
    <w:p w14:paraId="656AFD2C" w14:textId="77777777" w:rsidR="005A40EF" w:rsidRPr="00827D05" w:rsidRDefault="005A40EF" w:rsidP="005A40EF">
      <w:pPr>
        <w:numPr>
          <w:ilvl w:val="0"/>
          <w:numId w:val="26"/>
        </w:numPr>
        <w:spacing w:after="0"/>
        <w:contextualSpacing/>
        <w:rPr>
          <w:rFonts w:cs="Segoe UI Light"/>
          <w:szCs w:val="20"/>
        </w:rPr>
      </w:pPr>
      <w:r w:rsidRPr="00827D05">
        <w:rPr>
          <w:rFonts w:cs="Segoe UI Light"/>
          <w:szCs w:val="20"/>
        </w:rPr>
        <w:t xml:space="preserve">formal instruments such as </w:t>
      </w:r>
      <w:r w:rsidR="00213BAD">
        <w:rPr>
          <w:rFonts w:cs="Segoe UI Light"/>
          <w:szCs w:val="20"/>
        </w:rPr>
        <w:t>s</w:t>
      </w:r>
      <w:r w:rsidR="009D3914">
        <w:rPr>
          <w:rFonts w:cs="Segoe UI Light"/>
          <w:szCs w:val="20"/>
        </w:rPr>
        <w:t xml:space="preserve">tate </w:t>
      </w:r>
      <w:r w:rsidR="00213BAD">
        <w:rPr>
          <w:rFonts w:cs="Segoe UI Light"/>
          <w:szCs w:val="20"/>
        </w:rPr>
        <w:t>e</w:t>
      </w:r>
      <w:r w:rsidR="009D3914">
        <w:rPr>
          <w:rFonts w:cs="Segoe UI Light"/>
          <w:szCs w:val="20"/>
        </w:rPr>
        <w:t xml:space="preserve">nvironment </w:t>
      </w:r>
      <w:r w:rsidR="00213BAD">
        <w:rPr>
          <w:rFonts w:cs="Segoe UI Light"/>
          <w:szCs w:val="20"/>
        </w:rPr>
        <w:t>p</w:t>
      </w:r>
      <w:r w:rsidR="009D3914">
        <w:rPr>
          <w:rFonts w:cs="Segoe UI Light"/>
          <w:szCs w:val="20"/>
        </w:rPr>
        <w:t xml:space="preserve">rotection </w:t>
      </w:r>
      <w:r w:rsidR="00213BAD">
        <w:rPr>
          <w:rFonts w:cs="Segoe UI Light"/>
          <w:szCs w:val="20"/>
        </w:rPr>
        <w:t>p</w:t>
      </w:r>
      <w:r w:rsidR="009D3914">
        <w:rPr>
          <w:rFonts w:cs="Segoe UI Light"/>
          <w:szCs w:val="20"/>
        </w:rPr>
        <w:t>olicies (</w:t>
      </w:r>
      <w:r w:rsidRPr="00827D05">
        <w:rPr>
          <w:rFonts w:cs="Segoe UI Light"/>
          <w:szCs w:val="20"/>
        </w:rPr>
        <w:t>SEPPs</w:t>
      </w:r>
      <w:r w:rsidR="009D3914">
        <w:rPr>
          <w:rFonts w:cs="Segoe UI Light"/>
          <w:szCs w:val="20"/>
        </w:rPr>
        <w:t>)</w:t>
      </w:r>
      <w:r w:rsidRPr="00827D05">
        <w:rPr>
          <w:rFonts w:cs="Segoe UI Light"/>
          <w:szCs w:val="20"/>
        </w:rPr>
        <w:t xml:space="preserve"> and </w:t>
      </w:r>
      <w:r w:rsidR="00213BAD">
        <w:rPr>
          <w:rFonts w:cs="Segoe UI Light"/>
          <w:szCs w:val="20"/>
        </w:rPr>
        <w:t>w</w:t>
      </w:r>
      <w:r w:rsidR="00DF6C9E">
        <w:rPr>
          <w:rFonts w:cs="Segoe UI Light"/>
          <w:szCs w:val="20"/>
        </w:rPr>
        <w:t xml:space="preserve">aste </w:t>
      </w:r>
      <w:r w:rsidR="00213BAD">
        <w:rPr>
          <w:rFonts w:cs="Segoe UI Light"/>
          <w:szCs w:val="20"/>
        </w:rPr>
        <w:t>m</w:t>
      </w:r>
      <w:r w:rsidR="00DF6C9E">
        <w:rPr>
          <w:rFonts w:cs="Segoe UI Light"/>
          <w:szCs w:val="20"/>
        </w:rPr>
        <w:t xml:space="preserve">anagement </w:t>
      </w:r>
      <w:r w:rsidR="00213BAD">
        <w:rPr>
          <w:rFonts w:cs="Segoe UI Light"/>
          <w:szCs w:val="20"/>
        </w:rPr>
        <w:t>p</w:t>
      </w:r>
      <w:r w:rsidR="00DF6C9E">
        <w:rPr>
          <w:rFonts w:cs="Segoe UI Light"/>
          <w:szCs w:val="20"/>
        </w:rPr>
        <w:t>olicies (</w:t>
      </w:r>
      <w:r w:rsidRPr="00827D05">
        <w:rPr>
          <w:rFonts w:cs="Segoe UI Light"/>
          <w:szCs w:val="20"/>
        </w:rPr>
        <w:t>WMPs</w:t>
      </w:r>
      <w:r w:rsidR="008A6B35">
        <w:rPr>
          <w:rFonts w:cs="Segoe UI Light"/>
          <w:szCs w:val="20"/>
        </w:rPr>
        <w:t>)</w:t>
      </w:r>
    </w:p>
    <w:p w14:paraId="656AFD2D" w14:textId="77777777" w:rsidR="005A40EF" w:rsidRPr="00827D05" w:rsidRDefault="005A40EF" w:rsidP="005A40EF">
      <w:pPr>
        <w:pStyle w:val="ListParagraph"/>
        <w:numPr>
          <w:ilvl w:val="0"/>
          <w:numId w:val="19"/>
        </w:numPr>
        <w:ind w:right="565"/>
        <w:rPr>
          <w:rFonts w:cs="Segoe UI Light"/>
          <w:szCs w:val="20"/>
        </w:rPr>
      </w:pPr>
      <w:r w:rsidRPr="00827D05">
        <w:rPr>
          <w:rFonts w:cs="Segoe UI Light"/>
          <w:szCs w:val="20"/>
        </w:rPr>
        <w:t xml:space="preserve">informal instruments such as guidance documents and other educational material developed by </w:t>
      </w:r>
      <w:r>
        <w:rPr>
          <w:rFonts w:cs="Segoe UI Light"/>
          <w:szCs w:val="20"/>
        </w:rPr>
        <w:t>EPA</w:t>
      </w:r>
      <w:r w:rsidRPr="00827D05">
        <w:rPr>
          <w:rFonts w:cs="Segoe UI Light"/>
          <w:szCs w:val="20"/>
        </w:rPr>
        <w:t xml:space="preserve"> and industry over the past few decades. </w:t>
      </w:r>
    </w:p>
    <w:p w14:paraId="656AFD2E" w14:textId="77777777" w:rsidR="005A40EF" w:rsidRDefault="005A40EF" w:rsidP="005A40EF">
      <w:pPr>
        <w:spacing w:after="0"/>
        <w:rPr>
          <w:rFonts w:cs="Segoe UI Light"/>
          <w:szCs w:val="20"/>
        </w:rPr>
      </w:pPr>
      <w:r w:rsidRPr="00827D05">
        <w:rPr>
          <w:rFonts w:cs="Segoe UI Light"/>
          <w:szCs w:val="20"/>
        </w:rPr>
        <w:lastRenderedPageBreak/>
        <w:t>This state</w:t>
      </w:r>
      <w:r w:rsidR="009E58AC">
        <w:rPr>
          <w:rFonts w:cs="Segoe UI Light"/>
          <w:szCs w:val="20"/>
        </w:rPr>
        <w:t xml:space="preserve"> </w:t>
      </w:r>
      <w:r w:rsidRPr="00827D05">
        <w:rPr>
          <w:rFonts w:cs="Segoe UI Light"/>
          <w:szCs w:val="20"/>
        </w:rPr>
        <w:t>of</w:t>
      </w:r>
      <w:r w:rsidR="009E58AC">
        <w:rPr>
          <w:rFonts w:cs="Segoe UI Light"/>
          <w:szCs w:val="20"/>
        </w:rPr>
        <w:t xml:space="preserve"> </w:t>
      </w:r>
      <w:r w:rsidRPr="00827D05">
        <w:rPr>
          <w:rFonts w:cs="Segoe UI Light"/>
          <w:szCs w:val="20"/>
        </w:rPr>
        <w:t>knowledge means that there is an understanding of what good environmental practice or good management of environmental harm</w:t>
      </w:r>
      <w:r>
        <w:rPr>
          <w:rFonts w:cs="Segoe UI Light"/>
          <w:szCs w:val="20"/>
        </w:rPr>
        <w:t xml:space="preserve"> and human health</w:t>
      </w:r>
      <w:r w:rsidRPr="00827D05">
        <w:rPr>
          <w:rFonts w:cs="Segoe UI Light"/>
          <w:szCs w:val="20"/>
        </w:rPr>
        <w:t xml:space="preserve"> currently looks like. </w:t>
      </w:r>
      <w:r>
        <w:rPr>
          <w:rFonts w:cs="Segoe UI Light"/>
          <w:szCs w:val="20"/>
        </w:rPr>
        <w:t xml:space="preserve">There will also be existing business practices and processes in place to meet current obligations. </w:t>
      </w:r>
      <w:r w:rsidRPr="00827D05">
        <w:rPr>
          <w:rFonts w:cs="Segoe UI Light"/>
          <w:szCs w:val="20"/>
        </w:rPr>
        <w:t xml:space="preserve">However, this does not mean that all duty holders </w:t>
      </w:r>
      <w:r>
        <w:rPr>
          <w:rFonts w:cs="Segoe UI Light"/>
          <w:szCs w:val="20"/>
        </w:rPr>
        <w:t>would</w:t>
      </w:r>
      <w:r w:rsidRPr="00827D05">
        <w:rPr>
          <w:rFonts w:cs="Segoe UI Light"/>
          <w:szCs w:val="20"/>
        </w:rPr>
        <w:t xml:space="preserve"> act in the same manner in response to this understanding, and new entrants to the industry may not be aware of this existing knowledge at all. </w:t>
      </w:r>
      <w:r>
        <w:t>Without intervention, the positive impacts of this knowledge would likely decline over time.</w:t>
      </w:r>
    </w:p>
    <w:p w14:paraId="656AFD2F" w14:textId="77777777" w:rsidR="00C304A1" w:rsidRPr="00C304A1" w:rsidRDefault="00C304A1" w:rsidP="00982D63">
      <w:pPr>
        <w:pStyle w:val="Heading2un-numbered"/>
        <w:numPr>
          <w:ilvl w:val="0"/>
          <w:numId w:val="0"/>
        </w:numPr>
        <w:ind w:left="576"/>
      </w:pPr>
      <w:r w:rsidRPr="00C304A1">
        <w:t>Objectives of government intervention</w:t>
      </w:r>
    </w:p>
    <w:p w14:paraId="656AFD30" w14:textId="77777777" w:rsidR="00C304A1" w:rsidRPr="00C304A1" w:rsidRDefault="00C304A1" w:rsidP="00C304A1">
      <w:pPr>
        <w:rPr>
          <w:rFonts w:eastAsia="Calibri"/>
        </w:rPr>
      </w:pPr>
      <w:r w:rsidRPr="00C304A1">
        <w:rPr>
          <w:rFonts w:eastAsia="Calibri"/>
        </w:rPr>
        <w:t>The regulatory analysis has examined the problem and options in the context of supporting the objectives of the new EP legislation, which is to protect human health and the environment by reducing the harmful effects of pollution and waste.</w:t>
      </w:r>
    </w:p>
    <w:p w14:paraId="656AFD31" w14:textId="77777777" w:rsidR="00C304A1" w:rsidRPr="00C304A1" w:rsidRDefault="00C304A1" w:rsidP="00C304A1">
      <w:pPr>
        <w:rPr>
          <w:rFonts w:eastAsia="Calibri"/>
        </w:rPr>
      </w:pPr>
      <w:r w:rsidRPr="00C304A1">
        <w:rPr>
          <w:rFonts w:eastAsia="Calibri"/>
        </w:rPr>
        <w:t>More specifically, the proposed Regulations will contribute to the overall objective by addressing the residual risk</w:t>
      </w:r>
      <w:r w:rsidR="002A4828">
        <w:rPr>
          <w:rFonts w:eastAsia="Calibri"/>
        </w:rPr>
        <w:t>s</w:t>
      </w:r>
      <w:r w:rsidRPr="00C304A1">
        <w:rPr>
          <w:rFonts w:eastAsia="Calibri"/>
        </w:rPr>
        <w:t xml:space="preserve"> of harm to human health and the environment which may not be adequately addressed or controlled by the new EP legislation or where further detail is required to improve </w:t>
      </w:r>
      <w:r w:rsidR="00F87C71">
        <w:rPr>
          <w:rFonts w:eastAsia="Calibri"/>
        </w:rPr>
        <w:t>uncertainty</w:t>
      </w:r>
      <w:r w:rsidRPr="00C304A1">
        <w:rPr>
          <w:rFonts w:eastAsia="Calibri"/>
        </w:rPr>
        <w:t>, reduce regulatory burden or improve environmental outcomes.</w:t>
      </w:r>
    </w:p>
    <w:p w14:paraId="656AFD32" w14:textId="77777777" w:rsidR="00E64F76" w:rsidRDefault="00E64F76" w:rsidP="00982D63">
      <w:pPr>
        <w:pStyle w:val="Heading2un-numbered"/>
        <w:numPr>
          <w:ilvl w:val="0"/>
          <w:numId w:val="0"/>
        </w:numPr>
        <w:ind w:left="576"/>
      </w:pPr>
      <w:r w:rsidRPr="00AF5948">
        <w:t>Summary of</w:t>
      </w:r>
      <w:r w:rsidR="002F06BE">
        <w:t xml:space="preserve"> problem area and</w:t>
      </w:r>
      <w:r w:rsidRPr="00AF5948">
        <w:t xml:space="preserve"> preferred options</w:t>
      </w:r>
    </w:p>
    <w:p w14:paraId="656AFD33" w14:textId="77777777" w:rsidR="00C304A1" w:rsidRPr="005E3DFB" w:rsidRDefault="006179FE" w:rsidP="00C304A1">
      <w:r w:rsidRPr="005E3DFB">
        <w:t>The table below describes each specific problem and the preferred options. Given the significant detail and technical complexity of many problem areas and options, only a summary of key features is provided here.</w:t>
      </w:r>
    </w:p>
    <w:p w14:paraId="656AFD34" w14:textId="77777777" w:rsidR="006179FE" w:rsidRPr="006179FE" w:rsidRDefault="006179FE" w:rsidP="000E7C5E">
      <w:pPr>
        <w:spacing w:after="0"/>
        <w:rPr>
          <w:i/>
        </w:rPr>
      </w:pPr>
      <w:r w:rsidRPr="006179FE">
        <w:rPr>
          <w:i/>
        </w:rPr>
        <w:t>Approach</w:t>
      </w:r>
    </w:p>
    <w:p w14:paraId="656AFD35" w14:textId="73FE3FB7" w:rsidR="002A4828" w:rsidRPr="002A4828" w:rsidRDefault="002A4828" w:rsidP="002A4828">
      <w:r w:rsidRPr="002A4828">
        <w:t>Because this RIS addresses a range of problem areas, and each with different data limitations and characteristics, the approach has been to use the most rigorous tool available for each problem area estimating overall costs and benefits to the extent feasible.</w:t>
      </w:r>
    </w:p>
    <w:p w14:paraId="656AFD36" w14:textId="77777777" w:rsidR="002A4828" w:rsidRPr="002A4828" w:rsidRDefault="002A4828" w:rsidP="002A4828">
      <w:pPr>
        <w:spacing w:line="240" w:lineRule="auto"/>
        <w:rPr>
          <w:szCs w:val="20"/>
        </w:rPr>
      </w:pPr>
      <w:r w:rsidRPr="002A4828">
        <w:rPr>
          <w:szCs w:val="20"/>
        </w:rPr>
        <w:t>Due to data limitations a fully quantified CBA was undertaken for only one problem area addressed in this RIS – permissions (licences, permits and registrations) as the data for this analysis was considered sufficiently complete and rigorous.</w:t>
      </w:r>
    </w:p>
    <w:p w14:paraId="656AFD37" w14:textId="77777777" w:rsidR="006179FE" w:rsidRDefault="006179FE" w:rsidP="006179FE">
      <w:pPr>
        <w:spacing w:before="120"/>
      </w:pPr>
      <w:r>
        <w:t xml:space="preserve">Where benefits and/or costs were not able to be quantified, assessment was undertaken using various types of methods which vary by problem depending on the size of the problem being addressed, the options being considered, and the extent of data that was available. </w:t>
      </w:r>
    </w:p>
    <w:p w14:paraId="656AFD38" w14:textId="77777777" w:rsidR="00005F17" w:rsidRDefault="00005F17" w:rsidP="00005F17">
      <w:pPr>
        <w:spacing w:after="0"/>
      </w:pPr>
    </w:p>
    <w:tbl>
      <w:tblPr>
        <w:tblStyle w:val="Deloittetable"/>
        <w:tblW w:w="0" w:type="auto"/>
        <w:tblLook w:val="04A0" w:firstRow="1" w:lastRow="0" w:firstColumn="1" w:lastColumn="0" w:noHBand="0" w:noVBand="1"/>
      </w:tblPr>
      <w:tblGrid>
        <w:gridCol w:w="1068"/>
        <w:gridCol w:w="4649"/>
        <w:gridCol w:w="4139"/>
      </w:tblGrid>
      <w:tr w:rsidR="00D0250F" w:rsidRPr="00005F17" w14:paraId="656AFD3C" w14:textId="77777777" w:rsidTr="00850F5B">
        <w:trPr>
          <w:cnfStyle w:val="100000000000" w:firstRow="1" w:lastRow="0" w:firstColumn="0" w:lastColumn="0" w:oddVBand="0" w:evenVBand="0" w:oddHBand="0" w:evenHBand="0" w:firstRowFirstColumn="0" w:firstRowLastColumn="0" w:lastRowFirstColumn="0" w:lastRowLastColumn="0"/>
          <w:tblHeader/>
        </w:trPr>
        <w:tc>
          <w:tcPr>
            <w:tcW w:w="1068" w:type="dxa"/>
          </w:tcPr>
          <w:p w14:paraId="656AFD39" w14:textId="77777777" w:rsidR="002F06BE" w:rsidRPr="00005F17" w:rsidRDefault="005651B6" w:rsidP="00ED173F">
            <w:pPr>
              <w:mirrorIndents/>
              <w:rPr>
                <w:rFonts w:cs="Segoe UI Light"/>
                <w:b/>
                <w:sz w:val="18"/>
              </w:rPr>
            </w:pPr>
            <w:r w:rsidRPr="00005F17">
              <w:rPr>
                <w:rFonts w:cs="Segoe UI Light"/>
                <w:b/>
                <w:sz w:val="18"/>
              </w:rPr>
              <w:t>Problem area</w:t>
            </w:r>
          </w:p>
        </w:tc>
        <w:tc>
          <w:tcPr>
            <w:tcW w:w="4649" w:type="dxa"/>
          </w:tcPr>
          <w:p w14:paraId="656AFD3A" w14:textId="77777777" w:rsidR="002F06BE" w:rsidRPr="00005F17" w:rsidRDefault="00F857CD" w:rsidP="00ED173F">
            <w:pPr>
              <w:mirrorIndents/>
              <w:rPr>
                <w:rFonts w:cs="Segoe UI Light"/>
                <w:b/>
                <w:sz w:val="18"/>
              </w:rPr>
            </w:pPr>
            <w:r w:rsidRPr="00005F17">
              <w:rPr>
                <w:rFonts w:cs="Segoe UI Light"/>
                <w:b/>
                <w:sz w:val="18"/>
              </w:rPr>
              <w:t>Description of Problem</w:t>
            </w:r>
          </w:p>
        </w:tc>
        <w:tc>
          <w:tcPr>
            <w:tcW w:w="4139" w:type="dxa"/>
          </w:tcPr>
          <w:p w14:paraId="656AFD3B" w14:textId="77777777" w:rsidR="002F06BE" w:rsidRPr="00005F17" w:rsidRDefault="00F857CD" w:rsidP="00ED173F">
            <w:pPr>
              <w:mirrorIndents/>
              <w:rPr>
                <w:rFonts w:cs="Segoe UI Light"/>
                <w:b/>
                <w:sz w:val="18"/>
              </w:rPr>
            </w:pPr>
            <w:r w:rsidRPr="00005F17">
              <w:rPr>
                <w:rFonts w:cs="Segoe UI Light"/>
                <w:b/>
                <w:sz w:val="18"/>
              </w:rPr>
              <w:t>Preferred option</w:t>
            </w:r>
          </w:p>
        </w:tc>
      </w:tr>
      <w:tr w:rsidR="00D0250F" w:rsidRPr="00005F17" w14:paraId="656AFD48" w14:textId="77777777" w:rsidTr="00850F5B">
        <w:tc>
          <w:tcPr>
            <w:tcW w:w="1068" w:type="dxa"/>
          </w:tcPr>
          <w:p w14:paraId="656AFD3D" w14:textId="77777777" w:rsidR="002F06BE" w:rsidRPr="00005F17" w:rsidRDefault="005651B6" w:rsidP="00ED173F">
            <w:pPr>
              <w:mirrorIndents/>
              <w:rPr>
                <w:rFonts w:cs="Segoe UI Light"/>
                <w:b/>
                <w:sz w:val="18"/>
              </w:rPr>
            </w:pPr>
            <w:r w:rsidRPr="00005F17">
              <w:rPr>
                <w:rFonts w:cs="Segoe UI Light"/>
                <w:b/>
                <w:sz w:val="18"/>
              </w:rPr>
              <w:t>Permissions</w:t>
            </w:r>
          </w:p>
        </w:tc>
        <w:tc>
          <w:tcPr>
            <w:tcW w:w="4649" w:type="dxa"/>
          </w:tcPr>
          <w:p w14:paraId="656AFD3E" w14:textId="77777777" w:rsidR="00F857CD" w:rsidRPr="003E6970" w:rsidRDefault="00F857CD" w:rsidP="004A2442">
            <w:pPr>
              <w:pStyle w:val="ListParagraph"/>
              <w:numPr>
                <w:ilvl w:val="0"/>
                <w:numId w:val="62"/>
              </w:numPr>
              <w:ind w:left="285" w:right="262" w:hanging="285"/>
              <w:mirrorIndents/>
              <w:rPr>
                <w:rFonts w:cs="Segoe UI Light"/>
                <w:sz w:val="18"/>
              </w:rPr>
            </w:pPr>
            <w:r w:rsidRPr="00B05634">
              <w:rPr>
                <w:rFonts w:cs="Segoe UI Light"/>
                <w:sz w:val="18"/>
              </w:rPr>
              <w:t>A number of i</w:t>
            </w:r>
            <w:r w:rsidRPr="003E6970">
              <w:rPr>
                <w:sz w:val="18"/>
              </w:rPr>
              <w:t xml:space="preserve">ndustrial activities account for a considerable </w:t>
            </w:r>
            <w:r w:rsidRPr="00850F5B">
              <w:rPr>
                <w:sz w:val="18"/>
              </w:rPr>
              <w:t>share of Victoria’s air, land and water emissions</w:t>
            </w:r>
            <w:r w:rsidR="00CE2DB0" w:rsidRPr="00850F5B">
              <w:rPr>
                <w:sz w:val="18"/>
              </w:rPr>
              <w:t xml:space="preserve"> and impact on amenity</w:t>
            </w:r>
            <w:r w:rsidRPr="00850F5B">
              <w:rPr>
                <w:sz w:val="18"/>
              </w:rPr>
              <w:t>. These activities pose a significant</w:t>
            </w:r>
            <w:r w:rsidRPr="003E6970">
              <w:rPr>
                <w:sz w:val="18"/>
              </w:rPr>
              <w:t xml:space="preserve"> risk to human health and the environment</w:t>
            </w:r>
            <w:r w:rsidR="00DC7A63">
              <w:rPr>
                <w:sz w:val="18"/>
              </w:rPr>
              <w:t xml:space="preserve">. </w:t>
            </w:r>
          </w:p>
          <w:p w14:paraId="656AFD3F" w14:textId="77777777" w:rsidR="002A4828" w:rsidRPr="003E6970" w:rsidRDefault="002A4828" w:rsidP="002A4828">
            <w:pPr>
              <w:pStyle w:val="ListParagraph"/>
              <w:numPr>
                <w:ilvl w:val="0"/>
                <w:numId w:val="62"/>
              </w:numPr>
              <w:ind w:left="285" w:right="262" w:hanging="285"/>
              <w:mirrorIndents/>
              <w:rPr>
                <w:rFonts w:cs="Segoe UI Light"/>
                <w:sz w:val="18"/>
              </w:rPr>
            </w:pPr>
            <w:r w:rsidRPr="003E6970">
              <w:rPr>
                <w:rFonts w:cs="Segoe UI Light"/>
                <w:sz w:val="18"/>
              </w:rPr>
              <w:t xml:space="preserve">In order to address these risks, the new EP </w:t>
            </w:r>
            <w:r w:rsidR="003636AA" w:rsidRPr="003E6970">
              <w:rPr>
                <w:rFonts w:cs="Segoe UI Light"/>
                <w:sz w:val="18"/>
              </w:rPr>
              <w:t>l</w:t>
            </w:r>
            <w:r w:rsidRPr="003E6970">
              <w:rPr>
                <w:rFonts w:cs="Segoe UI Light"/>
                <w:sz w:val="18"/>
              </w:rPr>
              <w:t xml:space="preserve">egislation establishes a three-tiered permissioning framework to complement the GED. The framework allows EPA to establish greater certainty of control for activities </w:t>
            </w:r>
            <w:r w:rsidRPr="003E6970">
              <w:rPr>
                <w:sz w:val="18"/>
              </w:rPr>
              <w:t xml:space="preserve">which pose significant risks of harm to human health and the environment, and where the consequences of non-compliance are greatest. The </w:t>
            </w:r>
            <w:r w:rsidRPr="003E6970">
              <w:rPr>
                <w:rFonts w:cs="Segoe UI Light"/>
                <w:sz w:val="18"/>
              </w:rPr>
              <w:t xml:space="preserve">three permission tiers established in the new EP </w:t>
            </w:r>
            <w:r w:rsidR="003636AA" w:rsidRPr="003E6970">
              <w:rPr>
                <w:rFonts w:cs="Segoe UI Light"/>
                <w:sz w:val="18"/>
              </w:rPr>
              <w:t>l</w:t>
            </w:r>
            <w:r w:rsidRPr="003E6970">
              <w:rPr>
                <w:rFonts w:cs="Segoe UI Light"/>
                <w:sz w:val="18"/>
              </w:rPr>
              <w:t xml:space="preserve">egislation are: licences, permits and registrations. The new EP </w:t>
            </w:r>
            <w:r w:rsidR="003636AA" w:rsidRPr="003E6970">
              <w:rPr>
                <w:rFonts w:cs="Segoe UI Light"/>
                <w:sz w:val="18"/>
              </w:rPr>
              <w:t>l</w:t>
            </w:r>
            <w:r w:rsidRPr="003E6970">
              <w:rPr>
                <w:rFonts w:cs="Segoe UI Light"/>
                <w:sz w:val="18"/>
              </w:rPr>
              <w:t>egislation also establishes the ability for EPA to require duty holders to hold a financial assurance. Financial assurance is a financial security required to be submitted for certain types of premises or activities. Financial assurance provides the Government with security to recover the costs associated with clean-up following pollution incidents or from failure to adhere to licence conditions.</w:t>
            </w:r>
          </w:p>
          <w:p w14:paraId="656AFD40" w14:textId="77777777" w:rsidR="002F06BE" w:rsidRPr="003E6970" w:rsidRDefault="002A4828" w:rsidP="004A2442">
            <w:pPr>
              <w:pStyle w:val="ListParagraph"/>
              <w:numPr>
                <w:ilvl w:val="0"/>
                <w:numId w:val="62"/>
              </w:numPr>
              <w:ind w:left="285" w:right="262" w:hanging="285"/>
              <w:mirrorIndents/>
              <w:rPr>
                <w:rFonts w:cs="Segoe UI Light"/>
                <w:sz w:val="18"/>
              </w:rPr>
            </w:pPr>
            <w:r w:rsidRPr="003E6970">
              <w:rPr>
                <w:rFonts w:cs="Segoe UI Light"/>
                <w:sz w:val="18"/>
              </w:rPr>
              <w:t xml:space="preserve">The new EP </w:t>
            </w:r>
            <w:r w:rsidR="003636AA" w:rsidRPr="003E6970">
              <w:rPr>
                <w:rFonts w:cs="Segoe UI Light"/>
                <w:sz w:val="18"/>
              </w:rPr>
              <w:t>l</w:t>
            </w:r>
            <w:r w:rsidRPr="003E6970">
              <w:rPr>
                <w:rFonts w:cs="Segoe UI Light"/>
                <w:sz w:val="18"/>
              </w:rPr>
              <w:t xml:space="preserve">egislation does not specify the activities that would require duty holders to obtain a permission, or require a financial assurance. </w:t>
            </w:r>
            <w:r w:rsidR="001B57B2" w:rsidRPr="00850F5B">
              <w:rPr>
                <w:rFonts w:cs="Segoe UI Light"/>
                <w:sz w:val="18"/>
              </w:rPr>
              <w:t xml:space="preserve">The permissions framework under the new legislative </w:t>
            </w:r>
            <w:r w:rsidR="001B57B2" w:rsidRPr="00850F5B">
              <w:rPr>
                <w:rFonts w:cs="Segoe UI Light"/>
                <w:sz w:val="18"/>
              </w:rPr>
              <w:lastRenderedPageBreak/>
              <w:t>framework therefore cannot function effectively without prescription under regulation</w:t>
            </w:r>
          </w:p>
        </w:tc>
        <w:tc>
          <w:tcPr>
            <w:tcW w:w="4139" w:type="dxa"/>
          </w:tcPr>
          <w:p w14:paraId="656AFD41" w14:textId="77777777" w:rsidR="00537931" w:rsidRPr="003E6970" w:rsidRDefault="00537931" w:rsidP="00537931">
            <w:pPr>
              <w:ind w:right="262"/>
              <w:mirrorIndents/>
              <w:rPr>
                <w:sz w:val="18"/>
              </w:rPr>
            </w:pPr>
            <w:r w:rsidRPr="003E6970">
              <w:rPr>
                <w:sz w:val="18"/>
              </w:rPr>
              <w:lastRenderedPageBreak/>
              <w:t>The preferred option is to prescribe those activities that will require some form of permission, exemption or financial assurance. This is summarised below</w:t>
            </w:r>
            <w:r w:rsidR="008A6B35">
              <w:rPr>
                <w:sz w:val="18"/>
              </w:rPr>
              <w:t>:</w:t>
            </w:r>
            <w:r w:rsidRPr="003E6970">
              <w:rPr>
                <w:sz w:val="18"/>
              </w:rPr>
              <w:t xml:space="preserve"> </w:t>
            </w:r>
          </w:p>
          <w:p w14:paraId="656AFD42" w14:textId="77777777" w:rsidR="00537931" w:rsidRPr="003E6970" w:rsidRDefault="00537931" w:rsidP="00537931">
            <w:pPr>
              <w:pStyle w:val="ListParagraph"/>
              <w:numPr>
                <w:ilvl w:val="0"/>
                <w:numId w:val="62"/>
              </w:numPr>
              <w:ind w:left="285" w:right="262" w:hanging="285"/>
              <w:mirrorIndents/>
              <w:rPr>
                <w:rFonts w:cs="Segoe UI Light"/>
                <w:sz w:val="18"/>
              </w:rPr>
            </w:pPr>
            <w:r w:rsidRPr="003E6970">
              <w:rPr>
                <w:rFonts w:cs="Segoe UI Light"/>
                <w:sz w:val="18"/>
              </w:rPr>
              <w:t xml:space="preserve">Development Licence: </w:t>
            </w:r>
            <w:r w:rsidRPr="003E6970">
              <w:rPr>
                <w:sz w:val="18"/>
              </w:rPr>
              <w:t xml:space="preserve">All activities currently requiring a works approval, plus large </w:t>
            </w:r>
            <w:r w:rsidR="004E20B2">
              <w:t>waste and resource recovery (WRR) facilities</w:t>
            </w:r>
            <w:r w:rsidR="008A6B35">
              <w:rPr>
                <w:sz w:val="18"/>
              </w:rPr>
              <w:t>.</w:t>
            </w:r>
          </w:p>
          <w:p w14:paraId="656AFD43" w14:textId="77777777" w:rsidR="00537931" w:rsidRPr="003E6970" w:rsidRDefault="00537931" w:rsidP="00537931">
            <w:pPr>
              <w:pStyle w:val="ListParagraph"/>
              <w:numPr>
                <w:ilvl w:val="0"/>
                <w:numId w:val="62"/>
              </w:numPr>
              <w:ind w:left="285" w:right="262" w:hanging="285"/>
              <w:mirrorIndents/>
              <w:rPr>
                <w:rFonts w:cs="Segoe UI Light"/>
                <w:sz w:val="18"/>
              </w:rPr>
            </w:pPr>
            <w:r w:rsidRPr="003E6970">
              <w:rPr>
                <w:sz w:val="18"/>
              </w:rPr>
              <w:t xml:space="preserve">Operating Licence: All activities currently requiring a licence, plus selected </w:t>
            </w:r>
            <w:r w:rsidR="007901B3" w:rsidRPr="003E6970">
              <w:rPr>
                <w:sz w:val="18"/>
              </w:rPr>
              <w:t>WRRs</w:t>
            </w:r>
            <w:r w:rsidR="008A6B35">
              <w:rPr>
                <w:sz w:val="18"/>
              </w:rPr>
              <w:t>.</w:t>
            </w:r>
          </w:p>
          <w:p w14:paraId="656AFD44" w14:textId="77777777" w:rsidR="00537931" w:rsidRPr="003E6970" w:rsidRDefault="00537931" w:rsidP="00537931">
            <w:pPr>
              <w:pStyle w:val="ListParagraph"/>
              <w:numPr>
                <w:ilvl w:val="0"/>
                <w:numId w:val="62"/>
              </w:numPr>
              <w:ind w:left="285" w:right="262" w:hanging="285"/>
              <w:mirrorIndents/>
              <w:rPr>
                <w:rFonts w:cs="Segoe UI Light"/>
                <w:sz w:val="18"/>
              </w:rPr>
            </w:pPr>
            <w:r w:rsidRPr="003E6970">
              <w:rPr>
                <w:sz w:val="18"/>
              </w:rPr>
              <w:t xml:space="preserve">Financial assurance: Almost all activities currently requiring a financial assurance, plus selected </w:t>
            </w:r>
            <w:r w:rsidR="007901B3" w:rsidRPr="003E6970">
              <w:rPr>
                <w:sz w:val="18"/>
              </w:rPr>
              <w:t>WRRs</w:t>
            </w:r>
            <w:r w:rsidR="008A6B35">
              <w:rPr>
                <w:sz w:val="18"/>
              </w:rPr>
              <w:t>.</w:t>
            </w:r>
          </w:p>
          <w:p w14:paraId="656AFD45" w14:textId="77777777" w:rsidR="00537931" w:rsidRPr="003E6970" w:rsidRDefault="00537931" w:rsidP="00537931">
            <w:pPr>
              <w:pStyle w:val="ListParagraph"/>
              <w:numPr>
                <w:ilvl w:val="0"/>
                <w:numId w:val="62"/>
              </w:numPr>
              <w:ind w:left="285" w:right="262" w:hanging="285"/>
              <w:mirrorIndents/>
              <w:rPr>
                <w:sz w:val="18"/>
              </w:rPr>
            </w:pPr>
            <w:r w:rsidRPr="003E6970">
              <w:rPr>
                <w:sz w:val="18"/>
              </w:rPr>
              <w:t xml:space="preserve">Permit: Selected activities that currently require an EPA or council permission or approval under different heads of power, along with selected </w:t>
            </w:r>
            <w:r w:rsidR="007901B3" w:rsidRPr="003E6970">
              <w:rPr>
                <w:sz w:val="18"/>
              </w:rPr>
              <w:t>WRRs</w:t>
            </w:r>
            <w:r w:rsidRPr="003E6970">
              <w:rPr>
                <w:sz w:val="18"/>
              </w:rPr>
              <w:t>, municipal landfills and selected other activities that previously did not require a permission</w:t>
            </w:r>
            <w:r w:rsidR="008A6B35">
              <w:rPr>
                <w:sz w:val="18"/>
              </w:rPr>
              <w:t>.</w:t>
            </w:r>
          </w:p>
          <w:p w14:paraId="656AFD46" w14:textId="77777777" w:rsidR="00537931" w:rsidRPr="003E6970" w:rsidRDefault="00537931" w:rsidP="00537931">
            <w:pPr>
              <w:pStyle w:val="ListParagraph"/>
              <w:numPr>
                <w:ilvl w:val="0"/>
                <w:numId w:val="62"/>
              </w:numPr>
              <w:ind w:left="285" w:right="262" w:hanging="285"/>
              <w:mirrorIndents/>
              <w:rPr>
                <w:sz w:val="18"/>
              </w:rPr>
            </w:pPr>
            <w:r w:rsidRPr="003E6970">
              <w:rPr>
                <w:sz w:val="18"/>
              </w:rPr>
              <w:t xml:space="preserve">Registration: Selected activities that are currently excluded from requiring a permission through a general exemption, along with dry cleaning, selected </w:t>
            </w:r>
            <w:r w:rsidR="007901B3" w:rsidRPr="003E6970">
              <w:rPr>
                <w:sz w:val="18"/>
              </w:rPr>
              <w:t xml:space="preserve">WRRs </w:t>
            </w:r>
            <w:r w:rsidRPr="003E6970">
              <w:rPr>
                <w:sz w:val="18"/>
              </w:rPr>
              <w:t xml:space="preserve">and other waste storage and processing facilities. </w:t>
            </w:r>
          </w:p>
          <w:p w14:paraId="656AFD47" w14:textId="77777777" w:rsidR="002F06BE" w:rsidRPr="003E6970" w:rsidRDefault="00566E8E" w:rsidP="007F5B74">
            <w:pPr>
              <w:ind w:right="262"/>
              <w:mirrorIndents/>
              <w:rPr>
                <w:rFonts w:cs="Segoe UI Light"/>
                <w:sz w:val="18"/>
              </w:rPr>
            </w:pPr>
            <w:r w:rsidRPr="003E6970">
              <w:rPr>
                <w:rFonts w:cs="Segoe UI Light"/>
                <w:sz w:val="18"/>
              </w:rPr>
              <w:t xml:space="preserve">By prescribing these activities, the new </w:t>
            </w:r>
            <w:r w:rsidRPr="00850F5B">
              <w:rPr>
                <w:rFonts w:cs="Segoe UI Light"/>
                <w:sz w:val="18"/>
              </w:rPr>
              <w:t xml:space="preserve">permissions framework </w:t>
            </w:r>
            <w:r w:rsidR="008A6B35">
              <w:rPr>
                <w:rFonts w:cs="Segoe UI Light"/>
                <w:sz w:val="18"/>
              </w:rPr>
              <w:t xml:space="preserve">will be able </w:t>
            </w:r>
            <w:r w:rsidRPr="00850F5B">
              <w:rPr>
                <w:rFonts w:cs="Segoe UI Light"/>
                <w:sz w:val="18"/>
              </w:rPr>
              <w:t>to function</w:t>
            </w:r>
            <w:r w:rsidRPr="00B05634">
              <w:rPr>
                <w:rFonts w:cs="Segoe UI Light"/>
                <w:sz w:val="18"/>
              </w:rPr>
              <w:t xml:space="preserve">. This will enable </w:t>
            </w:r>
            <w:r w:rsidRPr="00B05634">
              <w:rPr>
                <w:rFonts w:cs="Segoe UI Light"/>
                <w:sz w:val="18"/>
              </w:rPr>
              <w:lastRenderedPageBreak/>
              <w:t>EPA to establish greater certainty of control for activities which pose the most significant risks of harm to human health and the environment through its perm</w:t>
            </w:r>
            <w:r w:rsidRPr="003E6970">
              <w:rPr>
                <w:rFonts w:cs="Segoe UI Light"/>
                <w:sz w:val="18"/>
              </w:rPr>
              <w:t>issioning framework</w:t>
            </w:r>
            <w:r w:rsidR="008A6B35">
              <w:rPr>
                <w:rFonts w:cs="Segoe UI Light"/>
                <w:sz w:val="18"/>
              </w:rPr>
              <w:t>.</w:t>
            </w:r>
          </w:p>
        </w:tc>
      </w:tr>
      <w:tr w:rsidR="00D0250F" w:rsidRPr="00005F17" w14:paraId="656AFD4F" w14:textId="77777777" w:rsidTr="00850F5B">
        <w:tc>
          <w:tcPr>
            <w:tcW w:w="1068" w:type="dxa"/>
          </w:tcPr>
          <w:p w14:paraId="656AFD49" w14:textId="77777777" w:rsidR="002A4828" w:rsidRPr="00041D04" w:rsidRDefault="002A4828" w:rsidP="002A4828">
            <w:pPr>
              <w:mirrorIndents/>
              <w:rPr>
                <w:rFonts w:cs="Segoe UI Light"/>
                <w:b/>
                <w:sz w:val="18"/>
              </w:rPr>
            </w:pPr>
            <w:r w:rsidRPr="00041D04">
              <w:rPr>
                <w:rFonts w:cs="Segoe UI Light"/>
                <w:b/>
                <w:sz w:val="18"/>
              </w:rPr>
              <w:lastRenderedPageBreak/>
              <w:t>On</w:t>
            </w:r>
            <w:r w:rsidR="00DD5CE9">
              <w:rPr>
                <w:rFonts w:cs="Segoe UI Light"/>
                <w:b/>
                <w:sz w:val="18"/>
              </w:rPr>
              <w:t>-</w:t>
            </w:r>
            <w:r w:rsidRPr="00041D04">
              <w:rPr>
                <w:rFonts w:cs="Segoe UI Light"/>
                <w:b/>
                <w:sz w:val="18"/>
              </w:rPr>
              <w:t>site wastewater management systems</w:t>
            </w:r>
            <w:r w:rsidR="00C85947">
              <w:rPr>
                <w:rFonts w:cs="Segoe UI Light"/>
                <w:b/>
                <w:sz w:val="18"/>
              </w:rPr>
              <w:t xml:space="preserve"> (septic tank systems)</w:t>
            </w:r>
          </w:p>
        </w:tc>
        <w:tc>
          <w:tcPr>
            <w:tcW w:w="4649" w:type="dxa"/>
          </w:tcPr>
          <w:p w14:paraId="656AFD4A" w14:textId="77777777" w:rsidR="002A4828" w:rsidRPr="003E6970" w:rsidRDefault="002A4828">
            <w:pPr>
              <w:pStyle w:val="ListParagraph"/>
              <w:numPr>
                <w:ilvl w:val="0"/>
                <w:numId w:val="62"/>
              </w:numPr>
              <w:ind w:left="285" w:right="262" w:hanging="285"/>
              <w:mirrorIndents/>
              <w:rPr>
                <w:rFonts w:cs="Segoe UI Light"/>
                <w:sz w:val="18"/>
              </w:rPr>
            </w:pPr>
            <w:r w:rsidRPr="00B05634">
              <w:rPr>
                <w:rFonts w:cs="Segoe UI Light"/>
                <w:sz w:val="18"/>
              </w:rPr>
              <w:t>On</w:t>
            </w:r>
            <w:r w:rsidR="00DD5CE9" w:rsidRPr="003E6970">
              <w:rPr>
                <w:rFonts w:cs="Segoe UI Light"/>
                <w:sz w:val="18"/>
              </w:rPr>
              <w:t>-</w:t>
            </w:r>
            <w:r w:rsidRPr="003E6970">
              <w:rPr>
                <w:rFonts w:cs="Segoe UI Light"/>
                <w:sz w:val="18"/>
              </w:rPr>
              <w:t>site wastewater management systems (“on</w:t>
            </w:r>
            <w:r w:rsidR="00C85947" w:rsidRPr="003E6970">
              <w:rPr>
                <w:rFonts w:cs="Segoe UI Light"/>
                <w:sz w:val="18"/>
              </w:rPr>
              <w:t>-</w:t>
            </w:r>
            <w:r w:rsidRPr="003E6970">
              <w:rPr>
                <w:rFonts w:cs="Segoe UI Light"/>
                <w:sz w:val="18"/>
              </w:rPr>
              <w:t xml:space="preserve">site systems”) can potentially pose a significant risk to the environment, public health of communities and to local amenity. In particular, this occurs when systems (1) have deteriorated, (2) are poorly maintained, (3) are not fit for purpose, or (4) are not properly located. </w:t>
            </w:r>
          </w:p>
          <w:p w14:paraId="656AFD4B" w14:textId="77777777" w:rsidR="002A4828" w:rsidRPr="003E6970" w:rsidRDefault="002A4828" w:rsidP="00CF2D9B">
            <w:pPr>
              <w:pStyle w:val="ListParagraph"/>
              <w:numPr>
                <w:ilvl w:val="0"/>
                <w:numId w:val="62"/>
              </w:numPr>
              <w:spacing w:after="0"/>
              <w:ind w:left="285" w:right="262" w:hanging="285"/>
              <w:mirrorIndents/>
              <w:rPr>
                <w:rFonts w:cs="Segoe UI Light"/>
                <w:sz w:val="18"/>
              </w:rPr>
            </w:pPr>
            <w:r w:rsidRPr="003E6970">
              <w:rPr>
                <w:rFonts w:cs="Segoe UI Light"/>
                <w:sz w:val="18"/>
              </w:rPr>
              <w:t xml:space="preserve">Under </w:t>
            </w:r>
            <w:r w:rsidR="001F5F46" w:rsidRPr="003E6970">
              <w:rPr>
                <w:rFonts w:cs="Segoe UI Light"/>
                <w:sz w:val="18"/>
              </w:rPr>
              <w:t>the EP Act 1970</w:t>
            </w:r>
            <w:r w:rsidRPr="003E6970">
              <w:rPr>
                <w:rFonts w:cs="Segoe UI Light"/>
                <w:sz w:val="18"/>
              </w:rPr>
              <w:t>, Victoria’s local councils are responsible for administering permits to property owners for the installation or modification of on</w:t>
            </w:r>
            <w:r w:rsidR="00C85947" w:rsidRPr="003E6970">
              <w:rPr>
                <w:rFonts w:cs="Segoe UI Light"/>
                <w:sz w:val="18"/>
              </w:rPr>
              <w:t>-</w:t>
            </w:r>
            <w:r w:rsidRPr="003E6970">
              <w:rPr>
                <w:rFonts w:cs="Segoe UI Light"/>
                <w:sz w:val="18"/>
              </w:rPr>
              <w:t>site systems with a flow rate less than 5,000L per day</w:t>
            </w:r>
            <w:r w:rsidRPr="00B05634">
              <w:rPr>
                <w:rFonts w:cs="Segoe UI Light"/>
                <w:sz w:val="18"/>
              </w:rPr>
              <w:t>. Councils may include conditions on the permit, or refuse to issue a permit if the site is unsuitable or must refuse if the on</w:t>
            </w:r>
            <w:r w:rsidR="00DD5CE9" w:rsidRPr="003E6970">
              <w:rPr>
                <w:rFonts w:cs="Segoe UI Light"/>
                <w:sz w:val="18"/>
              </w:rPr>
              <w:t>-</w:t>
            </w:r>
            <w:r w:rsidRPr="003E6970">
              <w:rPr>
                <w:rFonts w:cs="Segoe UI Light"/>
                <w:sz w:val="18"/>
              </w:rPr>
              <w:t>site system is not a type approved by EPA.</w:t>
            </w:r>
          </w:p>
          <w:p w14:paraId="656AFD4C" w14:textId="4BBBD67C" w:rsidR="00F97092" w:rsidRPr="00850F5B" w:rsidRDefault="00F97092" w:rsidP="00850F5B">
            <w:pPr>
              <w:pStyle w:val="ListParagraph"/>
              <w:numPr>
                <w:ilvl w:val="0"/>
                <w:numId w:val="62"/>
              </w:numPr>
              <w:spacing w:after="0"/>
              <w:ind w:left="285" w:right="262" w:hanging="285"/>
              <w:mirrorIndents/>
              <w:rPr>
                <w:rFonts w:cs="Segoe UI Light"/>
                <w:sz w:val="18"/>
              </w:rPr>
            </w:pPr>
            <w:r w:rsidRPr="003E6970">
              <w:rPr>
                <w:rFonts w:cs="Segoe UI Light"/>
                <w:sz w:val="18"/>
              </w:rPr>
              <w:t>There are no specific requirements or duties relating to on-site systems in the new EP legislation. Under the new permissioning framework, councils can issue permits</w:t>
            </w:r>
            <w:r w:rsidR="003F1D7D" w:rsidRPr="003E6970">
              <w:rPr>
                <w:rFonts w:cs="Segoe UI Light"/>
                <w:sz w:val="18"/>
              </w:rPr>
              <w:t>.</w:t>
            </w:r>
            <w:r w:rsidRPr="003E6970">
              <w:rPr>
                <w:rFonts w:cs="Segoe UI Light"/>
                <w:sz w:val="18"/>
              </w:rPr>
              <w:t xml:space="preserve"> </w:t>
            </w:r>
            <w:r w:rsidR="003F1D7D" w:rsidRPr="00850F5B">
              <w:rPr>
                <w:rFonts w:cs="Segoe UI Light"/>
                <w:sz w:val="18"/>
              </w:rPr>
              <w:t xml:space="preserve">However, </w:t>
            </w:r>
            <w:r w:rsidR="00C1435E">
              <w:rPr>
                <w:rFonts w:cs="Segoe UI Light"/>
                <w:sz w:val="18"/>
              </w:rPr>
              <w:t>c</w:t>
            </w:r>
            <w:r w:rsidR="00720490" w:rsidRPr="00720490">
              <w:rPr>
                <w:rFonts w:eastAsia="Times New Roman"/>
                <w:color w:val="000000"/>
                <w:sz w:val="18"/>
                <w:szCs w:val="16"/>
              </w:rPr>
              <w:t>ouncils would not be able to adequately</w:t>
            </w:r>
            <w:r w:rsidR="00720490" w:rsidRPr="00720490">
              <w:rPr>
                <w:rFonts w:eastAsia="Times New Roman"/>
                <w:b/>
                <w:bCs/>
                <w:color w:val="000000"/>
                <w:sz w:val="18"/>
                <w:szCs w:val="16"/>
              </w:rPr>
              <w:t xml:space="preserve"> </w:t>
            </w:r>
            <w:r w:rsidR="00720490" w:rsidRPr="00720490">
              <w:rPr>
                <w:rFonts w:eastAsia="Times New Roman"/>
                <w:color w:val="000000"/>
                <w:sz w:val="18"/>
                <w:szCs w:val="16"/>
              </w:rPr>
              <w:t>continue their regulatory role in managing the risks posed by on-site systems and to recover their associated costs</w:t>
            </w:r>
            <w:r w:rsidR="00720490">
              <w:rPr>
                <w:rFonts w:eastAsia="Times New Roman"/>
                <w:color w:val="000000"/>
                <w:sz w:val="18"/>
                <w:szCs w:val="16"/>
              </w:rPr>
              <w:t xml:space="preserve">. </w:t>
            </w:r>
            <w:r w:rsidR="00BD2152" w:rsidRPr="00B05634">
              <w:rPr>
                <w:rFonts w:cs="Segoe UI Light"/>
                <w:sz w:val="18"/>
              </w:rPr>
              <w:t>.</w:t>
            </w:r>
          </w:p>
        </w:tc>
        <w:tc>
          <w:tcPr>
            <w:tcW w:w="4139" w:type="dxa"/>
          </w:tcPr>
          <w:p w14:paraId="656AFD4D" w14:textId="77777777" w:rsidR="002A4828" w:rsidRPr="003E6970" w:rsidRDefault="002A4828" w:rsidP="002A4828">
            <w:pPr>
              <w:mirrorIndents/>
              <w:rPr>
                <w:rFonts w:cs="Segoe UI Light"/>
                <w:sz w:val="18"/>
              </w:rPr>
            </w:pPr>
            <w:r w:rsidRPr="00B05634">
              <w:rPr>
                <w:rFonts w:cs="Segoe UI Light"/>
                <w:sz w:val="18"/>
              </w:rPr>
              <w:t xml:space="preserve">The </w:t>
            </w:r>
            <w:r w:rsidRPr="00850F5B">
              <w:rPr>
                <w:rFonts w:cs="Segoe UI Light"/>
                <w:sz w:val="18"/>
              </w:rPr>
              <w:t>preferred option is for councils to continue to issue permits</w:t>
            </w:r>
            <w:r w:rsidR="000B3306" w:rsidRPr="00850F5B">
              <w:rPr>
                <w:rFonts w:cs="Segoe UI Light"/>
                <w:sz w:val="18"/>
              </w:rPr>
              <w:t xml:space="preserve"> under the new EP legislation</w:t>
            </w:r>
            <w:r w:rsidRPr="00850F5B">
              <w:rPr>
                <w:rFonts w:cs="Segoe UI Light"/>
                <w:sz w:val="18"/>
              </w:rPr>
              <w:t xml:space="preserve"> for the construction, installation</w:t>
            </w:r>
            <w:r w:rsidRPr="00B05634">
              <w:rPr>
                <w:rFonts w:cs="Segoe UI Light"/>
                <w:sz w:val="18"/>
              </w:rPr>
              <w:t xml:space="preserve"> or alteration of on</w:t>
            </w:r>
            <w:r w:rsidR="00C85947" w:rsidRPr="003E6970">
              <w:rPr>
                <w:rFonts w:cs="Segoe UI Light"/>
                <w:sz w:val="18"/>
              </w:rPr>
              <w:t>-</w:t>
            </w:r>
            <w:r w:rsidRPr="003E6970">
              <w:rPr>
                <w:rFonts w:cs="Segoe UI Light"/>
                <w:sz w:val="18"/>
              </w:rPr>
              <w:t>site systems, but to n</w:t>
            </w:r>
            <w:r w:rsidR="005E035A" w:rsidRPr="003E6970">
              <w:rPr>
                <w:rFonts w:cs="Segoe UI Light"/>
                <w:sz w:val="18"/>
              </w:rPr>
              <w:t xml:space="preserve">ot issue </w:t>
            </w:r>
            <w:r w:rsidR="00F97092" w:rsidRPr="003E6970">
              <w:rPr>
                <w:rFonts w:cs="Segoe UI Light"/>
                <w:sz w:val="18"/>
              </w:rPr>
              <w:t xml:space="preserve">ongoing </w:t>
            </w:r>
            <w:r w:rsidR="005E035A" w:rsidRPr="003E6970">
              <w:rPr>
                <w:rFonts w:cs="Segoe UI Light"/>
                <w:sz w:val="18"/>
              </w:rPr>
              <w:t xml:space="preserve">permits for </w:t>
            </w:r>
            <w:r w:rsidR="00F97092" w:rsidRPr="003E6970">
              <w:rPr>
                <w:rFonts w:cs="Segoe UI Light"/>
                <w:sz w:val="18"/>
              </w:rPr>
              <w:t xml:space="preserve">their </w:t>
            </w:r>
            <w:r w:rsidR="005E035A" w:rsidRPr="003E6970">
              <w:rPr>
                <w:rFonts w:cs="Segoe UI Light"/>
                <w:sz w:val="18"/>
              </w:rPr>
              <w:t>operation.</w:t>
            </w:r>
          </w:p>
          <w:p w14:paraId="656AFD4E" w14:textId="77777777" w:rsidR="00C34D19" w:rsidRPr="003E6970" w:rsidRDefault="00F97092" w:rsidP="002A4828">
            <w:pPr>
              <w:mirrorIndents/>
              <w:rPr>
                <w:rFonts w:cs="Segoe UI Light"/>
                <w:sz w:val="18"/>
              </w:rPr>
            </w:pPr>
            <w:r w:rsidRPr="003E6970">
              <w:rPr>
                <w:rFonts w:cs="Segoe UI Light"/>
                <w:sz w:val="18"/>
              </w:rPr>
              <w:t>This option would support councils’ role in managing the risks posed by on-site systems.</w:t>
            </w:r>
          </w:p>
        </w:tc>
      </w:tr>
      <w:tr w:rsidR="00D0250F" w:rsidRPr="00005F17" w14:paraId="656AFD5A" w14:textId="77777777" w:rsidTr="00850F5B">
        <w:tc>
          <w:tcPr>
            <w:tcW w:w="1068" w:type="dxa"/>
          </w:tcPr>
          <w:p w14:paraId="656AFD50" w14:textId="77777777" w:rsidR="006D1C0C" w:rsidRPr="00005F17" w:rsidRDefault="006D1C0C" w:rsidP="006D1C0C">
            <w:pPr>
              <w:mirrorIndents/>
              <w:rPr>
                <w:rFonts w:cs="Segoe UI Light"/>
                <w:b/>
                <w:sz w:val="18"/>
              </w:rPr>
            </w:pPr>
            <w:r w:rsidRPr="00005F17">
              <w:rPr>
                <w:rFonts w:cs="Segoe UI Light"/>
                <w:b/>
                <w:sz w:val="18"/>
              </w:rPr>
              <w:t>Contaminated land</w:t>
            </w:r>
          </w:p>
        </w:tc>
        <w:tc>
          <w:tcPr>
            <w:tcW w:w="4649" w:type="dxa"/>
          </w:tcPr>
          <w:p w14:paraId="656AFD51" w14:textId="77777777" w:rsidR="006D1C0C" w:rsidRPr="003E6970" w:rsidRDefault="006D1C0C" w:rsidP="004A2442">
            <w:pPr>
              <w:pStyle w:val="ListParagraph"/>
              <w:numPr>
                <w:ilvl w:val="0"/>
                <w:numId w:val="62"/>
              </w:numPr>
              <w:ind w:left="285" w:right="262" w:hanging="285"/>
              <w:mirrorIndents/>
              <w:rPr>
                <w:rFonts w:cs="Segoe UI Light"/>
                <w:sz w:val="18"/>
              </w:rPr>
            </w:pPr>
            <w:r w:rsidRPr="00B05634">
              <w:rPr>
                <w:rFonts w:cs="Segoe UI Light"/>
                <w:sz w:val="18"/>
              </w:rPr>
              <w:t>Contaminated land was identified by the EP</w:t>
            </w:r>
            <w:r w:rsidR="00C85947" w:rsidRPr="003E6970">
              <w:rPr>
                <w:rFonts w:cs="Segoe UI Light"/>
                <w:sz w:val="18"/>
              </w:rPr>
              <w:t>A</w:t>
            </w:r>
            <w:r w:rsidRPr="003E6970">
              <w:rPr>
                <w:rFonts w:cs="Segoe UI Light"/>
                <w:sz w:val="18"/>
              </w:rPr>
              <w:t xml:space="preserve"> Inquiry as one of the critical challenges for environmental protection in Victoria.</w:t>
            </w:r>
          </w:p>
          <w:p w14:paraId="656AFD52" w14:textId="77777777" w:rsidR="006D1C0C" w:rsidRPr="003E6970" w:rsidRDefault="006D1C0C" w:rsidP="004A2442">
            <w:pPr>
              <w:pStyle w:val="ListParagraph"/>
              <w:numPr>
                <w:ilvl w:val="0"/>
                <w:numId w:val="62"/>
              </w:numPr>
              <w:ind w:left="285" w:right="262" w:hanging="285"/>
              <w:mirrorIndents/>
              <w:rPr>
                <w:rFonts w:cs="Segoe UI Light"/>
                <w:sz w:val="18"/>
              </w:rPr>
            </w:pPr>
            <w:r w:rsidRPr="003E6970">
              <w:rPr>
                <w:rFonts w:cs="Segoe UI Light"/>
                <w:sz w:val="18"/>
              </w:rPr>
              <w:t xml:space="preserve">Alongside the GED, the Victorian Government has established new duties to </w:t>
            </w:r>
            <w:r w:rsidR="002A4828" w:rsidRPr="003E6970">
              <w:rPr>
                <w:rFonts w:cs="Segoe UI Light"/>
                <w:sz w:val="18"/>
              </w:rPr>
              <w:t>m</w:t>
            </w:r>
            <w:r w:rsidRPr="003E6970">
              <w:rPr>
                <w:rFonts w:cs="Segoe UI Light"/>
                <w:sz w:val="18"/>
              </w:rPr>
              <w:t xml:space="preserve">anage and </w:t>
            </w:r>
            <w:r w:rsidR="002A4828" w:rsidRPr="003E6970">
              <w:rPr>
                <w:rFonts w:cs="Segoe UI Light"/>
                <w:sz w:val="18"/>
              </w:rPr>
              <w:t>n</w:t>
            </w:r>
            <w:r w:rsidRPr="003E6970">
              <w:rPr>
                <w:rFonts w:cs="Segoe UI Light"/>
                <w:sz w:val="18"/>
              </w:rPr>
              <w:t>otify of contaminated land as part of the new EP legislation to address the significant legacy problem of contaminated land.</w:t>
            </w:r>
          </w:p>
          <w:p w14:paraId="656AFD53" w14:textId="6D07F667" w:rsidR="0000582A" w:rsidRPr="00B05634" w:rsidRDefault="006D1C0C" w:rsidP="0000582A">
            <w:pPr>
              <w:pStyle w:val="ListParagraph"/>
              <w:numPr>
                <w:ilvl w:val="0"/>
                <w:numId w:val="62"/>
              </w:numPr>
              <w:ind w:left="285" w:right="262" w:hanging="285"/>
              <w:mirrorIndents/>
              <w:rPr>
                <w:rFonts w:cs="Segoe UI Light"/>
                <w:sz w:val="18"/>
              </w:rPr>
            </w:pPr>
            <w:r w:rsidRPr="003E6970">
              <w:rPr>
                <w:rFonts w:cs="Segoe UI Light"/>
                <w:sz w:val="18"/>
              </w:rPr>
              <w:t xml:space="preserve">However, some risks will continue to exist after the new EP legislation has taken effect (residual risk). </w:t>
            </w:r>
            <w:r w:rsidR="005D1D41" w:rsidRPr="003E6970">
              <w:rPr>
                <w:rFonts w:cs="Segoe UI Light"/>
                <w:sz w:val="18"/>
              </w:rPr>
              <w:t xml:space="preserve">The </w:t>
            </w:r>
            <w:r w:rsidRPr="003E6970">
              <w:rPr>
                <w:rFonts w:cs="Segoe UI Light"/>
                <w:sz w:val="18"/>
              </w:rPr>
              <w:t xml:space="preserve">new EP legislation </w:t>
            </w:r>
            <w:r w:rsidR="00103622" w:rsidRPr="003E6970">
              <w:rPr>
                <w:rFonts w:cs="Segoe UI Light"/>
                <w:sz w:val="18"/>
              </w:rPr>
              <w:t>does not include</w:t>
            </w:r>
            <w:r w:rsidR="00CF2D9B" w:rsidRPr="003E6970">
              <w:rPr>
                <w:rFonts w:cs="Segoe UI Light"/>
                <w:sz w:val="18"/>
              </w:rPr>
              <w:t xml:space="preserve"> </w:t>
            </w:r>
            <w:r w:rsidR="005D1D41" w:rsidRPr="003E6970">
              <w:rPr>
                <w:rFonts w:cs="Segoe UI Light"/>
                <w:sz w:val="18"/>
              </w:rPr>
              <w:t>prescriptive detail</w:t>
            </w:r>
            <w:r w:rsidR="00CF2D9B" w:rsidRPr="003E6970">
              <w:rPr>
                <w:rFonts w:cs="Segoe UI Light"/>
                <w:sz w:val="18"/>
              </w:rPr>
              <w:t xml:space="preserve">, since it </w:t>
            </w:r>
            <w:r w:rsidR="005D1D41" w:rsidRPr="003E6970">
              <w:rPr>
                <w:rFonts w:cs="Segoe UI Light"/>
                <w:sz w:val="18"/>
              </w:rPr>
              <w:t xml:space="preserve">is not appropriate to include </w:t>
            </w:r>
            <w:r w:rsidR="00CF2D9B" w:rsidRPr="003E6970">
              <w:rPr>
                <w:rFonts w:cs="Segoe UI Light"/>
                <w:sz w:val="18"/>
              </w:rPr>
              <w:t xml:space="preserve">this detail </w:t>
            </w:r>
            <w:r w:rsidR="005D1D41" w:rsidRPr="003E6970">
              <w:rPr>
                <w:rFonts w:cs="Segoe UI Light"/>
                <w:sz w:val="18"/>
              </w:rPr>
              <w:t xml:space="preserve">in primary legislation. </w:t>
            </w:r>
            <w:r w:rsidR="00CF2D9B" w:rsidRPr="003E6970">
              <w:rPr>
                <w:rFonts w:cs="Segoe UI Light"/>
                <w:sz w:val="18"/>
              </w:rPr>
              <w:t xml:space="preserve">If this detail were to be included in regulations, </w:t>
            </w:r>
            <w:r w:rsidR="0000582A" w:rsidRPr="003E6970">
              <w:rPr>
                <w:rFonts w:cs="Segoe UI Light"/>
                <w:sz w:val="18"/>
              </w:rPr>
              <w:t>it would provide</w:t>
            </w:r>
            <w:r w:rsidR="0000582A" w:rsidRPr="00850F5B">
              <w:rPr>
                <w:rFonts w:cs="Segoe UI Light"/>
                <w:sz w:val="18"/>
              </w:rPr>
              <w:t xml:space="preserve"> greater consistency and certainty </w:t>
            </w:r>
            <w:r w:rsidR="00384DCF" w:rsidRPr="005E6E61">
              <w:rPr>
                <w:sz w:val="18"/>
                <w:szCs w:val="16"/>
              </w:rPr>
              <w:t xml:space="preserve">around the compliance standard required with respect to their contaminated land management and notification obligations, </w:t>
            </w:r>
            <w:r w:rsidR="00384DCF" w:rsidRPr="005E6E61">
              <w:rPr>
                <w:rFonts w:cs="Segoe UI Light"/>
                <w:sz w:val="18"/>
                <w:szCs w:val="16"/>
              </w:rPr>
              <w:t>in relation to how contamination is assessed against ‘naturally occurring concentrations’.</w:t>
            </w:r>
            <w:r w:rsidR="0000582A" w:rsidRPr="00B05634">
              <w:rPr>
                <w:rFonts w:cs="Segoe UI Light"/>
                <w:sz w:val="18"/>
              </w:rPr>
              <w:t>.</w:t>
            </w:r>
            <w:r w:rsidR="00850F5B">
              <w:rPr>
                <w:rFonts w:cs="Segoe UI Light"/>
                <w:sz w:val="18"/>
              </w:rPr>
              <w:t xml:space="preserve"> </w:t>
            </w:r>
            <w:r w:rsidR="0000582A" w:rsidRPr="003E6970">
              <w:rPr>
                <w:rFonts w:cs="Segoe UI Light"/>
                <w:sz w:val="18"/>
              </w:rPr>
              <w:t xml:space="preserve">The GED and duties to manage contamination under the new EP legislation alone may not be adequate in </w:t>
            </w:r>
            <w:r w:rsidR="0000582A" w:rsidRPr="00850F5B">
              <w:rPr>
                <w:rFonts w:cs="Segoe UI Light"/>
                <w:sz w:val="18"/>
              </w:rPr>
              <w:t>addressing risks of harm to human health and the environment</w:t>
            </w:r>
            <w:r w:rsidR="0000582A" w:rsidRPr="00B05634">
              <w:rPr>
                <w:rFonts w:cs="Segoe UI Light"/>
                <w:sz w:val="18"/>
              </w:rPr>
              <w:t xml:space="preserve"> posed by high-risk contaminants in the form of non</w:t>
            </w:r>
            <w:r w:rsidR="0000582A" w:rsidRPr="00B05634">
              <w:rPr>
                <w:rFonts w:cs="Segoe UI Light"/>
                <w:sz w:val="18"/>
              </w:rPr>
              <w:noBreakHyphen/>
              <w:t>aqueous phase liquids (NAPL).</w:t>
            </w:r>
          </w:p>
          <w:p w14:paraId="656AFD54" w14:textId="77777777" w:rsidR="006D1C0C" w:rsidRPr="003E6970" w:rsidRDefault="002A4828" w:rsidP="00850F5B">
            <w:pPr>
              <w:pStyle w:val="ListParagraph"/>
              <w:numPr>
                <w:ilvl w:val="0"/>
                <w:numId w:val="62"/>
              </w:numPr>
              <w:ind w:left="285" w:right="262" w:hanging="285"/>
              <w:mirrorIndents/>
              <w:rPr>
                <w:rFonts w:cs="Segoe UI Light"/>
                <w:sz w:val="18"/>
              </w:rPr>
            </w:pPr>
            <w:r w:rsidRPr="003E6970">
              <w:rPr>
                <w:rFonts w:cs="Segoe UI Light"/>
                <w:sz w:val="18"/>
              </w:rPr>
              <w:t xml:space="preserve">The new EP legislation is also likely to impose a burden on businesses and individuals in the initial operation of the new </w:t>
            </w:r>
            <w:r w:rsidR="0000582A" w:rsidRPr="003E6970">
              <w:rPr>
                <w:rFonts w:cs="Segoe UI Light"/>
                <w:sz w:val="18"/>
              </w:rPr>
              <w:t>EP legislation</w:t>
            </w:r>
            <w:r w:rsidR="00AE47E8" w:rsidRPr="003E6970">
              <w:rPr>
                <w:rFonts w:cs="Segoe UI Light"/>
                <w:sz w:val="18"/>
              </w:rPr>
              <w:t xml:space="preserve">. This burden </w:t>
            </w:r>
            <w:r w:rsidRPr="003E6970">
              <w:rPr>
                <w:rFonts w:cs="Segoe UI Light"/>
                <w:sz w:val="18"/>
              </w:rPr>
              <w:t xml:space="preserve">may not be commensurate to the risk posed by the </w:t>
            </w:r>
            <w:r w:rsidRPr="003E6970">
              <w:rPr>
                <w:rFonts w:cs="Segoe UI Light"/>
                <w:sz w:val="18"/>
              </w:rPr>
              <w:lastRenderedPageBreak/>
              <w:t>contamination</w:t>
            </w:r>
            <w:r w:rsidR="00AE47E8" w:rsidRPr="003E6970">
              <w:rPr>
                <w:rFonts w:cs="Segoe UI Light"/>
                <w:sz w:val="18"/>
              </w:rPr>
              <w:t>. In some instances, it may result in businesses and individuals undertaking actions for which the costs exceed the benefits</w:t>
            </w:r>
            <w:r w:rsidRPr="003E6970">
              <w:rPr>
                <w:rFonts w:cs="Segoe UI Light"/>
                <w:sz w:val="18"/>
              </w:rPr>
              <w:t xml:space="preserve">. </w:t>
            </w:r>
          </w:p>
        </w:tc>
        <w:tc>
          <w:tcPr>
            <w:tcW w:w="4139" w:type="dxa"/>
          </w:tcPr>
          <w:p w14:paraId="656AFD55" w14:textId="77777777" w:rsidR="006D1C0C" w:rsidRPr="003E6970" w:rsidRDefault="006D1C0C" w:rsidP="006D1C0C">
            <w:pPr>
              <w:ind w:right="262"/>
              <w:rPr>
                <w:rFonts w:cs="Segoe UI Light"/>
                <w:sz w:val="18"/>
              </w:rPr>
            </w:pPr>
            <w:r w:rsidRPr="003E6970">
              <w:rPr>
                <w:rFonts w:cs="Segoe UI Light"/>
                <w:sz w:val="18"/>
              </w:rPr>
              <w:lastRenderedPageBreak/>
              <w:t xml:space="preserve">The preferred options </w:t>
            </w:r>
            <w:r w:rsidR="00C34D19" w:rsidRPr="003E6970">
              <w:rPr>
                <w:rFonts w:cs="Segoe UI Light"/>
                <w:sz w:val="18"/>
              </w:rPr>
              <w:t>are</w:t>
            </w:r>
            <w:r w:rsidRPr="003E6970">
              <w:rPr>
                <w:rFonts w:cs="Segoe UI Light"/>
                <w:sz w:val="18"/>
              </w:rPr>
              <w:t>:</w:t>
            </w:r>
          </w:p>
          <w:p w14:paraId="656AFD56" w14:textId="77777777" w:rsidR="006D1C0C" w:rsidRPr="003E6970" w:rsidRDefault="006D1C0C" w:rsidP="004A2442">
            <w:pPr>
              <w:pStyle w:val="ListParagraph"/>
              <w:numPr>
                <w:ilvl w:val="0"/>
                <w:numId w:val="62"/>
              </w:numPr>
              <w:ind w:left="285" w:right="262" w:hanging="285"/>
              <w:mirrorIndents/>
              <w:rPr>
                <w:rFonts w:cs="Segoe UI Light"/>
                <w:sz w:val="18"/>
              </w:rPr>
            </w:pPr>
            <w:r w:rsidRPr="003E6970">
              <w:rPr>
                <w:rFonts w:cs="Segoe UI Light"/>
                <w:sz w:val="18"/>
              </w:rPr>
              <w:t xml:space="preserve">Duty to </w:t>
            </w:r>
            <w:r w:rsidR="002A4828" w:rsidRPr="003E6970">
              <w:rPr>
                <w:rFonts w:cs="Segoe UI Light"/>
                <w:sz w:val="18"/>
              </w:rPr>
              <w:t>m</w:t>
            </w:r>
            <w:r w:rsidRPr="003E6970">
              <w:rPr>
                <w:rFonts w:cs="Segoe UI Light"/>
                <w:sz w:val="18"/>
              </w:rPr>
              <w:t>anage: prescribe regulation for EPA to make determinations on background levels on a case by case basis and prescribe specific control measures for NAPL contamination.</w:t>
            </w:r>
          </w:p>
          <w:p w14:paraId="656AFD57" w14:textId="77777777" w:rsidR="006D1C0C" w:rsidRPr="003E6970" w:rsidRDefault="006D1C0C" w:rsidP="000E7C5E">
            <w:pPr>
              <w:pStyle w:val="ListParagraph"/>
              <w:numPr>
                <w:ilvl w:val="0"/>
                <w:numId w:val="62"/>
              </w:numPr>
              <w:ind w:left="285" w:right="262" w:hanging="285"/>
              <w:mirrorIndents/>
              <w:rPr>
                <w:rFonts w:cs="Segoe UI Light"/>
                <w:sz w:val="18"/>
              </w:rPr>
            </w:pPr>
            <w:r w:rsidRPr="003E6970">
              <w:rPr>
                <w:rFonts w:cs="Segoe UI Light"/>
                <w:sz w:val="18"/>
              </w:rPr>
              <w:t xml:space="preserve">Duty to </w:t>
            </w:r>
            <w:r w:rsidR="002A4828" w:rsidRPr="003E6970">
              <w:rPr>
                <w:rFonts w:cs="Segoe UI Light"/>
                <w:sz w:val="18"/>
              </w:rPr>
              <w:t>n</w:t>
            </w:r>
            <w:r w:rsidRPr="003E6970">
              <w:rPr>
                <w:rFonts w:cs="Segoe UI Light"/>
                <w:sz w:val="18"/>
              </w:rPr>
              <w:t>otify: prescribe in regulation an alternative risk-based definition of notifiable contamination, specific exemptions to notifiable contamination and the requirement for duty holders to provide a management response with their notification to EPA.</w:t>
            </w:r>
          </w:p>
          <w:p w14:paraId="656AFD58" w14:textId="77777777" w:rsidR="00F97092" w:rsidRPr="00850F5B" w:rsidRDefault="0000582A" w:rsidP="00850F5B">
            <w:pPr>
              <w:ind w:right="262"/>
              <w:mirrorIndents/>
              <w:rPr>
                <w:sz w:val="18"/>
              </w:rPr>
            </w:pPr>
            <w:r w:rsidRPr="003E6970">
              <w:rPr>
                <w:sz w:val="18"/>
              </w:rPr>
              <w:t xml:space="preserve">Combined, these options will provide greater </w:t>
            </w:r>
            <w:r w:rsidRPr="00850F5B">
              <w:rPr>
                <w:sz w:val="18"/>
              </w:rPr>
              <w:t>certainty</w:t>
            </w:r>
            <w:r w:rsidRPr="00B05634">
              <w:rPr>
                <w:sz w:val="18"/>
              </w:rPr>
              <w:t xml:space="preserve"> to duty holders with respect to complying with contaminated land duties under the new EP legislation, address the risks </w:t>
            </w:r>
            <w:r w:rsidRPr="00850F5B">
              <w:rPr>
                <w:sz w:val="18"/>
              </w:rPr>
              <w:t>of harm</w:t>
            </w:r>
            <w:r w:rsidRPr="00B05634">
              <w:rPr>
                <w:sz w:val="18"/>
              </w:rPr>
              <w:t xml:space="preserve"> posed </w:t>
            </w:r>
            <w:r w:rsidR="008A6B35">
              <w:rPr>
                <w:sz w:val="18"/>
              </w:rPr>
              <w:t xml:space="preserve">by </w:t>
            </w:r>
            <w:r w:rsidRPr="00B05634">
              <w:rPr>
                <w:sz w:val="18"/>
              </w:rPr>
              <w:t>high-risk contam</w:t>
            </w:r>
            <w:r w:rsidRPr="003E6970">
              <w:rPr>
                <w:sz w:val="18"/>
              </w:rPr>
              <w:t>inants, and minimise the cost burden on duty holders</w:t>
            </w:r>
            <w:r w:rsidR="00DC7A63">
              <w:rPr>
                <w:sz w:val="18"/>
              </w:rPr>
              <w:t xml:space="preserve">. </w:t>
            </w:r>
          </w:p>
          <w:p w14:paraId="656AFD59" w14:textId="77777777" w:rsidR="00C34D19" w:rsidRPr="00850F5B" w:rsidRDefault="00C34D19" w:rsidP="00850F5B">
            <w:pPr>
              <w:ind w:right="262"/>
              <w:mirrorIndents/>
              <w:rPr>
                <w:rFonts w:cs="Segoe UI Light"/>
                <w:sz w:val="18"/>
              </w:rPr>
            </w:pPr>
          </w:p>
        </w:tc>
      </w:tr>
      <w:tr w:rsidR="00D0250F" w:rsidRPr="00005F17" w14:paraId="656AFD6C" w14:textId="77777777" w:rsidTr="00850F5B">
        <w:tc>
          <w:tcPr>
            <w:tcW w:w="1068" w:type="dxa"/>
          </w:tcPr>
          <w:p w14:paraId="656AFD5B" w14:textId="77777777" w:rsidR="006D1C0C" w:rsidRPr="00005F17" w:rsidRDefault="006D1C0C" w:rsidP="006D1C0C">
            <w:pPr>
              <w:mirrorIndents/>
              <w:rPr>
                <w:rFonts w:cs="Segoe UI Light"/>
                <w:b/>
                <w:sz w:val="18"/>
              </w:rPr>
            </w:pPr>
            <w:r w:rsidRPr="00005F17">
              <w:rPr>
                <w:rFonts w:cs="Segoe UI Light"/>
                <w:b/>
                <w:sz w:val="18"/>
              </w:rPr>
              <w:t>Waste</w:t>
            </w:r>
          </w:p>
        </w:tc>
        <w:tc>
          <w:tcPr>
            <w:tcW w:w="4649" w:type="dxa"/>
          </w:tcPr>
          <w:p w14:paraId="656AFD5C" w14:textId="77777777" w:rsidR="006D1C0C" w:rsidRPr="003E6970" w:rsidRDefault="006D1C0C" w:rsidP="004A2442">
            <w:pPr>
              <w:pStyle w:val="ListParagraph"/>
              <w:numPr>
                <w:ilvl w:val="0"/>
                <w:numId w:val="62"/>
              </w:numPr>
              <w:ind w:left="285" w:right="262" w:hanging="285"/>
              <w:mirrorIndents/>
              <w:rPr>
                <w:rFonts w:cs="Segoe UI Light"/>
                <w:sz w:val="18"/>
              </w:rPr>
            </w:pPr>
            <w:r w:rsidRPr="00B05634">
              <w:rPr>
                <w:rFonts w:cs="Segoe UI Light"/>
                <w:sz w:val="18"/>
              </w:rPr>
              <w:t xml:space="preserve">Poor management of waste presents potentially catastrophic risks </w:t>
            </w:r>
            <w:r w:rsidR="002A4828" w:rsidRPr="003E6970">
              <w:rPr>
                <w:rFonts w:cs="Segoe UI Light"/>
                <w:sz w:val="18"/>
              </w:rPr>
              <w:t>o</w:t>
            </w:r>
            <w:r w:rsidR="0000582A" w:rsidRPr="003E6970">
              <w:rPr>
                <w:rFonts w:cs="Segoe UI Light"/>
                <w:sz w:val="18"/>
              </w:rPr>
              <w:t>f</w:t>
            </w:r>
            <w:r w:rsidR="002A4828" w:rsidRPr="003E6970">
              <w:rPr>
                <w:rFonts w:cs="Segoe UI Light"/>
                <w:sz w:val="18"/>
              </w:rPr>
              <w:t xml:space="preserve"> harm </w:t>
            </w:r>
            <w:r w:rsidRPr="003E6970">
              <w:rPr>
                <w:rFonts w:cs="Segoe UI Light"/>
                <w:sz w:val="18"/>
              </w:rPr>
              <w:t xml:space="preserve">to the environment and human health. This is clearly seen in a series of waste fires and </w:t>
            </w:r>
            <w:r w:rsidR="00D32A3B" w:rsidRPr="003E6970">
              <w:rPr>
                <w:rFonts w:cs="Segoe UI Light"/>
                <w:sz w:val="18"/>
              </w:rPr>
              <w:t>stockpiling</w:t>
            </w:r>
            <w:r w:rsidRPr="003E6970">
              <w:rPr>
                <w:rFonts w:cs="Segoe UI Light"/>
                <w:sz w:val="18"/>
              </w:rPr>
              <w:t xml:space="preserve"> cases</w:t>
            </w:r>
            <w:r w:rsidR="00CF2D9B" w:rsidRPr="003E6970">
              <w:rPr>
                <w:rFonts w:cs="Segoe UI Light"/>
                <w:sz w:val="18"/>
              </w:rPr>
              <w:t xml:space="preserve">, involving both legitimate and unlawful waste management, </w:t>
            </w:r>
            <w:r w:rsidRPr="003E6970">
              <w:rPr>
                <w:rFonts w:cs="Segoe UI Light"/>
                <w:sz w:val="18"/>
              </w:rPr>
              <w:t xml:space="preserve">that have occurred in Victoria in recent years </w:t>
            </w:r>
            <w:r w:rsidR="00CF2D9B" w:rsidRPr="003E6970">
              <w:rPr>
                <w:rFonts w:cs="Segoe UI Light"/>
                <w:sz w:val="18"/>
              </w:rPr>
              <w:t>(</w:t>
            </w:r>
            <w:r w:rsidRPr="003E6970">
              <w:rPr>
                <w:rFonts w:cs="Segoe UI Light"/>
                <w:sz w:val="18"/>
              </w:rPr>
              <w:t xml:space="preserve">e.g. Campbellfield, Coolaroo, </w:t>
            </w:r>
            <w:r w:rsidR="002A4828" w:rsidRPr="003E6970">
              <w:rPr>
                <w:rFonts w:cs="Segoe UI Light"/>
                <w:sz w:val="18"/>
              </w:rPr>
              <w:t xml:space="preserve">West </w:t>
            </w:r>
            <w:r w:rsidRPr="003E6970">
              <w:rPr>
                <w:rFonts w:cs="Segoe UI Light"/>
                <w:sz w:val="18"/>
              </w:rPr>
              <w:t xml:space="preserve">Footscray, Lara, </w:t>
            </w:r>
            <w:r w:rsidR="00D32A3B" w:rsidRPr="003E6970">
              <w:rPr>
                <w:rFonts w:cs="Segoe UI Light"/>
                <w:sz w:val="18"/>
              </w:rPr>
              <w:t>and Stawell</w:t>
            </w:r>
            <w:r w:rsidR="00CF2D9B" w:rsidRPr="003E6970">
              <w:rPr>
                <w:rFonts w:cs="Segoe UI Light"/>
                <w:sz w:val="18"/>
              </w:rPr>
              <w:t>)</w:t>
            </w:r>
            <w:r w:rsidRPr="003E6970">
              <w:rPr>
                <w:rFonts w:cs="Segoe UI Light"/>
                <w:sz w:val="18"/>
              </w:rPr>
              <w:t>.</w:t>
            </w:r>
          </w:p>
          <w:p w14:paraId="656AFD5D" w14:textId="77777777" w:rsidR="006D1C0C" w:rsidRPr="003E6970" w:rsidRDefault="006D1C0C" w:rsidP="004A2442">
            <w:pPr>
              <w:pStyle w:val="ListParagraph"/>
              <w:numPr>
                <w:ilvl w:val="0"/>
                <w:numId w:val="62"/>
              </w:numPr>
              <w:ind w:left="285" w:right="262" w:hanging="285"/>
              <w:mirrorIndents/>
              <w:rPr>
                <w:rFonts w:cs="Segoe UI Light"/>
                <w:sz w:val="18"/>
              </w:rPr>
            </w:pPr>
            <w:r w:rsidRPr="003E6970">
              <w:rPr>
                <w:rFonts w:cs="Segoe UI Light"/>
                <w:sz w:val="18"/>
              </w:rPr>
              <w:t>Factors contributing to mismanagement include inadequate technical knowledge, complex regulation, costs of regulatory compliance and intentional non-compliance or illegal activity. Complex global market forces also drive some activities and incentives in the waste sector and add a layer of complexity to local environmental protection regulations.</w:t>
            </w:r>
          </w:p>
          <w:p w14:paraId="656AFD5E" w14:textId="77777777" w:rsidR="006D1C0C" w:rsidRPr="003E6970" w:rsidRDefault="006D1C0C" w:rsidP="004A2442">
            <w:pPr>
              <w:pStyle w:val="ListParagraph"/>
              <w:numPr>
                <w:ilvl w:val="0"/>
                <w:numId w:val="62"/>
              </w:numPr>
              <w:ind w:left="285" w:right="262" w:hanging="285"/>
              <w:mirrorIndents/>
              <w:rPr>
                <w:rFonts w:cs="Segoe UI Light"/>
                <w:sz w:val="18"/>
              </w:rPr>
            </w:pPr>
            <w:r w:rsidRPr="003E6970">
              <w:rPr>
                <w:rFonts w:cs="Segoe UI Light"/>
                <w:sz w:val="18"/>
              </w:rPr>
              <w:t xml:space="preserve">Under the new EP legislation, </w:t>
            </w:r>
            <w:r w:rsidR="002A4828" w:rsidRPr="003E6970">
              <w:rPr>
                <w:rFonts w:cs="Segoe UI Light"/>
                <w:sz w:val="18"/>
              </w:rPr>
              <w:t xml:space="preserve">harm-related </w:t>
            </w:r>
            <w:r w:rsidRPr="003E6970">
              <w:rPr>
                <w:rFonts w:cs="Segoe UI Light"/>
                <w:sz w:val="18"/>
              </w:rPr>
              <w:t>waste risks will be principally managed by the GED which will require industry to demonstrate how it is managing risks and minimising</w:t>
            </w:r>
            <w:r w:rsidR="002A4828" w:rsidRPr="003E6970">
              <w:rPr>
                <w:rFonts w:cs="Segoe UI Light"/>
                <w:sz w:val="18"/>
              </w:rPr>
              <w:t xml:space="preserve"> risks of</w:t>
            </w:r>
            <w:r w:rsidRPr="003E6970">
              <w:rPr>
                <w:rFonts w:cs="Segoe UI Light"/>
                <w:sz w:val="18"/>
              </w:rPr>
              <w:t xml:space="preserve"> harm from waste related activities. There are also specific waste provisions in the new EP legislation relating to industrial waste, priority waste, waste levies and landfill management. </w:t>
            </w:r>
          </w:p>
          <w:p w14:paraId="656AFD5F" w14:textId="77777777" w:rsidR="002A4A17" w:rsidRPr="008F7BBF" w:rsidRDefault="002A4A17" w:rsidP="002A4A17">
            <w:pPr>
              <w:pStyle w:val="ListParagraph"/>
              <w:numPr>
                <w:ilvl w:val="0"/>
                <w:numId w:val="62"/>
              </w:numPr>
              <w:ind w:left="285" w:right="262" w:hanging="285"/>
              <w:mirrorIndents/>
              <w:rPr>
                <w:rFonts w:cs="Segoe UI Light"/>
                <w:sz w:val="18"/>
              </w:rPr>
            </w:pPr>
            <w:r w:rsidRPr="008F7BBF">
              <w:rPr>
                <w:rFonts w:cs="Segoe UI Light"/>
                <w:sz w:val="18"/>
              </w:rPr>
              <w:t xml:space="preserve">However, the residual risk for the waste problem is significant. </w:t>
            </w:r>
          </w:p>
          <w:p w14:paraId="656AFD60" w14:textId="77777777" w:rsidR="0000582A" w:rsidRPr="008F7BBF" w:rsidRDefault="0000582A" w:rsidP="008F7BBF">
            <w:pPr>
              <w:pStyle w:val="ListParagraph"/>
              <w:numPr>
                <w:ilvl w:val="0"/>
                <w:numId w:val="257"/>
              </w:numPr>
              <w:ind w:right="262"/>
              <w:mirrorIndents/>
              <w:rPr>
                <w:rFonts w:cs="Segoe UI Light"/>
                <w:sz w:val="18"/>
              </w:rPr>
            </w:pPr>
            <w:r w:rsidRPr="008F7BBF">
              <w:rPr>
                <w:rFonts w:cs="Segoe UI Light"/>
                <w:sz w:val="18"/>
              </w:rPr>
              <w:t xml:space="preserve">Some waste duties under the new EP legislation cannot function without prescription under regulation. These include duties relating to priority and reportable priority wastes, transaction controls (including appropriate classification and tracking of waste), transport permissions for reportable priority waste and lawful place. </w:t>
            </w:r>
          </w:p>
          <w:p w14:paraId="656AFD61" w14:textId="77777777" w:rsidR="00122B67" w:rsidRPr="008F7BBF" w:rsidRDefault="00122B67" w:rsidP="008F7BBF">
            <w:pPr>
              <w:pStyle w:val="ListParagraph"/>
              <w:numPr>
                <w:ilvl w:val="0"/>
                <w:numId w:val="257"/>
              </w:numPr>
              <w:ind w:right="262"/>
              <w:mirrorIndents/>
              <w:rPr>
                <w:rFonts w:cs="Segoe UI Light"/>
                <w:sz w:val="18"/>
              </w:rPr>
            </w:pPr>
            <w:r w:rsidRPr="008F7BBF">
              <w:rPr>
                <w:rFonts w:cs="Segoe UI Light"/>
                <w:sz w:val="18"/>
              </w:rPr>
              <w:t>Some types of waste presents lower levels of risk of environmental harm in smaller quantities however cumulative impacts on the environment and human health (such as through stockpiles) can be significant</w:t>
            </w:r>
            <w:r w:rsidR="00FC416B" w:rsidRPr="008F7BBF">
              <w:rPr>
                <w:rFonts w:cs="Segoe UI Light"/>
                <w:sz w:val="18"/>
              </w:rPr>
              <w:t>.</w:t>
            </w:r>
            <w:r w:rsidRPr="008F7BBF">
              <w:rPr>
                <w:rFonts w:cs="Segoe UI Light"/>
                <w:sz w:val="18"/>
              </w:rPr>
              <w:t xml:space="preserve"> Therefore these risks are more difficult to control through the GED and duties in the new EP legislation.</w:t>
            </w:r>
          </w:p>
          <w:p w14:paraId="656AFD62" w14:textId="77777777" w:rsidR="0000582A" w:rsidRPr="008F7BBF" w:rsidRDefault="0000582A" w:rsidP="008F7BBF">
            <w:pPr>
              <w:pStyle w:val="ListParagraph"/>
              <w:numPr>
                <w:ilvl w:val="0"/>
                <w:numId w:val="257"/>
              </w:numPr>
              <w:ind w:right="262"/>
              <w:mirrorIndents/>
              <w:rPr>
                <w:rFonts w:cs="Segoe UI Light"/>
                <w:sz w:val="18"/>
              </w:rPr>
            </w:pPr>
            <w:r w:rsidRPr="008F7BBF">
              <w:rPr>
                <w:rFonts w:cs="Segoe UI Light"/>
                <w:sz w:val="18"/>
              </w:rPr>
              <w:t xml:space="preserve">There is a known risk of mismanagement by </w:t>
            </w:r>
            <w:r w:rsidR="00BB004E" w:rsidRPr="008F7BBF">
              <w:rPr>
                <w:rFonts w:cs="Segoe UI Light"/>
                <w:sz w:val="18"/>
              </w:rPr>
              <w:t xml:space="preserve">some </w:t>
            </w:r>
            <w:r w:rsidRPr="008F7BBF">
              <w:rPr>
                <w:rFonts w:cs="Segoe UI Light"/>
                <w:sz w:val="18"/>
              </w:rPr>
              <w:t>duty holders in the waste sector, reflected in behaviour such as illegal dumping and illegal landfilling</w:t>
            </w:r>
            <w:r w:rsidR="00AF0AEB" w:rsidRPr="008F7BBF">
              <w:rPr>
                <w:rFonts w:cs="Segoe UI Light"/>
                <w:sz w:val="18"/>
              </w:rPr>
              <w:t xml:space="preserve">. </w:t>
            </w:r>
            <w:r w:rsidR="004752D5" w:rsidRPr="008F7BBF">
              <w:rPr>
                <w:rFonts w:cs="Segoe UI Light"/>
                <w:sz w:val="18"/>
              </w:rPr>
              <w:t xml:space="preserve">Regulatory controls will create consistency and certainty between </w:t>
            </w:r>
            <w:r w:rsidR="001823A5" w:rsidRPr="008F7BBF">
              <w:rPr>
                <w:rFonts w:cs="Segoe UI Light"/>
                <w:sz w:val="18"/>
              </w:rPr>
              <w:t>operators in their response to their duties</w:t>
            </w:r>
            <w:r w:rsidR="00BB004E" w:rsidRPr="008F7BBF">
              <w:rPr>
                <w:rFonts w:cs="Segoe UI Light"/>
                <w:sz w:val="18"/>
              </w:rPr>
              <w:t xml:space="preserve">. Guidance alone is unlikely to be effective with cohorts that have consistently demonstrated </w:t>
            </w:r>
            <w:r w:rsidR="00C2520C" w:rsidRPr="008F7BBF">
              <w:rPr>
                <w:rFonts w:cs="Segoe UI Light"/>
                <w:sz w:val="18"/>
              </w:rPr>
              <w:t>poor management practices</w:t>
            </w:r>
            <w:r w:rsidR="00CA5D48" w:rsidRPr="008F7BBF">
              <w:rPr>
                <w:rFonts w:cs="Segoe UI Light"/>
                <w:sz w:val="18"/>
              </w:rPr>
              <w:t>.</w:t>
            </w:r>
          </w:p>
          <w:p w14:paraId="656AFD63" w14:textId="77777777" w:rsidR="006D1C0C" w:rsidRPr="003E6970" w:rsidRDefault="0000582A" w:rsidP="002A4A17">
            <w:pPr>
              <w:pStyle w:val="ListParagraph"/>
              <w:numPr>
                <w:ilvl w:val="0"/>
                <w:numId w:val="62"/>
              </w:numPr>
              <w:ind w:left="285" w:right="262" w:hanging="285"/>
              <w:mirrorIndents/>
              <w:rPr>
                <w:rFonts w:cs="Segoe UI Light"/>
                <w:sz w:val="18"/>
              </w:rPr>
            </w:pPr>
            <w:r w:rsidRPr="008F7BBF">
              <w:rPr>
                <w:rFonts w:cs="Segoe UI Light"/>
                <w:sz w:val="18"/>
              </w:rPr>
              <w:t>In the absence of regulations, a large part of the overarching risk will not be addressed and there will be significant risks of harm to human health and the environment.</w:t>
            </w:r>
            <w:r w:rsidRPr="00B05634">
              <w:rPr>
                <w:rFonts w:cs="Segoe UI Light"/>
                <w:sz w:val="18"/>
              </w:rPr>
              <w:t xml:space="preserve"> </w:t>
            </w:r>
          </w:p>
        </w:tc>
        <w:tc>
          <w:tcPr>
            <w:tcW w:w="4139" w:type="dxa"/>
          </w:tcPr>
          <w:p w14:paraId="656AFD64" w14:textId="77777777" w:rsidR="00BC4FDC" w:rsidRPr="003E6970" w:rsidRDefault="00BC4FDC" w:rsidP="00BC4FDC">
            <w:pPr>
              <w:ind w:right="262"/>
              <w:mirrorIndents/>
              <w:rPr>
                <w:rFonts w:cs="Segoe UI Light"/>
                <w:sz w:val="18"/>
              </w:rPr>
            </w:pPr>
            <w:r w:rsidRPr="003E6970">
              <w:rPr>
                <w:rFonts w:cs="Segoe UI Light"/>
                <w:sz w:val="18"/>
              </w:rPr>
              <w:t>The preferred option is to:</w:t>
            </w:r>
          </w:p>
          <w:p w14:paraId="656AFD65" w14:textId="77777777" w:rsidR="00BC4FDC" w:rsidRPr="003E6970" w:rsidRDefault="00BC4FDC" w:rsidP="00BC4FDC">
            <w:pPr>
              <w:pStyle w:val="ListParagraph"/>
              <w:numPr>
                <w:ilvl w:val="0"/>
                <w:numId w:val="62"/>
              </w:numPr>
              <w:ind w:left="285" w:right="262" w:hanging="285"/>
              <w:mirrorIndents/>
              <w:rPr>
                <w:rFonts w:cs="Segoe UI Light"/>
                <w:sz w:val="18"/>
              </w:rPr>
            </w:pPr>
            <w:r w:rsidRPr="003E6970">
              <w:rPr>
                <w:rFonts w:cs="Segoe UI Light"/>
                <w:sz w:val="18"/>
              </w:rPr>
              <w:t>Adopt a tiered waste classification pathway with supporting guidance which guides the user through the classification process to understand their waste and identify its source, type and classification a</w:t>
            </w:r>
            <w:r w:rsidRPr="008F7BBF">
              <w:rPr>
                <w:rFonts w:cs="Segoe UI Light"/>
                <w:sz w:val="18"/>
              </w:rPr>
              <w:t>s</w:t>
            </w:r>
            <w:r w:rsidR="00F11CC0" w:rsidRPr="008F7BBF">
              <w:rPr>
                <w:rFonts w:cs="Segoe UI Light"/>
                <w:sz w:val="18"/>
              </w:rPr>
              <w:t xml:space="preserve"> industrial, priority, or reportable priority</w:t>
            </w:r>
            <w:r w:rsidRPr="008F7BBF">
              <w:rPr>
                <w:rFonts w:cs="Segoe UI Light"/>
                <w:sz w:val="18"/>
              </w:rPr>
              <w:t xml:space="preserve"> waste.</w:t>
            </w:r>
          </w:p>
          <w:p w14:paraId="4B6E5F91" w14:textId="77777777" w:rsidR="00544980" w:rsidRPr="00544980" w:rsidRDefault="00BC4FDC" w:rsidP="00544980">
            <w:pPr>
              <w:pStyle w:val="ListParagraph"/>
              <w:numPr>
                <w:ilvl w:val="0"/>
                <w:numId w:val="62"/>
              </w:numPr>
              <w:ind w:left="285" w:right="262" w:hanging="285"/>
              <w:mirrorIndents/>
              <w:rPr>
                <w:rFonts w:cs="Segoe UI Light"/>
                <w:sz w:val="18"/>
              </w:rPr>
            </w:pPr>
            <w:r w:rsidRPr="003E6970">
              <w:rPr>
                <w:rFonts w:cs="Segoe UI Light"/>
                <w:sz w:val="18"/>
              </w:rPr>
              <w:t xml:space="preserve">Use the permissioning framework to establish </w:t>
            </w:r>
            <w:r w:rsidR="008A6B35">
              <w:rPr>
                <w:rFonts w:cs="Segoe UI Light"/>
                <w:sz w:val="18"/>
              </w:rPr>
              <w:t>l</w:t>
            </w:r>
            <w:r w:rsidRPr="003E6970">
              <w:rPr>
                <w:rFonts w:cs="Segoe UI Light"/>
                <w:sz w:val="18"/>
              </w:rPr>
              <w:t xml:space="preserve">awful authority to accept waste, plus the introduction of one additional tool </w:t>
            </w:r>
            <w:r w:rsidR="00544980" w:rsidRPr="00544980">
              <w:rPr>
                <w:rFonts w:cs="Segoe UI Light"/>
                <w:sz w:val="18"/>
              </w:rPr>
              <w:t xml:space="preserve">covering the legitimate use of waste. </w:t>
            </w:r>
          </w:p>
          <w:p w14:paraId="656AFD67" w14:textId="77777777" w:rsidR="008A6B35" w:rsidRDefault="00BC4FDC" w:rsidP="00AE4BDD">
            <w:pPr>
              <w:pStyle w:val="ListParagraph"/>
              <w:numPr>
                <w:ilvl w:val="0"/>
                <w:numId w:val="62"/>
              </w:numPr>
              <w:ind w:left="285" w:right="262" w:hanging="285"/>
              <w:mirrorIndents/>
              <w:rPr>
                <w:rFonts w:cs="Segoe UI Light"/>
                <w:sz w:val="18"/>
              </w:rPr>
            </w:pPr>
            <w:r w:rsidRPr="008A6B35">
              <w:rPr>
                <w:rFonts w:cs="Segoe UI Light"/>
                <w:sz w:val="18"/>
              </w:rPr>
              <w:t>Prescribe waste types that are determined to be very-high-hazard, high-hazard and moderate hazard, and those at risk of mismanagement, as priority waste</w:t>
            </w:r>
            <w:r w:rsidR="008A6B35" w:rsidRPr="008A6B35">
              <w:rPr>
                <w:rFonts w:cs="Segoe UI Light"/>
                <w:sz w:val="18"/>
              </w:rPr>
              <w:t>.</w:t>
            </w:r>
          </w:p>
          <w:p w14:paraId="656AFD68" w14:textId="77777777" w:rsidR="00BC4FDC" w:rsidRPr="008A6B35" w:rsidRDefault="00BC4FDC" w:rsidP="00AE4BDD">
            <w:pPr>
              <w:pStyle w:val="ListParagraph"/>
              <w:numPr>
                <w:ilvl w:val="0"/>
                <w:numId w:val="62"/>
              </w:numPr>
              <w:ind w:left="285" w:right="262" w:hanging="285"/>
              <w:mirrorIndents/>
              <w:rPr>
                <w:rFonts w:cs="Segoe UI Light"/>
                <w:sz w:val="18"/>
              </w:rPr>
            </w:pPr>
            <w:r w:rsidRPr="008A6B35">
              <w:rPr>
                <w:rFonts w:cs="Segoe UI Light"/>
                <w:sz w:val="18"/>
              </w:rPr>
              <w:t>Require transport permissions for all very high to moderate hazard waste, and transaction tracking for all very high and high hazard wastes. Transaction duties and waste tracking responsibilities can be fulfilled by waste generators themselves, or by accredited third party consigners to manage this on their behalf.</w:t>
            </w:r>
          </w:p>
          <w:p w14:paraId="656AFD69" w14:textId="77777777" w:rsidR="00BC4FDC" w:rsidRPr="003E6970" w:rsidRDefault="00BC4FDC" w:rsidP="00BC4FDC">
            <w:pPr>
              <w:pStyle w:val="ListParagraph"/>
              <w:numPr>
                <w:ilvl w:val="0"/>
                <w:numId w:val="62"/>
              </w:numPr>
              <w:ind w:left="285" w:right="262" w:hanging="285"/>
              <w:mirrorIndents/>
              <w:rPr>
                <w:rFonts w:cs="Segoe UI Light"/>
                <w:sz w:val="18"/>
              </w:rPr>
            </w:pPr>
            <w:r w:rsidRPr="003E6970">
              <w:rPr>
                <w:rFonts w:cs="Segoe UI Light"/>
                <w:sz w:val="18"/>
              </w:rPr>
              <w:t xml:space="preserve">To prescribe the sensitive environmental areas that must not be impacted by a landfill, and clarify technical landfill requirements, in regulations. </w:t>
            </w:r>
          </w:p>
          <w:p w14:paraId="656AFD6A" w14:textId="77777777" w:rsidR="00BC4FDC" w:rsidRPr="003E6970" w:rsidRDefault="00BC4FDC" w:rsidP="00BC4FDC">
            <w:pPr>
              <w:pStyle w:val="ListParagraph"/>
              <w:numPr>
                <w:ilvl w:val="0"/>
                <w:numId w:val="62"/>
              </w:numPr>
              <w:ind w:left="285" w:right="262" w:hanging="285"/>
              <w:mirrorIndents/>
              <w:rPr>
                <w:rFonts w:cs="Segoe UI Light"/>
                <w:sz w:val="18"/>
              </w:rPr>
            </w:pPr>
            <w:r w:rsidRPr="003E6970">
              <w:rPr>
                <w:rFonts w:cs="Segoe UI Light"/>
                <w:sz w:val="18"/>
              </w:rPr>
              <w:t xml:space="preserve">To prescribe elements of the waste levy scheme in regulation that are required for its effective operation. </w:t>
            </w:r>
          </w:p>
          <w:p w14:paraId="656AFD6B" w14:textId="77777777" w:rsidR="006D1C0C" w:rsidRPr="008F7BBF" w:rsidRDefault="00BC4FDC" w:rsidP="008F7BBF">
            <w:pPr>
              <w:ind w:right="262"/>
              <w:mirrorIndents/>
              <w:rPr>
                <w:rFonts w:cs="Segoe UI Light"/>
                <w:sz w:val="18"/>
              </w:rPr>
            </w:pPr>
            <w:r w:rsidRPr="003E6970">
              <w:rPr>
                <w:rFonts w:cs="Segoe UI Light"/>
                <w:sz w:val="18"/>
              </w:rPr>
              <w:t>Collectively, these problems would enable the effective operation of Victoria’s new waste framework established in the EP Act, and reduce the risks of harm from waste mismanagement in Victoria.</w:t>
            </w:r>
          </w:p>
        </w:tc>
      </w:tr>
      <w:tr w:rsidR="00D0250F" w:rsidRPr="00005F17" w14:paraId="656AFD75" w14:textId="77777777" w:rsidTr="00850F5B">
        <w:tc>
          <w:tcPr>
            <w:tcW w:w="1068" w:type="dxa"/>
          </w:tcPr>
          <w:p w14:paraId="656AFD6D" w14:textId="77777777" w:rsidR="006D1C0C" w:rsidRPr="00005F17" w:rsidRDefault="006D1C0C" w:rsidP="006D1C0C">
            <w:pPr>
              <w:mirrorIndents/>
              <w:rPr>
                <w:rFonts w:cs="Segoe UI Light"/>
                <w:b/>
                <w:sz w:val="18"/>
              </w:rPr>
            </w:pPr>
            <w:r w:rsidRPr="00005F17">
              <w:rPr>
                <w:rFonts w:cs="Segoe UI Light"/>
                <w:b/>
                <w:sz w:val="18"/>
              </w:rPr>
              <w:lastRenderedPageBreak/>
              <w:t>Litter</w:t>
            </w:r>
          </w:p>
        </w:tc>
        <w:tc>
          <w:tcPr>
            <w:tcW w:w="4649" w:type="dxa"/>
          </w:tcPr>
          <w:p w14:paraId="656AFD6E" w14:textId="77777777" w:rsidR="006D1C0C" w:rsidRPr="00B05634" w:rsidRDefault="006D1C0C" w:rsidP="004A2442">
            <w:pPr>
              <w:pStyle w:val="ListParagraph"/>
              <w:numPr>
                <w:ilvl w:val="0"/>
                <w:numId w:val="62"/>
              </w:numPr>
              <w:ind w:left="285" w:right="262" w:hanging="285"/>
              <w:mirrorIndents/>
              <w:rPr>
                <w:rFonts w:cs="Segoe UI Light"/>
                <w:sz w:val="18"/>
              </w:rPr>
            </w:pPr>
            <w:r w:rsidRPr="00B05634">
              <w:rPr>
                <w:rFonts w:cs="Segoe UI Light"/>
                <w:sz w:val="18"/>
              </w:rPr>
              <w:t>Litter is a significant problem that is currently addressed through a range of provisions in the EP Act 1970.</w:t>
            </w:r>
          </w:p>
          <w:p w14:paraId="656AFD6F" w14:textId="77777777" w:rsidR="006D1C0C" w:rsidRPr="003E6970" w:rsidRDefault="006D1C0C" w:rsidP="008F7BBF">
            <w:pPr>
              <w:pStyle w:val="ListParagraph"/>
              <w:numPr>
                <w:ilvl w:val="0"/>
                <w:numId w:val="62"/>
              </w:numPr>
              <w:spacing w:after="0"/>
              <w:ind w:left="285" w:right="262" w:hanging="285"/>
              <w:mirrorIndents/>
              <w:rPr>
                <w:rFonts w:cs="Segoe UI Light"/>
                <w:sz w:val="18"/>
              </w:rPr>
            </w:pPr>
            <w:r w:rsidRPr="003E6970">
              <w:rPr>
                <w:rFonts w:cs="Segoe UI Light"/>
                <w:sz w:val="18"/>
              </w:rPr>
              <w:t xml:space="preserve">In addition to the GED, the new EP legislation establishes litter-related offences and creates enforcement powers. These offences and enforcement powers are intended to address most of the overarching litter problem that exists in Victoria. </w:t>
            </w:r>
          </w:p>
          <w:p w14:paraId="656AFD70" w14:textId="77777777" w:rsidR="0000582A" w:rsidRPr="008F7BBF" w:rsidRDefault="0000582A" w:rsidP="008F7BBF">
            <w:pPr>
              <w:numPr>
                <w:ilvl w:val="0"/>
                <w:numId w:val="62"/>
              </w:numPr>
              <w:spacing w:after="0"/>
              <w:ind w:left="285" w:right="262" w:hanging="285"/>
              <w:contextualSpacing/>
              <w:mirrorIndents/>
              <w:textboxTightWrap w:val="allLines"/>
              <w:rPr>
                <w:rFonts w:cs="Segoe UI Light"/>
                <w:sz w:val="18"/>
              </w:rPr>
            </w:pPr>
            <w:r w:rsidRPr="008F7BBF">
              <w:rPr>
                <w:rFonts w:cs="Segoe UI Light"/>
                <w:sz w:val="18"/>
              </w:rPr>
              <w:t>The GED and new EP legislation are, collectively, likely to address a significant portion of the overall problem of litter in Victoria. However, some residual risk remains in relation to the risks of harm to human health and the environment caused by litter, as the new EP legislation does not provide controls relating to:</w:t>
            </w:r>
          </w:p>
          <w:p w14:paraId="656AFD71" w14:textId="77777777" w:rsidR="006B3B1A" w:rsidRPr="008F7BBF" w:rsidRDefault="00630594" w:rsidP="008F7BBF">
            <w:pPr>
              <w:pStyle w:val="ListParagraph"/>
              <w:numPr>
                <w:ilvl w:val="0"/>
                <w:numId w:val="228"/>
              </w:numPr>
              <w:ind w:right="279"/>
              <w:rPr>
                <w:rFonts w:cs="Segoe UI Light"/>
                <w:sz w:val="18"/>
              </w:rPr>
            </w:pPr>
            <w:r>
              <w:rPr>
                <w:rFonts w:cs="Segoe UI Light"/>
                <w:sz w:val="18"/>
              </w:rPr>
              <w:t>P</w:t>
            </w:r>
            <w:r w:rsidR="0000582A" w:rsidRPr="008F7BBF">
              <w:rPr>
                <w:rFonts w:cs="Segoe UI Light"/>
                <w:sz w:val="18"/>
              </w:rPr>
              <w:t xml:space="preserve">reventing the creation of litter, through controls </w:t>
            </w:r>
            <w:r w:rsidR="0000582A" w:rsidRPr="006633BC">
              <w:rPr>
                <w:rFonts w:cs="Segoe UI Light"/>
                <w:sz w:val="18"/>
              </w:rPr>
              <w:t xml:space="preserve">on </w:t>
            </w:r>
            <w:r w:rsidR="0000582A" w:rsidRPr="0090642D">
              <w:rPr>
                <w:rFonts w:cs="Segoe UI Light"/>
                <w:sz w:val="18"/>
              </w:rPr>
              <w:t>material</w:t>
            </w:r>
            <w:r w:rsidR="00393379" w:rsidRPr="0090642D">
              <w:rPr>
                <w:rFonts w:cs="Segoe UI Light"/>
                <w:sz w:val="18"/>
              </w:rPr>
              <w:t xml:space="preserve">s </w:t>
            </w:r>
            <w:r w:rsidR="0000582A" w:rsidRPr="0090642D">
              <w:rPr>
                <w:rFonts w:cs="Segoe UI Light"/>
                <w:sz w:val="18"/>
              </w:rPr>
              <w:t>likely</w:t>
            </w:r>
            <w:r w:rsidR="0000582A" w:rsidRPr="006633BC">
              <w:rPr>
                <w:rFonts w:cs="Segoe UI Light"/>
                <w:sz w:val="18"/>
              </w:rPr>
              <w:t xml:space="preserve"> to become </w:t>
            </w:r>
            <w:r w:rsidR="0000582A" w:rsidRPr="008F7BBF">
              <w:rPr>
                <w:rFonts w:cs="Segoe UI Light"/>
                <w:sz w:val="18"/>
              </w:rPr>
              <w:t>litter, such as unsolicited material intended for delivery to private premises, leaflets placed on vehicles and bill posting</w:t>
            </w:r>
            <w:r>
              <w:rPr>
                <w:rFonts w:cs="Segoe UI Light"/>
                <w:sz w:val="18"/>
              </w:rPr>
              <w:t>.</w:t>
            </w:r>
          </w:p>
          <w:p w14:paraId="656AFD72" w14:textId="77777777" w:rsidR="006D1C0C" w:rsidRPr="003E6970" w:rsidRDefault="00630594" w:rsidP="008F7BBF">
            <w:pPr>
              <w:pStyle w:val="ListParagraph"/>
              <w:numPr>
                <w:ilvl w:val="0"/>
                <w:numId w:val="228"/>
              </w:numPr>
              <w:ind w:right="279"/>
            </w:pPr>
            <w:r>
              <w:rPr>
                <w:rFonts w:cs="Segoe UI Light"/>
                <w:sz w:val="18"/>
              </w:rPr>
              <w:t>D</w:t>
            </w:r>
            <w:r w:rsidR="006B3B1A" w:rsidRPr="00B05634">
              <w:rPr>
                <w:rFonts w:cs="Segoe UI Light"/>
                <w:sz w:val="18"/>
              </w:rPr>
              <w:t>amage to litte</w:t>
            </w:r>
            <w:r w:rsidR="006B3B1A" w:rsidRPr="003E6970">
              <w:rPr>
                <w:rFonts w:cs="Segoe UI Light"/>
                <w:sz w:val="18"/>
              </w:rPr>
              <w:t>r receptacles.</w:t>
            </w:r>
            <w:r w:rsidR="006B3B1A" w:rsidRPr="008F7BBF" w:rsidDel="0000582A">
              <w:rPr>
                <w:rFonts w:cs="Segoe UI Light"/>
                <w:sz w:val="18"/>
              </w:rPr>
              <w:t xml:space="preserve"> </w:t>
            </w:r>
          </w:p>
        </w:tc>
        <w:tc>
          <w:tcPr>
            <w:tcW w:w="4139" w:type="dxa"/>
          </w:tcPr>
          <w:p w14:paraId="656AFD73" w14:textId="09CBD59C" w:rsidR="00434CFE" w:rsidRPr="003E6970" w:rsidRDefault="006D1C0C" w:rsidP="006D1C0C">
            <w:pPr>
              <w:ind w:right="262"/>
              <w:rPr>
                <w:rFonts w:cs="Segoe UI Light"/>
                <w:sz w:val="18"/>
              </w:rPr>
            </w:pPr>
            <w:r w:rsidRPr="003E6970">
              <w:rPr>
                <w:rFonts w:cs="Segoe UI Light"/>
                <w:sz w:val="18"/>
              </w:rPr>
              <w:t>The preferred option is to incorporate offences for depositing material that may become litter</w:t>
            </w:r>
            <w:r w:rsidR="00C34D19" w:rsidRPr="003E6970">
              <w:rPr>
                <w:rFonts w:cs="Segoe UI Light"/>
                <w:sz w:val="18"/>
              </w:rPr>
              <w:t>, and other litter-related offences.</w:t>
            </w:r>
            <w:r w:rsidR="009E4F59" w:rsidRPr="003E6970">
              <w:rPr>
                <w:rFonts w:cs="Segoe UI Light"/>
                <w:sz w:val="18"/>
              </w:rPr>
              <w:t xml:space="preserve"> These offences would be enforceable by EPA and other litter enforcement </w:t>
            </w:r>
            <w:r w:rsidR="008A7AEC">
              <w:rPr>
                <w:rFonts w:cs="Segoe UI Light"/>
                <w:sz w:val="18"/>
              </w:rPr>
              <w:t>authorities</w:t>
            </w:r>
            <w:r w:rsidR="008A7AEC" w:rsidRPr="003E6970">
              <w:rPr>
                <w:rFonts w:cs="Segoe UI Light"/>
                <w:sz w:val="18"/>
              </w:rPr>
              <w:t xml:space="preserve"> </w:t>
            </w:r>
            <w:r w:rsidR="009E4F59" w:rsidRPr="003E6970">
              <w:rPr>
                <w:rFonts w:cs="Segoe UI Light"/>
                <w:sz w:val="18"/>
              </w:rPr>
              <w:t xml:space="preserve">(including local councils, Victoria Police and Parks Victoria). </w:t>
            </w:r>
          </w:p>
          <w:p w14:paraId="656AFD74" w14:textId="77777777" w:rsidR="006D1C0C" w:rsidRPr="003E6970" w:rsidRDefault="00434CFE" w:rsidP="007F5B74">
            <w:pPr>
              <w:ind w:right="262"/>
              <w:rPr>
                <w:rFonts w:cs="Segoe UI Light"/>
                <w:sz w:val="18"/>
              </w:rPr>
            </w:pPr>
            <w:r w:rsidRPr="003E6970">
              <w:rPr>
                <w:rFonts w:cs="Segoe UI Light"/>
                <w:sz w:val="18"/>
              </w:rPr>
              <w:t xml:space="preserve">This </w:t>
            </w:r>
            <w:r w:rsidR="007F5B74">
              <w:rPr>
                <w:rFonts w:cs="Segoe UI Light"/>
                <w:sz w:val="18"/>
              </w:rPr>
              <w:t xml:space="preserve">aims to </w:t>
            </w:r>
            <w:r w:rsidRPr="003E6970">
              <w:rPr>
                <w:rFonts w:cs="Segoe UI Light"/>
                <w:sz w:val="18"/>
              </w:rPr>
              <w:t xml:space="preserve">address the harm caused by </w:t>
            </w:r>
            <w:r w:rsidR="009E4F59" w:rsidRPr="003E6970">
              <w:rPr>
                <w:rFonts w:cs="Segoe UI Light"/>
                <w:sz w:val="18"/>
              </w:rPr>
              <w:t xml:space="preserve">depositing </w:t>
            </w:r>
            <w:r w:rsidRPr="003E6970">
              <w:rPr>
                <w:rFonts w:cs="Segoe UI Light"/>
                <w:sz w:val="18"/>
              </w:rPr>
              <w:t>material that may become litter</w:t>
            </w:r>
            <w:r w:rsidR="009E4F59" w:rsidRPr="003E6970">
              <w:rPr>
                <w:rFonts w:cs="Segoe UI Light"/>
                <w:sz w:val="18"/>
              </w:rPr>
              <w:t>, and by damaging litter receptacles.</w:t>
            </w:r>
          </w:p>
        </w:tc>
      </w:tr>
      <w:tr w:rsidR="00D0250F" w:rsidRPr="00005F17" w14:paraId="656AFD7E" w14:textId="77777777" w:rsidTr="00850F5B">
        <w:tc>
          <w:tcPr>
            <w:tcW w:w="1068" w:type="dxa"/>
          </w:tcPr>
          <w:p w14:paraId="656AFD76" w14:textId="77777777" w:rsidR="006D1C0C" w:rsidRPr="00005F17" w:rsidRDefault="006D1C0C" w:rsidP="006D1C0C">
            <w:pPr>
              <w:mirrorIndents/>
              <w:rPr>
                <w:rFonts w:cs="Segoe UI Light"/>
                <w:b/>
                <w:sz w:val="18"/>
              </w:rPr>
            </w:pPr>
            <w:r w:rsidRPr="00005F17">
              <w:rPr>
                <w:rFonts w:cs="Segoe UI Light"/>
                <w:b/>
                <w:sz w:val="18"/>
              </w:rPr>
              <w:t>Plastic bags</w:t>
            </w:r>
          </w:p>
        </w:tc>
        <w:tc>
          <w:tcPr>
            <w:tcW w:w="4649" w:type="dxa"/>
          </w:tcPr>
          <w:p w14:paraId="656AFD77" w14:textId="77777777" w:rsidR="006D1C0C" w:rsidRPr="003E6970" w:rsidRDefault="006D1C0C" w:rsidP="004A2442">
            <w:pPr>
              <w:pStyle w:val="ListParagraph"/>
              <w:numPr>
                <w:ilvl w:val="0"/>
                <w:numId w:val="62"/>
              </w:numPr>
              <w:ind w:left="285" w:right="262" w:hanging="285"/>
              <w:mirrorIndents/>
              <w:rPr>
                <w:rFonts w:cs="Segoe UI Light"/>
                <w:sz w:val="18"/>
              </w:rPr>
            </w:pPr>
            <w:r w:rsidRPr="00B05634">
              <w:rPr>
                <w:rFonts w:cs="Segoe UI Light"/>
                <w:sz w:val="18"/>
              </w:rPr>
              <w:t>Lightweight plastic shopping bags can cause harm to wildlife and ecosystems, visual amenity issues and</w:t>
            </w:r>
            <w:r w:rsidRPr="003E6970">
              <w:rPr>
                <w:rFonts w:cs="Segoe UI Light"/>
                <w:sz w:val="18"/>
              </w:rPr>
              <w:t xml:space="preserve"> contamination of plastic shopping bags in municipally-sourced recyclables.</w:t>
            </w:r>
          </w:p>
          <w:p w14:paraId="656AFD78" w14:textId="77777777" w:rsidR="006D1C0C" w:rsidRPr="003E6970" w:rsidRDefault="006D1C0C" w:rsidP="004A2442">
            <w:pPr>
              <w:pStyle w:val="ListParagraph"/>
              <w:numPr>
                <w:ilvl w:val="0"/>
                <w:numId w:val="62"/>
              </w:numPr>
              <w:ind w:left="285" w:right="262" w:hanging="285"/>
              <w:mirrorIndents/>
              <w:rPr>
                <w:rFonts w:cs="Segoe UI Light"/>
                <w:sz w:val="18"/>
              </w:rPr>
            </w:pPr>
            <w:r w:rsidRPr="003E6970">
              <w:rPr>
                <w:rFonts w:cs="Segoe UI Light"/>
                <w:sz w:val="18"/>
              </w:rPr>
              <w:t>The plastic bag problem has already been significantly reduced in Victoria by the voluntary decisions of major retailers, and some smaller retailers, to cease offering lightweight plastic bags to customers. However, it is estimated that hundreds of millions of lightweight plastic bags are still given out by other retailers in Victoria each year.</w:t>
            </w:r>
          </w:p>
          <w:p w14:paraId="656AFD79" w14:textId="77777777" w:rsidR="006D1C0C" w:rsidRPr="003E6970" w:rsidRDefault="006D1C0C" w:rsidP="004A2442">
            <w:pPr>
              <w:pStyle w:val="ListParagraph"/>
              <w:numPr>
                <w:ilvl w:val="0"/>
                <w:numId w:val="62"/>
              </w:numPr>
              <w:ind w:left="285" w:right="262" w:hanging="285"/>
              <w:mirrorIndents/>
              <w:rPr>
                <w:rFonts w:cs="Segoe UI Light"/>
                <w:sz w:val="18"/>
              </w:rPr>
            </w:pPr>
            <w:r w:rsidRPr="003E6970">
              <w:rPr>
                <w:rFonts w:cs="Segoe UI Light"/>
                <w:sz w:val="18"/>
              </w:rPr>
              <w:t xml:space="preserve">On 27 June 2018, the Victorian Government committed to ban single use, singlet style plastic shopping bags (“lightweight plastic shopping bags”). Power to prescribe a ban is in the new EP legislation that </w:t>
            </w:r>
            <w:r w:rsidR="00492DED">
              <w:rPr>
                <w:rFonts w:cs="Segoe UI Light"/>
                <w:sz w:val="18"/>
              </w:rPr>
              <w:t>is intended</w:t>
            </w:r>
            <w:r w:rsidR="00646BEF">
              <w:rPr>
                <w:rFonts w:cs="Segoe UI Light"/>
                <w:sz w:val="18"/>
              </w:rPr>
              <w:t xml:space="preserve"> to </w:t>
            </w:r>
            <w:r w:rsidRPr="003E6970">
              <w:rPr>
                <w:rFonts w:cs="Segoe UI Light"/>
                <w:sz w:val="18"/>
              </w:rPr>
              <w:t>come into effect on 1 July 2020.</w:t>
            </w:r>
          </w:p>
          <w:p w14:paraId="656AFD7A" w14:textId="77777777" w:rsidR="00B37EE5" w:rsidRPr="008F7BBF" w:rsidRDefault="00C2293F" w:rsidP="008F7BBF">
            <w:pPr>
              <w:pStyle w:val="ListParagraph"/>
              <w:numPr>
                <w:ilvl w:val="0"/>
                <w:numId w:val="62"/>
              </w:numPr>
              <w:ind w:left="285" w:right="262" w:hanging="285"/>
              <w:mirrorIndents/>
              <w:rPr>
                <w:rFonts w:cs="Segoe UI Light"/>
                <w:sz w:val="18"/>
              </w:rPr>
            </w:pPr>
            <w:r w:rsidRPr="008F7BBF">
              <w:rPr>
                <w:rFonts w:cs="Segoe UI Light"/>
                <w:sz w:val="18"/>
              </w:rPr>
              <w:t>The residual risk in relation to plastic bags is that the plastic ban provisions under the new EP legislation cannot function without prescription under regulation, and lightweight plastic bags will continue to cause harm to the environment</w:t>
            </w:r>
            <w:r w:rsidR="00B37EE5" w:rsidRPr="00B05634">
              <w:rPr>
                <w:rFonts w:cs="Segoe UI Light"/>
                <w:sz w:val="18"/>
              </w:rPr>
              <w:t xml:space="preserve"> </w:t>
            </w:r>
            <w:r w:rsidR="00B37EE5" w:rsidRPr="008F7BBF">
              <w:rPr>
                <w:rFonts w:cs="Segoe UI Light"/>
                <w:sz w:val="18"/>
              </w:rPr>
              <w:t xml:space="preserve">as a result of becoming litter across Victoria’s land and waterways. </w:t>
            </w:r>
          </w:p>
          <w:p w14:paraId="656AFD7B" w14:textId="77777777" w:rsidR="006D1C0C" w:rsidRPr="003E6970" w:rsidRDefault="006D1C0C" w:rsidP="008F7BBF">
            <w:pPr>
              <w:pStyle w:val="ListParagraph"/>
              <w:spacing w:after="0"/>
              <w:ind w:left="285" w:right="262"/>
              <w:mirrorIndents/>
              <w:rPr>
                <w:rFonts w:cs="Segoe UI Light"/>
                <w:sz w:val="18"/>
              </w:rPr>
            </w:pPr>
          </w:p>
        </w:tc>
        <w:tc>
          <w:tcPr>
            <w:tcW w:w="4139" w:type="dxa"/>
          </w:tcPr>
          <w:p w14:paraId="656AFD7C" w14:textId="77777777" w:rsidR="006D1C0C" w:rsidRPr="003E6970" w:rsidRDefault="006D1C0C" w:rsidP="006D1C0C">
            <w:pPr>
              <w:rPr>
                <w:rFonts w:cs="Segoe UI Light"/>
                <w:sz w:val="18"/>
              </w:rPr>
            </w:pPr>
            <w:r w:rsidRPr="003E6970">
              <w:rPr>
                <w:rFonts w:cs="Segoe UI Light"/>
                <w:sz w:val="18"/>
              </w:rPr>
              <w:t>The preferred option is to ban all lightweight plastic bags from sale or supply in Victoria.</w:t>
            </w:r>
            <w:r w:rsidR="00DC0A90" w:rsidRPr="003E6970">
              <w:rPr>
                <w:rFonts w:cs="Segoe UI Light"/>
                <w:sz w:val="18"/>
              </w:rPr>
              <w:t xml:space="preserve"> </w:t>
            </w:r>
            <w:r w:rsidR="00451087" w:rsidRPr="003E6970">
              <w:rPr>
                <w:rFonts w:cs="Segoe UI Light"/>
                <w:sz w:val="18"/>
              </w:rPr>
              <w:t xml:space="preserve">Lightweight degradable, biodegradable and compostable shopping bags made wholly or partly of plastic would also be subject to the ban. However, all other types of non-carry lightweight bags – such as barrier bags – would be excluded, as would any other type of plastic bag such as bin liners, garbage bags and reusable polypropylene (heavier-weight) bags. </w:t>
            </w:r>
          </w:p>
          <w:p w14:paraId="656AFD7D" w14:textId="77777777" w:rsidR="006D1C0C" w:rsidRPr="003E6970" w:rsidRDefault="002C2353" w:rsidP="007F5B74">
            <w:pPr>
              <w:spacing w:after="100" w:afterAutospacing="1"/>
              <w:mirrorIndents/>
              <w:rPr>
                <w:rFonts w:cs="Segoe UI Light"/>
                <w:sz w:val="18"/>
              </w:rPr>
            </w:pPr>
            <w:r w:rsidRPr="003E6970">
              <w:rPr>
                <w:rFonts w:cs="Segoe UI Light"/>
                <w:sz w:val="18"/>
              </w:rPr>
              <w:t xml:space="preserve">This option would enable the </w:t>
            </w:r>
            <w:r w:rsidRPr="008F7BBF">
              <w:rPr>
                <w:rFonts w:cs="Segoe UI Light"/>
                <w:sz w:val="18"/>
              </w:rPr>
              <w:t xml:space="preserve">plastic ban provisions under the new EP legislation to function and, in doing so, </w:t>
            </w:r>
            <w:r w:rsidR="007F5B74">
              <w:rPr>
                <w:rFonts w:cs="Segoe UI Light"/>
                <w:sz w:val="18"/>
              </w:rPr>
              <w:t xml:space="preserve">help to </w:t>
            </w:r>
            <w:r w:rsidRPr="008F7BBF">
              <w:rPr>
                <w:rFonts w:cs="Segoe UI Light"/>
                <w:sz w:val="18"/>
              </w:rPr>
              <w:t>address the harms that plastic bag pollution causes to the environment</w:t>
            </w:r>
            <w:r w:rsidR="00630594">
              <w:rPr>
                <w:rFonts w:cs="Segoe UI Light"/>
                <w:sz w:val="18"/>
              </w:rPr>
              <w:t>.</w:t>
            </w:r>
          </w:p>
        </w:tc>
      </w:tr>
      <w:tr w:rsidR="00D0250F" w:rsidRPr="002A4828" w14:paraId="656AFD8B" w14:textId="77777777" w:rsidTr="00850F5B">
        <w:tc>
          <w:tcPr>
            <w:tcW w:w="1068" w:type="dxa"/>
          </w:tcPr>
          <w:p w14:paraId="656AFD7F" w14:textId="77777777" w:rsidR="006D1C0C" w:rsidRPr="00005F17" w:rsidRDefault="006D1C0C" w:rsidP="006D1C0C">
            <w:pPr>
              <w:mirrorIndents/>
              <w:rPr>
                <w:rFonts w:cs="Segoe UI Light"/>
                <w:b/>
                <w:sz w:val="18"/>
              </w:rPr>
            </w:pPr>
            <w:r w:rsidRPr="00005F17">
              <w:rPr>
                <w:rFonts w:cs="Segoe UI Light"/>
                <w:b/>
                <w:sz w:val="18"/>
              </w:rPr>
              <w:t>Air</w:t>
            </w:r>
          </w:p>
        </w:tc>
        <w:tc>
          <w:tcPr>
            <w:tcW w:w="4649" w:type="dxa"/>
          </w:tcPr>
          <w:p w14:paraId="656AFD80" w14:textId="77777777" w:rsidR="00D32A3B" w:rsidRPr="00B05634" w:rsidRDefault="00D32A3B" w:rsidP="004A2442">
            <w:pPr>
              <w:pStyle w:val="ListParagraph"/>
              <w:numPr>
                <w:ilvl w:val="0"/>
                <w:numId w:val="62"/>
              </w:numPr>
              <w:ind w:left="285" w:right="262" w:hanging="285"/>
              <w:mirrorIndents/>
              <w:rPr>
                <w:rFonts w:cs="Segoe UI Light"/>
                <w:sz w:val="18"/>
              </w:rPr>
            </w:pPr>
            <w:r w:rsidRPr="00B05634">
              <w:rPr>
                <w:rFonts w:cs="Segoe UI Light"/>
                <w:sz w:val="18"/>
              </w:rPr>
              <w:t xml:space="preserve">Air pollution can be potentially harmful to human health and the environment, and can have a significant impact on visual amenity. </w:t>
            </w:r>
          </w:p>
          <w:p w14:paraId="656AFD81" w14:textId="77777777" w:rsidR="00DE3290" w:rsidRPr="008F7BBF" w:rsidRDefault="00DE3290" w:rsidP="00DE3290">
            <w:pPr>
              <w:pStyle w:val="ListParagraph"/>
              <w:numPr>
                <w:ilvl w:val="0"/>
                <w:numId w:val="62"/>
              </w:numPr>
              <w:ind w:left="285" w:right="262" w:hanging="285"/>
              <w:mirrorIndents/>
              <w:rPr>
                <w:rFonts w:cs="Segoe UI Light"/>
                <w:sz w:val="18"/>
              </w:rPr>
            </w:pPr>
            <w:r w:rsidRPr="008F7BBF">
              <w:rPr>
                <w:rFonts w:cs="Segoe UI Light"/>
                <w:sz w:val="18"/>
              </w:rPr>
              <w:t>The GED, other duties (such as the duty to report pollution incidents)</w:t>
            </w:r>
            <w:r w:rsidR="00630594">
              <w:rPr>
                <w:rFonts w:cs="Segoe UI Light"/>
                <w:sz w:val="18"/>
              </w:rPr>
              <w:t>,</w:t>
            </w:r>
            <w:r w:rsidRPr="008F7BBF">
              <w:rPr>
                <w:rFonts w:cs="Segoe UI Light"/>
                <w:sz w:val="18"/>
              </w:rPr>
              <w:t xml:space="preserve"> and the permissioning framework are, collectively, likely to address a significant portion of the overall problem of air pollution in Victoria. However, some residual risk remains in relation to the impact to human health and the environment that </w:t>
            </w:r>
            <w:r w:rsidRPr="008F7BBF">
              <w:rPr>
                <w:rFonts w:cs="Segoe UI Light"/>
                <w:sz w:val="18"/>
              </w:rPr>
              <w:lastRenderedPageBreak/>
              <w:t xml:space="preserve">could occur as a result of the use of air pollution generated by wood heaters, the emission of highly hazardous air pollutants (‘Class 3 </w:t>
            </w:r>
            <w:r w:rsidR="00E05091">
              <w:rPr>
                <w:rFonts w:cs="Segoe UI Light"/>
                <w:sz w:val="18"/>
              </w:rPr>
              <w:t>substance</w:t>
            </w:r>
            <w:r w:rsidR="00E05091" w:rsidRPr="008F7BBF">
              <w:rPr>
                <w:rFonts w:cs="Segoe UI Light"/>
                <w:sz w:val="18"/>
              </w:rPr>
              <w:t>’</w:t>
            </w:r>
            <w:r w:rsidRPr="008F7BBF">
              <w:rPr>
                <w:rFonts w:cs="Segoe UI Light"/>
                <w:sz w:val="18"/>
              </w:rPr>
              <w:t xml:space="preserve">) and methyl bromide. These activities require further regulatory control. </w:t>
            </w:r>
          </w:p>
          <w:p w14:paraId="656AFD82" w14:textId="77777777" w:rsidR="00D32A3B" w:rsidRPr="003E6970" w:rsidRDefault="00D32A3B" w:rsidP="004A2442">
            <w:pPr>
              <w:pStyle w:val="ListParagraph"/>
              <w:numPr>
                <w:ilvl w:val="0"/>
                <w:numId w:val="62"/>
              </w:numPr>
              <w:ind w:left="285" w:right="262" w:hanging="285"/>
              <w:mirrorIndents/>
              <w:rPr>
                <w:rFonts w:cs="Segoe UI Light"/>
                <w:sz w:val="18"/>
              </w:rPr>
            </w:pPr>
            <w:r w:rsidRPr="003E6970">
              <w:rPr>
                <w:rFonts w:cs="Segoe UI Light"/>
                <w:sz w:val="18"/>
              </w:rPr>
              <w:t>Air pollution generated from wood heaters presents a residual risk, since there is no explicit obligation for suppliers or manufacturers to produce wood heater</w:t>
            </w:r>
            <w:r w:rsidR="00630594">
              <w:rPr>
                <w:rFonts w:cs="Segoe UI Light"/>
                <w:sz w:val="18"/>
              </w:rPr>
              <w:t>s</w:t>
            </w:r>
            <w:r w:rsidRPr="003E6970">
              <w:rPr>
                <w:rFonts w:cs="Segoe UI Light"/>
                <w:sz w:val="18"/>
              </w:rPr>
              <w:t xml:space="preserve"> that meet national standards in relation to efficiency and emissions levels. </w:t>
            </w:r>
          </w:p>
          <w:p w14:paraId="656AFD83" w14:textId="77777777" w:rsidR="00D32A3B" w:rsidRPr="003E6970" w:rsidRDefault="00D32A3B" w:rsidP="004A2442">
            <w:pPr>
              <w:pStyle w:val="ListParagraph"/>
              <w:numPr>
                <w:ilvl w:val="0"/>
                <w:numId w:val="62"/>
              </w:numPr>
              <w:ind w:left="285" w:right="262" w:hanging="285"/>
              <w:mirrorIndents/>
              <w:rPr>
                <w:rFonts w:cs="Segoe UI Light"/>
                <w:sz w:val="18"/>
              </w:rPr>
            </w:pPr>
            <w:r w:rsidRPr="003E6970">
              <w:rPr>
                <w:rFonts w:cs="Segoe UI Light"/>
                <w:sz w:val="18"/>
              </w:rPr>
              <w:t>Highly hazardous air pollutants</w:t>
            </w:r>
            <w:r w:rsidR="00C34D19" w:rsidRPr="003E6970">
              <w:rPr>
                <w:rFonts w:cs="Segoe UI Light"/>
                <w:sz w:val="18"/>
              </w:rPr>
              <w:t xml:space="preserve"> (Class 3 substances)</w:t>
            </w:r>
            <w:r w:rsidRPr="003E6970">
              <w:rPr>
                <w:rFonts w:cs="Segoe UI Light"/>
                <w:sz w:val="18"/>
              </w:rPr>
              <w:t xml:space="preserve"> present a particularly significant risk to human health </w:t>
            </w:r>
            <w:r w:rsidR="006B1A60">
              <w:rPr>
                <w:rFonts w:cs="Segoe UI Light"/>
                <w:sz w:val="18"/>
              </w:rPr>
              <w:t>that warrant an explicit o</w:t>
            </w:r>
            <w:r w:rsidR="00A12920">
              <w:rPr>
                <w:rFonts w:cs="Segoe UI Light"/>
                <w:sz w:val="18"/>
              </w:rPr>
              <w:t xml:space="preserve">bligation </w:t>
            </w:r>
            <w:r w:rsidRPr="003E6970">
              <w:rPr>
                <w:rFonts w:cs="Segoe UI Light"/>
                <w:sz w:val="18"/>
              </w:rPr>
              <w:t xml:space="preserve">to eliminate or reduce emissions of these substances. </w:t>
            </w:r>
          </w:p>
          <w:p w14:paraId="656AFD84" w14:textId="6504354B" w:rsidR="00D32A3B" w:rsidRPr="003E6970" w:rsidRDefault="00D32A3B" w:rsidP="004A2442">
            <w:pPr>
              <w:pStyle w:val="ListParagraph"/>
              <w:numPr>
                <w:ilvl w:val="0"/>
                <w:numId w:val="62"/>
              </w:numPr>
              <w:ind w:left="285" w:right="262" w:hanging="285"/>
              <w:mirrorIndents/>
              <w:rPr>
                <w:rFonts w:cs="Segoe UI Light"/>
                <w:sz w:val="18"/>
              </w:rPr>
            </w:pPr>
            <w:r w:rsidRPr="003E6970">
              <w:rPr>
                <w:rFonts w:cs="Segoe UI Light"/>
                <w:sz w:val="18"/>
              </w:rPr>
              <w:t xml:space="preserve">The emission of selected chemicals </w:t>
            </w:r>
            <w:r w:rsidR="00451087" w:rsidRPr="003E6970">
              <w:rPr>
                <w:rFonts w:cs="Segoe UI Light"/>
                <w:sz w:val="18"/>
              </w:rPr>
              <w:t xml:space="preserve">is </w:t>
            </w:r>
            <w:r w:rsidRPr="003E6970">
              <w:rPr>
                <w:rFonts w:cs="Segoe UI Light"/>
                <w:sz w:val="18"/>
              </w:rPr>
              <w:t xml:space="preserve">a major cause of depletion of the earth’s protective ozone layer. Commonwealth legislation and regulations prescribe the range of situations where an </w:t>
            </w:r>
            <w:r w:rsidR="005E3DFB" w:rsidRPr="003E6970">
              <w:rPr>
                <w:rFonts w:cs="Segoe UI Light"/>
                <w:sz w:val="18"/>
              </w:rPr>
              <w:t>ozone-depleting substance (ODS)</w:t>
            </w:r>
            <w:r w:rsidRPr="003E6970">
              <w:rPr>
                <w:rFonts w:cs="Segoe UI Light"/>
                <w:sz w:val="18"/>
              </w:rPr>
              <w:t xml:space="preserve"> is permitted to be used (or prohibited from use)</w:t>
            </w:r>
            <w:r w:rsidR="00BC21A1" w:rsidRPr="003E6970">
              <w:rPr>
                <w:rFonts w:cs="Segoe UI Light"/>
                <w:sz w:val="18"/>
              </w:rPr>
              <w:t xml:space="preserve">. In the case of </w:t>
            </w:r>
            <w:r w:rsidR="00103622" w:rsidRPr="003E6970">
              <w:rPr>
                <w:rFonts w:cs="Segoe UI Light"/>
                <w:sz w:val="18"/>
              </w:rPr>
              <w:t>m</w:t>
            </w:r>
            <w:r w:rsidR="00BC21A1" w:rsidRPr="003E6970">
              <w:rPr>
                <w:rFonts w:cs="Segoe UI Light"/>
                <w:sz w:val="18"/>
              </w:rPr>
              <w:t xml:space="preserve">ethyl </w:t>
            </w:r>
            <w:r w:rsidR="00103622" w:rsidRPr="003E6970">
              <w:rPr>
                <w:rFonts w:cs="Segoe UI Light"/>
                <w:sz w:val="18"/>
              </w:rPr>
              <w:t>b</w:t>
            </w:r>
            <w:r w:rsidR="00BC21A1" w:rsidRPr="003E6970">
              <w:rPr>
                <w:rFonts w:cs="Segoe UI Light"/>
                <w:sz w:val="18"/>
              </w:rPr>
              <w:t>romide (an ODS used</w:t>
            </w:r>
            <w:r w:rsidR="008B64FB">
              <w:rPr>
                <w:rFonts w:cs="Segoe UI Light"/>
                <w:sz w:val="18"/>
              </w:rPr>
              <w:t xml:space="preserve"> in quarantine and pre-shipment uses and</w:t>
            </w:r>
            <w:r w:rsidR="00BC21A1" w:rsidRPr="003E6970">
              <w:rPr>
                <w:rFonts w:cs="Segoe UI Light"/>
                <w:sz w:val="18"/>
              </w:rPr>
              <w:t xml:space="preserve"> in </w:t>
            </w:r>
            <w:r w:rsidR="00010CE9" w:rsidRPr="003E6970">
              <w:rPr>
                <w:rFonts w:cs="Segoe UI Light"/>
                <w:sz w:val="18"/>
              </w:rPr>
              <w:t>commercial strawberry</w:t>
            </w:r>
            <w:r w:rsidR="00BC21A1" w:rsidRPr="003E6970">
              <w:rPr>
                <w:rFonts w:cs="Segoe UI Light"/>
                <w:sz w:val="18"/>
              </w:rPr>
              <w:t xml:space="preserve"> production), Commonwealth laws do </w:t>
            </w:r>
            <w:r w:rsidRPr="003E6970">
              <w:rPr>
                <w:rFonts w:cs="Segoe UI Light"/>
                <w:sz w:val="18"/>
              </w:rPr>
              <w:t xml:space="preserve">not impose additional obligations as to exactly how </w:t>
            </w:r>
            <w:r w:rsidR="00BC21A1" w:rsidRPr="003E6970">
              <w:rPr>
                <w:rFonts w:cs="Segoe UI Light"/>
                <w:sz w:val="18"/>
              </w:rPr>
              <w:t xml:space="preserve">it </w:t>
            </w:r>
            <w:r w:rsidRPr="003E6970">
              <w:rPr>
                <w:rFonts w:cs="Segoe UI Light"/>
                <w:sz w:val="18"/>
              </w:rPr>
              <w:t xml:space="preserve">should be managed when </w:t>
            </w:r>
            <w:r w:rsidR="00BC21A1" w:rsidRPr="003E6970">
              <w:rPr>
                <w:rFonts w:cs="Segoe UI Light"/>
                <w:sz w:val="18"/>
              </w:rPr>
              <w:t xml:space="preserve">it is </w:t>
            </w:r>
            <w:r w:rsidRPr="003E6970">
              <w:rPr>
                <w:rFonts w:cs="Segoe UI Light"/>
                <w:sz w:val="18"/>
              </w:rPr>
              <w:t>used.</w:t>
            </w:r>
          </w:p>
          <w:p w14:paraId="656AFD85" w14:textId="77777777" w:rsidR="006D1C0C" w:rsidRPr="003E6970" w:rsidRDefault="00D32A3B" w:rsidP="004A2442">
            <w:pPr>
              <w:pStyle w:val="ListParagraph"/>
              <w:numPr>
                <w:ilvl w:val="0"/>
                <w:numId w:val="62"/>
              </w:numPr>
              <w:ind w:left="285" w:right="262" w:hanging="285"/>
              <w:mirrorIndents/>
              <w:rPr>
                <w:rFonts w:cs="Segoe UI Light"/>
                <w:sz w:val="18"/>
              </w:rPr>
            </w:pPr>
            <w:r w:rsidRPr="003E6970">
              <w:rPr>
                <w:rFonts w:cs="Segoe UI Light"/>
                <w:sz w:val="18"/>
              </w:rPr>
              <w:t xml:space="preserve">In the absence of regulations, there will also be no requirement for businesses to report their air (and other forms of) pollution to the National Pollutant Inventory (NPI). The NPI tracks pollution across Australia, ensuring that the community has access to information about the emission and transfer of toxic substances which may affect them locally. </w:t>
            </w:r>
          </w:p>
        </w:tc>
        <w:tc>
          <w:tcPr>
            <w:tcW w:w="4139" w:type="dxa"/>
          </w:tcPr>
          <w:p w14:paraId="656AFD86" w14:textId="77777777" w:rsidR="002A4828" w:rsidRPr="003E6970" w:rsidRDefault="00FC177E" w:rsidP="000E7C5E">
            <w:pPr>
              <w:pStyle w:val="ListParagraph"/>
              <w:numPr>
                <w:ilvl w:val="0"/>
                <w:numId w:val="62"/>
              </w:numPr>
              <w:ind w:left="285" w:right="262" w:hanging="285"/>
              <w:mirrorIndents/>
              <w:rPr>
                <w:rFonts w:cs="Segoe UI Light"/>
                <w:sz w:val="18"/>
              </w:rPr>
            </w:pPr>
            <w:r w:rsidRPr="003E6970">
              <w:rPr>
                <w:rFonts w:cs="Segoe UI Light"/>
                <w:sz w:val="18"/>
              </w:rPr>
              <w:lastRenderedPageBreak/>
              <w:t>The preferred approach is to prescribe regulations that</w:t>
            </w:r>
            <w:r w:rsidRPr="003E6970" w:rsidDel="00FC177E">
              <w:rPr>
                <w:rFonts w:cs="Segoe UI Light"/>
                <w:sz w:val="18"/>
              </w:rPr>
              <w:t xml:space="preserve"> </w:t>
            </w:r>
            <w:r w:rsidR="00630594">
              <w:rPr>
                <w:rFonts w:cs="Segoe UI Light"/>
                <w:sz w:val="18"/>
              </w:rPr>
              <w:t>e</w:t>
            </w:r>
            <w:r w:rsidR="002A4828" w:rsidRPr="003E6970">
              <w:rPr>
                <w:rFonts w:cs="Segoe UI Light"/>
                <w:sz w:val="18"/>
              </w:rPr>
              <w:t xml:space="preserve">nsure risk control measures for emission of </w:t>
            </w:r>
            <w:r w:rsidR="00BC21A1" w:rsidRPr="003E6970">
              <w:rPr>
                <w:rFonts w:cs="Segoe UI Light"/>
                <w:sz w:val="18"/>
              </w:rPr>
              <w:t xml:space="preserve">Class 3 substances </w:t>
            </w:r>
            <w:r w:rsidR="002A4828" w:rsidRPr="003E6970">
              <w:rPr>
                <w:rFonts w:cs="Segoe UI Light"/>
                <w:sz w:val="18"/>
              </w:rPr>
              <w:t>are commensurate to their risk by specifying obligations in relation to such pollutants.</w:t>
            </w:r>
          </w:p>
          <w:p w14:paraId="656AFD87" w14:textId="77777777" w:rsidR="00BC21A1" w:rsidRPr="003E6970" w:rsidRDefault="00BC21A1" w:rsidP="00BC21A1">
            <w:pPr>
              <w:pStyle w:val="ListParagraph"/>
              <w:numPr>
                <w:ilvl w:val="0"/>
                <w:numId w:val="62"/>
              </w:numPr>
              <w:ind w:left="285" w:right="262" w:hanging="285"/>
              <w:mirrorIndents/>
              <w:rPr>
                <w:rFonts w:cs="Segoe UI Light"/>
                <w:sz w:val="18"/>
              </w:rPr>
            </w:pPr>
            <w:r w:rsidRPr="003E6970">
              <w:rPr>
                <w:rFonts w:cs="Segoe UI Light"/>
                <w:sz w:val="18"/>
              </w:rPr>
              <w:t xml:space="preserve">Place control measures on handlers, suppliers and purchasers of equipment with methyl bromide, and users of methyl bromide. </w:t>
            </w:r>
          </w:p>
          <w:p w14:paraId="656AFD88" w14:textId="77777777" w:rsidR="005E3DFB" w:rsidRPr="003E6970" w:rsidRDefault="002A4828" w:rsidP="000E7C5E">
            <w:pPr>
              <w:pStyle w:val="ListParagraph"/>
              <w:numPr>
                <w:ilvl w:val="0"/>
                <w:numId w:val="62"/>
              </w:numPr>
              <w:ind w:left="285" w:right="262" w:hanging="285"/>
              <w:mirrorIndents/>
              <w:rPr>
                <w:rFonts w:cs="Segoe UI Light"/>
                <w:sz w:val="18"/>
              </w:rPr>
            </w:pPr>
            <w:r w:rsidRPr="003E6970">
              <w:rPr>
                <w:rFonts w:cs="Segoe UI Light"/>
                <w:sz w:val="18"/>
              </w:rPr>
              <w:lastRenderedPageBreak/>
              <w:t>R</w:t>
            </w:r>
            <w:r w:rsidR="005E3DFB" w:rsidRPr="003E6970">
              <w:rPr>
                <w:rFonts w:cs="Segoe UI Light"/>
                <w:sz w:val="18"/>
              </w:rPr>
              <w:t>equire</w:t>
            </w:r>
            <w:r w:rsidR="00C82A11" w:rsidRPr="003E6970">
              <w:rPr>
                <w:rFonts w:cs="Segoe UI Light"/>
                <w:sz w:val="18"/>
              </w:rPr>
              <w:t>s</w:t>
            </w:r>
            <w:r w:rsidR="005E3DFB" w:rsidRPr="003E6970">
              <w:rPr>
                <w:rFonts w:cs="Segoe UI Light"/>
                <w:sz w:val="18"/>
              </w:rPr>
              <w:t xml:space="preserve"> all </w:t>
            </w:r>
            <w:r w:rsidR="00D32A3B" w:rsidRPr="003E6970">
              <w:rPr>
                <w:rFonts w:cs="Segoe UI Light"/>
                <w:sz w:val="18"/>
              </w:rPr>
              <w:t xml:space="preserve">wood heaters </w:t>
            </w:r>
            <w:r w:rsidR="005E3DFB" w:rsidRPr="003E6970">
              <w:rPr>
                <w:rFonts w:cs="Segoe UI Light"/>
                <w:sz w:val="18"/>
              </w:rPr>
              <w:t xml:space="preserve">sold and manufactured in Victoria to </w:t>
            </w:r>
            <w:r w:rsidR="00C82A11" w:rsidRPr="003E6970">
              <w:rPr>
                <w:rFonts w:cs="Segoe UI Light"/>
                <w:sz w:val="18"/>
              </w:rPr>
              <w:t xml:space="preserve">comply with </w:t>
            </w:r>
            <w:r w:rsidR="00D32A3B" w:rsidRPr="003E6970">
              <w:rPr>
                <w:rFonts w:cs="Segoe UI Light"/>
                <w:sz w:val="18"/>
              </w:rPr>
              <w:t xml:space="preserve">Australian </w:t>
            </w:r>
            <w:r w:rsidR="00C82A11" w:rsidRPr="003E6970">
              <w:rPr>
                <w:rFonts w:cs="Segoe UI Light"/>
                <w:sz w:val="18"/>
              </w:rPr>
              <w:t xml:space="preserve">New Zealand </w:t>
            </w:r>
            <w:r w:rsidR="00D32A3B" w:rsidRPr="003E6970">
              <w:rPr>
                <w:rFonts w:cs="Segoe UI Light"/>
                <w:sz w:val="18"/>
              </w:rPr>
              <w:t>standards</w:t>
            </w:r>
            <w:r w:rsidR="005E3DFB" w:rsidRPr="003E6970">
              <w:rPr>
                <w:rFonts w:cs="Segoe UI Light"/>
                <w:sz w:val="18"/>
              </w:rPr>
              <w:t xml:space="preserve"> for emissions and efficiency</w:t>
            </w:r>
            <w:r w:rsidR="00D32A3B" w:rsidRPr="003E6970">
              <w:rPr>
                <w:rFonts w:cs="Segoe UI Light"/>
                <w:sz w:val="18"/>
              </w:rPr>
              <w:t>.</w:t>
            </w:r>
          </w:p>
          <w:p w14:paraId="656AFD89" w14:textId="77777777" w:rsidR="006D1C0C" w:rsidRPr="003E6970" w:rsidRDefault="005E3DFB" w:rsidP="000E7C5E">
            <w:pPr>
              <w:pStyle w:val="ListParagraph"/>
              <w:numPr>
                <w:ilvl w:val="0"/>
                <w:numId w:val="62"/>
              </w:numPr>
              <w:ind w:left="285" w:right="262" w:hanging="285"/>
              <w:mirrorIndents/>
              <w:rPr>
                <w:rFonts w:cs="Segoe UI Light"/>
                <w:sz w:val="18"/>
              </w:rPr>
            </w:pPr>
            <w:r w:rsidRPr="003E6970">
              <w:rPr>
                <w:rFonts w:cs="Segoe UI Light"/>
                <w:sz w:val="18"/>
              </w:rPr>
              <w:t xml:space="preserve">Require businesses that exceed pollution thresholds to report to the National Pollutant Inventory. </w:t>
            </w:r>
          </w:p>
          <w:p w14:paraId="656AFD8A" w14:textId="77777777" w:rsidR="00B75BC8" w:rsidRPr="008F7BBF" w:rsidRDefault="00472852" w:rsidP="007F5B74">
            <w:pPr>
              <w:ind w:right="262"/>
              <w:mirrorIndents/>
              <w:rPr>
                <w:rFonts w:cs="Segoe UI Light"/>
                <w:sz w:val="18"/>
              </w:rPr>
            </w:pPr>
            <w:r w:rsidRPr="003E6970">
              <w:rPr>
                <w:rFonts w:cs="Segoe UI Light"/>
                <w:sz w:val="18"/>
              </w:rPr>
              <w:t xml:space="preserve">Collectively, these options </w:t>
            </w:r>
            <w:r w:rsidR="007F5B74">
              <w:rPr>
                <w:rFonts w:cs="Segoe UI Light"/>
                <w:sz w:val="18"/>
              </w:rPr>
              <w:t>aim to</w:t>
            </w:r>
            <w:r w:rsidR="007F5B74" w:rsidRPr="003E6970">
              <w:rPr>
                <w:rFonts w:cs="Segoe UI Light"/>
                <w:sz w:val="18"/>
              </w:rPr>
              <w:t xml:space="preserve"> </w:t>
            </w:r>
            <w:r w:rsidRPr="003E6970">
              <w:rPr>
                <w:rFonts w:cs="Segoe UI Light"/>
                <w:sz w:val="18"/>
              </w:rPr>
              <w:t>address the residual risks of harm to human health and the environment from air pollution.</w:t>
            </w:r>
          </w:p>
        </w:tc>
      </w:tr>
      <w:tr w:rsidR="00D0250F" w:rsidRPr="00005F17" w14:paraId="656AFD93" w14:textId="77777777" w:rsidTr="00850F5B">
        <w:tc>
          <w:tcPr>
            <w:tcW w:w="1068" w:type="dxa"/>
          </w:tcPr>
          <w:p w14:paraId="656AFD8C" w14:textId="77777777" w:rsidR="006D1C0C" w:rsidRPr="00005F17" w:rsidRDefault="006D1C0C" w:rsidP="006D1C0C">
            <w:pPr>
              <w:mirrorIndents/>
              <w:rPr>
                <w:rFonts w:cs="Segoe UI Light"/>
                <w:b/>
                <w:sz w:val="18"/>
              </w:rPr>
            </w:pPr>
            <w:r w:rsidRPr="00005F17">
              <w:rPr>
                <w:rFonts w:cs="Segoe UI Light"/>
                <w:b/>
                <w:sz w:val="18"/>
              </w:rPr>
              <w:lastRenderedPageBreak/>
              <w:t>Water</w:t>
            </w:r>
          </w:p>
        </w:tc>
        <w:tc>
          <w:tcPr>
            <w:tcW w:w="4649" w:type="dxa"/>
          </w:tcPr>
          <w:p w14:paraId="656AFD8D" w14:textId="77777777" w:rsidR="00005F17" w:rsidRPr="003E6970" w:rsidRDefault="00005F17" w:rsidP="004A2442">
            <w:pPr>
              <w:pStyle w:val="ListParagraph"/>
              <w:numPr>
                <w:ilvl w:val="0"/>
                <w:numId w:val="62"/>
              </w:numPr>
              <w:ind w:left="285" w:right="262" w:hanging="285"/>
              <w:mirrorIndents/>
              <w:rPr>
                <w:sz w:val="18"/>
              </w:rPr>
            </w:pPr>
            <w:r w:rsidRPr="00B05634">
              <w:rPr>
                <w:sz w:val="18"/>
              </w:rPr>
              <w:t>Water resources are of major environmental, social and economic value. This value is at risk from pollution of Victoria’s water resources by human activities, including large and small industries, wastewater treatme</w:t>
            </w:r>
            <w:r w:rsidRPr="003E6970">
              <w:rPr>
                <w:sz w:val="18"/>
              </w:rPr>
              <w:t>nt plants, urban infrastructure, agriculture, transport, and deliberate or accidental pollution incidents.</w:t>
            </w:r>
          </w:p>
          <w:p w14:paraId="656AFD8E" w14:textId="77777777" w:rsidR="00005F17" w:rsidRPr="003E6970" w:rsidRDefault="00005F17" w:rsidP="004A2442">
            <w:pPr>
              <w:pStyle w:val="ListParagraph"/>
              <w:numPr>
                <w:ilvl w:val="0"/>
                <w:numId w:val="62"/>
              </w:numPr>
              <w:ind w:left="285" w:right="262" w:hanging="285"/>
              <w:mirrorIndents/>
              <w:rPr>
                <w:sz w:val="18"/>
              </w:rPr>
            </w:pPr>
            <w:r w:rsidRPr="003E6970">
              <w:rPr>
                <w:sz w:val="18"/>
              </w:rPr>
              <w:t>When the new legislative framework takes effect in July 2020, the overarching problem of water pollution will be primarily addressed by the establishment of the new EP legislation and planned introduction of the ERS, which will incorporate some aspects of SEPP (Waters) that will no longer be in force under the new legislative framework. Some residual risks related to water pollution will be managed by the proposed permissioning, waste and contaminated land regulations.</w:t>
            </w:r>
          </w:p>
          <w:p w14:paraId="656AFD8F" w14:textId="77777777" w:rsidR="006D1C0C" w:rsidRPr="003E6970" w:rsidRDefault="005572E3" w:rsidP="004A2442">
            <w:pPr>
              <w:pStyle w:val="ListParagraph"/>
              <w:numPr>
                <w:ilvl w:val="0"/>
                <w:numId w:val="62"/>
              </w:numPr>
              <w:ind w:left="285" w:right="262" w:hanging="285"/>
              <w:mirrorIndents/>
              <w:rPr>
                <w:sz w:val="18"/>
              </w:rPr>
            </w:pPr>
            <w:r w:rsidRPr="008F7BBF">
              <w:rPr>
                <w:rFonts w:cs="Segoe UI Light"/>
                <w:sz w:val="18"/>
              </w:rPr>
              <w:t>There is a residual risk remaining in relation to</w:t>
            </w:r>
            <w:r w:rsidRPr="008F7BBF">
              <w:rPr>
                <w:sz w:val="18"/>
              </w:rPr>
              <w:t xml:space="preserve"> the risk of harm to the environment arising from the discharge of waste into water by vessel operators. Due to gaps and wide variation in the current state of knowledge across vessel operators, duty holders are likely to be uncertain and inconsistent in their approach to complying with the new legislation</w:t>
            </w:r>
            <w:r w:rsidR="00DC7A63">
              <w:rPr>
                <w:sz w:val="18"/>
              </w:rPr>
              <w:t xml:space="preserve">. </w:t>
            </w:r>
          </w:p>
        </w:tc>
        <w:tc>
          <w:tcPr>
            <w:tcW w:w="4139" w:type="dxa"/>
          </w:tcPr>
          <w:p w14:paraId="656AFD90" w14:textId="77777777" w:rsidR="004062C1" w:rsidRPr="00B05634" w:rsidRDefault="009035F5">
            <w:pPr>
              <w:ind w:right="262"/>
              <w:mirrorIndents/>
              <w:rPr>
                <w:sz w:val="18"/>
              </w:rPr>
            </w:pPr>
            <w:r w:rsidRPr="003E6970">
              <w:rPr>
                <w:sz w:val="18"/>
              </w:rPr>
              <w:t xml:space="preserve">The preferred option is to prescribe regulation </w:t>
            </w:r>
            <w:r w:rsidR="00FE5160" w:rsidRPr="003E6970">
              <w:rPr>
                <w:sz w:val="18"/>
              </w:rPr>
              <w:t xml:space="preserve">to </w:t>
            </w:r>
            <w:r w:rsidRPr="003E6970">
              <w:rPr>
                <w:sz w:val="18"/>
              </w:rPr>
              <w:t xml:space="preserve">ensure </w:t>
            </w:r>
            <w:r w:rsidR="004062C1" w:rsidRPr="008F7BBF">
              <w:rPr>
                <w:sz w:val="18"/>
              </w:rPr>
              <w:t>that waste from vessels must not be discharged into water</w:t>
            </w:r>
            <w:r w:rsidR="00630594">
              <w:rPr>
                <w:sz w:val="18"/>
              </w:rPr>
              <w:t>.</w:t>
            </w:r>
            <w:r w:rsidR="004062C1" w:rsidRPr="008F7BBF">
              <w:rPr>
                <w:sz w:val="18"/>
              </w:rPr>
              <w:t xml:space="preserve"> This option would be enacted as a regulation with an infringeable offence that articulates how waste from vessels is to be managed</w:t>
            </w:r>
            <w:r w:rsidR="004062C1" w:rsidRPr="00B05634">
              <w:rPr>
                <w:sz w:val="18"/>
              </w:rPr>
              <w:t>.</w:t>
            </w:r>
          </w:p>
          <w:p w14:paraId="656AFD91" w14:textId="77777777" w:rsidR="00B75BC8" w:rsidRPr="003E6970" w:rsidRDefault="006C5670">
            <w:pPr>
              <w:ind w:right="262"/>
              <w:mirrorIndents/>
              <w:rPr>
                <w:sz w:val="18"/>
              </w:rPr>
            </w:pPr>
            <w:r w:rsidRPr="003E6970">
              <w:rPr>
                <w:sz w:val="18"/>
              </w:rPr>
              <w:t>This</w:t>
            </w:r>
            <w:r w:rsidR="009E4F59" w:rsidRPr="003E6970">
              <w:rPr>
                <w:sz w:val="18"/>
              </w:rPr>
              <w:t xml:space="preserve"> would reduce uncertainty for duty holders in relation to</w:t>
            </w:r>
            <w:r w:rsidR="006E0DB2" w:rsidRPr="003E6970">
              <w:rPr>
                <w:sz w:val="18"/>
              </w:rPr>
              <w:t xml:space="preserve"> their obligations regarding the discharge of </w:t>
            </w:r>
            <w:r w:rsidR="009E4F59" w:rsidRPr="003E6970">
              <w:rPr>
                <w:sz w:val="18"/>
              </w:rPr>
              <w:t xml:space="preserve">waste from vessels under the new </w:t>
            </w:r>
            <w:r w:rsidR="006E0DB2" w:rsidRPr="003E6970">
              <w:rPr>
                <w:sz w:val="18"/>
              </w:rPr>
              <w:t xml:space="preserve">EP </w:t>
            </w:r>
            <w:r w:rsidR="009E4F59" w:rsidRPr="003E6970">
              <w:rPr>
                <w:sz w:val="18"/>
              </w:rPr>
              <w:t>legislation</w:t>
            </w:r>
            <w:r w:rsidR="006E0DB2" w:rsidRPr="003E6970">
              <w:rPr>
                <w:sz w:val="18"/>
              </w:rPr>
              <w:t>.</w:t>
            </w:r>
          </w:p>
          <w:p w14:paraId="656AFD92" w14:textId="77777777" w:rsidR="006D1C0C" w:rsidRPr="003E6970" w:rsidRDefault="006D1C0C" w:rsidP="006D1C0C">
            <w:pPr>
              <w:mirrorIndents/>
              <w:rPr>
                <w:rFonts w:cs="Segoe UI Light"/>
                <w:sz w:val="18"/>
              </w:rPr>
            </w:pPr>
          </w:p>
        </w:tc>
      </w:tr>
      <w:tr w:rsidR="00D0250F" w:rsidRPr="00005F17" w14:paraId="656AFDA1" w14:textId="77777777" w:rsidTr="00850F5B">
        <w:tc>
          <w:tcPr>
            <w:tcW w:w="1068" w:type="dxa"/>
          </w:tcPr>
          <w:p w14:paraId="656AFD94" w14:textId="77777777" w:rsidR="007901B3" w:rsidRPr="00005F17" w:rsidRDefault="007901B3" w:rsidP="007901B3">
            <w:pPr>
              <w:mirrorIndents/>
              <w:rPr>
                <w:rFonts w:cs="Segoe UI Light"/>
                <w:b/>
                <w:sz w:val="18"/>
              </w:rPr>
            </w:pPr>
            <w:r w:rsidRPr="00005F17">
              <w:rPr>
                <w:rFonts w:cs="Segoe UI Light"/>
                <w:b/>
                <w:sz w:val="18"/>
              </w:rPr>
              <w:lastRenderedPageBreak/>
              <w:t>Noise</w:t>
            </w:r>
          </w:p>
        </w:tc>
        <w:tc>
          <w:tcPr>
            <w:tcW w:w="4649" w:type="dxa"/>
          </w:tcPr>
          <w:p w14:paraId="656AFD95" w14:textId="77777777" w:rsidR="007901B3" w:rsidRPr="003E6970" w:rsidRDefault="007901B3" w:rsidP="007901B3">
            <w:pPr>
              <w:pStyle w:val="ListParagraph"/>
              <w:numPr>
                <w:ilvl w:val="0"/>
                <w:numId w:val="62"/>
              </w:numPr>
              <w:ind w:left="285" w:right="262" w:hanging="285"/>
              <w:mirrorIndents/>
              <w:rPr>
                <w:rFonts w:cs="Segoe UI Light"/>
                <w:sz w:val="18"/>
              </w:rPr>
            </w:pPr>
            <w:r w:rsidRPr="00B05634">
              <w:rPr>
                <w:rFonts w:cs="Segoe UI Light"/>
                <w:sz w:val="18"/>
              </w:rPr>
              <w:t>Noise accounts for the majority of EPA publication and advice enquiries, and accounted for 18% of reports (complaints) in 2018. A 2011 WHO study of t</w:t>
            </w:r>
            <w:r w:rsidRPr="003E6970">
              <w:rPr>
                <w:rFonts w:cs="Segoe UI Light"/>
                <w:sz w:val="18"/>
              </w:rPr>
              <w:t xml:space="preserve">he burden of disease due to environmental noise in Europe found that there is sufficient evidence linking the population’s exposure to environmental noise with adverse health effects. </w:t>
            </w:r>
          </w:p>
          <w:p w14:paraId="656AFD96" w14:textId="77777777" w:rsidR="007901B3" w:rsidRPr="003E6970" w:rsidRDefault="007901B3" w:rsidP="007901B3">
            <w:pPr>
              <w:pStyle w:val="ListParagraph"/>
              <w:numPr>
                <w:ilvl w:val="0"/>
                <w:numId w:val="62"/>
              </w:numPr>
              <w:ind w:left="285" w:right="262" w:hanging="285"/>
              <w:mirrorIndents/>
              <w:rPr>
                <w:rFonts w:cs="Segoe UI Light"/>
                <w:sz w:val="18"/>
              </w:rPr>
            </w:pPr>
            <w:r w:rsidRPr="003E6970">
              <w:rPr>
                <w:rFonts w:cs="Segoe UI Light"/>
                <w:sz w:val="18"/>
              </w:rPr>
              <w:t>Noise pollution is expected to increase in future years with forecast increases in Victoria’s population, higher density living and traffic.</w:t>
            </w:r>
          </w:p>
          <w:p w14:paraId="656AFD97" w14:textId="77777777" w:rsidR="007901B3" w:rsidRPr="008F7BBF" w:rsidRDefault="007901B3" w:rsidP="007901B3">
            <w:pPr>
              <w:pStyle w:val="ListParagraph"/>
              <w:numPr>
                <w:ilvl w:val="0"/>
                <w:numId w:val="62"/>
              </w:numPr>
              <w:ind w:left="285" w:right="262" w:hanging="285"/>
              <w:mirrorIndents/>
              <w:rPr>
                <w:rFonts w:cs="Segoe UI Light"/>
                <w:sz w:val="18"/>
              </w:rPr>
            </w:pPr>
            <w:r w:rsidRPr="008F7BBF">
              <w:rPr>
                <w:rFonts w:cs="Segoe UI Light"/>
                <w:sz w:val="18"/>
              </w:rPr>
              <w:t>The new EP legislation establishes duties and penalties for the control and emission of unreasonable and aggravated noise. However, residual risks would still remain:</w:t>
            </w:r>
          </w:p>
          <w:p w14:paraId="656AFD98" w14:textId="77777777" w:rsidR="007901B3" w:rsidRPr="008F7BBF" w:rsidRDefault="007901B3" w:rsidP="007901B3">
            <w:pPr>
              <w:pStyle w:val="ListParagraph"/>
              <w:numPr>
                <w:ilvl w:val="0"/>
                <w:numId w:val="224"/>
              </w:numPr>
              <w:ind w:right="262"/>
              <w:mirrorIndents/>
              <w:rPr>
                <w:rFonts w:cs="Segoe UI Light"/>
                <w:sz w:val="18"/>
              </w:rPr>
            </w:pPr>
            <w:r w:rsidRPr="008F7BBF">
              <w:rPr>
                <w:rFonts w:cs="Segoe UI Light"/>
                <w:sz w:val="18"/>
              </w:rPr>
              <w:t>There would be a lack of consistency and certainty with respect to how duty holders need to comply with the unreasonable and aggravated noise requirements in the new EP legislation.</w:t>
            </w:r>
          </w:p>
          <w:p w14:paraId="656AFD99" w14:textId="77777777" w:rsidR="007901B3" w:rsidRPr="008F7BBF" w:rsidRDefault="007901B3" w:rsidP="007901B3">
            <w:pPr>
              <w:pStyle w:val="ListParagraph"/>
              <w:numPr>
                <w:ilvl w:val="0"/>
                <w:numId w:val="224"/>
              </w:numPr>
              <w:ind w:right="262"/>
              <w:mirrorIndents/>
              <w:rPr>
                <w:rFonts w:cs="Segoe UI Light"/>
                <w:sz w:val="18"/>
              </w:rPr>
            </w:pPr>
            <w:r w:rsidRPr="008F7BBF">
              <w:rPr>
                <w:rFonts w:cs="Segoe UI Light"/>
                <w:sz w:val="18"/>
              </w:rPr>
              <w:t>It would be difficult to enforce the civil penalty provisions under the new EP legislation without prescription under regulation.</w:t>
            </w:r>
          </w:p>
          <w:p w14:paraId="656AFD9A" w14:textId="77777777" w:rsidR="007901B3" w:rsidRPr="003E6970" w:rsidRDefault="007901B3" w:rsidP="007901B3">
            <w:pPr>
              <w:pStyle w:val="ListParagraph"/>
              <w:numPr>
                <w:ilvl w:val="0"/>
                <w:numId w:val="62"/>
              </w:numPr>
              <w:ind w:left="285" w:right="262" w:hanging="285"/>
              <w:mirrorIndents/>
              <w:rPr>
                <w:rFonts w:cs="Segoe UI Light"/>
                <w:sz w:val="18"/>
              </w:rPr>
            </w:pPr>
            <w:r w:rsidRPr="00B05634">
              <w:rPr>
                <w:rFonts w:cs="Segoe UI Light"/>
                <w:sz w:val="18"/>
              </w:rPr>
              <w:t>These risks may lead to businesses not meeting their duties under the legislation and therefore more noise pollution and risks of harm to human health. Uncertainty is also likely to lead to higher regulatory costs for b</w:t>
            </w:r>
            <w:r w:rsidRPr="003E6970">
              <w:rPr>
                <w:rFonts w:cs="Segoe UI Light"/>
                <w:sz w:val="18"/>
              </w:rPr>
              <w:t>usinesses in determining how to comply and for EPA in administering the framework.</w:t>
            </w:r>
          </w:p>
          <w:p w14:paraId="656AFD9B" w14:textId="77777777" w:rsidR="007901B3" w:rsidRPr="003E6970" w:rsidRDefault="007901B3" w:rsidP="008F7BBF">
            <w:pPr>
              <w:pStyle w:val="ListParagraph"/>
              <w:ind w:left="285" w:right="262"/>
              <w:mirrorIndents/>
              <w:rPr>
                <w:sz w:val="18"/>
              </w:rPr>
            </w:pPr>
          </w:p>
        </w:tc>
        <w:tc>
          <w:tcPr>
            <w:tcW w:w="4139" w:type="dxa"/>
          </w:tcPr>
          <w:p w14:paraId="656AFD9C" w14:textId="77777777" w:rsidR="007901B3" w:rsidRPr="003E6970" w:rsidRDefault="007901B3" w:rsidP="007901B3">
            <w:pPr>
              <w:spacing w:after="0"/>
              <w:ind w:right="262"/>
              <w:rPr>
                <w:rFonts w:cs="Segoe UI Light"/>
                <w:sz w:val="18"/>
              </w:rPr>
            </w:pPr>
            <w:r w:rsidRPr="003E6970">
              <w:rPr>
                <w:rFonts w:cs="Segoe UI Light"/>
                <w:sz w:val="18"/>
              </w:rPr>
              <w:t>The preferred options are:</w:t>
            </w:r>
          </w:p>
          <w:p w14:paraId="656AFD9D" w14:textId="77777777" w:rsidR="007901B3" w:rsidRPr="003E6970" w:rsidRDefault="007901B3" w:rsidP="007901B3">
            <w:pPr>
              <w:pStyle w:val="ListParagraph"/>
              <w:numPr>
                <w:ilvl w:val="0"/>
                <w:numId w:val="62"/>
              </w:numPr>
              <w:ind w:left="285" w:right="262" w:hanging="285"/>
              <w:mirrorIndents/>
              <w:rPr>
                <w:rFonts w:cs="Segoe UI Light"/>
                <w:sz w:val="18"/>
              </w:rPr>
            </w:pPr>
            <w:r w:rsidRPr="003E6970">
              <w:rPr>
                <w:rFonts w:cs="Segoe UI Light"/>
                <w:sz w:val="18"/>
              </w:rPr>
              <w:t xml:space="preserve">Noise from commercial, industrial and trade (CIT) premises: prescribe in regulation a framework for establishing noise limits for CIT premises in urban and rural areas based on the existing SEPP N-1 and NIRV arrangements with a range of selected improvements and additions, and prescribe a definition of aggravated noise in regulation. </w:t>
            </w:r>
          </w:p>
          <w:p w14:paraId="656AFD9E" w14:textId="77777777" w:rsidR="007901B3" w:rsidRPr="003E6970" w:rsidRDefault="007901B3" w:rsidP="007901B3">
            <w:pPr>
              <w:pStyle w:val="ListParagraph"/>
              <w:numPr>
                <w:ilvl w:val="0"/>
                <w:numId w:val="62"/>
              </w:numPr>
              <w:ind w:left="285" w:right="262" w:hanging="285"/>
              <w:mirrorIndents/>
              <w:rPr>
                <w:rFonts w:cs="Segoe UI Light"/>
                <w:sz w:val="18"/>
              </w:rPr>
            </w:pPr>
            <w:r w:rsidRPr="003E6970">
              <w:rPr>
                <w:rFonts w:cs="Segoe UI Light"/>
                <w:sz w:val="18"/>
              </w:rPr>
              <w:t xml:space="preserve">Noise from entertainment venues: prescribe in regulation a framework for establishing noise limits for entertainment premises based on the existing SEPP N-2 framework with selected improvements. </w:t>
            </w:r>
          </w:p>
          <w:p w14:paraId="656AFD9F" w14:textId="77777777" w:rsidR="007901B3" w:rsidRPr="003E6970" w:rsidRDefault="007901B3" w:rsidP="007901B3">
            <w:pPr>
              <w:pStyle w:val="ListParagraph"/>
              <w:numPr>
                <w:ilvl w:val="0"/>
                <w:numId w:val="62"/>
              </w:numPr>
              <w:ind w:left="285" w:right="262" w:hanging="285"/>
              <w:mirrorIndents/>
            </w:pPr>
            <w:r w:rsidRPr="003E6970">
              <w:rPr>
                <w:rFonts w:cs="Segoe UI Light"/>
                <w:sz w:val="18"/>
              </w:rPr>
              <w:t>Noise from residential premises: prescribe in regulation a range of specific items and prohibited times for residential premises and define aggravated noise</w:t>
            </w:r>
            <w:r w:rsidRPr="003E6970">
              <w:rPr>
                <w:rFonts w:cs="Segoe UI Light"/>
                <w:szCs w:val="20"/>
              </w:rPr>
              <w:t>.</w:t>
            </w:r>
          </w:p>
          <w:p w14:paraId="656AFDA0" w14:textId="77777777" w:rsidR="007901B3" w:rsidRPr="003E6970" w:rsidRDefault="007901B3" w:rsidP="007901B3">
            <w:pPr>
              <w:ind w:right="262"/>
              <w:mirrorIndents/>
              <w:rPr>
                <w:rFonts w:cs="Segoe UI Light"/>
                <w:sz w:val="18"/>
              </w:rPr>
            </w:pPr>
            <w:r w:rsidRPr="003E6970">
              <w:rPr>
                <w:rFonts w:cs="Segoe UI Light"/>
                <w:sz w:val="18"/>
              </w:rPr>
              <w:t>Collectively</w:t>
            </w:r>
            <w:r w:rsidRPr="008F7BBF">
              <w:rPr>
                <w:rFonts w:cs="Segoe UI Light"/>
                <w:sz w:val="18"/>
              </w:rPr>
              <w:t>, these preferred options</w:t>
            </w:r>
            <w:r w:rsidR="00ED229D">
              <w:rPr>
                <w:rFonts w:cs="Segoe UI Light"/>
                <w:sz w:val="18"/>
              </w:rPr>
              <w:t xml:space="preserve"> aim to</w:t>
            </w:r>
            <w:r w:rsidRPr="00ED229D">
              <w:rPr>
                <w:rFonts w:cs="Segoe UI Light"/>
                <w:sz w:val="18"/>
              </w:rPr>
              <w:t xml:space="preserve"> </w:t>
            </w:r>
            <w:r w:rsidRPr="008F7BBF">
              <w:rPr>
                <w:rFonts w:cs="Segoe UI Light"/>
                <w:sz w:val="18"/>
              </w:rPr>
              <w:t>improve consistency and certainty to duty holders and EPA</w:t>
            </w:r>
            <w:r w:rsidRPr="00B05634">
              <w:rPr>
                <w:rFonts w:cs="Segoe UI Light"/>
                <w:sz w:val="18"/>
              </w:rPr>
              <w:t xml:space="preserve"> in relation to the new noise framework and, in doing so, reduce instances of under-or-over-compliance with the new requirement</w:t>
            </w:r>
            <w:r w:rsidRPr="003E6970">
              <w:rPr>
                <w:rFonts w:cs="Segoe UI Light"/>
                <w:sz w:val="18"/>
              </w:rPr>
              <w:t>s.</w:t>
            </w:r>
          </w:p>
        </w:tc>
      </w:tr>
      <w:tr w:rsidR="00D0250F" w:rsidRPr="00005F17" w14:paraId="656AFDAC" w14:textId="77777777" w:rsidTr="00850F5B">
        <w:tc>
          <w:tcPr>
            <w:tcW w:w="1068" w:type="dxa"/>
          </w:tcPr>
          <w:p w14:paraId="656AFDA2" w14:textId="77777777" w:rsidR="007901B3" w:rsidRPr="00005F17" w:rsidRDefault="007901B3" w:rsidP="007901B3">
            <w:pPr>
              <w:mirrorIndents/>
              <w:rPr>
                <w:rFonts w:cs="Segoe UI Light"/>
                <w:b/>
                <w:sz w:val="18"/>
              </w:rPr>
            </w:pPr>
            <w:r w:rsidRPr="00005F17">
              <w:rPr>
                <w:rFonts w:cs="Segoe UI Light"/>
                <w:b/>
                <w:sz w:val="18"/>
              </w:rPr>
              <w:t>Vehicle emissions</w:t>
            </w:r>
          </w:p>
        </w:tc>
        <w:tc>
          <w:tcPr>
            <w:tcW w:w="4649" w:type="dxa"/>
          </w:tcPr>
          <w:p w14:paraId="656AFDA3" w14:textId="77777777" w:rsidR="007901B3" w:rsidRPr="003E6970" w:rsidRDefault="007901B3" w:rsidP="007901B3">
            <w:pPr>
              <w:pStyle w:val="ListParagraph"/>
              <w:numPr>
                <w:ilvl w:val="0"/>
                <w:numId w:val="62"/>
              </w:numPr>
              <w:ind w:left="285" w:right="262" w:hanging="285"/>
              <w:mirrorIndents/>
              <w:rPr>
                <w:rFonts w:cs="Segoe UI Light"/>
                <w:sz w:val="18"/>
              </w:rPr>
            </w:pPr>
            <w:r w:rsidRPr="00B05634">
              <w:rPr>
                <w:sz w:val="18"/>
              </w:rPr>
              <w:t>Motor vehicles, although an important part of everyday life, are a significant source of air pollution emissions (including greenhouse gases) and noise.</w:t>
            </w:r>
          </w:p>
          <w:p w14:paraId="656AFDA4" w14:textId="77777777" w:rsidR="007901B3" w:rsidRPr="003E6970" w:rsidRDefault="007901B3" w:rsidP="007901B3">
            <w:pPr>
              <w:pStyle w:val="ListParagraph"/>
              <w:numPr>
                <w:ilvl w:val="0"/>
                <w:numId w:val="62"/>
              </w:numPr>
              <w:ind w:left="285" w:right="262" w:hanging="285"/>
              <w:mirrorIndents/>
              <w:rPr>
                <w:rFonts w:cs="Segoe UI Light"/>
                <w:sz w:val="18"/>
              </w:rPr>
            </w:pPr>
            <w:r w:rsidRPr="003E6970">
              <w:rPr>
                <w:sz w:val="18"/>
              </w:rPr>
              <w:t xml:space="preserve">The </w:t>
            </w:r>
            <w:r w:rsidRPr="003E6970">
              <w:rPr>
                <w:i/>
                <w:sz w:val="18"/>
              </w:rPr>
              <w:t xml:space="preserve">Environment Protection (Vehicle Emissions) Regulations 2013 </w:t>
            </w:r>
            <w:r w:rsidRPr="003E6970">
              <w:rPr>
                <w:sz w:val="18"/>
              </w:rPr>
              <w:t xml:space="preserve">set various air and noise emission requirements for in-service light vehicles (under 4.5 tonnes gross vehicle mass). </w:t>
            </w:r>
          </w:p>
          <w:p w14:paraId="656AFDA5" w14:textId="77777777" w:rsidR="007901B3" w:rsidRPr="003E6970" w:rsidRDefault="007901B3" w:rsidP="007901B3">
            <w:pPr>
              <w:pStyle w:val="ListParagraph"/>
              <w:numPr>
                <w:ilvl w:val="0"/>
                <w:numId w:val="62"/>
              </w:numPr>
              <w:ind w:left="285" w:right="262" w:hanging="285"/>
              <w:mirrorIndents/>
              <w:rPr>
                <w:rFonts w:cs="Segoe UI Light"/>
                <w:sz w:val="18"/>
              </w:rPr>
            </w:pPr>
            <w:r w:rsidRPr="003E6970">
              <w:rPr>
                <w:sz w:val="18"/>
              </w:rPr>
              <w:t xml:space="preserve">The new EP legislation makes clear the intention of the Victorian Government - to continue to regulate vehicle emissions in a similar manner, by including a provision to save the </w:t>
            </w:r>
            <w:r w:rsidRPr="003E6970">
              <w:rPr>
                <w:i/>
                <w:sz w:val="18"/>
              </w:rPr>
              <w:t>Environment Protection (Vehicle Emissions) Regulations 2013</w:t>
            </w:r>
            <w:r w:rsidRPr="003E6970">
              <w:rPr>
                <w:sz w:val="18"/>
              </w:rPr>
              <w:t xml:space="preserve">. This means that, in the absence of further government intervention, these regulations remain in force under the new EP legislation until they sunset in December 2023. </w:t>
            </w:r>
          </w:p>
          <w:p w14:paraId="656AFDA6" w14:textId="77777777" w:rsidR="007901B3" w:rsidRPr="003E6970" w:rsidRDefault="007901B3" w:rsidP="007901B3">
            <w:pPr>
              <w:pStyle w:val="ListParagraph"/>
              <w:numPr>
                <w:ilvl w:val="0"/>
                <w:numId w:val="62"/>
              </w:numPr>
              <w:ind w:left="285" w:right="262" w:hanging="285"/>
              <w:mirrorIndents/>
              <w:rPr>
                <w:rFonts w:cs="Segoe UI Light"/>
                <w:sz w:val="18"/>
              </w:rPr>
            </w:pPr>
            <w:r w:rsidRPr="003E6970">
              <w:rPr>
                <w:sz w:val="18"/>
              </w:rPr>
              <w:t xml:space="preserve">However, saving the </w:t>
            </w:r>
            <w:r w:rsidRPr="003E6970">
              <w:rPr>
                <w:i/>
                <w:sz w:val="18"/>
              </w:rPr>
              <w:t xml:space="preserve">Environment Protection (Vehicle Emissions) Regulations 2013 </w:t>
            </w:r>
            <w:r w:rsidRPr="003E6970">
              <w:rPr>
                <w:sz w:val="18"/>
              </w:rPr>
              <w:t xml:space="preserve">would compromise one of the objectives of the new legislative framework by adding complexity for duty holders and vehicle testers in identifying their obligations and relevant offences. </w:t>
            </w:r>
          </w:p>
          <w:p w14:paraId="656AFDA7" w14:textId="77777777" w:rsidR="007901B3" w:rsidRPr="008F7BBF" w:rsidRDefault="007901B3" w:rsidP="007901B3">
            <w:pPr>
              <w:pStyle w:val="ListParagraph"/>
              <w:numPr>
                <w:ilvl w:val="0"/>
                <w:numId w:val="62"/>
              </w:numPr>
              <w:ind w:left="285" w:right="262" w:hanging="285"/>
              <w:mirrorIndents/>
              <w:rPr>
                <w:rFonts w:cs="Segoe UI Light"/>
                <w:sz w:val="18"/>
              </w:rPr>
            </w:pPr>
            <w:r w:rsidRPr="008F7BBF">
              <w:rPr>
                <w:rFonts w:cs="Segoe UI Light"/>
                <w:sz w:val="18"/>
              </w:rPr>
              <w:t>There is a residual risk that reliance on the existing Vehicle Emissions Regulations under the new EP legislation may result in a complex and confusing legislative structure for duty holders and EPA officers alike, which may result in a small increase in regulatory burden for businesses and EPA.</w:t>
            </w:r>
          </w:p>
          <w:p w14:paraId="656AFDA8" w14:textId="57734320" w:rsidR="007901B3" w:rsidRPr="003E6970" w:rsidRDefault="007901B3" w:rsidP="006633BC">
            <w:pPr>
              <w:pStyle w:val="ListParagraph"/>
              <w:numPr>
                <w:ilvl w:val="0"/>
                <w:numId w:val="62"/>
              </w:numPr>
              <w:ind w:left="285" w:right="262" w:hanging="285"/>
              <w:mirrorIndents/>
              <w:rPr>
                <w:rFonts w:cs="Segoe UI Light"/>
                <w:sz w:val="18"/>
              </w:rPr>
            </w:pPr>
            <w:r w:rsidRPr="00B05634">
              <w:rPr>
                <w:sz w:val="18"/>
              </w:rPr>
              <w:lastRenderedPageBreak/>
              <w:t xml:space="preserve">Translating the </w:t>
            </w:r>
            <w:r w:rsidRPr="008F7BBF">
              <w:rPr>
                <w:sz w:val="18"/>
              </w:rPr>
              <w:t xml:space="preserve">Environment Protection (Vehicle Emissions) Regulations 2013 </w:t>
            </w:r>
            <w:r w:rsidRPr="00B05634">
              <w:rPr>
                <w:sz w:val="18"/>
              </w:rPr>
              <w:t xml:space="preserve">into the proposed Environment Protection Regulations </w:t>
            </w:r>
            <w:r w:rsidR="006633BC" w:rsidRPr="00B05634">
              <w:rPr>
                <w:sz w:val="18"/>
              </w:rPr>
              <w:t>20</w:t>
            </w:r>
            <w:r w:rsidR="006633BC">
              <w:rPr>
                <w:sz w:val="18"/>
              </w:rPr>
              <w:t>19</w:t>
            </w:r>
            <w:r w:rsidR="006633BC" w:rsidRPr="00B05634">
              <w:rPr>
                <w:sz w:val="18"/>
              </w:rPr>
              <w:t xml:space="preserve"> </w:t>
            </w:r>
            <w:r w:rsidRPr="00B05634">
              <w:rPr>
                <w:sz w:val="18"/>
              </w:rPr>
              <w:t xml:space="preserve">overcomes this limitation. The current reform of subordinate legislation </w:t>
            </w:r>
            <w:r w:rsidRPr="003E6970">
              <w:rPr>
                <w:sz w:val="18"/>
              </w:rPr>
              <w:t xml:space="preserve">also presents an opportunity to incorporate relatively minor changes, which were identified and proposed by EPA. This would </w:t>
            </w:r>
            <w:r w:rsidRPr="008F7BBF">
              <w:rPr>
                <w:sz w:val="18"/>
              </w:rPr>
              <w:t>provide certaint</w:t>
            </w:r>
            <w:r w:rsidRPr="00B05634">
              <w:rPr>
                <w:sz w:val="18"/>
              </w:rPr>
              <w:t>y to duty holders, vehicle testers and EPA officers, without adding any additional burden on duty holders.</w:t>
            </w:r>
          </w:p>
        </w:tc>
        <w:tc>
          <w:tcPr>
            <w:tcW w:w="4139" w:type="dxa"/>
          </w:tcPr>
          <w:p w14:paraId="656AFDA9" w14:textId="22BE38D9" w:rsidR="007901B3" w:rsidRPr="00B05634" w:rsidRDefault="007901B3" w:rsidP="007901B3">
            <w:pPr>
              <w:ind w:right="262"/>
              <w:mirrorIndents/>
              <w:rPr>
                <w:sz w:val="18"/>
              </w:rPr>
            </w:pPr>
            <w:r w:rsidRPr="003E6970">
              <w:rPr>
                <w:sz w:val="18"/>
              </w:rPr>
              <w:lastRenderedPageBreak/>
              <w:t xml:space="preserve">The preferred option is to translate </w:t>
            </w:r>
            <w:r w:rsidRPr="003E6970">
              <w:rPr>
                <w:rFonts w:cs="Segoe UI Light"/>
                <w:sz w:val="18"/>
              </w:rPr>
              <w:t xml:space="preserve">the </w:t>
            </w:r>
            <w:r w:rsidRPr="003E6970">
              <w:rPr>
                <w:i/>
                <w:sz w:val="18"/>
              </w:rPr>
              <w:t xml:space="preserve">Environment Protection (Vehicle Emissions) Regulations 2013 </w:t>
            </w:r>
            <w:r w:rsidRPr="003E6970">
              <w:rPr>
                <w:sz w:val="18"/>
              </w:rPr>
              <w:t xml:space="preserve">into the proposed Environment Protection Regulations </w:t>
            </w:r>
            <w:r w:rsidR="006633BC" w:rsidRPr="003E6970">
              <w:rPr>
                <w:sz w:val="18"/>
              </w:rPr>
              <w:t>20</w:t>
            </w:r>
            <w:r w:rsidR="006633BC">
              <w:rPr>
                <w:sz w:val="18"/>
              </w:rPr>
              <w:t>19</w:t>
            </w:r>
            <w:r w:rsidRPr="003E6970">
              <w:rPr>
                <w:sz w:val="18"/>
              </w:rPr>
              <w:t xml:space="preserve">, and to incorporate minor changes </w:t>
            </w:r>
            <w:r w:rsidR="00ED229D">
              <w:rPr>
                <w:sz w:val="18"/>
              </w:rPr>
              <w:t xml:space="preserve">for </w:t>
            </w:r>
            <w:r w:rsidRPr="008F7BBF">
              <w:rPr>
                <w:sz w:val="18"/>
              </w:rPr>
              <w:t>certainty and consistency.</w:t>
            </w:r>
            <w:r w:rsidRPr="00B05634">
              <w:rPr>
                <w:sz w:val="18"/>
              </w:rPr>
              <w:t xml:space="preserve"> </w:t>
            </w:r>
          </w:p>
          <w:p w14:paraId="656AFDAA" w14:textId="77777777" w:rsidR="007901B3" w:rsidRPr="003E6970" w:rsidRDefault="007901B3" w:rsidP="007901B3">
            <w:pPr>
              <w:ind w:right="262"/>
              <w:mirrorIndents/>
              <w:rPr>
                <w:sz w:val="18"/>
              </w:rPr>
            </w:pPr>
            <w:r w:rsidRPr="003E6970">
              <w:rPr>
                <w:sz w:val="18"/>
              </w:rPr>
              <w:t>This will reduce complexity for duty holders and vehicle testers in identifying their obligations and relevant offences</w:t>
            </w:r>
            <w:r w:rsidRPr="00ED229D">
              <w:rPr>
                <w:sz w:val="18"/>
              </w:rPr>
              <w:t>.</w:t>
            </w:r>
          </w:p>
          <w:p w14:paraId="656AFDAB" w14:textId="77777777" w:rsidR="007901B3" w:rsidRPr="003E6970" w:rsidRDefault="007901B3" w:rsidP="007901B3">
            <w:pPr>
              <w:spacing w:after="0"/>
              <w:ind w:right="262"/>
              <w:rPr>
                <w:rFonts w:cs="Segoe UI Light"/>
                <w:sz w:val="18"/>
              </w:rPr>
            </w:pPr>
          </w:p>
        </w:tc>
      </w:tr>
    </w:tbl>
    <w:p w14:paraId="656AFDAD" w14:textId="77777777" w:rsidR="00E64F76" w:rsidRDefault="00E64F76" w:rsidP="00ED173F">
      <w:pPr>
        <w:mirrorIndents/>
        <w:rPr>
          <w:rFonts w:cs="Segoe UI Light"/>
        </w:rPr>
      </w:pPr>
    </w:p>
    <w:p w14:paraId="656AFDAE" w14:textId="77777777" w:rsidR="00F93914" w:rsidRDefault="00F93914" w:rsidP="00982D63">
      <w:pPr>
        <w:pStyle w:val="Heading2un-numbered"/>
        <w:numPr>
          <w:ilvl w:val="0"/>
          <w:numId w:val="0"/>
        </w:numPr>
        <w:ind w:left="576"/>
      </w:pPr>
      <w:r>
        <w:t>Cost recovery and fees</w:t>
      </w:r>
    </w:p>
    <w:p w14:paraId="656AFDAF" w14:textId="77777777" w:rsidR="00F93914" w:rsidRPr="008F7BBF" w:rsidRDefault="00F93914" w:rsidP="00F93914">
      <w:pPr>
        <w:mirrorIndents/>
        <w:rPr>
          <w:rFonts w:cs="Segoe UI Light"/>
        </w:rPr>
      </w:pPr>
      <w:r w:rsidRPr="008F7BBF">
        <w:rPr>
          <w:rFonts w:cs="Segoe UI Light"/>
          <w:szCs w:val="20"/>
        </w:rPr>
        <w:t>The new EP legislation enables EPA to charge fees to recover the costs associated with undertaking permissions and other activities. The</w:t>
      </w:r>
      <w:r w:rsidR="00E01DFC">
        <w:rPr>
          <w:rFonts w:cs="Segoe UI Light"/>
          <w:szCs w:val="20"/>
        </w:rPr>
        <w:t xml:space="preserve"> proposed R</w:t>
      </w:r>
      <w:r w:rsidRPr="008F7BBF">
        <w:rPr>
          <w:rFonts w:cs="Segoe UI Light"/>
          <w:szCs w:val="20"/>
        </w:rPr>
        <w:t xml:space="preserve">egulations set out the fees for these permissions and activities. </w:t>
      </w:r>
      <w:r w:rsidRPr="008F7BBF">
        <w:rPr>
          <w:szCs w:val="20"/>
        </w:rPr>
        <w:t xml:space="preserve">To estimate the costs to be recovered, EPA has used the Fully Distributed Costs methodology outlined in the </w:t>
      </w:r>
      <w:r w:rsidRPr="008F7BBF">
        <w:rPr>
          <w:i/>
          <w:szCs w:val="20"/>
        </w:rPr>
        <w:t>Cost Recovery Guidelines</w:t>
      </w:r>
      <w:r w:rsidRPr="008F7BBF">
        <w:rPr>
          <w:szCs w:val="20"/>
        </w:rPr>
        <w:t>. This includes direct (e.g. staff costs) and indirect costs (e.g. on-costs and overheads). EPA has estimated direct costs for most fee types using a bottom up approach.</w:t>
      </w:r>
    </w:p>
    <w:p w14:paraId="656AFDB0" w14:textId="77777777" w:rsidR="00F93914" w:rsidRPr="008F7BBF" w:rsidRDefault="00F93914" w:rsidP="00F93914">
      <w:pPr>
        <w:mirrorIndents/>
        <w:rPr>
          <w:szCs w:val="20"/>
        </w:rPr>
      </w:pPr>
      <w:r w:rsidRPr="008F7BBF">
        <w:rPr>
          <w:rFonts w:cs="Segoe UI Light"/>
        </w:rPr>
        <w:t xml:space="preserve">For some permissions and activities, EPA proposes a departure from full cost recovery. For some of these activities, costs are not recovered or only partially recovered, or in the instance of operating licence annual fees, over-recovered. </w:t>
      </w:r>
      <w:r w:rsidR="00A056A9">
        <w:rPr>
          <w:rFonts w:cs="Segoe UI Light"/>
        </w:rPr>
        <w:t xml:space="preserve">Departure from full cost recovery is considered appropriate for these permissions or activities because, fees may act as a disincentive for some desirable behaviours or activities, because costs might be recovered </w:t>
      </w:r>
      <w:r w:rsidR="00A056A9">
        <w:rPr>
          <w:szCs w:val="20"/>
        </w:rPr>
        <w:t>from other fee types (cross-subsidised), or because costs are immaterial</w:t>
      </w:r>
      <w:r w:rsidRPr="008F7BBF">
        <w:rPr>
          <w:szCs w:val="20"/>
        </w:rPr>
        <w:t xml:space="preserve">. </w:t>
      </w:r>
    </w:p>
    <w:p w14:paraId="656AFDB1" w14:textId="77777777" w:rsidR="00F93914" w:rsidRPr="008F7BBF" w:rsidRDefault="00F93914" w:rsidP="00F93914">
      <w:pPr>
        <w:rPr>
          <w:rFonts w:cs="Segoe UI Light"/>
          <w:szCs w:val="20"/>
        </w:rPr>
      </w:pPr>
      <w:r w:rsidRPr="008F7BBF">
        <w:rPr>
          <w:rFonts w:cs="Segoe UI Light"/>
          <w:szCs w:val="20"/>
        </w:rPr>
        <w:t>The permissions and activities for which fees are able to be prescribed under the new EP legislation vary significantly in the nature of the regulatory service being provided, the amount of revenue to be collected, and other characteristics such as variability and homogeneity of the regulatory processes and costs involved. Reflecting this, some activities and permissions have only one appropriate fee structure</w:t>
      </w:r>
      <w:r w:rsidR="00E01DFC">
        <w:rPr>
          <w:rFonts w:cs="Segoe UI Light"/>
          <w:szCs w:val="20"/>
        </w:rPr>
        <w:t xml:space="preserve"> (such as a flat fee)</w:t>
      </w:r>
      <w:r w:rsidRPr="008F7BBF">
        <w:rPr>
          <w:rFonts w:cs="Segoe UI Light"/>
          <w:szCs w:val="20"/>
        </w:rPr>
        <w:t>, while others have more than one. For those activities with more than one</w:t>
      </w:r>
      <w:r w:rsidR="00E01DFC">
        <w:rPr>
          <w:rFonts w:cs="Segoe UI Light"/>
          <w:szCs w:val="20"/>
        </w:rPr>
        <w:t xml:space="preserve"> feasible option</w:t>
      </w:r>
      <w:r w:rsidRPr="008F7BBF">
        <w:rPr>
          <w:rFonts w:cs="Segoe UI Light"/>
          <w:szCs w:val="20"/>
        </w:rPr>
        <w:t xml:space="preserve">, the preferred fee structure has been determined using MCA by assessing options against three objectives: “Cost reflectivity”, “Equity”, and “Simple and easy to understand and administer”. </w:t>
      </w:r>
    </w:p>
    <w:p w14:paraId="656AFDB2" w14:textId="780A5D06" w:rsidR="00F93914" w:rsidRPr="008F7BBF" w:rsidRDefault="00F93914" w:rsidP="008F7BBF">
      <w:pPr>
        <w:rPr>
          <w:rFonts w:cs="Segoe UI Light"/>
          <w:szCs w:val="20"/>
        </w:rPr>
      </w:pPr>
      <w:r w:rsidRPr="008F7BBF">
        <w:rPr>
          <w:rFonts w:cs="Segoe UI Light"/>
          <w:szCs w:val="20"/>
        </w:rPr>
        <w:t xml:space="preserve">Under the preferred option, fees for development licence applications and annual operating licence fees </w:t>
      </w:r>
      <w:r w:rsidR="00D77720">
        <w:rPr>
          <w:rFonts w:cs="Segoe UI Light"/>
          <w:szCs w:val="20"/>
        </w:rPr>
        <w:t>(representing over 8</w:t>
      </w:r>
      <w:r w:rsidR="00E01DFC">
        <w:rPr>
          <w:rFonts w:cs="Segoe UI Light"/>
          <w:szCs w:val="20"/>
        </w:rPr>
        <w:t xml:space="preserve">0% of EPA’s total fees income) </w:t>
      </w:r>
      <w:r w:rsidRPr="008F7BBF">
        <w:rPr>
          <w:rFonts w:cs="Segoe UI Light"/>
          <w:szCs w:val="20"/>
        </w:rPr>
        <w:t>would be unchanged from the current fees</w:t>
      </w:r>
      <w:r w:rsidR="00E01DFC">
        <w:rPr>
          <w:rFonts w:cs="Segoe UI Light"/>
          <w:szCs w:val="20"/>
        </w:rPr>
        <w:t>, while some</w:t>
      </w:r>
      <w:r w:rsidRPr="008F7BBF">
        <w:rPr>
          <w:rFonts w:cs="Segoe UI Light"/>
          <w:szCs w:val="20"/>
        </w:rPr>
        <w:t xml:space="preserve"> fees would </w:t>
      </w:r>
      <w:r w:rsidR="00E01DFC">
        <w:rPr>
          <w:rFonts w:cs="Segoe UI Light"/>
          <w:szCs w:val="20"/>
        </w:rPr>
        <w:t>maintain the same fee design but with a revised fee level.</w:t>
      </w:r>
      <w:r w:rsidRPr="008F7BBF">
        <w:rPr>
          <w:rFonts w:cs="Segoe UI Light"/>
          <w:szCs w:val="20"/>
        </w:rPr>
        <w:t xml:space="preserve"> </w:t>
      </w:r>
      <w:r w:rsidR="00E01DFC">
        <w:rPr>
          <w:rFonts w:cs="Segoe UI Light"/>
          <w:szCs w:val="20"/>
        </w:rPr>
        <w:t xml:space="preserve">New fees are introduced </w:t>
      </w:r>
      <w:r w:rsidRPr="008F7BBF">
        <w:rPr>
          <w:rFonts w:cs="Segoe UI Light"/>
          <w:szCs w:val="20"/>
        </w:rPr>
        <w:t xml:space="preserve">in the case of new </w:t>
      </w:r>
      <w:r w:rsidR="00F61CBF">
        <w:rPr>
          <w:rFonts w:cs="Segoe UI Light"/>
          <w:szCs w:val="20"/>
        </w:rPr>
        <w:t xml:space="preserve">services and </w:t>
      </w:r>
      <w:r w:rsidRPr="008F7BBF">
        <w:rPr>
          <w:rFonts w:cs="Segoe UI Light"/>
          <w:szCs w:val="20"/>
        </w:rPr>
        <w:t xml:space="preserve">permissioning activities </w:t>
      </w:r>
      <w:r w:rsidR="00E01DFC">
        <w:rPr>
          <w:rFonts w:cs="Segoe UI Light"/>
          <w:szCs w:val="20"/>
        </w:rPr>
        <w:t>established</w:t>
      </w:r>
      <w:r w:rsidR="00E01DFC" w:rsidRPr="008F7BBF">
        <w:rPr>
          <w:rFonts w:cs="Segoe UI Light"/>
          <w:szCs w:val="20"/>
        </w:rPr>
        <w:t xml:space="preserve"> </w:t>
      </w:r>
      <w:r w:rsidRPr="008F7BBF">
        <w:rPr>
          <w:rFonts w:cs="Segoe UI Light"/>
          <w:szCs w:val="20"/>
        </w:rPr>
        <w:t>by the new EP legislation</w:t>
      </w:r>
      <w:r w:rsidR="00E01DFC">
        <w:rPr>
          <w:rFonts w:cs="Segoe UI Light"/>
          <w:szCs w:val="20"/>
        </w:rPr>
        <w:t xml:space="preserve"> or where there were exceptions under the previous fees regulations which </w:t>
      </w:r>
      <w:r w:rsidR="006633BC">
        <w:rPr>
          <w:rFonts w:cs="Segoe UI Light"/>
          <w:szCs w:val="20"/>
        </w:rPr>
        <w:t>are not continued</w:t>
      </w:r>
      <w:r w:rsidRPr="008F7BBF">
        <w:rPr>
          <w:rFonts w:cs="Segoe UI Light"/>
          <w:szCs w:val="20"/>
        </w:rPr>
        <w:t>.</w:t>
      </w:r>
    </w:p>
    <w:p w14:paraId="656AFDB3" w14:textId="77777777" w:rsidR="00F93914" w:rsidRPr="00467F61" w:rsidRDefault="00F93914" w:rsidP="008F7BBF">
      <w:pPr>
        <w:rPr>
          <w:rFonts w:cs="Segoe UI Light"/>
          <w:szCs w:val="20"/>
        </w:rPr>
      </w:pPr>
      <w:r w:rsidRPr="008F7BBF">
        <w:rPr>
          <w:rFonts w:cs="Segoe UI Light"/>
          <w:szCs w:val="20"/>
        </w:rPr>
        <w:t>EPA will undertake a future review of the fees</w:t>
      </w:r>
      <w:r w:rsidR="00E01DFC" w:rsidRPr="00E01DFC">
        <w:rPr>
          <w:rFonts w:cs="Segoe UI Light"/>
          <w:szCs w:val="20"/>
        </w:rPr>
        <w:t xml:space="preserve"> </w:t>
      </w:r>
      <w:r w:rsidR="00E01DFC">
        <w:rPr>
          <w:rFonts w:cs="Segoe UI Light"/>
          <w:szCs w:val="20"/>
        </w:rPr>
        <w:t>prior to sunsetting of the proposed Regulations. This will allow time to develop appropriate mechanisms to assess risk from emissions and developing better economic instruments to encourage good performance.</w:t>
      </w:r>
    </w:p>
    <w:p w14:paraId="656AFDB4" w14:textId="77777777" w:rsidR="00BC67C6" w:rsidRDefault="00BC67C6" w:rsidP="00982D63">
      <w:pPr>
        <w:pStyle w:val="Heading2un-numbered"/>
        <w:numPr>
          <w:ilvl w:val="0"/>
          <w:numId w:val="0"/>
        </w:numPr>
        <w:ind w:left="576"/>
      </w:pPr>
      <w:r>
        <w:t>Implementation and evaluation of proposed regulations</w:t>
      </w:r>
    </w:p>
    <w:p w14:paraId="656AFDB5" w14:textId="77777777" w:rsidR="00C33D51" w:rsidRPr="008A1034" w:rsidRDefault="00C33D51" w:rsidP="00C33D51">
      <w:pPr>
        <w:spacing w:after="0"/>
        <w:rPr>
          <w:i/>
        </w:rPr>
      </w:pPr>
      <w:r>
        <w:rPr>
          <w:i/>
        </w:rPr>
        <w:t>Implementation plan</w:t>
      </w:r>
    </w:p>
    <w:p w14:paraId="656AFDB6" w14:textId="77777777" w:rsidR="00BC67C6" w:rsidRDefault="00BC67C6" w:rsidP="00BC67C6">
      <w:r>
        <w:t xml:space="preserve">Implementation of the new EP legislation, regulations and ERS will occur concurrently and in an integrated way where appropriate. This </w:t>
      </w:r>
      <w:r w:rsidR="007870DC">
        <w:t xml:space="preserve">RIS presents a </w:t>
      </w:r>
      <w:r>
        <w:t xml:space="preserve">plan </w:t>
      </w:r>
      <w:r w:rsidR="007870DC">
        <w:t xml:space="preserve">that </w:t>
      </w:r>
      <w:r>
        <w:t xml:space="preserve">identifies what tasks need to be </w:t>
      </w:r>
      <w:r w:rsidR="007870DC">
        <w:t xml:space="preserve">completed </w:t>
      </w:r>
      <w:r>
        <w:t>for the implementation of the proposed Regulations and how each task is being addressed as part of the broader transformation project.</w:t>
      </w:r>
      <w:r w:rsidR="007870DC">
        <w:t xml:space="preserve"> Tasks </w:t>
      </w:r>
      <w:r w:rsidR="00A056A9">
        <w:t xml:space="preserve">to be undertaken </w:t>
      </w:r>
      <w:r w:rsidR="007870DC">
        <w:t>include:</w:t>
      </w:r>
    </w:p>
    <w:p w14:paraId="656AFDB7" w14:textId="77777777" w:rsidR="007870DC" w:rsidRDefault="007870DC" w:rsidP="008F7BBF">
      <w:pPr>
        <w:pStyle w:val="ListParagraph"/>
        <w:numPr>
          <w:ilvl w:val="0"/>
          <w:numId w:val="239"/>
        </w:numPr>
      </w:pPr>
      <w:r>
        <w:t>Public consultation on RIS</w:t>
      </w:r>
      <w:r w:rsidR="004E16B1">
        <w:t>.</w:t>
      </w:r>
    </w:p>
    <w:p w14:paraId="656AFDB8" w14:textId="77777777" w:rsidR="007870DC" w:rsidRDefault="007870DC" w:rsidP="008F7BBF">
      <w:pPr>
        <w:pStyle w:val="ListParagraph"/>
        <w:numPr>
          <w:ilvl w:val="0"/>
          <w:numId w:val="239"/>
        </w:numPr>
      </w:pPr>
      <w:r>
        <w:t>Developing and deliver education and information to promote industry and public awareness</w:t>
      </w:r>
      <w:r w:rsidR="004E16B1">
        <w:t>.</w:t>
      </w:r>
      <w:r>
        <w:t xml:space="preserve"> </w:t>
      </w:r>
    </w:p>
    <w:p w14:paraId="656AFDB9" w14:textId="77777777" w:rsidR="007870DC" w:rsidRDefault="007870DC" w:rsidP="008F7BBF">
      <w:pPr>
        <w:pStyle w:val="ListParagraph"/>
        <w:numPr>
          <w:ilvl w:val="0"/>
          <w:numId w:val="239"/>
        </w:numPr>
      </w:pPr>
      <w:r>
        <w:t>Provide feedback to all participating parties and public who expressed interests during RIS process</w:t>
      </w:r>
      <w:r w:rsidR="004E16B1">
        <w:t>.</w:t>
      </w:r>
      <w:r>
        <w:t xml:space="preserve"> </w:t>
      </w:r>
    </w:p>
    <w:p w14:paraId="656AFDBA" w14:textId="77777777" w:rsidR="007870DC" w:rsidRDefault="007870DC" w:rsidP="008F7BBF">
      <w:pPr>
        <w:pStyle w:val="ListParagraph"/>
        <w:numPr>
          <w:ilvl w:val="0"/>
          <w:numId w:val="239"/>
        </w:numPr>
      </w:pPr>
      <w:r>
        <w:t>Coordinate implementation of new Regulations with implementation of new Environment Reference Standards</w:t>
      </w:r>
      <w:r w:rsidR="004E16B1">
        <w:t>.</w:t>
      </w:r>
    </w:p>
    <w:p w14:paraId="656AFDBB" w14:textId="77777777" w:rsidR="007870DC" w:rsidRDefault="007870DC" w:rsidP="008F7BBF">
      <w:pPr>
        <w:pStyle w:val="ListParagraph"/>
        <w:numPr>
          <w:ilvl w:val="0"/>
          <w:numId w:val="239"/>
        </w:numPr>
      </w:pPr>
      <w:r>
        <w:t>Develop compliance and enforcement policy for new EP legislation and proposed Regulations</w:t>
      </w:r>
      <w:r w:rsidR="004E16B1">
        <w:t>.</w:t>
      </w:r>
    </w:p>
    <w:p w14:paraId="656AFDBC" w14:textId="77777777" w:rsidR="007870DC" w:rsidRDefault="007870DC" w:rsidP="008F7BBF">
      <w:pPr>
        <w:pStyle w:val="ListParagraph"/>
        <w:numPr>
          <w:ilvl w:val="0"/>
          <w:numId w:val="239"/>
        </w:numPr>
      </w:pPr>
      <w:r>
        <w:t>Develop evaluation information and data strategy</w:t>
      </w:r>
      <w:r w:rsidR="004E16B1">
        <w:t>.</w:t>
      </w:r>
    </w:p>
    <w:p w14:paraId="656AFDBD" w14:textId="77777777" w:rsidR="007870DC" w:rsidRDefault="007870DC" w:rsidP="008F7BBF">
      <w:pPr>
        <w:pStyle w:val="ListParagraph"/>
        <w:numPr>
          <w:ilvl w:val="0"/>
          <w:numId w:val="239"/>
        </w:numPr>
      </w:pPr>
      <w:r>
        <w:t>Internal training of staff</w:t>
      </w:r>
      <w:r w:rsidR="004E16B1">
        <w:t>.</w:t>
      </w:r>
      <w:r>
        <w:t xml:space="preserve"> </w:t>
      </w:r>
    </w:p>
    <w:p w14:paraId="656AFDBE" w14:textId="77777777" w:rsidR="007870DC" w:rsidRDefault="007870DC" w:rsidP="008F7BBF">
      <w:pPr>
        <w:pStyle w:val="ListParagraph"/>
        <w:numPr>
          <w:ilvl w:val="0"/>
          <w:numId w:val="239"/>
        </w:numPr>
      </w:pPr>
      <w:r>
        <w:lastRenderedPageBreak/>
        <w:t>Resource planning and management</w:t>
      </w:r>
      <w:r w:rsidR="004E16B1">
        <w:t>.</w:t>
      </w:r>
    </w:p>
    <w:p w14:paraId="656AFDBF" w14:textId="77777777" w:rsidR="007870DC" w:rsidRDefault="007870DC" w:rsidP="008F7BBF">
      <w:pPr>
        <w:pStyle w:val="ListParagraph"/>
        <w:numPr>
          <w:ilvl w:val="0"/>
          <w:numId w:val="239"/>
        </w:numPr>
      </w:pPr>
      <w:r>
        <w:t>Develop requirements, processes and procedures for new permissions framework, including:</w:t>
      </w:r>
    </w:p>
    <w:p w14:paraId="656AFDC0" w14:textId="6E602BDA" w:rsidR="007870DC" w:rsidRDefault="007870DC" w:rsidP="00AE4BDD">
      <w:pPr>
        <w:pStyle w:val="ListParagraph"/>
        <w:numPr>
          <w:ilvl w:val="0"/>
          <w:numId w:val="387"/>
        </w:numPr>
      </w:pPr>
      <w:r>
        <w:t>Communicate with parties that will require a new permissions</w:t>
      </w:r>
      <w:r w:rsidR="00603FBA">
        <w:t>.</w:t>
      </w:r>
      <w:r>
        <w:t xml:space="preserve"> </w:t>
      </w:r>
    </w:p>
    <w:p w14:paraId="656AFDC1" w14:textId="77777777" w:rsidR="007870DC" w:rsidRDefault="007870DC" w:rsidP="00AE4BDD">
      <w:pPr>
        <w:pStyle w:val="ListParagraph"/>
        <w:numPr>
          <w:ilvl w:val="0"/>
          <w:numId w:val="387"/>
        </w:numPr>
      </w:pPr>
      <w:r>
        <w:t>Determine transitional arrangements - transition provisions for lawful place will need to be determined</w:t>
      </w:r>
      <w:r w:rsidR="00C33D51">
        <w:t xml:space="preserve"> (see further description below).</w:t>
      </w:r>
    </w:p>
    <w:p w14:paraId="656AFDC2" w14:textId="77777777" w:rsidR="007870DC" w:rsidRDefault="007870DC" w:rsidP="00AE4BDD">
      <w:pPr>
        <w:pStyle w:val="ListParagraph"/>
        <w:numPr>
          <w:ilvl w:val="0"/>
          <w:numId w:val="387"/>
        </w:numPr>
      </w:pPr>
      <w:r>
        <w:t>Build capacity of other regulators e.g. councils.</w:t>
      </w:r>
    </w:p>
    <w:p w14:paraId="656AFDC3" w14:textId="77777777" w:rsidR="007870DC" w:rsidRDefault="007870DC" w:rsidP="00AE4BDD">
      <w:pPr>
        <w:pStyle w:val="ListParagraph"/>
        <w:numPr>
          <w:ilvl w:val="0"/>
          <w:numId w:val="387"/>
        </w:numPr>
      </w:pPr>
      <w:r>
        <w:t>Permissions applications and ongoing management</w:t>
      </w:r>
      <w:r w:rsidR="004E16B1">
        <w:t>.</w:t>
      </w:r>
    </w:p>
    <w:p w14:paraId="656AFDC4" w14:textId="77777777" w:rsidR="007870DC" w:rsidRDefault="007870DC" w:rsidP="00AE4BDD">
      <w:pPr>
        <w:pStyle w:val="ListParagraph"/>
        <w:numPr>
          <w:ilvl w:val="0"/>
          <w:numId w:val="387"/>
        </w:numPr>
      </w:pPr>
      <w:r>
        <w:t>Develop new or update existing guidance materials to support the new Regulations.</w:t>
      </w:r>
    </w:p>
    <w:p w14:paraId="656AFDC5" w14:textId="77777777" w:rsidR="007870DC" w:rsidRDefault="007870DC" w:rsidP="00AE4BDD">
      <w:pPr>
        <w:pStyle w:val="ListParagraph"/>
        <w:numPr>
          <w:ilvl w:val="0"/>
          <w:numId w:val="387"/>
        </w:numPr>
      </w:pPr>
      <w:r>
        <w:t>Review need for updated or amended internal EPA operating procedures, methodologies, systems, processes, procedures and databases</w:t>
      </w:r>
      <w:r w:rsidR="004E16B1">
        <w:t>.</w:t>
      </w:r>
    </w:p>
    <w:p w14:paraId="656AFDC6" w14:textId="77777777" w:rsidR="007870DC" w:rsidRDefault="007870DC" w:rsidP="00AE4BDD">
      <w:pPr>
        <w:pStyle w:val="ListParagraph"/>
        <w:numPr>
          <w:ilvl w:val="0"/>
          <w:numId w:val="387"/>
        </w:numPr>
      </w:pPr>
      <w:r>
        <w:t>Quality Assurance and independent evaluation implementation for transition to new legislative and regulatory framework</w:t>
      </w:r>
      <w:r w:rsidR="00436293">
        <w:t xml:space="preserve">. </w:t>
      </w:r>
    </w:p>
    <w:p w14:paraId="656AFDC7" w14:textId="77777777" w:rsidR="00BC67C6" w:rsidRDefault="007870DC" w:rsidP="00AE4BDD">
      <w:pPr>
        <w:pStyle w:val="ListParagraph"/>
        <w:numPr>
          <w:ilvl w:val="0"/>
          <w:numId w:val="387"/>
        </w:numPr>
      </w:pPr>
      <w:r>
        <w:t>Prepare necessary instrument of delegation and authorisations of powers</w:t>
      </w:r>
      <w:r w:rsidR="004E16B1">
        <w:t>.</w:t>
      </w:r>
    </w:p>
    <w:p w14:paraId="656AFDC8" w14:textId="31247B7F" w:rsidR="00C33D51" w:rsidRDefault="006633BC" w:rsidP="00AE4BDD">
      <w:pPr>
        <w:spacing w:after="0"/>
        <w:rPr>
          <w:rFonts w:cs="Segoe UI Light"/>
          <w:szCs w:val="20"/>
        </w:rPr>
      </w:pPr>
      <w:r>
        <w:rPr>
          <w:i/>
        </w:rPr>
        <w:t xml:space="preserve">Transition </w:t>
      </w:r>
      <w:r w:rsidR="00C33D51">
        <w:rPr>
          <w:i/>
        </w:rPr>
        <w:t>measures for permission holders</w:t>
      </w:r>
    </w:p>
    <w:p w14:paraId="656AFDC9" w14:textId="77777777" w:rsidR="00C33D51" w:rsidRDefault="00C33D51" w:rsidP="00C33D51">
      <w:pPr>
        <w:pStyle w:val="paragraph"/>
        <w:textAlignment w:val="baseline"/>
        <w:rPr>
          <w:lang w:val="en-US"/>
        </w:rPr>
      </w:pPr>
      <w:r>
        <w:rPr>
          <w:rStyle w:val="normaltextrun1"/>
          <w:rFonts w:ascii="Segoe UI Light" w:hAnsi="Segoe UI Light" w:cs="Segoe UI Light"/>
          <w:sz w:val="20"/>
          <w:szCs w:val="20"/>
        </w:rPr>
        <w:t xml:space="preserve">Permission holders (both new and existing) will be required to transition to the new permissioning framework. To facilitate this process effectively: </w:t>
      </w:r>
    </w:p>
    <w:p w14:paraId="656AFDCA" w14:textId="77777777" w:rsidR="00C33D51" w:rsidRPr="00153F27" w:rsidRDefault="00C33D51" w:rsidP="00C33D51">
      <w:pPr>
        <w:pStyle w:val="ListParagraph"/>
        <w:numPr>
          <w:ilvl w:val="0"/>
          <w:numId w:val="38"/>
        </w:numPr>
        <w:spacing w:after="170"/>
      </w:pPr>
      <w:r w:rsidRPr="00153F27">
        <w:t>Existing licence holders will automatically be taken to hold a ‘new’ licence for the relevant operating licence activity and will not need to reapply. Their licences will remain perpetual to and will not become time bound licences. </w:t>
      </w:r>
    </w:p>
    <w:p w14:paraId="656AFDCB" w14:textId="77777777" w:rsidR="00C33D51" w:rsidRPr="00153F27" w:rsidRDefault="00C33D51" w:rsidP="00C33D51">
      <w:pPr>
        <w:pStyle w:val="ListParagraph"/>
        <w:numPr>
          <w:ilvl w:val="0"/>
          <w:numId w:val="38"/>
        </w:numPr>
        <w:spacing w:after="170"/>
      </w:pPr>
      <w:r w:rsidRPr="00153F27">
        <w:t>For existing businesses or duty holders conducting an activity that will newly require a permission under the proposed regulations such as transfer stations and dry cleaners), the regulations propose a ‘grace period’ of 3 or 6 months from the commencement of the regulations for these businesses to apply for their licence or permit or to register with EPA (as applicable). This time is being provided as a matter of fairness, to ensure these existing businesses have time to become aware of their new obligation, prepare their permission application and make any necessary adjustments to their operations to align with EPA’s permission conditions.</w:t>
      </w:r>
      <w:r>
        <w:t xml:space="preserve"> It is noted that other requirements in the proposed Regulations that are not related to the permissioning framework will not have a </w:t>
      </w:r>
      <w:r w:rsidR="00971A87">
        <w:t xml:space="preserve">similar </w:t>
      </w:r>
      <w:r>
        <w:t>grace period.</w:t>
      </w:r>
    </w:p>
    <w:p w14:paraId="656AFDCC" w14:textId="77777777" w:rsidR="00C33D51" w:rsidRPr="00153F27" w:rsidRDefault="00C33D51" w:rsidP="00C33D51">
      <w:pPr>
        <w:pStyle w:val="ListParagraph"/>
        <w:numPr>
          <w:ilvl w:val="0"/>
          <w:numId w:val="38"/>
        </w:numPr>
        <w:spacing w:after="170"/>
      </w:pPr>
      <w:r w:rsidRPr="00153F27">
        <w:t>Where a licence or permit is newly required, the ‘grace period’ for the existing business will continue until EPA finalises its assessment of their application</w:t>
      </w:r>
      <w:r>
        <w:t xml:space="preserve">. </w:t>
      </w:r>
    </w:p>
    <w:p w14:paraId="656AFDCD" w14:textId="77777777" w:rsidR="00C33D51" w:rsidRPr="00153F27" w:rsidRDefault="00C33D51" w:rsidP="00C33D51">
      <w:pPr>
        <w:pStyle w:val="ListParagraph"/>
        <w:numPr>
          <w:ilvl w:val="0"/>
          <w:numId w:val="38"/>
        </w:numPr>
        <w:spacing w:after="170"/>
      </w:pPr>
      <w:r w:rsidRPr="00153F27">
        <w:t>Where a permissioned activity involves the receipt of industrial waste, the proposed regulations deem the site to be authorised to receive the industrial waste that they receive as part of the relevant permissioned activity (for the purposes of section 134 of the new EP legislation) for the duration of the relevant grace period</w:t>
      </w:r>
      <w:r>
        <w:t xml:space="preserve">. </w:t>
      </w:r>
    </w:p>
    <w:p w14:paraId="656AFDCE" w14:textId="77777777" w:rsidR="00C33D51" w:rsidRPr="00AE4BDD" w:rsidRDefault="00C33D51" w:rsidP="00AE4BDD">
      <w:pPr>
        <w:spacing w:after="0"/>
        <w:rPr>
          <w:i/>
        </w:rPr>
      </w:pPr>
      <w:r>
        <w:rPr>
          <w:i/>
        </w:rPr>
        <w:t>Evaluation strategy</w:t>
      </w:r>
    </w:p>
    <w:p w14:paraId="656AFDCF" w14:textId="77777777" w:rsidR="00C33D51" w:rsidRPr="00467F61" w:rsidRDefault="00C33D51" w:rsidP="00AE4BDD">
      <w:r w:rsidRPr="00576195">
        <w:rPr>
          <w:rFonts w:cs="Segoe UI Light"/>
          <w:szCs w:val="20"/>
        </w:rPr>
        <w:t xml:space="preserve">An evaluation strategy has also been developed to evaluate the effectiveness and efficiency of the proposed Regulations and to ensure that there is continuous improvement in environmental protection in Victoria. The evaluation strategy will consider the extent to which the Regulations have </w:t>
      </w:r>
      <w:r>
        <w:t xml:space="preserve">reduced the risks of harm to human health and the environment, and the regulatory burden and costs that they impose on duty holders. </w:t>
      </w:r>
    </w:p>
    <w:p w14:paraId="656AFDD0" w14:textId="77777777" w:rsidR="00BC67C6" w:rsidRDefault="00BC67C6" w:rsidP="00ED173F">
      <w:pPr>
        <w:mirrorIndents/>
        <w:rPr>
          <w:rFonts w:cs="Segoe UI Light"/>
        </w:rPr>
      </w:pPr>
    </w:p>
    <w:p w14:paraId="656AFDD1" w14:textId="77777777" w:rsidR="001922B1" w:rsidRPr="00FE2423" w:rsidRDefault="00D23978" w:rsidP="008F7BBF">
      <w:pPr>
        <w:pStyle w:val="Heading1un-numbered"/>
      </w:pPr>
      <w:bookmarkStart w:id="70" w:name="_Toc525554611"/>
      <w:bookmarkStart w:id="71" w:name="_Toc536054808"/>
      <w:bookmarkStart w:id="72" w:name="_Toc536807094"/>
      <w:bookmarkStart w:id="73" w:name="_Toc342468"/>
      <w:bookmarkStart w:id="74" w:name="_Toc8649459"/>
      <w:bookmarkStart w:id="75" w:name="_Toc10018319"/>
      <w:bookmarkStart w:id="76" w:name="_Toc10021426"/>
      <w:bookmarkStart w:id="77" w:name="_Toc10021840"/>
      <w:bookmarkStart w:id="78" w:name="_Toc10523830"/>
      <w:bookmarkStart w:id="79" w:name="_Toc12892324"/>
      <w:r w:rsidRPr="00FE2423">
        <w:rPr>
          <w:noProof/>
          <w:color w:val="2B579A"/>
          <w:shd w:val="clear" w:color="auto" w:fill="E6E6E6"/>
          <w:lang w:eastAsia="en-AU"/>
        </w:rPr>
        <w:lastRenderedPageBreak/>
        <mc:AlternateContent>
          <mc:Choice Requires="wps">
            <w:drawing>
              <wp:anchor distT="0" distB="0" distL="114300" distR="114300" simplePos="0" relativeHeight="251658241" behindDoc="0" locked="0" layoutInCell="1" allowOverlap="1" wp14:anchorId="656B1E5C" wp14:editId="656B1E5D">
                <wp:simplePos x="0" y="0"/>
                <wp:positionH relativeFrom="column">
                  <wp:posOffset>-703580</wp:posOffset>
                </wp:positionH>
                <wp:positionV relativeFrom="paragraph">
                  <wp:posOffset>-810260</wp:posOffset>
                </wp:positionV>
                <wp:extent cx="8186420" cy="15759430"/>
                <wp:effectExtent l="0" t="0" r="24130" b="13970"/>
                <wp:wrapNone/>
                <wp:docPr id="1700302018" name="Rectangle 1700302018"/>
                <wp:cNvGraphicFramePr/>
                <a:graphic xmlns:a="http://schemas.openxmlformats.org/drawingml/2006/main">
                  <a:graphicData uri="http://schemas.microsoft.com/office/word/2010/wordprocessingShape">
                    <wps:wsp>
                      <wps:cNvSpPr/>
                      <wps:spPr bwMode="gray">
                        <a:xfrm>
                          <a:off x="0" y="0"/>
                          <a:ext cx="8186420" cy="15759430"/>
                        </a:xfrm>
                        <a:prstGeom prst="rect">
                          <a:avLst/>
                        </a:prstGeom>
                        <a:solidFill>
                          <a:srgbClr val="00B0F0"/>
                        </a:solidFill>
                        <a:ln w="19050" algn="ctr">
                          <a:solidFill>
                            <a:srgbClr val="62B5E5"/>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032EC" id="Rectangle 1700302018" o:spid="_x0000_s1026" style="position:absolute;margin-left:-55.4pt;margin-top:-63.8pt;width:644.6pt;height:1240.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" fillcolor="#00b0f0" strokecolor="#62b5e5" strokeweight="1.5pt">
                <v:textbox inset="7pt,7pt,7pt,7pt"/>
              </v:rect>
            </w:pict>
          </mc:Fallback>
        </mc:AlternateContent>
      </w:r>
      <w:r w:rsidR="00FE2423" w:rsidRPr="00FE2423">
        <w:rPr>
          <w:noProof/>
          <w:color w:val="2B579A"/>
          <w:shd w:val="clear" w:color="auto" w:fill="E6E6E6"/>
          <w:lang w:eastAsia="en-AU"/>
        </w:rPr>
        <mc:AlternateContent>
          <mc:Choice Requires="wps">
            <w:drawing>
              <wp:anchor distT="0" distB="0" distL="114300" distR="114300" simplePos="0" relativeHeight="251658245" behindDoc="0" locked="0" layoutInCell="1" allowOverlap="1" wp14:anchorId="656B1E5E" wp14:editId="656B1E5F">
                <wp:simplePos x="0" y="0"/>
                <wp:positionH relativeFrom="margin">
                  <wp:align>left</wp:align>
                </wp:positionH>
                <wp:positionV relativeFrom="paragraph">
                  <wp:posOffset>-278976</wp:posOffset>
                </wp:positionV>
                <wp:extent cx="6979920" cy="1798320"/>
                <wp:effectExtent l="0" t="0" r="0" b="0"/>
                <wp:wrapNone/>
                <wp:docPr id="23" name="Rectangle 23"/>
                <wp:cNvGraphicFramePr/>
                <a:graphic xmlns:a="http://schemas.openxmlformats.org/drawingml/2006/main">
                  <a:graphicData uri="http://schemas.microsoft.com/office/word/2010/wordprocessingShape">
                    <wps:wsp>
                      <wps:cNvSpPr/>
                      <wps:spPr bwMode="gray">
                        <a:xfrm>
                          <a:off x="0" y="0"/>
                          <a:ext cx="6979920" cy="1798320"/>
                        </a:xfrm>
                        <a:prstGeom prst="rect">
                          <a:avLst/>
                        </a:prstGeom>
                        <a:solidFill>
                          <a:srgbClr val="00B0F0"/>
                        </a:solidFill>
                        <a:ln w="19050" algn="ctr">
                          <a:noFill/>
                          <a:miter lim="800000"/>
                          <a:headEnd/>
                          <a:tailEnd/>
                        </a:ln>
                      </wps:spPr>
                      <wps:txbx>
                        <w:txbxContent>
                          <w:p w14:paraId="656B219E" w14:textId="77777777" w:rsidR="00E752DE" w:rsidRPr="00CD67C6" w:rsidRDefault="00E752DE" w:rsidP="00CD67C6">
                            <w:pPr>
                              <w:pStyle w:val="Heading1un-numbered"/>
                            </w:pPr>
                            <w:bookmarkStart w:id="80" w:name="_Toc10008796"/>
                            <w:bookmarkStart w:id="81" w:name="_Toc10018320"/>
                            <w:bookmarkStart w:id="82" w:name="_Toc10021427"/>
                            <w:bookmarkStart w:id="83" w:name="_Toc10021841"/>
                            <w:bookmarkStart w:id="84" w:name="_Toc12892325"/>
                            <w:r w:rsidRPr="00CD67C6">
                              <w:t>PART 1 – INTRODUCTION AND GENERAL ANALYSIS</w:t>
                            </w:r>
                            <w:bookmarkEnd w:id="80"/>
                            <w:bookmarkEnd w:id="81"/>
                            <w:bookmarkEnd w:id="82"/>
                            <w:bookmarkEnd w:id="83"/>
                            <w:bookmarkEnd w:id="84"/>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1E5E" id="Rectangle 23" o:spid="_x0000_s1039" style="position:absolute;margin-left:0;margin-top:-21.95pt;width:549.6pt;height:141.6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" fillcolor="#00b0f0" stroked="f" strokeweight="1.5pt">
                <v:textbox inset="7pt,7pt,7pt,7pt">
                  <w:txbxContent>
                    <w:p w14:paraId="656B219E" w14:textId="77777777" w:rsidR="00E752DE" w:rsidRPr="00CD67C6" w:rsidRDefault="00E752DE" w:rsidP="00CD67C6">
                      <w:pPr>
                        <w:pStyle w:val="Heading1un-numbered"/>
                      </w:pPr>
                      <w:bookmarkStart w:id="85" w:name="_Toc10008796"/>
                      <w:bookmarkStart w:id="86" w:name="_Toc10018320"/>
                      <w:bookmarkStart w:id="87" w:name="_Toc10021427"/>
                      <w:bookmarkStart w:id="88" w:name="_Toc10021841"/>
                      <w:bookmarkStart w:id="89" w:name="_Toc12892325"/>
                      <w:r w:rsidRPr="00CD67C6">
                        <w:t>PART 1 – INTRODUCTION AND GENERAL ANALYSIS</w:t>
                      </w:r>
                      <w:bookmarkEnd w:id="85"/>
                      <w:bookmarkEnd w:id="86"/>
                      <w:bookmarkEnd w:id="87"/>
                      <w:bookmarkEnd w:id="88"/>
                      <w:bookmarkEnd w:id="89"/>
                    </w:p>
                  </w:txbxContent>
                </v:textbox>
                <w10:wrap anchorx="margin"/>
              </v:rect>
            </w:pict>
          </mc:Fallback>
        </mc:AlternateContent>
      </w:r>
      <w:r w:rsidR="001922B1" w:rsidRPr="00FE2423">
        <w:t>PART 1 – INTRODUCTION AND GENERAL ANALYSIS</w:t>
      </w:r>
      <w:bookmarkEnd w:id="70"/>
      <w:bookmarkEnd w:id="71"/>
      <w:bookmarkEnd w:id="72"/>
      <w:bookmarkEnd w:id="73"/>
      <w:bookmarkEnd w:id="74"/>
      <w:bookmarkEnd w:id="75"/>
      <w:bookmarkEnd w:id="76"/>
      <w:bookmarkEnd w:id="77"/>
      <w:bookmarkEnd w:id="78"/>
      <w:bookmarkEnd w:id="79"/>
      <w:r w:rsidRPr="00D23978">
        <w:rPr>
          <w:noProof/>
          <w:lang w:eastAsia="en-AU"/>
        </w:rPr>
        <w:t xml:space="preserve"> </w:t>
      </w:r>
    </w:p>
    <w:p w14:paraId="656AFDD2" w14:textId="77777777" w:rsidR="00BF3260" w:rsidRPr="007B7231" w:rsidRDefault="002C378C" w:rsidP="008F7BBF">
      <w:pPr>
        <w:pStyle w:val="Heading1"/>
        <w:numPr>
          <w:ilvl w:val="0"/>
          <w:numId w:val="118"/>
        </w:numPr>
      </w:pPr>
      <w:bookmarkStart w:id="90" w:name="_Toc525554612"/>
      <w:bookmarkStart w:id="91" w:name="_Toc536054809"/>
      <w:bookmarkStart w:id="92" w:name="_Ref536465431"/>
      <w:bookmarkStart w:id="93" w:name="_Ref536465438"/>
      <w:bookmarkStart w:id="94" w:name="_Ref536617492"/>
      <w:bookmarkStart w:id="95" w:name="_Toc536807095"/>
      <w:bookmarkStart w:id="96" w:name="_Toc342469"/>
      <w:bookmarkStart w:id="97" w:name="_Toc10018321"/>
      <w:bookmarkStart w:id="98" w:name="_Toc10021428"/>
      <w:bookmarkStart w:id="99" w:name="_Toc10021842"/>
      <w:bookmarkStart w:id="100" w:name="_Toc12892326"/>
      <w:r w:rsidRPr="00DA5EC2">
        <w:lastRenderedPageBreak/>
        <w:t>Introduction</w:t>
      </w:r>
      <w:bookmarkEnd w:id="90"/>
      <w:bookmarkEnd w:id="91"/>
      <w:bookmarkEnd w:id="92"/>
      <w:bookmarkEnd w:id="93"/>
      <w:bookmarkEnd w:id="94"/>
      <w:bookmarkEnd w:id="95"/>
      <w:bookmarkEnd w:id="96"/>
      <w:bookmarkEnd w:id="97"/>
      <w:bookmarkEnd w:id="98"/>
      <w:bookmarkEnd w:id="99"/>
      <w:bookmarkEnd w:id="100"/>
    </w:p>
    <w:p w14:paraId="656AFDD3" w14:textId="77777777" w:rsidR="008D5735" w:rsidRPr="00ED173F" w:rsidRDefault="008D5735" w:rsidP="008D5735">
      <w:pPr>
        <w:rPr>
          <w:b/>
          <w:color w:val="808080" w:themeColor="background1" w:themeShade="80"/>
        </w:rPr>
      </w:pPr>
      <w:bookmarkStart w:id="101" w:name="_Toc525554613"/>
      <w:r w:rsidRPr="00ED173F">
        <w:rPr>
          <w:b/>
          <w:color w:val="808080" w:themeColor="background1" w:themeShade="80"/>
        </w:rPr>
        <w:t xml:space="preserve">This chapter outlines the purpose of this </w:t>
      </w:r>
      <w:r w:rsidR="00B515F4" w:rsidRPr="00FC0872">
        <w:rPr>
          <w:b/>
          <w:i/>
          <w:color w:val="808080" w:themeColor="background1" w:themeShade="80"/>
        </w:rPr>
        <w:t>Regulatory Impact Statement</w:t>
      </w:r>
      <w:r w:rsidR="00B515F4" w:rsidRPr="00ED173F">
        <w:rPr>
          <w:b/>
          <w:color w:val="808080" w:themeColor="background1" w:themeShade="80"/>
        </w:rPr>
        <w:t xml:space="preserve"> (</w:t>
      </w:r>
      <w:r w:rsidRPr="00ED173F">
        <w:rPr>
          <w:b/>
          <w:color w:val="808080" w:themeColor="background1" w:themeShade="80"/>
        </w:rPr>
        <w:t>RIS</w:t>
      </w:r>
      <w:r w:rsidR="00B515F4" w:rsidRPr="00ED173F">
        <w:rPr>
          <w:b/>
          <w:color w:val="808080" w:themeColor="background1" w:themeShade="80"/>
        </w:rPr>
        <w:t>)</w:t>
      </w:r>
      <w:r w:rsidRPr="00ED173F">
        <w:rPr>
          <w:b/>
          <w:color w:val="808080" w:themeColor="background1" w:themeShade="80"/>
        </w:rPr>
        <w:t xml:space="preserve"> and the </w:t>
      </w:r>
      <w:r w:rsidR="00836596" w:rsidRPr="00ED173F">
        <w:rPr>
          <w:b/>
          <w:color w:val="808080" w:themeColor="background1" w:themeShade="80"/>
        </w:rPr>
        <w:t>process</w:t>
      </w:r>
      <w:r w:rsidRPr="00ED173F">
        <w:rPr>
          <w:b/>
          <w:color w:val="808080" w:themeColor="background1" w:themeShade="80"/>
        </w:rPr>
        <w:t xml:space="preserve"> adopted in the preparation of this RIS.</w:t>
      </w:r>
    </w:p>
    <w:p w14:paraId="656AFDD4" w14:textId="77777777" w:rsidR="00FD526C" w:rsidRPr="000E3635" w:rsidRDefault="00FD526C" w:rsidP="00FD526C">
      <w:pPr>
        <w:ind w:right="565"/>
        <w:rPr>
          <w:rFonts w:cs="Segoe UI Light"/>
          <w:szCs w:val="20"/>
        </w:rPr>
      </w:pPr>
      <w:r w:rsidRPr="000E3635">
        <w:rPr>
          <w:rFonts w:cs="Segoe UI Light"/>
          <w:szCs w:val="20"/>
        </w:rPr>
        <w:t xml:space="preserve">The Victorian Government is modernising the Environment Protection Authority Victoria (EPA), including its governance, legislative and regulatory framework. These reforms are being implemented through two legislative packages: </w:t>
      </w:r>
    </w:p>
    <w:p w14:paraId="656AFDD5" w14:textId="77777777" w:rsidR="00FD526C" w:rsidRPr="000E3635" w:rsidRDefault="00FD526C" w:rsidP="004A2442">
      <w:pPr>
        <w:numPr>
          <w:ilvl w:val="0"/>
          <w:numId w:val="26"/>
        </w:numPr>
        <w:spacing w:after="0"/>
        <w:contextualSpacing/>
      </w:pPr>
      <w:r>
        <w:t>T</w:t>
      </w:r>
      <w:r w:rsidRPr="000E3635">
        <w:t xml:space="preserve">he </w:t>
      </w:r>
      <w:r>
        <w:rPr>
          <w:i/>
        </w:rPr>
        <w:t>Environment</w:t>
      </w:r>
      <w:r w:rsidRPr="000E3635">
        <w:rPr>
          <w:i/>
        </w:rPr>
        <w:t xml:space="preserve"> Protection Act 2017</w:t>
      </w:r>
      <w:r w:rsidRPr="000E3635">
        <w:t xml:space="preserve"> (the EP Act 2017)</w:t>
      </w:r>
      <w:r w:rsidR="00F23135">
        <w:t>,</w:t>
      </w:r>
      <w:r w:rsidR="00F23135" w:rsidRPr="00F23135">
        <w:t xml:space="preserve"> </w:t>
      </w:r>
      <w:r w:rsidR="00F23135">
        <w:t>which modernises EPA’s corporate governance and strengthens its status as a science-based regulatory, and states that the objective of the EPA is to protect human health and the environment by reducing the harmful effects of pollution and waste</w:t>
      </w:r>
      <w:r>
        <w:t>.</w:t>
      </w:r>
    </w:p>
    <w:p w14:paraId="656AFDD6" w14:textId="77777777" w:rsidR="00FD526C" w:rsidRPr="000E3635" w:rsidRDefault="00FD526C" w:rsidP="004A2442">
      <w:pPr>
        <w:pStyle w:val="ListParagraph"/>
        <w:numPr>
          <w:ilvl w:val="0"/>
          <w:numId w:val="19"/>
        </w:numPr>
        <w:ind w:right="565"/>
        <w:rPr>
          <w:rFonts w:cs="Segoe UI Light"/>
          <w:szCs w:val="20"/>
        </w:rPr>
      </w:pPr>
      <w:r>
        <w:rPr>
          <w:rFonts w:cs="Segoe UI Light"/>
          <w:szCs w:val="20"/>
        </w:rPr>
        <w:t>T</w:t>
      </w:r>
      <w:r w:rsidRPr="000E3635">
        <w:rPr>
          <w:rFonts w:cs="Segoe UI Light"/>
          <w:szCs w:val="20"/>
        </w:rPr>
        <w:t xml:space="preserve">he </w:t>
      </w:r>
      <w:r w:rsidRPr="000E3635">
        <w:rPr>
          <w:rFonts w:cs="Segoe UI Light"/>
          <w:i/>
          <w:szCs w:val="20"/>
        </w:rPr>
        <w:t>Envi</w:t>
      </w:r>
      <w:r>
        <w:rPr>
          <w:rFonts w:cs="Segoe UI Light"/>
          <w:i/>
          <w:szCs w:val="20"/>
        </w:rPr>
        <w:t>ronment</w:t>
      </w:r>
      <w:r w:rsidRPr="000E3635">
        <w:rPr>
          <w:rFonts w:cs="Segoe UI Light"/>
          <w:i/>
          <w:szCs w:val="20"/>
        </w:rPr>
        <w:t xml:space="preserve"> Protection Amendment Act 2018</w:t>
      </w:r>
      <w:r w:rsidRPr="000E3635">
        <w:rPr>
          <w:rFonts w:cs="Segoe UI Light"/>
          <w:szCs w:val="20"/>
        </w:rPr>
        <w:t xml:space="preserve"> (the EP Amendment Act 2018) which will repeal the </w:t>
      </w:r>
      <w:r w:rsidRPr="000E3635">
        <w:rPr>
          <w:rFonts w:cs="Segoe UI Light"/>
          <w:i/>
          <w:szCs w:val="20"/>
        </w:rPr>
        <w:t>Environment Protection Act 1970</w:t>
      </w:r>
      <w:r w:rsidRPr="000E3635">
        <w:rPr>
          <w:rFonts w:cs="Segoe UI Light"/>
          <w:szCs w:val="20"/>
        </w:rPr>
        <w:t xml:space="preserve"> (EP Act 1970) and amend the EP Act 2017 to establish a modern </w:t>
      </w:r>
      <w:r>
        <w:rPr>
          <w:rFonts w:cs="Segoe UI Light"/>
          <w:szCs w:val="20"/>
        </w:rPr>
        <w:t xml:space="preserve">regulatory </w:t>
      </w:r>
      <w:r w:rsidRPr="000E3635">
        <w:rPr>
          <w:rFonts w:cs="Segoe UI Light"/>
          <w:szCs w:val="20"/>
        </w:rPr>
        <w:t xml:space="preserve">approach focusing on preventing waste and pollution impacts, rather than managing the impacts after they have occurred. </w:t>
      </w:r>
    </w:p>
    <w:p w14:paraId="656AFDD7" w14:textId="77777777" w:rsidR="00FD526C" w:rsidRPr="008F7BBF" w:rsidRDefault="00FD526C" w:rsidP="00FD526C">
      <w:pPr>
        <w:autoSpaceDE w:val="0"/>
        <w:autoSpaceDN w:val="0"/>
        <w:adjustRightInd w:val="0"/>
        <w:spacing w:line="240" w:lineRule="auto"/>
        <w:ind w:right="-113"/>
        <w:rPr>
          <w:rFonts w:eastAsia="MS Mincho" w:cs="Segoe UI Light"/>
          <w:szCs w:val="20"/>
          <w:lang w:eastAsia="en-AU"/>
        </w:rPr>
      </w:pPr>
      <w:r w:rsidRPr="000E3635">
        <w:rPr>
          <w:rFonts w:eastAsia="MS Mincho" w:cs="Segoe UI Light"/>
          <w:szCs w:val="20"/>
          <w:lang w:eastAsia="en-AU"/>
        </w:rPr>
        <w:t xml:space="preserve">The EP Act 2017 has already been enacted, and the more significant changes contained in the EP Amendment Act 2018 </w:t>
      </w:r>
      <w:r w:rsidR="00BF68BF">
        <w:rPr>
          <w:rFonts w:eastAsia="MS Mincho" w:cs="Segoe UI Light"/>
          <w:szCs w:val="20"/>
          <w:lang w:eastAsia="en-AU"/>
        </w:rPr>
        <w:t xml:space="preserve">that </w:t>
      </w:r>
      <w:r w:rsidRPr="000E3635">
        <w:rPr>
          <w:rFonts w:eastAsia="MS Mincho" w:cs="Segoe UI Light"/>
          <w:szCs w:val="20"/>
          <w:lang w:eastAsia="en-AU"/>
        </w:rPr>
        <w:t xml:space="preserve">are </w:t>
      </w:r>
      <w:r w:rsidR="00BF68BF">
        <w:rPr>
          <w:rFonts w:eastAsia="MS Mincho" w:cs="Segoe UI Light"/>
          <w:szCs w:val="20"/>
          <w:lang w:eastAsia="en-AU"/>
        </w:rPr>
        <w:t xml:space="preserve">intended </w:t>
      </w:r>
      <w:r w:rsidRPr="000E3635">
        <w:rPr>
          <w:rFonts w:eastAsia="MS Mincho" w:cs="Segoe UI Light"/>
          <w:szCs w:val="20"/>
          <w:lang w:eastAsia="en-AU"/>
        </w:rPr>
        <w:t xml:space="preserve">to take </w:t>
      </w:r>
      <w:r w:rsidRPr="008F7BBF">
        <w:rPr>
          <w:rFonts w:eastAsia="MS Mincho" w:cs="Segoe UI Light"/>
          <w:szCs w:val="20"/>
          <w:lang w:eastAsia="en-AU"/>
        </w:rPr>
        <w:t xml:space="preserve">effect on 1 July 2020. The </w:t>
      </w:r>
      <w:r w:rsidRPr="008F7BBF">
        <w:rPr>
          <w:rFonts w:cs="Segoe UI Light"/>
        </w:rPr>
        <w:t>EP Act 2017, as amended by the EP Amendment Act 2018, is referred to as the “new EP legislation” throughout this document.</w:t>
      </w:r>
    </w:p>
    <w:p w14:paraId="656AFDD8" w14:textId="157C54C2" w:rsidR="000E3635" w:rsidRPr="000E3635" w:rsidRDefault="003B018B" w:rsidP="000E3635">
      <w:pPr>
        <w:ind w:right="565"/>
        <w:rPr>
          <w:rFonts w:cs="Segoe UI Light"/>
          <w:szCs w:val="22"/>
        </w:rPr>
      </w:pPr>
      <w:r w:rsidRPr="008F7BBF">
        <w:rPr>
          <w:rFonts w:cs="Segoe UI Light"/>
        </w:rPr>
        <w:t>The next phase of reform is</w:t>
      </w:r>
      <w:r w:rsidR="000E3635" w:rsidRPr="008F7BBF">
        <w:rPr>
          <w:rFonts w:cs="Segoe UI Light"/>
        </w:rPr>
        <w:t xml:space="preserve"> to consider the nature</w:t>
      </w:r>
      <w:r w:rsidR="000E3635" w:rsidRPr="000E3635">
        <w:rPr>
          <w:rFonts w:cs="Segoe UI Light"/>
        </w:rPr>
        <w:t xml:space="preserve"> of any new </w:t>
      </w:r>
      <w:r w:rsidR="007C6FDC">
        <w:rPr>
          <w:rFonts w:cs="Segoe UI Light"/>
        </w:rPr>
        <w:t>E</w:t>
      </w:r>
      <w:r w:rsidR="000E3635" w:rsidRPr="000E3635">
        <w:rPr>
          <w:rFonts w:cs="Segoe UI Light"/>
        </w:rPr>
        <w:t xml:space="preserve">nvironment </w:t>
      </w:r>
      <w:r w:rsidR="007C6FDC">
        <w:rPr>
          <w:rFonts w:cs="Segoe UI Light"/>
        </w:rPr>
        <w:t>P</w:t>
      </w:r>
      <w:r w:rsidR="000E3635" w:rsidRPr="000E3635">
        <w:rPr>
          <w:rFonts w:cs="Segoe UI Light"/>
        </w:rPr>
        <w:t xml:space="preserve">rotection </w:t>
      </w:r>
      <w:r w:rsidR="007C6FDC">
        <w:rPr>
          <w:rFonts w:cs="Segoe UI Light"/>
        </w:rPr>
        <w:t>R</w:t>
      </w:r>
      <w:r w:rsidR="000E3635" w:rsidRPr="000E3635">
        <w:rPr>
          <w:rFonts w:cs="Segoe UI Light"/>
        </w:rPr>
        <w:t>egulations</w:t>
      </w:r>
      <w:r w:rsidR="0090642D">
        <w:rPr>
          <w:rFonts w:cs="Segoe UI Light"/>
        </w:rPr>
        <w:t xml:space="preserve"> and </w:t>
      </w:r>
      <w:r w:rsidR="007C6FDC">
        <w:rPr>
          <w:rFonts w:cs="Segoe UI Light"/>
        </w:rPr>
        <w:t>E</w:t>
      </w:r>
      <w:r w:rsidR="0090642D">
        <w:rPr>
          <w:rFonts w:cs="Segoe UI Light"/>
        </w:rPr>
        <w:t xml:space="preserve">nvironment </w:t>
      </w:r>
      <w:r w:rsidR="007C6FDC">
        <w:rPr>
          <w:rFonts w:cs="Segoe UI Light"/>
        </w:rPr>
        <w:t>P</w:t>
      </w:r>
      <w:r w:rsidR="0090642D">
        <w:rPr>
          <w:rFonts w:cs="Segoe UI Light"/>
        </w:rPr>
        <w:t xml:space="preserve">rotection </w:t>
      </w:r>
      <w:r w:rsidR="007C6FDC">
        <w:rPr>
          <w:rFonts w:cs="Segoe UI Light"/>
        </w:rPr>
        <w:t>T</w:t>
      </w:r>
      <w:r w:rsidR="0090642D">
        <w:rPr>
          <w:rFonts w:cs="Segoe UI Light"/>
        </w:rPr>
        <w:t xml:space="preserve">ransitional </w:t>
      </w:r>
      <w:r w:rsidR="007C6FDC">
        <w:rPr>
          <w:rFonts w:cs="Segoe UI Light"/>
        </w:rPr>
        <w:t>R</w:t>
      </w:r>
      <w:r w:rsidR="0090642D">
        <w:rPr>
          <w:rFonts w:cs="Segoe UI Light"/>
        </w:rPr>
        <w:t>egulations</w:t>
      </w:r>
      <w:r w:rsidR="0027653A">
        <w:rPr>
          <w:rFonts w:cs="Segoe UI Light"/>
        </w:rPr>
        <w:t xml:space="preserve"> (proposed Regulations)</w:t>
      </w:r>
      <w:r w:rsidR="000E3635" w:rsidRPr="000E3635">
        <w:rPr>
          <w:rFonts w:cs="Segoe UI Light"/>
        </w:rPr>
        <w:t xml:space="preserve">. Such regulations may be required to support the </w:t>
      </w:r>
      <w:r w:rsidR="004C6915">
        <w:rPr>
          <w:rFonts w:cs="Segoe UI Light"/>
        </w:rPr>
        <w:t>new EP legislation</w:t>
      </w:r>
      <w:r w:rsidR="000E3635" w:rsidRPr="000E3635">
        <w:rPr>
          <w:rFonts w:cs="Segoe UI Light"/>
        </w:rPr>
        <w:t xml:space="preserve"> and EPA to achieve its broad objective of reducing the risk of harms to human health and the environment from pollution and waste.</w:t>
      </w:r>
    </w:p>
    <w:p w14:paraId="656AFDD9" w14:textId="77777777" w:rsidR="000E3635" w:rsidRPr="00407D84" w:rsidRDefault="000E3635" w:rsidP="00982D63">
      <w:pPr>
        <w:pStyle w:val="Heading2"/>
      </w:pPr>
      <w:bookmarkStart w:id="102" w:name="_Ref7439314"/>
      <w:r w:rsidRPr="00407D84">
        <w:t>Purpose of this RIS</w:t>
      </w:r>
      <w:bookmarkEnd w:id="102"/>
    </w:p>
    <w:p w14:paraId="656AFDDA" w14:textId="77777777" w:rsidR="000E3635" w:rsidRPr="000E3635" w:rsidRDefault="00FD526C" w:rsidP="000E3635">
      <w:pPr>
        <w:rPr>
          <w:szCs w:val="20"/>
        </w:rPr>
      </w:pPr>
      <w:r w:rsidRPr="000E3635">
        <w:t xml:space="preserve">Deloitte has been engaged by the Victorian Government to prepare a RIS in relation to proposed </w:t>
      </w:r>
      <w:r w:rsidR="009E3221">
        <w:t>Regulations to be made under the new EP legislation</w:t>
      </w:r>
      <w:r w:rsidR="00B63136">
        <w:t xml:space="preserve">, intended to come into effect </w:t>
      </w:r>
      <w:r w:rsidR="009E3221">
        <w:t xml:space="preserve">on 1 July 2020. </w:t>
      </w:r>
      <w:r>
        <w:rPr>
          <w:szCs w:val="20"/>
        </w:rPr>
        <w:t>A</w:t>
      </w:r>
      <w:r w:rsidR="000E3635" w:rsidRPr="000E3635">
        <w:rPr>
          <w:szCs w:val="20"/>
        </w:rPr>
        <w:t xml:space="preserve"> rigorous assessment of regulatory proposals ensures regulation best serves the Victorian community. This RIS has been prepared to outline the following key matters:</w:t>
      </w:r>
    </w:p>
    <w:p w14:paraId="656AFDDB" w14:textId="77777777" w:rsidR="000E3635" w:rsidRPr="000E3635" w:rsidRDefault="000E3635" w:rsidP="004A2442">
      <w:pPr>
        <w:numPr>
          <w:ilvl w:val="0"/>
          <w:numId w:val="14"/>
        </w:numPr>
        <w:spacing w:after="0" w:line="240" w:lineRule="auto"/>
        <w:ind w:left="709" w:hanging="425"/>
        <w:jc w:val="both"/>
        <w:rPr>
          <w:szCs w:val="20"/>
        </w:rPr>
      </w:pPr>
      <w:r w:rsidRPr="000E3635">
        <w:rPr>
          <w:szCs w:val="20"/>
        </w:rPr>
        <w:t xml:space="preserve">The need to eliminate (or otherwise reduce) the risks of harm to environment and human health in Victoria </w:t>
      </w:r>
      <w:r w:rsidR="00FD526C">
        <w:rPr>
          <w:szCs w:val="20"/>
        </w:rPr>
        <w:t xml:space="preserve">from </w:t>
      </w:r>
      <w:r w:rsidR="00FD526C" w:rsidRPr="000E3635">
        <w:rPr>
          <w:szCs w:val="20"/>
        </w:rPr>
        <w:t>pollution and waste</w:t>
      </w:r>
      <w:r w:rsidR="00FD526C">
        <w:rPr>
          <w:szCs w:val="20"/>
        </w:rPr>
        <w:t>.</w:t>
      </w:r>
    </w:p>
    <w:p w14:paraId="656AFDDC" w14:textId="77777777" w:rsidR="00FD526C" w:rsidRPr="000E3635" w:rsidRDefault="00FD526C" w:rsidP="004A2442">
      <w:pPr>
        <w:numPr>
          <w:ilvl w:val="0"/>
          <w:numId w:val="14"/>
        </w:numPr>
        <w:spacing w:after="0" w:line="240" w:lineRule="auto"/>
        <w:ind w:left="709" w:hanging="425"/>
        <w:jc w:val="both"/>
        <w:rPr>
          <w:szCs w:val="20"/>
        </w:rPr>
      </w:pPr>
      <w:r w:rsidRPr="000E3635">
        <w:rPr>
          <w:szCs w:val="20"/>
        </w:rPr>
        <w:t>Options for addressing the problem of risks of harm to environment and human health</w:t>
      </w:r>
      <w:r>
        <w:rPr>
          <w:szCs w:val="20"/>
        </w:rPr>
        <w:t>.</w:t>
      </w:r>
    </w:p>
    <w:p w14:paraId="656AFDDD" w14:textId="77777777" w:rsidR="00FD526C" w:rsidRPr="000E3635" w:rsidRDefault="00FD526C" w:rsidP="004A2442">
      <w:pPr>
        <w:numPr>
          <w:ilvl w:val="0"/>
          <w:numId w:val="14"/>
        </w:numPr>
        <w:spacing w:after="0" w:line="240" w:lineRule="auto"/>
        <w:ind w:left="709" w:hanging="425"/>
        <w:jc w:val="both"/>
        <w:rPr>
          <w:szCs w:val="20"/>
        </w:rPr>
      </w:pPr>
      <w:r w:rsidRPr="000E3635">
        <w:rPr>
          <w:szCs w:val="20"/>
        </w:rPr>
        <w:t>The costs and benefits of proposed options to address the problem</w:t>
      </w:r>
      <w:r>
        <w:rPr>
          <w:szCs w:val="20"/>
        </w:rPr>
        <w:t>.</w:t>
      </w:r>
    </w:p>
    <w:p w14:paraId="656AFDDE" w14:textId="77777777" w:rsidR="00FD526C" w:rsidRPr="000E3635" w:rsidRDefault="00FD526C" w:rsidP="004A2442">
      <w:pPr>
        <w:numPr>
          <w:ilvl w:val="0"/>
          <w:numId w:val="14"/>
        </w:numPr>
        <w:spacing w:after="0" w:line="240" w:lineRule="auto"/>
        <w:ind w:left="709" w:hanging="425"/>
        <w:jc w:val="both"/>
        <w:rPr>
          <w:szCs w:val="20"/>
        </w:rPr>
      </w:pPr>
      <w:r w:rsidRPr="000E3635">
        <w:rPr>
          <w:szCs w:val="20"/>
        </w:rPr>
        <w:t>The preferred option</w:t>
      </w:r>
      <w:r w:rsidR="009E3221">
        <w:rPr>
          <w:szCs w:val="20"/>
        </w:rPr>
        <w:t>s</w:t>
      </w:r>
      <w:r w:rsidRPr="000E3635">
        <w:rPr>
          <w:szCs w:val="20"/>
        </w:rPr>
        <w:t xml:space="preserve"> and the rationale for choosing the options</w:t>
      </w:r>
      <w:r>
        <w:rPr>
          <w:szCs w:val="20"/>
        </w:rPr>
        <w:t>.</w:t>
      </w:r>
    </w:p>
    <w:p w14:paraId="656AFDDF" w14:textId="77777777" w:rsidR="00FD526C" w:rsidRPr="000E3635" w:rsidRDefault="00FD526C" w:rsidP="004A2442">
      <w:pPr>
        <w:numPr>
          <w:ilvl w:val="0"/>
          <w:numId w:val="14"/>
        </w:numPr>
        <w:spacing w:after="0" w:line="240" w:lineRule="auto"/>
        <w:ind w:left="709" w:hanging="425"/>
        <w:jc w:val="both"/>
        <w:rPr>
          <w:szCs w:val="20"/>
        </w:rPr>
      </w:pPr>
      <w:r w:rsidRPr="000E3635">
        <w:rPr>
          <w:szCs w:val="20"/>
        </w:rPr>
        <w:t>Arrangements for implementing the proposed Regulations</w:t>
      </w:r>
      <w:r>
        <w:rPr>
          <w:szCs w:val="20"/>
        </w:rPr>
        <w:t>.</w:t>
      </w:r>
    </w:p>
    <w:p w14:paraId="656AFDE0" w14:textId="77777777" w:rsidR="000E3635" w:rsidRPr="000E3635" w:rsidRDefault="000E3635" w:rsidP="004A2442">
      <w:pPr>
        <w:numPr>
          <w:ilvl w:val="0"/>
          <w:numId w:val="14"/>
        </w:numPr>
        <w:spacing w:line="240" w:lineRule="auto"/>
        <w:ind w:left="709" w:hanging="425"/>
        <w:jc w:val="both"/>
        <w:rPr>
          <w:szCs w:val="20"/>
        </w:rPr>
      </w:pPr>
      <w:r w:rsidRPr="000E3635">
        <w:rPr>
          <w:szCs w:val="20"/>
        </w:rPr>
        <w:t>The evaluation strategy for the proposed Regulations.</w:t>
      </w:r>
    </w:p>
    <w:p w14:paraId="656AFDE1" w14:textId="77777777" w:rsidR="00FD526C" w:rsidRPr="000E3635" w:rsidRDefault="009E3221" w:rsidP="00FD526C">
      <w:pPr>
        <w:rPr>
          <w:rFonts w:cs="Segoe UI Light"/>
          <w:szCs w:val="20"/>
        </w:rPr>
      </w:pPr>
      <w:r w:rsidRPr="009E3221">
        <w:t>A key factor underpinning this RIS is the introduction of a general environmental duty (GED) in the new EP legislation. The GED requires business, industry and the community (anyone conducting an activity that poses risks to human health and the environment) to understand and minimise those risks.</w:t>
      </w:r>
      <w:r w:rsidR="00FD526C" w:rsidRPr="000E3635">
        <w:rPr>
          <w:rFonts w:cs="Segoe UI Light"/>
          <w:szCs w:val="20"/>
        </w:rPr>
        <w:t xml:space="preserve"> The existence of the GED, as well as the other duties and requirements that are established by the </w:t>
      </w:r>
      <w:r>
        <w:rPr>
          <w:rFonts w:cs="Segoe UI Light"/>
          <w:szCs w:val="20"/>
        </w:rPr>
        <w:t>new EP legislation</w:t>
      </w:r>
      <w:r w:rsidR="00FD526C" w:rsidRPr="000E3635">
        <w:rPr>
          <w:rFonts w:cs="Segoe UI Light"/>
          <w:szCs w:val="20"/>
        </w:rPr>
        <w:t>, influences the need for, and nature of, supporting regulations.</w:t>
      </w:r>
    </w:p>
    <w:p w14:paraId="656AFDE2" w14:textId="77777777" w:rsidR="00FD526C" w:rsidRPr="00012D01" w:rsidRDefault="00FD526C" w:rsidP="00982D63">
      <w:pPr>
        <w:pStyle w:val="Heading2"/>
      </w:pPr>
      <w:r w:rsidRPr="00012D01">
        <w:t>RIS process</w:t>
      </w:r>
    </w:p>
    <w:p w14:paraId="656AFDE3" w14:textId="7AD259E6" w:rsidR="00FD526C" w:rsidRPr="000E3635" w:rsidRDefault="00890AD3" w:rsidP="00FD526C">
      <w:r w:rsidRPr="00890AD3">
        <w:t xml:space="preserve">In accordance with the provisions of the </w:t>
      </w:r>
      <w:r w:rsidRPr="00890AD3">
        <w:rPr>
          <w:i/>
          <w:iCs/>
        </w:rPr>
        <w:t>Subordinate Legislation Act 1994</w:t>
      </w:r>
      <w:r w:rsidRPr="00890AD3">
        <w:t xml:space="preserve"> (SL Act), a Regulatory Impact Statement (RIS) must be prepared for any proposed regulations (unless the criteria for an exemption is met, as prescribed in the SL Act)</w:t>
      </w:r>
      <w:r w:rsidR="00FD526C" w:rsidRPr="00890AD3">
        <w:t xml:space="preserve">. </w:t>
      </w:r>
    </w:p>
    <w:p w14:paraId="656AFDE4" w14:textId="77777777" w:rsidR="00FD526C" w:rsidRPr="00827D05" w:rsidRDefault="00FD526C" w:rsidP="00FD526C">
      <w:pPr>
        <w:rPr>
          <w:rFonts w:cs="Segoe UI Light"/>
          <w:szCs w:val="20"/>
        </w:rPr>
      </w:pPr>
      <w:bookmarkStart w:id="103" w:name="_Toc536054814"/>
      <w:bookmarkStart w:id="104" w:name="_Toc536054815"/>
      <w:bookmarkStart w:id="105" w:name="_Toc536054816"/>
      <w:bookmarkStart w:id="106" w:name="_Toc536054817"/>
      <w:bookmarkStart w:id="107" w:name="_Toc536054818"/>
      <w:bookmarkStart w:id="108" w:name="_Toc536054819"/>
      <w:bookmarkStart w:id="109" w:name="_Toc536054820"/>
      <w:bookmarkStart w:id="110" w:name="_Toc536054822"/>
      <w:bookmarkStart w:id="111" w:name="_Toc536054823"/>
      <w:bookmarkStart w:id="112" w:name="_Toc536054824"/>
      <w:bookmarkStart w:id="113" w:name="_Toc536054825"/>
      <w:bookmarkStart w:id="114" w:name="_Toc536054827"/>
      <w:bookmarkStart w:id="115" w:name="_Toc536054828"/>
      <w:bookmarkStart w:id="116" w:name="_Toc536054829"/>
      <w:bookmarkStart w:id="117" w:name="_Toc536054830"/>
      <w:bookmarkStart w:id="118" w:name="_Toc536054831"/>
      <w:bookmarkStart w:id="119" w:name="_Toc536054833"/>
      <w:bookmarkStart w:id="120" w:name="_Toc536054834"/>
      <w:bookmarkStart w:id="121" w:name="_Toc536054835"/>
      <w:bookmarkStart w:id="122" w:name="_Toc536054836"/>
      <w:bookmarkStart w:id="123" w:name="_Toc536054837"/>
      <w:bookmarkStart w:id="124" w:name="_Toc536054838"/>
      <w:bookmarkStart w:id="125" w:name="_Toc536054839"/>
      <w:bookmarkStart w:id="126" w:name="_Toc536054841"/>
      <w:bookmarkStart w:id="127" w:name="_Toc536054842"/>
      <w:bookmarkStart w:id="128" w:name="_Toc536054843"/>
      <w:bookmarkStart w:id="129" w:name="_Toc536054844"/>
      <w:bookmarkStart w:id="130" w:name="_Toc536054846"/>
      <w:bookmarkStart w:id="131" w:name="_Toc536054848"/>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0E3635">
        <w:t xml:space="preserve">Deloitte has prepared this RIS in accordance with the </w:t>
      </w:r>
      <w:r w:rsidRPr="000E3635">
        <w:rPr>
          <w:i/>
        </w:rPr>
        <w:t>Victorian Guide to Regulation</w:t>
      </w:r>
      <w:r>
        <w:rPr>
          <w:i/>
        </w:rPr>
        <w:t>,</w:t>
      </w:r>
      <w:r w:rsidR="00CC2EF8">
        <w:rPr>
          <w:rStyle w:val="FootnoteReference"/>
          <w:i/>
        </w:rPr>
        <w:footnoteReference w:id="13"/>
      </w:r>
      <w:r w:rsidRPr="000E3635">
        <w:t xml:space="preserve"> which provides a best practice approach to analysing any proposed regulatory intervention. </w:t>
      </w:r>
      <w:r w:rsidR="00451087" w:rsidRPr="000E3635">
        <w:t>This RIS estimates the impact of the proposed Regulations</w:t>
      </w:r>
      <w:r w:rsidR="00451087" w:rsidRPr="000E3635">
        <w:rPr>
          <w:i/>
        </w:rPr>
        <w:t xml:space="preserve"> </w:t>
      </w:r>
      <w:r w:rsidR="00451087" w:rsidRPr="000E3635">
        <w:t xml:space="preserve">on Victorian </w:t>
      </w:r>
      <w:r w:rsidR="00451087" w:rsidRPr="000E3635">
        <w:lastRenderedPageBreak/>
        <w:t>businesses</w:t>
      </w:r>
      <w:r w:rsidR="00451087">
        <w:t>,</w:t>
      </w:r>
      <w:r w:rsidR="00451087" w:rsidRPr="000E3635">
        <w:t xml:space="preserve"> community</w:t>
      </w:r>
      <w:r w:rsidR="00451087">
        <w:t xml:space="preserve"> and environment</w:t>
      </w:r>
      <w:r w:rsidR="00451087" w:rsidRPr="000E3635">
        <w:t>.</w:t>
      </w:r>
      <w:r w:rsidR="00451087">
        <w:t xml:space="preserve"> Rather than considering proposed regulations in terms of incremental changes from regulations that are currently in place, their impact has been estimated relative to a counter-factual scenario where </w:t>
      </w:r>
      <w:r w:rsidR="00451087" w:rsidRPr="0072303D">
        <w:rPr>
          <w:rFonts w:cs="Segoe UI Light"/>
          <w:szCs w:val="20"/>
        </w:rPr>
        <w:t xml:space="preserve">the </w:t>
      </w:r>
      <w:r w:rsidR="00451087">
        <w:rPr>
          <w:rFonts w:cs="Segoe UI Light"/>
          <w:szCs w:val="20"/>
        </w:rPr>
        <w:t>new EP legislation</w:t>
      </w:r>
      <w:r w:rsidR="00451087" w:rsidRPr="0072303D">
        <w:rPr>
          <w:rFonts w:cs="Segoe UI Light"/>
          <w:szCs w:val="20"/>
        </w:rPr>
        <w:t xml:space="preserve"> applies but there are no regulations to supplement it</w:t>
      </w:r>
      <w:r w:rsidR="00451087">
        <w:t xml:space="preserve">. This counter-factual scenario assumes, however, that business practices would continue to be influenced by the existing “state of knowledge” of good environmental practice and good management of harms. This </w:t>
      </w:r>
      <w:r w:rsidR="00451087" w:rsidRPr="00827D05">
        <w:rPr>
          <w:rFonts w:cs="Segoe UI Light"/>
          <w:szCs w:val="20"/>
        </w:rPr>
        <w:t>includ</w:t>
      </w:r>
      <w:r w:rsidR="00451087">
        <w:rPr>
          <w:rFonts w:cs="Segoe UI Light"/>
          <w:szCs w:val="20"/>
        </w:rPr>
        <w:t>es</w:t>
      </w:r>
      <w:r w:rsidR="00451087" w:rsidRPr="00827D05">
        <w:rPr>
          <w:rFonts w:cs="Segoe UI Light"/>
          <w:szCs w:val="20"/>
        </w:rPr>
        <w:t xml:space="preserve"> the understanding of</w:t>
      </w:r>
      <w:r w:rsidR="004E16B1">
        <w:rPr>
          <w:rFonts w:cs="Segoe UI Light"/>
          <w:szCs w:val="20"/>
        </w:rPr>
        <w:t xml:space="preserve">, </w:t>
      </w:r>
      <w:r w:rsidR="00451087" w:rsidRPr="00827D05">
        <w:rPr>
          <w:rFonts w:cs="Segoe UI Light"/>
          <w:szCs w:val="20"/>
        </w:rPr>
        <w:t xml:space="preserve">and </w:t>
      </w:r>
      <w:r w:rsidR="0026423B">
        <w:rPr>
          <w:rFonts w:cs="Segoe UI Light"/>
          <w:szCs w:val="20"/>
        </w:rPr>
        <w:t xml:space="preserve">the </w:t>
      </w:r>
      <w:r w:rsidR="00451087" w:rsidRPr="00827D05">
        <w:rPr>
          <w:rFonts w:cs="Segoe UI Light"/>
          <w:szCs w:val="20"/>
        </w:rPr>
        <w:t>arrangements organisation</w:t>
      </w:r>
      <w:r w:rsidR="00451087">
        <w:rPr>
          <w:rFonts w:cs="Segoe UI Light"/>
          <w:szCs w:val="20"/>
        </w:rPr>
        <w:t>s</w:t>
      </w:r>
      <w:r w:rsidR="00451087" w:rsidRPr="00ED397A">
        <w:t xml:space="preserve"> </w:t>
      </w:r>
      <w:r w:rsidR="00451087">
        <w:rPr>
          <w:rFonts w:cs="Segoe UI Light"/>
          <w:szCs w:val="20"/>
        </w:rPr>
        <w:t>have in place to comply with</w:t>
      </w:r>
      <w:r w:rsidR="004E16B1">
        <w:rPr>
          <w:rFonts w:cs="Segoe UI Light"/>
          <w:szCs w:val="20"/>
        </w:rPr>
        <w:t>,</w:t>
      </w:r>
      <w:r w:rsidR="00451087" w:rsidRPr="00827D05">
        <w:rPr>
          <w:rFonts w:cs="Segoe UI Light"/>
          <w:szCs w:val="20"/>
        </w:rPr>
        <w:t xml:space="preserve"> the current regulatory framework</w:t>
      </w:r>
      <w:r w:rsidR="00103622">
        <w:rPr>
          <w:rFonts w:cs="Segoe UI Light"/>
          <w:szCs w:val="20"/>
        </w:rPr>
        <w:t>.</w:t>
      </w:r>
    </w:p>
    <w:p w14:paraId="656AFDE5" w14:textId="77777777" w:rsidR="000E3635" w:rsidRPr="000E3635" w:rsidRDefault="000E3635" w:rsidP="000E3635">
      <w:r w:rsidRPr="000E3635">
        <w:t>Key steps in the process to introduce the proposed Regulations are:</w:t>
      </w:r>
    </w:p>
    <w:p w14:paraId="656AFDE6" w14:textId="77777777" w:rsidR="000E3635" w:rsidRPr="000E3635" w:rsidRDefault="000E3635" w:rsidP="004A2442">
      <w:pPr>
        <w:numPr>
          <w:ilvl w:val="0"/>
          <w:numId w:val="26"/>
        </w:numPr>
        <w:contextualSpacing/>
      </w:pPr>
      <w:r w:rsidRPr="000E3635">
        <w:t xml:space="preserve">Preparation of </w:t>
      </w:r>
      <w:r w:rsidR="00FD526C">
        <w:t>the</w:t>
      </w:r>
      <w:r w:rsidRPr="000E3635">
        <w:t xml:space="preserve"> RIS (this document)</w:t>
      </w:r>
      <w:r w:rsidR="004E16B1">
        <w:t>.</w:t>
      </w:r>
    </w:p>
    <w:p w14:paraId="656AFDE7" w14:textId="77777777" w:rsidR="000E3635" w:rsidRPr="000E3635" w:rsidRDefault="000E3635" w:rsidP="004A2442">
      <w:pPr>
        <w:numPr>
          <w:ilvl w:val="0"/>
          <w:numId w:val="26"/>
        </w:numPr>
        <w:spacing w:after="0"/>
        <w:contextualSpacing/>
      </w:pPr>
      <w:r w:rsidRPr="000E3635">
        <w:t>Public comment on the proposed Regulations</w:t>
      </w:r>
      <w:r w:rsidR="004E16B1">
        <w:t>.</w:t>
      </w:r>
    </w:p>
    <w:p w14:paraId="656AFDE8" w14:textId="77777777" w:rsidR="000E3635" w:rsidRDefault="000E3635" w:rsidP="004A2442">
      <w:pPr>
        <w:pStyle w:val="ListParagraph"/>
        <w:numPr>
          <w:ilvl w:val="0"/>
          <w:numId w:val="19"/>
        </w:numPr>
        <w:ind w:right="565"/>
      </w:pPr>
      <w:r w:rsidRPr="000E3635">
        <w:t>Addressing public comment.</w:t>
      </w:r>
    </w:p>
    <w:p w14:paraId="656AFDE9" w14:textId="77777777" w:rsidR="000E3635" w:rsidRDefault="000E3635" w:rsidP="00D85A7F">
      <w:r w:rsidRPr="000E3635">
        <w:t>These steps are articulated in more detail below.</w:t>
      </w:r>
    </w:p>
    <w:p w14:paraId="656AFDEA" w14:textId="77777777" w:rsidR="000E3635" w:rsidRPr="0094654C" w:rsidRDefault="000E3635" w:rsidP="008F7BBF">
      <w:pPr>
        <w:pStyle w:val="Heading3"/>
        <w:ind w:left="720"/>
      </w:pPr>
      <w:r w:rsidRPr="00DD2DCF">
        <w:t>Preparation</w:t>
      </w:r>
      <w:r w:rsidRPr="000E3635">
        <w:t xml:space="preserve"> of </w:t>
      </w:r>
      <w:r w:rsidR="00FD526C">
        <w:t>the</w:t>
      </w:r>
      <w:r w:rsidR="00FD526C" w:rsidRPr="000E3635">
        <w:t xml:space="preserve"> RIS</w:t>
      </w:r>
    </w:p>
    <w:p w14:paraId="656AFDEB" w14:textId="77777777" w:rsidR="000E3635" w:rsidRPr="000E3635" w:rsidRDefault="000E3635" w:rsidP="000E3635">
      <w:pPr>
        <w:spacing w:after="0"/>
        <w:contextualSpacing/>
      </w:pPr>
      <w:r w:rsidRPr="000E3635">
        <w:t xml:space="preserve">The key purpose of this RIS is to assess the </w:t>
      </w:r>
      <w:r w:rsidR="00FD526C" w:rsidRPr="000E3635">
        <w:t>impact</w:t>
      </w:r>
      <w:r w:rsidRPr="000E3635">
        <w:t xml:space="preserve"> of proposed Regulations to be made under the </w:t>
      </w:r>
      <w:r w:rsidR="004C6915">
        <w:t>new EP legislation</w:t>
      </w:r>
      <w:r w:rsidRPr="000E3635">
        <w:t>. The general approach to the assessment was as follows:</w:t>
      </w:r>
    </w:p>
    <w:p w14:paraId="656AFDEC" w14:textId="77777777" w:rsidR="000E3635" w:rsidRPr="000E3635" w:rsidRDefault="000E3635" w:rsidP="004A2442">
      <w:pPr>
        <w:numPr>
          <w:ilvl w:val="0"/>
          <w:numId w:val="20"/>
        </w:numPr>
        <w:spacing w:before="60" w:after="0" w:line="240" w:lineRule="auto"/>
        <w:jc w:val="both"/>
      </w:pPr>
      <w:r w:rsidRPr="000E3635">
        <w:t xml:space="preserve">Identification of the problem </w:t>
      </w:r>
    </w:p>
    <w:p w14:paraId="656AFDED" w14:textId="77777777" w:rsidR="000E3635" w:rsidRPr="000E3635" w:rsidRDefault="000E3635" w:rsidP="000E3635">
      <w:r w:rsidRPr="000E3635">
        <w:t xml:space="preserve">This involved consideration of the nature and extent of the problem that </w:t>
      </w:r>
      <w:r w:rsidR="00AC64E3">
        <w:t>proposed Regulations</w:t>
      </w:r>
      <w:r w:rsidRPr="000E3635">
        <w:t xml:space="preserve"> aim to address, including the need for government intervention, the risks of non-intervention and the objectives of such intervention. This included consideration of specific risks in areas such as air, water and noise pollution. </w:t>
      </w:r>
    </w:p>
    <w:p w14:paraId="656AFDEE" w14:textId="77777777" w:rsidR="000E3635" w:rsidRPr="000E3635" w:rsidRDefault="000E3635" w:rsidP="004A2442">
      <w:pPr>
        <w:numPr>
          <w:ilvl w:val="0"/>
          <w:numId w:val="20"/>
        </w:numPr>
        <w:spacing w:before="60" w:after="0" w:line="240" w:lineRule="auto"/>
        <w:jc w:val="both"/>
      </w:pPr>
      <w:r w:rsidRPr="000E3635">
        <w:t>Identification of the options to achieve the objectives of the proposed Regulations</w:t>
      </w:r>
    </w:p>
    <w:p w14:paraId="656AFDEF" w14:textId="77777777" w:rsidR="00FD526C" w:rsidRDefault="00FD526C" w:rsidP="00FD526C">
      <w:r>
        <w:t>The</w:t>
      </w:r>
      <w:r w:rsidRPr="003F5580">
        <w:t xml:space="preserve"> proposed </w:t>
      </w:r>
      <w:r w:rsidR="00852412">
        <w:t>R</w:t>
      </w:r>
      <w:r w:rsidRPr="003F5580">
        <w:t>egulations and alternative options were developed</w:t>
      </w:r>
      <w:r>
        <w:t xml:space="preserve"> by Government</w:t>
      </w:r>
      <w:r w:rsidRPr="003F5580">
        <w:t xml:space="preserve"> in consultation with stakeholders (peak bodies, industry and community representatives) and i</w:t>
      </w:r>
      <w:r>
        <w:t>nformed by the RIS consultation</w:t>
      </w:r>
      <w:r w:rsidRPr="003F5580" w:rsidDel="003F5580">
        <w:t xml:space="preserve"> </w:t>
      </w:r>
      <w:r w:rsidRPr="003F5580">
        <w:t xml:space="preserve">(see </w:t>
      </w:r>
      <w:r w:rsidR="00D23978">
        <w:t xml:space="preserve">Chapter </w:t>
      </w:r>
      <w:r w:rsidR="00D23978">
        <w:rPr>
          <w:color w:val="2B579A"/>
          <w:shd w:val="clear" w:color="auto" w:fill="E6E6E6"/>
        </w:rPr>
        <w:fldChar w:fldCharType="begin"/>
      </w:r>
      <w:r w:rsidR="00D23978">
        <w:instrText xml:space="preserve"> REF _Ref10007486 \r \h </w:instrText>
      </w:r>
      <w:r w:rsidR="00D23978">
        <w:rPr>
          <w:color w:val="2B579A"/>
          <w:shd w:val="clear" w:color="auto" w:fill="E6E6E6"/>
        </w:rPr>
      </w:r>
      <w:r w:rsidR="00D23978">
        <w:rPr>
          <w:color w:val="2B579A"/>
          <w:shd w:val="clear" w:color="auto" w:fill="E6E6E6"/>
        </w:rPr>
        <w:fldChar w:fldCharType="separate"/>
      </w:r>
      <w:r w:rsidR="00B11C1E">
        <w:t>20</w:t>
      </w:r>
      <w:r w:rsidR="00D23978">
        <w:rPr>
          <w:color w:val="2B579A"/>
          <w:shd w:val="clear" w:color="auto" w:fill="E6E6E6"/>
        </w:rPr>
        <w:fldChar w:fldCharType="end"/>
      </w:r>
      <w:r w:rsidR="00D23978">
        <w:t xml:space="preserve"> </w:t>
      </w:r>
      <w:r w:rsidRPr="003F5580">
        <w:t>for de</w:t>
      </w:r>
      <w:r>
        <w:t>tails</w:t>
      </w:r>
      <w:r w:rsidRPr="001E1CF6">
        <w:t xml:space="preserve"> of consultation undertaken)</w:t>
      </w:r>
      <w:r w:rsidRPr="00FC0872">
        <w:t>.</w:t>
      </w:r>
      <w:r w:rsidRPr="001E1CF6">
        <w:t xml:space="preserve"> The establishment of options allowed possible costs and benefits to </w:t>
      </w:r>
      <w:r>
        <w:t xml:space="preserve">be examined as part of the </w:t>
      </w:r>
      <w:r w:rsidRPr="001E1CF6">
        <w:t>stakeholder</w:t>
      </w:r>
      <w:r w:rsidRPr="000E3635">
        <w:t xml:space="preserve"> consultation</w:t>
      </w:r>
      <w:r>
        <w:t>.</w:t>
      </w:r>
    </w:p>
    <w:p w14:paraId="656AFDF0" w14:textId="77777777" w:rsidR="00FD526C" w:rsidRPr="000E3635" w:rsidRDefault="00FD526C" w:rsidP="004A2442">
      <w:pPr>
        <w:numPr>
          <w:ilvl w:val="0"/>
          <w:numId w:val="20"/>
        </w:numPr>
        <w:spacing w:before="60" w:after="0" w:line="240" w:lineRule="auto"/>
        <w:jc w:val="both"/>
      </w:pPr>
      <w:r w:rsidRPr="000E3635">
        <w:t>Stakeholder consultations</w:t>
      </w:r>
    </w:p>
    <w:p w14:paraId="656AFDF1" w14:textId="77777777" w:rsidR="00FD526C" w:rsidRPr="000E3635" w:rsidRDefault="00FD526C" w:rsidP="00FD526C">
      <w:r w:rsidRPr="000E3635">
        <w:t>Stakeholder consultation was undertaken by Deloitte to gather relevant information</w:t>
      </w:r>
      <w:r>
        <w:t xml:space="preserve"> on the impact of the proposed </w:t>
      </w:r>
      <w:r w:rsidRPr="000E3635">
        <w:t xml:space="preserve">Regulations </w:t>
      </w:r>
      <w:r>
        <w:t xml:space="preserve">and possible alternatives </w:t>
      </w:r>
      <w:r w:rsidRPr="000E3635">
        <w:t>on key stakeholders, including Victorian businesses and</w:t>
      </w:r>
      <w:r>
        <w:t xml:space="preserve"> industry groups</w:t>
      </w:r>
      <w:r w:rsidRPr="000E3635">
        <w:t>.</w:t>
      </w:r>
      <w:r>
        <w:t xml:space="preserve"> </w:t>
      </w:r>
      <w:r w:rsidRPr="000E3635">
        <w:t>The consultation process included:</w:t>
      </w:r>
    </w:p>
    <w:p w14:paraId="656AFDF2" w14:textId="77777777" w:rsidR="006F10C9" w:rsidRDefault="006F10C9" w:rsidP="004A2442">
      <w:pPr>
        <w:numPr>
          <w:ilvl w:val="0"/>
          <w:numId w:val="119"/>
        </w:numPr>
        <w:spacing w:after="0"/>
        <w:rPr>
          <w:rFonts w:ascii="Calibri" w:eastAsia="Times New Roman" w:hAnsi="Calibri"/>
        </w:rPr>
      </w:pPr>
      <w:r>
        <w:rPr>
          <w:rFonts w:eastAsia="Times New Roman"/>
        </w:rPr>
        <w:t>25 one-to-one meetings with businesses and government agencies.</w:t>
      </w:r>
    </w:p>
    <w:p w14:paraId="656AFDF3" w14:textId="77777777" w:rsidR="006F10C9" w:rsidRDefault="006F10C9" w:rsidP="004A2442">
      <w:pPr>
        <w:numPr>
          <w:ilvl w:val="0"/>
          <w:numId w:val="119"/>
        </w:numPr>
        <w:spacing w:after="0"/>
        <w:rPr>
          <w:rFonts w:eastAsia="Times New Roman"/>
        </w:rPr>
      </w:pPr>
      <w:r>
        <w:rPr>
          <w:rFonts w:eastAsia="Times New Roman"/>
        </w:rPr>
        <w:t>27 one-to-one meetings with industry groups.</w:t>
      </w:r>
    </w:p>
    <w:p w14:paraId="656AFDF4" w14:textId="77777777" w:rsidR="009E3221" w:rsidRDefault="006F10C9" w:rsidP="004A2442">
      <w:pPr>
        <w:numPr>
          <w:ilvl w:val="0"/>
          <w:numId w:val="119"/>
        </w:numPr>
        <w:spacing w:after="0"/>
        <w:rPr>
          <w:rFonts w:eastAsia="Times New Roman"/>
        </w:rPr>
      </w:pPr>
      <w:r>
        <w:rPr>
          <w:rFonts w:eastAsia="Times New Roman"/>
        </w:rPr>
        <w:t>A web-based survey which received responses from 78 small, medium and large businesses, and 24 local council representatives</w:t>
      </w:r>
      <w:r w:rsidR="00ED229D">
        <w:rPr>
          <w:rFonts w:eastAsia="Times New Roman"/>
        </w:rPr>
        <w:t xml:space="preserve"> (representing 19 different local councils)</w:t>
      </w:r>
      <w:r>
        <w:rPr>
          <w:rFonts w:eastAsia="Times New Roman"/>
        </w:rPr>
        <w:t>.</w:t>
      </w:r>
    </w:p>
    <w:p w14:paraId="656AFDF5" w14:textId="77777777" w:rsidR="006F10C9" w:rsidRDefault="009E3221" w:rsidP="000E7C5E">
      <w:pPr>
        <w:spacing w:before="120"/>
      </w:pPr>
      <w:r>
        <w:t xml:space="preserve">Prior to and during the period of stakeholder consultation, Deloitte, in collaboration with DELWP and EPA, promoted the web-based survey to </w:t>
      </w:r>
      <w:r w:rsidR="00434CD3">
        <w:t>hundreds of organisations</w:t>
      </w:r>
      <w:r w:rsidR="007901B3">
        <w:t>,</w:t>
      </w:r>
      <w:r w:rsidR="00434CD3">
        <w:t xml:space="preserve"> businesse</w:t>
      </w:r>
      <w:r w:rsidR="00DD2DCF">
        <w:t xml:space="preserve">s, </w:t>
      </w:r>
      <w:r w:rsidR="007901B3">
        <w:t>local councils</w:t>
      </w:r>
      <w:r>
        <w:t>.</w:t>
      </w:r>
    </w:p>
    <w:p w14:paraId="656AFDF6" w14:textId="77777777" w:rsidR="00AE4BDD" w:rsidRDefault="00AE4BDD" w:rsidP="000E7C5E">
      <w:pPr>
        <w:spacing w:before="120"/>
        <w:rPr>
          <w:rFonts w:eastAsia="Times New Roman"/>
        </w:rPr>
      </w:pPr>
      <w:r>
        <w:t>Additionally, DELWP and EPA undertook comprehensive stakeholder engagement to test the viability of different options considered for regulatory and non-regulatory controls. Consultation was undertaken with peak and industry bodies, environmental justice groups, community members, industry and licence holders.</w:t>
      </w:r>
    </w:p>
    <w:p w14:paraId="656AFDF7" w14:textId="77777777" w:rsidR="000E3635" w:rsidRPr="000E3635" w:rsidRDefault="000E3635" w:rsidP="004A2442">
      <w:pPr>
        <w:numPr>
          <w:ilvl w:val="0"/>
          <w:numId w:val="20"/>
        </w:numPr>
        <w:spacing w:before="60" w:after="0" w:line="240" w:lineRule="auto"/>
        <w:jc w:val="both"/>
      </w:pPr>
      <w:r w:rsidRPr="000E3635">
        <w:t>Assessment of the costs and benefits</w:t>
      </w:r>
    </w:p>
    <w:p w14:paraId="656AFDF8" w14:textId="77777777" w:rsidR="000E3635" w:rsidRPr="000E3635" w:rsidRDefault="000E3635" w:rsidP="000E3635">
      <w:r w:rsidRPr="000E3635">
        <w:t xml:space="preserve">Assessment of the costs and benefits under all options, relative to a </w:t>
      </w:r>
      <w:r w:rsidR="000514DD">
        <w:t>Base Case</w:t>
      </w:r>
      <w:r w:rsidRPr="000E3635">
        <w:t xml:space="preserve"> of no regulations, was undertaken consistent with the requirements of the </w:t>
      </w:r>
      <w:r w:rsidRPr="000E3635">
        <w:rPr>
          <w:i/>
        </w:rPr>
        <w:t>Victorian Guide to Regulation</w:t>
      </w:r>
      <w:r w:rsidRPr="000E3635">
        <w:t xml:space="preserve">. The analysis included the quantification, where possible, of benefits to businesses and the Victorian community from improved health and environmental outcomes. It also included the costs to businesses of complying with regulations and costs to Government of implementing and administering regulations. </w:t>
      </w:r>
      <w:r w:rsidR="00FD526C">
        <w:t xml:space="preserve">The method of analysis adopted differed across the different regulatory areas (problem areas) being considered. A fully quantified cost benefit analysis was used for some areas where there was adequate costs and benefits data, while multi-criteria analysis, breakeven analysis or fully qualitative analysis was used for other areas where data gaps were significant or benefits too difficult to quantify. </w:t>
      </w:r>
      <w:r w:rsidR="00FD526C" w:rsidRPr="000E3635">
        <w:t>The</w:t>
      </w:r>
      <w:r w:rsidRPr="000E3635">
        <w:t xml:space="preserve"> analysis reflected data held by </w:t>
      </w:r>
      <w:r w:rsidR="000D139E">
        <w:t xml:space="preserve">DELWP and </w:t>
      </w:r>
      <w:r w:rsidR="00FD526C">
        <w:t>EPA</w:t>
      </w:r>
      <w:r w:rsidRPr="000E3635">
        <w:t>, data gathered through independent research</w:t>
      </w:r>
      <w:r w:rsidR="00B60470">
        <w:t>,</w:t>
      </w:r>
      <w:r w:rsidRPr="000E3635">
        <w:t xml:space="preserve"> and information provided by stakeholders. </w:t>
      </w:r>
    </w:p>
    <w:p w14:paraId="656AFDF9" w14:textId="77777777" w:rsidR="000E3635" w:rsidRPr="000E3635" w:rsidRDefault="000E3635" w:rsidP="004A2442">
      <w:pPr>
        <w:pStyle w:val="ListParagraph"/>
        <w:numPr>
          <w:ilvl w:val="0"/>
          <w:numId w:val="20"/>
        </w:numPr>
      </w:pPr>
      <w:r w:rsidRPr="000E3635">
        <w:t>Assessment of the other impacts</w:t>
      </w:r>
    </w:p>
    <w:p w14:paraId="656AFDFA" w14:textId="77777777" w:rsidR="000E3635" w:rsidRPr="000E3635" w:rsidRDefault="000E3635" w:rsidP="000E3635">
      <w:r w:rsidRPr="000E3635">
        <w:lastRenderedPageBreak/>
        <w:t>This RIS examines the likely impacts of the preferred option</w:t>
      </w:r>
      <w:r w:rsidR="004F65B8">
        <w:t>s</w:t>
      </w:r>
      <w:r w:rsidRPr="000E3635">
        <w:t xml:space="preserve"> on small business and general competition amongst firms. This part of the RIS draws on stakeholder consultations</w:t>
      </w:r>
      <w:r w:rsidR="001A7658">
        <w:t>.</w:t>
      </w:r>
    </w:p>
    <w:p w14:paraId="656AFDFB" w14:textId="77777777" w:rsidR="000E3635" w:rsidRPr="000E3635" w:rsidRDefault="000E3635" w:rsidP="004A2442">
      <w:pPr>
        <w:numPr>
          <w:ilvl w:val="0"/>
          <w:numId w:val="20"/>
        </w:numPr>
        <w:spacing w:before="60" w:after="0" w:line="240" w:lineRule="auto"/>
        <w:jc w:val="both"/>
      </w:pPr>
      <w:r w:rsidRPr="000E3635">
        <w:t>Implementation, enforcement and evaluation</w:t>
      </w:r>
    </w:p>
    <w:p w14:paraId="656AFDFC" w14:textId="77777777" w:rsidR="000E3635" w:rsidRPr="000E3635" w:rsidRDefault="000E3635" w:rsidP="000E3635">
      <w:r w:rsidRPr="000E3635">
        <w:t>This RIS describes the arrangements for implementation, enforcement and evaluation of the preferred option</w:t>
      </w:r>
      <w:r w:rsidR="00C942CF">
        <w:t>s</w:t>
      </w:r>
      <w:r w:rsidRPr="000E3635">
        <w:t xml:space="preserve">. </w:t>
      </w:r>
    </w:p>
    <w:p w14:paraId="656AFDFD" w14:textId="77777777" w:rsidR="000E3635" w:rsidRPr="000E3635" w:rsidRDefault="000E3635" w:rsidP="004A2442">
      <w:pPr>
        <w:numPr>
          <w:ilvl w:val="0"/>
          <w:numId w:val="20"/>
        </w:numPr>
        <w:spacing w:before="60" w:after="0" w:line="240" w:lineRule="auto"/>
        <w:jc w:val="both"/>
      </w:pPr>
      <w:r w:rsidRPr="000E3635">
        <w:t>Fee analysis</w:t>
      </w:r>
    </w:p>
    <w:p w14:paraId="656AFDFE" w14:textId="77777777" w:rsidR="000E3635" w:rsidRPr="000E3635" w:rsidRDefault="000E3635" w:rsidP="000E3635">
      <w:r w:rsidRPr="000E3635">
        <w:t>This involved an assessment of costs to be recovered through fees charged under the proposed Regulations and options for structuring those fees, consistent with requirements outlined in the Victoria’s</w:t>
      </w:r>
      <w:r w:rsidRPr="000E3635">
        <w:rPr>
          <w:i/>
        </w:rPr>
        <w:t xml:space="preserve"> Cost Recovery Guidelines</w:t>
      </w:r>
      <w:r w:rsidRPr="000E3635">
        <w:t>.</w:t>
      </w:r>
      <w:r w:rsidR="00B17618">
        <w:rPr>
          <w:rStyle w:val="FootnoteReference"/>
        </w:rPr>
        <w:footnoteReference w:id="14"/>
      </w:r>
      <w:r w:rsidRPr="000E3635">
        <w:t xml:space="preserve"> </w:t>
      </w:r>
    </w:p>
    <w:p w14:paraId="656AFDFF" w14:textId="77777777" w:rsidR="000E3635" w:rsidRPr="0094654C" w:rsidRDefault="000E3635" w:rsidP="008F7BBF">
      <w:pPr>
        <w:pStyle w:val="Heading3"/>
        <w:ind w:left="720"/>
      </w:pPr>
      <w:r w:rsidRPr="002E377E">
        <w:t xml:space="preserve">Public comment </w:t>
      </w:r>
    </w:p>
    <w:p w14:paraId="656AFE00" w14:textId="3647AA3B" w:rsidR="00FD526C" w:rsidRPr="000E3635" w:rsidRDefault="00FD526C" w:rsidP="00FD526C">
      <w:r w:rsidRPr="000E3635">
        <w:t xml:space="preserve">The proposed Regulations and this RIS will be released for a </w:t>
      </w:r>
      <w:r w:rsidR="00C152F7">
        <w:t>6</w:t>
      </w:r>
      <w:r>
        <w:t>0</w:t>
      </w:r>
      <w:r w:rsidRPr="00457C1F">
        <w:t xml:space="preserve"> day</w:t>
      </w:r>
      <w:r w:rsidRPr="000E3635">
        <w:t xml:space="preserve"> period to provide businesses, members of the public</w:t>
      </w:r>
      <w:r w:rsidR="004F65B8">
        <w:t>,</w:t>
      </w:r>
      <w:r w:rsidRPr="000E3635">
        <w:t xml:space="preserve"> and other interested parties</w:t>
      </w:r>
      <w:r w:rsidR="004F65B8">
        <w:t>,</w:t>
      </w:r>
      <w:r w:rsidRPr="000E3635">
        <w:t xml:space="preserve"> the opportunity to provide feedback on these items. </w:t>
      </w:r>
      <w:r w:rsidR="00697E16">
        <w:t xml:space="preserve">The closing date for receipt of submissions </w:t>
      </w:r>
      <w:r w:rsidR="00697E16" w:rsidRPr="0014751B">
        <w:t xml:space="preserve">is </w:t>
      </w:r>
      <w:r w:rsidR="0097282A" w:rsidRPr="0014751B">
        <w:t>31</w:t>
      </w:r>
      <w:r w:rsidR="00697E16" w:rsidRPr="0014751B">
        <w:t xml:space="preserve"> October 2019.</w:t>
      </w:r>
      <w:r w:rsidR="00697E16">
        <w:t xml:space="preserve"> </w:t>
      </w:r>
      <w:r w:rsidRPr="000E3635">
        <w:t>The process for public comment is outlined in the Foreword to this report.</w:t>
      </w:r>
      <w:r w:rsidRPr="00C71BD6">
        <w:t xml:space="preserve"> </w:t>
      </w:r>
      <w:r>
        <w:t xml:space="preserve">The proposed Regulations and RIS </w:t>
      </w:r>
      <w:r w:rsidRPr="00C753A1">
        <w:t xml:space="preserve">will be made available on </w:t>
      </w:r>
      <w:r>
        <w:t>Engage</w:t>
      </w:r>
      <w:r w:rsidRPr="00C753A1">
        <w:t xml:space="preserve"> Victoria</w:t>
      </w:r>
      <w:r>
        <w:t xml:space="preserve">, which </w:t>
      </w:r>
      <w:r w:rsidRPr="00C753A1">
        <w:t>is the Victorian Government's Online Consultation platform, and EPA’s website.</w:t>
      </w:r>
    </w:p>
    <w:p w14:paraId="656AFE01" w14:textId="77777777" w:rsidR="000E3635" w:rsidRPr="0094654C" w:rsidRDefault="000E3635" w:rsidP="008F7BBF">
      <w:pPr>
        <w:pStyle w:val="Heading3"/>
        <w:ind w:left="720"/>
      </w:pPr>
      <w:r w:rsidRPr="002E377E">
        <w:t>Addressing public comment</w:t>
      </w:r>
    </w:p>
    <w:p w14:paraId="656AFE02" w14:textId="77777777" w:rsidR="00FD526C" w:rsidRDefault="00B17618" w:rsidP="00FD526C">
      <w:bookmarkStart w:id="132" w:name="_Toc536054853"/>
      <w:bookmarkEnd w:id="132"/>
      <w:r>
        <w:t xml:space="preserve">DELWP and </w:t>
      </w:r>
      <w:r w:rsidR="00FD526C">
        <w:t>EPA</w:t>
      </w:r>
      <w:r w:rsidR="00FD526C" w:rsidRPr="000E3635">
        <w:t xml:space="preserve"> will consider all submissions received during the period of public review. </w:t>
      </w:r>
      <w:r>
        <w:t xml:space="preserve">DELWP and </w:t>
      </w:r>
      <w:r w:rsidR="00FD526C">
        <w:t>EPA</w:t>
      </w:r>
      <w:r w:rsidR="00FD526C" w:rsidRPr="000E3635">
        <w:t xml:space="preserve"> will prepare a formal Response to Public Comment</w:t>
      </w:r>
      <w:r>
        <w:t xml:space="preserve">, which will </w:t>
      </w:r>
      <w:r w:rsidR="00FD526C" w:rsidRPr="000E3635">
        <w:t>summaris</w:t>
      </w:r>
      <w:r>
        <w:t>e</w:t>
      </w:r>
      <w:r w:rsidR="00FD526C" w:rsidRPr="000E3635">
        <w:t xml:space="preserve"> the submissions received.</w:t>
      </w:r>
      <w:r w:rsidR="00FD526C" w:rsidRPr="007F06CC">
        <w:t xml:space="preserve"> </w:t>
      </w:r>
      <w:r w:rsidR="00FD526C">
        <w:t xml:space="preserve">The </w:t>
      </w:r>
      <w:r w:rsidR="00FD526C" w:rsidRPr="000E3635">
        <w:t>formal Response to Public Comment document</w:t>
      </w:r>
      <w:r w:rsidR="00FD526C">
        <w:t xml:space="preserve"> </w:t>
      </w:r>
      <w:r w:rsidR="00FD526C" w:rsidRPr="00C753A1">
        <w:t>will</w:t>
      </w:r>
      <w:r w:rsidR="00FD526C">
        <w:t xml:space="preserve"> also</w:t>
      </w:r>
      <w:r w:rsidR="00FD526C" w:rsidRPr="00C753A1">
        <w:t xml:space="preserve"> be made available on </w:t>
      </w:r>
      <w:r w:rsidR="00FD526C">
        <w:t>Engage</w:t>
      </w:r>
      <w:r w:rsidR="00FD526C" w:rsidRPr="00C753A1">
        <w:t xml:space="preserve"> Victoria</w:t>
      </w:r>
      <w:r w:rsidR="00FD526C">
        <w:t xml:space="preserve"> </w:t>
      </w:r>
      <w:r w:rsidR="00FD526C" w:rsidRPr="00C753A1">
        <w:t>and EPA’s website.</w:t>
      </w:r>
    </w:p>
    <w:p w14:paraId="656AFE03" w14:textId="77777777" w:rsidR="000E3635" w:rsidRPr="000E3635" w:rsidRDefault="000E3635" w:rsidP="00982D63">
      <w:pPr>
        <w:pStyle w:val="Heading2"/>
      </w:pPr>
      <w:r w:rsidRPr="000E3635">
        <w:t>Structure of the report</w:t>
      </w:r>
    </w:p>
    <w:p w14:paraId="656AFE04" w14:textId="77777777" w:rsidR="000E3635" w:rsidRPr="000E3635" w:rsidRDefault="000E3635" w:rsidP="000E3635">
      <w:r w:rsidRPr="000E3635">
        <w:t xml:space="preserve">This RIS is structured into three main parts. </w:t>
      </w:r>
    </w:p>
    <w:p w14:paraId="656AFE05" w14:textId="77777777" w:rsidR="000E3635" w:rsidRPr="000E3635" w:rsidRDefault="000E3635" w:rsidP="000E3635">
      <w:r w:rsidRPr="000E3635">
        <w:t xml:space="preserve">Part One provides a detailed overview of the proposed </w:t>
      </w:r>
      <w:r w:rsidR="009E3221">
        <w:t>R</w:t>
      </w:r>
      <w:r w:rsidRPr="000E3635">
        <w:t xml:space="preserve">egulations. This includes relevant background information, a general discussion of the nature and extent of the problem </w:t>
      </w:r>
      <w:r w:rsidR="00FD526C">
        <w:t>to be addressed by the Regulations,</w:t>
      </w:r>
      <w:r w:rsidR="00FD526C" w:rsidRPr="000E3635">
        <w:t xml:space="preserve"> and results of the aggregate analysis of costs and benefits. </w:t>
      </w:r>
      <w:r w:rsidRPr="000E3635">
        <w:t>This aggregate analysis focuses on the effects of the proposed Regulations and proposed options as a whole.</w:t>
      </w:r>
    </w:p>
    <w:p w14:paraId="656AFE06" w14:textId="77777777" w:rsidR="000A62BD" w:rsidRDefault="000E3635" w:rsidP="005A53EC">
      <w:r w:rsidRPr="000E3635">
        <w:t xml:space="preserve">Given the proposed Regulations focus on specific topics, Part Two of this RIS provides individual analyses for each key topic: permissions, </w:t>
      </w:r>
      <w:r w:rsidR="00B17618">
        <w:t>on-site wastewater management systems (septic tank systems)</w:t>
      </w:r>
      <w:r w:rsidR="00FD526C">
        <w:t>, contaminated land, waste, litter, plastic bags, air, water, noise, vehicle emissions, cost recovery and fees.</w:t>
      </w:r>
      <w:r w:rsidRPr="000E3635">
        <w:t xml:space="preserve"> Each of these analyses provides a focused discussion of the problem, outlines the objectives of regulation, presents feasible options</w:t>
      </w:r>
      <w:r w:rsidR="00F14E7D">
        <w:t>,</w:t>
      </w:r>
      <w:r w:rsidRPr="000E3635">
        <w:t xml:space="preserve"> and estimates the costs and benefits of that option. </w:t>
      </w:r>
    </w:p>
    <w:p w14:paraId="656AFE07" w14:textId="77777777" w:rsidR="000E3635" w:rsidRPr="000E3635" w:rsidRDefault="000E3635" w:rsidP="005A53EC">
      <w:r w:rsidRPr="000E3635">
        <w:t>Part Three provides the remaining chapters of the RIS, including the implementation strategy</w:t>
      </w:r>
      <w:r w:rsidR="00DD2DCF">
        <w:t>,</w:t>
      </w:r>
      <w:r w:rsidRPr="000E3635">
        <w:t xml:space="preserve"> evaluation strategy</w:t>
      </w:r>
      <w:r w:rsidR="00DD2DCF">
        <w:t xml:space="preserve"> and consultation summary</w:t>
      </w:r>
      <w:r w:rsidRPr="000E3635">
        <w:t xml:space="preserve">. </w:t>
      </w:r>
    </w:p>
    <w:p w14:paraId="656AFE08" w14:textId="77777777" w:rsidR="000E3635" w:rsidRPr="000E3635" w:rsidRDefault="00B92FB4" w:rsidP="000E3635">
      <w:r>
        <w:t xml:space="preserve">Each Part </w:t>
      </w:r>
      <w:r w:rsidR="000E3635" w:rsidRPr="000E3635">
        <w:t>of this report is structured as follows:</w:t>
      </w:r>
    </w:p>
    <w:p w14:paraId="656AFE09" w14:textId="77777777" w:rsidR="00997034" w:rsidRPr="00E83592" w:rsidDel="002F7066" w:rsidRDefault="00997034" w:rsidP="00ED173F">
      <w:pPr>
        <w:spacing w:after="240"/>
        <w:contextualSpacing/>
      </w:pPr>
      <w:bookmarkStart w:id="133" w:name="_Toc536054811"/>
      <w:bookmarkStart w:id="134" w:name="_Toc536055027"/>
      <w:bookmarkStart w:id="135" w:name="_Toc536054812"/>
      <w:bookmarkStart w:id="136" w:name="_Toc536054813"/>
      <w:bookmarkStart w:id="137" w:name="_Toc536054821"/>
      <w:bookmarkStart w:id="138" w:name="_Toc536054826"/>
      <w:bookmarkStart w:id="139" w:name="_Toc536054832"/>
      <w:bookmarkStart w:id="140" w:name="_Toc536054840"/>
      <w:bookmarkStart w:id="141" w:name="_Toc536054845"/>
      <w:bookmarkStart w:id="142" w:name="_Toc536054847"/>
      <w:bookmarkEnd w:id="133"/>
      <w:bookmarkEnd w:id="134"/>
      <w:bookmarkEnd w:id="135"/>
      <w:bookmarkEnd w:id="136"/>
      <w:bookmarkEnd w:id="137"/>
      <w:bookmarkEnd w:id="138"/>
      <w:bookmarkEnd w:id="139"/>
      <w:bookmarkEnd w:id="140"/>
      <w:bookmarkEnd w:id="141"/>
      <w:bookmarkEnd w:id="142"/>
      <w:r w:rsidDel="002F7066">
        <w:t>Part one – Introduction and general analysis</w:t>
      </w:r>
    </w:p>
    <w:p w14:paraId="656AFE0A" w14:textId="77777777" w:rsidR="00FD526C" w:rsidRDefault="00FD526C" w:rsidP="00FD526C">
      <w:pPr>
        <w:spacing w:after="240"/>
        <w:ind w:left="720" w:hanging="436"/>
        <w:contextualSpacing/>
      </w:pPr>
      <w:r>
        <w:t>Chapter 1 - Introduction</w:t>
      </w:r>
    </w:p>
    <w:p w14:paraId="656AFE0B" w14:textId="77777777" w:rsidR="00FD526C" w:rsidRDefault="00FD526C" w:rsidP="00FD526C">
      <w:pPr>
        <w:spacing w:after="240"/>
        <w:ind w:left="720" w:hanging="436"/>
        <w:contextualSpacing/>
      </w:pPr>
      <w:r>
        <w:t>Chapter 2 - Background</w:t>
      </w:r>
    </w:p>
    <w:p w14:paraId="656AFE0C" w14:textId="77777777" w:rsidR="00FD526C" w:rsidRDefault="00FD526C" w:rsidP="00FD526C">
      <w:pPr>
        <w:spacing w:after="240"/>
        <w:ind w:left="720" w:hanging="436"/>
        <w:contextualSpacing/>
      </w:pPr>
      <w:r>
        <w:t>Chapter 3 - Nature and extent of problem</w:t>
      </w:r>
    </w:p>
    <w:p w14:paraId="656AFE0D" w14:textId="77777777" w:rsidR="00FD526C" w:rsidRDefault="00FD526C" w:rsidP="00FD526C">
      <w:pPr>
        <w:spacing w:after="240"/>
        <w:ind w:left="720" w:hanging="436"/>
        <w:contextualSpacing/>
      </w:pPr>
      <w:r>
        <w:t>Chapter 4 - Options</w:t>
      </w:r>
    </w:p>
    <w:p w14:paraId="656AFE0E" w14:textId="77777777" w:rsidR="00FD526C" w:rsidRDefault="00FD526C" w:rsidP="00FD526C">
      <w:pPr>
        <w:spacing w:after="240"/>
        <w:contextualSpacing/>
      </w:pPr>
      <w:r>
        <w:t>Part Two - Analysis by specific problem area</w:t>
      </w:r>
    </w:p>
    <w:p w14:paraId="656AFE0F" w14:textId="77777777" w:rsidR="00350EF0" w:rsidRDefault="00350EF0" w:rsidP="00FD526C">
      <w:pPr>
        <w:spacing w:after="240"/>
        <w:ind w:firstLine="284"/>
        <w:contextualSpacing/>
      </w:pPr>
      <w:r>
        <w:t>Chapter 5 Introduction to problem areas</w:t>
      </w:r>
    </w:p>
    <w:p w14:paraId="656AFE10" w14:textId="77777777" w:rsidR="00FD526C" w:rsidRDefault="00FD526C" w:rsidP="00FD526C">
      <w:pPr>
        <w:spacing w:after="240"/>
        <w:ind w:firstLine="284"/>
        <w:contextualSpacing/>
      </w:pPr>
      <w:r>
        <w:t xml:space="preserve">Chapter 6 - Permissions </w:t>
      </w:r>
    </w:p>
    <w:p w14:paraId="656AFE11" w14:textId="77777777" w:rsidR="00FD526C" w:rsidRDefault="00FD526C" w:rsidP="00FD526C">
      <w:pPr>
        <w:spacing w:after="240"/>
        <w:ind w:left="720" w:hanging="436"/>
        <w:contextualSpacing/>
      </w:pPr>
      <w:r>
        <w:t xml:space="preserve">Chapter 7 </w:t>
      </w:r>
      <w:r w:rsidR="00B17618">
        <w:t>–</w:t>
      </w:r>
      <w:r>
        <w:t xml:space="preserve"> </w:t>
      </w:r>
      <w:r w:rsidR="00B17618">
        <w:t>On-site wastewater management systems (s</w:t>
      </w:r>
      <w:r>
        <w:t xml:space="preserve">eptic </w:t>
      </w:r>
      <w:r w:rsidR="00B17618">
        <w:t>t</w:t>
      </w:r>
      <w:r>
        <w:t>ank</w:t>
      </w:r>
      <w:r w:rsidR="00B17618">
        <w:t xml:space="preserve"> systems)</w:t>
      </w:r>
    </w:p>
    <w:p w14:paraId="656AFE12" w14:textId="77777777" w:rsidR="00FD526C" w:rsidRDefault="00FD526C" w:rsidP="00FD526C">
      <w:pPr>
        <w:spacing w:after="240"/>
        <w:ind w:left="720" w:hanging="436"/>
        <w:contextualSpacing/>
      </w:pPr>
      <w:r>
        <w:t>Chapter 8 - Contaminated land</w:t>
      </w:r>
    </w:p>
    <w:p w14:paraId="656AFE13" w14:textId="77777777" w:rsidR="00FD526C" w:rsidRDefault="00FD526C" w:rsidP="00FD526C">
      <w:pPr>
        <w:spacing w:after="240"/>
        <w:ind w:left="720" w:hanging="436"/>
        <w:contextualSpacing/>
      </w:pPr>
      <w:r>
        <w:t>Chapter 9 - Waste</w:t>
      </w:r>
    </w:p>
    <w:p w14:paraId="656AFE14" w14:textId="77777777" w:rsidR="00FD526C" w:rsidRDefault="00FD526C" w:rsidP="00FD526C">
      <w:pPr>
        <w:spacing w:after="240"/>
        <w:ind w:left="720" w:hanging="436"/>
        <w:contextualSpacing/>
      </w:pPr>
      <w:r>
        <w:t>Chapter 10 - Litter</w:t>
      </w:r>
    </w:p>
    <w:p w14:paraId="656AFE15" w14:textId="77777777" w:rsidR="00FD526C" w:rsidRDefault="00FD526C" w:rsidP="00FD526C">
      <w:pPr>
        <w:spacing w:after="240"/>
        <w:ind w:left="720" w:hanging="436"/>
        <w:contextualSpacing/>
      </w:pPr>
      <w:r>
        <w:t>Chapter 11 - Plastic bags</w:t>
      </w:r>
    </w:p>
    <w:p w14:paraId="656AFE16" w14:textId="77777777" w:rsidR="00FD526C" w:rsidRDefault="00FD526C" w:rsidP="00FD526C">
      <w:pPr>
        <w:spacing w:after="240"/>
        <w:ind w:left="720" w:hanging="436"/>
        <w:contextualSpacing/>
      </w:pPr>
      <w:r>
        <w:t>Chapter 12 - Air</w:t>
      </w:r>
    </w:p>
    <w:p w14:paraId="656AFE17" w14:textId="77777777" w:rsidR="00FD526C" w:rsidRDefault="00FD526C" w:rsidP="00FD526C">
      <w:pPr>
        <w:spacing w:after="240"/>
        <w:ind w:left="720" w:hanging="436"/>
        <w:contextualSpacing/>
      </w:pPr>
      <w:r>
        <w:t>Chapter 13 - Water</w:t>
      </w:r>
    </w:p>
    <w:p w14:paraId="656AFE18" w14:textId="77777777" w:rsidR="00FD526C" w:rsidRDefault="00FD526C" w:rsidP="00FD526C">
      <w:pPr>
        <w:spacing w:after="240"/>
        <w:ind w:left="720" w:hanging="436"/>
        <w:contextualSpacing/>
      </w:pPr>
      <w:r>
        <w:t>Chapter 1</w:t>
      </w:r>
      <w:r w:rsidR="00350EF0">
        <w:t>4</w:t>
      </w:r>
      <w:r>
        <w:t xml:space="preserve"> </w:t>
      </w:r>
      <w:r w:rsidR="00350EF0">
        <w:t>–</w:t>
      </w:r>
      <w:r>
        <w:t xml:space="preserve"> Noise</w:t>
      </w:r>
    </w:p>
    <w:p w14:paraId="656AFE19" w14:textId="77777777" w:rsidR="00350EF0" w:rsidRDefault="00350EF0" w:rsidP="00350EF0">
      <w:pPr>
        <w:spacing w:after="240"/>
        <w:ind w:left="720" w:hanging="436"/>
        <w:contextualSpacing/>
      </w:pPr>
      <w:r>
        <w:t>Chapter 15 - Vehicle emissions</w:t>
      </w:r>
    </w:p>
    <w:p w14:paraId="656AFE1A" w14:textId="77777777" w:rsidR="00FD526C" w:rsidRDefault="00FD526C" w:rsidP="00FD526C">
      <w:pPr>
        <w:spacing w:after="240"/>
        <w:ind w:left="720" w:hanging="436"/>
        <w:contextualSpacing/>
      </w:pPr>
      <w:r>
        <w:t>Chapter 16 - Cost recovery and fees analysis</w:t>
      </w:r>
    </w:p>
    <w:p w14:paraId="656AFE1B" w14:textId="77777777" w:rsidR="00350EF0" w:rsidRDefault="00350EF0" w:rsidP="00FD526C">
      <w:pPr>
        <w:spacing w:after="240"/>
        <w:ind w:left="720" w:hanging="436"/>
        <w:contextualSpacing/>
      </w:pPr>
      <w:r>
        <w:t>Chapter 17 – Preferred options</w:t>
      </w:r>
    </w:p>
    <w:p w14:paraId="656AFE1C" w14:textId="77777777" w:rsidR="00FD526C" w:rsidRDefault="00FD526C" w:rsidP="00FD526C">
      <w:pPr>
        <w:spacing w:after="240"/>
        <w:contextualSpacing/>
      </w:pPr>
      <w:r>
        <w:t>Part Three - Implementation and evaluation</w:t>
      </w:r>
    </w:p>
    <w:p w14:paraId="656AFE1D" w14:textId="77777777" w:rsidR="00FD526C" w:rsidRDefault="00FD526C" w:rsidP="00FD526C">
      <w:pPr>
        <w:spacing w:after="240"/>
        <w:ind w:firstLine="284"/>
        <w:contextualSpacing/>
      </w:pPr>
      <w:r>
        <w:t xml:space="preserve">Chapter </w:t>
      </w:r>
      <w:r w:rsidR="00350EF0">
        <w:t>18</w:t>
      </w:r>
      <w:r>
        <w:t xml:space="preserve"> - Implementation plan</w:t>
      </w:r>
    </w:p>
    <w:p w14:paraId="656AFE1E" w14:textId="77777777" w:rsidR="00FD526C" w:rsidRDefault="00FD526C" w:rsidP="00FD526C">
      <w:pPr>
        <w:spacing w:after="240"/>
        <w:ind w:firstLine="284"/>
        <w:contextualSpacing/>
      </w:pPr>
      <w:r>
        <w:t xml:space="preserve">Chapter </w:t>
      </w:r>
      <w:r w:rsidR="00350EF0">
        <w:t>19</w:t>
      </w:r>
      <w:r>
        <w:t xml:space="preserve"> - Evaluation strategy</w:t>
      </w:r>
    </w:p>
    <w:p w14:paraId="656AFE1F" w14:textId="77777777" w:rsidR="00E856EC" w:rsidRDefault="00E856EC" w:rsidP="00FD526C">
      <w:pPr>
        <w:spacing w:after="240"/>
        <w:ind w:firstLine="284"/>
        <w:contextualSpacing/>
      </w:pPr>
      <w:r>
        <w:t xml:space="preserve">Chapter 20 </w:t>
      </w:r>
      <w:r w:rsidR="00213BAD">
        <w:t>–</w:t>
      </w:r>
      <w:r>
        <w:t xml:space="preserve"> </w:t>
      </w:r>
      <w:r w:rsidR="00213BAD">
        <w:t>Stakeholder c</w:t>
      </w:r>
      <w:r>
        <w:t>onsultation</w:t>
      </w:r>
    </w:p>
    <w:p w14:paraId="656AFE20" w14:textId="77777777" w:rsidR="008D5735" w:rsidRPr="003A21A2" w:rsidRDefault="008D5735" w:rsidP="008D5735"/>
    <w:p w14:paraId="656AFE21" w14:textId="77777777" w:rsidR="00AD2B0F" w:rsidRDefault="002C378C" w:rsidP="00ED173F">
      <w:pPr>
        <w:pStyle w:val="Heading1"/>
      </w:pPr>
      <w:bookmarkStart w:id="143" w:name="_Toc10008798"/>
      <w:bookmarkStart w:id="144" w:name="_Toc10013053"/>
      <w:bookmarkStart w:id="145" w:name="_Toc10015541"/>
      <w:bookmarkStart w:id="146" w:name="_Toc10016586"/>
      <w:bookmarkStart w:id="147" w:name="_Toc10017988"/>
      <w:bookmarkStart w:id="148" w:name="_Toc10018437"/>
      <w:bookmarkStart w:id="149" w:name="_Toc525554619"/>
      <w:bookmarkStart w:id="150" w:name="_Toc536054875"/>
      <w:bookmarkStart w:id="151" w:name="_Ref536465455"/>
      <w:bookmarkStart w:id="152" w:name="_Ref536465459"/>
      <w:bookmarkStart w:id="153" w:name="_Toc536807096"/>
      <w:bookmarkStart w:id="154" w:name="_Toc342470"/>
      <w:bookmarkStart w:id="155" w:name="_Toc10018322"/>
      <w:bookmarkStart w:id="156" w:name="_Toc10021429"/>
      <w:bookmarkStart w:id="157" w:name="_Toc10021843"/>
      <w:bookmarkStart w:id="158" w:name="_Toc12892327"/>
      <w:bookmarkStart w:id="159" w:name="_Toc447626781"/>
      <w:bookmarkEnd w:id="101"/>
      <w:bookmarkEnd w:id="143"/>
      <w:bookmarkEnd w:id="144"/>
      <w:bookmarkEnd w:id="145"/>
      <w:bookmarkEnd w:id="146"/>
      <w:bookmarkEnd w:id="147"/>
      <w:bookmarkEnd w:id="148"/>
      <w:r>
        <w:t>Background</w:t>
      </w:r>
      <w:bookmarkEnd w:id="149"/>
      <w:bookmarkEnd w:id="150"/>
      <w:bookmarkEnd w:id="151"/>
      <w:bookmarkEnd w:id="152"/>
      <w:bookmarkEnd w:id="153"/>
      <w:bookmarkEnd w:id="154"/>
      <w:bookmarkEnd w:id="155"/>
      <w:bookmarkEnd w:id="156"/>
      <w:bookmarkEnd w:id="157"/>
      <w:bookmarkEnd w:id="158"/>
    </w:p>
    <w:p w14:paraId="656AFE22" w14:textId="77777777" w:rsidR="00FD526C" w:rsidRPr="00FD526C" w:rsidRDefault="00FD526C" w:rsidP="00FD526C">
      <w:pPr>
        <w:rPr>
          <w:b/>
          <w:color w:val="808080" w:themeColor="background1" w:themeShade="80"/>
        </w:rPr>
      </w:pPr>
      <w:r w:rsidRPr="00FD526C">
        <w:rPr>
          <w:b/>
          <w:color w:val="808080" w:themeColor="background1" w:themeShade="80"/>
        </w:rPr>
        <w:t xml:space="preserve">This chapter provides information on Victoria’s current approach to </w:t>
      </w:r>
      <w:r w:rsidR="00963F6D">
        <w:rPr>
          <w:b/>
          <w:color w:val="808080" w:themeColor="background1" w:themeShade="80"/>
        </w:rPr>
        <w:t>protecting the</w:t>
      </w:r>
      <w:r w:rsidR="00963F6D" w:rsidRPr="00FD526C">
        <w:rPr>
          <w:b/>
          <w:color w:val="808080" w:themeColor="background1" w:themeShade="80"/>
        </w:rPr>
        <w:t xml:space="preserve"> </w:t>
      </w:r>
      <w:r w:rsidRPr="00FD526C">
        <w:rPr>
          <w:b/>
          <w:color w:val="808080" w:themeColor="background1" w:themeShade="80"/>
        </w:rPr>
        <w:t xml:space="preserve">environment </w:t>
      </w:r>
      <w:r w:rsidR="009E3221">
        <w:rPr>
          <w:b/>
          <w:color w:val="808080" w:themeColor="background1" w:themeShade="80"/>
        </w:rPr>
        <w:t>and human health</w:t>
      </w:r>
      <w:r w:rsidRPr="00FD526C">
        <w:rPr>
          <w:b/>
          <w:color w:val="808080" w:themeColor="background1" w:themeShade="80"/>
        </w:rPr>
        <w:t>, as well as the legislative reform process taking place.</w:t>
      </w:r>
    </w:p>
    <w:p w14:paraId="656AFE23" w14:textId="77777777" w:rsidR="00FD526C" w:rsidRPr="00FD526C" w:rsidRDefault="00FD526C" w:rsidP="00FD526C">
      <w:r w:rsidRPr="00FD526C">
        <w:rPr>
          <w:rFonts w:cs="Segoe UI Light"/>
          <w:noProof/>
          <w:color w:val="2B579A"/>
          <w:shd w:val="clear" w:color="auto" w:fill="E6E6E6"/>
          <w:lang w:eastAsia="en-AU"/>
        </w:rPr>
        <mc:AlternateContent>
          <mc:Choice Requires="wps">
            <w:drawing>
              <wp:inline distT="0" distB="0" distL="0" distR="0" wp14:anchorId="656B1E60" wp14:editId="656B1E61">
                <wp:extent cx="6372045" cy="3416300"/>
                <wp:effectExtent l="0" t="0" r="10160" b="12700"/>
                <wp:docPr id="39" name="Rectangle 39"/>
                <wp:cNvGraphicFramePr/>
                <a:graphic xmlns:a="http://schemas.openxmlformats.org/drawingml/2006/main">
                  <a:graphicData uri="http://schemas.microsoft.com/office/word/2010/wordprocessingShape">
                    <wps:wsp>
                      <wps:cNvSpPr/>
                      <wps:spPr bwMode="gray">
                        <a:xfrm>
                          <a:off x="0" y="0"/>
                          <a:ext cx="6372045" cy="3416300"/>
                        </a:xfrm>
                        <a:prstGeom prst="rect">
                          <a:avLst/>
                        </a:prstGeom>
                        <a:solidFill>
                          <a:schemeClr val="bg2"/>
                        </a:solidFill>
                        <a:ln w="19050" algn="ctr">
                          <a:solidFill>
                            <a:srgbClr val="62B5E5"/>
                          </a:solidFill>
                          <a:miter lim="800000"/>
                          <a:headEnd/>
                          <a:tailEnd/>
                        </a:ln>
                      </wps:spPr>
                      <wps:txbx>
                        <w:txbxContent>
                          <w:p w14:paraId="656B219F" w14:textId="77777777" w:rsidR="00E752DE" w:rsidRPr="00FC0872" w:rsidRDefault="00E752DE" w:rsidP="00FD526C">
                            <w:pPr>
                              <w:ind w:right="-2694"/>
                              <w:rPr>
                                <w:rFonts w:cs="Segoe UI Light"/>
                                <w:b/>
                              </w:rPr>
                            </w:pPr>
                            <w:r w:rsidRPr="005D5854">
                              <w:rPr>
                                <w:rFonts w:cs="Segoe UI Light"/>
                                <w:b/>
                                <w:color w:val="012169" w:themeColor="accent4"/>
                              </w:rPr>
                              <w:t>Key points:</w:t>
                            </w:r>
                          </w:p>
                          <w:p w14:paraId="656B21A0" w14:textId="77777777" w:rsidR="00E752DE" w:rsidRPr="00DE4941" w:rsidRDefault="00E752DE" w:rsidP="00FD526C">
                            <w:pPr>
                              <w:ind w:right="108"/>
                              <w:rPr>
                                <w:rFonts w:cs="Segoe UI Light"/>
                                <w:szCs w:val="20"/>
                              </w:rPr>
                            </w:pPr>
                            <w:r w:rsidRPr="00DE4941">
                              <w:rPr>
                                <w:rFonts w:cs="Segoe UI Light"/>
                              </w:rPr>
                              <w:t xml:space="preserve">In 2015 a Ministerial </w:t>
                            </w:r>
                            <w:r w:rsidRPr="00DE4941">
                              <w:rPr>
                                <w:rFonts w:cs="Segoe UI Light"/>
                                <w:szCs w:val="20"/>
                              </w:rPr>
                              <w:t>Advisory Committee conducted an Independent Inquiry into EPA (the EPA Inquiry)</w:t>
                            </w:r>
                            <w:r>
                              <w:rPr>
                                <w:rFonts w:cs="Segoe UI Light"/>
                                <w:szCs w:val="20"/>
                              </w:rPr>
                              <w:t xml:space="preserve">. </w:t>
                            </w:r>
                          </w:p>
                          <w:p w14:paraId="656B21A1" w14:textId="77777777" w:rsidR="00E752DE" w:rsidRPr="00DE4941" w:rsidRDefault="00E752DE" w:rsidP="00FD526C">
                            <w:pPr>
                              <w:ind w:right="108"/>
                              <w:rPr>
                                <w:rFonts w:cs="Segoe UI Light"/>
                                <w:szCs w:val="20"/>
                              </w:rPr>
                            </w:pPr>
                            <w:r w:rsidRPr="00DE4941">
                              <w:rPr>
                                <w:rFonts w:cs="Segoe UI Light"/>
                                <w:szCs w:val="20"/>
                              </w:rPr>
                              <w:t>While the EPA Inquiry concluded that EPA and its governing legislation had served Victoria well in the past, it also found that</w:t>
                            </w:r>
                            <w:r>
                              <w:rPr>
                                <w:rFonts w:cs="Segoe UI Light"/>
                                <w:szCs w:val="20"/>
                              </w:rPr>
                              <w:t xml:space="preserve"> the</w:t>
                            </w:r>
                            <w:r w:rsidRPr="00DE4941">
                              <w:rPr>
                                <w:rFonts w:cs="Segoe UI Light"/>
                                <w:szCs w:val="20"/>
                              </w:rPr>
                              <w:t xml:space="preserve"> current legislative framework was not meet</w:t>
                            </w:r>
                            <w:r>
                              <w:rPr>
                                <w:rFonts w:cs="Segoe UI Light"/>
                                <w:szCs w:val="20"/>
                              </w:rPr>
                              <w:t>ing</w:t>
                            </w:r>
                            <w:r w:rsidRPr="00DE4941">
                              <w:rPr>
                                <w:rFonts w:cs="Segoe UI Light"/>
                                <w:szCs w:val="20"/>
                              </w:rPr>
                              <w:t xml:space="preserve"> the community’s</w:t>
                            </w:r>
                            <w:r w:rsidRPr="00FC0872">
                              <w:rPr>
                                <w:rFonts w:cs="Segoe UI Light"/>
                                <w:i/>
                                <w:szCs w:val="20"/>
                              </w:rPr>
                              <w:t xml:space="preserve"> </w:t>
                            </w:r>
                            <w:r w:rsidRPr="00DE4941">
                              <w:rPr>
                                <w:rFonts w:cs="Segoe UI Light"/>
                                <w:szCs w:val="20"/>
                              </w:rPr>
                              <w:t>expectations, particularly in light of the major trends and emerging challenges that will affect EPA’s role and activities going forward.</w:t>
                            </w:r>
                          </w:p>
                          <w:p w14:paraId="656B21A2" w14:textId="77777777" w:rsidR="00E752DE" w:rsidRPr="00DE4941" w:rsidRDefault="00E752DE" w:rsidP="00FD526C">
                            <w:pPr>
                              <w:spacing w:after="0"/>
                              <w:ind w:right="88"/>
                            </w:pPr>
                            <w:r w:rsidRPr="00DE4941">
                              <w:rPr>
                                <w:rFonts w:cs="Segoe UI Light"/>
                              </w:rPr>
                              <w:t xml:space="preserve">In response to these findings, major legislative reforms have been enacted. </w:t>
                            </w:r>
                            <w:r w:rsidRPr="00DE4941">
                              <w:rPr>
                                <w:rFonts w:cs="Segoe UI Light"/>
                                <w:szCs w:val="22"/>
                              </w:rPr>
                              <w:t>The Government</w:t>
                            </w:r>
                            <w:r>
                              <w:rPr>
                                <w:rFonts w:cs="Segoe UI Light"/>
                                <w:szCs w:val="22"/>
                              </w:rPr>
                              <w:t>’s r</w:t>
                            </w:r>
                            <w:r w:rsidRPr="00DE4941">
                              <w:rPr>
                                <w:rFonts w:cs="Segoe UI Light"/>
                                <w:szCs w:val="22"/>
                              </w:rPr>
                              <w:t xml:space="preserve">esponse committed to two legislative packages—the first comprising an Act to establish a new governance structure for a modern EPA, and </w:t>
                            </w:r>
                            <w:r w:rsidRPr="00DE4941">
                              <w:t xml:space="preserve">the second comprising an overhaul of the </w:t>
                            </w:r>
                            <w:r>
                              <w:t>EP</w:t>
                            </w:r>
                            <w:r w:rsidRPr="00DE4941">
                              <w:t xml:space="preserve"> Act 1970.</w:t>
                            </w:r>
                          </w:p>
                          <w:p w14:paraId="656B21A3" w14:textId="77777777" w:rsidR="00E752DE" w:rsidRPr="00DE4941" w:rsidRDefault="00E752DE" w:rsidP="00FD526C">
                            <w:pPr>
                              <w:spacing w:after="0"/>
                              <w:ind w:right="88"/>
                            </w:pPr>
                          </w:p>
                          <w:p w14:paraId="656B21A4" w14:textId="77777777" w:rsidR="00E752DE" w:rsidRPr="00DE4941" w:rsidRDefault="00E752DE" w:rsidP="00FD526C">
                            <w:pPr>
                              <w:ind w:right="88"/>
                              <w:rPr>
                                <w:rFonts w:cs="Segoe UI Light"/>
                                <w:szCs w:val="20"/>
                              </w:rPr>
                            </w:pPr>
                            <w:r w:rsidRPr="00DE4941">
                              <w:rPr>
                                <w:rFonts w:cs="Segoe UI Light"/>
                                <w:szCs w:val="20"/>
                              </w:rPr>
                              <w:t>The primary objective of the legislative reform was to modernise and strengthen the</w:t>
                            </w:r>
                            <w:r w:rsidRPr="00DE4941">
                              <w:t xml:space="preserve"> </w:t>
                            </w:r>
                            <w:r w:rsidRPr="00DE4941">
                              <w:rPr>
                                <w:rFonts w:cs="Segoe UI Light"/>
                                <w:szCs w:val="20"/>
                              </w:rPr>
                              <w:t xml:space="preserve">legislative framework for environment protection </w:t>
                            </w:r>
                            <w:r>
                              <w:rPr>
                                <w:rFonts w:cs="Segoe UI Light"/>
                                <w:szCs w:val="20"/>
                              </w:rPr>
                              <w:t xml:space="preserve">and human health </w:t>
                            </w:r>
                            <w:r w:rsidRPr="00DE4941">
                              <w:rPr>
                                <w:rFonts w:cs="Segoe UI Light"/>
                                <w:szCs w:val="20"/>
                              </w:rPr>
                              <w:t>in Victoria, including establishing a legislative model based on prevention of harm.</w:t>
                            </w:r>
                          </w:p>
                          <w:p w14:paraId="656B21A5" w14:textId="77777777" w:rsidR="00E752DE" w:rsidRDefault="00E752DE" w:rsidP="00FD526C">
                            <w:r w:rsidRPr="00DE4941">
                              <w:rPr>
                                <w:rFonts w:cs="Segoe UI Light"/>
                                <w:szCs w:val="20"/>
                              </w:rPr>
                              <w:t xml:space="preserve">A cornerstone of the new </w:t>
                            </w:r>
                            <w:r w:rsidRPr="0065408F">
                              <w:rPr>
                                <w:rFonts w:cs="Segoe UI Light"/>
                                <w:szCs w:val="20"/>
                              </w:rPr>
                              <w:t xml:space="preserve">arrangements is the establishment of </w:t>
                            </w:r>
                            <w:r>
                              <w:rPr>
                                <w:rFonts w:cs="Segoe UI Light"/>
                                <w:szCs w:val="20"/>
                              </w:rPr>
                              <w:t>the</w:t>
                            </w:r>
                            <w:r w:rsidRPr="0065408F">
                              <w:rPr>
                                <w:rFonts w:cs="Segoe UI Light"/>
                                <w:szCs w:val="20"/>
                              </w:rPr>
                              <w:t xml:space="preserve"> GED. </w:t>
                            </w:r>
                            <w:r>
                              <w:rPr>
                                <w:rFonts w:cs="Segoe UI Light"/>
                                <w:szCs w:val="20"/>
                              </w:rPr>
                              <w:t>Under t</w:t>
                            </w:r>
                            <w:r w:rsidRPr="0065408F">
                              <w:rPr>
                                <w:rFonts w:cs="Segoe UI Light"/>
                                <w:szCs w:val="20"/>
                              </w:rPr>
                              <w:t>he GED</w:t>
                            </w:r>
                            <w:r>
                              <w:rPr>
                                <w:rFonts w:cs="Segoe UI Light"/>
                                <w:szCs w:val="20"/>
                              </w:rPr>
                              <w:t>, a</w:t>
                            </w:r>
                            <w:r w:rsidRPr="00884A74">
                              <w:rPr>
                                <w:rFonts w:cs="Segoe UI Light"/>
                                <w:szCs w:val="20"/>
                              </w:rPr>
                              <w:t xml:space="preserve"> person who is engaging in an activity that may give rise to risks of harm to human health or the environment from pollution or waste must minimise those risks, so far as reasonably practicable</w:t>
                            </w:r>
                            <w:r w:rsidRPr="0065408F">
                              <w:rPr>
                                <w:rFonts w:cs="Segoe UI Light"/>
                                <w:szCs w:val="20"/>
                              </w:rPr>
                              <w:t xml:space="preserve">. This is a similar model of protection to that established in Victoria’s occupational health and safety laws. </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56B1E60" id="Rectangle 39" o:spid="_x0000_s1040" style="width:501.75pt;height:269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" fillcolor="#e7e6e6 [3214]" strokecolor="#62b5e5" strokeweight="1.5pt">
                <v:textbox inset="7pt,7pt,7pt,7pt">
                  <w:txbxContent>
                    <w:p w14:paraId="656B219F" w14:textId="77777777" w:rsidR="00E752DE" w:rsidRPr="00FC0872" w:rsidRDefault="00E752DE" w:rsidP="00FD526C">
                      <w:pPr>
                        <w:ind w:right="-2694"/>
                        <w:rPr>
                          <w:rFonts w:cs="Segoe UI Light"/>
                          <w:b/>
                        </w:rPr>
                      </w:pPr>
                      <w:r w:rsidRPr="005D5854">
                        <w:rPr>
                          <w:rFonts w:cs="Segoe UI Light"/>
                          <w:b/>
                          <w:color w:val="012169" w:themeColor="accent4"/>
                        </w:rPr>
                        <w:t>Key points:</w:t>
                      </w:r>
                    </w:p>
                    <w:p w14:paraId="656B21A0" w14:textId="77777777" w:rsidR="00E752DE" w:rsidRPr="00DE4941" w:rsidRDefault="00E752DE" w:rsidP="00FD526C">
                      <w:pPr>
                        <w:ind w:right="108"/>
                        <w:rPr>
                          <w:rFonts w:cs="Segoe UI Light"/>
                          <w:szCs w:val="20"/>
                        </w:rPr>
                      </w:pPr>
                      <w:r w:rsidRPr="00DE4941">
                        <w:rPr>
                          <w:rFonts w:cs="Segoe UI Light"/>
                        </w:rPr>
                        <w:t xml:space="preserve">In 2015 a Ministerial </w:t>
                      </w:r>
                      <w:r w:rsidRPr="00DE4941">
                        <w:rPr>
                          <w:rFonts w:cs="Segoe UI Light"/>
                          <w:szCs w:val="20"/>
                        </w:rPr>
                        <w:t>Advisory Committee conducted an Independent Inquiry into EPA (the EPA Inquiry)</w:t>
                      </w:r>
                      <w:r>
                        <w:rPr>
                          <w:rFonts w:cs="Segoe UI Light"/>
                          <w:szCs w:val="20"/>
                        </w:rPr>
                        <w:t xml:space="preserve">. </w:t>
                      </w:r>
                    </w:p>
                    <w:p w14:paraId="656B21A1" w14:textId="77777777" w:rsidR="00E752DE" w:rsidRPr="00DE4941" w:rsidRDefault="00E752DE" w:rsidP="00FD526C">
                      <w:pPr>
                        <w:ind w:right="108"/>
                        <w:rPr>
                          <w:rFonts w:cs="Segoe UI Light"/>
                          <w:szCs w:val="20"/>
                        </w:rPr>
                      </w:pPr>
                      <w:r w:rsidRPr="00DE4941">
                        <w:rPr>
                          <w:rFonts w:cs="Segoe UI Light"/>
                          <w:szCs w:val="20"/>
                        </w:rPr>
                        <w:t>While the EPA Inquiry concluded that EPA and its governing legislation had served Victoria well in the past, it also found that</w:t>
                      </w:r>
                      <w:r>
                        <w:rPr>
                          <w:rFonts w:cs="Segoe UI Light"/>
                          <w:szCs w:val="20"/>
                        </w:rPr>
                        <w:t xml:space="preserve"> the</w:t>
                      </w:r>
                      <w:r w:rsidRPr="00DE4941">
                        <w:rPr>
                          <w:rFonts w:cs="Segoe UI Light"/>
                          <w:szCs w:val="20"/>
                        </w:rPr>
                        <w:t xml:space="preserve"> current legislative framework was not meet</w:t>
                      </w:r>
                      <w:r>
                        <w:rPr>
                          <w:rFonts w:cs="Segoe UI Light"/>
                          <w:szCs w:val="20"/>
                        </w:rPr>
                        <w:t>ing</w:t>
                      </w:r>
                      <w:r w:rsidRPr="00DE4941">
                        <w:rPr>
                          <w:rFonts w:cs="Segoe UI Light"/>
                          <w:szCs w:val="20"/>
                        </w:rPr>
                        <w:t xml:space="preserve"> the community’s</w:t>
                      </w:r>
                      <w:r w:rsidRPr="00FC0872">
                        <w:rPr>
                          <w:rFonts w:cs="Segoe UI Light"/>
                          <w:i/>
                          <w:szCs w:val="20"/>
                        </w:rPr>
                        <w:t xml:space="preserve"> </w:t>
                      </w:r>
                      <w:r w:rsidRPr="00DE4941">
                        <w:rPr>
                          <w:rFonts w:cs="Segoe UI Light"/>
                          <w:szCs w:val="20"/>
                        </w:rPr>
                        <w:t>expectations, particularly in light of the major trends and emerging challenges that will affect EPA’s role and activities going forward.</w:t>
                      </w:r>
                    </w:p>
                    <w:p w14:paraId="656B21A2" w14:textId="77777777" w:rsidR="00E752DE" w:rsidRPr="00DE4941" w:rsidRDefault="00E752DE" w:rsidP="00FD526C">
                      <w:pPr>
                        <w:spacing w:after="0"/>
                        <w:ind w:right="88"/>
                      </w:pPr>
                      <w:r w:rsidRPr="00DE4941">
                        <w:rPr>
                          <w:rFonts w:cs="Segoe UI Light"/>
                        </w:rPr>
                        <w:t xml:space="preserve">In response to these findings, major legislative reforms have been enacted. </w:t>
                      </w:r>
                      <w:r w:rsidRPr="00DE4941">
                        <w:rPr>
                          <w:rFonts w:cs="Segoe UI Light"/>
                          <w:szCs w:val="22"/>
                        </w:rPr>
                        <w:t>The Government</w:t>
                      </w:r>
                      <w:r>
                        <w:rPr>
                          <w:rFonts w:cs="Segoe UI Light"/>
                          <w:szCs w:val="22"/>
                        </w:rPr>
                        <w:t>’s r</w:t>
                      </w:r>
                      <w:r w:rsidRPr="00DE4941">
                        <w:rPr>
                          <w:rFonts w:cs="Segoe UI Light"/>
                          <w:szCs w:val="22"/>
                        </w:rPr>
                        <w:t xml:space="preserve">esponse committed to two legislative packages—the first comprising an Act to establish a new governance structure for a modern EPA, and </w:t>
                      </w:r>
                      <w:r w:rsidRPr="00DE4941">
                        <w:t xml:space="preserve">the second comprising an overhaul of the </w:t>
                      </w:r>
                      <w:r>
                        <w:t>EP</w:t>
                      </w:r>
                      <w:r w:rsidRPr="00DE4941">
                        <w:t xml:space="preserve"> Act 1970.</w:t>
                      </w:r>
                    </w:p>
                    <w:p w14:paraId="656B21A3" w14:textId="77777777" w:rsidR="00E752DE" w:rsidRPr="00DE4941" w:rsidRDefault="00E752DE" w:rsidP="00FD526C">
                      <w:pPr>
                        <w:spacing w:after="0"/>
                        <w:ind w:right="88"/>
                      </w:pPr>
                    </w:p>
                    <w:p w14:paraId="656B21A4" w14:textId="77777777" w:rsidR="00E752DE" w:rsidRPr="00DE4941" w:rsidRDefault="00E752DE" w:rsidP="00FD526C">
                      <w:pPr>
                        <w:ind w:right="88"/>
                        <w:rPr>
                          <w:rFonts w:cs="Segoe UI Light"/>
                          <w:szCs w:val="20"/>
                        </w:rPr>
                      </w:pPr>
                      <w:r w:rsidRPr="00DE4941">
                        <w:rPr>
                          <w:rFonts w:cs="Segoe UI Light"/>
                          <w:szCs w:val="20"/>
                        </w:rPr>
                        <w:t>The primary objective of the legislative reform was to modernise and strengthen the</w:t>
                      </w:r>
                      <w:r w:rsidRPr="00DE4941">
                        <w:t xml:space="preserve"> </w:t>
                      </w:r>
                      <w:r w:rsidRPr="00DE4941">
                        <w:rPr>
                          <w:rFonts w:cs="Segoe UI Light"/>
                          <w:szCs w:val="20"/>
                        </w:rPr>
                        <w:t xml:space="preserve">legislative framework for environment protection </w:t>
                      </w:r>
                      <w:r>
                        <w:rPr>
                          <w:rFonts w:cs="Segoe UI Light"/>
                          <w:szCs w:val="20"/>
                        </w:rPr>
                        <w:t xml:space="preserve">and human health </w:t>
                      </w:r>
                      <w:r w:rsidRPr="00DE4941">
                        <w:rPr>
                          <w:rFonts w:cs="Segoe UI Light"/>
                          <w:szCs w:val="20"/>
                        </w:rPr>
                        <w:t>in Victoria, including establishing a legislative model based on prevention of harm.</w:t>
                      </w:r>
                    </w:p>
                    <w:p w14:paraId="656B21A5" w14:textId="77777777" w:rsidR="00E752DE" w:rsidRDefault="00E752DE" w:rsidP="00FD526C">
                      <w:r w:rsidRPr="00DE4941">
                        <w:rPr>
                          <w:rFonts w:cs="Segoe UI Light"/>
                          <w:szCs w:val="20"/>
                        </w:rPr>
                        <w:t xml:space="preserve">A cornerstone of the new </w:t>
                      </w:r>
                      <w:r w:rsidRPr="0065408F">
                        <w:rPr>
                          <w:rFonts w:cs="Segoe UI Light"/>
                          <w:szCs w:val="20"/>
                        </w:rPr>
                        <w:t xml:space="preserve">arrangements is the establishment of </w:t>
                      </w:r>
                      <w:r>
                        <w:rPr>
                          <w:rFonts w:cs="Segoe UI Light"/>
                          <w:szCs w:val="20"/>
                        </w:rPr>
                        <w:t>the</w:t>
                      </w:r>
                      <w:r w:rsidRPr="0065408F">
                        <w:rPr>
                          <w:rFonts w:cs="Segoe UI Light"/>
                          <w:szCs w:val="20"/>
                        </w:rPr>
                        <w:t xml:space="preserve"> GED. </w:t>
                      </w:r>
                      <w:r>
                        <w:rPr>
                          <w:rFonts w:cs="Segoe UI Light"/>
                          <w:szCs w:val="20"/>
                        </w:rPr>
                        <w:t>Under t</w:t>
                      </w:r>
                      <w:r w:rsidRPr="0065408F">
                        <w:rPr>
                          <w:rFonts w:cs="Segoe UI Light"/>
                          <w:szCs w:val="20"/>
                        </w:rPr>
                        <w:t>he GED</w:t>
                      </w:r>
                      <w:r>
                        <w:rPr>
                          <w:rFonts w:cs="Segoe UI Light"/>
                          <w:szCs w:val="20"/>
                        </w:rPr>
                        <w:t>, a</w:t>
                      </w:r>
                      <w:r w:rsidRPr="00884A74">
                        <w:rPr>
                          <w:rFonts w:cs="Segoe UI Light"/>
                          <w:szCs w:val="20"/>
                        </w:rPr>
                        <w:t xml:space="preserve"> person who is engaging in an activity that may give rise to risks of harm to human health or the environment from pollution or waste must minimise those risks, so far as reasonably practicable</w:t>
                      </w:r>
                      <w:r w:rsidRPr="0065408F">
                        <w:rPr>
                          <w:rFonts w:cs="Segoe UI Light"/>
                          <w:szCs w:val="20"/>
                        </w:rPr>
                        <w:t xml:space="preserve">. This is a similar model of protection to that established in Victoria’s occupational health and safety laws. </w:t>
                      </w:r>
                    </w:p>
                  </w:txbxContent>
                </v:textbox>
                <w10:anchorlock/>
              </v:rect>
            </w:pict>
          </mc:Fallback>
        </mc:AlternateContent>
      </w:r>
    </w:p>
    <w:p w14:paraId="656AFE24" w14:textId="77777777" w:rsidR="00B70E30" w:rsidRPr="00FD526C" w:rsidRDefault="00B70E30" w:rsidP="00982D63">
      <w:pPr>
        <w:pStyle w:val="Heading2"/>
      </w:pPr>
      <w:r w:rsidRPr="00FD526C">
        <w:t>Current legal framework</w:t>
      </w:r>
    </w:p>
    <w:p w14:paraId="656AFE25" w14:textId="77777777" w:rsidR="00B70E30" w:rsidRPr="00FD526C" w:rsidRDefault="00B70E30" w:rsidP="00D66FCE">
      <w:pPr>
        <w:pStyle w:val="Heading3"/>
        <w:ind w:left="720"/>
        <w:rPr>
          <w:b w:val="0"/>
        </w:rPr>
      </w:pPr>
      <w:r w:rsidRPr="00FD526C">
        <w:t>Acts</w:t>
      </w:r>
    </w:p>
    <w:p w14:paraId="656AFE26" w14:textId="77777777" w:rsidR="00B70E30" w:rsidRPr="00B70E30" w:rsidRDefault="00963F6D" w:rsidP="00B70E30">
      <w:pPr>
        <w:rPr>
          <w:rFonts w:cs="Segoe UI Light"/>
          <w:szCs w:val="20"/>
        </w:rPr>
      </w:pPr>
      <w:r>
        <w:rPr>
          <w:rFonts w:cs="Segoe UI Light"/>
          <w:szCs w:val="20"/>
        </w:rPr>
        <w:t>The protection of the environment and</w:t>
      </w:r>
      <w:r w:rsidR="009E3221">
        <w:rPr>
          <w:rFonts w:cs="Segoe UI Light"/>
          <w:szCs w:val="20"/>
        </w:rPr>
        <w:t xml:space="preserve"> human health </w:t>
      </w:r>
      <w:r w:rsidR="00B70E30" w:rsidRPr="00B70E30">
        <w:rPr>
          <w:rFonts w:cs="Segoe UI Light"/>
          <w:szCs w:val="20"/>
        </w:rPr>
        <w:t>in Victoria is currently governed by the historic governing legislation, the EP Act 1970, and the new EP Act 2017.</w:t>
      </w:r>
    </w:p>
    <w:p w14:paraId="656AFE27" w14:textId="77777777" w:rsidR="00B70E30" w:rsidRPr="00B70E30" w:rsidRDefault="00B70E30" w:rsidP="00B70E30">
      <w:pPr>
        <w:rPr>
          <w:rFonts w:cs="Segoe UI Light"/>
          <w:szCs w:val="20"/>
        </w:rPr>
      </w:pPr>
      <w:r w:rsidRPr="00B70E30">
        <w:rPr>
          <w:rFonts w:cs="Segoe UI Light"/>
          <w:szCs w:val="20"/>
        </w:rPr>
        <w:t xml:space="preserve">The EP Act 1970 has been in place for nearly 50 years. It provides </w:t>
      </w:r>
      <w:r w:rsidR="009E3221">
        <w:rPr>
          <w:rFonts w:cs="Segoe UI Light"/>
          <w:szCs w:val="20"/>
        </w:rPr>
        <w:t xml:space="preserve">the </w:t>
      </w:r>
      <w:r w:rsidRPr="00B70E30">
        <w:rPr>
          <w:rFonts w:cs="Segoe UI Light"/>
          <w:szCs w:val="20"/>
        </w:rPr>
        <w:t xml:space="preserve">legal framework to protect the environment in the State of Victoria. </w:t>
      </w:r>
      <w:r w:rsidR="00FD526C" w:rsidRPr="00FD526C">
        <w:rPr>
          <w:rFonts w:cs="Segoe UI Light"/>
          <w:szCs w:val="20"/>
        </w:rPr>
        <w:t>The EP Act 1970 establishes EPA and sets out its powers, duties and functions. The main matters covered by the EP Act 1970</w:t>
      </w:r>
      <w:r w:rsidRPr="00B70E30">
        <w:rPr>
          <w:rFonts w:cs="Segoe UI Light"/>
          <w:szCs w:val="20"/>
        </w:rPr>
        <w:t xml:space="preserve"> are:</w:t>
      </w:r>
    </w:p>
    <w:p w14:paraId="656AFE28" w14:textId="77777777" w:rsidR="00B70E30" w:rsidRPr="00B70E30" w:rsidRDefault="009144CD" w:rsidP="004A2442">
      <w:pPr>
        <w:numPr>
          <w:ilvl w:val="0"/>
          <w:numId w:val="27"/>
        </w:numPr>
        <w:contextualSpacing/>
        <w:rPr>
          <w:rFonts w:cs="Segoe UI Light"/>
          <w:szCs w:val="20"/>
        </w:rPr>
      </w:pPr>
      <w:hyperlink r:id="rId22" w:anchor="pollution" w:history="1">
        <w:r w:rsidR="00B70E30" w:rsidRPr="00B70E30">
          <w:rPr>
            <w:rFonts w:cs="Segoe UI Light"/>
            <w:szCs w:val="20"/>
          </w:rPr>
          <w:t>Pollution of air, land and water</w:t>
        </w:r>
      </w:hyperlink>
    </w:p>
    <w:p w14:paraId="656AFE29" w14:textId="77777777" w:rsidR="00B70E30" w:rsidRPr="00B70E30" w:rsidRDefault="009144CD" w:rsidP="004A2442">
      <w:pPr>
        <w:numPr>
          <w:ilvl w:val="0"/>
          <w:numId w:val="27"/>
        </w:numPr>
        <w:contextualSpacing/>
        <w:rPr>
          <w:rFonts w:cs="Segoe UI Light"/>
          <w:szCs w:val="20"/>
        </w:rPr>
      </w:pPr>
      <w:hyperlink r:id="rId23" w:anchor="waste" w:history="1">
        <w:r w:rsidR="00B70E30" w:rsidRPr="00B70E30">
          <w:rPr>
            <w:rFonts w:cs="Segoe UI Light"/>
            <w:szCs w:val="20"/>
          </w:rPr>
          <w:t>Waste</w:t>
        </w:r>
      </w:hyperlink>
    </w:p>
    <w:p w14:paraId="656AFE2A" w14:textId="77777777" w:rsidR="00B70E30" w:rsidRPr="00B70E30" w:rsidRDefault="009144CD" w:rsidP="004A2442">
      <w:pPr>
        <w:numPr>
          <w:ilvl w:val="0"/>
          <w:numId w:val="27"/>
        </w:numPr>
        <w:contextualSpacing/>
        <w:rPr>
          <w:rFonts w:cs="Segoe UI Light"/>
          <w:szCs w:val="20"/>
        </w:rPr>
      </w:pPr>
      <w:hyperlink r:id="rId24" w:anchor="litter" w:history="1">
        <w:r w:rsidR="00B70E30" w:rsidRPr="00B70E30">
          <w:rPr>
            <w:rFonts w:cs="Segoe UI Light"/>
            <w:szCs w:val="20"/>
          </w:rPr>
          <w:t>Litter</w:t>
        </w:r>
      </w:hyperlink>
    </w:p>
    <w:p w14:paraId="656AFE2B" w14:textId="77777777" w:rsidR="00B70E30" w:rsidRPr="00B70E30" w:rsidRDefault="009144CD" w:rsidP="004A2442">
      <w:pPr>
        <w:numPr>
          <w:ilvl w:val="0"/>
          <w:numId w:val="27"/>
        </w:numPr>
        <w:contextualSpacing/>
        <w:rPr>
          <w:rFonts w:cs="Segoe UI Light"/>
          <w:szCs w:val="20"/>
        </w:rPr>
      </w:pPr>
      <w:hyperlink r:id="rId25" w:anchor="Noise" w:history="1">
        <w:r w:rsidR="00B70E30" w:rsidRPr="00B70E30">
          <w:rPr>
            <w:rFonts w:cs="Segoe UI Light"/>
            <w:szCs w:val="20"/>
          </w:rPr>
          <w:t>Noise</w:t>
        </w:r>
      </w:hyperlink>
    </w:p>
    <w:p w14:paraId="656AFE2C" w14:textId="77777777" w:rsidR="00B70E30" w:rsidRPr="00B70E30" w:rsidRDefault="009144CD" w:rsidP="004A2442">
      <w:pPr>
        <w:numPr>
          <w:ilvl w:val="0"/>
          <w:numId w:val="27"/>
        </w:numPr>
        <w:contextualSpacing/>
        <w:rPr>
          <w:rFonts w:cs="Segoe UI Light"/>
          <w:szCs w:val="20"/>
        </w:rPr>
      </w:pPr>
      <w:hyperlink r:id="rId26" w:anchor="Motorvehicles" w:history="1">
        <w:r w:rsidR="00B70E30" w:rsidRPr="00B70E30">
          <w:rPr>
            <w:rFonts w:cs="Segoe UI Light"/>
            <w:szCs w:val="20"/>
          </w:rPr>
          <w:t>Motor vehicles</w:t>
        </w:r>
      </w:hyperlink>
      <w:r w:rsidR="00213BAD">
        <w:rPr>
          <w:rFonts w:cs="Segoe UI Light"/>
          <w:szCs w:val="20"/>
        </w:rPr>
        <w:t>.</w:t>
      </w:r>
    </w:p>
    <w:p w14:paraId="656AFE2D" w14:textId="77777777" w:rsidR="00FD526C" w:rsidRPr="00FD526C" w:rsidRDefault="0026462A" w:rsidP="000A3A20">
      <w:pPr>
        <w:spacing w:after="0"/>
        <w:contextualSpacing/>
        <w:rPr>
          <w:rFonts w:cs="Segoe UI Light"/>
          <w:szCs w:val="20"/>
        </w:rPr>
      </w:pPr>
      <w:r>
        <w:rPr>
          <w:rFonts w:cs="Segoe UI Light"/>
          <w:color w:val="2B579A"/>
          <w:szCs w:val="20"/>
          <w:shd w:val="clear" w:color="auto" w:fill="E6E6E6"/>
        </w:rPr>
        <w:fldChar w:fldCharType="begin"/>
      </w:r>
      <w:r>
        <w:rPr>
          <w:rFonts w:cs="Segoe UI Light"/>
          <w:color w:val="2B579A"/>
          <w:szCs w:val="20"/>
          <w:shd w:val="clear" w:color="auto" w:fill="E6E6E6"/>
        </w:rPr>
        <w:fldChar w:fldCharType="separate"/>
      </w:r>
      <w:r w:rsidR="00B70E30" w:rsidRPr="00B70E30">
        <w:rPr>
          <w:rFonts w:cs="Segoe UI Light"/>
          <w:szCs w:val="20"/>
        </w:rPr>
        <w:t>Hazardous chemicals</w:t>
      </w:r>
      <w:r>
        <w:rPr>
          <w:rFonts w:cs="Segoe UI Light"/>
          <w:color w:val="2B579A"/>
          <w:szCs w:val="20"/>
          <w:shd w:val="clear" w:color="auto" w:fill="E6E6E6"/>
        </w:rPr>
        <w:fldChar w:fldCharType="end"/>
      </w:r>
    </w:p>
    <w:p w14:paraId="656AFE2E" w14:textId="77777777" w:rsidR="00FD526C" w:rsidRPr="009B48F2" w:rsidRDefault="00FD526C" w:rsidP="00FD526C">
      <w:pPr>
        <w:rPr>
          <w:rFonts w:cs="Segoe UI Light"/>
          <w:szCs w:val="20"/>
        </w:rPr>
      </w:pPr>
      <w:r w:rsidRPr="00FD526C">
        <w:rPr>
          <w:rFonts w:cs="Segoe UI Light"/>
          <w:szCs w:val="20"/>
        </w:rPr>
        <w:t xml:space="preserve">The EP Act 2017, which came into effect on 1 July 2018, has modernised EPA’s corporate governance and strengthened its status as a science-based regulator. It did this by legislating the role of a Governing Board, Chief Executive Officer and Chief Environmental Scientist. The EPA Act 2017 established the </w:t>
      </w:r>
      <w:r w:rsidR="009E3221">
        <w:rPr>
          <w:rFonts w:cs="Segoe UI Light"/>
          <w:szCs w:val="20"/>
        </w:rPr>
        <w:t xml:space="preserve">new </w:t>
      </w:r>
      <w:r w:rsidRPr="00FD526C">
        <w:rPr>
          <w:rFonts w:cs="Segoe UI Light"/>
          <w:szCs w:val="20"/>
        </w:rPr>
        <w:t xml:space="preserve">legislative objective for EPA, being to “protect human health and the environment by </w:t>
      </w:r>
      <w:r w:rsidRPr="009B48F2">
        <w:rPr>
          <w:rFonts w:cs="Segoe UI Light"/>
          <w:szCs w:val="20"/>
        </w:rPr>
        <w:t>reducing the harmful effects of pollution and waste.” EPA currently administers the EP Act 2017 and the EP Act 1970</w:t>
      </w:r>
      <w:r w:rsidR="003963A3" w:rsidRPr="009B48F2">
        <w:rPr>
          <w:rFonts w:cs="Segoe UI Light"/>
          <w:szCs w:val="20"/>
        </w:rPr>
        <w:t>,</w:t>
      </w:r>
      <w:r w:rsidRPr="009B48F2">
        <w:rPr>
          <w:rFonts w:cs="Segoe UI Light"/>
          <w:szCs w:val="20"/>
        </w:rPr>
        <w:t xml:space="preserve"> and any regulations</w:t>
      </w:r>
      <w:r w:rsidR="009E3221" w:rsidRPr="009B48F2">
        <w:rPr>
          <w:rFonts w:cs="Segoe UI Light"/>
          <w:szCs w:val="20"/>
        </w:rPr>
        <w:t>, policies</w:t>
      </w:r>
      <w:r w:rsidRPr="009B48F2">
        <w:rPr>
          <w:rFonts w:cs="Segoe UI Light"/>
          <w:szCs w:val="20"/>
        </w:rPr>
        <w:t xml:space="preserve"> and Orders made under those Acts. </w:t>
      </w:r>
    </w:p>
    <w:p w14:paraId="656AFE2F" w14:textId="77777777" w:rsidR="009E3221" w:rsidRPr="009E3221" w:rsidRDefault="009E3221" w:rsidP="009E3221">
      <w:pPr>
        <w:ind w:right="565"/>
        <w:rPr>
          <w:rFonts w:cs="Segoe UI Light"/>
          <w:szCs w:val="20"/>
        </w:rPr>
      </w:pPr>
      <w:r w:rsidRPr="009B48F2">
        <w:t xml:space="preserve">The new EP legislation </w:t>
      </w:r>
      <w:r w:rsidR="002B2890" w:rsidRPr="009B48F2">
        <w:t>is intended to come</w:t>
      </w:r>
      <w:r w:rsidR="00382009" w:rsidRPr="009B48F2">
        <w:t xml:space="preserve"> into</w:t>
      </w:r>
      <w:r w:rsidRPr="009B48F2">
        <w:t xml:space="preserve"> effect on 1 July 2020, with the repeal of the EP Act 1970</w:t>
      </w:r>
      <w:r w:rsidR="00584202" w:rsidRPr="009B48F2">
        <w:t>,</w:t>
      </w:r>
      <w:r w:rsidRPr="009B48F2">
        <w:t xml:space="preserve"> and will, from that date, </w:t>
      </w:r>
      <w:r w:rsidR="00205D70" w:rsidRPr="009B48F2">
        <w:t>provide for a</w:t>
      </w:r>
      <w:r w:rsidRPr="009B48F2">
        <w:t xml:space="preserve"> new modern approach that focuses</w:t>
      </w:r>
      <w:r w:rsidRPr="009E3221">
        <w:t xml:space="preserve"> on preventing the harmful effects of pollution and waste, rather than managing impacts after they have occurred</w:t>
      </w:r>
      <w:r w:rsidRPr="009E3221">
        <w:rPr>
          <w:rFonts w:cs="Segoe UI Light"/>
          <w:szCs w:val="20"/>
        </w:rPr>
        <w:t>. Further discussion about the reform process and new legislative framework is provided in Section</w:t>
      </w:r>
      <w:r w:rsidR="00205D70">
        <w:rPr>
          <w:rFonts w:cs="Segoe UI Light"/>
          <w:szCs w:val="20"/>
        </w:rPr>
        <w:t>s</w:t>
      </w:r>
      <w:r w:rsidRPr="009E3221">
        <w:rPr>
          <w:rFonts w:cs="Segoe UI Light"/>
          <w:szCs w:val="20"/>
        </w:rPr>
        <w:t xml:space="preserve"> 2.3 and 2.4.</w:t>
      </w:r>
    </w:p>
    <w:p w14:paraId="656AFE30" w14:textId="77777777" w:rsidR="009E3221" w:rsidRPr="009E3221" w:rsidRDefault="009E3221" w:rsidP="009E3221">
      <w:pPr>
        <w:rPr>
          <w:rFonts w:cs="Segoe UI Light"/>
          <w:szCs w:val="20"/>
        </w:rPr>
      </w:pPr>
      <w:r w:rsidRPr="009E3221">
        <w:rPr>
          <w:rFonts w:cs="Segoe UI Light"/>
          <w:szCs w:val="20"/>
        </w:rPr>
        <w:t>EPA also jointly administers:</w:t>
      </w:r>
    </w:p>
    <w:p w14:paraId="656AFE31" w14:textId="77777777" w:rsidR="009E3221" w:rsidRPr="009E3221" w:rsidRDefault="009E3221" w:rsidP="009E3221">
      <w:pPr>
        <w:numPr>
          <w:ilvl w:val="0"/>
          <w:numId w:val="18"/>
        </w:numPr>
        <w:spacing w:after="0"/>
        <w:contextualSpacing/>
        <w:rPr>
          <w:rFonts w:cs="Segoe UI Light"/>
          <w:szCs w:val="20"/>
        </w:rPr>
      </w:pPr>
      <w:r w:rsidRPr="009E3221">
        <w:rPr>
          <w:rFonts w:cs="Segoe UI Light"/>
          <w:szCs w:val="20"/>
        </w:rPr>
        <w:t xml:space="preserve">The </w:t>
      </w:r>
      <w:hyperlink r:id="rId27" w:history="1">
        <w:r w:rsidRPr="009E3221">
          <w:rPr>
            <w:rFonts w:cs="Segoe UI Light"/>
            <w:i/>
            <w:szCs w:val="20"/>
          </w:rPr>
          <w:t>Pollution of Waters by Oils and Noxious Substances Act 1986</w:t>
        </w:r>
      </w:hyperlink>
      <w:r w:rsidRPr="009E3221">
        <w:rPr>
          <w:rFonts w:cs="Segoe UI Light"/>
          <w:szCs w:val="20"/>
        </w:rPr>
        <w:t>, the purpose of which is to protect the sea and other waters from pollution by oil and noxious substances</w:t>
      </w:r>
      <w:r w:rsidR="0031569A">
        <w:rPr>
          <w:rFonts w:cs="Segoe UI Light"/>
          <w:szCs w:val="20"/>
        </w:rPr>
        <w:t>.</w:t>
      </w:r>
    </w:p>
    <w:p w14:paraId="656AFE32" w14:textId="77777777" w:rsidR="009E3221" w:rsidRDefault="009E3221" w:rsidP="009E3221">
      <w:pPr>
        <w:numPr>
          <w:ilvl w:val="0"/>
          <w:numId w:val="19"/>
        </w:numPr>
        <w:ind w:right="565"/>
        <w:contextualSpacing/>
        <w:textboxTightWrap w:val="allLines"/>
        <w:rPr>
          <w:rFonts w:cs="Segoe UI Light"/>
          <w:szCs w:val="20"/>
        </w:rPr>
      </w:pPr>
      <w:r w:rsidRPr="009E3221">
        <w:rPr>
          <w:rFonts w:cs="Segoe UI Light"/>
          <w:szCs w:val="20"/>
        </w:rPr>
        <w:t xml:space="preserve">The </w:t>
      </w:r>
      <w:hyperlink r:id="rId28" w:history="1">
        <w:r w:rsidRPr="009E3221">
          <w:rPr>
            <w:rFonts w:cs="Segoe UI Light"/>
            <w:i/>
            <w:szCs w:val="20"/>
          </w:rPr>
          <w:t>National Environment Protection Council (Victoria) Act 1995</w:t>
        </w:r>
      </w:hyperlink>
      <w:r w:rsidRPr="009E3221">
        <w:rPr>
          <w:rFonts w:cs="Segoe UI Light"/>
          <w:szCs w:val="20"/>
        </w:rPr>
        <w:t>, which establishes the National Environment Protection Council, compris</w:t>
      </w:r>
      <w:r w:rsidR="00DE6BC4">
        <w:rPr>
          <w:rFonts w:cs="Segoe UI Light"/>
          <w:szCs w:val="20"/>
        </w:rPr>
        <w:t>ing</w:t>
      </w:r>
      <w:r w:rsidRPr="009E3221">
        <w:rPr>
          <w:rFonts w:cs="Segoe UI Light"/>
          <w:szCs w:val="20"/>
        </w:rPr>
        <w:t xml:space="preserve"> a Minister from the Commonwealth and each state and territory, the purpose of which is to ensure people are equally protected from air, water and soil pollution</w:t>
      </w:r>
      <w:r w:rsidR="0024349F">
        <w:rPr>
          <w:rFonts w:cs="Segoe UI Light"/>
          <w:szCs w:val="20"/>
        </w:rPr>
        <w:t>,</w:t>
      </w:r>
      <w:r w:rsidRPr="009E3221">
        <w:rPr>
          <w:rFonts w:cs="Segoe UI Light"/>
          <w:szCs w:val="20"/>
        </w:rPr>
        <w:t xml:space="preserve"> and from noise, no matter where they live in Australia. </w:t>
      </w:r>
    </w:p>
    <w:p w14:paraId="656AFE33" w14:textId="77777777" w:rsidR="009E3221" w:rsidRPr="009E3221" w:rsidRDefault="009E3221" w:rsidP="000E7C5E">
      <w:pPr>
        <w:ind w:left="720" w:right="565"/>
        <w:contextualSpacing/>
        <w:textboxTightWrap w:val="allLines"/>
        <w:rPr>
          <w:rFonts w:cs="Segoe UI Light"/>
          <w:szCs w:val="20"/>
        </w:rPr>
      </w:pPr>
    </w:p>
    <w:p w14:paraId="656AFE34" w14:textId="77777777" w:rsidR="009E3221" w:rsidRPr="009E3221" w:rsidRDefault="009E3221" w:rsidP="000E7C5E">
      <w:pPr>
        <w:spacing w:before="120"/>
        <w:ind w:right="565"/>
      </w:pPr>
      <w:r w:rsidRPr="009E3221">
        <w:t xml:space="preserve">These two Acts will continue to apply after commencement of the new EP legislation and are not </w:t>
      </w:r>
      <w:r w:rsidR="00963F6D">
        <w:t>discussed further</w:t>
      </w:r>
      <w:r w:rsidRPr="009E3221">
        <w:t xml:space="preserve"> in this RIS.</w:t>
      </w:r>
    </w:p>
    <w:p w14:paraId="656AFE35" w14:textId="77777777" w:rsidR="00B70E30" w:rsidRPr="00FD526C" w:rsidRDefault="00B70E30" w:rsidP="009B48F2">
      <w:pPr>
        <w:pStyle w:val="Heading3"/>
        <w:ind w:left="720"/>
        <w:rPr>
          <w:b w:val="0"/>
          <w:lang w:val="en"/>
        </w:rPr>
      </w:pPr>
      <w:r w:rsidRPr="00FD526C">
        <w:t>Regulations</w:t>
      </w:r>
    </w:p>
    <w:p w14:paraId="656AFE36" w14:textId="30222BBB" w:rsidR="00FD526C" w:rsidRPr="00FD526C" w:rsidRDefault="00FD526C" w:rsidP="00FD526C">
      <w:pPr>
        <w:ind w:right="565"/>
        <w:rPr>
          <w:rFonts w:cs="Segoe UI Light"/>
          <w:szCs w:val="20"/>
        </w:rPr>
      </w:pPr>
      <w:r w:rsidRPr="00FD526C">
        <w:rPr>
          <w:rFonts w:cs="Segoe UI Light"/>
          <w:szCs w:val="20"/>
        </w:rPr>
        <w:t xml:space="preserve">The following </w:t>
      </w:r>
      <w:r w:rsidR="004E20B2">
        <w:rPr>
          <w:rFonts w:cs="Segoe UI Light"/>
          <w:szCs w:val="20"/>
        </w:rPr>
        <w:t>R</w:t>
      </w:r>
      <w:r w:rsidRPr="00FD526C">
        <w:rPr>
          <w:rFonts w:cs="Segoe UI Light"/>
          <w:szCs w:val="20"/>
        </w:rPr>
        <w:t>egulations currently set out mandatory requirements under the EP Act 1970:</w:t>
      </w:r>
    </w:p>
    <w:p w14:paraId="656AFE37" w14:textId="77777777" w:rsidR="00B70E30" w:rsidRPr="00B70E30" w:rsidRDefault="009144CD" w:rsidP="004A2442">
      <w:pPr>
        <w:numPr>
          <w:ilvl w:val="0"/>
          <w:numId w:val="19"/>
        </w:numPr>
        <w:ind w:right="565"/>
        <w:contextualSpacing/>
        <w:rPr>
          <w:rFonts w:cs="Segoe UI Light"/>
          <w:szCs w:val="20"/>
        </w:rPr>
      </w:pPr>
      <w:hyperlink r:id="rId29" w:anchor="landfill" w:history="1">
        <w:r w:rsidR="00B70E30" w:rsidRPr="00B70E30">
          <w:rPr>
            <w:rFonts w:cs="Segoe UI Light"/>
            <w:szCs w:val="20"/>
          </w:rPr>
          <w:t>Environment Protection (Distribution of Landfill Levy) Regulations 2010</w:t>
        </w:r>
      </w:hyperlink>
      <w:r w:rsidR="009E3221">
        <w:rPr>
          <w:rFonts w:cs="Segoe UI Light"/>
          <w:szCs w:val="20"/>
        </w:rPr>
        <w:t>.</w:t>
      </w:r>
    </w:p>
    <w:p w14:paraId="656AFE38" w14:textId="77777777" w:rsidR="00B70E30" w:rsidRPr="00B70E30" w:rsidRDefault="009144CD" w:rsidP="004A2442">
      <w:pPr>
        <w:numPr>
          <w:ilvl w:val="0"/>
          <w:numId w:val="19"/>
        </w:numPr>
        <w:ind w:right="565"/>
        <w:contextualSpacing/>
        <w:rPr>
          <w:rFonts w:cs="Segoe UI Light"/>
          <w:szCs w:val="20"/>
        </w:rPr>
      </w:pPr>
      <w:hyperlink r:id="rId30" w:anchor="fees" w:history="1">
        <w:r w:rsidR="00B70E30" w:rsidRPr="00B70E30">
          <w:rPr>
            <w:rFonts w:cs="Segoe UI Light"/>
            <w:szCs w:val="20"/>
          </w:rPr>
          <w:t>Environment Protection (Fees) Regulations 2012</w:t>
        </w:r>
      </w:hyperlink>
      <w:r w:rsidR="009E3221">
        <w:rPr>
          <w:rFonts w:cs="Segoe UI Light"/>
          <w:szCs w:val="20"/>
        </w:rPr>
        <w:t>.</w:t>
      </w:r>
    </w:p>
    <w:p w14:paraId="656AFE39" w14:textId="77777777" w:rsidR="00B70E30" w:rsidRPr="00B70E30" w:rsidRDefault="009144CD">
      <w:pPr>
        <w:numPr>
          <w:ilvl w:val="0"/>
          <w:numId w:val="19"/>
        </w:numPr>
        <w:ind w:right="565"/>
        <w:contextualSpacing/>
        <w:rPr>
          <w:rFonts w:cs="Segoe UI Light"/>
          <w:szCs w:val="20"/>
        </w:rPr>
      </w:pPr>
      <w:hyperlink r:id="rId31" w:anchor="iwr" w:history="1">
        <w:r w:rsidR="00B70E30" w:rsidRPr="00B70E30">
          <w:rPr>
            <w:rFonts w:cs="Segoe UI Light"/>
            <w:szCs w:val="20"/>
          </w:rPr>
          <w:t>Environment Protection (Industrial Waste Resource) Regulations 2009</w:t>
        </w:r>
      </w:hyperlink>
      <w:r w:rsidR="009E3221">
        <w:rPr>
          <w:rFonts w:cs="Segoe UI Light"/>
          <w:szCs w:val="20"/>
        </w:rPr>
        <w:t>.</w:t>
      </w:r>
    </w:p>
    <w:p w14:paraId="656AFE3A" w14:textId="77777777" w:rsidR="00B70E30" w:rsidRPr="00B70E30" w:rsidRDefault="009144CD" w:rsidP="004A2442">
      <w:pPr>
        <w:numPr>
          <w:ilvl w:val="0"/>
          <w:numId w:val="19"/>
        </w:numPr>
        <w:ind w:right="565"/>
        <w:contextualSpacing/>
        <w:rPr>
          <w:rFonts w:cs="Segoe UI Light"/>
          <w:szCs w:val="20"/>
        </w:rPr>
      </w:pPr>
      <w:hyperlink r:id="rId32" w:anchor="Scheduled" w:history="1">
        <w:r w:rsidR="00B70E30" w:rsidRPr="00B70E30">
          <w:rPr>
            <w:rFonts w:cs="Segoe UI Light"/>
            <w:szCs w:val="20"/>
          </w:rPr>
          <w:t>Environment Protection (Scheduled Premises) Regulations 2017</w:t>
        </w:r>
      </w:hyperlink>
      <w:r w:rsidR="009E3221">
        <w:rPr>
          <w:rFonts w:cs="Segoe UI Light"/>
          <w:szCs w:val="20"/>
        </w:rPr>
        <w:t>.</w:t>
      </w:r>
    </w:p>
    <w:p w14:paraId="656AFE3B" w14:textId="77777777" w:rsidR="00B70E30" w:rsidRDefault="009144CD" w:rsidP="004A2442">
      <w:pPr>
        <w:numPr>
          <w:ilvl w:val="0"/>
          <w:numId w:val="19"/>
        </w:numPr>
        <w:spacing w:after="0"/>
        <w:ind w:right="565"/>
        <w:contextualSpacing/>
        <w:rPr>
          <w:rFonts w:cs="Segoe UI Light"/>
          <w:szCs w:val="20"/>
        </w:rPr>
      </w:pPr>
      <w:hyperlink r:id="rId33" w:history="1">
        <w:r w:rsidR="00B70E30" w:rsidRPr="00B70E30">
          <w:rPr>
            <w:rFonts w:cs="Segoe UI Light"/>
            <w:szCs w:val="20"/>
          </w:rPr>
          <w:t>Environment Protection (Vehicle Emissions) Regulations 2013</w:t>
        </w:r>
      </w:hyperlink>
      <w:r w:rsidR="009E3221">
        <w:rPr>
          <w:rFonts w:cs="Segoe UI Light"/>
          <w:szCs w:val="20"/>
        </w:rPr>
        <w:t>.</w:t>
      </w:r>
    </w:p>
    <w:p w14:paraId="656AFE3C" w14:textId="77777777" w:rsidR="009E3221" w:rsidRPr="00B70E30" w:rsidRDefault="009E3221" w:rsidP="009E3221">
      <w:pPr>
        <w:numPr>
          <w:ilvl w:val="0"/>
          <w:numId w:val="19"/>
        </w:numPr>
        <w:spacing w:after="0"/>
        <w:ind w:right="565"/>
        <w:contextualSpacing/>
        <w:rPr>
          <w:rFonts w:cs="Segoe UI Light"/>
          <w:szCs w:val="20"/>
        </w:rPr>
      </w:pPr>
      <w:r>
        <w:t>Environment Protection (Residential Noise) Regulations 2018.</w:t>
      </w:r>
    </w:p>
    <w:p w14:paraId="656AFE3D" w14:textId="21070241" w:rsidR="00C31870" w:rsidRDefault="00C31870" w:rsidP="007C6FDC">
      <w:pPr>
        <w:ind w:left="720" w:right="565"/>
        <w:contextualSpacing/>
        <w:textboxTightWrap w:val="allLines"/>
        <w:rPr>
          <w:rFonts w:cs="Segoe UI Light"/>
          <w:szCs w:val="20"/>
        </w:rPr>
      </w:pPr>
    </w:p>
    <w:p w14:paraId="656AFE3F" w14:textId="5D5EA035" w:rsidR="00FD526C" w:rsidRPr="008F21F6" w:rsidRDefault="00FD526C" w:rsidP="000E7C5E">
      <w:pPr>
        <w:spacing w:before="120"/>
        <w:rPr>
          <w:rFonts w:cs="Segoe UI Light"/>
          <w:szCs w:val="20"/>
        </w:rPr>
      </w:pPr>
      <w:r w:rsidRPr="00FD526C">
        <w:rPr>
          <w:rFonts w:cs="Segoe UI Light"/>
          <w:szCs w:val="20"/>
        </w:rPr>
        <w:t xml:space="preserve">All of these </w:t>
      </w:r>
      <w:r w:rsidR="004E20B2">
        <w:rPr>
          <w:rFonts w:cs="Segoe UI Light"/>
          <w:szCs w:val="20"/>
        </w:rPr>
        <w:t>R</w:t>
      </w:r>
      <w:r w:rsidRPr="00FD526C">
        <w:rPr>
          <w:rFonts w:cs="Segoe UI Light"/>
          <w:szCs w:val="20"/>
        </w:rPr>
        <w:t>egulations except those for vehicle emissions will no longer be in force once the new EP legislation</w:t>
      </w:r>
      <w:r w:rsidR="008A7AEC">
        <w:rPr>
          <w:rFonts w:cs="Segoe UI Light"/>
          <w:szCs w:val="20"/>
        </w:rPr>
        <w:t xml:space="preserve"> comes into effect</w:t>
      </w:r>
      <w:r w:rsidR="00EC1813">
        <w:rPr>
          <w:rFonts w:cs="Segoe UI Light"/>
          <w:szCs w:val="20"/>
        </w:rPr>
        <w:t xml:space="preserve">, which is intended to </w:t>
      </w:r>
      <w:r w:rsidR="008A7AEC">
        <w:rPr>
          <w:rFonts w:cs="Segoe UI Light"/>
          <w:szCs w:val="20"/>
        </w:rPr>
        <w:t>be</w:t>
      </w:r>
      <w:r w:rsidRPr="00FD526C">
        <w:rPr>
          <w:rFonts w:cs="Segoe UI Light"/>
          <w:szCs w:val="20"/>
        </w:rPr>
        <w:t xml:space="preserve"> on 1 July 2020. Under section 501 of the new EP legislation, despite the repeal of the EP Act 1970, the Environment Protection (Vehicle Emissions) Regulations 2013 will remain in in force from 1 July 2020 until 10</w:t>
      </w:r>
      <w:r w:rsidR="00213BAD">
        <w:rPr>
          <w:rFonts w:cs="Segoe UI Light"/>
          <w:szCs w:val="20"/>
        </w:rPr>
        <w:t> </w:t>
      </w:r>
      <w:r w:rsidRPr="00FD526C">
        <w:rPr>
          <w:rFonts w:cs="Segoe UI Light"/>
          <w:szCs w:val="20"/>
        </w:rPr>
        <w:t>December 2023 unless otherwise revoked.</w:t>
      </w:r>
    </w:p>
    <w:p w14:paraId="656AFE40" w14:textId="77777777" w:rsidR="00FD526C" w:rsidRPr="00FD526C" w:rsidRDefault="00FD526C" w:rsidP="00FD526C">
      <w:pPr>
        <w:shd w:val="clear" w:color="auto" w:fill="FFFFFF"/>
        <w:rPr>
          <w:rFonts w:cs="Segoe UI Light"/>
          <w:szCs w:val="20"/>
        </w:rPr>
      </w:pPr>
      <w:r w:rsidRPr="00FD526C">
        <w:rPr>
          <w:rFonts w:cs="Segoe UI Light"/>
          <w:szCs w:val="20"/>
        </w:rPr>
        <w:t xml:space="preserve">EPA also currently </w:t>
      </w:r>
      <w:r w:rsidR="001B764B">
        <w:rPr>
          <w:rFonts w:cs="Segoe UI Light"/>
          <w:szCs w:val="20"/>
        </w:rPr>
        <w:t xml:space="preserve">has a role in </w:t>
      </w:r>
      <w:r w:rsidRPr="00FD526C">
        <w:rPr>
          <w:rFonts w:cs="Segoe UI Light"/>
          <w:szCs w:val="20"/>
        </w:rPr>
        <w:t>regulat</w:t>
      </w:r>
      <w:r w:rsidR="001B764B">
        <w:rPr>
          <w:rFonts w:cs="Segoe UI Light"/>
          <w:szCs w:val="20"/>
        </w:rPr>
        <w:t>ing</w:t>
      </w:r>
      <w:r w:rsidRPr="00FD526C">
        <w:rPr>
          <w:rFonts w:cs="Segoe UI Light"/>
          <w:szCs w:val="20"/>
        </w:rPr>
        <w:t xml:space="preserve"> greenhouse gas emissions. Its power to do so is established under the EP Act 1970 and the </w:t>
      </w:r>
      <w:r w:rsidRPr="00FD526C">
        <w:rPr>
          <w:rFonts w:cs="Segoe UI Light"/>
          <w:i/>
          <w:szCs w:val="20"/>
        </w:rPr>
        <w:t>Climate Change Act 2010</w:t>
      </w:r>
      <w:r w:rsidR="007169FE">
        <w:rPr>
          <w:rFonts w:cs="Segoe UI Light"/>
          <w:i/>
          <w:szCs w:val="20"/>
        </w:rPr>
        <w:t xml:space="preserve"> </w:t>
      </w:r>
      <w:r w:rsidR="007169FE">
        <w:rPr>
          <w:rFonts w:cs="Segoe UI Light"/>
          <w:szCs w:val="20"/>
        </w:rPr>
        <w:t>(CC Act)</w:t>
      </w:r>
      <w:r w:rsidRPr="00FD526C">
        <w:rPr>
          <w:rFonts w:cs="Segoe UI Light"/>
          <w:szCs w:val="20"/>
        </w:rPr>
        <w:t xml:space="preserve">. Under the requirements of section 17 of the </w:t>
      </w:r>
      <w:r w:rsidR="007169FE">
        <w:rPr>
          <w:rFonts w:cs="Segoe UI Light"/>
          <w:szCs w:val="20"/>
        </w:rPr>
        <w:t>CC Act</w:t>
      </w:r>
      <w:r w:rsidRPr="00FD526C">
        <w:rPr>
          <w:rFonts w:cs="Segoe UI Light"/>
          <w:szCs w:val="20"/>
        </w:rPr>
        <w:t xml:space="preserve">, EPA must consider climate change in </w:t>
      </w:r>
      <w:r w:rsidR="00F17171">
        <w:rPr>
          <w:rFonts w:cs="Segoe UI Light"/>
          <w:szCs w:val="20"/>
        </w:rPr>
        <w:t xml:space="preserve">the decisions identified in Schedule 1 of the CC Act, being </w:t>
      </w:r>
      <w:r w:rsidRPr="00FD526C">
        <w:rPr>
          <w:rFonts w:cs="Segoe UI Light"/>
          <w:szCs w:val="20"/>
        </w:rPr>
        <w:t xml:space="preserve">works approval and licensing decisions, as well as when recommending new or amended state environment protection policies and waste management policies. The duty does not alter EPA’s existing powers and obligations as set out in the EP Act 1970 or the EP Act 2017. Rather, it requires the consideration of additional matters when making the decisions identified in Schedule 1 of the </w:t>
      </w:r>
      <w:r w:rsidR="007169FE">
        <w:rPr>
          <w:rFonts w:cs="Segoe UI Light"/>
          <w:szCs w:val="20"/>
        </w:rPr>
        <w:t>CC Act</w:t>
      </w:r>
      <w:r w:rsidRPr="00FD526C">
        <w:rPr>
          <w:rFonts w:ascii="Arial" w:eastAsia="Times New Roman" w:hAnsi="Arial" w:cs="Arial"/>
          <w:color w:val="555555"/>
          <w:sz w:val="21"/>
          <w:szCs w:val="21"/>
          <w:lang w:val="en" w:eastAsia="en-AU"/>
        </w:rPr>
        <w:t>.</w:t>
      </w:r>
    </w:p>
    <w:p w14:paraId="656AFE41" w14:textId="77777777" w:rsidR="00B70E30" w:rsidRPr="009B48F2" w:rsidRDefault="00B70E30" w:rsidP="009B48F2">
      <w:pPr>
        <w:pStyle w:val="Heading3"/>
        <w:ind w:left="720"/>
        <w:rPr>
          <w:lang w:val="en"/>
        </w:rPr>
      </w:pPr>
      <w:r w:rsidRPr="009B48F2">
        <w:t>State</w:t>
      </w:r>
      <w:r w:rsidRPr="00FD526C">
        <w:rPr>
          <w:lang w:val="en"/>
        </w:rPr>
        <w:t xml:space="preserve"> Environment </w:t>
      </w:r>
      <w:r w:rsidRPr="009B48F2">
        <w:rPr>
          <w:lang w:val="en"/>
        </w:rPr>
        <w:t>Protection Policies and Waste Management Policies</w:t>
      </w:r>
    </w:p>
    <w:p w14:paraId="656AFE42" w14:textId="77777777" w:rsidR="00B70E30" w:rsidRPr="00B70E30" w:rsidRDefault="00B70E30" w:rsidP="00B70E30">
      <w:pPr>
        <w:rPr>
          <w:lang w:val="en"/>
        </w:rPr>
      </w:pPr>
      <w:r w:rsidRPr="00B70E30">
        <w:rPr>
          <w:lang w:val="en"/>
        </w:rPr>
        <w:t xml:space="preserve">State environment protection policies (SEPPs) and waste management policies (WMPs) are </w:t>
      </w:r>
      <w:r w:rsidR="009E3221">
        <w:rPr>
          <w:lang w:val="en"/>
        </w:rPr>
        <w:t>legislative instruments</w:t>
      </w:r>
      <w:r w:rsidRPr="00B70E30">
        <w:rPr>
          <w:lang w:val="en"/>
        </w:rPr>
        <w:t xml:space="preserve"> made under the provisions of the EP Act 1970 to provide more detailed requirements and guidance regarding the application of the </w:t>
      </w:r>
      <w:r w:rsidR="00FD526C" w:rsidRPr="00FD526C">
        <w:rPr>
          <w:lang w:val="en"/>
        </w:rPr>
        <w:t>EP Act 1970</w:t>
      </w:r>
      <w:r w:rsidRPr="00B70E30">
        <w:rPr>
          <w:lang w:val="en"/>
        </w:rPr>
        <w:t xml:space="preserve">. </w:t>
      </w:r>
    </w:p>
    <w:p w14:paraId="656AFE43" w14:textId="77777777" w:rsidR="00FD526C" w:rsidRPr="00FD526C" w:rsidRDefault="00FD526C" w:rsidP="00FD526C">
      <w:pPr>
        <w:rPr>
          <w:lang w:val="en"/>
        </w:rPr>
      </w:pPr>
      <w:r w:rsidRPr="00FD526C">
        <w:rPr>
          <w:lang w:val="en"/>
        </w:rPr>
        <w:t>SEPPs define the uses and environmental values to be protected in Victoria and the environmental quality objectives needed to protect these beneficial uses. They are enforced indirectly</w:t>
      </w:r>
      <w:r w:rsidR="00937B65">
        <w:rPr>
          <w:lang w:val="en"/>
        </w:rPr>
        <w:t>,</w:t>
      </w:r>
      <w:r w:rsidRPr="00FD526C">
        <w:rPr>
          <w:lang w:val="en"/>
        </w:rPr>
        <w:t xml:space="preserve"> and form the basis against which, for example, EPA issues notices, works approvals and licences.</w:t>
      </w:r>
    </w:p>
    <w:p w14:paraId="656AFE44" w14:textId="77777777" w:rsidR="00FD526C" w:rsidRPr="00FD526C" w:rsidRDefault="00FD526C" w:rsidP="00FD526C">
      <w:pPr>
        <w:rPr>
          <w:lang w:val="en"/>
        </w:rPr>
      </w:pPr>
      <w:r w:rsidRPr="00FD526C">
        <w:rPr>
          <w:lang w:val="en"/>
        </w:rPr>
        <w:t>WMPs set statewide objectives and directions for waste management. They are enforced indirectly in the same way as SEPPs are enforced, except for industrial waste WMPs which are enforced directly under section 27A of the EP Act 1970</w:t>
      </w:r>
      <w:r w:rsidR="004310A7">
        <w:rPr>
          <w:lang w:val="en"/>
        </w:rPr>
        <w:t xml:space="preserve"> (which </w:t>
      </w:r>
      <w:r w:rsidR="007C65E9">
        <w:rPr>
          <w:lang w:val="en"/>
        </w:rPr>
        <w:t>sets out offences related to industrial waste)</w:t>
      </w:r>
      <w:r w:rsidRPr="00FD526C">
        <w:rPr>
          <w:lang w:val="en"/>
        </w:rPr>
        <w:t xml:space="preserve">. </w:t>
      </w:r>
    </w:p>
    <w:p w14:paraId="656AFE45" w14:textId="77777777" w:rsidR="00FD526C" w:rsidRPr="00FD526C" w:rsidRDefault="009E3221" w:rsidP="00FD526C">
      <w:pPr>
        <w:rPr>
          <w:lang w:val="en"/>
        </w:rPr>
      </w:pPr>
      <w:r w:rsidRPr="00A174D3">
        <w:rPr>
          <w:rFonts w:cs="Segoe UI Light"/>
          <w:szCs w:val="20"/>
        </w:rPr>
        <w:t xml:space="preserve">SEPPs and WMPs will no longer have a formal role once the new EP legislation comes into effect </w:t>
      </w:r>
      <w:r w:rsidR="00C50803">
        <w:rPr>
          <w:rFonts w:cs="Segoe UI Light"/>
          <w:szCs w:val="20"/>
        </w:rPr>
        <w:t xml:space="preserve">(intended to come into effect </w:t>
      </w:r>
      <w:r w:rsidRPr="00A174D3">
        <w:rPr>
          <w:rFonts w:cs="Segoe UI Light"/>
          <w:szCs w:val="20"/>
        </w:rPr>
        <w:t>on 1 July 2020</w:t>
      </w:r>
      <w:r w:rsidR="00C50803">
        <w:rPr>
          <w:rFonts w:cs="Segoe UI Light"/>
          <w:szCs w:val="20"/>
        </w:rPr>
        <w:t>)</w:t>
      </w:r>
      <w:r w:rsidRPr="00A174D3">
        <w:rPr>
          <w:rFonts w:cs="Segoe UI Light"/>
          <w:szCs w:val="20"/>
        </w:rPr>
        <w:t>. They will, however, continue to contribute to the state</w:t>
      </w:r>
      <w:r w:rsidR="009E58AC">
        <w:rPr>
          <w:rFonts w:cs="Segoe UI Light"/>
          <w:szCs w:val="20"/>
        </w:rPr>
        <w:t xml:space="preserve"> </w:t>
      </w:r>
      <w:r w:rsidRPr="00A174D3">
        <w:rPr>
          <w:rFonts w:cs="Segoe UI Light"/>
          <w:szCs w:val="20"/>
        </w:rPr>
        <w:t>of</w:t>
      </w:r>
      <w:r w:rsidR="009E58AC">
        <w:rPr>
          <w:rFonts w:cs="Segoe UI Light"/>
          <w:szCs w:val="20"/>
        </w:rPr>
        <w:t xml:space="preserve"> </w:t>
      </w:r>
      <w:r w:rsidRPr="00A174D3">
        <w:rPr>
          <w:rFonts w:cs="Segoe UI Light"/>
          <w:szCs w:val="20"/>
        </w:rPr>
        <w:t xml:space="preserve">knowledge on relevant risks and risk control measures that they address and will, whilst they remain relevant </w:t>
      </w:r>
      <w:r w:rsidR="00963F6D">
        <w:rPr>
          <w:rFonts w:cs="Segoe UI Light"/>
          <w:szCs w:val="20"/>
        </w:rPr>
        <w:t>to</w:t>
      </w:r>
      <w:r w:rsidRPr="00A174D3">
        <w:rPr>
          <w:rFonts w:cs="Segoe UI Light"/>
          <w:szCs w:val="20"/>
        </w:rPr>
        <w:t xml:space="preserve"> each risk, support the operation of the duti</w:t>
      </w:r>
      <w:r>
        <w:rPr>
          <w:rFonts w:cs="Segoe UI Light"/>
          <w:szCs w:val="20"/>
        </w:rPr>
        <w:t>es under the new EP legislation.</w:t>
      </w:r>
      <w:r w:rsidRPr="00FD526C" w:rsidDel="009E3221">
        <w:rPr>
          <w:rFonts w:cs="Segoe UI Light"/>
          <w:szCs w:val="20"/>
        </w:rPr>
        <w:t xml:space="preserve"> </w:t>
      </w:r>
    </w:p>
    <w:p w14:paraId="656AFE46" w14:textId="77777777" w:rsidR="00B70E30" w:rsidRPr="00FD526C" w:rsidRDefault="00B70E30" w:rsidP="009B48F2">
      <w:pPr>
        <w:pStyle w:val="Heading3"/>
        <w:ind w:left="720"/>
        <w:rPr>
          <w:b w:val="0"/>
          <w:lang w:val="en"/>
        </w:rPr>
      </w:pPr>
      <w:r w:rsidRPr="00FD526C">
        <w:rPr>
          <w:lang w:val="en"/>
        </w:rPr>
        <w:t>Notifiable chemical orders</w:t>
      </w:r>
    </w:p>
    <w:p w14:paraId="656AFE47" w14:textId="77777777" w:rsidR="00B70E30" w:rsidRPr="00B70E30" w:rsidRDefault="00B70E30" w:rsidP="00B70E30">
      <w:pPr>
        <w:rPr>
          <w:lang w:val="en"/>
        </w:rPr>
      </w:pPr>
      <w:r w:rsidRPr="00B70E30">
        <w:rPr>
          <w:lang w:val="en"/>
        </w:rPr>
        <w:t xml:space="preserve">Notifiable chemical orders (NCOs) are </w:t>
      </w:r>
      <w:r w:rsidR="009E3221">
        <w:rPr>
          <w:lang w:val="en"/>
        </w:rPr>
        <w:t>legislative instruments</w:t>
      </w:r>
      <w:r w:rsidRPr="00B70E30">
        <w:rPr>
          <w:lang w:val="en"/>
        </w:rPr>
        <w:t xml:space="preserve"> created under the EP Act 1970. NCOs are created if the Governor in Council is of the opinion – on the recommendation of EPA – that an NCO is necessary to prevent or abate a serious environmental hazard from one or more chemicals.</w:t>
      </w:r>
    </w:p>
    <w:p w14:paraId="656AFE48" w14:textId="77777777" w:rsidR="00B70E30" w:rsidRPr="00B70E30" w:rsidRDefault="00B70E30" w:rsidP="00B70E30">
      <w:pPr>
        <w:rPr>
          <w:lang w:val="en"/>
        </w:rPr>
      </w:pPr>
      <w:r w:rsidRPr="00B70E30">
        <w:rPr>
          <w:lang w:val="en"/>
        </w:rPr>
        <w:t xml:space="preserve">An NCO will declare a chemical to be a notifiable chemical, and either totally </w:t>
      </w:r>
      <w:r w:rsidR="00FD526C" w:rsidRPr="00FD526C">
        <w:rPr>
          <w:lang w:val="en"/>
        </w:rPr>
        <w:t>prohibit</w:t>
      </w:r>
      <w:r w:rsidR="003E2D85">
        <w:rPr>
          <w:lang w:val="en"/>
        </w:rPr>
        <w:t>,</w:t>
      </w:r>
      <w:r w:rsidRPr="00B70E30">
        <w:rPr>
          <w:lang w:val="en"/>
        </w:rPr>
        <w:t xml:space="preserve"> or create conditions relating to the storage, handling, use or supply</w:t>
      </w:r>
      <w:r w:rsidR="003E2D85">
        <w:rPr>
          <w:lang w:val="en"/>
        </w:rPr>
        <w:t>,</w:t>
      </w:r>
      <w:r w:rsidRPr="00B70E30">
        <w:rPr>
          <w:lang w:val="en"/>
        </w:rPr>
        <w:t xml:space="preserve"> of that chemical. Contravention of the requirements set out in an NCO may lead to a finding of guilt for a criminal offence.</w:t>
      </w:r>
    </w:p>
    <w:p w14:paraId="656AFE49" w14:textId="77777777" w:rsidR="009E3221" w:rsidRPr="00B70E30" w:rsidRDefault="009E3221" w:rsidP="009E3221">
      <w:pPr>
        <w:rPr>
          <w:lang w:val="en"/>
        </w:rPr>
      </w:pPr>
      <w:r>
        <w:rPr>
          <w:lang w:val="en"/>
        </w:rPr>
        <w:t>The following</w:t>
      </w:r>
      <w:r w:rsidRPr="00B70E30">
        <w:rPr>
          <w:lang w:val="en"/>
        </w:rPr>
        <w:t xml:space="preserve"> NCOs</w:t>
      </w:r>
      <w:r>
        <w:rPr>
          <w:lang w:val="en"/>
        </w:rPr>
        <w:t xml:space="preserve"> are</w:t>
      </w:r>
      <w:r w:rsidRPr="00B70E30">
        <w:rPr>
          <w:lang w:val="en"/>
        </w:rPr>
        <w:t xml:space="preserve"> currently administered by EPA:</w:t>
      </w:r>
    </w:p>
    <w:p w14:paraId="656AFE4A" w14:textId="77777777" w:rsidR="009E3221" w:rsidRPr="00B70E30" w:rsidRDefault="009E3221" w:rsidP="009E3221">
      <w:pPr>
        <w:numPr>
          <w:ilvl w:val="0"/>
          <w:numId w:val="19"/>
        </w:numPr>
        <w:ind w:right="565"/>
        <w:contextualSpacing/>
        <w:rPr>
          <w:rFonts w:cs="Segoe UI Light"/>
          <w:szCs w:val="20"/>
        </w:rPr>
      </w:pPr>
      <w:r w:rsidRPr="00B70E30">
        <w:rPr>
          <w:rFonts w:cs="Segoe UI Light"/>
          <w:szCs w:val="20"/>
        </w:rPr>
        <w:t>Order Relating to Notifiable Chemicals (Chlorine Compounds)</w:t>
      </w:r>
      <w:r w:rsidR="001556D3">
        <w:rPr>
          <w:rFonts w:cs="Segoe UI Light"/>
          <w:szCs w:val="20"/>
        </w:rPr>
        <w:t>.</w:t>
      </w:r>
    </w:p>
    <w:p w14:paraId="656AFE4B" w14:textId="77777777" w:rsidR="009E3221" w:rsidRPr="00B70E30" w:rsidRDefault="009E3221" w:rsidP="009E3221">
      <w:pPr>
        <w:numPr>
          <w:ilvl w:val="0"/>
          <w:numId w:val="19"/>
        </w:numPr>
        <w:ind w:right="565"/>
        <w:contextualSpacing/>
        <w:rPr>
          <w:rFonts w:cs="Segoe UI Light"/>
          <w:szCs w:val="20"/>
        </w:rPr>
      </w:pPr>
      <w:r w:rsidRPr="00B70E30">
        <w:rPr>
          <w:rFonts w:cs="Segoe UI Light"/>
          <w:szCs w:val="20"/>
        </w:rPr>
        <w:t>Order Relating to Notifiable Chemicals (Arsenic and Arsenic Compounds)</w:t>
      </w:r>
      <w:r w:rsidR="001556D3">
        <w:rPr>
          <w:rFonts w:cs="Segoe UI Light"/>
          <w:szCs w:val="20"/>
        </w:rPr>
        <w:t>.</w:t>
      </w:r>
    </w:p>
    <w:p w14:paraId="656AFE4C" w14:textId="77777777" w:rsidR="009E3221" w:rsidRPr="00B70E30" w:rsidRDefault="009E3221" w:rsidP="009E3221">
      <w:pPr>
        <w:numPr>
          <w:ilvl w:val="0"/>
          <w:numId w:val="19"/>
        </w:numPr>
        <w:spacing w:after="0"/>
        <w:ind w:right="565"/>
        <w:contextualSpacing/>
        <w:rPr>
          <w:rFonts w:cs="Segoe UI Light"/>
          <w:szCs w:val="20"/>
        </w:rPr>
      </w:pPr>
      <w:r w:rsidRPr="00B70E30">
        <w:rPr>
          <w:rFonts w:cs="Segoe UI Light"/>
          <w:szCs w:val="20"/>
        </w:rPr>
        <w:t>Order Relating to Notifiable Chemicals (Polychlorinated Biphenyls-PCBs)</w:t>
      </w:r>
      <w:r w:rsidR="001556D3">
        <w:rPr>
          <w:rFonts w:cs="Segoe UI Light"/>
          <w:szCs w:val="20"/>
        </w:rPr>
        <w:t>.</w:t>
      </w:r>
    </w:p>
    <w:p w14:paraId="656AFE4D" w14:textId="77777777" w:rsidR="009E3221" w:rsidRDefault="009E3221" w:rsidP="009E3221">
      <w:pPr>
        <w:numPr>
          <w:ilvl w:val="0"/>
          <w:numId w:val="19"/>
        </w:numPr>
        <w:ind w:right="565"/>
        <w:contextualSpacing/>
        <w:textboxTightWrap w:val="allLines"/>
        <w:rPr>
          <w:rFonts w:cs="Segoe UI Light"/>
          <w:szCs w:val="20"/>
        </w:rPr>
      </w:pPr>
      <w:r w:rsidRPr="00B70E30">
        <w:rPr>
          <w:rFonts w:cs="Segoe UI Light"/>
          <w:szCs w:val="20"/>
        </w:rPr>
        <w:t>Orders Relating to Notifiable Chemicals (Organotin Antifouling Paint).</w:t>
      </w:r>
    </w:p>
    <w:p w14:paraId="656AFE4E" w14:textId="77777777" w:rsidR="009E3221" w:rsidRPr="00FD526C" w:rsidRDefault="009E3221" w:rsidP="000E7C5E">
      <w:pPr>
        <w:ind w:left="720" w:right="565"/>
        <w:contextualSpacing/>
        <w:textboxTightWrap w:val="allLines"/>
        <w:rPr>
          <w:rFonts w:cs="Segoe UI Light"/>
          <w:szCs w:val="20"/>
        </w:rPr>
      </w:pPr>
    </w:p>
    <w:p w14:paraId="656AFE4F" w14:textId="77777777" w:rsidR="009E3221" w:rsidRPr="00FD526C" w:rsidRDefault="009E3221" w:rsidP="009E3221">
      <w:pPr>
        <w:rPr>
          <w:lang w:val="en"/>
        </w:rPr>
      </w:pPr>
      <w:r w:rsidRPr="00F901C4">
        <w:t xml:space="preserve">On the commencement </w:t>
      </w:r>
      <w:r>
        <w:t>of the new EP legislation</w:t>
      </w:r>
      <w:r w:rsidRPr="00F901C4">
        <w:t>, a</w:t>
      </w:r>
      <w:r w:rsidR="009071FD">
        <w:t>n</w:t>
      </w:r>
      <w:r w:rsidRPr="00F901C4">
        <w:t xml:space="preserve"> </w:t>
      </w:r>
      <w:r w:rsidR="00963F6D">
        <w:t>NCO</w:t>
      </w:r>
      <w:r w:rsidRPr="00F901C4">
        <w:t xml:space="preserve"> </w:t>
      </w:r>
      <w:r>
        <w:t>made under the EP Act 1970 is taken to be a Hazardous Substance Order made under the new EP legislation</w:t>
      </w:r>
      <w:r w:rsidR="00B17618">
        <w:t>, unless otherwise revoked</w:t>
      </w:r>
      <w:r w:rsidRPr="00FD526C">
        <w:rPr>
          <w:lang w:val="en"/>
        </w:rPr>
        <w:t>.</w:t>
      </w:r>
    </w:p>
    <w:p w14:paraId="656AFE50" w14:textId="77777777" w:rsidR="00FD526C" w:rsidRPr="00FD526C" w:rsidRDefault="00FD526C" w:rsidP="009B48F2">
      <w:pPr>
        <w:pStyle w:val="Heading3"/>
        <w:ind w:left="720"/>
        <w:rPr>
          <w:b w:val="0"/>
          <w:bCs w:val="0"/>
          <w:lang w:val="en"/>
        </w:rPr>
      </w:pPr>
      <w:r w:rsidRPr="00FD526C">
        <w:rPr>
          <w:lang w:val="en"/>
        </w:rPr>
        <w:t>Guidance and other documents</w:t>
      </w:r>
    </w:p>
    <w:p w14:paraId="656AFE51" w14:textId="77777777" w:rsidR="00B70E30" w:rsidRPr="00B70E30" w:rsidRDefault="00B70E30" w:rsidP="00B70E30">
      <w:pPr>
        <w:rPr>
          <w:lang w:val="en"/>
        </w:rPr>
      </w:pPr>
      <w:r w:rsidRPr="00B70E30">
        <w:rPr>
          <w:lang w:val="en"/>
        </w:rPr>
        <w:t xml:space="preserve">EPA publishes a range of documents that provide guidance and/or set out obligations (particularly for industry) in more detail. These currently include: </w:t>
      </w:r>
    </w:p>
    <w:p w14:paraId="656AFE52" w14:textId="77777777" w:rsidR="00B70E30" w:rsidRPr="00B70E30" w:rsidRDefault="009E3221" w:rsidP="004A2442">
      <w:pPr>
        <w:numPr>
          <w:ilvl w:val="0"/>
          <w:numId w:val="19"/>
        </w:numPr>
        <w:ind w:right="565"/>
        <w:contextualSpacing/>
        <w:rPr>
          <w:rFonts w:cs="Segoe UI Light"/>
          <w:szCs w:val="20"/>
        </w:rPr>
      </w:pPr>
      <w:r>
        <w:rPr>
          <w:rFonts w:cs="Segoe UI Light"/>
          <w:szCs w:val="20"/>
        </w:rPr>
        <w:t>B</w:t>
      </w:r>
      <w:r w:rsidR="00B70E30" w:rsidRPr="00B70E30">
        <w:rPr>
          <w:rFonts w:cs="Segoe UI Light"/>
          <w:szCs w:val="20"/>
        </w:rPr>
        <w:t>est practice environmental management publications</w:t>
      </w:r>
      <w:r w:rsidR="001556D3">
        <w:rPr>
          <w:rFonts w:cs="Segoe UI Light"/>
          <w:szCs w:val="20"/>
        </w:rPr>
        <w:t>.</w:t>
      </w:r>
      <w:r w:rsidR="00B70E30" w:rsidRPr="00B70E30">
        <w:rPr>
          <w:rFonts w:cs="Segoe UI Light"/>
          <w:szCs w:val="20"/>
        </w:rPr>
        <w:t xml:space="preserve"> </w:t>
      </w:r>
    </w:p>
    <w:p w14:paraId="656AFE53" w14:textId="77777777" w:rsidR="00B70E30" w:rsidRPr="00B70E30" w:rsidRDefault="009E3221" w:rsidP="004A2442">
      <w:pPr>
        <w:numPr>
          <w:ilvl w:val="0"/>
          <w:numId w:val="19"/>
        </w:numPr>
        <w:ind w:right="565"/>
        <w:contextualSpacing/>
        <w:rPr>
          <w:rFonts w:cs="Segoe UI Light"/>
          <w:szCs w:val="20"/>
        </w:rPr>
      </w:pPr>
      <w:r>
        <w:rPr>
          <w:rFonts w:cs="Segoe UI Light"/>
          <w:szCs w:val="20"/>
        </w:rPr>
        <w:t>C</w:t>
      </w:r>
      <w:r w:rsidR="00B70E30" w:rsidRPr="00B70E30">
        <w:rPr>
          <w:rFonts w:cs="Segoe UI Light"/>
          <w:szCs w:val="20"/>
        </w:rPr>
        <w:t>odes of practice</w:t>
      </w:r>
      <w:r w:rsidR="001556D3">
        <w:rPr>
          <w:rFonts w:cs="Segoe UI Light"/>
          <w:szCs w:val="20"/>
        </w:rPr>
        <w:t>.</w:t>
      </w:r>
      <w:r w:rsidR="00B70E30" w:rsidRPr="00B70E30">
        <w:rPr>
          <w:rFonts w:cs="Segoe UI Light"/>
          <w:szCs w:val="20"/>
        </w:rPr>
        <w:t xml:space="preserve"> </w:t>
      </w:r>
    </w:p>
    <w:p w14:paraId="656AFE54" w14:textId="77777777" w:rsidR="00B70E30" w:rsidRPr="00B70E30" w:rsidRDefault="009E3221" w:rsidP="004A2442">
      <w:pPr>
        <w:numPr>
          <w:ilvl w:val="0"/>
          <w:numId w:val="19"/>
        </w:numPr>
        <w:ind w:right="565"/>
        <w:contextualSpacing/>
        <w:rPr>
          <w:rFonts w:cs="Segoe UI Light"/>
          <w:szCs w:val="20"/>
        </w:rPr>
      </w:pPr>
      <w:r>
        <w:rPr>
          <w:rFonts w:cs="Segoe UI Light"/>
          <w:szCs w:val="20"/>
        </w:rPr>
        <w:t>G</w:t>
      </w:r>
      <w:r w:rsidR="00B70E30" w:rsidRPr="00B70E30">
        <w:rPr>
          <w:rFonts w:cs="Segoe UI Light"/>
          <w:szCs w:val="20"/>
        </w:rPr>
        <w:t>uidelines for environmental management</w:t>
      </w:r>
      <w:r w:rsidR="001556D3">
        <w:rPr>
          <w:rFonts w:cs="Segoe UI Light"/>
          <w:szCs w:val="20"/>
        </w:rPr>
        <w:t>.</w:t>
      </w:r>
    </w:p>
    <w:p w14:paraId="656AFE55" w14:textId="77777777" w:rsidR="00B70E30" w:rsidRPr="00B70E30" w:rsidRDefault="009E3221" w:rsidP="004A2442">
      <w:pPr>
        <w:numPr>
          <w:ilvl w:val="0"/>
          <w:numId w:val="19"/>
        </w:numPr>
        <w:ind w:right="565"/>
        <w:contextualSpacing/>
        <w:rPr>
          <w:rFonts w:cs="Segoe UI Light"/>
          <w:szCs w:val="20"/>
        </w:rPr>
      </w:pPr>
      <w:r>
        <w:rPr>
          <w:rFonts w:cs="Segoe UI Light"/>
          <w:szCs w:val="20"/>
        </w:rPr>
        <w:t>I</w:t>
      </w:r>
      <w:r w:rsidR="00B70E30" w:rsidRPr="00B70E30">
        <w:rPr>
          <w:rFonts w:cs="Segoe UI Light"/>
          <w:szCs w:val="20"/>
        </w:rPr>
        <w:t>nformation bulletins and information sheets</w:t>
      </w:r>
      <w:r w:rsidR="001556D3">
        <w:rPr>
          <w:rFonts w:cs="Segoe UI Light"/>
          <w:szCs w:val="20"/>
        </w:rPr>
        <w:t>.</w:t>
      </w:r>
      <w:r w:rsidR="00B70E30" w:rsidRPr="00B70E30">
        <w:rPr>
          <w:rFonts w:cs="Segoe UI Light"/>
          <w:szCs w:val="20"/>
        </w:rPr>
        <w:t xml:space="preserve"> </w:t>
      </w:r>
    </w:p>
    <w:p w14:paraId="656AFE56" w14:textId="77777777" w:rsidR="00B70E30" w:rsidRPr="00B70E30" w:rsidRDefault="009E3221" w:rsidP="004A2442">
      <w:pPr>
        <w:numPr>
          <w:ilvl w:val="0"/>
          <w:numId w:val="19"/>
        </w:numPr>
        <w:spacing w:after="0"/>
        <w:ind w:right="565"/>
        <w:contextualSpacing/>
        <w:rPr>
          <w:rFonts w:cs="Segoe UI Light"/>
          <w:szCs w:val="20"/>
        </w:rPr>
      </w:pPr>
      <w:r>
        <w:rPr>
          <w:rFonts w:cs="Segoe UI Light"/>
          <w:szCs w:val="20"/>
        </w:rPr>
        <w:t>P</w:t>
      </w:r>
      <w:r w:rsidR="00B70E30" w:rsidRPr="00B70E30">
        <w:rPr>
          <w:rFonts w:cs="Segoe UI Light"/>
          <w:szCs w:val="20"/>
        </w:rPr>
        <w:t>rotocols for environmental management</w:t>
      </w:r>
      <w:r w:rsidR="001556D3">
        <w:rPr>
          <w:rFonts w:cs="Segoe UI Light"/>
          <w:szCs w:val="20"/>
        </w:rPr>
        <w:t>.</w:t>
      </w:r>
    </w:p>
    <w:p w14:paraId="656AFE57" w14:textId="77777777" w:rsidR="00B70E30" w:rsidRPr="008F21F6" w:rsidRDefault="009E3221" w:rsidP="004A2442">
      <w:pPr>
        <w:numPr>
          <w:ilvl w:val="0"/>
          <w:numId w:val="19"/>
        </w:numPr>
        <w:ind w:right="565"/>
        <w:contextualSpacing/>
        <w:textboxTightWrap w:val="allLines"/>
        <w:rPr>
          <w:rFonts w:cs="Segoe UI Light"/>
          <w:szCs w:val="20"/>
        </w:rPr>
      </w:pPr>
      <w:r>
        <w:rPr>
          <w:rFonts w:cs="Segoe UI Light"/>
          <w:szCs w:val="20"/>
        </w:rPr>
        <w:t>G</w:t>
      </w:r>
      <w:r w:rsidR="00B70E30" w:rsidRPr="00B70E30">
        <w:rPr>
          <w:rFonts w:cs="Segoe UI Light"/>
          <w:szCs w:val="20"/>
        </w:rPr>
        <w:t xml:space="preserve">uidance for industry on how to lodge an application or fulfil reporting obligations (e.g. </w:t>
      </w:r>
      <w:r w:rsidR="006A73AC">
        <w:rPr>
          <w:rFonts w:cs="Segoe UI Light"/>
          <w:szCs w:val="20"/>
        </w:rPr>
        <w:t>w</w:t>
      </w:r>
      <w:r w:rsidR="00B70E30" w:rsidRPr="00B70E30">
        <w:rPr>
          <w:rFonts w:cs="Segoe UI Light"/>
          <w:szCs w:val="20"/>
        </w:rPr>
        <w:t xml:space="preserve">orks approval guidelines, </w:t>
      </w:r>
      <w:r w:rsidR="006A73AC">
        <w:rPr>
          <w:rFonts w:cs="Segoe UI Light"/>
          <w:szCs w:val="20"/>
        </w:rPr>
        <w:t>a</w:t>
      </w:r>
      <w:r w:rsidR="00B70E30" w:rsidRPr="00B70E30">
        <w:rPr>
          <w:rFonts w:cs="Segoe UI Light"/>
          <w:szCs w:val="20"/>
        </w:rPr>
        <w:t>nnual performance statement guidelines</w:t>
      </w:r>
      <w:r w:rsidR="00FD526C" w:rsidRPr="00FD526C">
        <w:rPr>
          <w:rFonts w:cs="Segoe UI Light"/>
        </w:rPr>
        <w:t>).</w:t>
      </w:r>
    </w:p>
    <w:p w14:paraId="656AFE58" w14:textId="77777777" w:rsidR="009E3221" w:rsidRPr="00B70E30" w:rsidRDefault="009E3221" w:rsidP="000E7C5E">
      <w:pPr>
        <w:ind w:left="720" w:right="565"/>
        <w:contextualSpacing/>
        <w:textboxTightWrap w:val="allLines"/>
        <w:rPr>
          <w:rFonts w:cs="Segoe UI Light"/>
          <w:szCs w:val="20"/>
        </w:rPr>
      </w:pPr>
    </w:p>
    <w:p w14:paraId="656AFE59" w14:textId="77777777" w:rsidR="00B70E30" w:rsidRPr="00B70E30" w:rsidRDefault="00B70E30" w:rsidP="00B70E30">
      <w:pPr>
        <w:rPr>
          <w:lang w:val="en"/>
        </w:rPr>
      </w:pPr>
      <w:r w:rsidRPr="00B70E30">
        <w:rPr>
          <w:lang w:val="en"/>
        </w:rPr>
        <w:t>Some of these documents are referred to in SEPPs, WMPs and Regulations. EPA licence conditions and works approval conditions also require industry to comply with some of these documents.</w:t>
      </w:r>
      <w:r w:rsidR="00A25038">
        <w:rPr>
          <w:lang w:val="en"/>
        </w:rPr>
        <w:t xml:space="preserve"> EPA als</w:t>
      </w:r>
      <w:r w:rsidR="00D86C0B">
        <w:rPr>
          <w:lang w:val="en"/>
        </w:rPr>
        <w:t>o</w:t>
      </w:r>
      <w:r w:rsidR="00A25038">
        <w:rPr>
          <w:lang w:val="en"/>
        </w:rPr>
        <w:t xml:space="preserve"> publishes other documents inc</w:t>
      </w:r>
      <w:r w:rsidR="00D86C0B">
        <w:rPr>
          <w:lang w:val="en"/>
        </w:rPr>
        <w:t>l</w:t>
      </w:r>
      <w:r w:rsidR="00A25038">
        <w:rPr>
          <w:lang w:val="en"/>
        </w:rPr>
        <w:t>uding:</w:t>
      </w:r>
    </w:p>
    <w:p w14:paraId="656AFE5A" w14:textId="77777777" w:rsidR="009E3221" w:rsidRPr="00FD526C" w:rsidRDefault="009E3221" w:rsidP="009E3221">
      <w:pPr>
        <w:numPr>
          <w:ilvl w:val="0"/>
          <w:numId w:val="19"/>
        </w:numPr>
        <w:ind w:right="565"/>
        <w:contextualSpacing/>
        <w:rPr>
          <w:rFonts w:cs="Segoe UI Light"/>
          <w:szCs w:val="20"/>
        </w:rPr>
      </w:pPr>
      <w:r>
        <w:rPr>
          <w:rFonts w:cs="Segoe UI Light"/>
          <w:szCs w:val="20"/>
        </w:rPr>
        <w:t>P</w:t>
      </w:r>
      <w:r w:rsidRPr="00FD526C">
        <w:rPr>
          <w:rFonts w:cs="Segoe UI Light"/>
          <w:szCs w:val="20"/>
        </w:rPr>
        <w:t>olicy documents setting out how EPA intends to approach its work. They explain the principles that the appro</w:t>
      </w:r>
      <w:r>
        <w:rPr>
          <w:rFonts w:cs="Segoe UI Light"/>
          <w:szCs w:val="20"/>
        </w:rPr>
        <w:t>a</w:t>
      </w:r>
      <w:r w:rsidRPr="00FD526C">
        <w:rPr>
          <w:rFonts w:cs="Segoe UI Light"/>
          <w:szCs w:val="20"/>
        </w:rPr>
        <w:t xml:space="preserve">ch is based on. Examples include EPA’s Compliance and </w:t>
      </w:r>
      <w:r>
        <w:rPr>
          <w:rFonts w:cs="Segoe UI Light"/>
          <w:szCs w:val="20"/>
        </w:rPr>
        <w:t>E</w:t>
      </w:r>
      <w:r w:rsidRPr="00FD526C">
        <w:rPr>
          <w:rFonts w:cs="Segoe UI Light"/>
          <w:szCs w:val="20"/>
        </w:rPr>
        <w:t xml:space="preserve">nforcement </w:t>
      </w:r>
      <w:r>
        <w:rPr>
          <w:rFonts w:cs="Segoe UI Light"/>
          <w:szCs w:val="20"/>
        </w:rPr>
        <w:t>P</w:t>
      </w:r>
      <w:r w:rsidRPr="00FD526C">
        <w:rPr>
          <w:rFonts w:cs="Segoe UI Light"/>
          <w:szCs w:val="20"/>
        </w:rPr>
        <w:t>olicy (publication 1388) and Remedial notices policy (publication 1418).</w:t>
      </w:r>
    </w:p>
    <w:p w14:paraId="656AFE5B" w14:textId="77777777" w:rsidR="009E3221" w:rsidRPr="00FD526C" w:rsidRDefault="009E3221" w:rsidP="009E3221">
      <w:pPr>
        <w:numPr>
          <w:ilvl w:val="0"/>
          <w:numId w:val="19"/>
        </w:numPr>
        <w:spacing w:after="0"/>
        <w:ind w:right="565"/>
        <w:contextualSpacing/>
        <w:rPr>
          <w:rFonts w:cs="Segoe UI Light"/>
          <w:szCs w:val="20"/>
        </w:rPr>
      </w:pPr>
      <w:r>
        <w:rPr>
          <w:rFonts w:cs="Segoe UI Light"/>
          <w:szCs w:val="20"/>
        </w:rPr>
        <w:t>R</w:t>
      </w:r>
      <w:r w:rsidRPr="00FD526C">
        <w:rPr>
          <w:rFonts w:cs="Segoe UI Light"/>
          <w:szCs w:val="20"/>
        </w:rPr>
        <w:t xml:space="preserve">eports on the findings of EPA’s scientific studies, monitoring and assessment work, and other matters. </w:t>
      </w:r>
    </w:p>
    <w:p w14:paraId="656AFE5C" w14:textId="77777777" w:rsidR="009E3221" w:rsidRDefault="009E3221" w:rsidP="009E3221">
      <w:pPr>
        <w:numPr>
          <w:ilvl w:val="0"/>
          <w:numId w:val="19"/>
        </w:numPr>
        <w:ind w:right="565"/>
        <w:contextualSpacing/>
        <w:textboxTightWrap w:val="allLines"/>
        <w:rPr>
          <w:rFonts w:cs="Segoe UI Light"/>
          <w:szCs w:val="20"/>
        </w:rPr>
      </w:pPr>
      <w:r>
        <w:rPr>
          <w:rFonts w:cs="Segoe UI Light"/>
          <w:szCs w:val="20"/>
        </w:rPr>
        <w:t>I</w:t>
      </w:r>
      <w:r w:rsidRPr="00FD526C">
        <w:rPr>
          <w:rFonts w:cs="Segoe UI Light"/>
          <w:szCs w:val="20"/>
        </w:rPr>
        <w:t>nformation on a topic for the broader community, such as EPA’s Noise fact sheet (publication 1467).</w:t>
      </w:r>
    </w:p>
    <w:p w14:paraId="656AFE5D" w14:textId="77777777" w:rsidR="009E3221" w:rsidRPr="00FD526C" w:rsidRDefault="009E3221" w:rsidP="000E7C5E">
      <w:pPr>
        <w:ind w:left="720" w:right="565"/>
        <w:contextualSpacing/>
        <w:textboxTightWrap w:val="allLines"/>
        <w:rPr>
          <w:rFonts w:cs="Segoe UI Light"/>
          <w:szCs w:val="20"/>
        </w:rPr>
      </w:pPr>
    </w:p>
    <w:p w14:paraId="656AFE5E" w14:textId="77777777" w:rsidR="009E3221" w:rsidRPr="00FD526C" w:rsidRDefault="009E3221" w:rsidP="0087676C">
      <w:pPr>
        <w:ind w:right="565"/>
        <w:rPr>
          <w:rFonts w:cs="Segoe UI Light"/>
          <w:szCs w:val="20"/>
        </w:rPr>
      </w:pPr>
      <w:r w:rsidRPr="00FD526C">
        <w:t xml:space="preserve">These documents </w:t>
      </w:r>
      <w:r w:rsidR="00B70699">
        <w:t xml:space="preserve">are expected to contribute to </w:t>
      </w:r>
      <w:r w:rsidR="0087676C">
        <w:t>duty holders’</w:t>
      </w:r>
      <w:r w:rsidR="0087676C" w:rsidRPr="00FD526C">
        <w:t xml:space="preserve"> </w:t>
      </w:r>
      <w:r w:rsidRPr="00FD526C">
        <w:t>existing state</w:t>
      </w:r>
      <w:r w:rsidR="009E58AC">
        <w:t xml:space="preserve"> </w:t>
      </w:r>
      <w:r w:rsidRPr="00FD526C">
        <w:t>of</w:t>
      </w:r>
      <w:r w:rsidR="009E58AC">
        <w:t xml:space="preserve"> </w:t>
      </w:r>
      <w:r w:rsidRPr="00FD526C">
        <w:t xml:space="preserve">knowledge </w:t>
      </w:r>
      <w:r w:rsidR="0087676C">
        <w:t xml:space="preserve">of good environmental practice and good management of harms </w:t>
      </w:r>
      <w:r w:rsidRPr="00FD526C">
        <w:t xml:space="preserve">after the new </w:t>
      </w:r>
      <w:r>
        <w:t xml:space="preserve">EP </w:t>
      </w:r>
      <w:r w:rsidRPr="00FD526C">
        <w:t>legislati</w:t>
      </w:r>
      <w:r>
        <w:t>on</w:t>
      </w:r>
      <w:r w:rsidRPr="00FD526C">
        <w:t xml:space="preserve"> comes into effect </w:t>
      </w:r>
      <w:r w:rsidR="000B2D0E">
        <w:t xml:space="preserve">(intended to come into effect </w:t>
      </w:r>
      <w:r w:rsidRPr="00FD526C">
        <w:t>on 1 July 2020</w:t>
      </w:r>
      <w:r w:rsidR="000B2D0E">
        <w:t>)</w:t>
      </w:r>
      <w:r w:rsidRPr="00FD526C">
        <w:t>.</w:t>
      </w:r>
      <w:r w:rsidR="006B2F78">
        <w:t xml:space="preserve"> </w:t>
      </w:r>
      <w:r w:rsidR="0087676C">
        <w:t>Existing documents will be archived</w:t>
      </w:r>
      <w:r w:rsidR="004B7AC6">
        <w:t xml:space="preserve"> on the EPA website</w:t>
      </w:r>
      <w:r w:rsidR="0087676C">
        <w:t xml:space="preserve"> and will still be accessible</w:t>
      </w:r>
      <w:r w:rsidR="004B7AC6">
        <w:t xml:space="preserve"> to duty holders, while hard copies will still likely exist on business premises (and therefore influence business practices) after </w:t>
      </w:r>
      <w:r w:rsidR="004B7AC6" w:rsidRPr="00FD526C">
        <w:t xml:space="preserve">the new </w:t>
      </w:r>
      <w:r w:rsidR="004B7AC6">
        <w:t xml:space="preserve">EP </w:t>
      </w:r>
      <w:r w:rsidR="004B7AC6" w:rsidRPr="00FD526C">
        <w:t>legislati</w:t>
      </w:r>
      <w:r w:rsidR="004B7AC6">
        <w:t>on</w:t>
      </w:r>
      <w:r w:rsidR="004B7AC6" w:rsidRPr="00FD526C">
        <w:t xml:space="preserve"> comes into effect</w:t>
      </w:r>
      <w:r w:rsidR="00DC7A63">
        <w:t xml:space="preserve">. </w:t>
      </w:r>
    </w:p>
    <w:p w14:paraId="656AFE5F" w14:textId="77777777" w:rsidR="00FD526C" w:rsidRPr="00FD526C" w:rsidRDefault="00FD526C" w:rsidP="00982D63">
      <w:pPr>
        <w:pStyle w:val="Heading2"/>
      </w:pPr>
      <w:bookmarkStart w:id="160" w:name="_Ref7439760"/>
      <w:r w:rsidRPr="00FD526C">
        <w:t xml:space="preserve">Other </w:t>
      </w:r>
      <w:r w:rsidR="00963F6D">
        <w:t>D</w:t>
      </w:r>
      <w:r w:rsidR="00963F6D" w:rsidRPr="00FD526C">
        <w:t xml:space="preserve">epartments </w:t>
      </w:r>
      <w:r w:rsidRPr="00FD526C">
        <w:t>and agencies</w:t>
      </w:r>
      <w:bookmarkEnd w:id="160"/>
    </w:p>
    <w:p w14:paraId="656AFE60" w14:textId="0C99A2D7" w:rsidR="00FD526C" w:rsidRDefault="00FD526C" w:rsidP="00FD526C">
      <w:pPr>
        <w:ind w:right="565"/>
        <w:rPr>
          <w:rFonts w:cs="Segoe UI Light"/>
          <w:szCs w:val="20"/>
        </w:rPr>
      </w:pPr>
      <w:r w:rsidRPr="00FD526C">
        <w:rPr>
          <w:rFonts w:cs="Segoe UI Light"/>
          <w:szCs w:val="20"/>
        </w:rPr>
        <w:t>Environment protection today involves a framework of regulation, policy setting and programs across government. Over 40 separate Acts cover environmental regulation in Victoria, involving a range of state government agencies and 79 local government authorities</w:t>
      </w:r>
      <w:r w:rsidRPr="000E7C5E">
        <w:rPr>
          <w:rFonts w:cs="Segoe UI Light"/>
          <w:szCs w:val="20"/>
        </w:rPr>
        <w:t>).</w:t>
      </w:r>
      <w:r w:rsidRPr="000E7C5E">
        <w:rPr>
          <w:rFonts w:cs="Segoe UI Light"/>
          <w:szCs w:val="20"/>
          <w:vertAlign w:val="superscript"/>
        </w:rPr>
        <w:footnoteReference w:id="15"/>
      </w:r>
    </w:p>
    <w:p w14:paraId="656AFE61" w14:textId="77777777" w:rsidR="004E20B2" w:rsidRDefault="004E20B2" w:rsidP="004E20B2">
      <w:pPr>
        <w:pStyle w:val="Caption"/>
      </w:pPr>
      <w:r w:rsidRPr="008C5D06">
        <w:t xml:space="preserve">Figure </w:t>
      </w:r>
      <w:r w:rsidRPr="006A5A54">
        <w:rPr>
          <w:color w:val="2B579A"/>
          <w:shd w:val="clear" w:color="auto" w:fill="E6E6E6"/>
        </w:rPr>
        <w:fldChar w:fldCharType="begin"/>
      </w:r>
      <w:r w:rsidRPr="008C5D06">
        <w:instrText xml:space="preserve"> STYLEREF 1 \s </w:instrText>
      </w:r>
      <w:r w:rsidRPr="006A5A54">
        <w:rPr>
          <w:color w:val="2B579A"/>
          <w:shd w:val="clear" w:color="auto" w:fill="E6E6E6"/>
        </w:rPr>
        <w:fldChar w:fldCharType="separate"/>
      </w:r>
      <w:r w:rsidR="00B11C1E">
        <w:rPr>
          <w:noProof/>
        </w:rPr>
        <w:t>2</w:t>
      </w:r>
      <w:r w:rsidRPr="006A5A54">
        <w:rPr>
          <w:color w:val="2B579A"/>
          <w:shd w:val="clear" w:color="auto" w:fill="E6E6E6"/>
        </w:rPr>
        <w:fldChar w:fldCharType="end"/>
      </w:r>
      <w:r w:rsidRPr="008C5D06">
        <w:noBreakHyphen/>
      </w:r>
      <w:r w:rsidRPr="006A5A54">
        <w:rPr>
          <w:color w:val="2B579A"/>
          <w:shd w:val="clear" w:color="auto" w:fill="E6E6E6"/>
        </w:rPr>
        <w:fldChar w:fldCharType="begin"/>
      </w:r>
      <w:r w:rsidRPr="008C5D06">
        <w:instrText xml:space="preserve"> SEQ Figure \* ARABIC \s 1 </w:instrText>
      </w:r>
      <w:r w:rsidRPr="006A5A54">
        <w:rPr>
          <w:color w:val="2B579A"/>
          <w:shd w:val="clear" w:color="auto" w:fill="E6E6E6"/>
        </w:rPr>
        <w:fldChar w:fldCharType="separate"/>
      </w:r>
      <w:r w:rsidR="00B11C1E">
        <w:rPr>
          <w:noProof/>
        </w:rPr>
        <w:t>1</w:t>
      </w:r>
      <w:r w:rsidRPr="006A5A54">
        <w:rPr>
          <w:color w:val="2B579A"/>
          <w:shd w:val="clear" w:color="auto" w:fill="E6E6E6"/>
        </w:rPr>
        <w:fldChar w:fldCharType="end"/>
      </w:r>
      <w:r w:rsidRPr="008C5D06">
        <w:t xml:space="preserve"> </w:t>
      </w:r>
      <w:r w:rsidRPr="000E7C5E">
        <w:t>Victorian Environmental legislation</w:t>
      </w:r>
      <w:r w:rsidRPr="00FD526C">
        <w:rPr>
          <w:iCs w:val="0"/>
          <w:vertAlign w:val="superscript"/>
        </w:rPr>
        <w:footnoteReference w:id="16"/>
      </w:r>
    </w:p>
    <w:p w14:paraId="656AFE62" w14:textId="77777777" w:rsidR="004E20B2" w:rsidRPr="000E7C5E" w:rsidRDefault="004E20B2" w:rsidP="004E20B2">
      <w:pPr>
        <w:keepNext/>
      </w:pPr>
      <w:r w:rsidRPr="008C5D06">
        <w:rPr>
          <w:noProof/>
          <w:color w:val="2B579A"/>
          <w:shd w:val="clear" w:color="auto" w:fill="E6E6E6"/>
          <w:lang w:eastAsia="en-AU"/>
        </w:rPr>
        <w:drawing>
          <wp:inline distT="0" distB="0" distL="0" distR="0" wp14:anchorId="656B1E62" wp14:editId="656B1E63">
            <wp:extent cx="4872057" cy="507153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3025" cy="5072540"/>
                    </a:xfrm>
                    <a:prstGeom prst="rect">
                      <a:avLst/>
                    </a:prstGeom>
                    <a:noFill/>
                    <a:ln>
                      <a:noFill/>
                    </a:ln>
                  </pic:spPr>
                </pic:pic>
              </a:graphicData>
            </a:graphic>
          </wp:inline>
        </w:drawing>
      </w:r>
    </w:p>
    <w:p w14:paraId="656AFE63" w14:textId="77777777" w:rsidR="004E20B2" w:rsidRPr="009E3221" w:rsidRDefault="004E20B2" w:rsidP="00FD526C">
      <w:pPr>
        <w:ind w:right="565"/>
        <w:rPr>
          <w:rFonts w:cs="Segoe UI Light"/>
          <w:szCs w:val="20"/>
        </w:rPr>
      </w:pPr>
    </w:p>
    <w:p w14:paraId="656AFE64" w14:textId="77777777" w:rsidR="00FD526C" w:rsidRPr="00FD526C" w:rsidRDefault="00FD526C" w:rsidP="00FD526C">
      <w:pPr>
        <w:ind w:right="565"/>
        <w:rPr>
          <w:rFonts w:cs="Segoe UI Light"/>
          <w:szCs w:val="20"/>
        </w:rPr>
      </w:pPr>
      <w:r w:rsidRPr="009E3221">
        <w:rPr>
          <w:rFonts w:cs="Segoe UI Light"/>
          <w:szCs w:val="20"/>
        </w:rPr>
        <w:t>EPA works closely with DELWP and Sustainability Victoria to develop environment protection policy and legislation</w:t>
      </w:r>
      <w:r w:rsidR="00A8165F">
        <w:rPr>
          <w:rFonts w:cs="Segoe UI Light"/>
          <w:szCs w:val="20"/>
        </w:rPr>
        <w:t>,</w:t>
      </w:r>
      <w:r w:rsidRPr="009E3221">
        <w:rPr>
          <w:rFonts w:cs="Segoe UI Light"/>
          <w:szCs w:val="20"/>
        </w:rPr>
        <w:t xml:space="preserve"> and to deliver programs that support environmental</w:t>
      </w:r>
      <w:r w:rsidRPr="00FD526C">
        <w:rPr>
          <w:rFonts w:cs="Segoe UI Light"/>
          <w:szCs w:val="20"/>
        </w:rPr>
        <w:t xml:space="preserve"> protection. </w:t>
      </w:r>
    </w:p>
    <w:p w14:paraId="656AFE65" w14:textId="77777777" w:rsidR="00B70E30" w:rsidRPr="00B70E30" w:rsidRDefault="00B70E30" w:rsidP="00B70E30">
      <w:pPr>
        <w:ind w:right="565"/>
        <w:rPr>
          <w:rFonts w:cs="Segoe UI Light"/>
          <w:szCs w:val="20"/>
        </w:rPr>
      </w:pPr>
      <w:r w:rsidRPr="00B70E30">
        <w:rPr>
          <w:rFonts w:cs="Segoe UI Light"/>
          <w:szCs w:val="20"/>
        </w:rPr>
        <w:t>DELWP provides whole-of-government leadership on environment protection, and also has specific regulatory responsibilities, for example, relating to biodiversity protection.</w:t>
      </w:r>
      <w:r w:rsidRPr="00B70E30">
        <w:rPr>
          <w:rFonts w:cs="Segoe UI Light"/>
          <w:szCs w:val="20"/>
          <w:vertAlign w:val="superscript"/>
        </w:rPr>
        <w:footnoteReference w:id="17"/>
      </w:r>
    </w:p>
    <w:p w14:paraId="656AFE66" w14:textId="77777777" w:rsidR="00B70E30" w:rsidRPr="00B70E30" w:rsidRDefault="00B70E30" w:rsidP="00B70E30">
      <w:pPr>
        <w:ind w:right="565"/>
        <w:rPr>
          <w:rFonts w:cs="Segoe UI Light"/>
          <w:szCs w:val="20"/>
        </w:rPr>
      </w:pPr>
      <w:r w:rsidRPr="00B70E30">
        <w:rPr>
          <w:rFonts w:cs="Segoe UI Light"/>
          <w:szCs w:val="20"/>
        </w:rPr>
        <w:t>Sustainability Victoria was established to ‘… facilitate and promote environmental sustainability in the use of resources’.</w:t>
      </w:r>
      <w:r w:rsidRPr="00B70E30">
        <w:rPr>
          <w:rFonts w:cs="Segoe UI Light"/>
          <w:szCs w:val="20"/>
          <w:vertAlign w:val="superscript"/>
        </w:rPr>
        <w:footnoteReference w:id="18"/>
      </w:r>
      <w:r w:rsidRPr="00B70E30">
        <w:rPr>
          <w:rFonts w:cs="Segoe UI Light"/>
          <w:szCs w:val="20"/>
        </w:rPr>
        <w:t xml:space="preserve"> It has a significant waste management role, with </w:t>
      </w:r>
      <w:r w:rsidRPr="009B48F2">
        <w:rPr>
          <w:rFonts w:cs="Segoe UI Light"/>
          <w:szCs w:val="20"/>
        </w:rPr>
        <w:t xml:space="preserve">a range of formal responsibilities under the EP Act, including preparing the Statewide Waste and Resource Recovery </w:t>
      </w:r>
      <w:r w:rsidR="00763FEC" w:rsidRPr="009B48F2">
        <w:rPr>
          <w:rFonts w:cs="Segoe UI Light"/>
          <w:szCs w:val="20"/>
        </w:rPr>
        <w:t>Infrastructure</w:t>
      </w:r>
      <w:r w:rsidR="00763FEC">
        <w:rPr>
          <w:rFonts w:cs="Segoe UI Light"/>
          <w:szCs w:val="20"/>
        </w:rPr>
        <w:t xml:space="preserve"> </w:t>
      </w:r>
      <w:r w:rsidRPr="00B70E30">
        <w:rPr>
          <w:rFonts w:cs="Segoe UI Light"/>
          <w:szCs w:val="20"/>
        </w:rPr>
        <w:t>Plan.</w:t>
      </w:r>
      <w:r w:rsidRPr="00B70E30">
        <w:rPr>
          <w:rFonts w:cs="Segoe UI Light"/>
          <w:szCs w:val="20"/>
          <w:vertAlign w:val="superscript"/>
        </w:rPr>
        <w:footnoteReference w:id="19"/>
      </w:r>
      <w:r w:rsidRPr="00B70E30">
        <w:rPr>
          <w:rFonts w:cs="Segoe UI Light"/>
          <w:szCs w:val="20"/>
        </w:rPr>
        <w:t xml:space="preserve"> Its functions focus on:</w:t>
      </w:r>
    </w:p>
    <w:p w14:paraId="656AFE67" w14:textId="77777777" w:rsidR="00B70E30" w:rsidRPr="00B70E30" w:rsidRDefault="00B70699" w:rsidP="004A2442">
      <w:pPr>
        <w:numPr>
          <w:ilvl w:val="0"/>
          <w:numId w:val="22"/>
        </w:numPr>
        <w:ind w:right="565"/>
        <w:contextualSpacing/>
        <w:rPr>
          <w:rFonts w:cs="Segoe UI Light"/>
          <w:szCs w:val="20"/>
        </w:rPr>
      </w:pPr>
      <w:r>
        <w:rPr>
          <w:rFonts w:cs="Segoe UI Light"/>
          <w:szCs w:val="20"/>
        </w:rPr>
        <w:t>E</w:t>
      </w:r>
      <w:r w:rsidR="00B70E30" w:rsidRPr="00B70E30">
        <w:rPr>
          <w:rFonts w:cs="Segoe UI Light"/>
          <w:szCs w:val="20"/>
        </w:rPr>
        <w:t>ducating and providing information for businesses and the community</w:t>
      </w:r>
    </w:p>
    <w:p w14:paraId="656AFE68" w14:textId="77777777" w:rsidR="00B70E30" w:rsidRPr="00B70E30" w:rsidRDefault="00B70699" w:rsidP="004A2442">
      <w:pPr>
        <w:numPr>
          <w:ilvl w:val="0"/>
          <w:numId w:val="22"/>
        </w:numPr>
        <w:ind w:right="565"/>
        <w:contextualSpacing/>
        <w:rPr>
          <w:rFonts w:cs="Segoe UI Light"/>
          <w:szCs w:val="20"/>
        </w:rPr>
      </w:pPr>
      <w:r>
        <w:rPr>
          <w:rFonts w:cs="Segoe UI Light"/>
          <w:szCs w:val="20"/>
        </w:rPr>
        <w:t>F</w:t>
      </w:r>
      <w:r w:rsidR="00B70E30" w:rsidRPr="00B70E30">
        <w:rPr>
          <w:rFonts w:cs="Segoe UI Light"/>
          <w:szCs w:val="20"/>
        </w:rPr>
        <w:t>acilitating and promoting environmentally sustainable practices, including resource efficiency</w:t>
      </w:r>
    </w:p>
    <w:p w14:paraId="656AFE69" w14:textId="77777777" w:rsidR="00B70E30" w:rsidRPr="00B70E30" w:rsidRDefault="00B70699" w:rsidP="004A2442">
      <w:pPr>
        <w:numPr>
          <w:ilvl w:val="0"/>
          <w:numId w:val="22"/>
        </w:numPr>
        <w:ind w:right="565"/>
        <w:contextualSpacing/>
        <w:rPr>
          <w:rFonts w:cs="Segoe UI Light"/>
          <w:szCs w:val="20"/>
        </w:rPr>
      </w:pPr>
      <w:r>
        <w:rPr>
          <w:rFonts w:cs="Segoe UI Light"/>
          <w:szCs w:val="20"/>
        </w:rPr>
        <w:t>F</w:t>
      </w:r>
      <w:r w:rsidR="00B70E30" w:rsidRPr="00B70E30">
        <w:rPr>
          <w:rFonts w:cs="Segoe UI Light"/>
          <w:szCs w:val="20"/>
        </w:rPr>
        <w:t>ostering sustainable markets</w:t>
      </w:r>
    </w:p>
    <w:p w14:paraId="656AFE6A" w14:textId="77777777" w:rsidR="00B70E30" w:rsidRPr="00B70E30" w:rsidRDefault="00B70699" w:rsidP="004A2442">
      <w:pPr>
        <w:numPr>
          <w:ilvl w:val="0"/>
          <w:numId w:val="22"/>
        </w:numPr>
        <w:spacing w:after="0"/>
        <w:ind w:right="565"/>
        <w:contextualSpacing/>
        <w:rPr>
          <w:rFonts w:cs="Segoe UI Light"/>
          <w:szCs w:val="20"/>
        </w:rPr>
      </w:pPr>
      <w:r>
        <w:rPr>
          <w:rFonts w:cs="Segoe UI Light"/>
          <w:szCs w:val="20"/>
        </w:rPr>
        <w:t>S</w:t>
      </w:r>
      <w:r w:rsidR="00B70E30" w:rsidRPr="00B70E30">
        <w:rPr>
          <w:rFonts w:cs="Segoe UI Light"/>
          <w:szCs w:val="20"/>
        </w:rPr>
        <w:t>upporting demonstration projects and providing financial assistance to further environmental sustainability</w:t>
      </w:r>
    </w:p>
    <w:p w14:paraId="656AFE6B" w14:textId="77777777" w:rsidR="00B70E30" w:rsidRDefault="00B70699" w:rsidP="004A2442">
      <w:pPr>
        <w:numPr>
          <w:ilvl w:val="0"/>
          <w:numId w:val="19"/>
        </w:numPr>
        <w:ind w:right="565"/>
        <w:contextualSpacing/>
        <w:textboxTightWrap w:val="allLines"/>
        <w:rPr>
          <w:rFonts w:cs="Segoe UI Light"/>
          <w:szCs w:val="20"/>
        </w:rPr>
      </w:pPr>
      <w:r>
        <w:rPr>
          <w:rFonts w:cs="Segoe UI Light"/>
          <w:szCs w:val="20"/>
        </w:rPr>
        <w:t>M</w:t>
      </w:r>
      <w:r w:rsidR="00B70E30" w:rsidRPr="00B70E30">
        <w:rPr>
          <w:rFonts w:cs="Segoe UI Light"/>
          <w:szCs w:val="20"/>
        </w:rPr>
        <w:t>onitoring and reporting on waste, water and energy targets.</w:t>
      </w:r>
    </w:p>
    <w:p w14:paraId="656AFE6C" w14:textId="77777777" w:rsidR="00D56888" w:rsidRDefault="00D56888" w:rsidP="000E7C5E">
      <w:pPr>
        <w:ind w:right="565"/>
        <w:contextualSpacing/>
        <w:textboxTightWrap w:val="allLines"/>
        <w:rPr>
          <w:rFonts w:cs="Segoe UI Light"/>
          <w:szCs w:val="20"/>
        </w:rPr>
      </w:pPr>
    </w:p>
    <w:p w14:paraId="656AFE6D" w14:textId="77777777" w:rsidR="00D56888" w:rsidRDefault="00D56888" w:rsidP="00D56888">
      <w:pPr>
        <w:ind w:right="565"/>
        <w:rPr>
          <w:rFonts w:cs="Segoe UI Light"/>
          <w:szCs w:val="20"/>
        </w:rPr>
      </w:pPr>
      <w:r w:rsidRPr="00B70E30">
        <w:rPr>
          <w:rFonts w:cs="Segoe UI Light"/>
          <w:szCs w:val="20"/>
        </w:rPr>
        <w:t>The Department of Health and Human Services (DHHS)</w:t>
      </w:r>
      <w:r>
        <w:rPr>
          <w:rFonts w:cs="Segoe UI Light"/>
          <w:szCs w:val="20"/>
        </w:rPr>
        <w:t xml:space="preserve"> </w:t>
      </w:r>
      <w:r w:rsidRPr="007337DC">
        <w:rPr>
          <w:rFonts w:cs="Segoe UI Light"/>
          <w:szCs w:val="20"/>
        </w:rPr>
        <w:t>delivers policies, programs and services that support and enhance the health and wellbeing of all Victorians.</w:t>
      </w:r>
      <w:r w:rsidRPr="005E0882">
        <w:rPr>
          <w:szCs w:val="20"/>
        </w:rPr>
        <w:t xml:space="preserve"> </w:t>
      </w:r>
      <w:r>
        <w:rPr>
          <w:szCs w:val="20"/>
        </w:rPr>
        <w:t>DHHS’</w:t>
      </w:r>
      <w:r w:rsidR="00963F6D">
        <w:rPr>
          <w:szCs w:val="20"/>
        </w:rPr>
        <w:t>s</w:t>
      </w:r>
      <w:r>
        <w:rPr>
          <w:szCs w:val="20"/>
        </w:rPr>
        <w:t xml:space="preserve"> vision is to achieve the best health, wellbeing and safety of all Victorians so that they can live a life they value</w:t>
      </w:r>
      <w:r w:rsidR="00963F6D">
        <w:rPr>
          <w:szCs w:val="20"/>
        </w:rPr>
        <w:t>.</w:t>
      </w:r>
    </w:p>
    <w:p w14:paraId="656AFE6E" w14:textId="77777777" w:rsidR="00FD526C" w:rsidRDefault="00D56888" w:rsidP="0090642D">
      <w:pPr>
        <w:ind w:right="565"/>
        <w:rPr>
          <w:rFonts w:cs="Segoe UI Light"/>
          <w:szCs w:val="20"/>
        </w:rPr>
      </w:pPr>
      <w:r>
        <w:rPr>
          <w:rFonts w:cs="Segoe UI Light"/>
          <w:szCs w:val="20"/>
        </w:rPr>
        <w:t>The</w:t>
      </w:r>
      <w:r w:rsidR="00B70E30" w:rsidRPr="00B70E30">
        <w:rPr>
          <w:rFonts w:cs="Segoe UI Light"/>
          <w:szCs w:val="20"/>
        </w:rPr>
        <w:t xml:space="preserve"> Department of Jobs, Precincts and Regions (DJPR), emergency services, and local government also have responsibilities under the various acts covering environmental regulation in Victoria</w:t>
      </w:r>
      <w:r w:rsidR="00FD526C" w:rsidRPr="00FD526C">
        <w:rPr>
          <w:rFonts w:cs="Segoe UI Light"/>
          <w:szCs w:val="20"/>
        </w:rPr>
        <w:t>. In drafting the proposed Regulations and preparing this RIS, consultation with different state government agencies and local government authorities has been undertaken</w:t>
      </w:r>
      <w:r w:rsidR="004779A6">
        <w:rPr>
          <w:rFonts w:cs="Segoe UI Light"/>
          <w:szCs w:val="20"/>
        </w:rPr>
        <w:t>. P</w:t>
      </w:r>
      <w:r w:rsidR="00FD526C" w:rsidRPr="00FD526C">
        <w:rPr>
          <w:rFonts w:cs="Segoe UI Light"/>
          <w:szCs w:val="20"/>
        </w:rPr>
        <w:t xml:space="preserve">otential interactions of proposed </w:t>
      </w:r>
      <w:r w:rsidR="00852412">
        <w:rPr>
          <w:rFonts w:cs="Segoe UI Light"/>
          <w:szCs w:val="20"/>
        </w:rPr>
        <w:t>R</w:t>
      </w:r>
      <w:r w:rsidR="00FD526C" w:rsidRPr="00FD526C">
        <w:rPr>
          <w:rFonts w:cs="Segoe UI Light"/>
          <w:szCs w:val="20"/>
        </w:rPr>
        <w:t>egulations and alternatives across different parts of Victoria’s whole-of environment regulation and management framework have been considered</w:t>
      </w:r>
      <w:r w:rsidR="00B70E30" w:rsidRPr="00B70E30">
        <w:rPr>
          <w:rFonts w:cs="Segoe UI Light"/>
          <w:szCs w:val="20"/>
        </w:rPr>
        <w:t>.</w:t>
      </w:r>
      <w:bookmarkStart w:id="161" w:name="_Toc536054882"/>
      <w:bookmarkStart w:id="162" w:name="_Toc536054883"/>
      <w:bookmarkStart w:id="163" w:name="_Toc536054884"/>
      <w:bookmarkStart w:id="164" w:name="_Toc536054885"/>
      <w:bookmarkStart w:id="165" w:name="_Toc536054888"/>
      <w:bookmarkStart w:id="166" w:name="_Toc536054889"/>
      <w:bookmarkStart w:id="167" w:name="_Toc536054890"/>
      <w:bookmarkStart w:id="168" w:name="_Toc536054900"/>
      <w:bookmarkStart w:id="169" w:name="_Toc536054904"/>
      <w:bookmarkStart w:id="170" w:name="_Toc536054905"/>
      <w:bookmarkStart w:id="171" w:name="_Toc536054909"/>
      <w:bookmarkStart w:id="172" w:name="_Toc536054911"/>
      <w:bookmarkStart w:id="173" w:name="_Toc536054915"/>
      <w:bookmarkStart w:id="174" w:name="_Toc536054916"/>
      <w:bookmarkStart w:id="175" w:name="_Toc536054918"/>
      <w:bookmarkStart w:id="176" w:name="_Toc536054920"/>
      <w:bookmarkStart w:id="177" w:name="_Toc536054922"/>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56AFE6F" w14:textId="77777777" w:rsidR="0094039D" w:rsidRPr="00FD526C" w:rsidRDefault="0094039D" w:rsidP="0090642D">
      <w:pPr>
        <w:ind w:right="565"/>
        <w:rPr>
          <w:rFonts w:eastAsiaTheme="majorEastAsia" w:cstheme="majorBidi"/>
          <w:b/>
          <w:bCs/>
          <w:color w:val="62B5E5" w:themeColor="accent3"/>
          <w:szCs w:val="26"/>
        </w:rPr>
      </w:pPr>
    </w:p>
    <w:p w14:paraId="656AFE70" w14:textId="77777777" w:rsidR="00FD526C" w:rsidRPr="00FD526C" w:rsidRDefault="00FD526C" w:rsidP="00982D63">
      <w:pPr>
        <w:pStyle w:val="Heading2"/>
      </w:pPr>
      <w:r w:rsidRPr="00FD526C">
        <w:t>Independent Inquiry into EPA findings</w:t>
      </w:r>
    </w:p>
    <w:p w14:paraId="656AFE71" w14:textId="77777777" w:rsidR="00FD526C" w:rsidRPr="00FD526C" w:rsidRDefault="00FD526C" w:rsidP="00FD526C">
      <w:pPr>
        <w:ind w:right="565"/>
        <w:rPr>
          <w:rFonts w:cs="Segoe UI Light"/>
          <w:szCs w:val="20"/>
        </w:rPr>
      </w:pPr>
      <w:r w:rsidRPr="00FD526C">
        <w:rPr>
          <w:rFonts w:cs="Segoe UI Light"/>
          <w:szCs w:val="20"/>
        </w:rPr>
        <w:t>In 2015, a Ministerial Advisory Committee (MAC) conducted an Independent Inquiry into EPA (the EPA Inquiry).</w:t>
      </w:r>
    </w:p>
    <w:p w14:paraId="656AFE72" w14:textId="77777777" w:rsidR="00B70E30" w:rsidRPr="00B70E30" w:rsidRDefault="00B70E30" w:rsidP="00B70E30">
      <w:pPr>
        <w:ind w:right="565"/>
        <w:rPr>
          <w:rFonts w:cs="Segoe UI Light"/>
          <w:szCs w:val="20"/>
        </w:rPr>
      </w:pPr>
      <w:r w:rsidRPr="00B70E30">
        <w:rPr>
          <w:rFonts w:cs="Segoe UI Light"/>
          <w:szCs w:val="20"/>
        </w:rPr>
        <w:t xml:space="preserve">The Minister for Environment, Climate Change and Water asked the MAC to examine and advise on the future of EPA – what it will need to address both present and future environmental risks. The MAC was asked to consider EPA’s roles relating to public health, environment protection and the regulation of greenhouse gas emissions; the appropriateness of its governance structures and resourcing; the scope and adequacy of its powers; its role in environmental justice; and Victorians’ expectations of </w:t>
      </w:r>
      <w:r w:rsidR="00FD526C" w:rsidRPr="00FD526C">
        <w:rPr>
          <w:rFonts w:cs="Segoe UI Light"/>
          <w:szCs w:val="20"/>
        </w:rPr>
        <w:t>EPA.</w:t>
      </w:r>
      <w:r w:rsidRPr="00B70E30">
        <w:rPr>
          <w:rFonts w:cs="Segoe UI Light"/>
          <w:i/>
          <w:szCs w:val="20"/>
          <w:vertAlign w:val="superscript"/>
        </w:rPr>
        <w:t xml:space="preserve"> </w:t>
      </w:r>
      <w:r w:rsidRPr="00B70E30">
        <w:rPr>
          <w:rFonts w:cs="Segoe UI Light"/>
          <w:szCs w:val="20"/>
          <w:vertAlign w:val="superscript"/>
        </w:rPr>
        <w:footnoteReference w:id="20"/>
      </w:r>
    </w:p>
    <w:p w14:paraId="656AFE73" w14:textId="77777777" w:rsidR="00B70E30" w:rsidRPr="00B70E30" w:rsidRDefault="00B70E30" w:rsidP="00B70E30">
      <w:pPr>
        <w:ind w:right="565"/>
        <w:rPr>
          <w:rFonts w:cs="Segoe UI Light"/>
          <w:szCs w:val="20"/>
        </w:rPr>
      </w:pPr>
      <w:r w:rsidRPr="00B70E30">
        <w:rPr>
          <w:rFonts w:cs="Segoe UI Light"/>
          <w:szCs w:val="20"/>
        </w:rPr>
        <w:t xml:space="preserve">The </w:t>
      </w:r>
      <w:r w:rsidR="0080008F">
        <w:rPr>
          <w:rFonts w:cs="Segoe UI Light"/>
          <w:szCs w:val="20"/>
        </w:rPr>
        <w:t>MAC</w:t>
      </w:r>
      <w:r w:rsidRPr="00B70E30">
        <w:rPr>
          <w:rFonts w:cs="Segoe UI Light"/>
          <w:szCs w:val="20"/>
        </w:rPr>
        <w:t xml:space="preserve"> observed that: </w:t>
      </w:r>
    </w:p>
    <w:p w14:paraId="656AFE74" w14:textId="77777777" w:rsidR="00B70E30" w:rsidRPr="00B70E30" w:rsidRDefault="00FD526C" w:rsidP="00B70E30">
      <w:pPr>
        <w:ind w:left="284" w:right="565"/>
        <w:rPr>
          <w:rFonts w:cs="Segoe UI Light"/>
          <w:i/>
          <w:szCs w:val="20"/>
        </w:rPr>
      </w:pPr>
      <w:r w:rsidRPr="00FD526C">
        <w:rPr>
          <w:rFonts w:cs="Segoe UI Light"/>
          <w:i/>
          <w:szCs w:val="20"/>
        </w:rPr>
        <w:t>From its inception,</w:t>
      </w:r>
      <w:r w:rsidR="00B70E30" w:rsidRPr="00B70E30">
        <w:rPr>
          <w:rFonts w:cs="Segoe UI Light"/>
          <w:i/>
          <w:szCs w:val="20"/>
        </w:rPr>
        <w:t xml:space="preserve"> EPA has played an important role in mitigating the effects of the worst forms of air, water and land pollution. Today Victorians experience many of the benefits from these efforts – with cleaner air to breathe, and environments in which to live and work, providing a much-envied liveability. EPA’s work – to control pollution, increase awareness and support better practices – reduces impacts today and also means that a better legacy is passed on to future generations.</w:t>
      </w:r>
      <w:r w:rsidR="00B70E30" w:rsidRPr="00B70E30">
        <w:rPr>
          <w:rFonts w:cs="Segoe UI Light"/>
          <w:i/>
          <w:szCs w:val="20"/>
          <w:vertAlign w:val="superscript"/>
        </w:rPr>
        <w:footnoteReference w:id="21"/>
      </w:r>
    </w:p>
    <w:p w14:paraId="656AFE75" w14:textId="77777777" w:rsidR="00B70E30" w:rsidRPr="00B70E30" w:rsidRDefault="00B70E30" w:rsidP="00B70E30">
      <w:pPr>
        <w:ind w:right="565"/>
        <w:rPr>
          <w:rFonts w:cs="Segoe UI Light"/>
          <w:i/>
          <w:szCs w:val="20"/>
        </w:rPr>
      </w:pPr>
      <w:r w:rsidRPr="00B70E30">
        <w:rPr>
          <w:rFonts w:cs="Segoe UI Light"/>
          <w:szCs w:val="20"/>
        </w:rPr>
        <w:t>The Inquiry Report observed that the current environment protection regulatory regime has served Victoria very well. It was also noted that:</w:t>
      </w:r>
    </w:p>
    <w:p w14:paraId="656AFE76" w14:textId="77777777" w:rsidR="00B70E30" w:rsidRPr="00B70E30" w:rsidRDefault="00B70E30" w:rsidP="00B70E30">
      <w:pPr>
        <w:ind w:left="284" w:right="565"/>
        <w:rPr>
          <w:rFonts w:cs="Segoe UI Light"/>
          <w:i/>
          <w:szCs w:val="20"/>
        </w:rPr>
      </w:pPr>
      <w:r w:rsidRPr="00B70E30">
        <w:rPr>
          <w:rFonts w:cs="Segoe UI Light"/>
          <w:i/>
          <w:szCs w:val="20"/>
        </w:rPr>
        <w:t>The community expects government to set a high priority on public health and safety, and to address environmental problems and market failures to promote other social objectives. And all sections of the community understand, and accept, that environmental regulation is essential to prevent harms from pollution and waste.</w:t>
      </w:r>
      <w:r w:rsidRPr="00B70E30">
        <w:rPr>
          <w:rFonts w:cs="Segoe UI Light"/>
          <w:i/>
          <w:szCs w:val="20"/>
          <w:vertAlign w:val="superscript"/>
        </w:rPr>
        <w:footnoteReference w:id="22"/>
      </w:r>
    </w:p>
    <w:p w14:paraId="656AFE77" w14:textId="77777777" w:rsidR="00FD526C" w:rsidRPr="00FD526C" w:rsidRDefault="00FD526C" w:rsidP="00FD526C">
      <w:pPr>
        <w:ind w:right="565"/>
        <w:rPr>
          <w:rFonts w:cs="Segoe UI Light"/>
          <w:szCs w:val="20"/>
        </w:rPr>
      </w:pPr>
      <w:r w:rsidRPr="00FD526C">
        <w:rPr>
          <w:rFonts w:cs="Segoe UI Light"/>
          <w:szCs w:val="20"/>
        </w:rPr>
        <w:t>However, the EPA Inquiry found that the legislative framework was not well equipped to meet the community’s expectations, particularly in light of major trends and emerging challenges, including:</w:t>
      </w:r>
    </w:p>
    <w:p w14:paraId="656AFE78" w14:textId="77777777" w:rsidR="008434C8" w:rsidRDefault="00FD526C" w:rsidP="004A2442">
      <w:pPr>
        <w:numPr>
          <w:ilvl w:val="0"/>
          <w:numId w:val="13"/>
        </w:numPr>
        <w:ind w:right="565"/>
        <w:contextualSpacing/>
        <w:rPr>
          <w:rFonts w:cs="Segoe UI Light"/>
          <w:szCs w:val="20"/>
        </w:rPr>
      </w:pPr>
      <w:r w:rsidRPr="00FD526C">
        <w:rPr>
          <w:rFonts w:cs="Segoe UI Light"/>
          <w:szCs w:val="20"/>
        </w:rPr>
        <w:t>The changing economy including the transition from a manufacturing to service-based economy</w:t>
      </w:r>
      <w:r w:rsidR="008434C8">
        <w:rPr>
          <w:rFonts w:cs="Segoe UI Light"/>
          <w:szCs w:val="20"/>
        </w:rPr>
        <w:t>.</w:t>
      </w:r>
      <w:r w:rsidRPr="00FD526C">
        <w:rPr>
          <w:rFonts w:cs="Segoe UI Light"/>
          <w:szCs w:val="20"/>
        </w:rPr>
        <w:t xml:space="preserve"> </w:t>
      </w:r>
    </w:p>
    <w:p w14:paraId="656AFE79" w14:textId="77777777" w:rsidR="00FD526C" w:rsidRPr="00FD526C" w:rsidRDefault="00FD526C" w:rsidP="004A2442">
      <w:pPr>
        <w:numPr>
          <w:ilvl w:val="0"/>
          <w:numId w:val="13"/>
        </w:numPr>
        <w:ind w:right="565"/>
        <w:contextualSpacing/>
        <w:rPr>
          <w:rFonts w:cs="Segoe UI Light"/>
          <w:szCs w:val="20"/>
        </w:rPr>
      </w:pPr>
      <w:r w:rsidRPr="00FD526C">
        <w:rPr>
          <w:rFonts w:cs="Segoe UI Light"/>
          <w:szCs w:val="20"/>
        </w:rPr>
        <w:t>The expansion of the food and fibre sectors, with increasing scale, intensification and industrial processing, has complex environmental implications, both in the short and longer term.</w:t>
      </w:r>
    </w:p>
    <w:p w14:paraId="656AFE7A" w14:textId="77777777" w:rsidR="00FD526C" w:rsidRPr="00FD526C" w:rsidRDefault="00FD526C" w:rsidP="004A2442">
      <w:pPr>
        <w:numPr>
          <w:ilvl w:val="0"/>
          <w:numId w:val="13"/>
        </w:numPr>
        <w:ind w:right="565"/>
        <w:contextualSpacing/>
        <w:rPr>
          <w:rFonts w:cs="Segoe UI Light"/>
          <w:szCs w:val="20"/>
        </w:rPr>
      </w:pPr>
      <w:r w:rsidRPr="00FD526C">
        <w:rPr>
          <w:rFonts w:cs="Segoe UI Light"/>
          <w:szCs w:val="20"/>
        </w:rPr>
        <w:t>Rapid population growth and urbanisation: denser and closer living, increasing waste, increasing traffic, overburdened infrastructure, declining air quality, exposure to legacy contamination and the erosion of the buffers that once insulated residential and commercial zones from industrial and agricultural smells, noise, traffic and pollution.</w:t>
      </w:r>
    </w:p>
    <w:p w14:paraId="656AFE7B" w14:textId="77777777" w:rsidR="00FD526C" w:rsidRPr="00FD526C" w:rsidRDefault="00FD526C" w:rsidP="004A2442">
      <w:pPr>
        <w:numPr>
          <w:ilvl w:val="0"/>
          <w:numId w:val="13"/>
        </w:numPr>
        <w:ind w:right="565"/>
        <w:contextualSpacing/>
        <w:rPr>
          <w:rFonts w:cs="Segoe UI Light"/>
          <w:szCs w:val="20"/>
        </w:rPr>
      </w:pPr>
      <w:r w:rsidRPr="00FD526C">
        <w:rPr>
          <w:rFonts w:cs="Segoe UI Light"/>
          <w:szCs w:val="20"/>
        </w:rPr>
        <w:t>The changing environment - at its core, climate change is a pollution problem, the consequence of rising greenhouse gas emissions from human activity.</w:t>
      </w:r>
    </w:p>
    <w:p w14:paraId="656AFE7C" w14:textId="77777777" w:rsidR="00FD526C" w:rsidRPr="00FD526C" w:rsidRDefault="00FD526C" w:rsidP="004A2442">
      <w:pPr>
        <w:numPr>
          <w:ilvl w:val="0"/>
          <w:numId w:val="13"/>
        </w:numPr>
        <w:ind w:right="565"/>
        <w:contextualSpacing/>
        <w:rPr>
          <w:rFonts w:cs="Segoe UI Light"/>
          <w:szCs w:val="20"/>
        </w:rPr>
      </w:pPr>
      <w:r w:rsidRPr="00FD526C">
        <w:rPr>
          <w:rFonts w:cs="Segoe UI Light"/>
          <w:szCs w:val="20"/>
        </w:rPr>
        <w:t>Technological change, which brings new challenges such as e-waste, the impacts of intensive agriculture</w:t>
      </w:r>
      <w:r w:rsidR="00362BA0">
        <w:rPr>
          <w:rFonts w:cs="Segoe UI Light"/>
          <w:szCs w:val="20"/>
        </w:rPr>
        <w:t>,</w:t>
      </w:r>
      <w:r w:rsidRPr="00FD526C">
        <w:rPr>
          <w:rFonts w:cs="Segoe UI Light"/>
          <w:szCs w:val="20"/>
        </w:rPr>
        <w:t xml:space="preserve"> and the unknowns of emerging nanotechnology and coal seam gas extraction.</w:t>
      </w:r>
      <w:r w:rsidRPr="00FD526C">
        <w:rPr>
          <w:rFonts w:cs="Segoe UI Light"/>
          <w:szCs w:val="20"/>
          <w:vertAlign w:val="superscript"/>
        </w:rPr>
        <w:footnoteReference w:id="23"/>
      </w:r>
    </w:p>
    <w:p w14:paraId="656AFE7D" w14:textId="77777777" w:rsidR="00FD526C" w:rsidRPr="00FD526C" w:rsidRDefault="00FD526C" w:rsidP="00FD526C">
      <w:pPr>
        <w:ind w:left="720" w:right="565"/>
        <w:contextualSpacing/>
        <w:rPr>
          <w:rFonts w:cs="Segoe UI Light"/>
          <w:szCs w:val="20"/>
        </w:rPr>
      </w:pPr>
    </w:p>
    <w:p w14:paraId="656AFE7E" w14:textId="77777777" w:rsidR="00FD526C" w:rsidRPr="00FD526C" w:rsidRDefault="00FD526C" w:rsidP="00FD526C">
      <w:pPr>
        <w:ind w:right="565"/>
        <w:rPr>
          <w:rFonts w:cs="Segoe UI Light"/>
          <w:szCs w:val="20"/>
        </w:rPr>
      </w:pPr>
      <w:r w:rsidRPr="00FD526C">
        <w:rPr>
          <w:rFonts w:cs="Segoe UI Light"/>
          <w:szCs w:val="20"/>
        </w:rPr>
        <w:t xml:space="preserve">In order to anticipate, manage and prevent environmental and health risks, the EPA Inquiry found that EPA needs a range of tools that reflect the community’s expectations and regulatory best practice, and that equip it to adopt a proactive, preventative approach to pollution and waste. It recommended reforms to: </w:t>
      </w:r>
    </w:p>
    <w:p w14:paraId="656AFE7F" w14:textId="77777777" w:rsidR="00FD526C" w:rsidRPr="00FD526C" w:rsidRDefault="001556D3" w:rsidP="004A2442">
      <w:pPr>
        <w:numPr>
          <w:ilvl w:val="0"/>
          <w:numId w:val="13"/>
        </w:numPr>
        <w:ind w:right="565"/>
        <w:contextualSpacing/>
        <w:rPr>
          <w:rFonts w:cs="Segoe UI Light"/>
          <w:szCs w:val="20"/>
        </w:rPr>
      </w:pPr>
      <w:r>
        <w:rPr>
          <w:rFonts w:cs="Segoe UI Light"/>
          <w:szCs w:val="20"/>
        </w:rPr>
        <w:t>s</w:t>
      </w:r>
      <w:r w:rsidR="00FD526C" w:rsidRPr="00FD526C">
        <w:rPr>
          <w:rFonts w:cs="Segoe UI Light"/>
          <w:szCs w:val="20"/>
        </w:rPr>
        <w:t>trengthen prevention</w:t>
      </w:r>
    </w:p>
    <w:p w14:paraId="656AFE80" w14:textId="77777777" w:rsidR="00FD526C" w:rsidRPr="00FD526C" w:rsidRDefault="001556D3" w:rsidP="004A2442">
      <w:pPr>
        <w:numPr>
          <w:ilvl w:val="0"/>
          <w:numId w:val="13"/>
        </w:numPr>
        <w:ind w:right="565"/>
        <w:contextualSpacing/>
        <w:rPr>
          <w:rFonts w:cs="Segoe UI Light"/>
          <w:szCs w:val="20"/>
        </w:rPr>
      </w:pPr>
      <w:r>
        <w:rPr>
          <w:rFonts w:cs="Segoe UI Light"/>
          <w:szCs w:val="20"/>
        </w:rPr>
        <w:t>h</w:t>
      </w:r>
      <w:r w:rsidR="00FD526C" w:rsidRPr="00FD526C">
        <w:rPr>
          <w:rFonts w:cs="Segoe UI Light"/>
          <w:szCs w:val="20"/>
        </w:rPr>
        <w:t>old polluters to account</w:t>
      </w:r>
    </w:p>
    <w:p w14:paraId="656AFE81" w14:textId="77777777" w:rsidR="00FD526C" w:rsidRPr="00FD526C" w:rsidRDefault="001556D3" w:rsidP="004A2442">
      <w:pPr>
        <w:numPr>
          <w:ilvl w:val="0"/>
          <w:numId w:val="13"/>
        </w:numPr>
        <w:ind w:right="565"/>
        <w:contextualSpacing/>
        <w:rPr>
          <w:rFonts w:cs="Segoe UI Light"/>
          <w:szCs w:val="20"/>
        </w:rPr>
      </w:pPr>
      <w:r>
        <w:rPr>
          <w:rFonts w:cs="Segoe UI Light"/>
          <w:szCs w:val="20"/>
        </w:rPr>
        <w:t>s</w:t>
      </w:r>
      <w:r w:rsidR="00FD526C" w:rsidRPr="00FD526C">
        <w:rPr>
          <w:rFonts w:cs="Segoe UI Light"/>
          <w:szCs w:val="20"/>
        </w:rPr>
        <w:t>trengthen management of legacy risks</w:t>
      </w:r>
    </w:p>
    <w:p w14:paraId="656AFE82" w14:textId="77777777" w:rsidR="00FD526C" w:rsidRPr="00FD526C" w:rsidRDefault="001556D3" w:rsidP="004A2442">
      <w:pPr>
        <w:numPr>
          <w:ilvl w:val="0"/>
          <w:numId w:val="13"/>
        </w:numPr>
        <w:ind w:right="565"/>
        <w:contextualSpacing/>
        <w:rPr>
          <w:rFonts w:cs="Segoe UI Light"/>
          <w:szCs w:val="20"/>
        </w:rPr>
      </w:pPr>
      <w:r>
        <w:rPr>
          <w:rFonts w:cs="Segoe UI Light"/>
          <w:szCs w:val="20"/>
        </w:rPr>
        <w:t>i</w:t>
      </w:r>
      <w:r w:rsidR="00FD526C" w:rsidRPr="00FD526C">
        <w:rPr>
          <w:rFonts w:cs="Segoe UI Light"/>
          <w:szCs w:val="20"/>
        </w:rPr>
        <w:t>ntroduce a new approach to standard setting</w:t>
      </w:r>
    </w:p>
    <w:p w14:paraId="656AFE83" w14:textId="77777777" w:rsidR="00FD526C" w:rsidRPr="00FD526C" w:rsidRDefault="001556D3" w:rsidP="004A2442">
      <w:pPr>
        <w:numPr>
          <w:ilvl w:val="0"/>
          <w:numId w:val="13"/>
        </w:numPr>
        <w:ind w:right="565"/>
        <w:contextualSpacing/>
        <w:rPr>
          <w:rFonts w:cs="Segoe UI Light"/>
          <w:szCs w:val="20"/>
        </w:rPr>
      </w:pPr>
      <w:r>
        <w:rPr>
          <w:rFonts w:cs="Segoe UI Light"/>
          <w:szCs w:val="20"/>
        </w:rPr>
        <w:t>d</w:t>
      </w:r>
      <w:r w:rsidR="00FD526C" w:rsidRPr="00FD526C">
        <w:rPr>
          <w:rFonts w:cs="Segoe UI Light"/>
          <w:szCs w:val="20"/>
        </w:rPr>
        <w:t>eploy a wide range of regulatory instruments</w:t>
      </w:r>
    </w:p>
    <w:p w14:paraId="656AFE84" w14:textId="77777777" w:rsidR="00FD526C" w:rsidRPr="00FD526C" w:rsidRDefault="001556D3" w:rsidP="004A2442">
      <w:pPr>
        <w:numPr>
          <w:ilvl w:val="0"/>
          <w:numId w:val="13"/>
        </w:numPr>
        <w:ind w:right="565"/>
        <w:contextualSpacing/>
        <w:rPr>
          <w:rFonts w:cs="Segoe UI Light"/>
          <w:szCs w:val="20"/>
        </w:rPr>
      </w:pPr>
      <w:r>
        <w:rPr>
          <w:rFonts w:cs="Segoe UI Light"/>
          <w:szCs w:val="20"/>
        </w:rPr>
        <w:t>s</w:t>
      </w:r>
      <w:r w:rsidR="00FD526C" w:rsidRPr="00FD526C">
        <w:rPr>
          <w:rFonts w:cs="Segoe UI Light"/>
          <w:szCs w:val="20"/>
        </w:rPr>
        <w:t>trengthen regulation of the mining sector</w:t>
      </w:r>
    </w:p>
    <w:p w14:paraId="656AFE85" w14:textId="77777777" w:rsidR="00FD526C" w:rsidRPr="00FD526C" w:rsidRDefault="001556D3" w:rsidP="004A2442">
      <w:pPr>
        <w:numPr>
          <w:ilvl w:val="0"/>
          <w:numId w:val="13"/>
        </w:numPr>
        <w:ind w:left="714" w:right="565" w:hanging="357"/>
        <w:rPr>
          <w:rFonts w:cs="Segoe UI Light"/>
          <w:szCs w:val="20"/>
        </w:rPr>
      </w:pPr>
      <w:r>
        <w:rPr>
          <w:rFonts w:cs="Segoe UI Light"/>
          <w:szCs w:val="20"/>
        </w:rPr>
        <w:t>b</w:t>
      </w:r>
      <w:r w:rsidR="00FD526C" w:rsidRPr="00FD526C">
        <w:rPr>
          <w:rFonts w:cs="Segoe UI Light"/>
          <w:szCs w:val="20"/>
        </w:rPr>
        <w:t>uild local response capacity through local government.</w:t>
      </w:r>
      <w:r w:rsidR="00FD526C" w:rsidRPr="00FD526C">
        <w:rPr>
          <w:rFonts w:cs="Segoe UI Light"/>
          <w:szCs w:val="20"/>
          <w:vertAlign w:val="superscript"/>
        </w:rPr>
        <w:footnoteReference w:id="24"/>
      </w:r>
    </w:p>
    <w:p w14:paraId="656AFE86" w14:textId="77777777" w:rsidR="00FD526C" w:rsidRPr="00FD526C" w:rsidRDefault="00852412" w:rsidP="00FD526C">
      <w:pPr>
        <w:ind w:right="565"/>
        <w:rPr>
          <w:rFonts w:cs="Segoe UI Light"/>
          <w:szCs w:val="20"/>
        </w:rPr>
      </w:pPr>
      <w:r w:rsidRPr="00852412">
        <w:rPr>
          <w:rFonts w:cs="Segoe UI Light"/>
          <w:szCs w:val="20"/>
        </w:rPr>
        <w:t>The cornerstone recommendation of the EPA Inquiry was to introduce a general duty to minimise risks of harm to human health and the environment to promote the preventative focus for EPA (Recommendation 12.1).</w:t>
      </w:r>
      <w:r w:rsidRPr="00FD526C">
        <w:rPr>
          <w:vertAlign w:val="superscript"/>
        </w:rPr>
        <w:footnoteReference w:id="25"/>
      </w:r>
      <w:r w:rsidRPr="00852412">
        <w:rPr>
          <w:rFonts w:cs="Segoe UI Light"/>
          <w:szCs w:val="20"/>
        </w:rPr>
        <w:t xml:space="preserve"> The EPA Inquiry also made specific recommendations in relation to contaminated land and waste management.</w:t>
      </w:r>
      <w:r w:rsidRPr="00FD526C">
        <w:rPr>
          <w:vertAlign w:val="superscript"/>
        </w:rPr>
        <w:footnoteReference w:id="26"/>
      </w:r>
      <w:r w:rsidR="00FD526C" w:rsidRPr="00FD526C">
        <w:rPr>
          <w:rFonts w:cs="Segoe UI Light"/>
          <w:szCs w:val="20"/>
        </w:rPr>
        <w:t xml:space="preserve"> For contaminated land, the EPA Inquiry recommended the following:</w:t>
      </w:r>
    </w:p>
    <w:p w14:paraId="656AFE87" w14:textId="77777777" w:rsidR="00FD526C" w:rsidRPr="00FD526C" w:rsidRDefault="00FD526C" w:rsidP="004A2442">
      <w:pPr>
        <w:numPr>
          <w:ilvl w:val="0"/>
          <w:numId w:val="54"/>
        </w:numPr>
        <w:ind w:right="565"/>
        <w:contextualSpacing/>
        <w:textboxTightWrap w:val="allLines"/>
        <w:rPr>
          <w:rFonts w:cs="Segoe UI Light"/>
          <w:szCs w:val="20"/>
        </w:rPr>
      </w:pPr>
      <w:r w:rsidRPr="00FD526C">
        <w:rPr>
          <w:rFonts w:cs="Segoe UI Light"/>
          <w:szCs w:val="20"/>
        </w:rPr>
        <w:t>DELWP develop a comprehensive statewide database of sites that pose a high risk to the community because of their past use, which should link to other relevant government data sources including information held by EPA. (Recommendation 14.1)</w:t>
      </w:r>
    </w:p>
    <w:p w14:paraId="656AFE88" w14:textId="77777777" w:rsidR="00FD526C" w:rsidRPr="00FD526C" w:rsidRDefault="00FD526C" w:rsidP="000E7C5E">
      <w:pPr>
        <w:numPr>
          <w:ilvl w:val="0"/>
          <w:numId w:val="13"/>
        </w:numPr>
        <w:ind w:left="714" w:right="565" w:hanging="357"/>
        <w:rPr>
          <w:rFonts w:cs="Segoe UI Light"/>
          <w:szCs w:val="20"/>
        </w:rPr>
      </w:pPr>
      <w:r w:rsidRPr="00FD526C">
        <w:rPr>
          <w:rFonts w:cs="Segoe UI Light"/>
          <w:szCs w:val="20"/>
        </w:rPr>
        <w:t>Integrate and strengthen planning and environmental regulation of legacy contamination, through a reform process led by the DELWP to provide a more consistent, risk-based approach to risk screening, assessment and remediation requirements and ongoing compliance mechanisms. (Recommendation 14.2)</w:t>
      </w:r>
      <w:r w:rsidRPr="00852412">
        <w:rPr>
          <w:rFonts w:cs="Segoe UI Light"/>
          <w:szCs w:val="20"/>
          <w:vertAlign w:val="superscript"/>
        </w:rPr>
        <w:footnoteReference w:id="27"/>
      </w:r>
    </w:p>
    <w:p w14:paraId="656AFE89" w14:textId="77777777" w:rsidR="00FD526C" w:rsidRPr="00FD526C" w:rsidRDefault="00FD526C" w:rsidP="00FD526C">
      <w:pPr>
        <w:ind w:right="565"/>
        <w:rPr>
          <w:rFonts w:ascii="AkzidenzGroteskPro-Light" w:hAnsi="AkzidenzGroteskPro-Light" w:cs="AkzidenzGroteskPro-Light"/>
          <w:color w:val="58595B"/>
          <w:szCs w:val="20"/>
        </w:rPr>
      </w:pPr>
      <w:r w:rsidRPr="00FD526C">
        <w:rPr>
          <w:rFonts w:cs="Segoe UI Light"/>
          <w:szCs w:val="20"/>
        </w:rPr>
        <w:t>In relation to waste management, the EPA Inquiry noted that the widespread incidence of illegal dumping of wastes, to avoid landfill costs, is undermining both the regulatory and the revenue objectives of landfill levies.</w:t>
      </w:r>
      <w:r w:rsidRPr="00247956">
        <w:rPr>
          <w:vertAlign w:val="superscript"/>
        </w:rPr>
        <w:footnoteReference w:id="28"/>
      </w:r>
      <w:r w:rsidR="00014F56">
        <w:rPr>
          <w:rFonts w:cs="Segoe UI Light"/>
          <w:szCs w:val="20"/>
          <w:vertAlign w:val="superscript"/>
        </w:rPr>
        <w:t xml:space="preserve"> </w:t>
      </w:r>
      <w:r w:rsidRPr="00FD526C">
        <w:rPr>
          <w:rFonts w:cs="Segoe UI Light"/>
          <w:szCs w:val="20"/>
        </w:rPr>
        <w:t>The EPA Inquiry recommended the following:</w:t>
      </w:r>
    </w:p>
    <w:p w14:paraId="656AFE8A" w14:textId="77777777" w:rsidR="00FD526C" w:rsidRPr="00FD526C" w:rsidRDefault="00FD526C" w:rsidP="004A2442">
      <w:pPr>
        <w:numPr>
          <w:ilvl w:val="0"/>
          <w:numId w:val="54"/>
        </w:numPr>
        <w:ind w:right="565"/>
        <w:contextualSpacing/>
        <w:textboxTightWrap w:val="allLines"/>
        <w:rPr>
          <w:rFonts w:cs="Segoe UI Light"/>
          <w:szCs w:val="20"/>
        </w:rPr>
      </w:pPr>
      <w:r w:rsidRPr="00FD526C">
        <w:rPr>
          <w:rFonts w:cs="Segoe UI Light"/>
          <w:szCs w:val="20"/>
        </w:rPr>
        <w:t>As part of reform of the Prescribed Industrial Waste Levy, give specific attention to addressing illegal dumping and supporting responsible disposal of asbestos (Recommendation 14.3)</w:t>
      </w:r>
      <w:r w:rsidR="00827FFD">
        <w:rPr>
          <w:rFonts w:cs="Segoe UI Light"/>
          <w:szCs w:val="20"/>
        </w:rPr>
        <w:t>.</w:t>
      </w:r>
      <w:r w:rsidRPr="00FD526C">
        <w:rPr>
          <w:rFonts w:cs="Segoe UI Light"/>
          <w:szCs w:val="20"/>
          <w:vertAlign w:val="superscript"/>
        </w:rPr>
        <w:footnoteReference w:id="29"/>
      </w:r>
    </w:p>
    <w:p w14:paraId="656AFE8B" w14:textId="77777777" w:rsidR="00FD526C" w:rsidRPr="00FD526C" w:rsidRDefault="00FD526C" w:rsidP="004A2442">
      <w:pPr>
        <w:numPr>
          <w:ilvl w:val="0"/>
          <w:numId w:val="54"/>
        </w:numPr>
        <w:ind w:right="565"/>
        <w:contextualSpacing/>
        <w:textboxTightWrap w:val="allLines"/>
        <w:rPr>
          <w:rFonts w:cs="Segoe UI Light"/>
          <w:szCs w:val="20"/>
        </w:rPr>
      </w:pPr>
      <w:r w:rsidRPr="00FD526C">
        <w:rPr>
          <w:rFonts w:cs="Segoe UI Light"/>
          <w:szCs w:val="20"/>
        </w:rPr>
        <w:t>Reform the Prescribed Industrial Waste Levy (and the associated regulatory framework for transporting, storing and disposing of hazardous waste) to:</w:t>
      </w:r>
    </w:p>
    <w:p w14:paraId="656AFE8C" w14:textId="77777777" w:rsidR="00FD526C" w:rsidRPr="00FD526C" w:rsidRDefault="00FD526C" w:rsidP="004A2442">
      <w:pPr>
        <w:numPr>
          <w:ilvl w:val="0"/>
          <w:numId w:val="55"/>
        </w:numPr>
        <w:ind w:right="565"/>
        <w:contextualSpacing/>
        <w:textboxTightWrap w:val="allLines"/>
        <w:rPr>
          <w:rFonts w:cs="Segoe UI Light"/>
          <w:szCs w:val="20"/>
        </w:rPr>
      </w:pPr>
      <w:r w:rsidRPr="00FD526C">
        <w:rPr>
          <w:rFonts w:cs="Segoe UI Light"/>
          <w:szCs w:val="20"/>
        </w:rPr>
        <w:t>curtail the growing problem of illegal dumping of hazardous waste</w:t>
      </w:r>
    </w:p>
    <w:p w14:paraId="656AFE8D" w14:textId="77777777" w:rsidR="00FD526C" w:rsidRPr="00FD526C" w:rsidRDefault="00FD526C" w:rsidP="004A2442">
      <w:pPr>
        <w:numPr>
          <w:ilvl w:val="0"/>
          <w:numId w:val="55"/>
        </w:numPr>
        <w:ind w:right="565"/>
        <w:contextualSpacing/>
        <w:textboxTightWrap w:val="allLines"/>
        <w:rPr>
          <w:rFonts w:cs="Segoe UI Light"/>
          <w:szCs w:val="20"/>
        </w:rPr>
      </w:pPr>
      <w:r w:rsidRPr="00FD526C">
        <w:rPr>
          <w:rFonts w:cs="Segoe UI Light"/>
          <w:szCs w:val="20"/>
        </w:rPr>
        <w:t>reduce mounting costs of additional compliance activity targeted to illegal dumping</w:t>
      </w:r>
    </w:p>
    <w:p w14:paraId="656AFE8E" w14:textId="77777777" w:rsidR="00FD526C" w:rsidRPr="00FD526C" w:rsidRDefault="00FD526C" w:rsidP="004A2442">
      <w:pPr>
        <w:numPr>
          <w:ilvl w:val="0"/>
          <w:numId w:val="55"/>
        </w:numPr>
        <w:ind w:right="565"/>
        <w:contextualSpacing/>
        <w:textboxTightWrap w:val="allLines"/>
        <w:rPr>
          <w:rFonts w:cs="Segoe UI Light"/>
          <w:szCs w:val="20"/>
        </w:rPr>
      </w:pPr>
      <w:r w:rsidRPr="00FD526C">
        <w:rPr>
          <w:rFonts w:cs="Segoe UI Light"/>
          <w:szCs w:val="20"/>
        </w:rPr>
        <w:t>avoid further erosion in the Prescribed Industrial Waste Levy revenue base due to avoidance activity. (Recommendation 21.3)</w:t>
      </w:r>
      <w:r w:rsidRPr="00FD526C">
        <w:rPr>
          <w:rFonts w:cs="Segoe UI Light"/>
          <w:szCs w:val="20"/>
          <w:vertAlign w:val="superscript"/>
        </w:rPr>
        <w:footnoteReference w:id="30"/>
      </w:r>
    </w:p>
    <w:p w14:paraId="656AFE8F" w14:textId="77777777" w:rsidR="00B70E30" w:rsidRPr="00FD526C" w:rsidRDefault="00B70E30" w:rsidP="00982D63">
      <w:pPr>
        <w:pStyle w:val="Heading2"/>
      </w:pPr>
      <w:r w:rsidRPr="00FD526C">
        <w:t>Legislative reform</w:t>
      </w:r>
    </w:p>
    <w:p w14:paraId="656AFE90" w14:textId="77777777" w:rsidR="00B70E30" w:rsidRPr="00B70E30" w:rsidRDefault="00B70E30" w:rsidP="00B70E30">
      <w:pPr>
        <w:ind w:right="565"/>
        <w:rPr>
          <w:rFonts w:cs="Segoe UI Light"/>
          <w:szCs w:val="20"/>
        </w:rPr>
      </w:pPr>
      <w:r w:rsidRPr="00B70E30">
        <w:rPr>
          <w:rFonts w:cs="Segoe UI Light"/>
          <w:szCs w:val="20"/>
        </w:rPr>
        <w:t>The Government’s response to the EPA Inquiry endorsed the vision of shifting EPA’s approach to one of prevention of harm, and the reforms are intended to deliver modern, fit-for-purpose legislation to support this.</w:t>
      </w:r>
      <w:r w:rsidRPr="00B70E30">
        <w:rPr>
          <w:rFonts w:cs="Segoe UI Light"/>
          <w:szCs w:val="20"/>
          <w:vertAlign w:val="superscript"/>
        </w:rPr>
        <w:footnoteReference w:id="31"/>
      </w:r>
    </w:p>
    <w:p w14:paraId="656AFE91" w14:textId="77777777" w:rsidR="00B70E30" w:rsidRPr="00B70E30" w:rsidRDefault="00B70E30" w:rsidP="00B70E30">
      <w:pPr>
        <w:ind w:right="565"/>
        <w:rPr>
          <w:rFonts w:cs="Segoe UI Light"/>
          <w:szCs w:val="20"/>
        </w:rPr>
      </w:pPr>
      <w:r w:rsidRPr="00B70E30">
        <w:rPr>
          <w:rFonts w:cs="Segoe UI Light"/>
          <w:szCs w:val="20"/>
        </w:rPr>
        <w:t>The Government has introduced reforms to environment protection legislation to better avoid and/or manage harm arising from six key problem areas where it has been identified that behaviour is currently leading to poor outcomes:</w:t>
      </w:r>
    </w:p>
    <w:p w14:paraId="656AFE92" w14:textId="77777777" w:rsidR="00B70E30" w:rsidRPr="00B70E30" w:rsidRDefault="00B70E30" w:rsidP="004A2442">
      <w:pPr>
        <w:numPr>
          <w:ilvl w:val="0"/>
          <w:numId w:val="12"/>
        </w:numPr>
        <w:ind w:right="565"/>
        <w:contextualSpacing/>
        <w:rPr>
          <w:rFonts w:cs="Segoe UI Light"/>
          <w:szCs w:val="20"/>
        </w:rPr>
      </w:pPr>
      <w:r w:rsidRPr="00B70E30">
        <w:rPr>
          <w:rFonts w:cs="Segoe UI Light"/>
          <w:szCs w:val="20"/>
        </w:rPr>
        <w:t>Catastrophic events and other major failures at hazardous sites - better hazard management is required wherever there is potential for major pollution incidents posing high health risks and requiring costly emergency responses</w:t>
      </w:r>
      <w:r w:rsidR="00FD526C" w:rsidRPr="00FD526C">
        <w:rPr>
          <w:rFonts w:cs="Segoe UI Light"/>
          <w:szCs w:val="20"/>
        </w:rPr>
        <w:t>.</w:t>
      </w:r>
    </w:p>
    <w:p w14:paraId="656AFE93" w14:textId="77777777" w:rsidR="00FD526C" w:rsidRPr="00FD526C" w:rsidRDefault="00FD526C" w:rsidP="004A2442">
      <w:pPr>
        <w:numPr>
          <w:ilvl w:val="0"/>
          <w:numId w:val="12"/>
        </w:numPr>
        <w:ind w:right="565"/>
        <w:contextualSpacing/>
        <w:rPr>
          <w:rFonts w:cs="Segoe UI Light"/>
          <w:szCs w:val="20"/>
        </w:rPr>
      </w:pPr>
      <w:r w:rsidRPr="00FD526C">
        <w:rPr>
          <w:rFonts w:cs="Segoe UI Light"/>
          <w:szCs w:val="20"/>
        </w:rPr>
        <w:t>Cumulative impacts of emissions from diffuse sources – in some areas, the cumulative impact of increasing numbers of sources of individually small emissions (to both air and water) is leading to ‘hot spot’ environmental problems.</w:t>
      </w:r>
    </w:p>
    <w:p w14:paraId="656AFE94" w14:textId="77777777" w:rsidR="00FD526C" w:rsidRPr="00FD526C" w:rsidRDefault="00FD526C" w:rsidP="004A2442">
      <w:pPr>
        <w:numPr>
          <w:ilvl w:val="0"/>
          <w:numId w:val="12"/>
        </w:numPr>
        <w:ind w:right="565"/>
        <w:contextualSpacing/>
        <w:rPr>
          <w:rFonts w:cs="Segoe UI Light"/>
          <w:szCs w:val="20"/>
        </w:rPr>
      </w:pPr>
      <w:r w:rsidRPr="00FD526C">
        <w:rPr>
          <w:rFonts w:cs="Segoe UI Light"/>
          <w:szCs w:val="20"/>
        </w:rPr>
        <w:t>Spills and incidents from small businesses and individuals – poor practices are resulting in numerous accidental discharges that are individually small but significant in aggregate.</w:t>
      </w:r>
    </w:p>
    <w:p w14:paraId="656AFE95" w14:textId="77777777" w:rsidR="00FD526C" w:rsidRPr="00FD526C" w:rsidRDefault="00FD526C" w:rsidP="004A2442">
      <w:pPr>
        <w:numPr>
          <w:ilvl w:val="0"/>
          <w:numId w:val="12"/>
        </w:numPr>
        <w:ind w:right="565"/>
        <w:contextualSpacing/>
        <w:rPr>
          <w:rFonts w:cs="Segoe UI Light"/>
          <w:szCs w:val="20"/>
        </w:rPr>
      </w:pPr>
      <w:r w:rsidRPr="00FD526C">
        <w:rPr>
          <w:rFonts w:cs="Segoe UI Light"/>
          <w:szCs w:val="20"/>
        </w:rPr>
        <w:t>Exposure to contaminants from legacy sites – identifying and managing existing contaminated sites with potential health risks remains a pressing and costly issue.</w:t>
      </w:r>
    </w:p>
    <w:p w14:paraId="656AFE96" w14:textId="77777777" w:rsidR="00FD526C" w:rsidRPr="00FD526C" w:rsidRDefault="00FD526C" w:rsidP="004A2442">
      <w:pPr>
        <w:numPr>
          <w:ilvl w:val="0"/>
          <w:numId w:val="12"/>
        </w:numPr>
        <w:spacing w:after="0"/>
        <w:ind w:right="565"/>
        <w:contextualSpacing/>
        <w:rPr>
          <w:rFonts w:cs="Segoe UI Light"/>
          <w:szCs w:val="20"/>
        </w:rPr>
      </w:pPr>
      <w:r w:rsidRPr="00FD526C">
        <w:rPr>
          <w:rFonts w:cs="Segoe UI Light"/>
          <w:szCs w:val="20"/>
        </w:rPr>
        <w:t>Hidden pollution creating new long-term risks – ongoing pollution unobserved by the regulator (including illegal dumping) risks creating new</w:t>
      </w:r>
      <w:r w:rsidR="007C5E7D">
        <w:rPr>
          <w:rFonts w:cs="Segoe UI Light"/>
          <w:szCs w:val="20"/>
        </w:rPr>
        <w:t>,</w:t>
      </w:r>
      <w:r w:rsidRPr="00FD526C">
        <w:rPr>
          <w:rFonts w:cs="Segoe UI Light"/>
          <w:szCs w:val="20"/>
        </w:rPr>
        <w:t xml:space="preserve"> hidden</w:t>
      </w:r>
      <w:r w:rsidR="007C5E7D">
        <w:rPr>
          <w:rFonts w:cs="Segoe UI Light"/>
          <w:szCs w:val="20"/>
        </w:rPr>
        <w:t>,</w:t>
      </w:r>
      <w:r w:rsidRPr="00FD526C">
        <w:rPr>
          <w:rFonts w:cs="Segoe UI Light"/>
          <w:szCs w:val="20"/>
        </w:rPr>
        <w:t xml:space="preserve"> contaminat</w:t>
      </w:r>
      <w:r w:rsidR="007C5E7D">
        <w:rPr>
          <w:rFonts w:cs="Segoe UI Light"/>
          <w:szCs w:val="20"/>
        </w:rPr>
        <w:t>ed</w:t>
      </w:r>
      <w:r w:rsidRPr="00FD526C">
        <w:rPr>
          <w:rFonts w:cs="Segoe UI Light"/>
          <w:szCs w:val="20"/>
        </w:rPr>
        <w:t xml:space="preserve"> ‘legacy sites’.</w:t>
      </w:r>
    </w:p>
    <w:p w14:paraId="656AFE97" w14:textId="77777777" w:rsidR="00FD526C" w:rsidRPr="00FD526C" w:rsidRDefault="00FD526C" w:rsidP="004A2442">
      <w:pPr>
        <w:numPr>
          <w:ilvl w:val="0"/>
          <w:numId w:val="19"/>
        </w:numPr>
        <w:ind w:right="565"/>
        <w:contextualSpacing/>
        <w:textboxTightWrap w:val="allLines"/>
        <w:rPr>
          <w:rFonts w:cs="Segoe UI Light"/>
          <w:szCs w:val="20"/>
        </w:rPr>
      </w:pPr>
      <w:r w:rsidRPr="00FD526C">
        <w:rPr>
          <w:rFonts w:cs="Segoe UI Light"/>
          <w:szCs w:val="20"/>
        </w:rPr>
        <w:t>Conflicts between adjacent land uses, and ongoing encroachment – encroachment of residential development into buffers around other land uses means planning disputes and tensions over environmental and public health impacts continue.</w:t>
      </w:r>
      <w:r w:rsidR="00F86611">
        <w:rPr>
          <w:rStyle w:val="FootnoteReference"/>
          <w:rFonts w:cs="Segoe UI Light"/>
          <w:szCs w:val="20"/>
        </w:rPr>
        <w:footnoteReference w:id="32"/>
      </w:r>
    </w:p>
    <w:p w14:paraId="656AFE98" w14:textId="77777777" w:rsidR="00F86611" w:rsidRDefault="00F86611" w:rsidP="00F86611">
      <w:pPr>
        <w:spacing w:after="0"/>
        <w:ind w:right="565"/>
        <w:rPr>
          <w:rFonts w:cs="Segoe UI Light"/>
          <w:szCs w:val="22"/>
        </w:rPr>
      </w:pPr>
    </w:p>
    <w:p w14:paraId="656AFE99" w14:textId="77777777" w:rsidR="00B70E30" w:rsidRPr="00B70E30" w:rsidRDefault="008C5D06" w:rsidP="00B70E30">
      <w:pPr>
        <w:ind w:right="565"/>
        <w:rPr>
          <w:rFonts w:cs="Segoe UI Light"/>
          <w:szCs w:val="20"/>
        </w:rPr>
      </w:pPr>
      <w:r>
        <w:rPr>
          <w:rFonts w:cs="Segoe UI Light"/>
          <w:szCs w:val="22"/>
        </w:rPr>
        <w:t xml:space="preserve">In addition to the GED (see section </w:t>
      </w:r>
      <w:r>
        <w:rPr>
          <w:rFonts w:cs="Segoe UI Light"/>
          <w:color w:val="2B579A"/>
          <w:szCs w:val="22"/>
          <w:shd w:val="clear" w:color="auto" w:fill="E6E6E6"/>
        </w:rPr>
        <w:fldChar w:fldCharType="begin"/>
      </w:r>
      <w:r>
        <w:rPr>
          <w:rFonts w:cs="Segoe UI Light"/>
          <w:szCs w:val="22"/>
        </w:rPr>
        <w:instrText xml:space="preserve"> REF _Ref7439314 \r \h </w:instrText>
      </w:r>
      <w:r>
        <w:rPr>
          <w:rFonts w:cs="Segoe UI Light"/>
          <w:color w:val="2B579A"/>
          <w:szCs w:val="22"/>
          <w:shd w:val="clear" w:color="auto" w:fill="E6E6E6"/>
        </w:rPr>
      </w:r>
      <w:r>
        <w:rPr>
          <w:rFonts w:cs="Segoe UI Light"/>
          <w:color w:val="2B579A"/>
          <w:szCs w:val="22"/>
          <w:shd w:val="clear" w:color="auto" w:fill="E6E6E6"/>
        </w:rPr>
        <w:fldChar w:fldCharType="separate"/>
      </w:r>
      <w:r w:rsidR="00B11C1E">
        <w:rPr>
          <w:rFonts w:cs="Segoe UI Light"/>
          <w:szCs w:val="22"/>
        </w:rPr>
        <w:t>1.1</w:t>
      </w:r>
      <w:r>
        <w:rPr>
          <w:rFonts w:cs="Segoe UI Light"/>
          <w:color w:val="2B579A"/>
          <w:szCs w:val="22"/>
          <w:shd w:val="clear" w:color="auto" w:fill="E6E6E6"/>
        </w:rPr>
        <w:fldChar w:fldCharType="end"/>
      </w:r>
      <w:r>
        <w:rPr>
          <w:rFonts w:cs="Segoe UI Light"/>
          <w:szCs w:val="22"/>
        </w:rPr>
        <w:t>),</w:t>
      </w:r>
      <w:r w:rsidR="00B70E30" w:rsidRPr="00B70E30">
        <w:rPr>
          <w:rFonts w:cs="Segoe UI Light"/>
          <w:szCs w:val="20"/>
        </w:rPr>
        <w:t xml:space="preserve"> key features of the new legislative framework are: </w:t>
      </w:r>
    </w:p>
    <w:p w14:paraId="656AFE9A" w14:textId="77777777" w:rsidR="00B70E30" w:rsidRPr="00B70E30" w:rsidRDefault="00B70E30" w:rsidP="004A2442">
      <w:pPr>
        <w:numPr>
          <w:ilvl w:val="0"/>
          <w:numId w:val="12"/>
        </w:numPr>
        <w:ind w:right="565"/>
        <w:contextualSpacing/>
        <w:rPr>
          <w:rFonts w:cs="Segoe UI Light"/>
          <w:szCs w:val="20"/>
        </w:rPr>
      </w:pPr>
      <w:r w:rsidRPr="00B70E30">
        <w:rPr>
          <w:rFonts w:cs="Segoe UI Light"/>
          <w:szCs w:val="20"/>
        </w:rPr>
        <w:t xml:space="preserve">Introduction of a duty to notify </w:t>
      </w:r>
      <w:r w:rsidR="00FD526C" w:rsidRPr="00FD526C">
        <w:rPr>
          <w:rFonts w:cs="Segoe UI Light"/>
          <w:szCs w:val="20"/>
        </w:rPr>
        <w:t>EPA of pollution incidents.</w:t>
      </w:r>
    </w:p>
    <w:p w14:paraId="656AFE9B" w14:textId="77777777" w:rsidR="00FD526C" w:rsidRPr="00FD526C" w:rsidRDefault="00F86611" w:rsidP="004A2442">
      <w:pPr>
        <w:numPr>
          <w:ilvl w:val="0"/>
          <w:numId w:val="12"/>
        </w:numPr>
        <w:ind w:right="565"/>
        <w:contextualSpacing/>
        <w:rPr>
          <w:rFonts w:cs="Segoe UI Light"/>
          <w:szCs w:val="20"/>
        </w:rPr>
      </w:pPr>
      <w:r>
        <w:rPr>
          <w:rFonts w:cs="Segoe UI Light"/>
          <w:szCs w:val="20"/>
        </w:rPr>
        <w:t>A new duty to manage</w:t>
      </w:r>
      <w:r w:rsidR="00FD526C" w:rsidRPr="00FD526C">
        <w:rPr>
          <w:rFonts w:cs="Segoe UI Light"/>
          <w:szCs w:val="20"/>
        </w:rPr>
        <w:t xml:space="preserve"> contaminated sites, and in instances of significant contamination also notify EPA.</w:t>
      </w:r>
    </w:p>
    <w:p w14:paraId="656AFE9C" w14:textId="77777777" w:rsidR="00B70E30" w:rsidRPr="00B70E30" w:rsidRDefault="00B70E30" w:rsidP="00E97FE6">
      <w:pPr>
        <w:numPr>
          <w:ilvl w:val="0"/>
          <w:numId w:val="12"/>
        </w:numPr>
        <w:ind w:right="565"/>
        <w:contextualSpacing/>
        <w:rPr>
          <w:rFonts w:cs="Segoe UI Light"/>
          <w:szCs w:val="20"/>
        </w:rPr>
      </w:pPr>
      <w:r w:rsidRPr="00B70E30">
        <w:rPr>
          <w:rFonts w:cs="Segoe UI Light"/>
          <w:szCs w:val="20"/>
        </w:rPr>
        <w:t xml:space="preserve">The introduction of </w:t>
      </w:r>
      <w:r w:rsidR="00FD526C" w:rsidRPr="00FD526C">
        <w:rPr>
          <w:rFonts w:cs="Segoe UI Light"/>
          <w:szCs w:val="20"/>
        </w:rPr>
        <w:t>industrial waste duties and complementary offences, which require</w:t>
      </w:r>
      <w:r w:rsidRPr="00B70E30">
        <w:rPr>
          <w:rFonts w:cs="Segoe UI Light"/>
          <w:szCs w:val="20"/>
        </w:rPr>
        <w:t xml:space="preserve"> that businesses must demonstrate that reasonable steps were taken to ensure industrial waste is taken to a place with lawful authority</w:t>
      </w:r>
      <w:r w:rsidR="00FD526C" w:rsidRPr="00FD526C">
        <w:rPr>
          <w:rFonts w:cs="Segoe UI Light"/>
          <w:szCs w:val="20"/>
        </w:rPr>
        <w:t>. A</w:t>
      </w:r>
      <w:r w:rsidRPr="00B70E30">
        <w:rPr>
          <w:rFonts w:cs="Segoe UI Light"/>
          <w:szCs w:val="20"/>
        </w:rPr>
        <w:t xml:space="preserve"> new waste management obligation for priority wastes has </w:t>
      </w:r>
      <w:r w:rsidR="00FD526C" w:rsidRPr="00FD526C">
        <w:rPr>
          <w:rFonts w:cs="Segoe UI Light"/>
          <w:szCs w:val="20"/>
        </w:rPr>
        <w:t xml:space="preserve">also </w:t>
      </w:r>
      <w:r w:rsidR="00FD526C" w:rsidRPr="009B48F2">
        <w:rPr>
          <w:rFonts w:cs="Segoe UI Light"/>
          <w:szCs w:val="20"/>
        </w:rPr>
        <w:t>been introduced</w:t>
      </w:r>
      <w:r w:rsidR="005B22DD" w:rsidRPr="009B48F2">
        <w:rPr>
          <w:rFonts w:cs="Segoe UI Light"/>
          <w:szCs w:val="20"/>
        </w:rPr>
        <w:t xml:space="preserve">, </w:t>
      </w:r>
      <w:r w:rsidR="00E97FE6" w:rsidRPr="009B48F2">
        <w:rPr>
          <w:rFonts w:cs="Segoe UI Light"/>
          <w:szCs w:val="20"/>
        </w:rPr>
        <w:t>with requirements regarding containment, isolation, transaction and transport</w:t>
      </w:r>
      <w:r w:rsidR="00C77DB1" w:rsidRPr="009B48F2">
        <w:rPr>
          <w:rFonts w:cs="Segoe UI Light"/>
          <w:szCs w:val="20"/>
        </w:rPr>
        <w:t xml:space="preserve"> of certain wastes</w:t>
      </w:r>
      <w:r w:rsidR="00E97FE6" w:rsidRPr="009B48F2">
        <w:rPr>
          <w:rFonts w:cs="Segoe UI Light"/>
          <w:szCs w:val="20"/>
        </w:rPr>
        <w:t>.</w:t>
      </w:r>
      <w:r w:rsidRPr="009B48F2">
        <w:rPr>
          <w:rFonts w:cs="Segoe UI Light"/>
          <w:szCs w:val="20"/>
        </w:rPr>
        <w:t xml:space="preserve"> Reforms</w:t>
      </w:r>
      <w:r w:rsidRPr="00B70E30">
        <w:rPr>
          <w:rFonts w:cs="Segoe UI Light"/>
          <w:szCs w:val="20"/>
        </w:rPr>
        <w:t xml:space="preserve"> include a new penalty system incorporating custodial sentences in the most serious of offences</w:t>
      </w:r>
      <w:r w:rsidR="001556D3">
        <w:rPr>
          <w:rFonts w:cs="Segoe UI Light"/>
          <w:szCs w:val="20"/>
        </w:rPr>
        <w:t>.</w:t>
      </w:r>
    </w:p>
    <w:p w14:paraId="656AFE9D" w14:textId="77777777" w:rsidR="00B70E30" w:rsidRPr="00B70E30" w:rsidRDefault="00B70E30" w:rsidP="004A2442">
      <w:pPr>
        <w:numPr>
          <w:ilvl w:val="0"/>
          <w:numId w:val="12"/>
        </w:numPr>
        <w:ind w:right="565"/>
        <w:contextualSpacing/>
        <w:rPr>
          <w:rFonts w:cs="Segoe UI Light"/>
          <w:szCs w:val="20"/>
        </w:rPr>
      </w:pPr>
      <w:r w:rsidRPr="00B70E30">
        <w:rPr>
          <w:rFonts w:cs="Segoe UI Light"/>
          <w:szCs w:val="20"/>
        </w:rPr>
        <w:t>Introduction of a new tailored and proportionate framework of controls for dealing with hazardous or mismanaged wastes and wastes with materials recovery potential</w:t>
      </w:r>
      <w:r w:rsidR="00FD526C" w:rsidRPr="00FD526C">
        <w:rPr>
          <w:rFonts w:cs="Segoe UI Light"/>
          <w:szCs w:val="20"/>
        </w:rPr>
        <w:t>.</w:t>
      </w:r>
    </w:p>
    <w:p w14:paraId="656AFE9E" w14:textId="77777777" w:rsidR="00FD526C" w:rsidRPr="00FD526C" w:rsidRDefault="00FD526C" w:rsidP="004A2442">
      <w:pPr>
        <w:numPr>
          <w:ilvl w:val="0"/>
          <w:numId w:val="12"/>
        </w:numPr>
        <w:spacing w:after="0"/>
        <w:ind w:right="565"/>
        <w:contextualSpacing/>
        <w:rPr>
          <w:szCs w:val="20"/>
        </w:rPr>
      </w:pPr>
      <w:r w:rsidRPr="00FD526C">
        <w:rPr>
          <w:rFonts w:cs="Segoe UI Light"/>
          <w:szCs w:val="20"/>
        </w:rPr>
        <w:t>Introduction of a three-tiered permissions framework consisting of registrations, permits and licences.</w:t>
      </w:r>
    </w:p>
    <w:p w14:paraId="656AFE9F" w14:textId="77777777" w:rsidR="00FD526C" w:rsidRPr="00FD526C" w:rsidRDefault="00D15256" w:rsidP="004A2442">
      <w:pPr>
        <w:numPr>
          <w:ilvl w:val="0"/>
          <w:numId w:val="12"/>
        </w:numPr>
        <w:ind w:right="565"/>
        <w:contextualSpacing/>
        <w:rPr>
          <w:strike/>
        </w:rPr>
      </w:pPr>
      <w:r>
        <w:rPr>
          <w:rFonts w:cs="Segoe UI Light"/>
          <w:szCs w:val="20"/>
        </w:rPr>
        <w:t>G</w:t>
      </w:r>
      <w:r w:rsidR="00FD526C" w:rsidRPr="00FD526C">
        <w:rPr>
          <w:rFonts w:cs="Segoe UI Light"/>
          <w:szCs w:val="20"/>
        </w:rPr>
        <w:t xml:space="preserve">reater capacity </w:t>
      </w:r>
      <w:r>
        <w:rPr>
          <w:rFonts w:cs="Segoe UI Light"/>
          <w:szCs w:val="20"/>
        </w:rPr>
        <w:t xml:space="preserve">for councils and police </w:t>
      </w:r>
      <w:r w:rsidR="00FD526C" w:rsidRPr="00FD526C">
        <w:rPr>
          <w:rFonts w:cs="Segoe UI Light"/>
          <w:szCs w:val="20"/>
        </w:rPr>
        <w:t>to respond to unreasonable and aggravated noise in various contexts.</w:t>
      </w:r>
    </w:p>
    <w:p w14:paraId="656AFEA0" w14:textId="77777777" w:rsidR="00FD526C" w:rsidRPr="00FD526C" w:rsidRDefault="00FD526C" w:rsidP="004A2442">
      <w:pPr>
        <w:numPr>
          <w:ilvl w:val="0"/>
          <w:numId w:val="12"/>
        </w:numPr>
        <w:spacing w:after="0"/>
        <w:ind w:right="565"/>
        <w:contextualSpacing/>
        <w:rPr>
          <w:rFonts w:cs="Segoe UI Light"/>
          <w:szCs w:val="20"/>
        </w:rPr>
      </w:pPr>
      <w:r w:rsidRPr="00FD526C">
        <w:rPr>
          <w:rFonts w:cs="Segoe UI Light"/>
          <w:szCs w:val="20"/>
        </w:rPr>
        <w:t>Duty to remediate harm – additional legal powers for EPA to work with site operators to plan for site closure and to require management of post-closure risks over extended periods of time.</w:t>
      </w:r>
    </w:p>
    <w:p w14:paraId="656AFEA1" w14:textId="77777777" w:rsidR="00B70E30" w:rsidRPr="00F86611" w:rsidRDefault="00B70E30" w:rsidP="004A2442">
      <w:pPr>
        <w:numPr>
          <w:ilvl w:val="0"/>
          <w:numId w:val="19"/>
        </w:numPr>
        <w:ind w:right="565"/>
        <w:contextualSpacing/>
        <w:textboxTightWrap w:val="allLines"/>
        <w:rPr>
          <w:szCs w:val="20"/>
        </w:rPr>
      </w:pPr>
      <w:r w:rsidRPr="00B70E30">
        <w:rPr>
          <w:rFonts w:cs="Segoe UI Light"/>
          <w:szCs w:val="20"/>
        </w:rPr>
        <w:t>New volume-based litter offences with increased penalties.</w:t>
      </w:r>
    </w:p>
    <w:p w14:paraId="656AFEA2" w14:textId="77777777" w:rsidR="00F86611" w:rsidRPr="00B70E30" w:rsidRDefault="00F86611" w:rsidP="00F86611">
      <w:pPr>
        <w:ind w:left="720" w:right="565"/>
        <w:contextualSpacing/>
        <w:textboxTightWrap w:val="allLines"/>
        <w:rPr>
          <w:szCs w:val="20"/>
        </w:rPr>
      </w:pPr>
    </w:p>
    <w:p w14:paraId="656AFEA3" w14:textId="77777777" w:rsidR="000F7340" w:rsidRPr="000F7340" w:rsidRDefault="00B70E30" w:rsidP="000F7340">
      <w:r w:rsidRPr="00B70E30">
        <w:t>The new legislative framework</w:t>
      </w:r>
      <w:r w:rsidRPr="00B70E30" w:rsidDel="00513D60">
        <w:t xml:space="preserve"> </w:t>
      </w:r>
      <w:r w:rsidRPr="00B70E30">
        <w:t xml:space="preserve">enables the Governor in Council to make regulations with respect to any matter to be prescribed, or necessary, to give effect to </w:t>
      </w:r>
      <w:r w:rsidR="008C5D06">
        <w:t>the new EP legislation.</w:t>
      </w:r>
      <w:r w:rsidRPr="00B70E30">
        <w:t xml:space="preserve"> </w:t>
      </w:r>
    </w:p>
    <w:p w14:paraId="656AFEA4" w14:textId="77777777" w:rsidR="00BB7AC0" w:rsidRPr="00FD526C" w:rsidRDefault="00BB7AC0" w:rsidP="00BB7AC0">
      <w:pPr>
        <w:mirrorIndents/>
      </w:pPr>
      <w:r>
        <w:rPr>
          <w:rFonts w:cs="Segoe UI Light"/>
          <w:szCs w:val="22"/>
        </w:rPr>
        <w:t>The</w:t>
      </w:r>
      <w:r w:rsidRPr="00827D05" w:rsidDel="00D9086A">
        <w:rPr>
          <w:rFonts w:cs="Segoe UI Light"/>
          <w:szCs w:val="22"/>
        </w:rPr>
        <w:t xml:space="preserve"> </w:t>
      </w:r>
      <w:r>
        <w:rPr>
          <w:rFonts w:cs="Segoe UI Light"/>
          <w:szCs w:val="22"/>
        </w:rPr>
        <w:t xml:space="preserve">new EP legislation introduces a new legislative instrument called </w:t>
      </w:r>
      <w:r>
        <w:rPr>
          <w:rFonts w:cs="Segoe UI Light"/>
        </w:rPr>
        <w:t>an</w:t>
      </w:r>
      <w:r w:rsidRPr="003637AC">
        <w:rPr>
          <w:rFonts w:cs="Segoe UI Light"/>
        </w:rPr>
        <w:t xml:space="preserve"> </w:t>
      </w:r>
      <w:r w:rsidRPr="00827D05">
        <w:rPr>
          <w:rFonts w:cs="Segoe UI Light"/>
          <w:szCs w:val="22"/>
        </w:rPr>
        <w:t xml:space="preserve">Environment Reference </w:t>
      </w:r>
      <w:r w:rsidRPr="001170FC">
        <w:rPr>
          <w:rFonts w:cs="Segoe UI Light"/>
        </w:rPr>
        <w:t>Standard</w:t>
      </w:r>
      <w:r w:rsidRPr="00827D05">
        <w:rPr>
          <w:rFonts w:cs="Segoe UI Light"/>
          <w:szCs w:val="22"/>
        </w:rPr>
        <w:t xml:space="preserve"> (ERS)</w:t>
      </w:r>
      <w:r>
        <w:rPr>
          <w:rFonts w:cs="Segoe UI Light"/>
          <w:szCs w:val="22"/>
        </w:rPr>
        <w:t xml:space="preserve">. The </w:t>
      </w:r>
      <w:r w:rsidRPr="0008713A">
        <w:rPr>
          <w:rFonts w:cs="Segoe UI Light"/>
          <w:szCs w:val="22"/>
        </w:rPr>
        <w:t xml:space="preserve">purpose of the </w:t>
      </w:r>
      <w:r>
        <w:rPr>
          <w:rFonts w:cs="Segoe UI Light"/>
          <w:szCs w:val="22"/>
        </w:rPr>
        <w:t xml:space="preserve">ERS is to set </w:t>
      </w:r>
      <w:r w:rsidRPr="0008713A">
        <w:rPr>
          <w:rFonts w:cs="Segoe UI Light"/>
          <w:szCs w:val="22"/>
        </w:rPr>
        <w:t>environmental values for the community, in a clear and accessible way, to help achieve and protect the environmental outco</w:t>
      </w:r>
      <w:r>
        <w:rPr>
          <w:rFonts w:cs="Segoe UI Light"/>
          <w:szCs w:val="22"/>
        </w:rPr>
        <w:t>mes sought by all Victorians.</w:t>
      </w:r>
      <w:r>
        <w:t xml:space="preserve"> A draft ERS has been prepared, however it is not examined</w:t>
      </w:r>
      <w:r w:rsidRPr="00205C2E">
        <w:t xml:space="preserve"> as part of the </w:t>
      </w:r>
      <w:r>
        <w:t xml:space="preserve">RIS </w:t>
      </w:r>
      <w:r w:rsidRPr="00205C2E">
        <w:t xml:space="preserve">as </w:t>
      </w:r>
      <w:r>
        <w:t>it is not a</w:t>
      </w:r>
      <w:r w:rsidRPr="00205C2E">
        <w:t xml:space="preserve"> </w:t>
      </w:r>
      <w:r w:rsidR="004E20B2">
        <w:t>R</w:t>
      </w:r>
      <w:r w:rsidRPr="00205C2E">
        <w:t>egulatio</w:t>
      </w:r>
      <w:r>
        <w:t>n. It is</w:t>
      </w:r>
      <w:r w:rsidRPr="00205C2E">
        <w:t xml:space="preserve"> subject to </w:t>
      </w:r>
      <w:r>
        <w:t>its</w:t>
      </w:r>
      <w:r w:rsidRPr="00205C2E">
        <w:t xml:space="preserve"> own impact assessment</w:t>
      </w:r>
      <w:r>
        <w:t xml:space="preserve">, </w:t>
      </w:r>
      <w:r w:rsidRPr="00FD526C">
        <w:t xml:space="preserve">reflecting the scientific origins </w:t>
      </w:r>
      <w:r>
        <w:t>of the standards it contains</w:t>
      </w:r>
      <w:r w:rsidRPr="00FD526C">
        <w:t xml:space="preserve">. More information about </w:t>
      </w:r>
      <w:r>
        <w:t xml:space="preserve">the </w:t>
      </w:r>
      <w:r w:rsidRPr="00FD526C">
        <w:t xml:space="preserve">ERS is </w:t>
      </w:r>
      <w:r w:rsidRPr="00DD2DCF">
        <w:t xml:space="preserve">provided in </w:t>
      </w:r>
      <w:r w:rsidRPr="009B48F2">
        <w:t>Appendix 1</w:t>
      </w:r>
      <w:r w:rsidRPr="00DD2DCF">
        <w:t>.</w:t>
      </w:r>
    </w:p>
    <w:p w14:paraId="656AFEA5" w14:textId="77777777" w:rsidR="00B70E30" w:rsidRPr="00FD526C" w:rsidRDefault="00B70E30" w:rsidP="00982D63">
      <w:pPr>
        <w:pStyle w:val="Heading2"/>
      </w:pPr>
      <w:r w:rsidRPr="00FD526C">
        <w:t>Stakeholder consultation</w:t>
      </w:r>
    </w:p>
    <w:p w14:paraId="656AFEA6" w14:textId="77777777" w:rsidR="00FD526C" w:rsidRPr="00FD526C" w:rsidRDefault="00FD526C" w:rsidP="00FD526C">
      <w:pPr>
        <w:autoSpaceDE w:val="0"/>
        <w:autoSpaceDN w:val="0"/>
        <w:adjustRightInd w:val="0"/>
        <w:spacing w:line="240" w:lineRule="auto"/>
        <w:rPr>
          <w:rFonts w:cs="Segoe UI Light"/>
          <w:szCs w:val="20"/>
        </w:rPr>
      </w:pPr>
      <w:r w:rsidRPr="00FD526C">
        <w:rPr>
          <w:rFonts w:cs="Segoe UI Light"/>
          <w:szCs w:val="20"/>
        </w:rPr>
        <w:t>The Victorian Government has undertaken significant stakeholder consultation to inform the modernisation of EPA to meet Victoria’s environment protection and human health challenges.</w:t>
      </w:r>
    </w:p>
    <w:p w14:paraId="656AFEA7" w14:textId="77777777" w:rsidR="00B70E30" w:rsidRPr="00D85A7F" w:rsidRDefault="00B70E30" w:rsidP="00D85A7F">
      <w:pPr>
        <w:autoSpaceDE w:val="0"/>
        <w:autoSpaceDN w:val="0"/>
        <w:adjustRightInd w:val="0"/>
        <w:spacing w:line="240" w:lineRule="auto"/>
        <w:rPr>
          <w:rFonts w:cs="Segoe UI Light"/>
          <w:szCs w:val="20"/>
        </w:rPr>
      </w:pPr>
      <w:r w:rsidRPr="00D85A7F">
        <w:rPr>
          <w:rFonts w:cs="Segoe UI Light"/>
          <w:szCs w:val="20"/>
        </w:rPr>
        <w:t xml:space="preserve">In developing its findings and recommendations, the </w:t>
      </w:r>
      <w:r w:rsidR="00321771" w:rsidRPr="00870882">
        <w:rPr>
          <w:rFonts w:cs="Segoe UI Light"/>
          <w:szCs w:val="20"/>
        </w:rPr>
        <w:t>EPA Inquiry</w:t>
      </w:r>
      <w:r w:rsidRPr="00D85A7F">
        <w:rPr>
          <w:rFonts w:cs="Segoe UI Light"/>
          <w:szCs w:val="20"/>
        </w:rPr>
        <w:t xml:space="preserve"> drew on the insights of the Victorian public, interest groups, industry, scientists, local government, other government partners and regulators, and a range of expert analysts and academics. Views were collected through an extensive program of consultation, including via stakeholder roundtables, community forums in ten regional and seven metropolitan locations, site visits around the state, direct meetings with state and local government officeholders, community representatives and industry leaders, and more than 200 written submissions. The </w:t>
      </w:r>
      <w:r w:rsidR="00321771" w:rsidRPr="00870882">
        <w:rPr>
          <w:rFonts w:cs="Segoe UI Light"/>
          <w:szCs w:val="20"/>
        </w:rPr>
        <w:t xml:space="preserve">EPA Inquiry </w:t>
      </w:r>
      <w:r w:rsidRPr="00D85A7F">
        <w:rPr>
          <w:rFonts w:cs="Segoe UI Light"/>
          <w:szCs w:val="20"/>
        </w:rPr>
        <w:t>also commissioned expert advice including independent social research to gauge community attitudes.</w:t>
      </w:r>
      <w:r w:rsidRPr="00870882">
        <w:rPr>
          <w:vertAlign w:val="superscript"/>
        </w:rPr>
        <w:footnoteReference w:id="33"/>
      </w:r>
    </w:p>
    <w:p w14:paraId="656AFEA8" w14:textId="77777777" w:rsidR="00B70E30" w:rsidRPr="00D85A7F" w:rsidRDefault="00B70E30" w:rsidP="00D85A7F">
      <w:pPr>
        <w:autoSpaceDE w:val="0"/>
        <w:autoSpaceDN w:val="0"/>
        <w:adjustRightInd w:val="0"/>
        <w:spacing w:line="240" w:lineRule="auto"/>
        <w:rPr>
          <w:rFonts w:cs="Segoe UI Light"/>
          <w:szCs w:val="20"/>
        </w:rPr>
      </w:pPr>
      <w:r w:rsidRPr="00D85A7F">
        <w:rPr>
          <w:rFonts w:cs="Segoe UI Light"/>
          <w:szCs w:val="20"/>
        </w:rPr>
        <w:t>The Victorian Government also undertook three months of public consultation in 2017-18 on its approach to banning lightweight plastic shopping bags</w:t>
      </w:r>
      <w:r w:rsidR="00214E67">
        <w:rPr>
          <w:rFonts w:cs="Segoe UI Light"/>
          <w:szCs w:val="20"/>
        </w:rPr>
        <w:t xml:space="preserve"> where</w:t>
      </w:r>
      <w:r w:rsidRPr="00D85A7F">
        <w:rPr>
          <w:rFonts w:cs="Segoe UI Light"/>
          <w:szCs w:val="20"/>
        </w:rPr>
        <w:t xml:space="preserve"> 8,000 submissions were received. The main engagement tool with the Victorian community was an online survey conducted through Engage Victoria. The survey asked questions to gauge support for a ban, how a ban should be designed and implemented, and about other plastic pollution issues and how they should be dealt with. The Government also received written submissions from key stakeholders, including local government, environmental groups, industry and retailers.</w:t>
      </w:r>
      <w:r w:rsidRPr="00D85A7F">
        <w:rPr>
          <w:rFonts w:cs="Segoe UI Light"/>
          <w:szCs w:val="20"/>
          <w:vertAlign w:val="superscript"/>
        </w:rPr>
        <w:footnoteReference w:id="34"/>
      </w:r>
    </w:p>
    <w:p w14:paraId="656AFEA9" w14:textId="77777777" w:rsidR="00FD526C" w:rsidRDefault="00FD526C" w:rsidP="00D85A7F">
      <w:pPr>
        <w:autoSpaceDE w:val="0"/>
        <w:autoSpaceDN w:val="0"/>
        <w:adjustRightInd w:val="0"/>
        <w:spacing w:after="0" w:line="240" w:lineRule="auto"/>
        <w:rPr>
          <w:rFonts w:cs="Segoe UI Light"/>
          <w:szCs w:val="20"/>
        </w:rPr>
      </w:pPr>
      <w:r w:rsidRPr="00FD526C">
        <w:rPr>
          <w:rFonts w:cs="Segoe UI Light"/>
          <w:szCs w:val="20"/>
        </w:rPr>
        <w:t>DELWP and EPA also held a</w:t>
      </w:r>
      <w:r w:rsidR="00870882" w:rsidRPr="00D85A7F">
        <w:rPr>
          <w:rFonts w:cs="Segoe UI Light"/>
          <w:szCs w:val="20"/>
        </w:rPr>
        <w:t xml:space="preserve"> series of discussions</w:t>
      </w:r>
      <w:r w:rsidR="00E6781E">
        <w:rPr>
          <w:rFonts w:cs="Segoe UI Light"/>
          <w:szCs w:val="20"/>
        </w:rPr>
        <w:t>,</w:t>
      </w:r>
      <w:r w:rsidR="00870882" w:rsidRPr="00D85A7F">
        <w:rPr>
          <w:rFonts w:cs="Segoe UI Light"/>
          <w:szCs w:val="20"/>
        </w:rPr>
        <w:t xml:space="preserve"> workshops</w:t>
      </w:r>
      <w:r w:rsidR="00B66E77">
        <w:rPr>
          <w:rFonts w:cs="Segoe UI Light"/>
          <w:szCs w:val="20"/>
        </w:rPr>
        <w:t>,</w:t>
      </w:r>
      <w:r w:rsidR="00870882" w:rsidRPr="00D85A7F">
        <w:rPr>
          <w:rFonts w:cs="Segoe UI Light"/>
          <w:szCs w:val="20"/>
        </w:rPr>
        <w:t xml:space="preserve"> </w:t>
      </w:r>
      <w:r w:rsidR="00E6781E">
        <w:rPr>
          <w:rFonts w:cs="Segoe UI Light"/>
          <w:szCs w:val="20"/>
        </w:rPr>
        <w:t xml:space="preserve">and focus groups </w:t>
      </w:r>
      <w:r w:rsidR="00870882" w:rsidRPr="00D85A7F">
        <w:rPr>
          <w:rFonts w:cs="Segoe UI Light"/>
          <w:szCs w:val="20"/>
        </w:rPr>
        <w:t>with key stakeholders, industry representatives</w:t>
      </w:r>
      <w:r w:rsidRPr="00FD526C">
        <w:rPr>
          <w:rFonts w:cs="Segoe UI Light"/>
          <w:szCs w:val="20"/>
        </w:rPr>
        <w:t>, community representatives and local government throughout late 2018 and into</w:t>
      </w:r>
      <w:r w:rsidR="000D139E" w:rsidRPr="000D139E">
        <w:rPr>
          <w:rFonts w:cs="Segoe UI Light"/>
          <w:szCs w:val="20"/>
        </w:rPr>
        <w:t xml:space="preserve"> early 2019 to </w:t>
      </w:r>
      <w:r w:rsidR="000D139E">
        <w:rPr>
          <w:rFonts w:cs="Segoe UI Light"/>
          <w:szCs w:val="20"/>
        </w:rPr>
        <w:t>inform</w:t>
      </w:r>
      <w:r w:rsidR="00870882" w:rsidRPr="00D85A7F">
        <w:rPr>
          <w:rFonts w:cs="Segoe UI Light"/>
          <w:szCs w:val="20"/>
        </w:rPr>
        <w:t xml:space="preserve"> the development of subordinate legislation</w:t>
      </w:r>
      <w:r w:rsidRPr="00FD526C">
        <w:rPr>
          <w:rFonts w:cs="Segoe UI Light"/>
          <w:szCs w:val="20"/>
        </w:rPr>
        <w:t xml:space="preserve">. </w:t>
      </w:r>
      <w:r w:rsidR="008C5D06" w:rsidRPr="00FD526C">
        <w:rPr>
          <w:rFonts w:cs="Segoe UI Light"/>
          <w:szCs w:val="20"/>
        </w:rPr>
        <w:t xml:space="preserve">The proposed </w:t>
      </w:r>
      <w:r w:rsidR="008C5D06">
        <w:rPr>
          <w:rFonts w:cs="Segoe UI Light"/>
          <w:szCs w:val="20"/>
        </w:rPr>
        <w:t>Regulations</w:t>
      </w:r>
      <w:r w:rsidR="008C5D06" w:rsidRPr="00FD526C">
        <w:rPr>
          <w:rFonts w:cs="Segoe UI Light"/>
          <w:szCs w:val="20"/>
        </w:rPr>
        <w:t xml:space="preserve"> were developed in consideration </w:t>
      </w:r>
      <w:r w:rsidR="00454CB6">
        <w:rPr>
          <w:rFonts w:cs="Segoe UI Light"/>
          <w:szCs w:val="20"/>
        </w:rPr>
        <w:t xml:space="preserve">of </w:t>
      </w:r>
      <w:r w:rsidR="00963F6D">
        <w:rPr>
          <w:rFonts w:cs="Segoe UI Light"/>
          <w:szCs w:val="20"/>
        </w:rPr>
        <w:t>stakeholder</w:t>
      </w:r>
      <w:r w:rsidR="008C5D06" w:rsidRPr="00FD526C">
        <w:rPr>
          <w:rFonts w:cs="Segoe UI Light"/>
          <w:szCs w:val="20"/>
        </w:rPr>
        <w:t xml:space="preserve"> views at </w:t>
      </w:r>
      <w:r w:rsidR="008C5D06">
        <w:t>these forums, during the RIS consultation</w:t>
      </w:r>
      <w:r w:rsidR="006C263C">
        <w:t>,</w:t>
      </w:r>
      <w:r w:rsidR="008C5D06">
        <w:t xml:space="preserve"> and </w:t>
      </w:r>
      <w:r w:rsidR="00963F6D">
        <w:t>including</w:t>
      </w:r>
      <w:r w:rsidR="008C5D06">
        <w:t xml:space="preserve"> stakeholder views obtained during the EPA Inquiry</w:t>
      </w:r>
      <w:r w:rsidR="00555C98">
        <w:t>,</w:t>
      </w:r>
      <w:r w:rsidR="00DD2DCF">
        <w:t xml:space="preserve"> </w:t>
      </w:r>
      <w:r w:rsidR="008C5D06">
        <w:t xml:space="preserve">plastic bag ban consultation, </w:t>
      </w:r>
      <w:r w:rsidR="00637315">
        <w:t xml:space="preserve">and </w:t>
      </w:r>
      <w:r w:rsidR="00963F6D">
        <w:t>the</w:t>
      </w:r>
      <w:r w:rsidR="008C5D06">
        <w:t xml:space="preserve"> independent reviews of SEPP Waters and the Environment Protection (Residential Noise) Regulations 2018.</w:t>
      </w:r>
      <w:r w:rsidRPr="00FD526C">
        <w:rPr>
          <w:rFonts w:cs="Segoe UI Light"/>
          <w:szCs w:val="20"/>
        </w:rPr>
        <w:br w:type="page"/>
      </w:r>
    </w:p>
    <w:p w14:paraId="656AFEAA" w14:textId="77777777" w:rsidR="001A2829" w:rsidRPr="00ED173F" w:rsidRDefault="00F42581" w:rsidP="00A653AF">
      <w:pPr>
        <w:pStyle w:val="Heading1"/>
      </w:pPr>
      <w:bookmarkStart w:id="178" w:name="_Toc342471"/>
      <w:bookmarkStart w:id="179" w:name="_Toc343021"/>
      <w:bookmarkStart w:id="180" w:name="_Toc342472"/>
      <w:bookmarkStart w:id="181" w:name="_Toc343022"/>
      <w:bookmarkStart w:id="182" w:name="_Toc342473"/>
      <w:bookmarkStart w:id="183" w:name="_Toc343023"/>
      <w:bookmarkStart w:id="184" w:name="_Toc342474"/>
      <w:bookmarkStart w:id="185" w:name="_Toc343024"/>
      <w:bookmarkStart w:id="186" w:name="_Toc342475"/>
      <w:bookmarkStart w:id="187" w:name="_Toc343025"/>
      <w:bookmarkStart w:id="188" w:name="_Toc342476"/>
      <w:bookmarkStart w:id="189" w:name="_Toc343026"/>
      <w:bookmarkStart w:id="190" w:name="_Toc342477"/>
      <w:bookmarkStart w:id="191" w:name="_Toc343027"/>
      <w:bookmarkStart w:id="192" w:name="_Toc342478"/>
      <w:bookmarkStart w:id="193" w:name="_Toc343028"/>
      <w:bookmarkStart w:id="194" w:name="_Toc342479"/>
      <w:bookmarkStart w:id="195" w:name="_Toc343029"/>
      <w:bookmarkStart w:id="196" w:name="_Toc342480"/>
      <w:bookmarkStart w:id="197" w:name="_Toc343030"/>
      <w:bookmarkStart w:id="198" w:name="_Toc342481"/>
      <w:bookmarkStart w:id="199" w:name="_Toc343031"/>
      <w:bookmarkStart w:id="200" w:name="_Toc342482"/>
      <w:bookmarkStart w:id="201" w:name="_Toc343032"/>
      <w:bookmarkStart w:id="202" w:name="_Toc342483"/>
      <w:bookmarkStart w:id="203" w:name="_Toc343033"/>
      <w:bookmarkStart w:id="204" w:name="_Toc342484"/>
      <w:bookmarkStart w:id="205" w:name="_Toc343034"/>
      <w:bookmarkStart w:id="206" w:name="_Toc342485"/>
      <w:bookmarkStart w:id="207" w:name="_Toc343035"/>
      <w:bookmarkStart w:id="208" w:name="_Toc342486"/>
      <w:bookmarkStart w:id="209" w:name="_Toc343036"/>
      <w:bookmarkStart w:id="210" w:name="_Toc342487"/>
      <w:bookmarkStart w:id="211" w:name="_Toc343037"/>
      <w:bookmarkStart w:id="212" w:name="_Toc342488"/>
      <w:bookmarkStart w:id="213" w:name="_Toc343038"/>
      <w:bookmarkStart w:id="214" w:name="_Toc342489"/>
      <w:bookmarkStart w:id="215" w:name="_Toc343039"/>
      <w:bookmarkStart w:id="216" w:name="_Toc342490"/>
      <w:bookmarkStart w:id="217" w:name="_Toc343040"/>
      <w:bookmarkStart w:id="218" w:name="_Toc342491"/>
      <w:bookmarkStart w:id="219" w:name="_Toc343041"/>
      <w:bookmarkStart w:id="220" w:name="_Toc342492"/>
      <w:bookmarkStart w:id="221" w:name="_Toc343042"/>
      <w:bookmarkStart w:id="222" w:name="_Toc342493"/>
      <w:bookmarkStart w:id="223" w:name="_Toc343043"/>
      <w:bookmarkStart w:id="224" w:name="_Toc342494"/>
      <w:bookmarkStart w:id="225" w:name="_Toc343044"/>
      <w:bookmarkStart w:id="226" w:name="_Toc342495"/>
      <w:bookmarkStart w:id="227" w:name="_Toc343045"/>
      <w:bookmarkStart w:id="228" w:name="_Toc342496"/>
      <w:bookmarkStart w:id="229" w:name="_Toc343046"/>
      <w:bookmarkStart w:id="230" w:name="_Toc342497"/>
      <w:bookmarkStart w:id="231" w:name="_Toc343047"/>
      <w:bookmarkStart w:id="232" w:name="_Toc342498"/>
      <w:bookmarkStart w:id="233" w:name="_Toc343048"/>
      <w:bookmarkStart w:id="234" w:name="_Toc342499"/>
      <w:bookmarkStart w:id="235" w:name="_Toc343049"/>
      <w:bookmarkStart w:id="236" w:name="_Toc342500"/>
      <w:bookmarkStart w:id="237" w:name="_Toc343050"/>
      <w:bookmarkStart w:id="238" w:name="_Toc342501"/>
      <w:bookmarkStart w:id="239" w:name="_Toc343051"/>
      <w:bookmarkStart w:id="240" w:name="_Toc342502"/>
      <w:bookmarkStart w:id="241" w:name="_Toc343052"/>
      <w:bookmarkStart w:id="242" w:name="_Toc342503"/>
      <w:bookmarkStart w:id="243" w:name="_Toc343053"/>
      <w:bookmarkStart w:id="244" w:name="_Toc342504"/>
      <w:bookmarkStart w:id="245" w:name="_Toc343054"/>
      <w:bookmarkStart w:id="246" w:name="_Toc342505"/>
      <w:bookmarkStart w:id="247" w:name="_Toc343055"/>
      <w:bookmarkStart w:id="248" w:name="_Toc342506"/>
      <w:bookmarkStart w:id="249" w:name="_Toc343056"/>
      <w:bookmarkStart w:id="250" w:name="_Toc342507"/>
      <w:bookmarkStart w:id="251" w:name="_Toc343057"/>
      <w:bookmarkStart w:id="252" w:name="_Toc342508"/>
      <w:bookmarkStart w:id="253" w:name="_Toc343058"/>
      <w:bookmarkStart w:id="254" w:name="_Toc342509"/>
      <w:bookmarkStart w:id="255" w:name="_Toc343059"/>
      <w:bookmarkStart w:id="256" w:name="_Toc342510"/>
      <w:bookmarkStart w:id="257" w:name="_Toc343060"/>
      <w:bookmarkStart w:id="258" w:name="_Toc342511"/>
      <w:bookmarkStart w:id="259" w:name="_Toc343061"/>
      <w:bookmarkStart w:id="260" w:name="_Toc342512"/>
      <w:bookmarkStart w:id="261" w:name="_Toc343062"/>
      <w:bookmarkStart w:id="262" w:name="_Toc342513"/>
      <w:bookmarkStart w:id="263" w:name="_Toc343063"/>
      <w:bookmarkStart w:id="264" w:name="_Toc342514"/>
      <w:bookmarkStart w:id="265" w:name="_Toc343064"/>
      <w:bookmarkStart w:id="266" w:name="_Toc342515"/>
      <w:bookmarkStart w:id="267" w:name="_Toc343065"/>
      <w:bookmarkStart w:id="268" w:name="_Toc342516"/>
      <w:bookmarkStart w:id="269" w:name="_Toc343066"/>
      <w:bookmarkStart w:id="270" w:name="_Toc342517"/>
      <w:bookmarkStart w:id="271" w:name="_Toc343067"/>
      <w:bookmarkStart w:id="272" w:name="_Toc342518"/>
      <w:bookmarkStart w:id="273" w:name="_Toc343068"/>
      <w:bookmarkStart w:id="274" w:name="_Toc342519"/>
      <w:bookmarkStart w:id="275" w:name="_Toc343069"/>
      <w:bookmarkStart w:id="276" w:name="_Toc342520"/>
      <w:bookmarkStart w:id="277" w:name="_Toc343070"/>
      <w:bookmarkStart w:id="278" w:name="_Toc342521"/>
      <w:bookmarkStart w:id="279" w:name="_Toc343071"/>
      <w:bookmarkStart w:id="280" w:name="_Toc342522"/>
      <w:bookmarkStart w:id="281" w:name="_Toc343072"/>
      <w:bookmarkStart w:id="282" w:name="_Toc342523"/>
      <w:bookmarkStart w:id="283" w:name="_Toc343073"/>
      <w:bookmarkStart w:id="284" w:name="_Toc342524"/>
      <w:bookmarkStart w:id="285" w:name="_Toc343074"/>
      <w:bookmarkStart w:id="286" w:name="_Toc342525"/>
      <w:bookmarkStart w:id="287" w:name="_Toc343075"/>
      <w:bookmarkStart w:id="288" w:name="_Toc342526"/>
      <w:bookmarkStart w:id="289" w:name="_Toc343076"/>
      <w:bookmarkStart w:id="290" w:name="_Toc342527"/>
      <w:bookmarkStart w:id="291" w:name="_Toc343077"/>
      <w:bookmarkStart w:id="292" w:name="_Toc342528"/>
      <w:bookmarkStart w:id="293" w:name="_Toc343078"/>
      <w:bookmarkStart w:id="294" w:name="_Toc342529"/>
      <w:bookmarkStart w:id="295" w:name="_Toc343079"/>
      <w:bookmarkStart w:id="296" w:name="_Toc342530"/>
      <w:bookmarkStart w:id="297" w:name="_Toc343080"/>
      <w:bookmarkStart w:id="298" w:name="_Toc342531"/>
      <w:bookmarkStart w:id="299" w:name="_Toc343081"/>
      <w:bookmarkStart w:id="300" w:name="_Toc342532"/>
      <w:bookmarkStart w:id="301" w:name="_Toc343082"/>
      <w:bookmarkStart w:id="302" w:name="_Toc342533"/>
      <w:bookmarkStart w:id="303" w:name="_Toc343083"/>
      <w:bookmarkStart w:id="304" w:name="_Toc342534"/>
      <w:bookmarkStart w:id="305" w:name="_Toc343084"/>
      <w:bookmarkStart w:id="306" w:name="_Toc342535"/>
      <w:bookmarkStart w:id="307" w:name="_Toc343085"/>
      <w:bookmarkStart w:id="308" w:name="_Toc342536"/>
      <w:bookmarkStart w:id="309" w:name="_Toc343086"/>
      <w:bookmarkStart w:id="310" w:name="_Toc342537"/>
      <w:bookmarkStart w:id="311" w:name="_Toc343087"/>
      <w:bookmarkStart w:id="312" w:name="_Toc342538"/>
      <w:bookmarkStart w:id="313" w:name="_Toc343088"/>
      <w:bookmarkStart w:id="314" w:name="_Toc342539"/>
      <w:bookmarkStart w:id="315" w:name="_Toc343089"/>
      <w:bookmarkStart w:id="316" w:name="_Toc536054880"/>
      <w:bookmarkStart w:id="317" w:name="_Toc536054881"/>
      <w:bookmarkStart w:id="318" w:name="_Toc536054886"/>
      <w:bookmarkStart w:id="319" w:name="_Toc536054887"/>
      <w:bookmarkStart w:id="320" w:name="_Toc536054891"/>
      <w:bookmarkStart w:id="321" w:name="_Toc536054892"/>
      <w:bookmarkStart w:id="322" w:name="_Toc536054893"/>
      <w:bookmarkStart w:id="323" w:name="_Toc536054894"/>
      <w:bookmarkStart w:id="324" w:name="_Toc536054895"/>
      <w:bookmarkStart w:id="325" w:name="_Toc536054897"/>
      <w:bookmarkStart w:id="326" w:name="_Toc536054898"/>
      <w:bookmarkStart w:id="327" w:name="_Toc536054899"/>
      <w:bookmarkStart w:id="328" w:name="_Toc536054901"/>
      <w:bookmarkStart w:id="329" w:name="_Toc536054902"/>
      <w:bookmarkStart w:id="330" w:name="_Toc536054906"/>
      <w:bookmarkStart w:id="331" w:name="_Toc536054907"/>
      <w:bookmarkStart w:id="332" w:name="_Toc536054908"/>
      <w:bookmarkStart w:id="333" w:name="_Toc536054910"/>
      <w:bookmarkStart w:id="334" w:name="_Toc536054912"/>
      <w:bookmarkStart w:id="335" w:name="_Toc536054913"/>
      <w:bookmarkStart w:id="336" w:name="_Toc536054914"/>
      <w:bookmarkStart w:id="337" w:name="_Toc536054917"/>
      <w:bookmarkStart w:id="338" w:name="_Toc536054919"/>
      <w:bookmarkStart w:id="339" w:name="_Toc536054921"/>
      <w:bookmarkStart w:id="340" w:name="_Toc536054923"/>
      <w:bookmarkStart w:id="341" w:name="_Toc536054924"/>
      <w:bookmarkStart w:id="342" w:name="_Toc536054925"/>
      <w:bookmarkStart w:id="343" w:name="_Toc536055118"/>
      <w:bookmarkStart w:id="344" w:name="_Toc536054926"/>
      <w:bookmarkStart w:id="345" w:name="_Toc536054927"/>
      <w:bookmarkStart w:id="346" w:name="_Toc536054928"/>
      <w:bookmarkStart w:id="347" w:name="_Toc536054929"/>
      <w:bookmarkStart w:id="348" w:name="_Toc536054930"/>
      <w:bookmarkStart w:id="349" w:name="_Toc536054931"/>
      <w:bookmarkStart w:id="350" w:name="_Toc536054932"/>
      <w:bookmarkStart w:id="351" w:name="_Toc536054933"/>
      <w:bookmarkStart w:id="352" w:name="_Toc342540"/>
      <w:bookmarkStart w:id="353" w:name="_Toc343090"/>
      <w:bookmarkStart w:id="354" w:name="_Toc342541"/>
      <w:bookmarkStart w:id="355" w:name="_Toc343091"/>
      <w:bookmarkStart w:id="356" w:name="_Toc342542"/>
      <w:bookmarkStart w:id="357" w:name="_Toc343092"/>
      <w:bookmarkStart w:id="358" w:name="_Toc342543"/>
      <w:bookmarkStart w:id="359" w:name="_Toc343093"/>
      <w:bookmarkStart w:id="360" w:name="_Toc342544"/>
      <w:bookmarkStart w:id="361" w:name="_Toc343094"/>
      <w:bookmarkStart w:id="362" w:name="_Toc342545"/>
      <w:bookmarkStart w:id="363" w:name="_Toc343095"/>
      <w:bookmarkStart w:id="364" w:name="_Toc342546"/>
      <w:bookmarkStart w:id="365" w:name="_Toc343096"/>
      <w:bookmarkStart w:id="366" w:name="_Toc342547"/>
      <w:bookmarkStart w:id="367" w:name="_Toc343097"/>
      <w:bookmarkStart w:id="368" w:name="_Toc342548"/>
      <w:bookmarkStart w:id="369" w:name="_Toc343098"/>
      <w:bookmarkStart w:id="370" w:name="_Toc342549"/>
      <w:bookmarkStart w:id="371" w:name="_Toc343099"/>
      <w:bookmarkStart w:id="372" w:name="_Toc342550"/>
      <w:bookmarkStart w:id="373" w:name="_Toc343100"/>
      <w:bookmarkStart w:id="374" w:name="_Toc342551"/>
      <w:bookmarkStart w:id="375" w:name="_Toc343101"/>
      <w:bookmarkStart w:id="376" w:name="_Toc342552"/>
      <w:bookmarkStart w:id="377" w:name="_Toc343102"/>
      <w:bookmarkStart w:id="378" w:name="_Toc342553"/>
      <w:bookmarkStart w:id="379" w:name="_Toc343103"/>
      <w:bookmarkStart w:id="380" w:name="_Toc342554"/>
      <w:bookmarkStart w:id="381" w:name="_Toc343104"/>
      <w:bookmarkStart w:id="382" w:name="_Toc342555"/>
      <w:bookmarkStart w:id="383" w:name="_Toc343105"/>
      <w:bookmarkStart w:id="384" w:name="_Toc342556"/>
      <w:bookmarkStart w:id="385" w:name="_Toc343106"/>
      <w:bookmarkStart w:id="386" w:name="_Toc342557"/>
      <w:bookmarkStart w:id="387" w:name="_Toc343107"/>
      <w:bookmarkStart w:id="388" w:name="_Toc342558"/>
      <w:bookmarkStart w:id="389" w:name="_Toc343108"/>
      <w:bookmarkStart w:id="390" w:name="_Toc342559"/>
      <w:bookmarkStart w:id="391" w:name="_Toc343109"/>
      <w:bookmarkStart w:id="392" w:name="_Toc342560"/>
      <w:bookmarkStart w:id="393" w:name="_Toc343110"/>
      <w:bookmarkStart w:id="394" w:name="_Toc342561"/>
      <w:bookmarkStart w:id="395" w:name="_Toc343111"/>
      <w:bookmarkStart w:id="396" w:name="_Toc342562"/>
      <w:bookmarkStart w:id="397" w:name="_Toc343112"/>
      <w:bookmarkStart w:id="398" w:name="_Toc342563"/>
      <w:bookmarkStart w:id="399" w:name="_Toc343113"/>
      <w:bookmarkStart w:id="400" w:name="_Toc342564"/>
      <w:bookmarkStart w:id="401" w:name="_Toc343114"/>
      <w:bookmarkStart w:id="402" w:name="_Toc342565"/>
      <w:bookmarkStart w:id="403" w:name="_Toc343115"/>
      <w:bookmarkStart w:id="404" w:name="_Toc342566"/>
      <w:bookmarkStart w:id="405" w:name="_Toc343116"/>
      <w:bookmarkStart w:id="406" w:name="_Toc342567"/>
      <w:bookmarkStart w:id="407" w:name="_Toc343117"/>
      <w:bookmarkStart w:id="408" w:name="_Toc342568"/>
      <w:bookmarkStart w:id="409" w:name="_Toc343118"/>
      <w:bookmarkStart w:id="410" w:name="_Toc342569"/>
      <w:bookmarkStart w:id="411" w:name="_Toc343119"/>
      <w:bookmarkStart w:id="412" w:name="_Toc342570"/>
      <w:bookmarkStart w:id="413" w:name="_Toc343120"/>
      <w:bookmarkStart w:id="414" w:name="_Toc342571"/>
      <w:bookmarkStart w:id="415" w:name="_Toc343121"/>
      <w:bookmarkStart w:id="416" w:name="_Toc342572"/>
      <w:bookmarkStart w:id="417" w:name="_Toc343122"/>
      <w:bookmarkStart w:id="418" w:name="_Toc342573"/>
      <w:bookmarkStart w:id="419" w:name="_Toc343123"/>
      <w:bookmarkStart w:id="420" w:name="_Toc342574"/>
      <w:bookmarkStart w:id="421" w:name="_Toc343124"/>
      <w:bookmarkStart w:id="422" w:name="_Toc342575"/>
      <w:bookmarkStart w:id="423" w:name="_Toc343125"/>
      <w:bookmarkStart w:id="424" w:name="_Toc342576"/>
      <w:bookmarkStart w:id="425" w:name="_Toc343126"/>
      <w:bookmarkStart w:id="426" w:name="_Toc342577"/>
      <w:bookmarkStart w:id="427" w:name="_Toc343127"/>
      <w:bookmarkStart w:id="428" w:name="_Toc342578"/>
      <w:bookmarkStart w:id="429" w:name="_Toc343128"/>
      <w:bookmarkStart w:id="430" w:name="_Toc342579"/>
      <w:bookmarkStart w:id="431" w:name="_Toc343129"/>
      <w:bookmarkStart w:id="432" w:name="_Toc342580"/>
      <w:bookmarkStart w:id="433" w:name="_Toc343130"/>
      <w:bookmarkStart w:id="434" w:name="_Toc342581"/>
      <w:bookmarkStart w:id="435" w:name="_Toc343131"/>
      <w:bookmarkStart w:id="436" w:name="_Toc342582"/>
      <w:bookmarkStart w:id="437" w:name="_Toc343132"/>
      <w:bookmarkStart w:id="438" w:name="_Toc342583"/>
      <w:bookmarkStart w:id="439" w:name="_Toc343133"/>
      <w:bookmarkStart w:id="440" w:name="_Toc342584"/>
      <w:bookmarkStart w:id="441" w:name="_Toc343134"/>
      <w:bookmarkStart w:id="442" w:name="_Toc342585"/>
      <w:bookmarkStart w:id="443" w:name="_Toc343135"/>
      <w:bookmarkStart w:id="444" w:name="_Toc342586"/>
      <w:bookmarkStart w:id="445" w:name="_Toc343136"/>
      <w:bookmarkStart w:id="446" w:name="_Toc342587"/>
      <w:bookmarkStart w:id="447" w:name="_Toc343137"/>
      <w:bookmarkStart w:id="448" w:name="_Toc342588"/>
      <w:bookmarkStart w:id="449" w:name="_Toc343138"/>
      <w:bookmarkStart w:id="450" w:name="_Toc342589"/>
      <w:bookmarkStart w:id="451" w:name="_Toc343139"/>
      <w:bookmarkStart w:id="452" w:name="_Toc342590"/>
      <w:bookmarkStart w:id="453" w:name="_Toc343140"/>
      <w:bookmarkStart w:id="454" w:name="_Toc342591"/>
      <w:bookmarkStart w:id="455" w:name="_Toc343141"/>
      <w:bookmarkStart w:id="456" w:name="_Toc342592"/>
      <w:bookmarkStart w:id="457" w:name="_Toc343142"/>
      <w:bookmarkStart w:id="458" w:name="_Toc342593"/>
      <w:bookmarkStart w:id="459" w:name="_Toc343143"/>
      <w:bookmarkStart w:id="460" w:name="_Toc342594"/>
      <w:bookmarkStart w:id="461" w:name="_Toc343144"/>
      <w:bookmarkStart w:id="462" w:name="_Toc342595"/>
      <w:bookmarkStart w:id="463" w:name="_Toc343145"/>
      <w:bookmarkStart w:id="464" w:name="_Toc342596"/>
      <w:bookmarkStart w:id="465" w:name="_Toc343146"/>
      <w:bookmarkStart w:id="466" w:name="_Toc342597"/>
      <w:bookmarkStart w:id="467" w:name="_Toc343147"/>
      <w:bookmarkStart w:id="468" w:name="_Toc342598"/>
      <w:bookmarkStart w:id="469" w:name="_Toc343148"/>
      <w:bookmarkStart w:id="470" w:name="_Toc342599"/>
      <w:bookmarkStart w:id="471" w:name="_Toc343149"/>
      <w:bookmarkStart w:id="472" w:name="_Toc342600"/>
      <w:bookmarkStart w:id="473" w:name="_Toc343150"/>
      <w:bookmarkStart w:id="474" w:name="_Toc342601"/>
      <w:bookmarkStart w:id="475" w:name="_Toc343151"/>
      <w:bookmarkStart w:id="476" w:name="_Toc342602"/>
      <w:bookmarkStart w:id="477" w:name="_Toc343152"/>
      <w:bookmarkStart w:id="478" w:name="_Toc342603"/>
      <w:bookmarkStart w:id="479" w:name="_Toc343153"/>
      <w:bookmarkStart w:id="480" w:name="_Toc342604"/>
      <w:bookmarkStart w:id="481" w:name="_Toc343154"/>
      <w:bookmarkStart w:id="482" w:name="_Toc342605"/>
      <w:bookmarkStart w:id="483" w:name="_Toc343155"/>
      <w:bookmarkStart w:id="484" w:name="_Toc342606"/>
      <w:bookmarkStart w:id="485" w:name="_Toc343156"/>
      <w:bookmarkStart w:id="486" w:name="_Toc342607"/>
      <w:bookmarkStart w:id="487" w:name="_Toc343157"/>
      <w:bookmarkStart w:id="488" w:name="_Toc342608"/>
      <w:bookmarkStart w:id="489" w:name="_Toc343158"/>
      <w:bookmarkStart w:id="490" w:name="_Toc342609"/>
      <w:bookmarkStart w:id="491" w:name="_Toc343159"/>
      <w:bookmarkStart w:id="492" w:name="_Toc342610"/>
      <w:bookmarkStart w:id="493" w:name="_Toc343160"/>
      <w:bookmarkStart w:id="494" w:name="_Toc342611"/>
      <w:bookmarkStart w:id="495" w:name="_Toc343161"/>
      <w:bookmarkStart w:id="496" w:name="_Toc342612"/>
      <w:bookmarkStart w:id="497" w:name="_Toc343162"/>
      <w:bookmarkStart w:id="498" w:name="_Toc342613"/>
      <w:bookmarkStart w:id="499" w:name="_Toc343163"/>
      <w:bookmarkStart w:id="500" w:name="_Toc342614"/>
      <w:bookmarkStart w:id="501" w:name="_Toc343164"/>
      <w:bookmarkStart w:id="502" w:name="_Toc342615"/>
      <w:bookmarkStart w:id="503" w:name="_Toc343165"/>
      <w:bookmarkStart w:id="504" w:name="_Toc342616"/>
      <w:bookmarkStart w:id="505" w:name="_Toc343166"/>
      <w:bookmarkStart w:id="506" w:name="_Toc342617"/>
      <w:bookmarkStart w:id="507" w:name="_Toc343167"/>
      <w:bookmarkStart w:id="508" w:name="_Toc342618"/>
      <w:bookmarkStart w:id="509" w:name="_Toc343168"/>
      <w:bookmarkStart w:id="510" w:name="_Toc342619"/>
      <w:bookmarkStart w:id="511" w:name="_Toc343169"/>
      <w:bookmarkStart w:id="512" w:name="_Toc342620"/>
      <w:bookmarkStart w:id="513" w:name="_Toc343170"/>
      <w:bookmarkStart w:id="514" w:name="_Toc342621"/>
      <w:bookmarkStart w:id="515" w:name="_Toc343171"/>
      <w:bookmarkStart w:id="516" w:name="_Toc342622"/>
      <w:bookmarkStart w:id="517" w:name="_Toc343172"/>
      <w:bookmarkStart w:id="518" w:name="_Toc536054935"/>
      <w:bookmarkStart w:id="519" w:name="_Ref536465473"/>
      <w:bookmarkStart w:id="520" w:name="_Ref536465476"/>
      <w:bookmarkStart w:id="521" w:name="_Toc536807097"/>
      <w:bookmarkStart w:id="522" w:name="_Toc342623"/>
      <w:bookmarkStart w:id="523" w:name="_Toc10018323"/>
      <w:bookmarkStart w:id="524" w:name="_Toc10021430"/>
      <w:bookmarkStart w:id="525" w:name="_Toc10021844"/>
      <w:bookmarkStart w:id="526" w:name="_Toc12892328"/>
      <w:bookmarkEnd w:id="159"/>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B0498F">
        <w:t>Nature and extent of p</w:t>
      </w:r>
      <w:r w:rsidR="001A2829" w:rsidRPr="00ED173F">
        <w:t>roblem</w:t>
      </w:r>
      <w:bookmarkEnd w:id="518"/>
      <w:bookmarkEnd w:id="519"/>
      <w:bookmarkEnd w:id="520"/>
      <w:bookmarkEnd w:id="521"/>
      <w:bookmarkEnd w:id="522"/>
      <w:bookmarkEnd w:id="523"/>
      <w:bookmarkEnd w:id="524"/>
      <w:bookmarkEnd w:id="525"/>
      <w:bookmarkEnd w:id="526"/>
    </w:p>
    <w:p w14:paraId="656AFEAB" w14:textId="77777777" w:rsidR="00A25A1E" w:rsidRPr="00D85A7F" w:rsidRDefault="00A25A1E" w:rsidP="00A25A1E">
      <w:pPr>
        <w:rPr>
          <w:b/>
          <w:color w:val="808080" w:themeColor="background1" w:themeShade="80"/>
        </w:rPr>
      </w:pPr>
      <w:bookmarkStart w:id="527" w:name="_Toc525554624"/>
      <w:bookmarkStart w:id="528" w:name="_Toc536054936"/>
      <w:bookmarkStart w:id="529" w:name="_Toc536054937"/>
      <w:bookmarkStart w:id="530" w:name="_Toc536054938"/>
      <w:bookmarkEnd w:id="527"/>
      <w:bookmarkEnd w:id="528"/>
      <w:bookmarkEnd w:id="529"/>
      <w:bookmarkEnd w:id="530"/>
      <w:r w:rsidRPr="00D85A7F">
        <w:rPr>
          <w:b/>
          <w:color w:val="808080" w:themeColor="background1" w:themeShade="80"/>
        </w:rPr>
        <w:t xml:space="preserve">This chapter outlines the nature and extent of </w:t>
      </w:r>
      <w:r>
        <w:rPr>
          <w:b/>
          <w:color w:val="808080" w:themeColor="background1" w:themeShade="80"/>
        </w:rPr>
        <w:t>the problem</w:t>
      </w:r>
      <w:r w:rsidRPr="00D85A7F">
        <w:rPr>
          <w:b/>
          <w:color w:val="808080" w:themeColor="background1" w:themeShade="80"/>
        </w:rPr>
        <w:t xml:space="preserve"> and the objectives of government intervention. </w:t>
      </w:r>
    </w:p>
    <w:p w14:paraId="656AFEAC" w14:textId="77777777" w:rsidR="00A25A1E" w:rsidRPr="00827D05" w:rsidRDefault="00A25A1E" w:rsidP="00A25A1E">
      <w:pPr>
        <w:mirrorIndents/>
        <w:rPr>
          <w:szCs w:val="20"/>
        </w:rPr>
      </w:pPr>
      <w:r>
        <w:rPr>
          <w:rFonts w:cs="Segoe UI Light"/>
          <w:noProof/>
          <w:color w:val="2B579A"/>
          <w:shd w:val="clear" w:color="auto" w:fill="E6E6E6"/>
          <w:lang w:eastAsia="en-AU"/>
        </w:rPr>
        <mc:AlternateContent>
          <mc:Choice Requires="wps">
            <w:drawing>
              <wp:anchor distT="0" distB="0" distL="114300" distR="114300" simplePos="0" relativeHeight="251658256" behindDoc="0" locked="0" layoutInCell="1" allowOverlap="1" wp14:anchorId="656B1E64" wp14:editId="656B1E65">
                <wp:simplePos x="0" y="0"/>
                <wp:positionH relativeFrom="rightMargin">
                  <wp:posOffset>1441688</wp:posOffset>
                </wp:positionH>
                <wp:positionV relativeFrom="paragraph">
                  <wp:posOffset>5584189</wp:posOffset>
                </wp:positionV>
                <wp:extent cx="6824" cy="0"/>
                <wp:effectExtent l="0" t="0" r="0" b="0"/>
                <wp:wrapNone/>
                <wp:docPr id="1797047304" name="Straight Connector 1797047304"/>
                <wp:cNvGraphicFramePr/>
                <a:graphic xmlns:a="http://schemas.openxmlformats.org/drawingml/2006/main">
                  <a:graphicData uri="http://schemas.microsoft.com/office/word/2010/wordprocessingShape">
                    <wps:wsp>
                      <wps:cNvCnPr/>
                      <wps:spPr>
                        <a:xfrm flipH="1" flipV="1">
                          <a:off x="0" y="0"/>
                          <a:ext cx="6824" cy="0"/>
                        </a:xfrm>
                        <a:prstGeom prst="line">
                          <a:avLst/>
                        </a:prstGeom>
                        <a:ln>
                          <a:solidFill>
                            <a:srgbClr val="445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258F5" id="Straight Connector 1797047304" o:spid="_x0000_s1026" style="position:absolute;flip:x y;z-index:251658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13.5pt,439.7pt" to="114.05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" strokecolor="#44546a">
                <w10:wrap anchorx="margin"/>
              </v:line>
            </w:pict>
          </mc:Fallback>
        </mc:AlternateContent>
      </w:r>
      <w:r>
        <w:rPr>
          <w:rFonts w:cs="Segoe UI Light"/>
          <w:noProof/>
          <w:color w:val="2B579A"/>
          <w:shd w:val="clear" w:color="auto" w:fill="E6E6E6"/>
          <w:lang w:eastAsia="en-AU"/>
        </w:rPr>
        <mc:AlternateContent>
          <mc:Choice Requires="wps">
            <w:drawing>
              <wp:anchor distT="0" distB="0" distL="114300" distR="114300" simplePos="0" relativeHeight="251658255" behindDoc="0" locked="0" layoutInCell="1" allowOverlap="1" wp14:anchorId="656B1E66" wp14:editId="656B1E67">
                <wp:simplePos x="0" y="0"/>
                <wp:positionH relativeFrom="column">
                  <wp:posOffset>6705805</wp:posOffset>
                </wp:positionH>
                <wp:positionV relativeFrom="paragraph">
                  <wp:posOffset>2960034</wp:posOffset>
                </wp:positionV>
                <wp:extent cx="0" cy="0"/>
                <wp:effectExtent l="0" t="0" r="0" b="0"/>
                <wp:wrapNone/>
                <wp:docPr id="1797047305" name="Straight Connector 1797047305"/>
                <wp:cNvGraphicFramePr/>
                <a:graphic xmlns:a="http://schemas.openxmlformats.org/drawingml/2006/main">
                  <a:graphicData uri="http://schemas.microsoft.com/office/word/2010/wordprocessingShape">
                    <wps:wsp>
                      <wps:cNvCnPr/>
                      <wps:spPr>
                        <a:xfrm flipV="1">
                          <a:off x="0" y="0"/>
                          <a:ext cx="0" cy="0"/>
                        </a:xfrm>
                        <a:prstGeom prst="line">
                          <a:avLst/>
                        </a:prstGeom>
                        <a:ln>
                          <a:solidFill>
                            <a:srgbClr val="445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32D6D" id="Straight Connector 1797047305"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pt,233.05pt" to="528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" strokecolor="#44546a"/>
            </w:pict>
          </mc:Fallback>
        </mc:AlternateContent>
      </w:r>
      <w:r w:rsidRPr="00827D05">
        <w:rPr>
          <w:rFonts w:cs="Segoe UI Light"/>
          <w:noProof/>
          <w:color w:val="2B579A"/>
          <w:shd w:val="clear" w:color="auto" w:fill="E6E6E6"/>
          <w:lang w:eastAsia="en-AU"/>
        </w:rPr>
        <mc:AlternateContent>
          <mc:Choice Requires="wps">
            <w:drawing>
              <wp:inline distT="0" distB="0" distL="0" distR="0" wp14:anchorId="656B1E68" wp14:editId="656B1E69">
                <wp:extent cx="6366723" cy="6718300"/>
                <wp:effectExtent l="0" t="0" r="15240" b="25400"/>
                <wp:docPr id="1797047292" name="Rectangle 1797047292"/>
                <wp:cNvGraphicFramePr/>
                <a:graphic xmlns:a="http://schemas.openxmlformats.org/drawingml/2006/main">
                  <a:graphicData uri="http://schemas.microsoft.com/office/word/2010/wordprocessingShape">
                    <wps:wsp>
                      <wps:cNvSpPr/>
                      <wps:spPr bwMode="gray">
                        <a:xfrm>
                          <a:off x="0" y="0"/>
                          <a:ext cx="6366723" cy="6718300"/>
                        </a:xfrm>
                        <a:prstGeom prst="rect">
                          <a:avLst/>
                        </a:prstGeom>
                        <a:solidFill>
                          <a:schemeClr val="bg2"/>
                        </a:solidFill>
                        <a:ln w="19050" algn="ctr">
                          <a:solidFill>
                            <a:srgbClr val="62B5E5"/>
                          </a:solidFill>
                          <a:miter lim="800000"/>
                          <a:headEnd/>
                          <a:tailEnd/>
                        </a:ln>
                      </wps:spPr>
                      <wps:txbx>
                        <w:txbxContent>
                          <w:p w14:paraId="656B21A6" w14:textId="77777777" w:rsidR="00E752DE" w:rsidRPr="007553F2" w:rsidRDefault="00E752DE" w:rsidP="00A25A1E">
                            <w:pPr>
                              <w:spacing w:after="0"/>
                              <w:ind w:right="-2694"/>
                              <w:rPr>
                                <w:rFonts w:cs="Segoe UI Light"/>
                                <w:b/>
                                <w:color w:val="FF0000"/>
                              </w:rPr>
                            </w:pPr>
                            <w:r w:rsidRPr="005D5854">
                              <w:rPr>
                                <w:rFonts w:cs="Segoe UI Light"/>
                                <w:b/>
                                <w:color w:val="012169" w:themeColor="accent4"/>
                              </w:rPr>
                              <w:t>Key points:</w:t>
                            </w:r>
                          </w:p>
                          <w:p w14:paraId="656B21A7" w14:textId="77777777" w:rsidR="00E752DE" w:rsidRPr="002240FF" w:rsidRDefault="00E752DE" w:rsidP="00DB4AE9">
                            <w:pPr>
                              <w:ind w:right="293"/>
                              <w:rPr>
                                <w:rFonts w:cs="Segoe UI Light"/>
                              </w:rPr>
                            </w:pPr>
                            <w:r w:rsidRPr="002240FF">
                              <w:rPr>
                                <w:rFonts w:cs="Segoe UI Light"/>
                              </w:rPr>
                              <w:t xml:space="preserve">The problem to be addressed is </w:t>
                            </w:r>
                            <w:r>
                              <w:rPr>
                                <w:rFonts w:cs="Segoe UI Light"/>
                              </w:rPr>
                              <w:t xml:space="preserve">the </w:t>
                            </w:r>
                            <w:r w:rsidRPr="002240FF">
                              <w:rPr>
                                <w:rFonts w:cs="Segoe UI Light"/>
                              </w:rPr>
                              <w:t>residual risks to human health and the environment from pollution and waste that will not otherwise be adequately addressed</w:t>
                            </w:r>
                            <w:r>
                              <w:rPr>
                                <w:rFonts w:cs="Segoe UI Light"/>
                              </w:rPr>
                              <w:t>, either</w:t>
                            </w:r>
                            <w:r w:rsidRPr="002240FF">
                              <w:rPr>
                                <w:rFonts w:cs="Segoe UI Light"/>
                              </w:rPr>
                              <w:t xml:space="preserve"> by the new EP legislation</w:t>
                            </w:r>
                            <w:r>
                              <w:rPr>
                                <w:rFonts w:cs="Segoe UI Light"/>
                              </w:rPr>
                              <w:t xml:space="preserve"> or through other mechanisms</w:t>
                            </w:r>
                            <w:r w:rsidRPr="002240FF">
                              <w:rPr>
                                <w:rFonts w:cs="Segoe UI Light"/>
                              </w:rPr>
                              <w:t xml:space="preserve">. There is a need to supplement </w:t>
                            </w:r>
                            <w:r w:rsidRPr="00092F89">
                              <w:t>the GED and other</w:t>
                            </w:r>
                            <w:r>
                              <w:t xml:space="preserve"> legislated</w:t>
                            </w:r>
                            <w:r w:rsidRPr="00092F89">
                              <w:t xml:space="preserve"> obligations</w:t>
                            </w:r>
                            <w:r>
                              <w:t xml:space="preserve"> and duties (including</w:t>
                            </w:r>
                            <w:r>
                              <w:rPr>
                                <w:rFonts w:cs="Segoe UI Light"/>
                                <w:szCs w:val="20"/>
                              </w:rPr>
                              <w:t xml:space="preserve"> duties</w:t>
                            </w:r>
                            <w:r w:rsidRPr="002240FF">
                              <w:rPr>
                                <w:rFonts w:cs="Segoe UI Light"/>
                                <w:szCs w:val="20"/>
                              </w:rPr>
                              <w:t xml:space="preserve"> to notify EPA of pollution incidents, to manage contaminated sites </w:t>
                            </w:r>
                            <w:r>
                              <w:rPr>
                                <w:rFonts w:cs="Segoe UI Light"/>
                                <w:szCs w:val="20"/>
                              </w:rPr>
                              <w:t xml:space="preserve">and </w:t>
                            </w:r>
                            <w:r w:rsidRPr="002240FF">
                              <w:rPr>
                                <w:rFonts w:cs="Segoe UI Light"/>
                                <w:szCs w:val="20"/>
                              </w:rPr>
                              <w:t>to remediate harm</w:t>
                            </w:r>
                            <w:r>
                              <w:rPr>
                                <w:rFonts w:cs="Segoe UI Light"/>
                                <w:szCs w:val="20"/>
                              </w:rPr>
                              <w:t xml:space="preserve">) </w:t>
                            </w:r>
                            <w:r w:rsidRPr="002240FF">
                              <w:rPr>
                                <w:rFonts w:cs="Segoe UI Light"/>
                              </w:rPr>
                              <w:t xml:space="preserve">to enable effective implementation and operation of the new EP legislation. </w:t>
                            </w:r>
                          </w:p>
                          <w:p w14:paraId="656B21A8" w14:textId="77777777" w:rsidR="00E752DE" w:rsidRDefault="00E752DE" w:rsidP="00DB4AE9">
                            <w:pPr>
                              <w:ind w:right="293"/>
                              <w:rPr>
                                <w:rFonts w:cs="Segoe UI Light"/>
                              </w:rPr>
                            </w:pPr>
                            <w:r w:rsidRPr="00815548">
                              <w:rPr>
                                <w:rFonts w:cs="Segoe UI Light"/>
                              </w:rPr>
                              <w:t>Sources of pollution and waste from industr</w:t>
                            </w:r>
                            <w:r>
                              <w:rPr>
                                <w:rFonts w:cs="Segoe UI Light"/>
                              </w:rPr>
                              <w:t>ial, commercial and domestic activities exist in all aspects of</w:t>
                            </w:r>
                            <w:r w:rsidRPr="00815548">
                              <w:rPr>
                                <w:rFonts w:cs="Segoe UI Light"/>
                              </w:rPr>
                              <w:t xml:space="preserve"> Victorian life</w:t>
                            </w:r>
                            <w:r>
                              <w:rPr>
                                <w:rFonts w:cs="Segoe UI Light"/>
                              </w:rPr>
                              <w:t xml:space="preserve">. </w:t>
                            </w:r>
                            <w:r w:rsidRPr="00815548">
                              <w:rPr>
                                <w:rFonts w:cs="Segoe UI Light"/>
                              </w:rPr>
                              <w:t>While such activities are important to the economic and social well</w:t>
                            </w:r>
                            <w:r>
                              <w:rPr>
                                <w:rFonts w:cs="Segoe UI Light"/>
                              </w:rPr>
                              <w:t xml:space="preserve">-being of Victorians, they can create a </w:t>
                            </w:r>
                            <w:r w:rsidRPr="00815548">
                              <w:rPr>
                                <w:rFonts w:cs="Segoe UI Light"/>
                              </w:rPr>
                              <w:t xml:space="preserve">risk of harm to the environment and human health that </w:t>
                            </w:r>
                            <w:r>
                              <w:rPr>
                                <w:rFonts w:cs="Segoe UI Light"/>
                              </w:rPr>
                              <w:t>is significant enough to</w:t>
                            </w:r>
                            <w:r w:rsidRPr="00815548">
                              <w:rPr>
                                <w:rFonts w:cs="Segoe UI Light"/>
                              </w:rPr>
                              <w:t xml:space="preserve"> warrant </w:t>
                            </w:r>
                            <w:r>
                              <w:rPr>
                                <w:rFonts w:cs="Segoe UI Light"/>
                              </w:rPr>
                              <w:t>intervention</w:t>
                            </w:r>
                            <w:r w:rsidRPr="00815548">
                              <w:rPr>
                                <w:rFonts w:cs="Segoe UI Light"/>
                              </w:rPr>
                              <w:t>.</w:t>
                            </w:r>
                            <w:r>
                              <w:rPr>
                                <w:rFonts w:cs="Segoe UI Light"/>
                              </w:rPr>
                              <w:t xml:space="preserve"> </w:t>
                            </w:r>
                          </w:p>
                          <w:p w14:paraId="656B21A9" w14:textId="77777777" w:rsidR="00E752DE" w:rsidRDefault="00E752DE" w:rsidP="00DB4AE9">
                            <w:pPr>
                              <w:ind w:right="293"/>
                              <w:rPr>
                                <w:rFonts w:cs="Segoe UI Light"/>
                              </w:rPr>
                            </w:pPr>
                            <w:r>
                              <w:rPr>
                                <w:rFonts w:cs="Segoe UI Light"/>
                              </w:rPr>
                              <w:t>The new EP legislation provides a broad and flexible legislative framework which aims to better manage waste and pollution risks. Establishing the GED shifts pollution and waste management in Victoria from a reactive to a preventative framework, which will require duty holders to minimise harm to the environment from waste generation activities and to avoid or minimise pollution, so far as reasonably practicable.</w:t>
                            </w:r>
                            <w:r w:rsidRPr="007A49A5">
                              <w:rPr>
                                <w:rFonts w:cs="Segoe UI Light"/>
                              </w:rPr>
                              <w:t xml:space="preserve"> </w:t>
                            </w:r>
                            <w:r>
                              <w:rPr>
                                <w:rFonts w:cs="Segoe UI Light"/>
                              </w:rPr>
                              <w:t xml:space="preserve">The risks associated with waste will be further managed under new industrial waste and priority waste duties. </w:t>
                            </w:r>
                          </w:p>
                          <w:p w14:paraId="656B21AA" w14:textId="77777777" w:rsidR="00E752DE" w:rsidRDefault="00E752DE" w:rsidP="00820A39">
                            <w:pPr>
                              <w:ind w:right="293"/>
                            </w:pPr>
                            <w:r w:rsidRPr="00435DA2">
                              <w:rPr>
                                <w:rFonts w:cs="Segoe UI Light"/>
                              </w:rPr>
                              <w:t xml:space="preserve">The general nature of these duties means that they cover a very wide variety of circumstances and risks, whereas the </w:t>
                            </w:r>
                            <w:r>
                              <w:rPr>
                                <w:rFonts w:cs="Segoe UI Light"/>
                              </w:rPr>
                              <w:t>proposed R</w:t>
                            </w:r>
                            <w:r w:rsidRPr="00435DA2">
                              <w:rPr>
                                <w:rFonts w:cs="Segoe UI Light"/>
                              </w:rPr>
                              <w:t>egulations focus on a subset of those risks</w:t>
                            </w:r>
                            <w:r>
                              <w:rPr>
                                <w:rFonts w:cs="Segoe UI Light"/>
                              </w:rPr>
                              <w:t xml:space="preserve"> where additional government intervention should be considered. </w:t>
                            </w:r>
                          </w:p>
                          <w:p w14:paraId="656B21AB" w14:textId="77777777" w:rsidR="00E752DE" w:rsidRPr="009B48F2" w:rsidRDefault="00E752DE" w:rsidP="00FE5160">
                            <w:pPr>
                              <w:ind w:right="293"/>
                              <w:rPr>
                                <w:rFonts w:cs="Segoe UI Light"/>
                              </w:rPr>
                            </w:pPr>
                            <w:r w:rsidRPr="00435DA2">
                              <w:rPr>
                                <w:rFonts w:cs="Segoe UI Light"/>
                              </w:rPr>
                              <w:t xml:space="preserve">The targeting of particular risks through the </w:t>
                            </w:r>
                            <w:r>
                              <w:rPr>
                                <w:rFonts w:cs="Segoe UI Light"/>
                              </w:rPr>
                              <w:t xml:space="preserve">proposed </w:t>
                            </w:r>
                            <w:r w:rsidRPr="00435DA2">
                              <w:rPr>
                                <w:rFonts w:cs="Segoe UI Light"/>
                              </w:rPr>
                              <w:t xml:space="preserve">Regulations occurs </w:t>
                            </w:r>
                            <w:r>
                              <w:rPr>
                                <w:rFonts w:cs="Segoe UI Light"/>
                              </w:rPr>
                              <w:t>where Regulations are</w:t>
                            </w:r>
                            <w:r w:rsidRPr="00435DA2">
                              <w:rPr>
                                <w:rFonts w:cs="Segoe UI Light"/>
                              </w:rPr>
                              <w:t xml:space="preserve"> the most effective and </w:t>
                            </w:r>
                            <w:r>
                              <w:rPr>
                                <w:rFonts w:cs="Segoe UI Light"/>
                              </w:rPr>
                              <w:t xml:space="preserve">proportionate </w:t>
                            </w:r>
                            <w:r w:rsidRPr="00435DA2">
                              <w:rPr>
                                <w:rFonts w:cs="Segoe UI Light"/>
                              </w:rPr>
                              <w:t xml:space="preserve">way to deal with the </w:t>
                            </w:r>
                            <w:r w:rsidRPr="00B05634">
                              <w:rPr>
                                <w:rFonts w:cs="Segoe UI Light"/>
                              </w:rPr>
                              <w:t>risk, having considered other possible statutory responses (suc</w:t>
                            </w:r>
                            <w:r w:rsidRPr="003E6970">
                              <w:rPr>
                                <w:rFonts w:cs="Segoe UI Light"/>
                              </w:rPr>
                              <w:t>h as ERSs, compliance instruments, other legislative regimes) or non-statutory responses (such as policies, guidelines, schemes, education, market responses.</w:t>
                            </w:r>
                            <w:r w:rsidRPr="009B48F2">
                              <w:rPr>
                                <w:rFonts w:cs="Segoe UI Light"/>
                              </w:rPr>
                              <w:t xml:space="preserve"> These residual risks are represented diagrammatically in the figure below.</w:t>
                            </w:r>
                          </w:p>
                          <w:p w14:paraId="656B21AC" w14:textId="77777777" w:rsidR="00E752DE" w:rsidRPr="009B48F2" w:rsidRDefault="00E752DE" w:rsidP="00FE5160">
                            <w:pPr>
                              <w:ind w:right="565"/>
                              <w:rPr>
                                <w:rFonts w:cs="Segoe UI Light"/>
                              </w:rPr>
                            </w:pPr>
                            <w:r w:rsidRPr="009B48F2">
                              <w:rPr>
                                <w:rFonts w:cs="Segoe UI Light"/>
                              </w:rPr>
                              <w:t xml:space="preserve">In addition to such areas where there are significant consequences of harm, under the new EP legislation, there will remain a number of residual risks where additional government intervention </w:t>
                            </w:r>
                            <w:r w:rsidRPr="009B48F2">
                              <w:rPr>
                                <w:rFonts w:cs="Segoe UI Light"/>
                                <w:szCs w:val="20"/>
                              </w:rPr>
                              <w:t xml:space="preserve">should be considered. </w:t>
                            </w:r>
                          </w:p>
                          <w:p w14:paraId="656B21AD" w14:textId="77777777" w:rsidR="00E752DE" w:rsidRPr="009B48F2" w:rsidRDefault="00E752DE" w:rsidP="00FE5160">
                            <w:pPr>
                              <w:pStyle w:val="ListParagraph"/>
                              <w:numPr>
                                <w:ilvl w:val="0"/>
                                <w:numId w:val="221"/>
                              </w:numPr>
                              <w:ind w:right="293"/>
                              <w:rPr>
                                <w:rFonts w:cs="Segoe UI Light"/>
                              </w:rPr>
                            </w:pPr>
                            <w:r w:rsidRPr="009B48F2">
                              <w:rPr>
                                <w:rFonts w:cs="Segoe UI Light"/>
                              </w:rPr>
                              <w:t xml:space="preserve">Necessary for legislation to function - Some obligations under the new legislative framework cannot function or would not be enforceable without prescription under regulation. </w:t>
                            </w:r>
                          </w:p>
                          <w:p w14:paraId="656B21AE" w14:textId="77777777" w:rsidR="00E752DE" w:rsidRPr="009B48F2" w:rsidRDefault="00E752DE" w:rsidP="00FE5160">
                            <w:pPr>
                              <w:pStyle w:val="ListParagraph"/>
                              <w:numPr>
                                <w:ilvl w:val="0"/>
                                <w:numId w:val="221"/>
                              </w:numPr>
                              <w:ind w:right="293"/>
                              <w:rPr>
                                <w:rFonts w:cs="Segoe UI Light"/>
                              </w:rPr>
                            </w:pPr>
                            <w:r w:rsidRPr="009B48F2">
                              <w:rPr>
                                <w:rFonts w:cs="Segoe UI Light"/>
                              </w:rPr>
                              <w:t>Risk of mismanagement - There are some areas of harm to human health and the environment where there is a known risk of mismanagement by duty holders.</w:t>
                            </w:r>
                          </w:p>
                          <w:p w14:paraId="656B21AF" w14:textId="77777777" w:rsidR="00E752DE" w:rsidRPr="009B48F2" w:rsidRDefault="00E752DE" w:rsidP="00FE5160">
                            <w:pPr>
                              <w:pStyle w:val="ListParagraph"/>
                              <w:numPr>
                                <w:ilvl w:val="0"/>
                                <w:numId w:val="221"/>
                              </w:numPr>
                              <w:ind w:right="293"/>
                              <w:rPr>
                                <w:rFonts w:cs="Segoe UI Light"/>
                              </w:rPr>
                            </w:pPr>
                            <w:r w:rsidRPr="009B48F2">
                              <w:rPr>
                                <w:rFonts w:cs="Segoe UI Light"/>
                              </w:rPr>
                              <w:t xml:space="preserve">Certainty and consistency - Greater certainty is required by duty holders to ensure consistent compliance with the duties and obligations under the GED and other EP legislation (including duties to notify EPA of pollution incidents, to manage contaminated sites and to remediate harm). </w:t>
                            </w:r>
                          </w:p>
                          <w:p w14:paraId="656B21B0" w14:textId="77777777" w:rsidR="00E752DE" w:rsidRDefault="00E752DE" w:rsidP="00E84216">
                            <w:pPr>
                              <w:ind w:right="293"/>
                              <w:rPr>
                                <w:rFonts w:cs="Segoe UI Light"/>
                                <w:szCs w:val="20"/>
                              </w:rPr>
                            </w:pPr>
                            <w:r w:rsidRPr="003E6970">
                              <w:rPr>
                                <w:rFonts w:cs="Segoe UI Light"/>
                                <w:szCs w:val="20"/>
                              </w:rPr>
                              <w:t>Lower level interventions, such as the provision of practical guidance,</w:t>
                            </w:r>
                            <w:r w:rsidRPr="000B6AE4">
                              <w:rPr>
                                <w:rFonts w:cs="Segoe UI Light"/>
                                <w:szCs w:val="20"/>
                              </w:rPr>
                              <w:t xml:space="preserve"> will </w:t>
                            </w:r>
                            <w:r>
                              <w:rPr>
                                <w:rFonts w:cs="Segoe UI Light"/>
                                <w:szCs w:val="20"/>
                              </w:rPr>
                              <w:t xml:space="preserve">often </w:t>
                            </w:r>
                            <w:r w:rsidRPr="000B6AE4">
                              <w:rPr>
                                <w:rFonts w:cs="Segoe UI Light"/>
                                <w:szCs w:val="20"/>
                              </w:rPr>
                              <w:t xml:space="preserve">not be adequate by themselves </w:t>
                            </w:r>
                            <w:r w:rsidRPr="00D72D1A">
                              <w:rPr>
                                <w:rFonts w:cs="Segoe UI Light"/>
                                <w:szCs w:val="20"/>
                              </w:rPr>
                              <w:t xml:space="preserve">to support the new pollution and waste framework. </w:t>
                            </w:r>
                          </w:p>
                          <w:p w14:paraId="656B21B1" w14:textId="77777777" w:rsidR="00E752DE" w:rsidRDefault="00E752DE" w:rsidP="00DB4AE9">
                            <w:pPr>
                              <w:ind w:right="293"/>
                            </w:pPr>
                            <w:r>
                              <w:rPr>
                                <w:rFonts w:cs="Segoe UI Light"/>
                              </w:rPr>
                              <w:t>This RIS considers whether R</w:t>
                            </w:r>
                            <w:r w:rsidRPr="007A49A5">
                              <w:rPr>
                                <w:rFonts w:cs="Segoe UI Light"/>
                              </w:rPr>
                              <w:t xml:space="preserve">egulations </w:t>
                            </w:r>
                            <w:r>
                              <w:rPr>
                                <w:rFonts w:cs="Segoe UI Light"/>
                              </w:rPr>
                              <w:t xml:space="preserve">and other supporting legislative instruments are </w:t>
                            </w:r>
                            <w:r w:rsidRPr="007A49A5">
                              <w:rPr>
                                <w:rFonts w:cs="Segoe UI Light"/>
                              </w:rPr>
                              <w:t>need</w:t>
                            </w:r>
                            <w:r>
                              <w:rPr>
                                <w:rFonts w:cs="Segoe UI Light"/>
                              </w:rPr>
                              <w:t xml:space="preserve">ed </w:t>
                            </w:r>
                            <w:r w:rsidRPr="007A49A5">
                              <w:rPr>
                                <w:rFonts w:cs="Segoe UI Light"/>
                              </w:rPr>
                              <w:t xml:space="preserve">to enable effective implementation and operation of the </w:t>
                            </w:r>
                            <w:r>
                              <w:rPr>
                                <w:rFonts w:cs="Segoe UI Light"/>
                              </w:rPr>
                              <w:t>GED</w:t>
                            </w:r>
                            <w:r w:rsidRPr="007A49A5">
                              <w:rPr>
                                <w:rFonts w:cs="Segoe UI Light"/>
                              </w:rPr>
                              <w:t xml:space="preserve"> and other </w:t>
                            </w:r>
                            <w:r>
                              <w:rPr>
                                <w:rFonts w:cs="Segoe UI Light"/>
                              </w:rPr>
                              <w:t>duties</w:t>
                            </w:r>
                            <w:r w:rsidRPr="007A49A5">
                              <w:rPr>
                                <w:rFonts w:cs="Segoe UI Light"/>
                              </w:rPr>
                              <w:t xml:space="preserve"> of the </w:t>
                            </w:r>
                            <w:r>
                              <w:rPr>
                                <w:rFonts w:cs="Segoe UI Light"/>
                              </w:rPr>
                              <w:t>new EP legislation</w:t>
                            </w:r>
                            <w:r w:rsidRPr="007A49A5">
                              <w:rPr>
                                <w:rFonts w:cs="Segoe UI Light"/>
                              </w:rPr>
                              <w:t xml:space="preserve">. </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56B1E68" id="Rectangle 1797047292" o:spid="_x0000_s1041" style="width:501.3pt;height:529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" fillcolor="#e7e6e6 [3214]" strokecolor="#62b5e5" strokeweight="1.5pt">
                <v:textbox inset="7pt,7pt,7pt,7pt">
                  <w:txbxContent>
                    <w:p w14:paraId="656B21A6" w14:textId="77777777" w:rsidR="00E752DE" w:rsidRPr="007553F2" w:rsidRDefault="00E752DE" w:rsidP="00A25A1E">
                      <w:pPr>
                        <w:spacing w:after="0"/>
                        <w:ind w:right="-2694"/>
                        <w:rPr>
                          <w:rFonts w:cs="Segoe UI Light"/>
                          <w:b/>
                          <w:color w:val="FF0000"/>
                        </w:rPr>
                      </w:pPr>
                      <w:r w:rsidRPr="005D5854">
                        <w:rPr>
                          <w:rFonts w:cs="Segoe UI Light"/>
                          <w:b/>
                          <w:color w:val="012169" w:themeColor="accent4"/>
                        </w:rPr>
                        <w:t>Key points:</w:t>
                      </w:r>
                    </w:p>
                    <w:p w14:paraId="656B21A7" w14:textId="77777777" w:rsidR="00E752DE" w:rsidRPr="002240FF" w:rsidRDefault="00E752DE" w:rsidP="00DB4AE9">
                      <w:pPr>
                        <w:ind w:right="293"/>
                        <w:rPr>
                          <w:rFonts w:cs="Segoe UI Light"/>
                        </w:rPr>
                      </w:pPr>
                      <w:r w:rsidRPr="002240FF">
                        <w:rPr>
                          <w:rFonts w:cs="Segoe UI Light"/>
                        </w:rPr>
                        <w:t xml:space="preserve">The problem to be addressed is </w:t>
                      </w:r>
                      <w:r>
                        <w:rPr>
                          <w:rFonts w:cs="Segoe UI Light"/>
                        </w:rPr>
                        <w:t xml:space="preserve">the </w:t>
                      </w:r>
                      <w:r w:rsidRPr="002240FF">
                        <w:rPr>
                          <w:rFonts w:cs="Segoe UI Light"/>
                        </w:rPr>
                        <w:t>residual risks to human health and the environment from pollution and waste that will not otherwise be adequately addressed</w:t>
                      </w:r>
                      <w:r>
                        <w:rPr>
                          <w:rFonts w:cs="Segoe UI Light"/>
                        </w:rPr>
                        <w:t>, either</w:t>
                      </w:r>
                      <w:r w:rsidRPr="002240FF">
                        <w:rPr>
                          <w:rFonts w:cs="Segoe UI Light"/>
                        </w:rPr>
                        <w:t xml:space="preserve"> by the new EP legislation</w:t>
                      </w:r>
                      <w:r>
                        <w:rPr>
                          <w:rFonts w:cs="Segoe UI Light"/>
                        </w:rPr>
                        <w:t xml:space="preserve"> or through other mechanisms</w:t>
                      </w:r>
                      <w:r w:rsidRPr="002240FF">
                        <w:rPr>
                          <w:rFonts w:cs="Segoe UI Light"/>
                        </w:rPr>
                        <w:t xml:space="preserve">. There is a need to supplement </w:t>
                      </w:r>
                      <w:r w:rsidRPr="00092F89">
                        <w:t>the GED and other</w:t>
                      </w:r>
                      <w:r>
                        <w:t xml:space="preserve"> legislated</w:t>
                      </w:r>
                      <w:r w:rsidRPr="00092F89">
                        <w:t xml:space="preserve"> obligations</w:t>
                      </w:r>
                      <w:r>
                        <w:t xml:space="preserve"> and duties (including</w:t>
                      </w:r>
                      <w:r>
                        <w:rPr>
                          <w:rFonts w:cs="Segoe UI Light"/>
                          <w:szCs w:val="20"/>
                        </w:rPr>
                        <w:t xml:space="preserve"> duties</w:t>
                      </w:r>
                      <w:r w:rsidRPr="002240FF">
                        <w:rPr>
                          <w:rFonts w:cs="Segoe UI Light"/>
                          <w:szCs w:val="20"/>
                        </w:rPr>
                        <w:t xml:space="preserve"> to notify EPA of pollution incidents, to manage contaminated sites </w:t>
                      </w:r>
                      <w:r>
                        <w:rPr>
                          <w:rFonts w:cs="Segoe UI Light"/>
                          <w:szCs w:val="20"/>
                        </w:rPr>
                        <w:t xml:space="preserve">and </w:t>
                      </w:r>
                      <w:r w:rsidRPr="002240FF">
                        <w:rPr>
                          <w:rFonts w:cs="Segoe UI Light"/>
                          <w:szCs w:val="20"/>
                        </w:rPr>
                        <w:t>to remediate harm</w:t>
                      </w:r>
                      <w:r>
                        <w:rPr>
                          <w:rFonts w:cs="Segoe UI Light"/>
                          <w:szCs w:val="20"/>
                        </w:rPr>
                        <w:t xml:space="preserve">) </w:t>
                      </w:r>
                      <w:r w:rsidRPr="002240FF">
                        <w:rPr>
                          <w:rFonts w:cs="Segoe UI Light"/>
                        </w:rPr>
                        <w:t xml:space="preserve">to enable effective implementation and operation of the new EP legislation. </w:t>
                      </w:r>
                    </w:p>
                    <w:p w14:paraId="656B21A8" w14:textId="77777777" w:rsidR="00E752DE" w:rsidRDefault="00E752DE" w:rsidP="00DB4AE9">
                      <w:pPr>
                        <w:ind w:right="293"/>
                        <w:rPr>
                          <w:rFonts w:cs="Segoe UI Light"/>
                        </w:rPr>
                      </w:pPr>
                      <w:r w:rsidRPr="00815548">
                        <w:rPr>
                          <w:rFonts w:cs="Segoe UI Light"/>
                        </w:rPr>
                        <w:t>Sources of pollution and waste from industr</w:t>
                      </w:r>
                      <w:r>
                        <w:rPr>
                          <w:rFonts w:cs="Segoe UI Light"/>
                        </w:rPr>
                        <w:t>ial, commercial and domestic activities exist in all aspects of</w:t>
                      </w:r>
                      <w:r w:rsidRPr="00815548">
                        <w:rPr>
                          <w:rFonts w:cs="Segoe UI Light"/>
                        </w:rPr>
                        <w:t xml:space="preserve"> Victorian life</w:t>
                      </w:r>
                      <w:r>
                        <w:rPr>
                          <w:rFonts w:cs="Segoe UI Light"/>
                        </w:rPr>
                        <w:t xml:space="preserve">. </w:t>
                      </w:r>
                      <w:r w:rsidRPr="00815548">
                        <w:rPr>
                          <w:rFonts w:cs="Segoe UI Light"/>
                        </w:rPr>
                        <w:t>While such activities are important to the economic and social well</w:t>
                      </w:r>
                      <w:r>
                        <w:rPr>
                          <w:rFonts w:cs="Segoe UI Light"/>
                        </w:rPr>
                        <w:t xml:space="preserve">-being of Victorians, they can create a </w:t>
                      </w:r>
                      <w:r w:rsidRPr="00815548">
                        <w:rPr>
                          <w:rFonts w:cs="Segoe UI Light"/>
                        </w:rPr>
                        <w:t xml:space="preserve">risk of harm to the environment and human health that </w:t>
                      </w:r>
                      <w:r>
                        <w:rPr>
                          <w:rFonts w:cs="Segoe UI Light"/>
                        </w:rPr>
                        <w:t>is significant enough to</w:t>
                      </w:r>
                      <w:r w:rsidRPr="00815548">
                        <w:rPr>
                          <w:rFonts w:cs="Segoe UI Light"/>
                        </w:rPr>
                        <w:t xml:space="preserve"> warrant </w:t>
                      </w:r>
                      <w:r>
                        <w:rPr>
                          <w:rFonts w:cs="Segoe UI Light"/>
                        </w:rPr>
                        <w:t>intervention</w:t>
                      </w:r>
                      <w:r w:rsidRPr="00815548">
                        <w:rPr>
                          <w:rFonts w:cs="Segoe UI Light"/>
                        </w:rPr>
                        <w:t>.</w:t>
                      </w:r>
                      <w:r>
                        <w:rPr>
                          <w:rFonts w:cs="Segoe UI Light"/>
                        </w:rPr>
                        <w:t xml:space="preserve"> </w:t>
                      </w:r>
                    </w:p>
                    <w:p w14:paraId="656B21A9" w14:textId="77777777" w:rsidR="00E752DE" w:rsidRDefault="00E752DE" w:rsidP="00DB4AE9">
                      <w:pPr>
                        <w:ind w:right="293"/>
                        <w:rPr>
                          <w:rFonts w:cs="Segoe UI Light"/>
                        </w:rPr>
                      </w:pPr>
                      <w:r>
                        <w:rPr>
                          <w:rFonts w:cs="Segoe UI Light"/>
                        </w:rPr>
                        <w:t>The new EP legislation provides a broad and flexible legislative framework which aims to better manage waste and pollution risks. Establishing the GED shifts pollution and waste management in Victoria from a reactive to a preventative framework, which will require duty holders to minimise harm to the environment from waste generation activities and to avoid or minimise pollution, so far as reasonably practicable.</w:t>
                      </w:r>
                      <w:r w:rsidRPr="007A49A5">
                        <w:rPr>
                          <w:rFonts w:cs="Segoe UI Light"/>
                        </w:rPr>
                        <w:t xml:space="preserve"> </w:t>
                      </w:r>
                      <w:r>
                        <w:rPr>
                          <w:rFonts w:cs="Segoe UI Light"/>
                        </w:rPr>
                        <w:t xml:space="preserve">The risks associated with waste will be further managed under new industrial waste and priority waste duties. </w:t>
                      </w:r>
                    </w:p>
                    <w:p w14:paraId="656B21AA" w14:textId="77777777" w:rsidR="00E752DE" w:rsidRDefault="00E752DE" w:rsidP="00820A39">
                      <w:pPr>
                        <w:ind w:right="293"/>
                      </w:pPr>
                      <w:r w:rsidRPr="00435DA2">
                        <w:rPr>
                          <w:rFonts w:cs="Segoe UI Light"/>
                        </w:rPr>
                        <w:t xml:space="preserve">The general nature of these duties means that they cover a very wide variety of circumstances and risks, whereas the </w:t>
                      </w:r>
                      <w:r>
                        <w:rPr>
                          <w:rFonts w:cs="Segoe UI Light"/>
                        </w:rPr>
                        <w:t>proposed R</w:t>
                      </w:r>
                      <w:r w:rsidRPr="00435DA2">
                        <w:rPr>
                          <w:rFonts w:cs="Segoe UI Light"/>
                        </w:rPr>
                        <w:t>egulations focus on a subset of those risks</w:t>
                      </w:r>
                      <w:r>
                        <w:rPr>
                          <w:rFonts w:cs="Segoe UI Light"/>
                        </w:rPr>
                        <w:t xml:space="preserve"> where additional government intervention should be considered. </w:t>
                      </w:r>
                    </w:p>
                    <w:p w14:paraId="656B21AB" w14:textId="77777777" w:rsidR="00E752DE" w:rsidRPr="009B48F2" w:rsidRDefault="00E752DE" w:rsidP="00FE5160">
                      <w:pPr>
                        <w:ind w:right="293"/>
                        <w:rPr>
                          <w:rFonts w:cs="Segoe UI Light"/>
                        </w:rPr>
                      </w:pPr>
                      <w:r w:rsidRPr="00435DA2">
                        <w:rPr>
                          <w:rFonts w:cs="Segoe UI Light"/>
                        </w:rPr>
                        <w:t xml:space="preserve">The targeting of particular risks through the </w:t>
                      </w:r>
                      <w:r>
                        <w:rPr>
                          <w:rFonts w:cs="Segoe UI Light"/>
                        </w:rPr>
                        <w:t xml:space="preserve">proposed </w:t>
                      </w:r>
                      <w:r w:rsidRPr="00435DA2">
                        <w:rPr>
                          <w:rFonts w:cs="Segoe UI Light"/>
                        </w:rPr>
                        <w:t xml:space="preserve">Regulations occurs </w:t>
                      </w:r>
                      <w:r>
                        <w:rPr>
                          <w:rFonts w:cs="Segoe UI Light"/>
                        </w:rPr>
                        <w:t>where Regulations are</w:t>
                      </w:r>
                      <w:r w:rsidRPr="00435DA2">
                        <w:rPr>
                          <w:rFonts w:cs="Segoe UI Light"/>
                        </w:rPr>
                        <w:t xml:space="preserve"> the most effective and </w:t>
                      </w:r>
                      <w:r>
                        <w:rPr>
                          <w:rFonts w:cs="Segoe UI Light"/>
                        </w:rPr>
                        <w:t xml:space="preserve">proportionate </w:t>
                      </w:r>
                      <w:r w:rsidRPr="00435DA2">
                        <w:rPr>
                          <w:rFonts w:cs="Segoe UI Light"/>
                        </w:rPr>
                        <w:t xml:space="preserve">way to deal with the </w:t>
                      </w:r>
                      <w:r w:rsidRPr="00B05634">
                        <w:rPr>
                          <w:rFonts w:cs="Segoe UI Light"/>
                        </w:rPr>
                        <w:t>risk, having considered other possible statutory responses (suc</w:t>
                      </w:r>
                      <w:r w:rsidRPr="003E6970">
                        <w:rPr>
                          <w:rFonts w:cs="Segoe UI Light"/>
                        </w:rPr>
                        <w:t>h as ERSs, compliance instruments, other legislative regimes) or non-statutory responses (such as policies, guidelines, schemes, education, market responses.</w:t>
                      </w:r>
                      <w:r w:rsidRPr="009B48F2">
                        <w:rPr>
                          <w:rFonts w:cs="Segoe UI Light"/>
                        </w:rPr>
                        <w:t xml:space="preserve"> These residual risks are represented diagrammatically in the figure below.</w:t>
                      </w:r>
                    </w:p>
                    <w:p w14:paraId="656B21AC" w14:textId="77777777" w:rsidR="00E752DE" w:rsidRPr="009B48F2" w:rsidRDefault="00E752DE" w:rsidP="00FE5160">
                      <w:pPr>
                        <w:ind w:right="565"/>
                        <w:rPr>
                          <w:rFonts w:cs="Segoe UI Light"/>
                        </w:rPr>
                      </w:pPr>
                      <w:r w:rsidRPr="009B48F2">
                        <w:rPr>
                          <w:rFonts w:cs="Segoe UI Light"/>
                        </w:rPr>
                        <w:t xml:space="preserve">In addition to such areas where there are significant consequences of harm, under the new EP legislation, there will remain a number of residual risks where additional government intervention </w:t>
                      </w:r>
                      <w:r w:rsidRPr="009B48F2">
                        <w:rPr>
                          <w:rFonts w:cs="Segoe UI Light"/>
                          <w:szCs w:val="20"/>
                        </w:rPr>
                        <w:t xml:space="preserve">should be considered. </w:t>
                      </w:r>
                    </w:p>
                    <w:p w14:paraId="656B21AD" w14:textId="77777777" w:rsidR="00E752DE" w:rsidRPr="009B48F2" w:rsidRDefault="00E752DE" w:rsidP="00FE5160">
                      <w:pPr>
                        <w:pStyle w:val="ListParagraph"/>
                        <w:numPr>
                          <w:ilvl w:val="0"/>
                          <w:numId w:val="221"/>
                        </w:numPr>
                        <w:ind w:right="293"/>
                        <w:rPr>
                          <w:rFonts w:cs="Segoe UI Light"/>
                        </w:rPr>
                      </w:pPr>
                      <w:r w:rsidRPr="009B48F2">
                        <w:rPr>
                          <w:rFonts w:cs="Segoe UI Light"/>
                        </w:rPr>
                        <w:t xml:space="preserve">Necessary for legislation to function - Some obligations under the new legislative framework cannot function or would not be enforceable without prescription under regulation. </w:t>
                      </w:r>
                    </w:p>
                    <w:p w14:paraId="656B21AE" w14:textId="77777777" w:rsidR="00E752DE" w:rsidRPr="009B48F2" w:rsidRDefault="00E752DE" w:rsidP="00FE5160">
                      <w:pPr>
                        <w:pStyle w:val="ListParagraph"/>
                        <w:numPr>
                          <w:ilvl w:val="0"/>
                          <w:numId w:val="221"/>
                        </w:numPr>
                        <w:ind w:right="293"/>
                        <w:rPr>
                          <w:rFonts w:cs="Segoe UI Light"/>
                        </w:rPr>
                      </w:pPr>
                      <w:r w:rsidRPr="009B48F2">
                        <w:rPr>
                          <w:rFonts w:cs="Segoe UI Light"/>
                        </w:rPr>
                        <w:t>Risk of mismanagement - There are some areas of harm to human health and the environment where there is a known risk of mismanagement by duty holders.</w:t>
                      </w:r>
                    </w:p>
                    <w:p w14:paraId="656B21AF" w14:textId="77777777" w:rsidR="00E752DE" w:rsidRPr="009B48F2" w:rsidRDefault="00E752DE" w:rsidP="00FE5160">
                      <w:pPr>
                        <w:pStyle w:val="ListParagraph"/>
                        <w:numPr>
                          <w:ilvl w:val="0"/>
                          <w:numId w:val="221"/>
                        </w:numPr>
                        <w:ind w:right="293"/>
                        <w:rPr>
                          <w:rFonts w:cs="Segoe UI Light"/>
                        </w:rPr>
                      </w:pPr>
                      <w:r w:rsidRPr="009B48F2">
                        <w:rPr>
                          <w:rFonts w:cs="Segoe UI Light"/>
                        </w:rPr>
                        <w:t xml:space="preserve">Certainty and consistency - Greater certainty is required by duty holders to ensure consistent compliance with the duties and obligations under the GED and other EP legislation (including duties to notify EPA of pollution incidents, to manage contaminated sites and to remediate harm). </w:t>
                      </w:r>
                    </w:p>
                    <w:p w14:paraId="656B21B0" w14:textId="77777777" w:rsidR="00E752DE" w:rsidRDefault="00E752DE" w:rsidP="00E84216">
                      <w:pPr>
                        <w:ind w:right="293"/>
                        <w:rPr>
                          <w:rFonts w:cs="Segoe UI Light"/>
                          <w:szCs w:val="20"/>
                        </w:rPr>
                      </w:pPr>
                      <w:r w:rsidRPr="003E6970">
                        <w:rPr>
                          <w:rFonts w:cs="Segoe UI Light"/>
                          <w:szCs w:val="20"/>
                        </w:rPr>
                        <w:t>Lower level interventions, such as the provision of practical guidance,</w:t>
                      </w:r>
                      <w:r w:rsidRPr="000B6AE4">
                        <w:rPr>
                          <w:rFonts w:cs="Segoe UI Light"/>
                          <w:szCs w:val="20"/>
                        </w:rPr>
                        <w:t xml:space="preserve"> will </w:t>
                      </w:r>
                      <w:r>
                        <w:rPr>
                          <w:rFonts w:cs="Segoe UI Light"/>
                          <w:szCs w:val="20"/>
                        </w:rPr>
                        <w:t xml:space="preserve">often </w:t>
                      </w:r>
                      <w:r w:rsidRPr="000B6AE4">
                        <w:rPr>
                          <w:rFonts w:cs="Segoe UI Light"/>
                          <w:szCs w:val="20"/>
                        </w:rPr>
                        <w:t xml:space="preserve">not be adequate by themselves </w:t>
                      </w:r>
                      <w:r w:rsidRPr="00D72D1A">
                        <w:rPr>
                          <w:rFonts w:cs="Segoe UI Light"/>
                          <w:szCs w:val="20"/>
                        </w:rPr>
                        <w:t xml:space="preserve">to support the new pollution and waste framework. </w:t>
                      </w:r>
                    </w:p>
                    <w:p w14:paraId="656B21B1" w14:textId="77777777" w:rsidR="00E752DE" w:rsidRDefault="00E752DE" w:rsidP="00DB4AE9">
                      <w:pPr>
                        <w:ind w:right="293"/>
                      </w:pPr>
                      <w:r>
                        <w:rPr>
                          <w:rFonts w:cs="Segoe UI Light"/>
                        </w:rPr>
                        <w:t>This RIS considers whether R</w:t>
                      </w:r>
                      <w:r w:rsidRPr="007A49A5">
                        <w:rPr>
                          <w:rFonts w:cs="Segoe UI Light"/>
                        </w:rPr>
                        <w:t xml:space="preserve">egulations </w:t>
                      </w:r>
                      <w:r>
                        <w:rPr>
                          <w:rFonts w:cs="Segoe UI Light"/>
                        </w:rPr>
                        <w:t xml:space="preserve">and other supporting legislative instruments are </w:t>
                      </w:r>
                      <w:r w:rsidRPr="007A49A5">
                        <w:rPr>
                          <w:rFonts w:cs="Segoe UI Light"/>
                        </w:rPr>
                        <w:t>need</w:t>
                      </w:r>
                      <w:r>
                        <w:rPr>
                          <w:rFonts w:cs="Segoe UI Light"/>
                        </w:rPr>
                        <w:t xml:space="preserve">ed </w:t>
                      </w:r>
                      <w:r w:rsidRPr="007A49A5">
                        <w:rPr>
                          <w:rFonts w:cs="Segoe UI Light"/>
                        </w:rPr>
                        <w:t xml:space="preserve">to enable effective implementation and operation of the </w:t>
                      </w:r>
                      <w:r>
                        <w:rPr>
                          <w:rFonts w:cs="Segoe UI Light"/>
                        </w:rPr>
                        <w:t>GED</w:t>
                      </w:r>
                      <w:r w:rsidRPr="007A49A5">
                        <w:rPr>
                          <w:rFonts w:cs="Segoe UI Light"/>
                        </w:rPr>
                        <w:t xml:space="preserve"> and other </w:t>
                      </w:r>
                      <w:r>
                        <w:rPr>
                          <w:rFonts w:cs="Segoe UI Light"/>
                        </w:rPr>
                        <w:t>duties</w:t>
                      </w:r>
                      <w:r w:rsidRPr="007A49A5">
                        <w:rPr>
                          <w:rFonts w:cs="Segoe UI Light"/>
                        </w:rPr>
                        <w:t xml:space="preserve"> of the </w:t>
                      </w:r>
                      <w:r>
                        <w:rPr>
                          <w:rFonts w:cs="Segoe UI Light"/>
                        </w:rPr>
                        <w:t>new EP legislation</w:t>
                      </w:r>
                      <w:r w:rsidRPr="007A49A5">
                        <w:rPr>
                          <w:rFonts w:cs="Segoe UI Light"/>
                        </w:rPr>
                        <w:t xml:space="preserve">. </w:t>
                      </w:r>
                    </w:p>
                  </w:txbxContent>
                </v:textbox>
                <w10:anchorlock/>
              </v:rect>
            </w:pict>
          </mc:Fallback>
        </mc:AlternateContent>
      </w:r>
    </w:p>
    <w:p w14:paraId="656AFEAD" w14:textId="77777777" w:rsidR="00A25A1E" w:rsidRDefault="00A25A1E" w:rsidP="00A25A1E">
      <w:pPr>
        <w:spacing w:after="0"/>
        <w:mirrorIndents/>
        <w:rPr>
          <w:rFonts w:cs="Segoe UI Light"/>
          <w:szCs w:val="22"/>
        </w:rPr>
      </w:pPr>
    </w:p>
    <w:p w14:paraId="656AFEAE" w14:textId="77777777" w:rsidR="00A25A1E" w:rsidRPr="00827D05" w:rsidRDefault="00E6781E" w:rsidP="00A25A1E">
      <w:pPr>
        <w:pStyle w:val="Caption"/>
      </w:pPr>
      <w:r w:rsidRPr="00827D05">
        <w:rPr>
          <w:rFonts w:cs="Segoe UI Light"/>
          <w:noProof/>
          <w:color w:val="2B579A"/>
          <w:shd w:val="clear" w:color="auto" w:fill="E6E6E6"/>
          <w:lang w:eastAsia="en-AU"/>
        </w:rPr>
        <mc:AlternateContent>
          <mc:Choice Requires="wpc">
            <w:drawing>
              <wp:anchor distT="0" distB="0" distL="114300" distR="114300" simplePos="0" relativeHeight="251658263" behindDoc="0" locked="0" layoutInCell="1" allowOverlap="1" wp14:anchorId="656B1E6A" wp14:editId="656B1E6B">
                <wp:simplePos x="0" y="0"/>
                <wp:positionH relativeFrom="margin">
                  <wp:posOffset>228600</wp:posOffset>
                </wp:positionH>
                <wp:positionV relativeFrom="paragraph">
                  <wp:posOffset>514985</wp:posOffset>
                </wp:positionV>
                <wp:extent cx="3823335" cy="3626485"/>
                <wp:effectExtent l="0" t="0" r="0" b="0"/>
                <wp:wrapTopAndBottom/>
                <wp:docPr id="662474189" name="Canvas 662474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Oval 5"/>
                        <wps:cNvSpPr>
                          <a:spLocks noChangeArrowheads="1"/>
                        </wps:cNvSpPr>
                        <wps:spPr bwMode="auto">
                          <a:xfrm>
                            <a:off x="6350" y="6350"/>
                            <a:ext cx="3590925" cy="3590925"/>
                          </a:xfrm>
                          <a:prstGeom prst="ellipse">
                            <a:avLst/>
                          </a:prstGeom>
                          <a:solidFill>
                            <a:srgbClr val="618918"/>
                          </a:solidFill>
                          <a:ln w="0">
                            <a:solidFill>
                              <a:srgbClr val="000000"/>
                            </a:solidFill>
                            <a:prstDash val="solid"/>
                            <a:round/>
                            <a:headEnd/>
                            <a:tailEnd/>
                          </a:ln>
                        </wps:spPr>
                        <wps:bodyPr rot="0" vert="horz" wrap="square" lIns="91440" tIns="45720" rIns="91440" bIns="45720" anchor="t" anchorCtr="0" upright="1">
                          <a:noAutofit/>
                        </wps:bodyPr>
                      </wps:wsp>
                      <wps:wsp>
                        <wps:cNvPr id="16" name="Oval 6"/>
                        <wps:cNvSpPr>
                          <a:spLocks noChangeArrowheads="1"/>
                        </wps:cNvSpPr>
                        <wps:spPr bwMode="auto">
                          <a:xfrm>
                            <a:off x="6350" y="6350"/>
                            <a:ext cx="3590925" cy="3590925"/>
                          </a:xfrm>
                          <a:prstGeom prst="ellipse">
                            <a:avLst/>
                          </a:prstGeom>
                          <a:noFill/>
                          <a:ln w="1651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Oval 7"/>
                        <wps:cNvSpPr>
                          <a:spLocks noChangeArrowheads="1"/>
                        </wps:cNvSpPr>
                        <wps:spPr bwMode="auto">
                          <a:xfrm>
                            <a:off x="1240155" y="654050"/>
                            <a:ext cx="2345055" cy="2295525"/>
                          </a:xfrm>
                          <a:prstGeom prst="ellipse">
                            <a:avLst/>
                          </a:prstGeom>
                          <a:solidFill>
                            <a:srgbClr val="86BC25"/>
                          </a:solidFill>
                          <a:ln w="0">
                            <a:solidFill>
                              <a:srgbClr val="000000"/>
                            </a:solidFill>
                            <a:prstDash val="solid"/>
                            <a:round/>
                            <a:headEnd/>
                            <a:tailEnd/>
                          </a:ln>
                        </wps:spPr>
                        <wps:bodyPr rot="0" vert="horz" wrap="square" lIns="91440" tIns="45720" rIns="91440" bIns="45720" anchor="t" anchorCtr="0" upright="1">
                          <a:noAutofit/>
                        </wps:bodyPr>
                      </wps:wsp>
                      <wps:wsp>
                        <wps:cNvPr id="21" name="Oval 8"/>
                        <wps:cNvSpPr>
                          <a:spLocks noChangeArrowheads="1"/>
                        </wps:cNvSpPr>
                        <wps:spPr bwMode="auto">
                          <a:xfrm>
                            <a:off x="1240155" y="654050"/>
                            <a:ext cx="2345055" cy="2295525"/>
                          </a:xfrm>
                          <a:prstGeom prst="ellipse">
                            <a:avLst/>
                          </a:prstGeom>
                          <a:noFill/>
                          <a:ln w="1651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18"/>
                        <wps:cNvSpPr>
                          <a:spLocks noChangeArrowheads="1"/>
                        </wps:cNvSpPr>
                        <wps:spPr bwMode="auto">
                          <a:xfrm>
                            <a:off x="2367280" y="1610995"/>
                            <a:ext cx="6032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B21B2" w14:textId="77777777" w:rsidR="00E752DE" w:rsidRDefault="00E752DE" w:rsidP="00A25A1E"/>
                          </w:txbxContent>
                        </wps:txbx>
                        <wps:bodyPr rot="0" vert="horz" wrap="none" lIns="0" tIns="0" rIns="0" bIns="0" anchor="t" anchorCtr="0">
                          <a:spAutoFit/>
                        </wps:bodyPr>
                      </wps:wsp>
                      <wps:wsp>
                        <wps:cNvPr id="25" name="Rectangle 20"/>
                        <wps:cNvSpPr>
                          <a:spLocks noChangeArrowheads="1"/>
                        </wps:cNvSpPr>
                        <wps:spPr bwMode="auto">
                          <a:xfrm>
                            <a:off x="1932940" y="1143000"/>
                            <a:ext cx="6032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B21B3" w14:textId="77777777" w:rsidR="00E752DE" w:rsidRDefault="00E752DE" w:rsidP="00A25A1E"/>
                          </w:txbxContent>
                        </wps:txbx>
                        <wps:bodyPr rot="0" vert="horz" wrap="none" lIns="0" tIns="0" rIns="0" bIns="0" anchor="t" anchorCtr="0">
                          <a:noAutofit/>
                        </wps:bodyPr>
                      </wps:wsp>
                      <wps:wsp>
                        <wps:cNvPr id="26" name="Text Box 1797047370"/>
                        <wps:cNvSpPr txBox="1"/>
                        <wps:spPr>
                          <a:xfrm>
                            <a:off x="1714885" y="987879"/>
                            <a:ext cx="1589405" cy="1530350"/>
                          </a:xfrm>
                          <a:prstGeom prst="rect">
                            <a:avLst/>
                          </a:prstGeom>
                          <a:noFill/>
                          <a:ln w="6350">
                            <a:noFill/>
                          </a:ln>
                        </wps:spPr>
                        <wps:txbx>
                          <w:txbxContent>
                            <w:p w14:paraId="656B21B4" w14:textId="77777777" w:rsidR="00E752DE" w:rsidRPr="000E7C5E" w:rsidRDefault="00E752DE" w:rsidP="00A25A1E">
                              <w:pPr>
                                <w:pStyle w:val="NormalWeb"/>
                                <w:spacing w:line="240" w:lineRule="exact"/>
                                <w:rPr>
                                  <w:rFonts w:ascii="Segoe UI Light" w:eastAsia="Verdana" w:hAnsi="Segoe UI Light"/>
                                  <w:b/>
                                  <w:bCs/>
                                  <w:color w:val="FFFFFF" w:themeColor="background1"/>
                                  <w:sz w:val="20"/>
                                  <w:szCs w:val="20"/>
                                  <w:u w:val="single"/>
                                </w:rPr>
                              </w:pPr>
                              <w:r>
                                <w:rPr>
                                  <w:rFonts w:ascii="Segoe UI Light" w:eastAsia="Verdana" w:hAnsi="Segoe UI Light"/>
                                  <w:b/>
                                  <w:bCs/>
                                  <w:color w:val="FFFFFF"/>
                                  <w:sz w:val="20"/>
                                  <w:szCs w:val="20"/>
                                </w:rPr>
                                <w:t xml:space="preserve">Residual </w:t>
                              </w:r>
                              <w:r w:rsidRPr="00FA0AFF">
                                <w:rPr>
                                  <w:rFonts w:ascii="Segoe UI Light" w:eastAsia="Verdana" w:hAnsi="Segoe UI Light"/>
                                  <w:b/>
                                  <w:bCs/>
                                  <w:color w:val="FFFFFF" w:themeColor="background1"/>
                                  <w:sz w:val="20"/>
                                  <w:szCs w:val="20"/>
                                </w:rPr>
                                <w:t>Problem</w:t>
                              </w:r>
                              <w:r w:rsidRPr="00FA0AFF">
                                <w:rPr>
                                  <w:rFonts w:ascii="Segoe UI Light" w:eastAsia="Verdana" w:hAnsi="Segoe UI Light"/>
                                  <w:b/>
                                  <w:bCs/>
                                  <w:color w:val="FFFFFF" w:themeColor="background1"/>
                                  <w:sz w:val="20"/>
                                  <w:szCs w:val="20"/>
                                  <w:u w:val="single"/>
                                </w:rPr>
                                <w:t xml:space="preserve"> which is</w:t>
                              </w:r>
                              <w:r>
                                <w:rPr>
                                  <w:rFonts w:ascii="Segoe UI Light" w:eastAsia="Verdana" w:hAnsi="Segoe UI Light"/>
                                  <w:b/>
                                  <w:bCs/>
                                  <w:color w:val="FFFFFF" w:themeColor="background1"/>
                                  <w:sz w:val="20"/>
                                  <w:szCs w:val="20"/>
                                  <w:u w:val="single"/>
                                </w:rPr>
                                <w:t xml:space="preserve">  </w:t>
                              </w:r>
                              <w:r w:rsidRPr="00FA0AFF">
                                <w:rPr>
                                  <w:rFonts w:ascii="Segoe UI Light" w:eastAsia="Verdana" w:hAnsi="Segoe UI Light"/>
                                  <w:b/>
                                  <w:bCs/>
                                  <w:color w:val="FFFFFF" w:themeColor="background1"/>
                                  <w:sz w:val="20"/>
                                  <w:szCs w:val="20"/>
                                  <w:u w:val="single"/>
                                </w:rPr>
                                <w:t>the focus of this RIS</w:t>
                              </w:r>
                              <w:r w:rsidRPr="00FA0AFF">
                                <w:rPr>
                                  <w:rFonts w:ascii="Segoe UI Light" w:eastAsia="Verdana" w:hAnsi="Segoe UI Light"/>
                                  <w:b/>
                                  <w:bCs/>
                                  <w:color w:val="FFFFFF" w:themeColor="background1"/>
                                  <w:sz w:val="20"/>
                                  <w:szCs w:val="20"/>
                                </w:rPr>
                                <w:t xml:space="preserve">: </w:t>
                              </w:r>
                            </w:p>
                            <w:p w14:paraId="656B21B5" w14:textId="77777777" w:rsidR="00E752DE" w:rsidRDefault="00E752DE" w:rsidP="00A25A1E">
                              <w:pPr>
                                <w:pStyle w:val="NormalWeb"/>
                                <w:spacing w:line="240" w:lineRule="exact"/>
                              </w:pPr>
                              <w:r>
                                <w:rPr>
                                  <w:rFonts w:ascii="Segoe UI Light" w:eastAsia="Verdana" w:hAnsi="Segoe UI Light"/>
                                  <w:color w:val="FFFFFF"/>
                                  <w:sz w:val="20"/>
                                  <w:szCs w:val="20"/>
                                </w:rPr>
                                <w:t xml:space="preserve">Some residual risks of harm to human health and the environment will continue despite the presence of other controls and standards (including the new EP legislation). </w:t>
                              </w:r>
                            </w:p>
                          </w:txbxContent>
                        </wps:txbx>
                        <wps:bodyPr rot="0" spcFirstLastPara="0" vert="horz" wrap="square" lIns="0" tIns="0" rIns="0" bIns="0" numCol="1" spcCol="0" rtlCol="0" fromWordArt="0" anchor="t" anchorCtr="0" forceAA="0" compatLnSpc="1">
                          <a:prstTxWarp prst="textNoShape">
                            <a:avLst/>
                          </a:prstTxWarp>
                          <a:spAutoFit/>
                        </wps:bodyPr>
                      </wps:wsp>
                      <wps:wsp>
                        <wps:cNvPr id="27" name="Text Box 1048826373"/>
                        <wps:cNvSpPr txBox="1"/>
                        <wps:spPr>
                          <a:xfrm>
                            <a:off x="299902" y="911679"/>
                            <a:ext cx="995680" cy="1835150"/>
                          </a:xfrm>
                          <a:prstGeom prst="rect">
                            <a:avLst/>
                          </a:prstGeom>
                          <a:noFill/>
                          <a:ln w="6350">
                            <a:noFill/>
                          </a:ln>
                        </wps:spPr>
                        <wps:txbx>
                          <w:txbxContent>
                            <w:p w14:paraId="656B21B6" w14:textId="77777777" w:rsidR="00E752DE" w:rsidRDefault="00E752DE" w:rsidP="00A25A1E">
                              <w:pPr>
                                <w:pStyle w:val="NormalWeb"/>
                                <w:spacing w:line="240" w:lineRule="exact"/>
                              </w:pPr>
                              <w:r>
                                <w:rPr>
                                  <w:rFonts w:ascii="Segoe UI Light" w:eastAsia="Verdana" w:hAnsi="Segoe UI Light"/>
                                  <w:b/>
                                  <w:bCs/>
                                  <w:color w:val="FFFFFF"/>
                                  <w:sz w:val="20"/>
                                  <w:szCs w:val="20"/>
                                </w:rPr>
                                <w:t xml:space="preserve">Overarching </w:t>
                              </w:r>
                              <w:r w:rsidRPr="00FA0AFF">
                                <w:rPr>
                                  <w:rFonts w:ascii="Segoe UI Light" w:eastAsia="Verdana" w:hAnsi="Segoe UI Light"/>
                                  <w:b/>
                                  <w:bCs/>
                                  <w:color w:val="FFFFFF" w:themeColor="background1"/>
                                  <w:sz w:val="20"/>
                                  <w:szCs w:val="20"/>
                                </w:rPr>
                                <w:t>problem</w:t>
                              </w:r>
                              <w:r w:rsidRPr="00FA0AFF">
                                <w:rPr>
                                  <w:rFonts w:ascii="Segoe UI Light" w:eastAsia="Verdana" w:hAnsi="Segoe UI Light"/>
                                  <w:b/>
                                  <w:bCs/>
                                  <w:color w:val="FFFFFF" w:themeColor="background1"/>
                                  <w:sz w:val="20"/>
                                  <w:szCs w:val="20"/>
                                  <w:u w:val="single"/>
                                </w:rPr>
                                <w:t>, which the new EP legislation responds to</w:t>
                              </w:r>
                              <w:r>
                                <w:rPr>
                                  <w:rFonts w:ascii="Segoe UI Light" w:eastAsia="Verdana" w:hAnsi="Segoe UI Light"/>
                                  <w:b/>
                                  <w:bCs/>
                                  <w:color w:val="FFFFFF"/>
                                  <w:sz w:val="20"/>
                                  <w:szCs w:val="20"/>
                                </w:rPr>
                                <w:t xml:space="preserve">: </w:t>
                              </w:r>
                            </w:p>
                            <w:p w14:paraId="656B21B7" w14:textId="77777777" w:rsidR="00E752DE" w:rsidRDefault="00E752DE" w:rsidP="00A25A1E">
                              <w:pPr>
                                <w:pStyle w:val="NormalWeb"/>
                                <w:spacing w:line="240" w:lineRule="exact"/>
                              </w:pPr>
                              <w:r>
                                <w:rPr>
                                  <w:rFonts w:ascii="Segoe UI Light" w:eastAsia="Verdana" w:hAnsi="Segoe UI Light"/>
                                  <w:color w:val="FFFFFF"/>
                                  <w:sz w:val="20"/>
                                  <w:szCs w:val="20"/>
                                </w:rPr>
                                <w:t xml:space="preserve">Risks of harm to human health and the environment caused by pollution and waste </w:t>
                              </w:r>
                            </w:p>
                          </w:txbxContent>
                        </wps:txbx>
                        <wps:bodyPr rot="0" spcFirstLastPara="0" vert="horz" wrap="square" lIns="0" tIns="0" rIns="0" bIns="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656B1E6A" id="Canvas 662474189" o:spid="_x0000_s1042" editas="canvas" style="position:absolute;margin-left:18pt;margin-top:40.55pt;width:301.05pt;height:285.55pt;z-index:251658263;mso-position-horizontal-relative:margin;mso-position-vertical-relative:text" coordsize="38233,3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">
                <v:shape id="_x0000_s1043" type="#_x0000_t75" style="position:absolute;width:38233;height:36264;visibility:visible;mso-wrap-style:square">
                  <v:fill o:detectmouseclick="t"/>
                  <v:path o:connecttype="none"/>
                </v:shape>
                <v:oval id="Oval 5" o:spid="_x0000_s1044" style="position:absolute;left:63;top:63;width:35909;height:3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" fillcolor="#618918" strokeweight="0"/>
                <v:oval id="Oval 6" o:spid="_x0000_s1045" style="position:absolute;left:63;top:63;width:35909;height:3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" filled="f" strokecolor="white" strokeweight="1.3pt"/>
                <v:oval id="Oval 7" o:spid="_x0000_s1046" style="position:absolute;left:12401;top:6540;width:23451;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" fillcolor="#86bc25" strokeweight="0"/>
                <v:oval id="Oval 8" o:spid="_x0000_s1047" style="position:absolute;left:12401;top:6540;width:23451;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" filled="f" strokecolor="white" strokeweight="1.3pt"/>
                <v:rect id="Rectangle 18" o:spid="_x0000_s1048" style="position:absolute;left:23672;top:16109;width:604;height:24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656B21B2" w14:textId="77777777" w:rsidR="00E752DE" w:rsidRDefault="00E752DE" w:rsidP="00A25A1E"/>
                    </w:txbxContent>
                  </v:textbox>
                </v:rect>
                <v:rect id="Rectangle 20" o:spid="_x0000_s1049" style="position:absolute;left:19329;top:11430;width:603;height:9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" filled="f" stroked="f">
                  <v:textbox inset="0,0,0,0">
                    <w:txbxContent>
                      <w:p w14:paraId="656B21B3" w14:textId="77777777" w:rsidR="00E752DE" w:rsidRDefault="00E752DE" w:rsidP="00A25A1E"/>
                    </w:txbxContent>
                  </v:textbox>
                </v:rect>
                <v:shape id="Text Box 1797047370" o:spid="_x0000_s1050" type="#_x0000_t202" style="position:absolute;left:17148;top:9878;width:15894;height:1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" filled="f" stroked="f" strokeweight=".5pt">
                  <v:textbox style="mso-fit-shape-to-text:t" inset="0,0,0,0">
                    <w:txbxContent>
                      <w:p w14:paraId="656B21B4" w14:textId="77777777" w:rsidR="00E752DE" w:rsidRPr="000E7C5E" w:rsidRDefault="00E752DE" w:rsidP="00A25A1E">
                        <w:pPr>
                          <w:pStyle w:val="NormalWeb"/>
                          <w:spacing w:line="240" w:lineRule="exact"/>
                          <w:rPr>
                            <w:rFonts w:ascii="Segoe UI Light" w:eastAsia="Verdana" w:hAnsi="Segoe UI Light"/>
                            <w:b/>
                            <w:bCs/>
                            <w:color w:val="FFFFFF" w:themeColor="background1"/>
                            <w:sz w:val="20"/>
                            <w:szCs w:val="20"/>
                            <w:u w:val="single"/>
                          </w:rPr>
                        </w:pPr>
                        <w:r>
                          <w:rPr>
                            <w:rFonts w:ascii="Segoe UI Light" w:eastAsia="Verdana" w:hAnsi="Segoe UI Light"/>
                            <w:b/>
                            <w:bCs/>
                            <w:color w:val="FFFFFF"/>
                            <w:sz w:val="20"/>
                            <w:szCs w:val="20"/>
                          </w:rPr>
                          <w:t xml:space="preserve">Residual </w:t>
                        </w:r>
                        <w:r w:rsidRPr="00FA0AFF">
                          <w:rPr>
                            <w:rFonts w:ascii="Segoe UI Light" w:eastAsia="Verdana" w:hAnsi="Segoe UI Light"/>
                            <w:b/>
                            <w:bCs/>
                            <w:color w:val="FFFFFF" w:themeColor="background1"/>
                            <w:sz w:val="20"/>
                            <w:szCs w:val="20"/>
                          </w:rPr>
                          <w:t>Problem</w:t>
                        </w:r>
                        <w:r w:rsidRPr="00FA0AFF">
                          <w:rPr>
                            <w:rFonts w:ascii="Segoe UI Light" w:eastAsia="Verdana" w:hAnsi="Segoe UI Light"/>
                            <w:b/>
                            <w:bCs/>
                            <w:color w:val="FFFFFF" w:themeColor="background1"/>
                            <w:sz w:val="20"/>
                            <w:szCs w:val="20"/>
                            <w:u w:val="single"/>
                          </w:rPr>
                          <w:t xml:space="preserve"> which is</w:t>
                        </w:r>
                        <w:r>
                          <w:rPr>
                            <w:rFonts w:ascii="Segoe UI Light" w:eastAsia="Verdana" w:hAnsi="Segoe UI Light"/>
                            <w:b/>
                            <w:bCs/>
                            <w:color w:val="FFFFFF" w:themeColor="background1"/>
                            <w:sz w:val="20"/>
                            <w:szCs w:val="20"/>
                            <w:u w:val="single"/>
                          </w:rPr>
                          <w:t xml:space="preserve">  </w:t>
                        </w:r>
                        <w:r w:rsidRPr="00FA0AFF">
                          <w:rPr>
                            <w:rFonts w:ascii="Segoe UI Light" w:eastAsia="Verdana" w:hAnsi="Segoe UI Light"/>
                            <w:b/>
                            <w:bCs/>
                            <w:color w:val="FFFFFF" w:themeColor="background1"/>
                            <w:sz w:val="20"/>
                            <w:szCs w:val="20"/>
                            <w:u w:val="single"/>
                          </w:rPr>
                          <w:t>the focus of this RIS</w:t>
                        </w:r>
                        <w:r w:rsidRPr="00FA0AFF">
                          <w:rPr>
                            <w:rFonts w:ascii="Segoe UI Light" w:eastAsia="Verdana" w:hAnsi="Segoe UI Light"/>
                            <w:b/>
                            <w:bCs/>
                            <w:color w:val="FFFFFF" w:themeColor="background1"/>
                            <w:sz w:val="20"/>
                            <w:szCs w:val="20"/>
                          </w:rPr>
                          <w:t xml:space="preserve">: </w:t>
                        </w:r>
                      </w:p>
                      <w:p w14:paraId="656B21B5" w14:textId="77777777" w:rsidR="00E752DE" w:rsidRDefault="00E752DE" w:rsidP="00A25A1E">
                        <w:pPr>
                          <w:pStyle w:val="NormalWeb"/>
                          <w:spacing w:line="240" w:lineRule="exact"/>
                        </w:pPr>
                        <w:r>
                          <w:rPr>
                            <w:rFonts w:ascii="Segoe UI Light" w:eastAsia="Verdana" w:hAnsi="Segoe UI Light"/>
                            <w:color w:val="FFFFFF"/>
                            <w:sz w:val="20"/>
                            <w:szCs w:val="20"/>
                          </w:rPr>
                          <w:t xml:space="preserve">Some residual risks of harm to human health and the environment will continue despite the presence of other controls and standards (including the new EP legislation). </w:t>
                        </w:r>
                      </w:p>
                    </w:txbxContent>
                  </v:textbox>
                </v:shape>
                <v:shape id="Text Box 1048826373" o:spid="_x0000_s1051" type="#_x0000_t202" style="position:absolute;left:2999;top:9116;width:9956;height:1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" filled="f" stroked="f" strokeweight=".5pt">
                  <v:textbox style="mso-fit-shape-to-text:t" inset="0,0,0,0">
                    <w:txbxContent>
                      <w:p w14:paraId="656B21B6" w14:textId="77777777" w:rsidR="00E752DE" w:rsidRDefault="00E752DE" w:rsidP="00A25A1E">
                        <w:pPr>
                          <w:pStyle w:val="NormalWeb"/>
                          <w:spacing w:line="240" w:lineRule="exact"/>
                        </w:pPr>
                        <w:r>
                          <w:rPr>
                            <w:rFonts w:ascii="Segoe UI Light" w:eastAsia="Verdana" w:hAnsi="Segoe UI Light"/>
                            <w:b/>
                            <w:bCs/>
                            <w:color w:val="FFFFFF"/>
                            <w:sz w:val="20"/>
                            <w:szCs w:val="20"/>
                          </w:rPr>
                          <w:t xml:space="preserve">Overarching </w:t>
                        </w:r>
                        <w:r w:rsidRPr="00FA0AFF">
                          <w:rPr>
                            <w:rFonts w:ascii="Segoe UI Light" w:eastAsia="Verdana" w:hAnsi="Segoe UI Light"/>
                            <w:b/>
                            <w:bCs/>
                            <w:color w:val="FFFFFF" w:themeColor="background1"/>
                            <w:sz w:val="20"/>
                            <w:szCs w:val="20"/>
                          </w:rPr>
                          <w:t>problem</w:t>
                        </w:r>
                        <w:r w:rsidRPr="00FA0AFF">
                          <w:rPr>
                            <w:rFonts w:ascii="Segoe UI Light" w:eastAsia="Verdana" w:hAnsi="Segoe UI Light"/>
                            <w:b/>
                            <w:bCs/>
                            <w:color w:val="FFFFFF" w:themeColor="background1"/>
                            <w:sz w:val="20"/>
                            <w:szCs w:val="20"/>
                            <w:u w:val="single"/>
                          </w:rPr>
                          <w:t>, which the new EP legislation responds to</w:t>
                        </w:r>
                        <w:r>
                          <w:rPr>
                            <w:rFonts w:ascii="Segoe UI Light" w:eastAsia="Verdana" w:hAnsi="Segoe UI Light"/>
                            <w:b/>
                            <w:bCs/>
                            <w:color w:val="FFFFFF"/>
                            <w:sz w:val="20"/>
                            <w:szCs w:val="20"/>
                          </w:rPr>
                          <w:t xml:space="preserve">: </w:t>
                        </w:r>
                      </w:p>
                      <w:p w14:paraId="656B21B7" w14:textId="77777777" w:rsidR="00E752DE" w:rsidRDefault="00E752DE" w:rsidP="00A25A1E">
                        <w:pPr>
                          <w:pStyle w:val="NormalWeb"/>
                          <w:spacing w:line="240" w:lineRule="exact"/>
                        </w:pPr>
                        <w:r>
                          <w:rPr>
                            <w:rFonts w:ascii="Segoe UI Light" w:eastAsia="Verdana" w:hAnsi="Segoe UI Light"/>
                            <w:color w:val="FFFFFF"/>
                            <w:sz w:val="20"/>
                            <w:szCs w:val="20"/>
                          </w:rPr>
                          <w:t xml:space="preserve">Risks of harm to human health and the environment caused by pollution and waste </w:t>
                        </w:r>
                      </w:p>
                    </w:txbxContent>
                  </v:textbox>
                </v:shape>
                <w10:wrap type="topAndBottom" anchorx="margin"/>
              </v:group>
            </w:pict>
          </mc:Fallback>
        </mc:AlternateContent>
      </w:r>
      <w:r w:rsidR="00602F7B">
        <w:rPr>
          <w:noProof/>
          <w:color w:val="2B579A"/>
          <w:shd w:val="clear" w:color="auto" w:fill="E6E6E6"/>
          <w:lang w:eastAsia="en-AU"/>
        </w:rPr>
        <mc:AlternateContent>
          <mc:Choice Requires="wps">
            <w:drawing>
              <wp:anchor distT="0" distB="0" distL="114300" distR="114300" simplePos="0" relativeHeight="251658266" behindDoc="0" locked="0" layoutInCell="1" allowOverlap="1" wp14:anchorId="656B1E6C" wp14:editId="656B1E6D">
                <wp:simplePos x="0" y="0"/>
                <wp:positionH relativeFrom="column">
                  <wp:posOffset>-33020</wp:posOffset>
                </wp:positionH>
                <wp:positionV relativeFrom="paragraph">
                  <wp:posOffset>8255</wp:posOffset>
                </wp:positionV>
                <wp:extent cx="3823335" cy="457200"/>
                <wp:effectExtent l="0" t="0" r="0" b="0"/>
                <wp:wrapNone/>
                <wp:docPr id="1797047636" name="Text Box 1797047636"/>
                <wp:cNvGraphicFramePr/>
                <a:graphic xmlns:a="http://schemas.openxmlformats.org/drawingml/2006/main">
                  <a:graphicData uri="http://schemas.microsoft.com/office/word/2010/wordprocessingShape">
                    <wps:wsp>
                      <wps:cNvSpPr txBox="1"/>
                      <wps:spPr>
                        <a:xfrm>
                          <a:off x="0" y="0"/>
                          <a:ext cx="3823335" cy="457200"/>
                        </a:xfrm>
                        <a:prstGeom prst="rect">
                          <a:avLst/>
                        </a:prstGeom>
                        <a:solidFill>
                          <a:prstClr val="white"/>
                        </a:solidFill>
                        <a:ln>
                          <a:noFill/>
                        </a:ln>
                      </wps:spPr>
                      <wps:txbx>
                        <w:txbxContent>
                          <w:p w14:paraId="656B21B8" w14:textId="77777777" w:rsidR="00E752DE" w:rsidRPr="00272A24" w:rsidRDefault="00E752DE" w:rsidP="00602F7B">
                            <w:pPr>
                              <w:pStyle w:val="Caption"/>
                            </w:pPr>
                            <w:r>
                              <w:t xml:space="preserve">Figure </w:t>
                            </w:r>
                            <w:r>
                              <w:rPr>
                                <w:color w:val="2B579A"/>
                                <w:shd w:val="clear" w:color="auto" w:fill="E6E6E6"/>
                              </w:rPr>
                              <w:fldChar w:fldCharType="begin"/>
                            </w:r>
                            <w:r>
                              <w:instrText xml:space="preserve"> STYLEREF 1 \s </w:instrText>
                            </w:r>
                            <w:r>
                              <w:rPr>
                                <w:color w:val="2B579A"/>
                                <w:shd w:val="clear" w:color="auto" w:fill="E6E6E6"/>
                              </w:rPr>
                              <w:fldChar w:fldCharType="separate"/>
                            </w:r>
                            <w:r>
                              <w:rPr>
                                <w:noProof/>
                              </w:rPr>
                              <w:t>3</w:t>
                            </w:r>
                            <w:r>
                              <w:rPr>
                                <w:color w:val="2B579A"/>
                                <w:shd w:val="clear" w:color="auto" w:fill="E6E6E6"/>
                              </w:rPr>
                              <w:fldChar w:fldCharType="end"/>
                            </w:r>
                            <w:r>
                              <w:noBreakHyphen/>
                            </w:r>
                            <w:r>
                              <w:rPr>
                                <w:color w:val="2B579A"/>
                                <w:shd w:val="clear" w:color="auto" w:fill="E6E6E6"/>
                              </w:rPr>
                              <w:fldChar w:fldCharType="begin"/>
                            </w:r>
                            <w:r>
                              <w:instrText xml:space="preserve"> SEQ Figure \* ARABIC \s 1 </w:instrText>
                            </w:r>
                            <w:r>
                              <w:rPr>
                                <w:color w:val="2B579A"/>
                                <w:shd w:val="clear" w:color="auto" w:fill="E6E6E6"/>
                              </w:rPr>
                              <w:fldChar w:fldCharType="separate"/>
                            </w:r>
                            <w:r>
                              <w:rPr>
                                <w:noProof/>
                              </w:rPr>
                              <w:t>1</w:t>
                            </w:r>
                            <w:r>
                              <w:rPr>
                                <w:color w:val="2B579A"/>
                                <w:shd w:val="clear" w:color="auto" w:fill="E6E6E6"/>
                              </w:rPr>
                              <w:fldChar w:fldCharType="end"/>
                            </w:r>
                            <w:r w:rsidRPr="00602F7B">
                              <w:t xml:space="preserve"> </w:t>
                            </w:r>
                            <w:r w:rsidRPr="00827D05">
                              <w:t>The overarching and specific problems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6B1E6C" id="Text Box 1797047636" o:spid="_x0000_s1052" type="#_x0000_t202" style="position:absolute;margin-left:-2.6pt;margin-top:.65pt;width:301.05pt;height:36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" stroked="f">
                <v:textbox inset="0,0,0,0">
                  <w:txbxContent>
                    <w:p w14:paraId="656B21B8" w14:textId="77777777" w:rsidR="00E752DE" w:rsidRPr="00272A24" w:rsidRDefault="00E752DE" w:rsidP="00602F7B">
                      <w:pPr>
                        <w:pStyle w:val="Caption"/>
                      </w:pPr>
                      <w:r>
                        <w:t xml:space="preserve">Figure </w:t>
                      </w:r>
                      <w:r>
                        <w:rPr>
                          <w:color w:val="2B579A"/>
                          <w:shd w:val="clear" w:color="auto" w:fill="E6E6E6"/>
                        </w:rPr>
                        <w:fldChar w:fldCharType="begin"/>
                      </w:r>
                      <w:r>
                        <w:instrText xml:space="preserve"> STYLEREF 1 \s </w:instrText>
                      </w:r>
                      <w:r>
                        <w:rPr>
                          <w:color w:val="2B579A"/>
                          <w:shd w:val="clear" w:color="auto" w:fill="E6E6E6"/>
                        </w:rPr>
                        <w:fldChar w:fldCharType="separate"/>
                      </w:r>
                      <w:r>
                        <w:rPr>
                          <w:noProof/>
                        </w:rPr>
                        <w:t>3</w:t>
                      </w:r>
                      <w:r>
                        <w:rPr>
                          <w:color w:val="2B579A"/>
                          <w:shd w:val="clear" w:color="auto" w:fill="E6E6E6"/>
                        </w:rPr>
                        <w:fldChar w:fldCharType="end"/>
                      </w:r>
                      <w:r>
                        <w:noBreakHyphen/>
                      </w:r>
                      <w:r>
                        <w:rPr>
                          <w:color w:val="2B579A"/>
                          <w:shd w:val="clear" w:color="auto" w:fill="E6E6E6"/>
                        </w:rPr>
                        <w:fldChar w:fldCharType="begin"/>
                      </w:r>
                      <w:r>
                        <w:instrText xml:space="preserve"> SEQ Figure \* ARABIC \s 1 </w:instrText>
                      </w:r>
                      <w:r>
                        <w:rPr>
                          <w:color w:val="2B579A"/>
                          <w:shd w:val="clear" w:color="auto" w:fill="E6E6E6"/>
                        </w:rPr>
                        <w:fldChar w:fldCharType="separate"/>
                      </w:r>
                      <w:r>
                        <w:rPr>
                          <w:noProof/>
                        </w:rPr>
                        <w:t>1</w:t>
                      </w:r>
                      <w:r>
                        <w:rPr>
                          <w:color w:val="2B579A"/>
                          <w:shd w:val="clear" w:color="auto" w:fill="E6E6E6"/>
                        </w:rPr>
                        <w:fldChar w:fldCharType="end"/>
                      </w:r>
                      <w:r w:rsidRPr="00602F7B">
                        <w:t xml:space="preserve"> </w:t>
                      </w:r>
                      <w:r w:rsidRPr="00827D05">
                        <w:t>The overarching and specific problems</w:t>
                      </w:r>
                    </w:p>
                  </w:txbxContent>
                </v:textbox>
              </v:shape>
            </w:pict>
          </mc:Fallback>
        </mc:AlternateContent>
      </w:r>
      <w:r w:rsidR="00A25A1E" w:rsidRPr="00827D05">
        <w:rPr>
          <w:rFonts w:cs="Segoe UI Light"/>
          <w:noProof/>
          <w:color w:val="2B579A"/>
          <w:shd w:val="clear" w:color="auto" w:fill="E6E6E6"/>
          <w:lang w:eastAsia="en-AU"/>
        </w:rPr>
        <mc:AlternateContent>
          <mc:Choice Requires="wpc">
            <w:drawing>
              <wp:anchor distT="0" distB="0" distL="114300" distR="114300" simplePos="0" relativeHeight="251658260" behindDoc="0" locked="0" layoutInCell="1" allowOverlap="1" wp14:anchorId="656B1E6E" wp14:editId="656B1E6F">
                <wp:simplePos x="0" y="0"/>
                <wp:positionH relativeFrom="column">
                  <wp:posOffset>5715</wp:posOffset>
                </wp:positionH>
                <wp:positionV relativeFrom="paragraph">
                  <wp:posOffset>257175</wp:posOffset>
                </wp:positionV>
                <wp:extent cx="3823335" cy="3626485"/>
                <wp:effectExtent l="0" t="0" r="0" b="0"/>
                <wp:wrapTopAndBottom/>
                <wp:docPr id="662474194" name="Canvas 6624741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65245735" name="Oval 6"/>
                        <wps:cNvSpPr>
                          <a:spLocks noChangeArrowheads="1"/>
                        </wps:cNvSpPr>
                        <wps:spPr bwMode="auto">
                          <a:xfrm>
                            <a:off x="6350" y="6350"/>
                            <a:ext cx="3590925" cy="3590925"/>
                          </a:xfrm>
                          <a:prstGeom prst="ellipse">
                            <a:avLst/>
                          </a:prstGeom>
                          <a:noFill/>
                          <a:ln w="1651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245736" name="Oval 7"/>
                        <wps:cNvSpPr>
                          <a:spLocks noChangeArrowheads="1"/>
                        </wps:cNvSpPr>
                        <wps:spPr bwMode="auto">
                          <a:xfrm>
                            <a:off x="1240155" y="654050"/>
                            <a:ext cx="2345055" cy="2295525"/>
                          </a:xfrm>
                          <a:prstGeom prst="ellipse">
                            <a:avLst/>
                          </a:prstGeom>
                          <a:solidFill>
                            <a:srgbClr val="86BC25"/>
                          </a:solidFill>
                          <a:ln w="0">
                            <a:solidFill>
                              <a:srgbClr val="000000"/>
                            </a:solidFill>
                            <a:prstDash val="solid"/>
                            <a:round/>
                            <a:headEnd/>
                            <a:tailEnd/>
                          </a:ln>
                        </wps:spPr>
                        <wps:bodyPr rot="0" vert="horz" wrap="square" lIns="91440" tIns="45720" rIns="91440" bIns="45720" anchor="t" anchorCtr="0" upright="1">
                          <a:noAutofit/>
                        </wps:bodyPr>
                      </wps:wsp>
                      <wps:wsp>
                        <wps:cNvPr id="1565245737" name="Oval 8"/>
                        <wps:cNvSpPr>
                          <a:spLocks noChangeArrowheads="1"/>
                        </wps:cNvSpPr>
                        <wps:spPr bwMode="auto">
                          <a:xfrm>
                            <a:off x="1240155" y="654050"/>
                            <a:ext cx="2345055" cy="2295525"/>
                          </a:xfrm>
                          <a:prstGeom prst="ellipse">
                            <a:avLst/>
                          </a:prstGeom>
                          <a:noFill/>
                          <a:ln w="1651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245738" name="Rectangle 18"/>
                        <wps:cNvSpPr>
                          <a:spLocks noChangeArrowheads="1"/>
                        </wps:cNvSpPr>
                        <wps:spPr bwMode="auto">
                          <a:xfrm>
                            <a:off x="2367280" y="1610995"/>
                            <a:ext cx="6032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B21B9" w14:textId="77777777" w:rsidR="00E752DE" w:rsidRDefault="00E752DE" w:rsidP="00A25A1E"/>
                          </w:txbxContent>
                        </wps:txbx>
                        <wps:bodyPr rot="0" vert="horz" wrap="none" lIns="0" tIns="0" rIns="0" bIns="0" anchor="t" anchorCtr="0">
                          <a:spAutoFit/>
                        </wps:bodyPr>
                      </wps:wsp>
                      <wps:wsp>
                        <wps:cNvPr id="1565245739" name="Rectangle 20"/>
                        <wps:cNvSpPr>
                          <a:spLocks noChangeArrowheads="1"/>
                        </wps:cNvSpPr>
                        <wps:spPr bwMode="auto">
                          <a:xfrm>
                            <a:off x="1932940" y="1143000"/>
                            <a:ext cx="6032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B21BA" w14:textId="77777777" w:rsidR="00E752DE" w:rsidRDefault="00E752DE" w:rsidP="00A25A1E"/>
                          </w:txbxContent>
                        </wps:txbx>
                        <wps:bodyPr rot="0" vert="horz" wrap="none" lIns="0" tIns="0" rIns="0" bIns="0" anchor="t" anchorCtr="0">
                          <a:noAutofit/>
                        </wps:bodyPr>
                      </wps:wsp>
                      <wps:wsp>
                        <wps:cNvPr id="1565245756" name="Text Box 1565245756"/>
                        <wps:cNvSpPr txBox="1"/>
                        <wps:spPr>
                          <a:xfrm>
                            <a:off x="1636311" y="1115579"/>
                            <a:ext cx="1589405" cy="1510030"/>
                          </a:xfrm>
                          <a:prstGeom prst="rect">
                            <a:avLst/>
                          </a:prstGeom>
                          <a:noFill/>
                          <a:ln w="6350">
                            <a:noFill/>
                          </a:ln>
                        </wps:spPr>
                        <wps:txbx>
                          <w:txbxContent>
                            <w:p w14:paraId="656B21BB" w14:textId="77777777" w:rsidR="00E752DE" w:rsidRPr="005B5CD1" w:rsidRDefault="00E752DE" w:rsidP="00A25A1E">
                              <w:pPr>
                                <w:rPr>
                                  <w:b/>
                                  <w:color w:val="FFFFFF" w:themeColor="background1"/>
                                </w:rPr>
                              </w:pPr>
                              <w:r>
                                <w:rPr>
                                  <w:b/>
                                  <w:color w:val="FFFFFF" w:themeColor="background1"/>
                                </w:rPr>
                                <w:t>Residual</w:t>
                              </w:r>
                              <w:r w:rsidRPr="005B5CD1">
                                <w:rPr>
                                  <w:b/>
                                  <w:color w:val="FFFFFF" w:themeColor="background1"/>
                                </w:rPr>
                                <w:t xml:space="preserve"> Problem: </w:t>
                              </w:r>
                            </w:p>
                            <w:p w14:paraId="656B21BC" w14:textId="77777777" w:rsidR="00E752DE" w:rsidRPr="005B5CD1" w:rsidRDefault="00E752DE" w:rsidP="00A25A1E">
                              <w:pPr>
                                <w:rPr>
                                  <w:color w:val="FFFFFF" w:themeColor="background1"/>
                                </w:rPr>
                              </w:pPr>
                              <w:r w:rsidRPr="005B5CD1">
                                <w:rPr>
                                  <w:color w:val="FFFFFF" w:themeColor="background1"/>
                                </w:rPr>
                                <w:t xml:space="preserve">Some residual harms to human health and the environment </w:t>
                              </w:r>
                              <w:r>
                                <w:rPr>
                                  <w:color w:val="FFFFFF" w:themeColor="background1"/>
                                </w:rPr>
                                <w:t xml:space="preserve">will </w:t>
                              </w:r>
                              <w:r w:rsidRPr="005B5CD1">
                                <w:rPr>
                                  <w:color w:val="FFFFFF" w:themeColor="background1"/>
                                </w:rPr>
                                <w:t xml:space="preserve">continue after other controls and standards </w:t>
                              </w:r>
                              <w:r>
                                <w:rPr>
                                  <w:color w:val="FFFFFF" w:themeColor="background1"/>
                                </w:rPr>
                                <w:t xml:space="preserve">(including the new EP legislation) </w:t>
                              </w:r>
                              <w:r w:rsidRPr="005B5CD1">
                                <w:rPr>
                                  <w:color w:val="FFFFFF" w:themeColor="background1"/>
                                </w:rPr>
                                <w:t xml:space="preserve">have taken effect.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656B1E6E" id="Canvas 662474194" o:spid="_x0000_s1053" editas="canvas" style="position:absolute;margin-left:.45pt;margin-top:20.25pt;width:301.05pt;height:285.55pt;z-index:251658260;mso-position-horizontal-relative:text;mso-position-vertical-relative:text" coordsize="38233,3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">
                <v:shape id="_x0000_s1054" type="#_x0000_t75" style="position:absolute;width:38233;height:36264;visibility:visible;mso-wrap-style:square">
                  <v:fill o:detectmouseclick="t"/>
                  <v:path o:connecttype="none"/>
                </v:shape>
                <v:oval id="Oval 6" o:spid="_x0000_s1055" style="position:absolute;left:63;top:63;width:35909;height:3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" filled="f" strokecolor="white" strokeweight="1.3pt"/>
                <v:oval id="Oval 7" o:spid="_x0000_s1056" style="position:absolute;left:12401;top:6540;width:23451;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" fillcolor="#86bc25" strokeweight="0"/>
                <v:oval id="Oval 8" o:spid="_x0000_s1057" style="position:absolute;left:12401;top:6540;width:23451;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" filled="f" strokecolor="white" strokeweight="1.3pt"/>
                <v:rect id="Rectangle 18" o:spid="_x0000_s1058" style="position:absolute;left:23672;top:16109;width:604;height:24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" filled="f" stroked="f">
                  <v:textbox style="mso-fit-shape-to-text:t" inset="0,0,0,0">
                    <w:txbxContent>
                      <w:p w14:paraId="656B21B9" w14:textId="77777777" w:rsidR="00E752DE" w:rsidRDefault="00E752DE" w:rsidP="00A25A1E"/>
                    </w:txbxContent>
                  </v:textbox>
                </v:rect>
                <v:rect id="Rectangle 20" o:spid="_x0000_s1059" style="position:absolute;left:19329;top:11430;width:603;height:9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" filled="f" stroked="f">
                  <v:textbox inset="0,0,0,0">
                    <w:txbxContent>
                      <w:p w14:paraId="656B21BA" w14:textId="77777777" w:rsidR="00E752DE" w:rsidRDefault="00E752DE" w:rsidP="00A25A1E"/>
                    </w:txbxContent>
                  </v:textbox>
                </v:rect>
                <v:shape id="Text Box 1565245756" o:spid="_x0000_s1060" type="#_x0000_t202" style="position:absolute;left:16363;top:11155;width:15894;height:1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" filled="f" stroked="f" strokeweight=".5pt">
                  <v:textbox style="mso-fit-shape-to-text:t" inset="0,0,0,0">
                    <w:txbxContent>
                      <w:p w14:paraId="656B21BB" w14:textId="77777777" w:rsidR="00E752DE" w:rsidRPr="005B5CD1" w:rsidRDefault="00E752DE" w:rsidP="00A25A1E">
                        <w:pPr>
                          <w:rPr>
                            <w:b/>
                            <w:color w:val="FFFFFF" w:themeColor="background1"/>
                          </w:rPr>
                        </w:pPr>
                        <w:r>
                          <w:rPr>
                            <w:b/>
                            <w:color w:val="FFFFFF" w:themeColor="background1"/>
                          </w:rPr>
                          <w:t>Residual</w:t>
                        </w:r>
                        <w:r w:rsidRPr="005B5CD1">
                          <w:rPr>
                            <w:b/>
                            <w:color w:val="FFFFFF" w:themeColor="background1"/>
                          </w:rPr>
                          <w:t xml:space="preserve"> Problem: </w:t>
                        </w:r>
                      </w:p>
                      <w:p w14:paraId="656B21BC" w14:textId="77777777" w:rsidR="00E752DE" w:rsidRPr="005B5CD1" w:rsidRDefault="00E752DE" w:rsidP="00A25A1E">
                        <w:pPr>
                          <w:rPr>
                            <w:color w:val="FFFFFF" w:themeColor="background1"/>
                          </w:rPr>
                        </w:pPr>
                        <w:r w:rsidRPr="005B5CD1">
                          <w:rPr>
                            <w:color w:val="FFFFFF" w:themeColor="background1"/>
                          </w:rPr>
                          <w:t xml:space="preserve">Some residual harms to human health and the environment </w:t>
                        </w:r>
                        <w:r>
                          <w:rPr>
                            <w:color w:val="FFFFFF" w:themeColor="background1"/>
                          </w:rPr>
                          <w:t xml:space="preserve">will </w:t>
                        </w:r>
                        <w:r w:rsidRPr="005B5CD1">
                          <w:rPr>
                            <w:color w:val="FFFFFF" w:themeColor="background1"/>
                          </w:rPr>
                          <w:t xml:space="preserve">continue after other controls and standards </w:t>
                        </w:r>
                        <w:r>
                          <w:rPr>
                            <w:color w:val="FFFFFF" w:themeColor="background1"/>
                          </w:rPr>
                          <w:t xml:space="preserve">(including the new EP legislation) </w:t>
                        </w:r>
                        <w:r w:rsidRPr="005B5CD1">
                          <w:rPr>
                            <w:color w:val="FFFFFF" w:themeColor="background1"/>
                          </w:rPr>
                          <w:t xml:space="preserve">have taken effect. </w:t>
                        </w:r>
                      </w:p>
                    </w:txbxContent>
                  </v:textbox>
                </v:shape>
                <w10:wrap type="topAndBottom"/>
              </v:group>
            </w:pict>
          </mc:Fallback>
        </mc:AlternateContent>
      </w:r>
      <w:r w:rsidR="00A25A1E" w:rsidRPr="00827D05">
        <w:t xml:space="preserve"> </w:t>
      </w:r>
      <w:r w:rsidR="00A25A1E" w:rsidRPr="00827D05">
        <w:rPr>
          <w:noProof/>
          <w:color w:val="2B579A"/>
          <w:shd w:val="clear" w:color="auto" w:fill="E6E6E6"/>
          <w:lang w:eastAsia="en-AU"/>
        </w:rPr>
        <mc:AlternateContent>
          <mc:Choice Requires="wps">
            <w:drawing>
              <wp:anchor distT="0" distB="0" distL="114300" distR="114300" simplePos="0" relativeHeight="251658262" behindDoc="0" locked="0" layoutInCell="1" allowOverlap="1" wp14:anchorId="656B1E70" wp14:editId="656B1E71">
                <wp:simplePos x="0" y="0"/>
                <wp:positionH relativeFrom="column">
                  <wp:posOffset>273338</wp:posOffset>
                </wp:positionH>
                <wp:positionV relativeFrom="paragraph">
                  <wp:posOffset>1247082</wp:posOffset>
                </wp:positionV>
                <wp:extent cx="996042" cy="1172210"/>
                <wp:effectExtent l="0" t="0" r="13970" b="0"/>
                <wp:wrapNone/>
                <wp:docPr id="662474187" name="Text Box 662474187"/>
                <wp:cNvGraphicFramePr/>
                <a:graphic xmlns:a="http://schemas.openxmlformats.org/drawingml/2006/main">
                  <a:graphicData uri="http://schemas.microsoft.com/office/word/2010/wordprocessingShape">
                    <wps:wsp>
                      <wps:cNvSpPr txBox="1"/>
                      <wps:spPr>
                        <a:xfrm>
                          <a:off x="0" y="0"/>
                          <a:ext cx="996042" cy="1172210"/>
                        </a:xfrm>
                        <a:prstGeom prst="rect">
                          <a:avLst/>
                        </a:prstGeom>
                        <a:noFill/>
                        <a:ln w="6350">
                          <a:noFill/>
                        </a:ln>
                      </wps:spPr>
                      <wps:txbx>
                        <w:txbxContent>
                          <w:p w14:paraId="656B21BD" w14:textId="77777777" w:rsidR="00E752DE" w:rsidRDefault="00E752DE" w:rsidP="00A25A1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6B1E70" id="Text Box 662474187" o:spid="_x0000_s1061" type="#_x0000_t202" style="position:absolute;margin-left:21.5pt;margin-top:98.2pt;width:78.45pt;height:92.3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" filled="f" stroked="f" strokeweight=".5pt">
                <v:textbox style="mso-fit-shape-to-text:t" inset="0,0,0,0">
                  <w:txbxContent>
                    <w:p w14:paraId="656B21BD" w14:textId="77777777" w:rsidR="00E752DE" w:rsidRDefault="00E752DE" w:rsidP="00A25A1E"/>
                  </w:txbxContent>
                </v:textbox>
              </v:shape>
            </w:pict>
          </mc:Fallback>
        </mc:AlternateContent>
      </w:r>
      <w:r w:rsidR="00A25A1E" w:rsidRPr="00827D05">
        <w:rPr>
          <w:noProof/>
          <w:color w:val="2B579A"/>
          <w:shd w:val="clear" w:color="auto" w:fill="E6E6E6"/>
          <w:lang w:eastAsia="en-AU"/>
        </w:rPr>
        <mc:AlternateContent>
          <mc:Choice Requires="wps">
            <w:drawing>
              <wp:anchor distT="0" distB="0" distL="114300" distR="114300" simplePos="0" relativeHeight="251658261" behindDoc="0" locked="0" layoutInCell="1" allowOverlap="1" wp14:anchorId="656B1E72" wp14:editId="656B1E73">
                <wp:simplePos x="0" y="0"/>
                <wp:positionH relativeFrom="column">
                  <wp:posOffset>273338</wp:posOffset>
                </wp:positionH>
                <wp:positionV relativeFrom="paragraph">
                  <wp:posOffset>1247082</wp:posOffset>
                </wp:positionV>
                <wp:extent cx="996042" cy="1172210"/>
                <wp:effectExtent l="0" t="0" r="13970" b="0"/>
                <wp:wrapNone/>
                <wp:docPr id="662474188" name="Text Box 662474188"/>
                <wp:cNvGraphicFramePr/>
                <a:graphic xmlns:a="http://schemas.openxmlformats.org/drawingml/2006/main">
                  <a:graphicData uri="http://schemas.microsoft.com/office/word/2010/wordprocessingShape">
                    <wps:wsp>
                      <wps:cNvSpPr txBox="1"/>
                      <wps:spPr>
                        <a:xfrm>
                          <a:off x="0" y="0"/>
                          <a:ext cx="996042" cy="1172210"/>
                        </a:xfrm>
                        <a:prstGeom prst="rect">
                          <a:avLst/>
                        </a:prstGeom>
                        <a:noFill/>
                        <a:ln w="6350">
                          <a:noFill/>
                        </a:ln>
                      </wps:spPr>
                      <wps:txbx>
                        <w:txbxContent>
                          <w:p w14:paraId="656B21BE" w14:textId="77777777" w:rsidR="00E752DE" w:rsidRPr="005B5CD1" w:rsidRDefault="00E752DE" w:rsidP="00A25A1E">
                            <w:pPr>
                              <w:rPr>
                                <w:b/>
                                <w:color w:val="FFFFFF" w:themeColor="background1"/>
                              </w:rPr>
                            </w:pPr>
                            <w:r>
                              <w:rPr>
                                <w:b/>
                                <w:color w:val="FFFFFF" w:themeColor="background1"/>
                              </w:rPr>
                              <w:t>Overarching problem</w:t>
                            </w:r>
                            <w:r w:rsidRPr="005B5CD1">
                              <w:rPr>
                                <w:b/>
                                <w:color w:val="FFFFFF" w:themeColor="background1"/>
                              </w:rPr>
                              <w:t xml:space="preserve">: </w:t>
                            </w:r>
                          </w:p>
                          <w:p w14:paraId="656B21BF" w14:textId="77777777" w:rsidR="00E752DE" w:rsidRPr="005B5CD1" w:rsidRDefault="00E752DE" w:rsidP="00A25A1E">
                            <w:pPr>
                              <w:rPr>
                                <w:color w:val="FFFFFF" w:themeColor="background1"/>
                              </w:rPr>
                            </w:pPr>
                            <w:r>
                              <w:rPr>
                                <w:color w:val="FFFFFF" w:themeColor="background1"/>
                              </w:rPr>
                              <w:t>Harms to human health and the environment caused by pollution and waste</w:t>
                            </w:r>
                            <w:r w:rsidRPr="005B5CD1">
                              <w:rPr>
                                <w:color w:val="FFFFFF" w:themeColor="background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6B1E72" id="Text Box 662474188" o:spid="_x0000_s1062" type="#_x0000_t202" style="position:absolute;margin-left:21.5pt;margin-top:98.2pt;width:78.45pt;height:92.3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" filled="f" stroked="f" strokeweight=".5pt">
                <v:textbox style="mso-fit-shape-to-text:t" inset="0,0,0,0">
                  <w:txbxContent>
                    <w:p w14:paraId="656B21BE" w14:textId="77777777" w:rsidR="00E752DE" w:rsidRPr="005B5CD1" w:rsidRDefault="00E752DE" w:rsidP="00A25A1E">
                      <w:pPr>
                        <w:rPr>
                          <w:b/>
                          <w:color w:val="FFFFFF" w:themeColor="background1"/>
                        </w:rPr>
                      </w:pPr>
                      <w:r>
                        <w:rPr>
                          <w:b/>
                          <w:color w:val="FFFFFF" w:themeColor="background1"/>
                        </w:rPr>
                        <w:t>Overarching problem</w:t>
                      </w:r>
                      <w:r w:rsidRPr="005B5CD1">
                        <w:rPr>
                          <w:b/>
                          <w:color w:val="FFFFFF" w:themeColor="background1"/>
                        </w:rPr>
                        <w:t xml:space="preserve">: </w:t>
                      </w:r>
                    </w:p>
                    <w:p w14:paraId="656B21BF" w14:textId="77777777" w:rsidR="00E752DE" w:rsidRPr="005B5CD1" w:rsidRDefault="00E752DE" w:rsidP="00A25A1E">
                      <w:pPr>
                        <w:rPr>
                          <w:color w:val="FFFFFF" w:themeColor="background1"/>
                        </w:rPr>
                      </w:pPr>
                      <w:r>
                        <w:rPr>
                          <w:color w:val="FFFFFF" w:themeColor="background1"/>
                        </w:rPr>
                        <w:t>Harms to human health and the environment caused by pollution and waste</w:t>
                      </w:r>
                      <w:r w:rsidRPr="005B5CD1">
                        <w:rPr>
                          <w:color w:val="FFFFFF" w:themeColor="background1"/>
                        </w:rPr>
                        <w:t xml:space="preserve"> </w:t>
                      </w:r>
                    </w:p>
                  </w:txbxContent>
                </v:textbox>
              </v:shape>
            </w:pict>
          </mc:Fallback>
        </mc:AlternateContent>
      </w:r>
    </w:p>
    <w:p w14:paraId="656AFEAF" w14:textId="77777777" w:rsidR="00A25A1E" w:rsidRPr="00827D05" w:rsidRDefault="00A25A1E" w:rsidP="00A25A1E">
      <w:pPr>
        <w:spacing w:after="0"/>
        <w:mirrorIndents/>
        <w:rPr>
          <w:rFonts w:cs="Segoe UI Light"/>
          <w:szCs w:val="22"/>
        </w:rPr>
      </w:pPr>
    </w:p>
    <w:p w14:paraId="656AFEB0" w14:textId="77777777" w:rsidR="00A25A1E" w:rsidRPr="00827D05" w:rsidRDefault="00A25A1E" w:rsidP="00A25A1E">
      <w:pPr>
        <w:mirrorIndents/>
        <w:rPr>
          <w:rFonts w:cs="Segoe UI Light"/>
          <w:szCs w:val="22"/>
        </w:rPr>
      </w:pPr>
      <w:r w:rsidRPr="00827D05">
        <w:rPr>
          <w:rFonts w:cs="Segoe UI Light"/>
          <w:szCs w:val="22"/>
        </w:rPr>
        <w:t xml:space="preserve">The approach to describing the nature and extent of the problem in this chapter has been separated </w:t>
      </w:r>
      <w:r>
        <w:rPr>
          <w:rFonts w:cs="Segoe UI Light"/>
          <w:szCs w:val="22"/>
        </w:rPr>
        <w:t xml:space="preserve">into </w:t>
      </w:r>
      <w:r w:rsidRPr="00827D05">
        <w:rPr>
          <w:rFonts w:cs="Segoe UI Light"/>
          <w:szCs w:val="22"/>
        </w:rPr>
        <w:t xml:space="preserve">two parts. Firstly, this chapter outlines the ‘overarching problem’ of harms caused by pollution and waste. Secondly, it outlines the specific (residual) problem that might still exist once the </w:t>
      </w:r>
      <w:r>
        <w:rPr>
          <w:rFonts w:cs="Segoe UI Light"/>
          <w:szCs w:val="22"/>
        </w:rPr>
        <w:t>new EP legislation</w:t>
      </w:r>
      <w:r w:rsidRPr="00827D05">
        <w:rPr>
          <w:rFonts w:cs="Segoe UI Light"/>
          <w:szCs w:val="22"/>
        </w:rPr>
        <w:t xml:space="preserve"> has taken effect</w:t>
      </w:r>
      <w:r>
        <w:rPr>
          <w:rFonts w:cs="Segoe UI Light"/>
          <w:szCs w:val="22"/>
        </w:rPr>
        <w:t>,</w:t>
      </w:r>
      <w:r w:rsidRPr="00154AA5">
        <w:t xml:space="preserve"> </w:t>
      </w:r>
      <w:r>
        <w:t>and which is the subject of this RIS.</w:t>
      </w:r>
    </w:p>
    <w:p w14:paraId="656AFEB1" w14:textId="77777777" w:rsidR="00A25A1E" w:rsidRPr="00827D05" w:rsidRDefault="00A25A1E" w:rsidP="00982D63">
      <w:pPr>
        <w:pStyle w:val="Heading2"/>
      </w:pPr>
      <w:r w:rsidRPr="00827D05">
        <w:t>Overarching problem</w:t>
      </w:r>
    </w:p>
    <w:p w14:paraId="656AFEB2" w14:textId="77777777" w:rsidR="00A25A1E" w:rsidRPr="00827D05" w:rsidRDefault="00A25A1E" w:rsidP="00A25A1E">
      <w:pPr>
        <w:mirrorIndents/>
        <w:rPr>
          <w:rFonts w:cs="Segoe UI Light"/>
          <w:szCs w:val="20"/>
        </w:rPr>
      </w:pPr>
      <w:r w:rsidRPr="00827D05">
        <w:rPr>
          <w:rFonts w:cs="Segoe UI Light"/>
          <w:szCs w:val="20"/>
        </w:rPr>
        <w:t>The overarching probl</w:t>
      </w:r>
      <w:r>
        <w:rPr>
          <w:rFonts w:cs="Segoe UI Light"/>
          <w:szCs w:val="20"/>
        </w:rPr>
        <w:t>em driving the need for interven</w:t>
      </w:r>
      <w:r w:rsidRPr="00827D05">
        <w:rPr>
          <w:rFonts w:cs="Segoe UI Light"/>
          <w:szCs w:val="20"/>
        </w:rPr>
        <w:t>tion by the Victorian Government</w:t>
      </w:r>
      <w:r w:rsidRPr="00827D05">
        <w:rPr>
          <w:rFonts w:cs="Segoe UI Light"/>
          <w:szCs w:val="22"/>
        </w:rPr>
        <w:t xml:space="preserve"> is the risk</w:t>
      </w:r>
      <w:r w:rsidR="00DB4AE9">
        <w:rPr>
          <w:rFonts w:cs="Segoe UI Light"/>
          <w:szCs w:val="22"/>
        </w:rPr>
        <w:t>s</w:t>
      </w:r>
      <w:r w:rsidRPr="00827D05">
        <w:rPr>
          <w:rFonts w:cs="Segoe UI Light"/>
          <w:szCs w:val="22"/>
        </w:rPr>
        <w:t xml:space="preserve"> of harm to human health and the environment caused by pollution and waste. </w:t>
      </w:r>
    </w:p>
    <w:p w14:paraId="656AFEB3" w14:textId="77777777" w:rsidR="00A25A1E" w:rsidRPr="00827D05" w:rsidRDefault="00A25A1E" w:rsidP="00A25A1E">
      <w:pPr>
        <w:mirrorIndents/>
        <w:rPr>
          <w:rFonts w:cs="Segoe UI Light"/>
          <w:szCs w:val="20"/>
        </w:rPr>
      </w:pPr>
      <w:r w:rsidRPr="00827D05">
        <w:rPr>
          <w:rFonts w:cs="Segoe UI Light"/>
          <w:szCs w:val="20"/>
        </w:rPr>
        <w:t xml:space="preserve">DELWP and </w:t>
      </w:r>
      <w:r>
        <w:rPr>
          <w:rFonts w:cs="Segoe UI Light"/>
          <w:szCs w:val="20"/>
        </w:rPr>
        <w:t>EPA</w:t>
      </w:r>
      <w:r w:rsidRPr="00827D05">
        <w:rPr>
          <w:rFonts w:cs="Segoe UI Light"/>
          <w:szCs w:val="20"/>
        </w:rPr>
        <w:t xml:space="preserve"> have identified six specific risks and causes of harm, where behaviour is leading to poor outcomes. These have the potential to cause harm to the environment (air, land and water), which can also cause harm to human health. These are summarised in </w:t>
      </w:r>
      <w:r w:rsidR="00DB4AE9">
        <w:rPr>
          <w:rFonts w:cs="Segoe UI Light"/>
          <w:color w:val="2B579A"/>
          <w:szCs w:val="20"/>
          <w:shd w:val="clear" w:color="auto" w:fill="E6E6E6"/>
        </w:rPr>
        <w:fldChar w:fldCharType="begin"/>
      </w:r>
      <w:r w:rsidR="00DB4AE9">
        <w:rPr>
          <w:rFonts w:cs="Segoe UI Light"/>
          <w:szCs w:val="20"/>
        </w:rPr>
        <w:instrText xml:space="preserve"> REF _Ref7439681 \h </w:instrText>
      </w:r>
      <w:r w:rsidR="00DB4AE9">
        <w:rPr>
          <w:rFonts w:cs="Segoe UI Light"/>
          <w:color w:val="2B579A"/>
          <w:szCs w:val="20"/>
          <w:shd w:val="clear" w:color="auto" w:fill="E6E6E6"/>
        </w:rPr>
      </w:r>
      <w:r w:rsidR="00DB4AE9">
        <w:rPr>
          <w:rFonts w:cs="Segoe UI Light"/>
          <w:color w:val="2B579A"/>
          <w:szCs w:val="20"/>
          <w:shd w:val="clear" w:color="auto" w:fill="E6E6E6"/>
        </w:rPr>
        <w:fldChar w:fldCharType="separate"/>
      </w:r>
      <w:r w:rsidR="00B51904" w:rsidRPr="00827D05">
        <w:t xml:space="preserve">Table </w:t>
      </w:r>
      <w:r w:rsidR="00B51904">
        <w:rPr>
          <w:noProof/>
        </w:rPr>
        <w:t>3</w:t>
      </w:r>
      <w:r w:rsidR="00B51904">
        <w:noBreakHyphen/>
      </w:r>
      <w:r w:rsidR="00B51904">
        <w:rPr>
          <w:noProof/>
        </w:rPr>
        <w:t>1</w:t>
      </w:r>
      <w:r w:rsidR="00DB4AE9">
        <w:rPr>
          <w:rFonts w:cs="Segoe UI Light"/>
          <w:color w:val="2B579A"/>
          <w:szCs w:val="20"/>
          <w:shd w:val="clear" w:color="auto" w:fill="E6E6E6"/>
        </w:rPr>
        <w:fldChar w:fldCharType="end"/>
      </w:r>
      <w:r w:rsidR="00DB4AE9">
        <w:rPr>
          <w:rFonts w:cs="Segoe UI Light"/>
          <w:szCs w:val="20"/>
        </w:rPr>
        <w:t>.</w:t>
      </w:r>
    </w:p>
    <w:p w14:paraId="656AFEB4" w14:textId="77777777" w:rsidR="00A25A1E" w:rsidRPr="00827D05" w:rsidRDefault="00A25A1E" w:rsidP="00A25A1E">
      <w:pPr>
        <w:pStyle w:val="2Source"/>
      </w:pPr>
      <w:bookmarkStart w:id="531" w:name="_Ref7439681"/>
      <w:r w:rsidRPr="00827D05">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3</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w:t>
      </w:r>
      <w:r w:rsidR="00997CFA">
        <w:rPr>
          <w:color w:val="2B579A"/>
          <w:shd w:val="clear" w:color="auto" w:fill="E6E6E6"/>
        </w:rPr>
        <w:fldChar w:fldCharType="end"/>
      </w:r>
      <w:bookmarkEnd w:id="531"/>
      <w:r w:rsidRPr="00827D05">
        <w:rPr>
          <w:szCs w:val="20"/>
        </w:rPr>
        <w:t xml:space="preserve"> Risks and causes of harm </w:t>
      </w:r>
    </w:p>
    <w:tbl>
      <w:tblPr>
        <w:tblStyle w:val="Deloittetable"/>
        <w:tblW w:w="5000" w:type="pct"/>
        <w:tblLook w:val="04A0" w:firstRow="1" w:lastRow="0" w:firstColumn="1" w:lastColumn="0" w:noHBand="0" w:noVBand="1"/>
      </w:tblPr>
      <w:tblGrid>
        <w:gridCol w:w="5162"/>
        <w:gridCol w:w="5298"/>
      </w:tblGrid>
      <w:tr w:rsidR="00A25A1E" w:rsidRPr="00204BE2" w14:paraId="656AFEB7" w14:textId="77777777" w:rsidTr="009B48F2">
        <w:trPr>
          <w:cnfStyle w:val="100000000000" w:firstRow="1" w:lastRow="0" w:firstColumn="0" w:lastColumn="0" w:oddVBand="0" w:evenVBand="0" w:oddHBand="0" w:evenHBand="0" w:firstRowFirstColumn="0" w:firstRowLastColumn="0" w:lastRowFirstColumn="0" w:lastRowLastColumn="0"/>
        </w:trPr>
        <w:tc>
          <w:tcPr>
            <w:tcW w:w="0" w:type="pct"/>
          </w:tcPr>
          <w:p w14:paraId="656AFEB5" w14:textId="77777777" w:rsidR="00A25A1E" w:rsidRPr="00D85A7F" w:rsidRDefault="00A25A1E" w:rsidP="00A25A1E">
            <w:pPr>
              <w:keepNext/>
              <w:keepLines/>
              <w:spacing w:after="0"/>
              <w:mirrorIndents/>
              <w:rPr>
                <w:rFonts w:eastAsiaTheme="majorEastAsia" w:cstheme="majorBidi"/>
                <w:b/>
                <w:bCs/>
                <w:sz w:val="18"/>
              </w:rPr>
            </w:pPr>
            <w:r w:rsidRPr="00D85A7F">
              <w:rPr>
                <w:rFonts w:eastAsiaTheme="majorEastAsia" w:cstheme="majorBidi"/>
                <w:b/>
                <w:sz w:val="18"/>
              </w:rPr>
              <w:t>Risk and causes of harm</w:t>
            </w:r>
          </w:p>
        </w:tc>
        <w:tc>
          <w:tcPr>
            <w:tcW w:w="0" w:type="pct"/>
          </w:tcPr>
          <w:p w14:paraId="656AFEB6" w14:textId="77777777" w:rsidR="00A25A1E" w:rsidRPr="00D85A7F" w:rsidRDefault="00A25A1E" w:rsidP="00A25A1E">
            <w:pPr>
              <w:keepNext/>
              <w:keepLines/>
              <w:spacing w:after="0"/>
              <w:mirrorIndents/>
              <w:rPr>
                <w:rFonts w:eastAsiaTheme="majorEastAsia" w:cstheme="majorBidi"/>
                <w:b/>
                <w:bCs/>
                <w:sz w:val="18"/>
              </w:rPr>
            </w:pPr>
            <w:r w:rsidRPr="00D85A7F">
              <w:rPr>
                <w:rFonts w:eastAsiaTheme="majorEastAsia" w:cstheme="majorBidi"/>
                <w:b/>
                <w:sz w:val="18"/>
              </w:rPr>
              <w:t>Potential sources of the problem</w:t>
            </w:r>
          </w:p>
        </w:tc>
      </w:tr>
      <w:tr w:rsidR="00A25A1E" w:rsidRPr="00204BE2" w14:paraId="656AFEBB" w14:textId="77777777" w:rsidTr="009B48F2">
        <w:tc>
          <w:tcPr>
            <w:tcW w:w="0" w:type="pct"/>
          </w:tcPr>
          <w:p w14:paraId="656AFEB8" w14:textId="77777777" w:rsidR="00A25A1E" w:rsidRPr="00D85A7F" w:rsidRDefault="00A25A1E" w:rsidP="00A25A1E">
            <w:pPr>
              <w:spacing w:after="0"/>
              <w:mirrorIndents/>
              <w:rPr>
                <w:rFonts w:cs="Segoe UI Light"/>
                <w:b/>
                <w:sz w:val="18"/>
              </w:rPr>
            </w:pPr>
            <w:r w:rsidRPr="00D85A7F">
              <w:rPr>
                <w:rFonts w:cs="Segoe UI Light"/>
                <w:sz w:val="18"/>
              </w:rPr>
              <w:t xml:space="preserve">Catastrophic events and other major failures at </w:t>
            </w:r>
          </w:p>
          <w:p w14:paraId="656AFEB9" w14:textId="77777777" w:rsidR="00A25A1E" w:rsidRPr="00D85A7F" w:rsidRDefault="00A25A1E" w:rsidP="00A25A1E">
            <w:pPr>
              <w:spacing w:after="0"/>
              <w:mirrorIndents/>
              <w:rPr>
                <w:rFonts w:cs="Segoe UI Light"/>
                <w:b/>
                <w:sz w:val="18"/>
              </w:rPr>
            </w:pPr>
            <w:r w:rsidRPr="00D85A7F">
              <w:rPr>
                <w:rFonts w:cs="Segoe UI Light"/>
                <w:sz w:val="18"/>
              </w:rPr>
              <w:t>hazardous sites</w:t>
            </w:r>
            <w:r w:rsidR="00833A60">
              <w:rPr>
                <w:rFonts w:cs="Segoe UI Light"/>
                <w:sz w:val="18"/>
              </w:rPr>
              <w:t>.</w:t>
            </w:r>
          </w:p>
        </w:tc>
        <w:tc>
          <w:tcPr>
            <w:tcW w:w="0" w:type="pct"/>
          </w:tcPr>
          <w:p w14:paraId="656AFEBA" w14:textId="77777777" w:rsidR="00A25A1E" w:rsidRPr="00D85A7F" w:rsidRDefault="00A25A1E" w:rsidP="00A25A1E">
            <w:pPr>
              <w:keepNext/>
              <w:keepLines/>
              <w:spacing w:after="0"/>
              <w:mirrorIndents/>
              <w:rPr>
                <w:rFonts w:cs="Segoe UI Light"/>
                <w:sz w:val="18"/>
              </w:rPr>
            </w:pPr>
            <w:r w:rsidRPr="00D85A7F">
              <w:rPr>
                <w:rFonts w:cs="Segoe UI Light"/>
                <w:sz w:val="18"/>
              </w:rPr>
              <w:t>Pollution of air, land and water; and stockpiling or mismanagement of waste. For example, harms caused by major fires at large industrial sites</w:t>
            </w:r>
            <w:r w:rsidR="00DC7A63">
              <w:rPr>
                <w:rFonts w:cs="Segoe UI Light"/>
                <w:sz w:val="18"/>
              </w:rPr>
              <w:t xml:space="preserve">. </w:t>
            </w:r>
          </w:p>
        </w:tc>
      </w:tr>
      <w:tr w:rsidR="00A25A1E" w:rsidRPr="00204BE2" w14:paraId="656AFEBE" w14:textId="77777777" w:rsidTr="009B48F2">
        <w:tc>
          <w:tcPr>
            <w:tcW w:w="0" w:type="pct"/>
          </w:tcPr>
          <w:p w14:paraId="656AFEBC" w14:textId="77777777" w:rsidR="00A25A1E" w:rsidRPr="00D85A7F" w:rsidRDefault="00A25A1E" w:rsidP="00A25A1E">
            <w:pPr>
              <w:spacing w:after="0"/>
              <w:mirrorIndents/>
              <w:rPr>
                <w:rFonts w:cs="Segoe UI Light"/>
                <w:b/>
                <w:sz w:val="18"/>
              </w:rPr>
            </w:pPr>
            <w:r w:rsidRPr="00D85A7F">
              <w:rPr>
                <w:rFonts w:cs="Segoe UI Light"/>
                <w:sz w:val="18"/>
              </w:rPr>
              <w:t>Cumulative impacts of emissions from diffuse sources</w:t>
            </w:r>
            <w:r w:rsidR="00833A60">
              <w:rPr>
                <w:rFonts w:cs="Segoe UI Light"/>
                <w:sz w:val="18"/>
              </w:rPr>
              <w:t>.</w:t>
            </w:r>
          </w:p>
        </w:tc>
        <w:tc>
          <w:tcPr>
            <w:tcW w:w="0" w:type="pct"/>
          </w:tcPr>
          <w:p w14:paraId="656AFEBD" w14:textId="77777777" w:rsidR="00A25A1E" w:rsidRPr="00D85A7F" w:rsidRDefault="00A25A1E" w:rsidP="00A25A1E">
            <w:pPr>
              <w:keepNext/>
              <w:keepLines/>
              <w:spacing w:after="0"/>
              <w:mirrorIndents/>
              <w:rPr>
                <w:rFonts w:cs="Segoe UI Light"/>
                <w:sz w:val="18"/>
              </w:rPr>
            </w:pPr>
            <w:r w:rsidRPr="00D85A7F">
              <w:rPr>
                <w:rFonts w:cs="Segoe UI Light"/>
                <w:sz w:val="18"/>
              </w:rPr>
              <w:t>Pollution of air, land</w:t>
            </w:r>
            <w:r>
              <w:rPr>
                <w:rFonts w:cs="Segoe UI Light"/>
                <w:sz w:val="18"/>
              </w:rPr>
              <w:t>,</w:t>
            </w:r>
            <w:r w:rsidRPr="00D85A7F">
              <w:rPr>
                <w:rFonts w:cs="Segoe UI Light"/>
                <w:sz w:val="18"/>
              </w:rPr>
              <w:t xml:space="preserve"> water</w:t>
            </w:r>
            <w:r>
              <w:rPr>
                <w:rFonts w:cs="Segoe UI Light"/>
                <w:sz w:val="18"/>
              </w:rPr>
              <w:t xml:space="preserve"> and noise</w:t>
            </w:r>
            <w:r w:rsidRPr="00D85A7F">
              <w:rPr>
                <w:rFonts w:cs="Segoe UI Light"/>
                <w:sz w:val="18"/>
              </w:rPr>
              <w:t xml:space="preserve">. For example, harms to human health caused by air pollution from vehicles. </w:t>
            </w:r>
          </w:p>
        </w:tc>
      </w:tr>
      <w:tr w:rsidR="00A25A1E" w:rsidRPr="00204BE2" w14:paraId="656AFEC1" w14:textId="77777777" w:rsidTr="009B48F2">
        <w:tc>
          <w:tcPr>
            <w:tcW w:w="0" w:type="pct"/>
          </w:tcPr>
          <w:p w14:paraId="656AFEBF" w14:textId="77777777" w:rsidR="00A25A1E" w:rsidRPr="00D85A7F" w:rsidRDefault="00A25A1E" w:rsidP="00A25A1E">
            <w:pPr>
              <w:spacing w:after="0"/>
              <w:mirrorIndents/>
              <w:rPr>
                <w:rFonts w:cs="Segoe UI Light"/>
                <w:b/>
                <w:sz w:val="18"/>
              </w:rPr>
            </w:pPr>
            <w:r w:rsidRPr="00D85A7F">
              <w:rPr>
                <w:rFonts w:cs="Segoe UI Light"/>
                <w:sz w:val="18"/>
              </w:rPr>
              <w:t xml:space="preserve">Spills and incidents from small businesses </w:t>
            </w:r>
            <w:r>
              <w:rPr>
                <w:rFonts w:cs="Segoe UI Light"/>
                <w:sz w:val="18"/>
              </w:rPr>
              <w:t xml:space="preserve">and </w:t>
            </w:r>
            <w:r w:rsidRPr="00D85A7F">
              <w:rPr>
                <w:rFonts w:cs="Segoe UI Light"/>
                <w:sz w:val="18"/>
              </w:rPr>
              <w:t>individuals</w:t>
            </w:r>
            <w:r w:rsidR="00833A60">
              <w:rPr>
                <w:rFonts w:cs="Segoe UI Light"/>
                <w:sz w:val="18"/>
              </w:rPr>
              <w:t>.</w:t>
            </w:r>
          </w:p>
        </w:tc>
        <w:tc>
          <w:tcPr>
            <w:tcW w:w="0" w:type="pct"/>
          </w:tcPr>
          <w:p w14:paraId="656AFEC0" w14:textId="77777777" w:rsidR="00A25A1E" w:rsidRPr="00D85A7F" w:rsidRDefault="00A25A1E" w:rsidP="00A25A1E">
            <w:pPr>
              <w:keepNext/>
              <w:keepLines/>
              <w:spacing w:after="0"/>
              <w:mirrorIndents/>
              <w:rPr>
                <w:rFonts w:cs="Segoe UI Light"/>
                <w:sz w:val="18"/>
              </w:rPr>
            </w:pPr>
            <w:r w:rsidRPr="00D85A7F">
              <w:rPr>
                <w:rFonts w:cs="Segoe UI Light"/>
                <w:sz w:val="18"/>
              </w:rPr>
              <w:t>Pollution of land and water. For example, spillage of dangerous chemicals</w:t>
            </w:r>
            <w:r>
              <w:rPr>
                <w:rFonts w:cs="Segoe UI Light"/>
                <w:sz w:val="18"/>
              </w:rPr>
              <w:t xml:space="preserve"> on a worksite that enter environment.</w:t>
            </w:r>
          </w:p>
        </w:tc>
      </w:tr>
      <w:tr w:rsidR="00A25A1E" w:rsidRPr="00204BE2" w14:paraId="656AFEC4" w14:textId="77777777" w:rsidTr="009B48F2">
        <w:tc>
          <w:tcPr>
            <w:tcW w:w="0" w:type="pct"/>
          </w:tcPr>
          <w:p w14:paraId="656AFEC2" w14:textId="77777777" w:rsidR="00A25A1E" w:rsidRPr="00D85A7F" w:rsidRDefault="00A25A1E" w:rsidP="00A25A1E">
            <w:pPr>
              <w:spacing w:after="0"/>
              <w:mirrorIndents/>
              <w:rPr>
                <w:rFonts w:cs="Segoe UI Light"/>
                <w:b/>
                <w:sz w:val="18"/>
              </w:rPr>
            </w:pPr>
            <w:r w:rsidRPr="00D85A7F">
              <w:rPr>
                <w:rFonts w:cs="Segoe UI Light"/>
                <w:sz w:val="18"/>
              </w:rPr>
              <w:t>Exposure to contaminants from legacy sites</w:t>
            </w:r>
            <w:r w:rsidR="00833A60">
              <w:rPr>
                <w:rFonts w:cs="Segoe UI Light"/>
                <w:sz w:val="18"/>
              </w:rPr>
              <w:t>.</w:t>
            </w:r>
          </w:p>
        </w:tc>
        <w:tc>
          <w:tcPr>
            <w:tcW w:w="0" w:type="pct"/>
          </w:tcPr>
          <w:p w14:paraId="656AFEC3" w14:textId="77777777" w:rsidR="00A25A1E" w:rsidRPr="00D85A7F" w:rsidRDefault="00A25A1E" w:rsidP="00A25A1E">
            <w:pPr>
              <w:keepNext/>
              <w:keepLines/>
              <w:spacing w:after="0"/>
              <w:mirrorIndents/>
              <w:rPr>
                <w:rFonts w:cs="Segoe UI Light"/>
                <w:sz w:val="18"/>
              </w:rPr>
            </w:pPr>
            <w:r w:rsidRPr="00D85A7F">
              <w:rPr>
                <w:rFonts w:cs="Segoe UI Light"/>
                <w:sz w:val="18"/>
              </w:rPr>
              <w:t xml:space="preserve">Pollution of land and water. For example, industrial sites that are repurposed for other uses can contain contaminants that are harmful for new inhabitants. </w:t>
            </w:r>
          </w:p>
        </w:tc>
      </w:tr>
      <w:tr w:rsidR="00A25A1E" w:rsidRPr="00204BE2" w14:paraId="656AFEC8" w14:textId="77777777" w:rsidTr="009B48F2">
        <w:tc>
          <w:tcPr>
            <w:tcW w:w="0" w:type="pct"/>
          </w:tcPr>
          <w:p w14:paraId="656AFEC5" w14:textId="77777777" w:rsidR="00A25A1E" w:rsidRPr="00D85A7F" w:rsidRDefault="00A25A1E" w:rsidP="00A25A1E">
            <w:pPr>
              <w:spacing w:after="0"/>
              <w:mirrorIndents/>
              <w:rPr>
                <w:rFonts w:cs="Segoe UI Light"/>
                <w:b/>
                <w:sz w:val="18"/>
              </w:rPr>
            </w:pPr>
            <w:r w:rsidRPr="00D85A7F">
              <w:rPr>
                <w:rFonts w:cs="Segoe UI Light"/>
                <w:sz w:val="18"/>
              </w:rPr>
              <w:t xml:space="preserve">Hidden ongoing pollution (including illegal dumping) </w:t>
            </w:r>
          </w:p>
          <w:p w14:paraId="656AFEC6" w14:textId="77777777" w:rsidR="00A25A1E" w:rsidRPr="00D85A7F" w:rsidRDefault="00A25A1E" w:rsidP="00A25A1E">
            <w:pPr>
              <w:spacing w:after="0"/>
              <w:mirrorIndents/>
              <w:rPr>
                <w:rFonts w:cs="Segoe UI Light"/>
                <w:b/>
                <w:sz w:val="18"/>
              </w:rPr>
            </w:pPr>
            <w:r w:rsidRPr="00D85A7F">
              <w:rPr>
                <w:rFonts w:cs="Segoe UI Light"/>
                <w:sz w:val="18"/>
              </w:rPr>
              <w:t>creating new hidden contamination “legacy sites”</w:t>
            </w:r>
            <w:r w:rsidR="00833A60">
              <w:rPr>
                <w:rFonts w:cs="Segoe UI Light"/>
                <w:sz w:val="18"/>
              </w:rPr>
              <w:t>.</w:t>
            </w:r>
            <w:r w:rsidRPr="00D85A7F">
              <w:rPr>
                <w:rFonts w:cs="Segoe UI Light"/>
                <w:sz w:val="18"/>
              </w:rPr>
              <w:t xml:space="preserve"> </w:t>
            </w:r>
          </w:p>
        </w:tc>
        <w:tc>
          <w:tcPr>
            <w:tcW w:w="0" w:type="pct"/>
          </w:tcPr>
          <w:p w14:paraId="656AFEC7" w14:textId="77777777" w:rsidR="00A25A1E" w:rsidRPr="00D85A7F" w:rsidRDefault="00A25A1E" w:rsidP="00A25A1E">
            <w:pPr>
              <w:keepNext/>
              <w:keepLines/>
              <w:spacing w:after="0"/>
              <w:mirrorIndents/>
              <w:rPr>
                <w:rFonts w:cs="Segoe UI Light"/>
                <w:sz w:val="18"/>
              </w:rPr>
            </w:pPr>
            <w:r w:rsidRPr="00D85A7F">
              <w:rPr>
                <w:rFonts w:cs="Segoe UI Light"/>
                <w:sz w:val="18"/>
              </w:rPr>
              <w:t xml:space="preserve">Pollution of land and water, or mismanagement of waste. For example, dumping of soil that contains hidden asbestos. </w:t>
            </w:r>
          </w:p>
        </w:tc>
      </w:tr>
      <w:tr w:rsidR="00A25A1E" w:rsidRPr="00204BE2" w14:paraId="656AFECC" w14:textId="77777777" w:rsidTr="009B48F2">
        <w:tc>
          <w:tcPr>
            <w:tcW w:w="0" w:type="pct"/>
          </w:tcPr>
          <w:p w14:paraId="656AFEC9" w14:textId="77777777" w:rsidR="00A25A1E" w:rsidRPr="00D85A7F" w:rsidRDefault="00A25A1E" w:rsidP="00A25A1E">
            <w:pPr>
              <w:spacing w:after="0"/>
              <w:mirrorIndents/>
              <w:rPr>
                <w:rFonts w:cs="Segoe UI Light"/>
                <w:b/>
                <w:sz w:val="18"/>
              </w:rPr>
            </w:pPr>
            <w:r w:rsidRPr="00D85A7F">
              <w:rPr>
                <w:rFonts w:cs="Segoe UI Light"/>
                <w:sz w:val="18"/>
              </w:rPr>
              <w:t xml:space="preserve">Conflicts between adjacent land uses, and ongoing </w:t>
            </w:r>
          </w:p>
          <w:p w14:paraId="656AFECA" w14:textId="77777777" w:rsidR="00A25A1E" w:rsidRPr="00D85A7F" w:rsidRDefault="00833A60" w:rsidP="00A25A1E">
            <w:pPr>
              <w:spacing w:after="0"/>
              <w:mirrorIndents/>
              <w:rPr>
                <w:rFonts w:cs="Segoe UI Light"/>
                <w:b/>
                <w:sz w:val="18"/>
              </w:rPr>
            </w:pPr>
            <w:r w:rsidRPr="00D85A7F">
              <w:rPr>
                <w:rFonts w:cs="Segoe UI Light"/>
                <w:sz w:val="18"/>
              </w:rPr>
              <w:t>E</w:t>
            </w:r>
            <w:r w:rsidR="00A25A1E" w:rsidRPr="00D85A7F">
              <w:rPr>
                <w:rFonts w:cs="Segoe UI Light"/>
                <w:sz w:val="18"/>
              </w:rPr>
              <w:t>ncroachment</w:t>
            </w:r>
            <w:r>
              <w:rPr>
                <w:rFonts w:cs="Segoe UI Light"/>
                <w:sz w:val="18"/>
              </w:rPr>
              <w:t>.</w:t>
            </w:r>
            <w:r w:rsidR="00A25A1E" w:rsidRPr="00D85A7F">
              <w:rPr>
                <w:rFonts w:cs="Segoe UI Light"/>
                <w:sz w:val="18"/>
              </w:rPr>
              <w:t xml:space="preserve"> </w:t>
            </w:r>
          </w:p>
        </w:tc>
        <w:tc>
          <w:tcPr>
            <w:tcW w:w="0" w:type="pct"/>
          </w:tcPr>
          <w:p w14:paraId="656AFECB" w14:textId="77777777" w:rsidR="00A25A1E" w:rsidRPr="00D85A7F" w:rsidRDefault="00A25A1E" w:rsidP="00A25A1E">
            <w:pPr>
              <w:keepNext/>
              <w:keepLines/>
              <w:spacing w:after="0"/>
              <w:mirrorIndents/>
              <w:rPr>
                <w:rFonts w:cs="Segoe UI Light"/>
                <w:sz w:val="18"/>
              </w:rPr>
            </w:pPr>
            <w:r w:rsidRPr="00D85A7F">
              <w:rPr>
                <w:rFonts w:cs="Segoe UI Light"/>
                <w:sz w:val="18"/>
              </w:rPr>
              <w:t xml:space="preserve">Pollution of air, land and water, noise pollution. For example, noise emissions </w:t>
            </w:r>
            <w:r w:rsidR="00E6781E">
              <w:rPr>
                <w:rFonts w:cs="Segoe UI Light"/>
                <w:sz w:val="18"/>
              </w:rPr>
              <w:t xml:space="preserve">that would be considered to be unreasonable </w:t>
            </w:r>
            <w:r w:rsidRPr="00D85A7F">
              <w:rPr>
                <w:rFonts w:cs="Segoe UI Light"/>
                <w:sz w:val="18"/>
              </w:rPr>
              <w:t xml:space="preserve">at industrial sites or music venues with surrounding residential properties. </w:t>
            </w:r>
          </w:p>
        </w:tc>
      </w:tr>
    </w:tbl>
    <w:p w14:paraId="656AFECD" w14:textId="77777777" w:rsidR="40EF56F3" w:rsidRDefault="40EF56F3"/>
    <w:p w14:paraId="656AFECE" w14:textId="77777777" w:rsidR="00DB4AE9" w:rsidRPr="00827D05" w:rsidRDefault="00DB4AE9" w:rsidP="00DB4AE9">
      <w:pPr>
        <w:mirrorIndents/>
        <w:rPr>
          <w:rFonts w:cs="Segoe UI Light"/>
          <w:szCs w:val="22"/>
        </w:rPr>
      </w:pPr>
      <w:r>
        <w:rPr>
          <w:rFonts w:cs="Segoe UI Light"/>
          <w:szCs w:val="22"/>
        </w:rPr>
        <w:t xml:space="preserve">As </w:t>
      </w:r>
      <w:r w:rsidR="00A64E64">
        <w:rPr>
          <w:rFonts w:cs="Segoe UI Light"/>
          <w:szCs w:val="22"/>
        </w:rPr>
        <w:t xml:space="preserve">outlined </w:t>
      </w:r>
      <w:r>
        <w:rPr>
          <w:rFonts w:cs="Segoe UI Light"/>
          <w:szCs w:val="22"/>
        </w:rPr>
        <w:t>in section 2.4, t</w:t>
      </w:r>
      <w:r w:rsidRPr="00827D05">
        <w:rPr>
          <w:rFonts w:cs="Segoe UI Light"/>
          <w:szCs w:val="22"/>
        </w:rPr>
        <w:t>he Victorian Government has delivered a foundational response to th</w:t>
      </w:r>
      <w:r>
        <w:rPr>
          <w:rFonts w:cs="Segoe UI Light"/>
          <w:szCs w:val="22"/>
        </w:rPr>
        <w:t xml:space="preserve">ese </w:t>
      </w:r>
      <w:r w:rsidRPr="00827D05">
        <w:rPr>
          <w:rFonts w:cs="Segoe UI Light"/>
          <w:szCs w:val="22"/>
        </w:rPr>
        <w:t>overarching problem</w:t>
      </w:r>
      <w:r>
        <w:rPr>
          <w:rFonts w:cs="Segoe UI Light"/>
          <w:szCs w:val="22"/>
        </w:rPr>
        <w:t>s</w:t>
      </w:r>
      <w:r w:rsidRPr="00827D05">
        <w:rPr>
          <w:rFonts w:cs="Segoe UI Light"/>
          <w:szCs w:val="22"/>
        </w:rPr>
        <w:t xml:space="preserve"> through the introduction of new environment protection legislation in Victoria, and more specifically, the duties which exist under that legislation. Furthermore, the </w:t>
      </w:r>
      <w:r w:rsidR="00833430">
        <w:rPr>
          <w:rFonts w:cs="Segoe UI Light"/>
          <w:szCs w:val="22"/>
        </w:rPr>
        <w:t xml:space="preserve">new EP legislation introduces a </w:t>
      </w:r>
      <w:r w:rsidRPr="00827D05">
        <w:rPr>
          <w:rFonts w:cs="Segoe UI Light"/>
          <w:szCs w:val="22"/>
        </w:rPr>
        <w:t xml:space="preserve">new </w:t>
      </w:r>
      <w:r>
        <w:rPr>
          <w:rFonts w:cs="Segoe UI Light"/>
          <w:szCs w:val="22"/>
        </w:rPr>
        <w:t xml:space="preserve">statutory instrument known as </w:t>
      </w:r>
      <w:r w:rsidR="00833430">
        <w:rPr>
          <w:rFonts w:cs="Segoe UI Light"/>
          <w:szCs w:val="22"/>
        </w:rPr>
        <w:t xml:space="preserve">an </w:t>
      </w:r>
      <w:r>
        <w:rPr>
          <w:rFonts w:cs="Segoe UI Light"/>
          <w:szCs w:val="22"/>
        </w:rPr>
        <w:t>ERS to support the new EP legislation</w:t>
      </w:r>
      <w:r w:rsidR="004F11BF">
        <w:rPr>
          <w:rFonts w:cs="Segoe UI Light"/>
          <w:szCs w:val="22"/>
        </w:rPr>
        <w:t>,</w:t>
      </w:r>
      <w:r>
        <w:rPr>
          <w:rFonts w:cs="Segoe UI Light"/>
          <w:szCs w:val="22"/>
        </w:rPr>
        <w:t xml:space="preserve"> which retain</w:t>
      </w:r>
      <w:r w:rsidR="004F11BF">
        <w:rPr>
          <w:rFonts w:cs="Segoe UI Light"/>
          <w:szCs w:val="22"/>
        </w:rPr>
        <w:t>s</w:t>
      </w:r>
      <w:r>
        <w:rPr>
          <w:rFonts w:cs="Segoe UI Light"/>
          <w:szCs w:val="22"/>
        </w:rPr>
        <w:t xml:space="preserve"> some aspects of</w:t>
      </w:r>
      <w:r>
        <w:t xml:space="preserve"> SEPPs and WMPs </w:t>
      </w:r>
      <w:r w:rsidR="003C5103">
        <w:t>and</w:t>
      </w:r>
      <w:r>
        <w:t xml:space="preserve"> relate</w:t>
      </w:r>
      <w:r w:rsidR="004F11BF">
        <w:t>s</w:t>
      </w:r>
      <w:r>
        <w:t xml:space="preserve"> to how environmental values are identified and articulated (also see section 2.4 and Appendix </w:t>
      </w:r>
      <w:r w:rsidR="005F58DF">
        <w:t>1</w:t>
      </w:r>
      <w:r>
        <w:t>).</w:t>
      </w:r>
      <w:r w:rsidRPr="00827D05">
        <w:rPr>
          <w:rFonts w:cs="Segoe UI Light"/>
          <w:szCs w:val="22"/>
          <w:vertAlign w:val="superscript"/>
        </w:rPr>
        <w:footnoteReference w:id="35"/>
      </w:r>
    </w:p>
    <w:p w14:paraId="656AFECF" w14:textId="77777777" w:rsidR="00DB4AE9" w:rsidRPr="00B05634" w:rsidRDefault="00DB4AE9" w:rsidP="00DB4AE9">
      <w:pPr>
        <w:mirrorIndents/>
        <w:rPr>
          <w:rFonts w:cs="Segoe UI Light"/>
          <w:szCs w:val="22"/>
        </w:rPr>
      </w:pPr>
      <w:r w:rsidRPr="00827D05">
        <w:rPr>
          <w:rFonts w:cs="Segoe UI Light"/>
          <w:szCs w:val="22"/>
        </w:rPr>
        <w:t xml:space="preserve">It is important to understand that in the absence of the EP Act 1970 and the </w:t>
      </w:r>
      <w:r>
        <w:rPr>
          <w:rFonts w:cs="Segoe UI Light"/>
          <w:szCs w:val="22"/>
        </w:rPr>
        <w:t>new EP legislation</w:t>
      </w:r>
      <w:r w:rsidRPr="00827D05">
        <w:rPr>
          <w:rFonts w:cs="Segoe UI Light"/>
          <w:szCs w:val="22"/>
        </w:rPr>
        <w:t xml:space="preserve">, some environment protection </w:t>
      </w:r>
      <w:r>
        <w:rPr>
          <w:rFonts w:cs="Segoe UI Light"/>
          <w:szCs w:val="22"/>
        </w:rPr>
        <w:t>would</w:t>
      </w:r>
      <w:r w:rsidRPr="00827D05">
        <w:rPr>
          <w:rFonts w:cs="Segoe UI Light"/>
          <w:szCs w:val="22"/>
        </w:rPr>
        <w:t xml:space="preserve"> nevertheless occur as a result of other legislation, policies and program delivery in Victoria</w:t>
      </w:r>
      <w:r>
        <w:rPr>
          <w:rFonts w:cs="Segoe UI Light"/>
          <w:szCs w:val="22"/>
        </w:rPr>
        <w:t>. A</w:t>
      </w:r>
      <w:r w:rsidRPr="00827D05">
        <w:rPr>
          <w:rFonts w:cs="Segoe UI Light"/>
          <w:szCs w:val="22"/>
        </w:rPr>
        <w:t xml:space="preserve">s discussed in </w:t>
      </w:r>
      <w:r>
        <w:rPr>
          <w:rFonts w:cs="Segoe UI Light"/>
          <w:szCs w:val="22"/>
        </w:rPr>
        <w:t xml:space="preserve">section </w:t>
      </w:r>
      <w:r>
        <w:rPr>
          <w:rFonts w:cs="Segoe UI Light"/>
          <w:color w:val="2B579A"/>
          <w:szCs w:val="22"/>
          <w:shd w:val="clear" w:color="auto" w:fill="E6E6E6"/>
        </w:rPr>
        <w:fldChar w:fldCharType="begin"/>
      </w:r>
      <w:r>
        <w:rPr>
          <w:rFonts w:cs="Segoe UI Light"/>
          <w:szCs w:val="22"/>
        </w:rPr>
        <w:instrText xml:space="preserve"> REF _Ref7439760 \r \h </w:instrText>
      </w:r>
      <w:r>
        <w:rPr>
          <w:rFonts w:cs="Segoe UI Light"/>
          <w:color w:val="2B579A"/>
          <w:szCs w:val="22"/>
          <w:shd w:val="clear" w:color="auto" w:fill="E6E6E6"/>
        </w:rPr>
      </w:r>
      <w:r>
        <w:rPr>
          <w:rFonts w:cs="Segoe UI Light"/>
          <w:color w:val="2B579A"/>
          <w:szCs w:val="22"/>
          <w:shd w:val="clear" w:color="auto" w:fill="E6E6E6"/>
        </w:rPr>
        <w:fldChar w:fldCharType="separate"/>
      </w:r>
      <w:r w:rsidR="00B11C1E">
        <w:rPr>
          <w:rFonts w:cs="Segoe UI Light"/>
          <w:szCs w:val="22"/>
        </w:rPr>
        <w:t>2.2</w:t>
      </w:r>
      <w:r>
        <w:rPr>
          <w:rFonts w:cs="Segoe UI Light"/>
          <w:color w:val="2B579A"/>
          <w:szCs w:val="22"/>
          <w:shd w:val="clear" w:color="auto" w:fill="E6E6E6"/>
        </w:rPr>
        <w:fldChar w:fldCharType="end"/>
      </w:r>
      <w:r>
        <w:rPr>
          <w:rFonts w:cs="Segoe UI Light"/>
          <w:szCs w:val="22"/>
        </w:rPr>
        <w:t xml:space="preserve">, </w:t>
      </w:r>
      <w:r w:rsidRPr="00827D05">
        <w:rPr>
          <w:rFonts w:cs="Segoe UI Light"/>
          <w:szCs w:val="22"/>
        </w:rPr>
        <w:t xml:space="preserve">over 40 separate </w:t>
      </w:r>
      <w:r>
        <w:rPr>
          <w:rFonts w:cs="Segoe UI Light"/>
          <w:szCs w:val="22"/>
        </w:rPr>
        <w:t>A</w:t>
      </w:r>
      <w:r w:rsidRPr="00827D05">
        <w:rPr>
          <w:rFonts w:cs="Segoe UI Light"/>
          <w:szCs w:val="22"/>
        </w:rPr>
        <w:t xml:space="preserve">cts cover environmental regulation in Victoria. </w:t>
      </w:r>
      <w:r>
        <w:rPr>
          <w:rFonts w:cs="Segoe UI Light"/>
          <w:szCs w:val="22"/>
        </w:rPr>
        <w:t>These instruments will continue to exist once when the EPA Act 1970 ceases to operate and the new EP legislation commences.</w:t>
      </w:r>
    </w:p>
    <w:p w14:paraId="656AFED0" w14:textId="77777777" w:rsidR="00DB4AE9" w:rsidRPr="00827D05" w:rsidRDefault="00DB4AE9" w:rsidP="00DB4AE9">
      <w:pPr>
        <w:rPr>
          <w:rFonts w:cs="Segoe UI Light"/>
          <w:szCs w:val="20"/>
        </w:rPr>
      </w:pPr>
      <w:r w:rsidRPr="003E6970">
        <w:rPr>
          <w:rFonts w:cs="Segoe UI Light"/>
          <w:szCs w:val="20"/>
        </w:rPr>
        <w:t>There would also be an existing ‘state</w:t>
      </w:r>
      <w:r w:rsidR="009E58AC">
        <w:rPr>
          <w:rFonts w:cs="Segoe UI Light"/>
          <w:szCs w:val="20"/>
        </w:rPr>
        <w:t xml:space="preserve"> </w:t>
      </w:r>
      <w:r w:rsidRPr="003E6970">
        <w:rPr>
          <w:rFonts w:cs="Segoe UI Light"/>
          <w:szCs w:val="20"/>
        </w:rPr>
        <w:t>of</w:t>
      </w:r>
      <w:r w:rsidR="009E58AC">
        <w:rPr>
          <w:rFonts w:cs="Segoe UI Light"/>
          <w:szCs w:val="20"/>
        </w:rPr>
        <w:t xml:space="preserve"> </w:t>
      </w:r>
      <w:r w:rsidRPr="003E6970">
        <w:rPr>
          <w:rFonts w:cs="Segoe UI Light"/>
          <w:szCs w:val="20"/>
        </w:rPr>
        <w:t>knowledge’ including the understanding of, and arrangements, organisation</w:t>
      </w:r>
      <w:r w:rsidRPr="009B48F2">
        <w:rPr>
          <w:rFonts w:cs="Segoe UI Light"/>
          <w:szCs w:val="20"/>
        </w:rPr>
        <w:t>s</w:t>
      </w:r>
      <w:r w:rsidRPr="00B52F8A">
        <w:rPr>
          <w:b/>
        </w:rPr>
        <w:t xml:space="preserve"> </w:t>
      </w:r>
      <w:r w:rsidRPr="00827D05">
        <w:rPr>
          <w:rFonts w:cs="Segoe UI Light"/>
          <w:szCs w:val="20"/>
        </w:rPr>
        <w:t>have in place to comply with the current regulatory framework</w:t>
      </w:r>
      <w:r>
        <w:rPr>
          <w:rFonts w:cs="Segoe UI Light"/>
          <w:szCs w:val="20"/>
        </w:rPr>
        <w:t>,</w:t>
      </w:r>
      <w:r w:rsidRPr="00827D05">
        <w:rPr>
          <w:rFonts w:cs="Segoe UI Light"/>
          <w:szCs w:val="20"/>
        </w:rPr>
        <w:t xml:space="preserve"> which includes:</w:t>
      </w:r>
    </w:p>
    <w:p w14:paraId="656AFED1" w14:textId="77777777" w:rsidR="00DB4AE9" w:rsidRPr="00827D05" w:rsidRDefault="00DB4AE9" w:rsidP="00DB4AE9">
      <w:pPr>
        <w:numPr>
          <w:ilvl w:val="0"/>
          <w:numId w:val="26"/>
        </w:numPr>
        <w:contextualSpacing/>
        <w:rPr>
          <w:rFonts w:cs="Segoe UI Light"/>
          <w:szCs w:val="20"/>
        </w:rPr>
      </w:pPr>
      <w:r>
        <w:rPr>
          <w:rFonts w:cs="Segoe UI Light"/>
          <w:noProof/>
          <w:color w:val="2B579A"/>
          <w:szCs w:val="20"/>
          <w:shd w:val="clear" w:color="auto" w:fill="E6E6E6"/>
          <w:lang w:eastAsia="en-AU"/>
        </w:rPr>
        <mc:AlternateContent>
          <mc:Choice Requires="wps">
            <w:drawing>
              <wp:anchor distT="0" distB="0" distL="114300" distR="114300" simplePos="0" relativeHeight="251658271" behindDoc="0" locked="0" layoutInCell="1" allowOverlap="1" wp14:anchorId="656B1E74" wp14:editId="656B1E75">
                <wp:simplePos x="0" y="0"/>
                <wp:positionH relativeFrom="column">
                  <wp:posOffset>8644558</wp:posOffset>
                </wp:positionH>
                <wp:positionV relativeFrom="paragraph">
                  <wp:posOffset>91344</wp:posOffset>
                </wp:positionV>
                <wp:extent cx="0" cy="0"/>
                <wp:effectExtent l="0" t="0" r="0" b="0"/>
                <wp:wrapNone/>
                <wp:docPr id="1048826420" name="Straight Connector 1048826420"/>
                <wp:cNvGraphicFramePr/>
                <a:graphic xmlns:a="http://schemas.openxmlformats.org/drawingml/2006/main">
                  <a:graphicData uri="http://schemas.microsoft.com/office/word/2010/wordprocessingShape">
                    <wps:wsp>
                      <wps:cNvCnPr/>
                      <wps:spPr>
                        <a:xfrm flipV="1">
                          <a:off x="0" y="0"/>
                          <a:ext cx="0" cy="0"/>
                        </a:xfrm>
                        <a:prstGeom prst="line">
                          <a:avLst/>
                        </a:prstGeom>
                        <a:noFill/>
                        <a:ln w="9525" cap="flat" cmpd="sng" algn="ctr">
                          <a:solidFill>
                            <a:srgbClr val="44546A"/>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8586AD" id="Straight Connector 1048826420" o:spid="_x0000_s1026" style="position:absolute;flip: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65pt,7.2pt" to="680.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" strokecolor="#44546a"/>
            </w:pict>
          </mc:Fallback>
        </mc:AlternateContent>
      </w:r>
      <w:r w:rsidRPr="00827D05">
        <w:rPr>
          <w:rFonts w:cs="Segoe UI Light"/>
          <w:szCs w:val="20"/>
        </w:rPr>
        <w:t>the EP Act 1970</w:t>
      </w:r>
    </w:p>
    <w:p w14:paraId="656AFED2" w14:textId="77777777" w:rsidR="00DB4AE9" w:rsidRPr="00827D05" w:rsidRDefault="00DB4AE9" w:rsidP="00DB4AE9">
      <w:pPr>
        <w:numPr>
          <w:ilvl w:val="0"/>
          <w:numId w:val="26"/>
        </w:numPr>
        <w:contextualSpacing/>
        <w:rPr>
          <w:rFonts w:cs="Segoe UI Light"/>
          <w:szCs w:val="20"/>
        </w:rPr>
      </w:pPr>
      <w:r w:rsidRPr="00827D05">
        <w:rPr>
          <w:rFonts w:cs="Segoe UI Light"/>
          <w:szCs w:val="20"/>
        </w:rPr>
        <w:t>existing Regulations under the EP Act 1970</w:t>
      </w:r>
    </w:p>
    <w:p w14:paraId="656AFED3" w14:textId="77777777" w:rsidR="00DB4AE9" w:rsidRPr="00827D05" w:rsidRDefault="00DB4AE9" w:rsidP="00DB4AE9">
      <w:pPr>
        <w:numPr>
          <w:ilvl w:val="0"/>
          <w:numId w:val="26"/>
        </w:numPr>
        <w:spacing w:after="0"/>
        <w:contextualSpacing/>
        <w:rPr>
          <w:rFonts w:cs="Segoe UI Light"/>
          <w:szCs w:val="20"/>
        </w:rPr>
      </w:pPr>
      <w:r w:rsidRPr="00827D05">
        <w:rPr>
          <w:rFonts w:cs="Segoe UI Light"/>
          <w:szCs w:val="20"/>
        </w:rPr>
        <w:t>formal instruments such as SEPPs and WMPs</w:t>
      </w:r>
    </w:p>
    <w:p w14:paraId="656AFED4" w14:textId="77777777" w:rsidR="00DB4AE9" w:rsidRPr="00827D05" w:rsidRDefault="00DB4AE9" w:rsidP="00DB4AE9">
      <w:pPr>
        <w:pStyle w:val="ListParagraph"/>
        <w:numPr>
          <w:ilvl w:val="0"/>
          <w:numId w:val="19"/>
        </w:numPr>
        <w:ind w:right="565"/>
        <w:rPr>
          <w:rFonts w:cs="Segoe UI Light"/>
          <w:szCs w:val="20"/>
        </w:rPr>
      </w:pPr>
      <w:r w:rsidRPr="00827D05">
        <w:rPr>
          <w:rFonts w:cs="Segoe UI Light"/>
          <w:szCs w:val="20"/>
        </w:rPr>
        <w:t xml:space="preserve">informal instruments such as guidance documents and other educational material developed by </w:t>
      </w:r>
      <w:r>
        <w:rPr>
          <w:rFonts w:cs="Segoe UI Light"/>
          <w:szCs w:val="20"/>
        </w:rPr>
        <w:t>EPA</w:t>
      </w:r>
      <w:r w:rsidRPr="00827D05">
        <w:rPr>
          <w:rFonts w:cs="Segoe UI Light"/>
          <w:szCs w:val="20"/>
        </w:rPr>
        <w:t xml:space="preserve"> and industry over the past few decades. </w:t>
      </w:r>
    </w:p>
    <w:p w14:paraId="656AFED5" w14:textId="77777777" w:rsidR="00DB4AE9" w:rsidRPr="00827D05" w:rsidRDefault="00DB4AE9" w:rsidP="00DB4AE9">
      <w:pPr>
        <w:spacing w:after="0"/>
        <w:rPr>
          <w:rFonts w:cs="Segoe UI Light"/>
          <w:szCs w:val="20"/>
        </w:rPr>
      </w:pPr>
      <w:r w:rsidRPr="00827D05">
        <w:rPr>
          <w:rFonts w:cs="Segoe UI Light"/>
          <w:szCs w:val="20"/>
        </w:rPr>
        <w:t>This state</w:t>
      </w:r>
      <w:r w:rsidR="009E58AC">
        <w:rPr>
          <w:rFonts w:cs="Segoe UI Light"/>
          <w:szCs w:val="20"/>
        </w:rPr>
        <w:t xml:space="preserve"> </w:t>
      </w:r>
      <w:r w:rsidRPr="00827D05">
        <w:rPr>
          <w:rFonts w:cs="Segoe UI Light"/>
          <w:szCs w:val="20"/>
        </w:rPr>
        <w:t>of</w:t>
      </w:r>
      <w:r w:rsidR="009E58AC">
        <w:rPr>
          <w:rFonts w:cs="Segoe UI Light"/>
          <w:szCs w:val="20"/>
        </w:rPr>
        <w:t xml:space="preserve"> </w:t>
      </w:r>
      <w:r w:rsidRPr="00827D05">
        <w:rPr>
          <w:rFonts w:cs="Segoe UI Light"/>
          <w:szCs w:val="20"/>
        </w:rPr>
        <w:t>knowledge means that there is an understanding of what good environmental practice or good management of an environmental harm</w:t>
      </w:r>
      <w:r>
        <w:rPr>
          <w:rFonts w:cs="Segoe UI Light"/>
          <w:szCs w:val="20"/>
        </w:rPr>
        <w:t xml:space="preserve"> and human health</w:t>
      </w:r>
      <w:r w:rsidRPr="00827D05">
        <w:rPr>
          <w:rFonts w:cs="Segoe UI Light"/>
          <w:szCs w:val="20"/>
        </w:rPr>
        <w:t xml:space="preserve"> currently looks like. </w:t>
      </w:r>
      <w:r>
        <w:rPr>
          <w:rFonts w:cs="Segoe UI Light"/>
          <w:szCs w:val="20"/>
        </w:rPr>
        <w:t xml:space="preserve">There will also be </w:t>
      </w:r>
      <w:r w:rsidRPr="004F1747">
        <w:rPr>
          <w:rFonts w:cs="Segoe UI Light"/>
          <w:szCs w:val="20"/>
        </w:rPr>
        <w:t xml:space="preserve">existing business practices and processes in place to meet current obligations. However, this does not mean that all duty holders would </w:t>
      </w:r>
      <w:r w:rsidR="00B24AC2" w:rsidRPr="004F1747">
        <w:rPr>
          <w:rFonts w:cs="Segoe UI Light"/>
          <w:szCs w:val="20"/>
        </w:rPr>
        <w:t>manage risks to the same extent</w:t>
      </w:r>
      <w:r w:rsidRPr="004F1747">
        <w:rPr>
          <w:rFonts w:cs="Segoe UI Light"/>
          <w:szCs w:val="20"/>
        </w:rPr>
        <w:t xml:space="preserve">, and new entrants to the industry may not </w:t>
      </w:r>
      <w:r w:rsidR="00541BF8" w:rsidRPr="004F1747">
        <w:rPr>
          <w:rFonts w:cs="Segoe UI Light"/>
          <w:szCs w:val="20"/>
        </w:rPr>
        <w:t xml:space="preserve">have </w:t>
      </w:r>
      <w:r w:rsidRPr="004F1747">
        <w:rPr>
          <w:rFonts w:cs="Segoe UI Light"/>
          <w:szCs w:val="20"/>
        </w:rPr>
        <w:t xml:space="preserve">this knowledge at all. </w:t>
      </w:r>
      <w:r w:rsidRPr="004F1747">
        <w:t>Without intervention</w:t>
      </w:r>
      <w:r>
        <w:t>, the positive impacts of this knowledge would likely decline over time.</w:t>
      </w:r>
    </w:p>
    <w:p w14:paraId="656AFED6" w14:textId="77777777" w:rsidR="00A25A1E" w:rsidRPr="00AB0587" w:rsidRDefault="00A25A1E" w:rsidP="00982D63">
      <w:pPr>
        <w:pStyle w:val="Heading2"/>
      </w:pPr>
      <w:bookmarkStart w:id="532" w:name="_Ref7440381"/>
      <w:r w:rsidRPr="00AB0587">
        <w:t>Specific problem being addressed by this RIS</w:t>
      </w:r>
      <w:bookmarkEnd w:id="532"/>
    </w:p>
    <w:p w14:paraId="656AFED7" w14:textId="77777777" w:rsidR="00A25A1E" w:rsidRDefault="00A25A1E" w:rsidP="00A25A1E">
      <w:pPr>
        <w:mirrorIndents/>
        <w:rPr>
          <w:rFonts w:cs="Segoe UI Light"/>
        </w:rPr>
      </w:pPr>
      <w:r w:rsidRPr="00827D05">
        <w:rPr>
          <w:rFonts w:cs="Segoe UI Light"/>
          <w:szCs w:val="20"/>
        </w:rPr>
        <w:t xml:space="preserve">The </w:t>
      </w:r>
      <w:r>
        <w:rPr>
          <w:rFonts w:cs="Segoe UI Light"/>
          <w:szCs w:val="20"/>
        </w:rPr>
        <w:t>new EP legislation</w:t>
      </w:r>
      <w:r w:rsidRPr="00827D05">
        <w:rPr>
          <w:rFonts w:cs="Segoe UI Light"/>
          <w:szCs w:val="20"/>
        </w:rPr>
        <w:t xml:space="preserve"> is the cornerstone of the new Victorian environment protection regime. </w:t>
      </w:r>
      <w:r>
        <w:rPr>
          <w:rFonts w:cs="Segoe UI Light"/>
          <w:szCs w:val="20"/>
        </w:rPr>
        <w:t>It</w:t>
      </w:r>
      <w:r w:rsidRPr="00827D05">
        <w:rPr>
          <w:rFonts w:cs="Segoe UI Light"/>
          <w:szCs w:val="20"/>
        </w:rPr>
        <w:t xml:space="preserve"> seeks to address the overarching problem of risk of harms to human health and the environment from pollution and waste through a</w:t>
      </w:r>
      <w:r w:rsidRPr="00827D05">
        <w:rPr>
          <w:rFonts w:cs="Segoe UI Light"/>
        </w:rPr>
        <w:t xml:space="preserve"> high-level framework of controls including the GED and other obligations and duties.</w:t>
      </w:r>
    </w:p>
    <w:p w14:paraId="656AFED8" w14:textId="77777777" w:rsidR="00A25A1E" w:rsidRPr="00827D05" w:rsidRDefault="00A25A1E" w:rsidP="00A25A1E">
      <w:pPr>
        <w:mirrorIndents/>
        <w:rPr>
          <w:rFonts w:cs="Segoe UI Light"/>
          <w:szCs w:val="20"/>
        </w:rPr>
      </w:pPr>
      <w:r w:rsidRPr="00827D05">
        <w:rPr>
          <w:rFonts w:cs="Segoe UI Light"/>
          <w:szCs w:val="20"/>
        </w:rPr>
        <w:t xml:space="preserve">The general nature of the GED means that it covers a variety of circumstances and risks. </w:t>
      </w:r>
      <w:r w:rsidR="00DB4AE9" w:rsidRPr="00827D05">
        <w:rPr>
          <w:rFonts w:cs="Segoe UI Light"/>
          <w:szCs w:val="20"/>
        </w:rPr>
        <w:t xml:space="preserve">This might be adequate for many of the risks </w:t>
      </w:r>
      <w:r w:rsidR="00DB4AE9">
        <w:rPr>
          <w:rFonts w:cs="Segoe UI Light"/>
          <w:szCs w:val="20"/>
        </w:rPr>
        <w:t>to the environment and human health</w:t>
      </w:r>
      <w:r w:rsidR="003C5103">
        <w:rPr>
          <w:rFonts w:cs="Segoe UI Light"/>
          <w:szCs w:val="20"/>
        </w:rPr>
        <w:t>,</w:t>
      </w:r>
      <w:r w:rsidRPr="00827D05">
        <w:rPr>
          <w:rFonts w:cs="Segoe UI Light"/>
          <w:szCs w:val="20"/>
        </w:rPr>
        <w:t xml:space="preserve"> particularly in preventing and/or prosecuting extreme or catastrophic instances where duty holders are clearly in contravention of the GED</w:t>
      </w:r>
      <w:r>
        <w:rPr>
          <w:rFonts w:cs="Segoe UI Light"/>
          <w:szCs w:val="20"/>
        </w:rPr>
        <w:t xml:space="preserve">. It is also more likely to be adequate </w:t>
      </w:r>
      <w:r w:rsidRPr="006175B3">
        <w:rPr>
          <w:rFonts w:cs="Segoe UI Light"/>
          <w:szCs w:val="20"/>
        </w:rPr>
        <w:t xml:space="preserve">where alternative approaches to complying with the duty might be </w:t>
      </w:r>
      <w:r w:rsidR="00654DCD">
        <w:rPr>
          <w:rFonts w:cs="Segoe UI Light"/>
          <w:szCs w:val="20"/>
        </w:rPr>
        <w:t>available</w:t>
      </w:r>
      <w:r w:rsidRPr="00827D05">
        <w:rPr>
          <w:rFonts w:cs="Segoe UI Light"/>
          <w:szCs w:val="20"/>
        </w:rPr>
        <w:t xml:space="preserve">. Other duties and obligations in the </w:t>
      </w:r>
      <w:r>
        <w:rPr>
          <w:rFonts w:cs="Segoe UI Light"/>
          <w:szCs w:val="20"/>
        </w:rPr>
        <w:t>new EP legislation</w:t>
      </w:r>
      <w:r w:rsidRPr="00827D05">
        <w:rPr>
          <w:rFonts w:cs="Segoe UI Light"/>
          <w:szCs w:val="20"/>
        </w:rPr>
        <w:t xml:space="preserve"> aim to mitigate some specific risks not covered by the GED. For example, the duties to notify EPA of pollution incidents and to notify EPA of, and manage, contaminated sites.</w:t>
      </w:r>
    </w:p>
    <w:p w14:paraId="656AFED9" w14:textId="77777777" w:rsidR="00A25A1E" w:rsidRPr="00827D05" w:rsidRDefault="00A25A1E" w:rsidP="00A25A1E">
      <w:pPr>
        <w:mirrorIndents/>
      </w:pPr>
      <w:r w:rsidRPr="00827D05">
        <w:rPr>
          <w:rFonts w:cs="Segoe UI Light"/>
          <w:szCs w:val="20"/>
        </w:rPr>
        <w:t xml:space="preserve">However, these duties and obligations have a range of limitations. </w:t>
      </w:r>
      <w:r w:rsidR="00980997">
        <w:rPr>
          <w:rFonts w:cs="Segoe UI Light"/>
          <w:szCs w:val="20"/>
        </w:rPr>
        <w:t>S</w:t>
      </w:r>
      <w:r w:rsidRPr="00827D05">
        <w:rPr>
          <w:rFonts w:cs="Segoe UI Light"/>
          <w:szCs w:val="20"/>
        </w:rPr>
        <w:t>pecifically, s</w:t>
      </w:r>
      <w:r w:rsidRPr="00827D05">
        <w:t xml:space="preserve">ole reliance on the GED and other duties set out in the EP Act 2017, in the absence </w:t>
      </w:r>
      <w:r w:rsidRPr="00827D05">
        <w:rPr>
          <w:bCs/>
        </w:rPr>
        <w:t xml:space="preserve">of other interventions, </w:t>
      </w:r>
      <w:r w:rsidR="00FA50CC">
        <w:t>may create</w:t>
      </w:r>
      <w:r w:rsidR="00FA50CC" w:rsidRPr="00827D05">
        <w:t xml:space="preserve"> </w:t>
      </w:r>
      <w:r w:rsidRPr="00827D05">
        <w:t xml:space="preserve">the following </w:t>
      </w:r>
      <w:r w:rsidR="00C02CC9">
        <w:t>kinds of</w:t>
      </w:r>
      <w:r w:rsidRPr="00827D05">
        <w:t xml:space="preserve"> residual risks: </w:t>
      </w:r>
    </w:p>
    <w:p w14:paraId="656AFEDA" w14:textId="77777777" w:rsidR="00DB4AE9" w:rsidRDefault="00DB4AE9" w:rsidP="00DB4AE9">
      <w:pPr>
        <w:numPr>
          <w:ilvl w:val="0"/>
          <w:numId w:val="21"/>
        </w:numPr>
        <w:tabs>
          <w:tab w:val="left" w:pos="709"/>
        </w:tabs>
        <w:ind w:left="709" w:hanging="283"/>
        <w:contextualSpacing/>
        <w:mirrorIndents/>
      </w:pPr>
      <w:r w:rsidRPr="00827D05">
        <w:rPr>
          <w:b/>
        </w:rPr>
        <w:t>Reliance on the current state of knowledge built up by businesses and individuals under the old Victorian regime may be inadequate for the long-term future of environmental protection</w:t>
      </w:r>
      <w:r w:rsidRPr="00827D05">
        <w:t xml:space="preserve">. </w:t>
      </w:r>
      <w:r>
        <w:t xml:space="preserve">Even if compliance with the existing regime was sufficient to satisfy the new EP legislation, without further intervention </w:t>
      </w:r>
      <w:r w:rsidR="00A64E64">
        <w:t>DELWP/EPA</w:t>
      </w:r>
      <w:r>
        <w:t xml:space="preserve"> anticipate that there will </w:t>
      </w:r>
      <w:r w:rsidR="00A64E64">
        <w:t xml:space="preserve">be </w:t>
      </w:r>
      <w:r>
        <w:t>a decline over time by some duty holders in relation to activities undertaken and their approach to the management of risks of harm. Additionally, without further intervention, cost pressures, competition</w:t>
      </w:r>
      <w:r w:rsidR="00EE4AB5">
        <w:t>,</w:t>
      </w:r>
      <w:r>
        <w:t xml:space="preserve"> and the entry of new stakeholders may result in a decline of compliance with the general duties and obligations</w:t>
      </w:r>
      <w:r w:rsidR="003455D8">
        <w:t xml:space="preserve"> and the risk of mismanagement</w:t>
      </w:r>
      <w:r>
        <w:t>.</w:t>
      </w:r>
    </w:p>
    <w:p w14:paraId="656AFEDB" w14:textId="77777777" w:rsidR="00DB4AE9" w:rsidRPr="00827D05" w:rsidRDefault="00DB4AE9" w:rsidP="00DB4AE9">
      <w:pPr>
        <w:numPr>
          <w:ilvl w:val="0"/>
          <w:numId w:val="21"/>
        </w:numPr>
        <w:tabs>
          <w:tab w:val="left" w:pos="709"/>
        </w:tabs>
        <w:ind w:left="709" w:hanging="283"/>
        <w:contextualSpacing/>
        <w:mirrorIndents/>
      </w:pPr>
      <w:r w:rsidRPr="00827D05">
        <w:rPr>
          <w:b/>
        </w:rPr>
        <w:t xml:space="preserve">Reversion to compliance against the current (EP Act 1970) legislative framework may, in </w:t>
      </w:r>
      <w:r>
        <w:rPr>
          <w:b/>
        </w:rPr>
        <w:t>some</w:t>
      </w:r>
      <w:r w:rsidRPr="00827D05">
        <w:rPr>
          <w:b/>
        </w:rPr>
        <w:t xml:space="preserve"> instances, not </w:t>
      </w:r>
      <w:r>
        <w:rPr>
          <w:b/>
        </w:rPr>
        <w:t>be compliant</w:t>
      </w:r>
      <w:r w:rsidRPr="00827D05">
        <w:rPr>
          <w:b/>
        </w:rPr>
        <w:t xml:space="preserve"> with the new regime.</w:t>
      </w:r>
      <w:r w:rsidRPr="00827D05">
        <w:t xml:space="preserve"> Businesses and individuals might undertake activities to manage the risks from pollution and waste that they create as a result of the knowledge and processes built up over many years of being subject to the regulatory regime </w:t>
      </w:r>
      <w:r>
        <w:t xml:space="preserve">under the EP Act 1970 </w:t>
      </w:r>
      <w:r w:rsidRPr="00827D05">
        <w:t>(e.g. limiting air emissions</w:t>
      </w:r>
      <w:r>
        <w:t xml:space="preserve"> only</w:t>
      </w:r>
      <w:r w:rsidRPr="00827D05">
        <w:t xml:space="preserve"> to licensed limits</w:t>
      </w:r>
      <w:r>
        <w:t>, rather than minimising so far as reasonably practicable</w:t>
      </w:r>
      <w:r w:rsidRPr="00827D05">
        <w:t xml:space="preserve">). This may not satisfy the requirements of the </w:t>
      </w:r>
      <w:r>
        <w:t>new EP legislation</w:t>
      </w:r>
      <w:r w:rsidRPr="00827D05">
        <w:t>, particularly where new duties (such as the duty to notify of contaminated land</w:t>
      </w:r>
      <w:r>
        <w:t xml:space="preserve"> and duty to manage contaminated land</w:t>
      </w:r>
      <w:r w:rsidRPr="00827D05">
        <w:t xml:space="preserve">) have been introduced. </w:t>
      </w:r>
    </w:p>
    <w:p w14:paraId="656AFEDC" w14:textId="77777777" w:rsidR="00DB4AE9" w:rsidRDefault="00DB4AE9" w:rsidP="00DB4AE9">
      <w:pPr>
        <w:numPr>
          <w:ilvl w:val="0"/>
          <w:numId w:val="21"/>
        </w:numPr>
        <w:tabs>
          <w:tab w:val="left" w:pos="709"/>
        </w:tabs>
        <w:ind w:left="709" w:hanging="283"/>
        <w:contextualSpacing/>
        <w:mirrorIndents/>
        <w:rPr>
          <w:rFonts w:cs="Segoe UI Light"/>
          <w:szCs w:val="20"/>
        </w:rPr>
      </w:pPr>
      <w:r w:rsidRPr="00827D05">
        <w:rPr>
          <w:rFonts w:cs="Segoe UI Light"/>
          <w:b/>
          <w:szCs w:val="22"/>
        </w:rPr>
        <w:t xml:space="preserve">Certain duties and requirements outlined in the </w:t>
      </w:r>
      <w:r>
        <w:rPr>
          <w:rFonts w:cs="Segoe UI Light"/>
          <w:b/>
          <w:szCs w:val="22"/>
        </w:rPr>
        <w:t>new EP legislation</w:t>
      </w:r>
      <w:r w:rsidRPr="00827D05">
        <w:rPr>
          <w:rFonts w:cs="Segoe UI Light"/>
          <w:b/>
          <w:szCs w:val="22"/>
        </w:rPr>
        <w:t xml:space="preserve"> can only become enforceable with prescription in subordinate legislation. </w:t>
      </w:r>
      <w:r w:rsidRPr="00827D05">
        <w:rPr>
          <w:rFonts w:cs="Segoe UI Light"/>
          <w:szCs w:val="22"/>
        </w:rPr>
        <w:t>These include, for example, definitions for priority waste classifications</w:t>
      </w:r>
      <w:r>
        <w:rPr>
          <w:rFonts w:cs="Segoe UI Light"/>
          <w:szCs w:val="22"/>
        </w:rPr>
        <w:t>, or the activities prescribed to require a licence, permit or registration</w:t>
      </w:r>
      <w:r w:rsidRPr="00827D05">
        <w:rPr>
          <w:rFonts w:cs="Segoe UI Light"/>
          <w:szCs w:val="22"/>
        </w:rPr>
        <w:t>. Lack of subordinate legislation supporting the duties may leave them unenforceable and exposes humans and the environment to the full risks that these duties aim to protect</w:t>
      </w:r>
      <w:r>
        <w:rPr>
          <w:rFonts w:cs="Segoe UI Light"/>
          <w:szCs w:val="22"/>
        </w:rPr>
        <w:t xml:space="preserve">. </w:t>
      </w:r>
      <w:r>
        <w:t>Legislated obligations and duties requiring further prescription to become enforceable</w:t>
      </w:r>
      <w:r w:rsidRPr="00827D05">
        <w:t xml:space="preserve"> </w:t>
      </w:r>
      <w:r>
        <w:rPr>
          <w:rFonts w:cs="Segoe UI Light"/>
          <w:szCs w:val="22"/>
        </w:rPr>
        <w:t xml:space="preserve">are </w:t>
      </w:r>
      <w:r w:rsidRPr="00827D05">
        <w:rPr>
          <w:rFonts w:cs="Segoe UI Light"/>
          <w:szCs w:val="22"/>
        </w:rPr>
        <w:t>detailed further in</w:t>
      </w:r>
      <w:r>
        <w:rPr>
          <w:rFonts w:cs="Segoe UI Light"/>
          <w:szCs w:val="22"/>
        </w:rPr>
        <w:t xml:space="preserve"> </w:t>
      </w:r>
      <w:r>
        <w:rPr>
          <w:rFonts w:cs="Segoe UI Light"/>
          <w:color w:val="2B579A"/>
          <w:szCs w:val="22"/>
          <w:shd w:val="clear" w:color="auto" w:fill="E6E6E6"/>
        </w:rPr>
        <w:fldChar w:fldCharType="begin"/>
      </w:r>
      <w:r>
        <w:rPr>
          <w:rFonts w:cs="Segoe UI Light"/>
          <w:szCs w:val="22"/>
        </w:rPr>
        <w:instrText xml:space="preserve"> REF _Ref7439919 \h </w:instrText>
      </w:r>
      <w:r>
        <w:rPr>
          <w:rFonts w:cs="Segoe UI Light"/>
          <w:color w:val="2B579A"/>
          <w:szCs w:val="22"/>
          <w:shd w:val="clear" w:color="auto" w:fill="E6E6E6"/>
        </w:rPr>
      </w:r>
      <w:r>
        <w:rPr>
          <w:rFonts w:cs="Segoe UI Light"/>
          <w:color w:val="2B579A"/>
          <w:szCs w:val="22"/>
          <w:shd w:val="clear" w:color="auto" w:fill="E6E6E6"/>
        </w:rPr>
        <w:fldChar w:fldCharType="separate"/>
      </w:r>
      <w:r w:rsidR="00B11C1E">
        <w:t xml:space="preserve">Table </w:t>
      </w:r>
      <w:r w:rsidR="00B11C1E">
        <w:rPr>
          <w:noProof/>
        </w:rPr>
        <w:t>3</w:t>
      </w:r>
      <w:r w:rsidR="00B11C1E">
        <w:noBreakHyphen/>
      </w:r>
      <w:r w:rsidR="00B11C1E">
        <w:rPr>
          <w:noProof/>
        </w:rPr>
        <w:t>2</w:t>
      </w:r>
      <w:r>
        <w:rPr>
          <w:rFonts w:cs="Segoe UI Light"/>
          <w:color w:val="2B579A"/>
          <w:szCs w:val="22"/>
          <w:shd w:val="clear" w:color="auto" w:fill="E6E6E6"/>
        </w:rPr>
        <w:fldChar w:fldCharType="end"/>
      </w:r>
      <w:r w:rsidR="00BE69BC">
        <w:rPr>
          <w:rFonts w:cs="Segoe UI Light"/>
          <w:szCs w:val="22"/>
        </w:rPr>
        <w:t>.</w:t>
      </w:r>
    </w:p>
    <w:p w14:paraId="656AFEDD" w14:textId="77777777" w:rsidR="00DB4AE9" w:rsidRPr="000A2798" w:rsidRDefault="00DB4AE9" w:rsidP="00DB4AE9">
      <w:pPr>
        <w:numPr>
          <w:ilvl w:val="0"/>
          <w:numId w:val="21"/>
        </w:numPr>
        <w:tabs>
          <w:tab w:val="left" w:pos="709"/>
        </w:tabs>
        <w:ind w:left="709" w:hanging="283"/>
        <w:contextualSpacing/>
        <w:mirrorIndents/>
      </w:pPr>
      <w:r w:rsidRPr="00D85A7F">
        <w:rPr>
          <w:b/>
        </w:rPr>
        <w:t xml:space="preserve">Subordinate legislation may also be needed to support </w:t>
      </w:r>
      <w:r>
        <w:rPr>
          <w:b/>
        </w:rPr>
        <w:t>EPA</w:t>
      </w:r>
      <w:r w:rsidRPr="00D85A7F">
        <w:rPr>
          <w:b/>
        </w:rPr>
        <w:t>’s power to request particular actions from duty holders</w:t>
      </w:r>
      <w:r w:rsidRPr="00827D05">
        <w:t xml:space="preserve">. For example, </w:t>
      </w:r>
      <w:r>
        <w:t>absence of a permissions framework means EPA would be operating without a structured and transparent framework within which to request certain actions</w:t>
      </w:r>
      <w:r w:rsidRPr="00827D05">
        <w:t xml:space="preserve"> </w:t>
      </w:r>
      <w:r w:rsidR="003455D8">
        <w:t>which address areas where there is a significant risk of harm</w:t>
      </w:r>
      <w:r w:rsidRPr="00827D05">
        <w:t xml:space="preserve"> </w:t>
      </w:r>
      <w:r>
        <w:t xml:space="preserve">e.g. </w:t>
      </w:r>
      <w:r w:rsidRPr="00827D05">
        <w:t>request a generator of air emissions to model or monitor their air emissions</w:t>
      </w:r>
      <w:r>
        <w:t>.</w:t>
      </w:r>
    </w:p>
    <w:p w14:paraId="656AFEDE" w14:textId="77777777" w:rsidR="00DB4AE9" w:rsidRPr="00827D05" w:rsidRDefault="00DB4AE9" w:rsidP="00DB4AE9">
      <w:pPr>
        <w:numPr>
          <w:ilvl w:val="0"/>
          <w:numId w:val="21"/>
        </w:numPr>
        <w:tabs>
          <w:tab w:val="left" w:pos="709"/>
        </w:tabs>
        <w:ind w:left="709" w:hanging="283"/>
        <w:contextualSpacing/>
        <w:mirrorIndents/>
      </w:pPr>
      <w:r>
        <w:rPr>
          <w:b/>
          <w:noProof/>
          <w:color w:val="2B579A"/>
          <w:shd w:val="clear" w:color="auto" w:fill="E6E6E6"/>
          <w:lang w:eastAsia="en-AU"/>
        </w:rPr>
        <w:drawing>
          <wp:anchor distT="0" distB="0" distL="114300" distR="114300" simplePos="0" relativeHeight="251658272" behindDoc="0" locked="0" layoutInCell="1" allowOverlap="1" wp14:anchorId="656B1E76" wp14:editId="656B1E77">
            <wp:simplePos x="0" y="0"/>
            <wp:positionH relativeFrom="column">
              <wp:posOffset>9012920</wp:posOffset>
            </wp:positionH>
            <wp:positionV relativeFrom="paragraph">
              <wp:posOffset>870300</wp:posOffset>
            </wp:positionV>
            <wp:extent cx="360" cy="360"/>
            <wp:effectExtent l="57150" t="38100" r="38100" b="57150"/>
            <wp:wrapNone/>
            <wp:docPr id="1048826430" name="Ink 1797047318"/>
            <wp:cNvGraphicFramePr/>
            <a:graphic xmlns:a="http://schemas.openxmlformats.org/drawingml/2006/main">
              <a:graphicData uri="http://schemas.openxmlformats.org/drawingml/2006/picture">
                <pic:pic xmlns:pic="http://schemas.openxmlformats.org/drawingml/2006/picture">
                  <pic:nvPicPr>
                    <pic:cNvPr id="1797047318" name="Ink 1797047318"/>
                    <pic:cNvPicPr/>
                  </pic:nvPicPr>
                  <pic:blipFill>
                    <a:blip r:embed="rId35"/>
                    <a:stretch>
                      <a:fillRect/>
                    </a:stretch>
                  </pic:blipFill>
                  <pic:spPr>
                    <a:xfrm>
                      <a:off x="0" y="0"/>
                      <a:ext cx="36000" cy="216000"/>
                    </a:xfrm>
                    <a:prstGeom prst="rect">
                      <a:avLst/>
                    </a:prstGeom>
                  </pic:spPr>
                </pic:pic>
              </a:graphicData>
            </a:graphic>
          </wp:anchor>
        </w:drawing>
      </w:r>
      <w:r w:rsidRPr="64479AEC">
        <w:rPr>
          <w:b/>
        </w:rPr>
        <w:t>Relying only on the duties specified in the new EP legislation could result in unnecessary uncertainty about what constitutes compliance and in some cases this could result in either over- or under-compliance</w:t>
      </w:r>
      <w:r w:rsidRPr="00827D05">
        <w:t xml:space="preserve">. This may lead to either higher costs to business caused by over-compliance, or adverse environmental outcomes (such as an increase in pollution or mismanagement of waste materials) resulting from insufficient action. Without further direction, duty holders may have to determine for themselves – at their own cost – when and how to directly identify, assess and control risks. </w:t>
      </w:r>
      <w:r w:rsidR="009C4F82" w:rsidRPr="00494A7B">
        <w:t>This problem may be overcome in the medium-long term through test-cases in the courts to establish precedents and an understanding of what the required standards of behaviour are, but this may take several years and be very costly.</w:t>
      </w:r>
    </w:p>
    <w:p w14:paraId="656AFEDF" w14:textId="77777777" w:rsidR="00DB4AE9" w:rsidRPr="006175B3" w:rsidRDefault="00DB4AE9" w:rsidP="00DB4AE9">
      <w:pPr>
        <w:numPr>
          <w:ilvl w:val="0"/>
          <w:numId w:val="21"/>
        </w:numPr>
        <w:tabs>
          <w:tab w:val="left" w:pos="709"/>
        </w:tabs>
        <w:ind w:left="709" w:hanging="283"/>
        <w:contextualSpacing/>
        <w:mirrorIndents/>
        <w:rPr>
          <w:sz w:val="18"/>
        </w:rPr>
      </w:pPr>
      <w:r w:rsidRPr="002D2031">
        <w:rPr>
          <w:b/>
        </w:rPr>
        <w:t xml:space="preserve">Duty holders lack information on the consequences of their actions, or the </w:t>
      </w:r>
      <w:r w:rsidRPr="004F1747">
        <w:rPr>
          <w:b/>
        </w:rPr>
        <w:t>incentives to implement appropriate risk control measures that protect the environment and human health.</w:t>
      </w:r>
      <w:r w:rsidRPr="004F1747">
        <w:t xml:space="preserve"> Duty holders might not</w:t>
      </w:r>
      <w:r w:rsidR="00574284" w:rsidRPr="004F1747">
        <w:t xml:space="preserve"> reasonably</w:t>
      </w:r>
      <w:r w:rsidRPr="004F1747">
        <w:t xml:space="preserve"> see or understand the consequences of their actions (for example, because impacts might be dispersed such</w:t>
      </w:r>
      <w:r>
        <w:t xml:space="preserve"> as in the case of vehicle emissions or not visible such as </w:t>
      </w:r>
      <w:r w:rsidRPr="009B3399">
        <w:t xml:space="preserve">in the case of some </w:t>
      </w:r>
      <w:r w:rsidRPr="008D7E21">
        <w:t>pollution of contaminated land)</w:t>
      </w:r>
      <w:r w:rsidRPr="006401A5">
        <w:t xml:space="preserve">. </w:t>
      </w:r>
      <w:r w:rsidRPr="006175B3">
        <w:t xml:space="preserve">Costs to the environment and human health from waste and pollution are often also externalised </w:t>
      </w:r>
      <w:r w:rsidRPr="009B3399">
        <w:t xml:space="preserve">rather </w:t>
      </w:r>
      <w:r w:rsidRPr="006175B3">
        <w:t>than borne by the duty holder.</w:t>
      </w:r>
      <w:r w:rsidRPr="009B3399">
        <w:t xml:space="preserve"> </w:t>
      </w:r>
      <w:r w:rsidR="004F1747">
        <w:t xml:space="preserve">These costs are </w:t>
      </w:r>
      <w:r w:rsidRPr="008D7E21">
        <w:t xml:space="preserve">commonly referred to as </w:t>
      </w:r>
      <w:r w:rsidRPr="006175B3">
        <w:t>externalities or spill</w:t>
      </w:r>
      <w:r w:rsidR="004F1747">
        <w:t>-</w:t>
      </w:r>
      <w:r w:rsidRPr="006175B3">
        <w:t>overs</w:t>
      </w:r>
      <w:r w:rsidRPr="009B3399">
        <w:t xml:space="preserve">. </w:t>
      </w:r>
    </w:p>
    <w:p w14:paraId="656AFEE0" w14:textId="77777777" w:rsidR="00DB4AE9" w:rsidRDefault="00DB4AE9" w:rsidP="00DB4AE9">
      <w:pPr>
        <w:numPr>
          <w:ilvl w:val="0"/>
          <w:numId w:val="21"/>
        </w:numPr>
        <w:tabs>
          <w:tab w:val="left" w:pos="709"/>
        </w:tabs>
        <w:ind w:left="709" w:hanging="283"/>
        <w:contextualSpacing/>
        <w:mirrorIndents/>
      </w:pPr>
      <w:r w:rsidRPr="00D85A7F">
        <w:rPr>
          <w:b/>
        </w:rPr>
        <w:t xml:space="preserve">The </w:t>
      </w:r>
      <w:r>
        <w:rPr>
          <w:b/>
        </w:rPr>
        <w:t>new EP legislation</w:t>
      </w:r>
      <w:r w:rsidRPr="00D85A7F">
        <w:rPr>
          <w:b/>
        </w:rPr>
        <w:t xml:space="preserve"> </w:t>
      </w:r>
      <w:r>
        <w:rPr>
          <w:b/>
        </w:rPr>
        <w:t>has</w:t>
      </w:r>
      <w:r w:rsidRPr="00D85A7F">
        <w:rPr>
          <w:b/>
        </w:rPr>
        <w:t xml:space="preserve"> limited capacity to achieve the Government’s objective of reducing reliance on landfills and encouraging resource recovery and reuse</w:t>
      </w:r>
      <w:r w:rsidRPr="00827D05">
        <w:t xml:space="preserve">. While the </w:t>
      </w:r>
      <w:r w:rsidR="00CE519E">
        <w:t>new EP legislation</w:t>
      </w:r>
      <w:r w:rsidRPr="00827D05">
        <w:t xml:space="preserve"> introduces tailored control for priority waste categories, it does not specify types of priority waste. The GED (which requires duty holders to take reasonable steps to prevent risk of harm to human health and the environment) is unlikely to readily apply to actions surrounding the generation, handling and disposal of non-hazardous waste.</w:t>
      </w:r>
    </w:p>
    <w:p w14:paraId="656AFEE1" w14:textId="77777777" w:rsidR="000159B4" w:rsidRPr="000159B4" w:rsidRDefault="000159B4" w:rsidP="000159B4">
      <w:pPr>
        <w:tabs>
          <w:tab w:val="left" w:pos="709"/>
        </w:tabs>
        <w:contextualSpacing/>
        <w:mirrorIndents/>
      </w:pPr>
    </w:p>
    <w:p w14:paraId="656AFEE2" w14:textId="77777777" w:rsidR="00A25A1E" w:rsidRPr="00827D05" w:rsidRDefault="00275036" w:rsidP="00A82354">
      <w:pPr>
        <w:spacing w:before="120"/>
        <w:mirrorIndents/>
      </w:pPr>
      <w:r>
        <w:rPr>
          <w:rFonts w:cs="Segoe UI Light"/>
          <w:color w:val="2B579A"/>
          <w:szCs w:val="20"/>
          <w:shd w:val="clear" w:color="auto" w:fill="E6E6E6"/>
        </w:rPr>
        <w:fldChar w:fldCharType="begin"/>
      </w:r>
      <w:r>
        <w:rPr>
          <w:rFonts w:cs="Segoe UI Light"/>
          <w:szCs w:val="20"/>
        </w:rPr>
        <w:instrText xml:space="preserve"> REF _Ref7439919 \h </w:instrText>
      </w:r>
      <w:r>
        <w:rPr>
          <w:rFonts w:cs="Segoe UI Light"/>
          <w:color w:val="2B579A"/>
          <w:szCs w:val="20"/>
          <w:shd w:val="clear" w:color="auto" w:fill="E6E6E6"/>
        </w:rPr>
      </w:r>
      <w:r>
        <w:rPr>
          <w:rFonts w:cs="Segoe UI Light"/>
          <w:color w:val="2B579A"/>
          <w:szCs w:val="20"/>
          <w:shd w:val="clear" w:color="auto" w:fill="E6E6E6"/>
        </w:rPr>
        <w:fldChar w:fldCharType="separate"/>
      </w:r>
      <w:r w:rsidR="00B11C1E">
        <w:t xml:space="preserve">Table </w:t>
      </w:r>
      <w:r w:rsidR="00B11C1E">
        <w:rPr>
          <w:noProof/>
        </w:rPr>
        <w:t>3</w:t>
      </w:r>
      <w:r w:rsidR="00B11C1E">
        <w:noBreakHyphen/>
      </w:r>
      <w:r w:rsidR="00B11C1E">
        <w:rPr>
          <w:noProof/>
        </w:rPr>
        <w:t>2</w:t>
      </w:r>
      <w:r>
        <w:rPr>
          <w:rFonts w:cs="Segoe UI Light"/>
          <w:color w:val="2B579A"/>
          <w:szCs w:val="20"/>
          <w:shd w:val="clear" w:color="auto" w:fill="E6E6E6"/>
        </w:rPr>
        <w:fldChar w:fldCharType="end"/>
      </w:r>
      <w:r w:rsidR="00A25A1E" w:rsidRPr="00827D05">
        <w:rPr>
          <w:rFonts w:cs="Segoe UI Light"/>
          <w:szCs w:val="20"/>
        </w:rPr>
        <w:t xml:space="preserve"> details why regulations are or may be needed to support certain areas of the new legislative framework.</w:t>
      </w:r>
      <w:r w:rsidR="00617462">
        <w:rPr>
          <w:rFonts w:cs="Segoe UI Light"/>
          <w:szCs w:val="20"/>
        </w:rPr>
        <w:t xml:space="preserve"> </w:t>
      </w:r>
    </w:p>
    <w:p w14:paraId="656AFEE3" w14:textId="77777777" w:rsidR="00A82354" w:rsidRDefault="00A82354" w:rsidP="00A82354">
      <w:pPr>
        <w:pStyle w:val="Caption"/>
      </w:pPr>
      <w:bookmarkStart w:id="533" w:name="_Ref7439919"/>
      <w:r>
        <w:t xml:space="preserve">Table </w:t>
      </w:r>
      <w:r w:rsidR="007E575A">
        <w:rPr>
          <w:color w:val="2B579A"/>
          <w:shd w:val="clear" w:color="auto" w:fill="E6E6E6"/>
        </w:rPr>
        <w:fldChar w:fldCharType="begin"/>
      </w:r>
      <w:r w:rsidR="007E575A">
        <w:instrText xml:space="preserve"> STYLEREF 1 \s </w:instrText>
      </w:r>
      <w:r w:rsidR="007E575A">
        <w:rPr>
          <w:color w:val="2B579A"/>
          <w:shd w:val="clear" w:color="auto" w:fill="E6E6E6"/>
        </w:rPr>
        <w:fldChar w:fldCharType="separate"/>
      </w:r>
      <w:r w:rsidR="00B11C1E">
        <w:rPr>
          <w:noProof/>
        </w:rPr>
        <w:t>3</w:t>
      </w:r>
      <w:r w:rsidR="007E575A">
        <w:rPr>
          <w:color w:val="2B579A"/>
          <w:shd w:val="clear" w:color="auto" w:fill="E6E6E6"/>
        </w:rPr>
        <w:fldChar w:fldCharType="end"/>
      </w:r>
      <w:r w:rsidR="007E575A">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2</w:t>
      </w:r>
      <w:r w:rsidR="00997CFA">
        <w:rPr>
          <w:color w:val="2B579A"/>
          <w:shd w:val="clear" w:color="auto" w:fill="E6E6E6"/>
        </w:rPr>
        <w:fldChar w:fldCharType="end"/>
      </w:r>
      <w:bookmarkEnd w:id="533"/>
      <w:r w:rsidRPr="00A82354">
        <w:t xml:space="preserve"> </w:t>
      </w:r>
      <w:r>
        <w:t>Legislated obligations and duties</w:t>
      </w:r>
      <w:r w:rsidR="00CC5E6E">
        <w:t xml:space="preserve">, and </w:t>
      </w:r>
      <w:r w:rsidR="001A6143">
        <w:t xml:space="preserve">examples of </w:t>
      </w:r>
      <w:r w:rsidR="00CC5E6E">
        <w:t>reasons why regulations are (or may be) needed</w:t>
      </w:r>
    </w:p>
    <w:tbl>
      <w:tblPr>
        <w:tblStyle w:val="Deloittetable"/>
        <w:tblW w:w="5000" w:type="pct"/>
        <w:tblLook w:val="04A0" w:firstRow="1" w:lastRow="0" w:firstColumn="1" w:lastColumn="0" w:noHBand="0" w:noVBand="1"/>
      </w:tblPr>
      <w:tblGrid>
        <w:gridCol w:w="4506"/>
        <w:gridCol w:w="5954"/>
      </w:tblGrid>
      <w:tr w:rsidR="00A25A1E" w:rsidRPr="00827D05" w14:paraId="656AFEE6" w14:textId="77777777" w:rsidTr="00A25A1E">
        <w:trPr>
          <w:cnfStyle w:val="100000000000" w:firstRow="1" w:lastRow="0" w:firstColumn="0" w:lastColumn="0" w:oddVBand="0" w:evenVBand="0" w:oddHBand="0" w:evenHBand="0" w:firstRowFirstColumn="0" w:firstRowLastColumn="0" w:lastRowFirstColumn="0" w:lastRowLastColumn="0"/>
          <w:tblHeader/>
        </w:trPr>
        <w:tc>
          <w:tcPr>
            <w:tcW w:w="2154" w:type="pct"/>
          </w:tcPr>
          <w:p w14:paraId="656AFEE4" w14:textId="77777777" w:rsidR="00A25A1E" w:rsidRPr="00D85A7F" w:rsidRDefault="00A25A1E" w:rsidP="00A25A1E">
            <w:pPr>
              <w:tabs>
                <w:tab w:val="left" w:pos="4030"/>
              </w:tabs>
              <w:mirrorIndents/>
              <w:rPr>
                <w:rFonts w:cs="Segoe UI Light"/>
                <w:b/>
                <w:sz w:val="18"/>
              </w:rPr>
            </w:pPr>
            <w:r w:rsidRPr="00D85A7F">
              <w:rPr>
                <w:rFonts w:cs="Segoe UI Light"/>
                <w:b/>
                <w:sz w:val="18"/>
              </w:rPr>
              <w:t>Area of new EP legislation</w:t>
            </w:r>
          </w:p>
        </w:tc>
        <w:tc>
          <w:tcPr>
            <w:tcW w:w="2846" w:type="pct"/>
          </w:tcPr>
          <w:p w14:paraId="656AFEE5" w14:textId="77777777" w:rsidR="00A25A1E" w:rsidRPr="00410F9E" w:rsidRDefault="00A25A1E" w:rsidP="00A25A1E">
            <w:pPr>
              <w:mirrorIndents/>
              <w:rPr>
                <w:rFonts w:cs="Segoe UI Light"/>
                <w:b/>
                <w:sz w:val="18"/>
              </w:rPr>
            </w:pPr>
            <w:r w:rsidRPr="00410F9E">
              <w:rPr>
                <w:rFonts w:cs="Segoe UI Light"/>
                <w:b/>
                <w:sz w:val="18"/>
              </w:rPr>
              <w:t>Why regulations are or may be needed</w:t>
            </w:r>
          </w:p>
        </w:tc>
      </w:tr>
      <w:tr w:rsidR="00A25A1E" w:rsidRPr="00CB20EA" w14:paraId="656AFEE9" w14:textId="77777777" w:rsidTr="00A25A1E">
        <w:tc>
          <w:tcPr>
            <w:tcW w:w="2154" w:type="pct"/>
          </w:tcPr>
          <w:p w14:paraId="656AFEE7" w14:textId="77777777" w:rsidR="00A25A1E" w:rsidRPr="00CB20EA" w:rsidRDefault="00A25A1E" w:rsidP="00A25A1E">
            <w:pPr>
              <w:tabs>
                <w:tab w:val="left" w:pos="4030"/>
              </w:tabs>
              <w:ind w:right="147"/>
              <w:mirrorIndents/>
              <w:rPr>
                <w:rFonts w:cs="Segoe UI Light"/>
                <w:b/>
                <w:sz w:val="18"/>
              </w:rPr>
            </w:pPr>
            <w:r w:rsidRPr="00CB20EA">
              <w:rPr>
                <w:rFonts w:cs="Segoe UI Light"/>
                <w:sz w:val="18"/>
              </w:rPr>
              <w:t>Introduction of permission tiers for activities with different levels of risk and complexity</w:t>
            </w:r>
            <w:r>
              <w:rPr>
                <w:rFonts w:cs="Segoe UI Light"/>
                <w:sz w:val="18"/>
              </w:rPr>
              <w:t>.</w:t>
            </w:r>
          </w:p>
        </w:tc>
        <w:tc>
          <w:tcPr>
            <w:tcW w:w="2846" w:type="pct"/>
          </w:tcPr>
          <w:p w14:paraId="656AFEE8" w14:textId="77777777" w:rsidR="00A25A1E" w:rsidRPr="0039479A" w:rsidRDefault="00A25A1E" w:rsidP="00A33A5B">
            <w:pPr>
              <w:mirrorIndents/>
              <w:rPr>
                <w:rFonts w:cs="Segoe UI Light"/>
                <w:sz w:val="18"/>
              </w:rPr>
            </w:pPr>
            <w:r w:rsidRPr="00410F9E">
              <w:rPr>
                <w:rFonts w:cs="Segoe UI Light"/>
                <w:sz w:val="18"/>
              </w:rPr>
              <w:t>Regulations are required to prescribe which activities require a development</w:t>
            </w:r>
            <w:r w:rsidRPr="00834BC6">
              <w:rPr>
                <w:rFonts w:cs="Segoe UI Light"/>
                <w:sz w:val="18"/>
              </w:rPr>
              <w:t xml:space="preserve"> licence, </w:t>
            </w:r>
            <w:r w:rsidRPr="0039479A">
              <w:rPr>
                <w:rFonts w:cs="Segoe UI Light"/>
                <w:sz w:val="18"/>
              </w:rPr>
              <w:t xml:space="preserve">pilot project licence, operating licence, permit or registration, and which activities may require a financial assurance. The permissions framework </w:t>
            </w:r>
            <w:r w:rsidR="00A33A5B" w:rsidRPr="0040717A">
              <w:rPr>
                <w:rFonts w:cs="Segoe UI Light"/>
                <w:sz w:val="18"/>
              </w:rPr>
              <w:t>cannot function</w:t>
            </w:r>
            <w:r w:rsidR="007902E1" w:rsidRPr="004F1747">
              <w:rPr>
                <w:rFonts w:cs="Segoe UI Light"/>
                <w:sz w:val="18"/>
              </w:rPr>
              <w:t xml:space="preserve"> </w:t>
            </w:r>
            <w:r w:rsidRPr="0039479A">
              <w:rPr>
                <w:rFonts w:cs="Segoe UI Light"/>
                <w:sz w:val="18"/>
              </w:rPr>
              <w:t>without regulations.</w:t>
            </w:r>
          </w:p>
        </w:tc>
      </w:tr>
      <w:tr w:rsidR="00A25A1E" w:rsidRPr="00827D05" w14:paraId="656AFEEC" w14:textId="77777777" w:rsidTr="00A25A1E">
        <w:tc>
          <w:tcPr>
            <w:tcW w:w="2154" w:type="pct"/>
          </w:tcPr>
          <w:p w14:paraId="656AFEEA" w14:textId="77777777" w:rsidR="00A25A1E" w:rsidRPr="00D85A7F" w:rsidRDefault="00A25A1E" w:rsidP="00A25A1E">
            <w:pPr>
              <w:mirrorIndents/>
              <w:rPr>
                <w:rFonts w:cs="Segoe UI Light"/>
                <w:b/>
                <w:sz w:val="18"/>
              </w:rPr>
            </w:pPr>
            <w:r w:rsidRPr="00D85A7F">
              <w:rPr>
                <w:rFonts w:cs="Segoe UI Light"/>
                <w:sz w:val="18"/>
              </w:rPr>
              <w:t xml:space="preserve">Contaminated land – </w:t>
            </w:r>
            <w:r>
              <w:rPr>
                <w:rFonts w:cs="Segoe UI Light"/>
                <w:sz w:val="18"/>
              </w:rPr>
              <w:t>a</w:t>
            </w:r>
            <w:r w:rsidRPr="006175B3">
              <w:rPr>
                <w:rFonts w:cs="Segoe UI Light"/>
                <w:sz w:val="18"/>
              </w:rPr>
              <w:t xml:space="preserve"> new dut</w:t>
            </w:r>
            <w:r>
              <w:rPr>
                <w:rFonts w:cs="Segoe UI Light"/>
                <w:sz w:val="18"/>
              </w:rPr>
              <w:t>y to manage contaminated sites,</w:t>
            </w:r>
            <w:r w:rsidRPr="006175B3">
              <w:rPr>
                <w:rFonts w:cs="Segoe UI Light"/>
                <w:sz w:val="18"/>
              </w:rPr>
              <w:t xml:space="preserve"> and in instances of significant contamination</w:t>
            </w:r>
            <w:r w:rsidR="00DB4AE9">
              <w:rPr>
                <w:rFonts w:cs="Segoe UI Light"/>
                <w:sz w:val="18"/>
              </w:rPr>
              <w:t>, to</w:t>
            </w:r>
            <w:r w:rsidRPr="006175B3">
              <w:rPr>
                <w:rFonts w:cs="Segoe UI Light"/>
                <w:sz w:val="18"/>
              </w:rPr>
              <w:t xml:space="preserve"> also notify EPA</w:t>
            </w:r>
            <w:r>
              <w:rPr>
                <w:rFonts w:cs="Segoe UI Light"/>
                <w:sz w:val="18"/>
              </w:rPr>
              <w:t>.</w:t>
            </w:r>
          </w:p>
        </w:tc>
        <w:tc>
          <w:tcPr>
            <w:tcW w:w="2846" w:type="pct"/>
          </w:tcPr>
          <w:p w14:paraId="656AFEEB" w14:textId="681E9E5B" w:rsidR="00A25A1E" w:rsidRPr="0040717A" w:rsidRDefault="00A25A1E" w:rsidP="00410F9E">
            <w:pPr>
              <w:rPr>
                <w:rFonts w:cs="Segoe UI Light"/>
                <w:sz w:val="16"/>
                <w:szCs w:val="16"/>
              </w:rPr>
            </w:pPr>
            <w:r w:rsidRPr="004F1747">
              <w:rPr>
                <w:rFonts w:cs="Segoe UI Light"/>
                <w:noProof/>
                <w:sz w:val="18"/>
                <w:lang w:eastAsia="en-AU"/>
              </w:rPr>
              <mc:AlternateContent>
                <mc:Choice Requires="wps">
                  <w:drawing>
                    <wp:anchor distT="0" distB="0" distL="114300" distR="114300" simplePos="0" relativeHeight="251658257" behindDoc="0" locked="0" layoutInCell="1" allowOverlap="1" wp14:anchorId="656B1E78" wp14:editId="656B1E79">
                      <wp:simplePos x="0" y="0"/>
                      <wp:positionH relativeFrom="column">
                        <wp:posOffset>1724025</wp:posOffset>
                      </wp:positionH>
                      <wp:positionV relativeFrom="paragraph">
                        <wp:posOffset>688975</wp:posOffset>
                      </wp:positionV>
                      <wp:extent cx="66675" cy="0"/>
                      <wp:effectExtent l="0" t="0" r="0" b="0"/>
                      <wp:wrapNone/>
                      <wp:docPr id="1797047319" name="Straight Connector 1797047319"/>
                      <wp:cNvGraphicFramePr/>
                      <a:graphic xmlns:a="http://schemas.openxmlformats.org/drawingml/2006/main">
                        <a:graphicData uri="http://schemas.microsoft.com/office/word/2010/wordprocessingShape">
                          <wps:wsp>
                            <wps:cNvCnPr/>
                            <wps:spPr>
                              <a:xfrm>
                                <a:off x="0" y="0"/>
                                <a:ext cx="66675"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66ED4E" id="Straight Connector 1797047319"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135.75pt,54.25pt" to="141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" stroked="f"/>
                  </w:pict>
                </mc:Fallback>
              </mc:AlternateContent>
            </w:r>
            <w:r w:rsidRPr="00410F9E">
              <w:rPr>
                <w:rFonts w:cs="Segoe UI Light"/>
                <w:sz w:val="18"/>
              </w:rPr>
              <w:t xml:space="preserve">Lack of prescriptive detail in the new EP legislation </w:t>
            </w:r>
            <w:r w:rsidR="00A6694A" w:rsidRPr="004F1747">
              <w:rPr>
                <w:rFonts w:cs="Segoe UI Light"/>
                <w:sz w:val="18"/>
              </w:rPr>
              <w:t>means there is a lack of certainty with respect to duty holders’ contaminated land management and notification obligations</w:t>
            </w:r>
            <w:r w:rsidR="007902E1" w:rsidRPr="00410F9E">
              <w:rPr>
                <w:rFonts w:cs="Segoe UI Light"/>
                <w:sz w:val="18"/>
              </w:rPr>
              <w:t>.</w:t>
            </w:r>
            <w:r w:rsidR="00A378A2" w:rsidRPr="003E6970">
              <w:rPr>
                <w:rFonts w:cs="Segoe UI Light"/>
                <w:sz w:val="18"/>
              </w:rPr>
              <w:t xml:space="preserve"> If this detail were to be included in regulations, it would provide</w:t>
            </w:r>
            <w:r w:rsidR="00A378A2" w:rsidRPr="00850F5B">
              <w:rPr>
                <w:rFonts w:cs="Segoe UI Light"/>
                <w:sz w:val="18"/>
              </w:rPr>
              <w:t xml:space="preserve"> greater consistency and certainty to duty holders with respect to complying</w:t>
            </w:r>
            <w:r w:rsidR="00A378A2" w:rsidRPr="00B05634">
              <w:rPr>
                <w:rFonts w:cs="Segoe UI Light"/>
                <w:sz w:val="18"/>
              </w:rPr>
              <w:t xml:space="preserve"> with some elements of the new EP legislation, particularly in relation to how contamination is assessed against ‘naturally-occurring concentrations’.</w:t>
            </w:r>
            <w:r w:rsidR="00A378A2">
              <w:rPr>
                <w:rFonts w:cs="Segoe UI Light"/>
                <w:sz w:val="18"/>
              </w:rPr>
              <w:t xml:space="preserve"> </w:t>
            </w:r>
            <w:r w:rsidR="00DB4AE9" w:rsidRPr="0040717A">
              <w:rPr>
                <w:rFonts w:cs="Segoe UI Light"/>
                <w:sz w:val="18"/>
              </w:rPr>
              <w:t xml:space="preserve"> There is also no prescriptive detail for what consists a notifiable contamination of land unless the cost of remediating the contaminated land is likely to exceed $50,000. In time such costs may become clearer, however, in its initial stage, a more prescriptive determination of what is notifiable is desirable to meet the objectives of this notification duty.</w:t>
            </w:r>
          </w:p>
        </w:tc>
      </w:tr>
      <w:tr w:rsidR="00DB4AE9" w:rsidRPr="00827D05" w14:paraId="656AFEEF" w14:textId="77777777" w:rsidTr="00A25A1E">
        <w:tc>
          <w:tcPr>
            <w:tcW w:w="2154" w:type="pct"/>
          </w:tcPr>
          <w:p w14:paraId="656AFEED" w14:textId="77777777" w:rsidR="00DB4AE9" w:rsidRPr="006175B3" w:rsidRDefault="00DB4AE9" w:rsidP="00DB4AE9">
            <w:pPr>
              <w:ind w:right="210"/>
              <w:mirrorIndents/>
              <w:rPr>
                <w:rFonts w:cs="Segoe UI Light"/>
                <w:sz w:val="18"/>
              </w:rPr>
            </w:pPr>
            <w:r w:rsidRPr="00D85A7F">
              <w:rPr>
                <w:rFonts w:cs="Segoe UI Light"/>
                <w:sz w:val="18"/>
              </w:rPr>
              <w:t>Industrial Waste – among the new duties in relation to industrial waste, businesses will be required to demonstrate that reasonable steps were taken to ensure industrial waste is taken to</w:t>
            </w:r>
            <w:r>
              <w:rPr>
                <w:rFonts w:cs="Segoe UI Light"/>
                <w:sz w:val="18"/>
              </w:rPr>
              <w:t xml:space="preserve"> a</w:t>
            </w:r>
            <w:r w:rsidRPr="006175B3">
              <w:rPr>
                <w:rFonts w:cs="Segoe UI Light"/>
                <w:sz w:val="18"/>
              </w:rPr>
              <w:t xml:space="preserve"> place or premises </w:t>
            </w:r>
            <w:r>
              <w:rPr>
                <w:rFonts w:cs="Segoe UI Light"/>
                <w:sz w:val="18"/>
              </w:rPr>
              <w:t xml:space="preserve">that </w:t>
            </w:r>
            <w:r w:rsidRPr="006175B3">
              <w:rPr>
                <w:rFonts w:cs="Segoe UI Light"/>
                <w:sz w:val="18"/>
              </w:rPr>
              <w:t>is authorised to receive industrial waste.</w:t>
            </w:r>
          </w:p>
        </w:tc>
        <w:tc>
          <w:tcPr>
            <w:tcW w:w="2846" w:type="pct"/>
          </w:tcPr>
          <w:p w14:paraId="656AFEEE" w14:textId="77777777" w:rsidR="00DB4AE9" w:rsidRPr="0039479A" w:rsidRDefault="00DB4AE9" w:rsidP="00E922E7">
            <w:pPr>
              <w:rPr>
                <w:rFonts w:cs="Segoe UI Light"/>
                <w:sz w:val="18"/>
              </w:rPr>
            </w:pPr>
            <w:r w:rsidRPr="00410F9E">
              <w:rPr>
                <w:rFonts w:cs="Segoe UI Light"/>
                <w:sz w:val="18"/>
              </w:rPr>
              <w:t>The definition of ‘</w:t>
            </w:r>
            <w:r w:rsidRPr="00834BC6">
              <w:rPr>
                <w:rFonts w:cs="Segoe UI Light"/>
                <w:sz w:val="18"/>
              </w:rPr>
              <w:t>‘authorised to receive industrial waste’</w:t>
            </w:r>
            <w:r w:rsidRPr="0039479A">
              <w:rPr>
                <w:rFonts w:cs="Segoe UI Light"/>
                <w:sz w:val="18"/>
              </w:rPr>
              <w:t xml:space="preserve"> under the new EP legislation is not sufficient. Without defining what a lawful place is,</w:t>
            </w:r>
            <w:r w:rsidR="00A6694A" w:rsidRPr="0040717A">
              <w:rPr>
                <w:rFonts w:cs="Segoe UI Light"/>
                <w:sz w:val="18"/>
              </w:rPr>
              <w:t xml:space="preserve"> there will be significant uncertainty for duty holders in determining where they can deposit waste. This could lead to delays in the waste process as duty holders try to understand how to comply. This is likely to result in increased costs for duty holders (such as seeking EPA or specialist advice). It is also likely to result in higher costs of administering the legislation for EPA. </w:t>
            </w:r>
            <w:r w:rsidRPr="0039479A">
              <w:rPr>
                <w:rFonts w:cs="Segoe UI Light"/>
                <w:sz w:val="18"/>
              </w:rPr>
              <w:t>Regulations are needed to prescribe the places and premises that are authorised to receive industrial waste.</w:t>
            </w:r>
          </w:p>
        </w:tc>
      </w:tr>
      <w:tr w:rsidR="00DB4AE9" w:rsidRPr="00827D05" w14:paraId="656AFEF2" w14:textId="77777777" w:rsidTr="00A25A1E">
        <w:tc>
          <w:tcPr>
            <w:tcW w:w="2154" w:type="pct"/>
          </w:tcPr>
          <w:p w14:paraId="656AFEF0" w14:textId="77777777" w:rsidR="00DB4AE9" w:rsidRPr="00D85A7F" w:rsidRDefault="00DB4AE9" w:rsidP="00DB4AE9">
            <w:pPr>
              <w:autoSpaceDE w:val="0"/>
              <w:autoSpaceDN w:val="0"/>
              <w:adjustRightInd w:val="0"/>
              <w:spacing w:after="0"/>
              <w:mirrorIndents/>
              <w:rPr>
                <w:rFonts w:cs="Segoe UI Light"/>
                <w:sz w:val="18"/>
              </w:rPr>
            </w:pPr>
            <w:r w:rsidRPr="00D85A7F">
              <w:rPr>
                <w:rFonts w:cs="Segoe UI Light"/>
                <w:sz w:val="18"/>
              </w:rPr>
              <w:t xml:space="preserve">Priority waste - </w:t>
            </w:r>
            <w:r>
              <w:rPr>
                <w:rFonts w:cs="Segoe UI Light"/>
                <w:sz w:val="18"/>
              </w:rPr>
              <w:t>n</w:t>
            </w:r>
            <w:r w:rsidRPr="00D85A7F">
              <w:rPr>
                <w:rFonts w:cs="Segoe UI Light"/>
                <w:sz w:val="18"/>
              </w:rPr>
              <w:t xml:space="preserve">ew waste management obligations apply for priority waste and reportable priority wastes. There are additional duties surrounding the transport, management and disposal of these waste types. </w:t>
            </w:r>
          </w:p>
        </w:tc>
        <w:tc>
          <w:tcPr>
            <w:tcW w:w="2846" w:type="pct"/>
          </w:tcPr>
          <w:p w14:paraId="656AFEF1" w14:textId="77777777" w:rsidR="00DB4AE9" w:rsidRPr="0040717A" w:rsidRDefault="00DB4AE9" w:rsidP="00A6694A">
            <w:pPr>
              <w:mirrorIndents/>
              <w:rPr>
                <w:rFonts w:cs="Segoe UI Light"/>
                <w:sz w:val="18"/>
              </w:rPr>
            </w:pPr>
            <w:r w:rsidRPr="00410F9E">
              <w:rPr>
                <w:rFonts w:cs="Segoe UI Light"/>
                <w:sz w:val="18"/>
              </w:rPr>
              <w:t xml:space="preserve">The new EP </w:t>
            </w:r>
            <w:r w:rsidR="003636AA" w:rsidRPr="00834BC6">
              <w:rPr>
                <w:rFonts w:cs="Segoe UI Light"/>
                <w:sz w:val="18"/>
              </w:rPr>
              <w:t>l</w:t>
            </w:r>
            <w:r w:rsidRPr="0039479A">
              <w:rPr>
                <w:rFonts w:cs="Segoe UI Light"/>
                <w:sz w:val="18"/>
              </w:rPr>
              <w:t xml:space="preserve">egislation defines reportable priority waste as any industrial waste that is prescribed as such; the process by which would form the subject of regulations. </w:t>
            </w:r>
            <w:r w:rsidR="00A6694A" w:rsidRPr="004F1747">
              <w:rPr>
                <w:rFonts w:cs="Segoe UI Light"/>
                <w:sz w:val="18"/>
              </w:rPr>
              <w:t>Without regulations, priority wastes would not be prescribed and the duties and controls in the new EP legislation cannot function.</w:t>
            </w:r>
          </w:p>
        </w:tc>
      </w:tr>
      <w:tr w:rsidR="00E922E7" w:rsidRPr="00827D05" w14:paraId="656AFEF5" w14:textId="77777777" w:rsidTr="00A25A1E">
        <w:tc>
          <w:tcPr>
            <w:tcW w:w="2154" w:type="pct"/>
          </w:tcPr>
          <w:p w14:paraId="656AFEF3" w14:textId="77777777" w:rsidR="00E922E7" w:rsidRPr="00D85A7F" w:rsidRDefault="00E922E7" w:rsidP="00E922E7">
            <w:pPr>
              <w:autoSpaceDE w:val="0"/>
              <w:autoSpaceDN w:val="0"/>
              <w:adjustRightInd w:val="0"/>
              <w:spacing w:after="0"/>
              <w:ind w:right="138"/>
              <w:mirrorIndents/>
              <w:rPr>
                <w:rFonts w:cs="Segoe UI Light"/>
                <w:sz w:val="18"/>
              </w:rPr>
            </w:pPr>
            <w:r>
              <w:rPr>
                <w:rFonts w:cs="Segoe UI Light"/>
                <w:sz w:val="18"/>
              </w:rPr>
              <w:t>Waste levy – t</w:t>
            </w:r>
            <w:r w:rsidRPr="00CB20EA">
              <w:rPr>
                <w:rFonts w:cs="Segoe UI Light"/>
                <w:sz w:val="18"/>
              </w:rPr>
              <w:t>he new EP legislation sets out the waste levy scheme. The waste levy creates a further incentive for persons involved in waste management to investigate ways to reduce th</w:t>
            </w:r>
            <w:r>
              <w:rPr>
                <w:rFonts w:cs="Segoe UI Light"/>
                <w:sz w:val="18"/>
              </w:rPr>
              <w:t>e amount of waste they generate.</w:t>
            </w:r>
          </w:p>
        </w:tc>
        <w:tc>
          <w:tcPr>
            <w:tcW w:w="2846" w:type="pct"/>
          </w:tcPr>
          <w:p w14:paraId="656AFEF4" w14:textId="77777777" w:rsidR="00E922E7" w:rsidRPr="00410F9E" w:rsidRDefault="00E922E7" w:rsidP="00E922E7">
            <w:pPr>
              <w:mirrorIndents/>
              <w:rPr>
                <w:rFonts w:cs="Segoe UI Light"/>
                <w:sz w:val="18"/>
              </w:rPr>
            </w:pPr>
            <w:r w:rsidRPr="00410F9E">
              <w:rPr>
                <w:rFonts w:cs="Segoe UI Light"/>
                <w:noProof/>
                <w:color w:val="2B579A"/>
                <w:sz w:val="18"/>
                <w:shd w:val="clear" w:color="auto" w:fill="E6E6E6"/>
                <w:lang w:eastAsia="en-AU"/>
              </w:rPr>
              <mc:AlternateContent>
                <mc:Choice Requires="wps">
                  <w:drawing>
                    <wp:anchor distT="0" distB="0" distL="114300" distR="114300" simplePos="0" relativeHeight="251658281" behindDoc="0" locked="0" layoutInCell="1" allowOverlap="1" wp14:anchorId="656B1E7A" wp14:editId="656B1E7B">
                      <wp:simplePos x="0" y="0"/>
                      <wp:positionH relativeFrom="column">
                        <wp:posOffset>5567861</wp:posOffset>
                      </wp:positionH>
                      <wp:positionV relativeFrom="paragraph">
                        <wp:posOffset>301635</wp:posOffset>
                      </wp:positionV>
                      <wp:extent cx="6824"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824" cy="0"/>
                              </a:xfrm>
                              <a:prstGeom prst="line">
                                <a:avLst/>
                              </a:prstGeom>
                              <a:ln>
                                <a:solidFill>
                                  <a:srgbClr val="445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CA0BB" id="Straight Connector 11" o:spid="_x0000_s102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4pt,23.75pt" to="438.9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" strokecolor="#44546a"/>
                  </w:pict>
                </mc:Fallback>
              </mc:AlternateContent>
            </w:r>
            <w:r w:rsidRPr="00410F9E">
              <w:rPr>
                <w:rFonts w:cs="Segoe UI Light"/>
                <w:sz w:val="18"/>
              </w:rPr>
              <w:t xml:space="preserve">Differential waste levies are charged based on the classification of waste types. Regulations are required to prescribe waste classifications in order for the waste levy scheme to </w:t>
            </w:r>
            <w:r w:rsidRPr="004F1747">
              <w:rPr>
                <w:rFonts w:cs="Segoe UI Light"/>
                <w:sz w:val="18"/>
              </w:rPr>
              <w:t>function effectively under the new EP legislation</w:t>
            </w:r>
            <w:r w:rsidR="00833A60">
              <w:rPr>
                <w:rFonts w:cs="Segoe UI Light"/>
                <w:sz w:val="18"/>
              </w:rPr>
              <w:t>.</w:t>
            </w:r>
          </w:p>
        </w:tc>
      </w:tr>
      <w:tr w:rsidR="00DB4AE9" w:rsidRPr="00827D05" w14:paraId="656AFEF8" w14:textId="77777777" w:rsidTr="004F1747">
        <w:tc>
          <w:tcPr>
            <w:tcW w:w="2154" w:type="pct"/>
            <w:shd w:val="clear" w:color="auto" w:fill="auto"/>
          </w:tcPr>
          <w:p w14:paraId="656AFEF6" w14:textId="77777777" w:rsidR="00DB4AE9" w:rsidRPr="00D85A7F" w:rsidRDefault="00DB4AE9" w:rsidP="00DB4AE9">
            <w:pPr>
              <w:autoSpaceDE w:val="0"/>
              <w:autoSpaceDN w:val="0"/>
              <w:adjustRightInd w:val="0"/>
              <w:spacing w:after="0"/>
              <w:ind w:right="138"/>
              <w:mirrorIndents/>
              <w:rPr>
                <w:rFonts w:cs="Segoe UI Light"/>
                <w:sz w:val="18"/>
              </w:rPr>
            </w:pPr>
            <w:r w:rsidRPr="00D85A7F">
              <w:rPr>
                <w:rFonts w:cs="Segoe UI Light"/>
                <w:sz w:val="18"/>
              </w:rPr>
              <w:t xml:space="preserve">Noise – </w:t>
            </w:r>
            <w:r>
              <w:rPr>
                <w:rFonts w:cs="Segoe UI Light"/>
                <w:sz w:val="18"/>
              </w:rPr>
              <w:t>t</w:t>
            </w:r>
            <w:r w:rsidRPr="00D85A7F">
              <w:rPr>
                <w:rFonts w:cs="Segoe UI Light"/>
                <w:sz w:val="18"/>
              </w:rPr>
              <w:t>he new EP legislation provides councils, residential noise enforcement officers and police with greater capacity to respond to unreasonable and aggravated noise in various contexts</w:t>
            </w:r>
            <w:r>
              <w:rPr>
                <w:rFonts w:cs="Segoe UI Light"/>
                <w:sz w:val="18"/>
              </w:rPr>
              <w:t>.</w:t>
            </w:r>
          </w:p>
        </w:tc>
        <w:tc>
          <w:tcPr>
            <w:tcW w:w="2846" w:type="pct"/>
            <w:shd w:val="clear" w:color="auto" w:fill="auto"/>
          </w:tcPr>
          <w:p w14:paraId="656AFEF7" w14:textId="77777777" w:rsidR="00DB4AE9" w:rsidRPr="0040717A" w:rsidRDefault="00DB4AE9">
            <w:pPr>
              <w:mirrorIndents/>
              <w:rPr>
                <w:rFonts w:cs="Segoe UI Light"/>
                <w:sz w:val="18"/>
              </w:rPr>
            </w:pPr>
            <w:r w:rsidRPr="004F1747">
              <w:rPr>
                <w:rFonts w:cs="Segoe UI Light"/>
                <w:sz w:val="18"/>
              </w:rPr>
              <w:t>Without regulations, residents</w:t>
            </w:r>
            <w:r w:rsidR="005214A2" w:rsidRPr="004F1747">
              <w:rPr>
                <w:rFonts w:cs="Segoe UI Light"/>
                <w:sz w:val="18"/>
              </w:rPr>
              <w:t xml:space="preserve"> and enforcement officers</w:t>
            </w:r>
            <w:r w:rsidRPr="004F1747">
              <w:rPr>
                <w:rFonts w:cs="Segoe UI Light"/>
                <w:sz w:val="18"/>
              </w:rPr>
              <w:t xml:space="preserve"> would not have </w:t>
            </w:r>
            <w:r w:rsidR="00541BF8" w:rsidRPr="004F1747">
              <w:rPr>
                <w:rFonts w:cs="Segoe UI Light"/>
                <w:sz w:val="18"/>
              </w:rPr>
              <w:t>certainty</w:t>
            </w:r>
            <w:r w:rsidR="005214A2" w:rsidRPr="004F1747">
              <w:rPr>
                <w:rFonts w:cs="Segoe UI Light"/>
                <w:sz w:val="18"/>
              </w:rPr>
              <w:t xml:space="preserve"> and transparency regarding</w:t>
            </w:r>
            <w:r w:rsidR="00CA5D48" w:rsidRPr="004F1747">
              <w:rPr>
                <w:rFonts w:cs="Segoe UI Light"/>
                <w:sz w:val="18"/>
              </w:rPr>
              <w:t xml:space="preserve"> </w:t>
            </w:r>
            <w:r w:rsidR="00060D39" w:rsidRPr="004F1747">
              <w:rPr>
                <w:rFonts w:cs="Segoe UI Light"/>
                <w:sz w:val="18"/>
              </w:rPr>
              <w:t>noise obligations (e.g. forms of noise, times of day)</w:t>
            </w:r>
            <w:r w:rsidR="00541BF8" w:rsidRPr="004F1747">
              <w:rPr>
                <w:rFonts w:cs="Segoe UI Light"/>
                <w:sz w:val="18"/>
              </w:rPr>
              <w:t>, which could result in harms caused by noise and</w:t>
            </w:r>
            <w:r w:rsidR="00541BF8" w:rsidRPr="0040717A">
              <w:rPr>
                <w:rFonts w:cs="Segoe UI Light"/>
                <w:sz w:val="18"/>
              </w:rPr>
              <w:t xml:space="preserve"> add unnecessary cost and effort to resolving residential noise disputes. </w:t>
            </w:r>
          </w:p>
        </w:tc>
      </w:tr>
      <w:tr w:rsidR="00DB4AE9" w:rsidRPr="00827D05" w14:paraId="656AFEFB" w14:textId="77777777" w:rsidTr="00A25A1E">
        <w:tc>
          <w:tcPr>
            <w:tcW w:w="2154" w:type="pct"/>
          </w:tcPr>
          <w:p w14:paraId="656AFEF9" w14:textId="77777777" w:rsidR="00DB4AE9" w:rsidRPr="00D85A7F" w:rsidRDefault="00DB4AE9" w:rsidP="00DB4AE9">
            <w:pPr>
              <w:autoSpaceDE w:val="0"/>
              <w:autoSpaceDN w:val="0"/>
              <w:adjustRightInd w:val="0"/>
              <w:spacing w:after="0"/>
              <w:ind w:right="138"/>
              <w:mirrorIndents/>
              <w:rPr>
                <w:rFonts w:cs="Segoe UI Light"/>
                <w:sz w:val="18"/>
              </w:rPr>
            </w:pPr>
            <w:r w:rsidRPr="00D85A7F">
              <w:rPr>
                <w:rFonts w:cs="Segoe UI Light"/>
                <w:sz w:val="18"/>
              </w:rPr>
              <w:t>Fees</w:t>
            </w:r>
            <w:r w:rsidR="00833A60">
              <w:rPr>
                <w:rFonts w:cs="Segoe UI Light"/>
                <w:sz w:val="18"/>
              </w:rPr>
              <w:t>.</w:t>
            </w:r>
          </w:p>
        </w:tc>
        <w:tc>
          <w:tcPr>
            <w:tcW w:w="2846" w:type="pct"/>
          </w:tcPr>
          <w:p w14:paraId="656AFEFA" w14:textId="77777777" w:rsidR="00DB4AE9" w:rsidRPr="0039479A" w:rsidRDefault="00DB4AE9" w:rsidP="00DB4AE9">
            <w:pPr>
              <w:mirrorIndents/>
              <w:rPr>
                <w:rFonts w:cs="Segoe UI Light"/>
                <w:sz w:val="18"/>
              </w:rPr>
            </w:pPr>
            <w:r w:rsidRPr="00410F9E">
              <w:rPr>
                <w:rFonts w:cs="Segoe UI Light"/>
                <w:noProof/>
                <w:color w:val="2B579A"/>
                <w:sz w:val="18"/>
                <w:shd w:val="clear" w:color="auto" w:fill="E6E6E6"/>
                <w:lang w:eastAsia="en-AU"/>
              </w:rPr>
              <mc:AlternateContent>
                <mc:Choice Requires="wps">
                  <w:drawing>
                    <wp:anchor distT="0" distB="0" distL="114300" distR="114300" simplePos="0" relativeHeight="251658273" behindDoc="0" locked="0" layoutInCell="1" allowOverlap="1" wp14:anchorId="656B1E7C" wp14:editId="656B1E7D">
                      <wp:simplePos x="0" y="0"/>
                      <wp:positionH relativeFrom="column">
                        <wp:posOffset>4653461</wp:posOffset>
                      </wp:positionH>
                      <wp:positionV relativeFrom="paragraph">
                        <wp:posOffset>239690</wp:posOffset>
                      </wp:positionV>
                      <wp:extent cx="6824" cy="0"/>
                      <wp:effectExtent l="0" t="0" r="0" b="0"/>
                      <wp:wrapNone/>
                      <wp:docPr id="1797047322" name="Straight Connector 1797047322"/>
                      <wp:cNvGraphicFramePr/>
                      <a:graphic xmlns:a="http://schemas.openxmlformats.org/drawingml/2006/main">
                        <a:graphicData uri="http://schemas.microsoft.com/office/word/2010/wordprocessingShape">
                          <wps:wsp>
                            <wps:cNvCnPr/>
                            <wps:spPr>
                              <a:xfrm flipH="1">
                                <a:off x="0" y="0"/>
                                <a:ext cx="6824" cy="0"/>
                              </a:xfrm>
                              <a:prstGeom prst="line">
                                <a:avLst/>
                              </a:prstGeom>
                              <a:ln>
                                <a:solidFill>
                                  <a:srgbClr val="445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EC0A0" id="Straight Connector 1797047322" o:spid="_x0000_s1026" style="position:absolute;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pt,18.85pt" to="366.9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" strokecolor="#44546a"/>
                  </w:pict>
                </mc:Fallback>
              </mc:AlternateContent>
            </w:r>
            <w:r w:rsidRPr="00410F9E">
              <w:rPr>
                <w:rFonts w:cs="Segoe UI Light"/>
                <w:sz w:val="18"/>
              </w:rPr>
              <w:t>In the absence of regulation</w:t>
            </w:r>
            <w:r w:rsidRPr="00834BC6">
              <w:rPr>
                <w:rFonts w:cs="Segoe UI Light"/>
                <w:sz w:val="18"/>
              </w:rPr>
              <w:t xml:space="preserve">s, </w:t>
            </w:r>
            <w:r w:rsidRPr="0039479A">
              <w:rPr>
                <w:rFonts w:cs="Segoe UI Light"/>
                <w:sz w:val="18"/>
              </w:rPr>
              <w:t xml:space="preserve">EPA (and, for some permission activities, councils) will not be able to charge fees, and regulatory costs would need to be recovered from general revenue, with consequent impacts on efficiency and equity. </w:t>
            </w:r>
          </w:p>
        </w:tc>
      </w:tr>
      <w:tr w:rsidR="00DB4AE9" w:rsidRPr="00827D05" w14:paraId="656AFEFE" w14:textId="77777777" w:rsidTr="00A25A1E">
        <w:tc>
          <w:tcPr>
            <w:tcW w:w="2154" w:type="pct"/>
          </w:tcPr>
          <w:p w14:paraId="656AFEFC" w14:textId="77777777" w:rsidR="00DB4AE9" w:rsidRPr="00D85A7F" w:rsidRDefault="00DB4AE9" w:rsidP="00DB4AE9">
            <w:pPr>
              <w:autoSpaceDE w:val="0"/>
              <w:autoSpaceDN w:val="0"/>
              <w:adjustRightInd w:val="0"/>
              <w:spacing w:after="0"/>
              <w:ind w:right="138"/>
              <w:mirrorIndents/>
              <w:rPr>
                <w:rFonts w:cs="Segoe UI Light"/>
                <w:sz w:val="18"/>
              </w:rPr>
            </w:pPr>
            <w:r w:rsidRPr="00D85A7F">
              <w:rPr>
                <w:rFonts w:cs="Segoe UI Light"/>
                <w:sz w:val="18"/>
              </w:rPr>
              <w:t>Infringements</w:t>
            </w:r>
            <w:r w:rsidR="00833A60">
              <w:rPr>
                <w:rFonts w:cs="Segoe UI Light"/>
                <w:sz w:val="18"/>
              </w:rPr>
              <w:t>.</w:t>
            </w:r>
          </w:p>
        </w:tc>
        <w:tc>
          <w:tcPr>
            <w:tcW w:w="2846" w:type="pct"/>
          </w:tcPr>
          <w:p w14:paraId="656AFEFD" w14:textId="77777777" w:rsidR="001A6143" w:rsidRPr="00E922E7" w:rsidRDefault="00DB4AE9">
            <w:pPr>
              <w:mirrorIndents/>
              <w:rPr>
                <w:sz w:val="18"/>
              </w:rPr>
            </w:pPr>
            <w:r w:rsidRPr="00D85A7F">
              <w:rPr>
                <w:sz w:val="18"/>
              </w:rPr>
              <w:t xml:space="preserve">Regulations are required to specify which offences are </w:t>
            </w:r>
            <w:r>
              <w:rPr>
                <w:sz w:val="18"/>
              </w:rPr>
              <w:t>infringeable</w:t>
            </w:r>
            <w:r w:rsidRPr="00D85A7F">
              <w:rPr>
                <w:sz w:val="18"/>
              </w:rPr>
              <w:t xml:space="preserve"> offences. </w:t>
            </w:r>
            <w:r w:rsidR="00E922E7">
              <w:rPr>
                <w:sz w:val="18"/>
              </w:rPr>
              <w:t xml:space="preserve">Some offences </w:t>
            </w:r>
            <w:r w:rsidR="001A6143" w:rsidRPr="004F1747">
              <w:rPr>
                <w:sz w:val="18"/>
              </w:rPr>
              <w:t xml:space="preserve">would not be enforceable by EPA (and in some instances, councils) without prescription under regulation. </w:t>
            </w:r>
          </w:p>
        </w:tc>
      </w:tr>
      <w:tr w:rsidR="00DB4AE9" w:rsidRPr="00827D05" w14:paraId="656AFF01" w14:textId="77777777" w:rsidTr="00A25A1E">
        <w:tc>
          <w:tcPr>
            <w:tcW w:w="2154" w:type="pct"/>
          </w:tcPr>
          <w:p w14:paraId="656AFEFF" w14:textId="77777777" w:rsidR="00DB4AE9" w:rsidRPr="00D85A7F" w:rsidRDefault="00DB4AE9" w:rsidP="00DB4AE9">
            <w:pPr>
              <w:autoSpaceDE w:val="0"/>
              <w:autoSpaceDN w:val="0"/>
              <w:adjustRightInd w:val="0"/>
              <w:spacing w:after="0"/>
              <w:ind w:right="138"/>
              <w:mirrorIndents/>
              <w:rPr>
                <w:rFonts w:cs="Segoe UI Light"/>
                <w:sz w:val="18"/>
              </w:rPr>
            </w:pPr>
            <w:r w:rsidRPr="00D85A7F">
              <w:rPr>
                <w:rFonts w:cs="Segoe UI Light"/>
                <w:sz w:val="18"/>
              </w:rPr>
              <w:t xml:space="preserve">Vehicle emissions - </w:t>
            </w:r>
            <w:r w:rsidRPr="006175B3">
              <w:rPr>
                <w:rFonts w:cs="Segoe UI Light"/>
                <w:sz w:val="18"/>
              </w:rPr>
              <w:t>under the new EP legislation, despite the repeal of the EP Act 1970, the Environment Protection (Vehicle Emissions)</w:t>
            </w:r>
            <w:r>
              <w:rPr>
                <w:rFonts w:cs="Segoe UI Light"/>
                <w:sz w:val="18"/>
              </w:rPr>
              <w:t xml:space="preserve"> Regulations 2013 will remain</w:t>
            </w:r>
            <w:r w:rsidRPr="006175B3">
              <w:rPr>
                <w:rFonts w:cs="Segoe UI Light"/>
                <w:sz w:val="18"/>
              </w:rPr>
              <w:t xml:space="preserve"> in force during the period from 1 July 2020 until 10 December 2023 unless otherwise revoked.</w:t>
            </w:r>
            <w:r>
              <w:rPr>
                <w:rFonts w:cs="Segoe UI Light"/>
                <w:sz w:val="18"/>
              </w:rPr>
              <w:t xml:space="preserve"> </w:t>
            </w:r>
            <w:r w:rsidRPr="00D85A7F">
              <w:rPr>
                <w:rFonts w:cs="Segoe UI Light"/>
                <w:sz w:val="18"/>
              </w:rPr>
              <w:t xml:space="preserve">However, the preferred position of DELWP and </w:t>
            </w:r>
            <w:r>
              <w:rPr>
                <w:rFonts w:cs="Segoe UI Light"/>
                <w:sz w:val="18"/>
              </w:rPr>
              <w:t>EPA</w:t>
            </w:r>
            <w:r w:rsidRPr="00D85A7F">
              <w:rPr>
                <w:rFonts w:cs="Segoe UI Light"/>
                <w:sz w:val="18"/>
              </w:rPr>
              <w:t xml:space="preserve"> is to repeal these </w:t>
            </w:r>
            <w:r>
              <w:rPr>
                <w:rFonts w:cs="Segoe UI Light"/>
                <w:sz w:val="18"/>
              </w:rPr>
              <w:t>R</w:t>
            </w:r>
            <w:r w:rsidRPr="00D85A7F">
              <w:rPr>
                <w:rFonts w:cs="Segoe UI Light"/>
                <w:sz w:val="18"/>
              </w:rPr>
              <w:t>egulations when they are introduced into the new regime</w:t>
            </w:r>
            <w:r>
              <w:rPr>
                <w:rFonts w:cs="Segoe UI Light"/>
                <w:sz w:val="18"/>
              </w:rPr>
              <w:t>.</w:t>
            </w:r>
          </w:p>
        </w:tc>
        <w:tc>
          <w:tcPr>
            <w:tcW w:w="2846" w:type="pct"/>
          </w:tcPr>
          <w:p w14:paraId="656AFF00" w14:textId="77777777" w:rsidR="00DB4AE9" w:rsidRPr="00D85A7F" w:rsidRDefault="00E922E7" w:rsidP="00E922E7">
            <w:pPr>
              <w:mirrorIndents/>
              <w:rPr>
                <w:rFonts w:cs="Segoe UI Light"/>
                <w:sz w:val="18"/>
              </w:rPr>
            </w:pPr>
            <w:r>
              <w:rPr>
                <w:rFonts w:cs="Segoe UI Light"/>
                <w:sz w:val="18"/>
              </w:rPr>
              <w:t>No</w:t>
            </w:r>
            <w:r w:rsidR="00DB4AE9" w:rsidRPr="00D85A7F">
              <w:rPr>
                <w:rFonts w:cs="Segoe UI Light"/>
                <w:sz w:val="18"/>
              </w:rPr>
              <w:t xml:space="preserve"> specific motor vehicle offences </w:t>
            </w:r>
            <w:r>
              <w:rPr>
                <w:rFonts w:cs="Segoe UI Light"/>
                <w:sz w:val="18"/>
              </w:rPr>
              <w:t xml:space="preserve">have been </w:t>
            </w:r>
            <w:r w:rsidR="00DB4AE9" w:rsidRPr="00D85A7F">
              <w:rPr>
                <w:rFonts w:cs="Segoe UI Light"/>
                <w:sz w:val="18"/>
              </w:rPr>
              <w:t xml:space="preserve">included in the new EP legislation. </w:t>
            </w:r>
            <w:r w:rsidR="00DB4AE9" w:rsidRPr="00D85A7F">
              <w:rPr>
                <w:rFonts w:cs="Arial"/>
                <w:sz w:val="18"/>
              </w:rPr>
              <w:t xml:space="preserve">The </w:t>
            </w:r>
            <w:r>
              <w:rPr>
                <w:rFonts w:cs="Arial"/>
                <w:sz w:val="18"/>
              </w:rPr>
              <w:t>signific</w:t>
            </w:r>
            <w:r w:rsidR="0040717A">
              <w:rPr>
                <w:rFonts w:cs="Arial"/>
                <w:sz w:val="18"/>
              </w:rPr>
              <w:t>a</w:t>
            </w:r>
            <w:r>
              <w:rPr>
                <w:rFonts w:cs="Arial"/>
                <w:sz w:val="18"/>
              </w:rPr>
              <w:t>nt human health and environment</w:t>
            </w:r>
            <w:r w:rsidR="00DB4AE9" w:rsidRPr="009B3399">
              <w:rPr>
                <w:rFonts w:cs="Arial"/>
                <w:sz w:val="18"/>
              </w:rPr>
              <w:t xml:space="preserve"> impacts posed by vehicle emissions and noise are cumulative and an individual </w:t>
            </w:r>
            <w:r w:rsidR="00DB4AE9" w:rsidRPr="006175B3">
              <w:rPr>
                <w:rFonts w:cs="Arial"/>
                <w:sz w:val="18"/>
              </w:rPr>
              <w:t xml:space="preserve">vehicle’s </w:t>
            </w:r>
            <w:r w:rsidR="00DB4AE9" w:rsidRPr="009B3399">
              <w:rPr>
                <w:rFonts w:cs="Arial"/>
                <w:sz w:val="18"/>
              </w:rPr>
              <w:t>level of pollution will not on its own trigger an obligation under the legislative framework because the controls are beyond what may be deemed reasonably practicable.</w:t>
            </w:r>
          </w:p>
        </w:tc>
      </w:tr>
    </w:tbl>
    <w:p w14:paraId="656AFF02" w14:textId="77777777" w:rsidR="005C028A" w:rsidRPr="00827D05" w:rsidRDefault="005C028A" w:rsidP="00A25A1E">
      <w:pPr>
        <w:spacing w:after="0"/>
        <w:mirrorIndents/>
        <w:rPr>
          <w:rFonts w:cs="Segoe UI Light"/>
          <w:szCs w:val="20"/>
        </w:rPr>
      </w:pPr>
    </w:p>
    <w:p w14:paraId="656AFF03" w14:textId="77777777" w:rsidR="00150364" w:rsidRDefault="002D787D" w:rsidP="00150364">
      <w:pPr>
        <w:tabs>
          <w:tab w:val="left" w:pos="709"/>
        </w:tabs>
        <w:contextualSpacing/>
        <w:mirrorIndents/>
      </w:pPr>
      <w:r>
        <w:t xml:space="preserve">When identifying </w:t>
      </w:r>
      <w:r w:rsidR="00934726">
        <w:t xml:space="preserve">residual risks that </w:t>
      </w:r>
      <w:r w:rsidR="00150364">
        <w:t>require further controls in regulation</w:t>
      </w:r>
      <w:r w:rsidR="00934726">
        <w:t>, the following principles have been applied:</w:t>
      </w:r>
    </w:p>
    <w:p w14:paraId="656AFF04" w14:textId="77777777" w:rsidR="00150364" w:rsidRPr="00AB0484" w:rsidRDefault="00150364" w:rsidP="00494A7B">
      <w:pPr>
        <w:pStyle w:val="ListParagraph"/>
        <w:numPr>
          <w:ilvl w:val="0"/>
          <w:numId w:val="19"/>
        </w:numPr>
        <w:spacing w:before="120"/>
        <w:mirrorIndents/>
        <w:rPr>
          <w:rFonts w:cs="Segoe UI Light"/>
          <w:szCs w:val="20"/>
        </w:rPr>
      </w:pPr>
      <w:r w:rsidRPr="00AB0484">
        <w:rPr>
          <w:rFonts w:cs="Segoe UI Light"/>
          <w:szCs w:val="20"/>
        </w:rPr>
        <w:t xml:space="preserve">Necessary for legislation to function - Some obligations under the new legislative framework cannot function or would not be enforceable without prescription under regulation. </w:t>
      </w:r>
    </w:p>
    <w:p w14:paraId="656AFF05" w14:textId="77777777" w:rsidR="00150364" w:rsidRPr="00AB0484" w:rsidRDefault="00150364" w:rsidP="00150364">
      <w:pPr>
        <w:pStyle w:val="ListParagraph"/>
        <w:numPr>
          <w:ilvl w:val="0"/>
          <w:numId w:val="19"/>
        </w:numPr>
        <w:spacing w:before="120"/>
        <w:mirrorIndents/>
        <w:rPr>
          <w:rFonts w:cs="Segoe UI Light"/>
          <w:szCs w:val="20"/>
        </w:rPr>
      </w:pPr>
      <w:r w:rsidRPr="00AB0484">
        <w:rPr>
          <w:rFonts w:cs="Segoe UI Light"/>
          <w:szCs w:val="20"/>
        </w:rPr>
        <w:t>Significant impacts on human health and the environment - Some risks of harm to human health and the environment can lead to significant consequences and require further regulatory controls.</w:t>
      </w:r>
    </w:p>
    <w:p w14:paraId="656AFF06" w14:textId="77777777" w:rsidR="00150364" w:rsidRPr="00AB0484" w:rsidRDefault="00150364" w:rsidP="00150364">
      <w:pPr>
        <w:pStyle w:val="ListParagraph"/>
        <w:numPr>
          <w:ilvl w:val="0"/>
          <w:numId w:val="19"/>
        </w:numPr>
        <w:spacing w:before="120"/>
        <w:mirrorIndents/>
        <w:rPr>
          <w:rFonts w:cs="Segoe UI Light"/>
          <w:szCs w:val="20"/>
        </w:rPr>
      </w:pPr>
      <w:r w:rsidRPr="00AB0484">
        <w:rPr>
          <w:rFonts w:cs="Segoe UI Light"/>
          <w:szCs w:val="20"/>
        </w:rPr>
        <w:t>Risk of mismanagement - There are some areas of harm to human health and the environment where there is a known risk of mismanagement by duty holders, which means further regulatory control is required.</w:t>
      </w:r>
    </w:p>
    <w:p w14:paraId="656AFF07" w14:textId="77777777" w:rsidR="00150364" w:rsidRPr="00AB0484" w:rsidRDefault="00150364" w:rsidP="00150364">
      <w:pPr>
        <w:pStyle w:val="ListParagraph"/>
        <w:numPr>
          <w:ilvl w:val="0"/>
          <w:numId w:val="19"/>
        </w:numPr>
        <w:spacing w:before="120"/>
        <w:mirrorIndents/>
        <w:rPr>
          <w:rFonts w:cs="Segoe UI Light"/>
          <w:szCs w:val="20"/>
        </w:rPr>
      </w:pPr>
      <w:r w:rsidRPr="00AB0484">
        <w:rPr>
          <w:rFonts w:cs="Segoe UI Light"/>
          <w:szCs w:val="20"/>
        </w:rPr>
        <w:t>Certainty and consistency - Greater certainty is required by duty holders to ensure consistent compliance with the duties and obligations under the GED and other EP legislation</w:t>
      </w:r>
    </w:p>
    <w:p w14:paraId="656AFF08" w14:textId="77777777" w:rsidR="00A25A1E" w:rsidRPr="00827D05" w:rsidRDefault="00A25A1E" w:rsidP="00A25A1E">
      <w:pPr>
        <w:mirrorIndents/>
        <w:rPr>
          <w:rFonts w:cs="Segoe UI Light"/>
          <w:szCs w:val="20"/>
        </w:rPr>
      </w:pPr>
      <w:r w:rsidRPr="00827D05">
        <w:rPr>
          <w:rFonts w:cs="Segoe UI Light"/>
          <w:szCs w:val="20"/>
        </w:rPr>
        <w:t xml:space="preserve">In summary, the problem to be addressed is that there </w:t>
      </w:r>
      <w:r>
        <w:rPr>
          <w:rFonts w:cs="Segoe UI Light"/>
          <w:szCs w:val="20"/>
        </w:rPr>
        <w:t>will remain</w:t>
      </w:r>
      <w:r w:rsidRPr="00827D05">
        <w:rPr>
          <w:rFonts w:cs="Segoe UI Light"/>
          <w:szCs w:val="20"/>
        </w:rPr>
        <w:t xml:space="preserve"> </w:t>
      </w:r>
      <w:r>
        <w:rPr>
          <w:rFonts w:cs="Segoe UI Light"/>
          <w:szCs w:val="20"/>
        </w:rPr>
        <w:t xml:space="preserve">unacceptable </w:t>
      </w:r>
      <w:r w:rsidRPr="00827D05">
        <w:rPr>
          <w:rFonts w:cs="Segoe UI Light"/>
          <w:szCs w:val="20"/>
        </w:rPr>
        <w:t xml:space="preserve">residual risks to human health and the environment from pollution and waste </w:t>
      </w:r>
      <w:r>
        <w:rPr>
          <w:rFonts w:cs="Segoe UI Light"/>
          <w:szCs w:val="20"/>
        </w:rPr>
        <w:t>following the application of the</w:t>
      </w:r>
      <w:r w:rsidRPr="00827D05">
        <w:rPr>
          <w:rFonts w:cs="Segoe UI Light"/>
          <w:szCs w:val="20"/>
        </w:rPr>
        <w:t xml:space="preserve"> </w:t>
      </w:r>
      <w:r>
        <w:rPr>
          <w:rFonts w:cs="Segoe UI Light"/>
          <w:szCs w:val="20"/>
        </w:rPr>
        <w:t>new EP legislation</w:t>
      </w:r>
      <w:r w:rsidRPr="00827D05">
        <w:rPr>
          <w:rFonts w:cs="Segoe UI Light"/>
          <w:szCs w:val="20"/>
        </w:rPr>
        <w:t xml:space="preserve">. There is a need to </w:t>
      </w:r>
      <w:r w:rsidR="00DB4AE9" w:rsidRPr="00827D05">
        <w:rPr>
          <w:rFonts w:cs="Segoe UI Light"/>
          <w:szCs w:val="20"/>
        </w:rPr>
        <w:t>su</w:t>
      </w:r>
      <w:r w:rsidR="00DB4AE9">
        <w:rPr>
          <w:rFonts w:cs="Segoe UI Light"/>
          <w:szCs w:val="20"/>
        </w:rPr>
        <w:t>pport</w:t>
      </w:r>
      <w:r w:rsidR="00DB4AE9" w:rsidRPr="00827D05">
        <w:rPr>
          <w:rFonts w:cs="Segoe UI Light"/>
          <w:szCs w:val="20"/>
        </w:rPr>
        <w:t xml:space="preserve"> </w:t>
      </w:r>
      <w:r w:rsidRPr="00827D05">
        <w:rPr>
          <w:rFonts w:cs="Segoe UI Light"/>
          <w:szCs w:val="20"/>
        </w:rPr>
        <w:t xml:space="preserve">the GED and other obligations to enable effective implementation and operation of the </w:t>
      </w:r>
      <w:r>
        <w:rPr>
          <w:rFonts w:cs="Segoe UI Light"/>
          <w:szCs w:val="20"/>
        </w:rPr>
        <w:t>new EP legislation</w:t>
      </w:r>
      <w:r w:rsidRPr="00827D05">
        <w:rPr>
          <w:rFonts w:cs="Segoe UI Light"/>
          <w:szCs w:val="20"/>
        </w:rPr>
        <w:t xml:space="preserve">. This RIS seeks to address both the case for introducing further intervention, and the appropriate manner of that intervention. </w:t>
      </w:r>
    </w:p>
    <w:p w14:paraId="656AFF09" w14:textId="77777777" w:rsidR="00A25A1E" w:rsidRPr="00827D05" w:rsidRDefault="00A25A1E" w:rsidP="00A25A1E">
      <w:pPr>
        <w:mirrorIndents/>
        <w:rPr>
          <w:rFonts w:cs="Segoe UI Light"/>
          <w:szCs w:val="20"/>
        </w:rPr>
      </w:pPr>
      <w:r>
        <w:rPr>
          <w:rFonts w:cs="Segoe UI Light"/>
          <w:szCs w:val="20"/>
        </w:rPr>
        <w:t>Part 2 of this RIS provides more detailed information about the specific problem areas</w:t>
      </w:r>
      <w:r w:rsidR="00DC7A63">
        <w:rPr>
          <w:rFonts w:cs="Segoe UI Light"/>
          <w:szCs w:val="20"/>
        </w:rPr>
        <w:t xml:space="preserve">. </w:t>
      </w:r>
    </w:p>
    <w:p w14:paraId="656AFF0A" w14:textId="77777777" w:rsidR="00A25A1E" w:rsidRPr="00C77333" w:rsidRDefault="00A25A1E" w:rsidP="004F1747">
      <w:pPr>
        <w:pStyle w:val="Heading3"/>
        <w:ind w:left="720"/>
      </w:pPr>
      <w:r w:rsidRPr="004F1747">
        <w:rPr>
          <w:lang w:val="en"/>
        </w:rPr>
        <w:t>Drivers</w:t>
      </w:r>
      <w:r w:rsidRPr="006175B3">
        <w:t xml:space="preserve"> of the specific problem</w:t>
      </w:r>
    </w:p>
    <w:p w14:paraId="656AFF0B" w14:textId="77777777" w:rsidR="00A25A1E" w:rsidRPr="00AF36DE" w:rsidRDefault="00A25A1E" w:rsidP="00A25A1E">
      <w:pPr>
        <w:mirrorIndents/>
        <w:rPr>
          <w:rFonts w:cs="Segoe UI Light"/>
          <w:szCs w:val="20"/>
        </w:rPr>
      </w:pPr>
      <w:r w:rsidRPr="009877AB">
        <w:rPr>
          <w:rFonts w:cs="Segoe UI Light"/>
          <w:szCs w:val="20"/>
        </w:rPr>
        <w:t xml:space="preserve">There are </w:t>
      </w:r>
      <w:r w:rsidRPr="00AF36DE">
        <w:rPr>
          <w:rFonts w:cs="Segoe UI Light"/>
          <w:szCs w:val="20"/>
        </w:rPr>
        <w:t>a number of behavioural factors, incentives</w:t>
      </w:r>
      <w:r w:rsidRPr="00C77333">
        <w:rPr>
          <w:rFonts w:cs="Segoe UI Light"/>
          <w:szCs w:val="20"/>
        </w:rPr>
        <w:t xml:space="preserve"> and information problems that drive the </w:t>
      </w:r>
      <w:r w:rsidRPr="00A53D4B">
        <w:rPr>
          <w:rFonts w:cs="Segoe UI Light"/>
          <w:szCs w:val="20"/>
        </w:rPr>
        <w:t xml:space="preserve">residual </w:t>
      </w:r>
      <w:r w:rsidRPr="006175B3">
        <w:rPr>
          <w:rFonts w:cs="Segoe UI Light"/>
          <w:szCs w:val="20"/>
        </w:rPr>
        <w:t>risks described above</w:t>
      </w:r>
      <w:r w:rsidRPr="009877AB">
        <w:rPr>
          <w:rFonts w:cs="Segoe UI Light"/>
          <w:szCs w:val="20"/>
        </w:rPr>
        <w:t xml:space="preserve">: </w:t>
      </w:r>
    </w:p>
    <w:p w14:paraId="656AFF0C" w14:textId="77777777" w:rsidR="00A25A1E" w:rsidRPr="00827D05" w:rsidRDefault="00A25A1E" w:rsidP="004A2442">
      <w:pPr>
        <w:numPr>
          <w:ilvl w:val="0"/>
          <w:numId w:val="26"/>
        </w:numPr>
        <w:contextualSpacing/>
        <w:rPr>
          <w:rFonts w:cs="Segoe UI Light"/>
          <w:szCs w:val="20"/>
        </w:rPr>
      </w:pPr>
      <w:r w:rsidRPr="00827D05">
        <w:rPr>
          <w:rFonts w:cs="Segoe UI Light"/>
          <w:szCs w:val="20"/>
        </w:rPr>
        <w:t xml:space="preserve">Lack of information – If a duty holder does not have information on the human health or environmental risks because it is not readily available or is too costly to access or collect, they will make an uninformed decision. While there may be some scope for duty holders to learn from mistakes over time, catastrophic events can arise from just one uninformed decision, or there might not be opportunity to learn over time (for example, </w:t>
      </w:r>
      <w:r>
        <w:rPr>
          <w:rFonts w:cs="Segoe UI Light"/>
          <w:szCs w:val="20"/>
        </w:rPr>
        <w:t xml:space="preserve">buyers of land </w:t>
      </w:r>
      <w:r w:rsidRPr="00827D05">
        <w:rPr>
          <w:rFonts w:cs="Segoe UI Light"/>
          <w:szCs w:val="20"/>
        </w:rPr>
        <w:t>might not need to make the same decisions again).</w:t>
      </w:r>
    </w:p>
    <w:p w14:paraId="656AFF0D" w14:textId="77777777" w:rsidR="00A25A1E" w:rsidRPr="00827D05" w:rsidRDefault="00A25A1E" w:rsidP="004A2442">
      <w:pPr>
        <w:numPr>
          <w:ilvl w:val="0"/>
          <w:numId w:val="26"/>
        </w:numPr>
        <w:contextualSpacing/>
        <w:rPr>
          <w:rFonts w:cs="Segoe UI Light"/>
          <w:szCs w:val="20"/>
        </w:rPr>
      </w:pPr>
      <w:r w:rsidRPr="00827D05">
        <w:rPr>
          <w:rFonts w:cs="Segoe UI Light"/>
          <w:szCs w:val="20"/>
        </w:rPr>
        <w:t xml:space="preserve">Difficulty in assessing risk accurately – the GED requires duty holders to understand the risk of their activities causing harm to the environment and human health. </w:t>
      </w:r>
      <w:r>
        <w:rPr>
          <w:rFonts w:cs="Segoe UI Light"/>
          <w:szCs w:val="20"/>
        </w:rPr>
        <w:t>There</w:t>
      </w:r>
      <w:r w:rsidRPr="00827D05">
        <w:rPr>
          <w:rFonts w:cs="Segoe UI Light"/>
          <w:szCs w:val="20"/>
        </w:rPr>
        <w:t xml:space="preserve"> are a range of cognitive biases that mean risk </w:t>
      </w:r>
      <w:r>
        <w:rPr>
          <w:rFonts w:cs="Segoe UI Light"/>
          <w:szCs w:val="20"/>
        </w:rPr>
        <w:t>may not be</w:t>
      </w:r>
      <w:r w:rsidRPr="00827D05">
        <w:rPr>
          <w:rFonts w:cs="Segoe UI Light"/>
          <w:szCs w:val="20"/>
        </w:rPr>
        <w:t xml:space="preserve"> processed accurately. For example: </w:t>
      </w:r>
    </w:p>
    <w:p w14:paraId="656AFF0E" w14:textId="77777777" w:rsidR="00A25A1E" w:rsidRPr="00827D05" w:rsidRDefault="00A25A1E" w:rsidP="004A2442">
      <w:pPr>
        <w:numPr>
          <w:ilvl w:val="1"/>
          <w:numId w:val="16"/>
        </w:numPr>
        <w:ind w:left="993" w:hanging="284"/>
        <w:contextualSpacing/>
      </w:pPr>
      <w:r w:rsidRPr="00827D05">
        <w:t>Optimism bias: causes a person to believe they are less at risk of experiencing a negative event compared to others resulting in overconfidence in risk judgements relevant to pollution and waste</w:t>
      </w:r>
      <w:r w:rsidR="00833A60">
        <w:t>.</w:t>
      </w:r>
      <w:r w:rsidRPr="00827D05">
        <w:rPr>
          <w:vertAlign w:val="superscript"/>
        </w:rPr>
        <w:footnoteReference w:id="36"/>
      </w:r>
    </w:p>
    <w:p w14:paraId="656AFF0F" w14:textId="77777777" w:rsidR="00A25A1E" w:rsidRPr="00827D05" w:rsidRDefault="00A25A1E" w:rsidP="004A2442">
      <w:pPr>
        <w:numPr>
          <w:ilvl w:val="1"/>
          <w:numId w:val="16"/>
        </w:numPr>
        <w:ind w:left="993" w:hanging="284"/>
        <w:contextualSpacing/>
      </w:pPr>
      <w:r w:rsidRPr="00827D05">
        <w:t>Neglect of probability bias: is the tendency of a person to disregard the probability of a particular future event occurring. In industries with high impact/low frequency events, duty holders may, due to neglect of probability bias, treat the probability of a catastrophic event as zero rather than very small</w:t>
      </w:r>
      <w:r w:rsidR="00833A60">
        <w:t>.</w:t>
      </w:r>
      <w:r w:rsidRPr="00827D05">
        <w:rPr>
          <w:vertAlign w:val="superscript"/>
        </w:rPr>
        <w:footnoteReference w:id="37"/>
      </w:r>
    </w:p>
    <w:p w14:paraId="656AFF10" w14:textId="77777777" w:rsidR="00A25A1E" w:rsidRPr="00827D05" w:rsidRDefault="00A25A1E" w:rsidP="004A2442">
      <w:pPr>
        <w:numPr>
          <w:ilvl w:val="0"/>
          <w:numId w:val="26"/>
        </w:numPr>
        <w:contextualSpacing/>
        <w:rPr>
          <w:rFonts w:cs="Segoe UI Light"/>
          <w:szCs w:val="20"/>
        </w:rPr>
      </w:pPr>
      <w:r w:rsidRPr="00827D05">
        <w:rPr>
          <w:rFonts w:cs="Segoe UI Light"/>
          <w:szCs w:val="20"/>
        </w:rPr>
        <w:t xml:space="preserve">Duty holders don’t face the full cost to the environment and human health of their decisions – As a result, duty holders may underinvest in preventing pollution and waste because: </w:t>
      </w:r>
    </w:p>
    <w:p w14:paraId="656AFF11" w14:textId="77777777" w:rsidR="00A25A1E" w:rsidRPr="00827D05" w:rsidRDefault="00A25A1E" w:rsidP="004A2442">
      <w:pPr>
        <w:numPr>
          <w:ilvl w:val="1"/>
          <w:numId w:val="16"/>
        </w:numPr>
        <w:spacing w:after="0"/>
        <w:ind w:left="993" w:hanging="284"/>
        <w:contextualSpacing/>
      </w:pPr>
      <w:r w:rsidRPr="00827D05">
        <w:t xml:space="preserve">Costs of pollution and waste are passed onto the environment and general community (e.g. through social welfare payments associated with medical and health costs, or reduced amenity of environment in which people live). These costs are often referred to as ‘negative externalities’ and occur when an activity imposes costs, which are not compensated for, on parties not directly involved in the activity. </w:t>
      </w:r>
    </w:p>
    <w:p w14:paraId="656AFF12" w14:textId="77777777" w:rsidR="00A25A1E" w:rsidRPr="00827D05" w:rsidRDefault="00A25A1E" w:rsidP="004A2442">
      <w:pPr>
        <w:pStyle w:val="ListParagraph"/>
        <w:numPr>
          <w:ilvl w:val="0"/>
          <w:numId w:val="19"/>
        </w:numPr>
        <w:ind w:right="565"/>
      </w:pPr>
      <w:r>
        <w:t>S</w:t>
      </w:r>
      <w:r w:rsidRPr="00827D05">
        <w:t xml:space="preserve">ome businesses </w:t>
      </w:r>
      <w:r>
        <w:t>may</w:t>
      </w:r>
      <w:r w:rsidRPr="00827D05">
        <w:t xml:space="preserve"> consider the cost of compliance to be high relative to the risk of the cost of cleaning up pollution and the cost of any sanctions that </w:t>
      </w:r>
      <w:r>
        <w:t>EPA</w:t>
      </w:r>
      <w:r w:rsidRPr="00827D05">
        <w:t xml:space="preserve"> might impose</w:t>
      </w:r>
      <w:r w:rsidR="000E6278">
        <w:t>,</w:t>
      </w:r>
      <w:r>
        <w:t xml:space="preserve"> and derive benefit from wilful non-compliance</w:t>
      </w:r>
      <w:r w:rsidRPr="00827D05">
        <w:t xml:space="preserve">. </w:t>
      </w:r>
    </w:p>
    <w:p w14:paraId="656AFF13" w14:textId="77777777" w:rsidR="00A25A1E" w:rsidRPr="00827D05" w:rsidRDefault="00A25A1E" w:rsidP="00A25A1E">
      <w:pPr>
        <w:spacing w:before="120"/>
        <w:mirrorIndents/>
        <w:rPr>
          <w:rFonts w:cs="Segoe UI Light"/>
        </w:rPr>
      </w:pPr>
      <w:r w:rsidRPr="00827D05">
        <w:rPr>
          <w:rFonts w:cs="Segoe UI Light"/>
        </w:rPr>
        <w:t xml:space="preserve">The extent to which these </w:t>
      </w:r>
      <w:r w:rsidRPr="00C9407A">
        <w:t>behavioural factors</w:t>
      </w:r>
      <w:r w:rsidRPr="00827D05">
        <w:rPr>
          <w:rFonts w:cs="Segoe UI Light"/>
        </w:rPr>
        <w:t xml:space="preserve"> and incentive/</w:t>
      </w:r>
      <w:r w:rsidRPr="00C9407A">
        <w:t>information problems</w:t>
      </w:r>
      <w:r w:rsidRPr="00827D05">
        <w:rPr>
          <w:rFonts w:cs="Segoe UI Light"/>
        </w:rPr>
        <w:t xml:space="preserve"> are controlled for or impact a duty holder depend on: </w:t>
      </w:r>
    </w:p>
    <w:p w14:paraId="656AFF14" w14:textId="77777777" w:rsidR="00A25A1E" w:rsidRPr="00827D05" w:rsidRDefault="00A25A1E" w:rsidP="004A2442">
      <w:pPr>
        <w:numPr>
          <w:ilvl w:val="0"/>
          <w:numId w:val="26"/>
        </w:numPr>
        <w:contextualSpacing/>
        <w:rPr>
          <w:rFonts w:cs="Segoe UI Light"/>
          <w:szCs w:val="20"/>
        </w:rPr>
      </w:pPr>
      <w:r>
        <w:rPr>
          <w:rFonts w:cs="Segoe UI Light"/>
          <w:szCs w:val="20"/>
        </w:rPr>
        <w:t>T</w:t>
      </w:r>
      <w:r w:rsidRPr="00827D05">
        <w:rPr>
          <w:rFonts w:cs="Segoe UI Light"/>
          <w:szCs w:val="20"/>
        </w:rPr>
        <w:t>he reputational incentives that duty holders face to ensure their own safety and profitability by taking steps to manage their risks. Reputation can impact on a duty holder’s ability to attract and retain staff and its ability to sell products or opera</w:t>
      </w:r>
      <w:r>
        <w:rPr>
          <w:rFonts w:cs="Segoe UI Light"/>
          <w:szCs w:val="20"/>
        </w:rPr>
        <w:t>te in a particular marketplace.</w:t>
      </w:r>
      <w:r w:rsidRPr="00827D05">
        <w:rPr>
          <w:rFonts w:cs="Segoe UI Light"/>
          <w:szCs w:val="20"/>
        </w:rPr>
        <w:t xml:space="preserve"> </w:t>
      </w:r>
    </w:p>
    <w:p w14:paraId="656AFF15" w14:textId="77777777" w:rsidR="00A25A1E" w:rsidRPr="00827D05" w:rsidRDefault="00A25A1E" w:rsidP="004A2442">
      <w:pPr>
        <w:numPr>
          <w:ilvl w:val="0"/>
          <w:numId w:val="26"/>
        </w:numPr>
        <w:contextualSpacing/>
        <w:rPr>
          <w:rFonts w:cs="Segoe UI Light"/>
          <w:szCs w:val="20"/>
        </w:rPr>
      </w:pPr>
      <w:r w:rsidRPr="00827D05">
        <w:rPr>
          <w:rFonts w:cs="Segoe UI Light"/>
          <w:szCs w:val="20"/>
        </w:rPr>
        <w:t>General forms of technological improvement that bring reduced risks or reduce the cost of managing risks</w:t>
      </w:r>
      <w:r w:rsidR="008B6C8E">
        <w:rPr>
          <w:rFonts w:cs="Segoe UI Light"/>
          <w:szCs w:val="20"/>
        </w:rPr>
        <w:t>.</w:t>
      </w:r>
    </w:p>
    <w:p w14:paraId="656AFF16" w14:textId="77777777" w:rsidR="00A25A1E" w:rsidRPr="00827D05" w:rsidRDefault="00A25A1E" w:rsidP="004A2442">
      <w:pPr>
        <w:numPr>
          <w:ilvl w:val="0"/>
          <w:numId w:val="26"/>
        </w:numPr>
        <w:spacing w:after="0"/>
        <w:contextualSpacing/>
        <w:rPr>
          <w:rFonts w:cs="Segoe UI Light"/>
          <w:szCs w:val="20"/>
        </w:rPr>
      </w:pPr>
      <w:r w:rsidRPr="00827D05">
        <w:rPr>
          <w:rFonts w:cs="Segoe UI Light"/>
          <w:szCs w:val="20"/>
        </w:rPr>
        <w:t>Market-driven factors such as commercial insurance</w:t>
      </w:r>
      <w:r>
        <w:rPr>
          <w:rFonts w:cs="Segoe UI Light"/>
          <w:szCs w:val="20"/>
        </w:rPr>
        <w:t xml:space="preserve"> or actions of their competitors</w:t>
      </w:r>
      <w:r w:rsidRPr="00827D05">
        <w:rPr>
          <w:rFonts w:cs="Segoe UI Light"/>
          <w:szCs w:val="20"/>
        </w:rPr>
        <w:t xml:space="preserve"> that incentivise a duty holder to take steps to manage their risks.</w:t>
      </w:r>
    </w:p>
    <w:p w14:paraId="656AFF17" w14:textId="77777777" w:rsidR="00A25A1E" w:rsidRPr="00437515" w:rsidRDefault="00A25A1E" w:rsidP="004A2442">
      <w:pPr>
        <w:pStyle w:val="ListParagraph"/>
        <w:numPr>
          <w:ilvl w:val="0"/>
          <w:numId w:val="19"/>
        </w:numPr>
        <w:ind w:right="565"/>
      </w:pPr>
      <w:r w:rsidRPr="00827D05">
        <w:rPr>
          <w:rFonts w:cs="Segoe UI Light"/>
          <w:szCs w:val="20"/>
        </w:rPr>
        <w:t>The effectiveness of other regulatory controls</w:t>
      </w:r>
      <w:r>
        <w:rPr>
          <w:rFonts w:cs="Segoe UI Light"/>
          <w:szCs w:val="20"/>
        </w:rPr>
        <w:t xml:space="preserve"> could impact on the residual risk being addressed in this RIS</w:t>
      </w:r>
      <w:r w:rsidRPr="00827D05">
        <w:rPr>
          <w:rFonts w:cs="Segoe UI Light"/>
          <w:szCs w:val="20"/>
        </w:rPr>
        <w:t xml:space="preserve">. For example, Worksafe Victoria regulates </w:t>
      </w:r>
      <w:r w:rsidRPr="00C9407A">
        <w:t>the management and removal</w:t>
      </w:r>
      <w:r w:rsidRPr="00827D05">
        <w:rPr>
          <w:rFonts w:cs="Segoe UI Light"/>
          <w:szCs w:val="20"/>
        </w:rPr>
        <w:t xml:space="preserve"> of asbestos in workplaces (under the Occupational Health and Safety Regulations 2017) </w:t>
      </w:r>
      <w:r>
        <w:rPr>
          <w:rFonts w:cs="Segoe UI Light"/>
          <w:szCs w:val="20"/>
        </w:rPr>
        <w:t xml:space="preserve">which could change behaviour of businesses and reduce the likelihood or consequences associated with illegal dumping waste. </w:t>
      </w:r>
      <w:r w:rsidRPr="00437515">
        <w:t>Victorian planning regulations dictate the proximity of certain facility types, such as landfills, to sensitive land uses</w:t>
      </w:r>
      <w:r>
        <w:t>; this may impact business decisions about where to locate or activities taken to comply with the GED</w:t>
      </w:r>
      <w:r w:rsidRPr="00437515">
        <w:t xml:space="preserve">. </w:t>
      </w:r>
    </w:p>
    <w:p w14:paraId="656AFF18" w14:textId="77777777" w:rsidR="00A25A1E" w:rsidRPr="00827D05" w:rsidRDefault="00A25A1E" w:rsidP="00A25A1E">
      <w:pPr>
        <w:contextualSpacing/>
        <w:rPr>
          <w:rFonts w:cs="Segoe UI Light"/>
        </w:rPr>
      </w:pPr>
      <w:r>
        <w:rPr>
          <w:rFonts w:cs="Segoe UI Light"/>
        </w:rPr>
        <w:t>These</w:t>
      </w:r>
      <w:r w:rsidRPr="007E43FE">
        <w:rPr>
          <w:rFonts w:cs="Segoe UI Light"/>
          <w:szCs w:val="20"/>
        </w:rPr>
        <w:t xml:space="preserve"> </w:t>
      </w:r>
      <w:r w:rsidRPr="00AF36DE">
        <w:rPr>
          <w:rFonts w:cs="Segoe UI Light"/>
          <w:szCs w:val="20"/>
        </w:rPr>
        <w:t>behavioural factors, incentives</w:t>
      </w:r>
      <w:r w:rsidRPr="00153F89">
        <w:rPr>
          <w:rFonts w:cs="Segoe UI Light"/>
          <w:szCs w:val="20"/>
        </w:rPr>
        <w:t xml:space="preserve"> and information problems</w:t>
      </w:r>
      <w:r>
        <w:rPr>
          <w:rFonts w:cs="Segoe UI Light"/>
          <w:szCs w:val="20"/>
        </w:rPr>
        <w:t xml:space="preserve"> </w:t>
      </w:r>
      <w:r w:rsidRPr="00827D05">
        <w:rPr>
          <w:rFonts w:cs="Segoe UI Light"/>
        </w:rPr>
        <w:t>are important factors in assessing whether regulations are necessary to address the problem</w:t>
      </w:r>
      <w:r>
        <w:rPr>
          <w:rFonts w:cs="Segoe UI Light"/>
        </w:rPr>
        <w:t xml:space="preserve"> (as well as how any regulations should be designed), and are frequently referenced in the discussions of residual risks for specific problem areas in Part 2 </w:t>
      </w:r>
      <w:r w:rsidR="00553160">
        <w:rPr>
          <w:rFonts w:cs="Segoe UI Light"/>
        </w:rPr>
        <w:t>(</w:t>
      </w:r>
      <w:r w:rsidRPr="00827D05">
        <w:rPr>
          <w:rFonts w:cs="Segoe UI Light"/>
          <w:szCs w:val="20"/>
        </w:rPr>
        <w:t>Analysis by specific problem area</w:t>
      </w:r>
      <w:r w:rsidR="00553160">
        <w:rPr>
          <w:rFonts w:cs="Segoe UI Light"/>
          <w:szCs w:val="20"/>
        </w:rPr>
        <w:t>)</w:t>
      </w:r>
      <w:r w:rsidRPr="00827D05">
        <w:rPr>
          <w:rFonts w:cs="Segoe UI Light"/>
          <w:szCs w:val="20"/>
        </w:rPr>
        <w:t>.</w:t>
      </w:r>
    </w:p>
    <w:p w14:paraId="656AFF19" w14:textId="77777777" w:rsidR="00A25A1E" w:rsidRPr="00827D05" w:rsidRDefault="00A25A1E" w:rsidP="00982D63">
      <w:pPr>
        <w:pStyle w:val="Heading2"/>
      </w:pPr>
      <w:r w:rsidRPr="00827D05">
        <w:t>Evidence of the problem</w:t>
      </w:r>
    </w:p>
    <w:p w14:paraId="656AFF1A" w14:textId="77777777" w:rsidR="00A25A1E" w:rsidRDefault="00A25A1E" w:rsidP="00A25A1E">
      <w:pPr>
        <w:mirrorIndents/>
        <w:rPr>
          <w:rFonts w:cs="Segoe UI Light"/>
          <w:szCs w:val="20"/>
        </w:rPr>
      </w:pPr>
      <w:r w:rsidRPr="00827D05">
        <w:rPr>
          <w:rFonts w:cs="Segoe UI Light"/>
          <w:szCs w:val="20"/>
        </w:rPr>
        <w:t xml:space="preserve">This section </w:t>
      </w:r>
      <w:r>
        <w:rPr>
          <w:rFonts w:cs="Segoe UI Light"/>
          <w:szCs w:val="20"/>
        </w:rPr>
        <w:t>discusses the</w:t>
      </w:r>
      <w:r w:rsidRPr="00827D05">
        <w:rPr>
          <w:rFonts w:cs="Segoe UI Light"/>
          <w:szCs w:val="20"/>
        </w:rPr>
        <w:t xml:space="preserve"> harm </w:t>
      </w:r>
      <w:r>
        <w:rPr>
          <w:rFonts w:cs="Segoe UI Light"/>
          <w:szCs w:val="20"/>
        </w:rPr>
        <w:t xml:space="preserve">to the environment and human health </w:t>
      </w:r>
      <w:r w:rsidRPr="00827D05">
        <w:rPr>
          <w:rFonts w:cs="Segoe UI Light"/>
          <w:szCs w:val="20"/>
        </w:rPr>
        <w:t xml:space="preserve">caused by </w:t>
      </w:r>
      <w:r>
        <w:rPr>
          <w:rFonts w:cs="Segoe UI Light"/>
          <w:szCs w:val="20"/>
        </w:rPr>
        <w:t>pollution and waste, and the costs that arise as a result</w:t>
      </w:r>
      <w:r w:rsidRPr="00827D05">
        <w:rPr>
          <w:rFonts w:cs="Segoe UI Light"/>
          <w:szCs w:val="20"/>
        </w:rPr>
        <w:t>.</w:t>
      </w:r>
      <w:r>
        <w:rPr>
          <w:rFonts w:cs="Segoe UI Light"/>
          <w:szCs w:val="20"/>
        </w:rPr>
        <w:t xml:space="preserve"> Evidence is provided to demonstrate the overarching problem, noting there are challenges of isolating harms and identifying evidence for the residual risks. It is particularly challenging to identify evidence for a situation that does not currently exist i.e. the expected residual risks once the new EP legislation takes effect </w:t>
      </w:r>
      <w:r w:rsidR="0014045C">
        <w:rPr>
          <w:rFonts w:cs="Segoe UI Light"/>
          <w:szCs w:val="20"/>
        </w:rPr>
        <w:t xml:space="preserve">(intended to commence effect </w:t>
      </w:r>
      <w:r>
        <w:rPr>
          <w:rFonts w:cs="Segoe UI Light"/>
          <w:szCs w:val="20"/>
        </w:rPr>
        <w:t>on 1 July 2020</w:t>
      </w:r>
      <w:r w:rsidR="0014045C">
        <w:rPr>
          <w:rFonts w:cs="Segoe UI Light"/>
          <w:szCs w:val="20"/>
        </w:rPr>
        <w:t>)</w:t>
      </w:r>
      <w:r>
        <w:rPr>
          <w:rFonts w:cs="Segoe UI Light"/>
          <w:szCs w:val="20"/>
        </w:rPr>
        <w:t xml:space="preserve">. </w:t>
      </w:r>
    </w:p>
    <w:p w14:paraId="656AFF1B" w14:textId="77777777" w:rsidR="00697E99" w:rsidRPr="000C18C5" w:rsidRDefault="00697E99" w:rsidP="00697E99">
      <w:pPr>
        <w:spacing w:after="0"/>
        <w:mirrorIndents/>
      </w:pPr>
      <w:r w:rsidRPr="000C18C5">
        <w:t>Pollution and waste in their many forms are a problem because they can:</w:t>
      </w:r>
    </w:p>
    <w:p w14:paraId="656AFF1C" w14:textId="77777777" w:rsidR="00697E99" w:rsidRPr="0075382D" w:rsidRDefault="00697E99" w:rsidP="000E7C5E">
      <w:pPr>
        <w:pStyle w:val="ListParagraph"/>
        <w:numPr>
          <w:ilvl w:val="0"/>
          <w:numId w:val="19"/>
        </w:numPr>
        <w:ind w:right="565"/>
      </w:pPr>
      <w:r w:rsidRPr="00BC1A0C">
        <w:t>Damage human health, imposing financial costs on the health care system and impactin</w:t>
      </w:r>
      <w:r w:rsidRPr="0075382D">
        <w:t>g quality of life including causing disease, premature death and reduction in mental health.</w:t>
      </w:r>
    </w:p>
    <w:p w14:paraId="656AFF1D" w14:textId="77777777" w:rsidR="00697E99" w:rsidRPr="000E7C5E" w:rsidRDefault="00697E99" w:rsidP="000E7C5E">
      <w:pPr>
        <w:pStyle w:val="ListParagraph"/>
        <w:numPr>
          <w:ilvl w:val="0"/>
          <w:numId w:val="19"/>
        </w:numPr>
        <w:ind w:right="565"/>
      </w:pPr>
      <w:r w:rsidRPr="0075382D">
        <w:t>Create economic loss, including increased business costs</w:t>
      </w:r>
      <w:r w:rsidR="00464E39">
        <w:t>,</w:t>
      </w:r>
      <w:r w:rsidR="00C82D0A">
        <w:t xml:space="preserve"> </w:t>
      </w:r>
      <w:r w:rsidRPr="0075382D">
        <w:t>business closures and loss of income, as a result of land being deemed unsuitable for certain uses, damaged products, causing disruption to business activities and transport.</w:t>
      </w:r>
    </w:p>
    <w:p w14:paraId="656AFF1E" w14:textId="77777777" w:rsidR="00697E99" w:rsidRPr="000E7C5E" w:rsidRDefault="00697E99" w:rsidP="000E7C5E">
      <w:pPr>
        <w:pStyle w:val="ListParagraph"/>
        <w:numPr>
          <w:ilvl w:val="0"/>
          <w:numId w:val="19"/>
        </w:numPr>
        <w:ind w:right="565"/>
      </w:pPr>
      <w:r w:rsidRPr="000E7C5E">
        <w:t xml:space="preserve">Impose remediation / </w:t>
      </w:r>
      <w:r w:rsidR="005E035A" w:rsidRPr="000E7C5E">
        <w:t>clean-up</w:t>
      </w:r>
      <w:r w:rsidRPr="000E7C5E">
        <w:t xml:space="preserve"> costs in response to legacy contamination.</w:t>
      </w:r>
    </w:p>
    <w:p w14:paraId="656AFF1F" w14:textId="77777777" w:rsidR="00697E99" w:rsidRPr="000E7C5E" w:rsidRDefault="00697E99" w:rsidP="000E7C5E">
      <w:pPr>
        <w:pStyle w:val="ListParagraph"/>
        <w:numPr>
          <w:ilvl w:val="0"/>
          <w:numId w:val="19"/>
        </w:numPr>
        <w:ind w:right="565"/>
      </w:pPr>
      <w:r w:rsidRPr="000E7C5E">
        <w:t xml:space="preserve">Generate incident response costs, for example </w:t>
      </w:r>
      <w:r w:rsidR="00EB03A6">
        <w:t xml:space="preserve">for </w:t>
      </w:r>
      <w:r w:rsidRPr="000E7C5E">
        <w:t>emergency services</w:t>
      </w:r>
      <w:r w:rsidR="00EB03A6">
        <w:t xml:space="preserve">, </w:t>
      </w:r>
      <w:r w:rsidRPr="000E7C5E">
        <w:t>EPA and council</w:t>
      </w:r>
      <w:r w:rsidR="00181639">
        <w:t>s</w:t>
      </w:r>
      <w:r w:rsidRPr="000E7C5E">
        <w:t>.</w:t>
      </w:r>
    </w:p>
    <w:p w14:paraId="656AFF20" w14:textId="77777777" w:rsidR="00697E99" w:rsidRPr="000E7C5E" w:rsidRDefault="00697E99" w:rsidP="000E7C5E">
      <w:pPr>
        <w:pStyle w:val="ListParagraph"/>
        <w:numPr>
          <w:ilvl w:val="0"/>
          <w:numId w:val="19"/>
        </w:numPr>
        <w:ind w:right="565"/>
      </w:pPr>
      <w:r w:rsidRPr="000E7C5E">
        <w:t>Impose costs on the community such as school closures and the requirement to stay indoors in the case of toxic chemical fires.</w:t>
      </w:r>
    </w:p>
    <w:p w14:paraId="656AFF21" w14:textId="77777777" w:rsidR="00697E99" w:rsidRPr="000E7C5E" w:rsidRDefault="00697E99" w:rsidP="000E7C5E">
      <w:pPr>
        <w:pStyle w:val="ListParagraph"/>
        <w:numPr>
          <w:ilvl w:val="0"/>
          <w:numId w:val="19"/>
        </w:numPr>
        <w:ind w:right="565"/>
      </w:pPr>
      <w:r w:rsidRPr="000E7C5E">
        <w:t>Negatively impact amenity and recreational value, for example due to reduced enjoyment of natural environment.</w:t>
      </w:r>
    </w:p>
    <w:p w14:paraId="656AFF22" w14:textId="77777777" w:rsidR="00697E99" w:rsidRPr="000E7C5E" w:rsidRDefault="00697E99" w:rsidP="000E7C5E">
      <w:pPr>
        <w:pStyle w:val="ListParagraph"/>
        <w:numPr>
          <w:ilvl w:val="0"/>
          <w:numId w:val="19"/>
        </w:numPr>
        <w:ind w:right="565"/>
      </w:pPr>
      <w:r w:rsidRPr="000E7C5E">
        <w:t>Damage animal and plant health, including causing animal and plant death.</w:t>
      </w:r>
    </w:p>
    <w:p w14:paraId="656AFF23" w14:textId="77777777" w:rsidR="00697E99" w:rsidRPr="000E7C5E" w:rsidRDefault="00697E99" w:rsidP="000E7C5E">
      <w:pPr>
        <w:pStyle w:val="ListParagraph"/>
        <w:numPr>
          <w:ilvl w:val="0"/>
          <w:numId w:val="19"/>
        </w:numPr>
        <w:ind w:right="565"/>
      </w:pPr>
      <w:r w:rsidRPr="000E7C5E">
        <w:t>Reduce biodiversity, including in some cases threaten entire species.</w:t>
      </w:r>
    </w:p>
    <w:p w14:paraId="656AFF24" w14:textId="77777777" w:rsidR="00A25A1E" w:rsidRDefault="00A25A1E" w:rsidP="005216FE">
      <w:r w:rsidRPr="00C77333">
        <w:rPr>
          <w:rFonts w:cs="Segoe UI Light"/>
          <w:szCs w:val="20"/>
        </w:rPr>
        <w:t xml:space="preserve">Costs incurred as a result of waste and pollution </w:t>
      </w:r>
      <w:r>
        <w:rPr>
          <w:rFonts w:cs="Segoe UI Light"/>
          <w:szCs w:val="20"/>
        </w:rPr>
        <w:t>can be significant. Large scale e</w:t>
      </w:r>
      <w:r w:rsidRPr="00C77333">
        <w:rPr>
          <w:rFonts w:cs="Segoe UI Light"/>
          <w:szCs w:val="20"/>
        </w:rPr>
        <w:t xml:space="preserve">xamples range from </w:t>
      </w:r>
      <w:r w:rsidRPr="00A53D4B">
        <w:rPr>
          <w:rFonts w:cs="Segoe UI Light"/>
          <w:szCs w:val="20"/>
        </w:rPr>
        <w:t>the costs of the Haz</w:t>
      </w:r>
      <w:r w:rsidRPr="006175B3">
        <w:rPr>
          <w:rFonts w:cs="Segoe UI Light"/>
          <w:szCs w:val="20"/>
        </w:rPr>
        <w:t>elwood mine fire, estimated to exceed $100 million</w:t>
      </w:r>
      <w:r w:rsidRPr="00012C21">
        <w:rPr>
          <w:rFonts w:cs="Segoe UI Light"/>
          <w:szCs w:val="20"/>
          <w:vertAlign w:val="superscript"/>
        </w:rPr>
        <w:footnoteReference w:id="38"/>
      </w:r>
      <w:r>
        <w:rPr>
          <w:rFonts w:cs="Segoe UI Light"/>
          <w:szCs w:val="20"/>
        </w:rPr>
        <w:t>, to the</w:t>
      </w:r>
      <w:r w:rsidRPr="009B6D0C">
        <w:t xml:space="preserve"> estimated costs </w:t>
      </w:r>
      <w:r>
        <w:t xml:space="preserve">of </w:t>
      </w:r>
      <w:r w:rsidRPr="009B6D0C">
        <w:t xml:space="preserve">returning </w:t>
      </w:r>
      <w:r>
        <w:t xml:space="preserve">a former recycling site </w:t>
      </w:r>
      <w:r w:rsidR="00E15E65">
        <w:t xml:space="preserve">near </w:t>
      </w:r>
      <w:r>
        <w:t xml:space="preserve">Geelong </w:t>
      </w:r>
      <w:r w:rsidRPr="009B6D0C">
        <w:t>to compliance with its planning permi</w:t>
      </w:r>
      <w:r>
        <w:t>t or to conduct a total clean ranging</w:t>
      </w:r>
      <w:r w:rsidRPr="009B6D0C">
        <w:t xml:space="preserve"> f</w:t>
      </w:r>
      <w:r>
        <w:t>rom $20 million to $150 million</w:t>
      </w:r>
      <w:r>
        <w:rPr>
          <w:rStyle w:val="FootnoteReference"/>
        </w:rPr>
        <w:footnoteReference w:id="39"/>
      </w:r>
      <w:r>
        <w:t>. The cost of street sweeping services</w:t>
      </w:r>
      <w:r w:rsidRPr="0009371E">
        <w:t xml:space="preserve"> </w:t>
      </w:r>
      <w:r>
        <w:t>i</w:t>
      </w:r>
      <w:r w:rsidRPr="00B943BC">
        <w:t xml:space="preserve">n Victoria, </w:t>
      </w:r>
      <w:r>
        <w:t>undertaken by local governments (with the cost ultimately borne by rate payers), was $59 million in 2016-17.</w:t>
      </w:r>
      <w:r>
        <w:rPr>
          <w:rStyle w:val="FootnoteReference"/>
        </w:rPr>
        <w:footnoteReference w:id="40"/>
      </w:r>
      <w:r>
        <w:t xml:space="preserve"> </w:t>
      </w:r>
      <w:r w:rsidR="00DB4AE9" w:rsidRPr="00450459">
        <w:t>Quantified total health costs from particulate matter emissions from the use of wood heaters in Victoria have been est</w:t>
      </w:r>
      <w:r w:rsidR="00DB4AE9" w:rsidRPr="007337DC">
        <w:t>imated at over $8 billion over 10 years to 2028, or $5.8 billion in pres</w:t>
      </w:r>
      <w:r w:rsidR="00DB4AE9" w:rsidRPr="00B053E8">
        <w:t>ent value terms (2017 dollars).</w:t>
      </w:r>
      <w:r w:rsidR="00DB4AE9" w:rsidRPr="007337DC">
        <w:rPr>
          <w:rStyle w:val="FootnoteReference"/>
        </w:rPr>
        <w:footnoteReference w:id="41"/>
      </w:r>
    </w:p>
    <w:p w14:paraId="656AFF25" w14:textId="77777777" w:rsidR="005216FE" w:rsidRDefault="005216FE" w:rsidP="005216FE">
      <w:pPr>
        <w:pStyle w:val="Caption"/>
      </w:pPr>
      <w:r>
        <w:t xml:space="preserve">Figure </w:t>
      </w:r>
      <w:r w:rsidR="008C5D06">
        <w:rPr>
          <w:color w:val="2B579A"/>
          <w:shd w:val="clear" w:color="auto" w:fill="E6E6E6"/>
        </w:rPr>
        <w:fldChar w:fldCharType="begin"/>
      </w:r>
      <w:r w:rsidR="008C5D06">
        <w:instrText xml:space="preserve"> STYLEREF 1 \s </w:instrText>
      </w:r>
      <w:r w:rsidR="008C5D06">
        <w:rPr>
          <w:color w:val="2B579A"/>
          <w:shd w:val="clear" w:color="auto" w:fill="E6E6E6"/>
        </w:rPr>
        <w:fldChar w:fldCharType="separate"/>
      </w:r>
      <w:r w:rsidR="00B11C1E">
        <w:rPr>
          <w:noProof/>
        </w:rPr>
        <w:t>3</w:t>
      </w:r>
      <w:r w:rsidR="008C5D06">
        <w:rPr>
          <w:color w:val="2B579A"/>
          <w:shd w:val="clear" w:color="auto" w:fill="E6E6E6"/>
        </w:rPr>
        <w:fldChar w:fldCharType="end"/>
      </w:r>
      <w:r w:rsidR="008C5D06">
        <w:noBreakHyphen/>
      </w:r>
      <w:r w:rsidR="008C5D06">
        <w:rPr>
          <w:color w:val="2B579A"/>
          <w:shd w:val="clear" w:color="auto" w:fill="E6E6E6"/>
        </w:rPr>
        <w:fldChar w:fldCharType="begin"/>
      </w:r>
      <w:r w:rsidR="008C5D06">
        <w:instrText xml:space="preserve"> SEQ Figure \* ARABIC \s 1 </w:instrText>
      </w:r>
      <w:r w:rsidR="008C5D06">
        <w:rPr>
          <w:color w:val="2B579A"/>
          <w:shd w:val="clear" w:color="auto" w:fill="E6E6E6"/>
        </w:rPr>
        <w:fldChar w:fldCharType="separate"/>
      </w:r>
      <w:r w:rsidR="00B11C1E">
        <w:rPr>
          <w:noProof/>
        </w:rPr>
        <w:t>2</w:t>
      </w:r>
      <w:r w:rsidR="008C5D06">
        <w:rPr>
          <w:color w:val="2B579A"/>
          <w:shd w:val="clear" w:color="auto" w:fill="E6E6E6"/>
        </w:rPr>
        <w:fldChar w:fldCharType="end"/>
      </w:r>
      <w:r w:rsidRPr="005216FE">
        <w:t xml:space="preserve"> </w:t>
      </w:r>
      <w:r>
        <w:t xml:space="preserve">Former recycling centre and then illegal rubbish dump </w:t>
      </w:r>
      <w:r w:rsidR="00E15E65">
        <w:t>near Geelong</w:t>
      </w:r>
    </w:p>
    <w:p w14:paraId="656AFF26" w14:textId="77777777" w:rsidR="00A25A1E" w:rsidRDefault="00A25A1E" w:rsidP="00A25A1E">
      <w:pPr>
        <w:rPr>
          <w:noProof/>
          <w:lang w:eastAsia="en-AU"/>
        </w:rPr>
      </w:pPr>
      <w:r w:rsidRPr="00CE41AA">
        <w:rPr>
          <w:noProof/>
          <w:color w:val="2B579A"/>
          <w:shd w:val="clear" w:color="auto" w:fill="E6E6E6"/>
          <w:lang w:eastAsia="en-AU"/>
        </w:rPr>
        <w:drawing>
          <wp:inline distT="0" distB="0" distL="0" distR="0" wp14:anchorId="656B1E7E" wp14:editId="656B1E7F">
            <wp:extent cx="4645890" cy="2616200"/>
            <wp:effectExtent l="0" t="0" r="2540" b="0"/>
            <wp:docPr id="662474198" name="Picture 66247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67483" cy="2628360"/>
                    </a:xfrm>
                    <a:prstGeom prst="rect">
                      <a:avLst/>
                    </a:prstGeom>
                  </pic:spPr>
                </pic:pic>
              </a:graphicData>
            </a:graphic>
          </wp:inline>
        </w:drawing>
      </w:r>
      <w:r w:rsidRPr="0076399F">
        <w:rPr>
          <w:rFonts w:ascii="PT Serif" w:hAnsi="PT Serif"/>
          <w:noProof/>
          <w:color w:val="707070"/>
          <w:lang w:eastAsia="en-AU"/>
        </w:rPr>
        <w:t xml:space="preserve"> </w:t>
      </w:r>
      <w:r>
        <w:rPr>
          <w:rFonts w:ascii="PT Serif" w:hAnsi="PT Serif"/>
          <w:noProof/>
          <w:color w:val="707070"/>
          <w:shd w:val="clear" w:color="auto" w:fill="E6E6E6"/>
          <w:lang w:eastAsia="en-AU"/>
        </w:rPr>
        <mc:AlternateContent>
          <mc:Choice Requires="wps">
            <w:drawing>
              <wp:inline distT="0" distB="0" distL="0" distR="0" wp14:anchorId="656B1E80" wp14:editId="656B1E81">
                <wp:extent cx="304800" cy="304800"/>
                <wp:effectExtent l="0" t="0" r="0" b="0"/>
                <wp:docPr id="662474195" name="AutoShape 1" descr="A fire broke out at the Lara recycling centre in January 201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61D12F" id="AutoShape 1" o:spid="_x0000_s1026" alt="A fire broke out at the Lara recycling centre in January 2018."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" o:button="t" filled="f" stroked="f">
                <v:fill o:detectmouseclick="t"/>
                <o:lock v:ext="edit" aspectratio="t"/>
                <w10:anchorlock/>
              </v:rect>
            </w:pict>
          </mc:Fallback>
        </mc:AlternateContent>
      </w:r>
    </w:p>
    <w:p w14:paraId="656AFF27" w14:textId="77777777" w:rsidR="00A25A1E" w:rsidRPr="00C77333" w:rsidRDefault="00A25A1E" w:rsidP="00A25A1E">
      <w:pPr>
        <w:mirrorIndents/>
        <w:rPr>
          <w:rFonts w:cs="Segoe UI Light"/>
          <w:szCs w:val="20"/>
        </w:rPr>
      </w:pPr>
    </w:p>
    <w:p w14:paraId="656AFF28" w14:textId="77777777" w:rsidR="00A25A1E" w:rsidRPr="003B5392" w:rsidRDefault="00A25A1E" w:rsidP="004F1747">
      <w:pPr>
        <w:pStyle w:val="Heading3"/>
        <w:ind w:left="720"/>
      </w:pPr>
      <w:r w:rsidRPr="004F1747">
        <w:rPr>
          <w:lang w:val="en"/>
        </w:rPr>
        <w:t>Data</w:t>
      </w:r>
      <w:r w:rsidRPr="003B5392">
        <w:t xml:space="preserve"> availability</w:t>
      </w:r>
    </w:p>
    <w:p w14:paraId="656AFF29" w14:textId="77777777" w:rsidR="00A25A1E" w:rsidRDefault="00A25A1E" w:rsidP="00A25A1E">
      <w:pPr>
        <w:mirrorIndents/>
        <w:rPr>
          <w:rFonts w:cs="Segoe UI Light"/>
        </w:rPr>
      </w:pPr>
      <w:r>
        <w:rPr>
          <w:rFonts w:cs="Segoe UI Light"/>
        </w:rPr>
        <w:t>More data is provided to demonstrate the harms and costs of the problem</w:t>
      </w:r>
      <w:r w:rsidR="001D03BB">
        <w:rPr>
          <w:rFonts w:cs="Segoe UI Light"/>
        </w:rPr>
        <w:t>s</w:t>
      </w:r>
      <w:r>
        <w:rPr>
          <w:rFonts w:cs="Segoe UI Light"/>
        </w:rPr>
        <w:t xml:space="preserve"> in the specific problem area chapters (</w:t>
      </w:r>
      <w:r>
        <w:rPr>
          <w:rFonts w:cs="Segoe UI Light"/>
          <w:szCs w:val="20"/>
        </w:rPr>
        <w:t>Part 2 of this RIS</w:t>
      </w:r>
      <w:r>
        <w:rPr>
          <w:rFonts w:cs="Segoe UI Light"/>
        </w:rPr>
        <w:t>).</w:t>
      </w:r>
    </w:p>
    <w:p w14:paraId="656AFF2A" w14:textId="77777777" w:rsidR="00A25A1E" w:rsidRPr="00827D05" w:rsidRDefault="00A25A1E" w:rsidP="00A25A1E">
      <w:pPr>
        <w:mirrorIndents/>
        <w:rPr>
          <w:rFonts w:cs="Segoe UI Light"/>
        </w:rPr>
      </w:pPr>
      <w:r>
        <w:rPr>
          <w:rFonts w:cs="Segoe UI Light"/>
          <w:noProof/>
          <w:color w:val="2B579A"/>
          <w:shd w:val="clear" w:color="auto" w:fill="E6E6E6"/>
          <w:lang w:eastAsia="en-AU"/>
        </w:rPr>
        <mc:AlternateContent>
          <mc:Choice Requires="wps">
            <w:drawing>
              <wp:anchor distT="0" distB="0" distL="114300" distR="114300" simplePos="0" relativeHeight="251658258" behindDoc="0" locked="0" layoutInCell="1" allowOverlap="1" wp14:anchorId="656B1E82" wp14:editId="656B1E83">
                <wp:simplePos x="0" y="0"/>
                <wp:positionH relativeFrom="column">
                  <wp:posOffset>7156952</wp:posOffset>
                </wp:positionH>
                <wp:positionV relativeFrom="paragraph">
                  <wp:posOffset>1088711</wp:posOffset>
                </wp:positionV>
                <wp:extent cx="0" cy="0"/>
                <wp:effectExtent l="0" t="0" r="0" b="0"/>
                <wp:wrapNone/>
                <wp:docPr id="1797047330" name="Straight Connector 1797047330"/>
                <wp:cNvGraphicFramePr/>
                <a:graphic xmlns:a="http://schemas.openxmlformats.org/drawingml/2006/main">
                  <a:graphicData uri="http://schemas.microsoft.com/office/word/2010/wordprocessingShape">
                    <wps:wsp>
                      <wps:cNvCnPr/>
                      <wps:spPr>
                        <a:xfrm flipV="1">
                          <a:off x="0" y="0"/>
                          <a:ext cx="0" cy="0"/>
                        </a:xfrm>
                        <a:prstGeom prst="line">
                          <a:avLst/>
                        </a:prstGeom>
                        <a:ln>
                          <a:solidFill>
                            <a:srgbClr val="445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EE8AC" id="Straight Connector 1797047330" o:spid="_x0000_s1026" style="position:absolute;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55pt,85.75pt" to="563.5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" strokecolor="#44546a"/>
            </w:pict>
          </mc:Fallback>
        </mc:AlternateContent>
      </w:r>
      <w:r w:rsidR="00B13550">
        <w:rPr>
          <w:rFonts w:cs="Segoe UI Light"/>
          <w:noProof/>
          <w:lang w:eastAsia="en-AU"/>
        </w:rPr>
        <w:t>T</w:t>
      </w:r>
      <w:r>
        <w:rPr>
          <w:rFonts w:cs="Segoe UI Light"/>
          <w:noProof/>
          <w:lang w:eastAsia="en-AU"/>
        </w:rPr>
        <w:t>here</w:t>
      </w:r>
      <w:r w:rsidRPr="00827D05">
        <w:rPr>
          <w:rFonts w:cs="Segoe UI Light"/>
        </w:rPr>
        <w:t xml:space="preserve"> are limitations in regard to the data available on </w:t>
      </w:r>
      <w:r w:rsidR="001D03BB">
        <w:rPr>
          <w:rFonts w:cs="Segoe UI Light"/>
        </w:rPr>
        <w:t>these problems</w:t>
      </w:r>
      <w:r w:rsidRPr="00827D05">
        <w:rPr>
          <w:rFonts w:cs="Segoe UI Light"/>
        </w:rPr>
        <w:t>,</w:t>
      </w:r>
      <w:r>
        <w:rPr>
          <w:rFonts w:cs="Segoe UI Light"/>
        </w:rPr>
        <w:t xml:space="preserve"> </w:t>
      </w:r>
      <w:r w:rsidRPr="00827D05">
        <w:rPr>
          <w:rFonts w:cs="Segoe UI Light"/>
        </w:rPr>
        <w:t xml:space="preserve">not only in Victoria but in other jurisdictions. Unlike other policy areas, such as occupational health and safety, the </w:t>
      </w:r>
      <w:r>
        <w:rPr>
          <w:rFonts w:cs="Segoe UI Light"/>
        </w:rPr>
        <w:t xml:space="preserve">data on environmental damage or </w:t>
      </w:r>
      <w:r w:rsidRPr="00827D05">
        <w:rPr>
          <w:rFonts w:cs="Segoe UI Light"/>
        </w:rPr>
        <w:t xml:space="preserve">illness or fatalities as a result of pollution and waste is </w:t>
      </w:r>
      <w:r>
        <w:rPr>
          <w:rFonts w:cs="Segoe UI Light"/>
        </w:rPr>
        <w:t>typically</w:t>
      </w:r>
      <w:r w:rsidRPr="00827D05">
        <w:rPr>
          <w:rFonts w:cs="Segoe UI Light"/>
        </w:rPr>
        <w:t xml:space="preserve"> difficult to collect, since the nature of the harm </w:t>
      </w:r>
      <w:r>
        <w:rPr>
          <w:rFonts w:cs="Segoe UI Light"/>
        </w:rPr>
        <w:t xml:space="preserve">to the environment or human health </w:t>
      </w:r>
      <w:r w:rsidRPr="00827D05">
        <w:rPr>
          <w:rFonts w:cs="Segoe UI Light"/>
        </w:rPr>
        <w:t>can be dispersed or long term</w:t>
      </w:r>
      <w:r w:rsidR="00E20C09">
        <w:rPr>
          <w:rFonts w:cs="Segoe UI Light"/>
        </w:rPr>
        <w:t>. Furthermore,</w:t>
      </w:r>
      <w:r>
        <w:t xml:space="preserve"> waste and pollution may be contributing not casual factors</w:t>
      </w:r>
      <w:r w:rsidRPr="00827D05">
        <w:rPr>
          <w:rFonts w:cs="Segoe UI Light"/>
        </w:rPr>
        <w:t>. Evidence is sometimes piecemeal and ad hoc. Some areas, such as air pollution, have better data available than others, such as water pollution</w:t>
      </w:r>
      <w:r w:rsidR="00E83409">
        <w:rPr>
          <w:rFonts w:cs="Segoe UI Light"/>
        </w:rPr>
        <w:t xml:space="preserve"> </w:t>
      </w:r>
      <w:r w:rsidR="006B7CCD">
        <w:rPr>
          <w:rFonts w:cs="Segoe UI Light"/>
        </w:rPr>
        <w:t xml:space="preserve">or </w:t>
      </w:r>
      <w:r w:rsidR="00E83409">
        <w:rPr>
          <w:rFonts w:cs="Segoe UI Light"/>
        </w:rPr>
        <w:t>contaminated land</w:t>
      </w:r>
      <w:r w:rsidR="006B7CCD">
        <w:rPr>
          <w:rFonts w:cs="Segoe UI Light"/>
        </w:rPr>
        <w:t xml:space="preserve"> and groundwater</w:t>
      </w:r>
      <w:r>
        <w:rPr>
          <w:rFonts w:cs="Segoe UI Light"/>
        </w:rPr>
        <w:t>, where many gaps exist</w:t>
      </w:r>
      <w:r w:rsidRPr="00827D05">
        <w:rPr>
          <w:rFonts w:cs="Segoe UI Light"/>
        </w:rPr>
        <w:t>. This reflect</w:t>
      </w:r>
      <w:r>
        <w:rPr>
          <w:rFonts w:cs="Segoe UI Light"/>
        </w:rPr>
        <w:t>s</w:t>
      </w:r>
      <w:r w:rsidRPr="00827D05">
        <w:rPr>
          <w:rFonts w:cs="Segoe UI Light"/>
        </w:rPr>
        <w:t xml:space="preserve"> the different monitoring frameworks that are in place, the level of health evidence accumulated, and also that some parts of the environment are inherently more difficult to monitor and understand </w:t>
      </w:r>
      <w:r>
        <w:rPr>
          <w:rFonts w:cs="Segoe UI Light"/>
        </w:rPr>
        <w:t>than others</w:t>
      </w:r>
      <w:r w:rsidRPr="00827D05">
        <w:rPr>
          <w:rFonts w:cs="Segoe UI Light"/>
        </w:rPr>
        <w:t>.</w:t>
      </w:r>
    </w:p>
    <w:p w14:paraId="656AFF2B" w14:textId="77777777" w:rsidR="00A25A1E" w:rsidRDefault="00A25A1E" w:rsidP="00A25A1E">
      <w:pPr>
        <w:mirrorIndents/>
        <w:rPr>
          <w:rFonts w:cs="Segoe UI Light"/>
        </w:rPr>
      </w:pPr>
      <w:r w:rsidRPr="00827D05">
        <w:rPr>
          <w:rFonts w:cs="Segoe UI Light"/>
        </w:rPr>
        <w:t xml:space="preserve">The difficulty in obtaining evidence that enables a clear quantification of the problem, </w:t>
      </w:r>
      <w:r>
        <w:rPr>
          <w:rFonts w:cs="Segoe UI Light"/>
        </w:rPr>
        <w:t xml:space="preserve">and </w:t>
      </w:r>
      <w:r w:rsidRPr="00827D05">
        <w:rPr>
          <w:rFonts w:cs="Segoe UI Light"/>
        </w:rPr>
        <w:t xml:space="preserve">particularly data that </w:t>
      </w:r>
      <w:r w:rsidR="00E15E65">
        <w:rPr>
          <w:rFonts w:cs="Segoe UI Light"/>
        </w:rPr>
        <w:t>is</w:t>
      </w:r>
      <w:r w:rsidRPr="00827D05">
        <w:rPr>
          <w:rFonts w:cs="Segoe UI Light"/>
        </w:rPr>
        <w:t xml:space="preserve"> </w:t>
      </w:r>
      <w:r w:rsidR="006B7CCD">
        <w:rPr>
          <w:rFonts w:cs="Segoe UI Light"/>
        </w:rPr>
        <w:t xml:space="preserve">specific to </w:t>
      </w:r>
      <w:r w:rsidRPr="00827D05">
        <w:rPr>
          <w:rFonts w:cs="Segoe UI Light"/>
        </w:rPr>
        <w:t xml:space="preserve">Victorian, may also indicate that the current regulatory regime </w:t>
      </w:r>
      <w:r>
        <w:rPr>
          <w:rFonts w:cs="Segoe UI Light"/>
        </w:rPr>
        <w:t>goes some way to</w:t>
      </w:r>
      <w:r w:rsidRPr="00827D05">
        <w:rPr>
          <w:rFonts w:cs="Segoe UI Light"/>
        </w:rPr>
        <w:t xml:space="preserve"> preventing risks of harm to human health and the environment. However, this relationship is difficult to prove or quantify.</w:t>
      </w:r>
    </w:p>
    <w:p w14:paraId="656AFF2C" w14:textId="77777777" w:rsidR="00A25A1E" w:rsidRDefault="00A25A1E" w:rsidP="00A25A1E">
      <w:pPr>
        <w:mirrorIndents/>
      </w:pPr>
      <w:r w:rsidRPr="00827D05">
        <w:t xml:space="preserve">Due to the intangible nature of some of these impacts, it is </w:t>
      </w:r>
      <w:r>
        <w:t xml:space="preserve">also </w:t>
      </w:r>
      <w:r w:rsidRPr="00827D05">
        <w:t xml:space="preserve">not possible to quantify all the costs, </w:t>
      </w:r>
      <w:r>
        <w:t>particularly</w:t>
      </w:r>
      <w:r w:rsidRPr="00827D05">
        <w:t xml:space="preserve"> social and environmental costs. </w:t>
      </w:r>
      <w:r>
        <w:t>There also</w:t>
      </w:r>
      <w:r w:rsidRPr="00827D05">
        <w:t xml:space="preserve"> do</w:t>
      </w:r>
      <w:r>
        <w:t>es</w:t>
      </w:r>
      <w:r w:rsidRPr="00827D05">
        <w:t xml:space="preserve"> not appear to be any comprehensive data on those more easily quantified costs. </w:t>
      </w:r>
      <w:r>
        <w:t>Costs have therefore not</w:t>
      </w:r>
      <w:r w:rsidRPr="00827D05">
        <w:t xml:space="preserve"> been aggregated or calculated in per person terms because to do so would imply that the data </w:t>
      </w:r>
      <w:r>
        <w:t>are</w:t>
      </w:r>
      <w:r w:rsidRPr="00827D05">
        <w:t xml:space="preserve"> more complete and rigorous than </w:t>
      </w:r>
      <w:r>
        <w:t xml:space="preserve">is </w:t>
      </w:r>
      <w:r w:rsidRPr="00827D05">
        <w:t xml:space="preserve">actually </w:t>
      </w:r>
      <w:r>
        <w:t>the case.</w:t>
      </w:r>
    </w:p>
    <w:p w14:paraId="656AFF2D" w14:textId="77777777" w:rsidR="00A25A1E" w:rsidRPr="00827D05" w:rsidRDefault="00A25A1E" w:rsidP="00A25A1E">
      <w:pPr>
        <w:mirrorIndents/>
        <w:rPr>
          <w:rFonts w:cs="Segoe UI Light"/>
        </w:rPr>
      </w:pPr>
      <w:r w:rsidRPr="00827D05">
        <w:rPr>
          <w:rFonts w:cs="Segoe UI Light"/>
        </w:rPr>
        <w:t>Part 2 of this RIS provide</w:t>
      </w:r>
      <w:r>
        <w:rPr>
          <w:rFonts w:cs="Segoe UI Light"/>
        </w:rPr>
        <w:t>s</w:t>
      </w:r>
      <w:r w:rsidRPr="00827D05">
        <w:rPr>
          <w:rFonts w:cs="Segoe UI Light"/>
        </w:rPr>
        <w:t xml:space="preserve"> </w:t>
      </w:r>
      <w:r>
        <w:rPr>
          <w:rFonts w:cs="Segoe UI Light"/>
        </w:rPr>
        <w:t xml:space="preserve">more </w:t>
      </w:r>
      <w:r w:rsidRPr="00827D05">
        <w:rPr>
          <w:rFonts w:cs="Segoe UI Light"/>
        </w:rPr>
        <w:t xml:space="preserve">detailed discussion </w:t>
      </w:r>
      <w:r>
        <w:rPr>
          <w:rFonts w:cs="Segoe UI Light"/>
        </w:rPr>
        <w:t>of the</w:t>
      </w:r>
      <w:r w:rsidRPr="00827D05">
        <w:rPr>
          <w:rFonts w:cs="Segoe UI Light"/>
        </w:rPr>
        <w:t xml:space="preserve"> evidence of the problem for each </w:t>
      </w:r>
      <w:r>
        <w:rPr>
          <w:rFonts w:cs="Segoe UI Light"/>
        </w:rPr>
        <w:t xml:space="preserve">specific </w:t>
      </w:r>
      <w:r w:rsidRPr="00827D05">
        <w:rPr>
          <w:rFonts w:cs="Segoe UI Light"/>
        </w:rPr>
        <w:t xml:space="preserve">area, </w:t>
      </w:r>
      <w:r>
        <w:rPr>
          <w:rFonts w:cs="Segoe UI Light"/>
        </w:rPr>
        <w:t>subject to</w:t>
      </w:r>
      <w:r w:rsidRPr="00827D05">
        <w:rPr>
          <w:rFonts w:cs="Segoe UI Light"/>
        </w:rPr>
        <w:t xml:space="preserve"> the limitations discussed here.</w:t>
      </w:r>
    </w:p>
    <w:p w14:paraId="656AFF2E" w14:textId="77777777" w:rsidR="00A25A1E" w:rsidRPr="00D85A7F" w:rsidRDefault="00A25A1E" w:rsidP="004F1747">
      <w:pPr>
        <w:pStyle w:val="Heading3"/>
        <w:ind w:left="720"/>
        <w:rPr>
          <w:szCs w:val="26"/>
        </w:rPr>
      </w:pPr>
      <w:r w:rsidRPr="004F1747">
        <w:rPr>
          <w:lang w:val="en"/>
        </w:rPr>
        <w:t>Enforcement</w:t>
      </w:r>
      <w:r w:rsidRPr="00114C18">
        <w:t xml:space="preserve"> and compliance data</w:t>
      </w:r>
    </w:p>
    <w:p w14:paraId="656AFF2F" w14:textId="77777777" w:rsidR="00A25A1E" w:rsidRDefault="00A25A1E" w:rsidP="00A25A1E">
      <w:pPr>
        <w:mirrorIndents/>
      </w:pPr>
      <w:r>
        <w:rPr>
          <w:rFonts w:cs="Segoe UI Light"/>
        </w:rPr>
        <w:t xml:space="preserve">This </w:t>
      </w:r>
      <w:r w:rsidRPr="00827D05">
        <w:rPr>
          <w:rFonts w:cs="Segoe UI Light"/>
        </w:rPr>
        <w:t xml:space="preserve">section </w:t>
      </w:r>
      <w:r>
        <w:rPr>
          <w:rFonts w:cs="Segoe UI Light"/>
        </w:rPr>
        <w:t>provides an overview of EPA</w:t>
      </w:r>
      <w:r w:rsidRPr="00827D05">
        <w:rPr>
          <w:rFonts w:cs="Segoe UI Light"/>
        </w:rPr>
        <w:t xml:space="preserve">’s data on the </w:t>
      </w:r>
      <w:r w:rsidRPr="0054702E">
        <w:t xml:space="preserve">incidence of </w:t>
      </w:r>
      <w:r>
        <w:t>pollution reports</w:t>
      </w:r>
      <w:r>
        <w:rPr>
          <w:rFonts w:cs="Segoe UI Light"/>
        </w:rPr>
        <w:t xml:space="preserve"> </w:t>
      </w:r>
      <w:r w:rsidRPr="00827D05">
        <w:rPr>
          <w:rFonts w:cs="Segoe UI Light"/>
        </w:rPr>
        <w:t>from 2013 to 2018, which is an</w:t>
      </w:r>
      <w:r w:rsidRPr="00827D05">
        <w:t xml:space="preserve"> indicator of the</w:t>
      </w:r>
      <w:r>
        <w:t xml:space="preserve"> size of the aggregate problem. While these reports relate to reported incidents, there are likely to be many incidents that go unreported to EPA. </w:t>
      </w:r>
    </w:p>
    <w:p w14:paraId="656AFF30" w14:textId="77777777" w:rsidR="00A25A1E" w:rsidRDefault="00A25A1E" w:rsidP="00A25A1E">
      <w:pPr>
        <w:mirrorIndents/>
        <w:rPr>
          <w:szCs w:val="20"/>
        </w:rPr>
      </w:pPr>
      <w:r w:rsidRPr="00827D05">
        <w:rPr>
          <w:szCs w:val="20"/>
        </w:rPr>
        <w:t xml:space="preserve">EPA responds to over 11,000 reports of pollution each year. The vast majority of these reports are made by the community, although </w:t>
      </w:r>
      <w:r>
        <w:rPr>
          <w:szCs w:val="20"/>
        </w:rPr>
        <w:t>EPA</w:t>
      </w:r>
      <w:r w:rsidRPr="00827D05">
        <w:rPr>
          <w:szCs w:val="20"/>
        </w:rPr>
        <w:t xml:space="preserve"> also receives reports related to emergencies and pollution notifications from businesses. </w:t>
      </w:r>
    </w:p>
    <w:p w14:paraId="656AFF31" w14:textId="77777777" w:rsidR="00A25A1E" w:rsidRDefault="00A25A1E" w:rsidP="00A25A1E">
      <w:pPr>
        <w:spacing w:after="0"/>
      </w:pPr>
      <w:r>
        <w:t>It is important to note that these reports were received under the current legislative framework (i.e. under EPA Act 1970), and may reflect factors such as the effectiveness of EPA’s compliance approach. They might also reflect external factors such as weather conditions e.g. dry, dusty conditions or fuel reduction burns taking place that lead to an increase in</w:t>
      </w:r>
      <w:r w:rsidR="005E1E13">
        <w:t xml:space="preserve"> dust and</w:t>
      </w:r>
      <w:r>
        <w:t xml:space="preserve"> odour-related pollution reports. They do not, therefore, necessarily provide a complete picture of the extent of the underlying problem to be addressed through the </w:t>
      </w:r>
      <w:r w:rsidR="00E15E65">
        <w:t xml:space="preserve">proposed </w:t>
      </w:r>
      <w:r>
        <w:t xml:space="preserve">Regulations, but can provide an indication of some key problem areas. </w:t>
      </w:r>
      <w:r>
        <w:rPr>
          <w:noProof/>
          <w:color w:val="2B579A"/>
          <w:szCs w:val="20"/>
          <w:shd w:val="clear" w:color="auto" w:fill="E6E6E6"/>
          <w:lang w:eastAsia="en-AU"/>
        </w:rPr>
        <mc:AlternateContent>
          <mc:Choice Requires="wps">
            <w:drawing>
              <wp:anchor distT="0" distB="0" distL="114300" distR="114300" simplePos="0" relativeHeight="251658259" behindDoc="0" locked="0" layoutInCell="1" allowOverlap="1" wp14:anchorId="656B1E84" wp14:editId="656B1E85">
                <wp:simplePos x="0" y="0"/>
                <wp:positionH relativeFrom="column">
                  <wp:posOffset>8119119</wp:posOffset>
                </wp:positionH>
                <wp:positionV relativeFrom="paragraph">
                  <wp:posOffset>412807</wp:posOffset>
                </wp:positionV>
                <wp:extent cx="6824" cy="6824"/>
                <wp:effectExtent l="0" t="0" r="31750" b="31750"/>
                <wp:wrapNone/>
                <wp:docPr id="1797047331" name="Straight Connector 1797047331"/>
                <wp:cNvGraphicFramePr/>
                <a:graphic xmlns:a="http://schemas.openxmlformats.org/drawingml/2006/main">
                  <a:graphicData uri="http://schemas.microsoft.com/office/word/2010/wordprocessingShape">
                    <wps:wsp>
                      <wps:cNvCnPr/>
                      <wps:spPr>
                        <a:xfrm flipV="1">
                          <a:off x="0" y="0"/>
                          <a:ext cx="6824" cy="6824"/>
                        </a:xfrm>
                        <a:prstGeom prst="line">
                          <a:avLst/>
                        </a:prstGeom>
                        <a:ln>
                          <a:solidFill>
                            <a:srgbClr val="445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1B8D4" id="Straight Connector 1797047331" o:spid="_x0000_s1026" style="position:absolute;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9.3pt,32.5pt" to="639.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" strokecolor="#44546a"/>
            </w:pict>
          </mc:Fallback>
        </mc:AlternateContent>
      </w:r>
    </w:p>
    <w:p w14:paraId="656AFF32" w14:textId="77777777" w:rsidR="00D239CE" w:rsidRDefault="00D239CE" w:rsidP="00D239CE">
      <w:pPr>
        <w:pStyle w:val="Caption"/>
      </w:pPr>
      <w:r>
        <w:t xml:space="preserve">Table </w:t>
      </w:r>
      <w:r w:rsidR="007E575A">
        <w:rPr>
          <w:color w:val="2B579A"/>
          <w:shd w:val="clear" w:color="auto" w:fill="E6E6E6"/>
        </w:rPr>
        <w:fldChar w:fldCharType="begin"/>
      </w:r>
      <w:r w:rsidR="007E575A">
        <w:instrText xml:space="preserve"> STYLEREF 1 \s </w:instrText>
      </w:r>
      <w:r w:rsidR="007E575A">
        <w:rPr>
          <w:color w:val="2B579A"/>
          <w:shd w:val="clear" w:color="auto" w:fill="E6E6E6"/>
        </w:rPr>
        <w:fldChar w:fldCharType="separate"/>
      </w:r>
      <w:r w:rsidR="00B11C1E">
        <w:rPr>
          <w:noProof/>
        </w:rPr>
        <w:t>3</w:t>
      </w:r>
      <w:r w:rsidR="007E575A">
        <w:rPr>
          <w:color w:val="2B579A"/>
          <w:shd w:val="clear" w:color="auto" w:fill="E6E6E6"/>
        </w:rPr>
        <w:fldChar w:fldCharType="end"/>
      </w:r>
      <w:r w:rsidR="007E575A">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3</w:t>
      </w:r>
      <w:r w:rsidR="00997CFA">
        <w:rPr>
          <w:color w:val="2B579A"/>
          <w:shd w:val="clear" w:color="auto" w:fill="E6E6E6"/>
        </w:rPr>
        <w:fldChar w:fldCharType="end"/>
      </w:r>
      <w:r w:rsidRPr="00D239CE">
        <w:t xml:space="preserve"> </w:t>
      </w:r>
      <w:r w:rsidRPr="00827D05">
        <w:t>Pollution reports received annually by EPA</w:t>
      </w:r>
    </w:p>
    <w:tbl>
      <w:tblPr>
        <w:tblStyle w:val="Deloittetable"/>
        <w:tblW w:w="5000" w:type="pct"/>
        <w:tblLook w:val="04A0" w:firstRow="1" w:lastRow="0" w:firstColumn="1" w:lastColumn="0" w:noHBand="0" w:noVBand="1"/>
      </w:tblPr>
      <w:tblGrid>
        <w:gridCol w:w="2309"/>
        <w:gridCol w:w="1357"/>
        <w:gridCol w:w="1358"/>
        <w:gridCol w:w="1360"/>
        <w:gridCol w:w="1358"/>
        <w:gridCol w:w="1358"/>
        <w:gridCol w:w="1360"/>
      </w:tblGrid>
      <w:tr w:rsidR="00A25A1E" w:rsidRPr="00827D05" w14:paraId="656AFF3A" w14:textId="77777777" w:rsidTr="0073546C">
        <w:trPr>
          <w:cnfStyle w:val="100000000000" w:firstRow="1" w:lastRow="0" w:firstColumn="0" w:lastColumn="0" w:oddVBand="0" w:evenVBand="0" w:oddHBand="0" w:evenHBand="0" w:firstRowFirstColumn="0" w:firstRowLastColumn="0" w:lastRowFirstColumn="0" w:lastRowLastColumn="0"/>
        </w:trPr>
        <w:tc>
          <w:tcPr>
            <w:tcW w:w="1104" w:type="pct"/>
          </w:tcPr>
          <w:p w14:paraId="656AFF33" w14:textId="77777777" w:rsidR="00A25A1E" w:rsidRPr="004F1747" w:rsidRDefault="00A25A1E" w:rsidP="00A25A1E">
            <w:pPr>
              <w:mirrorIndents/>
              <w:rPr>
                <w:b/>
                <w:sz w:val="18"/>
              </w:rPr>
            </w:pPr>
          </w:p>
        </w:tc>
        <w:tc>
          <w:tcPr>
            <w:tcW w:w="649" w:type="pct"/>
          </w:tcPr>
          <w:p w14:paraId="656AFF34" w14:textId="77777777" w:rsidR="00A25A1E" w:rsidRPr="004F1747" w:rsidRDefault="00A25A1E" w:rsidP="0073546C">
            <w:pPr>
              <w:ind w:left="57"/>
              <w:mirrorIndents/>
              <w:rPr>
                <w:rFonts w:cs="Segoe UI Light"/>
                <w:b/>
                <w:sz w:val="18"/>
              </w:rPr>
            </w:pPr>
            <w:r w:rsidRPr="004F1747">
              <w:rPr>
                <w:rFonts w:cs="Segoe UI Light"/>
                <w:b/>
                <w:color w:val="000000"/>
                <w:sz w:val="18"/>
              </w:rPr>
              <w:t>2012-13</w:t>
            </w:r>
          </w:p>
        </w:tc>
        <w:tc>
          <w:tcPr>
            <w:tcW w:w="649" w:type="pct"/>
          </w:tcPr>
          <w:p w14:paraId="656AFF35" w14:textId="77777777" w:rsidR="00A25A1E" w:rsidRPr="004F1747" w:rsidRDefault="00A25A1E" w:rsidP="0073546C">
            <w:pPr>
              <w:ind w:left="57"/>
              <w:mirrorIndents/>
              <w:rPr>
                <w:rFonts w:cs="Segoe UI Light"/>
                <w:b/>
                <w:sz w:val="18"/>
              </w:rPr>
            </w:pPr>
            <w:r w:rsidRPr="004F1747">
              <w:rPr>
                <w:rFonts w:cs="Segoe UI Light"/>
                <w:b/>
                <w:color w:val="000000"/>
                <w:sz w:val="18"/>
              </w:rPr>
              <w:t>2013-14</w:t>
            </w:r>
          </w:p>
        </w:tc>
        <w:tc>
          <w:tcPr>
            <w:tcW w:w="650" w:type="pct"/>
          </w:tcPr>
          <w:p w14:paraId="656AFF36" w14:textId="77777777" w:rsidR="00A25A1E" w:rsidRPr="004F1747" w:rsidRDefault="00A25A1E" w:rsidP="0073546C">
            <w:pPr>
              <w:ind w:left="57"/>
              <w:mirrorIndents/>
              <w:rPr>
                <w:rFonts w:cs="Segoe UI Light"/>
                <w:b/>
                <w:sz w:val="18"/>
              </w:rPr>
            </w:pPr>
            <w:r w:rsidRPr="004F1747">
              <w:rPr>
                <w:rFonts w:cs="Segoe UI Light"/>
                <w:b/>
                <w:color w:val="000000"/>
                <w:sz w:val="18"/>
              </w:rPr>
              <w:t>201</w:t>
            </w:r>
            <w:r w:rsidR="00031D50">
              <w:rPr>
                <w:rFonts w:cs="Segoe UI Light"/>
                <w:b/>
                <w:color w:val="000000"/>
                <w:sz w:val="18"/>
              </w:rPr>
              <w:t>4</w:t>
            </w:r>
            <w:r w:rsidRPr="004F1747">
              <w:rPr>
                <w:rFonts w:cs="Segoe UI Light"/>
                <w:b/>
                <w:color w:val="000000"/>
                <w:sz w:val="18"/>
              </w:rPr>
              <w:t>-1</w:t>
            </w:r>
            <w:r w:rsidR="00031D50">
              <w:rPr>
                <w:rFonts w:cs="Segoe UI Light"/>
                <w:b/>
                <w:color w:val="000000"/>
                <w:sz w:val="18"/>
              </w:rPr>
              <w:t>5</w:t>
            </w:r>
          </w:p>
        </w:tc>
        <w:tc>
          <w:tcPr>
            <w:tcW w:w="649" w:type="pct"/>
          </w:tcPr>
          <w:p w14:paraId="656AFF37" w14:textId="77777777" w:rsidR="00A25A1E" w:rsidRPr="004F1747" w:rsidRDefault="00A25A1E" w:rsidP="0073546C">
            <w:pPr>
              <w:ind w:left="57"/>
              <w:mirrorIndents/>
              <w:rPr>
                <w:rFonts w:cs="Segoe UI Light"/>
                <w:b/>
                <w:sz w:val="18"/>
              </w:rPr>
            </w:pPr>
            <w:r w:rsidRPr="004F1747">
              <w:rPr>
                <w:rFonts w:cs="Segoe UI Light"/>
                <w:b/>
                <w:color w:val="000000"/>
                <w:sz w:val="18"/>
              </w:rPr>
              <w:t>201</w:t>
            </w:r>
            <w:r w:rsidR="00031D50">
              <w:rPr>
                <w:rFonts w:cs="Segoe UI Light"/>
                <w:b/>
                <w:color w:val="000000"/>
                <w:sz w:val="18"/>
              </w:rPr>
              <w:t>5</w:t>
            </w:r>
            <w:r w:rsidRPr="004F1747">
              <w:rPr>
                <w:rFonts w:cs="Segoe UI Light"/>
                <w:b/>
                <w:color w:val="000000"/>
                <w:sz w:val="18"/>
              </w:rPr>
              <w:t>-1</w:t>
            </w:r>
            <w:r w:rsidR="00031D50">
              <w:rPr>
                <w:rFonts w:cs="Segoe UI Light"/>
                <w:b/>
                <w:color w:val="000000"/>
                <w:sz w:val="18"/>
              </w:rPr>
              <w:t>6</w:t>
            </w:r>
          </w:p>
        </w:tc>
        <w:tc>
          <w:tcPr>
            <w:tcW w:w="649" w:type="pct"/>
          </w:tcPr>
          <w:p w14:paraId="656AFF38" w14:textId="77777777" w:rsidR="00A25A1E" w:rsidRPr="004F1747" w:rsidRDefault="00A25A1E" w:rsidP="0073546C">
            <w:pPr>
              <w:ind w:left="57"/>
              <w:mirrorIndents/>
              <w:rPr>
                <w:rFonts w:cs="Segoe UI Light"/>
                <w:b/>
                <w:sz w:val="18"/>
              </w:rPr>
            </w:pPr>
            <w:r w:rsidRPr="004F1747">
              <w:rPr>
                <w:rFonts w:cs="Segoe UI Light"/>
                <w:b/>
                <w:color w:val="000000"/>
                <w:sz w:val="18"/>
              </w:rPr>
              <w:t>201</w:t>
            </w:r>
            <w:r w:rsidR="00031D50">
              <w:rPr>
                <w:rFonts w:cs="Segoe UI Light"/>
                <w:b/>
                <w:color w:val="000000"/>
                <w:sz w:val="18"/>
              </w:rPr>
              <w:t>6</w:t>
            </w:r>
            <w:r w:rsidRPr="004F1747">
              <w:rPr>
                <w:rFonts w:cs="Segoe UI Light"/>
                <w:b/>
                <w:color w:val="000000"/>
                <w:sz w:val="18"/>
              </w:rPr>
              <w:t>-1</w:t>
            </w:r>
            <w:r w:rsidR="00031D50">
              <w:rPr>
                <w:rFonts w:cs="Segoe UI Light"/>
                <w:b/>
                <w:color w:val="000000"/>
                <w:sz w:val="18"/>
              </w:rPr>
              <w:t>7</w:t>
            </w:r>
          </w:p>
        </w:tc>
        <w:tc>
          <w:tcPr>
            <w:tcW w:w="650" w:type="pct"/>
          </w:tcPr>
          <w:p w14:paraId="656AFF39" w14:textId="77777777" w:rsidR="00A25A1E" w:rsidRPr="004F1747" w:rsidRDefault="00A25A1E" w:rsidP="0073546C">
            <w:pPr>
              <w:ind w:left="57"/>
              <w:mirrorIndents/>
              <w:rPr>
                <w:rFonts w:cs="Segoe UI Light"/>
                <w:b/>
                <w:color w:val="000000"/>
                <w:sz w:val="18"/>
              </w:rPr>
            </w:pPr>
            <w:r w:rsidRPr="004F1747">
              <w:rPr>
                <w:rFonts w:cs="Segoe UI Light"/>
                <w:b/>
                <w:color w:val="000000"/>
                <w:sz w:val="18"/>
              </w:rPr>
              <w:t>201</w:t>
            </w:r>
            <w:r w:rsidR="00031D50">
              <w:rPr>
                <w:rFonts w:cs="Segoe UI Light"/>
                <w:b/>
                <w:color w:val="000000"/>
                <w:sz w:val="18"/>
              </w:rPr>
              <w:t>7</w:t>
            </w:r>
            <w:r w:rsidRPr="004F1747">
              <w:rPr>
                <w:rFonts w:cs="Segoe UI Light"/>
                <w:b/>
                <w:color w:val="000000"/>
                <w:sz w:val="18"/>
              </w:rPr>
              <w:t>-1</w:t>
            </w:r>
            <w:r w:rsidR="00031D50">
              <w:rPr>
                <w:rFonts w:cs="Segoe UI Light"/>
                <w:b/>
                <w:color w:val="000000"/>
                <w:sz w:val="18"/>
              </w:rPr>
              <w:t>8</w:t>
            </w:r>
          </w:p>
        </w:tc>
      </w:tr>
      <w:tr w:rsidR="00A25A1E" w:rsidRPr="00827D05" w14:paraId="656AFF42" w14:textId="77777777" w:rsidTr="0073546C">
        <w:tc>
          <w:tcPr>
            <w:tcW w:w="1104" w:type="pct"/>
          </w:tcPr>
          <w:p w14:paraId="656AFF3B" w14:textId="77777777" w:rsidR="00A25A1E" w:rsidRPr="00827D05" w:rsidRDefault="00A25A1E" w:rsidP="00A25A1E">
            <w:pPr>
              <w:mirrorIndents/>
              <w:rPr>
                <w:b/>
                <w:sz w:val="18"/>
              </w:rPr>
            </w:pPr>
            <w:r w:rsidRPr="00827D05">
              <w:rPr>
                <w:sz w:val="18"/>
              </w:rPr>
              <w:t>Pollution reports from the community</w:t>
            </w:r>
          </w:p>
        </w:tc>
        <w:tc>
          <w:tcPr>
            <w:tcW w:w="649" w:type="pct"/>
          </w:tcPr>
          <w:p w14:paraId="656AFF3C" w14:textId="77777777" w:rsidR="00A25A1E" w:rsidRPr="00827D05" w:rsidRDefault="00A25A1E" w:rsidP="0073546C">
            <w:pPr>
              <w:ind w:left="57"/>
              <w:mirrorIndents/>
              <w:rPr>
                <w:sz w:val="18"/>
              </w:rPr>
            </w:pPr>
            <w:r w:rsidRPr="00827D05">
              <w:rPr>
                <w:sz w:val="18"/>
              </w:rPr>
              <w:t>10,400</w:t>
            </w:r>
          </w:p>
        </w:tc>
        <w:tc>
          <w:tcPr>
            <w:tcW w:w="649" w:type="pct"/>
          </w:tcPr>
          <w:p w14:paraId="656AFF3D" w14:textId="77777777" w:rsidR="00A25A1E" w:rsidRPr="00827D05" w:rsidRDefault="00A25A1E" w:rsidP="0073546C">
            <w:pPr>
              <w:ind w:left="57"/>
              <w:mirrorIndents/>
              <w:rPr>
                <w:sz w:val="18"/>
              </w:rPr>
            </w:pPr>
            <w:r w:rsidRPr="00827D05">
              <w:rPr>
                <w:sz w:val="18"/>
              </w:rPr>
              <w:t>10,490</w:t>
            </w:r>
          </w:p>
        </w:tc>
        <w:tc>
          <w:tcPr>
            <w:tcW w:w="650" w:type="pct"/>
          </w:tcPr>
          <w:p w14:paraId="656AFF3E" w14:textId="77777777" w:rsidR="00A25A1E" w:rsidRPr="00827D05" w:rsidRDefault="00A25A1E" w:rsidP="0073546C">
            <w:pPr>
              <w:ind w:left="57"/>
              <w:mirrorIndents/>
              <w:rPr>
                <w:sz w:val="18"/>
              </w:rPr>
            </w:pPr>
            <w:r w:rsidRPr="00827D05">
              <w:rPr>
                <w:sz w:val="18"/>
              </w:rPr>
              <w:t>9,376</w:t>
            </w:r>
          </w:p>
        </w:tc>
        <w:tc>
          <w:tcPr>
            <w:tcW w:w="649" w:type="pct"/>
          </w:tcPr>
          <w:p w14:paraId="656AFF3F" w14:textId="77777777" w:rsidR="00A25A1E" w:rsidRPr="00827D05" w:rsidRDefault="00A25A1E" w:rsidP="0073546C">
            <w:pPr>
              <w:ind w:left="57"/>
              <w:mirrorIndents/>
              <w:rPr>
                <w:sz w:val="18"/>
              </w:rPr>
            </w:pPr>
            <w:r w:rsidRPr="00827D05">
              <w:rPr>
                <w:sz w:val="18"/>
              </w:rPr>
              <w:t>9,201</w:t>
            </w:r>
          </w:p>
        </w:tc>
        <w:tc>
          <w:tcPr>
            <w:tcW w:w="649" w:type="pct"/>
          </w:tcPr>
          <w:p w14:paraId="656AFF40" w14:textId="77777777" w:rsidR="00A25A1E" w:rsidRPr="00827D05" w:rsidRDefault="00A25A1E" w:rsidP="0073546C">
            <w:pPr>
              <w:ind w:left="57"/>
              <w:mirrorIndents/>
              <w:rPr>
                <w:sz w:val="18"/>
              </w:rPr>
            </w:pPr>
            <w:r w:rsidRPr="00827D05">
              <w:rPr>
                <w:sz w:val="18"/>
              </w:rPr>
              <w:t>10,577</w:t>
            </w:r>
          </w:p>
        </w:tc>
        <w:tc>
          <w:tcPr>
            <w:tcW w:w="650" w:type="pct"/>
          </w:tcPr>
          <w:p w14:paraId="656AFF41" w14:textId="77777777" w:rsidR="00A25A1E" w:rsidRPr="00827D05" w:rsidRDefault="00A25A1E" w:rsidP="0073546C">
            <w:pPr>
              <w:ind w:left="57"/>
              <w:mirrorIndents/>
              <w:rPr>
                <w:sz w:val="18"/>
              </w:rPr>
            </w:pPr>
            <w:r w:rsidRPr="00827D05">
              <w:rPr>
                <w:sz w:val="18"/>
              </w:rPr>
              <w:t>13,244</w:t>
            </w:r>
          </w:p>
        </w:tc>
      </w:tr>
      <w:tr w:rsidR="00A25A1E" w:rsidRPr="00827D05" w14:paraId="656AFF4A" w14:textId="77777777" w:rsidTr="0073546C">
        <w:tc>
          <w:tcPr>
            <w:tcW w:w="1104" w:type="pct"/>
          </w:tcPr>
          <w:p w14:paraId="656AFF43" w14:textId="77777777" w:rsidR="00A25A1E" w:rsidRPr="00827D05" w:rsidRDefault="00A25A1E" w:rsidP="00A25A1E">
            <w:pPr>
              <w:mirrorIndents/>
              <w:rPr>
                <w:b/>
                <w:sz w:val="18"/>
              </w:rPr>
            </w:pPr>
            <w:r w:rsidRPr="00827D05">
              <w:rPr>
                <w:sz w:val="18"/>
              </w:rPr>
              <w:t>Emergency reports</w:t>
            </w:r>
          </w:p>
        </w:tc>
        <w:tc>
          <w:tcPr>
            <w:tcW w:w="649" w:type="pct"/>
          </w:tcPr>
          <w:p w14:paraId="656AFF44" w14:textId="77777777" w:rsidR="00A25A1E" w:rsidRPr="00827D05" w:rsidRDefault="00A25A1E" w:rsidP="0073546C">
            <w:pPr>
              <w:ind w:left="57"/>
              <w:mirrorIndents/>
              <w:rPr>
                <w:sz w:val="18"/>
              </w:rPr>
            </w:pPr>
            <w:r w:rsidRPr="00827D05">
              <w:rPr>
                <w:sz w:val="18"/>
              </w:rPr>
              <w:t>305</w:t>
            </w:r>
          </w:p>
        </w:tc>
        <w:tc>
          <w:tcPr>
            <w:tcW w:w="649" w:type="pct"/>
          </w:tcPr>
          <w:p w14:paraId="656AFF45" w14:textId="77777777" w:rsidR="00A25A1E" w:rsidRPr="00827D05" w:rsidRDefault="00A25A1E" w:rsidP="0073546C">
            <w:pPr>
              <w:ind w:left="57"/>
              <w:mirrorIndents/>
              <w:rPr>
                <w:sz w:val="18"/>
              </w:rPr>
            </w:pPr>
            <w:r w:rsidRPr="00827D05">
              <w:rPr>
                <w:sz w:val="18"/>
              </w:rPr>
              <w:t>309</w:t>
            </w:r>
          </w:p>
        </w:tc>
        <w:tc>
          <w:tcPr>
            <w:tcW w:w="650" w:type="pct"/>
          </w:tcPr>
          <w:p w14:paraId="656AFF46" w14:textId="77777777" w:rsidR="00A25A1E" w:rsidRPr="00827D05" w:rsidRDefault="00A25A1E" w:rsidP="0073546C">
            <w:pPr>
              <w:ind w:left="57"/>
              <w:mirrorIndents/>
              <w:rPr>
                <w:sz w:val="18"/>
              </w:rPr>
            </w:pPr>
            <w:r w:rsidRPr="00827D05">
              <w:rPr>
                <w:sz w:val="18"/>
              </w:rPr>
              <w:t>342</w:t>
            </w:r>
          </w:p>
        </w:tc>
        <w:tc>
          <w:tcPr>
            <w:tcW w:w="649" w:type="pct"/>
          </w:tcPr>
          <w:p w14:paraId="656AFF47" w14:textId="77777777" w:rsidR="00A25A1E" w:rsidRPr="00827D05" w:rsidRDefault="00A25A1E" w:rsidP="0073546C">
            <w:pPr>
              <w:ind w:left="57"/>
              <w:mirrorIndents/>
              <w:rPr>
                <w:sz w:val="18"/>
              </w:rPr>
            </w:pPr>
            <w:r w:rsidRPr="00827D05">
              <w:rPr>
                <w:sz w:val="18"/>
              </w:rPr>
              <w:t>246</w:t>
            </w:r>
          </w:p>
        </w:tc>
        <w:tc>
          <w:tcPr>
            <w:tcW w:w="649" w:type="pct"/>
          </w:tcPr>
          <w:p w14:paraId="656AFF48" w14:textId="77777777" w:rsidR="00A25A1E" w:rsidRPr="00827D05" w:rsidRDefault="00A25A1E" w:rsidP="0073546C">
            <w:pPr>
              <w:ind w:left="57"/>
              <w:mirrorIndents/>
              <w:rPr>
                <w:sz w:val="18"/>
              </w:rPr>
            </w:pPr>
            <w:r w:rsidRPr="00827D05">
              <w:rPr>
                <w:sz w:val="18"/>
              </w:rPr>
              <w:t>195</w:t>
            </w:r>
          </w:p>
        </w:tc>
        <w:tc>
          <w:tcPr>
            <w:tcW w:w="650" w:type="pct"/>
          </w:tcPr>
          <w:p w14:paraId="656AFF49" w14:textId="77777777" w:rsidR="00A25A1E" w:rsidRPr="00827D05" w:rsidRDefault="00A25A1E" w:rsidP="0073546C">
            <w:pPr>
              <w:ind w:left="57"/>
              <w:mirrorIndents/>
              <w:rPr>
                <w:sz w:val="18"/>
              </w:rPr>
            </w:pPr>
            <w:r w:rsidRPr="00827D05">
              <w:rPr>
                <w:sz w:val="18"/>
              </w:rPr>
              <w:t>168</w:t>
            </w:r>
          </w:p>
        </w:tc>
      </w:tr>
      <w:tr w:rsidR="00A25A1E" w:rsidRPr="00827D05" w14:paraId="656AFF52" w14:textId="77777777" w:rsidTr="0073546C">
        <w:tc>
          <w:tcPr>
            <w:tcW w:w="1104" w:type="pct"/>
          </w:tcPr>
          <w:p w14:paraId="656AFF4B" w14:textId="77777777" w:rsidR="00A25A1E" w:rsidRPr="00827D05" w:rsidRDefault="00A25A1E" w:rsidP="00A25A1E">
            <w:pPr>
              <w:mirrorIndents/>
              <w:rPr>
                <w:b/>
                <w:sz w:val="18"/>
              </w:rPr>
            </w:pPr>
            <w:r w:rsidRPr="00827D05">
              <w:rPr>
                <w:sz w:val="18"/>
              </w:rPr>
              <w:t xml:space="preserve">Business notifications </w:t>
            </w:r>
          </w:p>
        </w:tc>
        <w:tc>
          <w:tcPr>
            <w:tcW w:w="649" w:type="pct"/>
          </w:tcPr>
          <w:p w14:paraId="656AFF4C" w14:textId="77777777" w:rsidR="00A25A1E" w:rsidRPr="00827D05" w:rsidRDefault="00A25A1E" w:rsidP="0073546C">
            <w:pPr>
              <w:ind w:left="57"/>
              <w:mirrorIndents/>
              <w:rPr>
                <w:sz w:val="18"/>
              </w:rPr>
            </w:pPr>
            <w:r w:rsidRPr="00827D05">
              <w:rPr>
                <w:sz w:val="18"/>
              </w:rPr>
              <w:t>1,014</w:t>
            </w:r>
          </w:p>
        </w:tc>
        <w:tc>
          <w:tcPr>
            <w:tcW w:w="649" w:type="pct"/>
          </w:tcPr>
          <w:p w14:paraId="656AFF4D" w14:textId="77777777" w:rsidR="00A25A1E" w:rsidRPr="00827D05" w:rsidRDefault="00A25A1E" w:rsidP="0073546C">
            <w:pPr>
              <w:ind w:left="57"/>
              <w:mirrorIndents/>
              <w:rPr>
                <w:sz w:val="18"/>
              </w:rPr>
            </w:pPr>
            <w:r w:rsidRPr="00827D05">
              <w:rPr>
                <w:sz w:val="18"/>
              </w:rPr>
              <w:t>1,393</w:t>
            </w:r>
          </w:p>
        </w:tc>
        <w:tc>
          <w:tcPr>
            <w:tcW w:w="650" w:type="pct"/>
          </w:tcPr>
          <w:p w14:paraId="656AFF4E" w14:textId="77777777" w:rsidR="00A25A1E" w:rsidRPr="00827D05" w:rsidRDefault="00A25A1E" w:rsidP="0073546C">
            <w:pPr>
              <w:ind w:left="57"/>
              <w:mirrorIndents/>
              <w:rPr>
                <w:sz w:val="18"/>
              </w:rPr>
            </w:pPr>
            <w:r w:rsidRPr="00827D05">
              <w:rPr>
                <w:sz w:val="18"/>
              </w:rPr>
              <w:t>1,454</w:t>
            </w:r>
          </w:p>
        </w:tc>
        <w:tc>
          <w:tcPr>
            <w:tcW w:w="649" w:type="pct"/>
          </w:tcPr>
          <w:p w14:paraId="656AFF4F" w14:textId="77777777" w:rsidR="00A25A1E" w:rsidRPr="00827D05" w:rsidRDefault="00A25A1E" w:rsidP="0073546C">
            <w:pPr>
              <w:ind w:left="57"/>
              <w:mirrorIndents/>
              <w:rPr>
                <w:sz w:val="18"/>
              </w:rPr>
            </w:pPr>
            <w:r w:rsidRPr="00827D05">
              <w:rPr>
                <w:sz w:val="18"/>
              </w:rPr>
              <w:t>1,565</w:t>
            </w:r>
          </w:p>
        </w:tc>
        <w:tc>
          <w:tcPr>
            <w:tcW w:w="649" w:type="pct"/>
          </w:tcPr>
          <w:p w14:paraId="656AFF50" w14:textId="77777777" w:rsidR="00A25A1E" w:rsidRPr="00827D05" w:rsidRDefault="00A25A1E" w:rsidP="0073546C">
            <w:pPr>
              <w:ind w:left="57"/>
              <w:mirrorIndents/>
              <w:rPr>
                <w:sz w:val="18"/>
              </w:rPr>
            </w:pPr>
            <w:r w:rsidRPr="00827D05">
              <w:rPr>
                <w:sz w:val="18"/>
              </w:rPr>
              <w:t>647</w:t>
            </w:r>
          </w:p>
        </w:tc>
        <w:tc>
          <w:tcPr>
            <w:tcW w:w="650" w:type="pct"/>
          </w:tcPr>
          <w:p w14:paraId="656AFF51" w14:textId="77777777" w:rsidR="00A25A1E" w:rsidRPr="00827D05" w:rsidRDefault="00A25A1E" w:rsidP="0073546C">
            <w:pPr>
              <w:ind w:left="57"/>
              <w:mirrorIndents/>
              <w:rPr>
                <w:sz w:val="18"/>
              </w:rPr>
            </w:pPr>
            <w:r w:rsidRPr="00827D05">
              <w:rPr>
                <w:sz w:val="18"/>
              </w:rPr>
              <w:t>1,880</w:t>
            </w:r>
          </w:p>
        </w:tc>
      </w:tr>
      <w:tr w:rsidR="00A25A1E" w:rsidRPr="00827D05" w14:paraId="656AFF5A" w14:textId="77777777" w:rsidTr="0073546C">
        <w:tc>
          <w:tcPr>
            <w:tcW w:w="1104" w:type="pct"/>
          </w:tcPr>
          <w:p w14:paraId="656AFF53" w14:textId="77777777" w:rsidR="00A25A1E" w:rsidRPr="00827D05" w:rsidRDefault="00A25A1E" w:rsidP="00A25A1E">
            <w:pPr>
              <w:mirrorIndents/>
              <w:rPr>
                <w:b/>
                <w:sz w:val="18"/>
              </w:rPr>
            </w:pPr>
            <w:r w:rsidRPr="00827D05">
              <w:rPr>
                <w:b/>
                <w:sz w:val="18"/>
              </w:rPr>
              <w:t xml:space="preserve">Total </w:t>
            </w:r>
          </w:p>
        </w:tc>
        <w:tc>
          <w:tcPr>
            <w:tcW w:w="649" w:type="pct"/>
          </w:tcPr>
          <w:p w14:paraId="656AFF54" w14:textId="77777777" w:rsidR="00A25A1E" w:rsidRPr="00827D05" w:rsidRDefault="00A25A1E" w:rsidP="0073546C">
            <w:pPr>
              <w:ind w:left="57"/>
              <w:mirrorIndents/>
              <w:rPr>
                <w:b/>
                <w:sz w:val="18"/>
              </w:rPr>
            </w:pPr>
            <w:r w:rsidRPr="00827D05">
              <w:rPr>
                <w:b/>
                <w:sz w:val="18"/>
              </w:rPr>
              <w:t>11,719</w:t>
            </w:r>
          </w:p>
        </w:tc>
        <w:tc>
          <w:tcPr>
            <w:tcW w:w="649" w:type="pct"/>
          </w:tcPr>
          <w:p w14:paraId="656AFF55" w14:textId="77777777" w:rsidR="00A25A1E" w:rsidRPr="00827D05" w:rsidRDefault="00A25A1E" w:rsidP="0073546C">
            <w:pPr>
              <w:ind w:left="57"/>
              <w:mirrorIndents/>
              <w:rPr>
                <w:b/>
                <w:sz w:val="18"/>
              </w:rPr>
            </w:pPr>
            <w:r w:rsidRPr="00827D05">
              <w:rPr>
                <w:b/>
                <w:sz w:val="18"/>
              </w:rPr>
              <w:t>12,192</w:t>
            </w:r>
          </w:p>
        </w:tc>
        <w:tc>
          <w:tcPr>
            <w:tcW w:w="650" w:type="pct"/>
          </w:tcPr>
          <w:p w14:paraId="656AFF56" w14:textId="77777777" w:rsidR="00A25A1E" w:rsidRPr="00827D05" w:rsidRDefault="00A25A1E" w:rsidP="0073546C">
            <w:pPr>
              <w:ind w:left="57"/>
              <w:mirrorIndents/>
              <w:rPr>
                <w:b/>
                <w:sz w:val="18"/>
              </w:rPr>
            </w:pPr>
            <w:r w:rsidRPr="00827D05">
              <w:rPr>
                <w:b/>
                <w:sz w:val="18"/>
              </w:rPr>
              <w:t>11,172</w:t>
            </w:r>
          </w:p>
        </w:tc>
        <w:tc>
          <w:tcPr>
            <w:tcW w:w="649" w:type="pct"/>
          </w:tcPr>
          <w:p w14:paraId="656AFF57" w14:textId="77777777" w:rsidR="00A25A1E" w:rsidRPr="00827D05" w:rsidRDefault="00A25A1E" w:rsidP="0073546C">
            <w:pPr>
              <w:ind w:left="57"/>
              <w:mirrorIndents/>
              <w:rPr>
                <w:b/>
                <w:sz w:val="18"/>
              </w:rPr>
            </w:pPr>
            <w:r w:rsidRPr="00827D05">
              <w:rPr>
                <w:b/>
                <w:sz w:val="18"/>
              </w:rPr>
              <w:t>11,012</w:t>
            </w:r>
          </w:p>
        </w:tc>
        <w:tc>
          <w:tcPr>
            <w:tcW w:w="649" w:type="pct"/>
          </w:tcPr>
          <w:p w14:paraId="656AFF58" w14:textId="77777777" w:rsidR="00A25A1E" w:rsidRPr="00827D05" w:rsidRDefault="00A25A1E" w:rsidP="0073546C">
            <w:pPr>
              <w:ind w:left="57"/>
              <w:mirrorIndents/>
              <w:rPr>
                <w:b/>
                <w:sz w:val="18"/>
              </w:rPr>
            </w:pPr>
            <w:r w:rsidRPr="00827D05">
              <w:rPr>
                <w:b/>
                <w:sz w:val="18"/>
              </w:rPr>
              <w:t>11,419</w:t>
            </w:r>
          </w:p>
        </w:tc>
        <w:tc>
          <w:tcPr>
            <w:tcW w:w="650" w:type="pct"/>
          </w:tcPr>
          <w:p w14:paraId="656AFF59" w14:textId="77777777" w:rsidR="00A25A1E" w:rsidRPr="00827D05" w:rsidRDefault="00A25A1E" w:rsidP="0073546C">
            <w:pPr>
              <w:ind w:left="57"/>
              <w:mirrorIndents/>
              <w:rPr>
                <w:b/>
                <w:sz w:val="18"/>
              </w:rPr>
            </w:pPr>
            <w:r w:rsidRPr="00827D05">
              <w:rPr>
                <w:b/>
                <w:sz w:val="18"/>
              </w:rPr>
              <w:t>15,292</w:t>
            </w:r>
          </w:p>
        </w:tc>
      </w:tr>
    </w:tbl>
    <w:p w14:paraId="656AFF5B" w14:textId="77777777" w:rsidR="00A25A1E" w:rsidRDefault="00A25A1E" w:rsidP="00A25A1E">
      <w:pPr>
        <w:pStyle w:val="2Source"/>
      </w:pPr>
      <w:r w:rsidRPr="00D85A7F">
        <w:t>Source: EPA Victoria Annual Reports 2016-17 and 2017-18.</w:t>
      </w:r>
    </w:p>
    <w:p w14:paraId="656AFF5C" w14:textId="77777777" w:rsidR="00A25A1E" w:rsidRPr="008508A7" w:rsidRDefault="00A25A1E" w:rsidP="00A25A1E">
      <w:r>
        <w:t>The significant increase in pollution reports from 2016-17 reflects a large jump in noise reports from 2016-17 to 2017-18. This is driven by</w:t>
      </w:r>
      <w:r w:rsidR="001D03BB">
        <w:t xml:space="preserve"> a range of factors including, for example, increasing activity associated with the growth of metropolitan Melbourne, increasing community awareness of noise, and the accessibility of the EPA reporting hotline. </w:t>
      </w:r>
      <w:r w:rsidRPr="005B0E3C">
        <w:t>At</w:t>
      </w:r>
      <w:r>
        <w:t xml:space="preserve"> the same time, there has been a steady decline over the past 5 years in emergency reports</w:t>
      </w:r>
      <w:r w:rsidRPr="000F124C">
        <w:rPr>
          <w:color w:val="2B579A"/>
          <w:shd w:val="clear" w:color="auto" w:fill="E6E6E6"/>
        </w:rPr>
        <w:t>.</w:t>
      </w:r>
    </w:p>
    <w:p w14:paraId="656AFF5D" w14:textId="77777777" w:rsidR="00A25A1E" w:rsidRPr="00827D05" w:rsidRDefault="00A25A1E" w:rsidP="00A25A1E">
      <w:pPr>
        <w:mirrorIndents/>
        <w:rPr>
          <w:szCs w:val="20"/>
        </w:rPr>
      </w:pPr>
      <w:r>
        <w:rPr>
          <w:color w:val="2B579A"/>
          <w:szCs w:val="20"/>
          <w:shd w:val="clear" w:color="auto" w:fill="E6E6E6"/>
        </w:rPr>
        <w:fldChar w:fldCharType="begin"/>
      </w:r>
      <w:r>
        <w:rPr>
          <w:szCs w:val="20"/>
        </w:rPr>
        <w:instrText xml:space="preserve"> REF _Ref386970 \h </w:instrText>
      </w:r>
      <w:r>
        <w:rPr>
          <w:color w:val="2B579A"/>
          <w:szCs w:val="20"/>
          <w:shd w:val="clear" w:color="auto" w:fill="E6E6E6"/>
        </w:rPr>
      </w:r>
      <w:r>
        <w:rPr>
          <w:color w:val="2B579A"/>
          <w:szCs w:val="20"/>
          <w:shd w:val="clear" w:color="auto" w:fill="E6E6E6"/>
        </w:rPr>
        <w:fldChar w:fldCharType="separate"/>
      </w:r>
      <w:r w:rsidR="00B11C1E">
        <w:t xml:space="preserve">Table </w:t>
      </w:r>
      <w:r w:rsidR="00B11C1E">
        <w:rPr>
          <w:noProof/>
        </w:rPr>
        <w:t>3</w:t>
      </w:r>
      <w:r w:rsidR="00B11C1E">
        <w:noBreakHyphen/>
      </w:r>
      <w:r w:rsidR="00B11C1E">
        <w:rPr>
          <w:noProof/>
        </w:rPr>
        <w:t>4</w:t>
      </w:r>
      <w:r>
        <w:rPr>
          <w:color w:val="2B579A"/>
          <w:szCs w:val="20"/>
          <w:shd w:val="clear" w:color="auto" w:fill="E6E6E6"/>
        </w:rPr>
        <w:fldChar w:fldCharType="end"/>
      </w:r>
      <w:r>
        <w:rPr>
          <w:szCs w:val="20"/>
        </w:rPr>
        <w:t xml:space="preserve"> </w:t>
      </w:r>
      <w:r w:rsidRPr="00827D05">
        <w:rPr>
          <w:szCs w:val="20"/>
        </w:rPr>
        <w:t>shows the number of reports received in 2017, broken down by</w:t>
      </w:r>
      <w:r>
        <w:rPr>
          <w:szCs w:val="20"/>
        </w:rPr>
        <w:t xml:space="preserve"> EPA</w:t>
      </w:r>
      <w:r w:rsidRPr="00827D05">
        <w:rPr>
          <w:szCs w:val="20"/>
        </w:rPr>
        <w:t xml:space="preserve"> region and complaint type. By far the most reports are received about odour, followed by noise, </w:t>
      </w:r>
      <w:r>
        <w:rPr>
          <w:szCs w:val="20"/>
        </w:rPr>
        <w:t xml:space="preserve">water and </w:t>
      </w:r>
      <w:r w:rsidRPr="00827D05">
        <w:rPr>
          <w:szCs w:val="20"/>
        </w:rPr>
        <w:t>waste</w:t>
      </w:r>
      <w:r>
        <w:rPr>
          <w:szCs w:val="20"/>
        </w:rPr>
        <w:t>.</w:t>
      </w:r>
      <w:r w:rsidRPr="00827D05">
        <w:rPr>
          <w:szCs w:val="20"/>
        </w:rPr>
        <w:t xml:space="preserve"> This does not necessarily reflect the number of pollution incidents; it also reflect</w:t>
      </w:r>
      <w:r w:rsidR="001609D8">
        <w:rPr>
          <w:szCs w:val="20"/>
        </w:rPr>
        <w:t>s</w:t>
      </w:r>
      <w:r w:rsidRPr="00827D05">
        <w:rPr>
          <w:szCs w:val="20"/>
        </w:rPr>
        <w:t xml:space="preserve"> factors driving people to report pollution, such as how the pollution impacts them </w:t>
      </w:r>
      <w:r w:rsidR="00E15E65">
        <w:rPr>
          <w:szCs w:val="20"/>
        </w:rPr>
        <w:t xml:space="preserve">personally </w:t>
      </w:r>
      <w:r w:rsidRPr="00827D05">
        <w:rPr>
          <w:szCs w:val="20"/>
        </w:rPr>
        <w:t xml:space="preserve">and how </w:t>
      </w:r>
      <w:r>
        <w:rPr>
          <w:szCs w:val="20"/>
        </w:rPr>
        <w:t>noticeable</w:t>
      </w:r>
      <w:r w:rsidRPr="00827D05">
        <w:rPr>
          <w:szCs w:val="20"/>
        </w:rPr>
        <w:t xml:space="preserve"> the pollution is.</w:t>
      </w:r>
      <w:r>
        <w:rPr>
          <w:szCs w:val="20"/>
        </w:rPr>
        <w:t xml:space="preserve"> A lot of pollution that is not noticeable, such as underground contamination, or small spills that have a large cumulative impact across many such spills, is unreported.</w:t>
      </w:r>
    </w:p>
    <w:p w14:paraId="656AFF5E" w14:textId="77777777" w:rsidR="00A25A1E" w:rsidRDefault="00A25A1E" w:rsidP="00A25A1E">
      <w:pPr>
        <w:spacing w:after="0"/>
        <w:mirrorIndents/>
        <w:rPr>
          <w:szCs w:val="20"/>
        </w:rPr>
      </w:pPr>
      <w:r>
        <w:rPr>
          <w:szCs w:val="20"/>
        </w:rPr>
        <w:t>Therefore while</w:t>
      </w:r>
      <w:r w:rsidRPr="00827D05">
        <w:rPr>
          <w:szCs w:val="20"/>
        </w:rPr>
        <w:t xml:space="preserve"> noise and odour may be the most frequently reported incidents, </w:t>
      </w:r>
      <w:r>
        <w:rPr>
          <w:szCs w:val="20"/>
        </w:rPr>
        <w:t>it does not mean they are</w:t>
      </w:r>
      <w:r w:rsidRPr="00827D05">
        <w:rPr>
          <w:szCs w:val="20"/>
        </w:rPr>
        <w:t xml:space="preserve"> </w:t>
      </w:r>
      <w:r>
        <w:rPr>
          <w:szCs w:val="20"/>
        </w:rPr>
        <w:t xml:space="preserve">likely </w:t>
      </w:r>
      <w:r w:rsidRPr="00827D05">
        <w:rPr>
          <w:szCs w:val="20"/>
        </w:rPr>
        <w:t xml:space="preserve">to be the forms of pollution which are most costly to </w:t>
      </w:r>
      <w:r>
        <w:rPr>
          <w:szCs w:val="20"/>
        </w:rPr>
        <w:t xml:space="preserve">Victoria. </w:t>
      </w:r>
      <w:r w:rsidR="00E15E65">
        <w:rPr>
          <w:szCs w:val="20"/>
        </w:rPr>
        <w:t xml:space="preserve">A greater proportion of total costs is </w:t>
      </w:r>
      <w:r>
        <w:rPr>
          <w:szCs w:val="20"/>
        </w:rPr>
        <w:t xml:space="preserve">likely to be made up of </w:t>
      </w:r>
      <w:r w:rsidRPr="006175B3">
        <w:rPr>
          <w:szCs w:val="20"/>
        </w:rPr>
        <w:t xml:space="preserve">cumulative impacts of emissions from diffuse </w:t>
      </w:r>
      <w:r w:rsidRPr="000F124C">
        <w:rPr>
          <w:szCs w:val="20"/>
        </w:rPr>
        <w:t xml:space="preserve">sources rather than as a result of catastrophic events and other major failures at </w:t>
      </w:r>
      <w:r w:rsidR="00E73ED2" w:rsidRPr="000F124C">
        <w:rPr>
          <w:szCs w:val="20"/>
        </w:rPr>
        <w:t xml:space="preserve">major industrial </w:t>
      </w:r>
      <w:r w:rsidRPr="000F124C">
        <w:rPr>
          <w:szCs w:val="20"/>
        </w:rPr>
        <w:t>sites.</w:t>
      </w:r>
    </w:p>
    <w:p w14:paraId="656AFF5F" w14:textId="77777777" w:rsidR="00A25A1E" w:rsidRDefault="00A25A1E" w:rsidP="00A25A1E">
      <w:pPr>
        <w:pStyle w:val="Caption"/>
      </w:pPr>
      <w:bookmarkStart w:id="534" w:name="_Ref386970"/>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3</w:t>
      </w:r>
      <w:r>
        <w:rPr>
          <w:color w:val="2B579A"/>
          <w:shd w:val="clear" w:color="auto" w:fill="E6E6E6"/>
        </w:rPr>
        <w:fldChar w:fldCharType="end"/>
      </w:r>
      <w:r w:rsidR="007E575A">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4</w:t>
      </w:r>
      <w:r w:rsidR="00997CFA">
        <w:rPr>
          <w:color w:val="2B579A"/>
          <w:shd w:val="clear" w:color="auto" w:fill="E6E6E6"/>
        </w:rPr>
        <w:fldChar w:fldCharType="end"/>
      </w:r>
      <w:bookmarkEnd w:id="534"/>
      <w:r>
        <w:t xml:space="preserve"> </w:t>
      </w:r>
      <w:r w:rsidRPr="00827D05">
        <w:t>Pollution reports received in 2017</w:t>
      </w:r>
      <w:r>
        <w:t>-18</w:t>
      </w:r>
      <w:r w:rsidRPr="00827D05">
        <w:t xml:space="preserve"> by region and complaint type</w:t>
      </w:r>
    </w:p>
    <w:tbl>
      <w:tblPr>
        <w:tblStyle w:val="Deloittetable"/>
        <w:tblW w:w="5000" w:type="pct"/>
        <w:tblLook w:val="04A0" w:firstRow="1" w:lastRow="0" w:firstColumn="1" w:lastColumn="0" w:noHBand="0" w:noVBand="1"/>
      </w:tblPr>
      <w:tblGrid>
        <w:gridCol w:w="1911"/>
        <w:gridCol w:w="885"/>
        <w:gridCol w:w="883"/>
        <w:gridCol w:w="1000"/>
        <w:gridCol w:w="1069"/>
        <w:gridCol w:w="1176"/>
        <w:gridCol w:w="1180"/>
        <w:gridCol w:w="906"/>
        <w:gridCol w:w="1450"/>
      </w:tblGrid>
      <w:tr w:rsidR="00A25A1E" w:rsidRPr="00F54C16" w14:paraId="656AFF69" w14:textId="77777777" w:rsidTr="00494A7B">
        <w:trPr>
          <w:cnfStyle w:val="100000000000" w:firstRow="1" w:lastRow="0" w:firstColumn="0" w:lastColumn="0" w:oddVBand="0" w:evenVBand="0" w:oddHBand="0" w:evenHBand="0" w:firstRowFirstColumn="0" w:firstRowLastColumn="0" w:lastRowFirstColumn="0" w:lastRowLastColumn="0"/>
        </w:trPr>
        <w:tc>
          <w:tcPr>
            <w:tcW w:w="913" w:type="pct"/>
          </w:tcPr>
          <w:p w14:paraId="656AFF60" w14:textId="77777777" w:rsidR="00A25A1E" w:rsidRPr="00BC1A0C" w:rsidRDefault="00A25A1E" w:rsidP="00A25A1E">
            <w:pPr>
              <w:mirrorIndents/>
              <w:rPr>
                <w:rFonts w:cs="Segoe UI Light"/>
                <w:bCs/>
                <w:sz w:val="18"/>
              </w:rPr>
            </w:pPr>
          </w:p>
        </w:tc>
        <w:tc>
          <w:tcPr>
            <w:tcW w:w="0" w:type="pct"/>
          </w:tcPr>
          <w:p w14:paraId="656AFF61" w14:textId="77777777" w:rsidR="00A25A1E" w:rsidRPr="006175B3" w:rsidRDefault="00A25A1E" w:rsidP="0073546C">
            <w:pPr>
              <w:ind w:left="57"/>
              <w:mirrorIndents/>
              <w:rPr>
                <w:rFonts w:cs="Segoe UI Light"/>
                <w:b/>
                <w:sz w:val="18"/>
              </w:rPr>
            </w:pPr>
            <w:r w:rsidRPr="006175B3">
              <w:rPr>
                <w:rFonts w:cs="Segoe UI Light"/>
                <w:b/>
                <w:sz w:val="18"/>
              </w:rPr>
              <w:t>Metro</w:t>
            </w:r>
          </w:p>
        </w:tc>
        <w:tc>
          <w:tcPr>
            <w:tcW w:w="0" w:type="pct"/>
          </w:tcPr>
          <w:p w14:paraId="656AFF62" w14:textId="77777777" w:rsidR="00A25A1E" w:rsidRPr="006175B3" w:rsidRDefault="00A25A1E" w:rsidP="0073546C">
            <w:pPr>
              <w:ind w:left="57"/>
              <w:mirrorIndents/>
              <w:rPr>
                <w:rFonts w:cs="Segoe UI Light"/>
                <w:b/>
                <w:sz w:val="18"/>
              </w:rPr>
            </w:pPr>
            <w:r w:rsidRPr="006175B3">
              <w:rPr>
                <w:rFonts w:cs="Segoe UI Light"/>
                <w:b/>
                <w:sz w:val="18"/>
              </w:rPr>
              <w:t>South Metro</w:t>
            </w:r>
          </w:p>
        </w:tc>
        <w:tc>
          <w:tcPr>
            <w:tcW w:w="0" w:type="pct"/>
          </w:tcPr>
          <w:p w14:paraId="656AFF63" w14:textId="77777777" w:rsidR="00A25A1E" w:rsidRPr="006175B3" w:rsidRDefault="00A25A1E" w:rsidP="0073546C">
            <w:pPr>
              <w:ind w:left="57"/>
              <w:mirrorIndents/>
              <w:rPr>
                <w:rFonts w:cs="Segoe UI Light"/>
                <w:b/>
                <w:sz w:val="18"/>
              </w:rPr>
            </w:pPr>
            <w:r w:rsidRPr="006175B3">
              <w:rPr>
                <w:rFonts w:cs="Segoe UI Light"/>
                <w:b/>
                <w:sz w:val="18"/>
              </w:rPr>
              <w:t>South West</w:t>
            </w:r>
          </w:p>
        </w:tc>
        <w:tc>
          <w:tcPr>
            <w:tcW w:w="0" w:type="pct"/>
          </w:tcPr>
          <w:p w14:paraId="656AFF64" w14:textId="77777777" w:rsidR="00A25A1E" w:rsidRPr="006175B3" w:rsidRDefault="00A25A1E" w:rsidP="0073546C">
            <w:pPr>
              <w:ind w:left="57"/>
              <w:mirrorIndents/>
              <w:rPr>
                <w:rFonts w:cs="Segoe UI Light"/>
                <w:b/>
                <w:sz w:val="18"/>
              </w:rPr>
            </w:pPr>
            <w:r w:rsidRPr="006175B3">
              <w:rPr>
                <w:rFonts w:cs="Segoe UI Light"/>
                <w:b/>
                <w:sz w:val="18"/>
              </w:rPr>
              <w:t>Gippsland</w:t>
            </w:r>
          </w:p>
        </w:tc>
        <w:tc>
          <w:tcPr>
            <w:tcW w:w="0" w:type="pct"/>
          </w:tcPr>
          <w:p w14:paraId="656AFF65" w14:textId="77777777" w:rsidR="00A25A1E" w:rsidRPr="006175B3" w:rsidRDefault="00A25A1E" w:rsidP="0073546C">
            <w:pPr>
              <w:ind w:left="57"/>
              <w:mirrorIndents/>
              <w:rPr>
                <w:rFonts w:cs="Segoe UI Light"/>
                <w:b/>
                <w:sz w:val="18"/>
              </w:rPr>
            </w:pPr>
            <w:r w:rsidRPr="006175B3">
              <w:rPr>
                <w:rFonts w:cs="Segoe UI Light"/>
                <w:b/>
                <w:sz w:val="18"/>
              </w:rPr>
              <w:t>North West</w:t>
            </w:r>
          </w:p>
        </w:tc>
        <w:tc>
          <w:tcPr>
            <w:tcW w:w="0" w:type="pct"/>
          </w:tcPr>
          <w:p w14:paraId="656AFF66" w14:textId="77777777" w:rsidR="00A25A1E" w:rsidRPr="006175B3" w:rsidRDefault="00A25A1E" w:rsidP="0073546C">
            <w:pPr>
              <w:ind w:left="57"/>
              <w:mirrorIndents/>
              <w:rPr>
                <w:rFonts w:cs="Segoe UI Light"/>
                <w:b/>
                <w:sz w:val="18"/>
              </w:rPr>
            </w:pPr>
            <w:r w:rsidRPr="006175B3">
              <w:rPr>
                <w:rFonts w:cs="Segoe UI Light"/>
                <w:b/>
                <w:sz w:val="18"/>
              </w:rPr>
              <w:t>North East</w:t>
            </w:r>
          </w:p>
        </w:tc>
        <w:tc>
          <w:tcPr>
            <w:tcW w:w="0" w:type="pct"/>
          </w:tcPr>
          <w:p w14:paraId="656AFF67" w14:textId="77777777" w:rsidR="00A25A1E" w:rsidRPr="006175B3" w:rsidRDefault="00A25A1E" w:rsidP="0073546C">
            <w:pPr>
              <w:ind w:left="57"/>
              <w:mirrorIndents/>
              <w:rPr>
                <w:rFonts w:cs="Segoe UI Light"/>
                <w:b/>
                <w:sz w:val="18"/>
              </w:rPr>
            </w:pPr>
            <w:r w:rsidRPr="006175B3">
              <w:rPr>
                <w:rFonts w:cs="Segoe UI Light"/>
                <w:b/>
                <w:sz w:val="18"/>
              </w:rPr>
              <w:t>Not Assigned</w:t>
            </w:r>
          </w:p>
        </w:tc>
        <w:tc>
          <w:tcPr>
            <w:tcW w:w="0" w:type="pct"/>
          </w:tcPr>
          <w:p w14:paraId="656AFF68" w14:textId="77777777" w:rsidR="00A25A1E" w:rsidRPr="006175B3" w:rsidRDefault="00A25A1E" w:rsidP="0073546C">
            <w:pPr>
              <w:ind w:left="57"/>
              <w:mirrorIndents/>
              <w:rPr>
                <w:rFonts w:cs="Segoe UI Light"/>
                <w:b/>
                <w:sz w:val="18"/>
              </w:rPr>
            </w:pPr>
            <w:r w:rsidRPr="006175B3">
              <w:rPr>
                <w:rFonts w:cs="Segoe UI Light"/>
                <w:b/>
                <w:sz w:val="18"/>
              </w:rPr>
              <w:t>Total</w:t>
            </w:r>
          </w:p>
        </w:tc>
      </w:tr>
      <w:tr w:rsidR="00A25A1E" w:rsidRPr="00F54C16" w14:paraId="656AFF73" w14:textId="77777777" w:rsidTr="00494A7B">
        <w:tc>
          <w:tcPr>
            <w:tcW w:w="913" w:type="pct"/>
          </w:tcPr>
          <w:p w14:paraId="656AFF6A" w14:textId="77777777" w:rsidR="00A25A1E" w:rsidRPr="00827D05" w:rsidRDefault="00A25A1E" w:rsidP="00A25A1E">
            <w:pPr>
              <w:mirrorIndents/>
              <w:rPr>
                <w:rFonts w:cs="Segoe UI Light"/>
                <w:b/>
                <w:sz w:val="18"/>
              </w:rPr>
            </w:pPr>
            <w:r w:rsidRPr="00BC1A0C">
              <w:rPr>
                <w:rFonts w:cs="Segoe UI Light"/>
                <w:sz w:val="18"/>
              </w:rPr>
              <w:t>Odour</w:t>
            </w:r>
          </w:p>
        </w:tc>
        <w:tc>
          <w:tcPr>
            <w:tcW w:w="0" w:type="pct"/>
          </w:tcPr>
          <w:p w14:paraId="656AFF6B" w14:textId="77777777" w:rsidR="00A25A1E" w:rsidRPr="00BC1A0C" w:rsidRDefault="00A25A1E" w:rsidP="0073546C">
            <w:pPr>
              <w:ind w:left="57"/>
              <w:mirrorIndents/>
              <w:rPr>
                <w:rFonts w:cs="Segoe UI Light"/>
                <w:bCs/>
                <w:sz w:val="18"/>
              </w:rPr>
            </w:pPr>
            <w:r w:rsidRPr="000E7C5E">
              <w:rPr>
                <w:sz w:val="18"/>
              </w:rPr>
              <w:t xml:space="preserve"> 2,281 </w:t>
            </w:r>
          </w:p>
        </w:tc>
        <w:tc>
          <w:tcPr>
            <w:tcW w:w="0" w:type="pct"/>
          </w:tcPr>
          <w:p w14:paraId="656AFF6C" w14:textId="77777777" w:rsidR="00A25A1E" w:rsidRPr="00BC1A0C" w:rsidRDefault="00A25A1E" w:rsidP="0073546C">
            <w:pPr>
              <w:ind w:left="57"/>
              <w:mirrorIndents/>
              <w:rPr>
                <w:rFonts w:cs="Segoe UI Light"/>
                <w:bCs/>
                <w:sz w:val="18"/>
              </w:rPr>
            </w:pPr>
            <w:r w:rsidRPr="000E7C5E">
              <w:rPr>
                <w:sz w:val="18"/>
              </w:rPr>
              <w:t xml:space="preserve"> 1,240 </w:t>
            </w:r>
          </w:p>
        </w:tc>
        <w:tc>
          <w:tcPr>
            <w:tcW w:w="0" w:type="pct"/>
          </w:tcPr>
          <w:p w14:paraId="656AFF6D" w14:textId="77777777" w:rsidR="00A25A1E" w:rsidRPr="00BC1A0C" w:rsidRDefault="00A25A1E" w:rsidP="0073546C">
            <w:pPr>
              <w:ind w:left="57"/>
              <w:mirrorIndents/>
              <w:rPr>
                <w:rFonts w:cs="Segoe UI Light"/>
                <w:bCs/>
                <w:sz w:val="18"/>
              </w:rPr>
            </w:pPr>
            <w:r w:rsidRPr="000E7C5E">
              <w:rPr>
                <w:sz w:val="18"/>
              </w:rPr>
              <w:t xml:space="preserve"> 340 </w:t>
            </w:r>
          </w:p>
        </w:tc>
        <w:tc>
          <w:tcPr>
            <w:tcW w:w="0" w:type="pct"/>
          </w:tcPr>
          <w:p w14:paraId="656AFF6E" w14:textId="77777777" w:rsidR="00A25A1E" w:rsidRPr="00BC1A0C" w:rsidRDefault="00A25A1E" w:rsidP="0073546C">
            <w:pPr>
              <w:ind w:left="57"/>
              <w:mirrorIndents/>
              <w:rPr>
                <w:rFonts w:cs="Segoe UI Light"/>
                <w:bCs/>
                <w:sz w:val="18"/>
              </w:rPr>
            </w:pPr>
            <w:r w:rsidRPr="000E7C5E">
              <w:rPr>
                <w:sz w:val="18"/>
              </w:rPr>
              <w:t xml:space="preserve"> 250 </w:t>
            </w:r>
          </w:p>
        </w:tc>
        <w:tc>
          <w:tcPr>
            <w:tcW w:w="0" w:type="pct"/>
          </w:tcPr>
          <w:p w14:paraId="656AFF6F" w14:textId="77777777" w:rsidR="00A25A1E" w:rsidRPr="00BC1A0C" w:rsidRDefault="00A25A1E" w:rsidP="0073546C">
            <w:pPr>
              <w:ind w:left="57"/>
              <w:mirrorIndents/>
              <w:rPr>
                <w:rFonts w:cs="Segoe UI Light"/>
                <w:bCs/>
                <w:sz w:val="18"/>
              </w:rPr>
            </w:pPr>
            <w:r w:rsidRPr="000E7C5E">
              <w:rPr>
                <w:sz w:val="18"/>
              </w:rPr>
              <w:t xml:space="preserve"> 149 </w:t>
            </w:r>
          </w:p>
        </w:tc>
        <w:tc>
          <w:tcPr>
            <w:tcW w:w="0" w:type="pct"/>
          </w:tcPr>
          <w:p w14:paraId="656AFF70" w14:textId="77777777" w:rsidR="00A25A1E" w:rsidRPr="00BC1A0C" w:rsidRDefault="00A25A1E" w:rsidP="0073546C">
            <w:pPr>
              <w:ind w:left="57"/>
              <w:mirrorIndents/>
              <w:rPr>
                <w:rFonts w:cs="Segoe UI Light"/>
                <w:bCs/>
                <w:sz w:val="18"/>
              </w:rPr>
            </w:pPr>
            <w:r w:rsidRPr="000E7C5E">
              <w:rPr>
                <w:sz w:val="18"/>
              </w:rPr>
              <w:t xml:space="preserve"> 131 </w:t>
            </w:r>
          </w:p>
        </w:tc>
        <w:tc>
          <w:tcPr>
            <w:tcW w:w="0" w:type="pct"/>
          </w:tcPr>
          <w:p w14:paraId="656AFF71" w14:textId="77777777" w:rsidR="00A25A1E" w:rsidRPr="00BC1A0C" w:rsidRDefault="00A25A1E" w:rsidP="0073546C">
            <w:pPr>
              <w:ind w:left="57"/>
              <w:mirrorIndents/>
              <w:rPr>
                <w:rFonts w:cs="Segoe UI Light"/>
                <w:bCs/>
                <w:sz w:val="18"/>
              </w:rPr>
            </w:pPr>
            <w:r w:rsidRPr="000E7C5E">
              <w:rPr>
                <w:sz w:val="18"/>
              </w:rPr>
              <w:t xml:space="preserve"> 75 </w:t>
            </w:r>
          </w:p>
        </w:tc>
        <w:tc>
          <w:tcPr>
            <w:tcW w:w="0" w:type="pct"/>
          </w:tcPr>
          <w:p w14:paraId="656AFF72" w14:textId="77777777" w:rsidR="00A25A1E" w:rsidRPr="00BC1A0C" w:rsidRDefault="00A25A1E" w:rsidP="0073546C">
            <w:pPr>
              <w:ind w:left="57"/>
              <w:mirrorIndents/>
              <w:rPr>
                <w:rFonts w:cs="Segoe UI Light"/>
                <w:bCs/>
                <w:sz w:val="18"/>
              </w:rPr>
            </w:pPr>
            <w:r w:rsidRPr="000E7C5E">
              <w:rPr>
                <w:sz w:val="18"/>
              </w:rPr>
              <w:t xml:space="preserve"> 4,466 (29%) </w:t>
            </w:r>
          </w:p>
        </w:tc>
      </w:tr>
      <w:tr w:rsidR="00A25A1E" w:rsidRPr="00F54C16" w14:paraId="656AFF7D" w14:textId="77777777" w:rsidTr="00494A7B">
        <w:tc>
          <w:tcPr>
            <w:tcW w:w="913" w:type="pct"/>
          </w:tcPr>
          <w:p w14:paraId="656AFF74" w14:textId="77777777" w:rsidR="00A25A1E" w:rsidRPr="00827D05" w:rsidRDefault="00A25A1E" w:rsidP="00A25A1E">
            <w:pPr>
              <w:mirrorIndents/>
              <w:rPr>
                <w:rFonts w:cs="Segoe UI Light"/>
                <w:b/>
                <w:sz w:val="18"/>
              </w:rPr>
            </w:pPr>
            <w:r w:rsidRPr="00BC1A0C">
              <w:rPr>
                <w:rFonts w:cs="Segoe UI Light"/>
                <w:sz w:val="18"/>
              </w:rPr>
              <w:t>Noise</w:t>
            </w:r>
          </w:p>
        </w:tc>
        <w:tc>
          <w:tcPr>
            <w:tcW w:w="0" w:type="pct"/>
          </w:tcPr>
          <w:p w14:paraId="656AFF75" w14:textId="77777777" w:rsidR="00A25A1E" w:rsidRPr="00BC1A0C" w:rsidRDefault="00A25A1E" w:rsidP="0073546C">
            <w:pPr>
              <w:ind w:left="57"/>
              <w:mirrorIndents/>
              <w:rPr>
                <w:rFonts w:cs="Segoe UI Light"/>
                <w:bCs/>
                <w:sz w:val="18"/>
              </w:rPr>
            </w:pPr>
            <w:r w:rsidRPr="000E7C5E">
              <w:rPr>
                <w:sz w:val="18"/>
              </w:rPr>
              <w:t xml:space="preserve"> 1,578 </w:t>
            </w:r>
          </w:p>
        </w:tc>
        <w:tc>
          <w:tcPr>
            <w:tcW w:w="0" w:type="pct"/>
          </w:tcPr>
          <w:p w14:paraId="656AFF76" w14:textId="77777777" w:rsidR="00A25A1E" w:rsidRPr="00BC1A0C" w:rsidRDefault="00A25A1E" w:rsidP="0073546C">
            <w:pPr>
              <w:ind w:left="57"/>
              <w:mirrorIndents/>
              <w:rPr>
                <w:rFonts w:cs="Segoe UI Light"/>
                <w:bCs/>
                <w:sz w:val="18"/>
              </w:rPr>
            </w:pPr>
            <w:r w:rsidRPr="000E7C5E">
              <w:rPr>
                <w:sz w:val="18"/>
              </w:rPr>
              <w:t xml:space="preserve"> 415 </w:t>
            </w:r>
          </w:p>
        </w:tc>
        <w:tc>
          <w:tcPr>
            <w:tcW w:w="0" w:type="pct"/>
          </w:tcPr>
          <w:p w14:paraId="656AFF77" w14:textId="77777777" w:rsidR="00A25A1E" w:rsidRPr="00BC1A0C" w:rsidRDefault="00A25A1E" w:rsidP="0073546C">
            <w:pPr>
              <w:ind w:left="57"/>
              <w:mirrorIndents/>
              <w:rPr>
                <w:rFonts w:cs="Segoe UI Light"/>
                <w:bCs/>
                <w:sz w:val="18"/>
              </w:rPr>
            </w:pPr>
            <w:r w:rsidRPr="000E7C5E">
              <w:rPr>
                <w:sz w:val="18"/>
              </w:rPr>
              <w:t xml:space="preserve"> 237 </w:t>
            </w:r>
          </w:p>
        </w:tc>
        <w:tc>
          <w:tcPr>
            <w:tcW w:w="0" w:type="pct"/>
          </w:tcPr>
          <w:p w14:paraId="656AFF78" w14:textId="77777777" w:rsidR="00A25A1E" w:rsidRPr="00BC1A0C" w:rsidRDefault="00A25A1E" w:rsidP="0073546C">
            <w:pPr>
              <w:ind w:left="57"/>
              <w:mirrorIndents/>
              <w:rPr>
                <w:rFonts w:cs="Segoe UI Light"/>
                <w:bCs/>
                <w:sz w:val="18"/>
              </w:rPr>
            </w:pPr>
            <w:r w:rsidRPr="000E7C5E">
              <w:rPr>
                <w:sz w:val="18"/>
              </w:rPr>
              <w:t xml:space="preserve"> 100 </w:t>
            </w:r>
          </w:p>
        </w:tc>
        <w:tc>
          <w:tcPr>
            <w:tcW w:w="0" w:type="pct"/>
          </w:tcPr>
          <w:p w14:paraId="656AFF79" w14:textId="77777777" w:rsidR="00A25A1E" w:rsidRPr="00BC1A0C" w:rsidRDefault="00A25A1E" w:rsidP="0073546C">
            <w:pPr>
              <w:ind w:left="57"/>
              <w:mirrorIndents/>
              <w:rPr>
                <w:rFonts w:cs="Segoe UI Light"/>
                <w:bCs/>
                <w:sz w:val="18"/>
              </w:rPr>
            </w:pPr>
            <w:r w:rsidRPr="000E7C5E">
              <w:rPr>
                <w:sz w:val="18"/>
              </w:rPr>
              <w:t xml:space="preserve"> 98 </w:t>
            </w:r>
          </w:p>
        </w:tc>
        <w:tc>
          <w:tcPr>
            <w:tcW w:w="0" w:type="pct"/>
          </w:tcPr>
          <w:p w14:paraId="656AFF7A" w14:textId="77777777" w:rsidR="00A25A1E" w:rsidRPr="00BC1A0C" w:rsidRDefault="00A25A1E" w:rsidP="0073546C">
            <w:pPr>
              <w:ind w:left="57"/>
              <w:mirrorIndents/>
              <w:rPr>
                <w:rFonts w:cs="Segoe UI Light"/>
                <w:bCs/>
                <w:sz w:val="18"/>
              </w:rPr>
            </w:pPr>
            <w:r w:rsidRPr="000E7C5E">
              <w:rPr>
                <w:sz w:val="18"/>
              </w:rPr>
              <w:t xml:space="preserve"> 99 </w:t>
            </w:r>
          </w:p>
        </w:tc>
        <w:tc>
          <w:tcPr>
            <w:tcW w:w="0" w:type="pct"/>
          </w:tcPr>
          <w:p w14:paraId="656AFF7B" w14:textId="77777777" w:rsidR="00A25A1E" w:rsidRPr="00BC1A0C" w:rsidRDefault="00A25A1E" w:rsidP="0073546C">
            <w:pPr>
              <w:ind w:left="57"/>
              <w:mirrorIndents/>
              <w:rPr>
                <w:rFonts w:cs="Segoe UI Light"/>
                <w:bCs/>
                <w:sz w:val="18"/>
              </w:rPr>
            </w:pPr>
            <w:r w:rsidRPr="000E7C5E">
              <w:rPr>
                <w:sz w:val="18"/>
              </w:rPr>
              <w:t xml:space="preserve"> 199 </w:t>
            </w:r>
          </w:p>
        </w:tc>
        <w:tc>
          <w:tcPr>
            <w:tcW w:w="0" w:type="pct"/>
          </w:tcPr>
          <w:p w14:paraId="656AFF7C" w14:textId="77777777" w:rsidR="00A25A1E" w:rsidRPr="00BC1A0C" w:rsidRDefault="00A25A1E" w:rsidP="0073546C">
            <w:pPr>
              <w:ind w:left="57"/>
              <w:mirrorIndents/>
              <w:rPr>
                <w:rFonts w:cs="Segoe UI Light"/>
                <w:bCs/>
                <w:sz w:val="18"/>
              </w:rPr>
            </w:pPr>
            <w:r w:rsidRPr="000E7C5E">
              <w:rPr>
                <w:sz w:val="18"/>
              </w:rPr>
              <w:t xml:space="preserve"> 2,726 (18%) </w:t>
            </w:r>
          </w:p>
        </w:tc>
      </w:tr>
      <w:tr w:rsidR="00A25A1E" w:rsidRPr="00F54C16" w14:paraId="656AFF87" w14:textId="77777777" w:rsidTr="00494A7B">
        <w:tc>
          <w:tcPr>
            <w:tcW w:w="913" w:type="pct"/>
          </w:tcPr>
          <w:p w14:paraId="656AFF7E" w14:textId="77777777" w:rsidR="00A25A1E" w:rsidRPr="00BC1A0C" w:rsidRDefault="00A25A1E" w:rsidP="00A25A1E">
            <w:pPr>
              <w:mirrorIndents/>
              <w:rPr>
                <w:rFonts w:cs="Segoe UI Light"/>
                <w:sz w:val="18"/>
              </w:rPr>
            </w:pPr>
            <w:r w:rsidRPr="00BC1A0C">
              <w:rPr>
                <w:rFonts w:cs="Segoe UI Light"/>
                <w:sz w:val="18"/>
              </w:rPr>
              <w:t>Water</w:t>
            </w:r>
          </w:p>
        </w:tc>
        <w:tc>
          <w:tcPr>
            <w:tcW w:w="0" w:type="pct"/>
          </w:tcPr>
          <w:p w14:paraId="656AFF7F" w14:textId="77777777" w:rsidR="00A25A1E" w:rsidRPr="00BC1A0C" w:rsidRDefault="00A25A1E" w:rsidP="0073546C">
            <w:pPr>
              <w:ind w:left="57"/>
              <w:mirrorIndents/>
              <w:rPr>
                <w:rFonts w:cs="Segoe UI Light"/>
                <w:bCs/>
                <w:sz w:val="18"/>
              </w:rPr>
            </w:pPr>
            <w:r w:rsidRPr="000E7C5E">
              <w:rPr>
                <w:sz w:val="18"/>
              </w:rPr>
              <w:t xml:space="preserve"> 1,095 </w:t>
            </w:r>
          </w:p>
        </w:tc>
        <w:tc>
          <w:tcPr>
            <w:tcW w:w="0" w:type="pct"/>
          </w:tcPr>
          <w:p w14:paraId="656AFF80" w14:textId="77777777" w:rsidR="00A25A1E" w:rsidRPr="00BC1A0C" w:rsidRDefault="00A25A1E" w:rsidP="0073546C">
            <w:pPr>
              <w:ind w:left="57"/>
              <w:mirrorIndents/>
              <w:rPr>
                <w:rFonts w:cs="Segoe UI Light"/>
                <w:bCs/>
                <w:sz w:val="18"/>
              </w:rPr>
            </w:pPr>
            <w:r w:rsidRPr="000E7C5E">
              <w:rPr>
                <w:sz w:val="18"/>
              </w:rPr>
              <w:t xml:space="preserve"> 393 </w:t>
            </w:r>
          </w:p>
        </w:tc>
        <w:tc>
          <w:tcPr>
            <w:tcW w:w="0" w:type="pct"/>
          </w:tcPr>
          <w:p w14:paraId="656AFF81" w14:textId="77777777" w:rsidR="00A25A1E" w:rsidRPr="00BC1A0C" w:rsidRDefault="00A25A1E" w:rsidP="0073546C">
            <w:pPr>
              <w:ind w:left="57"/>
              <w:mirrorIndents/>
              <w:rPr>
                <w:rFonts w:cs="Segoe UI Light"/>
                <w:bCs/>
                <w:sz w:val="18"/>
              </w:rPr>
            </w:pPr>
            <w:r w:rsidRPr="000E7C5E">
              <w:rPr>
                <w:sz w:val="18"/>
              </w:rPr>
              <w:t xml:space="preserve"> 172 </w:t>
            </w:r>
          </w:p>
        </w:tc>
        <w:tc>
          <w:tcPr>
            <w:tcW w:w="0" w:type="pct"/>
          </w:tcPr>
          <w:p w14:paraId="656AFF82" w14:textId="77777777" w:rsidR="00A25A1E" w:rsidRPr="00BC1A0C" w:rsidRDefault="00A25A1E" w:rsidP="0073546C">
            <w:pPr>
              <w:ind w:left="57"/>
              <w:mirrorIndents/>
              <w:rPr>
                <w:rFonts w:cs="Segoe UI Light"/>
                <w:bCs/>
                <w:sz w:val="18"/>
              </w:rPr>
            </w:pPr>
            <w:r w:rsidRPr="000E7C5E">
              <w:rPr>
                <w:sz w:val="18"/>
              </w:rPr>
              <w:t xml:space="preserve"> 84 </w:t>
            </w:r>
          </w:p>
        </w:tc>
        <w:tc>
          <w:tcPr>
            <w:tcW w:w="0" w:type="pct"/>
          </w:tcPr>
          <w:p w14:paraId="656AFF83" w14:textId="77777777" w:rsidR="00A25A1E" w:rsidRPr="00BC1A0C" w:rsidRDefault="00A25A1E" w:rsidP="0073546C">
            <w:pPr>
              <w:ind w:left="57"/>
              <w:mirrorIndents/>
              <w:rPr>
                <w:rFonts w:cs="Segoe UI Light"/>
                <w:bCs/>
                <w:sz w:val="18"/>
              </w:rPr>
            </w:pPr>
            <w:r w:rsidRPr="000E7C5E">
              <w:rPr>
                <w:sz w:val="18"/>
              </w:rPr>
              <w:t xml:space="preserve"> 131 </w:t>
            </w:r>
          </w:p>
        </w:tc>
        <w:tc>
          <w:tcPr>
            <w:tcW w:w="0" w:type="pct"/>
          </w:tcPr>
          <w:p w14:paraId="656AFF84" w14:textId="77777777" w:rsidR="00A25A1E" w:rsidRPr="00BC1A0C" w:rsidRDefault="00A25A1E" w:rsidP="0073546C">
            <w:pPr>
              <w:ind w:left="57"/>
              <w:mirrorIndents/>
              <w:rPr>
                <w:rFonts w:cs="Segoe UI Light"/>
                <w:bCs/>
                <w:sz w:val="18"/>
              </w:rPr>
            </w:pPr>
            <w:r w:rsidRPr="000E7C5E">
              <w:rPr>
                <w:sz w:val="18"/>
              </w:rPr>
              <w:t xml:space="preserve"> 101 </w:t>
            </w:r>
          </w:p>
        </w:tc>
        <w:tc>
          <w:tcPr>
            <w:tcW w:w="0" w:type="pct"/>
          </w:tcPr>
          <w:p w14:paraId="656AFF85" w14:textId="77777777" w:rsidR="00A25A1E" w:rsidRPr="00BC1A0C" w:rsidRDefault="00A25A1E" w:rsidP="0073546C">
            <w:pPr>
              <w:ind w:left="57"/>
              <w:mirrorIndents/>
              <w:rPr>
                <w:rFonts w:cs="Segoe UI Light"/>
                <w:bCs/>
                <w:sz w:val="18"/>
              </w:rPr>
            </w:pPr>
            <w:r w:rsidRPr="000E7C5E">
              <w:rPr>
                <w:sz w:val="18"/>
              </w:rPr>
              <w:t xml:space="preserve"> 136 </w:t>
            </w:r>
          </w:p>
        </w:tc>
        <w:tc>
          <w:tcPr>
            <w:tcW w:w="0" w:type="pct"/>
          </w:tcPr>
          <w:p w14:paraId="656AFF86" w14:textId="77777777" w:rsidR="00A25A1E" w:rsidRPr="00BC1A0C" w:rsidRDefault="00A25A1E" w:rsidP="0073546C">
            <w:pPr>
              <w:ind w:left="57"/>
              <w:mirrorIndents/>
              <w:rPr>
                <w:rFonts w:cs="Segoe UI Light"/>
                <w:bCs/>
                <w:sz w:val="18"/>
              </w:rPr>
            </w:pPr>
            <w:r w:rsidRPr="000E7C5E">
              <w:rPr>
                <w:sz w:val="18"/>
              </w:rPr>
              <w:t xml:space="preserve"> 2,112 (14%) </w:t>
            </w:r>
          </w:p>
        </w:tc>
      </w:tr>
      <w:tr w:rsidR="00A25A1E" w:rsidRPr="00F54C16" w14:paraId="656AFF91" w14:textId="77777777" w:rsidTr="00494A7B">
        <w:tc>
          <w:tcPr>
            <w:tcW w:w="913" w:type="pct"/>
          </w:tcPr>
          <w:p w14:paraId="656AFF88" w14:textId="77777777" w:rsidR="00A25A1E" w:rsidRPr="00827D05" w:rsidRDefault="00A25A1E" w:rsidP="00A25A1E">
            <w:pPr>
              <w:mirrorIndents/>
              <w:rPr>
                <w:rFonts w:cs="Segoe UI Light"/>
                <w:b/>
                <w:sz w:val="18"/>
              </w:rPr>
            </w:pPr>
            <w:r w:rsidRPr="00BC1A0C">
              <w:rPr>
                <w:rFonts w:cs="Segoe UI Light"/>
                <w:sz w:val="18"/>
              </w:rPr>
              <w:t>Waste</w:t>
            </w:r>
          </w:p>
        </w:tc>
        <w:tc>
          <w:tcPr>
            <w:tcW w:w="0" w:type="pct"/>
          </w:tcPr>
          <w:p w14:paraId="656AFF89" w14:textId="77777777" w:rsidR="00A25A1E" w:rsidRPr="00BC1A0C" w:rsidRDefault="00A25A1E" w:rsidP="0073546C">
            <w:pPr>
              <w:ind w:left="57"/>
              <w:mirrorIndents/>
              <w:rPr>
                <w:rFonts w:cs="Segoe UI Light"/>
                <w:bCs/>
                <w:sz w:val="18"/>
              </w:rPr>
            </w:pPr>
            <w:r w:rsidRPr="000E7C5E">
              <w:rPr>
                <w:sz w:val="18"/>
              </w:rPr>
              <w:t xml:space="preserve"> 877 </w:t>
            </w:r>
          </w:p>
        </w:tc>
        <w:tc>
          <w:tcPr>
            <w:tcW w:w="0" w:type="pct"/>
          </w:tcPr>
          <w:p w14:paraId="656AFF8A" w14:textId="77777777" w:rsidR="00A25A1E" w:rsidRPr="00BC1A0C" w:rsidRDefault="00A25A1E" w:rsidP="0073546C">
            <w:pPr>
              <w:ind w:left="57"/>
              <w:mirrorIndents/>
              <w:rPr>
                <w:rFonts w:cs="Segoe UI Light"/>
                <w:bCs/>
                <w:sz w:val="18"/>
              </w:rPr>
            </w:pPr>
            <w:r w:rsidRPr="000E7C5E">
              <w:rPr>
                <w:sz w:val="18"/>
              </w:rPr>
              <w:t xml:space="preserve"> 440 </w:t>
            </w:r>
          </w:p>
        </w:tc>
        <w:tc>
          <w:tcPr>
            <w:tcW w:w="0" w:type="pct"/>
          </w:tcPr>
          <w:p w14:paraId="656AFF8B" w14:textId="77777777" w:rsidR="00A25A1E" w:rsidRPr="00BC1A0C" w:rsidRDefault="00A25A1E" w:rsidP="0073546C">
            <w:pPr>
              <w:ind w:left="57"/>
              <w:mirrorIndents/>
              <w:rPr>
                <w:rFonts w:cs="Segoe UI Light"/>
                <w:bCs/>
                <w:sz w:val="18"/>
              </w:rPr>
            </w:pPr>
            <w:r w:rsidRPr="000E7C5E">
              <w:rPr>
                <w:sz w:val="18"/>
              </w:rPr>
              <w:t xml:space="preserve"> 209 </w:t>
            </w:r>
          </w:p>
        </w:tc>
        <w:tc>
          <w:tcPr>
            <w:tcW w:w="0" w:type="pct"/>
          </w:tcPr>
          <w:p w14:paraId="656AFF8C" w14:textId="77777777" w:rsidR="00A25A1E" w:rsidRPr="00BC1A0C" w:rsidRDefault="00A25A1E" w:rsidP="0073546C">
            <w:pPr>
              <w:ind w:left="57"/>
              <w:mirrorIndents/>
              <w:rPr>
                <w:rFonts w:cs="Segoe UI Light"/>
                <w:bCs/>
                <w:sz w:val="18"/>
              </w:rPr>
            </w:pPr>
            <w:r w:rsidRPr="000E7C5E">
              <w:rPr>
                <w:sz w:val="18"/>
              </w:rPr>
              <w:t xml:space="preserve"> 165 </w:t>
            </w:r>
          </w:p>
        </w:tc>
        <w:tc>
          <w:tcPr>
            <w:tcW w:w="0" w:type="pct"/>
          </w:tcPr>
          <w:p w14:paraId="656AFF8D" w14:textId="77777777" w:rsidR="00A25A1E" w:rsidRPr="00BC1A0C" w:rsidRDefault="00A25A1E" w:rsidP="0073546C">
            <w:pPr>
              <w:ind w:left="57"/>
              <w:mirrorIndents/>
              <w:rPr>
                <w:rFonts w:cs="Segoe UI Light"/>
                <w:bCs/>
                <w:sz w:val="18"/>
              </w:rPr>
            </w:pPr>
            <w:r w:rsidRPr="000E7C5E">
              <w:rPr>
                <w:sz w:val="18"/>
              </w:rPr>
              <w:t xml:space="preserve"> 129 </w:t>
            </w:r>
          </w:p>
        </w:tc>
        <w:tc>
          <w:tcPr>
            <w:tcW w:w="0" w:type="pct"/>
          </w:tcPr>
          <w:p w14:paraId="656AFF8E" w14:textId="77777777" w:rsidR="00A25A1E" w:rsidRPr="00BC1A0C" w:rsidRDefault="00A25A1E" w:rsidP="0073546C">
            <w:pPr>
              <w:ind w:left="57"/>
              <w:mirrorIndents/>
              <w:rPr>
                <w:rFonts w:cs="Segoe UI Light"/>
                <w:bCs/>
                <w:sz w:val="18"/>
              </w:rPr>
            </w:pPr>
            <w:r w:rsidRPr="000E7C5E">
              <w:rPr>
                <w:sz w:val="18"/>
              </w:rPr>
              <w:t xml:space="preserve"> 139 </w:t>
            </w:r>
          </w:p>
        </w:tc>
        <w:tc>
          <w:tcPr>
            <w:tcW w:w="0" w:type="pct"/>
          </w:tcPr>
          <w:p w14:paraId="656AFF8F" w14:textId="77777777" w:rsidR="00A25A1E" w:rsidRPr="00BC1A0C" w:rsidRDefault="00A25A1E" w:rsidP="0073546C">
            <w:pPr>
              <w:ind w:left="57"/>
              <w:mirrorIndents/>
              <w:rPr>
                <w:rFonts w:cs="Segoe UI Light"/>
                <w:bCs/>
                <w:sz w:val="18"/>
              </w:rPr>
            </w:pPr>
            <w:r w:rsidRPr="000E7C5E">
              <w:rPr>
                <w:sz w:val="18"/>
              </w:rPr>
              <w:t xml:space="preserve"> 144 </w:t>
            </w:r>
          </w:p>
        </w:tc>
        <w:tc>
          <w:tcPr>
            <w:tcW w:w="0" w:type="pct"/>
          </w:tcPr>
          <w:p w14:paraId="656AFF90" w14:textId="77777777" w:rsidR="00A25A1E" w:rsidRPr="00BC1A0C" w:rsidRDefault="00A25A1E" w:rsidP="0073546C">
            <w:pPr>
              <w:ind w:left="57"/>
              <w:mirrorIndents/>
              <w:rPr>
                <w:rFonts w:cs="Segoe UI Light"/>
                <w:bCs/>
                <w:sz w:val="18"/>
              </w:rPr>
            </w:pPr>
            <w:r w:rsidRPr="000E7C5E">
              <w:rPr>
                <w:sz w:val="18"/>
              </w:rPr>
              <w:t xml:space="preserve"> 2,103 (14%) </w:t>
            </w:r>
          </w:p>
        </w:tc>
      </w:tr>
      <w:tr w:rsidR="00031D50" w:rsidRPr="00F54C16" w14:paraId="656AFF9B" w14:textId="77777777" w:rsidTr="00031D50">
        <w:tc>
          <w:tcPr>
            <w:tcW w:w="913" w:type="pct"/>
          </w:tcPr>
          <w:p w14:paraId="656AFF92" w14:textId="77777777" w:rsidR="00031D50" w:rsidRPr="00BC1A0C" w:rsidRDefault="00031D50" w:rsidP="00031D50">
            <w:pPr>
              <w:mirrorIndents/>
              <w:rPr>
                <w:rFonts w:cs="Segoe UI Light"/>
                <w:sz w:val="18"/>
              </w:rPr>
            </w:pPr>
            <w:r>
              <w:rPr>
                <w:rFonts w:cs="Segoe UI Light"/>
                <w:sz w:val="18"/>
              </w:rPr>
              <w:t>Business notification</w:t>
            </w:r>
          </w:p>
        </w:tc>
        <w:tc>
          <w:tcPr>
            <w:tcW w:w="423" w:type="pct"/>
          </w:tcPr>
          <w:p w14:paraId="656AFF93" w14:textId="77777777" w:rsidR="00031D50" w:rsidRPr="000E7C5E" w:rsidRDefault="00031D50" w:rsidP="0073546C">
            <w:pPr>
              <w:ind w:left="57"/>
              <w:mirrorIndents/>
              <w:rPr>
                <w:sz w:val="18"/>
              </w:rPr>
            </w:pPr>
            <w:r w:rsidRPr="000E7C5E">
              <w:rPr>
                <w:sz w:val="18"/>
              </w:rPr>
              <w:t xml:space="preserve"> 557 </w:t>
            </w:r>
          </w:p>
        </w:tc>
        <w:tc>
          <w:tcPr>
            <w:tcW w:w="422" w:type="pct"/>
          </w:tcPr>
          <w:p w14:paraId="656AFF94" w14:textId="77777777" w:rsidR="00031D50" w:rsidRPr="000E7C5E" w:rsidRDefault="00031D50" w:rsidP="0073546C">
            <w:pPr>
              <w:ind w:left="57"/>
              <w:mirrorIndents/>
              <w:rPr>
                <w:sz w:val="18"/>
              </w:rPr>
            </w:pPr>
            <w:r w:rsidRPr="000E7C5E">
              <w:rPr>
                <w:sz w:val="18"/>
              </w:rPr>
              <w:t xml:space="preserve"> 445 </w:t>
            </w:r>
          </w:p>
        </w:tc>
        <w:tc>
          <w:tcPr>
            <w:tcW w:w="478" w:type="pct"/>
          </w:tcPr>
          <w:p w14:paraId="656AFF95" w14:textId="77777777" w:rsidR="00031D50" w:rsidRPr="000E7C5E" w:rsidRDefault="00031D50" w:rsidP="0073546C">
            <w:pPr>
              <w:ind w:left="57"/>
              <w:mirrorIndents/>
              <w:rPr>
                <w:sz w:val="18"/>
              </w:rPr>
            </w:pPr>
            <w:r w:rsidRPr="000E7C5E">
              <w:rPr>
                <w:sz w:val="18"/>
              </w:rPr>
              <w:t xml:space="preserve"> 331 </w:t>
            </w:r>
          </w:p>
        </w:tc>
        <w:tc>
          <w:tcPr>
            <w:tcW w:w="511" w:type="pct"/>
          </w:tcPr>
          <w:p w14:paraId="656AFF96" w14:textId="77777777" w:rsidR="00031D50" w:rsidRPr="000E7C5E" w:rsidRDefault="00031D50" w:rsidP="0073546C">
            <w:pPr>
              <w:ind w:left="57"/>
              <w:mirrorIndents/>
              <w:rPr>
                <w:sz w:val="18"/>
              </w:rPr>
            </w:pPr>
            <w:r w:rsidRPr="000E7C5E">
              <w:rPr>
                <w:sz w:val="18"/>
              </w:rPr>
              <w:t xml:space="preserve"> 97 </w:t>
            </w:r>
          </w:p>
        </w:tc>
        <w:tc>
          <w:tcPr>
            <w:tcW w:w="562" w:type="pct"/>
          </w:tcPr>
          <w:p w14:paraId="656AFF97" w14:textId="77777777" w:rsidR="00031D50" w:rsidRPr="000E7C5E" w:rsidRDefault="00031D50" w:rsidP="0073546C">
            <w:pPr>
              <w:ind w:left="57"/>
              <w:mirrorIndents/>
              <w:rPr>
                <w:sz w:val="18"/>
              </w:rPr>
            </w:pPr>
            <w:r w:rsidRPr="000E7C5E">
              <w:rPr>
                <w:sz w:val="18"/>
              </w:rPr>
              <w:t xml:space="preserve"> 261 </w:t>
            </w:r>
          </w:p>
        </w:tc>
        <w:tc>
          <w:tcPr>
            <w:tcW w:w="564" w:type="pct"/>
          </w:tcPr>
          <w:p w14:paraId="656AFF98" w14:textId="77777777" w:rsidR="00031D50" w:rsidRPr="000E7C5E" w:rsidRDefault="00031D50" w:rsidP="0073546C">
            <w:pPr>
              <w:ind w:left="57"/>
              <w:mirrorIndents/>
              <w:rPr>
                <w:sz w:val="18"/>
              </w:rPr>
            </w:pPr>
            <w:r w:rsidRPr="000E7C5E">
              <w:rPr>
                <w:sz w:val="18"/>
              </w:rPr>
              <w:t xml:space="preserve"> 150 </w:t>
            </w:r>
          </w:p>
        </w:tc>
        <w:tc>
          <w:tcPr>
            <w:tcW w:w="433" w:type="pct"/>
          </w:tcPr>
          <w:p w14:paraId="656AFF99" w14:textId="77777777" w:rsidR="00031D50" w:rsidRPr="000E7C5E" w:rsidRDefault="00031D50" w:rsidP="0073546C">
            <w:pPr>
              <w:ind w:left="57"/>
              <w:mirrorIndents/>
              <w:rPr>
                <w:sz w:val="18"/>
              </w:rPr>
            </w:pPr>
            <w:r w:rsidRPr="000E7C5E">
              <w:rPr>
                <w:sz w:val="18"/>
              </w:rPr>
              <w:t xml:space="preserve"> 39 </w:t>
            </w:r>
          </w:p>
        </w:tc>
        <w:tc>
          <w:tcPr>
            <w:tcW w:w="693" w:type="pct"/>
          </w:tcPr>
          <w:p w14:paraId="656AFF9A" w14:textId="77777777" w:rsidR="00031D50" w:rsidRPr="000E7C5E" w:rsidRDefault="00031D50" w:rsidP="0073546C">
            <w:pPr>
              <w:ind w:left="57"/>
              <w:mirrorIndents/>
              <w:rPr>
                <w:sz w:val="18"/>
              </w:rPr>
            </w:pPr>
            <w:r w:rsidRPr="000E7C5E">
              <w:rPr>
                <w:sz w:val="18"/>
              </w:rPr>
              <w:t xml:space="preserve"> 1,880 (12%) </w:t>
            </w:r>
          </w:p>
        </w:tc>
      </w:tr>
      <w:tr w:rsidR="00031D50" w:rsidRPr="00F54C16" w14:paraId="656AFFA5" w14:textId="77777777" w:rsidTr="00494A7B">
        <w:tc>
          <w:tcPr>
            <w:tcW w:w="913" w:type="pct"/>
          </w:tcPr>
          <w:p w14:paraId="656AFF9C" w14:textId="77777777" w:rsidR="00031D50" w:rsidRPr="00827D05" w:rsidRDefault="00031D50" w:rsidP="00031D50">
            <w:pPr>
              <w:mirrorIndents/>
              <w:rPr>
                <w:rFonts w:cs="Segoe UI Light"/>
                <w:b/>
                <w:sz w:val="18"/>
              </w:rPr>
            </w:pPr>
            <w:r>
              <w:rPr>
                <w:rFonts w:cs="Segoe UI Light"/>
                <w:sz w:val="18"/>
              </w:rPr>
              <w:t>Smoke</w:t>
            </w:r>
          </w:p>
        </w:tc>
        <w:tc>
          <w:tcPr>
            <w:tcW w:w="0" w:type="pct"/>
          </w:tcPr>
          <w:p w14:paraId="656AFF9D" w14:textId="77777777" w:rsidR="00031D50" w:rsidRPr="00BC1A0C" w:rsidRDefault="00031D50" w:rsidP="0073546C">
            <w:pPr>
              <w:ind w:left="57"/>
              <w:mirrorIndents/>
              <w:rPr>
                <w:rFonts w:cs="Segoe UI Light"/>
                <w:bCs/>
                <w:sz w:val="18"/>
              </w:rPr>
            </w:pPr>
            <w:r w:rsidRPr="000E7C5E">
              <w:rPr>
                <w:sz w:val="18"/>
              </w:rPr>
              <w:t xml:space="preserve"> 264 </w:t>
            </w:r>
          </w:p>
        </w:tc>
        <w:tc>
          <w:tcPr>
            <w:tcW w:w="0" w:type="pct"/>
          </w:tcPr>
          <w:p w14:paraId="656AFF9E" w14:textId="77777777" w:rsidR="00031D50" w:rsidRPr="00BC1A0C" w:rsidRDefault="00031D50" w:rsidP="0073546C">
            <w:pPr>
              <w:ind w:left="57"/>
              <w:mirrorIndents/>
              <w:rPr>
                <w:rFonts w:cs="Segoe UI Light"/>
                <w:bCs/>
                <w:sz w:val="18"/>
              </w:rPr>
            </w:pPr>
            <w:r w:rsidRPr="000E7C5E">
              <w:rPr>
                <w:sz w:val="18"/>
              </w:rPr>
              <w:t xml:space="preserve"> 129 </w:t>
            </w:r>
          </w:p>
        </w:tc>
        <w:tc>
          <w:tcPr>
            <w:tcW w:w="0" w:type="pct"/>
          </w:tcPr>
          <w:p w14:paraId="656AFF9F" w14:textId="77777777" w:rsidR="00031D50" w:rsidRPr="00BC1A0C" w:rsidRDefault="00031D50" w:rsidP="0073546C">
            <w:pPr>
              <w:ind w:left="57"/>
              <w:mirrorIndents/>
              <w:rPr>
                <w:rFonts w:cs="Segoe UI Light"/>
                <w:bCs/>
                <w:sz w:val="18"/>
              </w:rPr>
            </w:pPr>
            <w:r w:rsidRPr="000E7C5E">
              <w:rPr>
                <w:sz w:val="18"/>
              </w:rPr>
              <w:t xml:space="preserve"> 253 </w:t>
            </w:r>
          </w:p>
        </w:tc>
        <w:tc>
          <w:tcPr>
            <w:tcW w:w="0" w:type="pct"/>
          </w:tcPr>
          <w:p w14:paraId="656AFFA0" w14:textId="77777777" w:rsidR="00031D50" w:rsidRPr="00BC1A0C" w:rsidRDefault="00031D50" w:rsidP="0073546C">
            <w:pPr>
              <w:ind w:left="57"/>
              <w:mirrorIndents/>
              <w:rPr>
                <w:rFonts w:cs="Segoe UI Light"/>
                <w:bCs/>
                <w:sz w:val="18"/>
              </w:rPr>
            </w:pPr>
            <w:r w:rsidRPr="000E7C5E">
              <w:rPr>
                <w:sz w:val="18"/>
              </w:rPr>
              <w:t xml:space="preserve"> 37 </w:t>
            </w:r>
          </w:p>
        </w:tc>
        <w:tc>
          <w:tcPr>
            <w:tcW w:w="0" w:type="pct"/>
          </w:tcPr>
          <w:p w14:paraId="656AFFA1" w14:textId="77777777" w:rsidR="00031D50" w:rsidRPr="00BC1A0C" w:rsidRDefault="00031D50" w:rsidP="0073546C">
            <w:pPr>
              <w:ind w:left="57"/>
              <w:mirrorIndents/>
              <w:rPr>
                <w:rFonts w:cs="Segoe UI Light"/>
                <w:bCs/>
                <w:sz w:val="18"/>
              </w:rPr>
            </w:pPr>
            <w:r w:rsidRPr="000E7C5E">
              <w:rPr>
                <w:sz w:val="18"/>
              </w:rPr>
              <w:t xml:space="preserve"> 47 </w:t>
            </w:r>
          </w:p>
        </w:tc>
        <w:tc>
          <w:tcPr>
            <w:tcW w:w="0" w:type="pct"/>
          </w:tcPr>
          <w:p w14:paraId="656AFFA2" w14:textId="77777777" w:rsidR="00031D50" w:rsidRPr="00BC1A0C" w:rsidRDefault="00031D50" w:rsidP="0073546C">
            <w:pPr>
              <w:ind w:left="57"/>
              <w:mirrorIndents/>
              <w:rPr>
                <w:rFonts w:cs="Segoe UI Light"/>
                <w:bCs/>
                <w:sz w:val="18"/>
              </w:rPr>
            </w:pPr>
            <w:r w:rsidRPr="000E7C5E">
              <w:rPr>
                <w:sz w:val="18"/>
              </w:rPr>
              <w:t xml:space="preserve"> 38 </w:t>
            </w:r>
          </w:p>
        </w:tc>
        <w:tc>
          <w:tcPr>
            <w:tcW w:w="0" w:type="pct"/>
          </w:tcPr>
          <w:p w14:paraId="656AFFA3" w14:textId="77777777" w:rsidR="00031D50" w:rsidRPr="00BC1A0C" w:rsidRDefault="00031D50" w:rsidP="0073546C">
            <w:pPr>
              <w:ind w:left="57"/>
              <w:mirrorIndents/>
              <w:rPr>
                <w:rFonts w:cs="Segoe UI Light"/>
                <w:bCs/>
                <w:sz w:val="18"/>
              </w:rPr>
            </w:pPr>
            <w:r w:rsidRPr="000E7C5E">
              <w:rPr>
                <w:sz w:val="18"/>
              </w:rPr>
              <w:t xml:space="preserve"> 35 </w:t>
            </w:r>
          </w:p>
        </w:tc>
        <w:tc>
          <w:tcPr>
            <w:tcW w:w="0" w:type="pct"/>
          </w:tcPr>
          <w:p w14:paraId="656AFFA4" w14:textId="77777777" w:rsidR="00031D50" w:rsidRPr="00BC1A0C" w:rsidRDefault="00031D50" w:rsidP="0073546C">
            <w:pPr>
              <w:ind w:left="57"/>
              <w:mirrorIndents/>
              <w:rPr>
                <w:rFonts w:cs="Segoe UI Light"/>
                <w:bCs/>
                <w:sz w:val="18"/>
              </w:rPr>
            </w:pPr>
            <w:r w:rsidRPr="000E7C5E">
              <w:rPr>
                <w:sz w:val="18"/>
              </w:rPr>
              <w:t xml:space="preserve"> 803 (5%) </w:t>
            </w:r>
          </w:p>
        </w:tc>
      </w:tr>
      <w:tr w:rsidR="00031D50" w:rsidRPr="00F54C16" w14:paraId="656AFFAF" w14:textId="77777777" w:rsidTr="00031D50">
        <w:tc>
          <w:tcPr>
            <w:tcW w:w="913" w:type="pct"/>
          </w:tcPr>
          <w:p w14:paraId="656AFFA6" w14:textId="77777777" w:rsidR="00031D50" w:rsidRPr="00BC1A0C" w:rsidRDefault="00031D50" w:rsidP="00031D50">
            <w:pPr>
              <w:mirrorIndents/>
              <w:rPr>
                <w:rFonts w:cs="Segoe UI Light"/>
                <w:sz w:val="18"/>
              </w:rPr>
            </w:pPr>
            <w:r>
              <w:rPr>
                <w:rFonts w:cs="Segoe UI Light"/>
                <w:sz w:val="18"/>
              </w:rPr>
              <w:t>Emergency report</w:t>
            </w:r>
          </w:p>
        </w:tc>
        <w:tc>
          <w:tcPr>
            <w:tcW w:w="423" w:type="pct"/>
          </w:tcPr>
          <w:p w14:paraId="656AFFA7" w14:textId="77777777" w:rsidR="00031D50" w:rsidRPr="000E7C5E" w:rsidRDefault="00031D50" w:rsidP="0073546C">
            <w:pPr>
              <w:ind w:left="57"/>
              <w:mirrorIndents/>
              <w:rPr>
                <w:sz w:val="18"/>
              </w:rPr>
            </w:pPr>
            <w:r w:rsidRPr="000E7C5E">
              <w:rPr>
                <w:sz w:val="18"/>
              </w:rPr>
              <w:t xml:space="preserve"> 77 </w:t>
            </w:r>
          </w:p>
        </w:tc>
        <w:tc>
          <w:tcPr>
            <w:tcW w:w="422" w:type="pct"/>
          </w:tcPr>
          <w:p w14:paraId="656AFFA8" w14:textId="77777777" w:rsidR="00031D50" w:rsidRPr="000E7C5E" w:rsidRDefault="00031D50" w:rsidP="0073546C">
            <w:pPr>
              <w:ind w:left="57"/>
              <w:mirrorIndents/>
              <w:rPr>
                <w:sz w:val="18"/>
              </w:rPr>
            </w:pPr>
            <w:r w:rsidRPr="000E7C5E">
              <w:rPr>
                <w:sz w:val="18"/>
              </w:rPr>
              <w:t xml:space="preserve"> 28 </w:t>
            </w:r>
          </w:p>
        </w:tc>
        <w:tc>
          <w:tcPr>
            <w:tcW w:w="478" w:type="pct"/>
          </w:tcPr>
          <w:p w14:paraId="656AFFA9" w14:textId="77777777" w:rsidR="00031D50" w:rsidRPr="000E7C5E" w:rsidRDefault="00031D50" w:rsidP="0073546C">
            <w:pPr>
              <w:ind w:left="57"/>
              <w:mirrorIndents/>
              <w:rPr>
                <w:sz w:val="18"/>
              </w:rPr>
            </w:pPr>
            <w:r w:rsidRPr="000E7C5E">
              <w:rPr>
                <w:sz w:val="18"/>
              </w:rPr>
              <w:t xml:space="preserve"> 12 </w:t>
            </w:r>
          </w:p>
        </w:tc>
        <w:tc>
          <w:tcPr>
            <w:tcW w:w="511" w:type="pct"/>
          </w:tcPr>
          <w:p w14:paraId="656AFFAA" w14:textId="77777777" w:rsidR="00031D50" w:rsidRPr="000E7C5E" w:rsidRDefault="00031D50" w:rsidP="0073546C">
            <w:pPr>
              <w:ind w:left="57"/>
              <w:mirrorIndents/>
              <w:rPr>
                <w:sz w:val="18"/>
              </w:rPr>
            </w:pPr>
            <w:r w:rsidRPr="000E7C5E">
              <w:rPr>
                <w:sz w:val="18"/>
              </w:rPr>
              <w:t xml:space="preserve"> 13 </w:t>
            </w:r>
          </w:p>
        </w:tc>
        <w:tc>
          <w:tcPr>
            <w:tcW w:w="562" w:type="pct"/>
          </w:tcPr>
          <w:p w14:paraId="656AFFAB" w14:textId="77777777" w:rsidR="00031D50" w:rsidRPr="000E7C5E" w:rsidRDefault="00031D50" w:rsidP="0073546C">
            <w:pPr>
              <w:ind w:left="57"/>
              <w:mirrorIndents/>
              <w:rPr>
                <w:sz w:val="18"/>
              </w:rPr>
            </w:pPr>
            <w:r w:rsidRPr="000E7C5E">
              <w:rPr>
                <w:sz w:val="18"/>
              </w:rPr>
              <w:t xml:space="preserve"> 10 </w:t>
            </w:r>
          </w:p>
        </w:tc>
        <w:tc>
          <w:tcPr>
            <w:tcW w:w="564" w:type="pct"/>
          </w:tcPr>
          <w:p w14:paraId="656AFFAC" w14:textId="77777777" w:rsidR="00031D50" w:rsidRPr="000E7C5E" w:rsidRDefault="00031D50" w:rsidP="0073546C">
            <w:pPr>
              <w:ind w:left="57"/>
              <w:mirrorIndents/>
              <w:rPr>
                <w:sz w:val="18"/>
              </w:rPr>
            </w:pPr>
            <w:r w:rsidRPr="000E7C5E">
              <w:rPr>
                <w:sz w:val="18"/>
              </w:rPr>
              <w:t xml:space="preserve"> 23 </w:t>
            </w:r>
          </w:p>
        </w:tc>
        <w:tc>
          <w:tcPr>
            <w:tcW w:w="433" w:type="pct"/>
          </w:tcPr>
          <w:p w14:paraId="656AFFAD" w14:textId="77777777" w:rsidR="00031D50" w:rsidRPr="000E7C5E" w:rsidRDefault="00031D50" w:rsidP="0073546C">
            <w:pPr>
              <w:ind w:left="57"/>
              <w:mirrorIndents/>
              <w:rPr>
                <w:sz w:val="18"/>
              </w:rPr>
            </w:pPr>
            <w:r w:rsidRPr="000E7C5E">
              <w:rPr>
                <w:sz w:val="18"/>
              </w:rPr>
              <w:t xml:space="preserve"> 5 </w:t>
            </w:r>
          </w:p>
        </w:tc>
        <w:tc>
          <w:tcPr>
            <w:tcW w:w="693" w:type="pct"/>
          </w:tcPr>
          <w:p w14:paraId="656AFFAE" w14:textId="77777777" w:rsidR="00031D50" w:rsidRPr="000E7C5E" w:rsidRDefault="00031D50" w:rsidP="0073546C">
            <w:pPr>
              <w:ind w:left="57"/>
              <w:mirrorIndents/>
              <w:rPr>
                <w:sz w:val="18"/>
              </w:rPr>
            </w:pPr>
            <w:r w:rsidRPr="000E7C5E">
              <w:rPr>
                <w:sz w:val="18"/>
              </w:rPr>
              <w:t xml:space="preserve"> 168 (1%) </w:t>
            </w:r>
          </w:p>
        </w:tc>
      </w:tr>
      <w:tr w:rsidR="00031D50" w:rsidRPr="00F54C16" w14:paraId="656AFFB9" w14:textId="77777777" w:rsidTr="00494A7B">
        <w:tc>
          <w:tcPr>
            <w:tcW w:w="913" w:type="pct"/>
          </w:tcPr>
          <w:p w14:paraId="656AFFB0" w14:textId="77777777" w:rsidR="00031D50" w:rsidRPr="00827D05" w:rsidRDefault="00031D50" w:rsidP="00031D50">
            <w:pPr>
              <w:mirrorIndents/>
              <w:rPr>
                <w:rFonts w:cs="Segoe UI Light"/>
                <w:b/>
                <w:sz w:val="18"/>
              </w:rPr>
            </w:pPr>
            <w:r>
              <w:rPr>
                <w:rFonts w:cs="Segoe UI Light"/>
                <w:sz w:val="18"/>
              </w:rPr>
              <w:t>Not assigned</w:t>
            </w:r>
          </w:p>
        </w:tc>
        <w:tc>
          <w:tcPr>
            <w:tcW w:w="0" w:type="pct"/>
          </w:tcPr>
          <w:p w14:paraId="656AFFB1" w14:textId="77777777" w:rsidR="00031D50" w:rsidRPr="00BC1A0C" w:rsidRDefault="00031D50" w:rsidP="0073546C">
            <w:pPr>
              <w:ind w:left="57"/>
              <w:mirrorIndents/>
              <w:rPr>
                <w:rFonts w:cs="Segoe UI Light"/>
                <w:bCs/>
                <w:sz w:val="18"/>
              </w:rPr>
            </w:pPr>
            <w:r w:rsidRPr="000E7C5E">
              <w:rPr>
                <w:sz w:val="18"/>
              </w:rPr>
              <w:t xml:space="preserve"> 5 </w:t>
            </w:r>
          </w:p>
        </w:tc>
        <w:tc>
          <w:tcPr>
            <w:tcW w:w="0" w:type="pct"/>
          </w:tcPr>
          <w:p w14:paraId="656AFFB2" w14:textId="77777777" w:rsidR="00031D50" w:rsidRPr="00BC1A0C" w:rsidRDefault="00031D50" w:rsidP="0073546C">
            <w:pPr>
              <w:ind w:left="57"/>
              <w:mirrorIndents/>
              <w:rPr>
                <w:rFonts w:cs="Segoe UI Light"/>
                <w:bCs/>
                <w:sz w:val="18"/>
              </w:rPr>
            </w:pPr>
            <w:r w:rsidRPr="000E7C5E">
              <w:rPr>
                <w:sz w:val="18"/>
              </w:rPr>
              <w:t xml:space="preserve"> 3 </w:t>
            </w:r>
          </w:p>
        </w:tc>
        <w:tc>
          <w:tcPr>
            <w:tcW w:w="0" w:type="pct"/>
          </w:tcPr>
          <w:p w14:paraId="656AFFB3" w14:textId="77777777" w:rsidR="00031D50" w:rsidRPr="00BC1A0C" w:rsidRDefault="00031D50" w:rsidP="0073546C">
            <w:pPr>
              <w:ind w:left="57"/>
              <w:mirrorIndents/>
              <w:rPr>
                <w:rFonts w:cs="Segoe UI Light"/>
                <w:bCs/>
                <w:sz w:val="18"/>
              </w:rPr>
            </w:pPr>
            <w:r w:rsidRPr="000E7C5E">
              <w:rPr>
                <w:sz w:val="18"/>
              </w:rPr>
              <w:t xml:space="preserve"> 3 </w:t>
            </w:r>
          </w:p>
        </w:tc>
        <w:tc>
          <w:tcPr>
            <w:tcW w:w="0" w:type="pct"/>
          </w:tcPr>
          <w:p w14:paraId="656AFFB4" w14:textId="77777777" w:rsidR="00031D50" w:rsidRPr="00BC1A0C" w:rsidRDefault="00031D50" w:rsidP="0073546C">
            <w:pPr>
              <w:ind w:left="57"/>
              <w:mirrorIndents/>
              <w:rPr>
                <w:rFonts w:cs="Segoe UI Light"/>
                <w:bCs/>
                <w:sz w:val="18"/>
              </w:rPr>
            </w:pPr>
            <w:r w:rsidRPr="000E7C5E">
              <w:rPr>
                <w:sz w:val="18"/>
              </w:rPr>
              <w:t xml:space="preserve"> 1 </w:t>
            </w:r>
          </w:p>
        </w:tc>
        <w:tc>
          <w:tcPr>
            <w:tcW w:w="0" w:type="pct"/>
          </w:tcPr>
          <w:p w14:paraId="656AFFB5" w14:textId="77777777" w:rsidR="00031D50" w:rsidRPr="00BC1A0C" w:rsidRDefault="00031D50" w:rsidP="0073546C">
            <w:pPr>
              <w:ind w:left="57"/>
              <w:mirrorIndents/>
              <w:rPr>
                <w:rFonts w:cs="Segoe UI Light"/>
                <w:bCs/>
                <w:sz w:val="18"/>
              </w:rPr>
            </w:pPr>
            <w:r w:rsidRPr="000E7C5E">
              <w:rPr>
                <w:sz w:val="18"/>
              </w:rPr>
              <w:t xml:space="preserve"> 1 </w:t>
            </w:r>
          </w:p>
        </w:tc>
        <w:tc>
          <w:tcPr>
            <w:tcW w:w="0" w:type="pct"/>
          </w:tcPr>
          <w:p w14:paraId="656AFFB6" w14:textId="77777777" w:rsidR="00031D50" w:rsidRPr="00BC1A0C" w:rsidRDefault="00031D50" w:rsidP="0073546C">
            <w:pPr>
              <w:ind w:left="57"/>
              <w:mirrorIndents/>
              <w:rPr>
                <w:rFonts w:cs="Segoe UI Light"/>
                <w:bCs/>
                <w:sz w:val="18"/>
              </w:rPr>
            </w:pPr>
            <w:r w:rsidRPr="000E7C5E">
              <w:rPr>
                <w:sz w:val="18"/>
              </w:rPr>
              <w:t xml:space="preserve"> 7 </w:t>
            </w:r>
          </w:p>
        </w:tc>
        <w:tc>
          <w:tcPr>
            <w:tcW w:w="0" w:type="pct"/>
          </w:tcPr>
          <w:p w14:paraId="656AFFB7" w14:textId="77777777" w:rsidR="00031D50" w:rsidRPr="00BC1A0C" w:rsidRDefault="00031D50" w:rsidP="0073546C">
            <w:pPr>
              <w:ind w:left="57"/>
              <w:mirrorIndents/>
              <w:rPr>
                <w:rFonts w:cs="Segoe UI Light"/>
                <w:bCs/>
                <w:sz w:val="18"/>
              </w:rPr>
            </w:pPr>
            <w:r w:rsidRPr="000E7C5E">
              <w:rPr>
                <w:sz w:val="18"/>
              </w:rPr>
              <w:t xml:space="preserve"> 2 </w:t>
            </w:r>
          </w:p>
        </w:tc>
        <w:tc>
          <w:tcPr>
            <w:tcW w:w="0" w:type="pct"/>
          </w:tcPr>
          <w:p w14:paraId="656AFFB8" w14:textId="77777777" w:rsidR="00031D50" w:rsidRPr="00BC1A0C" w:rsidRDefault="00031D50" w:rsidP="0073546C">
            <w:pPr>
              <w:ind w:left="57"/>
              <w:mirrorIndents/>
              <w:rPr>
                <w:rFonts w:cs="Segoe UI Light"/>
                <w:bCs/>
                <w:sz w:val="18"/>
              </w:rPr>
            </w:pPr>
            <w:r w:rsidRPr="000E7C5E">
              <w:rPr>
                <w:sz w:val="18"/>
              </w:rPr>
              <w:t xml:space="preserve"> 22 (0%) </w:t>
            </w:r>
          </w:p>
        </w:tc>
      </w:tr>
      <w:tr w:rsidR="00031D50" w:rsidRPr="00F54C16" w14:paraId="656AFFC3" w14:textId="77777777" w:rsidTr="00494A7B">
        <w:tc>
          <w:tcPr>
            <w:tcW w:w="913" w:type="pct"/>
          </w:tcPr>
          <w:p w14:paraId="656AFFBA" w14:textId="77777777" w:rsidR="00031D50" w:rsidRPr="00031D50" w:rsidRDefault="00031D50" w:rsidP="00031D50">
            <w:pPr>
              <w:mirrorIndents/>
              <w:rPr>
                <w:rFonts w:cs="Segoe UI Light"/>
                <w:b/>
                <w:sz w:val="18"/>
              </w:rPr>
            </w:pPr>
            <w:r w:rsidRPr="00494A7B">
              <w:rPr>
                <w:rFonts w:cs="Segoe UI Light"/>
                <w:b/>
                <w:sz w:val="18"/>
              </w:rPr>
              <w:t>Total</w:t>
            </w:r>
          </w:p>
        </w:tc>
        <w:tc>
          <w:tcPr>
            <w:tcW w:w="0" w:type="pct"/>
          </w:tcPr>
          <w:p w14:paraId="656AFFBB" w14:textId="77777777" w:rsidR="00031D50" w:rsidRPr="00494A7B" w:rsidRDefault="00031D50" w:rsidP="0073546C">
            <w:pPr>
              <w:ind w:left="57"/>
              <w:mirrorIndents/>
              <w:rPr>
                <w:rFonts w:cs="Segoe UI Light"/>
                <w:b/>
                <w:bCs/>
                <w:sz w:val="18"/>
              </w:rPr>
            </w:pPr>
            <w:r w:rsidRPr="00494A7B">
              <w:rPr>
                <w:b/>
                <w:sz w:val="18"/>
              </w:rPr>
              <w:t xml:space="preserve"> 7,154 </w:t>
            </w:r>
          </w:p>
        </w:tc>
        <w:tc>
          <w:tcPr>
            <w:tcW w:w="0" w:type="pct"/>
          </w:tcPr>
          <w:p w14:paraId="656AFFBC" w14:textId="77777777" w:rsidR="00031D50" w:rsidRPr="00494A7B" w:rsidRDefault="00031D50" w:rsidP="0073546C">
            <w:pPr>
              <w:ind w:left="57"/>
              <w:mirrorIndents/>
              <w:rPr>
                <w:rFonts w:cs="Segoe UI Light"/>
                <w:b/>
                <w:bCs/>
                <w:sz w:val="18"/>
              </w:rPr>
            </w:pPr>
            <w:r w:rsidRPr="00494A7B">
              <w:rPr>
                <w:b/>
                <w:sz w:val="18"/>
              </w:rPr>
              <w:t xml:space="preserve"> 3,390 </w:t>
            </w:r>
          </w:p>
        </w:tc>
        <w:tc>
          <w:tcPr>
            <w:tcW w:w="0" w:type="pct"/>
          </w:tcPr>
          <w:p w14:paraId="656AFFBD" w14:textId="77777777" w:rsidR="00031D50" w:rsidRPr="00494A7B" w:rsidRDefault="00031D50" w:rsidP="0073546C">
            <w:pPr>
              <w:ind w:left="57"/>
              <w:mirrorIndents/>
              <w:rPr>
                <w:rFonts w:cs="Segoe UI Light"/>
                <w:b/>
                <w:bCs/>
                <w:sz w:val="18"/>
              </w:rPr>
            </w:pPr>
            <w:r w:rsidRPr="00494A7B">
              <w:rPr>
                <w:b/>
                <w:sz w:val="18"/>
              </w:rPr>
              <w:t xml:space="preserve"> 1,664 </w:t>
            </w:r>
          </w:p>
        </w:tc>
        <w:tc>
          <w:tcPr>
            <w:tcW w:w="0" w:type="pct"/>
          </w:tcPr>
          <w:p w14:paraId="656AFFBE" w14:textId="77777777" w:rsidR="00031D50" w:rsidRPr="00494A7B" w:rsidRDefault="00031D50" w:rsidP="0073546C">
            <w:pPr>
              <w:ind w:left="57"/>
              <w:mirrorIndents/>
              <w:rPr>
                <w:rFonts w:cs="Segoe UI Light"/>
                <w:b/>
                <w:bCs/>
                <w:sz w:val="18"/>
              </w:rPr>
            </w:pPr>
            <w:r w:rsidRPr="00494A7B">
              <w:rPr>
                <w:b/>
                <w:sz w:val="18"/>
              </w:rPr>
              <w:t xml:space="preserve"> 798 </w:t>
            </w:r>
          </w:p>
        </w:tc>
        <w:tc>
          <w:tcPr>
            <w:tcW w:w="0" w:type="pct"/>
          </w:tcPr>
          <w:p w14:paraId="656AFFBF" w14:textId="77777777" w:rsidR="00031D50" w:rsidRPr="00494A7B" w:rsidRDefault="00031D50" w:rsidP="0073546C">
            <w:pPr>
              <w:ind w:left="57"/>
              <w:mirrorIndents/>
              <w:rPr>
                <w:rFonts w:cs="Segoe UI Light"/>
                <w:b/>
                <w:bCs/>
                <w:sz w:val="18"/>
              </w:rPr>
            </w:pPr>
            <w:r w:rsidRPr="00494A7B">
              <w:rPr>
                <w:b/>
                <w:sz w:val="18"/>
              </w:rPr>
              <w:t xml:space="preserve"> 888 </w:t>
            </w:r>
          </w:p>
        </w:tc>
        <w:tc>
          <w:tcPr>
            <w:tcW w:w="0" w:type="pct"/>
          </w:tcPr>
          <w:p w14:paraId="656AFFC0" w14:textId="77777777" w:rsidR="00031D50" w:rsidRPr="00494A7B" w:rsidRDefault="00031D50" w:rsidP="0073546C">
            <w:pPr>
              <w:ind w:left="57"/>
              <w:mirrorIndents/>
              <w:rPr>
                <w:rFonts w:cs="Segoe UI Light"/>
                <w:b/>
                <w:bCs/>
                <w:sz w:val="18"/>
              </w:rPr>
            </w:pPr>
            <w:r w:rsidRPr="00494A7B">
              <w:rPr>
                <w:b/>
                <w:sz w:val="18"/>
              </w:rPr>
              <w:t xml:space="preserve"> 719 </w:t>
            </w:r>
          </w:p>
        </w:tc>
        <w:tc>
          <w:tcPr>
            <w:tcW w:w="0" w:type="pct"/>
          </w:tcPr>
          <w:p w14:paraId="656AFFC1" w14:textId="77777777" w:rsidR="00031D50" w:rsidRPr="00494A7B" w:rsidRDefault="00031D50" w:rsidP="0073546C">
            <w:pPr>
              <w:ind w:left="57"/>
              <w:mirrorIndents/>
              <w:rPr>
                <w:rFonts w:cs="Segoe UI Light"/>
                <w:b/>
                <w:bCs/>
                <w:sz w:val="18"/>
              </w:rPr>
            </w:pPr>
            <w:r w:rsidRPr="00494A7B">
              <w:rPr>
                <w:b/>
                <w:sz w:val="18"/>
              </w:rPr>
              <w:t xml:space="preserve"> 679 </w:t>
            </w:r>
          </w:p>
        </w:tc>
        <w:tc>
          <w:tcPr>
            <w:tcW w:w="0" w:type="pct"/>
          </w:tcPr>
          <w:p w14:paraId="656AFFC2" w14:textId="77777777" w:rsidR="00031D50" w:rsidRPr="00494A7B" w:rsidRDefault="00031D50" w:rsidP="0073546C">
            <w:pPr>
              <w:ind w:left="57"/>
              <w:mirrorIndents/>
              <w:rPr>
                <w:rFonts w:cs="Segoe UI Light"/>
                <w:b/>
                <w:bCs/>
                <w:sz w:val="18"/>
              </w:rPr>
            </w:pPr>
            <w:r w:rsidRPr="00494A7B">
              <w:rPr>
                <w:b/>
                <w:sz w:val="18"/>
              </w:rPr>
              <w:t xml:space="preserve"> 15,292 </w:t>
            </w:r>
          </w:p>
        </w:tc>
      </w:tr>
    </w:tbl>
    <w:p w14:paraId="656AFFC4" w14:textId="77777777" w:rsidR="00A25A1E" w:rsidRPr="00D85A7F" w:rsidRDefault="00A25A1E" w:rsidP="00A25A1E">
      <w:pPr>
        <w:pStyle w:val="2Source"/>
        <w:rPr>
          <w:b/>
          <w:bCs/>
          <w:iCs w:val="0"/>
        </w:rPr>
      </w:pPr>
      <w:r w:rsidRPr="00D85A7F">
        <w:t>Source: EPA Victoria Annual Report 201</w:t>
      </w:r>
      <w:r>
        <w:t>7</w:t>
      </w:r>
      <w:r w:rsidRPr="00D85A7F">
        <w:t>-1</w:t>
      </w:r>
      <w:r>
        <w:t>8</w:t>
      </w:r>
    </w:p>
    <w:p w14:paraId="656AFFC5" w14:textId="77777777" w:rsidR="00A25A1E" w:rsidRDefault="00A25A1E" w:rsidP="00A25A1E">
      <w:pPr>
        <w:spacing w:before="120"/>
        <w:mirrorIndents/>
        <w:rPr>
          <w:szCs w:val="20"/>
        </w:rPr>
      </w:pPr>
      <w:r>
        <w:rPr>
          <w:color w:val="2B579A"/>
          <w:szCs w:val="20"/>
          <w:shd w:val="clear" w:color="auto" w:fill="E6E6E6"/>
        </w:rPr>
        <w:fldChar w:fldCharType="begin"/>
      </w:r>
      <w:r>
        <w:rPr>
          <w:szCs w:val="20"/>
        </w:rPr>
        <w:instrText xml:space="preserve"> REF _Ref387016 \h </w:instrText>
      </w:r>
      <w:r>
        <w:rPr>
          <w:color w:val="2B579A"/>
          <w:szCs w:val="20"/>
          <w:shd w:val="clear" w:color="auto" w:fill="E6E6E6"/>
        </w:rPr>
      </w:r>
      <w:r>
        <w:rPr>
          <w:color w:val="2B579A"/>
          <w:szCs w:val="20"/>
          <w:shd w:val="clear" w:color="auto" w:fill="E6E6E6"/>
        </w:rPr>
        <w:fldChar w:fldCharType="separate"/>
      </w:r>
      <w:r w:rsidR="00B11C1E">
        <w:t xml:space="preserve">Table </w:t>
      </w:r>
      <w:r w:rsidR="00B11C1E">
        <w:rPr>
          <w:noProof/>
        </w:rPr>
        <w:t>3</w:t>
      </w:r>
      <w:r w:rsidR="00B11C1E">
        <w:noBreakHyphen/>
      </w:r>
      <w:r w:rsidR="00B11C1E">
        <w:rPr>
          <w:noProof/>
        </w:rPr>
        <w:t>5</w:t>
      </w:r>
      <w:r>
        <w:rPr>
          <w:color w:val="2B579A"/>
          <w:szCs w:val="20"/>
          <w:shd w:val="clear" w:color="auto" w:fill="E6E6E6"/>
        </w:rPr>
        <w:fldChar w:fldCharType="end"/>
      </w:r>
      <w:r>
        <w:rPr>
          <w:szCs w:val="20"/>
        </w:rPr>
        <w:t xml:space="preserve"> </w:t>
      </w:r>
      <w:r w:rsidRPr="00827D05">
        <w:rPr>
          <w:szCs w:val="20"/>
        </w:rPr>
        <w:t xml:space="preserve">provides a summary of EPA's compliance, enforcement and assessment activities from 2014-17. Overall, there has been an approximately one third drop from 2013 to 2017 in </w:t>
      </w:r>
      <w:r w:rsidR="006D5C80">
        <w:rPr>
          <w:szCs w:val="20"/>
        </w:rPr>
        <w:t>some</w:t>
      </w:r>
      <w:r w:rsidR="006D5C80" w:rsidRPr="00827D05">
        <w:rPr>
          <w:szCs w:val="20"/>
        </w:rPr>
        <w:t xml:space="preserve"> </w:t>
      </w:r>
      <w:r w:rsidRPr="00827D05">
        <w:rPr>
          <w:szCs w:val="20"/>
        </w:rPr>
        <w:t xml:space="preserve">of these activities, </w:t>
      </w:r>
      <w:r w:rsidR="006D5C80">
        <w:rPr>
          <w:szCs w:val="20"/>
        </w:rPr>
        <w:t xml:space="preserve">such as </w:t>
      </w:r>
      <w:r w:rsidRPr="00827D05">
        <w:rPr>
          <w:szCs w:val="20"/>
        </w:rPr>
        <w:t>fewer noise/smoky vehicle notices and litter infringement notices being issued</w:t>
      </w:r>
      <w:r w:rsidR="00C92AFF">
        <w:rPr>
          <w:szCs w:val="20"/>
        </w:rPr>
        <w:t>.</w:t>
      </w:r>
    </w:p>
    <w:p w14:paraId="656AFFC6" w14:textId="77777777" w:rsidR="00A25A1E" w:rsidRPr="00E74211" w:rsidRDefault="00A25A1E" w:rsidP="00A25A1E">
      <w:pPr>
        <w:spacing w:before="120"/>
        <w:mirrorIndents/>
        <w:rPr>
          <w:szCs w:val="20"/>
        </w:rPr>
      </w:pPr>
      <w:r w:rsidRPr="00E74211">
        <w:rPr>
          <w:szCs w:val="20"/>
        </w:rPr>
        <w:t>EPA data on clean up notices issued (180 in 2018) provide an indication of the cost of failing to prevent pollution. When issuing clean up notices EPA estimates the costs of clean up and ongoing management. From 2010 to 2018 estimated clean</w:t>
      </w:r>
      <w:r w:rsidR="00E74211" w:rsidRPr="00E74211">
        <w:rPr>
          <w:szCs w:val="20"/>
        </w:rPr>
        <w:t>-</w:t>
      </w:r>
      <w:r w:rsidRPr="00E74211">
        <w:rPr>
          <w:szCs w:val="20"/>
        </w:rPr>
        <w:t>up costs totalled $287 million and included:</w:t>
      </w:r>
    </w:p>
    <w:p w14:paraId="656AFFC7" w14:textId="77777777" w:rsidR="00A25A1E" w:rsidRPr="000E7C5E" w:rsidRDefault="00A25A1E" w:rsidP="004A2442">
      <w:pPr>
        <w:pStyle w:val="ListParagraph"/>
        <w:numPr>
          <w:ilvl w:val="0"/>
          <w:numId w:val="19"/>
        </w:numPr>
        <w:spacing w:before="120"/>
        <w:mirrorIndents/>
        <w:rPr>
          <w:szCs w:val="20"/>
        </w:rPr>
      </w:pPr>
      <w:r w:rsidRPr="00E74211">
        <w:rPr>
          <w:szCs w:val="20"/>
        </w:rPr>
        <w:t>$9 million across 15</w:t>
      </w:r>
      <w:r w:rsidR="00E74211" w:rsidRPr="00E74211">
        <w:rPr>
          <w:szCs w:val="20"/>
        </w:rPr>
        <w:t>0</w:t>
      </w:r>
      <w:r w:rsidRPr="00E74211">
        <w:rPr>
          <w:szCs w:val="20"/>
        </w:rPr>
        <w:t xml:space="preserve"> notices to remove illegally dumped waste (around $60,000 per notice)</w:t>
      </w:r>
      <w:r w:rsidR="00833A60">
        <w:rPr>
          <w:szCs w:val="20"/>
        </w:rPr>
        <w:t>.</w:t>
      </w:r>
      <w:r w:rsidR="00D54BBE" w:rsidRPr="00E74211">
        <w:rPr>
          <w:szCs w:val="20"/>
        </w:rPr>
        <w:t xml:space="preserve"> </w:t>
      </w:r>
    </w:p>
    <w:p w14:paraId="656AFFC8" w14:textId="77777777" w:rsidR="00A25A1E" w:rsidRPr="006A5530" w:rsidRDefault="00A25A1E" w:rsidP="004A2442">
      <w:pPr>
        <w:pStyle w:val="ListParagraph"/>
        <w:numPr>
          <w:ilvl w:val="0"/>
          <w:numId w:val="19"/>
        </w:numPr>
        <w:spacing w:before="120"/>
        <w:mirrorIndents/>
        <w:rPr>
          <w:szCs w:val="20"/>
        </w:rPr>
      </w:pPr>
      <w:r w:rsidRPr="006A5530">
        <w:rPr>
          <w:szCs w:val="20"/>
        </w:rPr>
        <w:t>$23 million across 65 service stations requiring clean up (around $350,000 per notice)</w:t>
      </w:r>
      <w:r w:rsidR="00833A60">
        <w:rPr>
          <w:szCs w:val="20"/>
        </w:rPr>
        <w:t>.</w:t>
      </w:r>
    </w:p>
    <w:p w14:paraId="656AFFC9" w14:textId="77777777" w:rsidR="00A25A1E" w:rsidRPr="006A5530" w:rsidRDefault="00A25A1E" w:rsidP="004A2442">
      <w:pPr>
        <w:pStyle w:val="ListParagraph"/>
        <w:numPr>
          <w:ilvl w:val="0"/>
          <w:numId w:val="19"/>
        </w:numPr>
        <w:spacing w:before="120"/>
        <w:mirrorIndents/>
        <w:rPr>
          <w:szCs w:val="20"/>
        </w:rPr>
      </w:pPr>
      <w:r w:rsidRPr="006A5530">
        <w:rPr>
          <w:szCs w:val="20"/>
        </w:rPr>
        <w:t>$150 million across 126 industrial sites (around $1.2 million per notice)</w:t>
      </w:r>
      <w:r w:rsidR="00833A60">
        <w:rPr>
          <w:szCs w:val="20"/>
        </w:rPr>
        <w:t>.</w:t>
      </w:r>
    </w:p>
    <w:p w14:paraId="656AFFCA" w14:textId="77777777" w:rsidR="00F54C16" w:rsidRPr="00951752" w:rsidRDefault="00A25A1E" w:rsidP="000F124C">
      <w:pPr>
        <w:pStyle w:val="ListParagraph"/>
        <w:numPr>
          <w:ilvl w:val="0"/>
          <w:numId w:val="19"/>
        </w:numPr>
        <w:spacing w:before="120"/>
        <w:mirrorIndents/>
        <w:rPr>
          <w:szCs w:val="20"/>
        </w:rPr>
      </w:pPr>
      <w:r w:rsidRPr="006A5530">
        <w:rPr>
          <w:szCs w:val="20"/>
        </w:rPr>
        <w:t xml:space="preserve">$105 million across </w:t>
      </w:r>
      <w:r w:rsidRPr="005B0E3C">
        <w:rPr>
          <w:szCs w:val="20"/>
        </w:rPr>
        <w:t>22 petroleum storage sites</w:t>
      </w:r>
      <w:r w:rsidRPr="006A5530">
        <w:rPr>
          <w:szCs w:val="20"/>
        </w:rPr>
        <w:t xml:space="preserve"> (around $4.7 million per notice).</w:t>
      </w:r>
      <w:r w:rsidRPr="006A5530">
        <w:rPr>
          <w:rStyle w:val="FootnoteReference"/>
          <w:szCs w:val="20"/>
        </w:rPr>
        <w:footnoteReference w:id="42"/>
      </w:r>
    </w:p>
    <w:p w14:paraId="656AFFCB" w14:textId="77777777" w:rsidR="00A25A1E" w:rsidRDefault="00A25A1E" w:rsidP="00A25A1E">
      <w:pPr>
        <w:pStyle w:val="Caption"/>
      </w:pPr>
      <w:bookmarkStart w:id="535" w:name="_Ref387016"/>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3</w:t>
      </w:r>
      <w:r>
        <w:rPr>
          <w:color w:val="2B579A"/>
          <w:shd w:val="clear" w:color="auto" w:fill="E6E6E6"/>
        </w:rPr>
        <w:fldChar w:fldCharType="end"/>
      </w:r>
      <w:r w:rsidR="007E575A">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5</w:t>
      </w:r>
      <w:r w:rsidR="00997CFA">
        <w:rPr>
          <w:color w:val="2B579A"/>
          <w:shd w:val="clear" w:color="auto" w:fill="E6E6E6"/>
        </w:rPr>
        <w:fldChar w:fldCharType="end"/>
      </w:r>
      <w:bookmarkEnd w:id="535"/>
      <w:r w:rsidRPr="00EA2AFB">
        <w:t xml:space="preserve"> </w:t>
      </w:r>
      <w:r w:rsidRPr="00827D05">
        <w:t>EPA's compliance and enforcement activity, 2014-18</w:t>
      </w:r>
    </w:p>
    <w:tbl>
      <w:tblPr>
        <w:tblStyle w:val="Deloittetable"/>
        <w:tblW w:w="5000" w:type="pct"/>
        <w:tblLook w:val="04A0" w:firstRow="1" w:lastRow="0" w:firstColumn="1" w:lastColumn="0" w:noHBand="0" w:noVBand="1"/>
      </w:tblPr>
      <w:tblGrid>
        <w:gridCol w:w="4875"/>
        <w:gridCol w:w="986"/>
        <w:gridCol w:w="983"/>
        <w:gridCol w:w="985"/>
        <w:gridCol w:w="985"/>
        <w:gridCol w:w="824"/>
        <w:gridCol w:w="822"/>
      </w:tblGrid>
      <w:tr w:rsidR="00A25A1E" w:rsidRPr="00204BE2" w14:paraId="656AFFD3" w14:textId="77777777" w:rsidTr="00A25A1E">
        <w:trPr>
          <w:cnfStyle w:val="100000000000" w:firstRow="1" w:lastRow="0" w:firstColumn="0" w:lastColumn="0" w:oddVBand="0" w:evenVBand="0" w:oddHBand="0" w:evenHBand="0" w:firstRowFirstColumn="0" w:firstRowLastColumn="0" w:lastRowFirstColumn="0" w:lastRowLastColumn="0"/>
          <w:trHeight w:val="352"/>
          <w:tblHeader/>
        </w:trPr>
        <w:tc>
          <w:tcPr>
            <w:tcW w:w="2330" w:type="pct"/>
          </w:tcPr>
          <w:p w14:paraId="656AFFCC" w14:textId="77777777" w:rsidR="00A25A1E" w:rsidRPr="00D85A7F" w:rsidRDefault="00A25A1E" w:rsidP="00E856EC">
            <w:pPr>
              <w:spacing w:after="0"/>
              <w:mirrorIndents/>
              <w:rPr>
                <w:rFonts w:cs="Segoe UI Light"/>
                <w:b/>
                <w:i/>
                <w:iCs/>
                <w:sz w:val="18"/>
              </w:rPr>
            </w:pPr>
            <w:r w:rsidRPr="00D85A7F">
              <w:rPr>
                <w:rFonts w:cs="Segoe UI Light"/>
                <w:b/>
                <w:i/>
                <w:iCs/>
                <w:sz w:val="18"/>
              </w:rPr>
              <w:t>Activity</w:t>
            </w:r>
          </w:p>
        </w:tc>
        <w:tc>
          <w:tcPr>
            <w:tcW w:w="471" w:type="pct"/>
          </w:tcPr>
          <w:p w14:paraId="656AFFCD" w14:textId="77777777" w:rsidR="00A25A1E" w:rsidRPr="00D85A7F" w:rsidRDefault="00A25A1E" w:rsidP="0073546C">
            <w:pPr>
              <w:spacing w:after="0"/>
              <w:ind w:left="57"/>
              <w:mirrorIndents/>
              <w:rPr>
                <w:rFonts w:cs="Segoe UI Light"/>
                <w:b/>
                <w:i/>
                <w:iCs/>
                <w:sz w:val="18"/>
              </w:rPr>
            </w:pPr>
            <w:r w:rsidRPr="00D85A7F">
              <w:rPr>
                <w:rFonts w:cs="Segoe UI Light"/>
                <w:b/>
                <w:sz w:val="18"/>
              </w:rPr>
              <w:t>2013</w:t>
            </w:r>
          </w:p>
        </w:tc>
        <w:tc>
          <w:tcPr>
            <w:tcW w:w="470" w:type="pct"/>
          </w:tcPr>
          <w:p w14:paraId="656AFFCE" w14:textId="77777777" w:rsidR="00A25A1E" w:rsidRPr="00D85A7F" w:rsidRDefault="00A25A1E" w:rsidP="0073546C">
            <w:pPr>
              <w:spacing w:after="0"/>
              <w:ind w:left="57"/>
              <w:mirrorIndents/>
              <w:rPr>
                <w:rFonts w:cs="Segoe UI Light"/>
                <w:b/>
                <w:i/>
                <w:iCs/>
                <w:sz w:val="18"/>
              </w:rPr>
            </w:pPr>
            <w:r w:rsidRPr="00D85A7F">
              <w:rPr>
                <w:rFonts w:cs="Segoe UI Light"/>
                <w:b/>
                <w:sz w:val="18"/>
              </w:rPr>
              <w:t>2014</w:t>
            </w:r>
          </w:p>
        </w:tc>
        <w:tc>
          <w:tcPr>
            <w:tcW w:w="471" w:type="pct"/>
          </w:tcPr>
          <w:p w14:paraId="656AFFCF" w14:textId="77777777" w:rsidR="00A25A1E" w:rsidRPr="00D85A7F" w:rsidRDefault="00A25A1E" w:rsidP="0073546C">
            <w:pPr>
              <w:spacing w:after="0"/>
              <w:ind w:left="57"/>
              <w:mirrorIndents/>
              <w:rPr>
                <w:rFonts w:cs="Segoe UI Light"/>
                <w:b/>
                <w:i/>
                <w:iCs/>
                <w:sz w:val="18"/>
              </w:rPr>
            </w:pPr>
            <w:r w:rsidRPr="00D85A7F">
              <w:rPr>
                <w:rFonts w:cs="Segoe UI Light"/>
                <w:b/>
                <w:sz w:val="18"/>
              </w:rPr>
              <w:t>2015</w:t>
            </w:r>
          </w:p>
        </w:tc>
        <w:tc>
          <w:tcPr>
            <w:tcW w:w="471" w:type="pct"/>
          </w:tcPr>
          <w:p w14:paraId="656AFFD0" w14:textId="77777777" w:rsidR="00A25A1E" w:rsidRPr="00D85A7F" w:rsidRDefault="00A25A1E" w:rsidP="0073546C">
            <w:pPr>
              <w:spacing w:after="0"/>
              <w:ind w:left="57"/>
              <w:mirrorIndents/>
              <w:rPr>
                <w:rFonts w:cs="Segoe UI Light"/>
                <w:b/>
                <w:i/>
                <w:iCs/>
                <w:sz w:val="18"/>
              </w:rPr>
            </w:pPr>
            <w:r w:rsidRPr="00D85A7F">
              <w:rPr>
                <w:rFonts w:cs="Segoe UI Light"/>
                <w:b/>
                <w:sz w:val="18"/>
              </w:rPr>
              <w:t>2016</w:t>
            </w:r>
          </w:p>
        </w:tc>
        <w:tc>
          <w:tcPr>
            <w:tcW w:w="394" w:type="pct"/>
          </w:tcPr>
          <w:p w14:paraId="656AFFD1" w14:textId="77777777" w:rsidR="00A25A1E" w:rsidRPr="00D85A7F" w:rsidRDefault="00A25A1E" w:rsidP="0073546C">
            <w:pPr>
              <w:spacing w:after="0"/>
              <w:ind w:left="57"/>
              <w:mirrorIndents/>
              <w:rPr>
                <w:rFonts w:cs="Segoe UI Light"/>
                <w:b/>
                <w:i/>
                <w:iCs/>
                <w:sz w:val="18"/>
              </w:rPr>
            </w:pPr>
            <w:r w:rsidRPr="00D85A7F">
              <w:rPr>
                <w:rFonts w:cs="Segoe UI Light"/>
                <w:b/>
                <w:sz w:val="18"/>
              </w:rPr>
              <w:t>2017</w:t>
            </w:r>
          </w:p>
        </w:tc>
        <w:tc>
          <w:tcPr>
            <w:tcW w:w="393" w:type="pct"/>
          </w:tcPr>
          <w:p w14:paraId="656AFFD2" w14:textId="77777777" w:rsidR="00A25A1E" w:rsidRPr="00D85A7F" w:rsidRDefault="00A25A1E" w:rsidP="0073546C">
            <w:pPr>
              <w:spacing w:after="0"/>
              <w:ind w:left="57"/>
              <w:mirrorIndents/>
              <w:rPr>
                <w:rFonts w:cs="Segoe UI Light"/>
                <w:b/>
                <w:sz w:val="18"/>
              </w:rPr>
            </w:pPr>
            <w:r w:rsidRPr="00D85A7F">
              <w:rPr>
                <w:rFonts w:cs="Segoe UI Light"/>
                <w:b/>
                <w:sz w:val="18"/>
              </w:rPr>
              <w:t>2018</w:t>
            </w:r>
          </w:p>
        </w:tc>
      </w:tr>
      <w:tr w:rsidR="00A25A1E" w:rsidRPr="00204BE2" w14:paraId="656AFFDB" w14:textId="77777777" w:rsidTr="00A25A1E">
        <w:tc>
          <w:tcPr>
            <w:tcW w:w="2330" w:type="pct"/>
          </w:tcPr>
          <w:p w14:paraId="656AFFD4" w14:textId="77777777" w:rsidR="00A25A1E" w:rsidRPr="00D85A7F" w:rsidRDefault="00A25A1E" w:rsidP="00E856EC">
            <w:pPr>
              <w:spacing w:after="0"/>
              <w:mirrorIndents/>
              <w:rPr>
                <w:rFonts w:cs="Segoe UI Light"/>
                <w:b/>
                <w:iCs/>
                <w:sz w:val="18"/>
              </w:rPr>
            </w:pPr>
            <w:r w:rsidRPr="00D85A7F">
              <w:rPr>
                <w:rFonts w:cs="Segoe UI Light"/>
                <w:b/>
                <w:iCs/>
                <w:sz w:val="18"/>
              </w:rPr>
              <w:t>Industry programs</w:t>
            </w:r>
          </w:p>
        </w:tc>
        <w:tc>
          <w:tcPr>
            <w:tcW w:w="471" w:type="pct"/>
          </w:tcPr>
          <w:p w14:paraId="656AFFD5" w14:textId="77777777" w:rsidR="00A25A1E" w:rsidRPr="00D85A7F" w:rsidRDefault="00A25A1E" w:rsidP="0073546C">
            <w:pPr>
              <w:spacing w:after="0"/>
              <w:ind w:left="57"/>
              <w:mirrorIndents/>
              <w:rPr>
                <w:rFonts w:cs="Segoe UI Light"/>
                <w:iCs/>
                <w:sz w:val="18"/>
              </w:rPr>
            </w:pPr>
          </w:p>
        </w:tc>
        <w:tc>
          <w:tcPr>
            <w:tcW w:w="470" w:type="pct"/>
          </w:tcPr>
          <w:p w14:paraId="656AFFD6" w14:textId="77777777" w:rsidR="00A25A1E" w:rsidRPr="00D85A7F" w:rsidRDefault="00A25A1E" w:rsidP="0073546C">
            <w:pPr>
              <w:spacing w:after="0"/>
              <w:ind w:left="57"/>
              <w:mirrorIndents/>
              <w:rPr>
                <w:rFonts w:cs="Segoe UI Light"/>
                <w:iCs/>
                <w:sz w:val="18"/>
              </w:rPr>
            </w:pPr>
          </w:p>
        </w:tc>
        <w:tc>
          <w:tcPr>
            <w:tcW w:w="471" w:type="pct"/>
          </w:tcPr>
          <w:p w14:paraId="656AFFD7" w14:textId="77777777" w:rsidR="00A25A1E" w:rsidRPr="00D85A7F" w:rsidRDefault="00A25A1E" w:rsidP="0073546C">
            <w:pPr>
              <w:spacing w:after="0"/>
              <w:ind w:left="57"/>
              <w:mirrorIndents/>
              <w:rPr>
                <w:rFonts w:cs="Segoe UI Light"/>
                <w:iCs/>
                <w:sz w:val="18"/>
              </w:rPr>
            </w:pPr>
          </w:p>
        </w:tc>
        <w:tc>
          <w:tcPr>
            <w:tcW w:w="471" w:type="pct"/>
          </w:tcPr>
          <w:p w14:paraId="656AFFD8" w14:textId="77777777" w:rsidR="00A25A1E" w:rsidRPr="00D85A7F" w:rsidRDefault="00A25A1E" w:rsidP="0073546C">
            <w:pPr>
              <w:spacing w:after="0"/>
              <w:ind w:left="57"/>
              <w:mirrorIndents/>
              <w:rPr>
                <w:rFonts w:cs="Segoe UI Light"/>
                <w:iCs/>
                <w:sz w:val="18"/>
              </w:rPr>
            </w:pPr>
          </w:p>
        </w:tc>
        <w:tc>
          <w:tcPr>
            <w:tcW w:w="394" w:type="pct"/>
          </w:tcPr>
          <w:p w14:paraId="656AFFD9" w14:textId="77777777" w:rsidR="00A25A1E" w:rsidRPr="00D85A7F" w:rsidRDefault="00A25A1E" w:rsidP="0073546C">
            <w:pPr>
              <w:spacing w:after="0"/>
              <w:ind w:left="57"/>
              <w:mirrorIndents/>
              <w:rPr>
                <w:rFonts w:cs="Segoe UI Light"/>
                <w:iCs/>
                <w:sz w:val="18"/>
              </w:rPr>
            </w:pPr>
          </w:p>
        </w:tc>
        <w:tc>
          <w:tcPr>
            <w:tcW w:w="393" w:type="pct"/>
          </w:tcPr>
          <w:p w14:paraId="656AFFDA" w14:textId="77777777" w:rsidR="00A25A1E" w:rsidRPr="00D85A7F" w:rsidRDefault="00A25A1E" w:rsidP="0073546C">
            <w:pPr>
              <w:spacing w:after="0"/>
              <w:ind w:left="57"/>
              <w:mirrorIndents/>
              <w:rPr>
                <w:rFonts w:cs="Segoe UI Light"/>
                <w:iCs/>
                <w:sz w:val="18"/>
              </w:rPr>
            </w:pPr>
          </w:p>
        </w:tc>
      </w:tr>
      <w:tr w:rsidR="00A25A1E" w:rsidRPr="00204BE2" w14:paraId="656AFFE3" w14:textId="77777777" w:rsidTr="00A25A1E">
        <w:tc>
          <w:tcPr>
            <w:tcW w:w="2330" w:type="pct"/>
          </w:tcPr>
          <w:p w14:paraId="656AFFDC" w14:textId="77777777" w:rsidR="00A25A1E" w:rsidRPr="00D85A7F" w:rsidRDefault="00A25A1E" w:rsidP="00E856EC">
            <w:pPr>
              <w:spacing w:after="0"/>
              <w:mirrorIndents/>
              <w:rPr>
                <w:rFonts w:cs="Segoe UI Light"/>
                <w:b/>
                <w:iCs/>
                <w:sz w:val="18"/>
              </w:rPr>
            </w:pPr>
            <w:r w:rsidRPr="00D85A7F">
              <w:rPr>
                <w:rFonts w:cs="Segoe UI Light"/>
                <w:iCs/>
                <w:sz w:val="18"/>
              </w:rPr>
              <w:t>Inspections</w:t>
            </w:r>
          </w:p>
        </w:tc>
        <w:tc>
          <w:tcPr>
            <w:tcW w:w="471" w:type="pct"/>
          </w:tcPr>
          <w:p w14:paraId="656AFFDD" w14:textId="77777777" w:rsidR="00A25A1E" w:rsidRPr="00D85A7F" w:rsidRDefault="00A25A1E" w:rsidP="0073546C">
            <w:pPr>
              <w:spacing w:after="0"/>
              <w:ind w:left="57"/>
              <w:mirrorIndents/>
              <w:rPr>
                <w:rFonts w:cs="Segoe UI Light"/>
                <w:iCs/>
                <w:sz w:val="18"/>
              </w:rPr>
            </w:pPr>
            <w:r w:rsidRPr="00D85A7F">
              <w:rPr>
                <w:rFonts w:cs="Segoe UI Light"/>
                <w:sz w:val="18"/>
              </w:rPr>
              <w:t>2,566</w:t>
            </w:r>
          </w:p>
        </w:tc>
        <w:tc>
          <w:tcPr>
            <w:tcW w:w="470" w:type="pct"/>
          </w:tcPr>
          <w:p w14:paraId="656AFFDE" w14:textId="77777777" w:rsidR="00A25A1E" w:rsidRPr="00D85A7F" w:rsidRDefault="00A25A1E" w:rsidP="0073546C">
            <w:pPr>
              <w:spacing w:after="0"/>
              <w:ind w:left="57"/>
              <w:mirrorIndents/>
              <w:rPr>
                <w:rFonts w:cs="Segoe UI Light"/>
                <w:iCs/>
                <w:sz w:val="18"/>
              </w:rPr>
            </w:pPr>
            <w:r w:rsidRPr="00D85A7F">
              <w:rPr>
                <w:rFonts w:cs="Segoe UI Light"/>
                <w:sz w:val="18"/>
              </w:rPr>
              <w:t>2,950</w:t>
            </w:r>
          </w:p>
        </w:tc>
        <w:tc>
          <w:tcPr>
            <w:tcW w:w="471" w:type="pct"/>
          </w:tcPr>
          <w:p w14:paraId="656AFFDF" w14:textId="77777777" w:rsidR="00A25A1E" w:rsidRPr="00D85A7F" w:rsidRDefault="00A25A1E" w:rsidP="0073546C">
            <w:pPr>
              <w:spacing w:after="0"/>
              <w:ind w:left="57"/>
              <w:mirrorIndents/>
              <w:rPr>
                <w:rFonts w:cs="Segoe UI Light"/>
                <w:iCs/>
                <w:sz w:val="18"/>
              </w:rPr>
            </w:pPr>
            <w:r w:rsidRPr="00D85A7F">
              <w:rPr>
                <w:rFonts w:cs="Segoe UI Light"/>
                <w:sz w:val="18"/>
              </w:rPr>
              <w:t>2,252</w:t>
            </w:r>
          </w:p>
        </w:tc>
        <w:tc>
          <w:tcPr>
            <w:tcW w:w="471" w:type="pct"/>
          </w:tcPr>
          <w:p w14:paraId="656AFFE0" w14:textId="77777777" w:rsidR="00A25A1E" w:rsidRPr="00D85A7F" w:rsidRDefault="00A25A1E" w:rsidP="0073546C">
            <w:pPr>
              <w:spacing w:after="0"/>
              <w:ind w:left="57"/>
              <w:mirrorIndents/>
              <w:rPr>
                <w:rFonts w:cs="Segoe UI Light"/>
                <w:iCs/>
                <w:sz w:val="18"/>
              </w:rPr>
            </w:pPr>
            <w:r w:rsidRPr="00D85A7F">
              <w:rPr>
                <w:rFonts w:cs="Segoe UI Light"/>
                <w:sz w:val="18"/>
              </w:rPr>
              <w:t>1,903</w:t>
            </w:r>
          </w:p>
        </w:tc>
        <w:tc>
          <w:tcPr>
            <w:tcW w:w="394" w:type="pct"/>
          </w:tcPr>
          <w:p w14:paraId="656AFFE1" w14:textId="77777777" w:rsidR="00A25A1E" w:rsidRPr="00D85A7F" w:rsidRDefault="00A25A1E" w:rsidP="0073546C">
            <w:pPr>
              <w:spacing w:after="0"/>
              <w:ind w:left="57"/>
              <w:mirrorIndents/>
              <w:rPr>
                <w:rFonts w:cs="Segoe UI Light"/>
                <w:iCs/>
                <w:sz w:val="18"/>
              </w:rPr>
            </w:pPr>
            <w:r w:rsidRPr="00D85A7F">
              <w:rPr>
                <w:rFonts w:cs="Segoe UI Light"/>
                <w:sz w:val="18"/>
              </w:rPr>
              <w:t>1,796</w:t>
            </w:r>
          </w:p>
        </w:tc>
        <w:tc>
          <w:tcPr>
            <w:tcW w:w="393" w:type="pct"/>
          </w:tcPr>
          <w:p w14:paraId="656AFFE2" w14:textId="77777777" w:rsidR="00A25A1E" w:rsidRPr="00D85A7F" w:rsidRDefault="00A25A1E" w:rsidP="0073546C">
            <w:pPr>
              <w:spacing w:after="0"/>
              <w:ind w:left="57"/>
              <w:mirrorIndents/>
              <w:rPr>
                <w:rFonts w:cs="Segoe UI Light"/>
                <w:sz w:val="18"/>
              </w:rPr>
            </w:pPr>
            <w:r w:rsidRPr="00D85A7F">
              <w:rPr>
                <w:rFonts w:cs="Segoe UI Light"/>
                <w:sz w:val="18"/>
              </w:rPr>
              <w:t>2,225</w:t>
            </w:r>
          </w:p>
        </w:tc>
      </w:tr>
      <w:tr w:rsidR="00A25A1E" w:rsidRPr="00204BE2" w14:paraId="656AFFEB" w14:textId="77777777" w:rsidTr="00A25A1E">
        <w:tc>
          <w:tcPr>
            <w:tcW w:w="2330" w:type="pct"/>
          </w:tcPr>
          <w:p w14:paraId="656AFFE4" w14:textId="77777777" w:rsidR="00A25A1E" w:rsidRPr="00D85A7F" w:rsidRDefault="00A25A1E" w:rsidP="00E856EC">
            <w:pPr>
              <w:spacing w:after="0"/>
              <w:mirrorIndents/>
              <w:rPr>
                <w:rFonts w:cs="Segoe UI Light"/>
                <w:b/>
                <w:iCs/>
                <w:sz w:val="18"/>
              </w:rPr>
            </w:pPr>
            <w:r w:rsidRPr="00D85A7F">
              <w:rPr>
                <w:rFonts w:cs="Segoe UI Light"/>
                <w:iCs/>
                <w:sz w:val="18"/>
              </w:rPr>
              <w:t>Pollution abatement notices</w:t>
            </w:r>
          </w:p>
        </w:tc>
        <w:tc>
          <w:tcPr>
            <w:tcW w:w="471" w:type="pct"/>
          </w:tcPr>
          <w:p w14:paraId="656AFFE5" w14:textId="77777777" w:rsidR="00A25A1E" w:rsidRPr="00D85A7F" w:rsidRDefault="00A25A1E" w:rsidP="0073546C">
            <w:pPr>
              <w:spacing w:after="0"/>
              <w:ind w:left="57"/>
              <w:mirrorIndents/>
              <w:rPr>
                <w:rFonts w:cs="Segoe UI Light"/>
                <w:iCs/>
                <w:sz w:val="18"/>
              </w:rPr>
            </w:pPr>
            <w:r w:rsidRPr="00D85A7F">
              <w:rPr>
                <w:rFonts w:cs="Segoe UI Light"/>
                <w:sz w:val="18"/>
              </w:rPr>
              <w:t>220</w:t>
            </w:r>
          </w:p>
        </w:tc>
        <w:tc>
          <w:tcPr>
            <w:tcW w:w="470" w:type="pct"/>
          </w:tcPr>
          <w:p w14:paraId="656AFFE6" w14:textId="77777777" w:rsidR="00A25A1E" w:rsidRPr="00D85A7F" w:rsidRDefault="00A25A1E" w:rsidP="0073546C">
            <w:pPr>
              <w:spacing w:after="0"/>
              <w:ind w:left="57"/>
              <w:mirrorIndents/>
              <w:rPr>
                <w:rFonts w:cs="Segoe UI Light"/>
                <w:iCs/>
                <w:sz w:val="18"/>
              </w:rPr>
            </w:pPr>
            <w:r w:rsidRPr="00D85A7F">
              <w:rPr>
                <w:rFonts w:cs="Segoe UI Light"/>
                <w:sz w:val="18"/>
              </w:rPr>
              <w:t>265</w:t>
            </w:r>
          </w:p>
        </w:tc>
        <w:tc>
          <w:tcPr>
            <w:tcW w:w="471" w:type="pct"/>
          </w:tcPr>
          <w:p w14:paraId="656AFFE7" w14:textId="77777777" w:rsidR="00A25A1E" w:rsidRPr="00D85A7F" w:rsidRDefault="00A25A1E" w:rsidP="0073546C">
            <w:pPr>
              <w:spacing w:after="0"/>
              <w:ind w:left="57"/>
              <w:mirrorIndents/>
              <w:rPr>
                <w:rFonts w:cs="Segoe UI Light"/>
                <w:iCs/>
                <w:sz w:val="18"/>
              </w:rPr>
            </w:pPr>
            <w:r w:rsidRPr="00D85A7F">
              <w:rPr>
                <w:rFonts w:cs="Segoe UI Light"/>
                <w:sz w:val="18"/>
              </w:rPr>
              <w:t>300</w:t>
            </w:r>
          </w:p>
        </w:tc>
        <w:tc>
          <w:tcPr>
            <w:tcW w:w="471" w:type="pct"/>
          </w:tcPr>
          <w:p w14:paraId="656AFFE8" w14:textId="77777777" w:rsidR="00A25A1E" w:rsidRPr="00D85A7F" w:rsidRDefault="00A25A1E" w:rsidP="0073546C">
            <w:pPr>
              <w:spacing w:after="0"/>
              <w:ind w:left="57"/>
              <w:mirrorIndents/>
              <w:rPr>
                <w:rFonts w:cs="Segoe UI Light"/>
                <w:iCs/>
                <w:sz w:val="18"/>
              </w:rPr>
            </w:pPr>
            <w:r w:rsidRPr="00D85A7F">
              <w:rPr>
                <w:rFonts w:cs="Segoe UI Light"/>
                <w:sz w:val="18"/>
              </w:rPr>
              <w:t>266</w:t>
            </w:r>
          </w:p>
        </w:tc>
        <w:tc>
          <w:tcPr>
            <w:tcW w:w="394" w:type="pct"/>
          </w:tcPr>
          <w:p w14:paraId="656AFFE9" w14:textId="77777777" w:rsidR="00A25A1E" w:rsidRPr="00D85A7F" w:rsidRDefault="00A25A1E" w:rsidP="0073546C">
            <w:pPr>
              <w:spacing w:after="0"/>
              <w:ind w:left="57"/>
              <w:mirrorIndents/>
              <w:rPr>
                <w:rFonts w:cs="Segoe UI Light"/>
                <w:iCs/>
                <w:sz w:val="18"/>
              </w:rPr>
            </w:pPr>
            <w:r w:rsidRPr="00D85A7F">
              <w:rPr>
                <w:rFonts w:cs="Segoe UI Light"/>
                <w:sz w:val="18"/>
              </w:rPr>
              <w:t>273</w:t>
            </w:r>
          </w:p>
        </w:tc>
        <w:tc>
          <w:tcPr>
            <w:tcW w:w="393" w:type="pct"/>
          </w:tcPr>
          <w:p w14:paraId="656AFFEA" w14:textId="77777777" w:rsidR="00A25A1E" w:rsidRPr="00D85A7F" w:rsidRDefault="00A25A1E" w:rsidP="0073546C">
            <w:pPr>
              <w:spacing w:after="0"/>
              <w:ind w:left="57"/>
              <w:mirrorIndents/>
              <w:rPr>
                <w:rFonts w:cs="Segoe UI Light"/>
                <w:sz w:val="18"/>
              </w:rPr>
            </w:pPr>
            <w:r w:rsidRPr="00D85A7F">
              <w:rPr>
                <w:rFonts w:cs="Segoe UI Light"/>
                <w:sz w:val="18"/>
              </w:rPr>
              <w:t>392</w:t>
            </w:r>
          </w:p>
        </w:tc>
      </w:tr>
      <w:tr w:rsidR="00A25A1E" w:rsidRPr="00204BE2" w14:paraId="656AFFF3" w14:textId="77777777" w:rsidTr="00A25A1E">
        <w:tc>
          <w:tcPr>
            <w:tcW w:w="2330" w:type="pct"/>
          </w:tcPr>
          <w:p w14:paraId="656AFFEC" w14:textId="77777777" w:rsidR="00A25A1E" w:rsidRPr="00D85A7F" w:rsidRDefault="00A25A1E" w:rsidP="00E856EC">
            <w:pPr>
              <w:spacing w:after="0"/>
              <w:mirrorIndents/>
              <w:rPr>
                <w:rFonts w:cs="Segoe UI Light"/>
                <w:b/>
                <w:iCs/>
                <w:sz w:val="18"/>
              </w:rPr>
            </w:pPr>
            <w:r w:rsidRPr="00D85A7F">
              <w:rPr>
                <w:rFonts w:cs="Segoe UI Light"/>
                <w:iCs/>
                <w:sz w:val="18"/>
              </w:rPr>
              <w:t>Clean up notices</w:t>
            </w:r>
          </w:p>
        </w:tc>
        <w:tc>
          <w:tcPr>
            <w:tcW w:w="471" w:type="pct"/>
          </w:tcPr>
          <w:p w14:paraId="656AFFED" w14:textId="77777777" w:rsidR="00A25A1E" w:rsidRPr="00D85A7F" w:rsidRDefault="00A25A1E" w:rsidP="0073546C">
            <w:pPr>
              <w:spacing w:after="0"/>
              <w:ind w:left="57"/>
              <w:mirrorIndents/>
              <w:rPr>
                <w:rFonts w:cs="Segoe UI Light"/>
                <w:iCs/>
                <w:sz w:val="18"/>
              </w:rPr>
            </w:pPr>
            <w:r w:rsidRPr="00D85A7F">
              <w:rPr>
                <w:rFonts w:cs="Segoe UI Light"/>
                <w:sz w:val="18"/>
              </w:rPr>
              <w:t>125</w:t>
            </w:r>
          </w:p>
        </w:tc>
        <w:tc>
          <w:tcPr>
            <w:tcW w:w="470" w:type="pct"/>
          </w:tcPr>
          <w:p w14:paraId="656AFFEE" w14:textId="77777777" w:rsidR="00A25A1E" w:rsidRPr="00D85A7F" w:rsidRDefault="00A25A1E" w:rsidP="0073546C">
            <w:pPr>
              <w:spacing w:after="0"/>
              <w:ind w:left="57"/>
              <w:mirrorIndents/>
              <w:rPr>
                <w:rFonts w:cs="Segoe UI Light"/>
                <w:iCs/>
                <w:sz w:val="18"/>
              </w:rPr>
            </w:pPr>
            <w:r w:rsidRPr="00D85A7F">
              <w:rPr>
                <w:rFonts w:cs="Segoe UI Light"/>
                <w:sz w:val="18"/>
              </w:rPr>
              <w:t>206</w:t>
            </w:r>
          </w:p>
        </w:tc>
        <w:tc>
          <w:tcPr>
            <w:tcW w:w="471" w:type="pct"/>
          </w:tcPr>
          <w:p w14:paraId="656AFFEF" w14:textId="77777777" w:rsidR="00A25A1E" w:rsidRPr="00D85A7F" w:rsidRDefault="00A25A1E" w:rsidP="0073546C">
            <w:pPr>
              <w:spacing w:after="0"/>
              <w:ind w:left="57"/>
              <w:mirrorIndents/>
              <w:rPr>
                <w:rFonts w:cs="Segoe UI Light"/>
                <w:iCs/>
                <w:sz w:val="18"/>
              </w:rPr>
            </w:pPr>
            <w:r w:rsidRPr="00D85A7F">
              <w:rPr>
                <w:rFonts w:cs="Segoe UI Light"/>
                <w:sz w:val="18"/>
              </w:rPr>
              <w:t>233</w:t>
            </w:r>
          </w:p>
        </w:tc>
        <w:tc>
          <w:tcPr>
            <w:tcW w:w="471" w:type="pct"/>
          </w:tcPr>
          <w:p w14:paraId="656AFFF0" w14:textId="77777777" w:rsidR="00A25A1E" w:rsidRPr="00D85A7F" w:rsidRDefault="00A25A1E" w:rsidP="0073546C">
            <w:pPr>
              <w:spacing w:after="0"/>
              <w:ind w:left="57"/>
              <w:mirrorIndents/>
              <w:rPr>
                <w:rFonts w:cs="Segoe UI Light"/>
                <w:iCs/>
                <w:sz w:val="18"/>
              </w:rPr>
            </w:pPr>
            <w:r w:rsidRPr="00D85A7F">
              <w:rPr>
                <w:rFonts w:cs="Segoe UI Light"/>
                <w:sz w:val="18"/>
              </w:rPr>
              <w:t>188</w:t>
            </w:r>
          </w:p>
        </w:tc>
        <w:tc>
          <w:tcPr>
            <w:tcW w:w="394" w:type="pct"/>
          </w:tcPr>
          <w:p w14:paraId="656AFFF1" w14:textId="77777777" w:rsidR="00A25A1E" w:rsidRPr="00D85A7F" w:rsidRDefault="00A25A1E" w:rsidP="0073546C">
            <w:pPr>
              <w:spacing w:after="0"/>
              <w:ind w:left="57"/>
              <w:mirrorIndents/>
              <w:rPr>
                <w:rFonts w:cs="Segoe UI Light"/>
                <w:iCs/>
                <w:sz w:val="18"/>
              </w:rPr>
            </w:pPr>
            <w:r w:rsidRPr="00D85A7F">
              <w:rPr>
                <w:rFonts w:cs="Segoe UI Light"/>
                <w:sz w:val="18"/>
              </w:rPr>
              <w:t>153</w:t>
            </w:r>
          </w:p>
        </w:tc>
        <w:tc>
          <w:tcPr>
            <w:tcW w:w="393" w:type="pct"/>
          </w:tcPr>
          <w:p w14:paraId="656AFFF2" w14:textId="77777777" w:rsidR="00A25A1E" w:rsidRPr="00D85A7F" w:rsidRDefault="00A25A1E" w:rsidP="0073546C">
            <w:pPr>
              <w:spacing w:after="0"/>
              <w:ind w:left="57"/>
              <w:mirrorIndents/>
              <w:rPr>
                <w:rFonts w:cs="Segoe UI Light"/>
                <w:sz w:val="18"/>
              </w:rPr>
            </w:pPr>
            <w:r w:rsidRPr="00D85A7F">
              <w:rPr>
                <w:rFonts w:cs="Segoe UI Light"/>
                <w:sz w:val="18"/>
              </w:rPr>
              <w:t>180</w:t>
            </w:r>
          </w:p>
        </w:tc>
      </w:tr>
      <w:tr w:rsidR="00A25A1E" w:rsidRPr="00204BE2" w14:paraId="656AFFFB" w14:textId="77777777" w:rsidTr="00A25A1E">
        <w:tc>
          <w:tcPr>
            <w:tcW w:w="2330" w:type="pct"/>
          </w:tcPr>
          <w:p w14:paraId="656AFFF4" w14:textId="77777777" w:rsidR="00A25A1E" w:rsidRPr="00D85A7F" w:rsidRDefault="00A25A1E" w:rsidP="00E856EC">
            <w:pPr>
              <w:spacing w:after="0"/>
              <w:mirrorIndents/>
              <w:rPr>
                <w:rFonts w:cs="Segoe UI Light"/>
                <w:b/>
                <w:iCs/>
                <w:sz w:val="18"/>
              </w:rPr>
            </w:pPr>
            <w:r w:rsidRPr="00D85A7F">
              <w:rPr>
                <w:rFonts w:cs="Segoe UI Light"/>
                <w:iCs/>
                <w:sz w:val="18"/>
              </w:rPr>
              <w:t>Minor works pollution abatement notices</w:t>
            </w:r>
          </w:p>
        </w:tc>
        <w:tc>
          <w:tcPr>
            <w:tcW w:w="471" w:type="pct"/>
          </w:tcPr>
          <w:p w14:paraId="656AFFF5" w14:textId="77777777" w:rsidR="00A25A1E" w:rsidRPr="00D85A7F" w:rsidRDefault="00A25A1E" w:rsidP="0073546C">
            <w:pPr>
              <w:spacing w:after="0"/>
              <w:ind w:left="57"/>
              <w:mirrorIndents/>
              <w:rPr>
                <w:rFonts w:cs="Segoe UI Light"/>
                <w:iCs/>
                <w:sz w:val="18"/>
              </w:rPr>
            </w:pPr>
            <w:r w:rsidRPr="00D85A7F">
              <w:rPr>
                <w:rFonts w:cs="Segoe UI Light"/>
                <w:sz w:val="18"/>
              </w:rPr>
              <w:t>92</w:t>
            </w:r>
          </w:p>
        </w:tc>
        <w:tc>
          <w:tcPr>
            <w:tcW w:w="470" w:type="pct"/>
          </w:tcPr>
          <w:p w14:paraId="656AFFF6" w14:textId="77777777" w:rsidR="00A25A1E" w:rsidRPr="00D85A7F" w:rsidRDefault="00A25A1E" w:rsidP="0073546C">
            <w:pPr>
              <w:spacing w:after="0"/>
              <w:ind w:left="57"/>
              <w:mirrorIndents/>
              <w:rPr>
                <w:rFonts w:cs="Segoe UI Light"/>
                <w:iCs/>
                <w:sz w:val="18"/>
              </w:rPr>
            </w:pPr>
            <w:r w:rsidRPr="00D85A7F">
              <w:rPr>
                <w:rFonts w:cs="Segoe UI Light"/>
                <w:sz w:val="18"/>
              </w:rPr>
              <w:t>88</w:t>
            </w:r>
          </w:p>
        </w:tc>
        <w:tc>
          <w:tcPr>
            <w:tcW w:w="471" w:type="pct"/>
          </w:tcPr>
          <w:p w14:paraId="656AFFF7" w14:textId="77777777" w:rsidR="00A25A1E" w:rsidRPr="00D85A7F" w:rsidRDefault="00A25A1E" w:rsidP="0073546C">
            <w:pPr>
              <w:spacing w:after="0"/>
              <w:ind w:left="57"/>
              <w:mirrorIndents/>
              <w:rPr>
                <w:rFonts w:cs="Segoe UI Light"/>
                <w:iCs/>
                <w:sz w:val="18"/>
              </w:rPr>
            </w:pPr>
            <w:r w:rsidRPr="00D85A7F">
              <w:rPr>
                <w:rFonts w:cs="Segoe UI Light"/>
                <w:sz w:val="18"/>
              </w:rPr>
              <w:t>76</w:t>
            </w:r>
          </w:p>
        </w:tc>
        <w:tc>
          <w:tcPr>
            <w:tcW w:w="471" w:type="pct"/>
          </w:tcPr>
          <w:p w14:paraId="656AFFF8" w14:textId="77777777" w:rsidR="00A25A1E" w:rsidRPr="00D85A7F" w:rsidRDefault="00A25A1E" w:rsidP="0073546C">
            <w:pPr>
              <w:spacing w:after="0"/>
              <w:ind w:left="57"/>
              <w:mirrorIndents/>
              <w:rPr>
                <w:rFonts w:cs="Segoe UI Light"/>
                <w:iCs/>
                <w:sz w:val="18"/>
              </w:rPr>
            </w:pPr>
            <w:r w:rsidRPr="00D85A7F">
              <w:rPr>
                <w:rFonts w:cs="Segoe UI Light"/>
                <w:sz w:val="18"/>
              </w:rPr>
              <w:t>59</w:t>
            </w:r>
          </w:p>
        </w:tc>
        <w:tc>
          <w:tcPr>
            <w:tcW w:w="394" w:type="pct"/>
          </w:tcPr>
          <w:p w14:paraId="656AFFF9" w14:textId="77777777" w:rsidR="00A25A1E" w:rsidRPr="00D85A7F" w:rsidRDefault="00A25A1E" w:rsidP="0073546C">
            <w:pPr>
              <w:spacing w:after="0"/>
              <w:ind w:left="57"/>
              <w:mirrorIndents/>
              <w:rPr>
                <w:rFonts w:cs="Segoe UI Light"/>
                <w:iCs/>
                <w:sz w:val="18"/>
              </w:rPr>
            </w:pPr>
            <w:r w:rsidRPr="00D85A7F">
              <w:rPr>
                <w:rFonts w:cs="Segoe UI Light"/>
                <w:sz w:val="18"/>
              </w:rPr>
              <w:t>53</w:t>
            </w:r>
          </w:p>
        </w:tc>
        <w:tc>
          <w:tcPr>
            <w:tcW w:w="393" w:type="pct"/>
          </w:tcPr>
          <w:p w14:paraId="656AFFFA" w14:textId="77777777" w:rsidR="00A25A1E" w:rsidRPr="00D85A7F" w:rsidRDefault="00A25A1E" w:rsidP="0073546C">
            <w:pPr>
              <w:spacing w:after="0"/>
              <w:ind w:left="57"/>
              <w:mirrorIndents/>
              <w:rPr>
                <w:rFonts w:cs="Segoe UI Light"/>
                <w:sz w:val="18"/>
              </w:rPr>
            </w:pPr>
            <w:r w:rsidRPr="00D85A7F">
              <w:rPr>
                <w:rFonts w:cs="Segoe UI Light"/>
                <w:sz w:val="18"/>
              </w:rPr>
              <w:t>60</w:t>
            </w:r>
          </w:p>
        </w:tc>
      </w:tr>
      <w:tr w:rsidR="00A25A1E" w:rsidRPr="00204BE2" w14:paraId="656B0003" w14:textId="77777777" w:rsidTr="00A25A1E">
        <w:tc>
          <w:tcPr>
            <w:tcW w:w="2330" w:type="pct"/>
          </w:tcPr>
          <w:p w14:paraId="656AFFFC" w14:textId="77777777" w:rsidR="00A25A1E" w:rsidRPr="00D85A7F" w:rsidRDefault="00A25A1E" w:rsidP="00E856EC">
            <w:pPr>
              <w:spacing w:after="0"/>
              <w:mirrorIndents/>
              <w:rPr>
                <w:rFonts w:cs="Segoe UI Light"/>
                <w:b/>
                <w:iCs/>
                <w:sz w:val="18"/>
              </w:rPr>
            </w:pPr>
            <w:r w:rsidRPr="00D85A7F">
              <w:rPr>
                <w:rFonts w:cs="Segoe UI Light"/>
                <w:iCs/>
                <w:sz w:val="18"/>
              </w:rPr>
              <w:t>Prosecutions completed</w:t>
            </w:r>
          </w:p>
        </w:tc>
        <w:tc>
          <w:tcPr>
            <w:tcW w:w="471" w:type="pct"/>
          </w:tcPr>
          <w:p w14:paraId="656AFFFD" w14:textId="77777777" w:rsidR="00A25A1E" w:rsidRPr="00D85A7F" w:rsidRDefault="00A25A1E" w:rsidP="0073546C">
            <w:pPr>
              <w:spacing w:after="0"/>
              <w:ind w:left="57"/>
              <w:mirrorIndents/>
              <w:rPr>
                <w:rFonts w:cs="Segoe UI Light"/>
                <w:iCs/>
                <w:sz w:val="18"/>
              </w:rPr>
            </w:pPr>
            <w:r w:rsidRPr="00D85A7F">
              <w:rPr>
                <w:rFonts w:cs="Segoe UI Light"/>
                <w:sz w:val="18"/>
              </w:rPr>
              <w:t>-</w:t>
            </w:r>
          </w:p>
        </w:tc>
        <w:tc>
          <w:tcPr>
            <w:tcW w:w="470" w:type="pct"/>
          </w:tcPr>
          <w:p w14:paraId="656AFFFE" w14:textId="77777777" w:rsidR="00A25A1E" w:rsidRPr="00D85A7F" w:rsidRDefault="00A25A1E" w:rsidP="0073546C">
            <w:pPr>
              <w:spacing w:after="0"/>
              <w:ind w:left="57"/>
              <w:mirrorIndents/>
              <w:rPr>
                <w:rFonts w:cs="Segoe UI Light"/>
                <w:iCs/>
                <w:sz w:val="18"/>
              </w:rPr>
            </w:pPr>
            <w:r w:rsidRPr="00D85A7F">
              <w:rPr>
                <w:rFonts w:cs="Segoe UI Light"/>
                <w:sz w:val="18"/>
              </w:rPr>
              <w:t>1</w:t>
            </w:r>
          </w:p>
        </w:tc>
        <w:tc>
          <w:tcPr>
            <w:tcW w:w="471" w:type="pct"/>
          </w:tcPr>
          <w:p w14:paraId="656AFFFF" w14:textId="77777777" w:rsidR="00A25A1E" w:rsidRPr="00D85A7F" w:rsidRDefault="00A25A1E" w:rsidP="0073546C">
            <w:pPr>
              <w:spacing w:after="0"/>
              <w:ind w:left="57"/>
              <w:mirrorIndents/>
              <w:rPr>
                <w:rFonts w:cs="Segoe UI Light"/>
                <w:iCs/>
                <w:sz w:val="18"/>
              </w:rPr>
            </w:pPr>
            <w:r w:rsidRPr="00D85A7F">
              <w:rPr>
                <w:rFonts w:cs="Segoe UI Light"/>
                <w:sz w:val="18"/>
              </w:rPr>
              <w:t>6</w:t>
            </w:r>
          </w:p>
        </w:tc>
        <w:tc>
          <w:tcPr>
            <w:tcW w:w="471" w:type="pct"/>
          </w:tcPr>
          <w:p w14:paraId="656B0000" w14:textId="77777777" w:rsidR="00A25A1E" w:rsidRPr="00D85A7F" w:rsidRDefault="00A25A1E" w:rsidP="0073546C">
            <w:pPr>
              <w:spacing w:after="0"/>
              <w:ind w:left="57"/>
              <w:mirrorIndents/>
              <w:rPr>
                <w:rFonts w:cs="Segoe UI Light"/>
                <w:iCs/>
                <w:sz w:val="18"/>
              </w:rPr>
            </w:pPr>
            <w:r w:rsidRPr="00D85A7F">
              <w:rPr>
                <w:rFonts w:cs="Segoe UI Light"/>
                <w:sz w:val="18"/>
              </w:rPr>
              <w:t>12</w:t>
            </w:r>
          </w:p>
        </w:tc>
        <w:tc>
          <w:tcPr>
            <w:tcW w:w="394" w:type="pct"/>
          </w:tcPr>
          <w:p w14:paraId="656B0001" w14:textId="77777777" w:rsidR="00A25A1E" w:rsidRPr="00D85A7F" w:rsidRDefault="00A25A1E" w:rsidP="0073546C">
            <w:pPr>
              <w:spacing w:after="0"/>
              <w:ind w:left="57"/>
              <w:mirrorIndents/>
              <w:rPr>
                <w:rFonts w:cs="Segoe UI Light"/>
                <w:iCs/>
                <w:sz w:val="18"/>
              </w:rPr>
            </w:pPr>
            <w:r w:rsidRPr="00D85A7F">
              <w:rPr>
                <w:rFonts w:cs="Segoe UI Light"/>
                <w:sz w:val="18"/>
              </w:rPr>
              <w:t>11</w:t>
            </w:r>
          </w:p>
        </w:tc>
        <w:tc>
          <w:tcPr>
            <w:tcW w:w="393" w:type="pct"/>
          </w:tcPr>
          <w:p w14:paraId="656B0002" w14:textId="77777777" w:rsidR="00A25A1E" w:rsidRPr="00D85A7F" w:rsidRDefault="00A25A1E" w:rsidP="0073546C">
            <w:pPr>
              <w:spacing w:after="0"/>
              <w:ind w:left="57"/>
              <w:mirrorIndents/>
              <w:rPr>
                <w:rFonts w:cs="Segoe UI Light"/>
                <w:sz w:val="18"/>
              </w:rPr>
            </w:pPr>
            <w:r w:rsidRPr="00D85A7F">
              <w:rPr>
                <w:rFonts w:cs="Segoe UI Light"/>
                <w:sz w:val="18"/>
              </w:rPr>
              <w:t>22</w:t>
            </w:r>
          </w:p>
        </w:tc>
      </w:tr>
      <w:tr w:rsidR="00A25A1E" w:rsidRPr="00204BE2" w14:paraId="656B000B" w14:textId="77777777" w:rsidTr="00A25A1E">
        <w:tc>
          <w:tcPr>
            <w:tcW w:w="2330" w:type="pct"/>
          </w:tcPr>
          <w:p w14:paraId="656B0004" w14:textId="77777777" w:rsidR="00A25A1E" w:rsidRPr="00D85A7F" w:rsidRDefault="00A25A1E" w:rsidP="00E856EC">
            <w:pPr>
              <w:spacing w:after="0"/>
              <w:mirrorIndents/>
              <w:rPr>
                <w:rFonts w:cs="Segoe UI Light"/>
                <w:b/>
                <w:iCs/>
                <w:sz w:val="18"/>
              </w:rPr>
            </w:pPr>
            <w:r w:rsidRPr="00D85A7F">
              <w:rPr>
                <w:rFonts w:cs="Segoe UI Light"/>
                <w:iCs/>
                <w:sz w:val="18"/>
              </w:rPr>
              <w:t xml:space="preserve">Official warnings </w:t>
            </w:r>
          </w:p>
        </w:tc>
        <w:tc>
          <w:tcPr>
            <w:tcW w:w="471" w:type="pct"/>
          </w:tcPr>
          <w:p w14:paraId="656B0005" w14:textId="77777777" w:rsidR="00A25A1E" w:rsidRPr="00D85A7F" w:rsidRDefault="00A25A1E" w:rsidP="0073546C">
            <w:pPr>
              <w:spacing w:after="0"/>
              <w:ind w:left="57"/>
              <w:mirrorIndents/>
              <w:rPr>
                <w:rFonts w:cs="Segoe UI Light"/>
                <w:iCs/>
                <w:sz w:val="18"/>
              </w:rPr>
            </w:pPr>
            <w:r w:rsidRPr="00D85A7F">
              <w:rPr>
                <w:rFonts w:cs="Segoe UI Light"/>
                <w:sz w:val="18"/>
              </w:rPr>
              <w:t>33</w:t>
            </w:r>
          </w:p>
        </w:tc>
        <w:tc>
          <w:tcPr>
            <w:tcW w:w="470" w:type="pct"/>
          </w:tcPr>
          <w:p w14:paraId="656B0006" w14:textId="77777777" w:rsidR="00A25A1E" w:rsidRPr="00D85A7F" w:rsidRDefault="00A25A1E" w:rsidP="0073546C">
            <w:pPr>
              <w:spacing w:after="0"/>
              <w:ind w:left="57"/>
              <w:mirrorIndents/>
              <w:rPr>
                <w:rFonts w:cs="Segoe UI Light"/>
                <w:iCs/>
                <w:sz w:val="18"/>
              </w:rPr>
            </w:pPr>
            <w:r w:rsidRPr="00D85A7F">
              <w:rPr>
                <w:rFonts w:cs="Segoe UI Light"/>
                <w:sz w:val="18"/>
              </w:rPr>
              <w:t>36</w:t>
            </w:r>
          </w:p>
        </w:tc>
        <w:tc>
          <w:tcPr>
            <w:tcW w:w="471" w:type="pct"/>
          </w:tcPr>
          <w:p w14:paraId="656B0007" w14:textId="77777777" w:rsidR="00A25A1E" w:rsidRPr="00D85A7F" w:rsidRDefault="00A25A1E" w:rsidP="0073546C">
            <w:pPr>
              <w:spacing w:after="0"/>
              <w:ind w:left="57"/>
              <w:mirrorIndents/>
              <w:rPr>
                <w:rFonts w:cs="Segoe UI Light"/>
                <w:iCs/>
                <w:sz w:val="18"/>
              </w:rPr>
            </w:pPr>
            <w:r w:rsidRPr="00D85A7F">
              <w:rPr>
                <w:rFonts w:cs="Segoe UI Light"/>
                <w:sz w:val="18"/>
              </w:rPr>
              <w:t>94</w:t>
            </w:r>
          </w:p>
        </w:tc>
        <w:tc>
          <w:tcPr>
            <w:tcW w:w="471" w:type="pct"/>
          </w:tcPr>
          <w:p w14:paraId="656B0008" w14:textId="77777777" w:rsidR="00A25A1E" w:rsidRPr="00D85A7F" w:rsidRDefault="00A25A1E" w:rsidP="0073546C">
            <w:pPr>
              <w:spacing w:after="0"/>
              <w:ind w:left="57"/>
              <w:mirrorIndents/>
              <w:rPr>
                <w:rFonts w:cs="Segoe UI Light"/>
                <w:iCs/>
                <w:sz w:val="18"/>
              </w:rPr>
            </w:pPr>
            <w:r w:rsidRPr="00D85A7F">
              <w:rPr>
                <w:rFonts w:cs="Segoe UI Light"/>
                <w:sz w:val="18"/>
              </w:rPr>
              <w:t>122</w:t>
            </w:r>
          </w:p>
        </w:tc>
        <w:tc>
          <w:tcPr>
            <w:tcW w:w="394" w:type="pct"/>
          </w:tcPr>
          <w:p w14:paraId="656B0009" w14:textId="77777777" w:rsidR="00A25A1E" w:rsidRPr="00D85A7F" w:rsidRDefault="00A25A1E" w:rsidP="0073546C">
            <w:pPr>
              <w:spacing w:after="0"/>
              <w:ind w:left="57"/>
              <w:mirrorIndents/>
              <w:rPr>
                <w:rFonts w:cs="Segoe UI Light"/>
                <w:iCs/>
                <w:sz w:val="18"/>
              </w:rPr>
            </w:pPr>
            <w:r w:rsidRPr="00D85A7F">
              <w:rPr>
                <w:rFonts w:cs="Segoe UI Light"/>
                <w:sz w:val="18"/>
              </w:rPr>
              <w:t>99</w:t>
            </w:r>
          </w:p>
        </w:tc>
        <w:tc>
          <w:tcPr>
            <w:tcW w:w="393" w:type="pct"/>
          </w:tcPr>
          <w:p w14:paraId="656B000A" w14:textId="77777777" w:rsidR="00A25A1E" w:rsidRPr="00D85A7F" w:rsidRDefault="00A25A1E" w:rsidP="0073546C">
            <w:pPr>
              <w:spacing w:after="0"/>
              <w:ind w:left="57"/>
              <w:mirrorIndents/>
              <w:rPr>
                <w:rFonts w:cs="Segoe UI Light"/>
                <w:sz w:val="18"/>
              </w:rPr>
            </w:pPr>
            <w:r w:rsidRPr="00D85A7F">
              <w:rPr>
                <w:rFonts w:cs="Segoe UI Light"/>
                <w:sz w:val="18"/>
              </w:rPr>
              <w:t>110</w:t>
            </w:r>
          </w:p>
        </w:tc>
      </w:tr>
      <w:tr w:rsidR="00A25A1E" w:rsidRPr="00204BE2" w14:paraId="656B0013" w14:textId="77777777" w:rsidTr="00A25A1E">
        <w:tc>
          <w:tcPr>
            <w:tcW w:w="2330" w:type="pct"/>
          </w:tcPr>
          <w:p w14:paraId="656B000C" w14:textId="77777777" w:rsidR="00A25A1E" w:rsidRPr="00D85A7F" w:rsidRDefault="00A25A1E" w:rsidP="00E856EC">
            <w:pPr>
              <w:spacing w:after="0"/>
              <w:mirrorIndents/>
              <w:rPr>
                <w:rFonts w:cs="Segoe UI Light"/>
                <w:b/>
                <w:iCs/>
                <w:sz w:val="18"/>
              </w:rPr>
            </w:pPr>
            <w:r w:rsidRPr="00D85A7F">
              <w:rPr>
                <w:rFonts w:cs="Segoe UI Light"/>
                <w:iCs/>
                <w:sz w:val="18"/>
              </w:rPr>
              <w:t>Penalty infringement notices</w:t>
            </w:r>
          </w:p>
        </w:tc>
        <w:tc>
          <w:tcPr>
            <w:tcW w:w="471" w:type="pct"/>
          </w:tcPr>
          <w:p w14:paraId="656B000D" w14:textId="77777777" w:rsidR="00A25A1E" w:rsidRPr="00D85A7F" w:rsidRDefault="00A25A1E" w:rsidP="0073546C">
            <w:pPr>
              <w:spacing w:after="0"/>
              <w:ind w:left="57"/>
              <w:mirrorIndents/>
              <w:rPr>
                <w:rFonts w:cs="Segoe UI Light"/>
                <w:iCs/>
                <w:sz w:val="18"/>
              </w:rPr>
            </w:pPr>
            <w:r w:rsidRPr="00D85A7F">
              <w:rPr>
                <w:rFonts w:cs="Segoe UI Light"/>
                <w:sz w:val="18"/>
              </w:rPr>
              <w:t>28</w:t>
            </w:r>
          </w:p>
        </w:tc>
        <w:tc>
          <w:tcPr>
            <w:tcW w:w="470" w:type="pct"/>
          </w:tcPr>
          <w:p w14:paraId="656B000E" w14:textId="77777777" w:rsidR="00A25A1E" w:rsidRPr="00D85A7F" w:rsidRDefault="00A25A1E" w:rsidP="0073546C">
            <w:pPr>
              <w:spacing w:after="0"/>
              <w:ind w:left="57"/>
              <w:mirrorIndents/>
              <w:rPr>
                <w:rFonts w:cs="Segoe UI Light"/>
                <w:iCs/>
                <w:sz w:val="18"/>
              </w:rPr>
            </w:pPr>
            <w:r w:rsidRPr="00D85A7F">
              <w:rPr>
                <w:rFonts w:cs="Segoe UI Light"/>
                <w:sz w:val="18"/>
              </w:rPr>
              <w:t>29</w:t>
            </w:r>
          </w:p>
        </w:tc>
        <w:tc>
          <w:tcPr>
            <w:tcW w:w="471" w:type="pct"/>
          </w:tcPr>
          <w:p w14:paraId="656B000F" w14:textId="77777777" w:rsidR="00A25A1E" w:rsidRPr="00D85A7F" w:rsidRDefault="00A25A1E" w:rsidP="0073546C">
            <w:pPr>
              <w:spacing w:after="0"/>
              <w:ind w:left="57"/>
              <w:mirrorIndents/>
              <w:rPr>
                <w:rFonts w:cs="Segoe UI Light"/>
                <w:iCs/>
                <w:sz w:val="18"/>
              </w:rPr>
            </w:pPr>
            <w:r w:rsidRPr="00D85A7F">
              <w:rPr>
                <w:rFonts w:cs="Segoe UI Light"/>
                <w:sz w:val="18"/>
              </w:rPr>
              <w:t>64</w:t>
            </w:r>
          </w:p>
        </w:tc>
        <w:tc>
          <w:tcPr>
            <w:tcW w:w="471" w:type="pct"/>
          </w:tcPr>
          <w:p w14:paraId="656B0010" w14:textId="77777777" w:rsidR="00A25A1E" w:rsidRPr="00D85A7F" w:rsidRDefault="00A25A1E" w:rsidP="0073546C">
            <w:pPr>
              <w:spacing w:after="0"/>
              <w:ind w:left="57"/>
              <w:mirrorIndents/>
              <w:rPr>
                <w:rFonts w:cs="Segoe UI Light"/>
                <w:iCs/>
                <w:sz w:val="18"/>
              </w:rPr>
            </w:pPr>
            <w:r w:rsidRPr="00D85A7F">
              <w:rPr>
                <w:rFonts w:cs="Segoe UI Light"/>
                <w:sz w:val="18"/>
              </w:rPr>
              <w:t>57</w:t>
            </w:r>
          </w:p>
        </w:tc>
        <w:tc>
          <w:tcPr>
            <w:tcW w:w="394" w:type="pct"/>
          </w:tcPr>
          <w:p w14:paraId="656B0011" w14:textId="77777777" w:rsidR="00A25A1E" w:rsidRPr="00D85A7F" w:rsidRDefault="00A25A1E" w:rsidP="0073546C">
            <w:pPr>
              <w:spacing w:after="0"/>
              <w:ind w:left="57"/>
              <w:mirrorIndents/>
              <w:rPr>
                <w:rFonts w:cs="Segoe UI Light"/>
                <w:iCs/>
                <w:sz w:val="18"/>
              </w:rPr>
            </w:pPr>
            <w:r w:rsidRPr="00D85A7F">
              <w:rPr>
                <w:rFonts w:cs="Segoe UI Light"/>
                <w:sz w:val="18"/>
              </w:rPr>
              <w:t>112</w:t>
            </w:r>
          </w:p>
        </w:tc>
        <w:tc>
          <w:tcPr>
            <w:tcW w:w="393" w:type="pct"/>
          </w:tcPr>
          <w:p w14:paraId="656B0012" w14:textId="77777777" w:rsidR="00A25A1E" w:rsidRPr="00D85A7F" w:rsidRDefault="00A25A1E" w:rsidP="0073546C">
            <w:pPr>
              <w:spacing w:after="0"/>
              <w:ind w:left="57"/>
              <w:mirrorIndents/>
              <w:rPr>
                <w:rFonts w:cs="Segoe UI Light"/>
                <w:sz w:val="18"/>
              </w:rPr>
            </w:pPr>
            <w:r w:rsidRPr="00D85A7F">
              <w:rPr>
                <w:rFonts w:cs="Segoe UI Light"/>
                <w:sz w:val="18"/>
              </w:rPr>
              <w:t>83</w:t>
            </w:r>
          </w:p>
        </w:tc>
      </w:tr>
      <w:tr w:rsidR="00A25A1E" w:rsidRPr="00204BE2" w14:paraId="656B001B" w14:textId="77777777" w:rsidTr="00A25A1E">
        <w:tc>
          <w:tcPr>
            <w:tcW w:w="2330" w:type="pct"/>
          </w:tcPr>
          <w:p w14:paraId="656B0014" w14:textId="77777777" w:rsidR="00A25A1E" w:rsidRPr="00D85A7F" w:rsidRDefault="00A25A1E" w:rsidP="00E856EC">
            <w:pPr>
              <w:spacing w:after="0"/>
              <w:mirrorIndents/>
              <w:rPr>
                <w:rFonts w:cs="Segoe UI Light"/>
                <w:b/>
                <w:iCs/>
                <w:sz w:val="18"/>
              </w:rPr>
            </w:pPr>
            <w:r w:rsidRPr="00D85A7F">
              <w:rPr>
                <w:rFonts w:cs="Segoe UI Light"/>
                <w:iCs/>
                <w:sz w:val="18"/>
              </w:rPr>
              <w:t>Environmental audits completed</w:t>
            </w:r>
          </w:p>
        </w:tc>
        <w:tc>
          <w:tcPr>
            <w:tcW w:w="471" w:type="pct"/>
          </w:tcPr>
          <w:p w14:paraId="656B0015" w14:textId="77777777" w:rsidR="00A25A1E" w:rsidRPr="00D85A7F" w:rsidRDefault="00A25A1E" w:rsidP="0073546C">
            <w:pPr>
              <w:spacing w:after="0"/>
              <w:ind w:left="57"/>
              <w:mirrorIndents/>
              <w:rPr>
                <w:rFonts w:cs="Segoe UI Light"/>
                <w:iCs/>
                <w:sz w:val="18"/>
              </w:rPr>
            </w:pPr>
            <w:r w:rsidRPr="00D85A7F">
              <w:rPr>
                <w:rFonts w:cs="Segoe UI Light"/>
                <w:sz w:val="18"/>
              </w:rPr>
              <w:t>200</w:t>
            </w:r>
          </w:p>
        </w:tc>
        <w:tc>
          <w:tcPr>
            <w:tcW w:w="470" w:type="pct"/>
          </w:tcPr>
          <w:p w14:paraId="656B0016" w14:textId="77777777" w:rsidR="00A25A1E" w:rsidRPr="00D85A7F" w:rsidRDefault="00A25A1E" w:rsidP="0073546C">
            <w:pPr>
              <w:spacing w:after="0"/>
              <w:ind w:left="57"/>
              <w:mirrorIndents/>
              <w:rPr>
                <w:rFonts w:cs="Segoe UI Light"/>
                <w:iCs/>
                <w:sz w:val="18"/>
              </w:rPr>
            </w:pPr>
            <w:r w:rsidRPr="00D85A7F">
              <w:rPr>
                <w:rFonts w:cs="Segoe UI Light"/>
                <w:sz w:val="18"/>
              </w:rPr>
              <w:t>207</w:t>
            </w:r>
          </w:p>
        </w:tc>
        <w:tc>
          <w:tcPr>
            <w:tcW w:w="471" w:type="pct"/>
          </w:tcPr>
          <w:p w14:paraId="656B0017" w14:textId="77777777" w:rsidR="00A25A1E" w:rsidRPr="00D85A7F" w:rsidRDefault="00A25A1E" w:rsidP="0073546C">
            <w:pPr>
              <w:spacing w:after="0"/>
              <w:ind w:left="57"/>
              <w:mirrorIndents/>
              <w:rPr>
                <w:rFonts w:cs="Segoe UI Light"/>
                <w:iCs/>
                <w:sz w:val="18"/>
              </w:rPr>
            </w:pPr>
            <w:r w:rsidRPr="00D85A7F">
              <w:rPr>
                <w:rFonts w:cs="Segoe UI Light"/>
                <w:sz w:val="18"/>
              </w:rPr>
              <w:t>218</w:t>
            </w:r>
          </w:p>
        </w:tc>
        <w:tc>
          <w:tcPr>
            <w:tcW w:w="471" w:type="pct"/>
          </w:tcPr>
          <w:p w14:paraId="656B0018" w14:textId="77777777" w:rsidR="00A25A1E" w:rsidRPr="00D85A7F" w:rsidRDefault="00A25A1E" w:rsidP="0073546C">
            <w:pPr>
              <w:spacing w:after="0"/>
              <w:ind w:left="57"/>
              <w:mirrorIndents/>
              <w:rPr>
                <w:rFonts w:cs="Segoe UI Light"/>
                <w:iCs/>
                <w:sz w:val="18"/>
              </w:rPr>
            </w:pPr>
            <w:r w:rsidRPr="00D85A7F">
              <w:rPr>
                <w:rFonts w:cs="Segoe UI Light"/>
                <w:sz w:val="18"/>
              </w:rPr>
              <w:t>218</w:t>
            </w:r>
          </w:p>
        </w:tc>
        <w:tc>
          <w:tcPr>
            <w:tcW w:w="394" w:type="pct"/>
          </w:tcPr>
          <w:p w14:paraId="656B0019" w14:textId="77777777" w:rsidR="00A25A1E" w:rsidRPr="00D85A7F" w:rsidRDefault="00A25A1E" w:rsidP="0073546C">
            <w:pPr>
              <w:spacing w:after="0"/>
              <w:ind w:left="57"/>
              <w:mirrorIndents/>
              <w:rPr>
                <w:rFonts w:cs="Segoe UI Light"/>
                <w:iCs/>
                <w:sz w:val="18"/>
              </w:rPr>
            </w:pPr>
            <w:r w:rsidRPr="00D85A7F">
              <w:rPr>
                <w:rFonts w:cs="Segoe UI Light"/>
                <w:sz w:val="18"/>
              </w:rPr>
              <w:t>145</w:t>
            </w:r>
          </w:p>
        </w:tc>
        <w:tc>
          <w:tcPr>
            <w:tcW w:w="393" w:type="pct"/>
          </w:tcPr>
          <w:p w14:paraId="656B001A" w14:textId="77777777" w:rsidR="00A25A1E" w:rsidRPr="00D85A7F" w:rsidRDefault="00A25A1E" w:rsidP="0073546C">
            <w:pPr>
              <w:spacing w:after="0"/>
              <w:ind w:left="57"/>
              <w:mirrorIndents/>
              <w:rPr>
                <w:rFonts w:cs="Segoe UI Light"/>
                <w:sz w:val="18"/>
              </w:rPr>
            </w:pPr>
            <w:r w:rsidRPr="00D85A7F">
              <w:rPr>
                <w:rFonts w:cs="Segoe UI Light"/>
                <w:sz w:val="18"/>
              </w:rPr>
              <w:t>114</w:t>
            </w:r>
          </w:p>
        </w:tc>
      </w:tr>
      <w:tr w:rsidR="00A25A1E" w:rsidRPr="00204BE2" w14:paraId="656B0023" w14:textId="77777777" w:rsidTr="00A25A1E">
        <w:tc>
          <w:tcPr>
            <w:tcW w:w="2330" w:type="pct"/>
          </w:tcPr>
          <w:p w14:paraId="656B001C" w14:textId="77777777" w:rsidR="00A25A1E" w:rsidRPr="00D85A7F" w:rsidRDefault="00A25A1E" w:rsidP="00E856EC">
            <w:pPr>
              <w:spacing w:after="0"/>
              <w:mirrorIndents/>
              <w:rPr>
                <w:rFonts w:cs="Segoe UI Light"/>
                <w:b/>
                <w:iCs/>
                <w:sz w:val="18"/>
              </w:rPr>
            </w:pPr>
            <w:r w:rsidRPr="00D85A7F">
              <w:rPr>
                <w:rFonts w:cs="Segoe UI Light"/>
                <w:iCs/>
                <w:sz w:val="18"/>
              </w:rPr>
              <w:t>Works approvals issued</w:t>
            </w:r>
          </w:p>
        </w:tc>
        <w:tc>
          <w:tcPr>
            <w:tcW w:w="471" w:type="pct"/>
          </w:tcPr>
          <w:p w14:paraId="656B001D" w14:textId="77777777" w:rsidR="00A25A1E" w:rsidRPr="00D85A7F" w:rsidRDefault="00A25A1E" w:rsidP="0073546C">
            <w:pPr>
              <w:spacing w:after="0"/>
              <w:ind w:left="57"/>
              <w:mirrorIndents/>
              <w:rPr>
                <w:rFonts w:cs="Segoe UI Light"/>
                <w:iCs/>
                <w:sz w:val="18"/>
              </w:rPr>
            </w:pPr>
            <w:r w:rsidRPr="00D85A7F">
              <w:rPr>
                <w:rFonts w:cs="Segoe UI Light"/>
                <w:sz w:val="18"/>
              </w:rPr>
              <w:t>44</w:t>
            </w:r>
          </w:p>
        </w:tc>
        <w:tc>
          <w:tcPr>
            <w:tcW w:w="470" w:type="pct"/>
          </w:tcPr>
          <w:p w14:paraId="656B001E" w14:textId="77777777" w:rsidR="00A25A1E" w:rsidRPr="00D85A7F" w:rsidRDefault="00A25A1E" w:rsidP="0073546C">
            <w:pPr>
              <w:spacing w:after="0"/>
              <w:ind w:left="57"/>
              <w:mirrorIndents/>
              <w:rPr>
                <w:rFonts w:cs="Segoe UI Light"/>
                <w:iCs/>
                <w:sz w:val="18"/>
              </w:rPr>
            </w:pPr>
            <w:r w:rsidRPr="00D85A7F">
              <w:rPr>
                <w:rFonts w:cs="Segoe UI Light"/>
                <w:sz w:val="18"/>
              </w:rPr>
              <w:t>32</w:t>
            </w:r>
          </w:p>
        </w:tc>
        <w:tc>
          <w:tcPr>
            <w:tcW w:w="471" w:type="pct"/>
          </w:tcPr>
          <w:p w14:paraId="656B001F" w14:textId="77777777" w:rsidR="00A25A1E" w:rsidRPr="00D85A7F" w:rsidRDefault="00A25A1E" w:rsidP="0073546C">
            <w:pPr>
              <w:spacing w:after="0"/>
              <w:ind w:left="57"/>
              <w:mirrorIndents/>
              <w:rPr>
                <w:rFonts w:cs="Segoe UI Light"/>
                <w:iCs/>
                <w:sz w:val="18"/>
              </w:rPr>
            </w:pPr>
            <w:r w:rsidRPr="00D85A7F">
              <w:rPr>
                <w:rFonts w:cs="Segoe UI Light"/>
                <w:sz w:val="18"/>
              </w:rPr>
              <w:t>28</w:t>
            </w:r>
          </w:p>
        </w:tc>
        <w:tc>
          <w:tcPr>
            <w:tcW w:w="471" w:type="pct"/>
          </w:tcPr>
          <w:p w14:paraId="656B0020" w14:textId="77777777" w:rsidR="00A25A1E" w:rsidRPr="00D85A7F" w:rsidRDefault="00A25A1E" w:rsidP="0073546C">
            <w:pPr>
              <w:spacing w:after="0"/>
              <w:ind w:left="57"/>
              <w:mirrorIndents/>
              <w:rPr>
                <w:rFonts w:cs="Segoe UI Light"/>
                <w:iCs/>
                <w:sz w:val="18"/>
              </w:rPr>
            </w:pPr>
            <w:r w:rsidRPr="00D85A7F">
              <w:rPr>
                <w:rFonts w:cs="Segoe UI Light"/>
                <w:sz w:val="18"/>
              </w:rPr>
              <w:t>27</w:t>
            </w:r>
          </w:p>
        </w:tc>
        <w:tc>
          <w:tcPr>
            <w:tcW w:w="394" w:type="pct"/>
          </w:tcPr>
          <w:p w14:paraId="656B0021" w14:textId="77777777" w:rsidR="00A25A1E" w:rsidRPr="00D85A7F" w:rsidRDefault="00A25A1E" w:rsidP="0073546C">
            <w:pPr>
              <w:spacing w:after="0"/>
              <w:ind w:left="57"/>
              <w:mirrorIndents/>
              <w:rPr>
                <w:rFonts w:cs="Segoe UI Light"/>
                <w:iCs/>
                <w:sz w:val="18"/>
              </w:rPr>
            </w:pPr>
            <w:r w:rsidRPr="00D85A7F">
              <w:rPr>
                <w:rFonts w:cs="Segoe UI Light"/>
                <w:sz w:val="18"/>
              </w:rPr>
              <w:t>17</w:t>
            </w:r>
          </w:p>
        </w:tc>
        <w:tc>
          <w:tcPr>
            <w:tcW w:w="393" w:type="pct"/>
          </w:tcPr>
          <w:p w14:paraId="656B0022" w14:textId="77777777" w:rsidR="00A25A1E" w:rsidRPr="00D85A7F" w:rsidRDefault="00A25A1E" w:rsidP="0073546C">
            <w:pPr>
              <w:spacing w:after="0"/>
              <w:ind w:left="57"/>
              <w:mirrorIndents/>
              <w:rPr>
                <w:rFonts w:cs="Segoe UI Light"/>
                <w:sz w:val="18"/>
              </w:rPr>
            </w:pPr>
            <w:r w:rsidRPr="00D85A7F">
              <w:rPr>
                <w:rFonts w:cs="Segoe UI Light"/>
                <w:sz w:val="18"/>
              </w:rPr>
              <w:t>18</w:t>
            </w:r>
          </w:p>
        </w:tc>
      </w:tr>
      <w:tr w:rsidR="00A25A1E" w:rsidRPr="00204BE2" w14:paraId="656B002B" w14:textId="77777777" w:rsidTr="00A25A1E">
        <w:tc>
          <w:tcPr>
            <w:tcW w:w="2330" w:type="pct"/>
          </w:tcPr>
          <w:p w14:paraId="656B0024" w14:textId="77777777" w:rsidR="00A25A1E" w:rsidRPr="00D85A7F" w:rsidRDefault="00A25A1E" w:rsidP="00E856EC">
            <w:pPr>
              <w:spacing w:after="0"/>
              <w:mirrorIndents/>
              <w:rPr>
                <w:rFonts w:cs="Segoe UI Light"/>
                <w:b/>
                <w:iCs/>
                <w:sz w:val="18"/>
              </w:rPr>
            </w:pPr>
            <w:r w:rsidRPr="00D85A7F">
              <w:rPr>
                <w:rFonts w:cs="Segoe UI Light"/>
                <w:iCs/>
                <w:sz w:val="18"/>
              </w:rPr>
              <w:t>Applications exempt from the need for approval</w:t>
            </w:r>
          </w:p>
        </w:tc>
        <w:tc>
          <w:tcPr>
            <w:tcW w:w="471" w:type="pct"/>
          </w:tcPr>
          <w:p w14:paraId="656B0025" w14:textId="77777777" w:rsidR="00A25A1E" w:rsidRPr="00D85A7F" w:rsidRDefault="00A25A1E" w:rsidP="0073546C">
            <w:pPr>
              <w:spacing w:after="0"/>
              <w:ind w:left="57"/>
              <w:mirrorIndents/>
              <w:rPr>
                <w:rFonts w:cs="Segoe UI Light"/>
                <w:iCs/>
                <w:sz w:val="18"/>
              </w:rPr>
            </w:pPr>
            <w:r w:rsidRPr="00D85A7F">
              <w:rPr>
                <w:rFonts w:cs="Segoe UI Light"/>
                <w:sz w:val="18"/>
              </w:rPr>
              <w:t>-</w:t>
            </w:r>
          </w:p>
        </w:tc>
        <w:tc>
          <w:tcPr>
            <w:tcW w:w="470" w:type="pct"/>
          </w:tcPr>
          <w:p w14:paraId="656B0026" w14:textId="77777777" w:rsidR="00A25A1E" w:rsidRPr="00D85A7F" w:rsidRDefault="00A25A1E" w:rsidP="0073546C">
            <w:pPr>
              <w:spacing w:after="0"/>
              <w:ind w:left="57"/>
              <w:mirrorIndents/>
              <w:rPr>
                <w:rFonts w:cs="Segoe UI Light"/>
                <w:iCs/>
                <w:sz w:val="18"/>
              </w:rPr>
            </w:pPr>
            <w:r w:rsidRPr="00D85A7F">
              <w:rPr>
                <w:rFonts w:cs="Segoe UI Light"/>
                <w:sz w:val="18"/>
              </w:rPr>
              <w:t>19</w:t>
            </w:r>
          </w:p>
        </w:tc>
        <w:tc>
          <w:tcPr>
            <w:tcW w:w="471" w:type="pct"/>
          </w:tcPr>
          <w:p w14:paraId="656B0027" w14:textId="77777777" w:rsidR="00A25A1E" w:rsidRPr="00D85A7F" w:rsidRDefault="00A25A1E" w:rsidP="0073546C">
            <w:pPr>
              <w:spacing w:after="0"/>
              <w:ind w:left="57"/>
              <w:mirrorIndents/>
              <w:rPr>
                <w:rFonts w:cs="Segoe UI Light"/>
                <w:iCs/>
                <w:sz w:val="18"/>
              </w:rPr>
            </w:pPr>
            <w:r w:rsidRPr="00D85A7F">
              <w:rPr>
                <w:rFonts w:cs="Segoe UI Light"/>
                <w:sz w:val="18"/>
              </w:rPr>
              <w:t>36</w:t>
            </w:r>
          </w:p>
        </w:tc>
        <w:tc>
          <w:tcPr>
            <w:tcW w:w="471" w:type="pct"/>
          </w:tcPr>
          <w:p w14:paraId="656B0028" w14:textId="77777777" w:rsidR="00A25A1E" w:rsidRPr="00D85A7F" w:rsidRDefault="00A25A1E" w:rsidP="0073546C">
            <w:pPr>
              <w:spacing w:after="0"/>
              <w:ind w:left="57"/>
              <w:mirrorIndents/>
              <w:rPr>
                <w:rFonts w:cs="Segoe UI Light"/>
                <w:iCs/>
                <w:sz w:val="18"/>
              </w:rPr>
            </w:pPr>
            <w:r w:rsidRPr="00D85A7F">
              <w:rPr>
                <w:rFonts w:cs="Segoe UI Light"/>
                <w:sz w:val="18"/>
              </w:rPr>
              <w:t>38</w:t>
            </w:r>
          </w:p>
        </w:tc>
        <w:tc>
          <w:tcPr>
            <w:tcW w:w="394" w:type="pct"/>
          </w:tcPr>
          <w:p w14:paraId="656B0029" w14:textId="77777777" w:rsidR="00A25A1E" w:rsidRPr="00D85A7F" w:rsidRDefault="00A25A1E" w:rsidP="0073546C">
            <w:pPr>
              <w:spacing w:after="0"/>
              <w:ind w:left="57"/>
              <w:mirrorIndents/>
              <w:rPr>
                <w:rFonts w:cs="Segoe UI Light"/>
                <w:iCs/>
                <w:sz w:val="18"/>
              </w:rPr>
            </w:pPr>
            <w:r w:rsidRPr="00D85A7F">
              <w:rPr>
                <w:rFonts w:cs="Segoe UI Light"/>
                <w:sz w:val="18"/>
              </w:rPr>
              <w:t>34</w:t>
            </w:r>
          </w:p>
        </w:tc>
        <w:tc>
          <w:tcPr>
            <w:tcW w:w="393" w:type="pct"/>
          </w:tcPr>
          <w:p w14:paraId="656B002A" w14:textId="77777777" w:rsidR="00A25A1E" w:rsidRPr="00D85A7F" w:rsidRDefault="00A25A1E" w:rsidP="0073546C">
            <w:pPr>
              <w:spacing w:after="0"/>
              <w:ind w:left="57"/>
              <w:mirrorIndents/>
              <w:rPr>
                <w:rFonts w:cs="Segoe UI Light"/>
                <w:sz w:val="18"/>
              </w:rPr>
            </w:pPr>
            <w:r w:rsidRPr="00D85A7F">
              <w:rPr>
                <w:rFonts w:cs="Segoe UI Light"/>
                <w:sz w:val="18"/>
              </w:rPr>
              <w:t>33</w:t>
            </w:r>
          </w:p>
        </w:tc>
      </w:tr>
      <w:tr w:rsidR="00A25A1E" w:rsidRPr="00204BE2" w14:paraId="656B0033" w14:textId="77777777" w:rsidTr="00A25A1E">
        <w:tc>
          <w:tcPr>
            <w:tcW w:w="2330" w:type="pct"/>
          </w:tcPr>
          <w:p w14:paraId="656B002C" w14:textId="77777777" w:rsidR="00A25A1E" w:rsidRPr="00D85A7F" w:rsidRDefault="00A25A1E" w:rsidP="00E856EC">
            <w:pPr>
              <w:spacing w:after="0"/>
              <w:mirrorIndents/>
              <w:rPr>
                <w:rFonts w:cs="Segoe UI Light"/>
                <w:b/>
                <w:iCs/>
                <w:sz w:val="18"/>
              </w:rPr>
            </w:pPr>
            <w:r w:rsidRPr="00D85A7F">
              <w:rPr>
                <w:rFonts w:cs="Segoe UI Light"/>
                <w:iCs/>
                <w:sz w:val="18"/>
              </w:rPr>
              <w:t>Licenses amended/ transferred</w:t>
            </w:r>
          </w:p>
        </w:tc>
        <w:tc>
          <w:tcPr>
            <w:tcW w:w="471" w:type="pct"/>
          </w:tcPr>
          <w:p w14:paraId="656B002D" w14:textId="77777777" w:rsidR="00A25A1E" w:rsidRPr="00D85A7F" w:rsidRDefault="00A25A1E" w:rsidP="0073546C">
            <w:pPr>
              <w:spacing w:after="0"/>
              <w:ind w:left="57"/>
              <w:mirrorIndents/>
              <w:rPr>
                <w:rFonts w:cs="Segoe UI Light"/>
                <w:iCs/>
                <w:sz w:val="18"/>
              </w:rPr>
            </w:pPr>
            <w:r w:rsidRPr="00D85A7F">
              <w:rPr>
                <w:rFonts w:cs="Segoe UI Light"/>
                <w:sz w:val="18"/>
              </w:rPr>
              <w:t>62</w:t>
            </w:r>
          </w:p>
        </w:tc>
        <w:tc>
          <w:tcPr>
            <w:tcW w:w="470" w:type="pct"/>
          </w:tcPr>
          <w:p w14:paraId="656B002E" w14:textId="77777777" w:rsidR="00A25A1E" w:rsidRPr="00D85A7F" w:rsidRDefault="00A25A1E" w:rsidP="0073546C">
            <w:pPr>
              <w:spacing w:after="0"/>
              <w:ind w:left="57"/>
              <w:mirrorIndents/>
              <w:rPr>
                <w:rFonts w:cs="Segoe UI Light"/>
                <w:iCs/>
                <w:sz w:val="18"/>
              </w:rPr>
            </w:pPr>
            <w:r w:rsidRPr="00D85A7F">
              <w:rPr>
                <w:rFonts w:cs="Segoe UI Light"/>
                <w:sz w:val="18"/>
              </w:rPr>
              <w:t>61</w:t>
            </w:r>
          </w:p>
        </w:tc>
        <w:tc>
          <w:tcPr>
            <w:tcW w:w="471" w:type="pct"/>
          </w:tcPr>
          <w:p w14:paraId="656B002F" w14:textId="77777777" w:rsidR="00A25A1E" w:rsidRPr="00D85A7F" w:rsidRDefault="00A25A1E" w:rsidP="0073546C">
            <w:pPr>
              <w:spacing w:after="0"/>
              <w:ind w:left="57"/>
              <w:mirrorIndents/>
              <w:rPr>
                <w:rFonts w:cs="Segoe UI Light"/>
                <w:iCs/>
                <w:sz w:val="18"/>
              </w:rPr>
            </w:pPr>
            <w:r w:rsidRPr="00D85A7F">
              <w:rPr>
                <w:rFonts w:cs="Segoe UI Light"/>
                <w:sz w:val="18"/>
              </w:rPr>
              <w:t>74</w:t>
            </w:r>
          </w:p>
        </w:tc>
        <w:tc>
          <w:tcPr>
            <w:tcW w:w="471" w:type="pct"/>
          </w:tcPr>
          <w:p w14:paraId="656B0030" w14:textId="77777777" w:rsidR="00A25A1E" w:rsidRPr="00D85A7F" w:rsidRDefault="00A25A1E" w:rsidP="0073546C">
            <w:pPr>
              <w:spacing w:after="0"/>
              <w:ind w:left="57"/>
              <w:mirrorIndents/>
              <w:rPr>
                <w:rFonts w:cs="Segoe UI Light"/>
                <w:iCs/>
                <w:sz w:val="18"/>
              </w:rPr>
            </w:pPr>
            <w:r w:rsidRPr="00D85A7F">
              <w:rPr>
                <w:rFonts w:cs="Segoe UI Light"/>
                <w:sz w:val="18"/>
              </w:rPr>
              <w:t>75</w:t>
            </w:r>
          </w:p>
        </w:tc>
        <w:tc>
          <w:tcPr>
            <w:tcW w:w="394" w:type="pct"/>
          </w:tcPr>
          <w:p w14:paraId="656B0031" w14:textId="77777777" w:rsidR="00A25A1E" w:rsidRPr="00D85A7F" w:rsidRDefault="00A25A1E" w:rsidP="0073546C">
            <w:pPr>
              <w:spacing w:after="0"/>
              <w:ind w:left="57"/>
              <w:mirrorIndents/>
              <w:rPr>
                <w:rFonts w:cs="Segoe UI Light"/>
                <w:iCs/>
                <w:sz w:val="18"/>
              </w:rPr>
            </w:pPr>
            <w:r w:rsidRPr="00D85A7F">
              <w:rPr>
                <w:rFonts w:cs="Segoe UI Light"/>
                <w:sz w:val="18"/>
              </w:rPr>
              <w:t>67</w:t>
            </w:r>
          </w:p>
        </w:tc>
        <w:tc>
          <w:tcPr>
            <w:tcW w:w="393" w:type="pct"/>
          </w:tcPr>
          <w:p w14:paraId="656B0032" w14:textId="77777777" w:rsidR="00A25A1E" w:rsidRPr="00D85A7F" w:rsidRDefault="00A25A1E" w:rsidP="0073546C">
            <w:pPr>
              <w:spacing w:after="0"/>
              <w:ind w:left="57"/>
              <w:mirrorIndents/>
              <w:rPr>
                <w:rFonts w:cs="Segoe UI Light"/>
                <w:sz w:val="18"/>
              </w:rPr>
            </w:pPr>
            <w:r w:rsidRPr="00D85A7F">
              <w:rPr>
                <w:rFonts w:cs="Segoe UI Light"/>
                <w:sz w:val="18"/>
              </w:rPr>
              <w:t>82</w:t>
            </w:r>
          </w:p>
        </w:tc>
      </w:tr>
      <w:tr w:rsidR="00A25A1E" w:rsidRPr="00204BE2" w14:paraId="656B003B" w14:textId="77777777" w:rsidTr="00A25A1E">
        <w:tc>
          <w:tcPr>
            <w:tcW w:w="2330" w:type="pct"/>
          </w:tcPr>
          <w:p w14:paraId="656B0034" w14:textId="77777777" w:rsidR="00A25A1E" w:rsidRPr="00D85A7F" w:rsidRDefault="00A25A1E" w:rsidP="00E856EC">
            <w:pPr>
              <w:spacing w:after="0"/>
              <w:mirrorIndents/>
              <w:rPr>
                <w:rFonts w:cs="Segoe UI Light"/>
                <w:b/>
                <w:iCs/>
                <w:sz w:val="18"/>
              </w:rPr>
            </w:pPr>
            <w:r w:rsidRPr="00D85A7F">
              <w:rPr>
                <w:rFonts w:cs="Segoe UI Light"/>
                <w:iCs/>
                <w:sz w:val="18"/>
              </w:rPr>
              <w:t>Planning referrals advised on</w:t>
            </w:r>
          </w:p>
        </w:tc>
        <w:tc>
          <w:tcPr>
            <w:tcW w:w="471" w:type="pct"/>
          </w:tcPr>
          <w:p w14:paraId="656B0035" w14:textId="77777777" w:rsidR="00A25A1E" w:rsidRPr="00D85A7F" w:rsidRDefault="00A25A1E" w:rsidP="0073546C">
            <w:pPr>
              <w:spacing w:after="0"/>
              <w:ind w:left="57"/>
              <w:mirrorIndents/>
              <w:rPr>
                <w:rFonts w:cs="Segoe UI Light"/>
                <w:iCs/>
                <w:sz w:val="18"/>
              </w:rPr>
            </w:pPr>
            <w:r w:rsidRPr="00D85A7F">
              <w:rPr>
                <w:rFonts w:cs="Segoe UI Light"/>
                <w:sz w:val="18"/>
              </w:rPr>
              <w:t>532</w:t>
            </w:r>
          </w:p>
        </w:tc>
        <w:tc>
          <w:tcPr>
            <w:tcW w:w="470" w:type="pct"/>
          </w:tcPr>
          <w:p w14:paraId="656B0036" w14:textId="77777777" w:rsidR="00A25A1E" w:rsidRPr="00D85A7F" w:rsidRDefault="00A25A1E" w:rsidP="0073546C">
            <w:pPr>
              <w:spacing w:after="0"/>
              <w:ind w:left="57"/>
              <w:mirrorIndents/>
              <w:rPr>
                <w:rFonts w:cs="Segoe UI Light"/>
                <w:iCs/>
                <w:sz w:val="18"/>
              </w:rPr>
            </w:pPr>
            <w:r w:rsidRPr="00D85A7F">
              <w:rPr>
                <w:rFonts w:cs="Segoe UI Light"/>
                <w:sz w:val="18"/>
              </w:rPr>
              <w:t>795</w:t>
            </w:r>
          </w:p>
        </w:tc>
        <w:tc>
          <w:tcPr>
            <w:tcW w:w="471" w:type="pct"/>
          </w:tcPr>
          <w:p w14:paraId="656B0037" w14:textId="77777777" w:rsidR="00A25A1E" w:rsidRPr="00D85A7F" w:rsidRDefault="00A25A1E" w:rsidP="0073546C">
            <w:pPr>
              <w:spacing w:after="0"/>
              <w:ind w:left="57"/>
              <w:mirrorIndents/>
              <w:rPr>
                <w:rFonts w:cs="Segoe UI Light"/>
                <w:iCs/>
                <w:sz w:val="18"/>
              </w:rPr>
            </w:pPr>
            <w:r w:rsidRPr="00D85A7F">
              <w:rPr>
                <w:rFonts w:cs="Segoe UI Light"/>
                <w:sz w:val="18"/>
              </w:rPr>
              <w:t>787</w:t>
            </w:r>
          </w:p>
        </w:tc>
        <w:tc>
          <w:tcPr>
            <w:tcW w:w="471" w:type="pct"/>
          </w:tcPr>
          <w:p w14:paraId="656B0038" w14:textId="77777777" w:rsidR="00A25A1E" w:rsidRPr="00D85A7F" w:rsidRDefault="00A25A1E" w:rsidP="0073546C">
            <w:pPr>
              <w:spacing w:after="0"/>
              <w:ind w:left="57"/>
              <w:mirrorIndents/>
              <w:rPr>
                <w:rFonts w:cs="Segoe UI Light"/>
                <w:iCs/>
                <w:sz w:val="18"/>
              </w:rPr>
            </w:pPr>
            <w:r w:rsidRPr="00D85A7F">
              <w:rPr>
                <w:rFonts w:cs="Segoe UI Light"/>
                <w:sz w:val="18"/>
              </w:rPr>
              <w:t>711</w:t>
            </w:r>
          </w:p>
        </w:tc>
        <w:tc>
          <w:tcPr>
            <w:tcW w:w="394" w:type="pct"/>
          </w:tcPr>
          <w:p w14:paraId="656B0039" w14:textId="77777777" w:rsidR="00A25A1E" w:rsidRPr="00D85A7F" w:rsidRDefault="00A25A1E" w:rsidP="0073546C">
            <w:pPr>
              <w:spacing w:after="0"/>
              <w:ind w:left="57"/>
              <w:mirrorIndents/>
              <w:rPr>
                <w:rFonts w:cs="Segoe UI Light"/>
                <w:iCs/>
                <w:sz w:val="18"/>
              </w:rPr>
            </w:pPr>
            <w:r w:rsidRPr="00D85A7F">
              <w:rPr>
                <w:rFonts w:cs="Segoe UI Light"/>
                <w:sz w:val="18"/>
              </w:rPr>
              <w:t>743</w:t>
            </w:r>
          </w:p>
        </w:tc>
        <w:tc>
          <w:tcPr>
            <w:tcW w:w="393" w:type="pct"/>
          </w:tcPr>
          <w:p w14:paraId="656B003A" w14:textId="77777777" w:rsidR="00A25A1E" w:rsidRPr="00D85A7F" w:rsidRDefault="00A25A1E" w:rsidP="0073546C">
            <w:pPr>
              <w:spacing w:after="0"/>
              <w:ind w:left="57"/>
              <w:mirrorIndents/>
              <w:rPr>
                <w:rFonts w:cs="Segoe UI Light"/>
                <w:sz w:val="18"/>
              </w:rPr>
            </w:pPr>
            <w:r w:rsidRPr="00D85A7F">
              <w:rPr>
                <w:rFonts w:cs="Segoe UI Light"/>
                <w:sz w:val="18"/>
              </w:rPr>
              <w:t>807</w:t>
            </w:r>
          </w:p>
        </w:tc>
      </w:tr>
      <w:tr w:rsidR="00A25A1E" w:rsidRPr="00204BE2" w14:paraId="656B0043" w14:textId="77777777" w:rsidTr="00A25A1E">
        <w:tc>
          <w:tcPr>
            <w:tcW w:w="2330" w:type="pct"/>
          </w:tcPr>
          <w:p w14:paraId="656B003C" w14:textId="77777777" w:rsidR="00A25A1E" w:rsidRPr="00D85A7F" w:rsidRDefault="00A25A1E" w:rsidP="00E856EC">
            <w:pPr>
              <w:spacing w:after="0"/>
              <w:mirrorIndents/>
              <w:rPr>
                <w:rFonts w:cs="Segoe UI Light"/>
                <w:b/>
                <w:iCs/>
                <w:sz w:val="18"/>
              </w:rPr>
            </w:pPr>
            <w:r w:rsidRPr="00D85A7F">
              <w:rPr>
                <w:rFonts w:cs="Segoe UI Light"/>
                <w:b/>
                <w:iCs/>
                <w:sz w:val="18"/>
              </w:rPr>
              <w:t>Vehicle programs</w:t>
            </w:r>
          </w:p>
        </w:tc>
        <w:tc>
          <w:tcPr>
            <w:tcW w:w="471" w:type="pct"/>
          </w:tcPr>
          <w:p w14:paraId="656B003D" w14:textId="77777777" w:rsidR="00A25A1E" w:rsidRPr="00D85A7F" w:rsidRDefault="00A25A1E" w:rsidP="0073546C">
            <w:pPr>
              <w:spacing w:after="0"/>
              <w:ind w:left="57"/>
              <w:mirrorIndents/>
              <w:rPr>
                <w:rFonts w:cs="Segoe UI Light"/>
                <w:iCs/>
                <w:sz w:val="18"/>
              </w:rPr>
            </w:pPr>
          </w:p>
        </w:tc>
        <w:tc>
          <w:tcPr>
            <w:tcW w:w="470" w:type="pct"/>
          </w:tcPr>
          <w:p w14:paraId="656B003E" w14:textId="77777777" w:rsidR="00A25A1E" w:rsidRPr="00D85A7F" w:rsidRDefault="00A25A1E" w:rsidP="0073546C">
            <w:pPr>
              <w:spacing w:after="0"/>
              <w:ind w:left="57"/>
              <w:mirrorIndents/>
              <w:rPr>
                <w:rFonts w:cs="Segoe UI Light"/>
                <w:iCs/>
                <w:sz w:val="18"/>
              </w:rPr>
            </w:pPr>
          </w:p>
        </w:tc>
        <w:tc>
          <w:tcPr>
            <w:tcW w:w="471" w:type="pct"/>
          </w:tcPr>
          <w:p w14:paraId="656B003F" w14:textId="77777777" w:rsidR="00A25A1E" w:rsidRPr="00D85A7F" w:rsidRDefault="00A25A1E" w:rsidP="0073546C">
            <w:pPr>
              <w:spacing w:after="0"/>
              <w:ind w:left="57"/>
              <w:mirrorIndents/>
              <w:rPr>
                <w:rFonts w:cs="Segoe UI Light"/>
                <w:iCs/>
                <w:sz w:val="18"/>
              </w:rPr>
            </w:pPr>
          </w:p>
        </w:tc>
        <w:tc>
          <w:tcPr>
            <w:tcW w:w="471" w:type="pct"/>
          </w:tcPr>
          <w:p w14:paraId="656B0040" w14:textId="77777777" w:rsidR="00A25A1E" w:rsidRPr="00D85A7F" w:rsidRDefault="00A25A1E" w:rsidP="0073546C">
            <w:pPr>
              <w:spacing w:after="0"/>
              <w:ind w:left="57"/>
              <w:mirrorIndents/>
              <w:rPr>
                <w:rFonts w:cs="Segoe UI Light"/>
                <w:iCs/>
                <w:sz w:val="18"/>
              </w:rPr>
            </w:pPr>
          </w:p>
        </w:tc>
        <w:tc>
          <w:tcPr>
            <w:tcW w:w="394" w:type="pct"/>
          </w:tcPr>
          <w:p w14:paraId="656B0041" w14:textId="77777777" w:rsidR="00A25A1E" w:rsidRPr="00D85A7F" w:rsidRDefault="00A25A1E" w:rsidP="0073546C">
            <w:pPr>
              <w:spacing w:after="0"/>
              <w:ind w:left="57"/>
              <w:mirrorIndents/>
              <w:rPr>
                <w:rFonts w:cs="Segoe UI Light"/>
                <w:iCs/>
                <w:sz w:val="18"/>
              </w:rPr>
            </w:pPr>
          </w:p>
        </w:tc>
        <w:tc>
          <w:tcPr>
            <w:tcW w:w="393" w:type="pct"/>
          </w:tcPr>
          <w:p w14:paraId="656B0042" w14:textId="77777777" w:rsidR="00A25A1E" w:rsidRPr="00D85A7F" w:rsidRDefault="00A25A1E" w:rsidP="0073546C">
            <w:pPr>
              <w:spacing w:after="0"/>
              <w:ind w:left="57"/>
              <w:mirrorIndents/>
              <w:rPr>
                <w:rFonts w:cs="Segoe UI Light"/>
                <w:iCs/>
                <w:sz w:val="18"/>
              </w:rPr>
            </w:pPr>
          </w:p>
        </w:tc>
      </w:tr>
      <w:tr w:rsidR="00A25A1E" w:rsidRPr="00204BE2" w14:paraId="656B004B" w14:textId="77777777" w:rsidTr="00A25A1E">
        <w:tc>
          <w:tcPr>
            <w:tcW w:w="2330" w:type="pct"/>
          </w:tcPr>
          <w:p w14:paraId="656B0044" w14:textId="77777777" w:rsidR="00A25A1E" w:rsidRPr="00D85A7F" w:rsidRDefault="00A25A1E" w:rsidP="00E856EC">
            <w:pPr>
              <w:spacing w:after="0"/>
              <w:mirrorIndents/>
              <w:rPr>
                <w:rFonts w:cs="Segoe UI Light"/>
                <w:b/>
                <w:iCs/>
                <w:sz w:val="18"/>
              </w:rPr>
            </w:pPr>
            <w:r w:rsidRPr="00D85A7F">
              <w:rPr>
                <w:rFonts w:cs="Segoe UI Light"/>
                <w:iCs/>
                <w:sz w:val="18"/>
              </w:rPr>
              <w:t>Noisy vehicle notice</w:t>
            </w:r>
          </w:p>
        </w:tc>
        <w:tc>
          <w:tcPr>
            <w:tcW w:w="471" w:type="pct"/>
          </w:tcPr>
          <w:p w14:paraId="656B0045" w14:textId="77777777" w:rsidR="00A25A1E" w:rsidRPr="00D85A7F" w:rsidRDefault="00A25A1E" w:rsidP="0073546C">
            <w:pPr>
              <w:spacing w:after="0"/>
              <w:ind w:left="57"/>
              <w:mirrorIndents/>
              <w:rPr>
                <w:rFonts w:cs="Segoe UI Light"/>
                <w:iCs/>
                <w:sz w:val="18"/>
              </w:rPr>
            </w:pPr>
            <w:r w:rsidRPr="00D85A7F">
              <w:rPr>
                <w:rFonts w:cs="Segoe UI Light"/>
                <w:sz w:val="18"/>
              </w:rPr>
              <w:t>4,705</w:t>
            </w:r>
          </w:p>
        </w:tc>
        <w:tc>
          <w:tcPr>
            <w:tcW w:w="470" w:type="pct"/>
          </w:tcPr>
          <w:p w14:paraId="656B0046" w14:textId="77777777" w:rsidR="00A25A1E" w:rsidRPr="00D85A7F" w:rsidRDefault="00A25A1E" w:rsidP="0073546C">
            <w:pPr>
              <w:spacing w:after="0"/>
              <w:ind w:left="57"/>
              <w:mirrorIndents/>
              <w:rPr>
                <w:rFonts w:cs="Segoe UI Light"/>
                <w:iCs/>
                <w:sz w:val="18"/>
              </w:rPr>
            </w:pPr>
            <w:r w:rsidRPr="00D85A7F">
              <w:rPr>
                <w:rFonts w:cs="Segoe UI Light"/>
                <w:sz w:val="18"/>
              </w:rPr>
              <w:t>2,141</w:t>
            </w:r>
          </w:p>
        </w:tc>
        <w:tc>
          <w:tcPr>
            <w:tcW w:w="471" w:type="pct"/>
          </w:tcPr>
          <w:p w14:paraId="656B0047" w14:textId="77777777" w:rsidR="00A25A1E" w:rsidRPr="00D85A7F" w:rsidRDefault="00A25A1E" w:rsidP="0073546C">
            <w:pPr>
              <w:spacing w:after="0"/>
              <w:ind w:left="57"/>
              <w:mirrorIndents/>
              <w:rPr>
                <w:rFonts w:cs="Segoe UI Light"/>
                <w:iCs/>
                <w:sz w:val="18"/>
              </w:rPr>
            </w:pPr>
            <w:r w:rsidRPr="00D85A7F">
              <w:rPr>
                <w:rFonts w:cs="Segoe UI Light"/>
                <w:sz w:val="18"/>
              </w:rPr>
              <w:t>1,731</w:t>
            </w:r>
          </w:p>
        </w:tc>
        <w:tc>
          <w:tcPr>
            <w:tcW w:w="471" w:type="pct"/>
          </w:tcPr>
          <w:p w14:paraId="656B0048" w14:textId="77777777" w:rsidR="00A25A1E" w:rsidRPr="00D85A7F" w:rsidRDefault="00A25A1E" w:rsidP="0073546C">
            <w:pPr>
              <w:spacing w:after="0"/>
              <w:ind w:left="57"/>
              <w:mirrorIndents/>
              <w:rPr>
                <w:rFonts w:cs="Segoe UI Light"/>
                <w:iCs/>
                <w:sz w:val="18"/>
              </w:rPr>
            </w:pPr>
            <w:r w:rsidRPr="00D85A7F">
              <w:rPr>
                <w:rFonts w:cs="Segoe UI Light"/>
                <w:sz w:val="18"/>
              </w:rPr>
              <w:t>995</w:t>
            </w:r>
          </w:p>
        </w:tc>
        <w:tc>
          <w:tcPr>
            <w:tcW w:w="394" w:type="pct"/>
          </w:tcPr>
          <w:p w14:paraId="656B0049" w14:textId="77777777" w:rsidR="00A25A1E" w:rsidRPr="00D85A7F" w:rsidRDefault="00A25A1E" w:rsidP="0073546C">
            <w:pPr>
              <w:spacing w:after="0"/>
              <w:ind w:left="57"/>
              <w:mirrorIndents/>
              <w:rPr>
                <w:rFonts w:cs="Segoe UI Light"/>
                <w:iCs/>
                <w:sz w:val="18"/>
              </w:rPr>
            </w:pPr>
            <w:r w:rsidRPr="00D85A7F">
              <w:rPr>
                <w:rFonts w:cs="Segoe UI Light"/>
                <w:sz w:val="18"/>
              </w:rPr>
              <w:t>966</w:t>
            </w:r>
          </w:p>
        </w:tc>
        <w:tc>
          <w:tcPr>
            <w:tcW w:w="393" w:type="pct"/>
          </w:tcPr>
          <w:p w14:paraId="656B004A" w14:textId="77777777" w:rsidR="00A25A1E" w:rsidRPr="00D85A7F" w:rsidRDefault="00A25A1E" w:rsidP="0073546C">
            <w:pPr>
              <w:spacing w:after="0"/>
              <w:ind w:left="57"/>
              <w:mirrorIndents/>
              <w:rPr>
                <w:rFonts w:cs="Segoe UI Light"/>
                <w:sz w:val="18"/>
              </w:rPr>
            </w:pPr>
            <w:r w:rsidRPr="00D85A7F">
              <w:rPr>
                <w:rFonts w:cs="Segoe UI Light"/>
                <w:sz w:val="18"/>
              </w:rPr>
              <w:t>1,676</w:t>
            </w:r>
          </w:p>
        </w:tc>
      </w:tr>
      <w:tr w:rsidR="00A25A1E" w:rsidRPr="00204BE2" w14:paraId="656B0053" w14:textId="77777777" w:rsidTr="00A25A1E">
        <w:tc>
          <w:tcPr>
            <w:tcW w:w="2330" w:type="pct"/>
          </w:tcPr>
          <w:p w14:paraId="656B004C" w14:textId="77777777" w:rsidR="00A25A1E" w:rsidRPr="00D85A7F" w:rsidRDefault="00A25A1E" w:rsidP="00E856EC">
            <w:pPr>
              <w:spacing w:after="0"/>
              <w:mirrorIndents/>
              <w:rPr>
                <w:rFonts w:cs="Segoe UI Light"/>
                <w:b/>
                <w:iCs/>
                <w:sz w:val="18"/>
              </w:rPr>
            </w:pPr>
            <w:r w:rsidRPr="00D85A7F">
              <w:rPr>
                <w:rFonts w:cs="Segoe UI Light"/>
                <w:iCs/>
                <w:sz w:val="18"/>
              </w:rPr>
              <w:t>Smoky vehicle notice</w:t>
            </w:r>
          </w:p>
        </w:tc>
        <w:tc>
          <w:tcPr>
            <w:tcW w:w="471" w:type="pct"/>
          </w:tcPr>
          <w:p w14:paraId="656B004D" w14:textId="77777777" w:rsidR="00A25A1E" w:rsidRPr="00D85A7F" w:rsidRDefault="00A25A1E" w:rsidP="0073546C">
            <w:pPr>
              <w:spacing w:after="0"/>
              <w:ind w:left="57"/>
              <w:mirrorIndents/>
              <w:rPr>
                <w:rFonts w:cs="Segoe UI Light"/>
                <w:iCs/>
                <w:sz w:val="18"/>
              </w:rPr>
            </w:pPr>
            <w:r w:rsidRPr="00D85A7F">
              <w:rPr>
                <w:rFonts w:cs="Segoe UI Light"/>
                <w:sz w:val="18"/>
              </w:rPr>
              <w:t>4,464</w:t>
            </w:r>
          </w:p>
        </w:tc>
        <w:tc>
          <w:tcPr>
            <w:tcW w:w="470" w:type="pct"/>
          </w:tcPr>
          <w:p w14:paraId="656B004E" w14:textId="77777777" w:rsidR="00A25A1E" w:rsidRPr="00D85A7F" w:rsidRDefault="00A25A1E" w:rsidP="0073546C">
            <w:pPr>
              <w:spacing w:after="0"/>
              <w:ind w:left="57"/>
              <w:mirrorIndents/>
              <w:rPr>
                <w:rFonts w:cs="Segoe UI Light"/>
                <w:iCs/>
                <w:sz w:val="18"/>
              </w:rPr>
            </w:pPr>
            <w:r w:rsidRPr="00D85A7F">
              <w:rPr>
                <w:rFonts w:cs="Segoe UI Light"/>
                <w:sz w:val="18"/>
              </w:rPr>
              <w:t>2,167</w:t>
            </w:r>
          </w:p>
        </w:tc>
        <w:tc>
          <w:tcPr>
            <w:tcW w:w="471" w:type="pct"/>
          </w:tcPr>
          <w:p w14:paraId="656B004F" w14:textId="77777777" w:rsidR="00A25A1E" w:rsidRPr="00D85A7F" w:rsidRDefault="00A25A1E" w:rsidP="0073546C">
            <w:pPr>
              <w:spacing w:after="0"/>
              <w:ind w:left="57"/>
              <w:mirrorIndents/>
              <w:rPr>
                <w:rFonts w:cs="Segoe UI Light"/>
                <w:iCs/>
                <w:sz w:val="18"/>
              </w:rPr>
            </w:pPr>
            <w:r w:rsidRPr="00D85A7F">
              <w:rPr>
                <w:rFonts w:cs="Segoe UI Light"/>
                <w:sz w:val="18"/>
              </w:rPr>
              <w:t>2,334</w:t>
            </w:r>
          </w:p>
        </w:tc>
        <w:tc>
          <w:tcPr>
            <w:tcW w:w="471" w:type="pct"/>
          </w:tcPr>
          <w:p w14:paraId="656B0050" w14:textId="77777777" w:rsidR="00A25A1E" w:rsidRPr="00D85A7F" w:rsidRDefault="00A25A1E" w:rsidP="0073546C">
            <w:pPr>
              <w:spacing w:after="0"/>
              <w:ind w:left="57"/>
              <w:mirrorIndents/>
              <w:rPr>
                <w:rFonts w:cs="Segoe UI Light"/>
                <w:iCs/>
                <w:sz w:val="18"/>
              </w:rPr>
            </w:pPr>
            <w:r w:rsidRPr="00D85A7F">
              <w:rPr>
                <w:rFonts w:cs="Segoe UI Light"/>
                <w:sz w:val="18"/>
              </w:rPr>
              <w:t>2,015</w:t>
            </w:r>
          </w:p>
        </w:tc>
        <w:tc>
          <w:tcPr>
            <w:tcW w:w="394" w:type="pct"/>
          </w:tcPr>
          <w:p w14:paraId="656B0051" w14:textId="77777777" w:rsidR="00A25A1E" w:rsidRPr="00D85A7F" w:rsidRDefault="00A25A1E" w:rsidP="0073546C">
            <w:pPr>
              <w:spacing w:after="0"/>
              <w:ind w:left="57"/>
              <w:mirrorIndents/>
              <w:rPr>
                <w:rFonts w:cs="Segoe UI Light"/>
                <w:iCs/>
                <w:sz w:val="18"/>
              </w:rPr>
            </w:pPr>
            <w:r w:rsidRPr="00D85A7F">
              <w:rPr>
                <w:rFonts w:cs="Segoe UI Light"/>
                <w:sz w:val="18"/>
              </w:rPr>
              <w:t>1,859</w:t>
            </w:r>
          </w:p>
        </w:tc>
        <w:tc>
          <w:tcPr>
            <w:tcW w:w="393" w:type="pct"/>
          </w:tcPr>
          <w:p w14:paraId="656B0052" w14:textId="77777777" w:rsidR="00A25A1E" w:rsidRPr="00D85A7F" w:rsidRDefault="00A25A1E" w:rsidP="0073546C">
            <w:pPr>
              <w:spacing w:after="0"/>
              <w:ind w:left="57"/>
              <w:mirrorIndents/>
              <w:rPr>
                <w:rFonts w:cs="Segoe UI Light"/>
                <w:sz w:val="18"/>
              </w:rPr>
            </w:pPr>
            <w:r w:rsidRPr="00D85A7F">
              <w:rPr>
                <w:rFonts w:cs="Segoe UI Light"/>
                <w:sz w:val="18"/>
              </w:rPr>
              <w:t>1,617</w:t>
            </w:r>
          </w:p>
        </w:tc>
      </w:tr>
      <w:tr w:rsidR="00A25A1E" w:rsidRPr="00204BE2" w14:paraId="656B005B" w14:textId="77777777" w:rsidTr="00A25A1E">
        <w:tc>
          <w:tcPr>
            <w:tcW w:w="2330" w:type="pct"/>
          </w:tcPr>
          <w:p w14:paraId="656B0054" w14:textId="77777777" w:rsidR="00A25A1E" w:rsidRPr="00D85A7F" w:rsidRDefault="00A25A1E" w:rsidP="00E856EC">
            <w:pPr>
              <w:spacing w:after="0"/>
              <w:mirrorIndents/>
              <w:rPr>
                <w:rFonts w:cs="Segoe UI Light"/>
                <w:b/>
                <w:iCs/>
                <w:sz w:val="18"/>
              </w:rPr>
            </w:pPr>
            <w:r w:rsidRPr="00D85A7F">
              <w:rPr>
                <w:rFonts w:cs="Segoe UI Light"/>
                <w:iCs/>
                <w:sz w:val="18"/>
              </w:rPr>
              <w:t>Infringement notices</w:t>
            </w:r>
          </w:p>
        </w:tc>
        <w:tc>
          <w:tcPr>
            <w:tcW w:w="471" w:type="pct"/>
          </w:tcPr>
          <w:p w14:paraId="656B0055" w14:textId="77777777" w:rsidR="00A25A1E" w:rsidRPr="00D85A7F" w:rsidRDefault="00A25A1E" w:rsidP="0073546C">
            <w:pPr>
              <w:spacing w:after="0"/>
              <w:ind w:left="57"/>
              <w:mirrorIndents/>
              <w:rPr>
                <w:rFonts w:cs="Segoe UI Light"/>
                <w:iCs/>
                <w:sz w:val="18"/>
              </w:rPr>
            </w:pPr>
            <w:r w:rsidRPr="00D85A7F">
              <w:rPr>
                <w:rFonts w:cs="Segoe UI Light"/>
                <w:sz w:val="18"/>
              </w:rPr>
              <w:t>55</w:t>
            </w:r>
          </w:p>
        </w:tc>
        <w:tc>
          <w:tcPr>
            <w:tcW w:w="470" w:type="pct"/>
          </w:tcPr>
          <w:p w14:paraId="656B0056" w14:textId="77777777" w:rsidR="00A25A1E" w:rsidRPr="00D85A7F" w:rsidRDefault="00A25A1E" w:rsidP="0073546C">
            <w:pPr>
              <w:spacing w:after="0"/>
              <w:ind w:left="57"/>
              <w:mirrorIndents/>
              <w:rPr>
                <w:rFonts w:cs="Segoe UI Light"/>
                <w:iCs/>
                <w:sz w:val="18"/>
              </w:rPr>
            </w:pPr>
            <w:r w:rsidRPr="00D85A7F">
              <w:rPr>
                <w:rFonts w:cs="Segoe UI Light"/>
                <w:sz w:val="18"/>
              </w:rPr>
              <w:t>13</w:t>
            </w:r>
          </w:p>
        </w:tc>
        <w:tc>
          <w:tcPr>
            <w:tcW w:w="471" w:type="pct"/>
          </w:tcPr>
          <w:p w14:paraId="656B0057" w14:textId="77777777" w:rsidR="00A25A1E" w:rsidRPr="00D85A7F" w:rsidRDefault="00A25A1E" w:rsidP="0073546C">
            <w:pPr>
              <w:spacing w:after="0"/>
              <w:ind w:left="57"/>
              <w:mirrorIndents/>
              <w:rPr>
                <w:rFonts w:cs="Segoe UI Light"/>
                <w:iCs/>
                <w:sz w:val="18"/>
              </w:rPr>
            </w:pPr>
            <w:r w:rsidRPr="00D85A7F">
              <w:rPr>
                <w:rFonts w:cs="Segoe UI Light"/>
                <w:sz w:val="18"/>
              </w:rPr>
              <w:t>36</w:t>
            </w:r>
          </w:p>
        </w:tc>
        <w:tc>
          <w:tcPr>
            <w:tcW w:w="471" w:type="pct"/>
          </w:tcPr>
          <w:p w14:paraId="656B0058" w14:textId="77777777" w:rsidR="00A25A1E" w:rsidRPr="00D85A7F" w:rsidRDefault="00A25A1E" w:rsidP="0073546C">
            <w:pPr>
              <w:spacing w:after="0"/>
              <w:ind w:left="57"/>
              <w:mirrorIndents/>
              <w:rPr>
                <w:rFonts w:cs="Segoe UI Light"/>
                <w:iCs/>
                <w:sz w:val="18"/>
              </w:rPr>
            </w:pPr>
            <w:r w:rsidRPr="00D85A7F">
              <w:rPr>
                <w:rFonts w:cs="Segoe UI Light"/>
                <w:sz w:val="18"/>
              </w:rPr>
              <w:t>57</w:t>
            </w:r>
          </w:p>
        </w:tc>
        <w:tc>
          <w:tcPr>
            <w:tcW w:w="394" w:type="pct"/>
          </w:tcPr>
          <w:p w14:paraId="656B0059" w14:textId="77777777" w:rsidR="00A25A1E" w:rsidRPr="00D85A7F" w:rsidRDefault="00A25A1E" w:rsidP="0073546C">
            <w:pPr>
              <w:spacing w:after="0"/>
              <w:ind w:left="57"/>
              <w:mirrorIndents/>
              <w:rPr>
                <w:rFonts w:cs="Segoe UI Light"/>
                <w:iCs/>
                <w:sz w:val="18"/>
              </w:rPr>
            </w:pPr>
            <w:r w:rsidRPr="00D85A7F">
              <w:rPr>
                <w:rFonts w:cs="Segoe UI Light"/>
                <w:sz w:val="18"/>
              </w:rPr>
              <w:t>12</w:t>
            </w:r>
          </w:p>
        </w:tc>
        <w:tc>
          <w:tcPr>
            <w:tcW w:w="393" w:type="pct"/>
          </w:tcPr>
          <w:p w14:paraId="656B005A" w14:textId="77777777" w:rsidR="00A25A1E" w:rsidRPr="00D85A7F" w:rsidRDefault="00A25A1E" w:rsidP="0073546C">
            <w:pPr>
              <w:spacing w:after="0"/>
              <w:ind w:left="57"/>
              <w:mirrorIndents/>
              <w:rPr>
                <w:rFonts w:cs="Segoe UI Light"/>
                <w:sz w:val="18"/>
              </w:rPr>
            </w:pPr>
            <w:r w:rsidRPr="00D85A7F">
              <w:rPr>
                <w:rFonts w:cs="Segoe UI Light"/>
                <w:sz w:val="18"/>
              </w:rPr>
              <w:t>64</w:t>
            </w:r>
          </w:p>
        </w:tc>
      </w:tr>
      <w:tr w:rsidR="00A25A1E" w:rsidRPr="00204BE2" w14:paraId="656B0063" w14:textId="77777777" w:rsidTr="00A25A1E">
        <w:tc>
          <w:tcPr>
            <w:tcW w:w="2330" w:type="pct"/>
          </w:tcPr>
          <w:p w14:paraId="656B005C" w14:textId="77777777" w:rsidR="00A25A1E" w:rsidRPr="00D85A7F" w:rsidRDefault="00A25A1E" w:rsidP="00E856EC">
            <w:pPr>
              <w:spacing w:after="0"/>
              <w:mirrorIndents/>
              <w:rPr>
                <w:rFonts w:cs="Segoe UI Light"/>
                <w:b/>
                <w:iCs/>
                <w:sz w:val="18"/>
              </w:rPr>
            </w:pPr>
            <w:r w:rsidRPr="00D85A7F">
              <w:rPr>
                <w:rFonts w:cs="Segoe UI Light"/>
                <w:iCs/>
                <w:sz w:val="18"/>
              </w:rPr>
              <w:t>Official warnings</w:t>
            </w:r>
          </w:p>
        </w:tc>
        <w:tc>
          <w:tcPr>
            <w:tcW w:w="471" w:type="pct"/>
          </w:tcPr>
          <w:p w14:paraId="656B005D" w14:textId="77777777" w:rsidR="00A25A1E" w:rsidRPr="00D85A7F" w:rsidRDefault="00A25A1E" w:rsidP="0073546C">
            <w:pPr>
              <w:spacing w:after="0"/>
              <w:ind w:left="57"/>
              <w:mirrorIndents/>
              <w:rPr>
                <w:rFonts w:cs="Segoe UI Light"/>
                <w:iCs/>
                <w:sz w:val="18"/>
              </w:rPr>
            </w:pPr>
            <w:r w:rsidRPr="00D85A7F">
              <w:rPr>
                <w:rFonts w:cs="Segoe UI Light"/>
                <w:sz w:val="18"/>
              </w:rPr>
              <w:t>14</w:t>
            </w:r>
          </w:p>
        </w:tc>
        <w:tc>
          <w:tcPr>
            <w:tcW w:w="470" w:type="pct"/>
          </w:tcPr>
          <w:p w14:paraId="656B005E" w14:textId="77777777" w:rsidR="00A25A1E" w:rsidRPr="00D85A7F" w:rsidRDefault="00A25A1E" w:rsidP="0073546C">
            <w:pPr>
              <w:spacing w:after="0"/>
              <w:ind w:left="57"/>
              <w:mirrorIndents/>
              <w:rPr>
                <w:rFonts w:cs="Segoe UI Light"/>
                <w:iCs/>
                <w:sz w:val="18"/>
              </w:rPr>
            </w:pPr>
            <w:r w:rsidRPr="00D85A7F">
              <w:rPr>
                <w:rFonts w:cs="Segoe UI Light"/>
                <w:sz w:val="18"/>
              </w:rPr>
              <w:t>4</w:t>
            </w:r>
          </w:p>
        </w:tc>
        <w:tc>
          <w:tcPr>
            <w:tcW w:w="471" w:type="pct"/>
          </w:tcPr>
          <w:p w14:paraId="656B005F" w14:textId="77777777" w:rsidR="00A25A1E" w:rsidRPr="00D85A7F" w:rsidRDefault="00A25A1E" w:rsidP="0073546C">
            <w:pPr>
              <w:spacing w:after="0"/>
              <w:ind w:left="57"/>
              <w:mirrorIndents/>
              <w:rPr>
                <w:rFonts w:cs="Segoe UI Light"/>
                <w:iCs/>
                <w:sz w:val="18"/>
              </w:rPr>
            </w:pPr>
            <w:r w:rsidRPr="00D85A7F">
              <w:rPr>
                <w:rFonts w:cs="Segoe UI Light"/>
                <w:sz w:val="18"/>
              </w:rPr>
              <w:t>15</w:t>
            </w:r>
          </w:p>
        </w:tc>
        <w:tc>
          <w:tcPr>
            <w:tcW w:w="471" w:type="pct"/>
          </w:tcPr>
          <w:p w14:paraId="656B0060" w14:textId="77777777" w:rsidR="00A25A1E" w:rsidRPr="00D85A7F" w:rsidRDefault="00A25A1E" w:rsidP="0073546C">
            <w:pPr>
              <w:spacing w:after="0"/>
              <w:ind w:left="57"/>
              <w:mirrorIndents/>
              <w:rPr>
                <w:rFonts w:cs="Segoe UI Light"/>
                <w:iCs/>
                <w:sz w:val="18"/>
              </w:rPr>
            </w:pPr>
            <w:r w:rsidRPr="00D85A7F">
              <w:rPr>
                <w:rFonts w:cs="Segoe UI Light"/>
                <w:sz w:val="18"/>
              </w:rPr>
              <w:t>11</w:t>
            </w:r>
          </w:p>
        </w:tc>
        <w:tc>
          <w:tcPr>
            <w:tcW w:w="394" w:type="pct"/>
          </w:tcPr>
          <w:p w14:paraId="656B0061" w14:textId="77777777" w:rsidR="00A25A1E" w:rsidRPr="00D85A7F" w:rsidRDefault="00A25A1E" w:rsidP="0073546C">
            <w:pPr>
              <w:spacing w:after="0"/>
              <w:ind w:left="57"/>
              <w:mirrorIndents/>
              <w:rPr>
                <w:rFonts w:cs="Segoe UI Light"/>
                <w:iCs/>
                <w:sz w:val="18"/>
              </w:rPr>
            </w:pPr>
            <w:r w:rsidRPr="00D85A7F">
              <w:rPr>
                <w:rFonts w:cs="Segoe UI Light"/>
                <w:sz w:val="18"/>
              </w:rPr>
              <w:t>12</w:t>
            </w:r>
          </w:p>
        </w:tc>
        <w:tc>
          <w:tcPr>
            <w:tcW w:w="393" w:type="pct"/>
          </w:tcPr>
          <w:p w14:paraId="656B0062" w14:textId="77777777" w:rsidR="00A25A1E" w:rsidRPr="00D85A7F" w:rsidRDefault="00A25A1E" w:rsidP="0073546C">
            <w:pPr>
              <w:spacing w:after="0"/>
              <w:ind w:left="57"/>
              <w:mirrorIndents/>
              <w:rPr>
                <w:rFonts w:cs="Segoe UI Light"/>
                <w:sz w:val="18"/>
              </w:rPr>
            </w:pPr>
            <w:r w:rsidRPr="00D85A7F">
              <w:rPr>
                <w:rFonts w:cs="Segoe UI Light"/>
                <w:sz w:val="18"/>
              </w:rPr>
              <w:t>14</w:t>
            </w:r>
          </w:p>
        </w:tc>
      </w:tr>
      <w:tr w:rsidR="00A25A1E" w:rsidRPr="00204BE2" w14:paraId="656B006B" w14:textId="77777777" w:rsidTr="00A25A1E">
        <w:tc>
          <w:tcPr>
            <w:tcW w:w="2330" w:type="pct"/>
          </w:tcPr>
          <w:p w14:paraId="656B0064" w14:textId="77777777" w:rsidR="00A25A1E" w:rsidRPr="00D85A7F" w:rsidRDefault="00A25A1E" w:rsidP="00E856EC">
            <w:pPr>
              <w:spacing w:after="0"/>
              <w:mirrorIndents/>
              <w:rPr>
                <w:rFonts w:cs="Segoe UI Light"/>
                <w:b/>
                <w:iCs/>
                <w:sz w:val="18"/>
              </w:rPr>
            </w:pPr>
            <w:r w:rsidRPr="00D85A7F">
              <w:rPr>
                <w:rFonts w:cs="Segoe UI Light"/>
                <w:b/>
                <w:iCs/>
                <w:sz w:val="18"/>
              </w:rPr>
              <w:t>Litter Programs</w:t>
            </w:r>
          </w:p>
        </w:tc>
        <w:tc>
          <w:tcPr>
            <w:tcW w:w="471" w:type="pct"/>
          </w:tcPr>
          <w:p w14:paraId="656B0065" w14:textId="77777777" w:rsidR="00A25A1E" w:rsidRPr="00D85A7F" w:rsidRDefault="00A25A1E" w:rsidP="0073546C">
            <w:pPr>
              <w:spacing w:after="0"/>
              <w:ind w:left="57"/>
              <w:mirrorIndents/>
              <w:rPr>
                <w:rFonts w:cs="Segoe UI Light"/>
                <w:b/>
                <w:iCs/>
                <w:sz w:val="18"/>
              </w:rPr>
            </w:pPr>
          </w:p>
        </w:tc>
        <w:tc>
          <w:tcPr>
            <w:tcW w:w="470" w:type="pct"/>
          </w:tcPr>
          <w:p w14:paraId="656B0066" w14:textId="77777777" w:rsidR="00A25A1E" w:rsidRPr="00D85A7F" w:rsidRDefault="00A25A1E" w:rsidP="0073546C">
            <w:pPr>
              <w:spacing w:after="0"/>
              <w:ind w:left="57"/>
              <w:mirrorIndents/>
              <w:rPr>
                <w:rFonts w:cs="Segoe UI Light"/>
                <w:iCs/>
                <w:sz w:val="18"/>
              </w:rPr>
            </w:pPr>
          </w:p>
        </w:tc>
        <w:tc>
          <w:tcPr>
            <w:tcW w:w="471" w:type="pct"/>
          </w:tcPr>
          <w:p w14:paraId="656B0067" w14:textId="77777777" w:rsidR="00A25A1E" w:rsidRPr="00D85A7F" w:rsidRDefault="00A25A1E" w:rsidP="0073546C">
            <w:pPr>
              <w:spacing w:after="0"/>
              <w:ind w:left="57"/>
              <w:mirrorIndents/>
              <w:rPr>
                <w:rFonts w:cs="Segoe UI Light"/>
                <w:iCs/>
                <w:sz w:val="18"/>
              </w:rPr>
            </w:pPr>
          </w:p>
        </w:tc>
        <w:tc>
          <w:tcPr>
            <w:tcW w:w="471" w:type="pct"/>
          </w:tcPr>
          <w:p w14:paraId="656B0068" w14:textId="77777777" w:rsidR="00A25A1E" w:rsidRPr="00D85A7F" w:rsidRDefault="00A25A1E" w:rsidP="0073546C">
            <w:pPr>
              <w:spacing w:after="0"/>
              <w:ind w:left="57"/>
              <w:mirrorIndents/>
              <w:rPr>
                <w:rFonts w:cs="Segoe UI Light"/>
                <w:iCs/>
                <w:sz w:val="18"/>
              </w:rPr>
            </w:pPr>
          </w:p>
        </w:tc>
        <w:tc>
          <w:tcPr>
            <w:tcW w:w="394" w:type="pct"/>
          </w:tcPr>
          <w:p w14:paraId="656B0069" w14:textId="77777777" w:rsidR="00A25A1E" w:rsidRPr="00D85A7F" w:rsidRDefault="00A25A1E" w:rsidP="0073546C">
            <w:pPr>
              <w:spacing w:after="0"/>
              <w:ind w:left="57"/>
              <w:mirrorIndents/>
              <w:rPr>
                <w:rFonts w:cs="Segoe UI Light"/>
                <w:iCs/>
                <w:sz w:val="18"/>
              </w:rPr>
            </w:pPr>
          </w:p>
        </w:tc>
        <w:tc>
          <w:tcPr>
            <w:tcW w:w="393" w:type="pct"/>
          </w:tcPr>
          <w:p w14:paraId="656B006A" w14:textId="77777777" w:rsidR="00A25A1E" w:rsidRPr="00D85A7F" w:rsidRDefault="00A25A1E" w:rsidP="0073546C">
            <w:pPr>
              <w:spacing w:after="0"/>
              <w:ind w:left="57"/>
              <w:mirrorIndents/>
              <w:rPr>
                <w:rFonts w:cs="Segoe UI Light"/>
                <w:iCs/>
                <w:sz w:val="18"/>
              </w:rPr>
            </w:pPr>
          </w:p>
        </w:tc>
      </w:tr>
      <w:tr w:rsidR="00A25A1E" w:rsidRPr="00204BE2" w14:paraId="656B0073" w14:textId="77777777" w:rsidTr="00A25A1E">
        <w:tc>
          <w:tcPr>
            <w:tcW w:w="2330" w:type="pct"/>
          </w:tcPr>
          <w:p w14:paraId="656B006C" w14:textId="77777777" w:rsidR="00A25A1E" w:rsidRPr="00D85A7F" w:rsidRDefault="00A25A1E" w:rsidP="00E856EC">
            <w:pPr>
              <w:spacing w:after="0"/>
              <w:mirrorIndents/>
              <w:rPr>
                <w:rFonts w:cs="Segoe UI Light"/>
                <w:b/>
                <w:iCs/>
                <w:sz w:val="18"/>
              </w:rPr>
            </w:pPr>
            <w:r w:rsidRPr="00D85A7F">
              <w:rPr>
                <w:rFonts w:cs="Segoe UI Light"/>
                <w:iCs/>
                <w:sz w:val="18"/>
              </w:rPr>
              <w:t>Infringement notices</w:t>
            </w:r>
          </w:p>
        </w:tc>
        <w:tc>
          <w:tcPr>
            <w:tcW w:w="471" w:type="pct"/>
          </w:tcPr>
          <w:p w14:paraId="656B006D" w14:textId="77777777" w:rsidR="00A25A1E" w:rsidRPr="00D85A7F" w:rsidRDefault="00A25A1E" w:rsidP="0073546C">
            <w:pPr>
              <w:spacing w:after="0"/>
              <w:ind w:left="57"/>
              <w:mirrorIndents/>
              <w:rPr>
                <w:rFonts w:cs="Segoe UI Light"/>
                <w:iCs/>
                <w:sz w:val="18"/>
              </w:rPr>
            </w:pPr>
            <w:r w:rsidRPr="00D85A7F">
              <w:rPr>
                <w:rFonts w:cs="Segoe UI Light"/>
                <w:sz w:val="18"/>
              </w:rPr>
              <w:t>16,527</w:t>
            </w:r>
          </w:p>
        </w:tc>
        <w:tc>
          <w:tcPr>
            <w:tcW w:w="470" w:type="pct"/>
          </w:tcPr>
          <w:p w14:paraId="656B006E" w14:textId="77777777" w:rsidR="00A25A1E" w:rsidRPr="00D85A7F" w:rsidRDefault="00A25A1E" w:rsidP="0073546C">
            <w:pPr>
              <w:spacing w:after="0"/>
              <w:ind w:left="57"/>
              <w:mirrorIndents/>
              <w:rPr>
                <w:rFonts w:cs="Segoe UI Light"/>
                <w:iCs/>
                <w:sz w:val="18"/>
              </w:rPr>
            </w:pPr>
            <w:r w:rsidRPr="00D85A7F">
              <w:rPr>
                <w:rFonts w:cs="Segoe UI Light"/>
                <w:sz w:val="18"/>
              </w:rPr>
              <w:t>12,859</w:t>
            </w:r>
          </w:p>
        </w:tc>
        <w:tc>
          <w:tcPr>
            <w:tcW w:w="471" w:type="pct"/>
          </w:tcPr>
          <w:p w14:paraId="656B006F" w14:textId="77777777" w:rsidR="00A25A1E" w:rsidRPr="00D85A7F" w:rsidRDefault="00A25A1E" w:rsidP="0073546C">
            <w:pPr>
              <w:spacing w:after="0"/>
              <w:ind w:left="57"/>
              <w:mirrorIndents/>
              <w:rPr>
                <w:rFonts w:cs="Segoe UI Light"/>
                <w:iCs/>
                <w:sz w:val="18"/>
              </w:rPr>
            </w:pPr>
            <w:r w:rsidRPr="00D85A7F">
              <w:rPr>
                <w:rFonts w:cs="Segoe UI Light"/>
                <w:sz w:val="18"/>
              </w:rPr>
              <w:t>13,403</w:t>
            </w:r>
          </w:p>
        </w:tc>
        <w:tc>
          <w:tcPr>
            <w:tcW w:w="471" w:type="pct"/>
          </w:tcPr>
          <w:p w14:paraId="656B0070" w14:textId="77777777" w:rsidR="00A25A1E" w:rsidRPr="00D85A7F" w:rsidRDefault="00A25A1E" w:rsidP="0073546C">
            <w:pPr>
              <w:spacing w:after="0"/>
              <w:ind w:left="57"/>
              <w:mirrorIndents/>
              <w:rPr>
                <w:rFonts w:cs="Segoe UI Light"/>
                <w:iCs/>
                <w:sz w:val="18"/>
              </w:rPr>
            </w:pPr>
            <w:r w:rsidRPr="00D85A7F">
              <w:rPr>
                <w:rFonts w:cs="Segoe UI Light"/>
                <w:sz w:val="18"/>
              </w:rPr>
              <w:t>15,141</w:t>
            </w:r>
          </w:p>
        </w:tc>
        <w:tc>
          <w:tcPr>
            <w:tcW w:w="394" w:type="pct"/>
          </w:tcPr>
          <w:p w14:paraId="656B0071" w14:textId="77777777" w:rsidR="00A25A1E" w:rsidRPr="00D85A7F" w:rsidRDefault="00A25A1E" w:rsidP="0073546C">
            <w:pPr>
              <w:spacing w:after="0"/>
              <w:ind w:left="57"/>
              <w:mirrorIndents/>
              <w:rPr>
                <w:rFonts w:cs="Segoe UI Light"/>
                <w:iCs/>
                <w:sz w:val="18"/>
              </w:rPr>
            </w:pPr>
            <w:r w:rsidRPr="00D85A7F">
              <w:rPr>
                <w:rFonts w:cs="Segoe UI Light"/>
                <w:sz w:val="18"/>
              </w:rPr>
              <w:t>12,984</w:t>
            </w:r>
          </w:p>
        </w:tc>
        <w:tc>
          <w:tcPr>
            <w:tcW w:w="393" w:type="pct"/>
          </w:tcPr>
          <w:p w14:paraId="656B0072" w14:textId="77777777" w:rsidR="00A25A1E" w:rsidRPr="00D85A7F" w:rsidRDefault="00A25A1E" w:rsidP="0073546C">
            <w:pPr>
              <w:spacing w:after="0"/>
              <w:ind w:left="57"/>
              <w:mirrorIndents/>
              <w:rPr>
                <w:rFonts w:cs="Segoe UI Light"/>
                <w:sz w:val="18"/>
              </w:rPr>
            </w:pPr>
            <w:r w:rsidRPr="00D85A7F">
              <w:rPr>
                <w:rFonts w:cs="Segoe UI Light"/>
                <w:iCs/>
                <w:sz w:val="18"/>
              </w:rPr>
              <w:t>12,165</w:t>
            </w:r>
          </w:p>
        </w:tc>
      </w:tr>
    </w:tbl>
    <w:p w14:paraId="656B0074" w14:textId="77777777" w:rsidR="00A25A1E" w:rsidRDefault="00A25A1E" w:rsidP="00A25A1E">
      <w:pPr>
        <w:pStyle w:val="2Source"/>
      </w:pPr>
      <w:r>
        <w:t>S</w:t>
      </w:r>
      <w:r w:rsidRPr="00D85A7F">
        <w:t>ource: EPA Victoria Annual Reports 2017-18, 2016-17, 2013-14 and 2014-15.</w:t>
      </w:r>
    </w:p>
    <w:p w14:paraId="656B0075" w14:textId="77777777" w:rsidR="00A25A1E" w:rsidRDefault="00A25A1E" w:rsidP="00982D63">
      <w:pPr>
        <w:pStyle w:val="Heading2"/>
      </w:pPr>
      <w:r w:rsidRPr="009B3399">
        <w:t>Risks of non-inte</w:t>
      </w:r>
      <w:r>
        <w:t>r</w:t>
      </w:r>
      <w:r w:rsidRPr="009B3399">
        <w:t>vention</w:t>
      </w:r>
    </w:p>
    <w:p w14:paraId="656B0076" w14:textId="77777777" w:rsidR="00E15E65" w:rsidRDefault="00E15E65" w:rsidP="00E15E65">
      <w:pPr>
        <w:mirrorIndents/>
      </w:pPr>
      <w:r>
        <w:t>In the absence of government intervention, sole reliance for environmental protection is via the GED</w:t>
      </w:r>
      <w:r w:rsidR="00031D50">
        <w:t xml:space="preserve">, </w:t>
      </w:r>
      <w:r>
        <w:t>other duties and obligations established in the new EP legislation</w:t>
      </w:r>
      <w:r w:rsidR="00031D50">
        <w:t>, and established good environmental practices (state of knowledge)</w:t>
      </w:r>
      <w:r>
        <w:t>. Although duty holders will still have incentives to address risks to human health and the environment (as discussed in Section 3.2.1 above), there remain many residual risks, which are set out earlier in this Chapter</w:t>
      </w:r>
      <w:r w:rsidR="00DC7A63">
        <w:t xml:space="preserve">. </w:t>
      </w:r>
    </w:p>
    <w:p w14:paraId="656B0077" w14:textId="77777777" w:rsidR="00E15E65" w:rsidRDefault="00E15E65" w:rsidP="00E15E65">
      <w:pPr>
        <w:mirrorIndents/>
      </w:pPr>
      <w:r>
        <w:t xml:space="preserve">It may be possible to address some of these residual risks through expanded enforcement activity and the provision of additional guidance and </w:t>
      </w:r>
      <w:r w:rsidR="001D03BB">
        <w:t>education campaigns</w:t>
      </w:r>
      <w:r>
        <w:t xml:space="preserve">. However, the effectiveness of enforcement can be constrained in some cases (e.g. where pollution is dispersed or difficult to identify), and the costs of expanded enforcement could be prohibitive. Increased enforcement is also not relevant where the specific problem being addressed is that </w:t>
      </w:r>
      <w:r>
        <w:rPr>
          <w:szCs w:val="20"/>
        </w:rPr>
        <w:t>duties and obligations under the new EP are not</w:t>
      </w:r>
      <w:r w:rsidRPr="0028262C">
        <w:rPr>
          <w:szCs w:val="20"/>
        </w:rPr>
        <w:t xml:space="preserve"> enforceable with</w:t>
      </w:r>
      <w:r>
        <w:rPr>
          <w:szCs w:val="20"/>
        </w:rPr>
        <w:t>out</w:t>
      </w:r>
      <w:r w:rsidRPr="0028262C">
        <w:rPr>
          <w:szCs w:val="20"/>
        </w:rPr>
        <w:t xml:space="preserve"> prescription in subordinate legislation</w:t>
      </w:r>
      <w:r>
        <w:rPr>
          <w:szCs w:val="20"/>
        </w:rPr>
        <w:t>.</w:t>
      </w:r>
    </w:p>
    <w:p w14:paraId="656B0078" w14:textId="77777777" w:rsidR="00A25A1E" w:rsidRDefault="00A25A1E" w:rsidP="00A25A1E">
      <w:pPr>
        <w:mirrorIndents/>
      </w:pPr>
      <w:r>
        <w:t>Ultimately, these residual risks have the potential to result in an increase in the number of pollution or waste incidents that harm human health and the environment, and increased costs to duty holders and government. This creates substantial costs to society, including to the health system and the economy more generally. However, it is likely that, as a result of the existing state of knowledge (see section 3.</w:t>
      </w:r>
      <w:r w:rsidR="009E58AC">
        <w:t>1</w:t>
      </w:r>
      <w:r>
        <w:t xml:space="preserve">), outcomes would decline </w:t>
      </w:r>
      <w:r w:rsidR="00541BF8">
        <w:t xml:space="preserve">gradually </w:t>
      </w:r>
      <w:r>
        <w:t>rather than suddenly.</w:t>
      </w:r>
    </w:p>
    <w:p w14:paraId="656B0079" w14:textId="77777777" w:rsidR="00A25A1E" w:rsidRDefault="00A25A1E" w:rsidP="00A25A1E">
      <w:pPr>
        <w:mirrorIndents/>
      </w:pPr>
      <w:r>
        <w:t xml:space="preserve">Risks of non-intervention are addressed for each specific problem area in </w:t>
      </w:r>
      <w:r>
        <w:rPr>
          <w:rFonts w:cs="Segoe UI Light"/>
          <w:szCs w:val="20"/>
        </w:rPr>
        <w:t>Part 2 of this RIS</w:t>
      </w:r>
      <w:r>
        <w:t>.</w:t>
      </w:r>
    </w:p>
    <w:p w14:paraId="656B007A" w14:textId="77777777" w:rsidR="00A25A1E" w:rsidRDefault="00A25A1E" w:rsidP="00982D63">
      <w:pPr>
        <w:pStyle w:val="Heading2"/>
      </w:pPr>
      <w:r w:rsidRPr="00827D05">
        <w:t>Objectives of government intervention</w:t>
      </w:r>
    </w:p>
    <w:p w14:paraId="656B007B" w14:textId="77777777" w:rsidR="00A25A1E" w:rsidRPr="006175B3" w:rsidRDefault="00A25A1E" w:rsidP="00A25A1E">
      <w:pPr>
        <w:rPr>
          <w:rFonts w:eastAsia="Calibri"/>
        </w:rPr>
      </w:pPr>
      <w:r>
        <w:rPr>
          <w:rFonts w:eastAsia="Calibri"/>
        </w:rPr>
        <w:t>The</w:t>
      </w:r>
      <w:r w:rsidRPr="00827D05">
        <w:rPr>
          <w:rFonts w:eastAsia="Calibri"/>
        </w:rPr>
        <w:t xml:space="preserve"> proposed Regulations </w:t>
      </w:r>
      <w:r>
        <w:rPr>
          <w:rFonts w:eastAsia="Calibri"/>
        </w:rPr>
        <w:t>aim to address</w:t>
      </w:r>
      <w:r w:rsidRPr="00827D05">
        <w:rPr>
          <w:rFonts w:eastAsia="Calibri"/>
        </w:rPr>
        <w:t xml:space="preserve"> </w:t>
      </w:r>
      <w:r>
        <w:rPr>
          <w:rFonts w:eastAsia="Calibri"/>
        </w:rPr>
        <w:t xml:space="preserve">the </w:t>
      </w:r>
      <w:r w:rsidRPr="00827D05">
        <w:rPr>
          <w:rFonts w:eastAsia="Calibri"/>
        </w:rPr>
        <w:t xml:space="preserve">residual risk of harms </w:t>
      </w:r>
      <w:r>
        <w:rPr>
          <w:rFonts w:eastAsia="Calibri"/>
        </w:rPr>
        <w:t xml:space="preserve">to human health and the environment </w:t>
      </w:r>
      <w:r w:rsidRPr="00827D05">
        <w:rPr>
          <w:rFonts w:eastAsia="Calibri"/>
        </w:rPr>
        <w:t xml:space="preserve">which may not be adequately addressed or controlled by the </w:t>
      </w:r>
      <w:r>
        <w:rPr>
          <w:rFonts w:eastAsia="Calibri"/>
        </w:rPr>
        <w:t xml:space="preserve">new EP legislation. They also aim to provide </w:t>
      </w:r>
      <w:r w:rsidRPr="00827D05">
        <w:rPr>
          <w:rFonts w:eastAsia="Calibri"/>
        </w:rPr>
        <w:t>further</w:t>
      </w:r>
      <w:r>
        <w:rPr>
          <w:rFonts w:eastAsia="Calibri"/>
        </w:rPr>
        <w:t xml:space="preserve"> detail</w:t>
      </w:r>
      <w:r w:rsidRPr="00827D05">
        <w:rPr>
          <w:rFonts w:eastAsia="Calibri"/>
        </w:rPr>
        <w:t xml:space="preserve"> to improve clarity, reduce regulatory burden or improve environmental outcomes.</w:t>
      </w:r>
    </w:p>
    <w:p w14:paraId="656B007C" w14:textId="77777777" w:rsidR="006720FF" w:rsidRPr="006720FF" w:rsidRDefault="006720FF" w:rsidP="006720FF"/>
    <w:p w14:paraId="656B007D" w14:textId="77777777" w:rsidR="00302852" w:rsidRDefault="00302852" w:rsidP="00ED173F">
      <w:pPr>
        <w:pStyle w:val="Heading1"/>
      </w:pPr>
      <w:bookmarkStart w:id="536" w:name="_Ref536484354"/>
      <w:bookmarkStart w:id="537" w:name="_Toc536807098"/>
      <w:bookmarkStart w:id="538" w:name="_Toc342624"/>
      <w:bookmarkStart w:id="539" w:name="_Toc10018324"/>
      <w:bookmarkStart w:id="540" w:name="_Toc10021431"/>
      <w:bookmarkStart w:id="541" w:name="_Toc10021845"/>
      <w:bookmarkStart w:id="542" w:name="_Toc12892329"/>
      <w:bookmarkStart w:id="543" w:name="_Toc525554650"/>
      <w:bookmarkStart w:id="544" w:name="_Toc536054956"/>
      <w:bookmarkStart w:id="545" w:name="_Ref536465544"/>
      <w:bookmarkStart w:id="546" w:name="_Toc462313131"/>
      <w:bookmarkStart w:id="547" w:name="_Toc462317847"/>
      <w:bookmarkStart w:id="548" w:name="_Toc462397810"/>
      <w:bookmarkStart w:id="549" w:name="_Toc463002435"/>
      <w:bookmarkStart w:id="550" w:name="_Toc472586349"/>
      <w:bookmarkStart w:id="551" w:name="_Toc482168127"/>
      <w:bookmarkStart w:id="552" w:name="_Toc482174914"/>
      <w:r>
        <w:t>Options</w:t>
      </w:r>
      <w:bookmarkEnd w:id="536"/>
      <w:bookmarkEnd w:id="537"/>
      <w:bookmarkEnd w:id="538"/>
      <w:bookmarkEnd w:id="539"/>
      <w:bookmarkEnd w:id="540"/>
      <w:bookmarkEnd w:id="541"/>
      <w:bookmarkEnd w:id="542"/>
    </w:p>
    <w:p w14:paraId="656B007E" w14:textId="77777777" w:rsidR="0072303D" w:rsidRPr="00D85A7F" w:rsidRDefault="0072303D" w:rsidP="00D85A7F">
      <w:pPr>
        <w:rPr>
          <w:b/>
          <w:color w:val="808080" w:themeColor="background1" w:themeShade="80"/>
        </w:rPr>
      </w:pPr>
      <w:r w:rsidRPr="00D85A7F">
        <w:rPr>
          <w:b/>
          <w:color w:val="808080" w:themeColor="background1" w:themeShade="80"/>
        </w:rPr>
        <w:t>This chapter outlines the range of options that have been considered for addressing the problem and achieving the objectives outlined in section 3.</w:t>
      </w:r>
      <w:r w:rsidR="00415C6E">
        <w:rPr>
          <w:b/>
          <w:color w:val="808080" w:themeColor="background1" w:themeShade="80"/>
        </w:rPr>
        <w:t>5</w:t>
      </w:r>
      <w:r w:rsidR="00415C6E" w:rsidRPr="00D85A7F">
        <w:rPr>
          <w:b/>
          <w:color w:val="808080" w:themeColor="background1" w:themeShade="80"/>
        </w:rPr>
        <w:t xml:space="preserve"> </w:t>
      </w:r>
      <w:r w:rsidRPr="00D85A7F">
        <w:rPr>
          <w:b/>
          <w:color w:val="808080" w:themeColor="background1" w:themeShade="80"/>
        </w:rPr>
        <w:t>above. A high</w:t>
      </w:r>
      <w:r w:rsidR="00211CFA">
        <w:rPr>
          <w:b/>
          <w:color w:val="808080" w:themeColor="background1" w:themeShade="80"/>
        </w:rPr>
        <w:t>-</w:t>
      </w:r>
      <w:r w:rsidRPr="00D85A7F">
        <w:rPr>
          <w:b/>
          <w:color w:val="808080" w:themeColor="background1" w:themeShade="80"/>
        </w:rPr>
        <w:t xml:space="preserve">level discussion of the advantages and disadvantages of different potential options is provided in order to inform </w:t>
      </w:r>
      <w:r w:rsidR="000C762E">
        <w:rPr>
          <w:b/>
          <w:color w:val="808080" w:themeColor="background1" w:themeShade="80"/>
        </w:rPr>
        <w:t>the development</w:t>
      </w:r>
      <w:r w:rsidRPr="00D85A7F">
        <w:rPr>
          <w:b/>
          <w:color w:val="808080" w:themeColor="background1" w:themeShade="80"/>
        </w:rPr>
        <w:t xml:space="preserve"> of a feasible set of options for each specific problem area.</w:t>
      </w:r>
    </w:p>
    <w:p w14:paraId="656B007F" w14:textId="77777777" w:rsidR="0072303D" w:rsidRPr="0072303D" w:rsidRDefault="0072303D" w:rsidP="0072303D">
      <w:pPr>
        <w:ind w:right="29"/>
        <w:rPr>
          <w:rFonts w:cs="Segoe UI Light"/>
          <w:szCs w:val="20"/>
        </w:rPr>
      </w:pPr>
      <w:r w:rsidRPr="0072303D">
        <w:rPr>
          <w:rFonts w:cs="Segoe UI Light"/>
          <w:noProof/>
          <w:color w:val="2B579A"/>
          <w:shd w:val="clear" w:color="auto" w:fill="E6E6E6"/>
          <w:lang w:eastAsia="en-AU"/>
        </w:rPr>
        <mc:AlternateContent>
          <mc:Choice Requires="wps">
            <w:drawing>
              <wp:inline distT="0" distB="0" distL="0" distR="0" wp14:anchorId="656B1E86" wp14:editId="656B1E87">
                <wp:extent cx="6372045" cy="3474720"/>
                <wp:effectExtent l="0" t="0" r="10160" b="11430"/>
                <wp:docPr id="1048826378" name="Rectangle 1048826378"/>
                <wp:cNvGraphicFramePr/>
                <a:graphic xmlns:a="http://schemas.openxmlformats.org/drawingml/2006/main">
                  <a:graphicData uri="http://schemas.microsoft.com/office/word/2010/wordprocessingShape">
                    <wps:wsp>
                      <wps:cNvSpPr/>
                      <wps:spPr bwMode="gray">
                        <a:xfrm>
                          <a:off x="0" y="0"/>
                          <a:ext cx="6372045" cy="3474720"/>
                        </a:xfrm>
                        <a:prstGeom prst="rect">
                          <a:avLst/>
                        </a:prstGeom>
                        <a:solidFill>
                          <a:schemeClr val="bg2"/>
                        </a:solidFill>
                        <a:ln w="19050" algn="ctr">
                          <a:solidFill>
                            <a:srgbClr val="62B5E5"/>
                          </a:solidFill>
                          <a:miter lim="800000"/>
                          <a:headEnd/>
                          <a:tailEnd/>
                        </a:ln>
                      </wps:spPr>
                      <wps:txbx>
                        <w:txbxContent>
                          <w:p w14:paraId="656B21C0" w14:textId="77777777" w:rsidR="00E752DE" w:rsidRPr="007553F2" w:rsidRDefault="00E752DE" w:rsidP="0072303D">
                            <w:pPr>
                              <w:ind w:right="-2694"/>
                              <w:rPr>
                                <w:rFonts w:cs="Segoe UI Light"/>
                                <w:b/>
                                <w:color w:val="FF0000"/>
                              </w:rPr>
                            </w:pPr>
                            <w:r w:rsidRPr="005D5854">
                              <w:rPr>
                                <w:rFonts w:cs="Segoe UI Light"/>
                                <w:b/>
                                <w:color w:val="012169" w:themeColor="accent4"/>
                              </w:rPr>
                              <w:t>Key points:</w:t>
                            </w:r>
                          </w:p>
                          <w:p w14:paraId="656B21C1" w14:textId="77777777" w:rsidR="00E752DE" w:rsidRPr="00F55E15" w:rsidRDefault="00E752DE" w:rsidP="0072303D">
                            <w:pPr>
                              <w:ind w:right="108"/>
                              <w:rPr>
                                <w:rFonts w:cs="Segoe UI Light"/>
                                <w:szCs w:val="20"/>
                              </w:rPr>
                            </w:pPr>
                            <w:r w:rsidRPr="00F55E15">
                              <w:rPr>
                                <w:rFonts w:cs="Segoe UI Light"/>
                                <w:szCs w:val="20"/>
                              </w:rPr>
                              <w:t>This RIS assesses a range of options to achieve the objective</w:t>
                            </w:r>
                            <w:r>
                              <w:rPr>
                                <w:rFonts w:cs="Segoe UI Light"/>
                                <w:szCs w:val="20"/>
                              </w:rPr>
                              <w:t>s set out in section 3.5</w:t>
                            </w:r>
                            <w:r w:rsidRPr="00F55E15">
                              <w:rPr>
                                <w:rFonts w:cs="Segoe UI Light"/>
                                <w:szCs w:val="20"/>
                              </w:rPr>
                              <w:t xml:space="preserve">. </w:t>
                            </w:r>
                            <w:r>
                              <w:rPr>
                                <w:rFonts w:cs="Segoe UI Light"/>
                                <w:szCs w:val="20"/>
                              </w:rPr>
                              <w:t>A</w:t>
                            </w:r>
                            <w:r w:rsidRPr="00F55E15">
                              <w:rPr>
                                <w:rFonts w:cs="Segoe UI Light"/>
                                <w:szCs w:val="20"/>
                              </w:rPr>
                              <w:t xml:space="preserve"> </w:t>
                            </w:r>
                            <w:r>
                              <w:rPr>
                                <w:rFonts w:cs="Segoe UI Light"/>
                                <w:szCs w:val="20"/>
                              </w:rPr>
                              <w:t>broad</w:t>
                            </w:r>
                            <w:r w:rsidRPr="00F55E15">
                              <w:rPr>
                                <w:rFonts w:cs="Segoe UI Light"/>
                                <w:szCs w:val="20"/>
                              </w:rPr>
                              <w:t xml:space="preserve"> range of approaches</w:t>
                            </w:r>
                            <w:r>
                              <w:rPr>
                                <w:rFonts w:cs="Segoe UI Light"/>
                                <w:szCs w:val="20"/>
                              </w:rPr>
                              <w:t xml:space="preserve"> has been considered</w:t>
                            </w:r>
                            <w:r w:rsidRPr="00F55E15">
                              <w:rPr>
                                <w:rFonts w:cs="Segoe UI Light"/>
                                <w:szCs w:val="20"/>
                              </w:rPr>
                              <w:t xml:space="preserve">, </w:t>
                            </w:r>
                            <w:r>
                              <w:rPr>
                                <w:rFonts w:cs="Segoe UI Light"/>
                                <w:szCs w:val="20"/>
                              </w:rPr>
                              <w:t xml:space="preserve">ranging from regulations through to </w:t>
                            </w:r>
                            <w:r w:rsidRPr="00F55E15">
                              <w:rPr>
                                <w:rFonts w:cs="Segoe UI Light"/>
                                <w:szCs w:val="20"/>
                              </w:rPr>
                              <w:t xml:space="preserve">non-regulatory </w:t>
                            </w:r>
                            <w:r>
                              <w:rPr>
                                <w:rFonts w:cs="Segoe UI Light"/>
                                <w:szCs w:val="20"/>
                              </w:rPr>
                              <w:t xml:space="preserve">and market-based </w:t>
                            </w:r>
                            <w:r w:rsidRPr="00F55E15">
                              <w:rPr>
                                <w:rFonts w:cs="Segoe UI Light"/>
                                <w:szCs w:val="20"/>
                              </w:rPr>
                              <w:t xml:space="preserve">approaches, </w:t>
                            </w:r>
                            <w:r>
                              <w:rPr>
                                <w:rFonts w:cs="Segoe UI Light"/>
                                <w:szCs w:val="20"/>
                              </w:rPr>
                              <w:t>including options</w:t>
                            </w:r>
                            <w:r w:rsidRPr="00F55E15">
                              <w:rPr>
                                <w:rFonts w:cs="Segoe UI Light"/>
                                <w:szCs w:val="20"/>
                              </w:rPr>
                              <w:t xml:space="preserve"> that reduce the burden imposed on business and/or the community.</w:t>
                            </w:r>
                            <w:r>
                              <w:rPr>
                                <w:rFonts w:cs="Segoe UI Light"/>
                                <w:szCs w:val="20"/>
                              </w:rPr>
                              <w:t xml:space="preserve"> </w:t>
                            </w:r>
                          </w:p>
                          <w:p w14:paraId="656B21C2" w14:textId="77777777" w:rsidR="00E752DE" w:rsidRPr="00BF74CD" w:rsidRDefault="00E752DE" w:rsidP="0072303D">
                            <w:pPr>
                              <w:ind w:right="108"/>
                              <w:rPr>
                                <w:rFonts w:cs="Segoe UI Light"/>
                                <w:szCs w:val="20"/>
                              </w:rPr>
                            </w:pPr>
                            <w:r>
                              <w:rPr>
                                <w:rFonts w:cs="Segoe UI Light"/>
                                <w:szCs w:val="20"/>
                              </w:rPr>
                              <w:t>The over-arching approach, as set out below, is that e</w:t>
                            </w:r>
                            <w:r w:rsidRPr="00BF74CD">
                              <w:rPr>
                                <w:rFonts w:cs="Segoe UI Light"/>
                                <w:szCs w:val="20"/>
                              </w:rPr>
                              <w:t xml:space="preserve">very specific problem area being assessed in the RIS includes, at a minimum, a comparison of regulations versus the Base Case. </w:t>
                            </w:r>
                            <w:r>
                              <w:rPr>
                                <w:rFonts w:cs="Segoe UI Light"/>
                                <w:szCs w:val="20"/>
                              </w:rPr>
                              <w:t>Lighter touch, non-regulatory approaches or market-based options are included in the set of feasible options for each specific problem area on a case-by-case basis:</w:t>
                            </w:r>
                          </w:p>
                          <w:p w14:paraId="656B21C3" w14:textId="77777777" w:rsidR="00E752DE" w:rsidRPr="00C81054" w:rsidRDefault="00E752DE" w:rsidP="004A2442">
                            <w:pPr>
                              <w:pStyle w:val="ListParagraph"/>
                              <w:numPr>
                                <w:ilvl w:val="0"/>
                                <w:numId w:val="28"/>
                              </w:numPr>
                              <w:ind w:right="108"/>
                              <w:rPr>
                                <w:rFonts w:cs="Segoe UI Light"/>
                                <w:szCs w:val="20"/>
                              </w:rPr>
                            </w:pPr>
                            <w:r w:rsidRPr="0030379A">
                              <w:rPr>
                                <w:rFonts w:cs="Segoe UI Light"/>
                                <w:b/>
                                <w:szCs w:val="20"/>
                              </w:rPr>
                              <w:t>Base Case</w:t>
                            </w:r>
                            <w:r w:rsidRPr="00C81054">
                              <w:rPr>
                                <w:rFonts w:cs="Segoe UI Light"/>
                                <w:szCs w:val="20"/>
                              </w:rPr>
                              <w:t xml:space="preserve"> – “primary legislation, no regulations” scenario is included in the RIS for comparison purposes</w:t>
                            </w:r>
                            <w:r>
                              <w:rPr>
                                <w:rFonts w:cs="Segoe UI Light"/>
                                <w:szCs w:val="20"/>
                              </w:rPr>
                              <w:t>.</w:t>
                            </w:r>
                          </w:p>
                          <w:p w14:paraId="656B21C4" w14:textId="77777777" w:rsidR="00E752DE" w:rsidRPr="00C81054" w:rsidRDefault="00E752DE" w:rsidP="004A2442">
                            <w:pPr>
                              <w:pStyle w:val="ListParagraph"/>
                              <w:numPr>
                                <w:ilvl w:val="0"/>
                                <w:numId w:val="28"/>
                              </w:numPr>
                              <w:ind w:right="108"/>
                              <w:rPr>
                                <w:rFonts w:cs="Segoe UI Light"/>
                                <w:szCs w:val="20"/>
                              </w:rPr>
                            </w:pPr>
                            <w:r w:rsidRPr="0030379A">
                              <w:rPr>
                                <w:rFonts w:cs="Segoe UI Light"/>
                                <w:b/>
                                <w:szCs w:val="20"/>
                              </w:rPr>
                              <w:t>Regulations</w:t>
                            </w:r>
                            <w:r w:rsidRPr="00C81054">
                              <w:rPr>
                                <w:rFonts w:cs="Segoe UI Light"/>
                                <w:szCs w:val="20"/>
                              </w:rPr>
                              <w:t xml:space="preserve">: </w:t>
                            </w:r>
                          </w:p>
                          <w:p w14:paraId="656B21C5" w14:textId="77777777" w:rsidR="00E752DE" w:rsidRDefault="00E752DE" w:rsidP="004A2442">
                            <w:pPr>
                              <w:pStyle w:val="ListParagraph"/>
                              <w:numPr>
                                <w:ilvl w:val="0"/>
                                <w:numId w:val="29"/>
                              </w:numPr>
                              <w:rPr>
                                <w:rFonts w:cs="Segoe UI Light"/>
                              </w:rPr>
                            </w:pPr>
                            <w:r w:rsidRPr="00C81054">
                              <w:rPr>
                                <w:rFonts w:cs="Segoe UI Light"/>
                              </w:rPr>
                              <w:t xml:space="preserve">Option 1 - A minimum set of regulations only for those matters where further prescription is required (through regulations) in order to make the </w:t>
                            </w:r>
                            <w:r>
                              <w:rPr>
                                <w:rFonts w:cs="Segoe UI Light"/>
                              </w:rPr>
                              <w:t>new EP legislation</w:t>
                            </w:r>
                            <w:r w:rsidRPr="00C81054">
                              <w:rPr>
                                <w:rFonts w:cs="Segoe UI Light"/>
                              </w:rPr>
                              <w:t xml:space="preserve"> effective upon its commencement</w:t>
                            </w:r>
                            <w:r>
                              <w:rPr>
                                <w:rFonts w:cs="Segoe UI Light"/>
                              </w:rPr>
                              <w:t xml:space="preserve">. </w:t>
                            </w:r>
                          </w:p>
                          <w:p w14:paraId="656B21C6" w14:textId="77777777" w:rsidR="00E752DE" w:rsidRPr="000A110C" w:rsidRDefault="00E752DE" w:rsidP="009B48F2">
                            <w:pPr>
                              <w:pStyle w:val="ListParagraph"/>
                              <w:numPr>
                                <w:ilvl w:val="0"/>
                                <w:numId w:val="29"/>
                              </w:numPr>
                              <w:spacing w:after="0"/>
                            </w:pPr>
                            <w:r w:rsidRPr="0087455B">
                              <w:rPr>
                                <w:rFonts w:cs="Segoe UI Light"/>
                              </w:rPr>
                              <w:t xml:space="preserve">Option 2 – Option 1 plus additional regulations to address the residual risk of harms which may not be adequately addressed or controlled by the </w:t>
                            </w:r>
                            <w:r>
                              <w:rPr>
                                <w:rFonts w:cs="Segoe UI Light"/>
                              </w:rPr>
                              <w:t>new EP legislation</w:t>
                            </w:r>
                            <w:r w:rsidRPr="0087455B">
                              <w:rPr>
                                <w:rFonts w:cs="Segoe UI Light"/>
                              </w:rPr>
                              <w:t xml:space="preserve"> or where further specificity is required to improve </w:t>
                            </w:r>
                            <w:r>
                              <w:rPr>
                                <w:rFonts w:cs="Segoe UI Light"/>
                              </w:rPr>
                              <w:t>certainty</w:t>
                            </w:r>
                            <w:r w:rsidRPr="0087455B">
                              <w:rPr>
                                <w:rFonts w:cs="Segoe UI Light"/>
                              </w:rPr>
                              <w:t xml:space="preserve">, reduce regulatory burden or improve environmental outcomes. </w:t>
                            </w:r>
                          </w:p>
                          <w:p w14:paraId="656B21C7" w14:textId="77777777" w:rsidR="00E752DE" w:rsidRDefault="00E752DE" w:rsidP="000F124C">
                            <w:pPr>
                              <w:pStyle w:val="ListParagraph"/>
                              <w:numPr>
                                <w:ilvl w:val="0"/>
                                <w:numId w:val="28"/>
                              </w:numPr>
                              <w:ind w:right="108"/>
                            </w:pPr>
                            <w:r w:rsidRPr="0030379A">
                              <w:rPr>
                                <w:b/>
                              </w:rPr>
                              <w:t xml:space="preserve">Light </w:t>
                            </w:r>
                            <w:r>
                              <w:rPr>
                                <w:b/>
                              </w:rPr>
                              <w:t>touch</w:t>
                            </w:r>
                            <w:r w:rsidRPr="0030379A">
                              <w:rPr>
                                <w:b/>
                              </w:rPr>
                              <w:t xml:space="preserve"> regulations, non</w:t>
                            </w:r>
                            <w:r>
                              <w:rPr>
                                <w:b/>
                              </w:rPr>
                              <w:t>-</w:t>
                            </w:r>
                            <w:r w:rsidRPr="0030379A">
                              <w:rPr>
                                <w:b/>
                              </w:rPr>
                              <w:t>regulatory approaches or market-based options</w:t>
                            </w:r>
                            <w:r>
                              <w:rPr>
                                <w:b/>
                              </w:rPr>
                              <w:t xml:space="preserve"> </w:t>
                            </w:r>
                            <w:r w:rsidRPr="00494A7B">
                              <w:t>(where appropriate).</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56B1E86" id="Rectangle 1048826378" o:spid="_x0000_s1063" style="width:501.75pt;height:273.6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" fillcolor="#e7e6e6 [3214]" strokecolor="#62b5e5" strokeweight="1.5pt">
                <v:textbox inset="7pt,7pt,7pt,7pt">
                  <w:txbxContent>
                    <w:p w14:paraId="656B21C0" w14:textId="77777777" w:rsidR="00E752DE" w:rsidRPr="007553F2" w:rsidRDefault="00E752DE" w:rsidP="0072303D">
                      <w:pPr>
                        <w:ind w:right="-2694"/>
                        <w:rPr>
                          <w:rFonts w:cs="Segoe UI Light"/>
                          <w:b/>
                          <w:color w:val="FF0000"/>
                        </w:rPr>
                      </w:pPr>
                      <w:r w:rsidRPr="005D5854">
                        <w:rPr>
                          <w:rFonts w:cs="Segoe UI Light"/>
                          <w:b/>
                          <w:color w:val="012169" w:themeColor="accent4"/>
                        </w:rPr>
                        <w:t>Key points:</w:t>
                      </w:r>
                    </w:p>
                    <w:p w14:paraId="656B21C1" w14:textId="77777777" w:rsidR="00E752DE" w:rsidRPr="00F55E15" w:rsidRDefault="00E752DE" w:rsidP="0072303D">
                      <w:pPr>
                        <w:ind w:right="108"/>
                        <w:rPr>
                          <w:rFonts w:cs="Segoe UI Light"/>
                          <w:szCs w:val="20"/>
                        </w:rPr>
                      </w:pPr>
                      <w:r w:rsidRPr="00F55E15">
                        <w:rPr>
                          <w:rFonts w:cs="Segoe UI Light"/>
                          <w:szCs w:val="20"/>
                        </w:rPr>
                        <w:t>This RIS assesses a range of options to achieve the objective</w:t>
                      </w:r>
                      <w:r>
                        <w:rPr>
                          <w:rFonts w:cs="Segoe UI Light"/>
                          <w:szCs w:val="20"/>
                        </w:rPr>
                        <w:t>s set out in section 3.5</w:t>
                      </w:r>
                      <w:r w:rsidRPr="00F55E15">
                        <w:rPr>
                          <w:rFonts w:cs="Segoe UI Light"/>
                          <w:szCs w:val="20"/>
                        </w:rPr>
                        <w:t xml:space="preserve">. </w:t>
                      </w:r>
                      <w:r>
                        <w:rPr>
                          <w:rFonts w:cs="Segoe UI Light"/>
                          <w:szCs w:val="20"/>
                        </w:rPr>
                        <w:t>A</w:t>
                      </w:r>
                      <w:r w:rsidRPr="00F55E15">
                        <w:rPr>
                          <w:rFonts w:cs="Segoe UI Light"/>
                          <w:szCs w:val="20"/>
                        </w:rPr>
                        <w:t xml:space="preserve"> </w:t>
                      </w:r>
                      <w:r>
                        <w:rPr>
                          <w:rFonts w:cs="Segoe UI Light"/>
                          <w:szCs w:val="20"/>
                        </w:rPr>
                        <w:t>broad</w:t>
                      </w:r>
                      <w:r w:rsidRPr="00F55E15">
                        <w:rPr>
                          <w:rFonts w:cs="Segoe UI Light"/>
                          <w:szCs w:val="20"/>
                        </w:rPr>
                        <w:t xml:space="preserve"> range of approaches</w:t>
                      </w:r>
                      <w:r>
                        <w:rPr>
                          <w:rFonts w:cs="Segoe UI Light"/>
                          <w:szCs w:val="20"/>
                        </w:rPr>
                        <w:t xml:space="preserve"> has been considered</w:t>
                      </w:r>
                      <w:r w:rsidRPr="00F55E15">
                        <w:rPr>
                          <w:rFonts w:cs="Segoe UI Light"/>
                          <w:szCs w:val="20"/>
                        </w:rPr>
                        <w:t xml:space="preserve">, </w:t>
                      </w:r>
                      <w:r>
                        <w:rPr>
                          <w:rFonts w:cs="Segoe UI Light"/>
                          <w:szCs w:val="20"/>
                        </w:rPr>
                        <w:t xml:space="preserve">ranging from regulations through to </w:t>
                      </w:r>
                      <w:r w:rsidRPr="00F55E15">
                        <w:rPr>
                          <w:rFonts w:cs="Segoe UI Light"/>
                          <w:szCs w:val="20"/>
                        </w:rPr>
                        <w:t xml:space="preserve">non-regulatory </w:t>
                      </w:r>
                      <w:r>
                        <w:rPr>
                          <w:rFonts w:cs="Segoe UI Light"/>
                          <w:szCs w:val="20"/>
                        </w:rPr>
                        <w:t xml:space="preserve">and market-based </w:t>
                      </w:r>
                      <w:r w:rsidRPr="00F55E15">
                        <w:rPr>
                          <w:rFonts w:cs="Segoe UI Light"/>
                          <w:szCs w:val="20"/>
                        </w:rPr>
                        <w:t xml:space="preserve">approaches, </w:t>
                      </w:r>
                      <w:r>
                        <w:rPr>
                          <w:rFonts w:cs="Segoe UI Light"/>
                          <w:szCs w:val="20"/>
                        </w:rPr>
                        <w:t>including options</w:t>
                      </w:r>
                      <w:r w:rsidRPr="00F55E15">
                        <w:rPr>
                          <w:rFonts w:cs="Segoe UI Light"/>
                          <w:szCs w:val="20"/>
                        </w:rPr>
                        <w:t xml:space="preserve"> that reduce the burden imposed on business and/or the community.</w:t>
                      </w:r>
                      <w:r>
                        <w:rPr>
                          <w:rFonts w:cs="Segoe UI Light"/>
                          <w:szCs w:val="20"/>
                        </w:rPr>
                        <w:t xml:space="preserve"> </w:t>
                      </w:r>
                    </w:p>
                    <w:p w14:paraId="656B21C2" w14:textId="77777777" w:rsidR="00E752DE" w:rsidRPr="00BF74CD" w:rsidRDefault="00E752DE" w:rsidP="0072303D">
                      <w:pPr>
                        <w:ind w:right="108"/>
                        <w:rPr>
                          <w:rFonts w:cs="Segoe UI Light"/>
                          <w:szCs w:val="20"/>
                        </w:rPr>
                      </w:pPr>
                      <w:r>
                        <w:rPr>
                          <w:rFonts w:cs="Segoe UI Light"/>
                          <w:szCs w:val="20"/>
                        </w:rPr>
                        <w:t>The over-arching approach, as set out below, is that e</w:t>
                      </w:r>
                      <w:r w:rsidRPr="00BF74CD">
                        <w:rPr>
                          <w:rFonts w:cs="Segoe UI Light"/>
                          <w:szCs w:val="20"/>
                        </w:rPr>
                        <w:t xml:space="preserve">very specific problem area being assessed in the RIS includes, at a minimum, a comparison of regulations versus the Base Case. </w:t>
                      </w:r>
                      <w:r>
                        <w:rPr>
                          <w:rFonts w:cs="Segoe UI Light"/>
                          <w:szCs w:val="20"/>
                        </w:rPr>
                        <w:t>Lighter touch, non-regulatory approaches or market-based options are included in the set of feasible options for each specific problem area on a case-by-case basis:</w:t>
                      </w:r>
                    </w:p>
                    <w:p w14:paraId="656B21C3" w14:textId="77777777" w:rsidR="00E752DE" w:rsidRPr="00C81054" w:rsidRDefault="00E752DE" w:rsidP="004A2442">
                      <w:pPr>
                        <w:pStyle w:val="ListParagraph"/>
                        <w:numPr>
                          <w:ilvl w:val="0"/>
                          <w:numId w:val="28"/>
                        </w:numPr>
                        <w:ind w:right="108"/>
                        <w:rPr>
                          <w:rFonts w:cs="Segoe UI Light"/>
                          <w:szCs w:val="20"/>
                        </w:rPr>
                      </w:pPr>
                      <w:r w:rsidRPr="0030379A">
                        <w:rPr>
                          <w:rFonts w:cs="Segoe UI Light"/>
                          <w:b/>
                          <w:szCs w:val="20"/>
                        </w:rPr>
                        <w:t>Base Case</w:t>
                      </w:r>
                      <w:r w:rsidRPr="00C81054">
                        <w:rPr>
                          <w:rFonts w:cs="Segoe UI Light"/>
                          <w:szCs w:val="20"/>
                        </w:rPr>
                        <w:t xml:space="preserve"> – “primary legislation, no regulations” scenario is included in the RIS for comparison purposes</w:t>
                      </w:r>
                      <w:r>
                        <w:rPr>
                          <w:rFonts w:cs="Segoe UI Light"/>
                          <w:szCs w:val="20"/>
                        </w:rPr>
                        <w:t>.</w:t>
                      </w:r>
                    </w:p>
                    <w:p w14:paraId="656B21C4" w14:textId="77777777" w:rsidR="00E752DE" w:rsidRPr="00C81054" w:rsidRDefault="00E752DE" w:rsidP="004A2442">
                      <w:pPr>
                        <w:pStyle w:val="ListParagraph"/>
                        <w:numPr>
                          <w:ilvl w:val="0"/>
                          <w:numId w:val="28"/>
                        </w:numPr>
                        <w:ind w:right="108"/>
                        <w:rPr>
                          <w:rFonts w:cs="Segoe UI Light"/>
                          <w:szCs w:val="20"/>
                        </w:rPr>
                      </w:pPr>
                      <w:r w:rsidRPr="0030379A">
                        <w:rPr>
                          <w:rFonts w:cs="Segoe UI Light"/>
                          <w:b/>
                          <w:szCs w:val="20"/>
                        </w:rPr>
                        <w:t>Regulations</w:t>
                      </w:r>
                      <w:r w:rsidRPr="00C81054">
                        <w:rPr>
                          <w:rFonts w:cs="Segoe UI Light"/>
                          <w:szCs w:val="20"/>
                        </w:rPr>
                        <w:t xml:space="preserve">: </w:t>
                      </w:r>
                    </w:p>
                    <w:p w14:paraId="656B21C5" w14:textId="77777777" w:rsidR="00E752DE" w:rsidRDefault="00E752DE" w:rsidP="004A2442">
                      <w:pPr>
                        <w:pStyle w:val="ListParagraph"/>
                        <w:numPr>
                          <w:ilvl w:val="0"/>
                          <w:numId w:val="29"/>
                        </w:numPr>
                        <w:rPr>
                          <w:rFonts w:cs="Segoe UI Light"/>
                        </w:rPr>
                      </w:pPr>
                      <w:r w:rsidRPr="00C81054">
                        <w:rPr>
                          <w:rFonts w:cs="Segoe UI Light"/>
                        </w:rPr>
                        <w:t xml:space="preserve">Option 1 - A minimum set of regulations only for those matters where further prescription is required (through regulations) in order to make the </w:t>
                      </w:r>
                      <w:r>
                        <w:rPr>
                          <w:rFonts w:cs="Segoe UI Light"/>
                        </w:rPr>
                        <w:t>new EP legislation</w:t>
                      </w:r>
                      <w:r w:rsidRPr="00C81054">
                        <w:rPr>
                          <w:rFonts w:cs="Segoe UI Light"/>
                        </w:rPr>
                        <w:t xml:space="preserve"> effective upon its commencement</w:t>
                      </w:r>
                      <w:r>
                        <w:rPr>
                          <w:rFonts w:cs="Segoe UI Light"/>
                        </w:rPr>
                        <w:t xml:space="preserve">. </w:t>
                      </w:r>
                    </w:p>
                    <w:p w14:paraId="656B21C6" w14:textId="77777777" w:rsidR="00E752DE" w:rsidRPr="000A110C" w:rsidRDefault="00E752DE" w:rsidP="009B48F2">
                      <w:pPr>
                        <w:pStyle w:val="ListParagraph"/>
                        <w:numPr>
                          <w:ilvl w:val="0"/>
                          <w:numId w:val="29"/>
                        </w:numPr>
                        <w:spacing w:after="0"/>
                      </w:pPr>
                      <w:r w:rsidRPr="0087455B">
                        <w:rPr>
                          <w:rFonts w:cs="Segoe UI Light"/>
                        </w:rPr>
                        <w:t xml:space="preserve">Option 2 – Option 1 plus additional regulations to address the residual risk of harms which may not be adequately addressed or controlled by the </w:t>
                      </w:r>
                      <w:r>
                        <w:rPr>
                          <w:rFonts w:cs="Segoe UI Light"/>
                        </w:rPr>
                        <w:t>new EP legislation</w:t>
                      </w:r>
                      <w:r w:rsidRPr="0087455B">
                        <w:rPr>
                          <w:rFonts w:cs="Segoe UI Light"/>
                        </w:rPr>
                        <w:t xml:space="preserve"> or where further specificity is required to improve </w:t>
                      </w:r>
                      <w:r>
                        <w:rPr>
                          <w:rFonts w:cs="Segoe UI Light"/>
                        </w:rPr>
                        <w:t>certainty</w:t>
                      </w:r>
                      <w:r w:rsidRPr="0087455B">
                        <w:rPr>
                          <w:rFonts w:cs="Segoe UI Light"/>
                        </w:rPr>
                        <w:t xml:space="preserve">, reduce regulatory burden or improve environmental outcomes. </w:t>
                      </w:r>
                    </w:p>
                    <w:p w14:paraId="656B21C7" w14:textId="77777777" w:rsidR="00E752DE" w:rsidRDefault="00E752DE" w:rsidP="000F124C">
                      <w:pPr>
                        <w:pStyle w:val="ListParagraph"/>
                        <w:numPr>
                          <w:ilvl w:val="0"/>
                          <w:numId w:val="28"/>
                        </w:numPr>
                        <w:ind w:right="108"/>
                      </w:pPr>
                      <w:r w:rsidRPr="0030379A">
                        <w:rPr>
                          <w:b/>
                        </w:rPr>
                        <w:t xml:space="preserve">Light </w:t>
                      </w:r>
                      <w:r>
                        <w:rPr>
                          <w:b/>
                        </w:rPr>
                        <w:t>touch</w:t>
                      </w:r>
                      <w:r w:rsidRPr="0030379A">
                        <w:rPr>
                          <w:b/>
                        </w:rPr>
                        <w:t xml:space="preserve"> regulations, non</w:t>
                      </w:r>
                      <w:r>
                        <w:rPr>
                          <w:b/>
                        </w:rPr>
                        <w:t>-</w:t>
                      </w:r>
                      <w:r w:rsidRPr="0030379A">
                        <w:rPr>
                          <w:b/>
                        </w:rPr>
                        <w:t>regulatory approaches or market-based options</w:t>
                      </w:r>
                      <w:r>
                        <w:rPr>
                          <w:b/>
                        </w:rPr>
                        <w:t xml:space="preserve"> </w:t>
                      </w:r>
                      <w:r w:rsidRPr="00494A7B">
                        <w:t>(where appropriate).</w:t>
                      </w:r>
                    </w:p>
                  </w:txbxContent>
                </v:textbox>
                <w10:anchorlock/>
              </v:rect>
            </w:pict>
          </mc:Fallback>
        </mc:AlternateContent>
      </w:r>
    </w:p>
    <w:p w14:paraId="656B0080" w14:textId="77777777" w:rsidR="0072303D" w:rsidRDefault="0072303D" w:rsidP="0072303D">
      <w:pPr>
        <w:ind w:right="29"/>
        <w:rPr>
          <w:rFonts w:cs="Segoe UI Light"/>
          <w:szCs w:val="20"/>
        </w:rPr>
      </w:pPr>
      <w:r w:rsidRPr="0072303D">
        <w:rPr>
          <w:rFonts w:cs="Segoe UI Light"/>
          <w:szCs w:val="20"/>
        </w:rPr>
        <w:t xml:space="preserve">As part of the RIS process, it is necessary to consider different options that could achieve the Victorian Government’s objectives. The </w:t>
      </w:r>
      <w:r w:rsidRPr="0072303D">
        <w:rPr>
          <w:rFonts w:cs="Segoe UI Light"/>
          <w:i/>
          <w:szCs w:val="20"/>
        </w:rPr>
        <w:t>Subordinate Legislation Act 1994</w:t>
      </w:r>
      <w:r w:rsidRPr="0072303D">
        <w:rPr>
          <w:rFonts w:cs="Segoe UI Light"/>
          <w:szCs w:val="20"/>
        </w:rPr>
        <w:t xml:space="preserve">, the </w:t>
      </w:r>
      <w:r w:rsidRPr="0072303D">
        <w:rPr>
          <w:rFonts w:cs="Segoe UI Light"/>
          <w:i/>
          <w:szCs w:val="20"/>
        </w:rPr>
        <w:t>Subordinate Legislation Act Guidelines</w:t>
      </w:r>
      <w:r w:rsidR="00A238FC">
        <w:rPr>
          <w:rFonts w:cs="Segoe UI Light"/>
          <w:i/>
          <w:szCs w:val="20"/>
        </w:rPr>
        <w:t>,</w:t>
      </w:r>
      <w:r w:rsidRPr="0072303D">
        <w:rPr>
          <w:rFonts w:cs="Segoe UI Light"/>
          <w:szCs w:val="20"/>
          <w:vertAlign w:val="superscript"/>
        </w:rPr>
        <w:footnoteReference w:id="43"/>
      </w:r>
      <w:r w:rsidRPr="0072303D">
        <w:rPr>
          <w:rFonts w:cs="Segoe UI Light"/>
          <w:szCs w:val="20"/>
        </w:rPr>
        <w:t xml:space="preserve"> and the </w:t>
      </w:r>
      <w:r w:rsidR="009D2BDC">
        <w:rPr>
          <w:rFonts w:cs="Segoe UI Light"/>
          <w:i/>
          <w:szCs w:val="20"/>
        </w:rPr>
        <w:t xml:space="preserve">Victorian </w:t>
      </w:r>
      <w:r w:rsidRPr="0072303D">
        <w:rPr>
          <w:rFonts w:cs="Segoe UI Light"/>
          <w:i/>
          <w:szCs w:val="20"/>
        </w:rPr>
        <w:t>Guide to Regulation</w:t>
      </w:r>
      <w:r w:rsidRPr="0072303D">
        <w:rPr>
          <w:rFonts w:cs="Segoe UI Light"/>
          <w:i/>
          <w:szCs w:val="20"/>
          <w:vertAlign w:val="superscript"/>
        </w:rPr>
        <w:footnoteReference w:id="44"/>
      </w:r>
      <w:r w:rsidRPr="0072303D">
        <w:rPr>
          <w:rFonts w:cs="Segoe UI Light"/>
          <w:szCs w:val="20"/>
        </w:rPr>
        <w:t xml:space="preserve"> </w:t>
      </w:r>
      <w:r w:rsidR="00541BF8">
        <w:rPr>
          <w:rFonts w:cs="Segoe UI Light"/>
          <w:szCs w:val="20"/>
        </w:rPr>
        <w:t xml:space="preserve">require </w:t>
      </w:r>
      <w:r w:rsidRPr="0072303D">
        <w:rPr>
          <w:rFonts w:cs="Segoe UI Light"/>
          <w:szCs w:val="20"/>
        </w:rPr>
        <w:t xml:space="preserve">that this includes a range of approaches, including co-regulation and non-regulatory approaches, and </w:t>
      </w:r>
      <w:r w:rsidR="00022C3A">
        <w:rPr>
          <w:rFonts w:cs="Segoe UI Light"/>
          <w:szCs w:val="20"/>
        </w:rPr>
        <w:t>options</w:t>
      </w:r>
      <w:r w:rsidR="00022C3A" w:rsidRPr="0072303D">
        <w:rPr>
          <w:rFonts w:cs="Segoe UI Light"/>
          <w:szCs w:val="20"/>
        </w:rPr>
        <w:t xml:space="preserve"> </w:t>
      </w:r>
      <w:r w:rsidRPr="0072303D">
        <w:rPr>
          <w:rFonts w:cs="Segoe UI Light"/>
          <w:szCs w:val="20"/>
        </w:rPr>
        <w:t>that reduce the burden imposed on business and/or the community.</w:t>
      </w:r>
    </w:p>
    <w:p w14:paraId="656B0081" w14:textId="77777777" w:rsidR="0072303D" w:rsidRPr="0072303D" w:rsidRDefault="009D2BDC" w:rsidP="0072303D">
      <w:pPr>
        <w:ind w:right="29"/>
        <w:rPr>
          <w:rFonts w:cs="Segoe UI Light"/>
          <w:szCs w:val="20"/>
        </w:rPr>
      </w:pPr>
      <w:r>
        <w:rPr>
          <w:rFonts w:cs="Segoe UI Light"/>
          <w:szCs w:val="20"/>
        </w:rPr>
        <w:t>For e</w:t>
      </w:r>
      <w:r w:rsidR="0072303D" w:rsidRPr="0072303D">
        <w:rPr>
          <w:rFonts w:cs="Segoe UI Light"/>
          <w:szCs w:val="20"/>
        </w:rPr>
        <w:t xml:space="preserve">very specific problem area being assessed in the RIS </w:t>
      </w:r>
      <w:r w:rsidR="00CA5AC4">
        <w:rPr>
          <w:rFonts w:cs="Segoe UI Light"/>
          <w:szCs w:val="20"/>
        </w:rPr>
        <w:t>there is</w:t>
      </w:r>
      <w:r w:rsidR="0072303D" w:rsidRPr="0072303D">
        <w:rPr>
          <w:rFonts w:cs="Segoe UI Light"/>
          <w:szCs w:val="20"/>
        </w:rPr>
        <w:t xml:space="preserve">, at a minimum, a comparison of regulations versus the Base Case, </w:t>
      </w:r>
      <w:r w:rsidR="00CA5AC4">
        <w:rPr>
          <w:rFonts w:cs="Segoe UI Light"/>
          <w:szCs w:val="20"/>
        </w:rPr>
        <w:t>as</w:t>
      </w:r>
      <w:r w:rsidRPr="0072303D">
        <w:rPr>
          <w:rFonts w:cs="Segoe UI Light"/>
          <w:szCs w:val="20"/>
        </w:rPr>
        <w:t xml:space="preserve"> </w:t>
      </w:r>
      <w:r w:rsidR="0072303D" w:rsidRPr="0072303D">
        <w:rPr>
          <w:rFonts w:cs="Segoe UI Light"/>
          <w:szCs w:val="20"/>
        </w:rPr>
        <w:t xml:space="preserve">set out below. </w:t>
      </w:r>
      <w:r w:rsidR="004844AE" w:rsidRPr="00494A7B">
        <w:rPr>
          <w:rFonts w:cs="Segoe UI Light"/>
          <w:szCs w:val="20"/>
        </w:rPr>
        <w:t>Some problem areas include multiple regulatory design choices where the Base Case is compared to different regulatory options</w:t>
      </w:r>
      <w:r w:rsidR="00934E67">
        <w:rPr>
          <w:rFonts w:cs="Segoe UI Light"/>
          <w:szCs w:val="20"/>
        </w:rPr>
        <w:t>.</w:t>
      </w:r>
      <w:r w:rsidR="004844AE" w:rsidRPr="0072303D">
        <w:rPr>
          <w:rFonts w:cs="Segoe UI Light"/>
          <w:szCs w:val="20"/>
        </w:rPr>
        <w:t xml:space="preserve"> </w:t>
      </w:r>
      <w:r w:rsidR="0072303D" w:rsidRPr="0072303D">
        <w:rPr>
          <w:rFonts w:cs="Segoe UI Light"/>
          <w:szCs w:val="20"/>
        </w:rPr>
        <w:t xml:space="preserve">The design of the </w:t>
      </w:r>
      <w:r w:rsidR="004C6915">
        <w:rPr>
          <w:rFonts w:cs="Segoe UI Light"/>
          <w:szCs w:val="20"/>
        </w:rPr>
        <w:t>new EP legislation</w:t>
      </w:r>
      <w:r w:rsidR="0072303D" w:rsidRPr="0072303D">
        <w:rPr>
          <w:rFonts w:cs="Segoe UI Light"/>
          <w:szCs w:val="20"/>
        </w:rPr>
        <w:t xml:space="preserve"> and nature of each specific problem area mean that some options are more or less suitable in relation to certain problem areas than others, or might only be suitable as complements to, rather than substitutes for, explicit government regulation. </w:t>
      </w:r>
    </w:p>
    <w:p w14:paraId="656B0082" w14:textId="77777777" w:rsidR="0072303D" w:rsidRPr="0072303D" w:rsidRDefault="0072303D" w:rsidP="004A2442">
      <w:pPr>
        <w:numPr>
          <w:ilvl w:val="0"/>
          <w:numId w:val="30"/>
        </w:numPr>
        <w:ind w:right="108"/>
        <w:contextualSpacing/>
        <w:rPr>
          <w:rFonts w:cs="Segoe UI Light"/>
          <w:szCs w:val="20"/>
        </w:rPr>
      </w:pPr>
      <w:r w:rsidRPr="0072303D">
        <w:rPr>
          <w:rFonts w:cs="Segoe UI Light"/>
          <w:b/>
          <w:szCs w:val="20"/>
        </w:rPr>
        <w:t>Base Case</w:t>
      </w:r>
      <w:r w:rsidRPr="0072303D">
        <w:rPr>
          <w:rFonts w:cs="Segoe UI Light"/>
          <w:szCs w:val="20"/>
        </w:rPr>
        <w:t xml:space="preserve"> – “primary legislation, no regulations” scenario is included in the RIS for comparison purposes. Key features of the Base Case are:</w:t>
      </w:r>
    </w:p>
    <w:p w14:paraId="656B0083" w14:textId="77777777" w:rsidR="0072303D" w:rsidRPr="0072303D" w:rsidRDefault="0072303D" w:rsidP="004A2442">
      <w:pPr>
        <w:numPr>
          <w:ilvl w:val="0"/>
          <w:numId w:val="31"/>
        </w:numPr>
        <w:contextualSpacing/>
        <w:rPr>
          <w:rFonts w:cs="Segoe UI Light"/>
          <w:szCs w:val="20"/>
        </w:rPr>
      </w:pPr>
      <w:r w:rsidRPr="0072303D">
        <w:rPr>
          <w:rFonts w:cs="Segoe UI Light"/>
          <w:szCs w:val="20"/>
        </w:rPr>
        <w:t>It is a counter-factual scenario used to provide a common point of comparison for all options</w:t>
      </w:r>
      <w:r w:rsidR="001D03BB">
        <w:rPr>
          <w:rFonts w:cs="Segoe UI Light"/>
          <w:szCs w:val="20"/>
        </w:rPr>
        <w:t>.</w:t>
      </w:r>
    </w:p>
    <w:p w14:paraId="656B0084" w14:textId="77777777" w:rsidR="0072303D" w:rsidRPr="0072303D" w:rsidRDefault="001D03BB" w:rsidP="004A2442">
      <w:pPr>
        <w:numPr>
          <w:ilvl w:val="0"/>
          <w:numId w:val="31"/>
        </w:numPr>
        <w:contextualSpacing/>
        <w:rPr>
          <w:rFonts w:cs="Segoe UI Light"/>
          <w:szCs w:val="20"/>
        </w:rPr>
      </w:pPr>
      <w:r>
        <w:rPr>
          <w:rFonts w:cs="Segoe UI Light"/>
          <w:szCs w:val="20"/>
        </w:rPr>
        <w:t>T</w:t>
      </w:r>
      <w:r w:rsidR="0072303D" w:rsidRPr="0072303D">
        <w:rPr>
          <w:rFonts w:cs="Segoe UI Light"/>
          <w:szCs w:val="20"/>
        </w:rPr>
        <w:t xml:space="preserve">he </w:t>
      </w:r>
      <w:r w:rsidR="004C6915">
        <w:rPr>
          <w:rFonts w:cs="Segoe UI Light"/>
          <w:szCs w:val="20"/>
        </w:rPr>
        <w:t>new EP legislation</w:t>
      </w:r>
      <w:r w:rsidR="0072303D" w:rsidRPr="0072303D">
        <w:rPr>
          <w:rFonts w:cs="Segoe UI Light"/>
          <w:szCs w:val="20"/>
        </w:rPr>
        <w:t xml:space="preserve"> applies, but there are no regulations or other approaches to supplement it</w:t>
      </w:r>
      <w:r>
        <w:rPr>
          <w:rFonts w:cs="Segoe UI Light"/>
          <w:szCs w:val="20"/>
        </w:rPr>
        <w:t>.</w:t>
      </w:r>
    </w:p>
    <w:p w14:paraId="656B0085" w14:textId="77777777" w:rsidR="00E15E65" w:rsidRPr="0072303D" w:rsidRDefault="001D03BB" w:rsidP="00E15E65">
      <w:pPr>
        <w:numPr>
          <w:ilvl w:val="0"/>
          <w:numId w:val="31"/>
        </w:numPr>
        <w:contextualSpacing/>
        <w:rPr>
          <w:rFonts w:cs="Segoe UI Light"/>
          <w:szCs w:val="20"/>
        </w:rPr>
      </w:pPr>
      <w:r>
        <w:rPr>
          <w:rFonts w:cs="Segoe UI Light"/>
          <w:szCs w:val="20"/>
        </w:rPr>
        <w:t>O</w:t>
      </w:r>
      <w:r w:rsidR="00E15E65" w:rsidRPr="0072303D">
        <w:rPr>
          <w:rFonts w:cs="Segoe UI Light"/>
          <w:szCs w:val="20"/>
        </w:rPr>
        <w:t xml:space="preserve">ther legislation, policies and program delivery that make up </w:t>
      </w:r>
      <w:r w:rsidR="00E15E65">
        <w:rPr>
          <w:rFonts w:cs="Segoe UI Light"/>
          <w:szCs w:val="20"/>
        </w:rPr>
        <w:t xml:space="preserve">the broad spectrum of </w:t>
      </w:r>
      <w:r w:rsidR="00E15E65" w:rsidRPr="0072303D">
        <w:rPr>
          <w:rFonts w:cs="Segoe UI Light"/>
          <w:szCs w:val="20"/>
        </w:rPr>
        <w:t>environment</w:t>
      </w:r>
      <w:r w:rsidR="00E15E65">
        <w:rPr>
          <w:rFonts w:cs="Segoe UI Light"/>
          <w:szCs w:val="20"/>
        </w:rPr>
        <w:t>al</w:t>
      </w:r>
      <w:r w:rsidR="00E15E65" w:rsidRPr="0072303D">
        <w:rPr>
          <w:rFonts w:cs="Segoe UI Light"/>
          <w:szCs w:val="20"/>
        </w:rPr>
        <w:t xml:space="preserve"> regulation in Victoria, new ERSs </w:t>
      </w:r>
      <w:r w:rsidR="00E15E65">
        <w:rPr>
          <w:rFonts w:cs="Segoe UI Light"/>
          <w:szCs w:val="20"/>
        </w:rPr>
        <w:t>(see</w:t>
      </w:r>
      <w:r w:rsidR="004844AE">
        <w:rPr>
          <w:rFonts w:cs="Segoe UI Light"/>
          <w:szCs w:val="20"/>
        </w:rPr>
        <w:t xml:space="preserve"> section 2.4 and</w:t>
      </w:r>
      <w:r w:rsidR="00E15E65">
        <w:rPr>
          <w:rFonts w:cs="Segoe UI Light"/>
          <w:szCs w:val="20"/>
        </w:rPr>
        <w:t xml:space="preserve"> Appendix </w:t>
      </w:r>
      <w:r w:rsidR="005F58DF">
        <w:rPr>
          <w:rFonts w:cs="Segoe UI Light"/>
          <w:szCs w:val="20"/>
        </w:rPr>
        <w:t>1</w:t>
      </w:r>
      <w:r w:rsidR="00E15E65">
        <w:rPr>
          <w:rFonts w:cs="Segoe UI Light"/>
          <w:szCs w:val="20"/>
        </w:rPr>
        <w:t xml:space="preserve"> for further information about ERS</w:t>
      </w:r>
      <w:r w:rsidR="00415C6E">
        <w:rPr>
          <w:rFonts w:cs="Segoe UI Light"/>
          <w:szCs w:val="20"/>
        </w:rPr>
        <w:t>s</w:t>
      </w:r>
      <w:r w:rsidR="00E15E65">
        <w:rPr>
          <w:rFonts w:cs="Segoe UI Light"/>
          <w:szCs w:val="20"/>
        </w:rPr>
        <w:t>)</w:t>
      </w:r>
      <w:r w:rsidR="00E15E65" w:rsidRPr="0072303D">
        <w:rPr>
          <w:rFonts w:cs="Segoe UI Light"/>
          <w:szCs w:val="20"/>
        </w:rPr>
        <w:t xml:space="preserve"> and existing</w:t>
      </w:r>
      <w:r w:rsidR="00E15E65">
        <w:rPr>
          <w:rFonts w:cs="Segoe UI Light"/>
          <w:szCs w:val="20"/>
        </w:rPr>
        <w:t xml:space="preserve"> </w:t>
      </w:r>
      <w:r w:rsidR="00415C6E">
        <w:rPr>
          <w:rFonts w:cs="Segoe UI Light"/>
          <w:szCs w:val="20"/>
        </w:rPr>
        <w:t xml:space="preserve">documentation </w:t>
      </w:r>
      <w:r w:rsidR="00E15E65">
        <w:rPr>
          <w:rFonts w:cs="Segoe UI Light"/>
          <w:szCs w:val="20"/>
        </w:rPr>
        <w:t>as part of the</w:t>
      </w:r>
      <w:r w:rsidR="00E15E65" w:rsidRPr="0072303D">
        <w:rPr>
          <w:rFonts w:cs="Segoe UI Light"/>
          <w:szCs w:val="20"/>
        </w:rPr>
        <w:t xml:space="preserve"> “state of knowledge” as discussed in </w:t>
      </w:r>
      <w:r w:rsidR="00E15E65">
        <w:rPr>
          <w:rFonts w:cs="Segoe UI Light"/>
          <w:szCs w:val="20"/>
        </w:rPr>
        <w:t>s</w:t>
      </w:r>
      <w:r w:rsidR="00E15E65" w:rsidRPr="0072303D">
        <w:rPr>
          <w:rFonts w:cs="Segoe UI Light"/>
          <w:szCs w:val="20"/>
        </w:rPr>
        <w:t xml:space="preserve">ection </w:t>
      </w:r>
      <w:r w:rsidR="009E58AC">
        <w:rPr>
          <w:rFonts w:cs="Segoe UI Light"/>
          <w:color w:val="2B579A"/>
          <w:szCs w:val="20"/>
          <w:shd w:val="clear" w:color="auto" w:fill="E6E6E6"/>
        </w:rPr>
        <w:fldChar w:fldCharType="begin"/>
      </w:r>
      <w:r w:rsidR="009E58AC">
        <w:rPr>
          <w:rFonts w:cs="Segoe UI Light"/>
          <w:szCs w:val="20"/>
        </w:rPr>
        <w:instrText xml:space="preserve"> REF _Ref7440381 \r \h </w:instrText>
      </w:r>
      <w:r w:rsidR="009E58AC">
        <w:rPr>
          <w:rFonts w:cs="Segoe UI Light"/>
          <w:color w:val="2B579A"/>
          <w:szCs w:val="20"/>
          <w:shd w:val="clear" w:color="auto" w:fill="E6E6E6"/>
        </w:rPr>
      </w:r>
      <w:r w:rsidR="009E58AC">
        <w:rPr>
          <w:rFonts w:cs="Segoe UI Light"/>
          <w:color w:val="2B579A"/>
          <w:szCs w:val="20"/>
          <w:shd w:val="clear" w:color="auto" w:fill="E6E6E6"/>
        </w:rPr>
        <w:fldChar w:fldCharType="separate"/>
      </w:r>
      <w:r w:rsidR="00B11C1E">
        <w:rPr>
          <w:rFonts w:cs="Segoe UI Light"/>
          <w:szCs w:val="20"/>
        </w:rPr>
        <w:t>3.2</w:t>
      </w:r>
      <w:r w:rsidR="009E58AC">
        <w:rPr>
          <w:rFonts w:cs="Segoe UI Light"/>
          <w:color w:val="2B579A"/>
          <w:szCs w:val="20"/>
          <w:shd w:val="clear" w:color="auto" w:fill="E6E6E6"/>
        </w:rPr>
        <w:fldChar w:fldCharType="end"/>
      </w:r>
      <w:r w:rsidR="009E58AC">
        <w:rPr>
          <w:rFonts w:cs="Segoe UI Light"/>
          <w:szCs w:val="20"/>
        </w:rPr>
        <w:t xml:space="preserve"> </w:t>
      </w:r>
      <w:r w:rsidR="00E15E65" w:rsidRPr="0072303D">
        <w:rPr>
          <w:rFonts w:cs="Segoe UI Light"/>
          <w:szCs w:val="20"/>
        </w:rPr>
        <w:t>of this RIS would apply.</w:t>
      </w:r>
    </w:p>
    <w:p w14:paraId="656B0086" w14:textId="77777777" w:rsidR="00E15E65" w:rsidRPr="0072303D" w:rsidRDefault="00E15E65" w:rsidP="00E15E65">
      <w:pPr>
        <w:numPr>
          <w:ilvl w:val="0"/>
          <w:numId w:val="30"/>
        </w:numPr>
        <w:ind w:right="108"/>
        <w:contextualSpacing/>
        <w:rPr>
          <w:rFonts w:cs="Segoe UI Light"/>
          <w:szCs w:val="20"/>
        </w:rPr>
      </w:pPr>
      <w:r w:rsidRPr="0072303D">
        <w:rPr>
          <w:rFonts w:cs="Segoe UI Light"/>
          <w:b/>
          <w:szCs w:val="20"/>
        </w:rPr>
        <w:t>Regulations</w:t>
      </w:r>
      <w:r w:rsidRPr="0072303D">
        <w:rPr>
          <w:rFonts w:cs="Segoe UI Light"/>
          <w:szCs w:val="20"/>
        </w:rPr>
        <w:t xml:space="preserve">: Regulations are created to establish a range of requirements that improve the effectiveness of the </w:t>
      </w:r>
      <w:r>
        <w:rPr>
          <w:rFonts w:cs="Segoe UI Light"/>
          <w:szCs w:val="20"/>
        </w:rPr>
        <w:t xml:space="preserve">new EP legislation, </w:t>
      </w:r>
      <w:r w:rsidRPr="00450459">
        <w:rPr>
          <w:rFonts w:cs="Segoe UI Light"/>
          <w:szCs w:val="20"/>
        </w:rPr>
        <w:t>or provide certainty as what a duty holder must do in order to comply with their duties and obligations</w:t>
      </w:r>
      <w:r>
        <w:rPr>
          <w:rFonts w:cs="Segoe UI Light"/>
          <w:szCs w:val="20"/>
        </w:rPr>
        <w:t>.</w:t>
      </w:r>
      <w:r w:rsidRPr="0072303D">
        <w:rPr>
          <w:rFonts w:cs="Segoe UI Light"/>
          <w:szCs w:val="20"/>
        </w:rPr>
        <w:t xml:space="preserve"> Two broad regulation approaches are used:</w:t>
      </w:r>
    </w:p>
    <w:p w14:paraId="656B0087" w14:textId="77777777" w:rsidR="0072303D" w:rsidRPr="0072303D" w:rsidRDefault="0072303D" w:rsidP="004A2442">
      <w:pPr>
        <w:numPr>
          <w:ilvl w:val="0"/>
          <w:numId w:val="31"/>
        </w:numPr>
        <w:contextualSpacing/>
        <w:rPr>
          <w:rFonts w:cs="Segoe UI Light"/>
        </w:rPr>
      </w:pPr>
      <w:r w:rsidRPr="0072303D">
        <w:rPr>
          <w:rFonts w:cs="Segoe UI Light"/>
        </w:rPr>
        <w:t xml:space="preserve">Option 1 - A minimum set of regulations only for those matters where further prescription is required (through regulations) in order to make the </w:t>
      </w:r>
      <w:r w:rsidR="004C6915">
        <w:rPr>
          <w:rFonts w:cs="Segoe UI Light"/>
        </w:rPr>
        <w:t>new EP legislation</w:t>
      </w:r>
      <w:r w:rsidRPr="0072303D">
        <w:rPr>
          <w:rFonts w:cs="Segoe UI Light"/>
        </w:rPr>
        <w:t xml:space="preserve"> effective </w:t>
      </w:r>
      <w:r w:rsidR="009F7FB9">
        <w:rPr>
          <w:rFonts w:cs="Segoe UI Light"/>
        </w:rPr>
        <w:t xml:space="preserve">and/or operational </w:t>
      </w:r>
      <w:r w:rsidRPr="0072303D">
        <w:rPr>
          <w:rFonts w:cs="Segoe UI Light"/>
        </w:rPr>
        <w:t>upon its commencement</w:t>
      </w:r>
      <w:r w:rsidR="00DC7A63">
        <w:rPr>
          <w:rFonts w:cs="Segoe UI Light"/>
        </w:rPr>
        <w:t xml:space="preserve">. </w:t>
      </w:r>
    </w:p>
    <w:p w14:paraId="656B0088" w14:textId="77777777" w:rsidR="0072303D" w:rsidRPr="0072303D" w:rsidRDefault="0072303D" w:rsidP="004A2442">
      <w:pPr>
        <w:numPr>
          <w:ilvl w:val="0"/>
          <w:numId w:val="31"/>
        </w:numPr>
        <w:contextualSpacing/>
      </w:pPr>
      <w:r w:rsidRPr="0072303D">
        <w:rPr>
          <w:rFonts w:cs="Segoe UI Light"/>
        </w:rPr>
        <w:t xml:space="preserve">Option 2 – Option 1 plus additional regulations to address the residual risk of harms which may not be adequately addressed or controlled by the </w:t>
      </w:r>
      <w:r w:rsidR="004C6915">
        <w:rPr>
          <w:rFonts w:cs="Segoe UI Light"/>
        </w:rPr>
        <w:t>new EP legislation</w:t>
      </w:r>
      <w:r w:rsidRPr="0072303D">
        <w:rPr>
          <w:rFonts w:cs="Segoe UI Light"/>
        </w:rPr>
        <w:t xml:space="preserve"> or where further specificity is required to improve c</w:t>
      </w:r>
      <w:r w:rsidR="00820A39">
        <w:rPr>
          <w:rFonts w:cs="Segoe UI Light"/>
        </w:rPr>
        <w:t>ertainty</w:t>
      </w:r>
      <w:r w:rsidRPr="0072303D">
        <w:rPr>
          <w:rFonts w:cs="Segoe UI Light"/>
        </w:rPr>
        <w:t xml:space="preserve">, reduce regulatory burden or improve environmental outcomes. </w:t>
      </w:r>
    </w:p>
    <w:p w14:paraId="656B0089" w14:textId="77777777" w:rsidR="0072303D" w:rsidRPr="0072303D" w:rsidRDefault="0072303D" w:rsidP="004A2442">
      <w:pPr>
        <w:numPr>
          <w:ilvl w:val="0"/>
          <w:numId w:val="28"/>
        </w:numPr>
        <w:ind w:right="108"/>
        <w:contextualSpacing/>
      </w:pPr>
      <w:r w:rsidRPr="0072303D">
        <w:rPr>
          <w:rFonts w:cs="Segoe UI Light"/>
          <w:b/>
          <w:szCs w:val="20"/>
        </w:rPr>
        <w:t>Light</w:t>
      </w:r>
      <w:r w:rsidR="009D2BDC">
        <w:rPr>
          <w:rFonts w:cs="Segoe UI Light"/>
          <w:b/>
          <w:szCs w:val="20"/>
        </w:rPr>
        <w:t>-</w:t>
      </w:r>
      <w:r w:rsidR="00DC48B6" w:rsidRPr="00F65E98">
        <w:rPr>
          <w:rFonts w:cs="Segoe UI Light"/>
          <w:b/>
          <w:bCs/>
        </w:rPr>
        <w:t xml:space="preserve">touch </w:t>
      </w:r>
      <w:r w:rsidRPr="0072303D">
        <w:rPr>
          <w:rFonts w:cs="Segoe UI Light"/>
          <w:b/>
          <w:szCs w:val="20"/>
        </w:rPr>
        <w:t xml:space="preserve">regulations, </w:t>
      </w:r>
      <w:r w:rsidR="005E035A" w:rsidRPr="0072303D">
        <w:rPr>
          <w:rFonts w:cs="Segoe UI Light"/>
          <w:b/>
          <w:szCs w:val="20"/>
        </w:rPr>
        <w:t>non-regulatory</w:t>
      </w:r>
      <w:r w:rsidRPr="0072303D">
        <w:rPr>
          <w:rFonts w:cs="Segoe UI Light"/>
          <w:b/>
          <w:szCs w:val="20"/>
        </w:rPr>
        <w:t xml:space="preserve"> approaches or market-based options:</w:t>
      </w:r>
      <w:r w:rsidRPr="0072303D">
        <w:t xml:space="preserve"> </w:t>
      </w:r>
      <w:r w:rsidR="00A238FC">
        <w:t xml:space="preserve">these </w:t>
      </w:r>
      <w:r w:rsidRPr="0072303D">
        <w:t>included in the feasible set of options for each specific problem area on a case-by-case basis.</w:t>
      </w:r>
    </w:p>
    <w:p w14:paraId="656B008A" w14:textId="77777777" w:rsidR="009F7FB9" w:rsidRPr="0072303D" w:rsidRDefault="009F7FB9" w:rsidP="00040A06">
      <w:pPr>
        <w:ind w:right="108"/>
        <w:contextualSpacing/>
      </w:pPr>
    </w:p>
    <w:p w14:paraId="656B008B" w14:textId="77777777" w:rsidR="0072303D" w:rsidRPr="0072303D" w:rsidRDefault="0072303D" w:rsidP="00040A06">
      <w:r w:rsidRPr="0072303D">
        <w:rPr>
          <w:rFonts w:cs="Segoe UI Light"/>
          <w:szCs w:val="20"/>
        </w:rPr>
        <w:t>The following sections provide a discussion of each type of approach that could be used.</w:t>
      </w:r>
      <w:r w:rsidR="0058209C">
        <w:rPr>
          <w:rFonts w:cs="Segoe UI Light"/>
          <w:szCs w:val="20"/>
        </w:rPr>
        <w:t xml:space="preserve"> </w:t>
      </w:r>
    </w:p>
    <w:p w14:paraId="656B008C" w14:textId="77777777" w:rsidR="0072303D" w:rsidRPr="0072303D" w:rsidRDefault="0072303D" w:rsidP="00982D63">
      <w:pPr>
        <w:pStyle w:val="Heading2"/>
      </w:pPr>
      <w:r w:rsidRPr="0072303D">
        <w:t>Regulatory approaches</w:t>
      </w:r>
    </w:p>
    <w:p w14:paraId="656B008D" w14:textId="77777777" w:rsidR="0072303D" w:rsidRPr="0072303D" w:rsidRDefault="0072303D" w:rsidP="0072303D">
      <w:pPr>
        <w:ind w:right="29"/>
        <w:rPr>
          <w:rFonts w:cs="Segoe UI Light"/>
          <w:szCs w:val="20"/>
        </w:rPr>
      </w:pPr>
      <w:r w:rsidRPr="0072303D">
        <w:rPr>
          <w:rFonts w:cs="Segoe UI Light"/>
          <w:szCs w:val="20"/>
        </w:rPr>
        <w:t>Potential regulatory approaches include:</w:t>
      </w:r>
    </w:p>
    <w:p w14:paraId="656B008E" w14:textId="77777777" w:rsidR="0072303D" w:rsidRPr="0072303D" w:rsidRDefault="0072303D" w:rsidP="004A2442">
      <w:pPr>
        <w:numPr>
          <w:ilvl w:val="0"/>
          <w:numId w:val="26"/>
        </w:numPr>
        <w:spacing w:after="0"/>
        <w:contextualSpacing/>
        <w:rPr>
          <w:rFonts w:cs="Segoe UI Light"/>
          <w:szCs w:val="20"/>
        </w:rPr>
      </w:pPr>
      <w:r w:rsidRPr="0072303D">
        <w:rPr>
          <w:rFonts w:cs="Segoe UI Light"/>
          <w:szCs w:val="20"/>
        </w:rPr>
        <w:t xml:space="preserve">Direct/explicit regulation: </w:t>
      </w:r>
      <w:r w:rsidR="00A238FC">
        <w:rPr>
          <w:rFonts w:cs="Segoe UI Light"/>
          <w:szCs w:val="20"/>
        </w:rPr>
        <w:t xml:space="preserve">where </w:t>
      </w:r>
      <w:r w:rsidRPr="0072303D">
        <w:rPr>
          <w:rFonts w:cs="Segoe UI Light"/>
          <w:szCs w:val="20"/>
        </w:rPr>
        <w:t xml:space="preserve">compliance is mandatory, with sanctions for </w:t>
      </w:r>
      <w:r w:rsidR="005E035A" w:rsidRPr="0072303D">
        <w:rPr>
          <w:rFonts w:cs="Segoe UI Light"/>
          <w:szCs w:val="20"/>
        </w:rPr>
        <w:t>non-compliance</w:t>
      </w:r>
      <w:r w:rsidRPr="0072303D">
        <w:rPr>
          <w:rFonts w:cs="Segoe UI Light"/>
          <w:szCs w:val="20"/>
        </w:rPr>
        <w:t>.</w:t>
      </w:r>
    </w:p>
    <w:p w14:paraId="656B008F" w14:textId="77777777" w:rsidR="00E15E65" w:rsidRPr="004919B7" w:rsidRDefault="00E15E65" w:rsidP="00E15E65">
      <w:pPr>
        <w:pStyle w:val="ListParagraph"/>
        <w:numPr>
          <w:ilvl w:val="0"/>
          <w:numId w:val="26"/>
        </w:numPr>
        <w:spacing w:after="0"/>
      </w:pPr>
      <w:r w:rsidRPr="004919B7">
        <w:rPr>
          <w:rFonts w:cs="Segoe UI Light"/>
          <w:szCs w:val="20"/>
        </w:rPr>
        <w:t>Lighter forms of regulation, such as licences</w:t>
      </w:r>
      <w:r w:rsidRPr="0072303D">
        <w:rPr>
          <w:rFonts w:cs="Segoe UI Light"/>
          <w:szCs w:val="20"/>
          <w:vertAlign w:val="superscript"/>
        </w:rPr>
        <w:footnoteReference w:id="45"/>
      </w:r>
      <w:r w:rsidRPr="00FA0AFF">
        <w:rPr>
          <w:rFonts w:cs="Segoe UI Light"/>
          <w:szCs w:val="20"/>
          <w:vertAlign w:val="superscript"/>
        </w:rPr>
        <w:t>,</w:t>
      </w:r>
      <w:r>
        <w:rPr>
          <w:rStyle w:val="FootnoteReference"/>
          <w:rFonts w:cs="Segoe UI Light"/>
          <w:szCs w:val="20"/>
        </w:rPr>
        <w:footnoteReference w:id="46"/>
      </w:r>
      <w:r w:rsidRPr="004919B7">
        <w:rPr>
          <w:rFonts w:cs="Segoe UI Light"/>
          <w:szCs w:val="20"/>
        </w:rPr>
        <w:t xml:space="preserve"> or co-regulation,</w:t>
      </w:r>
      <w:r>
        <w:rPr>
          <w:rFonts w:cs="Segoe UI Light"/>
          <w:szCs w:val="20"/>
        </w:rPr>
        <w:t xml:space="preserve"> </w:t>
      </w:r>
      <w:r w:rsidRPr="004919B7">
        <w:t>where industry develops its own standards or accreditation/ratings schemes with legislative backing from government.</w:t>
      </w:r>
    </w:p>
    <w:p w14:paraId="656B0090" w14:textId="77777777" w:rsidR="00E15E65" w:rsidRPr="004919B7" w:rsidRDefault="00E15E65" w:rsidP="00E15E65">
      <w:pPr>
        <w:numPr>
          <w:ilvl w:val="0"/>
          <w:numId w:val="26"/>
        </w:numPr>
        <w:ind w:right="29"/>
        <w:rPr>
          <w:rFonts w:cs="Segoe UI Light"/>
          <w:szCs w:val="20"/>
        </w:rPr>
      </w:pPr>
      <w:r w:rsidRPr="0072303D">
        <w:rPr>
          <w:rFonts w:cs="Segoe UI Light"/>
          <w:szCs w:val="20"/>
        </w:rPr>
        <w:t xml:space="preserve">Quasi-regulation: </w:t>
      </w:r>
      <w:r>
        <w:rPr>
          <w:rFonts w:cs="Segoe UI Light"/>
          <w:szCs w:val="20"/>
        </w:rPr>
        <w:t xml:space="preserve">where </w:t>
      </w:r>
      <w:r w:rsidRPr="0072303D">
        <w:rPr>
          <w:rFonts w:cs="Segoe UI Light"/>
          <w:szCs w:val="20"/>
        </w:rPr>
        <w:t>government assists with the development of industry standards, accreditation and/or rating schemes. Government can influence business to comply, but quasi-regulation does not form part of explicit government regulation.</w:t>
      </w:r>
    </w:p>
    <w:p w14:paraId="656B0091" w14:textId="77777777" w:rsidR="00E15E65" w:rsidRPr="0072303D" w:rsidRDefault="00E15E65" w:rsidP="00E15E65">
      <w:pPr>
        <w:ind w:right="29"/>
        <w:rPr>
          <w:rFonts w:cs="Segoe UI Light"/>
        </w:rPr>
      </w:pPr>
      <w:r w:rsidRPr="0072303D">
        <w:rPr>
          <w:rFonts w:cs="Segoe UI Light"/>
        </w:rPr>
        <w:t>Direct government regulation c</w:t>
      </w:r>
      <w:r>
        <w:rPr>
          <w:rFonts w:cs="Segoe UI Light"/>
        </w:rPr>
        <w:t>an</w:t>
      </w:r>
      <w:r w:rsidRPr="0072303D">
        <w:rPr>
          <w:rFonts w:cs="Segoe UI Light"/>
        </w:rPr>
        <w:t xml:space="preserve"> include mandating performance standards, mandating processes to be followed, providing permissions, requiring record keeping, and prescribing matters of detail to enable the </w:t>
      </w:r>
      <w:r>
        <w:rPr>
          <w:rFonts w:cs="Segoe UI Light"/>
        </w:rPr>
        <w:t>new EP legislation</w:t>
      </w:r>
      <w:r w:rsidRPr="0072303D">
        <w:rPr>
          <w:rFonts w:cs="Segoe UI Light"/>
        </w:rPr>
        <w:t>.</w:t>
      </w:r>
    </w:p>
    <w:p w14:paraId="656B0092" w14:textId="77777777" w:rsidR="00E15E65" w:rsidRPr="0072303D" w:rsidRDefault="00E15E65" w:rsidP="00E15E65">
      <w:pPr>
        <w:rPr>
          <w:rFonts w:cs="Segoe UI Light"/>
        </w:rPr>
      </w:pPr>
      <w:r>
        <w:rPr>
          <w:rFonts w:cs="Segoe UI Light"/>
          <w:noProof/>
          <w:color w:val="2B579A"/>
          <w:shd w:val="clear" w:color="auto" w:fill="E6E6E6"/>
          <w:lang w:eastAsia="en-AU"/>
        </w:rPr>
        <mc:AlternateContent>
          <mc:Choice Requires="wps">
            <w:drawing>
              <wp:anchor distT="0" distB="0" distL="114300" distR="114300" simplePos="0" relativeHeight="251658274" behindDoc="0" locked="0" layoutInCell="1" allowOverlap="1" wp14:anchorId="656B1E88" wp14:editId="656B1E89">
                <wp:simplePos x="0" y="0"/>
                <wp:positionH relativeFrom="column">
                  <wp:posOffset>-232397</wp:posOffset>
                </wp:positionH>
                <wp:positionV relativeFrom="paragraph">
                  <wp:posOffset>574690</wp:posOffset>
                </wp:positionV>
                <wp:extent cx="0" cy="0"/>
                <wp:effectExtent l="0" t="0" r="0" b="0"/>
                <wp:wrapNone/>
                <wp:docPr id="1048826431" name="Straight Connector 1048826431"/>
                <wp:cNvGraphicFramePr/>
                <a:graphic xmlns:a="http://schemas.openxmlformats.org/drawingml/2006/main">
                  <a:graphicData uri="http://schemas.microsoft.com/office/word/2010/wordprocessingShape">
                    <wps:wsp>
                      <wps:cNvCnPr/>
                      <wps:spPr>
                        <a:xfrm flipH="1" flipV="1">
                          <a:off x="0" y="0"/>
                          <a:ext cx="0" cy="0"/>
                        </a:xfrm>
                        <a:prstGeom prst="line">
                          <a:avLst/>
                        </a:prstGeom>
                        <a:ln>
                          <a:solidFill>
                            <a:srgbClr val="445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B795C" id="Straight Connector 1048826431" o:spid="_x0000_s1026" style="position:absolute;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45.25pt" to="-18.3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" strokecolor="#44546a"/>
            </w:pict>
          </mc:Fallback>
        </mc:AlternateContent>
      </w:r>
      <w:r>
        <w:rPr>
          <w:rFonts w:cs="Segoe UI Light"/>
        </w:rPr>
        <w:t xml:space="preserve">Direct/explicit regulation is most appropriate </w:t>
      </w:r>
      <w:r w:rsidRPr="0072303D">
        <w:rPr>
          <w:rFonts w:cs="Segoe UI Light"/>
        </w:rPr>
        <w:t>when, among other things, the problem is high-risk or of high consequence</w:t>
      </w:r>
      <w:r>
        <w:rPr>
          <w:rFonts w:cs="Segoe UI Light"/>
        </w:rPr>
        <w:t xml:space="preserve">, </w:t>
      </w:r>
      <w:r w:rsidR="00415C6E">
        <w:rPr>
          <w:rFonts w:cs="Segoe UI Light"/>
        </w:rPr>
        <w:t>where</w:t>
      </w:r>
      <w:r>
        <w:rPr>
          <w:rFonts w:cs="Segoe UI Light"/>
        </w:rPr>
        <w:t xml:space="preserve"> there is a history of non-compliance, or where</w:t>
      </w:r>
      <w:r w:rsidRPr="0072303D">
        <w:rPr>
          <w:rFonts w:cs="Segoe UI Light"/>
        </w:rPr>
        <w:t xml:space="preserve"> community </w:t>
      </w:r>
      <w:r>
        <w:rPr>
          <w:rFonts w:cs="Segoe UI Light"/>
        </w:rPr>
        <w:t xml:space="preserve">and industry </w:t>
      </w:r>
      <w:r w:rsidRPr="0072303D">
        <w:rPr>
          <w:rFonts w:cs="Segoe UI Light"/>
        </w:rPr>
        <w:t xml:space="preserve">requires certainty about legal </w:t>
      </w:r>
      <w:r>
        <w:rPr>
          <w:rFonts w:cs="Segoe UI Light"/>
        </w:rPr>
        <w:t xml:space="preserve">requirements or </w:t>
      </w:r>
      <w:r w:rsidRPr="0072303D">
        <w:rPr>
          <w:rFonts w:cs="Segoe UI Light"/>
        </w:rPr>
        <w:t xml:space="preserve">sanctions for non-compliance. If </w:t>
      </w:r>
      <w:r>
        <w:rPr>
          <w:rFonts w:cs="Segoe UI Light"/>
        </w:rPr>
        <w:t>few</w:t>
      </w:r>
      <w:r w:rsidRPr="0072303D">
        <w:rPr>
          <w:rFonts w:cs="Segoe UI Light"/>
        </w:rPr>
        <w:t xml:space="preserve"> of these conditions are met, lighter forms of regulation </w:t>
      </w:r>
      <w:r>
        <w:rPr>
          <w:rFonts w:cs="Segoe UI Light"/>
        </w:rPr>
        <w:t xml:space="preserve">(e.g. licences) or non-regulatory approaches </w:t>
      </w:r>
      <w:r w:rsidRPr="0072303D">
        <w:rPr>
          <w:rFonts w:cs="Segoe UI Light"/>
        </w:rPr>
        <w:t>should be considered</w:t>
      </w:r>
      <w:r>
        <w:rPr>
          <w:rFonts w:cs="Segoe UI Light"/>
        </w:rPr>
        <w:t>.</w:t>
      </w:r>
      <w:r w:rsidRPr="0072303D">
        <w:rPr>
          <w:rFonts w:cs="Segoe UI Light"/>
        </w:rPr>
        <w:t xml:space="preserve"> </w:t>
      </w:r>
    </w:p>
    <w:p w14:paraId="656B0093" w14:textId="77777777" w:rsidR="00E15E65" w:rsidRPr="0072303D" w:rsidRDefault="00E15E65" w:rsidP="00E15E65">
      <w:pPr>
        <w:ind w:right="29"/>
        <w:rPr>
          <w:rFonts w:cs="Segoe UI Light"/>
          <w:szCs w:val="20"/>
        </w:rPr>
      </w:pPr>
      <w:r w:rsidRPr="0072303D">
        <w:rPr>
          <w:rFonts w:cs="Segoe UI Light"/>
          <w:szCs w:val="20"/>
        </w:rPr>
        <w:t>For this RIS, the suitability of lighter</w:t>
      </w:r>
      <w:r>
        <w:rPr>
          <w:rFonts w:cs="Segoe UI Light"/>
          <w:szCs w:val="20"/>
        </w:rPr>
        <w:t>-</w:t>
      </w:r>
      <w:r w:rsidRPr="0072303D">
        <w:rPr>
          <w:rFonts w:cs="Segoe UI Light"/>
          <w:szCs w:val="20"/>
        </w:rPr>
        <w:t xml:space="preserve">touch forms of regulation varies according to the problem area. For contaminated land, the problem is highly dispersed across many land owners. </w:t>
      </w:r>
      <w:r>
        <w:rPr>
          <w:rFonts w:cs="Segoe UI Light"/>
          <w:szCs w:val="20"/>
        </w:rPr>
        <w:t>Knowledge</w:t>
      </w:r>
      <w:r w:rsidRPr="0072303D">
        <w:rPr>
          <w:rFonts w:cs="Segoe UI Light"/>
          <w:szCs w:val="20"/>
        </w:rPr>
        <w:t xml:space="preserve"> about the location of contaminated land</w:t>
      </w:r>
      <w:r>
        <w:rPr>
          <w:rFonts w:cs="Segoe UI Light"/>
          <w:szCs w:val="20"/>
        </w:rPr>
        <w:t xml:space="preserve"> is incomplete and highly dis</w:t>
      </w:r>
      <w:r w:rsidR="001D03BB">
        <w:rPr>
          <w:rFonts w:cs="Segoe UI Light"/>
          <w:szCs w:val="20"/>
        </w:rPr>
        <w:t>pe</w:t>
      </w:r>
      <w:r>
        <w:rPr>
          <w:rFonts w:cs="Segoe UI Light"/>
          <w:szCs w:val="20"/>
        </w:rPr>
        <w:t>rsed</w:t>
      </w:r>
      <w:r w:rsidRPr="0072303D">
        <w:rPr>
          <w:rFonts w:cs="Segoe UI Light"/>
          <w:szCs w:val="20"/>
        </w:rPr>
        <w:t xml:space="preserve"> and</w:t>
      </w:r>
      <w:r>
        <w:rPr>
          <w:rFonts w:cs="Segoe UI Light"/>
          <w:szCs w:val="20"/>
        </w:rPr>
        <w:t>, from EPA’s perspective as a regulator, it may be unclear</w:t>
      </w:r>
      <w:r w:rsidRPr="0072303D">
        <w:rPr>
          <w:rFonts w:cs="Segoe UI Light"/>
          <w:szCs w:val="20"/>
        </w:rPr>
        <w:t xml:space="preserve"> who and how many land owners are responsible for contaminated land. In some cases, the problem is also high</w:t>
      </w:r>
      <w:r>
        <w:rPr>
          <w:rFonts w:cs="Segoe UI Light"/>
          <w:szCs w:val="20"/>
        </w:rPr>
        <w:t>-</w:t>
      </w:r>
      <w:r w:rsidRPr="0072303D">
        <w:rPr>
          <w:rFonts w:cs="Segoe UI Light"/>
          <w:szCs w:val="20"/>
        </w:rPr>
        <w:t xml:space="preserve">risk and has high consequences. Lighter forms of regulation such as co-regulation are less likely to be suitable. For industrial waste, the industry players may be more identifiable than for contaminated land, but in a small part of the sector there has been a history of poor compliance; this also makes lighter touch forms of regulation or non-regulatory </w:t>
      </w:r>
      <w:r>
        <w:rPr>
          <w:rFonts w:cs="Segoe UI Light"/>
          <w:szCs w:val="20"/>
        </w:rPr>
        <w:t>approaches</w:t>
      </w:r>
      <w:r w:rsidRPr="0072303D">
        <w:rPr>
          <w:rFonts w:cs="Segoe UI Light"/>
          <w:szCs w:val="20"/>
        </w:rPr>
        <w:t xml:space="preserve"> less suitable.</w:t>
      </w:r>
    </w:p>
    <w:p w14:paraId="656B0094" w14:textId="77777777" w:rsidR="0072303D" w:rsidRPr="0072303D" w:rsidRDefault="0072303D" w:rsidP="00982D63">
      <w:pPr>
        <w:pStyle w:val="Heading2"/>
      </w:pPr>
      <w:r w:rsidRPr="0072303D">
        <w:t>Non</w:t>
      </w:r>
      <w:r w:rsidR="001D03BB">
        <w:t>-</w:t>
      </w:r>
      <w:r w:rsidRPr="0072303D">
        <w:t>regulatory government policy interventions</w:t>
      </w:r>
    </w:p>
    <w:p w14:paraId="656B0095" w14:textId="77777777" w:rsidR="00E15E65" w:rsidRPr="0072303D" w:rsidRDefault="00E15E65" w:rsidP="00E15E65">
      <w:pPr>
        <w:keepNext/>
        <w:keepLines/>
        <w:rPr>
          <w:rFonts w:cs="Segoe UI Light"/>
          <w:szCs w:val="20"/>
        </w:rPr>
      </w:pPr>
      <w:r w:rsidRPr="0072303D">
        <w:rPr>
          <w:rFonts w:cs="Segoe UI Light"/>
          <w:szCs w:val="20"/>
        </w:rPr>
        <w:t>Non</w:t>
      </w:r>
      <w:r>
        <w:rPr>
          <w:rFonts w:cs="Segoe UI Light"/>
          <w:szCs w:val="20"/>
        </w:rPr>
        <w:t>-</w:t>
      </w:r>
      <w:r w:rsidRPr="0072303D">
        <w:rPr>
          <w:rFonts w:cs="Segoe UI Light"/>
          <w:szCs w:val="20"/>
        </w:rPr>
        <w:t xml:space="preserve">regulatory interventions that could be used in conjunction with the </w:t>
      </w:r>
      <w:r>
        <w:rPr>
          <w:rFonts w:cs="Segoe UI Light"/>
          <w:szCs w:val="20"/>
        </w:rPr>
        <w:t>new EP legislation</w:t>
      </w:r>
      <w:r w:rsidRPr="0072303D">
        <w:rPr>
          <w:rFonts w:cs="Segoe UI Light"/>
          <w:szCs w:val="20"/>
        </w:rPr>
        <w:t xml:space="preserve"> to address the problem of environmental harm include:</w:t>
      </w:r>
    </w:p>
    <w:p w14:paraId="656B0096" w14:textId="77777777" w:rsidR="00E15E65" w:rsidRPr="0072303D" w:rsidRDefault="00E15E65" w:rsidP="00E15E65">
      <w:pPr>
        <w:numPr>
          <w:ilvl w:val="0"/>
          <w:numId w:val="26"/>
        </w:numPr>
        <w:spacing w:after="0"/>
        <w:ind w:right="29"/>
        <w:rPr>
          <w:rFonts w:cs="Segoe UI Light"/>
          <w:szCs w:val="20"/>
        </w:rPr>
      </w:pPr>
      <w:r>
        <w:rPr>
          <w:rFonts w:cs="Segoe UI Light"/>
          <w:szCs w:val="20"/>
        </w:rPr>
        <w:t>P</w:t>
      </w:r>
      <w:r w:rsidRPr="0072303D">
        <w:rPr>
          <w:rFonts w:cs="Segoe UI Light"/>
          <w:szCs w:val="20"/>
        </w:rPr>
        <w:t>ublic information and education campaigns, Information disclosure</w:t>
      </w:r>
    </w:p>
    <w:p w14:paraId="656B0097" w14:textId="77777777" w:rsidR="00E15E65" w:rsidRPr="0072303D" w:rsidRDefault="00E15E65" w:rsidP="00E15E65">
      <w:pPr>
        <w:numPr>
          <w:ilvl w:val="0"/>
          <w:numId w:val="26"/>
        </w:numPr>
        <w:spacing w:after="0"/>
        <w:ind w:right="29"/>
        <w:rPr>
          <w:rFonts w:cs="Segoe UI Light"/>
          <w:szCs w:val="20"/>
        </w:rPr>
      </w:pPr>
      <w:r>
        <w:rPr>
          <w:rFonts w:cs="Segoe UI Light"/>
          <w:szCs w:val="20"/>
        </w:rPr>
        <w:t>Guidance.</w:t>
      </w:r>
    </w:p>
    <w:p w14:paraId="656B0098" w14:textId="77777777" w:rsidR="00E15E65" w:rsidRPr="0072303D" w:rsidRDefault="00E15E65" w:rsidP="00E15E65">
      <w:pPr>
        <w:spacing w:before="120" w:after="0" w:line="240" w:lineRule="auto"/>
        <w:rPr>
          <w:rFonts w:cs="Segoe UI Light"/>
          <w:szCs w:val="20"/>
        </w:rPr>
      </w:pPr>
      <w:r w:rsidRPr="0072303D">
        <w:rPr>
          <w:rFonts w:cs="Segoe UI Light"/>
          <w:szCs w:val="20"/>
        </w:rPr>
        <w:t xml:space="preserve">On their own these </w:t>
      </w:r>
      <w:r w:rsidR="005E035A" w:rsidRPr="0072303D">
        <w:rPr>
          <w:rFonts w:cs="Segoe UI Light"/>
          <w:szCs w:val="20"/>
        </w:rPr>
        <w:t>non-regulatory</w:t>
      </w:r>
      <w:r w:rsidRPr="0072303D">
        <w:rPr>
          <w:rFonts w:cs="Segoe UI Light"/>
          <w:szCs w:val="20"/>
        </w:rPr>
        <w:t xml:space="preserve"> interventions are best suited to</w:t>
      </w:r>
      <w:r w:rsidRPr="0072303D">
        <w:rPr>
          <w:rFonts w:cs="Segoe UI Light"/>
          <w:iCs/>
          <w:szCs w:val="20"/>
        </w:rPr>
        <w:t xml:space="preserve"> lower risk and lower consequence environmental </w:t>
      </w:r>
      <w:r>
        <w:rPr>
          <w:rFonts w:cs="Segoe UI Light"/>
          <w:iCs/>
          <w:szCs w:val="20"/>
        </w:rPr>
        <w:t xml:space="preserve">or human health </w:t>
      </w:r>
      <w:r w:rsidRPr="0072303D">
        <w:rPr>
          <w:rFonts w:cs="Segoe UI Light"/>
          <w:iCs/>
          <w:szCs w:val="20"/>
        </w:rPr>
        <w:t xml:space="preserve">problems, or where lack of information, as distinct from deliberate non-compliance, is a </w:t>
      </w:r>
      <w:r w:rsidR="004844AE">
        <w:rPr>
          <w:rFonts w:cs="Segoe UI Light"/>
          <w:iCs/>
          <w:szCs w:val="20"/>
        </w:rPr>
        <w:t>key driver of the</w:t>
      </w:r>
      <w:r w:rsidR="004844AE" w:rsidRPr="0072303D">
        <w:rPr>
          <w:rFonts w:cs="Segoe UI Light"/>
          <w:iCs/>
          <w:szCs w:val="20"/>
        </w:rPr>
        <w:t xml:space="preserve"> </w:t>
      </w:r>
      <w:r w:rsidRPr="0072303D">
        <w:rPr>
          <w:rFonts w:cs="Segoe UI Light"/>
          <w:iCs/>
          <w:szCs w:val="20"/>
        </w:rPr>
        <w:t>problem</w:t>
      </w:r>
      <w:r>
        <w:rPr>
          <w:rFonts w:cs="Segoe UI Light"/>
          <w:iCs/>
          <w:szCs w:val="20"/>
        </w:rPr>
        <w:t>. T</w:t>
      </w:r>
      <w:r w:rsidRPr="0072303D">
        <w:rPr>
          <w:rFonts w:cs="Segoe UI Light"/>
          <w:iCs/>
          <w:szCs w:val="20"/>
        </w:rPr>
        <w:t>hey are unlikely to be appropriate as the sole intervention for activities involving higher risks of harm, and in dealing with problems where non-compliance is a significant issue, such as the storage of hazardous waste. However</w:t>
      </w:r>
      <w:r w:rsidR="00B35A3F">
        <w:rPr>
          <w:rFonts w:cs="Segoe UI Light"/>
          <w:iCs/>
          <w:szCs w:val="20"/>
        </w:rPr>
        <w:t>,</w:t>
      </w:r>
      <w:r w:rsidRPr="0072303D">
        <w:rPr>
          <w:rFonts w:cs="Segoe UI Light"/>
          <w:iCs/>
          <w:szCs w:val="20"/>
        </w:rPr>
        <w:t xml:space="preserve"> they can be effective in conjunction with other interventions.</w:t>
      </w:r>
    </w:p>
    <w:p w14:paraId="656B0099" w14:textId="77777777" w:rsidR="00E15E65" w:rsidRPr="0072303D" w:rsidRDefault="00E15E65" w:rsidP="00E15E65">
      <w:pPr>
        <w:spacing w:before="120" w:line="240" w:lineRule="auto"/>
        <w:rPr>
          <w:rFonts w:cs="Segoe UI Light"/>
          <w:szCs w:val="20"/>
        </w:rPr>
      </w:pPr>
      <w:r w:rsidRPr="0072303D">
        <w:rPr>
          <w:rFonts w:cs="Segoe UI Light"/>
          <w:szCs w:val="20"/>
        </w:rPr>
        <w:t xml:space="preserve">Public education and information campaigns have been used, sometimes quite effectively, in </w:t>
      </w:r>
      <w:r>
        <w:rPr>
          <w:rFonts w:cs="Segoe UI Light"/>
          <w:szCs w:val="20"/>
        </w:rPr>
        <w:t xml:space="preserve">addressing risks to the </w:t>
      </w:r>
      <w:r w:rsidRPr="0072303D">
        <w:rPr>
          <w:rFonts w:cs="Segoe UI Light"/>
          <w:szCs w:val="20"/>
        </w:rPr>
        <w:t>environment</w:t>
      </w:r>
      <w:r>
        <w:rPr>
          <w:rFonts w:cs="Segoe UI Light"/>
          <w:szCs w:val="20"/>
        </w:rPr>
        <w:t xml:space="preserve"> and human health</w:t>
      </w:r>
      <w:r w:rsidR="00DC7A63">
        <w:rPr>
          <w:rFonts w:cs="Segoe UI Light"/>
          <w:szCs w:val="20"/>
        </w:rPr>
        <w:t xml:space="preserve">. </w:t>
      </w:r>
      <w:r w:rsidRPr="0072303D">
        <w:rPr>
          <w:rFonts w:cs="Segoe UI Light"/>
          <w:szCs w:val="20"/>
        </w:rPr>
        <w:t xml:space="preserve">Advertising campaigns that focus on the impact of litter on beaches and marine life </w:t>
      </w:r>
      <w:r>
        <w:rPr>
          <w:rFonts w:cs="Segoe UI Light"/>
          <w:szCs w:val="20"/>
        </w:rPr>
        <w:t>are</w:t>
      </w:r>
      <w:r w:rsidRPr="0072303D">
        <w:rPr>
          <w:rFonts w:cs="Segoe UI Light"/>
          <w:szCs w:val="20"/>
        </w:rPr>
        <w:t xml:space="preserve"> an example. Information campaigns can </w:t>
      </w:r>
      <w:r w:rsidR="00415C6E">
        <w:rPr>
          <w:rFonts w:cs="Segoe UI Light"/>
          <w:szCs w:val="20"/>
        </w:rPr>
        <w:t xml:space="preserve">also </w:t>
      </w:r>
      <w:r w:rsidRPr="0072303D">
        <w:rPr>
          <w:rFonts w:cs="Segoe UI Light"/>
          <w:szCs w:val="20"/>
        </w:rPr>
        <w:t>enable the provision of significant practical information about the legislative requirements in a format that is clear and accessible. For example, EPA undertakes public campaigns that educate Victorians on how to protect the environment by reporting litter, pollution, smoky vehicles and illegal dumping.</w:t>
      </w:r>
    </w:p>
    <w:p w14:paraId="656B009A" w14:textId="77777777" w:rsidR="00E15E65" w:rsidRPr="0072303D" w:rsidRDefault="00E15E65" w:rsidP="00E15E65">
      <w:pPr>
        <w:rPr>
          <w:rFonts w:cs="Segoe UI Light"/>
          <w:szCs w:val="20"/>
        </w:rPr>
      </w:pPr>
      <w:r>
        <w:rPr>
          <w:rFonts w:cs="Segoe UI Light"/>
          <w:noProof/>
          <w:color w:val="2B579A"/>
          <w:szCs w:val="20"/>
          <w:shd w:val="clear" w:color="auto" w:fill="E6E6E6"/>
          <w:lang w:eastAsia="en-AU"/>
        </w:rPr>
        <mc:AlternateContent>
          <mc:Choice Requires="wps">
            <w:drawing>
              <wp:anchor distT="0" distB="0" distL="114300" distR="114300" simplePos="0" relativeHeight="251658275" behindDoc="0" locked="0" layoutInCell="1" allowOverlap="1" wp14:anchorId="656B1E8A" wp14:editId="656B1E8B">
                <wp:simplePos x="0" y="0"/>
                <wp:positionH relativeFrom="column">
                  <wp:posOffset>-279400</wp:posOffset>
                </wp:positionH>
                <wp:positionV relativeFrom="paragraph">
                  <wp:posOffset>-575310</wp:posOffset>
                </wp:positionV>
                <wp:extent cx="381000" cy="50800"/>
                <wp:effectExtent l="0" t="0" r="19050" b="25400"/>
                <wp:wrapNone/>
                <wp:docPr id="662474177" name="Straight Connector 662474177"/>
                <wp:cNvGraphicFramePr/>
                <a:graphic xmlns:a="http://schemas.openxmlformats.org/drawingml/2006/main">
                  <a:graphicData uri="http://schemas.microsoft.com/office/word/2010/wordprocessingShape">
                    <wps:wsp>
                      <wps:cNvCnPr/>
                      <wps:spPr>
                        <a:xfrm flipH="1">
                          <a:off x="0" y="0"/>
                          <a:ext cx="381000" cy="508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0C917" id="Straight Connector 662474177" o:spid="_x0000_s1026" style="position:absolute;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45.3pt" to="8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" strokecolor="white [3212]"/>
            </w:pict>
          </mc:Fallback>
        </mc:AlternateContent>
      </w:r>
      <w:r w:rsidRPr="0072303D">
        <w:rPr>
          <w:rFonts w:cs="Segoe UI Light"/>
          <w:szCs w:val="20"/>
        </w:rPr>
        <w:t>Because they rely on voluntary action, public education campaigns often work well where individuals or businesses have a self-interest in acting in response to the information. This could be a financial or health</w:t>
      </w:r>
      <w:r w:rsidR="00C67901">
        <w:rPr>
          <w:rFonts w:cs="Segoe UI Light"/>
          <w:szCs w:val="20"/>
        </w:rPr>
        <w:t>-</w:t>
      </w:r>
      <w:r w:rsidRPr="0072303D">
        <w:rPr>
          <w:rFonts w:cs="Segoe UI Light"/>
          <w:szCs w:val="20"/>
        </w:rPr>
        <w:t>related self-interest, but could also include a desire to ensure that the environment</w:t>
      </w:r>
      <w:r>
        <w:rPr>
          <w:rFonts w:cs="Segoe UI Light"/>
          <w:szCs w:val="20"/>
        </w:rPr>
        <w:t xml:space="preserve"> and human health</w:t>
      </w:r>
      <w:r w:rsidRPr="0072303D">
        <w:rPr>
          <w:rFonts w:cs="Segoe UI Light"/>
          <w:szCs w:val="20"/>
        </w:rPr>
        <w:t xml:space="preserve"> is protected for intrinsic reasons.</w:t>
      </w:r>
    </w:p>
    <w:p w14:paraId="656B009B" w14:textId="77777777" w:rsidR="00E15E65" w:rsidRPr="0072303D" w:rsidRDefault="00E15E65" w:rsidP="00E15E65">
      <w:pPr>
        <w:rPr>
          <w:rFonts w:cs="Segoe UI Light"/>
          <w:szCs w:val="20"/>
        </w:rPr>
      </w:pPr>
      <w:r>
        <w:rPr>
          <w:rFonts w:cs="Segoe UI Light"/>
          <w:noProof/>
          <w:color w:val="2B579A"/>
          <w:szCs w:val="20"/>
          <w:shd w:val="clear" w:color="auto" w:fill="E6E6E6"/>
          <w:lang w:eastAsia="en-AU"/>
        </w:rPr>
        <mc:AlternateContent>
          <mc:Choice Requires="wps">
            <w:drawing>
              <wp:anchor distT="0" distB="0" distL="114300" distR="114300" simplePos="0" relativeHeight="251658276" behindDoc="0" locked="0" layoutInCell="1" allowOverlap="1" wp14:anchorId="656B1E8C" wp14:editId="656B1E8D">
                <wp:simplePos x="0" y="0"/>
                <wp:positionH relativeFrom="column">
                  <wp:posOffset>-645548</wp:posOffset>
                </wp:positionH>
                <wp:positionV relativeFrom="paragraph">
                  <wp:posOffset>16361</wp:posOffset>
                </wp:positionV>
                <wp:extent cx="0" cy="1187809"/>
                <wp:effectExtent l="0" t="0" r="38100" b="31750"/>
                <wp:wrapNone/>
                <wp:docPr id="662474178" name="Straight Connector 662474178"/>
                <wp:cNvGraphicFramePr/>
                <a:graphic xmlns:a="http://schemas.openxmlformats.org/drawingml/2006/main">
                  <a:graphicData uri="http://schemas.microsoft.com/office/word/2010/wordprocessingShape">
                    <wps:wsp>
                      <wps:cNvCnPr/>
                      <wps:spPr>
                        <a:xfrm flipH="1">
                          <a:off x="0" y="0"/>
                          <a:ext cx="0" cy="1187809"/>
                        </a:xfrm>
                        <a:prstGeom prst="line">
                          <a:avLst/>
                        </a:prstGeom>
                        <a:ln>
                          <a:solidFill>
                            <a:srgbClr val="445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1EAD8" id="Straight Connector 662474178" o:spid="_x0000_s1026" style="position:absolute;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5pt,1.3pt" to="-50.8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" strokecolor="#44546a"/>
            </w:pict>
          </mc:Fallback>
        </mc:AlternateContent>
      </w:r>
      <w:r>
        <w:rPr>
          <w:rFonts w:cs="Segoe UI Light"/>
          <w:szCs w:val="20"/>
        </w:rPr>
        <w:t xml:space="preserve">Guidance can also be provided by EPA to support duty holders </w:t>
      </w:r>
      <w:r w:rsidR="00C67901">
        <w:rPr>
          <w:rFonts w:cs="Segoe UI Light"/>
          <w:szCs w:val="20"/>
        </w:rPr>
        <w:t xml:space="preserve">to </w:t>
      </w:r>
      <w:r>
        <w:rPr>
          <w:rFonts w:cs="Segoe UI Light"/>
          <w:szCs w:val="20"/>
        </w:rPr>
        <w:t xml:space="preserve">understand their obligations. Guidance can be provided in different forms. For </w:t>
      </w:r>
      <w:r w:rsidRPr="0072303D">
        <w:rPr>
          <w:rFonts w:cs="Segoe UI Light"/>
          <w:szCs w:val="20"/>
        </w:rPr>
        <w:t xml:space="preserve">example, guidance materials could contain </w:t>
      </w:r>
      <w:r>
        <w:rPr>
          <w:rFonts w:cs="Segoe UI Light"/>
          <w:szCs w:val="20"/>
        </w:rPr>
        <w:t>information on</w:t>
      </w:r>
      <w:r w:rsidRPr="0072303D">
        <w:rPr>
          <w:rFonts w:cs="Segoe UI Light"/>
          <w:szCs w:val="20"/>
        </w:rPr>
        <w:t xml:space="preserve"> the steps a business could take to satisfy the GED, or case studies and educational material about which businesses are required to hold different types of permissions.</w:t>
      </w:r>
    </w:p>
    <w:p w14:paraId="656B009C" w14:textId="77777777" w:rsidR="00E15E65" w:rsidRPr="0072303D" w:rsidRDefault="00E15E65" w:rsidP="00E15E65">
      <w:pPr>
        <w:rPr>
          <w:rFonts w:cs="Segoe UI Light"/>
          <w:szCs w:val="20"/>
        </w:rPr>
      </w:pPr>
      <w:r>
        <w:rPr>
          <w:rFonts w:cs="Segoe UI Light"/>
          <w:szCs w:val="20"/>
        </w:rPr>
        <w:t xml:space="preserve">Under the </w:t>
      </w:r>
      <w:r>
        <w:t>new EP legislation,</w:t>
      </w:r>
      <w:r>
        <w:rPr>
          <w:rStyle w:val="FootnoteReference"/>
        </w:rPr>
        <w:footnoteReference w:id="47"/>
      </w:r>
      <w:r>
        <w:t xml:space="preserve"> EPA can issue </w:t>
      </w:r>
      <w:r w:rsidR="00B35A3F">
        <w:t xml:space="preserve">statutory </w:t>
      </w:r>
      <w:r>
        <w:t xml:space="preserve">guidance in the form of </w:t>
      </w:r>
      <w:r w:rsidRPr="0072303D">
        <w:rPr>
          <w:rFonts w:cs="Segoe UI Light"/>
          <w:szCs w:val="20"/>
        </w:rPr>
        <w:t>compliance codes</w:t>
      </w:r>
      <w:r w:rsidRPr="00CE396C">
        <w:rPr>
          <w:rFonts w:cs="Segoe UI Light"/>
          <w:szCs w:val="20"/>
        </w:rPr>
        <w:t xml:space="preserve"> </w:t>
      </w:r>
      <w:r>
        <w:rPr>
          <w:rFonts w:cs="Segoe UI Light"/>
          <w:szCs w:val="20"/>
        </w:rPr>
        <w:t xml:space="preserve">to </w:t>
      </w:r>
      <w:r w:rsidRPr="0072303D">
        <w:rPr>
          <w:rFonts w:cs="Segoe UI Light"/>
          <w:szCs w:val="20"/>
        </w:rPr>
        <w:t xml:space="preserve">provide practical guidance to duty holders about </w:t>
      </w:r>
      <w:r>
        <w:rPr>
          <w:szCs w:val="20"/>
        </w:rPr>
        <w:t>the best ways to identify, assess and manage risks for particular industries or activities. Compliance codes will be developed by EPA in partnership with industry and technical experts and include public consultation.</w:t>
      </w:r>
      <w:r w:rsidRPr="0072303D">
        <w:rPr>
          <w:rFonts w:cs="Segoe UI Light"/>
          <w:szCs w:val="20"/>
        </w:rPr>
        <w:t xml:space="preserve"> </w:t>
      </w:r>
      <w:r>
        <w:rPr>
          <w:rFonts w:cs="Segoe UI Light"/>
          <w:szCs w:val="20"/>
        </w:rPr>
        <w:t xml:space="preserve">Compliance codes are non-mandatory, </w:t>
      </w:r>
      <w:r>
        <w:t>but a</w:t>
      </w:r>
      <w:r w:rsidRPr="0072303D">
        <w:t xml:space="preserve"> </w:t>
      </w:r>
      <w:r>
        <w:t xml:space="preserve">duty </w:t>
      </w:r>
      <w:r w:rsidRPr="000F124C">
        <w:t>holder is taken to perform a duty or satisfy an obligation under the new EP legislation if they are appropriately complying with the relevant code. However, a failure to comply with a compliance code does not give rise to any civil or criminal penalty</w:t>
      </w:r>
      <w:r w:rsidR="00A04B28" w:rsidRPr="000F124C">
        <w:t xml:space="preserve"> (duty holders can use other approaches than that </w:t>
      </w:r>
      <w:r w:rsidR="00C82D0A" w:rsidRPr="000F124C">
        <w:t xml:space="preserve">which is outlined </w:t>
      </w:r>
      <w:r w:rsidR="00A04B28" w:rsidRPr="000F124C">
        <w:t>in the compliance code, as long as they are managing risks to an equivalent extent).</w:t>
      </w:r>
    </w:p>
    <w:p w14:paraId="656B009D" w14:textId="77777777" w:rsidR="00E15E65" w:rsidRPr="0072303D" w:rsidRDefault="00E15E65" w:rsidP="00E15E65">
      <w:pPr>
        <w:rPr>
          <w:rFonts w:cs="Segoe UI Light"/>
          <w:szCs w:val="20"/>
        </w:rPr>
      </w:pPr>
      <w:r>
        <w:rPr>
          <w:rFonts w:cs="Segoe UI Light"/>
          <w:noProof/>
          <w:color w:val="2B579A"/>
          <w:szCs w:val="20"/>
          <w:shd w:val="clear" w:color="auto" w:fill="E6E6E6"/>
          <w:lang w:eastAsia="en-AU"/>
        </w:rPr>
        <mc:AlternateContent>
          <mc:Choice Requires="wps">
            <w:drawing>
              <wp:anchor distT="0" distB="0" distL="114300" distR="114300" simplePos="0" relativeHeight="251658277" behindDoc="0" locked="0" layoutInCell="1" allowOverlap="1" wp14:anchorId="656B1E8E" wp14:editId="656B1E8F">
                <wp:simplePos x="0" y="0"/>
                <wp:positionH relativeFrom="column">
                  <wp:posOffset>-645548</wp:posOffset>
                </wp:positionH>
                <wp:positionV relativeFrom="paragraph">
                  <wp:posOffset>277951</wp:posOffset>
                </wp:positionV>
                <wp:extent cx="0" cy="844607"/>
                <wp:effectExtent l="0" t="0" r="38100" b="12700"/>
                <wp:wrapNone/>
                <wp:docPr id="662474179" name="Straight Connector 662474179"/>
                <wp:cNvGraphicFramePr/>
                <a:graphic xmlns:a="http://schemas.openxmlformats.org/drawingml/2006/main">
                  <a:graphicData uri="http://schemas.microsoft.com/office/word/2010/wordprocessingShape">
                    <wps:wsp>
                      <wps:cNvCnPr/>
                      <wps:spPr>
                        <a:xfrm flipH="1" flipV="1">
                          <a:off x="0" y="0"/>
                          <a:ext cx="0" cy="844607"/>
                        </a:xfrm>
                        <a:prstGeom prst="line">
                          <a:avLst/>
                        </a:prstGeom>
                        <a:ln>
                          <a:solidFill>
                            <a:srgbClr val="445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2C0E2" id="Straight Connector 662474179" o:spid="_x0000_s1026" style="position:absolute;flip:x 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5pt,21.9pt" to="-50.8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" strokecolor="#44546a"/>
            </w:pict>
          </mc:Fallback>
        </mc:AlternateContent>
      </w:r>
      <w:r w:rsidRPr="0072303D">
        <w:rPr>
          <w:rFonts w:cs="Segoe UI Light"/>
          <w:szCs w:val="20"/>
        </w:rPr>
        <w:t xml:space="preserve">However, because they </w:t>
      </w:r>
      <w:r>
        <w:rPr>
          <w:rFonts w:cs="Segoe UI Light"/>
          <w:szCs w:val="20"/>
        </w:rPr>
        <w:t>are not</w:t>
      </w:r>
      <w:r w:rsidRPr="0072303D">
        <w:rPr>
          <w:rFonts w:cs="Segoe UI Light"/>
          <w:szCs w:val="20"/>
        </w:rPr>
        <w:t xml:space="preserve"> mandatory, compliance codes and other guidance materials need to be voluntarily adopted </w:t>
      </w:r>
      <w:r>
        <w:rPr>
          <w:rFonts w:cs="Segoe UI Light"/>
          <w:szCs w:val="20"/>
        </w:rPr>
        <w:t>by businesses</w:t>
      </w:r>
      <w:r w:rsidRPr="0072303D">
        <w:rPr>
          <w:rFonts w:cs="Segoe UI Light"/>
          <w:szCs w:val="20"/>
        </w:rPr>
        <w:t xml:space="preserve">. Even if they are more comprehensive than the regulations, adherence </w:t>
      </w:r>
      <w:r>
        <w:rPr>
          <w:rFonts w:cs="Segoe UI Light"/>
          <w:szCs w:val="20"/>
        </w:rPr>
        <w:t>will</w:t>
      </w:r>
      <w:r w:rsidRPr="0072303D">
        <w:rPr>
          <w:rFonts w:cs="Segoe UI Light"/>
          <w:szCs w:val="20"/>
        </w:rPr>
        <w:t xml:space="preserve"> be more inconsistent than if regulations were in place because </w:t>
      </w:r>
      <w:r w:rsidR="00B35A3F">
        <w:rPr>
          <w:rFonts w:cs="Segoe UI Light"/>
          <w:szCs w:val="20"/>
        </w:rPr>
        <w:t xml:space="preserve">they </w:t>
      </w:r>
      <w:r w:rsidRPr="0072303D">
        <w:rPr>
          <w:rFonts w:cs="Segoe UI Light"/>
          <w:szCs w:val="20"/>
        </w:rPr>
        <w:t>are not mandatory</w:t>
      </w:r>
      <w:r w:rsidRPr="00D85A7F">
        <w:rPr>
          <w:rFonts w:cs="Segoe UI Light"/>
          <w:szCs w:val="20"/>
        </w:rPr>
        <w:t>.</w:t>
      </w:r>
      <w:r w:rsidRPr="0072303D">
        <w:rPr>
          <w:rFonts w:cs="Segoe UI Light"/>
          <w:szCs w:val="20"/>
        </w:rPr>
        <w:t xml:space="preserve"> Thus this approach is more appropriate where the problem is more one of uncertainty or lack of understanding rather than de</w:t>
      </w:r>
      <w:r>
        <w:rPr>
          <w:rFonts w:cs="Segoe UI Light"/>
          <w:szCs w:val="20"/>
        </w:rPr>
        <w:t>liberate non-compliance.</w:t>
      </w:r>
      <w:r w:rsidRPr="0072303D">
        <w:rPr>
          <w:rFonts w:cs="Segoe UI Light"/>
          <w:szCs w:val="20"/>
        </w:rPr>
        <w:t xml:space="preserve"> Depending on the problem area, non-statutory</w:t>
      </w:r>
      <w:r w:rsidR="00B35A3F">
        <w:rPr>
          <w:rFonts w:cs="Segoe UI Light"/>
          <w:szCs w:val="20"/>
        </w:rPr>
        <w:t xml:space="preserve"> and statutory</w:t>
      </w:r>
      <w:r w:rsidRPr="0072303D">
        <w:rPr>
          <w:rFonts w:cs="Segoe UI Light"/>
          <w:szCs w:val="20"/>
        </w:rPr>
        <w:t xml:space="preserve"> guidance is likely to be most useful for complementing the other interventions. </w:t>
      </w:r>
    </w:p>
    <w:p w14:paraId="656B009E" w14:textId="77777777" w:rsidR="00B35A3F" w:rsidRDefault="00E15E65" w:rsidP="00E15E65">
      <w:pPr>
        <w:rPr>
          <w:rFonts w:cs="Segoe UI Light"/>
          <w:iCs/>
          <w:szCs w:val="20"/>
        </w:rPr>
      </w:pPr>
      <w:r w:rsidRPr="0072303D">
        <w:rPr>
          <w:rFonts w:cs="Segoe UI Light"/>
          <w:iCs/>
          <w:szCs w:val="20"/>
        </w:rPr>
        <w:t xml:space="preserve">Formal guidelines are also specifically contemplated by the </w:t>
      </w:r>
      <w:r>
        <w:rPr>
          <w:rFonts w:cs="Segoe UI Light"/>
          <w:iCs/>
          <w:szCs w:val="20"/>
        </w:rPr>
        <w:t>new EP legislation</w:t>
      </w:r>
      <w:r w:rsidRPr="0072303D">
        <w:rPr>
          <w:rFonts w:cs="Segoe UI Light"/>
          <w:iCs/>
          <w:szCs w:val="20"/>
        </w:rPr>
        <w:t xml:space="preserve">, however </w:t>
      </w:r>
      <w:r>
        <w:rPr>
          <w:rFonts w:cs="Segoe UI Light"/>
          <w:iCs/>
          <w:szCs w:val="20"/>
        </w:rPr>
        <w:t>in contrast to</w:t>
      </w:r>
      <w:r w:rsidRPr="0072303D">
        <w:rPr>
          <w:rFonts w:cs="Segoe UI Light"/>
          <w:iCs/>
          <w:szCs w:val="20"/>
        </w:rPr>
        <w:t xml:space="preserve"> </w:t>
      </w:r>
      <w:r w:rsidRPr="00040A06">
        <w:rPr>
          <w:rFonts w:cs="Segoe UI Light"/>
          <w:i/>
          <w:szCs w:val="20"/>
        </w:rPr>
        <w:t>guidance</w:t>
      </w:r>
      <w:r w:rsidRPr="0072303D">
        <w:rPr>
          <w:rFonts w:cs="Segoe UI Light"/>
          <w:iCs/>
          <w:szCs w:val="20"/>
        </w:rPr>
        <w:t xml:space="preserve">, duty holders or </w:t>
      </w:r>
      <w:r>
        <w:rPr>
          <w:rFonts w:cs="Segoe UI Light"/>
          <w:iCs/>
          <w:szCs w:val="20"/>
        </w:rPr>
        <w:t>EPA</w:t>
      </w:r>
      <w:r w:rsidRPr="0072303D">
        <w:rPr>
          <w:rFonts w:cs="Segoe UI Light"/>
          <w:iCs/>
          <w:szCs w:val="20"/>
        </w:rPr>
        <w:t xml:space="preserve"> </w:t>
      </w:r>
      <w:r w:rsidRPr="0072303D">
        <w:rPr>
          <w:rFonts w:cs="Segoe UI Light"/>
          <w:b/>
          <w:iCs/>
          <w:szCs w:val="20"/>
        </w:rPr>
        <w:t>must</w:t>
      </w:r>
      <w:r w:rsidRPr="0072303D">
        <w:rPr>
          <w:rFonts w:cs="Segoe UI Light"/>
          <w:iCs/>
          <w:szCs w:val="20"/>
        </w:rPr>
        <w:t xml:space="preserve"> have regard to these, if they are issued. For example</w:t>
      </w:r>
      <w:r w:rsidR="00B35A3F">
        <w:rPr>
          <w:rFonts w:cs="Segoe UI Light"/>
          <w:iCs/>
          <w:szCs w:val="20"/>
        </w:rPr>
        <w:t>:</w:t>
      </w:r>
      <w:r w:rsidRPr="0072303D">
        <w:rPr>
          <w:rFonts w:cs="Segoe UI Light"/>
          <w:iCs/>
          <w:szCs w:val="20"/>
        </w:rPr>
        <w:t xml:space="preserve"> </w:t>
      </w:r>
    </w:p>
    <w:p w14:paraId="656B009F" w14:textId="77777777" w:rsidR="00B35A3F" w:rsidRPr="00086D9C" w:rsidRDefault="00B35A3F" w:rsidP="000F124C">
      <w:pPr>
        <w:pStyle w:val="ListParagraph"/>
        <w:numPr>
          <w:ilvl w:val="0"/>
          <w:numId w:val="177"/>
        </w:numPr>
        <w:rPr>
          <w:rFonts w:cs="Segoe UI Light"/>
          <w:szCs w:val="20"/>
        </w:rPr>
      </w:pPr>
      <w:r>
        <w:rPr>
          <w:rFonts w:cs="Segoe UI Light"/>
          <w:iCs/>
          <w:szCs w:val="20"/>
        </w:rPr>
        <w:t>S</w:t>
      </w:r>
      <w:r w:rsidR="00E15E65" w:rsidRPr="009D1A56">
        <w:rPr>
          <w:rFonts w:cs="Segoe UI Light"/>
          <w:iCs/>
          <w:szCs w:val="20"/>
        </w:rPr>
        <w:t xml:space="preserve">ection 141 of the </w:t>
      </w:r>
      <w:r w:rsidR="00E15E65">
        <w:t xml:space="preserve">EP Amendment Act 2018 </w:t>
      </w:r>
      <w:r w:rsidR="00E15E65" w:rsidRPr="009D1A56">
        <w:rPr>
          <w:rFonts w:cs="Segoe UI Light"/>
          <w:iCs/>
          <w:szCs w:val="20"/>
        </w:rPr>
        <w:t xml:space="preserve">enables EPA to issue </w:t>
      </w:r>
      <w:r w:rsidR="00E15E65" w:rsidRPr="005D7838">
        <w:rPr>
          <w:rFonts w:cs="Segoe UI Light"/>
          <w:i/>
          <w:szCs w:val="20"/>
        </w:rPr>
        <w:t>guidelines</w:t>
      </w:r>
      <w:r w:rsidR="00E15E65" w:rsidRPr="00104F07">
        <w:rPr>
          <w:rFonts w:cs="Segoe UI Light"/>
          <w:szCs w:val="20"/>
        </w:rPr>
        <w:t xml:space="preserve"> setting out alternatives to waste disposal – which, if issued, must be considered by persons with management or co</w:t>
      </w:r>
      <w:r w:rsidR="00E15E65" w:rsidRPr="00104F07">
        <w:rPr>
          <w:rFonts w:cs="Segoe UI Light"/>
          <w:iCs/>
          <w:szCs w:val="20"/>
        </w:rPr>
        <w:t xml:space="preserve">ntrol of priority waste for which alternatives to disposal must be investigated. </w:t>
      </w:r>
    </w:p>
    <w:p w14:paraId="656B00A0" w14:textId="77777777" w:rsidR="00B35A3F" w:rsidRPr="005D7838" w:rsidRDefault="00E15E65" w:rsidP="000F124C">
      <w:pPr>
        <w:pStyle w:val="ListParagraph"/>
        <w:numPr>
          <w:ilvl w:val="0"/>
          <w:numId w:val="177"/>
        </w:numPr>
        <w:rPr>
          <w:rFonts w:cs="Segoe UI Light"/>
          <w:szCs w:val="20"/>
        </w:rPr>
      </w:pPr>
      <w:r w:rsidRPr="0017350C">
        <w:rPr>
          <w:rFonts w:cs="Segoe UI Light"/>
          <w:iCs/>
          <w:szCs w:val="20"/>
        </w:rPr>
        <w:t>Section 188 of the</w:t>
      </w:r>
      <w:r w:rsidRPr="007A518D">
        <w:t xml:space="preserve"> </w:t>
      </w:r>
      <w:r>
        <w:t xml:space="preserve">EP Amendment Act 2018 </w:t>
      </w:r>
      <w:r w:rsidRPr="009D1A56">
        <w:rPr>
          <w:rFonts w:cs="Segoe UI Light"/>
          <w:iCs/>
          <w:szCs w:val="20"/>
        </w:rPr>
        <w:t xml:space="preserve">provides for EPA to issue guidelines for assessing proposed better environment plans, which are a form of voluntary agreement between a duty holder and EPA, outlining a voluntary pathway to compliance. </w:t>
      </w:r>
    </w:p>
    <w:p w14:paraId="656B00A1" w14:textId="77777777" w:rsidR="00E15E65" w:rsidRPr="00104F07" w:rsidRDefault="00E15E65" w:rsidP="000F124C">
      <w:pPr>
        <w:pStyle w:val="ListParagraph"/>
        <w:numPr>
          <w:ilvl w:val="0"/>
          <w:numId w:val="177"/>
        </w:numPr>
        <w:rPr>
          <w:rFonts w:cs="Segoe UI Light"/>
          <w:szCs w:val="20"/>
        </w:rPr>
      </w:pPr>
      <w:r w:rsidRPr="00104F07">
        <w:rPr>
          <w:rFonts w:cs="Segoe UI Light"/>
          <w:szCs w:val="20"/>
        </w:rPr>
        <w:t xml:space="preserve">Section 182 </w:t>
      </w:r>
      <w:r w:rsidR="00C67901" w:rsidRPr="0017350C">
        <w:rPr>
          <w:rFonts w:cs="Segoe UI Light"/>
          <w:iCs/>
          <w:szCs w:val="20"/>
        </w:rPr>
        <w:t>of the</w:t>
      </w:r>
      <w:r w:rsidR="00C67901" w:rsidRPr="007A518D">
        <w:t xml:space="preserve"> </w:t>
      </w:r>
      <w:r w:rsidR="00C67901">
        <w:t xml:space="preserve">EP Amendment Act 2018 </w:t>
      </w:r>
      <w:r w:rsidRPr="00104F07">
        <w:rPr>
          <w:rFonts w:cs="Segoe UI Light"/>
          <w:szCs w:val="20"/>
        </w:rPr>
        <w:t>requires that when determining whether to accept a proposed better environment plan, EPA must take into account any guidelines issued under section 188</w:t>
      </w:r>
      <w:r w:rsidR="00DC7A63">
        <w:rPr>
          <w:rFonts w:cs="Segoe UI Light"/>
          <w:szCs w:val="20"/>
        </w:rPr>
        <w:t xml:space="preserve">. </w:t>
      </w:r>
    </w:p>
    <w:p w14:paraId="656B00A2" w14:textId="77777777" w:rsidR="00E15E65" w:rsidRDefault="00E15E65" w:rsidP="00E15E65">
      <w:pPr>
        <w:rPr>
          <w:rFonts w:cs="Segoe UI Light"/>
          <w:szCs w:val="20"/>
        </w:rPr>
      </w:pPr>
      <w:r w:rsidRPr="0072303D">
        <w:rPr>
          <w:rFonts w:cs="Segoe UI Light"/>
          <w:szCs w:val="20"/>
        </w:rPr>
        <w:t xml:space="preserve">Information disclosure by businesses </w:t>
      </w:r>
      <w:r>
        <w:rPr>
          <w:rFonts w:cs="Segoe UI Light"/>
          <w:szCs w:val="20"/>
        </w:rPr>
        <w:t xml:space="preserve">is also a possible option. An example of this in the environmental protection area is the requirement for liable entities with emissions above a certain level to report their emissions under the </w:t>
      </w:r>
      <w:r>
        <w:t>National Greenhouse and Energy Reporting scheme.</w:t>
      </w:r>
      <w:r>
        <w:rPr>
          <w:rStyle w:val="FootnoteReference"/>
        </w:rPr>
        <w:footnoteReference w:id="48"/>
      </w:r>
    </w:p>
    <w:p w14:paraId="656B00A3" w14:textId="2334A63A" w:rsidR="00E15E65" w:rsidRPr="0072303D" w:rsidRDefault="00E15E65" w:rsidP="00E15E65">
      <w:pPr>
        <w:rPr>
          <w:rFonts w:cs="Segoe UI Light"/>
          <w:szCs w:val="20"/>
        </w:rPr>
      </w:pPr>
      <w:r>
        <w:rPr>
          <w:rFonts w:cs="Segoe UI Light"/>
          <w:szCs w:val="20"/>
        </w:rPr>
        <w:t>However</w:t>
      </w:r>
      <w:r w:rsidR="0073546C">
        <w:rPr>
          <w:rFonts w:cs="Segoe UI Light"/>
          <w:szCs w:val="20"/>
        </w:rPr>
        <w:t>,</w:t>
      </w:r>
      <w:r>
        <w:rPr>
          <w:rFonts w:cs="Segoe UI Light"/>
          <w:szCs w:val="20"/>
        </w:rPr>
        <w:t xml:space="preserve"> information disclosure is sometimes not a feasible</w:t>
      </w:r>
      <w:r w:rsidRPr="0072303D">
        <w:rPr>
          <w:rFonts w:cs="Segoe UI Light"/>
          <w:szCs w:val="20"/>
        </w:rPr>
        <w:t xml:space="preserve"> approach</w:t>
      </w:r>
      <w:r>
        <w:rPr>
          <w:rFonts w:cs="Segoe UI Light"/>
          <w:szCs w:val="20"/>
        </w:rPr>
        <w:t>, particularly</w:t>
      </w:r>
      <w:r w:rsidRPr="0072303D">
        <w:rPr>
          <w:rFonts w:cs="Segoe UI Light"/>
          <w:szCs w:val="20"/>
        </w:rPr>
        <w:t xml:space="preserve"> </w:t>
      </w:r>
      <w:r>
        <w:rPr>
          <w:rFonts w:cs="Segoe UI Light"/>
          <w:szCs w:val="20"/>
        </w:rPr>
        <w:t>where there</w:t>
      </w:r>
      <w:r w:rsidRPr="0072303D">
        <w:rPr>
          <w:rFonts w:cs="Segoe UI Light"/>
          <w:szCs w:val="20"/>
        </w:rPr>
        <w:t xml:space="preserve"> is not an obvious consumer market that would benefit from increased information. One exception is possibly disclosure in relation to contaminated land, where there are potential buyers of contaminated </w:t>
      </w:r>
      <w:r>
        <w:rPr>
          <w:rFonts w:cs="Segoe UI Light"/>
          <w:szCs w:val="20"/>
        </w:rPr>
        <w:t>land</w:t>
      </w:r>
      <w:r w:rsidRPr="0072303D">
        <w:rPr>
          <w:rFonts w:cs="Segoe UI Light"/>
          <w:szCs w:val="20"/>
        </w:rPr>
        <w:t xml:space="preserve"> who might not otherwise have full information. However, in this case, the </w:t>
      </w:r>
      <w:r>
        <w:rPr>
          <w:rFonts w:cs="Segoe UI Light"/>
          <w:szCs w:val="20"/>
        </w:rPr>
        <w:t>new EP legislation</w:t>
      </w:r>
      <w:r w:rsidRPr="0072303D">
        <w:rPr>
          <w:rFonts w:cs="Segoe UI Light"/>
          <w:szCs w:val="20"/>
        </w:rPr>
        <w:t xml:space="preserve"> already requires significant information disclosure to the </w:t>
      </w:r>
      <w:r>
        <w:rPr>
          <w:rFonts w:cs="Segoe UI Light"/>
          <w:szCs w:val="20"/>
        </w:rPr>
        <w:t>future persons in control or management of the land (via the duty to manage contamination in section 39</w:t>
      </w:r>
      <w:r w:rsidRPr="00040A06">
        <w:rPr>
          <w:rFonts w:cs="Segoe UI Light"/>
          <w:szCs w:val="20"/>
        </w:rPr>
        <w:t>),</w:t>
      </w:r>
      <w:r>
        <w:rPr>
          <w:rFonts w:cs="Segoe UI Light"/>
          <w:szCs w:val="20"/>
        </w:rPr>
        <w:t xml:space="preserve"> </w:t>
      </w:r>
      <w:r w:rsidRPr="0072303D">
        <w:rPr>
          <w:rFonts w:cs="Segoe UI Light"/>
          <w:szCs w:val="20"/>
        </w:rPr>
        <w:t xml:space="preserve">EPA and subsequently the public (via </w:t>
      </w:r>
      <w:r>
        <w:rPr>
          <w:rFonts w:cs="Segoe UI Light"/>
          <w:szCs w:val="20"/>
        </w:rPr>
        <w:t>EPA</w:t>
      </w:r>
      <w:r w:rsidRPr="0072303D">
        <w:rPr>
          <w:rFonts w:cs="Segoe UI Light"/>
          <w:szCs w:val="20"/>
        </w:rPr>
        <w:t xml:space="preserve">). </w:t>
      </w:r>
    </w:p>
    <w:p w14:paraId="656B00A4" w14:textId="77777777" w:rsidR="0072303D" w:rsidRPr="0072303D" w:rsidRDefault="0072303D" w:rsidP="00D66FCE">
      <w:pPr>
        <w:pStyle w:val="Heading3"/>
        <w:ind w:left="720"/>
      </w:pPr>
      <w:r w:rsidRPr="00D66FCE">
        <w:rPr>
          <w:lang w:val="en"/>
        </w:rPr>
        <w:t>Self</w:t>
      </w:r>
      <w:r w:rsidRPr="0072303D">
        <w:t>-regulation</w:t>
      </w:r>
    </w:p>
    <w:p w14:paraId="656B00A5" w14:textId="77777777" w:rsidR="00E15E65" w:rsidRPr="0072303D" w:rsidRDefault="0072303D" w:rsidP="00E15E65">
      <w:pPr>
        <w:rPr>
          <w:rFonts w:cs="Segoe UI Light"/>
          <w:szCs w:val="20"/>
        </w:rPr>
      </w:pPr>
      <w:r w:rsidRPr="0072303D">
        <w:rPr>
          <w:rFonts w:cs="Segoe UI Light"/>
          <w:szCs w:val="20"/>
        </w:rPr>
        <w:t>Self-regulation involves voluntary agreement within an industry to comply with industry-developed codes of conduct or standards. There is no government enforcement.</w:t>
      </w:r>
      <w:r w:rsidR="003F034B">
        <w:rPr>
          <w:rFonts w:cs="Segoe UI Light"/>
          <w:szCs w:val="20"/>
        </w:rPr>
        <w:t xml:space="preserve"> It is </w:t>
      </w:r>
      <w:r w:rsidR="00B35A3F">
        <w:rPr>
          <w:rFonts w:cs="Segoe UI Light"/>
          <w:szCs w:val="20"/>
        </w:rPr>
        <w:t xml:space="preserve">possible that self-regulation could take the </w:t>
      </w:r>
      <w:r w:rsidR="003F034B">
        <w:rPr>
          <w:rFonts w:cs="Segoe UI Light"/>
          <w:szCs w:val="20"/>
        </w:rPr>
        <w:t xml:space="preserve">form of </w:t>
      </w:r>
      <w:r w:rsidR="00B35A3F">
        <w:rPr>
          <w:rFonts w:cs="Segoe UI Light"/>
          <w:szCs w:val="20"/>
        </w:rPr>
        <w:t xml:space="preserve">guidance prepared by </w:t>
      </w:r>
      <w:r w:rsidR="003F034B">
        <w:rPr>
          <w:rFonts w:cs="Segoe UI Light"/>
          <w:szCs w:val="20"/>
        </w:rPr>
        <w:t>indust</w:t>
      </w:r>
      <w:r w:rsidR="00B35A3F">
        <w:rPr>
          <w:rFonts w:cs="Segoe UI Light"/>
          <w:szCs w:val="20"/>
        </w:rPr>
        <w:t>ry groups</w:t>
      </w:r>
      <w:r w:rsidR="003F034B">
        <w:rPr>
          <w:rFonts w:cs="Segoe UI Light"/>
          <w:szCs w:val="20"/>
        </w:rPr>
        <w:t xml:space="preserve"> to assist their members understand and meet their duties and obligations</w:t>
      </w:r>
      <w:r w:rsidR="00B35A3F">
        <w:rPr>
          <w:rFonts w:cs="Segoe UI Light"/>
          <w:szCs w:val="20"/>
        </w:rPr>
        <w:t>. H</w:t>
      </w:r>
      <w:r w:rsidR="003F034B">
        <w:rPr>
          <w:rFonts w:cs="Segoe UI Light"/>
          <w:szCs w:val="20"/>
        </w:rPr>
        <w:t>owever</w:t>
      </w:r>
      <w:r w:rsidR="00E15E65">
        <w:rPr>
          <w:rFonts w:cs="Segoe UI Light"/>
          <w:szCs w:val="20"/>
        </w:rPr>
        <w:t xml:space="preserve">, such activity would in fact form part of what constitutes “reasonably practicable” as matters that are “known or ought reasonably to be known” about the risks and means of risk control, which is an element of the GED and duty to manage contamination. </w:t>
      </w:r>
      <w:r w:rsidR="00B35A3F">
        <w:rPr>
          <w:rFonts w:cs="Segoe UI Light"/>
          <w:szCs w:val="20"/>
        </w:rPr>
        <w:t xml:space="preserve">Additionally, it is considered unlikely that complete self-regulation would occur in the form of voluntary codes developed and maintained by industries. </w:t>
      </w:r>
      <w:r w:rsidR="00E15E65">
        <w:rPr>
          <w:rFonts w:cs="Segoe UI Light"/>
          <w:szCs w:val="20"/>
        </w:rPr>
        <w:t xml:space="preserve">It is </w:t>
      </w:r>
      <w:r w:rsidR="00415C6E">
        <w:rPr>
          <w:rFonts w:cs="Segoe UI Light"/>
          <w:szCs w:val="20"/>
        </w:rPr>
        <w:t xml:space="preserve">therefore </w:t>
      </w:r>
      <w:r w:rsidR="00E15E65">
        <w:rPr>
          <w:rFonts w:cs="Segoe UI Light"/>
          <w:szCs w:val="20"/>
        </w:rPr>
        <w:t>not an option considered further in this RIS</w:t>
      </w:r>
      <w:r w:rsidR="00415C6E">
        <w:rPr>
          <w:rFonts w:cs="Segoe UI Light"/>
          <w:szCs w:val="20"/>
        </w:rPr>
        <w:t>.</w:t>
      </w:r>
    </w:p>
    <w:p w14:paraId="656B00A6" w14:textId="77777777" w:rsidR="0072303D" w:rsidRPr="000F124C" w:rsidRDefault="0072303D" w:rsidP="000F124C">
      <w:pPr>
        <w:pStyle w:val="Heading3"/>
        <w:ind w:left="720"/>
      </w:pPr>
      <w:r w:rsidRPr="000F124C">
        <w:t>Market based instruments</w:t>
      </w:r>
    </w:p>
    <w:p w14:paraId="656B00A7" w14:textId="77777777" w:rsidR="0072303D" w:rsidRPr="0072303D" w:rsidRDefault="0072303D" w:rsidP="00D85A7F">
      <w:pPr>
        <w:rPr>
          <w:rFonts w:cs="Segoe UI Light"/>
          <w:szCs w:val="20"/>
        </w:rPr>
      </w:pPr>
      <w:r w:rsidRPr="0072303D">
        <w:rPr>
          <w:rFonts w:cs="Segoe UI Light"/>
          <w:szCs w:val="20"/>
        </w:rPr>
        <w:t>Market based instruments are policy interventions that use the characteristics of well</w:t>
      </w:r>
      <w:r w:rsidR="00567824">
        <w:rPr>
          <w:rFonts w:cs="Segoe UI Light"/>
          <w:szCs w:val="20"/>
        </w:rPr>
        <w:t>-</w:t>
      </w:r>
      <w:r w:rsidRPr="0072303D">
        <w:rPr>
          <w:rFonts w:cs="Segoe UI Light"/>
          <w:szCs w:val="20"/>
        </w:rPr>
        <w:t>functioning markets to deliver policy outcomes.</w:t>
      </w:r>
      <w:r w:rsidRPr="0072303D">
        <w:rPr>
          <w:rFonts w:cs="Segoe UI Light"/>
          <w:szCs w:val="20"/>
          <w:vertAlign w:val="superscript"/>
        </w:rPr>
        <w:footnoteReference w:id="49"/>
      </w:r>
      <w:r w:rsidRPr="0072303D">
        <w:rPr>
          <w:rFonts w:cs="Segoe UI Light"/>
          <w:szCs w:val="20"/>
        </w:rPr>
        <w:t xml:space="preserve"> If properly designed, they can reveal important information to policy makers and provide incentives which align individual and public environmental and health objectives, helping government to achieve its objectives while avoiding the regulatory burden of more traditional regulatory intervention.</w:t>
      </w:r>
      <w:r w:rsidRPr="0072303D">
        <w:rPr>
          <w:rFonts w:cs="Segoe UI Light"/>
          <w:szCs w:val="20"/>
          <w:vertAlign w:val="superscript"/>
        </w:rPr>
        <w:footnoteReference w:id="50"/>
      </w:r>
      <w:r w:rsidRPr="0072303D">
        <w:rPr>
          <w:rFonts w:cs="Segoe UI Light"/>
          <w:szCs w:val="20"/>
        </w:rPr>
        <w:t xml:space="preserve"> They include taxes, fees or levies, subsidies, and tradeable permits.</w:t>
      </w:r>
    </w:p>
    <w:p w14:paraId="656B00A8" w14:textId="77777777" w:rsidR="0072303D" w:rsidRPr="0072303D" w:rsidRDefault="0072303D" w:rsidP="00D85A7F">
      <w:pPr>
        <w:rPr>
          <w:rFonts w:cs="Segoe UI Light"/>
        </w:rPr>
      </w:pPr>
      <w:r w:rsidRPr="0072303D">
        <w:rPr>
          <w:rFonts w:cs="Segoe UI Light"/>
        </w:rPr>
        <w:t xml:space="preserve">Market based instruments have the potential to be used to address residual environmental harms. For example, pollution generates negative externalities and the application of levies </w:t>
      </w:r>
      <w:r w:rsidR="00C62573">
        <w:rPr>
          <w:rFonts w:cs="Segoe UI Light"/>
        </w:rPr>
        <w:t xml:space="preserve">to defined outputs (of goods or services, or the externality itself) can reduce </w:t>
      </w:r>
      <w:r w:rsidRPr="0072303D">
        <w:rPr>
          <w:rFonts w:cs="Segoe UI Light"/>
        </w:rPr>
        <w:t xml:space="preserve">pollution. Many risk-creating activities are financially motivated and, as such, industry is likely to respond to financial incentives. </w:t>
      </w:r>
      <w:r w:rsidRPr="0072303D">
        <w:rPr>
          <w:rFonts w:cs="Segoe UI Light"/>
          <w:szCs w:val="20"/>
        </w:rPr>
        <w:t xml:space="preserve">Market-based instruments were considered in the drafting of the </w:t>
      </w:r>
      <w:r w:rsidR="004C6915">
        <w:rPr>
          <w:rFonts w:cs="Segoe UI Light"/>
          <w:szCs w:val="20"/>
        </w:rPr>
        <w:t>new EP legislation</w:t>
      </w:r>
      <w:r w:rsidRPr="0072303D">
        <w:rPr>
          <w:rFonts w:cs="Segoe UI Light"/>
          <w:szCs w:val="20"/>
        </w:rPr>
        <w:t xml:space="preserve">, and </w:t>
      </w:r>
      <w:r w:rsidR="00C62573">
        <w:rPr>
          <w:rFonts w:cs="Segoe UI Light"/>
          <w:szCs w:val="20"/>
        </w:rPr>
        <w:t>the legislation</w:t>
      </w:r>
      <w:r w:rsidR="00C62573" w:rsidRPr="0072303D">
        <w:rPr>
          <w:rFonts w:cs="Segoe UI Light"/>
          <w:szCs w:val="20"/>
        </w:rPr>
        <w:t xml:space="preserve"> </w:t>
      </w:r>
      <w:r w:rsidRPr="0072303D">
        <w:rPr>
          <w:rFonts w:cs="Segoe UI Light"/>
          <w:szCs w:val="20"/>
        </w:rPr>
        <w:t>provides for an environmental protection levy and a waste levy.</w:t>
      </w:r>
    </w:p>
    <w:p w14:paraId="656B00A9" w14:textId="77777777" w:rsidR="0072303D" w:rsidRPr="0072303D" w:rsidRDefault="0072303D" w:rsidP="00D85A7F">
      <w:pPr>
        <w:rPr>
          <w:rFonts w:cs="Segoe UI Light"/>
          <w:szCs w:val="20"/>
        </w:rPr>
      </w:pPr>
      <w:r w:rsidRPr="0072303D">
        <w:rPr>
          <w:rFonts w:cs="Segoe UI Light"/>
          <w:szCs w:val="20"/>
        </w:rPr>
        <w:t>Subsidies or similar incentives can also be used to target certain outcomes. For example, subsidies can be granted to businesses to invest in technology that reduces pollution, or provided to businesses based on outcomes su</w:t>
      </w:r>
      <w:r w:rsidR="00EA2AFB">
        <w:rPr>
          <w:rFonts w:cs="Segoe UI Light"/>
          <w:szCs w:val="20"/>
        </w:rPr>
        <w:t xml:space="preserve">ch as reductions in pollution. </w:t>
      </w:r>
      <w:r w:rsidRPr="0072303D">
        <w:rPr>
          <w:rFonts w:cs="Segoe UI Light"/>
          <w:szCs w:val="20"/>
        </w:rPr>
        <w:t>Subsidies are costly to government and therefore any consideration of such approaches needs to take into account the Government’s broader budget position</w:t>
      </w:r>
      <w:r w:rsidR="004844AE">
        <w:rPr>
          <w:rFonts w:cs="Segoe UI Light"/>
          <w:szCs w:val="20"/>
        </w:rPr>
        <w:t xml:space="preserve"> and objectives</w:t>
      </w:r>
      <w:r w:rsidRPr="0072303D">
        <w:rPr>
          <w:rFonts w:cs="Segoe UI Light"/>
          <w:szCs w:val="20"/>
        </w:rPr>
        <w:t xml:space="preserve">. </w:t>
      </w:r>
    </w:p>
    <w:p w14:paraId="656B00AA" w14:textId="77777777" w:rsidR="0072303D" w:rsidRPr="0072303D" w:rsidRDefault="0072303D" w:rsidP="0072303D">
      <w:pPr>
        <w:autoSpaceDE w:val="0"/>
        <w:autoSpaceDN w:val="0"/>
        <w:adjustRightInd w:val="0"/>
        <w:spacing w:line="240" w:lineRule="auto"/>
        <w:ind w:right="112"/>
        <w:rPr>
          <w:rFonts w:cs="Segoe UI Light"/>
          <w:szCs w:val="20"/>
        </w:rPr>
      </w:pPr>
      <w:r w:rsidRPr="0072303D">
        <w:rPr>
          <w:rFonts w:cs="Segoe UI Light"/>
          <w:szCs w:val="20"/>
        </w:rPr>
        <w:t>Tradeable permits or similar mechanisms have been applied in Victoria to address issues such as biodiversity conservation (e.g. the Bushbroker scheme) and salinity. They have been used elsewhere in areas including clima</w:t>
      </w:r>
      <w:r>
        <w:rPr>
          <w:rFonts w:cs="Segoe UI Light"/>
          <w:szCs w:val="20"/>
        </w:rPr>
        <w:t>te change and water discharges.</w:t>
      </w:r>
      <w:r w:rsidRPr="0072303D">
        <w:rPr>
          <w:rFonts w:cs="Segoe UI Light"/>
          <w:szCs w:val="20"/>
        </w:rPr>
        <w:t xml:space="preserve"> However, establishing such markets can be complex and challenges include establishing the information base that will support a market, particularly where there are high search and information costs, bargaining and decision costs or policing and enforcement costs. This will often be the case for diffuse sources of pollution and other areas where environmental outcomes are substantially displaced in time or space from the “production” decisions</w:t>
      </w:r>
      <w:r w:rsidRPr="0072303D">
        <w:rPr>
          <w:rFonts w:cs="Segoe UI Light"/>
          <w:color w:val="000000"/>
          <w:szCs w:val="20"/>
        </w:rPr>
        <w:t>.</w:t>
      </w:r>
      <w:r w:rsidRPr="0072303D">
        <w:rPr>
          <w:rFonts w:cs="Segoe UI Light"/>
          <w:color w:val="000000"/>
          <w:szCs w:val="20"/>
          <w:vertAlign w:val="superscript"/>
        </w:rPr>
        <w:footnoteReference w:id="51"/>
      </w:r>
      <w:r w:rsidRPr="0072303D">
        <w:rPr>
          <w:rFonts w:cs="Segoe UI Light"/>
          <w:color w:val="000000"/>
          <w:szCs w:val="20"/>
        </w:rPr>
        <w:t xml:space="preserve"> </w:t>
      </w:r>
      <w:r w:rsidR="00743D90">
        <w:rPr>
          <w:rFonts w:cs="Segoe UI Light"/>
          <w:szCs w:val="20"/>
        </w:rPr>
        <w:t xml:space="preserve">In addition, some markets will not </w:t>
      </w:r>
      <w:r w:rsidR="0058209C">
        <w:rPr>
          <w:rFonts w:cs="Segoe UI Light"/>
          <w:szCs w:val="20"/>
        </w:rPr>
        <w:t>operate effectively if there is no property owner</w:t>
      </w:r>
      <w:r w:rsidRPr="0072303D">
        <w:rPr>
          <w:rFonts w:cs="Segoe UI Light"/>
          <w:szCs w:val="20"/>
        </w:rPr>
        <w:t xml:space="preserve">, or </w:t>
      </w:r>
      <w:r w:rsidR="0058209C">
        <w:rPr>
          <w:rFonts w:cs="Segoe UI Light"/>
          <w:szCs w:val="20"/>
        </w:rPr>
        <w:t>not enough sellers and buyers, or the price of the permit is too volatile.</w:t>
      </w:r>
    </w:p>
    <w:p w14:paraId="656B00AB" w14:textId="77777777" w:rsidR="00CB5F29" w:rsidRPr="0072303D" w:rsidRDefault="00CB5F29" w:rsidP="0072303D">
      <w:pPr>
        <w:rPr>
          <w:rFonts w:cs="Segoe UI Light"/>
          <w:szCs w:val="20"/>
        </w:rPr>
      </w:pPr>
    </w:p>
    <w:bookmarkEnd w:id="543"/>
    <w:bookmarkEnd w:id="544"/>
    <w:bookmarkEnd w:id="545"/>
    <w:p w14:paraId="656B00AC" w14:textId="77777777" w:rsidR="00905454" w:rsidRPr="00905454" w:rsidRDefault="00905454" w:rsidP="00ED173F"/>
    <w:p w14:paraId="656B00AD" w14:textId="77777777" w:rsidR="00905454" w:rsidRPr="00527E95" w:rsidRDefault="00905454" w:rsidP="00ED173F"/>
    <w:p w14:paraId="656B00AE" w14:textId="77777777" w:rsidR="007C31B8" w:rsidRPr="00E51313" w:rsidRDefault="007C31B8" w:rsidP="007C31B8">
      <w:pPr>
        <w:rPr>
          <w:rFonts w:cs="Segoe UI Light"/>
          <w:szCs w:val="20"/>
        </w:rPr>
      </w:pPr>
    </w:p>
    <w:p w14:paraId="656B00AF" w14:textId="77777777" w:rsidR="00317FF5" w:rsidRDefault="00317FF5" w:rsidP="00ED173F">
      <w:pPr>
        <w:spacing w:after="0"/>
        <w:mirrorIndents/>
        <w:rPr>
          <w:rFonts w:cs="Segoe UI Light"/>
        </w:rPr>
        <w:sectPr w:rsidR="00317FF5" w:rsidSect="00875B43">
          <w:headerReference w:type="even" r:id="rId38"/>
          <w:headerReference w:type="default" r:id="rId39"/>
          <w:footerReference w:type="even" r:id="rId40"/>
          <w:footerReference w:type="default" r:id="rId41"/>
          <w:headerReference w:type="first" r:id="rId42"/>
          <w:footerReference w:type="first" r:id="rId43"/>
          <w:pgSz w:w="11900" w:h="16820"/>
          <w:pgMar w:top="720" w:right="720" w:bottom="567" w:left="720" w:header="720" w:footer="720" w:gutter="0"/>
          <w:cols w:space="720"/>
          <w:noEndnote/>
        </w:sectPr>
      </w:pPr>
    </w:p>
    <w:p w14:paraId="656B00B0" w14:textId="77777777" w:rsidR="00317FF5" w:rsidRPr="00FE2423" w:rsidRDefault="00741D87" w:rsidP="00317FF5">
      <w:pPr>
        <w:pStyle w:val="Heading1un-numbered"/>
        <w:rPr>
          <w:color w:val="FFFFFF" w:themeColor="background1"/>
          <w14:textOutline w14:w="9525" w14:cap="rnd" w14:cmpd="sng" w14:algn="ctr">
            <w14:solidFill>
              <w14:schemeClr w14:val="accent3"/>
            </w14:solidFill>
            <w14:prstDash w14:val="solid"/>
            <w14:bevel/>
          </w14:textOutline>
        </w:rPr>
        <w:sectPr w:rsidR="00317FF5" w:rsidRPr="00FE2423" w:rsidSect="00875B43">
          <w:pgSz w:w="11900" w:h="16820"/>
          <w:pgMar w:top="720" w:right="720" w:bottom="567" w:left="720" w:header="720" w:footer="720" w:gutter="0"/>
          <w:cols w:space="720"/>
          <w:noEndnote/>
        </w:sectPr>
      </w:pPr>
      <w:bookmarkStart w:id="556" w:name="_Toc342626"/>
      <w:bookmarkStart w:id="557" w:name="_Toc343176"/>
      <w:bookmarkStart w:id="558" w:name="_Toc342627"/>
      <w:bookmarkStart w:id="559" w:name="_Toc343177"/>
      <w:bookmarkStart w:id="560" w:name="_Toc10018325"/>
      <w:bookmarkStart w:id="561" w:name="_Toc10021432"/>
      <w:bookmarkStart w:id="562" w:name="_Toc10021846"/>
      <w:bookmarkStart w:id="563" w:name="_Toc12892330"/>
      <w:bookmarkStart w:id="564" w:name="_Toc536807101"/>
      <w:bookmarkStart w:id="565" w:name="_Toc525554662"/>
      <w:bookmarkStart w:id="566" w:name="_Toc536054958"/>
      <w:bookmarkStart w:id="567" w:name="_Ref536136646"/>
      <w:bookmarkStart w:id="568" w:name="_Ref536455146"/>
      <w:bookmarkStart w:id="569" w:name="_Ref536465568"/>
      <w:bookmarkStart w:id="570" w:name="_Ref536465571"/>
      <w:bookmarkStart w:id="571" w:name="_Toc342628"/>
      <w:bookmarkEnd w:id="556"/>
      <w:bookmarkEnd w:id="557"/>
      <w:bookmarkEnd w:id="558"/>
      <w:bookmarkEnd w:id="559"/>
      <w:r w:rsidRPr="00FE2423">
        <w:rPr>
          <w:noProof/>
          <w:color w:val="FFFFFF" w:themeColor="background1"/>
          <w:shd w:val="clear" w:color="auto" w:fill="E6E6E6"/>
          <w:lang w:eastAsia="en-AU"/>
        </w:rPr>
        <mc:AlternateContent>
          <mc:Choice Requires="wps">
            <w:drawing>
              <wp:anchor distT="0" distB="0" distL="114300" distR="114300" simplePos="0" relativeHeight="251658249" behindDoc="0" locked="0" layoutInCell="1" allowOverlap="1" wp14:anchorId="656B1E90" wp14:editId="656B1E91">
                <wp:simplePos x="0" y="0"/>
                <wp:positionH relativeFrom="column">
                  <wp:posOffset>-622300</wp:posOffset>
                </wp:positionH>
                <wp:positionV relativeFrom="paragraph">
                  <wp:posOffset>-791210</wp:posOffset>
                </wp:positionV>
                <wp:extent cx="7912100" cy="15567660"/>
                <wp:effectExtent l="0" t="0" r="12700" b="15240"/>
                <wp:wrapNone/>
                <wp:docPr id="643307990" name="Rectangle 643307990"/>
                <wp:cNvGraphicFramePr/>
                <a:graphic xmlns:a="http://schemas.openxmlformats.org/drawingml/2006/main">
                  <a:graphicData uri="http://schemas.microsoft.com/office/word/2010/wordprocessingShape">
                    <wps:wsp>
                      <wps:cNvSpPr/>
                      <wps:spPr bwMode="gray">
                        <a:xfrm>
                          <a:off x="0" y="0"/>
                          <a:ext cx="7912100" cy="15567660"/>
                        </a:xfrm>
                        <a:prstGeom prst="rect">
                          <a:avLst/>
                        </a:prstGeom>
                        <a:solidFill>
                          <a:srgbClr val="00B0F0"/>
                        </a:solidFill>
                        <a:ln w="19050" algn="ctr">
                          <a:solidFill>
                            <a:schemeClr val="accent3"/>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67664" id="Rectangle 643307990" o:spid="_x0000_s1026" style="position:absolute;margin-left:-49pt;margin-top:-62.3pt;width:623pt;height:1225.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" fillcolor="#00b0f0" strokecolor="#62b5e5 [3206]" strokeweight="1.5pt">
                <v:textbox inset="7pt,7pt,7pt,7pt"/>
              </v:rect>
            </w:pict>
          </mc:Fallback>
        </mc:AlternateContent>
      </w:r>
      <w:r w:rsidR="00FE2423">
        <w:rPr>
          <w:noProof/>
          <w:color w:val="FFFFFF" w:themeColor="background1"/>
          <w:shd w:val="clear" w:color="auto" w:fill="E6E6E6"/>
          <w:lang w:eastAsia="en-AU"/>
        </w:rPr>
        <mc:AlternateContent>
          <mc:Choice Requires="wps">
            <w:drawing>
              <wp:anchor distT="0" distB="0" distL="114300" distR="114300" simplePos="0" relativeHeight="251658250" behindDoc="0" locked="0" layoutInCell="1" allowOverlap="1" wp14:anchorId="656B1E92" wp14:editId="656B1E93">
                <wp:simplePos x="0" y="0"/>
                <wp:positionH relativeFrom="column">
                  <wp:posOffset>-228600</wp:posOffset>
                </wp:positionH>
                <wp:positionV relativeFrom="paragraph">
                  <wp:posOffset>425450</wp:posOffset>
                </wp:positionV>
                <wp:extent cx="6979920" cy="1295400"/>
                <wp:effectExtent l="0" t="0" r="0" b="0"/>
                <wp:wrapNone/>
                <wp:docPr id="643307991" name="Rectangle 643307991"/>
                <wp:cNvGraphicFramePr/>
                <a:graphic xmlns:a="http://schemas.openxmlformats.org/drawingml/2006/main">
                  <a:graphicData uri="http://schemas.microsoft.com/office/word/2010/wordprocessingShape">
                    <wps:wsp>
                      <wps:cNvSpPr/>
                      <wps:spPr bwMode="gray">
                        <a:xfrm>
                          <a:off x="0" y="0"/>
                          <a:ext cx="6979920" cy="1295400"/>
                        </a:xfrm>
                        <a:prstGeom prst="rect">
                          <a:avLst/>
                        </a:prstGeom>
                        <a:solidFill>
                          <a:srgbClr val="00B0F0"/>
                        </a:solidFill>
                        <a:ln w="19050" algn="ctr">
                          <a:noFill/>
                          <a:miter lim="800000"/>
                          <a:headEnd/>
                          <a:tailEnd/>
                        </a:ln>
                      </wps:spPr>
                      <wps:txbx>
                        <w:txbxContent>
                          <w:p w14:paraId="656B21C8" w14:textId="77777777" w:rsidR="00E752DE" w:rsidRPr="00FE2423" w:rsidRDefault="00E752DE" w:rsidP="00FE2423">
                            <w:pPr>
                              <w:tabs>
                                <w:tab w:val="left" w:pos="1560"/>
                              </w:tabs>
                              <w:rPr>
                                <w:sz w:val="60"/>
                                <w:szCs w:val="60"/>
                              </w:rPr>
                            </w:pPr>
                            <w:r>
                              <w:rPr>
                                <w:sz w:val="60"/>
                                <w:szCs w:val="60"/>
                              </w:rPr>
                              <w:t>PART 2 – ANALYSIS BY SPECIFIC PROBLEM AREA</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1E92" id="Rectangle 643307991" o:spid="_x0000_s1064" style="position:absolute;margin-left:-18pt;margin-top:33.5pt;width:549.6pt;height:10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" fillcolor="#00b0f0" stroked="f" strokeweight="1.5pt">
                <v:textbox inset="7pt,7pt,7pt,7pt">
                  <w:txbxContent>
                    <w:p w14:paraId="656B21C8" w14:textId="77777777" w:rsidR="00E752DE" w:rsidRPr="00FE2423" w:rsidRDefault="00E752DE" w:rsidP="00FE2423">
                      <w:pPr>
                        <w:tabs>
                          <w:tab w:val="left" w:pos="1560"/>
                        </w:tabs>
                        <w:rPr>
                          <w:sz w:val="60"/>
                          <w:szCs w:val="60"/>
                        </w:rPr>
                      </w:pPr>
                      <w:r>
                        <w:rPr>
                          <w:sz w:val="60"/>
                          <w:szCs w:val="60"/>
                        </w:rPr>
                        <w:t>PART 2 – ANALYSIS BY SPECIFIC PROBLEM AREA</w:t>
                      </w:r>
                    </w:p>
                  </w:txbxContent>
                </v:textbox>
              </v:rect>
            </w:pict>
          </mc:Fallback>
        </mc:AlternateContent>
      </w:r>
      <w:r w:rsidRPr="00FE2423">
        <w:rPr>
          <w:noProof/>
          <w:color w:val="FFFFFF" w:themeColor="background1"/>
          <w:shd w:val="clear" w:color="auto" w:fill="E6E6E6"/>
          <w:lang w:eastAsia="en-AU"/>
        </w:rPr>
        <mc:AlternateContent>
          <mc:Choice Requires="wps">
            <w:drawing>
              <wp:anchor distT="0" distB="0" distL="114300" distR="114300" simplePos="0" relativeHeight="251658246" behindDoc="0" locked="0" layoutInCell="1" allowOverlap="1" wp14:anchorId="656B1E94" wp14:editId="656B1E95">
                <wp:simplePos x="0" y="0"/>
                <wp:positionH relativeFrom="column">
                  <wp:posOffset>-622300</wp:posOffset>
                </wp:positionH>
                <wp:positionV relativeFrom="paragraph">
                  <wp:posOffset>-791210</wp:posOffset>
                </wp:positionV>
                <wp:extent cx="7912100" cy="15567660"/>
                <wp:effectExtent l="0" t="0" r="12700" b="15240"/>
                <wp:wrapNone/>
                <wp:docPr id="1565245749" name="Rectangle 1565245749"/>
                <wp:cNvGraphicFramePr/>
                <a:graphic xmlns:a="http://schemas.openxmlformats.org/drawingml/2006/main">
                  <a:graphicData uri="http://schemas.microsoft.com/office/word/2010/wordprocessingShape">
                    <wps:wsp>
                      <wps:cNvSpPr/>
                      <wps:spPr bwMode="gray">
                        <a:xfrm>
                          <a:off x="0" y="0"/>
                          <a:ext cx="7912100" cy="15567660"/>
                        </a:xfrm>
                        <a:prstGeom prst="rect">
                          <a:avLst/>
                        </a:prstGeom>
                        <a:solidFill>
                          <a:srgbClr val="00B0F0"/>
                        </a:solidFill>
                        <a:ln w="19050" algn="ctr">
                          <a:solidFill>
                            <a:schemeClr val="accent3"/>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12E28" id="Rectangle 1565245749" o:spid="_x0000_s1026" style="position:absolute;margin-left:-49pt;margin-top:-62.3pt;width:623pt;height:1225.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" fillcolor="#00b0f0" strokecolor="#62b5e5 [3206]" strokeweight="1.5pt">
                <v:textbox inset="7pt,7pt,7pt,7pt"/>
              </v:rect>
            </w:pict>
          </mc:Fallback>
        </mc:AlternateContent>
      </w:r>
      <w:r w:rsidR="00FE2423">
        <w:rPr>
          <w:noProof/>
          <w:color w:val="FFFFFF" w:themeColor="background1"/>
          <w:shd w:val="clear" w:color="auto" w:fill="E6E6E6"/>
          <w:lang w:eastAsia="en-AU"/>
        </w:rPr>
        <mc:AlternateContent>
          <mc:Choice Requires="wps">
            <w:drawing>
              <wp:anchor distT="0" distB="0" distL="114300" distR="114300" simplePos="0" relativeHeight="251658247" behindDoc="0" locked="0" layoutInCell="1" allowOverlap="1" wp14:anchorId="656B1E96" wp14:editId="656B1E97">
                <wp:simplePos x="0" y="0"/>
                <wp:positionH relativeFrom="column">
                  <wp:posOffset>-228600</wp:posOffset>
                </wp:positionH>
                <wp:positionV relativeFrom="paragraph">
                  <wp:posOffset>425450</wp:posOffset>
                </wp:positionV>
                <wp:extent cx="6979920" cy="1295400"/>
                <wp:effectExtent l="0" t="0" r="0" b="0"/>
                <wp:wrapNone/>
                <wp:docPr id="1565245750" name="Rectangle 1565245750"/>
                <wp:cNvGraphicFramePr/>
                <a:graphic xmlns:a="http://schemas.openxmlformats.org/drawingml/2006/main">
                  <a:graphicData uri="http://schemas.microsoft.com/office/word/2010/wordprocessingShape">
                    <wps:wsp>
                      <wps:cNvSpPr/>
                      <wps:spPr bwMode="gray">
                        <a:xfrm>
                          <a:off x="0" y="0"/>
                          <a:ext cx="6979920" cy="1295400"/>
                        </a:xfrm>
                        <a:prstGeom prst="rect">
                          <a:avLst/>
                        </a:prstGeom>
                        <a:solidFill>
                          <a:srgbClr val="00B0F0"/>
                        </a:solidFill>
                        <a:ln w="19050" algn="ctr">
                          <a:noFill/>
                          <a:miter lim="800000"/>
                          <a:headEnd/>
                          <a:tailEnd/>
                        </a:ln>
                      </wps:spPr>
                      <wps:txbx>
                        <w:txbxContent>
                          <w:p w14:paraId="656B21C9" w14:textId="77777777" w:rsidR="00E752DE" w:rsidRPr="00FE2423" w:rsidRDefault="00E752DE" w:rsidP="00FE2423">
                            <w:pPr>
                              <w:tabs>
                                <w:tab w:val="left" w:pos="1560"/>
                              </w:tabs>
                              <w:rPr>
                                <w:sz w:val="60"/>
                                <w:szCs w:val="60"/>
                              </w:rPr>
                            </w:pPr>
                            <w:r>
                              <w:rPr>
                                <w:sz w:val="60"/>
                                <w:szCs w:val="60"/>
                              </w:rPr>
                              <w:t>PART 2 – ANALYSIS BY SPECIFIC PROBLEM AREA</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1E96" id="Rectangle 1565245750" o:spid="_x0000_s1065" style="position:absolute;margin-left:-18pt;margin-top:33.5pt;width:549.6pt;height:1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" fillcolor="#00b0f0" stroked="f" strokeweight="1.5pt">
                <v:textbox inset="7pt,7pt,7pt,7pt">
                  <w:txbxContent>
                    <w:p w14:paraId="656B21C9" w14:textId="77777777" w:rsidR="00E752DE" w:rsidRPr="00FE2423" w:rsidRDefault="00E752DE" w:rsidP="00FE2423">
                      <w:pPr>
                        <w:tabs>
                          <w:tab w:val="left" w:pos="1560"/>
                        </w:tabs>
                        <w:rPr>
                          <w:sz w:val="60"/>
                          <w:szCs w:val="60"/>
                        </w:rPr>
                      </w:pPr>
                      <w:r>
                        <w:rPr>
                          <w:sz w:val="60"/>
                          <w:szCs w:val="60"/>
                        </w:rPr>
                        <w:t>PART 2 – ANALYSIS BY SPECIFIC PROBLEM AREA</w:t>
                      </w:r>
                    </w:p>
                  </w:txbxContent>
                </v:textbox>
              </v:rect>
            </w:pict>
          </mc:Fallback>
        </mc:AlternateContent>
      </w:r>
      <w:r w:rsidRPr="00FE2423">
        <w:rPr>
          <w:noProof/>
          <w:color w:val="FFFFFF" w:themeColor="background1"/>
          <w:shd w:val="clear" w:color="auto" w:fill="E6E6E6"/>
          <w:lang w:eastAsia="en-AU"/>
        </w:rPr>
        <mc:AlternateContent>
          <mc:Choice Requires="wps">
            <w:drawing>
              <wp:anchor distT="0" distB="0" distL="114300" distR="114300" simplePos="0" relativeHeight="251658242" behindDoc="0" locked="0" layoutInCell="1" allowOverlap="1" wp14:anchorId="656B1E98" wp14:editId="656B1E99">
                <wp:simplePos x="0" y="0"/>
                <wp:positionH relativeFrom="column">
                  <wp:posOffset>-622300</wp:posOffset>
                </wp:positionH>
                <wp:positionV relativeFrom="paragraph">
                  <wp:posOffset>-791210</wp:posOffset>
                </wp:positionV>
                <wp:extent cx="7912100" cy="15567660"/>
                <wp:effectExtent l="0" t="0" r="12700" b="15240"/>
                <wp:wrapNone/>
                <wp:docPr id="2" name="Rectangle 2"/>
                <wp:cNvGraphicFramePr/>
                <a:graphic xmlns:a="http://schemas.openxmlformats.org/drawingml/2006/main">
                  <a:graphicData uri="http://schemas.microsoft.com/office/word/2010/wordprocessingShape">
                    <wps:wsp>
                      <wps:cNvSpPr/>
                      <wps:spPr bwMode="gray">
                        <a:xfrm>
                          <a:off x="0" y="0"/>
                          <a:ext cx="7912100" cy="15567660"/>
                        </a:xfrm>
                        <a:prstGeom prst="rect">
                          <a:avLst/>
                        </a:prstGeom>
                        <a:solidFill>
                          <a:srgbClr val="00B0F0"/>
                        </a:solidFill>
                        <a:ln w="19050" algn="ctr">
                          <a:solidFill>
                            <a:schemeClr val="accent3"/>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156B6" id="Rectangle 2" o:spid="_x0000_s1026" style="position:absolute;margin-left:-49pt;margin-top:-62.3pt;width:623pt;height:122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" fillcolor="#00b0f0" strokecolor="#62b5e5 [3206]" strokeweight="1.5pt">
                <v:textbox inset="7pt,7pt,7pt,7pt"/>
              </v:rect>
            </w:pict>
          </mc:Fallback>
        </mc:AlternateContent>
      </w:r>
      <w:r w:rsidR="00FE2423">
        <w:rPr>
          <w:noProof/>
          <w:color w:val="FFFFFF" w:themeColor="background1"/>
          <w:shd w:val="clear" w:color="auto" w:fill="E6E6E6"/>
          <w:lang w:eastAsia="en-AU"/>
        </w:rPr>
        <mc:AlternateContent>
          <mc:Choice Requires="wps">
            <w:drawing>
              <wp:anchor distT="0" distB="0" distL="114300" distR="114300" simplePos="0" relativeHeight="251658243" behindDoc="0" locked="0" layoutInCell="1" allowOverlap="1" wp14:anchorId="656B1E9A" wp14:editId="656B1E9B">
                <wp:simplePos x="0" y="0"/>
                <wp:positionH relativeFrom="column">
                  <wp:posOffset>-228600</wp:posOffset>
                </wp:positionH>
                <wp:positionV relativeFrom="paragraph">
                  <wp:posOffset>425450</wp:posOffset>
                </wp:positionV>
                <wp:extent cx="6979920" cy="1295400"/>
                <wp:effectExtent l="0" t="0" r="0" b="0"/>
                <wp:wrapNone/>
                <wp:docPr id="4" name="Rectangle 4"/>
                <wp:cNvGraphicFramePr/>
                <a:graphic xmlns:a="http://schemas.openxmlformats.org/drawingml/2006/main">
                  <a:graphicData uri="http://schemas.microsoft.com/office/word/2010/wordprocessingShape">
                    <wps:wsp>
                      <wps:cNvSpPr/>
                      <wps:spPr bwMode="gray">
                        <a:xfrm>
                          <a:off x="0" y="0"/>
                          <a:ext cx="6979920" cy="1295400"/>
                        </a:xfrm>
                        <a:prstGeom prst="rect">
                          <a:avLst/>
                        </a:prstGeom>
                        <a:solidFill>
                          <a:srgbClr val="00B0F0"/>
                        </a:solidFill>
                        <a:ln w="19050" algn="ctr">
                          <a:noFill/>
                          <a:miter lim="800000"/>
                          <a:headEnd/>
                          <a:tailEnd/>
                        </a:ln>
                      </wps:spPr>
                      <wps:txbx>
                        <w:txbxContent>
                          <w:p w14:paraId="656B21CA" w14:textId="77777777" w:rsidR="00E752DE" w:rsidRPr="00FE2423" w:rsidRDefault="00E752DE" w:rsidP="00FE2423">
                            <w:pPr>
                              <w:tabs>
                                <w:tab w:val="left" w:pos="1560"/>
                              </w:tabs>
                              <w:rPr>
                                <w:sz w:val="60"/>
                                <w:szCs w:val="60"/>
                              </w:rPr>
                            </w:pPr>
                            <w:r>
                              <w:rPr>
                                <w:sz w:val="60"/>
                                <w:szCs w:val="60"/>
                              </w:rPr>
                              <w:t>PART 2 – ANALYSIS BY SPECIFIC PROBLEM AREA</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1E9A" id="Rectangle 4" o:spid="_x0000_s1066" style="position:absolute;margin-left:-18pt;margin-top:33.5pt;width:549.6pt;height:10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" fillcolor="#00b0f0" stroked="f" strokeweight="1.5pt">
                <v:textbox inset="7pt,7pt,7pt,7pt">
                  <w:txbxContent>
                    <w:p w14:paraId="656B21CA" w14:textId="77777777" w:rsidR="00E752DE" w:rsidRPr="00FE2423" w:rsidRDefault="00E752DE" w:rsidP="00FE2423">
                      <w:pPr>
                        <w:tabs>
                          <w:tab w:val="left" w:pos="1560"/>
                        </w:tabs>
                        <w:rPr>
                          <w:sz w:val="60"/>
                          <w:szCs w:val="60"/>
                        </w:rPr>
                      </w:pPr>
                      <w:r>
                        <w:rPr>
                          <w:sz w:val="60"/>
                          <w:szCs w:val="60"/>
                        </w:rPr>
                        <w:t>PART 2 – ANALYSIS BY SPECIFIC PROBLEM AREA</w:t>
                      </w:r>
                    </w:p>
                  </w:txbxContent>
                </v:textbox>
              </v:rect>
            </w:pict>
          </mc:Fallback>
        </mc:AlternateContent>
      </w:r>
      <w:r>
        <w:rPr>
          <w:color w:val="FFFFFF" w:themeColor="background1"/>
        </w:rPr>
        <w:t>PART 2</w:t>
      </w:r>
      <w:r w:rsidRPr="00741D87">
        <w:rPr>
          <w:color w:val="FFFFFF" w:themeColor="background1"/>
        </w:rPr>
        <w:t xml:space="preserve"> – ANALYSIS BY SPECIFIC PROBLEM AREA</w:t>
      </w:r>
      <w:bookmarkEnd w:id="560"/>
      <w:bookmarkEnd w:id="561"/>
      <w:bookmarkEnd w:id="562"/>
      <w:bookmarkEnd w:id="563"/>
    </w:p>
    <w:p w14:paraId="656B00B1" w14:textId="77777777" w:rsidR="00DF1756" w:rsidRDefault="00DF1756" w:rsidP="00DF1756">
      <w:pPr>
        <w:pStyle w:val="Heading1"/>
      </w:pPr>
      <w:bookmarkStart w:id="572" w:name="_Toc10018326"/>
      <w:bookmarkStart w:id="573" w:name="_Toc10021433"/>
      <w:bookmarkStart w:id="574" w:name="_Toc10021847"/>
      <w:bookmarkStart w:id="575" w:name="_Toc12892331"/>
      <w:bookmarkStart w:id="576" w:name="_Hlk2112400"/>
      <w:r>
        <w:t>Introduction to problem areas</w:t>
      </w:r>
      <w:bookmarkEnd w:id="572"/>
      <w:bookmarkEnd w:id="573"/>
      <w:bookmarkEnd w:id="574"/>
      <w:bookmarkEnd w:id="575"/>
    </w:p>
    <w:p w14:paraId="656B00B2" w14:textId="77777777" w:rsidR="00784014" w:rsidRDefault="00784014" w:rsidP="000B4040">
      <w:pPr>
        <w:pStyle w:val="BodyText"/>
        <w:spacing w:after="120"/>
      </w:pPr>
      <w:r>
        <w:t xml:space="preserve">This Part of the RIS provides an </w:t>
      </w:r>
      <w:r w:rsidR="00DF1756">
        <w:t xml:space="preserve">analysis of the regulatory impacts associated with </w:t>
      </w:r>
      <w:r>
        <w:t xml:space="preserve">the following </w:t>
      </w:r>
      <w:r w:rsidR="00DF1756">
        <w:t>problem areas</w:t>
      </w:r>
      <w:r>
        <w:t>:</w:t>
      </w:r>
    </w:p>
    <w:p w14:paraId="656B00B3" w14:textId="77777777" w:rsidR="00784014" w:rsidRDefault="00784014" w:rsidP="004A2442">
      <w:pPr>
        <w:pStyle w:val="BodyText"/>
        <w:numPr>
          <w:ilvl w:val="0"/>
          <w:numId w:val="74"/>
        </w:numPr>
        <w:spacing w:after="0"/>
      </w:pPr>
      <w:r>
        <w:t xml:space="preserve">Permissions </w:t>
      </w:r>
    </w:p>
    <w:p w14:paraId="656B00B4" w14:textId="77777777" w:rsidR="00784014" w:rsidRDefault="00B35A3F" w:rsidP="004A2442">
      <w:pPr>
        <w:pStyle w:val="BodyText"/>
        <w:numPr>
          <w:ilvl w:val="0"/>
          <w:numId w:val="74"/>
        </w:numPr>
        <w:spacing w:after="0"/>
      </w:pPr>
      <w:r>
        <w:t>On</w:t>
      </w:r>
      <w:r w:rsidR="00DD5CE9">
        <w:t>-</w:t>
      </w:r>
      <w:r>
        <w:t>site wastewater management systems (</w:t>
      </w:r>
      <w:r w:rsidR="00784014">
        <w:t>Septic tank</w:t>
      </w:r>
      <w:r>
        <w:t xml:space="preserve"> systems)</w:t>
      </w:r>
    </w:p>
    <w:p w14:paraId="656B00B5" w14:textId="77777777" w:rsidR="00784014" w:rsidRDefault="00784014" w:rsidP="004A2442">
      <w:pPr>
        <w:pStyle w:val="BodyText"/>
        <w:numPr>
          <w:ilvl w:val="0"/>
          <w:numId w:val="74"/>
        </w:numPr>
        <w:spacing w:after="0"/>
      </w:pPr>
      <w:r>
        <w:t>Contaminated land</w:t>
      </w:r>
    </w:p>
    <w:p w14:paraId="656B00B6" w14:textId="77777777" w:rsidR="00784014" w:rsidRDefault="00784014" w:rsidP="004A2442">
      <w:pPr>
        <w:pStyle w:val="BodyText"/>
        <w:numPr>
          <w:ilvl w:val="0"/>
          <w:numId w:val="74"/>
        </w:numPr>
        <w:spacing w:after="0"/>
      </w:pPr>
      <w:r>
        <w:t>Waste</w:t>
      </w:r>
    </w:p>
    <w:p w14:paraId="656B00B7" w14:textId="77777777" w:rsidR="00784014" w:rsidRDefault="00784014" w:rsidP="004A2442">
      <w:pPr>
        <w:pStyle w:val="BodyText"/>
        <w:numPr>
          <w:ilvl w:val="0"/>
          <w:numId w:val="74"/>
        </w:numPr>
        <w:spacing w:after="0"/>
      </w:pPr>
      <w:r>
        <w:t>Litter</w:t>
      </w:r>
    </w:p>
    <w:p w14:paraId="656B00B8" w14:textId="77777777" w:rsidR="00784014" w:rsidRDefault="00784014" w:rsidP="004A2442">
      <w:pPr>
        <w:pStyle w:val="BodyText"/>
        <w:numPr>
          <w:ilvl w:val="0"/>
          <w:numId w:val="74"/>
        </w:numPr>
        <w:spacing w:after="0"/>
      </w:pPr>
      <w:r>
        <w:t>Plastic bags</w:t>
      </w:r>
    </w:p>
    <w:p w14:paraId="656B00B9" w14:textId="77777777" w:rsidR="00784014" w:rsidRDefault="00784014" w:rsidP="004A2442">
      <w:pPr>
        <w:pStyle w:val="BodyText"/>
        <w:numPr>
          <w:ilvl w:val="0"/>
          <w:numId w:val="74"/>
        </w:numPr>
        <w:spacing w:after="0"/>
      </w:pPr>
      <w:r>
        <w:t>Air</w:t>
      </w:r>
    </w:p>
    <w:p w14:paraId="656B00BA" w14:textId="77777777" w:rsidR="00E15412" w:rsidRDefault="00E15412" w:rsidP="000F124C">
      <w:pPr>
        <w:pStyle w:val="BodyText"/>
        <w:numPr>
          <w:ilvl w:val="0"/>
          <w:numId w:val="74"/>
        </w:numPr>
        <w:spacing w:after="0"/>
      </w:pPr>
      <w:r>
        <w:t>Water</w:t>
      </w:r>
    </w:p>
    <w:p w14:paraId="656B00BB" w14:textId="77777777" w:rsidR="00E15412" w:rsidRDefault="00E15412" w:rsidP="00E15412">
      <w:pPr>
        <w:pStyle w:val="BodyText"/>
        <w:numPr>
          <w:ilvl w:val="0"/>
          <w:numId w:val="74"/>
        </w:numPr>
        <w:spacing w:after="0"/>
      </w:pPr>
      <w:r>
        <w:t>Noise</w:t>
      </w:r>
    </w:p>
    <w:p w14:paraId="656B00BC" w14:textId="77777777" w:rsidR="00902D19" w:rsidRDefault="00902D19">
      <w:pPr>
        <w:pStyle w:val="BodyText"/>
        <w:numPr>
          <w:ilvl w:val="0"/>
          <w:numId w:val="74"/>
        </w:numPr>
        <w:spacing w:after="0"/>
      </w:pPr>
      <w:r>
        <w:t>Vehicle emissions</w:t>
      </w:r>
      <w:r w:rsidR="00555904">
        <w:t>.</w:t>
      </w:r>
      <w:r>
        <w:t xml:space="preserve"> </w:t>
      </w:r>
    </w:p>
    <w:p w14:paraId="656B00BD" w14:textId="77777777" w:rsidR="00784014" w:rsidRDefault="00784014" w:rsidP="000F124C">
      <w:pPr>
        <w:pStyle w:val="BodyText"/>
        <w:spacing w:after="0"/>
        <w:ind w:left="360"/>
      </w:pPr>
    </w:p>
    <w:p w14:paraId="656B00BE" w14:textId="77777777" w:rsidR="00DF1756" w:rsidRDefault="00784014" w:rsidP="000B4040">
      <w:pPr>
        <w:pStyle w:val="BodyText"/>
        <w:spacing w:after="120"/>
      </w:pPr>
      <w:r>
        <w:t>Each chapter includes a discussion of:</w:t>
      </w:r>
    </w:p>
    <w:p w14:paraId="656B00BF" w14:textId="77777777" w:rsidR="00DF1756" w:rsidRDefault="00784014" w:rsidP="004A2442">
      <w:pPr>
        <w:pStyle w:val="BodyText"/>
        <w:numPr>
          <w:ilvl w:val="0"/>
          <w:numId w:val="74"/>
        </w:numPr>
        <w:spacing w:after="0"/>
      </w:pPr>
      <w:r>
        <w:t>B</w:t>
      </w:r>
      <w:r w:rsidR="00DF1756">
        <w:t>ackground to each problem area</w:t>
      </w:r>
    </w:p>
    <w:p w14:paraId="656B00C0" w14:textId="77777777" w:rsidR="00DF1756" w:rsidRDefault="00784014" w:rsidP="004A2442">
      <w:pPr>
        <w:pStyle w:val="BodyText"/>
        <w:numPr>
          <w:ilvl w:val="0"/>
          <w:numId w:val="74"/>
        </w:numPr>
        <w:spacing w:after="0"/>
      </w:pPr>
      <w:r>
        <w:t>C</w:t>
      </w:r>
      <w:r w:rsidR="00DF1756">
        <w:t>urrent legislative and regulatory framework</w:t>
      </w:r>
    </w:p>
    <w:p w14:paraId="656B00C1" w14:textId="77777777" w:rsidR="00DF1756" w:rsidRDefault="00784014" w:rsidP="004A2442">
      <w:pPr>
        <w:pStyle w:val="BodyText"/>
        <w:numPr>
          <w:ilvl w:val="0"/>
          <w:numId w:val="74"/>
        </w:numPr>
        <w:spacing w:after="0"/>
      </w:pPr>
      <w:r>
        <w:t>N</w:t>
      </w:r>
      <w:r w:rsidR="00DF1756">
        <w:t>ew EP legislation</w:t>
      </w:r>
    </w:p>
    <w:p w14:paraId="656B00C2" w14:textId="77777777" w:rsidR="000809FB" w:rsidRDefault="000809FB" w:rsidP="000809FB">
      <w:pPr>
        <w:pStyle w:val="BodyText"/>
        <w:numPr>
          <w:ilvl w:val="0"/>
          <w:numId w:val="74"/>
        </w:numPr>
        <w:spacing w:after="0"/>
      </w:pPr>
      <w:r>
        <w:t>Nature and extent of the (overarching and residual) problem</w:t>
      </w:r>
    </w:p>
    <w:p w14:paraId="656B00C3" w14:textId="77777777" w:rsidR="00784014" w:rsidRDefault="000F337C" w:rsidP="004A2442">
      <w:pPr>
        <w:pStyle w:val="BodyText"/>
        <w:numPr>
          <w:ilvl w:val="0"/>
          <w:numId w:val="74"/>
        </w:numPr>
        <w:spacing w:after="0"/>
      </w:pPr>
      <w:r>
        <w:t>Options being assessed in this RIS</w:t>
      </w:r>
    </w:p>
    <w:p w14:paraId="656B00C4" w14:textId="77777777" w:rsidR="00784014" w:rsidRDefault="00784014" w:rsidP="004A2442">
      <w:pPr>
        <w:pStyle w:val="BodyText"/>
        <w:numPr>
          <w:ilvl w:val="0"/>
          <w:numId w:val="74"/>
        </w:numPr>
        <w:spacing w:after="120"/>
      </w:pPr>
      <w:r>
        <w:t>Assessment of options and identification of preferred option.</w:t>
      </w:r>
    </w:p>
    <w:p w14:paraId="656B00C5" w14:textId="77777777" w:rsidR="008210FE" w:rsidRDefault="008210FE" w:rsidP="000B4040">
      <w:pPr>
        <w:pStyle w:val="BodyText"/>
        <w:spacing w:after="120"/>
      </w:pPr>
      <w:r>
        <w:t>Proposed permissions regulations are analysed first, prior to other harms being analysed. This is because</w:t>
      </w:r>
      <w:r w:rsidR="00310520">
        <w:t xml:space="preserve"> the </w:t>
      </w:r>
      <w:r>
        <w:t xml:space="preserve">establishment of a </w:t>
      </w:r>
      <w:r w:rsidRPr="008210FE">
        <w:t xml:space="preserve">tiered system of permissions to support risk based and proportionate regulatory </w:t>
      </w:r>
      <w:r>
        <w:t xml:space="preserve">oversight is a </w:t>
      </w:r>
      <w:r w:rsidR="00AE3B46">
        <w:t xml:space="preserve">cornerstone </w:t>
      </w:r>
      <w:r>
        <w:t>part of the new EP legislation</w:t>
      </w:r>
      <w:r w:rsidR="00310520">
        <w:t xml:space="preserve"> and it also </w:t>
      </w:r>
      <w:r>
        <w:t>has interactions with a number of other proposed areas of regulation</w:t>
      </w:r>
      <w:r w:rsidR="00310520">
        <w:t xml:space="preserve"> (see section 5.</w:t>
      </w:r>
      <w:r w:rsidR="00555904">
        <w:t xml:space="preserve">5 </w:t>
      </w:r>
      <w:r w:rsidR="00310520">
        <w:t xml:space="preserve">below for further discussion of interactions). </w:t>
      </w:r>
      <w:r w:rsidR="00E4191A">
        <w:t>On this basis, i</w:t>
      </w:r>
      <w:r w:rsidR="00310520">
        <w:t xml:space="preserve">t </w:t>
      </w:r>
      <w:r w:rsidR="009962DA">
        <w:t>is logical</w:t>
      </w:r>
      <w:r w:rsidR="00310520">
        <w:t xml:space="preserve"> to </w:t>
      </w:r>
      <w:r w:rsidR="009962DA">
        <w:t xml:space="preserve">discuss </w:t>
      </w:r>
      <w:r w:rsidR="00310520">
        <w:t xml:space="preserve">permissions first, and </w:t>
      </w:r>
      <w:r w:rsidR="009962DA">
        <w:t xml:space="preserve">this </w:t>
      </w:r>
      <w:r w:rsidR="00310520">
        <w:t>also results in less repetition of explanatory detail throughout the document.</w:t>
      </w:r>
    </w:p>
    <w:p w14:paraId="656B00C6" w14:textId="77777777" w:rsidR="00784014" w:rsidRDefault="00784014" w:rsidP="000B4040">
      <w:pPr>
        <w:pStyle w:val="BodyText"/>
        <w:spacing w:after="120"/>
      </w:pPr>
      <w:r>
        <w:t>Analysis of cost recovery and fees is also included in this Part, but with its own chapter structure.</w:t>
      </w:r>
    </w:p>
    <w:p w14:paraId="656B00C7" w14:textId="77777777" w:rsidR="00DC24EE" w:rsidRDefault="004176D9" w:rsidP="00982D63">
      <w:pPr>
        <w:pStyle w:val="Heading2"/>
      </w:pPr>
      <w:r>
        <w:t>A</w:t>
      </w:r>
      <w:r w:rsidR="0060790A">
        <w:t>pproach</w:t>
      </w:r>
      <w:r>
        <w:t xml:space="preserve"> to economic evaluation</w:t>
      </w:r>
    </w:p>
    <w:p w14:paraId="656B00C8" w14:textId="77777777" w:rsidR="008671DF" w:rsidRDefault="004176D9" w:rsidP="0060790A">
      <w:r>
        <w:t xml:space="preserve">All problem areas </w:t>
      </w:r>
      <w:r w:rsidR="00555904">
        <w:t>include</w:t>
      </w:r>
      <w:r>
        <w:t xml:space="preserve"> the</w:t>
      </w:r>
      <w:r w:rsidR="0060790A">
        <w:t xml:space="preserve"> assessment of costs and benefits u</w:t>
      </w:r>
      <w:r w:rsidR="00C474EB">
        <w:t xml:space="preserve">nder </w:t>
      </w:r>
      <w:r w:rsidR="00555904">
        <w:t xml:space="preserve">a range of </w:t>
      </w:r>
      <w:r w:rsidR="00C474EB">
        <w:t>options relative to a Base C</w:t>
      </w:r>
      <w:r w:rsidR="0060790A">
        <w:t>ase of no regulation, consistent with requirements outlined in the Victorian Guide to Regulation</w:t>
      </w:r>
      <w:r w:rsidR="00AF0AF4">
        <w:t>.</w:t>
      </w:r>
      <w:r w:rsidR="00AF0AF4">
        <w:rPr>
          <w:rStyle w:val="FootnoteReference"/>
        </w:rPr>
        <w:footnoteReference w:id="52"/>
      </w:r>
    </w:p>
    <w:p w14:paraId="656B00C9" w14:textId="77777777" w:rsidR="00552949" w:rsidRDefault="00552949" w:rsidP="0060790A">
      <w:r>
        <w:t>Because this RIS addresses</w:t>
      </w:r>
      <w:r w:rsidRPr="00552949">
        <w:t xml:space="preserve"> a range of </w:t>
      </w:r>
      <w:r>
        <w:t>problems areas</w:t>
      </w:r>
      <w:r w:rsidRPr="00552949">
        <w:t>,</w:t>
      </w:r>
      <w:r>
        <w:t xml:space="preserve"> some including a range of parts, and</w:t>
      </w:r>
      <w:r w:rsidRPr="00552949">
        <w:t xml:space="preserve"> each with different data limitations and characteris</w:t>
      </w:r>
      <w:r>
        <w:t>tics, the approach has been to u</w:t>
      </w:r>
      <w:r w:rsidRPr="00552949">
        <w:t xml:space="preserve">se the most rigorous tool available </w:t>
      </w:r>
      <w:r>
        <w:t>for each problem area</w:t>
      </w:r>
      <w:r w:rsidRPr="00552949">
        <w:t xml:space="preserve">, estimating overall costs and benefits to the </w:t>
      </w:r>
      <w:r w:rsidR="00555904">
        <w:t xml:space="preserve">maximum </w:t>
      </w:r>
      <w:r w:rsidRPr="00552949">
        <w:t>extent feasible.</w:t>
      </w:r>
    </w:p>
    <w:p w14:paraId="656B00CA" w14:textId="77777777" w:rsidR="0060790A" w:rsidRDefault="008671DF" w:rsidP="0060790A">
      <w:r>
        <w:t>Wherever possible, the benefits to the environment</w:t>
      </w:r>
      <w:r w:rsidR="0060790A">
        <w:t xml:space="preserve"> and the community from improved </w:t>
      </w:r>
      <w:r>
        <w:t>environment protection controls, and costs to duty holders and the g</w:t>
      </w:r>
      <w:r w:rsidR="0060790A">
        <w:t>overnment of implementing and administering regulations</w:t>
      </w:r>
      <w:r>
        <w:t>, have been quantified</w:t>
      </w:r>
      <w:r w:rsidR="0060790A">
        <w:t xml:space="preserve">. </w:t>
      </w:r>
    </w:p>
    <w:p w14:paraId="656B00CB" w14:textId="77777777" w:rsidR="008671DF" w:rsidRDefault="008671DF" w:rsidP="0060790A">
      <w:r>
        <w:t xml:space="preserve">Where </w:t>
      </w:r>
      <w:r w:rsidR="001A6DF9">
        <w:t xml:space="preserve">most </w:t>
      </w:r>
      <w:r>
        <w:t xml:space="preserve">benefits and costs were able to be quantified, a CBA was undertaken. </w:t>
      </w:r>
    </w:p>
    <w:p w14:paraId="656B00CC" w14:textId="77777777" w:rsidR="00E4191A" w:rsidRDefault="00E4191A" w:rsidP="0060790A">
      <w:r>
        <w:t xml:space="preserve">There </w:t>
      </w:r>
      <w:r w:rsidR="00D97193">
        <w:t>were, however,</w:t>
      </w:r>
      <w:r>
        <w:t xml:space="preserve"> insufficient data to quantify and value all costs and benefits</w:t>
      </w:r>
      <w:r w:rsidR="00D97193">
        <w:t xml:space="preserve"> in all problem areas</w:t>
      </w:r>
      <w:r>
        <w:t xml:space="preserve">. This is particularly true for environmental and human health benefits. Despite this, all costs and benefits have been considered and, where quantitative data are not available, qualitative </w:t>
      </w:r>
      <w:r w:rsidR="009962DA">
        <w:t xml:space="preserve">information is provided. </w:t>
      </w:r>
    </w:p>
    <w:p w14:paraId="656B00CD" w14:textId="77777777" w:rsidR="00D97193" w:rsidRDefault="00D97193" w:rsidP="00D97193">
      <w:r>
        <w:t xml:space="preserve">The assessment undertaken in these cases used various types of assessment methods, which vary depending on the size of the problem being addressed, the options being considered, and the extent of data available. </w:t>
      </w:r>
    </w:p>
    <w:p w14:paraId="656B00CE" w14:textId="77777777" w:rsidR="0060790A" w:rsidRDefault="004176D9" w:rsidP="0060790A">
      <w:r>
        <w:t>Assessment for each area</w:t>
      </w:r>
      <w:r w:rsidR="0060790A">
        <w:t xml:space="preserve"> involved a wide range of inputs, including </w:t>
      </w:r>
      <w:r w:rsidR="008671DF">
        <w:t>EPA</w:t>
      </w:r>
      <w:r w:rsidR="0060790A">
        <w:t xml:space="preserve"> data, </w:t>
      </w:r>
      <w:r w:rsidR="008671DF">
        <w:t>data from previous RISs and Policy Impact Assessments (PIAs)</w:t>
      </w:r>
      <w:r w:rsidR="0060790A">
        <w:t xml:space="preserve">, data gathered through the web-based survey </w:t>
      </w:r>
      <w:r w:rsidR="008671DF">
        <w:t xml:space="preserve">and </w:t>
      </w:r>
      <w:r w:rsidR="0060790A">
        <w:t>one-to-one interviews</w:t>
      </w:r>
      <w:r w:rsidR="008671DF">
        <w:t>, and data gathered from a variety of publicly available sources</w:t>
      </w:r>
      <w:r w:rsidR="0060790A">
        <w:t xml:space="preserve">. </w:t>
      </w:r>
      <w:r w:rsidR="005502D5">
        <w:t xml:space="preserve">The method for collecting data via stakeholder consultation is outlined in </w:t>
      </w:r>
      <w:r w:rsidR="00D23978">
        <w:t xml:space="preserve">Chapter </w:t>
      </w:r>
      <w:r w:rsidR="00D23978">
        <w:rPr>
          <w:color w:val="2B579A"/>
          <w:shd w:val="clear" w:color="auto" w:fill="E6E6E6"/>
        </w:rPr>
        <w:fldChar w:fldCharType="begin"/>
      </w:r>
      <w:r w:rsidR="00D23978">
        <w:instrText xml:space="preserve"> REF _Ref10007486 \r \h </w:instrText>
      </w:r>
      <w:r w:rsidR="00D23978">
        <w:rPr>
          <w:color w:val="2B579A"/>
          <w:shd w:val="clear" w:color="auto" w:fill="E6E6E6"/>
        </w:rPr>
      </w:r>
      <w:r w:rsidR="00D23978">
        <w:rPr>
          <w:color w:val="2B579A"/>
          <w:shd w:val="clear" w:color="auto" w:fill="E6E6E6"/>
        </w:rPr>
        <w:fldChar w:fldCharType="separate"/>
      </w:r>
      <w:r w:rsidR="00B11C1E">
        <w:t>20</w:t>
      </w:r>
      <w:r w:rsidR="00D23978">
        <w:rPr>
          <w:color w:val="2B579A"/>
          <w:shd w:val="clear" w:color="auto" w:fill="E6E6E6"/>
        </w:rPr>
        <w:fldChar w:fldCharType="end"/>
      </w:r>
      <w:r w:rsidR="005502D5">
        <w:t>.</w:t>
      </w:r>
    </w:p>
    <w:p w14:paraId="656B00CF" w14:textId="77777777" w:rsidR="00DC24EE" w:rsidRDefault="0060790A" w:rsidP="000B4040">
      <w:r>
        <w:t xml:space="preserve">The </w:t>
      </w:r>
      <w:r w:rsidR="00DC7145">
        <w:t>different assessment methods are outlined below.</w:t>
      </w:r>
    </w:p>
    <w:p w14:paraId="656B00D0" w14:textId="77777777" w:rsidR="00DC7145" w:rsidRDefault="006E1FE0" w:rsidP="000F124C">
      <w:pPr>
        <w:pStyle w:val="Heading3"/>
        <w:ind w:left="720"/>
      </w:pPr>
      <w:r>
        <w:t>Cost-benefit analysis (</w:t>
      </w:r>
      <w:r w:rsidR="00DC7145">
        <w:t>CBA</w:t>
      </w:r>
      <w:r>
        <w:t>)</w:t>
      </w:r>
    </w:p>
    <w:p w14:paraId="656B00D1" w14:textId="77777777" w:rsidR="006E0CDD" w:rsidRPr="000B4040" w:rsidRDefault="006E0CDD" w:rsidP="006E0CDD">
      <w:r>
        <w:t xml:space="preserve">As the preferred approach to assess policy options, CBA provides a robust method for evaluating the costs and benefits of a policy proposal in today's dollars to society as a whole. The estimated net benefits (total benefits minus total costs), </w:t>
      </w:r>
      <w:r w:rsidR="00555904">
        <w:t>together with any</w:t>
      </w:r>
      <w:r>
        <w:t xml:space="preserve"> significant impacts that cannot be valued, are used to help identify </w:t>
      </w:r>
      <w:r w:rsidR="006E1FE0">
        <w:t>t</w:t>
      </w:r>
      <w:r>
        <w:t>he preferred option.</w:t>
      </w:r>
    </w:p>
    <w:p w14:paraId="656B00D2" w14:textId="77777777" w:rsidR="00DC7145" w:rsidRDefault="006E0CDD">
      <w:r>
        <w:t>For this RIS, CBA</w:t>
      </w:r>
      <w:r w:rsidR="00555904">
        <w:t>s</w:t>
      </w:r>
      <w:r w:rsidR="00DC7145">
        <w:t xml:space="preserve"> were calculated over a ten year timeframe</w:t>
      </w:r>
      <w:r>
        <w:t>, with 202</w:t>
      </w:r>
      <w:r w:rsidR="006E1FE0">
        <w:t>0</w:t>
      </w:r>
      <w:r>
        <w:t>-21 as Year 1,</w:t>
      </w:r>
      <w:r w:rsidR="00DC7145">
        <w:t xml:space="preserve"> and summarised in net present value </w:t>
      </w:r>
      <w:r>
        <w:t xml:space="preserve">(NPV) </w:t>
      </w:r>
      <w:r w:rsidR="00DC7145">
        <w:t xml:space="preserve">terms </w:t>
      </w:r>
      <w:r w:rsidR="00DC7145" w:rsidRPr="009431F8">
        <w:t xml:space="preserve">using a </w:t>
      </w:r>
      <w:r w:rsidR="006E1FE0">
        <w:t>7</w:t>
      </w:r>
      <w:r w:rsidR="00DC7145">
        <w:t xml:space="preserve">% </w:t>
      </w:r>
      <w:r w:rsidR="00DC7145" w:rsidRPr="009431F8">
        <w:t>discount rate</w:t>
      </w:r>
      <w:r w:rsidR="00555904">
        <w:t>.</w:t>
      </w:r>
      <w:r w:rsidR="00D64CEA">
        <w:rPr>
          <w:rStyle w:val="FootnoteReference"/>
        </w:rPr>
        <w:footnoteReference w:id="53"/>
      </w:r>
      <w:r w:rsidR="006E1FE0">
        <w:t xml:space="preserve"> </w:t>
      </w:r>
      <w:r w:rsidR="00DC7145">
        <w:t>A benefit-cost ratio (benefits divided by costs) was also calculated.</w:t>
      </w:r>
    </w:p>
    <w:p w14:paraId="656B00D3" w14:textId="77777777" w:rsidR="00DC7145" w:rsidRDefault="00DC7145" w:rsidP="000F124C">
      <w:pPr>
        <w:pStyle w:val="Heading3"/>
        <w:ind w:left="720"/>
      </w:pPr>
      <w:r>
        <w:t>Break-even analysis</w:t>
      </w:r>
      <w:r w:rsidR="007E1621">
        <w:t xml:space="preserve"> (BEA)</w:t>
      </w:r>
    </w:p>
    <w:p w14:paraId="656B00D4" w14:textId="77777777" w:rsidR="00AF0AF4" w:rsidRDefault="00AF0AF4" w:rsidP="00AF0AF4">
      <w:r>
        <w:t xml:space="preserve">As noted in the Victorian Guide to Regulation, </w:t>
      </w:r>
      <w:r w:rsidR="007E1621">
        <w:t>BEA</w:t>
      </w:r>
      <w:r w:rsidRPr="000B4040">
        <w:t xml:space="preserve"> can be used </w:t>
      </w:r>
      <w:r>
        <w:t>to establish how effective an option n</w:t>
      </w:r>
      <w:r w:rsidR="007E1621">
        <w:t>eeds to be to offset its costs. S</w:t>
      </w:r>
      <w:r>
        <w:t xml:space="preserve">upporting reasoning and evidence </w:t>
      </w:r>
      <w:r w:rsidR="007E1621">
        <w:t xml:space="preserve">needs to be provided </w:t>
      </w:r>
      <w:r>
        <w:t xml:space="preserve">to explain whether the proposal will likely deliver or exceed the ‘break even’ point. </w:t>
      </w:r>
      <w:r w:rsidR="007E1621">
        <w:t>BEA</w:t>
      </w:r>
      <w:r>
        <w:t xml:space="preserve"> requires units of benefit to be estimated.</w:t>
      </w:r>
      <w:r w:rsidRPr="0034470E">
        <w:rPr>
          <w:vertAlign w:val="superscript"/>
        </w:rPr>
        <w:footnoteReference w:id="54"/>
      </w:r>
      <w:r>
        <w:t xml:space="preserve"> For example, a </w:t>
      </w:r>
      <w:r w:rsidR="007E1621">
        <w:t>BEA</w:t>
      </w:r>
      <w:r>
        <w:t xml:space="preserve"> estimates the number of fatalities that would need to be prevented for an option to generate benefits that would offset or equal the costs of the option. A </w:t>
      </w:r>
      <w:r w:rsidR="00E4191A">
        <w:t xml:space="preserve">qualitative </w:t>
      </w:r>
      <w:r>
        <w:t>judgement is then made as to how achievable these benefits are in practice.</w:t>
      </w:r>
    </w:p>
    <w:p w14:paraId="656B00D5" w14:textId="77777777" w:rsidR="00DC7145" w:rsidRPr="000A1D65" w:rsidRDefault="00DC7145" w:rsidP="000F124C">
      <w:pPr>
        <w:pStyle w:val="Heading3"/>
        <w:ind w:left="720"/>
      </w:pPr>
      <w:r w:rsidRPr="000A1D65">
        <w:t>Multi-criteria analysis (MCA)</w:t>
      </w:r>
    </w:p>
    <w:p w14:paraId="656B00D6" w14:textId="77777777" w:rsidR="001A6DF9" w:rsidRPr="000B4040" w:rsidRDefault="001A6DF9" w:rsidP="000B4040">
      <w:pPr>
        <w:pStyle w:val="BodyText"/>
        <w:spacing w:after="120"/>
        <w:rPr>
          <w:rFonts w:cs="Segoe UI Light"/>
          <w:szCs w:val="20"/>
        </w:rPr>
      </w:pPr>
      <w:r w:rsidRPr="000B4040">
        <w:rPr>
          <w:rFonts w:cs="Segoe UI Light"/>
          <w:szCs w:val="20"/>
        </w:rPr>
        <w:t xml:space="preserve">Most problems in this RIS have been assessed using MCA. MCA requires judgement of how the proposed options will contribute to a series of criteria that are chosen to reflect the benefits and costs associated with each option. Each criterion is assigned a weight reflecting its importance to the policy decision, and a weighted score </w:t>
      </w:r>
      <w:r>
        <w:rPr>
          <w:rFonts w:cs="Segoe UI Light"/>
          <w:szCs w:val="20"/>
        </w:rPr>
        <w:t xml:space="preserve">is </w:t>
      </w:r>
      <w:r w:rsidRPr="000B4040">
        <w:rPr>
          <w:rFonts w:cs="Segoe UI Light"/>
          <w:szCs w:val="20"/>
        </w:rPr>
        <w:t>then derived for each option. The option with the highest weighted score is the preferred option. The MCA technique is outlined in Box 5.1.</w:t>
      </w:r>
    </w:p>
    <w:p w14:paraId="656B00D7" w14:textId="77777777" w:rsidR="00B35A3F" w:rsidRDefault="00B35A3F" w:rsidP="00B35A3F">
      <w:pPr>
        <w:pStyle w:val="Caption"/>
      </w:pPr>
      <w:bookmarkStart w:id="577" w:name="_Toc343800661"/>
      <w:bookmarkStart w:id="578" w:name="_Toc463522724"/>
      <w:bookmarkStart w:id="579" w:name="_Toc466973118"/>
      <w:r>
        <w:t xml:space="preserve">Box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5</w:t>
      </w:r>
      <w:r>
        <w:rPr>
          <w:color w:val="2B579A"/>
          <w:shd w:val="clear" w:color="auto" w:fill="E6E6E6"/>
        </w:rPr>
        <w:fldChar w:fldCharType="end"/>
      </w:r>
      <w:r>
        <w:t>.</w:t>
      </w:r>
      <w:r>
        <w:rPr>
          <w:color w:val="2B579A"/>
          <w:shd w:val="clear" w:color="auto" w:fill="E6E6E6"/>
        </w:rPr>
        <w:fldChar w:fldCharType="begin"/>
      </w:r>
      <w:r>
        <w:instrText xml:space="preserve"> SEQ Box \* ARABIC \s 1 </w:instrText>
      </w:r>
      <w:r>
        <w:rPr>
          <w:color w:val="2B579A"/>
          <w:shd w:val="clear" w:color="auto" w:fill="E6E6E6"/>
        </w:rPr>
        <w:fldChar w:fldCharType="separate"/>
      </w:r>
      <w:r w:rsidR="00B11C1E">
        <w:rPr>
          <w:noProof/>
        </w:rPr>
        <w:t>1</w:t>
      </w:r>
      <w:r>
        <w:rPr>
          <w:color w:val="2B579A"/>
          <w:shd w:val="clear" w:color="auto" w:fill="E6E6E6"/>
        </w:rPr>
        <w:fldChar w:fldCharType="end"/>
      </w:r>
      <w:r>
        <w:t xml:space="preserve"> Multi Criteria Analysis</w:t>
      </w:r>
    </w:p>
    <w:bookmarkEnd w:id="577"/>
    <w:bookmarkEnd w:id="578"/>
    <w:bookmarkEnd w:id="579"/>
    <w:p w14:paraId="656B00D8" w14:textId="77777777" w:rsidR="001A6DF9" w:rsidRDefault="001A6DF9">
      <w:pPr>
        <w:keepNext/>
        <w:keepLines/>
        <w:spacing w:before="120"/>
      </w:pPr>
      <w:r w:rsidRPr="00B70E30">
        <w:rPr>
          <w:rFonts w:cs="Segoe UI Light"/>
          <w:noProof/>
          <w:color w:val="2B579A"/>
          <w:shd w:val="clear" w:color="auto" w:fill="E6E6E6"/>
          <w:lang w:eastAsia="en-AU"/>
        </w:rPr>
        <mc:AlternateContent>
          <mc:Choice Requires="wps">
            <w:drawing>
              <wp:inline distT="0" distB="0" distL="0" distR="0" wp14:anchorId="656B1E9C" wp14:editId="656B1E9D">
                <wp:extent cx="6400800" cy="1409700"/>
                <wp:effectExtent l="0" t="0" r="19050" b="19050"/>
                <wp:docPr id="38" name="Rectangle 38"/>
                <wp:cNvGraphicFramePr/>
                <a:graphic xmlns:a="http://schemas.openxmlformats.org/drawingml/2006/main">
                  <a:graphicData uri="http://schemas.microsoft.com/office/word/2010/wordprocessingShape">
                    <wps:wsp>
                      <wps:cNvSpPr/>
                      <wps:spPr bwMode="gray">
                        <a:xfrm>
                          <a:off x="0" y="0"/>
                          <a:ext cx="6400800" cy="1409700"/>
                        </a:xfrm>
                        <a:prstGeom prst="rect">
                          <a:avLst/>
                        </a:prstGeom>
                        <a:solidFill>
                          <a:schemeClr val="bg2"/>
                        </a:solidFill>
                        <a:ln w="19050" algn="ctr">
                          <a:solidFill>
                            <a:srgbClr val="62B5E5"/>
                          </a:solidFill>
                          <a:miter lim="800000"/>
                          <a:headEnd/>
                          <a:tailEnd/>
                        </a:ln>
                      </wps:spPr>
                      <wps:txbx>
                        <w:txbxContent>
                          <w:p w14:paraId="656B21CB" w14:textId="77777777" w:rsidR="00E752DE" w:rsidRDefault="00E752DE" w:rsidP="000B4040">
                            <w:pPr>
                              <w:spacing w:after="100" w:afterAutospacing="1"/>
                              <w:ind w:right="262"/>
                              <w:rPr>
                                <w:rFonts w:cs="Segoe UI Light"/>
                              </w:rPr>
                            </w:pPr>
                            <w:r w:rsidRPr="0034470E">
                              <w:rPr>
                                <w:rFonts w:cs="Segoe UI Light"/>
                                <w:szCs w:val="20"/>
                              </w:rPr>
                              <w:t xml:space="preserve">MCA refers to a range of techniques to assess policy options against decision criteria. MCA enables options to be compared in a way that utilises quantitative and qualitative evidence fully. The approach enables the inclusion of a wider range of criteria — including social and environmental considerations for example — than used in a typical financial analysis. In addition, the approach is transparent — necessarily subjective judgements and assumptions made to determine options and criteria, and to assign scores and weights are made explicitly. The preferences of the decision maker reflected in these judgements and assumptions can be readily changed in a sensitivity analysis or to incorporate </w:t>
                            </w:r>
                            <w:r>
                              <w:rPr>
                                <w:rFonts w:cs="Segoe UI Light"/>
                                <w:szCs w:val="20"/>
                              </w:rPr>
                              <w:t>alternative</w:t>
                            </w:r>
                            <w:r w:rsidRPr="0034470E">
                              <w:rPr>
                                <w:rFonts w:cs="Segoe UI Light"/>
                                <w:szCs w:val="20"/>
                              </w:rPr>
                              <w:t xml:space="preserve"> indicators of community preference</w:t>
                            </w:r>
                            <w:r>
                              <w:rPr>
                                <w:rFonts w:cs="Segoe UI Light"/>
                                <w:szCs w:val="20"/>
                              </w:rPr>
                              <w:t>.</w:t>
                            </w:r>
                          </w:p>
                          <w:p w14:paraId="656B21CC" w14:textId="77777777" w:rsidR="00E752DE" w:rsidRPr="00906C8E" w:rsidRDefault="00E752DE" w:rsidP="00040A06">
                            <w:pPr>
                              <w:spacing w:after="0"/>
                              <w:ind w:left="360" w:right="262"/>
                              <w:rPr>
                                <w:rFonts w:cs="Segoe UI Light"/>
                              </w:rPr>
                            </w:pPr>
                          </w:p>
                          <w:p w14:paraId="656B21CD" w14:textId="77777777" w:rsidR="00E752DE" w:rsidRDefault="00E752DE" w:rsidP="00040A06">
                            <w:pPr>
                              <w:spacing w:after="0"/>
                              <w:ind w:right="262"/>
                            </w:pP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56B1E9C" id="Rectangle 38" o:spid="_x0000_s1067" style="width:7in;height:111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" fillcolor="#e7e6e6 [3214]" strokecolor="#62b5e5" strokeweight="1.5pt">
                <v:textbox inset="7pt,7pt,7pt,7pt">
                  <w:txbxContent>
                    <w:p w14:paraId="656B21CB" w14:textId="77777777" w:rsidR="00E752DE" w:rsidRDefault="00E752DE" w:rsidP="000B4040">
                      <w:pPr>
                        <w:spacing w:after="100" w:afterAutospacing="1"/>
                        <w:ind w:right="262"/>
                        <w:rPr>
                          <w:rFonts w:cs="Segoe UI Light"/>
                        </w:rPr>
                      </w:pPr>
                      <w:r w:rsidRPr="0034470E">
                        <w:rPr>
                          <w:rFonts w:cs="Segoe UI Light"/>
                          <w:szCs w:val="20"/>
                        </w:rPr>
                        <w:t xml:space="preserve">MCA refers to a range of techniques to assess policy options against decision criteria. MCA enables options to be compared in a way that utilises quantitative and qualitative evidence fully. The approach enables the inclusion of a wider range of criteria — including social and environmental considerations for example — than used in a typical financial analysis. In addition, the approach is transparent — necessarily subjective judgements and assumptions made to determine options and criteria, and to assign scores and weights are made explicitly. The preferences of the decision maker reflected in these judgements and assumptions can be readily changed in a sensitivity analysis or to incorporate </w:t>
                      </w:r>
                      <w:r>
                        <w:rPr>
                          <w:rFonts w:cs="Segoe UI Light"/>
                          <w:szCs w:val="20"/>
                        </w:rPr>
                        <w:t>alternative</w:t>
                      </w:r>
                      <w:r w:rsidRPr="0034470E">
                        <w:rPr>
                          <w:rFonts w:cs="Segoe UI Light"/>
                          <w:szCs w:val="20"/>
                        </w:rPr>
                        <w:t xml:space="preserve"> indicators of community preference</w:t>
                      </w:r>
                      <w:r>
                        <w:rPr>
                          <w:rFonts w:cs="Segoe UI Light"/>
                          <w:szCs w:val="20"/>
                        </w:rPr>
                        <w:t>.</w:t>
                      </w:r>
                    </w:p>
                    <w:p w14:paraId="656B21CC" w14:textId="77777777" w:rsidR="00E752DE" w:rsidRPr="00906C8E" w:rsidRDefault="00E752DE" w:rsidP="00040A06">
                      <w:pPr>
                        <w:spacing w:after="0"/>
                        <w:ind w:left="360" w:right="262"/>
                        <w:rPr>
                          <w:rFonts w:cs="Segoe UI Light"/>
                        </w:rPr>
                      </w:pPr>
                    </w:p>
                    <w:p w14:paraId="656B21CD" w14:textId="77777777" w:rsidR="00E752DE" w:rsidRDefault="00E752DE" w:rsidP="00040A06">
                      <w:pPr>
                        <w:spacing w:after="0"/>
                        <w:ind w:right="262"/>
                      </w:pPr>
                    </w:p>
                  </w:txbxContent>
                </v:textbox>
                <w10:anchorlock/>
              </v:rect>
            </w:pict>
          </mc:Fallback>
        </mc:AlternateContent>
      </w:r>
    </w:p>
    <w:p w14:paraId="656B00D9" w14:textId="77777777" w:rsidR="00FB25E9" w:rsidRPr="000B4040" w:rsidRDefault="00FB25E9" w:rsidP="000B4040">
      <w:pPr>
        <w:spacing w:after="0"/>
        <w:rPr>
          <w:rFonts w:cs="Segoe UI Light"/>
          <w:b/>
          <w:i/>
          <w:szCs w:val="20"/>
        </w:rPr>
      </w:pPr>
      <w:r w:rsidRPr="000B4040">
        <w:rPr>
          <w:rFonts w:cs="Segoe UI Light"/>
          <w:b/>
          <w:i/>
          <w:szCs w:val="20"/>
        </w:rPr>
        <w:t>Criteria</w:t>
      </w:r>
    </w:p>
    <w:p w14:paraId="656B00DA" w14:textId="77777777" w:rsidR="001A6DF9" w:rsidRPr="000B4040" w:rsidRDefault="001A6DF9" w:rsidP="000B4040">
      <w:pPr>
        <w:rPr>
          <w:rFonts w:cs="Segoe UI Light"/>
          <w:szCs w:val="20"/>
        </w:rPr>
      </w:pPr>
      <w:r w:rsidRPr="000B4040">
        <w:rPr>
          <w:rFonts w:cs="Segoe UI Light"/>
          <w:szCs w:val="20"/>
        </w:rPr>
        <w:t xml:space="preserve">The </w:t>
      </w:r>
      <w:r w:rsidR="00555904">
        <w:rPr>
          <w:rFonts w:cs="Segoe UI Light"/>
          <w:szCs w:val="20"/>
        </w:rPr>
        <w:t>o</w:t>
      </w:r>
      <w:r w:rsidR="00555904" w:rsidRPr="000B4040">
        <w:rPr>
          <w:rFonts w:cs="Segoe UI Light"/>
          <w:szCs w:val="20"/>
        </w:rPr>
        <w:t xml:space="preserve">ptions </w:t>
      </w:r>
      <w:r w:rsidRPr="000B4040">
        <w:rPr>
          <w:rFonts w:cs="Segoe UI Light"/>
          <w:szCs w:val="20"/>
        </w:rPr>
        <w:t>have been assessed based on a framework which considers the following criteria:</w:t>
      </w:r>
    </w:p>
    <w:p w14:paraId="656B00DB" w14:textId="77777777" w:rsidR="00FB25E9" w:rsidRPr="000A1D65" w:rsidRDefault="00FB25E9" w:rsidP="004A2442">
      <w:pPr>
        <w:pStyle w:val="ListParagraph"/>
        <w:numPr>
          <w:ilvl w:val="0"/>
          <w:numId w:val="80"/>
        </w:numPr>
        <w:spacing w:after="170"/>
        <w:rPr>
          <w:rFonts w:cs="Segoe UI Light"/>
          <w:szCs w:val="20"/>
        </w:rPr>
      </w:pPr>
      <w:r w:rsidRPr="000B4040">
        <w:rPr>
          <w:rFonts w:cs="Segoe UI Light"/>
          <w:b/>
          <w:szCs w:val="20"/>
        </w:rPr>
        <w:t>Effectiveness</w:t>
      </w:r>
      <w:r w:rsidRPr="000A1D65">
        <w:rPr>
          <w:rFonts w:cs="Segoe UI Light"/>
          <w:szCs w:val="20"/>
        </w:rPr>
        <w:t xml:space="preserve"> – the degree to which the option is expected to reduce the specific harms or achieve other specific objectives.</w:t>
      </w:r>
    </w:p>
    <w:p w14:paraId="656B00DC" w14:textId="77777777" w:rsidR="00FB25E9" w:rsidRPr="00FB25E9" w:rsidRDefault="00FB25E9" w:rsidP="004A2442">
      <w:pPr>
        <w:pStyle w:val="ListParagraph"/>
        <w:numPr>
          <w:ilvl w:val="0"/>
          <w:numId w:val="80"/>
        </w:numPr>
        <w:spacing w:after="170"/>
        <w:rPr>
          <w:rFonts w:cs="Segoe UI Light"/>
          <w:szCs w:val="20"/>
        </w:rPr>
      </w:pPr>
      <w:r w:rsidRPr="000B4040">
        <w:rPr>
          <w:rFonts w:cs="Segoe UI Light"/>
          <w:b/>
          <w:szCs w:val="20"/>
        </w:rPr>
        <w:t>Cost</w:t>
      </w:r>
      <w:r w:rsidRPr="000A1D65">
        <w:rPr>
          <w:rFonts w:cs="Segoe UI Light"/>
          <w:szCs w:val="20"/>
        </w:rPr>
        <w:t xml:space="preserve"> – the degree to which the option imposes regulatory or administrative costs on businesses or the Government.</w:t>
      </w:r>
    </w:p>
    <w:p w14:paraId="656B00DD" w14:textId="77777777" w:rsidR="00FB25E9" w:rsidRPr="000B4040" w:rsidRDefault="00FB25E9" w:rsidP="000B4040">
      <w:pPr>
        <w:spacing w:before="120" w:after="0"/>
        <w:rPr>
          <w:rFonts w:cs="Segoe UI Light"/>
          <w:b/>
          <w:i/>
          <w:szCs w:val="20"/>
        </w:rPr>
      </w:pPr>
      <w:r w:rsidRPr="000B4040">
        <w:rPr>
          <w:rFonts w:cs="Segoe UI Light"/>
          <w:b/>
          <w:i/>
          <w:szCs w:val="20"/>
        </w:rPr>
        <w:t>Weightings</w:t>
      </w:r>
    </w:p>
    <w:p w14:paraId="656B00DE" w14:textId="77777777" w:rsidR="001A6DF9" w:rsidRPr="000B4040" w:rsidRDefault="001A6DF9" w:rsidP="000B4040">
      <w:pPr>
        <w:rPr>
          <w:rFonts w:cs="Segoe UI Light"/>
          <w:szCs w:val="20"/>
        </w:rPr>
      </w:pPr>
      <w:r w:rsidRPr="000B4040">
        <w:rPr>
          <w:rFonts w:cs="Segoe UI Light"/>
          <w:szCs w:val="20"/>
        </w:rPr>
        <w:t>The assessment has adopted the recommended standard approach of applying equal weights (50-50) in aggregate to criteria relating to benefits and those relating to costs.</w:t>
      </w:r>
      <w:r w:rsidR="00E4191A">
        <w:rPr>
          <w:rStyle w:val="FootnoteReference"/>
          <w:rFonts w:cs="Segoe UI Light"/>
          <w:szCs w:val="20"/>
        </w:rPr>
        <w:footnoteReference w:id="55"/>
      </w:r>
      <w:r w:rsidRPr="000B4040">
        <w:rPr>
          <w:rFonts w:cs="Segoe UI Light"/>
          <w:szCs w:val="20"/>
        </w:rPr>
        <w:t xml:space="preserve"> </w:t>
      </w:r>
    </w:p>
    <w:p w14:paraId="656B00DF" w14:textId="77777777" w:rsidR="001A6DF9" w:rsidRPr="000B4040" w:rsidRDefault="001A6DF9" w:rsidP="000B4040">
      <w:pPr>
        <w:spacing w:after="0"/>
        <w:rPr>
          <w:rFonts w:cs="Segoe UI Light"/>
          <w:b/>
          <w:i/>
          <w:szCs w:val="20"/>
        </w:rPr>
      </w:pPr>
      <w:r w:rsidRPr="000B4040">
        <w:rPr>
          <w:rFonts w:cs="Segoe UI Light"/>
          <w:b/>
          <w:i/>
          <w:szCs w:val="20"/>
        </w:rPr>
        <w:t>Scale</w:t>
      </w:r>
    </w:p>
    <w:p w14:paraId="656B00E0" w14:textId="77777777" w:rsidR="001A6DF9" w:rsidRPr="00CC53EE" w:rsidRDefault="001A6DF9" w:rsidP="00CC53EE">
      <w:pPr>
        <w:rPr>
          <w:rFonts w:cs="Segoe UI Light"/>
          <w:szCs w:val="20"/>
        </w:rPr>
      </w:pPr>
      <w:r w:rsidRPr="000B4040">
        <w:rPr>
          <w:rFonts w:cs="Segoe UI Light"/>
          <w:szCs w:val="20"/>
        </w:rPr>
        <w:t xml:space="preserve">The criteria rating scale has a range of –10 to +10, where a score of zero represents no change from the Base Case. </w:t>
      </w:r>
    </w:p>
    <w:p w14:paraId="656B00E1" w14:textId="77777777" w:rsidR="00CC53EE" w:rsidRDefault="00CC53EE" w:rsidP="00CC53EE">
      <w:pPr>
        <w:pStyle w:val="Caption"/>
      </w:pPr>
      <w:r>
        <w:t xml:space="preserve">Table </w:t>
      </w:r>
      <w:r w:rsidR="007E575A">
        <w:rPr>
          <w:color w:val="2B579A"/>
          <w:shd w:val="clear" w:color="auto" w:fill="E6E6E6"/>
        </w:rPr>
        <w:fldChar w:fldCharType="begin"/>
      </w:r>
      <w:r w:rsidR="007E575A">
        <w:instrText xml:space="preserve"> STYLEREF 1 \s </w:instrText>
      </w:r>
      <w:r w:rsidR="007E575A">
        <w:rPr>
          <w:color w:val="2B579A"/>
          <w:shd w:val="clear" w:color="auto" w:fill="E6E6E6"/>
        </w:rPr>
        <w:fldChar w:fldCharType="separate"/>
      </w:r>
      <w:r w:rsidR="00B11C1E">
        <w:rPr>
          <w:noProof/>
        </w:rPr>
        <w:t>5</w:t>
      </w:r>
      <w:r w:rsidR="007E575A">
        <w:rPr>
          <w:color w:val="2B579A"/>
          <w:shd w:val="clear" w:color="auto" w:fill="E6E6E6"/>
        </w:rPr>
        <w:fldChar w:fldCharType="end"/>
      </w:r>
      <w:r w:rsidR="007E575A">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w:t>
      </w:r>
      <w:r w:rsidR="00997CFA">
        <w:rPr>
          <w:color w:val="2B579A"/>
          <w:shd w:val="clear" w:color="auto" w:fill="E6E6E6"/>
        </w:rPr>
        <w:fldChar w:fldCharType="end"/>
      </w:r>
      <w:r w:rsidRPr="00CC53EE">
        <w:rPr>
          <w:rFonts w:cs="Segoe UI Light"/>
          <w:szCs w:val="20"/>
        </w:rPr>
        <w:t xml:space="preserve"> </w:t>
      </w:r>
      <w:r w:rsidRPr="000B4040">
        <w:rPr>
          <w:rFonts w:cs="Segoe UI Light"/>
          <w:szCs w:val="20"/>
        </w:rPr>
        <w:t>MCA Scale</w:t>
      </w:r>
    </w:p>
    <w:tbl>
      <w:tblPr>
        <w:tblStyle w:val="Deloittetable"/>
        <w:tblW w:w="4536" w:type="dxa"/>
        <w:tblLayout w:type="fixed"/>
        <w:tblLook w:val="04A0" w:firstRow="1" w:lastRow="0" w:firstColumn="1" w:lastColumn="0" w:noHBand="0" w:noVBand="1"/>
      </w:tblPr>
      <w:tblGrid>
        <w:gridCol w:w="1134"/>
        <w:gridCol w:w="3402"/>
      </w:tblGrid>
      <w:tr w:rsidR="001A6DF9" w:rsidRPr="006631AE" w14:paraId="656B00E4" w14:textId="77777777" w:rsidTr="00BD313D">
        <w:trPr>
          <w:cnfStyle w:val="100000000000" w:firstRow="1" w:lastRow="0" w:firstColumn="0" w:lastColumn="0" w:oddVBand="0" w:evenVBand="0" w:oddHBand="0" w:evenHBand="0" w:firstRowFirstColumn="0" w:firstRowLastColumn="0" w:lastRowFirstColumn="0" w:lastRowLastColumn="0"/>
        </w:trPr>
        <w:tc>
          <w:tcPr>
            <w:tcW w:w="1134" w:type="dxa"/>
          </w:tcPr>
          <w:p w14:paraId="656B00E2" w14:textId="77777777" w:rsidR="001A6DF9" w:rsidRPr="000B4040" w:rsidRDefault="001A6DF9" w:rsidP="001A6DF9">
            <w:pPr>
              <w:spacing w:after="0" w:line="240" w:lineRule="auto"/>
              <w:rPr>
                <w:rFonts w:eastAsia="Times New Roman" w:cs="Segoe UI Light"/>
                <w:b/>
                <w:sz w:val="18"/>
                <w:lang w:val="en-US"/>
              </w:rPr>
            </w:pPr>
            <w:r w:rsidRPr="000B4040">
              <w:rPr>
                <w:rFonts w:eastAsia="Times New Roman" w:cs="Segoe UI Light"/>
                <w:b/>
                <w:sz w:val="18"/>
                <w:lang w:val="en-US"/>
              </w:rPr>
              <w:t>Score</w:t>
            </w:r>
          </w:p>
        </w:tc>
        <w:tc>
          <w:tcPr>
            <w:tcW w:w="3402" w:type="dxa"/>
          </w:tcPr>
          <w:p w14:paraId="656B00E3" w14:textId="77777777" w:rsidR="001A6DF9" w:rsidRPr="000B4040" w:rsidRDefault="001A6DF9" w:rsidP="001A6DF9">
            <w:pPr>
              <w:spacing w:after="0" w:line="240" w:lineRule="auto"/>
              <w:rPr>
                <w:rFonts w:eastAsia="Times New Roman" w:cs="Segoe UI Light"/>
                <w:b/>
                <w:sz w:val="18"/>
                <w:lang w:val="en-US"/>
              </w:rPr>
            </w:pPr>
            <w:r w:rsidRPr="000B4040">
              <w:rPr>
                <w:rFonts w:cs="Segoe UI Light"/>
                <w:b/>
                <w:sz w:val="18"/>
              </w:rPr>
              <w:t>Description</w:t>
            </w:r>
          </w:p>
        </w:tc>
      </w:tr>
      <w:tr w:rsidR="001A6DF9" w:rsidRPr="006631AE" w14:paraId="656B00E7" w14:textId="77777777" w:rsidTr="00BD313D">
        <w:tc>
          <w:tcPr>
            <w:tcW w:w="1134" w:type="dxa"/>
          </w:tcPr>
          <w:p w14:paraId="656B00E5" w14:textId="77777777" w:rsidR="001A6DF9" w:rsidRPr="000B4040" w:rsidRDefault="001A6DF9" w:rsidP="001A6DF9">
            <w:pPr>
              <w:tabs>
                <w:tab w:val="left" w:pos="3011"/>
              </w:tabs>
              <w:spacing w:after="0" w:line="240" w:lineRule="auto"/>
              <w:ind w:right="-249"/>
              <w:jc w:val="both"/>
              <w:rPr>
                <w:rFonts w:cs="Segoe UI Light"/>
                <w:sz w:val="18"/>
              </w:rPr>
            </w:pPr>
            <w:r w:rsidRPr="000B4040">
              <w:rPr>
                <w:rFonts w:cs="Segoe UI Light"/>
                <w:sz w:val="18"/>
              </w:rPr>
              <w:t>-10</w:t>
            </w:r>
          </w:p>
        </w:tc>
        <w:tc>
          <w:tcPr>
            <w:tcW w:w="3402" w:type="dxa"/>
          </w:tcPr>
          <w:p w14:paraId="656B00E6" w14:textId="77777777" w:rsidR="001A6DF9" w:rsidRPr="000B4040" w:rsidRDefault="001A6DF9" w:rsidP="001A6DF9">
            <w:pPr>
              <w:tabs>
                <w:tab w:val="left" w:pos="3011"/>
              </w:tabs>
              <w:spacing w:after="0" w:line="240" w:lineRule="auto"/>
              <w:ind w:right="-249"/>
              <w:jc w:val="both"/>
              <w:rPr>
                <w:rFonts w:cs="Segoe UI Light"/>
                <w:sz w:val="18"/>
              </w:rPr>
            </w:pPr>
            <w:r w:rsidRPr="000B4040">
              <w:rPr>
                <w:rFonts w:cs="Segoe UI Light"/>
                <w:sz w:val="18"/>
              </w:rPr>
              <w:t>Much worse than the Base Case</w:t>
            </w:r>
          </w:p>
        </w:tc>
      </w:tr>
      <w:tr w:rsidR="001A6DF9" w:rsidRPr="006631AE" w14:paraId="656B00EA" w14:textId="77777777" w:rsidTr="00BD313D">
        <w:tc>
          <w:tcPr>
            <w:tcW w:w="1134" w:type="dxa"/>
          </w:tcPr>
          <w:p w14:paraId="656B00E8" w14:textId="77777777" w:rsidR="001A6DF9" w:rsidRPr="000B4040" w:rsidRDefault="001A6DF9" w:rsidP="001A6DF9">
            <w:pPr>
              <w:tabs>
                <w:tab w:val="left" w:pos="3011"/>
              </w:tabs>
              <w:spacing w:after="0" w:line="240" w:lineRule="auto"/>
              <w:ind w:right="-249"/>
              <w:jc w:val="both"/>
              <w:rPr>
                <w:rFonts w:cs="Segoe UI Light"/>
                <w:sz w:val="18"/>
              </w:rPr>
            </w:pPr>
            <w:r w:rsidRPr="000B4040">
              <w:rPr>
                <w:rFonts w:cs="Segoe UI Light"/>
                <w:sz w:val="18"/>
              </w:rPr>
              <w:t>-5</w:t>
            </w:r>
          </w:p>
        </w:tc>
        <w:tc>
          <w:tcPr>
            <w:tcW w:w="3402" w:type="dxa"/>
          </w:tcPr>
          <w:p w14:paraId="656B00E9" w14:textId="77777777" w:rsidR="001A6DF9" w:rsidRPr="000B4040" w:rsidRDefault="001A6DF9" w:rsidP="001A6DF9">
            <w:pPr>
              <w:tabs>
                <w:tab w:val="left" w:pos="3011"/>
              </w:tabs>
              <w:spacing w:after="0" w:line="240" w:lineRule="auto"/>
              <w:ind w:right="-249"/>
              <w:jc w:val="both"/>
              <w:rPr>
                <w:rFonts w:cs="Segoe UI Light"/>
                <w:sz w:val="18"/>
              </w:rPr>
            </w:pPr>
            <w:r w:rsidRPr="000B4040">
              <w:rPr>
                <w:rFonts w:cs="Segoe UI Light"/>
                <w:sz w:val="18"/>
              </w:rPr>
              <w:t>Somewhat worse than the Base Case</w:t>
            </w:r>
          </w:p>
        </w:tc>
      </w:tr>
      <w:tr w:rsidR="001A6DF9" w:rsidRPr="006631AE" w14:paraId="656B00ED" w14:textId="77777777" w:rsidTr="00BD313D">
        <w:tc>
          <w:tcPr>
            <w:tcW w:w="1134" w:type="dxa"/>
          </w:tcPr>
          <w:p w14:paraId="656B00EB" w14:textId="77777777" w:rsidR="001A6DF9" w:rsidRPr="000B4040" w:rsidRDefault="001A6DF9" w:rsidP="001A6DF9">
            <w:pPr>
              <w:tabs>
                <w:tab w:val="left" w:pos="3011"/>
              </w:tabs>
              <w:spacing w:after="0" w:line="240" w:lineRule="auto"/>
              <w:ind w:right="-249"/>
              <w:jc w:val="both"/>
              <w:rPr>
                <w:rFonts w:cs="Segoe UI Light"/>
                <w:sz w:val="18"/>
              </w:rPr>
            </w:pPr>
            <w:r w:rsidRPr="000B4040">
              <w:rPr>
                <w:rFonts w:cs="Segoe UI Light"/>
                <w:sz w:val="18"/>
              </w:rPr>
              <w:t>0</w:t>
            </w:r>
          </w:p>
        </w:tc>
        <w:tc>
          <w:tcPr>
            <w:tcW w:w="3402" w:type="dxa"/>
          </w:tcPr>
          <w:p w14:paraId="656B00EC" w14:textId="77777777" w:rsidR="001A6DF9" w:rsidRPr="000B4040" w:rsidRDefault="001A6DF9" w:rsidP="001A6DF9">
            <w:pPr>
              <w:tabs>
                <w:tab w:val="left" w:pos="3011"/>
              </w:tabs>
              <w:spacing w:after="0" w:line="240" w:lineRule="auto"/>
              <w:ind w:right="-249"/>
              <w:jc w:val="both"/>
              <w:rPr>
                <w:rFonts w:cs="Segoe UI Light"/>
                <w:sz w:val="18"/>
              </w:rPr>
            </w:pPr>
            <w:r w:rsidRPr="000B4040">
              <w:rPr>
                <w:rFonts w:cs="Segoe UI Light"/>
                <w:sz w:val="18"/>
              </w:rPr>
              <w:t>No change from the Base Case</w:t>
            </w:r>
          </w:p>
        </w:tc>
      </w:tr>
      <w:tr w:rsidR="001A6DF9" w:rsidRPr="006631AE" w14:paraId="656B00F0" w14:textId="77777777" w:rsidTr="00BD313D">
        <w:tc>
          <w:tcPr>
            <w:tcW w:w="1134" w:type="dxa"/>
          </w:tcPr>
          <w:p w14:paraId="656B00EE" w14:textId="77777777" w:rsidR="001A6DF9" w:rsidRPr="000B4040" w:rsidRDefault="001A6DF9" w:rsidP="001A6DF9">
            <w:pPr>
              <w:tabs>
                <w:tab w:val="left" w:pos="3011"/>
              </w:tabs>
              <w:spacing w:after="0" w:line="240" w:lineRule="auto"/>
              <w:ind w:right="-249"/>
              <w:jc w:val="both"/>
              <w:rPr>
                <w:rFonts w:cs="Segoe UI Light"/>
                <w:sz w:val="18"/>
              </w:rPr>
            </w:pPr>
            <w:r w:rsidRPr="000B4040">
              <w:rPr>
                <w:rFonts w:cs="Segoe UI Light"/>
                <w:sz w:val="18"/>
              </w:rPr>
              <w:t>+5</w:t>
            </w:r>
          </w:p>
        </w:tc>
        <w:tc>
          <w:tcPr>
            <w:tcW w:w="3402" w:type="dxa"/>
          </w:tcPr>
          <w:p w14:paraId="656B00EF" w14:textId="77777777" w:rsidR="001A6DF9" w:rsidRPr="000B4040" w:rsidRDefault="001A6DF9" w:rsidP="001A6DF9">
            <w:pPr>
              <w:tabs>
                <w:tab w:val="left" w:pos="3011"/>
              </w:tabs>
              <w:spacing w:after="0" w:line="240" w:lineRule="auto"/>
              <w:ind w:right="-249"/>
              <w:jc w:val="both"/>
              <w:rPr>
                <w:rFonts w:cs="Segoe UI Light"/>
                <w:sz w:val="18"/>
              </w:rPr>
            </w:pPr>
            <w:r w:rsidRPr="000B4040">
              <w:rPr>
                <w:rFonts w:cs="Segoe UI Light"/>
                <w:sz w:val="18"/>
              </w:rPr>
              <w:t>Somewhat better than the Base Case</w:t>
            </w:r>
          </w:p>
        </w:tc>
      </w:tr>
      <w:tr w:rsidR="001A6DF9" w:rsidRPr="006631AE" w14:paraId="656B00F3" w14:textId="77777777" w:rsidTr="00BD313D">
        <w:tc>
          <w:tcPr>
            <w:tcW w:w="1134" w:type="dxa"/>
          </w:tcPr>
          <w:p w14:paraId="656B00F1" w14:textId="77777777" w:rsidR="001A6DF9" w:rsidRPr="000B4040" w:rsidRDefault="001A6DF9" w:rsidP="001A6DF9">
            <w:pPr>
              <w:tabs>
                <w:tab w:val="left" w:pos="3011"/>
              </w:tabs>
              <w:spacing w:after="0" w:line="240" w:lineRule="auto"/>
              <w:ind w:right="-249"/>
              <w:jc w:val="both"/>
              <w:rPr>
                <w:rFonts w:cs="Segoe UI Light"/>
                <w:sz w:val="18"/>
              </w:rPr>
            </w:pPr>
            <w:r w:rsidRPr="000B4040">
              <w:rPr>
                <w:rFonts w:cs="Segoe UI Light"/>
                <w:sz w:val="18"/>
              </w:rPr>
              <w:t>+10</w:t>
            </w:r>
          </w:p>
        </w:tc>
        <w:tc>
          <w:tcPr>
            <w:tcW w:w="3402" w:type="dxa"/>
          </w:tcPr>
          <w:p w14:paraId="656B00F2" w14:textId="77777777" w:rsidR="001A6DF9" w:rsidRPr="000B4040" w:rsidRDefault="001A6DF9" w:rsidP="001A6DF9">
            <w:pPr>
              <w:tabs>
                <w:tab w:val="left" w:pos="3011"/>
              </w:tabs>
              <w:spacing w:after="0" w:line="240" w:lineRule="auto"/>
              <w:ind w:right="-249"/>
              <w:jc w:val="both"/>
              <w:rPr>
                <w:rFonts w:cs="Segoe UI Light"/>
                <w:sz w:val="18"/>
              </w:rPr>
            </w:pPr>
            <w:r w:rsidRPr="000B4040">
              <w:rPr>
                <w:rFonts w:cs="Segoe UI Light"/>
                <w:sz w:val="18"/>
              </w:rPr>
              <w:t>Much better than the Base Case</w:t>
            </w:r>
          </w:p>
        </w:tc>
      </w:tr>
    </w:tbl>
    <w:p w14:paraId="656B00F4" w14:textId="77777777" w:rsidR="007C7FB4" w:rsidRDefault="007C7FB4" w:rsidP="007C7FB4"/>
    <w:p w14:paraId="656B00F5" w14:textId="77777777" w:rsidR="009958EA" w:rsidRDefault="009958EA" w:rsidP="00494A7B">
      <w:pPr>
        <w:spacing w:before="120"/>
        <w:rPr>
          <w:rFonts w:cs="Segoe UI Light"/>
          <w:szCs w:val="20"/>
        </w:rPr>
      </w:pPr>
      <w:r w:rsidRPr="009958EA">
        <w:rPr>
          <w:rFonts w:cs="Segoe UI Light"/>
          <w:szCs w:val="20"/>
        </w:rPr>
        <w:t xml:space="preserve">It is important to note that the assessment of options in each problem area is conducted separately from the other problem areas. Therefore, the scores within each MCA are </w:t>
      </w:r>
      <w:r w:rsidR="00555904">
        <w:rPr>
          <w:rFonts w:cs="Segoe UI Light"/>
          <w:szCs w:val="20"/>
        </w:rPr>
        <w:t>made</w:t>
      </w:r>
      <w:r w:rsidRPr="009958EA">
        <w:rPr>
          <w:rFonts w:cs="Segoe UI Light"/>
          <w:szCs w:val="20"/>
        </w:rPr>
        <w:t xml:space="preserve"> by comparison to the Base Case for that problem, and the relative scores for each criterion/option reflect the relative size of the impacts in that problem area. For example, if option 1 in problem area </w:t>
      </w:r>
      <w:r w:rsidRPr="00494A7B">
        <w:rPr>
          <w:rFonts w:cs="Segoe UI Light"/>
          <w:i/>
          <w:szCs w:val="20"/>
        </w:rPr>
        <w:t>A</w:t>
      </w:r>
      <w:r w:rsidRPr="009958EA">
        <w:rPr>
          <w:rFonts w:cs="Segoe UI Light"/>
          <w:szCs w:val="20"/>
        </w:rPr>
        <w:t xml:space="preserve"> imposes costs of $x and scores -2 for cost,</w:t>
      </w:r>
      <w:r>
        <w:rPr>
          <w:rFonts w:cs="Segoe UI Light"/>
          <w:szCs w:val="20"/>
        </w:rPr>
        <w:t xml:space="preserve"> then option 2 in problem area </w:t>
      </w:r>
      <w:r w:rsidRPr="00494A7B">
        <w:rPr>
          <w:rFonts w:cs="Segoe UI Light"/>
          <w:i/>
          <w:szCs w:val="20"/>
        </w:rPr>
        <w:t>A</w:t>
      </w:r>
      <w:r w:rsidRPr="009958EA">
        <w:rPr>
          <w:rFonts w:cs="Segoe UI Light"/>
          <w:szCs w:val="20"/>
        </w:rPr>
        <w:t xml:space="preserve"> would receive a score of -4 if it imposes double that cost. However, an option that imposes a cost of $x in another problem area might not receive a score of -2 (because the score will depend on how that cost relates to the Base Case costs in that problem area). </w:t>
      </w:r>
    </w:p>
    <w:p w14:paraId="656B00F6" w14:textId="77777777" w:rsidR="00DC7145" w:rsidRPr="00D9169B" w:rsidRDefault="00FF25A3" w:rsidP="00982D63">
      <w:pPr>
        <w:pStyle w:val="Heading2"/>
      </w:pPr>
      <w:r w:rsidRPr="008100A1">
        <w:t>Q</w:t>
      </w:r>
      <w:r w:rsidR="00DC7145" w:rsidRPr="00177B6E">
        <w:t xml:space="preserve">ualitative </w:t>
      </w:r>
      <w:r w:rsidR="00DC7145" w:rsidRPr="0017285F">
        <w:t>analysis</w:t>
      </w:r>
    </w:p>
    <w:p w14:paraId="656B00F7" w14:textId="77777777" w:rsidR="00AF0AF4" w:rsidRPr="000A1D65" w:rsidRDefault="00FF25A3" w:rsidP="00494A7B">
      <w:pPr>
        <w:spacing w:before="120"/>
        <w:rPr>
          <w:rFonts w:cs="Segoe UI Light"/>
          <w:szCs w:val="20"/>
        </w:rPr>
      </w:pPr>
      <w:r>
        <w:rPr>
          <w:rFonts w:cs="Segoe UI Light"/>
          <w:szCs w:val="20"/>
        </w:rPr>
        <w:t>Qualitative analysis predomina</w:t>
      </w:r>
      <w:r w:rsidR="009958EA">
        <w:rPr>
          <w:rFonts w:cs="Segoe UI Light"/>
          <w:szCs w:val="20"/>
        </w:rPr>
        <w:t>n</w:t>
      </w:r>
      <w:r>
        <w:rPr>
          <w:rFonts w:cs="Segoe UI Light"/>
          <w:szCs w:val="20"/>
        </w:rPr>
        <w:t xml:space="preserve">tly relies on qualitative evidence, with limited quantitative evidence. </w:t>
      </w:r>
      <w:r w:rsidR="007E1621" w:rsidRPr="008100A1">
        <w:rPr>
          <w:rFonts w:cs="Segoe UI Light"/>
          <w:szCs w:val="20"/>
        </w:rPr>
        <w:t xml:space="preserve">Reasoning and assumptions are needed </w:t>
      </w:r>
      <w:r w:rsidRPr="0034470E">
        <w:rPr>
          <w:rFonts w:cs="Segoe UI Light"/>
          <w:szCs w:val="20"/>
        </w:rPr>
        <w:t xml:space="preserve">to determine </w:t>
      </w:r>
      <w:r>
        <w:rPr>
          <w:rFonts w:cs="Segoe UI Light"/>
          <w:szCs w:val="20"/>
        </w:rPr>
        <w:t>the prefe</w:t>
      </w:r>
      <w:r w:rsidR="007E1621">
        <w:rPr>
          <w:rFonts w:cs="Segoe UI Light"/>
          <w:szCs w:val="20"/>
        </w:rPr>
        <w:t>rred option,</w:t>
      </w:r>
      <w:r>
        <w:rPr>
          <w:rFonts w:cs="Segoe UI Light"/>
          <w:szCs w:val="20"/>
        </w:rPr>
        <w:t xml:space="preserve"> supported by evidence (such as findings from consultations) wherever possible. In this RIS, qualitative analysis is used where quantitative data is limited (making more robust methods such as CBA infeasible), and MCA or break-even analysis is less suitable: for example where the problem being assessed is relatively small, or where only one feasible </w:t>
      </w:r>
      <w:r w:rsidR="006E1FE0">
        <w:rPr>
          <w:rFonts w:cs="Segoe UI Light"/>
          <w:szCs w:val="20"/>
        </w:rPr>
        <w:t>option</w:t>
      </w:r>
      <w:r>
        <w:rPr>
          <w:rFonts w:cs="Segoe UI Light"/>
          <w:szCs w:val="20"/>
        </w:rPr>
        <w:t xml:space="preserve"> is being assessed against the Base Case. Qualitative analysis in this RIS </w:t>
      </w:r>
      <w:r w:rsidR="009958EA">
        <w:rPr>
          <w:rFonts w:cs="Segoe UI Light"/>
          <w:szCs w:val="20"/>
        </w:rPr>
        <w:t xml:space="preserve">makes </w:t>
      </w:r>
      <w:r>
        <w:rPr>
          <w:rFonts w:cs="Segoe UI Light"/>
          <w:szCs w:val="20"/>
        </w:rPr>
        <w:t>reference to the criteria used in the MCAs although in a less structured manner and without assigning a score.</w:t>
      </w:r>
    </w:p>
    <w:p w14:paraId="656B00F8" w14:textId="77777777" w:rsidR="00AF0AF4" w:rsidRDefault="00050F5E" w:rsidP="00982D63">
      <w:pPr>
        <w:pStyle w:val="Heading2"/>
      </w:pPr>
      <w:r>
        <w:t>Approach to estimating b</w:t>
      </w:r>
      <w:r w:rsidR="00AF0AF4">
        <w:t>enefits</w:t>
      </w:r>
    </w:p>
    <w:p w14:paraId="656B00F9" w14:textId="77777777" w:rsidR="00050F5E" w:rsidRPr="000B4040" w:rsidRDefault="00050F5E" w:rsidP="000B4040">
      <w:pPr>
        <w:spacing w:before="120"/>
        <w:rPr>
          <w:rFonts w:cs="Segoe UI Light"/>
          <w:szCs w:val="20"/>
        </w:rPr>
      </w:pPr>
      <w:r w:rsidRPr="000B4040">
        <w:rPr>
          <w:rFonts w:cs="Segoe UI Light"/>
          <w:szCs w:val="20"/>
        </w:rPr>
        <w:t xml:space="preserve">The analysis </w:t>
      </w:r>
      <w:r w:rsidR="00555904" w:rsidRPr="000B4040">
        <w:rPr>
          <w:rFonts w:cs="Segoe UI Light"/>
          <w:szCs w:val="20"/>
        </w:rPr>
        <w:t>assesse</w:t>
      </w:r>
      <w:r w:rsidR="00555904">
        <w:rPr>
          <w:rFonts w:cs="Segoe UI Light"/>
          <w:szCs w:val="20"/>
        </w:rPr>
        <w:t>s</w:t>
      </w:r>
      <w:r w:rsidR="00555904" w:rsidRPr="000B4040">
        <w:rPr>
          <w:rFonts w:cs="Segoe UI Light"/>
          <w:szCs w:val="20"/>
        </w:rPr>
        <w:t xml:space="preserve"> </w:t>
      </w:r>
      <w:r w:rsidRPr="000B4040">
        <w:rPr>
          <w:rFonts w:cs="Segoe UI Light"/>
          <w:szCs w:val="20"/>
        </w:rPr>
        <w:t xml:space="preserve">the benefits to society </w:t>
      </w:r>
      <w:r w:rsidR="00047C92" w:rsidRPr="000B4040">
        <w:rPr>
          <w:rFonts w:cs="Segoe UI Light"/>
          <w:szCs w:val="20"/>
        </w:rPr>
        <w:t>in the form of reduced risks to human health and the environment</w:t>
      </w:r>
      <w:r w:rsidRPr="000B4040">
        <w:rPr>
          <w:rFonts w:cs="Segoe UI Light"/>
          <w:szCs w:val="20"/>
        </w:rPr>
        <w:t xml:space="preserve">. </w:t>
      </w:r>
      <w:r w:rsidR="00047C92" w:rsidRPr="000B4040">
        <w:rPr>
          <w:rFonts w:cs="Segoe UI Light"/>
          <w:szCs w:val="20"/>
        </w:rPr>
        <w:t xml:space="preserve">In some cases, such as </w:t>
      </w:r>
      <w:r w:rsidR="000F337C">
        <w:rPr>
          <w:rFonts w:cs="Segoe UI Light"/>
          <w:szCs w:val="20"/>
        </w:rPr>
        <w:t>permissions</w:t>
      </w:r>
      <w:r w:rsidR="00047C92" w:rsidRPr="000B4040">
        <w:rPr>
          <w:rFonts w:cs="Segoe UI Light"/>
          <w:szCs w:val="20"/>
        </w:rPr>
        <w:t xml:space="preserve">, quantification of these benefits </w:t>
      </w:r>
      <w:r w:rsidR="00555904">
        <w:rPr>
          <w:rFonts w:cs="Segoe UI Light"/>
          <w:szCs w:val="20"/>
        </w:rPr>
        <w:t>is</w:t>
      </w:r>
      <w:r w:rsidR="00047C92" w:rsidRPr="000B4040">
        <w:rPr>
          <w:rFonts w:cs="Segoe UI Light"/>
          <w:szCs w:val="20"/>
        </w:rPr>
        <w:t xml:space="preserve"> possible</w:t>
      </w:r>
      <w:r w:rsidR="000F337C">
        <w:rPr>
          <w:rFonts w:cs="Segoe UI Light"/>
          <w:szCs w:val="20"/>
        </w:rPr>
        <w:t xml:space="preserve"> </w:t>
      </w:r>
      <w:r w:rsidR="00555904">
        <w:rPr>
          <w:rFonts w:cs="Segoe UI Light"/>
          <w:szCs w:val="20"/>
        </w:rPr>
        <w:t xml:space="preserve">due to </w:t>
      </w:r>
      <w:r w:rsidR="009E58AC">
        <w:rPr>
          <w:rFonts w:cs="Segoe UI Light"/>
          <w:szCs w:val="20"/>
        </w:rPr>
        <w:t xml:space="preserve">the availability of reliable and relevant </w:t>
      </w:r>
      <w:r w:rsidR="000F337C">
        <w:rPr>
          <w:rFonts w:cs="Segoe UI Light"/>
          <w:szCs w:val="20"/>
        </w:rPr>
        <w:t>data</w:t>
      </w:r>
      <w:r w:rsidR="009E58AC">
        <w:rPr>
          <w:rFonts w:cs="Segoe UI Light"/>
          <w:szCs w:val="20"/>
        </w:rPr>
        <w:t>.</w:t>
      </w:r>
      <w:r w:rsidR="000F337C">
        <w:rPr>
          <w:rFonts w:cs="Segoe UI Light"/>
          <w:szCs w:val="20"/>
        </w:rPr>
        <w:t xml:space="preserve"> </w:t>
      </w:r>
      <w:r w:rsidR="00047C92">
        <w:rPr>
          <w:rFonts w:cs="Segoe UI Light"/>
          <w:szCs w:val="20"/>
        </w:rPr>
        <w:t xml:space="preserve">However, in most areas there were significant data limitations which made quantification of benefits infeasible. </w:t>
      </w:r>
      <w:r w:rsidR="00465778">
        <w:rPr>
          <w:rFonts w:cs="Segoe UI Light"/>
          <w:szCs w:val="20"/>
        </w:rPr>
        <w:t xml:space="preserve">In </w:t>
      </w:r>
      <w:r w:rsidR="009E58AC">
        <w:rPr>
          <w:rFonts w:cs="Segoe UI Light"/>
          <w:szCs w:val="20"/>
        </w:rPr>
        <w:t xml:space="preserve">these </w:t>
      </w:r>
      <w:r w:rsidR="00465778">
        <w:rPr>
          <w:rFonts w:cs="Segoe UI Light"/>
          <w:szCs w:val="20"/>
        </w:rPr>
        <w:t>cases the nature and likely extent of</w:t>
      </w:r>
      <w:r w:rsidR="00047C92">
        <w:rPr>
          <w:rFonts w:cs="Segoe UI Light"/>
          <w:szCs w:val="20"/>
        </w:rPr>
        <w:t xml:space="preserve"> benefits that are identified in these problem areas are</w:t>
      </w:r>
      <w:r w:rsidRPr="000B4040">
        <w:rPr>
          <w:rFonts w:cs="Segoe UI Light"/>
          <w:szCs w:val="20"/>
        </w:rPr>
        <w:t xml:space="preserve"> discussed qualitatively. </w:t>
      </w:r>
      <w:r w:rsidR="00047C92">
        <w:rPr>
          <w:rFonts w:cs="Segoe UI Light"/>
          <w:szCs w:val="20"/>
        </w:rPr>
        <w:t>Evidence such as c</w:t>
      </w:r>
      <w:r w:rsidRPr="000B4040">
        <w:rPr>
          <w:rFonts w:cs="Segoe UI Light"/>
          <w:szCs w:val="20"/>
        </w:rPr>
        <w:t>ase studies</w:t>
      </w:r>
      <w:r w:rsidR="00047C92">
        <w:rPr>
          <w:rFonts w:cs="Segoe UI Light"/>
          <w:szCs w:val="20"/>
        </w:rPr>
        <w:t>,</w:t>
      </w:r>
      <w:r w:rsidRPr="000B4040">
        <w:rPr>
          <w:rFonts w:cs="Segoe UI Light"/>
          <w:szCs w:val="20"/>
        </w:rPr>
        <w:t xml:space="preserve"> examples of incidents</w:t>
      </w:r>
      <w:r w:rsidR="00047C92">
        <w:rPr>
          <w:rFonts w:cs="Segoe UI Light"/>
          <w:szCs w:val="20"/>
        </w:rPr>
        <w:t xml:space="preserve"> and publicly available information from other jurisdictions are used to provide support for </w:t>
      </w:r>
      <w:r w:rsidR="009E58AC">
        <w:rPr>
          <w:rFonts w:cs="Segoe UI Light"/>
          <w:szCs w:val="20"/>
        </w:rPr>
        <w:t xml:space="preserve">the </w:t>
      </w:r>
      <w:r w:rsidR="00047C92">
        <w:rPr>
          <w:rFonts w:cs="Segoe UI Light"/>
          <w:szCs w:val="20"/>
        </w:rPr>
        <w:t xml:space="preserve">analysis of benefits. </w:t>
      </w:r>
    </w:p>
    <w:p w14:paraId="656B00FA" w14:textId="77777777" w:rsidR="00AF0AF4" w:rsidRDefault="00050F5E" w:rsidP="00982D63">
      <w:pPr>
        <w:pStyle w:val="Heading2"/>
      </w:pPr>
      <w:r>
        <w:t>Approach to estimating c</w:t>
      </w:r>
      <w:r w:rsidR="00AF0AF4">
        <w:t>osts</w:t>
      </w:r>
    </w:p>
    <w:p w14:paraId="656B00FB" w14:textId="77777777" w:rsidR="005502D5" w:rsidRPr="000B4040" w:rsidRDefault="005502D5" w:rsidP="000B4040">
      <w:pPr>
        <w:rPr>
          <w:rFonts w:cs="Segoe UI Light"/>
          <w:b/>
          <w:szCs w:val="20"/>
        </w:rPr>
      </w:pPr>
      <w:r w:rsidRPr="000A1D65">
        <w:rPr>
          <w:rFonts w:cs="Segoe UI Light"/>
          <w:szCs w:val="20"/>
        </w:rPr>
        <w:t xml:space="preserve">The analysis estimates the costs of the proposed </w:t>
      </w:r>
      <w:r w:rsidRPr="0056442D">
        <w:rPr>
          <w:rFonts w:cs="Segoe UI Light"/>
          <w:szCs w:val="20"/>
        </w:rPr>
        <w:t>Regulations by estimating:</w:t>
      </w:r>
    </w:p>
    <w:p w14:paraId="656B00FC" w14:textId="77777777" w:rsidR="005502D5" w:rsidRPr="005502D5" w:rsidRDefault="005502D5" w:rsidP="004A2442">
      <w:pPr>
        <w:pStyle w:val="BodyText"/>
        <w:numPr>
          <w:ilvl w:val="0"/>
          <w:numId w:val="74"/>
        </w:numPr>
        <w:spacing w:after="0"/>
      </w:pPr>
      <w:r w:rsidRPr="005502D5">
        <w:t xml:space="preserve">Costs to businesses of complying with the </w:t>
      </w:r>
      <w:r>
        <w:t xml:space="preserve">proposed </w:t>
      </w:r>
      <w:r w:rsidRPr="005502D5">
        <w:t>Regulations</w:t>
      </w:r>
      <w:r>
        <w:t>.</w:t>
      </w:r>
    </w:p>
    <w:p w14:paraId="656B00FD" w14:textId="77777777" w:rsidR="005502D5" w:rsidRPr="005502D5" w:rsidRDefault="005502D5" w:rsidP="004A2442">
      <w:pPr>
        <w:pStyle w:val="BodyText"/>
        <w:numPr>
          <w:ilvl w:val="0"/>
          <w:numId w:val="74"/>
        </w:numPr>
        <w:spacing w:after="0"/>
      </w:pPr>
      <w:r w:rsidRPr="005502D5">
        <w:t>Costs to the Government of implementing and administering the</w:t>
      </w:r>
      <w:r>
        <w:t xml:space="preserve"> proposed</w:t>
      </w:r>
      <w:r w:rsidRPr="000A1D65">
        <w:t xml:space="preserve"> Regulations</w:t>
      </w:r>
      <w:r w:rsidR="006E1FE0">
        <w:t xml:space="preserve"> (which, in some instances, is ultimately borne by businesses through fees). </w:t>
      </w:r>
    </w:p>
    <w:p w14:paraId="656B00FE" w14:textId="77777777" w:rsidR="00050F5E" w:rsidRPr="00827D05" w:rsidRDefault="005502D5" w:rsidP="000B4040">
      <w:pPr>
        <w:spacing w:before="120"/>
        <w:rPr>
          <w:rFonts w:cs="Segoe UI Light"/>
          <w:szCs w:val="20"/>
        </w:rPr>
      </w:pPr>
      <w:r>
        <w:rPr>
          <w:rFonts w:cs="Segoe UI Light"/>
          <w:szCs w:val="20"/>
        </w:rPr>
        <w:t xml:space="preserve">The estimated costs include only those that are incurred in addition to what a business or the Government would incur under the new EP legislation, in the absence of </w:t>
      </w:r>
      <w:r w:rsidR="009958EA">
        <w:rPr>
          <w:rFonts w:cs="Segoe UI Light"/>
          <w:szCs w:val="20"/>
        </w:rPr>
        <w:t>R</w:t>
      </w:r>
      <w:r>
        <w:rPr>
          <w:rFonts w:cs="Segoe UI Light"/>
          <w:szCs w:val="20"/>
        </w:rPr>
        <w:t xml:space="preserve">egulations. They also </w:t>
      </w:r>
      <w:r w:rsidRPr="000A1D65">
        <w:rPr>
          <w:rFonts w:cs="Segoe UI Light"/>
          <w:szCs w:val="20"/>
        </w:rPr>
        <w:t xml:space="preserve">include </w:t>
      </w:r>
      <w:r>
        <w:rPr>
          <w:rFonts w:cs="Segoe UI Light"/>
          <w:szCs w:val="20"/>
        </w:rPr>
        <w:t xml:space="preserve">only </w:t>
      </w:r>
      <w:r w:rsidRPr="000A1D65">
        <w:rPr>
          <w:rFonts w:cs="Segoe UI Light"/>
          <w:szCs w:val="20"/>
        </w:rPr>
        <w:t xml:space="preserve">those costs that are in addition to what a business would </w:t>
      </w:r>
      <w:r w:rsidR="009958EA">
        <w:rPr>
          <w:rFonts w:cs="Segoe UI Light"/>
          <w:szCs w:val="20"/>
        </w:rPr>
        <w:t xml:space="preserve">likely </w:t>
      </w:r>
      <w:r w:rsidRPr="000A1D65">
        <w:rPr>
          <w:rFonts w:cs="Segoe UI Light"/>
          <w:szCs w:val="20"/>
        </w:rPr>
        <w:t>incur due to sound business practic</w:t>
      </w:r>
      <w:r>
        <w:rPr>
          <w:rFonts w:cs="Segoe UI Light"/>
          <w:szCs w:val="20"/>
        </w:rPr>
        <w:t>e or to meet industry standards</w:t>
      </w:r>
      <w:r w:rsidR="009958EA">
        <w:rPr>
          <w:rFonts w:cs="Segoe UI Light"/>
          <w:szCs w:val="20"/>
        </w:rPr>
        <w:t>, even in the absence of a regulatory requirement</w:t>
      </w:r>
      <w:r>
        <w:rPr>
          <w:rFonts w:cs="Segoe UI Light"/>
          <w:szCs w:val="20"/>
        </w:rPr>
        <w:t>.</w:t>
      </w:r>
      <w:r w:rsidR="00050F5E">
        <w:rPr>
          <w:rFonts w:cs="Segoe UI Light"/>
          <w:szCs w:val="20"/>
        </w:rPr>
        <w:t xml:space="preserve"> Finally, a </w:t>
      </w:r>
      <w:r w:rsidR="009E58AC">
        <w:rPr>
          <w:rFonts w:cs="Segoe UI Light"/>
          <w:szCs w:val="20"/>
        </w:rPr>
        <w:t>‘</w:t>
      </w:r>
      <w:r w:rsidR="00050F5E">
        <w:rPr>
          <w:rFonts w:cs="Segoe UI Light"/>
          <w:szCs w:val="20"/>
        </w:rPr>
        <w:t>state of knowledge</w:t>
      </w:r>
      <w:r w:rsidR="009E58AC">
        <w:rPr>
          <w:rFonts w:cs="Segoe UI Light"/>
          <w:szCs w:val="20"/>
        </w:rPr>
        <w:t>’</w:t>
      </w:r>
      <w:r w:rsidR="00050F5E">
        <w:rPr>
          <w:rFonts w:cs="Segoe UI Light"/>
          <w:szCs w:val="20"/>
        </w:rPr>
        <w:t xml:space="preserve"> exists as discussed in section 3.1 of this RIS. This means </w:t>
      </w:r>
      <w:r w:rsidR="00050F5E" w:rsidRPr="00827D05">
        <w:rPr>
          <w:rFonts w:cs="Segoe UI Light"/>
          <w:szCs w:val="20"/>
        </w:rPr>
        <w:t>that there is an understanding of what good environmental practice or good management of an environmental harm currently looks like.</w:t>
      </w:r>
      <w:r w:rsidR="00050F5E">
        <w:rPr>
          <w:rFonts w:cs="Segoe UI Light"/>
          <w:szCs w:val="20"/>
        </w:rPr>
        <w:t xml:space="preserve"> This </w:t>
      </w:r>
      <w:r w:rsidR="00465778">
        <w:rPr>
          <w:rFonts w:cs="Segoe UI Light"/>
          <w:szCs w:val="20"/>
        </w:rPr>
        <w:t xml:space="preserve">is taken into account in estimating the additional cost that </w:t>
      </w:r>
      <w:r w:rsidR="00050F5E">
        <w:rPr>
          <w:rFonts w:cs="Segoe UI Light"/>
          <w:szCs w:val="20"/>
        </w:rPr>
        <w:t xml:space="preserve">businesses </w:t>
      </w:r>
      <w:r w:rsidR="00465778">
        <w:rPr>
          <w:rFonts w:cs="Segoe UI Light"/>
          <w:szCs w:val="20"/>
        </w:rPr>
        <w:t xml:space="preserve">would </w:t>
      </w:r>
      <w:r w:rsidR="00050F5E">
        <w:rPr>
          <w:rFonts w:cs="Segoe UI Light"/>
          <w:szCs w:val="20"/>
        </w:rPr>
        <w:t>in</w:t>
      </w:r>
      <w:r w:rsidR="00465778">
        <w:rPr>
          <w:rFonts w:cs="Segoe UI Light"/>
          <w:szCs w:val="20"/>
        </w:rPr>
        <w:t>cur as a result of</w:t>
      </w:r>
      <w:r w:rsidR="00050F5E" w:rsidDel="00465778">
        <w:rPr>
          <w:rFonts w:cs="Segoe UI Light"/>
          <w:szCs w:val="20"/>
        </w:rPr>
        <w:t xml:space="preserve"> </w:t>
      </w:r>
      <w:r w:rsidR="00050F5E">
        <w:rPr>
          <w:rFonts w:cs="Segoe UI Light"/>
          <w:szCs w:val="20"/>
        </w:rPr>
        <w:t xml:space="preserve">complying with new </w:t>
      </w:r>
      <w:r w:rsidR="009958EA">
        <w:rPr>
          <w:rFonts w:cs="Segoe UI Light"/>
          <w:szCs w:val="20"/>
        </w:rPr>
        <w:t>R</w:t>
      </w:r>
      <w:r w:rsidR="00050F5E">
        <w:rPr>
          <w:rFonts w:cs="Segoe UI Light"/>
          <w:szCs w:val="20"/>
        </w:rPr>
        <w:t>egulations</w:t>
      </w:r>
      <w:r w:rsidR="00465778">
        <w:rPr>
          <w:rFonts w:cs="Segoe UI Light"/>
          <w:szCs w:val="20"/>
        </w:rPr>
        <w:t>. For example, if some businesses would undertake certain actions even if not required by the proposed Regulations, the cost of these actions is not attributed to the Regulations</w:t>
      </w:r>
      <w:r w:rsidR="00050F5E">
        <w:rPr>
          <w:rFonts w:cs="Segoe UI Light"/>
          <w:szCs w:val="20"/>
        </w:rPr>
        <w:t xml:space="preserve">. The Government will also have some knowledge and processes in place that mean its costs of administering the </w:t>
      </w:r>
      <w:r w:rsidR="009E58AC">
        <w:rPr>
          <w:rFonts w:cs="Segoe UI Light"/>
          <w:szCs w:val="20"/>
        </w:rPr>
        <w:t xml:space="preserve">Regulations </w:t>
      </w:r>
      <w:r w:rsidR="00050F5E">
        <w:rPr>
          <w:rFonts w:cs="Segoe UI Light"/>
          <w:szCs w:val="20"/>
        </w:rPr>
        <w:t>are less than would otherwise be the case. However,</w:t>
      </w:r>
      <w:r w:rsidR="00050F5E" w:rsidRPr="00827D05">
        <w:rPr>
          <w:rFonts w:cs="Segoe UI Light"/>
          <w:szCs w:val="20"/>
        </w:rPr>
        <w:t xml:space="preserve"> this does not mean that all duty holders will act in the same manner in response to this understanding, and new entrants to the industry may not be aware of this existing knowledge at all. The impact of this knowledge is expected to </w:t>
      </w:r>
      <w:r w:rsidR="007F3CBE" w:rsidRPr="00827D05">
        <w:rPr>
          <w:rFonts w:cs="Segoe UI Light"/>
          <w:szCs w:val="20"/>
        </w:rPr>
        <w:t>de</w:t>
      </w:r>
      <w:r w:rsidR="007F3CBE">
        <w:rPr>
          <w:rFonts w:cs="Segoe UI Light"/>
          <w:szCs w:val="20"/>
        </w:rPr>
        <w:t>cline</w:t>
      </w:r>
      <w:r w:rsidR="007F3CBE" w:rsidRPr="00827D05">
        <w:rPr>
          <w:rFonts w:cs="Segoe UI Light"/>
          <w:szCs w:val="20"/>
        </w:rPr>
        <w:t xml:space="preserve"> </w:t>
      </w:r>
      <w:r w:rsidR="00050F5E" w:rsidRPr="00827D05">
        <w:rPr>
          <w:rFonts w:cs="Segoe UI Light"/>
          <w:szCs w:val="20"/>
        </w:rPr>
        <w:t xml:space="preserve">over time. </w:t>
      </w:r>
      <w:r w:rsidR="00050F5E">
        <w:rPr>
          <w:rFonts w:cs="Segoe UI Light"/>
          <w:szCs w:val="20"/>
        </w:rPr>
        <w:t>Nonetheless, where this state of knowledge is relevant to a problem area, we have taken it into account in considering the level of costs that will be incurred.</w:t>
      </w:r>
    </w:p>
    <w:p w14:paraId="656B00FF" w14:textId="77777777" w:rsidR="005502D5" w:rsidRPr="0056442D" w:rsidRDefault="00050F5E" w:rsidP="000B4040">
      <w:r>
        <w:rPr>
          <w:rFonts w:cs="Segoe UI Light"/>
          <w:szCs w:val="20"/>
        </w:rPr>
        <w:t xml:space="preserve">Most cost information has been collected via stakeholder consultations, in particular the web-based survey. The method for collecting information through stakeholder consults is discussed in further detail in </w:t>
      </w:r>
      <w:r w:rsidR="00D23978">
        <w:t xml:space="preserve">Chapter </w:t>
      </w:r>
      <w:r w:rsidR="00D23978">
        <w:rPr>
          <w:color w:val="2B579A"/>
          <w:shd w:val="clear" w:color="auto" w:fill="E6E6E6"/>
        </w:rPr>
        <w:fldChar w:fldCharType="begin"/>
      </w:r>
      <w:r w:rsidR="00D23978">
        <w:instrText xml:space="preserve"> REF _Ref10007486 \r \h </w:instrText>
      </w:r>
      <w:r w:rsidR="00D23978">
        <w:rPr>
          <w:color w:val="2B579A"/>
          <w:shd w:val="clear" w:color="auto" w:fill="E6E6E6"/>
        </w:rPr>
      </w:r>
      <w:r w:rsidR="00D23978">
        <w:rPr>
          <w:color w:val="2B579A"/>
          <w:shd w:val="clear" w:color="auto" w:fill="E6E6E6"/>
        </w:rPr>
        <w:fldChar w:fldCharType="separate"/>
      </w:r>
      <w:r w:rsidR="00B11C1E">
        <w:t>20</w:t>
      </w:r>
      <w:r w:rsidR="00D23978">
        <w:rPr>
          <w:color w:val="2B579A"/>
          <w:shd w:val="clear" w:color="auto" w:fill="E6E6E6"/>
        </w:rPr>
        <w:fldChar w:fldCharType="end"/>
      </w:r>
      <w:r>
        <w:rPr>
          <w:rFonts w:cs="Segoe UI Light"/>
          <w:szCs w:val="20"/>
        </w:rPr>
        <w:t>.</w:t>
      </w:r>
    </w:p>
    <w:p w14:paraId="656B0100" w14:textId="77777777" w:rsidR="00DF1756" w:rsidRDefault="00DF1756" w:rsidP="00982D63">
      <w:pPr>
        <w:pStyle w:val="Heading2"/>
      </w:pPr>
      <w:r>
        <w:t>Interactions between problem areas</w:t>
      </w:r>
    </w:p>
    <w:p w14:paraId="656B0101" w14:textId="77777777" w:rsidR="00784014" w:rsidRDefault="00784014" w:rsidP="00784014">
      <w:pPr>
        <w:rPr>
          <w:rFonts w:cs="Segoe UI Light"/>
          <w:szCs w:val="20"/>
        </w:rPr>
      </w:pPr>
      <w:r>
        <w:rPr>
          <w:rFonts w:cs="Segoe UI Light"/>
          <w:szCs w:val="20"/>
        </w:rPr>
        <w:t>There are inevitably some int</w:t>
      </w:r>
      <w:r w:rsidR="00DC24EE">
        <w:rPr>
          <w:rFonts w:cs="Segoe UI Light"/>
          <w:szCs w:val="20"/>
        </w:rPr>
        <w:t>eractions between problem areas, some material and others less so for the purpose of this RIS.</w:t>
      </w:r>
    </w:p>
    <w:p w14:paraId="656B0102" w14:textId="77777777" w:rsidR="00DC24EE" w:rsidRDefault="00DC24EE" w:rsidP="00784014">
      <w:pPr>
        <w:rPr>
          <w:rFonts w:cs="Segoe UI Light"/>
          <w:szCs w:val="20"/>
        </w:rPr>
      </w:pPr>
      <w:r>
        <w:rPr>
          <w:rFonts w:cs="Segoe UI Light"/>
          <w:szCs w:val="20"/>
        </w:rPr>
        <w:t xml:space="preserve">An interaction is where there is more than one regulatory tool being proposed to address the same broad option, in different areas of this RIS. Or proposed </w:t>
      </w:r>
      <w:r w:rsidR="009E58AC">
        <w:rPr>
          <w:rFonts w:cs="Segoe UI Light"/>
          <w:szCs w:val="20"/>
        </w:rPr>
        <w:t xml:space="preserve">regulations </w:t>
      </w:r>
      <w:r>
        <w:rPr>
          <w:rFonts w:cs="Segoe UI Light"/>
          <w:szCs w:val="20"/>
        </w:rPr>
        <w:t>to address a problem in one area could also have an impact on the size of the underlying problem in another area (i.e. it could reduce the size of the residual risk). Key examples are:</w:t>
      </w:r>
    </w:p>
    <w:p w14:paraId="656B0103" w14:textId="77777777" w:rsidR="00DC24EE" w:rsidRDefault="00DC24EE" w:rsidP="004A2442">
      <w:pPr>
        <w:pStyle w:val="ListParagraph"/>
        <w:numPr>
          <w:ilvl w:val="0"/>
          <w:numId w:val="75"/>
        </w:numPr>
        <w:rPr>
          <w:rFonts w:cs="Segoe UI Light"/>
          <w:szCs w:val="20"/>
        </w:rPr>
      </w:pPr>
      <w:r>
        <w:rPr>
          <w:rFonts w:cs="Segoe UI Light"/>
          <w:szCs w:val="20"/>
        </w:rPr>
        <w:t xml:space="preserve">Permissions (i.e. licences, permits and registrations) regulations being proposed to address broad problems in relation to </w:t>
      </w:r>
      <w:r w:rsidR="00DA0E42">
        <w:rPr>
          <w:rFonts w:cs="Segoe UI Light"/>
          <w:szCs w:val="20"/>
        </w:rPr>
        <w:t>on</w:t>
      </w:r>
      <w:r w:rsidR="00DD5CE9">
        <w:rPr>
          <w:rFonts w:cs="Segoe UI Light"/>
          <w:szCs w:val="20"/>
        </w:rPr>
        <w:t>-</w:t>
      </w:r>
      <w:r w:rsidR="00DA0E42">
        <w:rPr>
          <w:rFonts w:cs="Segoe UI Light"/>
          <w:szCs w:val="20"/>
        </w:rPr>
        <w:t>site waste-water management systems</w:t>
      </w:r>
      <w:r>
        <w:rPr>
          <w:rFonts w:cs="Segoe UI Light"/>
          <w:szCs w:val="20"/>
        </w:rPr>
        <w:t>, waste, water and air.</w:t>
      </w:r>
    </w:p>
    <w:p w14:paraId="656B0104" w14:textId="77777777" w:rsidR="00DC24EE" w:rsidRDefault="00DC24EE" w:rsidP="004A2442">
      <w:pPr>
        <w:pStyle w:val="ListParagraph"/>
        <w:numPr>
          <w:ilvl w:val="0"/>
          <w:numId w:val="75"/>
        </w:numPr>
        <w:rPr>
          <w:rFonts w:cs="Segoe UI Light"/>
          <w:szCs w:val="20"/>
        </w:rPr>
      </w:pPr>
      <w:r>
        <w:rPr>
          <w:rFonts w:cs="Segoe UI Light"/>
          <w:szCs w:val="20"/>
        </w:rPr>
        <w:t xml:space="preserve">Contaminated land regulations could reduce pollution of </w:t>
      </w:r>
      <w:r w:rsidR="00180B07">
        <w:rPr>
          <w:rFonts w:cs="Segoe UI Light"/>
          <w:szCs w:val="20"/>
        </w:rPr>
        <w:t>groundwater</w:t>
      </w:r>
      <w:r>
        <w:rPr>
          <w:rFonts w:cs="Segoe UI Light"/>
          <w:szCs w:val="20"/>
        </w:rPr>
        <w:t>.</w:t>
      </w:r>
    </w:p>
    <w:p w14:paraId="656B0105" w14:textId="77777777" w:rsidR="00DC24EE" w:rsidRPr="002E2BA7" w:rsidRDefault="00DC24EE">
      <w:pPr>
        <w:rPr>
          <w:rFonts w:cs="Segoe UI Light"/>
          <w:szCs w:val="20"/>
        </w:rPr>
      </w:pPr>
      <w:r>
        <w:rPr>
          <w:rFonts w:cs="Segoe UI Light"/>
          <w:szCs w:val="20"/>
        </w:rPr>
        <w:t xml:space="preserve">The following table outlines the main interactions, whether the interaction is material, and how the interaction </w:t>
      </w:r>
      <w:r w:rsidR="00465778">
        <w:rPr>
          <w:rFonts w:cs="Segoe UI Light"/>
          <w:szCs w:val="20"/>
        </w:rPr>
        <w:t xml:space="preserve">has been </w:t>
      </w:r>
      <w:r>
        <w:rPr>
          <w:rFonts w:cs="Segoe UI Light"/>
          <w:szCs w:val="20"/>
        </w:rPr>
        <w:t>managed for the purpose of assessing options in this RIS.</w:t>
      </w:r>
    </w:p>
    <w:p w14:paraId="656B0106" w14:textId="77777777" w:rsidR="00DC24EE" w:rsidRDefault="00DC24EE" w:rsidP="000E7C5E">
      <w:pPr>
        <w:pStyle w:val="Caption"/>
        <w:spacing w:before="120"/>
      </w:pPr>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5</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2</w:t>
      </w:r>
      <w:r w:rsidR="00997CFA">
        <w:rPr>
          <w:color w:val="2B579A"/>
          <w:shd w:val="clear" w:color="auto" w:fill="E6E6E6"/>
        </w:rPr>
        <w:fldChar w:fldCharType="end"/>
      </w:r>
      <w:r>
        <w:t xml:space="preserve"> Interactions between problem areas</w:t>
      </w:r>
    </w:p>
    <w:tbl>
      <w:tblPr>
        <w:tblStyle w:val="Deloittetable"/>
        <w:tblW w:w="0" w:type="auto"/>
        <w:tblLook w:val="04A0" w:firstRow="1" w:lastRow="0" w:firstColumn="1" w:lastColumn="0" w:noHBand="0" w:noVBand="1"/>
      </w:tblPr>
      <w:tblGrid>
        <w:gridCol w:w="1555"/>
        <w:gridCol w:w="2131"/>
        <w:gridCol w:w="6520"/>
      </w:tblGrid>
      <w:tr w:rsidR="00DF1756" w:rsidRPr="00D675C1" w14:paraId="656B010B" w14:textId="77777777" w:rsidTr="000E7C5E">
        <w:trPr>
          <w:cnfStyle w:val="100000000000" w:firstRow="1" w:lastRow="0" w:firstColumn="0" w:lastColumn="0" w:oddVBand="0" w:evenVBand="0" w:oddHBand="0" w:evenHBand="0" w:firstRowFirstColumn="0" w:firstRowLastColumn="0" w:lastRowFirstColumn="0" w:lastRowLastColumn="0"/>
        </w:trPr>
        <w:tc>
          <w:tcPr>
            <w:tcW w:w="1555" w:type="dxa"/>
          </w:tcPr>
          <w:p w14:paraId="656B0107" w14:textId="77777777" w:rsidR="00DF1756" w:rsidRPr="000E7C5E" w:rsidRDefault="00DF1756" w:rsidP="00DF1756">
            <w:pPr>
              <w:rPr>
                <w:b/>
                <w:sz w:val="18"/>
              </w:rPr>
            </w:pPr>
            <w:r w:rsidRPr="000E7C5E">
              <w:rPr>
                <w:b/>
                <w:sz w:val="18"/>
              </w:rPr>
              <w:t>Problem area</w:t>
            </w:r>
          </w:p>
        </w:tc>
        <w:tc>
          <w:tcPr>
            <w:tcW w:w="2131" w:type="dxa"/>
          </w:tcPr>
          <w:p w14:paraId="656B0108" w14:textId="77777777" w:rsidR="00BF497F" w:rsidRPr="000E7C5E" w:rsidRDefault="00DF1756" w:rsidP="00BF497F">
            <w:pPr>
              <w:spacing w:after="0"/>
              <w:rPr>
                <w:b/>
                <w:sz w:val="18"/>
              </w:rPr>
            </w:pPr>
            <w:r w:rsidRPr="000E7C5E">
              <w:rPr>
                <w:b/>
                <w:sz w:val="18"/>
              </w:rPr>
              <w:t xml:space="preserve">Description of </w:t>
            </w:r>
          </w:p>
          <w:p w14:paraId="656B0109" w14:textId="77777777" w:rsidR="00DF1756" w:rsidRPr="000E7C5E" w:rsidRDefault="00DF1756" w:rsidP="00BF497F">
            <w:pPr>
              <w:spacing w:after="0"/>
              <w:rPr>
                <w:b/>
                <w:sz w:val="18"/>
              </w:rPr>
            </w:pPr>
            <w:r w:rsidRPr="000E7C5E">
              <w:rPr>
                <w:b/>
                <w:sz w:val="18"/>
              </w:rPr>
              <w:t>interaction</w:t>
            </w:r>
          </w:p>
        </w:tc>
        <w:tc>
          <w:tcPr>
            <w:tcW w:w="6520" w:type="dxa"/>
          </w:tcPr>
          <w:p w14:paraId="656B010A" w14:textId="77777777" w:rsidR="00DF1756" w:rsidRPr="000E7C5E" w:rsidRDefault="00DF1756">
            <w:pPr>
              <w:rPr>
                <w:b/>
                <w:sz w:val="18"/>
              </w:rPr>
            </w:pPr>
            <w:r w:rsidRPr="000E7C5E">
              <w:rPr>
                <w:b/>
                <w:sz w:val="18"/>
              </w:rPr>
              <w:t>Approach to managing interaction</w:t>
            </w:r>
          </w:p>
        </w:tc>
      </w:tr>
      <w:tr w:rsidR="00DF1756" w:rsidRPr="00D675C1" w14:paraId="656B0111" w14:textId="77777777" w:rsidTr="000E7C5E">
        <w:tc>
          <w:tcPr>
            <w:tcW w:w="1555" w:type="dxa"/>
          </w:tcPr>
          <w:p w14:paraId="656B010C" w14:textId="77777777" w:rsidR="00DF1756" w:rsidRPr="000E7C5E" w:rsidRDefault="00DF1756" w:rsidP="00DF1756">
            <w:pPr>
              <w:rPr>
                <w:sz w:val="18"/>
              </w:rPr>
            </w:pPr>
            <w:r w:rsidRPr="000E7C5E">
              <w:rPr>
                <w:sz w:val="18"/>
              </w:rPr>
              <w:t>Permissions</w:t>
            </w:r>
          </w:p>
        </w:tc>
        <w:tc>
          <w:tcPr>
            <w:tcW w:w="2131" w:type="dxa"/>
          </w:tcPr>
          <w:p w14:paraId="656B010D" w14:textId="77777777" w:rsidR="00DF1756" w:rsidRPr="000E7C5E" w:rsidRDefault="00B460C3" w:rsidP="00D675C1">
            <w:pPr>
              <w:ind w:right="288"/>
              <w:rPr>
                <w:rFonts w:cs="Segoe UI Light"/>
                <w:sz w:val="18"/>
              </w:rPr>
            </w:pPr>
            <w:r w:rsidRPr="000E7C5E">
              <w:rPr>
                <w:sz w:val="18"/>
              </w:rPr>
              <w:t>P</w:t>
            </w:r>
            <w:r w:rsidR="00C203C3" w:rsidRPr="000E7C5E">
              <w:rPr>
                <w:sz w:val="18"/>
              </w:rPr>
              <w:t>roposed p</w:t>
            </w:r>
            <w:r w:rsidRPr="000E7C5E">
              <w:rPr>
                <w:sz w:val="18"/>
              </w:rPr>
              <w:t>ermissions</w:t>
            </w:r>
            <w:r w:rsidR="00C203C3" w:rsidRPr="000E7C5E">
              <w:rPr>
                <w:sz w:val="18"/>
              </w:rPr>
              <w:t xml:space="preserve"> regulations</w:t>
            </w:r>
            <w:r w:rsidRPr="000E7C5E">
              <w:rPr>
                <w:sz w:val="18"/>
              </w:rPr>
              <w:t xml:space="preserve"> addresses residual risk for </w:t>
            </w:r>
            <w:r w:rsidRPr="000E7C5E">
              <w:rPr>
                <w:rFonts w:cs="Segoe UI Light"/>
                <w:sz w:val="18"/>
              </w:rPr>
              <w:t>septic tanks, waste, water</w:t>
            </w:r>
            <w:r w:rsidR="00D675C1">
              <w:rPr>
                <w:rFonts w:cs="Segoe UI Light"/>
                <w:sz w:val="18"/>
              </w:rPr>
              <w:t xml:space="preserve"> </w:t>
            </w:r>
            <w:r w:rsidRPr="000E7C5E">
              <w:rPr>
                <w:rFonts w:cs="Segoe UI Light"/>
                <w:sz w:val="18"/>
              </w:rPr>
              <w:t xml:space="preserve">and air. </w:t>
            </w:r>
          </w:p>
        </w:tc>
        <w:tc>
          <w:tcPr>
            <w:tcW w:w="6520" w:type="dxa"/>
          </w:tcPr>
          <w:p w14:paraId="656B010E" w14:textId="77777777" w:rsidR="007C7FB4" w:rsidRPr="000E7C5E" w:rsidRDefault="009E58AC" w:rsidP="007C7FB4">
            <w:pPr>
              <w:rPr>
                <w:sz w:val="18"/>
              </w:rPr>
            </w:pPr>
            <w:r w:rsidRPr="000E7C5E">
              <w:rPr>
                <w:sz w:val="18"/>
              </w:rPr>
              <w:t>Th</w:t>
            </w:r>
            <w:r>
              <w:rPr>
                <w:sz w:val="18"/>
              </w:rPr>
              <w:t>ere</w:t>
            </w:r>
            <w:r w:rsidRPr="000E7C5E">
              <w:rPr>
                <w:sz w:val="18"/>
              </w:rPr>
              <w:t xml:space="preserve"> </w:t>
            </w:r>
            <w:r w:rsidR="00C203C3" w:rsidRPr="000E7C5E">
              <w:rPr>
                <w:sz w:val="18"/>
              </w:rPr>
              <w:t xml:space="preserve">is a material interaction </w:t>
            </w:r>
            <w:r w:rsidR="007C7FB4" w:rsidRPr="000E7C5E">
              <w:rPr>
                <w:sz w:val="18"/>
              </w:rPr>
              <w:t xml:space="preserve">with proposed </w:t>
            </w:r>
            <w:r w:rsidR="00C203C3" w:rsidRPr="000E7C5E">
              <w:rPr>
                <w:sz w:val="18"/>
              </w:rPr>
              <w:t xml:space="preserve">waste </w:t>
            </w:r>
            <w:r w:rsidR="007C7FB4" w:rsidRPr="000E7C5E">
              <w:rPr>
                <w:sz w:val="18"/>
              </w:rPr>
              <w:t xml:space="preserve">regulations </w:t>
            </w:r>
            <w:r w:rsidR="00C203C3" w:rsidRPr="000E7C5E">
              <w:rPr>
                <w:sz w:val="18"/>
              </w:rPr>
              <w:t xml:space="preserve">that needs to be managed to avoid double counting of benefits. </w:t>
            </w:r>
            <w:r w:rsidR="007C7FB4" w:rsidRPr="000E7C5E">
              <w:rPr>
                <w:sz w:val="18"/>
              </w:rPr>
              <w:t xml:space="preserve">This is because waste facilities will be licensed and subject to the specific proposed waste regulations. </w:t>
            </w:r>
            <w:r w:rsidR="000F337C" w:rsidRPr="000E7C5E">
              <w:rPr>
                <w:sz w:val="18"/>
              </w:rPr>
              <w:t xml:space="preserve">The main area where double counting could potentially occur relates to proposed </w:t>
            </w:r>
            <w:r w:rsidR="008E16BE">
              <w:rPr>
                <w:sz w:val="18"/>
              </w:rPr>
              <w:t>r</w:t>
            </w:r>
            <w:r w:rsidR="008E16BE" w:rsidRPr="000E7C5E">
              <w:rPr>
                <w:sz w:val="18"/>
              </w:rPr>
              <w:t xml:space="preserve">egulations </w:t>
            </w:r>
            <w:r w:rsidR="000F337C" w:rsidRPr="000E7C5E">
              <w:rPr>
                <w:sz w:val="18"/>
              </w:rPr>
              <w:t>for lawful p</w:t>
            </w:r>
            <w:r w:rsidR="000B4040" w:rsidRPr="000E7C5E">
              <w:rPr>
                <w:sz w:val="18"/>
              </w:rPr>
              <w:t>lace, which is dealt with in the Waste chapter</w:t>
            </w:r>
            <w:r w:rsidR="000F337C" w:rsidRPr="000E7C5E">
              <w:rPr>
                <w:sz w:val="18"/>
              </w:rPr>
              <w:t>. Our approach is to explicitly define the Base Case</w:t>
            </w:r>
            <w:r w:rsidR="00465778">
              <w:rPr>
                <w:sz w:val="18"/>
              </w:rPr>
              <w:t xml:space="preserve"> for waste (discussed in </w:t>
            </w:r>
            <w:r w:rsidR="0080090C">
              <w:rPr>
                <w:sz w:val="18"/>
              </w:rPr>
              <w:t xml:space="preserve">section </w:t>
            </w:r>
            <w:r w:rsidR="0080090C">
              <w:rPr>
                <w:color w:val="2B579A"/>
                <w:sz w:val="18"/>
                <w:shd w:val="clear" w:color="auto" w:fill="E6E6E6"/>
              </w:rPr>
              <w:fldChar w:fldCharType="begin"/>
            </w:r>
            <w:r w:rsidR="0080090C">
              <w:rPr>
                <w:sz w:val="18"/>
              </w:rPr>
              <w:instrText xml:space="preserve"> REF _Ref9868338 \r \h </w:instrText>
            </w:r>
            <w:r w:rsidR="0080090C">
              <w:rPr>
                <w:color w:val="2B579A"/>
                <w:sz w:val="18"/>
                <w:shd w:val="clear" w:color="auto" w:fill="E6E6E6"/>
              </w:rPr>
            </w:r>
            <w:r w:rsidR="0080090C">
              <w:rPr>
                <w:color w:val="2B579A"/>
                <w:sz w:val="18"/>
                <w:shd w:val="clear" w:color="auto" w:fill="E6E6E6"/>
              </w:rPr>
              <w:fldChar w:fldCharType="separate"/>
            </w:r>
            <w:r w:rsidR="00B11C1E">
              <w:rPr>
                <w:sz w:val="18"/>
              </w:rPr>
              <w:t>9.7</w:t>
            </w:r>
            <w:r w:rsidR="0080090C">
              <w:rPr>
                <w:color w:val="2B579A"/>
                <w:sz w:val="18"/>
                <w:shd w:val="clear" w:color="auto" w:fill="E6E6E6"/>
              </w:rPr>
              <w:fldChar w:fldCharType="end"/>
            </w:r>
            <w:r w:rsidR="0080090C">
              <w:rPr>
                <w:sz w:val="18"/>
              </w:rPr>
              <w:t xml:space="preserve">) </w:t>
            </w:r>
            <w:r w:rsidR="000F337C" w:rsidRPr="000E7C5E">
              <w:rPr>
                <w:sz w:val="18"/>
              </w:rPr>
              <w:t xml:space="preserve">as including the </w:t>
            </w:r>
            <w:r w:rsidR="0080090C">
              <w:rPr>
                <w:sz w:val="18"/>
              </w:rPr>
              <w:t xml:space="preserve">proposed </w:t>
            </w:r>
            <w:r w:rsidR="000F337C" w:rsidRPr="000E7C5E">
              <w:rPr>
                <w:sz w:val="18"/>
              </w:rPr>
              <w:t>permissions regulations</w:t>
            </w:r>
            <w:r w:rsidR="0080090C">
              <w:rPr>
                <w:sz w:val="18"/>
              </w:rPr>
              <w:t xml:space="preserve"> (discussed in section </w:t>
            </w:r>
            <w:r w:rsidR="0080090C">
              <w:rPr>
                <w:color w:val="2B579A"/>
                <w:sz w:val="18"/>
                <w:shd w:val="clear" w:color="auto" w:fill="E6E6E6"/>
              </w:rPr>
              <w:fldChar w:fldCharType="begin"/>
            </w:r>
            <w:r w:rsidR="0080090C">
              <w:rPr>
                <w:sz w:val="18"/>
              </w:rPr>
              <w:instrText xml:space="preserve"> REF _Ref9868393 \r \h </w:instrText>
            </w:r>
            <w:r w:rsidR="0080090C">
              <w:rPr>
                <w:color w:val="2B579A"/>
                <w:sz w:val="18"/>
                <w:shd w:val="clear" w:color="auto" w:fill="E6E6E6"/>
              </w:rPr>
            </w:r>
            <w:r w:rsidR="0080090C">
              <w:rPr>
                <w:color w:val="2B579A"/>
                <w:sz w:val="18"/>
                <w:shd w:val="clear" w:color="auto" w:fill="E6E6E6"/>
              </w:rPr>
              <w:fldChar w:fldCharType="separate"/>
            </w:r>
            <w:r w:rsidR="00B11C1E">
              <w:rPr>
                <w:sz w:val="18"/>
              </w:rPr>
              <w:t>6.6.3</w:t>
            </w:r>
            <w:r w:rsidR="0080090C">
              <w:rPr>
                <w:color w:val="2B579A"/>
                <w:sz w:val="18"/>
                <w:shd w:val="clear" w:color="auto" w:fill="E6E6E6"/>
              </w:rPr>
              <w:fldChar w:fldCharType="end"/>
            </w:r>
            <w:r w:rsidR="0080090C">
              <w:rPr>
                <w:sz w:val="18"/>
              </w:rPr>
              <w:t>)</w:t>
            </w:r>
            <w:r w:rsidR="000F337C" w:rsidRPr="000E7C5E">
              <w:rPr>
                <w:sz w:val="18"/>
              </w:rPr>
              <w:t>: the Base Case assumes permissions exist for lawful place, where the current licence cohort is transferred to new licen</w:t>
            </w:r>
            <w:r w:rsidR="0080090C">
              <w:rPr>
                <w:sz w:val="18"/>
              </w:rPr>
              <w:t>s</w:t>
            </w:r>
            <w:r w:rsidR="000F337C" w:rsidRPr="000E7C5E">
              <w:rPr>
                <w:sz w:val="18"/>
              </w:rPr>
              <w:t>ing arrangement</w:t>
            </w:r>
            <w:r>
              <w:rPr>
                <w:sz w:val="18"/>
              </w:rPr>
              <w:t>s</w:t>
            </w:r>
            <w:r w:rsidR="000F337C" w:rsidRPr="000E7C5E">
              <w:rPr>
                <w:sz w:val="18"/>
              </w:rPr>
              <w:t xml:space="preserve"> and the new cohort is </w:t>
            </w:r>
            <w:r w:rsidR="00BF497F" w:rsidRPr="000E7C5E">
              <w:rPr>
                <w:sz w:val="18"/>
              </w:rPr>
              <w:t>subject to new licences. Benefits and costs for lawful p</w:t>
            </w:r>
            <w:r w:rsidR="00D86C0B" w:rsidRPr="000E7C5E">
              <w:rPr>
                <w:sz w:val="18"/>
              </w:rPr>
              <w:t>l</w:t>
            </w:r>
            <w:r w:rsidR="00BF497F" w:rsidRPr="000E7C5E">
              <w:rPr>
                <w:sz w:val="18"/>
              </w:rPr>
              <w:t xml:space="preserve">ace regulations are assessed incremental to this Base Case. No other areas of waste are considered to have </w:t>
            </w:r>
            <w:r>
              <w:rPr>
                <w:sz w:val="18"/>
              </w:rPr>
              <w:t xml:space="preserve">such </w:t>
            </w:r>
            <w:r w:rsidR="00BF497F" w:rsidRPr="000E7C5E">
              <w:rPr>
                <w:sz w:val="18"/>
              </w:rPr>
              <w:t xml:space="preserve">material linkages </w:t>
            </w:r>
            <w:r>
              <w:rPr>
                <w:sz w:val="18"/>
              </w:rPr>
              <w:t>as to require</w:t>
            </w:r>
            <w:r w:rsidR="00BF497F" w:rsidRPr="000E7C5E">
              <w:rPr>
                <w:sz w:val="18"/>
              </w:rPr>
              <w:t xml:space="preserve"> explicit treatment.</w:t>
            </w:r>
          </w:p>
          <w:p w14:paraId="656B010F" w14:textId="77777777" w:rsidR="007C7FB4" w:rsidRPr="000E7C5E" w:rsidRDefault="007C7FB4" w:rsidP="007C7FB4">
            <w:pPr>
              <w:rPr>
                <w:sz w:val="18"/>
              </w:rPr>
            </w:pPr>
            <w:r w:rsidRPr="000E7C5E">
              <w:rPr>
                <w:sz w:val="18"/>
              </w:rPr>
              <w:t xml:space="preserve">There is also a material interaction with air for the same reason – in particular in relation to hazardous </w:t>
            </w:r>
            <w:r w:rsidR="00BE2C93" w:rsidRPr="000E7C5E">
              <w:rPr>
                <w:sz w:val="18"/>
              </w:rPr>
              <w:t>(“Class 3”) substances from operating licence holders</w:t>
            </w:r>
            <w:r w:rsidRPr="000E7C5E">
              <w:rPr>
                <w:sz w:val="18"/>
              </w:rPr>
              <w:t xml:space="preserve">. </w:t>
            </w:r>
            <w:r w:rsidR="00D86C0B" w:rsidRPr="000E7C5E">
              <w:rPr>
                <w:sz w:val="18"/>
              </w:rPr>
              <w:t xml:space="preserve">The proposed </w:t>
            </w:r>
            <w:r w:rsidR="008E16BE">
              <w:rPr>
                <w:sz w:val="18"/>
              </w:rPr>
              <w:t>r</w:t>
            </w:r>
            <w:r w:rsidR="008E16BE" w:rsidRPr="000E7C5E">
              <w:rPr>
                <w:sz w:val="18"/>
              </w:rPr>
              <w:t xml:space="preserve">egulations </w:t>
            </w:r>
            <w:r w:rsidR="00BE2C93" w:rsidRPr="000E7C5E">
              <w:rPr>
                <w:sz w:val="18"/>
              </w:rPr>
              <w:t xml:space="preserve">for air pollution (discussed in </w:t>
            </w:r>
            <w:r w:rsidR="008E16BE">
              <w:rPr>
                <w:sz w:val="18"/>
              </w:rPr>
              <w:t>section</w:t>
            </w:r>
            <w:r w:rsidR="008E16BE" w:rsidRPr="000E7C5E">
              <w:rPr>
                <w:sz w:val="18"/>
              </w:rPr>
              <w:t xml:space="preserve"> </w:t>
            </w:r>
            <w:r w:rsidR="00BE2C93" w:rsidRPr="000E7C5E">
              <w:rPr>
                <w:color w:val="2B579A"/>
                <w:sz w:val="18"/>
                <w:shd w:val="clear" w:color="auto" w:fill="E6E6E6"/>
              </w:rPr>
              <w:fldChar w:fldCharType="begin"/>
            </w:r>
            <w:r w:rsidR="00BE2C93" w:rsidRPr="000E7C5E">
              <w:rPr>
                <w:sz w:val="18"/>
              </w:rPr>
              <w:instrText xml:space="preserve"> REF _Ref8021226 \r \h </w:instrText>
            </w:r>
            <w:r w:rsidR="008210FE" w:rsidRPr="000E7C5E">
              <w:rPr>
                <w:sz w:val="18"/>
              </w:rPr>
              <w:instrText xml:space="preserve"> \* MERGEFORMAT </w:instrText>
            </w:r>
            <w:r w:rsidR="00BE2C93" w:rsidRPr="000E7C5E">
              <w:rPr>
                <w:color w:val="2B579A"/>
                <w:sz w:val="18"/>
                <w:shd w:val="clear" w:color="auto" w:fill="E6E6E6"/>
              </w:rPr>
            </w:r>
            <w:r w:rsidR="00BE2C93" w:rsidRPr="000E7C5E">
              <w:rPr>
                <w:color w:val="2B579A"/>
                <w:sz w:val="18"/>
                <w:shd w:val="clear" w:color="auto" w:fill="E6E6E6"/>
              </w:rPr>
              <w:fldChar w:fldCharType="separate"/>
            </w:r>
            <w:r w:rsidR="00B11C1E">
              <w:rPr>
                <w:sz w:val="18"/>
              </w:rPr>
              <w:t>12.8</w:t>
            </w:r>
            <w:r w:rsidR="00BE2C93" w:rsidRPr="000E7C5E">
              <w:rPr>
                <w:color w:val="2B579A"/>
                <w:sz w:val="18"/>
                <w:shd w:val="clear" w:color="auto" w:fill="E6E6E6"/>
              </w:rPr>
              <w:fldChar w:fldCharType="end"/>
            </w:r>
            <w:r w:rsidR="00BE2C93" w:rsidRPr="000E7C5E">
              <w:rPr>
                <w:sz w:val="18"/>
              </w:rPr>
              <w:t>) consider the costs and benefits of this inclusion separately</w:t>
            </w:r>
            <w:r w:rsidR="00D86C0B" w:rsidRPr="000E7C5E">
              <w:rPr>
                <w:sz w:val="18"/>
              </w:rPr>
              <w:t>.</w:t>
            </w:r>
            <w:r w:rsidR="00BE2C93" w:rsidRPr="000E7C5E">
              <w:rPr>
                <w:sz w:val="18"/>
              </w:rPr>
              <w:t xml:space="preserve"> However, the benefits of improved air quality from reduced emissions (of all air pollutants) of licence holder</w:t>
            </w:r>
            <w:r w:rsidR="008E16BE">
              <w:rPr>
                <w:sz w:val="18"/>
              </w:rPr>
              <w:t>s</w:t>
            </w:r>
            <w:r w:rsidR="00BE2C93" w:rsidRPr="000E7C5E">
              <w:rPr>
                <w:sz w:val="18"/>
              </w:rPr>
              <w:t xml:space="preserve"> are also considered in the permissioning chapter, as are the costs of compliance. As such, </w:t>
            </w:r>
            <w:r w:rsidR="009C47FC">
              <w:rPr>
                <w:sz w:val="18"/>
              </w:rPr>
              <w:t xml:space="preserve">the costs and </w:t>
            </w:r>
            <w:r w:rsidR="00BE2C93" w:rsidRPr="000E7C5E">
              <w:rPr>
                <w:sz w:val="18"/>
              </w:rPr>
              <w:t xml:space="preserve">benefits </w:t>
            </w:r>
            <w:r w:rsidR="009C47FC">
              <w:rPr>
                <w:sz w:val="18"/>
              </w:rPr>
              <w:t xml:space="preserve">outlined in </w:t>
            </w:r>
            <w:r w:rsidR="008E16BE">
              <w:rPr>
                <w:sz w:val="18"/>
              </w:rPr>
              <w:t>section</w:t>
            </w:r>
            <w:r w:rsidR="008E16BE" w:rsidRPr="000E7C5E">
              <w:rPr>
                <w:sz w:val="18"/>
              </w:rPr>
              <w:t xml:space="preserve"> </w:t>
            </w:r>
            <w:r w:rsidR="009C47FC" w:rsidRPr="000E7C5E">
              <w:rPr>
                <w:color w:val="2B579A"/>
                <w:sz w:val="18"/>
                <w:shd w:val="clear" w:color="auto" w:fill="E6E6E6"/>
              </w:rPr>
              <w:fldChar w:fldCharType="begin"/>
            </w:r>
            <w:r w:rsidR="009C47FC" w:rsidRPr="000E7C5E">
              <w:rPr>
                <w:sz w:val="18"/>
              </w:rPr>
              <w:instrText xml:space="preserve"> REF _Ref8021226 \r \h  \* MERGEFORMAT </w:instrText>
            </w:r>
            <w:r w:rsidR="009C47FC" w:rsidRPr="000E7C5E">
              <w:rPr>
                <w:color w:val="2B579A"/>
                <w:sz w:val="18"/>
                <w:shd w:val="clear" w:color="auto" w:fill="E6E6E6"/>
              </w:rPr>
            </w:r>
            <w:r w:rsidR="009C47FC" w:rsidRPr="000E7C5E">
              <w:rPr>
                <w:color w:val="2B579A"/>
                <w:sz w:val="18"/>
                <w:shd w:val="clear" w:color="auto" w:fill="E6E6E6"/>
              </w:rPr>
              <w:fldChar w:fldCharType="separate"/>
            </w:r>
            <w:r w:rsidR="00B11C1E">
              <w:rPr>
                <w:sz w:val="18"/>
              </w:rPr>
              <w:t>12.8</w:t>
            </w:r>
            <w:r w:rsidR="009C47FC" w:rsidRPr="000E7C5E">
              <w:rPr>
                <w:color w:val="2B579A"/>
                <w:sz w:val="18"/>
                <w:shd w:val="clear" w:color="auto" w:fill="E6E6E6"/>
              </w:rPr>
              <w:fldChar w:fldCharType="end"/>
            </w:r>
            <w:r w:rsidR="009C47FC">
              <w:rPr>
                <w:sz w:val="18"/>
              </w:rPr>
              <w:t xml:space="preserve"> have been, to some extent, double counted, since they overlap with the permissioning regulations and can’t be accurately separated. </w:t>
            </w:r>
          </w:p>
          <w:p w14:paraId="656B0110" w14:textId="77777777" w:rsidR="00DF1756" w:rsidRPr="000E7C5E" w:rsidRDefault="00C203C3">
            <w:pPr>
              <w:rPr>
                <w:sz w:val="18"/>
              </w:rPr>
            </w:pPr>
            <w:r w:rsidRPr="000E7C5E">
              <w:rPr>
                <w:sz w:val="18"/>
              </w:rPr>
              <w:t xml:space="preserve">The interaction with water is considered minimal because of the </w:t>
            </w:r>
            <w:r w:rsidR="00CA3935" w:rsidRPr="000E7C5E">
              <w:rPr>
                <w:sz w:val="18"/>
              </w:rPr>
              <w:t xml:space="preserve">targeted areas being proposed for regulations in these areas – no specific action is needed to manage this </w:t>
            </w:r>
            <w:r w:rsidR="00310520" w:rsidRPr="000E7C5E">
              <w:rPr>
                <w:sz w:val="18"/>
              </w:rPr>
              <w:t xml:space="preserve">interaction </w:t>
            </w:r>
            <w:r w:rsidR="00CA3935" w:rsidRPr="000E7C5E">
              <w:rPr>
                <w:sz w:val="18"/>
              </w:rPr>
              <w:t xml:space="preserve">for the purpose of this RIS. </w:t>
            </w:r>
            <w:r w:rsidR="00D86C0B" w:rsidRPr="000E7C5E">
              <w:rPr>
                <w:sz w:val="18"/>
              </w:rPr>
              <w:t xml:space="preserve">Similarly, the permissioning framework interacts with proposed </w:t>
            </w:r>
            <w:r w:rsidR="008E16BE">
              <w:rPr>
                <w:sz w:val="18"/>
              </w:rPr>
              <w:t>r</w:t>
            </w:r>
            <w:r w:rsidR="008E16BE" w:rsidRPr="000E7C5E">
              <w:rPr>
                <w:sz w:val="18"/>
              </w:rPr>
              <w:t xml:space="preserve">egulations </w:t>
            </w:r>
            <w:r w:rsidR="00D86C0B" w:rsidRPr="000E7C5E">
              <w:rPr>
                <w:sz w:val="18"/>
              </w:rPr>
              <w:t>for on</w:t>
            </w:r>
            <w:r w:rsidR="00DD5CE9">
              <w:rPr>
                <w:sz w:val="18"/>
              </w:rPr>
              <w:t>-</w:t>
            </w:r>
            <w:r w:rsidR="00D86C0B" w:rsidRPr="000E7C5E">
              <w:rPr>
                <w:sz w:val="18"/>
              </w:rPr>
              <w:t xml:space="preserve">site wastewater management systems. However, interactions are minimal, </w:t>
            </w:r>
            <w:r w:rsidR="0080090C">
              <w:rPr>
                <w:sz w:val="18"/>
              </w:rPr>
              <w:t>because they affect entirely separate cohorts of duty holders. T</w:t>
            </w:r>
            <w:r w:rsidR="00D86C0B" w:rsidRPr="000E7C5E">
              <w:rPr>
                <w:sz w:val="18"/>
              </w:rPr>
              <w:t xml:space="preserve">he costs and benefits of these proposed </w:t>
            </w:r>
            <w:r w:rsidR="008E16BE">
              <w:rPr>
                <w:sz w:val="18"/>
              </w:rPr>
              <w:t>r</w:t>
            </w:r>
            <w:r w:rsidR="008E16BE" w:rsidRPr="000E7C5E">
              <w:rPr>
                <w:sz w:val="18"/>
              </w:rPr>
              <w:t xml:space="preserve">egulations </w:t>
            </w:r>
            <w:r w:rsidR="00D86C0B" w:rsidRPr="000E7C5E">
              <w:rPr>
                <w:sz w:val="18"/>
              </w:rPr>
              <w:t xml:space="preserve">are considered entirely separately from the rest of the permissioning framework. </w:t>
            </w:r>
          </w:p>
        </w:tc>
      </w:tr>
      <w:tr w:rsidR="00C203C3" w:rsidRPr="00D675C1" w14:paraId="656B0115" w14:textId="77777777" w:rsidTr="000E7C5E">
        <w:tc>
          <w:tcPr>
            <w:tcW w:w="1555" w:type="dxa"/>
          </w:tcPr>
          <w:p w14:paraId="656B0112" w14:textId="77777777" w:rsidR="00C203C3" w:rsidRPr="000E7C5E" w:rsidRDefault="00D86C0B">
            <w:pPr>
              <w:rPr>
                <w:sz w:val="18"/>
              </w:rPr>
            </w:pPr>
            <w:r w:rsidRPr="000E7C5E">
              <w:rPr>
                <w:sz w:val="18"/>
              </w:rPr>
              <w:t>On</w:t>
            </w:r>
            <w:r w:rsidR="004542EC">
              <w:rPr>
                <w:sz w:val="18"/>
              </w:rPr>
              <w:t>-</w:t>
            </w:r>
            <w:r w:rsidRPr="000E7C5E">
              <w:rPr>
                <w:sz w:val="18"/>
              </w:rPr>
              <w:t>site wastewater management systems</w:t>
            </w:r>
          </w:p>
        </w:tc>
        <w:tc>
          <w:tcPr>
            <w:tcW w:w="2131" w:type="dxa"/>
          </w:tcPr>
          <w:p w14:paraId="656B0113" w14:textId="77777777" w:rsidR="00C203C3" w:rsidRPr="000E7C5E" w:rsidRDefault="00C203C3" w:rsidP="000E7C5E">
            <w:pPr>
              <w:spacing w:after="0"/>
              <w:ind w:right="288"/>
              <w:rPr>
                <w:sz w:val="18"/>
              </w:rPr>
            </w:pPr>
            <w:r w:rsidRPr="000E7C5E">
              <w:rPr>
                <w:sz w:val="18"/>
              </w:rPr>
              <w:t>Proposed regulations could reduce land contamination and pollution of waterways (via leakage of pollutants)</w:t>
            </w:r>
            <w:r w:rsidR="004542EC">
              <w:rPr>
                <w:sz w:val="18"/>
              </w:rPr>
              <w:t xml:space="preserve"> and their associated risks to human health. </w:t>
            </w:r>
          </w:p>
        </w:tc>
        <w:tc>
          <w:tcPr>
            <w:tcW w:w="6520" w:type="dxa"/>
          </w:tcPr>
          <w:p w14:paraId="656B0114" w14:textId="77777777" w:rsidR="00C203C3" w:rsidRPr="000E7C5E" w:rsidRDefault="00CA3935">
            <w:pPr>
              <w:rPr>
                <w:sz w:val="18"/>
              </w:rPr>
            </w:pPr>
            <w:r w:rsidRPr="000E7C5E">
              <w:rPr>
                <w:sz w:val="18"/>
              </w:rPr>
              <w:t xml:space="preserve">While acknowledging that there is an interaction, </w:t>
            </w:r>
            <w:r w:rsidR="008E16BE">
              <w:rPr>
                <w:sz w:val="18"/>
              </w:rPr>
              <w:t>it</w:t>
            </w:r>
            <w:r w:rsidRPr="000E7C5E">
              <w:rPr>
                <w:sz w:val="18"/>
              </w:rPr>
              <w:t xml:space="preserve"> is considered minimal as </w:t>
            </w:r>
            <w:r w:rsidR="004542EC">
              <w:rPr>
                <w:sz w:val="18"/>
              </w:rPr>
              <w:t xml:space="preserve">on-site </w:t>
            </w:r>
            <w:r w:rsidR="00377393">
              <w:rPr>
                <w:sz w:val="18"/>
              </w:rPr>
              <w:t>waste</w:t>
            </w:r>
            <w:r w:rsidR="00DA0E42">
              <w:rPr>
                <w:sz w:val="18"/>
              </w:rPr>
              <w:t xml:space="preserve">water management </w:t>
            </w:r>
            <w:r w:rsidR="004542EC">
              <w:rPr>
                <w:sz w:val="18"/>
              </w:rPr>
              <w:t xml:space="preserve">systems </w:t>
            </w:r>
            <w:r w:rsidRPr="000E7C5E">
              <w:rPr>
                <w:sz w:val="18"/>
              </w:rPr>
              <w:t xml:space="preserve">are responsible for only a very small component of the land contamination and water pollution problems. For Water, proposed vessel discharge regulations target the residual risk of a very specific activity where there is no interaction with </w:t>
            </w:r>
            <w:r w:rsidR="004542EC">
              <w:rPr>
                <w:sz w:val="18"/>
              </w:rPr>
              <w:t>on</w:t>
            </w:r>
            <w:r w:rsidR="00DD5CE9">
              <w:rPr>
                <w:sz w:val="18"/>
              </w:rPr>
              <w:t>-</w:t>
            </w:r>
            <w:r w:rsidR="004542EC">
              <w:rPr>
                <w:sz w:val="18"/>
              </w:rPr>
              <w:t>site</w:t>
            </w:r>
            <w:r w:rsidR="00DA0E42">
              <w:rPr>
                <w:sz w:val="18"/>
              </w:rPr>
              <w:t xml:space="preserve"> wastewater management</w:t>
            </w:r>
            <w:r w:rsidR="004542EC">
              <w:rPr>
                <w:sz w:val="18"/>
              </w:rPr>
              <w:t xml:space="preserve"> systems</w:t>
            </w:r>
            <w:r w:rsidRPr="000E7C5E">
              <w:rPr>
                <w:sz w:val="18"/>
              </w:rPr>
              <w:t xml:space="preserve">. Therefore no specific action is needed to manage this </w:t>
            </w:r>
            <w:r w:rsidR="00310520" w:rsidRPr="000E7C5E">
              <w:rPr>
                <w:sz w:val="18"/>
              </w:rPr>
              <w:t>interaction</w:t>
            </w:r>
            <w:r w:rsidRPr="000E7C5E">
              <w:rPr>
                <w:sz w:val="18"/>
              </w:rPr>
              <w:t>.</w:t>
            </w:r>
          </w:p>
        </w:tc>
      </w:tr>
      <w:tr w:rsidR="00C203C3" w:rsidRPr="00D675C1" w14:paraId="656B0119" w14:textId="77777777" w:rsidTr="000E7C5E">
        <w:tc>
          <w:tcPr>
            <w:tcW w:w="1555" w:type="dxa"/>
          </w:tcPr>
          <w:p w14:paraId="656B0116" w14:textId="77777777" w:rsidR="00C203C3" w:rsidRPr="000E7C5E" w:rsidRDefault="00C203C3" w:rsidP="00C203C3">
            <w:pPr>
              <w:rPr>
                <w:sz w:val="18"/>
              </w:rPr>
            </w:pPr>
            <w:r w:rsidRPr="000E7C5E">
              <w:rPr>
                <w:sz w:val="18"/>
              </w:rPr>
              <w:t>Contaminated land</w:t>
            </w:r>
          </w:p>
        </w:tc>
        <w:tc>
          <w:tcPr>
            <w:tcW w:w="2131" w:type="dxa"/>
          </w:tcPr>
          <w:p w14:paraId="656B0117" w14:textId="77777777" w:rsidR="00C203C3" w:rsidRPr="000E7C5E" w:rsidRDefault="00C203C3">
            <w:pPr>
              <w:ind w:right="288"/>
              <w:rPr>
                <w:sz w:val="18"/>
              </w:rPr>
            </w:pPr>
            <w:r w:rsidRPr="000E7C5E">
              <w:rPr>
                <w:rFonts w:cs="Segoe UI Light"/>
                <w:sz w:val="18"/>
              </w:rPr>
              <w:t xml:space="preserve">Contaminated land regulations </w:t>
            </w:r>
            <w:r w:rsidR="004542EC">
              <w:rPr>
                <w:rFonts w:cs="Segoe UI Light"/>
                <w:sz w:val="18"/>
              </w:rPr>
              <w:t xml:space="preserve">somewhat address the problem of </w:t>
            </w:r>
            <w:r w:rsidR="00180B07">
              <w:rPr>
                <w:rFonts w:cs="Segoe UI Light"/>
                <w:sz w:val="18"/>
              </w:rPr>
              <w:t>ground</w:t>
            </w:r>
            <w:r w:rsidR="004542EC">
              <w:rPr>
                <w:rFonts w:cs="Segoe UI Light"/>
                <w:sz w:val="18"/>
              </w:rPr>
              <w:t>water pollution</w:t>
            </w:r>
            <w:r w:rsidRPr="000E7C5E">
              <w:rPr>
                <w:rFonts w:cs="Segoe UI Light"/>
                <w:sz w:val="18"/>
              </w:rPr>
              <w:t>.</w:t>
            </w:r>
          </w:p>
        </w:tc>
        <w:tc>
          <w:tcPr>
            <w:tcW w:w="6520" w:type="dxa"/>
          </w:tcPr>
          <w:p w14:paraId="656B0118" w14:textId="77777777" w:rsidR="00C203C3" w:rsidRPr="000E7C5E" w:rsidRDefault="004542EC">
            <w:pPr>
              <w:spacing w:after="0"/>
              <w:rPr>
                <w:sz w:val="18"/>
              </w:rPr>
            </w:pPr>
            <w:r>
              <w:rPr>
                <w:sz w:val="18"/>
              </w:rPr>
              <w:t>C</w:t>
            </w:r>
            <w:r w:rsidR="00CA3935" w:rsidRPr="000E7C5E">
              <w:rPr>
                <w:sz w:val="18"/>
              </w:rPr>
              <w:t>ontaminated land regulations address</w:t>
            </w:r>
            <w:r>
              <w:rPr>
                <w:sz w:val="18"/>
              </w:rPr>
              <w:t xml:space="preserve">, in part, </w:t>
            </w:r>
            <w:r w:rsidR="00CA3935" w:rsidRPr="000E7C5E">
              <w:rPr>
                <w:sz w:val="18"/>
              </w:rPr>
              <w:t xml:space="preserve">the </w:t>
            </w:r>
            <w:r>
              <w:rPr>
                <w:sz w:val="18"/>
              </w:rPr>
              <w:t xml:space="preserve">problem of groundwater </w:t>
            </w:r>
            <w:r w:rsidR="00CA3935" w:rsidRPr="000E7C5E">
              <w:rPr>
                <w:sz w:val="18"/>
              </w:rPr>
              <w:t xml:space="preserve">pollution. </w:t>
            </w:r>
            <w:r>
              <w:rPr>
                <w:sz w:val="18"/>
              </w:rPr>
              <w:t xml:space="preserve">This is a different problem from pollution to the marine environment, which is the problem addressed by proposed water regulations. Therefore, there is no interaction between these problem areas. </w:t>
            </w:r>
          </w:p>
        </w:tc>
      </w:tr>
      <w:tr w:rsidR="00DF1756" w:rsidRPr="00D675C1" w14:paraId="656B011D" w14:textId="77777777" w:rsidTr="000E7C5E">
        <w:tc>
          <w:tcPr>
            <w:tcW w:w="1555" w:type="dxa"/>
          </w:tcPr>
          <w:p w14:paraId="656B011A" w14:textId="77777777" w:rsidR="00DF1756" w:rsidRPr="000E7C5E" w:rsidRDefault="00DF1756" w:rsidP="00DF1756">
            <w:pPr>
              <w:rPr>
                <w:sz w:val="18"/>
              </w:rPr>
            </w:pPr>
            <w:r w:rsidRPr="000E7C5E">
              <w:rPr>
                <w:sz w:val="18"/>
              </w:rPr>
              <w:t>Waste</w:t>
            </w:r>
          </w:p>
        </w:tc>
        <w:tc>
          <w:tcPr>
            <w:tcW w:w="2131" w:type="dxa"/>
          </w:tcPr>
          <w:p w14:paraId="656B011B" w14:textId="77777777" w:rsidR="00DF1756" w:rsidRPr="000E7C5E" w:rsidRDefault="00C203C3" w:rsidP="000E7C5E">
            <w:pPr>
              <w:ind w:right="288"/>
              <w:rPr>
                <w:sz w:val="18"/>
              </w:rPr>
            </w:pPr>
            <w:r w:rsidRPr="000E7C5E">
              <w:rPr>
                <w:sz w:val="18"/>
              </w:rPr>
              <w:t>Proposed waste regulations could</w:t>
            </w:r>
            <w:r w:rsidR="00014F56">
              <w:rPr>
                <w:sz w:val="18"/>
              </w:rPr>
              <w:t xml:space="preserve"> </w:t>
            </w:r>
            <w:r w:rsidR="00310520" w:rsidRPr="000E7C5E">
              <w:rPr>
                <w:sz w:val="18"/>
              </w:rPr>
              <w:t xml:space="preserve"> </w:t>
            </w:r>
            <w:r w:rsidRPr="000E7C5E">
              <w:rPr>
                <w:sz w:val="18"/>
              </w:rPr>
              <w:t xml:space="preserve">reduce residual risk for land contamination </w:t>
            </w:r>
            <w:r w:rsidR="00310520" w:rsidRPr="000E7C5E">
              <w:rPr>
                <w:sz w:val="18"/>
              </w:rPr>
              <w:t xml:space="preserve">   </w:t>
            </w:r>
            <w:r w:rsidRPr="000E7C5E">
              <w:rPr>
                <w:sz w:val="18"/>
              </w:rPr>
              <w:t>and pollution of waterways (leakage of pollutants) and air (vapours and smoke pollution).</w:t>
            </w:r>
          </w:p>
        </w:tc>
        <w:tc>
          <w:tcPr>
            <w:tcW w:w="6520" w:type="dxa"/>
          </w:tcPr>
          <w:p w14:paraId="656B011C" w14:textId="77777777" w:rsidR="00DF1756" w:rsidRPr="000E7C5E" w:rsidRDefault="007C7FB4">
            <w:pPr>
              <w:rPr>
                <w:sz w:val="18"/>
              </w:rPr>
            </w:pPr>
            <w:r w:rsidRPr="000E7C5E">
              <w:rPr>
                <w:sz w:val="18"/>
              </w:rPr>
              <w:t xml:space="preserve">For Water, regulations clarify the industrial waste provision in </w:t>
            </w:r>
            <w:r w:rsidR="00CE519E" w:rsidRPr="000E7C5E">
              <w:rPr>
                <w:sz w:val="18"/>
              </w:rPr>
              <w:t>the new EP legislation</w:t>
            </w:r>
            <w:r w:rsidRPr="000E7C5E">
              <w:rPr>
                <w:sz w:val="18"/>
              </w:rPr>
              <w:t xml:space="preserve"> to include vessel discharges, so there is an interaction. This is addressed through discussion in the Water chapter, but is considered such a small part of the regulations that it is not material to the Waste analysis.</w:t>
            </w:r>
          </w:p>
        </w:tc>
      </w:tr>
      <w:tr w:rsidR="00DF1756" w:rsidRPr="00D675C1" w14:paraId="656B0121" w14:textId="77777777" w:rsidTr="000E7C5E">
        <w:tc>
          <w:tcPr>
            <w:tcW w:w="1555" w:type="dxa"/>
          </w:tcPr>
          <w:p w14:paraId="656B011E" w14:textId="77777777" w:rsidR="00DF1756" w:rsidRPr="000E7C5E" w:rsidRDefault="00C203C3" w:rsidP="00DF1756">
            <w:pPr>
              <w:rPr>
                <w:sz w:val="18"/>
              </w:rPr>
            </w:pPr>
            <w:r w:rsidRPr="000E7C5E">
              <w:rPr>
                <w:sz w:val="18"/>
              </w:rPr>
              <w:t>Water</w:t>
            </w:r>
          </w:p>
        </w:tc>
        <w:tc>
          <w:tcPr>
            <w:tcW w:w="2131" w:type="dxa"/>
          </w:tcPr>
          <w:p w14:paraId="656B011F" w14:textId="77777777" w:rsidR="00DF1756" w:rsidRPr="000E7C5E" w:rsidRDefault="00C203C3" w:rsidP="00DF1756">
            <w:pPr>
              <w:rPr>
                <w:rFonts w:cs="Segoe UI Light"/>
                <w:sz w:val="18"/>
              </w:rPr>
            </w:pPr>
            <w:r w:rsidRPr="000E7C5E">
              <w:rPr>
                <w:rFonts w:cs="Segoe UI Light"/>
                <w:sz w:val="18"/>
              </w:rPr>
              <w:t>Proposed vessel discharge regulations could reduce residual</w:t>
            </w:r>
            <w:r w:rsidR="00310520" w:rsidRPr="000E7C5E">
              <w:rPr>
                <w:rFonts w:cs="Segoe UI Light"/>
                <w:sz w:val="18"/>
              </w:rPr>
              <w:t xml:space="preserve"> </w:t>
            </w:r>
            <w:r w:rsidRPr="000E7C5E">
              <w:rPr>
                <w:rFonts w:cs="Segoe UI Light"/>
                <w:sz w:val="18"/>
              </w:rPr>
              <w:t>risk for waste and litter.</w:t>
            </w:r>
          </w:p>
        </w:tc>
        <w:tc>
          <w:tcPr>
            <w:tcW w:w="6520" w:type="dxa"/>
          </w:tcPr>
          <w:p w14:paraId="656B0120" w14:textId="77777777" w:rsidR="00DF1756" w:rsidRPr="000E7C5E" w:rsidRDefault="002C1589" w:rsidP="00310520">
            <w:pPr>
              <w:rPr>
                <w:sz w:val="18"/>
              </w:rPr>
            </w:pPr>
            <w:r w:rsidRPr="000E7C5E">
              <w:rPr>
                <w:sz w:val="18"/>
              </w:rPr>
              <w:t xml:space="preserve">While acknowledging that there is an interaction, the interaction is minimal as the waste regulations focus on other types of waste (e.g. priority wastes) while the litter regulations focus on regulations for materials that might become litter. Therefore no specific action is needed to manage this </w:t>
            </w:r>
            <w:r w:rsidR="00310520" w:rsidRPr="000E7C5E">
              <w:rPr>
                <w:sz w:val="18"/>
              </w:rPr>
              <w:t>interaction</w:t>
            </w:r>
            <w:r w:rsidRPr="000E7C5E">
              <w:rPr>
                <w:sz w:val="18"/>
              </w:rPr>
              <w:t>.</w:t>
            </w:r>
          </w:p>
        </w:tc>
      </w:tr>
      <w:tr w:rsidR="00DF1756" w:rsidRPr="00D675C1" w14:paraId="656B0125" w14:textId="77777777" w:rsidTr="000E7C5E">
        <w:tc>
          <w:tcPr>
            <w:tcW w:w="1555" w:type="dxa"/>
          </w:tcPr>
          <w:p w14:paraId="656B0122" w14:textId="77777777" w:rsidR="00DF1756" w:rsidRPr="000E7C5E" w:rsidRDefault="00C203C3">
            <w:pPr>
              <w:rPr>
                <w:sz w:val="18"/>
              </w:rPr>
            </w:pPr>
            <w:r w:rsidRPr="000E7C5E">
              <w:rPr>
                <w:sz w:val="18"/>
              </w:rPr>
              <w:t>Plastic bags</w:t>
            </w:r>
          </w:p>
        </w:tc>
        <w:tc>
          <w:tcPr>
            <w:tcW w:w="2131" w:type="dxa"/>
          </w:tcPr>
          <w:p w14:paraId="656B0123" w14:textId="77777777" w:rsidR="00DF1756" w:rsidRPr="000E7C5E" w:rsidRDefault="00C203C3">
            <w:pPr>
              <w:rPr>
                <w:sz w:val="18"/>
              </w:rPr>
            </w:pPr>
            <w:r w:rsidRPr="000E7C5E">
              <w:rPr>
                <w:sz w:val="18"/>
              </w:rPr>
              <w:t xml:space="preserve">Proposed plastic bag regulations could reduce residual risk for litter and water (reduce litter in marine and inland water environments). </w:t>
            </w:r>
          </w:p>
        </w:tc>
        <w:tc>
          <w:tcPr>
            <w:tcW w:w="6520" w:type="dxa"/>
          </w:tcPr>
          <w:p w14:paraId="656B0124" w14:textId="77777777" w:rsidR="00DF1756" w:rsidRPr="000E7C5E" w:rsidRDefault="002C1589" w:rsidP="009962DA">
            <w:pPr>
              <w:rPr>
                <w:sz w:val="18"/>
              </w:rPr>
            </w:pPr>
            <w:r w:rsidRPr="000E7C5E">
              <w:rPr>
                <w:sz w:val="18"/>
              </w:rPr>
              <w:t xml:space="preserve">Plastic bag litter is a key part of the total litter problem, and the RIS acknowledges this in background discussion in </w:t>
            </w:r>
            <w:r w:rsidR="000B4040" w:rsidRPr="000E7C5E">
              <w:rPr>
                <w:sz w:val="18"/>
              </w:rPr>
              <w:t>the Plastic bag chapter</w:t>
            </w:r>
            <w:r w:rsidRPr="000E7C5E">
              <w:rPr>
                <w:sz w:val="18"/>
              </w:rPr>
              <w:t xml:space="preserve">. However, because the litter regulations are in relation to materials that might become litter, there is </w:t>
            </w:r>
            <w:r w:rsidR="009962DA">
              <w:rPr>
                <w:sz w:val="18"/>
              </w:rPr>
              <w:t>limited</w:t>
            </w:r>
            <w:r w:rsidR="009962DA" w:rsidRPr="000E7C5E">
              <w:rPr>
                <w:sz w:val="18"/>
              </w:rPr>
              <w:t xml:space="preserve"> </w:t>
            </w:r>
            <w:r w:rsidRPr="000E7C5E">
              <w:rPr>
                <w:sz w:val="18"/>
              </w:rPr>
              <w:t xml:space="preserve">overlap between the two areas. Therefore no specific action is needed to manage this </w:t>
            </w:r>
            <w:r w:rsidR="00310520" w:rsidRPr="000E7C5E">
              <w:rPr>
                <w:sz w:val="18"/>
              </w:rPr>
              <w:t>interaction</w:t>
            </w:r>
            <w:r w:rsidRPr="000E7C5E">
              <w:rPr>
                <w:sz w:val="18"/>
              </w:rPr>
              <w:t>.</w:t>
            </w:r>
          </w:p>
        </w:tc>
      </w:tr>
    </w:tbl>
    <w:p w14:paraId="656B0126" w14:textId="77777777" w:rsidR="00DF1756" w:rsidRDefault="00DF1756" w:rsidP="000B4040"/>
    <w:p w14:paraId="656B0127" w14:textId="77777777" w:rsidR="003613AE" w:rsidRPr="00CB1191" w:rsidRDefault="003613AE" w:rsidP="00CB1191">
      <w:pPr>
        <w:spacing w:before="120"/>
        <w:rPr>
          <w:rFonts w:cs="Segoe UI Light"/>
          <w:szCs w:val="20"/>
        </w:rPr>
      </w:pPr>
      <w:r w:rsidRPr="00CB1191">
        <w:rPr>
          <w:rFonts w:cs="Segoe UI Light"/>
          <w:szCs w:val="20"/>
        </w:rPr>
        <w:t xml:space="preserve">Interactions can also exist within a particular problem area, where some proposed options within the problem area interact with one another by addressing the same broad problem. Although multiple interactions likely exist across a number of problem areas, they are likely to be insignificant. The one exception to this is waste, since interactions are likely to be somewhat significant. For instance, there is a high degree of interaction within the options considered for reportable priority waste: Interactions exist between the cohort options (deciding which types of waste fall within this category) and the transport options (prescribing transaction and transport controls for the category). These interactions, where identified, are addressed in the waste chapter. </w:t>
      </w:r>
    </w:p>
    <w:p w14:paraId="656B0128" w14:textId="77777777" w:rsidR="003613AE" w:rsidRPr="002E2BA7" w:rsidRDefault="003613AE" w:rsidP="000B4040"/>
    <w:p w14:paraId="656B0129" w14:textId="77777777" w:rsidR="001922B1" w:rsidRDefault="00386DA3" w:rsidP="009C47FC">
      <w:pPr>
        <w:pStyle w:val="Heading1"/>
      </w:pPr>
      <w:bookmarkStart w:id="580" w:name="_Ref7765829"/>
      <w:bookmarkStart w:id="581" w:name="_Toc10018327"/>
      <w:bookmarkStart w:id="582" w:name="_Toc10021434"/>
      <w:bookmarkStart w:id="583" w:name="_Toc10021848"/>
      <w:bookmarkStart w:id="584" w:name="_Toc12892332"/>
      <w:r>
        <w:t>Permissioning</w:t>
      </w:r>
      <w:bookmarkEnd w:id="580"/>
      <w:bookmarkEnd w:id="581"/>
      <w:bookmarkEnd w:id="582"/>
      <w:bookmarkEnd w:id="583"/>
      <w:bookmarkEnd w:id="584"/>
      <w:r>
        <w:t xml:space="preserve"> </w:t>
      </w:r>
      <w:bookmarkEnd w:id="564"/>
      <w:bookmarkEnd w:id="565"/>
      <w:bookmarkEnd w:id="566"/>
      <w:bookmarkEnd w:id="567"/>
      <w:bookmarkEnd w:id="568"/>
      <w:bookmarkEnd w:id="569"/>
      <w:bookmarkEnd w:id="570"/>
      <w:bookmarkEnd w:id="571"/>
    </w:p>
    <w:p w14:paraId="656B012A" w14:textId="77777777" w:rsidR="00733B27" w:rsidRPr="00040A06" w:rsidRDefault="00733B27" w:rsidP="00733B27">
      <w:pPr>
        <w:mirrorIndents/>
        <w:rPr>
          <w:b/>
          <w:color w:val="808080" w:themeColor="background1" w:themeShade="80"/>
        </w:rPr>
      </w:pPr>
      <w:bookmarkStart w:id="585" w:name="_Toc536054960"/>
      <w:bookmarkStart w:id="586" w:name="_Toc525554669"/>
      <w:bookmarkEnd w:id="576"/>
      <w:r w:rsidRPr="00E41BF3">
        <w:rPr>
          <w:b/>
          <w:color w:val="808080" w:themeColor="background1" w:themeShade="80"/>
        </w:rPr>
        <w:t xml:space="preserve">This chapter </w:t>
      </w:r>
      <w:r>
        <w:rPr>
          <w:b/>
          <w:color w:val="808080" w:themeColor="background1" w:themeShade="80"/>
        </w:rPr>
        <w:t xml:space="preserve">outlines </w:t>
      </w:r>
      <w:r w:rsidR="00937991">
        <w:rPr>
          <w:b/>
          <w:color w:val="808080" w:themeColor="background1" w:themeShade="80"/>
        </w:rPr>
        <w:t xml:space="preserve">why a permissioning regime is necessary and </w:t>
      </w:r>
      <w:r>
        <w:rPr>
          <w:b/>
          <w:color w:val="808080" w:themeColor="background1" w:themeShade="80"/>
        </w:rPr>
        <w:t>the re</w:t>
      </w:r>
      <w:r w:rsidRPr="00E41BF3">
        <w:rPr>
          <w:b/>
          <w:color w:val="808080" w:themeColor="background1" w:themeShade="80"/>
        </w:rPr>
        <w:t xml:space="preserve">gulations </w:t>
      </w:r>
      <w:r w:rsidR="00413467">
        <w:rPr>
          <w:b/>
          <w:color w:val="808080" w:themeColor="background1" w:themeShade="80"/>
        </w:rPr>
        <w:t xml:space="preserve">that are </w:t>
      </w:r>
      <w:r w:rsidRPr="00E41BF3">
        <w:rPr>
          <w:b/>
          <w:color w:val="808080" w:themeColor="background1" w:themeShade="80"/>
        </w:rPr>
        <w:t xml:space="preserve">proposed to </w:t>
      </w:r>
      <w:r w:rsidR="00937991">
        <w:rPr>
          <w:b/>
          <w:color w:val="808080" w:themeColor="background1" w:themeShade="80"/>
        </w:rPr>
        <w:t>apply it</w:t>
      </w:r>
      <w:r w:rsidR="008E16BE">
        <w:rPr>
          <w:b/>
          <w:color w:val="808080" w:themeColor="background1" w:themeShade="80"/>
        </w:rPr>
        <w:t>.</w:t>
      </w:r>
    </w:p>
    <w:p w14:paraId="656B012B" w14:textId="77777777" w:rsidR="00733B27" w:rsidRPr="00E41BF3" w:rsidRDefault="00733B27" w:rsidP="00733B27">
      <w:pPr>
        <w:mirrorIndents/>
        <w:rPr>
          <w:color w:val="808080" w:themeColor="background1" w:themeShade="80"/>
        </w:rPr>
      </w:pPr>
      <w:r w:rsidRPr="00B70E30">
        <w:rPr>
          <w:rFonts w:cs="Segoe UI Light"/>
          <w:noProof/>
          <w:color w:val="2B579A"/>
          <w:shd w:val="clear" w:color="auto" w:fill="E6E6E6"/>
          <w:lang w:eastAsia="en-AU"/>
        </w:rPr>
        <mc:AlternateContent>
          <mc:Choice Requires="wps">
            <w:drawing>
              <wp:inline distT="0" distB="0" distL="0" distR="0" wp14:anchorId="656B1E9E" wp14:editId="656B1E9F">
                <wp:extent cx="6477000" cy="4566891"/>
                <wp:effectExtent l="0" t="0" r="19050" b="24765"/>
                <wp:docPr id="44" name="Rectangle 44"/>
                <wp:cNvGraphicFramePr/>
                <a:graphic xmlns:a="http://schemas.openxmlformats.org/drawingml/2006/main">
                  <a:graphicData uri="http://schemas.microsoft.com/office/word/2010/wordprocessingShape">
                    <wps:wsp>
                      <wps:cNvSpPr/>
                      <wps:spPr bwMode="gray">
                        <a:xfrm>
                          <a:off x="0" y="0"/>
                          <a:ext cx="6477000" cy="4566891"/>
                        </a:xfrm>
                        <a:prstGeom prst="rect">
                          <a:avLst/>
                        </a:prstGeom>
                        <a:solidFill>
                          <a:schemeClr val="bg2"/>
                        </a:solidFill>
                        <a:ln w="19050" algn="ctr">
                          <a:solidFill>
                            <a:srgbClr val="62B5E5"/>
                          </a:solidFill>
                          <a:miter lim="800000"/>
                          <a:headEnd/>
                          <a:tailEnd/>
                        </a:ln>
                      </wps:spPr>
                      <wps:txbx>
                        <w:txbxContent>
                          <w:p w14:paraId="656B21CE" w14:textId="77777777" w:rsidR="00E752DE" w:rsidRPr="00A029F6" w:rsidRDefault="00E752DE" w:rsidP="00733B27">
                            <w:pPr>
                              <w:ind w:right="262"/>
                              <w:rPr>
                                <w:rFonts w:cs="Segoe UI Light"/>
                                <w:b/>
                                <w:color w:val="FF0000"/>
                              </w:rPr>
                            </w:pPr>
                            <w:r w:rsidRPr="00A029F6">
                              <w:rPr>
                                <w:rFonts w:cs="Segoe UI Light"/>
                                <w:b/>
                                <w:color w:val="012169" w:themeColor="accent4"/>
                              </w:rPr>
                              <w:t>Key points:</w:t>
                            </w:r>
                          </w:p>
                          <w:p w14:paraId="656B21CF" w14:textId="77777777" w:rsidR="00E752DE" w:rsidRPr="00A029F6" w:rsidRDefault="00E752DE" w:rsidP="004A2442">
                            <w:pPr>
                              <w:pStyle w:val="ListParagraph"/>
                              <w:numPr>
                                <w:ilvl w:val="0"/>
                                <w:numId w:val="62"/>
                              </w:numPr>
                              <w:ind w:right="262"/>
                              <w:mirrorIndents/>
                              <w:rPr>
                                <w:rFonts w:cs="Segoe UI Light"/>
                              </w:rPr>
                            </w:pPr>
                            <w:r>
                              <w:rPr>
                                <w:rFonts w:cs="Segoe UI Light"/>
                              </w:rPr>
                              <w:t>I</w:t>
                            </w:r>
                            <w:r w:rsidRPr="00A029F6">
                              <w:t xml:space="preserve">ndustrial activities account for a considerable </w:t>
                            </w:r>
                            <w:r w:rsidRPr="00AF3C30">
                              <w:t>share of Victoria’s air, land and water emissions and impact on amenity. These</w:t>
                            </w:r>
                            <w:r w:rsidRPr="00A029F6">
                              <w:t xml:space="preserve"> </w:t>
                            </w:r>
                            <w:r>
                              <w:t xml:space="preserve">activities </w:t>
                            </w:r>
                            <w:r w:rsidRPr="00A029F6">
                              <w:t>pose a significant risk to human health and the environment</w:t>
                            </w:r>
                            <w:r>
                              <w:t xml:space="preserve">. </w:t>
                            </w:r>
                          </w:p>
                          <w:p w14:paraId="656B21D0" w14:textId="77777777" w:rsidR="00E752DE" w:rsidRDefault="00E752DE" w:rsidP="004A2442">
                            <w:pPr>
                              <w:pStyle w:val="ListParagraph"/>
                              <w:numPr>
                                <w:ilvl w:val="0"/>
                                <w:numId w:val="62"/>
                              </w:numPr>
                              <w:ind w:right="262"/>
                              <w:mirrorIndents/>
                              <w:rPr>
                                <w:rFonts w:cs="Segoe UI Light"/>
                              </w:rPr>
                            </w:pPr>
                            <w:r w:rsidRPr="00AE2A33">
                              <w:rPr>
                                <w:rFonts w:cs="Segoe UI Light"/>
                              </w:rPr>
                              <w:t xml:space="preserve">In order to address these risks, the new EP </w:t>
                            </w:r>
                            <w:r>
                              <w:rPr>
                                <w:rFonts w:cs="Segoe UI Light"/>
                              </w:rPr>
                              <w:t>l</w:t>
                            </w:r>
                            <w:r w:rsidRPr="00AE2A33">
                              <w:rPr>
                                <w:rFonts w:cs="Segoe UI Light"/>
                              </w:rPr>
                              <w:t xml:space="preserve">egislation establishes a new permissioning framework to complement the GED. The framework allows the EPA to establish greater certainty of control for activities </w:t>
                            </w:r>
                            <w:r w:rsidRPr="00A029F6">
                              <w:t xml:space="preserve">which pose significant risks of harm to human health and the environment, and </w:t>
                            </w:r>
                            <w:r>
                              <w:t xml:space="preserve">where </w:t>
                            </w:r>
                            <w:r w:rsidRPr="00A029F6">
                              <w:t xml:space="preserve">the consequences of non-compliance are greatest. </w:t>
                            </w:r>
                            <w:r>
                              <w:t xml:space="preserve">There are </w:t>
                            </w:r>
                            <w:r w:rsidRPr="00AE2A33">
                              <w:rPr>
                                <w:rFonts w:cs="Segoe UI Light"/>
                              </w:rPr>
                              <w:t xml:space="preserve">three permission tiers established in the new EP </w:t>
                            </w:r>
                            <w:r>
                              <w:rPr>
                                <w:rFonts w:cs="Segoe UI Light"/>
                              </w:rPr>
                              <w:t>l</w:t>
                            </w:r>
                            <w:r w:rsidRPr="00AE2A33">
                              <w:rPr>
                                <w:rFonts w:cs="Segoe UI Light"/>
                              </w:rPr>
                              <w:t xml:space="preserve">egislation: licences, permits and registrations. </w:t>
                            </w:r>
                          </w:p>
                          <w:p w14:paraId="656B21D1" w14:textId="77777777" w:rsidR="00E752DE" w:rsidRDefault="00E752DE" w:rsidP="004A2442">
                            <w:pPr>
                              <w:pStyle w:val="ListParagraph"/>
                              <w:numPr>
                                <w:ilvl w:val="0"/>
                                <w:numId w:val="62"/>
                              </w:numPr>
                              <w:ind w:right="262"/>
                              <w:mirrorIndents/>
                              <w:rPr>
                                <w:rFonts w:cs="Segoe UI Light"/>
                              </w:rPr>
                            </w:pPr>
                            <w:r>
                              <w:rPr>
                                <w:rFonts w:cs="Segoe UI Light"/>
                              </w:rPr>
                              <w:t>The new EP legislation also enables the EPA to require duty holders to hold a financial assurance. This is a financial instrument which allows EPA to recover clean-up costs from duty holders following pollution incidents or where duty holders abandon a site or become insolvent.</w:t>
                            </w:r>
                          </w:p>
                          <w:p w14:paraId="656B21D2" w14:textId="77777777" w:rsidR="00E752DE" w:rsidRPr="00B40C9B" w:rsidRDefault="00E752DE" w:rsidP="00B40C9B">
                            <w:pPr>
                              <w:pStyle w:val="ListParagraph"/>
                              <w:numPr>
                                <w:ilvl w:val="0"/>
                                <w:numId w:val="62"/>
                              </w:numPr>
                              <w:ind w:right="262"/>
                              <w:mirrorIndents/>
                              <w:rPr>
                                <w:rFonts w:cs="Segoe UI Light"/>
                              </w:rPr>
                            </w:pPr>
                            <w:r w:rsidRPr="00AE2A33">
                              <w:rPr>
                                <w:rFonts w:cs="Segoe UI Light"/>
                              </w:rPr>
                              <w:t xml:space="preserve">However, the new </w:t>
                            </w:r>
                            <w:r w:rsidRPr="00B05634">
                              <w:rPr>
                                <w:rFonts w:cs="Segoe UI Light"/>
                              </w:rPr>
                              <w:t xml:space="preserve">EP legislation does not specify the activities that would require duty holders to obtain a permission. </w:t>
                            </w:r>
                            <w:r w:rsidRPr="00AF3C30">
                              <w:rPr>
                                <w:rFonts w:cs="Segoe UI Light"/>
                              </w:rPr>
                              <w:t>The permissions framework under the new legislative framework therefore cannot function without prescription under regulation.</w:t>
                            </w:r>
                            <w:r w:rsidRPr="00B40C9B">
                              <w:rPr>
                                <w:rFonts w:cs="Segoe UI Light"/>
                              </w:rPr>
                              <w:t xml:space="preserve"> Financial assurance also cannot be required unless specified in the Regulations. </w:t>
                            </w:r>
                          </w:p>
                          <w:p w14:paraId="656B21D3" w14:textId="77777777" w:rsidR="00E752DE" w:rsidRPr="00AF3C30" w:rsidRDefault="00E752DE" w:rsidP="00F2756B">
                            <w:pPr>
                              <w:pStyle w:val="ListParagraph"/>
                              <w:numPr>
                                <w:ilvl w:val="0"/>
                                <w:numId w:val="62"/>
                              </w:numPr>
                              <w:ind w:right="262"/>
                              <w:mirrorIndents/>
                              <w:rPr>
                                <w:rFonts w:cs="Segoe UI Light"/>
                              </w:rPr>
                            </w:pPr>
                            <w:r w:rsidRPr="00AF3C30">
                              <w:rPr>
                                <w:rFonts w:cs="Segoe UI Light"/>
                              </w:rPr>
                              <w:t>The preferred option to address this residual risk is to prescribe in regulations a set of activities which would require a permission or a financial assurance</w:t>
                            </w:r>
                            <w:r>
                              <w:rPr>
                                <w:rFonts w:cs="Segoe UI Light"/>
                              </w:rPr>
                              <w:t xml:space="preserve"> in the following circumstances</w:t>
                            </w:r>
                            <w:r w:rsidRPr="00AF3C30">
                              <w:rPr>
                                <w:rFonts w:cs="Segoe UI Light"/>
                              </w:rPr>
                              <w:t>:</w:t>
                            </w:r>
                          </w:p>
                          <w:p w14:paraId="656B21D4" w14:textId="77777777" w:rsidR="00E752DE" w:rsidRPr="00AF3C30" w:rsidRDefault="00E752DE" w:rsidP="00AF3C30">
                            <w:pPr>
                              <w:pStyle w:val="ListParagraph"/>
                              <w:numPr>
                                <w:ilvl w:val="1"/>
                                <w:numId w:val="62"/>
                              </w:numPr>
                              <w:ind w:left="993" w:right="262" w:hanging="284"/>
                              <w:mirrorIndents/>
                              <w:rPr>
                                <w:rFonts w:cs="Segoe UI Light"/>
                              </w:rPr>
                            </w:pPr>
                            <w:r w:rsidRPr="00AF3C30">
                              <w:rPr>
                                <w:rFonts w:cs="Segoe UI Light"/>
                              </w:rPr>
                              <w:t xml:space="preserve">Duty holders would be required to obtain permissions for activities which require some form of permission (or exemption) under the existing legislative framework, under various heads of power (most notably, the Scheduled Premises Regulations). </w:t>
                            </w:r>
                          </w:p>
                          <w:p w14:paraId="656B21D5" w14:textId="77777777" w:rsidR="00E752DE" w:rsidRPr="00B05634" w:rsidRDefault="00E752DE" w:rsidP="00AF3C30">
                            <w:pPr>
                              <w:pStyle w:val="ListParagraph"/>
                              <w:numPr>
                                <w:ilvl w:val="1"/>
                                <w:numId w:val="62"/>
                              </w:numPr>
                              <w:ind w:left="993" w:right="262" w:hanging="284"/>
                              <w:mirrorIndents/>
                              <w:rPr>
                                <w:rFonts w:cs="Segoe UI Light"/>
                              </w:rPr>
                            </w:pPr>
                            <w:r w:rsidRPr="00AF3C30">
                              <w:rPr>
                                <w:rFonts w:cs="Segoe UI Light"/>
                              </w:rPr>
                              <w:t>A number of additional activities that do not require a permission under the existing legislative framework, but which EPA has</w:t>
                            </w:r>
                            <w:r>
                              <w:rPr>
                                <w:rFonts w:cs="Segoe UI Light"/>
                              </w:rPr>
                              <w:t xml:space="preserve"> judged</w:t>
                            </w:r>
                            <w:r w:rsidRPr="00AF3C30">
                              <w:rPr>
                                <w:rFonts w:cs="Segoe UI Light"/>
                              </w:rPr>
                              <w:t xml:space="preserve"> pose a </w:t>
                            </w:r>
                            <w:r>
                              <w:rPr>
                                <w:rFonts w:cs="Segoe UI Light"/>
                              </w:rPr>
                              <w:t xml:space="preserve">significant </w:t>
                            </w:r>
                            <w:r w:rsidRPr="00AF3C30">
                              <w:rPr>
                                <w:rFonts w:cs="Segoe UI Light"/>
                              </w:rPr>
                              <w:t>risk to human health and the environment,</w:t>
                            </w:r>
                            <w:r w:rsidRPr="00B05634">
                              <w:rPr>
                                <w:rFonts w:cs="Segoe UI Light"/>
                              </w:rPr>
                              <w:t xml:space="preserve"> </w:t>
                            </w:r>
                            <w:r w:rsidRPr="00AF3C30">
                              <w:rPr>
                                <w:rFonts w:cs="Segoe UI Light"/>
                              </w:rPr>
                              <w:t>would also require a permission or financial assurance.</w:t>
                            </w:r>
                          </w:p>
                          <w:p w14:paraId="656B21D6" w14:textId="77777777" w:rsidR="00E752DE" w:rsidRPr="00A029F6" w:rsidRDefault="00E752DE" w:rsidP="004A2442">
                            <w:pPr>
                              <w:pStyle w:val="ListParagraph"/>
                              <w:numPr>
                                <w:ilvl w:val="0"/>
                                <w:numId w:val="62"/>
                              </w:numPr>
                              <w:ind w:right="262"/>
                              <w:mirrorIndents/>
                              <w:rPr>
                                <w:rFonts w:cs="Segoe UI Light"/>
                              </w:rPr>
                            </w:pPr>
                            <w:r w:rsidRPr="003E6970">
                              <w:rPr>
                                <w:rFonts w:cs="Segoe UI Light"/>
                              </w:rPr>
                              <w:t>The preferred option enables EPA to establish greater certainty</w:t>
                            </w:r>
                            <w:r w:rsidRPr="00AE2A33">
                              <w:rPr>
                                <w:rFonts w:cs="Segoe UI Light"/>
                              </w:rPr>
                              <w:t xml:space="preserve"> of control for activities </w:t>
                            </w:r>
                            <w:r w:rsidRPr="00A029F6">
                              <w:t>which pose</w:t>
                            </w:r>
                            <w:r>
                              <w:t xml:space="preserve"> the most</w:t>
                            </w:r>
                            <w:r w:rsidRPr="00A029F6">
                              <w:t xml:space="preserve"> significant risks of harm to human health and the environment</w:t>
                            </w:r>
                            <w:r>
                              <w:t>.</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56B1E9E" id="Rectangle 44" o:spid="_x0000_s1068" style="width:510pt;height:359.6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" fillcolor="#e7e6e6 [3214]" strokecolor="#62b5e5" strokeweight="1.5pt">
                <v:textbox inset="7pt,7pt,7pt,7pt">
                  <w:txbxContent>
                    <w:p w14:paraId="656B21CE" w14:textId="77777777" w:rsidR="00E752DE" w:rsidRPr="00A029F6" w:rsidRDefault="00E752DE" w:rsidP="00733B27">
                      <w:pPr>
                        <w:ind w:right="262"/>
                        <w:rPr>
                          <w:rFonts w:cs="Segoe UI Light"/>
                          <w:b/>
                          <w:color w:val="FF0000"/>
                        </w:rPr>
                      </w:pPr>
                      <w:r w:rsidRPr="00A029F6">
                        <w:rPr>
                          <w:rFonts w:cs="Segoe UI Light"/>
                          <w:b/>
                          <w:color w:val="012169" w:themeColor="accent4"/>
                        </w:rPr>
                        <w:t>Key points:</w:t>
                      </w:r>
                    </w:p>
                    <w:p w14:paraId="656B21CF" w14:textId="77777777" w:rsidR="00E752DE" w:rsidRPr="00A029F6" w:rsidRDefault="00E752DE" w:rsidP="004A2442">
                      <w:pPr>
                        <w:pStyle w:val="ListParagraph"/>
                        <w:numPr>
                          <w:ilvl w:val="0"/>
                          <w:numId w:val="62"/>
                        </w:numPr>
                        <w:ind w:right="262"/>
                        <w:mirrorIndents/>
                        <w:rPr>
                          <w:rFonts w:cs="Segoe UI Light"/>
                        </w:rPr>
                      </w:pPr>
                      <w:r>
                        <w:rPr>
                          <w:rFonts w:cs="Segoe UI Light"/>
                        </w:rPr>
                        <w:t>I</w:t>
                      </w:r>
                      <w:r w:rsidRPr="00A029F6">
                        <w:t xml:space="preserve">ndustrial activities account for a considerable </w:t>
                      </w:r>
                      <w:r w:rsidRPr="00AF3C30">
                        <w:t>share of Victoria’s air, land and water emissions and impact on amenity. These</w:t>
                      </w:r>
                      <w:r w:rsidRPr="00A029F6">
                        <w:t xml:space="preserve"> </w:t>
                      </w:r>
                      <w:r>
                        <w:t xml:space="preserve">activities </w:t>
                      </w:r>
                      <w:r w:rsidRPr="00A029F6">
                        <w:t>pose a significant risk to human health and the environment</w:t>
                      </w:r>
                      <w:r>
                        <w:t xml:space="preserve">. </w:t>
                      </w:r>
                    </w:p>
                    <w:p w14:paraId="656B21D0" w14:textId="77777777" w:rsidR="00E752DE" w:rsidRDefault="00E752DE" w:rsidP="004A2442">
                      <w:pPr>
                        <w:pStyle w:val="ListParagraph"/>
                        <w:numPr>
                          <w:ilvl w:val="0"/>
                          <w:numId w:val="62"/>
                        </w:numPr>
                        <w:ind w:right="262"/>
                        <w:mirrorIndents/>
                        <w:rPr>
                          <w:rFonts w:cs="Segoe UI Light"/>
                        </w:rPr>
                      </w:pPr>
                      <w:r w:rsidRPr="00AE2A33">
                        <w:rPr>
                          <w:rFonts w:cs="Segoe UI Light"/>
                        </w:rPr>
                        <w:t xml:space="preserve">In order to address these risks, the new EP </w:t>
                      </w:r>
                      <w:r>
                        <w:rPr>
                          <w:rFonts w:cs="Segoe UI Light"/>
                        </w:rPr>
                        <w:t>l</w:t>
                      </w:r>
                      <w:r w:rsidRPr="00AE2A33">
                        <w:rPr>
                          <w:rFonts w:cs="Segoe UI Light"/>
                        </w:rPr>
                        <w:t xml:space="preserve">egislation establishes a new permissioning framework to complement the GED. The framework allows the EPA to establish greater certainty of control for activities </w:t>
                      </w:r>
                      <w:r w:rsidRPr="00A029F6">
                        <w:t xml:space="preserve">which pose significant risks of harm to human health and the environment, and </w:t>
                      </w:r>
                      <w:r>
                        <w:t xml:space="preserve">where </w:t>
                      </w:r>
                      <w:r w:rsidRPr="00A029F6">
                        <w:t xml:space="preserve">the consequences of non-compliance are greatest. </w:t>
                      </w:r>
                      <w:r>
                        <w:t xml:space="preserve">There are </w:t>
                      </w:r>
                      <w:r w:rsidRPr="00AE2A33">
                        <w:rPr>
                          <w:rFonts w:cs="Segoe UI Light"/>
                        </w:rPr>
                        <w:t xml:space="preserve">three permission tiers established in the new EP </w:t>
                      </w:r>
                      <w:r>
                        <w:rPr>
                          <w:rFonts w:cs="Segoe UI Light"/>
                        </w:rPr>
                        <w:t>l</w:t>
                      </w:r>
                      <w:r w:rsidRPr="00AE2A33">
                        <w:rPr>
                          <w:rFonts w:cs="Segoe UI Light"/>
                        </w:rPr>
                        <w:t xml:space="preserve">egislation: licences, permits and registrations. </w:t>
                      </w:r>
                    </w:p>
                    <w:p w14:paraId="656B21D1" w14:textId="77777777" w:rsidR="00E752DE" w:rsidRDefault="00E752DE" w:rsidP="004A2442">
                      <w:pPr>
                        <w:pStyle w:val="ListParagraph"/>
                        <w:numPr>
                          <w:ilvl w:val="0"/>
                          <w:numId w:val="62"/>
                        </w:numPr>
                        <w:ind w:right="262"/>
                        <w:mirrorIndents/>
                        <w:rPr>
                          <w:rFonts w:cs="Segoe UI Light"/>
                        </w:rPr>
                      </w:pPr>
                      <w:r>
                        <w:rPr>
                          <w:rFonts w:cs="Segoe UI Light"/>
                        </w:rPr>
                        <w:t>The new EP legislation also enables the EPA to require duty holders to hold a financial assurance. This is a financial instrument which allows EPA to recover clean-up costs from duty holders following pollution incidents or where duty holders abandon a site or become insolvent.</w:t>
                      </w:r>
                    </w:p>
                    <w:p w14:paraId="656B21D2" w14:textId="77777777" w:rsidR="00E752DE" w:rsidRPr="00B40C9B" w:rsidRDefault="00E752DE" w:rsidP="00B40C9B">
                      <w:pPr>
                        <w:pStyle w:val="ListParagraph"/>
                        <w:numPr>
                          <w:ilvl w:val="0"/>
                          <w:numId w:val="62"/>
                        </w:numPr>
                        <w:ind w:right="262"/>
                        <w:mirrorIndents/>
                        <w:rPr>
                          <w:rFonts w:cs="Segoe UI Light"/>
                        </w:rPr>
                      </w:pPr>
                      <w:r w:rsidRPr="00AE2A33">
                        <w:rPr>
                          <w:rFonts w:cs="Segoe UI Light"/>
                        </w:rPr>
                        <w:t xml:space="preserve">However, the new </w:t>
                      </w:r>
                      <w:r w:rsidRPr="00B05634">
                        <w:rPr>
                          <w:rFonts w:cs="Segoe UI Light"/>
                        </w:rPr>
                        <w:t xml:space="preserve">EP legislation does not specify the activities that would require duty holders to obtain a permission. </w:t>
                      </w:r>
                      <w:r w:rsidRPr="00AF3C30">
                        <w:rPr>
                          <w:rFonts w:cs="Segoe UI Light"/>
                        </w:rPr>
                        <w:t>The permissions framework under the new legislative framework therefore cannot function without prescription under regulation.</w:t>
                      </w:r>
                      <w:r w:rsidRPr="00B40C9B">
                        <w:rPr>
                          <w:rFonts w:cs="Segoe UI Light"/>
                        </w:rPr>
                        <w:t xml:space="preserve"> Financial assurance also cannot be required unless specified in the Regulations. </w:t>
                      </w:r>
                    </w:p>
                    <w:p w14:paraId="656B21D3" w14:textId="77777777" w:rsidR="00E752DE" w:rsidRPr="00AF3C30" w:rsidRDefault="00E752DE" w:rsidP="00F2756B">
                      <w:pPr>
                        <w:pStyle w:val="ListParagraph"/>
                        <w:numPr>
                          <w:ilvl w:val="0"/>
                          <w:numId w:val="62"/>
                        </w:numPr>
                        <w:ind w:right="262"/>
                        <w:mirrorIndents/>
                        <w:rPr>
                          <w:rFonts w:cs="Segoe UI Light"/>
                        </w:rPr>
                      </w:pPr>
                      <w:r w:rsidRPr="00AF3C30">
                        <w:rPr>
                          <w:rFonts w:cs="Segoe UI Light"/>
                        </w:rPr>
                        <w:t>The preferred option to address this residual risk is to prescribe in regulations a set of activities which would require a permission or a financial assurance</w:t>
                      </w:r>
                      <w:r>
                        <w:rPr>
                          <w:rFonts w:cs="Segoe UI Light"/>
                        </w:rPr>
                        <w:t xml:space="preserve"> in the following circumstances</w:t>
                      </w:r>
                      <w:r w:rsidRPr="00AF3C30">
                        <w:rPr>
                          <w:rFonts w:cs="Segoe UI Light"/>
                        </w:rPr>
                        <w:t>:</w:t>
                      </w:r>
                    </w:p>
                    <w:p w14:paraId="656B21D4" w14:textId="77777777" w:rsidR="00E752DE" w:rsidRPr="00AF3C30" w:rsidRDefault="00E752DE" w:rsidP="00AF3C30">
                      <w:pPr>
                        <w:pStyle w:val="ListParagraph"/>
                        <w:numPr>
                          <w:ilvl w:val="1"/>
                          <w:numId w:val="62"/>
                        </w:numPr>
                        <w:ind w:left="993" w:right="262" w:hanging="284"/>
                        <w:mirrorIndents/>
                        <w:rPr>
                          <w:rFonts w:cs="Segoe UI Light"/>
                        </w:rPr>
                      </w:pPr>
                      <w:r w:rsidRPr="00AF3C30">
                        <w:rPr>
                          <w:rFonts w:cs="Segoe UI Light"/>
                        </w:rPr>
                        <w:t xml:space="preserve">Duty holders would be required to obtain permissions for activities which require some form of permission (or exemption) under the existing legislative framework, under various heads of power (most notably, the Scheduled Premises Regulations). </w:t>
                      </w:r>
                    </w:p>
                    <w:p w14:paraId="656B21D5" w14:textId="77777777" w:rsidR="00E752DE" w:rsidRPr="00B05634" w:rsidRDefault="00E752DE" w:rsidP="00AF3C30">
                      <w:pPr>
                        <w:pStyle w:val="ListParagraph"/>
                        <w:numPr>
                          <w:ilvl w:val="1"/>
                          <w:numId w:val="62"/>
                        </w:numPr>
                        <w:ind w:left="993" w:right="262" w:hanging="284"/>
                        <w:mirrorIndents/>
                        <w:rPr>
                          <w:rFonts w:cs="Segoe UI Light"/>
                        </w:rPr>
                      </w:pPr>
                      <w:r w:rsidRPr="00AF3C30">
                        <w:rPr>
                          <w:rFonts w:cs="Segoe UI Light"/>
                        </w:rPr>
                        <w:t>A number of additional activities that do not require a permission under the existing legislative framework, but which EPA has</w:t>
                      </w:r>
                      <w:r>
                        <w:rPr>
                          <w:rFonts w:cs="Segoe UI Light"/>
                        </w:rPr>
                        <w:t xml:space="preserve"> judged</w:t>
                      </w:r>
                      <w:r w:rsidRPr="00AF3C30">
                        <w:rPr>
                          <w:rFonts w:cs="Segoe UI Light"/>
                        </w:rPr>
                        <w:t xml:space="preserve"> pose a </w:t>
                      </w:r>
                      <w:r>
                        <w:rPr>
                          <w:rFonts w:cs="Segoe UI Light"/>
                        </w:rPr>
                        <w:t xml:space="preserve">significant </w:t>
                      </w:r>
                      <w:r w:rsidRPr="00AF3C30">
                        <w:rPr>
                          <w:rFonts w:cs="Segoe UI Light"/>
                        </w:rPr>
                        <w:t>risk to human health and the environment,</w:t>
                      </w:r>
                      <w:r w:rsidRPr="00B05634">
                        <w:rPr>
                          <w:rFonts w:cs="Segoe UI Light"/>
                        </w:rPr>
                        <w:t xml:space="preserve"> </w:t>
                      </w:r>
                      <w:r w:rsidRPr="00AF3C30">
                        <w:rPr>
                          <w:rFonts w:cs="Segoe UI Light"/>
                        </w:rPr>
                        <w:t>would also require a permission or financial assurance.</w:t>
                      </w:r>
                    </w:p>
                    <w:p w14:paraId="656B21D6" w14:textId="77777777" w:rsidR="00E752DE" w:rsidRPr="00A029F6" w:rsidRDefault="00E752DE" w:rsidP="004A2442">
                      <w:pPr>
                        <w:pStyle w:val="ListParagraph"/>
                        <w:numPr>
                          <w:ilvl w:val="0"/>
                          <w:numId w:val="62"/>
                        </w:numPr>
                        <w:ind w:right="262"/>
                        <w:mirrorIndents/>
                        <w:rPr>
                          <w:rFonts w:cs="Segoe UI Light"/>
                        </w:rPr>
                      </w:pPr>
                      <w:r w:rsidRPr="003E6970">
                        <w:rPr>
                          <w:rFonts w:cs="Segoe UI Light"/>
                        </w:rPr>
                        <w:t>The preferred option enables EPA to establish greater certainty</w:t>
                      </w:r>
                      <w:r w:rsidRPr="00AE2A33">
                        <w:rPr>
                          <w:rFonts w:cs="Segoe UI Light"/>
                        </w:rPr>
                        <w:t xml:space="preserve"> of control for activities </w:t>
                      </w:r>
                      <w:r w:rsidRPr="00A029F6">
                        <w:t>which pose</w:t>
                      </w:r>
                      <w:r>
                        <w:t xml:space="preserve"> the most</w:t>
                      </w:r>
                      <w:r w:rsidRPr="00A029F6">
                        <w:t xml:space="preserve"> significant risks of harm to human health and the environment</w:t>
                      </w:r>
                      <w:r>
                        <w:t>.</w:t>
                      </w:r>
                    </w:p>
                  </w:txbxContent>
                </v:textbox>
                <w10:anchorlock/>
              </v:rect>
            </w:pict>
          </mc:Fallback>
        </mc:AlternateContent>
      </w:r>
    </w:p>
    <w:p w14:paraId="656B012C" w14:textId="77777777" w:rsidR="00733B27" w:rsidRDefault="00733B27" w:rsidP="00982D63">
      <w:pPr>
        <w:pStyle w:val="Heading2"/>
      </w:pPr>
      <w:r>
        <w:t>Background</w:t>
      </w:r>
    </w:p>
    <w:bookmarkEnd w:id="585"/>
    <w:p w14:paraId="656B012D" w14:textId="77777777" w:rsidR="00F72199" w:rsidRDefault="00F72199" w:rsidP="00F72199">
      <w:pPr>
        <w:mirrorIndents/>
        <w:rPr>
          <w:rFonts w:cs="Segoe UI Light"/>
        </w:rPr>
      </w:pPr>
      <w:r>
        <w:rPr>
          <w:rFonts w:cs="Segoe UI Light"/>
        </w:rPr>
        <w:t xml:space="preserve">Industrial activities are a driver of Victoria’s economic prosperity, but can </w:t>
      </w:r>
      <w:r w:rsidR="00E65104">
        <w:rPr>
          <w:rFonts w:cs="Segoe UI Light"/>
        </w:rPr>
        <w:t xml:space="preserve">pose a </w:t>
      </w:r>
      <w:r w:rsidR="005D3659">
        <w:rPr>
          <w:rFonts w:cs="Segoe UI Light"/>
        </w:rPr>
        <w:t xml:space="preserve">significant </w:t>
      </w:r>
      <w:r w:rsidR="00E65104">
        <w:rPr>
          <w:rFonts w:cs="Segoe UI Light"/>
        </w:rPr>
        <w:t xml:space="preserve">risk to </w:t>
      </w:r>
      <w:r>
        <w:rPr>
          <w:rFonts w:cs="Segoe UI Light"/>
        </w:rPr>
        <w:t xml:space="preserve">human health and the natural environment. </w:t>
      </w:r>
      <w:r w:rsidR="00E71FB4">
        <w:rPr>
          <w:rFonts w:cs="Segoe UI Light"/>
        </w:rPr>
        <w:t>A comparatively small</w:t>
      </w:r>
      <w:r w:rsidR="00E65104">
        <w:rPr>
          <w:rFonts w:cs="Segoe UI Light"/>
        </w:rPr>
        <w:t xml:space="preserve"> number of i</w:t>
      </w:r>
      <w:r>
        <w:t>ndustrial activities</w:t>
      </w:r>
      <w:r w:rsidR="009127D9">
        <w:t xml:space="preserve"> </w:t>
      </w:r>
      <w:r>
        <w:t xml:space="preserve">account for a considerable share of </w:t>
      </w:r>
      <w:r w:rsidR="00E65104">
        <w:t xml:space="preserve">Victoria’s </w:t>
      </w:r>
      <w:r>
        <w:t xml:space="preserve">atmospheric emissions, as </w:t>
      </w:r>
      <w:r w:rsidRPr="00951752">
        <w:t>well as emissions to land and water</w:t>
      </w:r>
      <w:r w:rsidR="00A410C0" w:rsidRPr="00951752">
        <w:t>. They also have potentially significant impact</w:t>
      </w:r>
      <w:r w:rsidR="00A410C0" w:rsidRPr="00850F5B">
        <w:t>s on amenity (e.g. noise and odour)</w:t>
      </w:r>
      <w:r w:rsidRPr="00850F5B">
        <w:t xml:space="preserve">. </w:t>
      </w:r>
      <w:r w:rsidR="00E71FB4" w:rsidRPr="008F7BBF">
        <w:t>A</w:t>
      </w:r>
      <w:r w:rsidRPr="008F7BBF">
        <w:t xml:space="preserve"> cer</w:t>
      </w:r>
      <w:r>
        <w:t xml:space="preserve">tain level of pollution is an inevitable by-product of many otherwise socially and economically productive and beneficial </w:t>
      </w:r>
      <w:r w:rsidR="00E71FB4">
        <w:t xml:space="preserve">industrial </w:t>
      </w:r>
      <w:r>
        <w:t>activities.</w:t>
      </w:r>
      <w:r w:rsidR="00E65104">
        <w:t xml:space="preserve"> </w:t>
      </w:r>
    </w:p>
    <w:p w14:paraId="656B012E" w14:textId="77777777" w:rsidR="008E404B" w:rsidRDefault="008E404B" w:rsidP="008E404B">
      <w:pPr>
        <w:mirrorIndents/>
      </w:pPr>
      <w:r>
        <w:rPr>
          <w:rFonts w:cs="Segoe UI Light"/>
        </w:rPr>
        <w:t xml:space="preserve">The </w:t>
      </w:r>
      <w:r w:rsidR="00AA4325">
        <w:rPr>
          <w:rFonts w:cs="Segoe UI Light"/>
        </w:rPr>
        <w:t xml:space="preserve">current </w:t>
      </w:r>
      <w:r>
        <w:rPr>
          <w:rFonts w:cs="Segoe UI Light"/>
        </w:rPr>
        <w:t>l</w:t>
      </w:r>
      <w:r>
        <w:t xml:space="preserve">icences and works approvals </w:t>
      </w:r>
      <w:r w:rsidR="00AA4325">
        <w:t>framework</w:t>
      </w:r>
      <w:r w:rsidR="00A727B1">
        <w:t xml:space="preserve"> (explained </w:t>
      </w:r>
      <w:r w:rsidR="00E71FB4">
        <w:t>below</w:t>
      </w:r>
      <w:r w:rsidR="00A727B1">
        <w:t>)</w:t>
      </w:r>
      <w:r w:rsidR="00E65104">
        <w:t xml:space="preserve"> requires operators of certain premises to obtain a</w:t>
      </w:r>
      <w:r w:rsidR="005E035A">
        <w:t>n</w:t>
      </w:r>
      <w:r w:rsidR="00E65104">
        <w:t xml:space="preserve"> EPA permission to </w:t>
      </w:r>
      <w:r w:rsidR="004966A5">
        <w:t>construct or significantly modify</w:t>
      </w:r>
      <w:r w:rsidR="00AC0BB6">
        <w:t xml:space="preserve"> </w:t>
      </w:r>
      <w:r w:rsidR="00E65104">
        <w:t xml:space="preserve">works or </w:t>
      </w:r>
      <w:r w:rsidR="00AC0BB6">
        <w:t xml:space="preserve">to </w:t>
      </w:r>
      <w:r w:rsidR="00E65104">
        <w:t>operate</w:t>
      </w:r>
      <w:r w:rsidR="00D23187">
        <w:t xml:space="preserve"> certain premises</w:t>
      </w:r>
      <w:r w:rsidR="00AC0BB6">
        <w:t>. The framework</w:t>
      </w:r>
      <w:r w:rsidR="00E65104">
        <w:t xml:space="preserve"> </w:t>
      </w:r>
      <w:r w:rsidR="00AA4325">
        <w:t xml:space="preserve">enables </w:t>
      </w:r>
      <w:r w:rsidR="001B4CE3">
        <w:t>EPA</w:t>
      </w:r>
      <w:r w:rsidR="00AA4325">
        <w:t xml:space="preserve"> to </w:t>
      </w:r>
      <w:r>
        <w:t xml:space="preserve">manage </w:t>
      </w:r>
      <w:r w:rsidR="00E65104">
        <w:t>the risks associated with those high-risk activities</w:t>
      </w:r>
      <w:r w:rsidR="00875B6B">
        <w:t xml:space="preserve"> proactively and transparently</w:t>
      </w:r>
      <w:r>
        <w:t xml:space="preserve">. </w:t>
      </w:r>
      <w:r w:rsidR="002F7C93">
        <w:t>The EPA Inquiry</w:t>
      </w:r>
      <w:r>
        <w:t xml:space="preserve"> found that “targeting this type of pollution and waste (with a high risk of harm) provides obvious benefits, warranting the increased costs associated with the stronger control that licences and works approvals offer a regulator”. </w:t>
      </w:r>
      <w:r w:rsidR="00E65104">
        <w:t xml:space="preserve">The Regulatory Impact Statement for the </w:t>
      </w:r>
      <w:r w:rsidR="00E65104" w:rsidRPr="006C62F8">
        <w:rPr>
          <w:i/>
        </w:rPr>
        <w:t>Environment Protection (Scheduled Premises) Regulations 20</w:t>
      </w:r>
      <w:r w:rsidR="00E65104">
        <w:rPr>
          <w:i/>
        </w:rPr>
        <w:t>1</w:t>
      </w:r>
      <w:r w:rsidR="00E65104" w:rsidRPr="006C62F8">
        <w:rPr>
          <w:i/>
        </w:rPr>
        <w:t>7</w:t>
      </w:r>
      <w:r w:rsidR="00F54C16">
        <w:t xml:space="preserve"> </w:t>
      </w:r>
      <w:r w:rsidR="00E71FB4" w:rsidRPr="00040A06">
        <w:t>(the Scheduled Premises Regulations)</w:t>
      </w:r>
      <w:r w:rsidR="00E71FB4">
        <w:t xml:space="preserve"> </w:t>
      </w:r>
      <w:r w:rsidR="00E65104">
        <w:t xml:space="preserve">estimated the net benefit of these regulations to be in the order of $2 billion over ten years. </w:t>
      </w:r>
      <w:r>
        <w:t xml:space="preserve">Further, the </w:t>
      </w:r>
      <w:r w:rsidR="00E71FB4">
        <w:t xml:space="preserve">EPA </w:t>
      </w:r>
      <w:r>
        <w:t>Inquiry recommended “measures to strengthen their (</w:t>
      </w:r>
      <w:r>
        <w:rPr>
          <w:rFonts w:cs="Segoe UI Light"/>
        </w:rPr>
        <w:t>l</w:t>
      </w:r>
      <w:r>
        <w:t>icences and works approvals) effectiveness” to work alongside the GED.</w:t>
      </w:r>
      <w:r w:rsidR="00E71FB4">
        <w:t xml:space="preserve"> </w:t>
      </w:r>
    </w:p>
    <w:p w14:paraId="656B012F" w14:textId="77777777" w:rsidR="00FC5946" w:rsidRPr="00D85A7F" w:rsidRDefault="00FC5946" w:rsidP="00982D63">
      <w:pPr>
        <w:pStyle w:val="Heading2"/>
      </w:pPr>
      <w:r w:rsidRPr="00243F08">
        <w:t>Current legislative and regulatory fram</w:t>
      </w:r>
      <w:r w:rsidRPr="00114C18">
        <w:t>ework</w:t>
      </w:r>
    </w:p>
    <w:p w14:paraId="656B0130" w14:textId="77777777" w:rsidR="00FC5946" w:rsidRPr="008E404B" w:rsidRDefault="00FC5946" w:rsidP="00FC5946">
      <w:r w:rsidRPr="008E404B">
        <w:t xml:space="preserve">The </w:t>
      </w:r>
      <w:r w:rsidRPr="00ED173F">
        <w:t>current framework</w:t>
      </w:r>
      <w:r w:rsidRPr="008E404B">
        <w:t xml:space="preserve"> establishes</w:t>
      </w:r>
      <w:r>
        <w:t xml:space="preserve"> works approvals and licences as the main regulatory tools for permissions.</w:t>
      </w:r>
    </w:p>
    <w:p w14:paraId="656B0131" w14:textId="77777777" w:rsidR="00FC5946" w:rsidRPr="008E404B" w:rsidRDefault="00FC5946" w:rsidP="00040A06">
      <w:pPr>
        <w:pStyle w:val="CommentText"/>
      </w:pPr>
      <w:r>
        <w:rPr>
          <w:rFonts w:cs="Segoe UI Light"/>
        </w:rPr>
        <w:t>Under the</w:t>
      </w:r>
      <w:r w:rsidRPr="000432FD">
        <w:rPr>
          <w:rFonts w:cs="Segoe UI Light"/>
        </w:rPr>
        <w:t xml:space="preserve"> </w:t>
      </w:r>
      <w:r w:rsidRPr="00040A06">
        <w:t>Scheduled Premises Regulations,</w:t>
      </w:r>
      <w:r>
        <w:t xml:space="preserve"> </w:t>
      </w:r>
      <w:r>
        <w:rPr>
          <w:rFonts w:cs="Segoe UI Light"/>
        </w:rPr>
        <w:t>licences</w:t>
      </w:r>
      <w:r w:rsidRPr="000432FD">
        <w:rPr>
          <w:rFonts w:cs="Segoe UI Light"/>
        </w:rPr>
        <w:t xml:space="preserve"> </w:t>
      </w:r>
      <w:r>
        <w:rPr>
          <w:rFonts w:cs="Segoe UI Light"/>
        </w:rPr>
        <w:t xml:space="preserve">are mandatory </w:t>
      </w:r>
      <w:r w:rsidRPr="000432FD">
        <w:rPr>
          <w:rFonts w:cs="Segoe UI Light"/>
        </w:rPr>
        <w:t xml:space="preserve">for all scheduled premises unless exempted. </w:t>
      </w:r>
      <w:r>
        <w:rPr>
          <w:rFonts w:cs="Segoe UI Light"/>
        </w:rPr>
        <w:t>The Scheduled Premises Regulations</w:t>
      </w:r>
      <w:r>
        <w:t xml:space="preserve"> define</w:t>
      </w:r>
      <w:r w:rsidR="00F72199">
        <w:t>s</w:t>
      </w:r>
      <w:r>
        <w:t xml:space="preserve"> the types of premises that are subject to these tools. EPA administers permissions for a range of activities, ranging from those requiring significant ongoing oversight (e.g. where a works approvals or licence may be required) to specific instance-based activities or transactions (e.g. </w:t>
      </w:r>
      <w:r w:rsidR="00393173">
        <w:t xml:space="preserve">outdoor event </w:t>
      </w:r>
      <w:r>
        <w:t xml:space="preserve">music noise approvals, waste transport). </w:t>
      </w:r>
      <w:r w:rsidR="00BE2836">
        <w:t xml:space="preserve">These </w:t>
      </w:r>
      <w:r w:rsidR="00393173">
        <w:t>p</w:t>
      </w:r>
      <w:r w:rsidR="00BE2836">
        <w:t xml:space="preserve">ermissions are issued under the EP Act 1970, </w:t>
      </w:r>
      <w:r w:rsidR="00393173">
        <w:t xml:space="preserve">with reference to </w:t>
      </w:r>
      <w:r w:rsidR="00BE2836">
        <w:t xml:space="preserve">the Scheduled Premises Regulations, State Environment Protection Policies and Waste Management Policies. </w:t>
      </w:r>
    </w:p>
    <w:p w14:paraId="656B0132" w14:textId="77777777" w:rsidR="00FC5946" w:rsidRDefault="00BE2836" w:rsidP="00FC5946">
      <w:pPr>
        <w:mirrorIndents/>
        <w:rPr>
          <w:rFonts w:cs="Segoe UI Light"/>
        </w:rPr>
      </w:pPr>
      <w:r w:rsidRPr="000432FD">
        <w:rPr>
          <w:rFonts w:cs="Segoe UI Light"/>
        </w:rPr>
        <w:t>A works approval is required when the occupier of scheduled premises seeks</w:t>
      </w:r>
      <w:r>
        <w:rPr>
          <w:rFonts w:cs="Segoe UI Light"/>
        </w:rPr>
        <w:t xml:space="preserve"> to develop or modify those premises and, in doing so, may </w:t>
      </w:r>
      <w:r w:rsidRPr="000432FD">
        <w:rPr>
          <w:rFonts w:cs="Segoe UI Light"/>
        </w:rPr>
        <w:t>increase or alter the emissions or the types of wastes that their premises handle</w:t>
      </w:r>
      <w:r>
        <w:rPr>
          <w:rFonts w:cs="Segoe UI Light"/>
        </w:rPr>
        <w:t>s</w:t>
      </w:r>
      <w:r w:rsidRPr="000432FD">
        <w:rPr>
          <w:rFonts w:cs="Segoe UI Light"/>
        </w:rPr>
        <w:t>.</w:t>
      </w:r>
      <w:r>
        <w:rPr>
          <w:rFonts w:cs="Segoe UI Light"/>
        </w:rPr>
        <w:t xml:space="preserve"> This tool allows </w:t>
      </w:r>
      <w:r w:rsidR="000514DD">
        <w:rPr>
          <w:rFonts w:cs="Segoe UI Light"/>
        </w:rPr>
        <w:t>EPA</w:t>
      </w:r>
      <w:r>
        <w:rPr>
          <w:rFonts w:cs="Segoe UI Light"/>
        </w:rPr>
        <w:t xml:space="preserve"> to influence the design of the new or altered operation at the design stage. </w:t>
      </w:r>
      <w:r w:rsidRPr="000432FD">
        <w:rPr>
          <w:rFonts w:cs="Segoe UI Light"/>
        </w:rPr>
        <w:t xml:space="preserve">The </w:t>
      </w:r>
      <w:r>
        <w:rPr>
          <w:rFonts w:cs="Segoe UI Light"/>
        </w:rPr>
        <w:t xml:space="preserve">Scheduled Premises </w:t>
      </w:r>
      <w:r w:rsidRPr="000432FD">
        <w:rPr>
          <w:rFonts w:cs="Segoe UI Light"/>
        </w:rPr>
        <w:t xml:space="preserve">Regulations </w:t>
      </w:r>
      <w:r>
        <w:rPr>
          <w:rFonts w:cs="Segoe UI Light"/>
        </w:rPr>
        <w:t>identify</w:t>
      </w:r>
      <w:r w:rsidRPr="000432FD">
        <w:rPr>
          <w:rFonts w:cs="Segoe UI Light"/>
        </w:rPr>
        <w:t xml:space="preserve"> which industrial or commercial activities require an EPA works approval before they are built or modified, and then licensed by </w:t>
      </w:r>
      <w:r>
        <w:rPr>
          <w:rFonts w:cs="Segoe UI Light"/>
        </w:rPr>
        <w:t>EPA</w:t>
      </w:r>
      <w:r w:rsidRPr="000432FD">
        <w:rPr>
          <w:rFonts w:cs="Segoe UI Light"/>
        </w:rPr>
        <w:t xml:space="preserve"> to operate.</w:t>
      </w:r>
      <w:r>
        <w:rPr>
          <w:rFonts w:cs="Segoe UI Light"/>
        </w:rPr>
        <w:t xml:space="preserve"> Works approvals are defined as </w:t>
      </w:r>
      <w:r w:rsidR="00DB5635">
        <w:rPr>
          <w:rFonts w:cs="Segoe UI Light"/>
        </w:rPr>
        <w:t>‘</w:t>
      </w:r>
      <w:r>
        <w:rPr>
          <w:rFonts w:cs="Segoe UI Light"/>
        </w:rPr>
        <w:t>development licences</w:t>
      </w:r>
      <w:r w:rsidR="00DB5635">
        <w:rPr>
          <w:rFonts w:cs="Segoe UI Light"/>
        </w:rPr>
        <w:t>’</w:t>
      </w:r>
      <w:r>
        <w:rPr>
          <w:rFonts w:cs="Segoe UI Light"/>
        </w:rPr>
        <w:t xml:space="preserve"> under the new EP legislation. </w:t>
      </w:r>
      <w:r w:rsidRPr="000432FD">
        <w:rPr>
          <w:rFonts w:cs="Segoe UI Light"/>
        </w:rPr>
        <w:t xml:space="preserve">Licences </w:t>
      </w:r>
      <w:r>
        <w:rPr>
          <w:rFonts w:cs="Segoe UI Light"/>
        </w:rPr>
        <w:t xml:space="preserve">(defined as ‘operating licences’ under the new EP </w:t>
      </w:r>
      <w:r w:rsidR="003636AA">
        <w:rPr>
          <w:rFonts w:cs="Segoe UI Light"/>
        </w:rPr>
        <w:t>l</w:t>
      </w:r>
      <w:r>
        <w:rPr>
          <w:rFonts w:cs="Segoe UI Light"/>
        </w:rPr>
        <w:t xml:space="preserve">egislation) </w:t>
      </w:r>
      <w:r w:rsidRPr="000432FD">
        <w:rPr>
          <w:rFonts w:cs="Segoe UI Light"/>
        </w:rPr>
        <w:t>cover the actual operation of the site, and set operating conditions, waste discharge limits and waste acceptance conditions, as appropriate</w:t>
      </w:r>
      <w:r w:rsidR="00DC7A63">
        <w:rPr>
          <w:rFonts w:cs="Segoe UI Light"/>
        </w:rPr>
        <w:t xml:space="preserve">. </w:t>
      </w:r>
    </w:p>
    <w:p w14:paraId="656B0133" w14:textId="77777777" w:rsidR="008E404B" w:rsidRDefault="008E404B" w:rsidP="008E404B">
      <w:pPr>
        <w:mirrorIndents/>
        <w:rPr>
          <w:rFonts w:cs="Segoe UI Light"/>
        </w:rPr>
      </w:pPr>
      <w:r>
        <w:rPr>
          <w:rFonts w:cs="Segoe UI Light"/>
        </w:rPr>
        <w:t xml:space="preserve">The permissions framework </w:t>
      </w:r>
      <w:r w:rsidR="00AA4325">
        <w:rPr>
          <w:rFonts w:cs="Segoe UI Light"/>
        </w:rPr>
        <w:t xml:space="preserve">in the </w:t>
      </w:r>
      <w:r w:rsidR="000D139E">
        <w:rPr>
          <w:rFonts w:cs="Segoe UI Light"/>
        </w:rPr>
        <w:t>new EP legislation</w:t>
      </w:r>
      <w:r>
        <w:rPr>
          <w:rFonts w:cs="Segoe UI Light"/>
        </w:rPr>
        <w:t xml:space="preserve"> </w:t>
      </w:r>
      <w:r w:rsidR="00AA4325">
        <w:rPr>
          <w:rFonts w:cs="Segoe UI Light"/>
        </w:rPr>
        <w:t>replaces the current framework and will</w:t>
      </w:r>
      <w:r>
        <w:rPr>
          <w:rFonts w:cs="Segoe UI Light"/>
        </w:rPr>
        <w:t xml:space="preserve"> complement the GED</w:t>
      </w:r>
      <w:r w:rsidRPr="000432FD">
        <w:rPr>
          <w:rFonts w:cs="Segoe UI Light"/>
        </w:rPr>
        <w:t xml:space="preserve"> </w:t>
      </w:r>
      <w:r w:rsidR="00BE2836">
        <w:rPr>
          <w:rFonts w:cs="Segoe UI Light"/>
        </w:rPr>
        <w:t>and waste duties</w:t>
      </w:r>
      <w:r w:rsidRPr="000432FD">
        <w:rPr>
          <w:rFonts w:cs="Segoe UI Light"/>
        </w:rPr>
        <w:t xml:space="preserve"> where there is a need for:</w:t>
      </w:r>
    </w:p>
    <w:p w14:paraId="656B0134" w14:textId="77777777" w:rsidR="00AA4325" w:rsidRPr="00AA4325" w:rsidRDefault="00AA4325" w:rsidP="004A2442">
      <w:pPr>
        <w:pStyle w:val="Bullet1"/>
        <w:numPr>
          <w:ilvl w:val="0"/>
          <w:numId w:val="26"/>
        </w:numPr>
      </w:pPr>
      <w:r w:rsidRPr="00AA4325">
        <w:t>Greater certainty of control: where the risks and consequences of harm to human health and the environment are the greatest</w:t>
      </w:r>
      <w:r w:rsidR="005D3659">
        <w:t>.</w:t>
      </w:r>
    </w:p>
    <w:p w14:paraId="656B0135" w14:textId="77777777" w:rsidR="00AA4325" w:rsidRPr="00AA4325" w:rsidRDefault="00AA4325" w:rsidP="004A2442">
      <w:pPr>
        <w:pStyle w:val="Bullet1"/>
        <w:numPr>
          <w:ilvl w:val="0"/>
          <w:numId w:val="26"/>
        </w:numPr>
      </w:pPr>
      <w:r w:rsidRPr="00AA4325">
        <w:t xml:space="preserve">Targeting non-compliance risks: in sectors that attract criminal activity or present strong </w:t>
      </w:r>
      <w:r w:rsidR="003250B9">
        <w:t>financial</w:t>
      </w:r>
      <w:r w:rsidRPr="00AA4325">
        <w:t xml:space="preserve"> drivers to not comply with the law</w:t>
      </w:r>
      <w:r w:rsidR="005D3659">
        <w:t>.</w:t>
      </w:r>
    </w:p>
    <w:p w14:paraId="656B0136" w14:textId="77777777" w:rsidR="00AA4325" w:rsidRDefault="00AA4325" w:rsidP="004A2442">
      <w:pPr>
        <w:pStyle w:val="Bullet1"/>
        <w:numPr>
          <w:ilvl w:val="0"/>
          <w:numId w:val="26"/>
        </w:numPr>
      </w:pPr>
      <w:r w:rsidRPr="00AA4325">
        <w:t xml:space="preserve">Certainty for business </w:t>
      </w:r>
      <w:r w:rsidR="005D3659">
        <w:t>regarding</w:t>
      </w:r>
      <w:r w:rsidR="005D3659" w:rsidRPr="00AA4325">
        <w:t xml:space="preserve"> </w:t>
      </w:r>
      <w:r w:rsidRPr="00AA4325">
        <w:t>compliance as well as monitoring and reporting requirements.</w:t>
      </w:r>
    </w:p>
    <w:p w14:paraId="656B0137" w14:textId="77777777" w:rsidR="00BE2836" w:rsidRDefault="00BE2836" w:rsidP="004A2442">
      <w:pPr>
        <w:pStyle w:val="Bullet1"/>
        <w:numPr>
          <w:ilvl w:val="0"/>
          <w:numId w:val="26"/>
        </w:numPr>
      </w:pPr>
      <w:r>
        <w:t xml:space="preserve">A simple, low-burden means of providing authority to receive industrial waste and for supporting efficiency </w:t>
      </w:r>
      <w:r w:rsidR="002C0BC9">
        <w:t xml:space="preserve">in the </w:t>
      </w:r>
      <w:r>
        <w:t xml:space="preserve">waste framework. </w:t>
      </w:r>
    </w:p>
    <w:p w14:paraId="656B0138" w14:textId="77777777" w:rsidR="003250B9" w:rsidRPr="003250B9" w:rsidRDefault="00F14554" w:rsidP="003250B9">
      <w:pPr>
        <w:rPr>
          <w:rFonts w:eastAsia="Arial" w:cs="Segoe UI Light"/>
        </w:rPr>
      </w:pPr>
      <w:r>
        <w:rPr>
          <w:rFonts w:eastAsia="Arial" w:cs="Segoe UI Light"/>
        </w:rPr>
        <w:t xml:space="preserve">An example of an </w:t>
      </w:r>
      <w:r w:rsidR="00E71FB4" w:rsidRPr="003250B9">
        <w:rPr>
          <w:rFonts w:eastAsia="Arial" w:cs="Segoe UI Light"/>
        </w:rPr>
        <w:t>activit</w:t>
      </w:r>
      <w:r w:rsidR="00E71FB4">
        <w:rPr>
          <w:rFonts w:eastAsia="Arial" w:cs="Segoe UI Light"/>
        </w:rPr>
        <w:t>y</w:t>
      </w:r>
      <w:r w:rsidR="00E71FB4" w:rsidRPr="003250B9">
        <w:rPr>
          <w:rFonts w:eastAsia="Arial" w:cs="Segoe UI Light"/>
        </w:rPr>
        <w:t xml:space="preserve"> </w:t>
      </w:r>
      <w:r w:rsidR="003250B9" w:rsidRPr="003250B9">
        <w:rPr>
          <w:rFonts w:eastAsia="Arial" w:cs="Segoe UI Light"/>
        </w:rPr>
        <w:t xml:space="preserve">that </w:t>
      </w:r>
      <w:r>
        <w:rPr>
          <w:rFonts w:eastAsia="Arial" w:cs="Segoe UI Light"/>
        </w:rPr>
        <w:t xml:space="preserve">is </w:t>
      </w:r>
      <w:r w:rsidR="003250B9" w:rsidRPr="003250B9">
        <w:rPr>
          <w:rFonts w:eastAsia="Arial" w:cs="Segoe UI Light"/>
        </w:rPr>
        <w:t xml:space="preserve">high risk and </w:t>
      </w:r>
      <w:r>
        <w:rPr>
          <w:rFonts w:eastAsia="Arial" w:cs="Segoe UI Light"/>
        </w:rPr>
        <w:t xml:space="preserve">has </w:t>
      </w:r>
      <w:r w:rsidR="003250B9" w:rsidRPr="003250B9">
        <w:rPr>
          <w:rFonts w:eastAsia="Arial" w:cs="Segoe UI Light"/>
        </w:rPr>
        <w:t xml:space="preserve">potentially high rates of non-compliance </w:t>
      </w:r>
      <w:r>
        <w:rPr>
          <w:rFonts w:eastAsia="Arial" w:cs="Segoe UI Light"/>
        </w:rPr>
        <w:t xml:space="preserve">is set out in the box below. </w:t>
      </w:r>
    </w:p>
    <w:p w14:paraId="656B0139" w14:textId="77777777" w:rsidR="00243F08" w:rsidRDefault="00243F08" w:rsidP="00213CCE">
      <w:pPr>
        <w:pStyle w:val="Caption"/>
      </w:pPr>
      <w:r>
        <w:t xml:space="preserve">Box </w:t>
      </w:r>
      <w:r w:rsidR="00C63810">
        <w:rPr>
          <w:color w:val="2B579A"/>
          <w:shd w:val="clear" w:color="auto" w:fill="E6E6E6"/>
        </w:rPr>
        <w:fldChar w:fldCharType="begin"/>
      </w:r>
      <w:r w:rsidR="00C63810">
        <w:instrText xml:space="preserve"> STYLEREF 1 \s </w:instrText>
      </w:r>
      <w:r w:rsidR="00C63810">
        <w:rPr>
          <w:color w:val="2B579A"/>
          <w:shd w:val="clear" w:color="auto" w:fill="E6E6E6"/>
        </w:rPr>
        <w:fldChar w:fldCharType="separate"/>
      </w:r>
      <w:r w:rsidR="00B11C1E">
        <w:rPr>
          <w:noProof/>
        </w:rPr>
        <w:t>6</w:t>
      </w:r>
      <w:r w:rsidR="00C63810">
        <w:rPr>
          <w:color w:val="2B579A"/>
          <w:shd w:val="clear" w:color="auto" w:fill="E6E6E6"/>
        </w:rPr>
        <w:fldChar w:fldCharType="end"/>
      </w:r>
      <w:r w:rsidR="00C63810">
        <w:t>.</w:t>
      </w:r>
      <w:r w:rsidR="00C63810">
        <w:rPr>
          <w:color w:val="2B579A"/>
          <w:shd w:val="clear" w:color="auto" w:fill="E6E6E6"/>
        </w:rPr>
        <w:fldChar w:fldCharType="begin"/>
      </w:r>
      <w:r w:rsidR="00C63810">
        <w:instrText xml:space="preserve"> SEQ Box \* ARABIC \s 1 </w:instrText>
      </w:r>
      <w:r w:rsidR="00C63810">
        <w:rPr>
          <w:color w:val="2B579A"/>
          <w:shd w:val="clear" w:color="auto" w:fill="E6E6E6"/>
        </w:rPr>
        <w:fldChar w:fldCharType="separate"/>
      </w:r>
      <w:r w:rsidR="00B11C1E">
        <w:rPr>
          <w:noProof/>
        </w:rPr>
        <w:t>1</w:t>
      </w:r>
      <w:r w:rsidR="00C63810">
        <w:rPr>
          <w:color w:val="2B579A"/>
          <w:shd w:val="clear" w:color="auto" w:fill="E6E6E6"/>
        </w:rPr>
        <w:fldChar w:fldCharType="end"/>
      </w:r>
      <w:r w:rsidR="00335250">
        <w:t xml:space="preserve"> Stockpiling of waste</w:t>
      </w:r>
    </w:p>
    <w:p w14:paraId="656B013A" w14:textId="77777777" w:rsidR="004542EC" w:rsidRPr="009D1A56" w:rsidRDefault="004542EC" w:rsidP="00AF3C30">
      <w:r w:rsidRPr="00B70E30">
        <w:rPr>
          <w:rFonts w:cs="Segoe UI Light"/>
          <w:noProof/>
          <w:color w:val="2B579A"/>
          <w:shd w:val="clear" w:color="auto" w:fill="E6E6E6"/>
          <w:lang w:eastAsia="en-AU"/>
        </w:rPr>
        <mc:AlternateContent>
          <mc:Choice Requires="wps">
            <w:drawing>
              <wp:inline distT="0" distB="0" distL="0" distR="0" wp14:anchorId="656B1EA0" wp14:editId="656B1EA1">
                <wp:extent cx="6477000" cy="3337560"/>
                <wp:effectExtent l="0" t="0" r="19050" b="15240"/>
                <wp:docPr id="5" name="Rectangle 5"/>
                <wp:cNvGraphicFramePr/>
                <a:graphic xmlns:a="http://schemas.openxmlformats.org/drawingml/2006/main">
                  <a:graphicData uri="http://schemas.microsoft.com/office/word/2010/wordprocessingShape">
                    <wps:wsp>
                      <wps:cNvSpPr/>
                      <wps:spPr bwMode="gray">
                        <a:xfrm>
                          <a:off x="0" y="0"/>
                          <a:ext cx="6477000" cy="3337560"/>
                        </a:xfrm>
                        <a:prstGeom prst="rect">
                          <a:avLst/>
                        </a:prstGeom>
                        <a:solidFill>
                          <a:schemeClr val="bg2"/>
                        </a:solidFill>
                        <a:ln w="19050" algn="ctr">
                          <a:solidFill>
                            <a:srgbClr val="62B5E5"/>
                          </a:solidFill>
                          <a:miter lim="800000"/>
                          <a:headEnd/>
                          <a:tailEnd/>
                        </a:ln>
                      </wps:spPr>
                      <wps:txbx>
                        <w:txbxContent>
                          <w:p w14:paraId="656B21D7" w14:textId="77777777" w:rsidR="00E752DE" w:rsidRPr="00A029F6" w:rsidRDefault="00E752DE" w:rsidP="004542EC">
                            <w:pPr>
                              <w:ind w:right="262"/>
                              <w:rPr>
                                <w:rFonts w:cs="Segoe UI Light"/>
                                <w:b/>
                                <w:color w:val="FF0000"/>
                              </w:rPr>
                            </w:pPr>
                            <w:r>
                              <w:rPr>
                                <w:rFonts w:cs="Segoe UI Light"/>
                                <w:b/>
                                <w:color w:val="012169" w:themeColor="accent4"/>
                              </w:rPr>
                              <w:t>Stockpiling of waste</w:t>
                            </w:r>
                          </w:p>
                          <w:p w14:paraId="656B21D8" w14:textId="77777777" w:rsidR="00E752DE" w:rsidRDefault="00E752DE" w:rsidP="00AF3C30">
                            <w:pPr>
                              <w:pStyle w:val="0Box"/>
                              <w:ind w:left="0"/>
                            </w:pPr>
                            <w:r>
                              <w:t xml:space="preserve">Inappropriate stockpiling and mismanagement of materials at waste and resource recovery facilities creates a risk of catastrophic fires and the pollution of the air, soil and waterways. Large fires at these facilities create high levels of hazardous air pollutants, including particulate matter, while the burning of materials and firefighting efforts can result in firefighting foams and a range of chemical contaminants entering local waterways. The frequency of fires at resource recovery facilities has increased over the past decade, and the industry is currently the subject of a Victorian Parliamentary Inquiry (Legislative Council Planning and Environment Committee Inquiry into Recycling and Waste Management. </w:t>
                            </w:r>
                          </w:p>
                          <w:p w14:paraId="656B21D9" w14:textId="77777777" w:rsidR="00E752DE" w:rsidRDefault="00E752DE" w:rsidP="00AF3C30">
                            <w:r>
                              <w:t xml:space="preserve">One such example of this occurring was a fire at a resource recovery facility </w:t>
                            </w:r>
                            <w:r w:rsidRPr="00181261">
                              <w:t>(</w:t>
                            </w:r>
                            <w:r w:rsidRPr="00517C1B">
                              <w:t>SKM</w:t>
                            </w:r>
                            <w:r>
                              <w:t xml:space="preserve"> Coolaroo) which took approximately three weeks to extinguish. During the fire, nearby residents were evacuated from their homes, four people were hospitalised and 12 required medical attention. Businesses within the vicinity closed, and local residents were asked to remain indoors or attend a relief centre for respite. Water used to bring the fire under control entered local waterways, causing fish deaths at a nearby lake due to extremely low levels of dissolved oxygen. High levels of E. coli were observed in local waterways, likely due to contamination of municipal recyclables with organic material. </w:t>
                            </w:r>
                          </w:p>
                          <w:p w14:paraId="656B21DA" w14:textId="77777777" w:rsidR="00E752DE" w:rsidRPr="00A029F6" w:rsidRDefault="00E752DE" w:rsidP="00AF3C30">
                            <w:r>
                              <w:t xml:space="preserve">In its 2018 Policy Impact Assessment for </w:t>
                            </w:r>
                            <w:r>
                              <w:rPr>
                                <w:i/>
                              </w:rPr>
                              <w:t xml:space="preserve">Management and Storage of combustible recyclable and waste material, </w:t>
                            </w:r>
                            <w:r>
                              <w:t xml:space="preserve">DELWP estimated that each high-risk fire of combustible recyclable and waste material cost business and society $6 million, while each extreme risk fire cost between $34 million and $100 million. </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56B1EA0" id="Rectangle 5" o:spid="_x0000_s1069" style="width:510pt;height:262.8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" fillcolor="#e7e6e6 [3214]" strokecolor="#62b5e5" strokeweight="1.5pt">
                <v:textbox inset="7pt,7pt,7pt,7pt">
                  <w:txbxContent>
                    <w:p w14:paraId="656B21D7" w14:textId="77777777" w:rsidR="00E752DE" w:rsidRPr="00A029F6" w:rsidRDefault="00E752DE" w:rsidP="004542EC">
                      <w:pPr>
                        <w:ind w:right="262"/>
                        <w:rPr>
                          <w:rFonts w:cs="Segoe UI Light"/>
                          <w:b/>
                          <w:color w:val="FF0000"/>
                        </w:rPr>
                      </w:pPr>
                      <w:r>
                        <w:rPr>
                          <w:rFonts w:cs="Segoe UI Light"/>
                          <w:b/>
                          <w:color w:val="012169" w:themeColor="accent4"/>
                        </w:rPr>
                        <w:t>Stockpiling of waste</w:t>
                      </w:r>
                    </w:p>
                    <w:p w14:paraId="656B21D8" w14:textId="77777777" w:rsidR="00E752DE" w:rsidRDefault="00E752DE" w:rsidP="00AF3C30">
                      <w:pPr>
                        <w:pStyle w:val="0Box"/>
                        <w:ind w:left="0"/>
                      </w:pPr>
                      <w:r>
                        <w:t xml:space="preserve">Inappropriate stockpiling and mismanagement of materials at waste and resource recovery facilities creates a risk of catastrophic fires and the pollution of the air, soil and waterways. Large fires at these facilities create high levels of hazardous air pollutants, including particulate matter, while the burning of materials and firefighting efforts can result in firefighting foams and a range of chemical contaminants entering local waterways. The frequency of fires at resource recovery facilities has increased over the past decade, and the industry is currently the subject of a Victorian Parliamentary Inquiry (Legislative Council Planning and Environment Committee Inquiry into Recycling and Waste Management. </w:t>
                      </w:r>
                    </w:p>
                    <w:p w14:paraId="656B21D9" w14:textId="77777777" w:rsidR="00E752DE" w:rsidRDefault="00E752DE" w:rsidP="00AF3C30">
                      <w:r>
                        <w:t xml:space="preserve">One such example of this occurring was a fire at a resource recovery facility </w:t>
                      </w:r>
                      <w:r w:rsidRPr="00181261">
                        <w:t>(</w:t>
                      </w:r>
                      <w:r w:rsidRPr="00517C1B">
                        <w:t>SKM</w:t>
                      </w:r>
                      <w:r>
                        <w:t xml:space="preserve"> Coolaroo) which took approximately three weeks to extinguish. During the fire, nearby residents were evacuated from their homes, four people were hospitalised and 12 required medical attention. Businesses within the vicinity closed, and local residents were asked to remain indoors or attend a relief centre for respite. Water used to bring the fire under control entered local waterways, causing fish deaths at a nearby lake due to extremely low levels of dissolved oxygen. High levels of E. coli were observed in local waterways, likely due to contamination of municipal recyclables with organic material. </w:t>
                      </w:r>
                    </w:p>
                    <w:p w14:paraId="656B21DA" w14:textId="77777777" w:rsidR="00E752DE" w:rsidRPr="00A029F6" w:rsidRDefault="00E752DE" w:rsidP="00AF3C30">
                      <w:r>
                        <w:t xml:space="preserve">In its 2018 Policy Impact Assessment for </w:t>
                      </w:r>
                      <w:r>
                        <w:rPr>
                          <w:i/>
                        </w:rPr>
                        <w:t xml:space="preserve">Management and Storage of combustible recyclable and waste material, </w:t>
                      </w:r>
                      <w:r>
                        <w:t xml:space="preserve">DELWP estimated that each high-risk fire of combustible recyclable and waste material cost business and society $6 million, while each extreme risk fire cost between $34 million and $100 million. </w:t>
                      </w:r>
                    </w:p>
                  </w:txbxContent>
                </v:textbox>
                <w10:anchorlock/>
              </v:rect>
            </w:pict>
          </mc:Fallback>
        </mc:AlternateContent>
      </w:r>
    </w:p>
    <w:p w14:paraId="656B013B" w14:textId="77777777" w:rsidR="00D3631E" w:rsidRDefault="00D3631E" w:rsidP="00ED173F"/>
    <w:p w14:paraId="656B013C" w14:textId="77777777" w:rsidR="008E404B" w:rsidRDefault="004C6915" w:rsidP="00982D63">
      <w:pPr>
        <w:pStyle w:val="Heading2"/>
      </w:pPr>
      <w:bookmarkStart w:id="587" w:name="_Toc536054961"/>
      <w:r>
        <w:t xml:space="preserve">New EP </w:t>
      </w:r>
      <w:r w:rsidRPr="00CB538C">
        <w:t>legislation</w:t>
      </w:r>
    </w:p>
    <w:p w14:paraId="656B013D" w14:textId="77777777" w:rsidR="00AA4325" w:rsidRDefault="00AA4325" w:rsidP="00AA4325">
      <w:r>
        <w:t xml:space="preserve">Under the </w:t>
      </w:r>
      <w:r w:rsidR="000D139E">
        <w:t>new EP legislation</w:t>
      </w:r>
      <w:r>
        <w:t>, there will be a thr</w:t>
      </w:r>
      <w:r w:rsidR="00F14554">
        <w:t>ee-tiered permissions framework</w:t>
      </w:r>
      <w:r>
        <w:t xml:space="preserve"> </w:t>
      </w:r>
      <w:r w:rsidR="00A727B1">
        <w:t xml:space="preserve">that allows </w:t>
      </w:r>
      <w:r w:rsidR="00603903">
        <w:t xml:space="preserve">more </w:t>
      </w:r>
      <w:r>
        <w:t>proportionate controls to be applied, based on the nature of the risks. The</w:t>
      </w:r>
      <w:r w:rsidR="009127D9">
        <w:t xml:space="preserve"> three</w:t>
      </w:r>
      <w:r>
        <w:t xml:space="preserve"> tiers are: </w:t>
      </w:r>
    </w:p>
    <w:p w14:paraId="656B013E" w14:textId="77777777" w:rsidR="00AA4325" w:rsidRDefault="00AA4325" w:rsidP="004A2442">
      <w:pPr>
        <w:pStyle w:val="Bullet1"/>
        <w:numPr>
          <w:ilvl w:val="0"/>
          <w:numId w:val="26"/>
        </w:numPr>
      </w:pPr>
      <w:r w:rsidRPr="00AA4325">
        <w:rPr>
          <w:b/>
        </w:rPr>
        <w:t>Registrations</w:t>
      </w:r>
      <w:r>
        <w:t xml:space="preserve">: these are a simple, generic mechanism and will be automatically granted </w:t>
      </w:r>
      <w:r w:rsidR="00603903">
        <w:t>upon application</w:t>
      </w:r>
      <w:r w:rsidR="006B0D6B">
        <w:t xml:space="preserve"> (</w:t>
      </w:r>
      <w:r w:rsidR="008318DE">
        <w:t>al</w:t>
      </w:r>
      <w:r w:rsidR="006B0D6B">
        <w:t>though they can be revoked),</w:t>
      </w:r>
      <w:r w:rsidR="00603903">
        <w:t xml:space="preserve"> </w:t>
      </w:r>
      <w:r>
        <w:t xml:space="preserve">and may include standard conditions for the relevant activity. They are suited to </w:t>
      </w:r>
      <w:r w:rsidR="006B0D6B">
        <w:t xml:space="preserve">activities </w:t>
      </w:r>
      <w:r>
        <w:t xml:space="preserve">that pose moderate-to-low risks and where applying standard controls across a sector may help raise the standard of compliance and minimise risks to human health and the environment. </w:t>
      </w:r>
      <w:r w:rsidR="00BF7521">
        <w:rPr>
          <w:lang w:eastAsia="ja-JP"/>
        </w:rPr>
        <w:t xml:space="preserve">Registrations may also be used as a simple, efficient and clear means of providing authorisation to receive industrial waste </w:t>
      </w:r>
      <w:r w:rsidR="00C9230D">
        <w:rPr>
          <w:lang w:eastAsia="ja-JP"/>
        </w:rPr>
        <w:t xml:space="preserve">as required by the new legislation </w:t>
      </w:r>
      <w:r w:rsidR="00BF7521">
        <w:rPr>
          <w:lang w:eastAsia="ja-JP"/>
        </w:rPr>
        <w:t>and enabling other duty holders in the chain of waste custody (i.e. producers and transporters) to easily discharge their duty to take waste to a place which is authorised to receive it.</w:t>
      </w:r>
    </w:p>
    <w:p w14:paraId="656B013F" w14:textId="77777777" w:rsidR="00AA4325" w:rsidRDefault="00AA4325" w:rsidP="004A2442">
      <w:pPr>
        <w:pStyle w:val="Bullet1"/>
        <w:numPr>
          <w:ilvl w:val="0"/>
          <w:numId w:val="26"/>
        </w:numPr>
      </w:pPr>
      <w:r w:rsidRPr="00AA4325">
        <w:rPr>
          <w:b/>
        </w:rPr>
        <w:t>Permits</w:t>
      </w:r>
      <w:r>
        <w:t>: these will have largely standardised assessment processes and are suited to medium-high risk activities with low complexity.</w:t>
      </w:r>
      <w:r w:rsidR="00603903">
        <w:t xml:space="preserve"> Permits will need to be applied for and will be assessed on a case</w:t>
      </w:r>
      <w:r w:rsidR="002C0BC9">
        <w:t>-</w:t>
      </w:r>
      <w:r w:rsidR="00603903">
        <w:t>by</w:t>
      </w:r>
      <w:r w:rsidR="002C0BC9">
        <w:t>-</w:t>
      </w:r>
      <w:r w:rsidR="00603903">
        <w:t>case basis.</w:t>
      </w:r>
    </w:p>
    <w:p w14:paraId="656B0140" w14:textId="77777777" w:rsidR="00AA4325" w:rsidRPr="00AA4325" w:rsidRDefault="00AA4325" w:rsidP="004A2442">
      <w:pPr>
        <w:pStyle w:val="Bullet1"/>
        <w:numPr>
          <w:ilvl w:val="0"/>
          <w:numId w:val="26"/>
        </w:numPr>
      </w:pPr>
      <w:r w:rsidRPr="00AA4325">
        <w:rPr>
          <w:b/>
        </w:rPr>
        <w:t>Licences</w:t>
      </w:r>
      <w:r>
        <w:t>: these will apply customised conditions to manage complex activities that need the highest level of regulatory control due to their significant risk of harm to human health and the environment or a high potential for mismanagement. This tier will include development licences (previously referred to as ‘</w:t>
      </w:r>
      <w:r w:rsidRPr="00ED173F">
        <w:t>works approvals’</w:t>
      </w:r>
      <w:r>
        <w:t xml:space="preserve">), operating licences (previously referred to as licences) and pilot project licences (previously referred to as </w:t>
      </w:r>
      <w:r w:rsidRPr="00ED173F">
        <w:t>research, development and demonstration approvals</w:t>
      </w:r>
      <w:r>
        <w:t xml:space="preserve">). </w:t>
      </w:r>
      <w:r w:rsidRPr="00AA4325">
        <w:t>Licences will be subject to regular reviews (around every five years) and will no longer be granted indefinitely.</w:t>
      </w:r>
    </w:p>
    <w:p w14:paraId="656B0141" w14:textId="77777777" w:rsidR="00F22617" w:rsidRDefault="00F22617" w:rsidP="00AF3C30">
      <w:pPr>
        <w:pStyle w:val="Bullet1"/>
        <w:ind w:left="0" w:firstLine="0"/>
      </w:pPr>
    </w:p>
    <w:p w14:paraId="656B0142" w14:textId="77777777" w:rsidR="00F22617" w:rsidRPr="003E6970" w:rsidRDefault="00F22617" w:rsidP="00AF3C30">
      <w:pPr>
        <w:pStyle w:val="Bullet1"/>
        <w:ind w:left="0" w:firstLine="0"/>
      </w:pPr>
      <w:r>
        <w:t xml:space="preserve">The new EP legislation permits </w:t>
      </w:r>
      <w:r w:rsidR="00413467">
        <w:t>the EPA</w:t>
      </w:r>
      <w:r>
        <w:t xml:space="preserve"> to determine that provision of a financial assurance be a condition of a prescribed permission. Financial assurances can also be </w:t>
      </w:r>
      <w:r w:rsidR="003B3CCB">
        <w:t>a</w:t>
      </w:r>
      <w:r>
        <w:t xml:space="preserve"> condition of </w:t>
      </w:r>
      <w:r w:rsidR="003B3CCB">
        <w:t xml:space="preserve">site management orders, environmental action notices or other orders </w:t>
      </w:r>
      <w:r w:rsidR="003B3CCB" w:rsidRPr="00B05634">
        <w:t>relating to environmentally haza</w:t>
      </w:r>
      <w:r w:rsidR="003B3CCB" w:rsidRPr="003E6970">
        <w:t>rdous substances.</w:t>
      </w:r>
    </w:p>
    <w:bookmarkEnd w:id="587"/>
    <w:p w14:paraId="656B0143" w14:textId="77777777" w:rsidR="00BB2FCA" w:rsidRPr="003E6970" w:rsidRDefault="00866731" w:rsidP="00982D63">
      <w:pPr>
        <w:pStyle w:val="Heading2"/>
      </w:pPr>
      <w:r w:rsidRPr="003E6970">
        <w:t>Nature and extent of problem</w:t>
      </w:r>
    </w:p>
    <w:p w14:paraId="656B0144" w14:textId="77777777" w:rsidR="00A802C5" w:rsidRPr="00B05634" w:rsidRDefault="00A802C5" w:rsidP="00A802C5">
      <w:pPr>
        <w:jc w:val="both"/>
      </w:pPr>
      <w:r w:rsidRPr="00AF3C30">
        <w:t xml:space="preserve">The absence of a permissions framework would mean a critical part of the new EP legislation does not come into effect. This would result in a substantial residual risk existing across a range of waste and polluting activities. While the GED will require all duty holders to minimise harm to the environment from waste generation activities and to avoid or minimise pollution, so far as reasonably practicable, the residual risks after discharge of the GED would be too high in the absence of a permissions framework due to the highly hazardous nature of some substances being used or emitted and the potential for non-compliant behaviour in some sectors. </w:t>
      </w:r>
    </w:p>
    <w:p w14:paraId="656B0145" w14:textId="77777777" w:rsidR="008E404B" w:rsidRPr="003E6970" w:rsidRDefault="00AA4325" w:rsidP="00ED173F">
      <w:pPr>
        <w:mirrorIndents/>
        <w:rPr>
          <w:rFonts w:cs="Segoe UI Light"/>
        </w:rPr>
      </w:pPr>
      <w:r w:rsidRPr="00B05634">
        <w:t>While the</w:t>
      </w:r>
      <w:r w:rsidR="008E404B" w:rsidRPr="003E6970">
        <w:t xml:space="preserve"> </w:t>
      </w:r>
      <w:r w:rsidR="000D139E" w:rsidRPr="003E6970">
        <w:t>new EP legislation</w:t>
      </w:r>
      <w:r w:rsidR="008E404B" w:rsidRPr="003E6970">
        <w:t xml:space="preserve"> introduces a three-tiered system for permissions, </w:t>
      </w:r>
      <w:r w:rsidRPr="003E6970">
        <w:t xml:space="preserve">there </w:t>
      </w:r>
      <w:r w:rsidR="008E404B" w:rsidRPr="003E6970">
        <w:t xml:space="preserve">is no specificity about what </w:t>
      </w:r>
      <w:r w:rsidR="009127D9" w:rsidRPr="003E6970">
        <w:t xml:space="preserve">activities </w:t>
      </w:r>
      <w:r w:rsidR="008E404B" w:rsidRPr="003E6970">
        <w:t xml:space="preserve">would or would not require a permission. </w:t>
      </w:r>
      <w:r w:rsidR="00603903" w:rsidRPr="003E6970">
        <w:rPr>
          <w:rFonts w:cs="Segoe UI Light"/>
        </w:rPr>
        <w:t>For example, the</w:t>
      </w:r>
      <w:r w:rsidR="00117601" w:rsidRPr="003E6970">
        <w:rPr>
          <w:rFonts w:cs="Segoe UI Light"/>
        </w:rPr>
        <w:t xml:space="preserve"> </w:t>
      </w:r>
      <w:r w:rsidR="004C6915" w:rsidRPr="003E6970">
        <w:rPr>
          <w:rFonts w:cs="Segoe UI Light"/>
        </w:rPr>
        <w:t>new EP legislation</w:t>
      </w:r>
      <w:r w:rsidR="00E879B0" w:rsidRPr="003E6970">
        <w:rPr>
          <w:rFonts w:cs="Segoe UI Light"/>
        </w:rPr>
        <w:t xml:space="preserve"> </w:t>
      </w:r>
      <w:r w:rsidR="00117601" w:rsidRPr="003E6970">
        <w:rPr>
          <w:rFonts w:cs="Segoe UI Light"/>
        </w:rPr>
        <w:t xml:space="preserve">does not prescribe what </w:t>
      </w:r>
      <w:r w:rsidR="00402576" w:rsidRPr="003E6970">
        <w:rPr>
          <w:rFonts w:cs="Segoe UI Light"/>
        </w:rPr>
        <w:t xml:space="preserve">constitutes </w:t>
      </w:r>
      <w:r w:rsidR="00117601" w:rsidRPr="003E6970">
        <w:rPr>
          <w:rFonts w:cs="Segoe UI Light"/>
        </w:rPr>
        <w:t xml:space="preserve">a </w:t>
      </w:r>
      <w:r w:rsidR="00117601" w:rsidRPr="003E6970">
        <w:rPr>
          <w:rFonts w:cs="Segoe UI Light"/>
          <w:i/>
        </w:rPr>
        <w:t>development</w:t>
      </w:r>
      <w:r w:rsidR="008E404B" w:rsidRPr="003E6970">
        <w:rPr>
          <w:rFonts w:cs="Segoe UI Light"/>
          <w:i/>
        </w:rPr>
        <w:t xml:space="preserve"> </w:t>
      </w:r>
      <w:r w:rsidR="00117601" w:rsidRPr="003E6970">
        <w:rPr>
          <w:rFonts w:cs="Segoe UI Light"/>
          <w:i/>
        </w:rPr>
        <w:t>activity</w:t>
      </w:r>
      <w:r w:rsidR="00117601" w:rsidRPr="003E6970">
        <w:rPr>
          <w:rFonts w:cs="Segoe UI Light"/>
        </w:rPr>
        <w:t xml:space="preserve">, </w:t>
      </w:r>
      <w:r w:rsidR="00117601" w:rsidRPr="003E6970">
        <w:rPr>
          <w:rFonts w:cs="Segoe UI Light"/>
          <w:i/>
        </w:rPr>
        <w:t>operating activity</w:t>
      </w:r>
      <w:r w:rsidR="00312458" w:rsidRPr="003E6970">
        <w:rPr>
          <w:rFonts w:cs="Segoe UI Light"/>
        </w:rPr>
        <w:t xml:space="preserve">, </w:t>
      </w:r>
      <w:r w:rsidR="00312458" w:rsidRPr="003E6970">
        <w:rPr>
          <w:rFonts w:cs="Segoe UI Light"/>
          <w:i/>
        </w:rPr>
        <w:t>pilot project</w:t>
      </w:r>
      <w:r w:rsidR="00117601" w:rsidRPr="003E6970">
        <w:rPr>
          <w:rFonts w:cs="Segoe UI Light"/>
        </w:rPr>
        <w:t xml:space="preserve">, </w:t>
      </w:r>
      <w:r w:rsidR="00117601" w:rsidRPr="003E6970">
        <w:rPr>
          <w:rFonts w:cs="Segoe UI Light"/>
          <w:i/>
        </w:rPr>
        <w:t>permit activity</w:t>
      </w:r>
      <w:r w:rsidR="00117601" w:rsidRPr="003E6970">
        <w:rPr>
          <w:rFonts w:cs="Segoe UI Light"/>
        </w:rPr>
        <w:t xml:space="preserve"> or </w:t>
      </w:r>
      <w:r w:rsidR="00117601" w:rsidRPr="003E6970">
        <w:rPr>
          <w:rFonts w:cs="Segoe UI Light"/>
          <w:i/>
        </w:rPr>
        <w:t>registration activity</w:t>
      </w:r>
      <w:r w:rsidR="00117601" w:rsidRPr="003E6970">
        <w:rPr>
          <w:rFonts w:cs="Segoe UI Light"/>
        </w:rPr>
        <w:t xml:space="preserve">. </w:t>
      </w:r>
    </w:p>
    <w:p w14:paraId="656B0146" w14:textId="77777777" w:rsidR="007A3D87" w:rsidRDefault="00117601" w:rsidP="00ED173F">
      <w:pPr>
        <w:mirrorIndents/>
        <w:rPr>
          <w:rFonts w:cs="Segoe UI Light"/>
        </w:rPr>
      </w:pPr>
      <w:r w:rsidRPr="003E6970">
        <w:rPr>
          <w:rFonts w:cs="Segoe UI Light"/>
        </w:rPr>
        <w:t>This means that, in the absence of regulations, no activities are prescribed activities</w:t>
      </w:r>
      <w:r w:rsidRPr="00117601">
        <w:rPr>
          <w:rFonts w:cs="Segoe UI Light"/>
        </w:rPr>
        <w:t xml:space="preserve"> for the purpose of the permissions framework</w:t>
      </w:r>
      <w:r w:rsidR="009127D9">
        <w:rPr>
          <w:rFonts w:cs="Segoe UI Light"/>
        </w:rPr>
        <w:t xml:space="preserve">, meaning that </w:t>
      </w:r>
      <w:r w:rsidRPr="00117601">
        <w:rPr>
          <w:rFonts w:cs="Segoe UI Light"/>
        </w:rPr>
        <w:t xml:space="preserve">the requirement to be authorised before engaging in </w:t>
      </w:r>
      <w:r w:rsidR="002C0BC9">
        <w:rPr>
          <w:rFonts w:cs="Segoe UI Light"/>
        </w:rPr>
        <w:t xml:space="preserve">these </w:t>
      </w:r>
      <w:r w:rsidRPr="00117601">
        <w:rPr>
          <w:rFonts w:cs="Segoe UI Light"/>
        </w:rPr>
        <w:t xml:space="preserve">activities cannot </w:t>
      </w:r>
      <w:r w:rsidR="00B52272">
        <w:rPr>
          <w:rFonts w:cs="Segoe UI Light"/>
        </w:rPr>
        <w:t>function</w:t>
      </w:r>
      <w:r w:rsidRPr="00117601">
        <w:rPr>
          <w:rFonts w:cs="Segoe UI Light"/>
        </w:rPr>
        <w:t>.</w:t>
      </w:r>
      <w:r>
        <w:rPr>
          <w:rFonts w:cs="Segoe UI Light"/>
        </w:rPr>
        <w:t xml:space="preserve"> </w:t>
      </w:r>
      <w:r w:rsidRPr="00117601">
        <w:rPr>
          <w:rFonts w:cs="Segoe UI Light"/>
        </w:rPr>
        <w:t>Prescription of activities will give effect to the permissions framework and determine the number and type of activities to be regulated beyond the duties</w:t>
      </w:r>
      <w:r w:rsidR="000730C7">
        <w:rPr>
          <w:rFonts w:cs="Segoe UI Light"/>
        </w:rPr>
        <w:t>’</w:t>
      </w:r>
      <w:r w:rsidRPr="00117601">
        <w:rPr>
          <w:rFonts w:cs="Segoe UI Light"/>
        </w:rPr>
        <w:t xml:space="preserve"> requirements.</w:t>
      </w:r>
    </w:p>
    <w:p w14:paraId="656B0147" w14:textId="77777777" w:rsidR="002D3C05" w:rsidRPr="00AA4325" w:rsidRDefault="00130908" w:rsidP="002D3C05">
      <w:r>
        <w:rPr>
          <w:rFonts w:cs="Segoe UI Light"/>
        </w:rPr>
        <w:t>With no permissions framework</w:t>
      </w:r>
      <w:r w:rsidRPr="00130908">
        <w:rPr>
          <w:rFonts w:cs="Segoe UI Light"/>
        </w:rPr>
        <w:t>,</w:t>
      </w:r>
      <w:r w:rsidR="00AD72CB">
        <w:rPr>
          <w:rFonts w:cs="Segoe UI Light"/>
        </w:rPr>
        <w:t xml:space="preserve"> no</w:t>
      </w:r>
      <w:r w:rsidRPr="00130908">
        <w:rPr>
          <w:rFonts w:cs="Segoe UI Light"/>
        </w:rPr>
        <w:t xml:space="preserve"> </w:t>
      </w:r>
      <w:r>
        <w:rPr>
          <w:rFonts w:cs="Segoe UI Light"/>
        </w:rPr>
        <w:t xml:space="preserve">activities </w:t>
      </w:r>
      <w:r w:rsidR="00AD72CB">
        <w:rPr>
          <w:rFonts w:cs="Segoe UI Light"/>
        </w:rPr>
        <w:t xml:space="preserve">would </w:t>
      </w:r>
      <w:r w:rsidRPr="009750CD">
        <w:rPr>
          <w:rFonts w:cs="Segoe UI Light"/>
        </w:rPr>
        <w:t>be licensed by</w:t>
      </w:r>
      <w:r w:rsidR="00AD72CB">
        <w:rPr>
          <w:rFonts w:cs="Segoe UI Light"/>
        </w:rPr>
        <w:t xml:space="preserve"> </w:t>
      </w:r>
      <w:r w:rsidR="001B4CE3">
        <w:rPr>
          <w:rFonts w:cs="Segoe UI Light"/>
        </w:rPr>
        <w:t>EPA</w:t>
      </w:r>
      <w:r w:rsidR="00AD72CB">
        <w:rPr>
          <w:rFonts w:cs="Segoe UI Light"/>
        </w:rPr>
        <w:t xml:space="preserve"> (including those that are currently </w:t>
      </w:r>
      <w:r w:rsidR="00875A07">
        <w:rPr>
          <w:rFonts w:cs="Segoe UI Light"/>
        </w:rPr>
        <w:t xml:space="preserve">set out </w:t>
      </w:r>
      <w:r w:rsidR="00AD72CB">
        <w:rPr>
          <w:rFonts w:cs="Segoe UI Light"/>
        </w:rPr>
        <w:t>under the S</w:t>
      </w:r>
      <w:r w:rsidR="00AD72CB" w:rsidRPr="00D67FE8">
        <w:rPr>
          <w:rFonts w:cs="Segoe UI Light"/>
        </w:rPr>
        <w:t xml:space="preserve">cheduled Premises </w:t>
      </w:r>
      <w:r w:rsidR="00AD72CB">
        <w:rPr>
          <w:rFonts w:cs="Segoe UI Light"/>
        </w:rPr>
        <w:t>Regulations)</w:t>
      </w:r>
      <w:r w:rsidR="007D6714" w:rsidRPr="009750CD">
        <w:rPr>
          <w:rFonts w:cs="Segoe UI Light"/>
        </w:rPr>
        <w:t>,</w:t>
      </w:r>
      <w:r w:rsidRPr="009750CD">
        <w:rPr>
          <w:rFonts w:cs="Segoe UI Light"/>
        </w:rPr>
        <w:t xml:space="preserve"> </w:t>
      </w:r>
      <w:r>
        <w:rPr>
          <w:rFonts w:cs="Segoe UI Light"/>
        </w:rPr>
        <w:t>s</w:t>
      </w:r>
      <w:r w:rsidRPr="009750CD">
        <w:rPr>
          <w:rFonts w:cs="Segoe UI Light"/>
        </w:rPr>
        <w:t>ites or projects would no</w:t>
      </w:r>
      <w:r w:rsidR="00AD72CB">
        <w:rPr>
          <w:rFonts w:cs="Segoe UI Light"/>
        </w:rPr>
        <w:t>t</w:t>
      </w:r>
      <w:r w:rsidRPr="009750CD">
        <w:rPr>
          <w:rFonts w:cs="Segoe UI Light"/>
        </w:rPr>
        <w:t xml:space="preserve"> be subject to </w:t>
      </w:r>
      <w:r>
        <w:rPr>
          <w:rFonts w:cs="Segoe UI Light"/>
        </w:rPr>
        <w:t>a development</w:t>
      </w:r>
      <w:r w:rsidRPr="009750CD">
        <w:rPr>
          <w:rFonts w:cs="Segoe UI Light"/>
        </w:rPr>
        <w:t xml:space="preserve"> approval process</w:t>
      </w:r>
      <w:r w:rsidR="007D6714">
        <w:rPr>
          <w:rFonts w:cs="Segoe UI Light"/>
        </w:rPr>
        <w:t>,</w:t>
      </w:r>
      <w:r w:rsidR="00AD72CB">
        <w:rPr>
          <w:rFonts w:cs="Segoe UI Light"/>
        </w:rPr>
        <w:t xml:space="preserve"> and </w:t>
      </w:r>
      <w:r w:rsidR="007D6714">
        <w:rPr>
          <w:rFonts w:cs="Segoe UI Light"/>
        </w:rPr>
        <w:t xml:space="preserve">businesses would not </w:t>
      </w:r>
      <w:r>
        <w:rPr>
          <w:rFonts w:cs="Segoe UI Light"/>
        </w:rPr>
        <w:t>need to provide financial assurances</w:t>
      </w:r>
      <w:r w:rsidR="00BF7521">
        <w:rPr>
          <w:rFonts w:cs="Segoe UI Light"/>
        </w:rPr>
        <w:t xml:space="preserve"> (unless attached</w:t>
      </w:r>
      <w:r w:rsidR="00954954">
        <w:rPr>
          <w:rFonts w:cs="Segoe UI Light"/>
        </w:rPr>
        <w:t xml:space="preserve"> to</w:t>
      </w:r>
      <w:r w:rsidR="00BF7521">
        <w:rPr>
          <w:rFonts w:cs="Segoe UI Light"/>
        </w:rPr>
        <w:t xml:space="preserve"> another instrument, such as a site management order or a notice)</w:t>
      </w:r>
      <w:r w:rsidR="002C0BC9">
        <w:rPr>
          <w:rFonts w:cs="Segoe UI Light"/>
        </w:rPr>
        <w:t>.</w:t>
      </w:r>
      <w:r w:rsidR="0024162E">
        <w:rPr>
          <w:rStyle w:val="FootnoteReference"/>
          <w:rFonts w:cs="Segoe UI Light"/>
        </w:rPr>
        <w:footnoteReference w:id="56"/>
      </w:r>
      <w:r w:rsidR="007D6714">
        <w:rPr>
          <w:rFonts w:cs="Segoe UI Light"/>
        </w:rPr>
        <w:t xml:space="preserve"> </w:t>
      </w:r>
      <w:r w:rsidR="005B2EBE">
        <w:rPr>
          <w:rFonts w:cs="Segoe UI Light"/>
        </w:rPr>
        <w:t>There would be no framework to provide</w:t>
      </w:r>
      <w:r w:rsidR="00AC72CD">
        <w:rPr>
          <w:rFonts w:cs="Segoe UI Light"/>
        </w:rPr>
        <w:t xml:space="preserve"> regular and transparent information</w:t>
      </w:r>
      <w:r w:rsidR="00944510">
        <w:rPr>
          <w:rFonts w:cs="Segoe UI Light"/>
        </w:rPr>
        <w:t xml:space="preserve"> </w:t>
      </w:r>
      <w:r w:rsidR="000730C7">
        <w:rPr>
          <w:rFonts w:cs="Segoe UI Light"/>
        </w:rPr>
        <w:t xml:space="preserve">to the public </w:t>
      </w:r>
      <w:r w:rsidR="00944510">
        <w:rPr>
          <w:rFonts w:cs="Segoe UI Light"/>
        </w:rPr>
        <w:t>about compliance</w:t>
      </w:r>
      <w:r w:rsidR="00AC72CD">
        <w:rPr>
          <w:rFonts w:cs="Segoe UI Light"/>
        </w:rPr>
        <w:t xml:space="preserve"> from the highest emitting activities. </w:t>
      </w:r>
      <w:r w:rsidR="007D6714">
        <w:rPr>
          <w:rFonts w:cs="Segoe UI Light"/>
        </w:rPr>
        <w:t xml:space="preserve">In the absence of other interventions to support the </w:t>
      </w:r>
      <w:r w:rsidR="000D139E">
        <w:rPr>
          <w:rFonts w:cs="Segoe UI Light"/>
        </w:rPr>
        <w:t>new EP legislation</w:t>
      </w:r>
      <w:r w:rsidR="007D6714">
        <w:rPr>
          <w:rFonts w:cs="Segoe UI Light"/>
        </w:rPr>
        <w:t xml:space="preserve">, </w:t>
      </w:r>
      <w:r w:rsidR="001B4CE3">
        <w:rPr>
          <w:rFonts w:cs="Segoe UI Light"/>
        </w:rPr>
        <w:t>EPA</w:t>
      </w:r>
      <w:r w:rsidR="007D6714">
        <w:rPr>
          <w:rFonts w:cs="Segoe UI Light"/>
        </w:rPr>
        <w:t xml:space="preserve"> would not have mechanisms available</w:t>
      </w:r>
      <w:r w:rsidRPr="00130908">
        <w:rPr>
          <w:rFonts w:cs="Segoe UI Light"/>
        </w:rPr>
        <w:t xml:space="preserve"> to ensure the appropriate design, monitoring and</w:t>
      </w:r>
      <w:r>
        <w:rPr>
          <w:rFonts w:cs="Segoe UI Light"/>
        </w:rPr>
        <w:t xml:space="preserve"> </w:t>
      </w:r>
      <w:r w:rsidRPr="00130908">
        <w:rPr>
          <w:rFonts w:cs="Segoe UI Light"/>
        </w:rPr>
        <w:t xml:space="preserve">management of </w:t>
      </w:r>
      <w:r w:rsidR="00AD72CB">
        <w:rPr>
          <w:rFonts w:cs="Segoe UI Light"/>
        </w:rPr>
        <w:t>activities</w:t>
      </w:r>
      <w:r w:rsidRPr="00130908">
        <w:rPr>
          <w:rFonts w:cs="Segoe UI Light"/>
        </w:rPr>
        <w:t xml:space="preserve"> with </w:t>
      </w:r>
      <w:r w:rsidR="00AD72CB">
        <w:t>high risks of harm to human health and the environment</w:t>
      </w:r>
      <w:r w:rsidR="00402576">
        <w:t>.</w:t>
      </w:r>
      <w:r w:rsidR="002D3C05">
        <w:t xml:space="preserve"> If no regulations are made to support the new EP legislation, then the approximately</w:t>
      </w:r>
      <w:r w:rsidR="002D3C05" w:rsidRPr="00D60A83">
        <w:t xml:space="preserve"> 670 licensed premises (under the Scheduled Premises Regulations 2017) would cease to require a licen</w:t>
      </w:r>
      <w:r w:rsidR="002D3C05">
        <w:t>c</w:t>
      </w:r>
      <w:r w:rsidR="002D3C05" w:rsidRPr="00D60A83">
        <w:t>e.</w:t>
      </w:r>
    </w:p>
    <w:p w14:paraId="656B0148" w14:textId="77777777" w:rsidR="008E404B" w:rsidRPr="00AA4325" w:rsidRDefault="002D3C05" w:rsidP="009750CD">
      <w:pPr>
        <w:mirrorIndents/>
      </w:pPr>
      <w:r>
        <w:t>The specific harms and costs associated with problem areas to be addressed by the new permissioning framework are discussed in detail in Chapter 7 (</w:t>
      </w:r>
      <w:r w:rsidR="000730C7">
        <w:t>On</w:t>
      </w:r>
      <w:r>
        <w:t>-site wastewater management systems), Chapter 9 (</w:t>
      </w:r>
      <w:r w:rsidR="000730C7">
        <w:t>W</w:t>
      </w:r>
      <w:r>
        <w:t>aste), Chapter 12 (</w:t>
      </w:r>
      <w:r w:rsidR="000730C7">
        <w:t>A</w:t>
      </w:r>
      <w:r>
        <w:t>ir pollution), Chapter 13 (</w:t>
      </w:r>
      <w:r w:rsidR="000730C7">
        <w:t>W</w:t>
      </w:r>
      <w:r>
        <w:t>ater pollution) and Chapter 14 (</w:t>
      </w:r>
      <w:r w:rsidR="000730C7">
        <w:t>N</w:t>
      </w:r>
      <w:r>
        <w:t xml:space="preserve">oise). </w:t>
      </w:r>
    </w:p>
    <w:p w14:paraId="656B0149" w14:textId="77777777" w:rsidR="00707C54" w:rsidRDefault="00707C54" w:rsidP="00982D63">
      <w:pPr>
        <w:pStyle w:val="Heading2"/>
      </w:pPr>
      <w:bookmarkStart w:id="588" w:name="_Toc525554670"/>
      <w:bookmarkStart w:id="589" w:name="_Toc536054963"/>
      <w:bookmarkEnd w:id="586"/>
      <w:r w:rsidRPr="00243F08">
        <w:t>Options</w:t>
      </w:r>
      <w:bookmarkEnd w:id="588"/>
      <w:bookmarkEnd w:id="589"/>
    </w:p>
    <w:p w14:paraId="656B014A" w14:textId="77777777" w:rsidR="00FD06CD" w:rsidRDefault="00FD06CD" w:rsidP="00FD06CD">
      <w:pPr>
        <w:rPr>
          <w:rFonts w:ascii="Calibri" w:hAnsi="Calibri"/>
        </w:rPr>
      </w:pPr>
      <w:r>
        <w:t>EPA and DELWP have developed options that consider how permissioning can best complement the GED. The options also consider the findings of EPA’s 2017 Scheduled Premises review, which involved a detailed assessment of the risks associated with industrial premises types.</w:t>
      </w:r>
    </w:p>
    <w:p w14:paraId="656B014B" w14:textId="77777777" w:rsidR="000F2812" w:rsidRDefault="000F2812" w:rsidP="000F2812">
      <w:r>
        <w:t xml:space="preserve">Two options have been considered. These are: </w:t>
      </w:r>
    </w:p>
    <w:p w14:paraId="656B014C" w14:textId="77777777" w:rsidR="000F2812" w:rsidRDefault="000F2812" w:rsidP="004A2442">
      <w:pPr>
        <w:pStyle w:val="ListParagraph"/>
        <w:numPr>
          <w:ilvl w:val="0"/>
          <w:numId w:val="26"/>
        </w:numPr>
      </w:pPr>
      <w:r>
        <w:t>Option 1: Incorporating activities that are subject to some form of permission or exemption under the existing legislative framework into the new permissioning framework</w:t>
      </w:r>
      <w:r w:rsidR="000730C7">
        <w:t>.</w:t>
      </w:r>
      <w:r>
        <w:t xml:space="preserve"> </w:t>
      </w:r>
    </w:p>
    <w:p w14:paraId="656B014D" w14:textId="77777777" w:rsidR="000F2812" w:rsidRDefault="000F2812" w:rsidP="004A2442">
      <w:pPr>
        <w:pStyle w:val="ListParagraph"/>
        <w:numPr>
          <w:ilvl w:val="0"/>
          <w:numId w:val="26"/>
        </w:numPr>
      </w:pPr>
      <w:r>
        <w:t xml:space="preserve">Option 2: Incorporating activities that are currently subject to some form of permission or exemption into the new permissioning framework, </w:t>
      </w:r>
      <w:r w:rsidR="00DC3CFB">
        <w:t>plus selected other activities</w:t>
      </w:r>
      <w:r>
        <w:t xml:space="preserve">. </w:t>
      </w:r>
    </w:p>
    <w:p w14:paraId="656B014E" w14:textId="77777777" w:rsidR="000F2812" w:rsidRPr="000F2812" w:rsidRDefault="00FD06CD" w:rsidP="000F2812">
      <w:r>
        <w:t>A</w:t>
      </w:r>
      <w:r w:rsidR="000F2812" w:rsidRPr="000E7C5E">
        <w:t xml:space="preserve">n option to significantly expand the </w:t>
      </w:r>
      <w:r w:rsidR="004966A5">
        <w:t>p</w:t>
      </w:r>
      <w:r w:rsidR="004966A5" w:rsidRPr="000E7C5E">
        <w:t xml:space="preserve">ermissioning </w:t>
      </w:r>
      <w:r w:rsidR="000F2812" w:rsidRPr="000E7C5E">
        <w:t xml:space="preserve">cohort </w:t>
      </w:r>
      <w:r w:rsidR="00DC3CFB" w:rsidRPr="000E7C5E">
        <w:t xml:space="preserve">has not been considered in the </w:t>
      </w:r>
      <w:r w:rsidR="000F2812" w:rsidRPr="000E7C5E">
        <w:t xml:space="preserve">cost-benefit analysis. </w:t>
      </w:r>
      <w:r w:rsidR="00DC3CFB" w:rsidRPr="000E7C5E">
        <w:t xml:space="preserve">EPA considers that a significant expansion of permissioning cohorts would limit the ‘space’ allowed for the </w:t>
      </w:r>
      <w:r w:rsidR="000F2812" w:rsidRPr="000E7C5E">
        <w:t>GED</w:t>
      </w:r>
      <w:r w:rsidR="00DC3CFB" w:rsidRPr="000E7C5E">
        <w:t xml:space="preserve"> to operate. Under the GED, </w:t>
      </w:r>
      <w:r w:rsidR="000F2812" w:rsidRPr="000E7C5E">
        <w:t xml:space="preserve">all businesses </w:t>
      </w:r>
      <w:r w:rsidR="00DC3CFB" w:rsidRPr="000E7C5E">
        <w:t xml:space="preserve">(not only those holding an EPA permission) </w:t>
      </w:r>
      <w:r w:rsidR="000F2812" w:rsidRPr="000E7C5E">
        <w:t xml:space="preserve">will be </w:t>
      </w:r>
      <w:r w:rsidR="00DC3CFB" w:rsidRPr="000E7C5E">
        <w:t xml:space="preserve">required </w:t>
      </w:r>
      <w:r w:rsidR="000F2812" w:rsidRPr="000E7C5E">
        <w:t xml:space="preserve">to take reasonable steps to minimise risks to human health and the environment. </w:t>
      </w:r>
      <w:r w:rsidR="00DC3CFB" w:rsidRPr="000E7C5E">
        <w:t xml:space="preserve">EPA considers that activities which present a lower risk and/or involve less complexity, could be managed more effectively by the GED than the permissioning framework. </w:t>
      </w:r>
      <w:r w:rsidR="007050D8" w:rsidRPr="000E7C5E">
        <w:t xml:space="preserve">Future </w:t>
      </w:r>
      <w:r w:rsidR="004966A5">
        <w:t>r</w:t>
      </w:r>
      <w:r w:rsidR="007050D8" w:rsidRPr="000E7C5E">
        <w:t>eviews of the</w:t>
      </w:r>
      <w:r w:rsidR="004966A5">
        <w:t xml:space="preserve"> proposed R</w:t>
      </w:r>
      <w:r w:rsidR="007050D8" w:rsidRPr="000E7C5E">
        <w:t xml:space="preserve">egulations </w:t>
      </w:r>
      <w:r w:rsidR="004966A5">
        <w:t>will</w:t>
      </w:r>
      <w:r w:rsidR="007050D8" w:rsidRPr="000E7C5E">
        <w:t xml:space="preserve"> include further review and consideration of the efficacy of the GED for other activities, and </w:t>
      </w:r>
      <w:r w:rsidR="000730C7">
        <w:t xml:space="preserve">will </w:t>
      </w:r>
      <w:r w:rsidR="007050D8" w:rsidRPr="000E7C5E">
        <w:t xml:space="preserve">consider changes to the permissioning cohorts in the future. </w:t>
      </w:r>
    </w:p>
    <w:p w14:paraId="656B014F" w14:textId="77777777" w:rsidR="00FD06CD" w:rsidRPr="00AF3C30" w:rsidRDefault="00FD06CD" w:rsidP="00AF3C30">
      <w:r>
        <w:t>An option to remove or ‘downgrade’ activities</w:t>
      </w:r>
      <w:r w:rsidR="00413467">
        <w:t xml:space="preserve"> from the permissions framework</w:t>
      </w:r>
      <w:r>
        <w:t xml:space="preserve"> is also not considered further in this RIS. Before </w:t>
      </w:r>
      <w:r w:rsidR="00413467">
        <w:t xml:space="preserve">considering whether to </w:t>
      </w:r>
      <w:r w:rsidRPr="00064264">
        <w:t>mov</w:t>
      </w:r>
      <w:r w:rsidR="00413467">
        <w:t>e</w:t>
      </w:r>
      <w:r w:rsidRPr="00064264">
        <w:t xml:space="preserve"> </w:t>
      </w:r>
      <w:r>
        <w:t xml:space="preserve">activities </w:t>
      </w:r>
      <w:r w:rsidRPr="00064264">
        <w:t>from one tier of permissioning to another</w:t>
      </w:r>
      <w:r>
        <w:t>, or remov</w:t>
      </w:r>
      <w:r w:rsidR="00413467">
        <w:t>e</w:t>
      </w:r>
      <w:r>
        <w:t xml:space="preserve"> them from the permissioning framework altogether, EPA and DELWP considers it appropriate to </w:t>
      </w:r>
      <w:r w:rsidR="00413467">
        <w:t xml:space="preserve">examine </w:t>
      </w:r>
      <w:r w:rsidRPr="00AF3C30">
        <w:t>the impact of the GED</w:t>
      </w:r>
      <w:r>
        <w:t>,</w:t>
      </w:r>
      <w:r w:rsidRPr="00AF3C30">
        <w:t xml:space="preserve"> and its effect on residual risks of activities</w:t>
      </w:r>
      <w:r>
        <w:t>.</w:t>
      </w:r>
      <w:r w:rsidRPr="00AF3C30">
        <w:t xml:space="preserve"> Making these determinations based on criteria which are clear, equitable and defensible can only follow a period of monitoring and evaluation of the GED and its effectiveness. This approach is also consistent with the principle of minimising disruption for existing duty holders and prioritising supporting them in the transition into the </w:t>
      </w:r>
      <w:r w:rsidR="00413467">
        <w:t>new</w:t>
      </w:r>
      <w:r w:rsidRPr="00AF3C30">
        <w:t xml:space="preserve"> framework.</w:t>
      </w:r>
      <w:r>
        <w:t xml:space="preserve"> </w:t>
      </w:r>
      <w:r w:rsidRPr="00AF3C30">
        <w:t xml:space="preserve">EPA may also look to make determinations </w:t>
      </w:r>
      <w:r>
        <w:t xml:space="preserve">(which are enabled in the new EP legislation) </w:t>
      </w:r>
      <w:r w:rsidRPr="00AF3C30">
        <w:t>which will allow certain cohorts or classes of duty holders to obtain a lower-burden permission in accordance with certain requirements</w:t>
      </w:r>
      <w:r>
        <w:t xml:space="preserve">. </w:t>
      </w:r>
    </w:p>
    <w:p w14:paraId="656B0150" w14:textId="77777777" w:rsidR="00FD06CD" w:rsidRPr="00AF3C30" w:rsidRDefault="00FD06CD" w:rsidP="00AF3C30">
      <w:r>
        <w:t xml:space="preserve">The options outlined are also </w:t>
      </w:r>
      <w:r w:rsidR="001D0C33">
        <w:t xml:space="preserve">limited to prescribing the types of activities that would require a permission of financial assurance, rather than to prescribe conditions. EPA and DELWP </w:t>
      </w:r>
      <w:r w:rsidRPr="00AF3C30">
        <w:t xml:space="preserve">made </w:t>
      </w:r>
      <w:r w:rsidR="001D0C33">
        <w:t xml:space="preserve">the decision </w:t>
      </w:r>
      <w:r w:rsidRPr="00AF3C30">
        <w:t>to minimise prescription of conditions in regulation and to specify the conditions within the permission itself. This supports duty holders in understanding their obligations</w:t>
      </w:r>
      <w:r w:rsidR="001D0C33">
        <w:t>,</w:t>
      </w:r>
      <w:r w:rsidRPr="00AF3C30">
        <w:t xml:space="preserve"> and allows </w:t>
      </w:r>
      <w:r w:rsidR="001D0C33">
        <w:t xml:space="preserve">EPA to be flexible </w:t>
      </w:r>
      <w:r w:rsidRPr="00AF3C30">
        <w:t xml:space="preserve">in </w:t>
      </w:r>
      <w:r w:rsidR="001D0C33">
        <w:t xml:space="preserve">its </w:t>
      </w:r>
      <w:r w:rsidRPr="00AF3C30">
        <w:t>use of conditions.</w:t>
      </w:r>
    </w:p>
    <w:p w14:paraId="656B0151" w14:textId="77777777" w:rsidR="00FD06CD" w:rsidRPr="000F2812" w:rsidRDefault="001D0C33" w:rsidP="000F2812">
      <w:r w:rsidRPr="00AF3C30">
        <w:t xml:space="preserve">In accordance with the principle of minimising disruption and allowing the GED to demonstrate its effectiveness, thresholds for currently scheduled activities have </w:t>
      </w:r>
      <w:r>
        <w:t xml:space="preserve">also </w:t>
      </w:r>
      <w:r w:rsidRPr="00AF3C30">
        <w:t xml:space="preserve">been </w:t>
      </w:r>
      <w:r>
        <w:t xml:space="preserve">maintained. </w:t>
      </w:r>
      <w:r w:rsidR="003D5599">
        <w:t>These thresholds are likely to be evaluated in future reviews taking into account the GED's impact on the residual risk of the activities.</w:t>
      </w:r>
      <w:r w:rsidRPr="00AF3C30">
        <w:t xml:space="preserve"> For new activities, risk-based thresholds have been selected based on the understanding of scaled risks posed by an activity to ensure the appropriate, proportionate tool is applied.</w:t>
      </w:r>
    </w:p>
    <w:p w14:paraId="656B0152" w14:textId="77777777" w:rsidR="002C0BC9" w:rsidRDefault="002C0BC9" w:rsidP="00AF3C30">
      <w:pPr>
        <w:pStyle w:val="Heading3"/>
        <w:ind w:left="720"/>
      </w:pPr>
      <w:r>
        <w:t xml:space="preserve">The </w:t>
      </w:r>
      <w:r w:rsidR="00A727B1">
        <w:t>B</w:t>
      </w:r>
      <w:r>
        <w:t xml:space="preserve">ase </w:t>
      </w:r>
      <w:r w:rsidR="00A727B1">
        <w:t>C</w:t>
      </w:r>
      <w:r>
        <w:t>ase</w:t>
      </w:r>
    </w:p>
    <w:p w14:paraId="656B0153" w14:textId="77777777" w:rsidR="00824918" w:rsidRDefault="002C0BC9" w:rsidP="00040A06">
      <w:r>
        <w:t xml:space="preserve">Under the </w:t>
      </w:r>
      <w:r w:rsidR="000514DD">
        <w:t>Base Case</w:t>
      </w:r>
      <w:r>
        <w:t xml:space="preserve">, the new EP </w:t>
      </w:r>
      <w:r w:rsidR="003636AA">
        <w:t>l</w:t>
      </w:r>
      <w:r>
        <w:t>egislation would take effect from 2020, but there would be no further regulations to define the activities that would require a permission</w:t>
      </w:r>
      <w:r w:rsidR="000F2812">
        <w:t xml:space="preserve"> or </w:t>
      </w:r>
      <w:r w:rsidR="007050D8">
        <w:t xml:space="preserve">may require duty holders to hold a </w:t>
      </w:r>
      <w:r w:rsidR="000F2812">
        <w:t>financial assurance</w:t>
      </w:r>
      <w:r>
        <w:t xml:space="preserve">. The GED would apply under the </w:t>
      </w:r>
      <w:r w:rsidR="000514DD">
        <w:t>Base Case</w:t>
      </w:r>
      <w:r w:rsidR="00A727B1">
        <w:t xml:space="preserve"> (</w:t>
      </w:r>
      <w:r w:rsidR="00824918">
        <w:t xml:space="preserve">as would </w:t>
      </w:r>
      <w:r w:rsidR="00A727B1">
        <w:t xml:space="preserve">a number of </w:t>
      </w:r>
      <w:r w:rsidR="00824918">
        <w:t>other duties and obligations</w:t>
      </w:r>
      <w:r w:rsidR="00A727B1">
        <w:t>)</w:t>
      </w:r>
      <w:r w:rsidR="009127D9">
        <w:t xml:space="preserve"> meaning that businesses would still be required to </w:t>
      </w:r>
      <w:r w:rsidR="007050D8">
        <w:t xml:space="preserve">minimise </w:t>
      </w:r>
      <w:r w:rsidR="009127D9">
        <w:t>the risk to human health and the environment</w:t>
      </w:r>
      <w:r w:rsidR="007050D8">
        <w:t>, so far as reasonably practicable</w:t>
      </w:r>
      <w:r w:rsidR="009127D9">
        <w:t xml:space="preserve">. </w:t>
      </w:r>
    </w:p>
    <w:p w14:paraId="656B0154" w14:textId="77777777" w:rsidR="00BF7521" w:rsidRDefault="00BF7521" w:rsidP="00040A06">
      <w:r>
        <w:t xml:space="preserve">Under the </w:t>
      </w:r>
      <w:r w:rsidR="000514DD">
        <w:t>Base Case</w:t>
      </w:r>
      <w:r>
        <w:t xml:space="preserve">, it is anticipated that there would be a </w:t>
      </w:r>
      <w:r w:rsidR="009127D9">
        <w:t xml:space="preserve">gradual </w:t>
      </w:r>
      <w:r w:rsidR="00A727B1">
        <w:t xml:space="preserve">deterioration </w:t>
      </w:r>
      <w:r w:rsidR="007577E3">
        <w:t>in the compliance of duty holders that are currently subject to EPA permissions (such as works approvals, licenc</w:t>
      </w:r>
      <w:r w:rsidR="00A727B1">
        <w:t>es and waste transport permits). This would l</w:t>
      </w:r>
      <w:r w:rsidR="007577E3">
        <w:t xml:space="preserve">ead to a gradual </w:t>
      </w:r>
      <w:r w:rsidR="0041716B">
        <w:t>increase in risks of harm to</w:t>
      </w:r>
      <w:r w:rsidR="00A727B1">
        <w:t xml:space="preserve"> </w:t>
      </w:r>
      <w:r w:rsidR="007577E3">
        <w:t>h</w:t>
      </w:r>
      <w:r w:rsidR="0041716B">
        <w:t>uman health</w:t>
      </w:r>
      <w:r w:rsidR="00413467">
        <w:t xml:space="preserve"> and the environment</w:t>
      </w:r>
      <w:r w:rsidR="007577E3">
        <w:t xml:space="preserve">. This increase in risk reflects ‘compliance decay’ of duty holders, which would occur in the </w:t>
      </w:r>
      <w:r w:rsidR="000514DD">
        <w:t>Base Case</w:t>
      </w:r>
      <w:r w:rsidR="007577E3">
        <w:t xml:space="preserve"> scenario where permissions are no longer required.</w:t>
      </w:r>
      <w:r w:rsidR="007577E3">
        <w:rPr>
          <w:rStyle w:val="FootnoteReference"/>
        </w:rPr>
        <w:footnoteReference w:id="57"/>
      </w:r>
      <w:r w:rsidR="007577E3">
        <w:t xml:space="preserve"> </w:t>
      </w:r>
      <w:r w:rsidR="00114781">
        <w:t xml:space="preserve">However, the threat of reputational damage, legal action and/or financial loss may limit the extent of this decay. </w:t>
      </w:r>
    </w:p>
    <w:p w14:paraId="656B0155" w14:textId="77777777" w:rsidR="00BF7521" w:rsidRDefault="00BF7521" w:rsidP="00AF3C30">
      <w:pPr>
        <w:pStyle w:val="Heading3"/>
        <w:ind w:left="720"/>
      </w:pPr>
      <w:r>
        <w:t>Option 1</w:t>
      </w:r>
      <w:r w:rsidR="001C6038">
        <w:t xml:space="preserve"> - Minimal application of new permissioning framework</w:t>
      </w:r>
    </w:p>
    <w:p w14:paraId="656B0156" w14:textId="77777777" w:rsidR="00BF7521" w:rsidRDefault="001C6038" w:rsidP="00040A06">
      <w:r>
        <w:t xml:space="preserve">Under Option 1, </w:t>
      </w:r>
      <w:r w:rsidR="0023026E">
        <w:t xml:space="preserve">selected </w:t>
      </w:r>
      <w:r>
        <w:t xml:space="preserve">activities that are currently subject to some form of EPA permission </w:t>
      </w:r>
      <w:r w:rsidR="000F2812">
        <w:t xml:space="preserve">or exemption </w:t>
      </w:r>
      <w:r>
        <w:t xml:space="preserve">will be </w:t>
      </w:r>
      <w:r w:rsidR="00AD5002">
        <w:t xml:space="preserve">incorporated into the new permissioning framework. </w:t>
      </w:r>
    </w:p>
    <w:p w14:paraId="656B0157" w14:textId="77777777" w:rsidR="00AD5002" w:rsidRPr="005B03CD" w:rsidRDefault="00AD5002" w:rsidP="004A2442">
      <w:pPr>
        <w:pStyle w:val="ListParagraph"/>
        <w:numPr>
          <w:ilvl w:val="0"/>
          <w:numId w:val="26"/>
        </w:numPr>
      </w:pPr>
      <w:r>
        <w:rPr>
          <w:b/>
        </w:rPr>
        <w:t xml:space="preserve">Development Licence: </w:t>
      </w:r>
      <w:r>
        <w:t xml:space="preserve">All activities currently requiring a works approval, as per the Scheduled Premises Regulations, would require a development licence. </w:t>
      </w:r>
    </w:p>
    <w:p w14:paraId="656B0158" w14:textId="77777777" w:rsidR="00AD5002" w:rsidRDefault="00AD5002" w:rsidP="004A2442">
      <w:pPr>
        <w:pStyle w:val="ListParagraph"/>
        <w:numPr>
          <w:ilvl w:val="0"/>
          <w:numId w:val="26"/>
        </w:numPr>
      </w:pPr>
      <w:r>
        <w:rPr>
          <w:b/>
        </w:rPr>
        <w:t xml:space="preserve">Operating Licence: </w:t>
      </w:r>
      <w:r>
        <w:t xml:space="preserve">All activities currently requiring </w:t>
      </w:r>
      <w:r w:rsidR="00F14554">
        <w:t xml:space="preserve">a </w:t>
      </w:r>
      <w:r>
        <w:t xml:space="preserve">licence under the Scheduled Premises Regulations would require an operating licence. </w:t>
      </w:r>
    </w:p>
    <w:p w14:paraId="656B0159" w14:textId="77777777" w:rsidR="00ED52C7" w:rsidRPr="007577E3" w:rsidRDefault="00ED52C7" w:rsidP="004A2442">
      <w:pPr>
        <w:pStyle w:val="ListParagraph"/>
        <w:numPr>
          <w:ilvl w:val="0"/>
          <w:numId w:val="26"/>
        </w:numPr>
        <w:rPr>
          <w:b/>
        </w:rPr>
      </w:pPr>
      <w:r w:rsidRPr="007577E3">
        <w:rPr>
          <w:b/>
        </w:rPr>
        <w:t>Financial Assurance</w:t>
      </w:r>
      <w:r>
        <w:rPr>
          <w:b/>
        </w:rPr>
        <w:t xml:space="preserve">: </w:t>
      </w:r>
      <w:r>
        <w:t xml:space="preserve">All activities currently requiring a financial assurance under the Scheduled Premises Regulations, would also </w:t>
      </w:r>
      <w:r w:rsidR="00DD3378">
        <w:t xml:space="preserve">be </w:t>
      </w:r>
      <w:r>
        <w:t>require</w:t>
      </w:r>
      <w:r w:rsidR="00DD3378">
        <w:t xml:space="preserve">d to go through the </w:t>
      </w:r>
      <w:r w:rsidR="004966A5">
        <w:t>f</w:t>
      </w:r>
      <w:r w:rsidR="00DD3378">
        <w:t xml:space="preserve">inancial </w:t>
      </w:r>
      <w:r w:rsidR="004966A5">
        <w:t>a</w:t>
      </w:r>
      <w:r w:rsidR="00DD3378">
        <w:t xml:space="preserve">ssurance </w:t>
      </w:r>
      <w:r w:rsidR="004966A5">
        <w:t>r</w:t>
      </w:r>
      <w:r w:rsidR="00DD3378">
        <w:t xml:space="preserve">isk </w:t>
      </w:r>
      <w:r w:rsidR="004966A5">
        <w:t>s</w:t>
      </w:r>
      <w:r w:rsidR="00DD3378">
        <w:t xml:space="preserve">creening </w:t>
      </w:r>
      <w:r w:rsidR="004966A5">
        <w:t>c</w:t>
      </w:r>
      <w:r w:rsidR="00DD3378">
        <w:t xml:space="preserve">riteria </w:t>
      </w:r>
      <w:r>
        <w:t xml:space="preserve">under Option 1, except for the following: </w:t>
      </w:r>
    </w:p>
    <w:p w14:paraId="656B015A" w14:textId="77777777" w:rsidR="00ED52C7" w:rsidRPr="00AF3C30" w:rsidRDefault="00ED52C7" w:rsidP="00114781">
      <w:pPr>
        <w:pStyle w:val="ListParagraph"/>
        <w:numPr>
          <w:ilvl w:val="1"/>
          <w:numId w:val="26"/>
        </w:numPr>
      </w:pPr>
      <w:r w:rsidRPr="00AF3C30">
        <w:rPr>
          <w:b/>
        </w:rPr>
        <w:t>Container washing</w:t>
      </w:r>
      <w:r w:rsidR="00114781" w:rsidRPr="00AF3C30">
        <w:t>:</w:t>
      </w:r>
      <w:r w:rsidR="00114781">
        <w:t xml:space="preserve"> This activity has been excluded following an </w:t>
      </w:r>
      <w:r w:rsidR="00114781" w:rsidRPr="00114781">
        <w:t xml:space="preserve">EPA review </w:t>
      </w:r>
      <w:r w:rsidR="00114781">
        <w:t xml:space="preserve">which </w:t>
      </w:r>
      <w:r w:rsidR="00114781" w:rsidRPr="00114781">
        <w:t>found that there was no need to include a financial assurance requirement for container washing, since it doubled-up with another financial assurance category</w:t>
      </w:r>
    </w:p>
    <w:p w14:paraId="656B015B" w14:textId="77777777" w:rsidR="00DD3378" w:rsidRPr="00AF3C30" w:rsidRDefault="00DD3378" w:rsidP="00114781">
      <w:pPr>
        <w:pStyle w:val="ListParagraph"/>
        <w:numPr>
          <w:ilvl w:val="1"/>
          <w:numId w:val="26"/>
        </w:numPr>
      </w:pPr>
      <w:r w:rsidRPr="00AF3C30">
        <w:rPr>
          <w:b/>
        </w:rPr>
        <w:t>Contaminated sites – long term management</w:t>
      </w:r>
      <w:r w:rsidR="00114781">
        <w:t>:</w:t>
      </w:r>
      <w:r>
        <w:t xml:space="preserve"> </w:t>
      </w:r>
      <w:r w:rsidR="00114781">
        <w:t>This activity has been excluded because t</w:t>
      </w:r>
      <w:r w:rsidR="00114781" w:rsidRPr="00114781">
        <w:t xml:space="preserve">here are now tools under the new EP legislation (e.g. Site Management Orders) that can require a </w:t>
      </w:r>
      <w:r w:rsidR="00681AA2">
        <w:t>f</w:t>
      </w:r>
      <w:r w:rsidR="00114781" w:rsidRPr="00114781">
        <w:t xml:space="preserve">inancial </w:t>
      </w:r>
      <w:r w:rsidR="00681AA2">
        <w:t>a</w:t>
      </w:r>
      <w:r w:rsidR="00114781" w:rsidRPr="00114781">
        <w:t>ssurance to apply to that site</w:t>
      </w:r>
      <w:r w:rsidR="00114781">
        <w:t xml:space="preserve">. </w:t>
      </w:r>
    </w:p>
    <w:p w14:paraId="656B015C" w14:textId="77777777" w:rsidR="00AD5002" w:rsidRPr="00213CCE" w:rsidRDefault="00AD5002" w:rsidP="004A2442">
      <w:pPr>
        <w:pStyle w:val="ListParagraph"/>
        <w:numPr>
          <w:ilvl w:val="0"/>
          <w:numId w:val="26"/>
        </w:numPr>
      </w:pPr>
      <w:r w:rsidRPr="00040A06">
        <w:rPr>
          <w:b/>
        </w:rPr>
        <w:t>Permit</w:t>
      </w:r>
      <w:r>
        <w:rPr>
          <w:b/>
        </w:rPr>
        <w:t xml:space="preserve">: </w:t>
      </w:r>
      <w:r w:rsidR="00170DB1">
        <w:t>Selected a</w:t>
      </w:r>
      <w:r>
        <w:t>ctivities that currently require an EPA</w:t>
      </w:r>
      <w:r w:rsidR="00954954">
        <w:t xml:space="preserve"> or council</w:t>
      </w:r>
      <w:r>
        <w:t xml:space="preserve"> permission</w:t>
      </w:r>
      <w:r w:rsidR="00170DB1">
        <w:t xml:space="preserve"> or approval </w:t>
      </w:r>
      <w:r>
        <w:t>under different heads of power (including</w:t>
      </w:r>
      <w:r w:rsidR="00170DB1">
        <w:t xml:space="preserve"> the Scheduled Premises Regulations, EP Act 1970, </w:t>
      </w:r>
      <w:r>
        <w:t>SEPP</w:t>
      </w:r>
      <w:r w:rsidR="00170DB1">
        <w:t xml:space="preserve"> N2, SEPP Waters and </w:t>
      </w:r>
      <w:r>
        <w:t>Industrial Waste Management Policies</w:t>
      </w:r>
      <w:r w:rsidR="00170DB1">
        <w:t>) would require a permit under Option 1.</w:t>
      </w:r>
      <w:r w:rsidR="00954954">
        <w:t xml:space="preserve"> Municipal landfills, which are currently exempt, would also require a permit. </w:t>
      </w:r>
    </w:p>
    <w:p w14:paraId="656B015D" w14:textId="77777777" w:rsidR="00170DB1" w:rsidRDefault="00170DB1" w:rsidP="004A2442">
      <w:pPr>
        <w:pStyle w:val="ListParagraph"/>
        <w:numPr>
          <w:ilvl w:val="0"/>
          <w:numId w:val="26"/>
        </w:numPr>
      </w:pPr>
      <w:r>
        <w:rPr>
          <w:b/>
        </w:rPr>
        <w:t xml:space="preserve">Registration: </w:t>
      </w:r>
      <w:r w:rsidR="000730C7">
        <w:t>This will cover s</w:t>
      </w:r>
      <w:r>
        <w:t>elected activities that are currently excluded from requiring a permission under the Scheduled Premises Regulations through a general exemption</w:t>
      </w:r>
      <w:r w:rsidR="00DC7A63">
        <w:t xml:space="preserve">. </w:t>
      </w:r>
    </w:p>
    <w:p w14:paraId="656B015E" w14:textId="77777777" w:rsidR="00130552" w:rsidRPr="00213CCE" w:rsidRDefault="00130552" w:rsidP="00130552">
      <w:r>
        <w:t xml:space="preserve">Further detail on </w:t>
      </w:r>
      <w:r w:rsidR="0098328C">
        <w:t>the</w:t>
      </w:r>
      <w:r>
        <w:t xml:space="preserve"> activities that would be subject to a permission or financial assurance are outlined in the table below. </w:t>
      </w:r>
    </w:p>
    <w:p w14:paraId="656B015F" w14:textId="77777777" w:rsidR="003C39C8" w:rsidRDefault="003C39C8" w:rsidP="003C39C8">
      <w:pPr>
        <w:pStyle w:val="Caption"/>
      </w:pPr>
      <w:r>
        <w:t xml:space="preserve">Table </w:t>
      </w:r>
      <w:r w:rsidR="007E575A">
        <w:rPr>
          <w:color w:val="2B579A"/>
          <w:shd w:val="clear" w:color="auto" w:fill="E6E6E6"/>
        </w:rPr>
        <w:fldChar w:fldCharType="begin"/>
      </w:r>
      <w:r w:rsidR="007E575A">
        <w:instrText xml:space="preserve"> STYLEREF 1 \s </w:instrText>
      </w:r>
      <w:r w:rsidR="007E575A">
        <w:rPr>
          <w:color w:val="2B579A"/>
          <w:shd w:val="clear" w:color="auto" w:fill="E6E6E6"/>
        </w:rPr>
        <w:fldChar w:fldCharType="separate"/>
      </w:r>
      <w:r w:rsidR="00B11C1E">
        <w:rPr>
          <w:noProof/>
        </w:rPr>
        <w:t>6</w:t>
      </w:r>
      <w:r w:rsidR="007E575A">
        <w:rPr>
          <w:color w:val="2B579A"/>
          <w:shd w:val="clear" w:color="auto" w:fill="E6E6E6"/>
        </w:rPr>
        <w:fldChar w:fldCharType="end"/>
      </w:r>
      <w:r w:rsidR="007E575A">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w:t>
      </w:r>
      <w:r w:rsidR="00997CFA">
        <w:rPr>
          <w:color w:val="2B579A"/>
          <w:shd w:val="clear" w:color="auto" w:fill="E6E6E6"/>
        </w:rPr>
        <w:fldChar w:fldCharType="end"/>
      </w:r>
      <w:r w:rsidRPr="003C39C8">
        <w:t xml:space="preserve"> </w:t>
      </w:r>
      <w:r>
        <w:t>Option 1 Permissioning activities</w:t>
      </w:r>
    </w:p>
    <w:tbl>
      <w:tblPr>
        <w:tblStyle w:val="Deloittetable1"/>
        <w:tblW w:w="0" w:type="auto"/>
        <w:tblLook w:val="04A0" w:firstRow="1" w:lastRow="0" w:firstColumn="1" w:lastColumn="0" w:noHBand="0" w:noVBand="1"/>
      </w:tblPr>
      <w:tblGrid>
        <w:gridCol w:w="3486"/>
        <w:gridCol w:w="3487"/>
        <w:gridCol w:w="3487"/>
      </w:tblGrid>
      <w:tr w:rsidR="001C6038" w14:paraId="656B0163" w14:textId="77777777" w:rsidTr="00040A06">
        <w:trPr>
          <w:cnfStyle w:val="100000000000" w:firstRow="1" w:lastRow="0" w:firstColumn="0" w:lastColumn="0" w:oddVBand="0" w:evenVBand="0" w:oddHBand="0" w:evenHBand="0" w:firstRowFirstColumn="0" w:firstRowLastColumn="0" w:lastRowFirstColumn="0" w:lastRowLastColumn="0"/>
        </w:trPr>
        <w:tc>
          <w:tcPr>
            <w:tcW w:w="3486" w:type="dxa"/>
          </w:tcPr>
          <w:p w14:paraId="656B0160" w14:textId="77777777" w:rsidR="001C6038" w:rsidRPr="005B03CD" w:rsidRDefault="009F0E86" w:rsidP="005B03CD">
            <w:r w:rsidRPr="005B03CD">
              <w:rPr>
                <w:b/>
              </w:rPr>
              <w:t>Development/operating licence</w:t>
            </w:r>
            <w:r w:rsidR="00ED52C7">
              <w:rPr>
                <w:b/>
              </w:rPr>
              <w:t>/FA</w:t>
            </w:r>
          </w:p>
        </w:tc>
        <w:tc>
          <w:tcPr>
            <w:tcW w:w="3487" w:type="dxa"/>
          </w:tcPr>
          <w:p w14:paraId="656B0161" w14:textId="77777777" w:rsidR="001C6038" w:rsidRPr="005B03CD" w:rsidRDefault="009F0E86" w:rsidP="00F72199">
            <w:r w:rsidRPr="005B03CD">
              <w:rPr>
                <w:b/>
              </w:rPr>
              <w:t>Permit</w:t>
            </w:r>
          </w:p>
        </w:tc>
        <w:tc>
          <w:tcPr>
            <w:tcW w:w="3487" w:type="dxa"/>
          </w:tcPr>
          <w:p w14:paraId="656B0162" w14:textId="77777777" w:rsidR="001C6038" w:rsidRPr="00040A06" w:rsidRDefault="009F0E86" w:rsidP="00F72199">
            <w:pPr>
              <w:rPr>
                <w:b/>
              </w:rPr>
            </w:pPr>
            <w:r w:rsidRPr="00040A06">
              <w:rPr>
                <w:b/>
              </w:rPr>
              <w:t>Registration</w:t>
            </w:r>
          </w:p>
        </w:tc>
      </w:tr>
      <w:tr w:rsidR="009F0E86" w14:paraId="656B017F" w14:textId="77777777" w:rsidTr="00040A06">
        <w:tc>
          <w:tcPr>
            <w:tcW w:w="3486" w:type="dxa"/>
          </w:tcPr>
          <w:p w14:paraId="656B0164" w14:textId="77777777" w:rsidR="00ED52C7" w:rsidRPr="00ED52C7" w:rsidRDefault="00ED52C7" w:rsidP="009F0E86">
            <w:pPr>
              <w:rPr>
                <w:b/>
                <w:sz w:val="18"/>
              </w:rPr>
            </w:pPr>
            <w:r w:rsidRPr="00ED52C7">
              <w:rPr>
                <w:b/>
                <w:sz w:val="18"/>
              </w:rPr>
              <w:t>Development licence</w:t>
            </w:r>
            <w:r>
              <w:rPr>
                <w:b/>
                <w:sz w:val="18"/>
              </w:rPr>
              <w:t>:</w:t>
            </w:r>
          </w:p>
          <w:p w14:paraId="656B0165" w14:textId="77777777" w:rsidR="009F0E86" w:rsidRDefault="009F0E86" w:rsidP="009F0E86">
            <w:pPr>
              <w:rPr>
                <w:sz w:val="18"/>
              </w:rPr>
            </w:pPr>
            <w:r w:rsidRPr="00040A06">
              <w:rPr>
                <w:sz w:val="18"/>
              </w:rPr>
              <w:t>All activities currently requiring a works approval</w:t>
            </w:r>
            <w:r w:rsidR="00AD598F">
              <w:rPr>
                <w:sz w:val="18"/>
              </w:rPr>
              <w:t>.</w:t>
            </w:r>
          </w:p>
          <w:p w14:paraId="656B0166" w14:textId="77777777" w:rsidR="00ED52C7" w:rsidRPr="00ED52C7" w:rsidRDefault="00ED52C7" w:rsidP="009F0E86">
            <w:pPr>
              <w:rPr>
                <w:sz w:val="18"/>
              </w:rPr>
            </w:pPr>
          </w:p>
          <w:p w14:paraId="656B0167" w14:textId="77777777" w:rsidR="00ED52C7" w:rsidRPr="00ED52C7" w:rsidRDefault="00ED52C7" w:rsidP="00ED52C7">
            <w:pPr>
              <w:rPr>
                <w:b/>
                <w:sz w:val="18"/>
              </w:rPr>
            </w:pPr>
            <w:r>
              <w:rPr>
                <w:b/>
                <w:sz w:val="18"/>
              </w:rPr>
              <w:t>Operating licence:</w:t>
            </w:r>
          </w:p>
          <w:p w14:paraId="656B0168" w14:textId="77777777" w:rsidR="00AD598F" w:rsidRDefault="00ED52C7" w:rsidP="00ED52C7">
            <w:pPr>
              <w:rPr>
                <w:sz w:val="18"/>
              </w:rPr>
            </w:pPr>
            <w:r w:rsidRPr="00040A06">
              <w:rPr>
                <w:sz w:val="18"/>
              </w:rPr>
              <w:t xml:space="preserve">All activities currently requiring a </w:t>
            </w:r>
            <w:r>
              <w:rPr>
                <w:sz w:val="18"/>
              </w:rPr>
              <w:t>licence</w:t>
            </w:r>
            <w:r w:rsidR="00DC7A63">
              <w:rPr>
                <w:sz w:val="18"/>
              </w:rPr>
              <w:t xml:space="preserve">. </w:t>
            </w:r>
            <w:r w:rsidR="00DE4A66">
              <w:rPr>
                <w:sz w:val="18"/>
              </w:rPr>
              <w:t xml:space="preserve">    </w:t>
            </w:r>
          </w:p>
          <w:p w14:paraId="656B0169" w14:textId="77777777" w:rsidR="00ED52C7" w:rsidRDefault="00DE4A66" w:rsidP="00ED52C7">
            <w:pPr>
              <w:rPr>
                <w:sz w:val="18"/>
              </w:rPr>
            </w:pPr>
            <w:r>
              <w:rPr>
                <w:sz w:val="18"/>
              </w:rPr>
              <w:t>[</w:t>
            </w:r>
            <w:r w:rsidRPr="00B05634">
              <w:rPr>
                <w:sz w:val="18"/>
              </w:rPr>
              <w:t xml:space="preserve">A full list of </w:t>
            </w:r>
            <w:r w:rsidR="00AD598F" w:rsidRPr="00AF3C30">
              <w:rPr>
                <w:sz w:val="18"/>
              </w:rPr>
              <w:t xml:space="preserve">works approval and licence </w:t>
            </w:r>
            <w:r w:rsidRPr="00B05634">
              <w:rPr>
                <w:sz w:val="18"/>
              </w:rPr>
              <w:t>activities can be found in Schedule 1 of the Environment Protection (Scheduled Premises) 2017 regulations</w:t>
            </w:r>
            <w:r w:rsidR="00AD598F" w:rsidRPr="00AF3C30">
              <w:rPr>
                <w:sz w:val="18"/>
              </w:rPr>
              <w:t>. E</w:t>
            </w:r>
            <w:r w:rsidRPr="00B05634">
              <w:rPr>
                <w:sz w:val="18"/>
              </w:rPr>
              <w:t>xamples include: landfills, sewage treatment works and power stations.</w:t>
            </w:r>
            <w:r>
              <w:rPr>
                <w:sz w:val="18"/>
              </w:rPr>
              <w:t xml:space="preserve">] </w:t>
            </w:r>
          </w:p>
          <w:p w14:paraId="656B016A" w14:textId="77777777" w:rsidR="00ED52C7" w:rsidRDefault="00ED52C7" w:rsidP="00ED52C7">
            <w:pPr>
              <w:rPr>
                <w:sz w:val="18"/>
              </w:rPr>
            </w:pPr>
          </w:p>
          <w:p w14:paraId="656B016B" w14:textId="77777777" w:rsidR="00ED52C7" w:rsidRPr="00ED52C7" w:rsidRDefault="00ED52C7" w:rsidP="00ED52C7">
            <w:pPr>
              <w:rPr>
                <w:b/>
                <w:sz w:val="18"/>
              </w:rPr>
            </w:pPr>
            <w:r>
              <w:rPr>
                <w:b/>
                <w:sz w:val="18"/>
              </w:rPr>
              <w:t>Financial Assurance</w:t>
            </w:r>
          </w:p>
          <w:p w14:paraId="656B016C" w14:textId="77777777" w:rsidR="00ED52C7" w:rsidRDefault="00ED52C7" w:rsidP="00ED52C7">
            <w:pPr>
              <w:rPr>
                <w:sz w:val="18"/>
              </w:rPr>
            </w:pPr>
            <w:r w:rsidRPr="00040A06">
              <w:rPr>
                <w:sz w:val="18"/>
              </w:rPr>
              <w:t xml:space="preserve">All activities currently requiring a </w:t>
            </w:r>
            <w:r w:rsidRPr="00ED52C7">
              <w:rPr>
                <w:sz w:val="18"/>
              </w:rPr>
              <w:t xml:space="preserve">financial assurance </w:t>
            </w:r>
            <w:r w:rsidR="0098328C">
              <w:rPr>
                <w:sz w:val="18"/>
              </w:rPr>
              <w:t>(</w:t>
            </w:r>
            <w:r w:rsidR="0098328C" w:rsidRPr="00040A06">
              <w:rPr>
                <w:sz w:val="18"/>
              </w:rPr>
              <w:t xml:space="preserve">as per </w:t>
            </w:r>
            <w:r w:rsidR="0098328C">
              <w:rPr>
                <w:sz w:val="18"/>
              </w:rPr>
              <w:t xml:space="preserve">the </w:t>
            </w:r>
            <w:r w:rsidR="0098328C" w:rsidRPr="00040A06">
              <w:rPr>
                <w:sz w:val="18"/>
              </w:rPr>
              <w:t>Scheduled Premises Reg</w:t>
            </w:r>
            <w:r w:rsidR="0098328C" w:rsidRPr="00ED52C7">
              <w:rPr>
                <w:sz w:val="18"/>
              </w:rPr>
              <w:t>ulation</w:t>
            </w:r>
            <w:r w:rsidR="0098328C" w:rsidRPr="00040A06">
              <w:rPr>
                <w:sz w:val="18"/>
              </w:rPr>
              <w:t>s</w:t>
            </w:r>
            <w:r w:rsidR="0098328C">
              <w:rPr>
                <w:sz w:val="18"/>
              </w:rPr>
              <w:t>)</w:t>
            </w:r>
            <w:r w:rsidRPr="00ED52C7">
              <w:rPr>
                <w:sz w:val="18"/>
              </w:rPr>
              <w:t xml:space="preserve"> except for</w:t>
            </w:r>
            <w:r w:rsidR="0098328C">
              <w:rPr>
                <w:sz w:val="18"/>
              </w:rPr>
              <w:t>:</w:t>
            </w:r>
          </w:p>
          <w:p w14:paraId="656B016D" w14:textId="77777777" w:rsidR="00ED52C7" w:rsidRPr="00276A0D" w:rsidRDefault="00ED52C7" w:rsidP="004A2442">
            <w:pPr>
              <w:pStyle w:val="ListParagraph"/>
              <w:numPr>
                <w:ilvl w:val="0"/>
                <w:numId w:val="26"/>
              </w:numPr>
              <w:rPr>
                <w:sz w:val="18"/>
              </w:rPr>
            </w:pPr>
            <w:r w:rsidRPr="00276A0D">
              <w:rPr>
                <w:sz w:val="18"/>
              </w:rPr>
              <w:t>Container washing</w:t>
            </w:r>
          </w:p>
          <w:p w14:paraId="656B016E" w14:textId="77777777" w:rsidR="00ED52C7" w:rsidRPr="000E7C5E" w:rsidRDefault="00DD3378" w:rsidP="004A2442">
            <w:pPr>
              <w:pStyle w:val="ListParagraph"/>
              <w:numPr>
                <w:ilvl w:val="0"/>
                <w:numId w:val="26"/>
              </w:numPr>
              <w:rPr>
                <w:sz w:val="18"/>
              </w:rPr>
            </w:pPr>
            <w:r w:rsidRPr="000E7C5E">
              <w:rPr>
                <w:sz w:val="18"/>
              </w:rPr>
              <w:t>Contaminated sites – long term management</w:t>
            </w:r>
          </w:p>
          <w:p w14:paraId="656B016F" w14:textId="77777777" w:rsidR="009F0E86" w:rsidRPr="00040A06" w:rsidRDefault="009F0E86" w:rsidP="009F0E86">
            <w:pPr>
              <w:rPr>
                <w:b/>
                <w:sz w:val="18"/>
              </w:rPr>
            </w:pPr>
          </w:p>
        </w:tc>
        <w:tc>
          <w:tcPr>
            <w:tcW w:w="3487" w:type="dxa"/>
          </w:tcPr>
          <w:p w14:paraId="656B0170" w14:textId="77777777" w:rsidR="009F0E86" w:rsidRDefault="009F0E86" w:rsidP="009F0E86">
            <w:pPr>
              <w:rPr>
                <w:sz w:val="18"/>
              </w:rPr>
            </w:pPr>
            <w:r w:rsidRPr="00040A06">
              <w:rPr>
                <w:sz w:val="18"/>
              </w:rPr>
              <w:t>Consignment authorisations (Waste into Vic</w:t>
            </w:r>
            <w:r w:rsidR="00F54C16">
              <w:rPr>
                <w:sz w:val="18"/>
              </w:rPr>
              <w:t>toria</w:t>
            </w:r>
            <w:r w:rsidR="00ED52C7">
              <w:rPr>
                <w:sz w:val="18"/>
              </w:rPr>
              <w:t xml:space="preserve"> and </w:t>
            </w:r>
            <w:r w:rsidR="00ED52C7" w:rsidRPr="00273588">
              <w:rPr>
                <w:sz w:val="18"/>
              </w:rPr>
              <w:t xml:space="preserve">Waste </w:t>
            </w:r>
            <w:r w:rsidR="00ED52C7">
              <w:rPr>
                <w:sz w:val="18"/>
              </w:rPr>
              <w:t xml:space="preserve">out of </w:t>
            </w:r>
            <w:r w:rsidR="00ED52C7" w:rsidRPr="00273588">
              <w:rPr>
                <w:sz w:val="18"/>
              </w:rPr>
              <w:t>Vic</w:t>
            </w:r>
            <w:r w:rsidR="00F54C16">
              <w:rPr>
                <w:sz w:val="18"/>
              </w:rPr>
              <w:t>toria</w:t>
            </w:r>
            <w:r w:rsidRPr="00040A06">
              <w:rPr>
                <w:sz w:val="18"/>
              </w:rPr>
              <w:t>)</w:t>
            </w:r>
          </w:p>
          <w:p w14:paraId="656B0171" w14:textId="58591554" w:rsidR="009F0E86" w:rsidRDefault="009F0E86" w:rsidP="005B03CD">
            <w:pPr>
              <w:rPr>
                <w:sz w:val="18"/>
              </w:rPr>
            </w:pPr>
            <w:r w:rsidRPr="009F0E86">
              <w:rPr>
                <w:sz w:val="18"/>
              </w:rPr>
              <w:t>Outdoor concerts - Authority may allow later operations (outside of hours)</w:t>
            </w:r>
          </w:p>
          <w:p w14:paraId="656B0172" w14:textId="77777777" w:rsidR="009F0E86" w:rsidRDefault="009F0E86" w:rsidP="005B03CD">
            <w:pPr>
              <w:rPr>
                <w:sz w:val="18"/>
              </w:rPr>
            </w:pPr>
            <w:r w:rsidRPr="009F0E86">
              <w:rPr>
                <w:sz w:val="18"/>
              </w:rPr>
              <w:t>Outdoor concerts -</w:t>
            </w:r>
            <w:r w:rsidR="00014F56">
              <w:rPr>
                <w:sz w:val="18"/>
              </w:rPr>
              <w:t xml:space="preserve"> </w:t>
            </w:r>
            <w:r w:rsidRPr="009F0E86">
              <w:rPr>
                <w:sz w:val="18"/>
              </w:rPr>
              <w:t>Authority may allow outdoor venue to conduct more than six concerts in a year</w:t>
            </w:r>
          </w:p>
          <w:p w14:paraId="656B0173" w14:textId="77777777" w:rsidR="009F0E86" w:rsidRDefault="009F0E86" w:rsidP="005B03CD">
            <w:pPr>
              <w:rPr>
                <w:sz w:val="18"/>
              </w:rPr>
            </w:pPr>
            <w:r w:rsidRPr="009F0E86">
              <w:rPr>
                <w:sz w:val="18"/>
              </w:rPr>
              <w:t xml:space="preserve">Municipal landfills serving </w:t>
            </w:r>
            <w:r w:rsidR="00ED52C7">
              <w:rPr>
                <w:sz w:val="18"/>
              </w:rPr>
              <w:t>&lt;</w:t>
            </w:r>
            <w:r w:rsidRPr="009F0E86">
              <w:rPr>
                <w:sz w:val="18"/>
              </w:rPr>
              <w:t>5</w:t>
            </w:r>
            <w:r w:rsidR="00AD5002">
              <w:rPr>
                <w:sz w:val="18"/>
              </w:rPr>
              <w:t>,</w:t>
            </w:r>
            <w:r w:rsidRPr="009F0E86">
              <w:rPr>
                <w:sz w:val="18"/>
              </w:rPr>
              <w:t>000 people</w:t>
            </w:r>
          </w:p>
          <w:p w14:paraId="656B0174" w14:textId="77777777" w:rsidR="009F0E86" w:rsidRDefault="009F0E86" w:rsidP="005B03CD">
            <w:pPr>
              <w:rPr>
                <w:sz w:val="18"/>
              </w:rPr>
            </w:pPr>
            <w:r w:rsidRPr="009F0E86">
              <w:rPr>
                <w:sz w:val="18"/>
              </w:rPr>
              <w:t>Supply or use of wastewater</w:t>
            </w:r>
            <w:r w:rsidR="00ED52C7">
              <w:rPr>
                <w:sz w:val="18"/>
              </w:rPr>
              <w:t>/biosolids</w:t>
            </w:r>
          </w:p>
          <w:p w14:paraId="656B0175" w14:textId="77777777" w:rsidR="009F0E86" w:rsidRDefault="009F0E86" w:rsidP="005B03CD">
            <w:pPr>
              <w:rPr>
                <w:sz w:val="18"/>
              </w:rPr>
            </w:pPr>
            <w:r w:rsidRPr="009F0E86">
              <w:rPr>
                <w:sz w:val="18"/>
              </w:rPr>
              <w:t>Temporary plant for on-site waste treatment</w:t>
            </w:r>
          </w:p>
          <w:p w14:paraId="656B0176" w14:textId="77777777" w:rsidR="009F0E86" w:rsidRDefault="009F0E86" w:rsidP="005B03CD">
            <w:pPr>
              <w:rPr>
                <w:sz w:val="18"/>
              </w:rPr>
            </w:pPr>
            <w:r w:rsidRPr="009F0E86">
              <w:rPr>
                <w:sz w:val="18"/>
              </w:rPr>
              <w:t>Discharge of waste to aquifer</w:t>
            </w:r>
          </w:p>
          <w:p w14:paraId="656B0177" w14:textId="77777777" w:rsidR="009F0E86" w:rsidRDefault="00954954" w:rsidP="005B03CD">
            <w:pPr>
              <w:rPr>
                <w:sz w:val="18"/>
              </w:rPr>
            </w:pPr>
            <w:r>
              <w:rPr>
                <w:sz w:val="18"/>
              </w:rPr>
              <w:t xml:space="preserve">On-site wastewater management systems </w:t>
            </w:r>
            <w:r w:rsidR="009F0E86">
              <w:rPr>
                <w:sz w:val="18"/>
              </w:rPr>
              <w:t>(Council</w:t>
            </w:r>
            <w:r w:rsidR="00ED52C7">
              <w:rPr>
                <w:sz w:val="18"/>
              </w:rPr>
              <w:t>-</w:t>
            </w:r>
            <w:r w:rsidR="009F0E86">
              <w:rPr>
                <w:sz w:val="18"/>
              </w:rPr>
              <w:t>issued permit)</w:t>
            </w:r>
          </w:p>
          <w:p w14:paraId="656B0178" w14:textId="77777777" w:rsidR="00DD3378" w:rsidRDefault="00DD3378" w:rsidP="005B03CD">
            <w:pPr>
              <w:rPr>
                <w:sz w:val="18"/>
              </w:rPr>
            </w:pPr>
            <w:r>
              <w:rPr>
                <w:sz w:val="18"/>
              </w:rPr>
              <w:t>Operation of</w:t>
            </w:r>
            <w:r w:rsidRPr="00AD5002">
              <w:rPr>
                <w:sz w:val="18"/>
              </w:rPr>
              <w:t xml:space="preserve"> </w:t>
            </w:r>
            <w:r>
              <w:rPr>
                <w:sz w:val="18"/>
              </w:rPr>
              <w:t xml:space="preserve">premises where more than 5,000 animals are confined, and waste is discharged </w:t>
            </w:r>
            <w:r w:rsidRPr="00AD5002">
              <w:rPr>
                <w:sz w:val="18"/>
              </w:rPr>
              <w:t>solely to land</w:t>
            </w:r>
            <w:r>
              <w:rPr>
                <w:sz w:val="18"/>
              </w:rPr>
              <w:t>.</w:t>
            </w:r>
            <w:r>
              <w:rPr>
                <w:rStyle w:val="FootnoteReference"/>
                <w:sz w:val="18"/>
              </w:rPr>
              <w:t xml:space="preserve"> </w:t>
            </w:r>
            <w:r>
              <w:rPr>
                <w:rStyle w:val="FootnoteReference"/>
                <w:sz w:val="18"/>
              </w:rPr>
              <w:footnoteReference w:id="58"/>
            </w:r>
            <w:r w:rsidRPr="00AD5002">
              <w:rPr>
                <w:sz w:val="18"/>
              </w:rPr>
              <w:t xml:space="preserve"> </w:t>
            </w:r>
          </w:p>
          <w:p w14:paraId="656B0179" w14:textId="77777777" w:rsidR="00AD5002" w:rsidRDefault="00AD5002" w:rsidP="005B03CD">
            <w:pPr>
              <w:rPr>
                <w:sz w:val="18"/>
              </w:rPr>
            </w:pPr>
            <w:r>
              <w:rPr>
                <w:sz w:val="18"/>
              </w:rPr>
              <w:t xml:space="preserve">Operation of </w:t>
            </w:r>
            <w:r w:rsidRPr="00AD5002">
              <w:rPr>
                <w:sz w:val="18"/>
              </w:rPr>
              <w:t>saleyar</w:t>
            </w:r>
            <w:r>
              <w:rPr>
                <w:sz w:val="18"/>
              </w:rPr>
              <w:t xml:space="preserve">ds/holding pens </w:t>
            </w:r>
            <w:r w:rsidR="00954954">
              <w:rPr>
                <w:sz w:val="18"/>
              </w:rPr>
              <w:t xml:space="preserve">with a throughput of at least 10,000 animal units per year, </w:t>
            </w:r>
            <w:r>
              <w:rPr>
                <w:sz w:val="18"/>
              </w:rPr>
              <w:t>which discharge</w:t>
            </w:r>
            <w:r w:rsidRPr="00AD5002">
              <w:rPr>
                <w:sz w:val="18"/>
              </w:rPr>
              <w:t xml:space="preserve"> solely to land</w:t>
            </w:r>
            <w:r w:rsidR="00954954">
              <w:rPr>
                <w:sz w:val="18"/>
              </w:rPr>
              <w:t>.</w:t>
            </w:r>
          </w:p>
          <w:p w14:paraId="656B017A" w14:textId="77777777" w:rsidR="00C9117E" w:rsidRPr="00040A06" w:rsidRDefault="00C9117E" w:rsidP="005B03CD">
            <w:pPr>
              <w:rPr>
                <w:sz w:val="18"/>
              </w:rPr>
            </w:pPr>
            <w:r>
              <w:rPr>
                <w:sz w:val="18"/>
              </w:rPr>
              <w:t>Waste transport vehicle permits (for vehicles carrying prescribed waste codes).</w:t>
            </w:r>
          </w:p>
        </w:tc>
        <w:tc>
          <w:tcPr>
            <w:tcW w:w="3487" w:type="dxa"/>
          </w:tcPr>
          <w:p w14:paraId="656B017B" w14:textId="77777777" w:rsidR="009F0E86" w:rsidRPr="00040A06" w:rsidRDefault="009F0E86" w:rsidP="009F0E86">
            <w:pPr>
              <w:rPr>
                <w:sz w:val="18"/>
              </w:rPr>
            </w:pPr>
            <w:r w:rsidRPr="00040A06">
              <w:rPr>
                <w:sz w:val="18"/>
              </w:rPr>
              <w:t>Biomedical storage by a council, health service or ambulance service</w:t>
            </w:r>
          </w:p>
          <w:p w14:paraId="656B017C" w14:textId="77777777" w:rsidR="009F0E86" w:rsidRPr="00040A06" w:rsidRDefault="009F0E86" w:rsidP="009F0E86">
            <w:pPr>
              <w:rPr>
                <w:sz w:val="18"/>
              </w:rPr>
            </w:pPr>
            <w:r w:rsidRPr="00040A06">
              <w:rPr>
                <w:sz w:val="18"/>
              </w:rPr>
              <w:t>Temporary asbestos storage</w:t>
            </w:r>
          </w:p>
          <w:p w14:paraId="656B017D" w14:textId="77777777" w:rsidR="009F0E86" w:rsidRDefault="00C9117E" w:rsidP="009F0E86">
            <w:pPr>
              <w:rPr>
                <w:sz w:val="18"/>
              </w:rPr>
            </w:pPr>
            <w:r>
              <w:rPr>
                <w:sz w:val="18"/>
              </w:rPr>
              <w:t>Temporary storage</w:t>
            </w:r>
            <w:r w:rsidR="00D41902">
              <w:rPr>
                <w:sz w:val="18"/>
              </w:rPr>
              <w:t xml:space="preserve"> of </w:t>
            </w:r>
            <w:r w:rsidR="00D41902" w:rsidRPr="00D41902">
              <w:rPr>
                <w:sz w:val="18"/>
              </w:rPr>
              <w:t>1000 litres or less of designated waste not generated at the premises</w:t>
            </w:r>
          </w:p>
          <w:p w14:paraId="656B017E" w14:textId="77777777" w:rsidR="00C9117E" w:rsidRPr="00040A06" w:rsidRDefault="00C9117E" w:rsidP="009F0E86">
            <w:pPr>
              <w:rPr>
                <w:sz w:val="18"/>
              </w:rPr>
            </w:pPr>
            <w:r w:rsidRPr="00BB2ADD">
              <w:rPr>
                <w:sz w:val="18"/>
              </w:rPr>
              <w:t xml:space="preserve">Waste </w:t>
            </w:r>
            <w:r>
              <w:rPr>
                <w:sz w:val="18"/>
              </w:rPr>
              <w:t>t</w:t>
            </w:r>
            <w:r w:rsidRPr="00BB2ADD">
              <w:rPr>
                <w:sz w:val="18"/>
              </w:rPr>
              <w:t xml:space="preserve">ransport </w:t>
            </w:r>
            <w:r>
              <w:rPr>
                <w:sz w:val="18"/>
              </w:rPr>
              <w:t xml:space="preserve">vehicle permits (for all </w:t>
            </w:r>
            <w:r w:rsidRPr="00BB2ADD">
              <w:rPr>
                <w:sz w:val="18"/>
              </w:rPr>
              <w:t>other wastes requiring a transport permission</w:t>
            </w:r>
            <w:r>
              <w:rPr>
                <w:sz w:val="18"/>
              </w:rPr>
              <w:t>).</w:t>
            </w:r>
          </w:p>
        </w:tc>
      </w:tr>
    </w:tbl>
    <w:p w14:paraId="656B0180" w14:textId="77777777" w:rsidR="001C6038" w:rsidRDefault="001C6038" w:rsidP="00040A06"/>
    <w:p w14:paraId="656B0181" w14:textId="77777777" w:rsidR="0023026E" w:rsidRDefault="0023026E" w:rsidP="00AF3C30">
      <w:pPr>
        <w:pStyle w:val="Heading3"/>
        <w:ind w:left="720"/>
      </w:pPr>
      <w:r>
        <w:t>Option 2 – Limited expansion to permissioning cohorts</w:t>
      </w:r>
    </w:p>
    <w:p w14:paraId="656B0182" w14:textId="77777777" w:rsidR="0023026E" w:rsidRDefault="0023026E" w:rsidP="0023026E">
      <w:r>
        <w:t>Under Option 2, the permissioning cohort</w:t>
      </w:r>
      <w:r w:rsidR="0098328C">
        <w:t xml:space="preserve"> is</w:t>
      </w:r>
      <w:r>
        <w:t xml:space="preserve"> expanded to incorpora</w:t>
      </w:r>
      <w:r w:rsidR="006C75E3">
        <w:t xml:space="preserve">te selected new activities identified by EPA that represent a </w:t>
      </w:r>
      <w:r w:rsidR="009127D9">
        <w:t>significant risk to human health and the environment</w:t>
      </w:r>
      <w:r w:rsidR="00DC7A63">
        <w:t xml:space="preserve">. </w:t>
      </w:r>
    </w:p>
    <w:p w14:paraId="656B0183" w14:textId="77777777" w:rsidR="0023026E" w:rsidRPr="00273588" w:rsidRDefault="0023026E" w:rsidP="004A2442">
      <w:pPr>
        <w:pStyle w:val="ListParagraph"/>
        <w:numPr>
          <w:ilvl w:val="0"/>
          <w:numId w:val="26"/>
        </w:numPr>
      </w:pPr>
      <w:r>
        <w:rPr>
          <w:b/>
        </w:rPr>
        <w:t xml:space="preserve">Development Licence: </w:t>
      </w:r>
      <w:r>
        <w:t>As Per Option 1</w:t>
      </w:r>
      <w:r w:rsidR="004966A5">
        <w:t xml:space="preserve"> p</w:t>
      </w:r>
      <w:r w:rsidR="00EE79DC">
        <w:t xml:space="preserve">lus the inclusion of </w:t>
      </w:r>
      <w:r w:rsidR="0058428D">
        <w:t>waste and resource recovery</w:t>
      </w:r>
      <w:r w:rsidR="00790726">
        <w:t xml:space="preserve"> (WRR) </w:t>
      </w:r>
      <w:r w:rsidR="0015789E">
        <w:t xml:space="preserve">facilities </w:t>
      </w:r>
      <w:r w:rsidR="00EE79DC">
        <w:t xml:space="preserve">that </w:t>
      </w:r>
      <w:r w:rsidR="001E116B">
        <w:t>require an Operating Licence or a Permit throughout their operating life.</w:t>
      </w:r>
    </w:p>
    <w:p w14:paraId="656B0184" w14:textId="77777777" w:rsidR="0023026E" w:rsidRDefault="0023026E" w:rsidP="004A2442">
      <w:pPr>
        <w:pStyle w:val="ListParagraph"/>
        <w:numPr>
          <w:ilvl w:val="0"/>
          <w:numId w:val="26"/>
        </w:numPr>
      </w:pPr>
      <w:r>
        <w:rPr>
          <w:b/>
        </w:rPr>
        <w:t xml:space="preserve">Operating Licence: </w:t>
      </w:r>
      <w:r>
        <w:t xml:space="preserve">As per Option 1, plus the inclusion of </w:t>
      </w:r>
      <w:r w:rsidR="00424426">
        <w:t>WRR</w:t>
      </w:r>
      <w:r w:rsidR="003F6069">
        <w:t xml:space="preserve">s </w:t>
      </w:r>
      <w:r w:rsidR="0098328C">
        <w:t>receiv</w:t>
      </w:r>
      <w:r w:rsidR="00EE79DC">
        <w:t xml:space="preserve">ing more than </w:t>
      </w:r>
      <w:r>
        <w:t xml:space="preserve">4,000 tonnes of </w:t>
      </w:r>
      <w:r w:rsidR="00011898">
        <w:t xml:space="preserve">waste (including </w:t>
      </w:r>
      <w:r w:rsidR="00954954">
        <w:t xml:space="preserve">combustible recyclable </w:t>
      </w:r>
      <w:r>
        <w:t>waste</w:t>
      </w:r>
      <w:r w:rsidR="00011898">
        <w:t>)</w:t>
      </w:r>
      <w:r>
        <w:t xml:space="preserve"> in any month</w:t>
      </w:r>
      <w:r w:rsidR="00D37EA7">
        <w:t xml:space="preserve"> or storing more than 10,000 cubic metres at any time</w:t>
      </w:r>
      <w:r w:rsidR="00A80A08">
        <w:t>.</w:t>
      </w:r>
      <w:r>
        <w:t xml:space="preserve"> </w:t>
      </w:r>
    </w:p>
    <w:p w14:paraId="656B0185" w14:textId="77777777" w:rsidR="00ED52C7" w:rsidRPr="007577E3" w:rsidRDefault="00ED52C7" w:rsidP="004A2442">
      <w:pPr>
        <w:pStyle w:val="ListParagraph"/>
        <w:numPr>
          <w:ilvl w:val="0"/>
          <w:numId w:val="26"/>
        </w:numPr>
        <w:rPr>
          <w:b/>
        </w:rPr>
      </w:pPr>
      <w:r w:rsidRPr="007577E3">
        <w:rPr>
          <w:b/>
        </w:rPr>
        <w:t>Financial Assurance</w:t>
      </w:r>
      <w:r>
        <w:rPr>
          <w:b/>
        </w:rPr>
        <w:t xml:space="preserve">: </w:t>
      </w:r>
      <w:r>
        <w:t xml:space="preserve">All activities </w:t>
      </w:r>
      <w:r w:rsidR="0098328C">
        <w:t>requiring a</w:t>
      </w:r>
      <w:r>
        <w:t xml:space="preserve"> financial assurance under Option 1 would also require one under Option 2</w:t>
      </w:r>
      <w:r w:rsidR="00DE03D5">
        <w:t xml:space="preserve">. </w:t>
      </w:r>
      <w:r w:rsidR="007901B3">
        <w:t xml:space="preserve">WRRs </w:t>
      </w:r>
      <w:r w:rsidR="00DE03D5">
        <w:t>operating above certain thresholds would also require a financial assurance.</w:t>
      </w:r>
      <w:r w:rsidR="001048A3">
        <w:t xml:space="preserve"> </w:t>
      </w:r>
    </w:p>
    <w:p w14:paraId="656B0186" w14:textId="77777777" w:rsidR="0023026E" w:rsidRPr="00273588" w:rsidRDefault="0023026E" w:rsidP="004A2442">
      <w:pPr>
        <w:pStyle w:val="ListParagraph"/>
        <w:numPr>
          <w:ilvl w:val="0"/>
          <w:numId w:val="26"/>
        </w:numPr>
        <w:rPr>
          <w:b/>
        </w:rPr>
      </w:pPr>
      <w:r w:rsidRPr="00273588">
        <w:rPr>
          <w:b/>
        </w:rPr>
        <w:t>Permit</w:t>
      </w:r>
      <w:r>
        <w:rPr>
          <w:b/>
        </w:rPr>
        <w:t xml:space="preserve">: </w:t>
      </w:r>
      <w:r>
        <w:t>As per Option 1, plus the inclusion of selected activities that previously did not require a</w:t>
      </w:r>
      <w:r w:rsidR="00B96C53">
        <w:t>n EPA</w:t>
      </w:r>
      <w:r>
        <w:t xml:space="preserve"> </w:t>
      </w:r>
      <w:r w:rsidR="00FA7F28">
        <w:t>permit</w:t>
      </w:r>
      <w:r w:rsidR="00B96C53">
        <w:t>,</w:t>
      </w:r>
      <w:r w:rsidR="00FA7F28">
        <w:t xml:space="preserve"> </w:t>
      </w:r>
      <w:r>
        <w:t>permission</w:t>
      </w:r>
      <w:r w:rsidR="00B96C53">
        <w:t xml:space="preserve"> or exemption</w:t>
      </w:r>
      <w:r>
        <w:t xml:space="preserve">. </w:t>
      </w:r>
    </w:p>
    <w:p w14:paraId="656B0187" w14:textId="77777777" w:rsidR="00170DB1" w:rsidRDefault="0023026E" w:rsidP="004A2442">
      <w:pPr>
        <w:pStyle w:val="ListParagraph"/>
        <w:numPr>
          <w:ilvl w:val="0"/>
          <w:numId w:val="26"/>
        </w:numPr>
      </w:pPr>
      <w:r>
        <w:rPr>
          <w:b/>
        </w:rPr>
        <w:t xml:space="preserve">Registration: </w:t>
      </w:r>
      <w:r w:rsidR="006C75E3">
        <w:t>As per Option 1, plus the inclusion of selected activities that previously did not require a permission, or fell below thresholds specified in the Scheduled Premises Regulations</w:t>
      </w:r>
      <w:r w:rsidR="00DC7A63">
        <w:t>.</w:t>
      </w:r>
      <w:r w:rsidR="00014F56">
        <w:t xml:space="preserve"> </w:t>
      </w:r>
    </w:p>
    <w:p w14:paraId="656B0188" w14:textId="77777777" w:rsidR="00130552" w:rsidRPr="00213CCE" w:rsidRDefault="00130552" w:rsidP="00130552">
      <w:r>
        <w:t xml:space="preserve">Further detail on each of the proposed activities under Option 2 that would be subject to a permission or financial assurance </w:t>
      </w:r>
      <w:r w:rsidR="000730C7">
        <w:t xml:space="preserve">is </w:t>
      </w:r>
      <w:r>
        <w:t>outlined in</w:t>
      </w:r>
      <w:r w:rsidR="00AF3C30">
        <w:t xml:space="preserve"> </w:t>
      </w:r>
      <w:r w:rsidR="00AF3C30">
        <w:fldChar w:fldCharType="begin"/>
      </w:r>
      <w:r w:rsidR="00AF3C30">
        <w:instrText xml:space="preserve"> REF _Ref11308677 \h </w:instrText>
      </w:r>
      <w:r w:rsidR="00AF3C30">
        <w:fldChar w:fldCharType="separate"/>
      </w:r>
      <w:r w:rsidR="00B11C1E">
        <w:t xml:space="preserve">Table </w:t>
      </w:r>
      <w:r w:rsidR="00B11C1E">
        <w:rPr>
          <w:noProof/>
        </w:rPr>
        <w:t>6</w:t>
      </w:r>
      <w:r w:rsidR="00B11C1E">
        <w:noBreakHyphen/>
      </w:r>
      <w:r w:rsidR="00B11C1E">
        <w:rPr>
          <w:noProof/>
        </w:rPr>
        <w:t>2</w:t>
      </w:r>
      <w:r w:rsidR="00AF3C30">
        <w:fldChar w:fldCharType="end"/>
      </w:r>
      <w:r>
        <w:t xml:space="preserve">. </w:t>
      </w:r>
    </w:p>
    <w:p w14:paraId="656B0189" w14:textId="77777777" w:rsidR="00604576" w:rsidRDefault="00604576" w:rsidP="00604576">
      <w:pPr>
        <w:pStyle w:val="Caption"/>
      </w:pPr>
      <w:bookmarkStart w:id="590" w:name="_Ref11308677"/>
      <w:bookmarkStart w:id="591" w:name="_Ref11308674"/>
      <w:r>
        <w:t xml:space="preserve">Table </w:t>
      </w:r>
      <w:r w:rsidR="007E575A">
        <w:rPr>
          <w:color w:val="2B579A"/>
          <w:shd w:val="clear" w:color="auto" w:fill="E6E6E6"/>
        </w:rPr>
        <w:fldChar w:fldCharType="begin"/>
      </w:r>
      <w:r w:rsidR="007E575A">
        <w:instrText xml:space="preserve"> STYLEREF 1 \s </w:instrText>
      </w:r>
      <w:r w:rsidR="007E575A">
        <w:rPr>
          <w:color w:val="2B579A"/>
          <w:shd w:val="clear" w:color="auto" w:fill="E6E6E6"/>
        </w:rPr>
        <w:fldChar w:fldCharType="separate"/>
      </w:r>
      <w:r w:rsidR="00B11C1E">
        <w:rPr>
          <w:noProof/>
        </w:rPr>
        <w:t>6</w:t>
      </w:r>
      <w:r w:rsidR="007E575A">
        <w:rPr>
          <w:color w:val="2B579A"/>
          <w:shd w:val="clear" w:color="auto" w:fill="E6E6E6"/>
        </w:rPr>
        <w:fldChar w:fldCharType="end"/>
      </w:r>
      <w:r w:rsidR="007E575A">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2</w:t>
      </w:r>
      <w:r w:rsidR="00997CFA">
        <w:rPr>
          <w:color w:val="2B579A"/>
          <w:shd w:val="clear" w:color="auto" w:fill="E6E6E6"/>
        </w:rPr>
        <w:fldChar w:fldCharType="end"/>
      </w:r>
      <w:bookmarkEnd w:id="590"/>
      <w:r w:rsidRPr="00604576">
        <w:t xml:space="preserve"> </w:t>
      </w:r>
      <w:r>
        <w:t>Option 2 Permissioning activities</w:t>
      </w:r>
      <w:bookmarkEnd w:id="591"/>
    </w:p>
    <w:tbl>
      <w:tblPr>
        <w:tblStyle w:val="Deloittetable1"/>
        <w:tblW w:w="0" w:type="auto"/>
        <w:tblLook w:val="04A0" w:firstRow="1" w:lastRow="0" w:firstColumn="1" w:lastColumn="0" w:noHBand="0" w:noVBand="1"/>
      </w:tblPr>
      <w:tblGrid>
        <w:gridCol w:w="3486"/>
        <w:gridCol w:w="3487"/>
        <w:gridCol w:w="3487"/>
      </w:tblGrid>
      <w:tr w:rsidR="00B74A55" w:rsidRPr="00273588" w14:paraId="656B018D" w14:textId="77777777" w:rsidTr="006C75E3">
        <w:trPr>
          <w:cnfStyle w:val="100000000000" w:firstRow="1" w:lastRow="0" w:firstColumn="0" w:lastColumn="0" w:oddVBand="0" w:evenVBand="0" w:oddHBand="0" w:evenHBand="0" w:firstRowFirstColumn="0" w:firstRowLastColumn="0" w:lastRowFirstColumn="0" w:lastRowLastColumn="0"/>
        </w:trPr>
        <w:tc>
          <w:tcPr>
            <w:tcW w:w="3486" w:type="dxa"/>
          </w:tcPr>
          <w:p w14:paraId="656B018A" w14:textId="77777777" w:rsidR="00B74A55" w:rsidRDefault="00B74A55" w:rsidP="00B74A55">
            <w:pPr>
              <w:rPr>
                <w:b/>
                <w:sz w:val="18"/>
                <w:u w:val="single"/>
              </w:rPr>
            </w:pPr>
            <w:r w:rsidRPr="00273588">
              <w:rPr>
                <w:b/>
              </w:rPr>
              <w:t>Development/operating licence</w:t>
            </w:r>
            <w:r w:rsidR="00ED52C7">
              <w:rPr>
                <w:b/>
              </w:rPr>
              <w:t>/FA</w:t>
            </w:r>
          </w:p>
        </w:tc>
        <w:tc>
          <w:tcPr>
            <w:tcW w:w="3487" w:type="dxa"/>
          </w:tcPr>
          <w:p w14:paraId="656B018B" w14:textId="77777777" w:rsidR="00B74A55" w:rsidRPr="00273588" w:rsidRDefault="00B74A55" w:rsidP="00B74A55">
            <w:pPr>
              <w:rPr>
                <w:b/>
                <w:sz w:val="18"/>
                <w:u w:val="single"/>
              </w:rPr>
            </w:pPr>
            <w:r w:rsidRPr="00273588">
              <w:rPr>
                <w:b/>
              </w:rPr>
              <w:t>Permit</w:t>
            </w:r>
          </w:p>
        </w:tc>
        <w:tc>
          <w:tcPr>
            <w:tcW w:w="3487" w:type="dxa"/>
          </w:tcPr>
          <w:p w14:paraId="656B018C" w14:textId="77777777" w:rsidR="00B74A55" w:rsidRPr="00273588" w:rsidRDefault="00B74A55" w:rsidP="00B74A55">
            <w:pPr>
              <w:rPr>
                <w:b/>
                <w:sz w:val="18"/>
                <w:u w:val="single"/>
              </w:rPr>
            </w:pPr>
            <w:r w:rsidRPr="00273588">
              <w:rPr>
                <w:b/>
              </w:rPr>
              <w:t>Registration</w:t>
            </w:r>
          </w:p>
        </w:tc>
      </w:tr>
      <w:tr w:rsidR="00B74A55" w:rsidRPr="00273588" w14:paraId="656B01A5" w14:textId="77777777" w:rsidTr="006C75E3">
        <w:tc>
          <w:tcPr>
            <w:tcW w:w="3486" w:type="dxa"/>
          </w:tcPr>
          <w:p w14:paraId="656B018E" w14:textId="77777777" w:rsidR="004A061C" w:rsidRPr="00ED52C7" w:rsidRDefault="004A061C" w:rsidP="004A061C">
            <w:pPr>
              <w:rPr>
                <w:b/>
                <w:sz w:val="18"/>
              </w:rPr>
            </w:pPr>
            <w:r w:rsidRPr="00ED52C7">
              <w:rPr>
                <w:b/>
                <w:sz w:val="18"/>
              </w:rPr>
              <w:t>Development licence</w:t>
            </w:r>
            <w:r>
              <w:rPr>
                <w:b/>
                <w:sz w:val="18"/>
              </w:rPr>
              <w:t>:</w:t>
            </w:r>
          </w:p>
          <w:p w14:paraId="656B018F" w14:textId="77777777" w:rsidR="004A061C" w:rsidRDefault="00DE03D5" w:rsidP="004A061C">
            <w:pPr>
              <w:rPr>
                <w:sz w:val="18"/>
              </w:rPr>
            </w:pPr>
            <w:r>
              <w:rPr>
                <w:sz w:val="18"/>
              </w:rPr>
              <w:t>As per Option 1</w:t>
            </w:r>
            <w:r w:rsidR="00462C18">
              <w:rPr>
                <w:sz w:val="18"/>
              </w:rPr>
              <w:t xml:space="preserve">, plus: </w:t>
            </w:r>
          </w:p>
          <w:p w14:paraId="656B0190" w14:textId="77777777" w:rsidR="00E140AA" w:rsidRDefault="00E140AA" w:rsidP="00E140AA">
            <w:pPr>
              <w:pStyle w:val="ListParagraph"/>
              <w:numPr>
                <w:ilvl w:val="0"/>
                <w:numId w:val="82"/>
              </w:numPr>
              <w:rPr>
                <w:sz w:val="18"/>
              </w:rPr>
            </w:pPr>
            <w:r>
              <w:rPr>
                <w:sz w:val="18"/>
              </w:rPr>
              <w:t>WRRs</w:t>
            </w:r>
            <w:r>
              <w:rPr>
                <w:rStyle w:val="FootnoteReference"/>
                <w:sz w:val="18"/>
              </w:rPr>
              <w:footnoteReference w:id="59"/>
            </w:r>
            <w:r w:rsidRPr="00DE03D5">
              <w:rPr>
                <w:sz w:val="18"/>
              </w:rPr>
              <w:t xml:space="preserve"> </w:t>
            </w:r>
            <w:r>
              <w:rPr>
                <w:sz w:val="18"/>
              </w:rPr>
              <w:t xml:space="preserve">which require either an Operating licence or a Permit throughout their operating life. </w:t>
            </w:r>
          </w:p>
          <w:p w14:paraId="656B0191" w14:textId="77777777" w:rsidR="00E140AA" w:rsidRPr="00ED52C7" w:rsidRDefault="00E140AA" w:rsidP="00E140AA">
            <w:pPr>
              <w:rPr>
                <w:b/>
                <w:sz w:val="18"/>
              </w:rPr>
            </w:pPr>
            <w:r>
              <w:rPr>
                <w:b/>
                <w:sz w:val="18"/>
              </w:rPr>
              <w:t>Operating licence:</w:t>
            </w:r>
          </w:p>
          <w:p w14:paraId="656B0192" w14:textId="77777777" w:rsidR="00E140AA" w:rsidRDefault="00E140AA" w:rsidP="00E140AA">
            <w:pPr>
              <w:rPr>
                <w:sz w:val="18"/>
              </w:rPr>
            </w:pPr>
            <w:r>
              <w:rPr>
                <w:sz w:val="18"/>
              </w:rPr>
              <w:t>As per Option 1, plus:</w:t>
            </w:r>
          </w:p>
          <w:p w14:paraId="656B0193" w14:textId="77777777" w:rsidR="00E140AA" w:rsidRDefault="00E140AA" w:rsidP="00E140AA">
            <w:pPr>
              <w:pStyle w:val="ListParagraph"/>
              <w:numPr>
                <w:ilvl w:val="0"/>
                <w:numId w:val="82"/>
              </w:numPr>
              <w:rPr>
                <w:sz w:val="18"/>
              </w:rPr>
            </w:pPr>
            <w:r>
              <w:rPr>
                <w:sz w:val="18"/>
              </w:rPr>
              <w:t>WRRs</w:t>
            </w:r>
            <w:r w:rsidRPr="00273588">
              <w:rPr>
                <w:sz w:val="18"/>
              </w:rPr>
              <w:t xml:space="preserve"> receiving</w:t>
            </w:r>
            <w:r>
              <w:rPr>
                <w:sz w:val="18"/>
              </w:rPr>
              <w:t xml:space="preserve"> or processing more than 4,000 tonnes of waste (inc. combustible waste) in any month or storing more than 10,000 cubic metres at any time</w:t>
            </w:r>
          </w:p>
          <w:p w14:paraId="656B0194" w14:textId="77777777" w:rsidR="00B74A55" w:rsidRPr="00DE03D5" w:rsidRDefault="00B74A55" w:rsidP="00AF3C30">
            <w:pPr>
              <w:pStyle w:val="ListParagraph"/>
              <w:ind w:left="360"/>
              <w:rPr>
                <w:sz w:val="18"/>
              </w:rPr>
            </w:pPr>
          </w:p>
          <w:p w14:paraId="656B0195" w14:textId="77777777" w:rsidR="00DE03D5" w:rsidRPr="00ED52C7" w:rsidRDefault="00DE03D5" w:rsidP="00DE03D5">
            <w:pPr>
              <w:rPr>
                <w:b/>
                <w:sz w:val="18"/>
              </w:rPr>
            </w:pPr>
            <w:r>
              <w:rPr>
                <w:b/>
                <w:sz w:val="18"/>
              </w:rPr>
              <w:t>Financial assurance:</w:t>
            </w:r>
          </w:p>
          <w:p w14:paraId="656B0196" w14:textId="77777777" w:rsidR="00DE03D5" w:rsidRDefault="00DE03D5" w:rsidP="00DE03D5">
            <w:pPr>
              <w:rPr>
                <w:sz w:val="18"/>
              </w:rPr>
            </w:pPr>
            <w:r>
              <w:rPr>
                <w:sz w:val="18"/>
              </w:rPr>
              <w:t>As per Option 1, plus:</w:t>
            </w:r>
          </w:p>
          <w:p w14:paraId="656B0197" w14:textId="77777777" w:rsidR="00B74A55" w:rsidRPr="00273588" w:rsidRDefault="00596FF2" w:rsidP="00B05634">
            <w:pPr>
              <w:pStyle w:val="ListParagraph"/>
              <w:numPr>
                <w:ilvl w:val="0"/>
                <w:numId w:val="82"/>
              </w:numPr>
              <w:rPr>
                <w:sz w:val="18"/>
              </w:rPr>
            </w:pPr>
            <w:r>
              <w:rPr>
                <w:sz w:val="18"/>
              </w:rPr>
              <w:t>WRRs, which require either an Operating licence or a Permit throughout their operating life.</w:t>
            </w:r>
          </w:p>
        </w:tc>
        <w:tc>
          <w:tcPr>
            <w:tcW w:w="3487" w:type="dxa"/>
          </w:tcPr>
          <w:p w14:paraId="656B0198" w14:textId="77777777" w:rsidR="00B74A55" w:rsidRPr="00273588" w:rsidRDefault="00B74A55" w:rsidP="00B74A55">
            <w:pPr>
              <w:rPr>
                <w:sz w:val="18"/>
                <w:u w:val="single"/>
              </w:rPr>
            </w:pPr>
            <w:r w:rsidRPr="00273588">
              <w:rPr>
                <w:b/>
                <w:sz w:val="18"/>
                <w:u w:val="single"/>
              </w:rPr>
              <w:t>As per Option 1, plus</w:t>
            </w:r>
          </w:p>
          <w:p w14:paraId="656B0199" w14:textId="77777777" w:rsidR="00596FF2" w:rsidRDefault="00596FF2" w:rsidP="00596FF2">
            <w:pPr>
              <w:pStyle w:val="ListParagraph"/>
              <w:numPr>
                <w:ilvl w:val="0"/>
                <w:numId w:val="82"/>
              </w:numPr>
              <w:rPr>
                <w:sz w:val="18"/>
              </w:rPr>
            </w:pPr>
            <w:r>
              <w:rPr>
                <w:sz w:val="18"/>
              </w:rPr>
              <w:t>WRRs</w:t>
            </w:r>
            <w:r w:rsidRPr="00DE03D5">
              <w:rPr>
                <w:sz w:val="18"/>
              </w:rPr>
              <w:t xml:space="preserve"> </w:t>
            </w:r>
            <w:r w:rsidRPr="00273588">
              <w:rPr>
                <w:sz w:val="18"/>
              </w:rPr>
              <w:t>receiving</w:t>
            </w:r>
            <w:r>
              <w:rPr>
                <w:sz w:val="18"/>
              </w:rPr>
              <w:t xml:space="preserve"> or processing more than 4,000 tonnes of waste (excluding combustible waste) in any month or storing more than 10,000 cubic metres at any time</w:t>
            </w:r>
          </w:p>
          <w:p w14:paraId="656B019A" w14:textId="77777777" w:rsidR="00596FF2" w:rsidRDefault="00596FF2" w:rsidP="00596FF2">
            <w:pPr>
              <w:pStyle w:val="ListParagraph"/>
              <w:numPr>
                <w:ilvl w:val="0"/>
                <w:numId w:val="82"/>
              </w:numPr>
              <w:rPr>
                <w:sz w:val="18"/>
              </w:rPr>
            </w:pPr>
            <w:r>
              <w:rPr>
                <w:sz w:val="18"/>
              </w:rPr>
              <w:t>WRRs</w:t>
            </w:r>
            <w:r w:rsidRPr="00DE03D5">
              <w:rPr>
                <w:sz w:val="18"/>
              </w:rPr>
              <w:t xml:space="preserve"> </w:t>
            </w:r>
            <w:r w:rsidRPr="00273588">
              <w:rPr>
                <w:sz w:val="18"/>
              </w:rPr>
              <w:t>receiving</w:t>
            </w:r>
            <w:r>
              <w:rPr>
                <w:sz w:val="18"/>
              </w:rPr>
              <w:t xml:space="preserve"> or processing less than 4,000 tonnes of waste (including combustible waste) in any month </w:t>
            </w:r>
            <w:r w:rsidR="00A0008F">
              <w:rPr>
                <w:sz w:val="18"/>
              </w:rPr>
              <w:t>and</w:t>
            </w:r>
            <w:r>
              <w:rPr>
                <w:sz w:val="18"/>
              </w:rPr>
              <w:t xml:space="preserve"> storing between 5</w:t>
            </w:r>
            <w:r w:rsidR="007901B3">
              <w:rPr>
                <w:sz w:val="18"/>
              </w:rPr>
              <w:t>,</w:t>
            </w:r>
            <w:r>
              <w:rPr>
                <w:sz w:val="18"/>
              </w:rPr>
              <w:t>000 and 10,000 cubic metres at any time</w:t>
            </w:r>
          </w:p>
          <w:p w14:paraId="656B019B" w14:textId="77777777" w:rsidR="00596FF2" w:rsidRDefault="00596FF2" w:rsidP="00AF3C30">
            <w:pPr>
              <w:pStyle w:val="ListParagraph"/>
              <w:ind w:left="360"/>
              <w:rPr>
                <w:sz w:val="18"/>
              </w:rPr>
            </w:pPr>
          </w:p>
          <w:p w14:paraId="656B019C" w14:textId="77777777" w:rsidR="00B74A55" w:rsidRDefault="00B74A55" w:rsidP="004A2442">
            <w:pPr>
              <w:pStyle w:val="ListParagraph"/>
              <w:numPr>
                <w:ilvl w:val="0"/>
                <w:numId w:val="82"/>
              </w:numPr>
              <w:rPr>
                <w:sz w:val="18"/>
              </w:rPr>
            </w:pPr>
            <w:r w:rsidRPr="00BA67DA">
              <w:rPr>
                <w:sz w:val="18"/>
              </w:rPr>
              <w:t>Supply or Use of Reportable Priority Waste and liquid wastes</w:t>
            </w:r>
          </w:p>
          <w:p w14:paraId="656B019D" w14:textId="77777777" w:rsidR="00C9117E" w:rsidRPr="00273588" w:rsidRDefault="00B74A55" w:rsidP="004A2442">
            <w:pPr>
              <w:pStyle w:val="ListParagraph"/>
              <w:numPr>
                <w:ilvl w:val="0"/>
                <w:numId w:val="82"/>
              </w:numPr>
              <w:rPr>
                <w:sz w:val="18"/>
              </w:rPr>
            </w:pPr>
            <w:r w:rsidRPr="00BA67DA">
              <w:rPr>
                <w:sz w:val="18"/>
              </w:rPr>
              <w:t>Containment of Category D soils on project site</w:t>
            </w:r>
          </w:p>
        </w:tc>
        <w:tc>
          <w:tcPr>
            <w:tcW w:w="3487" w:type="dxa"/>
          </w:tcPr>
          <w:p w14:paraId="656B019E" w14:textId="77777777" w:rsidR="00B74A55" w:rsidRPr="00273588" w:rsidRDefault="00B74A55" w:rsidP="00B74A55">
            <w:pPr>
              <w:rPr>
                <w:sz w:val="18"/>
                <w:u w:val="single"/>
              </w:rPr>
            </w:pPr>
            <w:r w:rsidRPr="00273588">
              <w:rPr>
                <w:b/>
                <w:sz w:val="18"/>
                <w:u w:val="single"/>
              </w:rPr>
              <w:t>As per option 1, plus:</w:t>
            </w:r>
          </w:p>
          <w:p w14:paraId="656B019F" w14:textId="77777777" w:rsidR="00BC625A" w:rsidRPr="0073546C" w:rsidRDefault="008E2A73" w:rsidP="0073546C">
            <w:pPr>
              <w:pStyle w:val="ListParagraph"/>
              <w:numPr>
                <w:ilvl w:val="0"/>
                <w:numId w:val="82"/>
              </w:numPr>
              <w:rPr>
                <w:sz w:val="18"/>
              </w:rPr>
            </w:pPr>
            <w:r w:rsidRPr="0073546C">
              <w:rPr>
                <w:sz w:val="18"/>
              </w:rPr>
              <w:t>WRRs storing between 5 and 5,000 cubic metres of waste (whether or not combustible) at any time.</w:t>
            </w:r>
          </w:p>
          <w:p w14:paraId="656B01A0" w14:textId="77777777" w:rsidR="00B74A55" w:rsidRDefault="00B74A55" w:rsidP="0073546C">
            <w:pPr>
              <w:pStyle w:val="ListParagraph"/>
              <w:numPr>
                <w:ilvl w:val="0"/>
                <w:numId w:val="82"/>
              </w:numPr>
              <w:rPr>
                <w:sz w:val="18"/>
              </w:rPr>
            </w:pPr>
            <w:r w:rsidRPr="00BB2ADD">
              <w:rPr>
                <w:sz w:val="18"/>
              </w:rPr>
              <w:t>Dry-cleaning</w:t>
            </w:r>
          </w:p>
          <w:p w14:paraId="656B01A1" w14:textId="77777777" w:rsidR="00B74A55" w:rsidRDefault="00B74A55" w:rsidP="0073546C">
            <w:pPr>
              <w:pStyle w:val="ListParagraph"/>
              <w:numPr>
                <w:ilvl w:val="0"/>
                <w:numId w:val="82"/>
              </w:numPr>
              <w:rPr>
                <w:sz w:val="18"/>
              </w:rPr>
            </w:pPr>
            <w:r>
              <w:rPr>
                <w:sz w:val="18"/>
              </w:rPr>
              <w:t>G</w:t>
            </w:r>
            <w:r w:rsidRPr="00BB2ADD">
              <w:rPr>
                <w:sz w:val="18"/>
              </w:rPr>
              <w:t>lass re</w:t>
            </w:r>
            <w:r>
              <w:rPr>
                <w:sz w:val="18"/>
              </w:rPr>
              <w:t>-</w:t>
            </w:r>
            <w:r w:rsidRPr="00BB2ADD">
              <w:rPr>
                <w:sz w:val="18"/>
              </w:rPr>
              <w:t xml:space="preserve">processors </w:t>
            </w:r>
            <w:r>
              <w:rPr>
                <w:sz w:val="18"/>
              </w:rPr>
              <w:t>(</w:t>
            </w:r>
            <w:r w:rsidRPr="00BB2ADD">
              <w:rPr>
                <w:sz w:val="18"/>
              </w:rPr>
              <w:t>who reprocess gl</w:t>
            </w:r>
            <w:r>
              <w:rPr>
                <w:sz w:val="18"/>
              </w:rPr>
              <w:t xml:space="preserve">ass waste at a design capacity below the threshold set in the </w:t>
            </w:r>
            <w:r w:rsidRPr="00BB2ADD">
              <w:rPr>
                <w:sz w:val="18"/>
              </w:rPr>
              <w:t>Scheduled Premises Regulations</w:t>
            </w:r>
            <w:r>
              <w:rPr>
                <w:sz w:val="18"/>
              </w:rPr>
              <w:t>)</w:t>
            </w:r>
          </w:p>
          <w:p w14:paraId="656B01A2" w14:textId="77777777" w:rsidR="00B74A55" w:rsidRPr="0073546C" w:rsidRDefault="00B74A55" w:rsidP="0073546C">
            <w:pPr>
              <w:pStyle w:val="ListParagraph"/>
              <w:numPr>
                <w:ilvl w:val="0"/>
                <w:numId w:val="82"/>
              </w:numPr>
              <w:rPr>
                <w:sz w:val="18"/>
              </w:rPr>
            </w:pPr>
            <w:r w:rsidRPr="0073546C">
              <w:rPr>
                <w:sz w:val="18"/>
              </w:rPr>
              <w:t>Waste tyre storage facilities (that fall below thresholds specified in the Scheduled Premises Regulations)</w:t>
            </w:r>
          </w:p>
          <w:p w14:paraId="656B01A3" w14:textId="77777777" w:rsidR="00B74A55" w:rsidRPr="0073546C" w:rsidRDefault="00B74A55" w:rsidP="0073546C">
            <w:pPr>
              <w:pStyle w:val="ListParagraph"/>
              <w:numPr>
                <w:ilvl w:val="0"/>
                <w:numId w:val="82"/>
              </w:numPr>
              <w:rPr>
                <w:sz w:val="18"/>
              </w:rPr>
            </w:pPr>
            <w:r w:rsidRPr="0073546C">
              <w:rPr>
                <w:sz w:val="18"/>
              </w:rPr>
              <w:t>Organic waste processing facilities (that fall below thresholds specified in the Scheduled Premises Regulations)</w:t>
            </w:r>
          </w:p>
          <w:p w14:paraId="656B01A4" w14:textId="77777777" w:rsidR="00B74A55" w:rsidRPr="0073546C" w:rsidRDefault="00B74A55" w:rsidP="0073546C">
            <w:pPr>
              <w:pStyle w:val="ListParagraph"/>
              <w:numPr>
                <w:ilvl w:val="0"/>
                <w:numId w:val="82"/>
              </w:numPr>
              <w:rPr>
                <w:sz w:val="18"/>
              </w:rPr>
            </w:pPr>
            <w:r w:rsidRPr="0073546C">
              <w:rPr>
                <w:sz w:val="18"/>
              </w:rPr>
              <w:t>e-waste reprocessing facilities (that fall below thresholds specified in the Scheduled Premises Regulations)</w:t>
            </w:r>
          </w:p>
        </w:tc>
      </w:tr>
    </w:tbl>
    <w:p w14:paraId="656B01A6" w14:textId="77777777" w:rsidR="00DA78B9" w:rsidRDefault="00DA78B9" w:rsidP="00040A06"/>
    <w:p w14:paraId="656B01A7" w14:textId="77777777" w:rsidR="00243F08" w:rsidRDefault="00707C54" w:rsidP="00982D63">
      <w:pPr>
        <w:pStyle w:val="Heading2"/>
      </w:pPr>
      <w:bookmarkStart w:id="592" w:name="_Toc525554671"/>
      <w:bookmarkStart w:id="593" w:name="_Toc536054964"/>
      <w:r w:rsidRPr="00114C18">
        <w:t>Cost benefit analysis</w:t>
      </w:r>
      <w:bookmarkStart w:id="594" w:name="_Toc525554652"/>
      <w:bookmarkStart w:id="595" w:name="_Toc536054965"/>
      <w:bookmarkStart w:id="596" w:name="_Toc525554672"/>
      <w:bookmarkEnd w:id="592"/>
      <w:bookmarkEnd w:id="593"/>
    </w:p>
    <w:p w14:paraId="656B01A8" w14:textId="77777777" w:rsidR="003E5783" w:rsidRDefault="007D51AB" w:rsidP="007D51AB">
      <w:r>
        <w:t>To identify a preferred option, the costs and benefits of Options 1</w:t>
      </w:r>
      <w:r w:rsidR="00FA7F28">
        <w:t xml:space="preserve"> and</w:t>
      </w:r>
      <w:r>
        <w:t xml:space="preserve"> 2 have been assessed relative to the </w:t>
      </w:r>
      <w:r w:rsidR="000514DD">
        <w:t>Base Case</w:t>
      </w:r>
      <w:r>
        <w:t>.</w:t>
      </w:r>
    </w:p>
    <w:p w14:paraId="656B01A9" w14:textId="77777777" w:rsidR="00017DEB" w:rsidRPr="0034078D" w:rsidRDefault="00501331" w:rsidP="00017DEB">
      <w:r>
        <w:t>T</w:t>
      </w:r>
      <w:r w:rsidR="005A5105">
        <w:t xml:space="preserve">he costs and benefits associated with </w:t>
      </w:r>
      <w:r w:rsidR="00A903BC">
        <w:t xml:space="preserve">the </w:t>
      </w:r>
      <w:r w:rsidR="005A5105">
        <w:t xml:space="preserve">proposed permissioning </w:t>
      </w:r>
      <w:r w:rsidR="000730C7">
        <w:t>r</w:t>
      </w:r>
      <w:r w:rsidR="005A5105">
        <w:t xml:space="preserve">egulations have been calculated under the assumption businesses are not fully compliant with the GED and other environmental laws. </w:t>
      </w:r>
      <w:r w:rsidR="00114781">
        <w:t xml:space="preserve">It is assumed that businesses would achieve a greater </w:t>
      </w:r>
      <w:r w:rsidR="00D3545B">
        <w:t xml:space="preserve">(but not full) </w:t>
      </w:r>
      <w:r w:rsidR="00114781">
        <w:t xml:space="preserve">level of compliance with permissioning </w:t>
      </w:r>
      <w:r w:rsidR="000730C7">
        <w:t>r</w:t>
      </w:r>
      <w:r w:rsidR="00114781">
        <w:t>egulations in place</w:t>
      </w:r>
      <w:r w:rsidR="00D3545B">
        <w:t>.</w:t>
      </w:r>
      <w:r w:rsidR="00114781">
        <w:t xml:space="preserve"> </w:t>
      </w:r>
      <w:r w:rsidR="005A5105">
        <w:t xml:space="preserve">This is because the permissioning framework is </w:t>
      </w:r>
      <w:r w:rsidR="00AB0B23">
        <w:t xml:space="preserve">primarily </w:t>
      </w:r>
      <w:r w:rsidR="005A5105">
        <w:t xml:space="preserve">designed to increase the compliance of high-risk activities with the GED and other environmental regulations, rather than impose additional restrictions on duty holders. </w:t>
      </w:r>
      <w:r w:rsidR="00017DEB">
        <w:t>T</w:t>
      </w:r>
      <w:r w:rsidR="00017DEB">
        <w:rPr>
          <w:rFonts w:cs="Segoe UI Light"/>
          <w:szCs w:val="20"/>
        </w:rPr>
        <w:t>he permissions framework is expected to increase compliance because it will provide EPA with a structured and transparent framework within which to request certain actions which address areas where there is a significant risk of harm e.g. request a generator of air emissions to model or monitor their air emissions. Specifically, the</w:t>
      </w:r>
      <w:r w:rsidR="00017DEB" w:rsidRPr="5A8DC5B2">
        <w:rPr>
          <w:rFonts w:cs="Segoe UI Light"/>
          <w:szCs w:val="20"/>
        </w:rPr>
        <w:t xml:space="preserve"> conditions of a permission will provide specificity and certainty to dut</w:t>
      </w:r>
      <w:r w:rsidR="00017DEB">
        <w:rPr>
          <w:rFonts w:cs="Segoe UI Light"/>
          <w:szCs w:val="20"/>
        </w:rPr>
        <w:t>y holders about what they must d</w:t>
      </w:r>
      <w:r w:rsidR="00017DEB" w:rsidRPr="5A8DC5B2">
        <w:rPr>
          <w:rFonts w:cs="Segoe UI Light"/>
          <w:szCs w:val="20"/>
        </w:rPr>
        <w:t>o in order to comply with their obligations under the GED with regards to certain key risks. Setting permission requirements for certain activities also allows EPA to enforce against consistently p</w:t>
      </w:r>
      <w:r w:rsidR="00017DEB">
        <w:rPr>
          <w:rFonts w:cs="Segoe UI Light"/>
          <w:szCs w:val="20"/>
        </w:rPr>
        <w:t>oor performers or those who may</w:t>
      </w:r>
      <w:r w:rsidR="00017DEB" w:rsidRPr="5A8DC5B2">
        <w:rPr>
          <w:rFonts w:cs="Segoe UI Light"/>
          <w:szCs w:val="20"/>
        </w:rPr>
        <w:t xml:space="preserve"> deliberately not comply with their obligations.</w:t>
      </w:r>
      <w:r w:rsidR="00017DEB">
        <w:rPr>
          <w:rFonts w:cs="Segoe UI Light"/>
          <w:szCs w:val="20"/>
        </w:rPr>
        <w:t xml:space="preserve"> The</w:t>
      </w:r>
      <w:r w:rsidR="00017DEB" w:rsidRPr="5A8DC5B2">
        <w:rPr>
          <w:rFonts w:cs="Segoe UI Light"/>
          <w:szCs w:val="20"/>
        </w:rPr>
        <w:t xml:space="preserve"> permissions framework </w:t>
      </w:r>
      <w:r w:rsidR="00017DEB">
        <w:rPr>
          <w:rFonts w:cs="Segoe UI Light"/>
          <w:szCs w:val="20"/>
        </w:rPr>
        <w:t xml:space="preserve">also </w:t>
      </w:r>
      <w:r w:rsidR="00017DEB" w:rsidRPr="5A8DC5B2">
        <w:rPr>
          <w:rFonts w:cs="Segoe UI Light"/>
          <w:szCs w:val="20"/>
        </w:rPr>
        <w:t xml:space="preserve">allows for greater oversight by EPA to help identify areas where understanding of environmental obligations and compliance </w:t>
      </w:r>
      <w:r w:rsidR="000730C7">
        <w:rPr>
          <w:rFonts w:cs="Segoe UI Light"/>
          <w:szCs w:val="20"/>
        </w:rPr>
        <w:t>with</w:t>
      </w:r>
      <w:r w:rsidR="00017DEB" w:rsidRPr="5A8DC5B2">
        <w:rPr>
          <w:rFonts w:cs="Segoe UI Light"/>
          <w:szCs w:val="20"/>
        </w:rPr>
        <w:t xml:space="preserve"> the environment protection framework may be poor and helps EPA target its response to drive compliance. </w:t>
      </w:r>
    </w:p>
    <w:p w14:paraId="656B01AA" w14:textId="77777777" w:rsidR="007D51AB" w:rsidRDefault="00D3545B" w:rsidP="007D51AB">
      <w:r>
        <w:t>The extent to which this greater compliance results in a reduction in emissions and incidents was considered in the 2017 Regulatory Impact Statement for the Scheduled Premises Regulations.</w:t>
      </w:r>
      <w:r w:rsidR="00681AA2">
        <w:rPr>
          <w:rStyle w:val="FootnoteReference"/>
        </w:rPr>
        <w:footnoteReference w:id="60"/>
      </w:r>
    </w:p>
    <w:p w14:paraId="656B01AB" w14:textId="77777777" w:rsidR="00552496" w:rsidRPr="00003D4C" w:rsidRDefault="00130552" w:rsidP="00AF3C30">
      <w:pPr>
        <w:pStyle w:val="Heading3"/>
        <w:ind w:left="720"/>
      </w:pPr>
      <w:r>
        <w:t>Benefits</w:t>
      </w:r>
    </w:p>
    <w:p w14:paraId="656B01AC" w14:textId="77777777" w:rsidR="005B03CD" w:rsidRPr="00552496" w:rsidRDefault="00DA78B9" w:rsidP="00552496">
      <w:pPr>
        <w:rPr>
          <w:b/>
        </w:rPr>
      </w:pPr>
      <w:r>
        <w:rPr>
          <w:b/>
        </w:rPr>
        <w:t>R</w:t>
      </w:r>
      <w:r w:rsidR="005B03CD" w:rsidRPr="00552496">
        <w:rPr>
          <w:b/>
        </w:rPr>
        <w:t>eduction in harmful air emissions</w:t>
      </w:r>
      <w:r w:rsidR="009F0679">
        <w:rPr>
          <w:b/>
        </w:rPr>
        <w:t xml:space="preserve"> brought about by licences</w:t>
      </w:r>
    </w:p>
    <w:p w14:paraId="656B01AD" w14:textId="77777777" w:rsidR="005B03CD" w:rsidRDefault="005B03CD" w:rsidP="005B03CD">
      <w:r>
        <w:t>In 2017, there were 172 scheduled premises classified as emitters of potentially harmful air emissions.</w:t>
      </w:r>
      <w:r w:rsidR="00B8082A">
        <w:rPr>
          <w:rStyle w:val="FootnoteReference"/>
        </w:rPr>
        <w:footnoteReference w:id="61"/>
      </w:r>
      <w:r>
        <w:t xml:space="preserve"> The requirement for operators to obtain development and operating licences is designed to reduce air emissions through ensuring appropriate design of relevant operations (through development licences) and compliance with maximum emission requirements (through operating licences). These measures reduce quantifiable harms to people and the environment. Following the approach of 2017 Regulatory Impact </w:t>
      </w:r>
      <w:r w:rsidR="00276A0D">
        <w:t>Statement</w:t>
      </w:r>
      <w:r w:rsidR="00DE7FE1" w:rsidRPr="00DE7FE1">
        <w:t xml:space="preserve"> </w:t>
      </w:r>
      <w:r w:rsidR="00DE7FE1">
        <w:t>for the Scheduled Premises Regulations</w:t>
      </w:r>
      <w:r>
        <w:t xml:space="preserve">, the benefits of reductions in air emissions are estimated by taking the marginal cost of air emissions, and multiplying them by the estimated change in emissions for each site </w:t>
      </w:r>
      <w:r w:rsidR="009F0679">
        <w:t>brought about by the introduction of operating licences and development licences</w:t>
      </w:r>
      <w:r>
        <w:t>. Air emission values are based on estimated health impacts of selected pollutants discharged</w:t>
      </w:r>
      <w:r w:rsidR="00F8453F">
        <w:t xml:space="preserve"> (see Appendix </w:t>
      </w:r>
      <w:r w:rsidR="005F58DF">
        <w:t>4</w:t>
      </w:r>
      <w:r w:rsidR="00F8453F">
        <w:t>)</w:t>
      </w:r>
      <w:r>
        <w:t xml:space="preserve">. </w:t>
      </w:r>
    </w:p>
    <w:p w14:paraId="656B01AE" w14:textId="77777777" w:rsidR="005B03CD" w:rsidRDefault="005B03CD" w:rsidP="005B03CD">
      <w:r>
        <w:t xml:space="preserve">The </w:t>
      </w:r>
      <w:r w:rsidR="00F8453F">
        <w:t xml:space="preserve">change </w:t>
      </w:r>
      <w:r w:rsidR="009364B7">
        <w:t xml:space="preserve">in air emissions </w:t>
      </w:r>
      <w:r>
        <w:t xml:space="preserve">for each premises is estimated by examining the licensed load limits by scheduled category and emission type, and the estimated compliance against these load limits under the option, and then comparing this </w:t>
      </w:r>
      <w:r w:rsidR="003F6069">
        <w:t>to</w:t>
      </w:r>
      <w:r>
        <w:t xml:space="preserve"> the </w:t>
      </w:r>
      <w:r w:rsidR="000514DD">
        <w:t>Base Case</w:t>
      </w:r>
      <w:r w:rsidR="00F8453F">
        <w:t>.</w:t>
      </w:r>
      <w:r w:rsidR="00F8453F">
        <w:rPr>
          <w:rStyle w:val="FootnoteReference"/>
        </w:rPr>
        <w:footnoteReference w:id="62"/>
      </w:r>
      <w:r w:rsidR="00F8453F">
        <w:t xml:space="preserve"> </w:t>
      </w:r>
    </w:p>
    <w:p w14:paraId="656B01AF" w14:textId="77777777" w:rsidR="00552496" w:rsidRDefault="005B03CD" w:rsidP="005B03CD">
      <w:r>
        <w:t>The estimated benefit is the same for Options 1</w:t>
      </w:r>
      <w:r w:rsidR="00130552">
        <w:t xml:space="preserve"> and</w:t>
      </w:r>
      <w:r>
        <w:t xml:space="preserve"> 2, because the activities requiring licences are the same </w:t>
      </w:r>
      <w:r w:rsidR="003F6069">
        <w:t xml:space="preserve">under </w:t>
      </w:r>
      <w:r w:rsidR="00130552">
        <w:t xml:space="preserve">the two options. Although </w:t>
      </w:r>
      <w:r>
        <w:t xml:space="preserve">Option 1 does not include operating licences for </w:t>
      </w:r>
      <w:r w:rsidR="007901B3">
        <w:t xml:space="preserve">WRRs </w:t>
      </w:r>
      <w:r>
        <w:t xml:space="preserve">that accept waste above a certain threshold volume, these facilities are typically </w:t>
      </w:r>
      <w:r w:rsidRPr="00130552">
        <w:t>not</w:t>
      </w:r>
      <w:r>
        <w:t xml:space="preserve"> significant emitters of </w:t>
      </w:r>
      <w:r w:rsidR="00895A83">
        <w:t>harmful ongoing, point-source</w:t>
      </w:r>
      <w:r>
        <w:t xml:space="preserve"> air emissions.</w:t>
      </w:r>
      <w:r w:rsidR="00552496">
        <w:t xml:space="preserve"> </w:t>
      </w:r>
      <w:r w:rsidR="00895A83">
        <w:rPr>
          <w:rFonts w:cs="Segoe UI Light"/>
          <w:szCs w:val="20"/>
        </w:rPr>
        <w:t>However, mismanagement at a WRR facility could result in a fire which could have significant short-term impacts on air quality for the area</w:t>
      </w:r>
      <w:r w:rsidR="00895A83">
        <w:t xml:space="preserve"> and which could</w:t>
      </w:r>
      <w:r w:rsidR="001048A3">
        <w:t xml:space="preserve"> pose a threat to workers at the site, as well as residents and occupants of neighbouring properties.</w:t>
      </w:r>
      <w:r w:rsidR="00130552">
        <w:t xml:space="preserve"> </w:t>
      </w:r>
      <w:r w:rsidR="00895A83">
        <w:t>The benefit</w:t>
      </w:r>
      <w:r w:rsidR="00895A83">
        <w:rPr>
          <w:rFonts w:cs="Segoe UI Light"/>
          <w:szCs w:val="20"/>
        </w:rPr>
        <w:t xml:space="preserve"> of this avoided harm from fires is considered under the ‘Reduced cost of fires at WRRs section below.</w:t>
      </w:r>
    </w:p>
    <w:p w14:paraId="656B01B0" w14:textId="77777777" w:rsidR="00AF3C30" w:rsidRDefault="00552496" w:rsidP="005B03CD">
      <w:pPr>
        <w:rPr>
          <w:b/>
        </w:rPr>
      </w:pPr>
      <w:r>
        <w:t>The benefits of reduced air em</w:t>
      </w:r>
      <w:r w:rsidR="00006A73">
        <w:t>i</w:t>
      </w:r>
      <w:r>
        <w:t xml:space="preserve">ssions are assumed to increase gradually over time, reflecting ‘compliance decay’ occurring in the </w:t>
      </w:r>
      <w:r w:rsidR="000514DD">
        <w:t>Base Case</w:t>
      </w:r>
      <w:r>
        <w:t xml:space="preserve">, but not </w:t>
      </w:r>
      <w:r w:rsidR="00386DA3">
        <w:t>under</w:t>
      </w:r>
      <w:r w:rsidR="00130552">
        <w:t xml:space="preserve"> Options 1 and</w:t>
      </w:r>
      <w:r>
        <w:t xml:space="preserve"> 2.</w:t>
      </w:r>
      <w:r w:rsidR="005B03CD">
        <w:t xml:space="preserve"> </w:t>
      </w:r>
    </w:p>
    <w:p w14:paraId="656B01B1" w14:textId="77777777" w:rsidR="005B03CD" w:rsidRDefault="00DA78B9" w:rsidP="005B03CD">
      <w:pPr>
        <w:rPr>
          <w:b/>
        </w:rPr>
      </w:pPr>
      <w:r>
        <w:rPr>
          <w:b/>
        </w:rPr>
        <w:t>R</w:t>
      </w:r>
      <w:r w:rsidR="005B03CD">
        <w:rPr>
          <w:b/>
        </w:rPr>
        <w:t>eduction in harmful water emissions</w:t>
      </w:r>
      <w:r w:rsidR="009F0679">
        <w:rPr>
          <w:b/>
        </w:rPr>
        <w:t xml:space="preserve"> brought about by licences</w:t>
      </w:r>
    </w:p>
    <w:p w14:paraId="656B01B2" w14:textId="77777777" w:rsidR="005B03CD" w:rsidRDefault="005B03CD" w:rsidP="005B03CD">
      <w:r>
        <w:t xml:space="preserve">In 2017, there were 170 scheduled premises classified as emitters of potentially </w:t>
      </w:r>
      <w:r w:rsidR="003140EC">
        <w:t>harmful</w:t>
      </w:r>
      <w:r>
        <w:t xml:space="preserve"> emissions to water.</w:t>
      </w:r>
      <w:r w:rsidR="00B8082A">
        <w:rPr>
          <w:rStyle w:val="FootnoteReference"/>
        </w:rPr>
        <w:footnoteReference w:id="63"/>
      </w:r>
      <w:r>
        <w:t xml:space="preserve"> Discharges from these premises can introduce contaminants into waterways and disturb natural waterflows. </w:t>
      </w:r>
    </w:p>
    <w:p w14:paraId="656B01B3" w14:textId="77777777" w:rsidR="009F0679" w:rsidRDefault="009821F0" w:rsidP="009F0679">
      <w:r>
        <w:t>T</w:t>
      </w:r>
      <w:r w:rsidR="009F0679">
        <w:t xml:space="preserve">he reduction in </w:t>
      </w:r>
      <w:r w:rsidR="00B8082A">
        <w:t xml:space="preserve">harm from </w:t>
      </w:r>
      <w:r w:rsidR="009F0679">
        <w:t xml:space="preserve">water emissions is estimated </w:t>
      </w:r>
      <w:r>
        <w:t xml:space="preserve">using a similar approach to air emissions: </w:t>
      </w:r>
      <w:r w:rsidR="009F0679">
        <w:t xml:space="preserve">by taking the marginal </w:t>
      </w:r>
      <w:r w:rsidR="009364B7">
        <w:t xml:space="preserve">water </w:t>
      </w:r>
      <w:r w:rsidR="009F0679">
        <w:t xml:space="preserve">emission values </w:t>
      </w:r>
      <w:r w:rsidR="009364B7">
        <w:t xml:space="preserve">(see Appendix </w:t>
      </w:r>
      <w:r w:rsidR="005F58DF">
        <w:t>4</w:t>
      </w:r>
      <w:r w:rsidR="009364B7">
        <w:t xml:space="preserve">) </w:t>
      </w:r>
      <w:r w:rsidR="009F0679">
        <w:t xml:space="preserve">and multiplying </w:t>
      </w:r>
      <w:r w:rsidR="009364B7">
        <w:t xml:space="preserve">these </w:t>
      </w:r>
      <w:r w:rsidR="009F0679">
        <w:t xml:space="preserve">by the estimated change in emissions for each site brought about by the introduction of operating licences and development licences (relative to the </w:t>
      </w:r>
      <w:r w:rsidR="000514DD">
        <w:t>Base Case</w:t>
      </w:r>
      <w:r w:rsidR="009F0679">
        <w:t xml:space="preserve">). The change for each </w:t>
      </w:r>
      <w:r w:rsidR="000730C7">
        <w:t xml:space="preserve">site </w:t>
      </w:r>
      <w:r w:rsidR="009F0679">
        <w:t xml:space="preserve">is estimated by examining the licensed load limits by scheduled category and emission type, and the estimated compliance against these load limits under the option, and then comparing this estimate to the estimate under the </w:t>
      </w:r>
      <w:r w:rsidR="000514DD">
        <w:t>Base Case</w:t>
      </w:r>
      <w:r w:rsidR="009F0679">
        <w:t>.</w:t>
      </w:r>
      <w:r w:rsidR="009364B7">
        <w:rPr>
          <w:rStyle w:val="FootnoteReference"/>
        </w:rPr>
        <w:footnoteReference w:id="64"/>
      </w:r>
      <w:r w:rsidR="00014F56">
        <w:t xml:space="preserve"> </w:t>
      </w:r>
    </w:p>
    <w:p w14:paraId="656B01B4" w14:textId="77777777" w:rsidR="00895A83" w:rsidRDefault="00006A73" w:rsidP="00895A83">
      <w:pPr>
        <w:rPr>
          <w:rFonts w:cs="Segoe UI Light"/>
          <w:szCs w:val="20"/>
        </w:rPr>
      </w:pPr>
      <w:r>
        <w:t xml:space="preserve">The estimated benefit is also the same for Options 1 </w:t>
      </w:r>
      <w:r w:rsidR="009821F0">
        <w:t xml:space="preserve">and </w:t>
      </w:r>
      <w:r>
        <w:t xml:space="preserve">2, since the activities requiring licences are all the same except Option 1 does not include operating licences for </w:t>
      </w:r>
      <w:r w:rsidR="007901B3">
        <w:t xml:space="preserve">WRRs </w:t>
      </w:r>
      <w:r>
        <w:t xml:space="preserve">that accept waste above a certain threshold volume. These facilities are typically </w:t>
      </w:r>
      <w:r w:rsidRPr="00040A06">
        <w:t>not</w:t>
      </w:r>
      <w:r>
        <w:t xml:space="preserve"> significant emitters of harmful water emissions</w:t>
      </w:r>
      <w:r w:rsidR="00895A83">
        <w:t xml:space="preserve"> </w:t>
      </w:r>
      <w:r w:rsidR="00895A83">
        <w:rPr>
          <w:rFonts w:cs="Segoe UI Light"/>
          <w:szCs w:val="20"/>
        </w:rPr>
        <w:t>from ongoing, day-to-day operations,</w:t>
      </w:r>
      <w:r w:rsidR="00895A83">
        <w:t xml:space="preserve"> although fires at these facilities may cause water pollution e</w:t>
      </w:r>
      <w:r w:rsidR="00895A83">
        <w:rPr>
          <w:rFonts w:cs="Segoe UI Light"/>
          <w:szCs w:val="20"/>
        </w:rPr>
        <w:t>.g. from contaminated run-off of the water used for firefighting activities</w:t>
      </w:r>
      <w:r w:rsidR="00895A83">
        <w:t>. The benefit</w:t>
      </w:r>
      <w:r w:rsidR="00895A83">
        <w:rPr>
          <w:rFonts w:cs="Segoe UI Light"/>
          <w:szCs w:val="20"/>
        </w:rPr>
        <w:t xml:space="preserve"> of this avoided harm from fires is considered under the ‘Reduced cost of fires at WRRs section below.</w:t>
      </w:r>
    </w:p>
    <w:p w14:paraId="656B01B5" w14:textId="77777777" w:rsidR="009364B7" w:rsidRDefault="009364B7" w:rsidP="009364B7">
      <w:r>
        <w:t xml:space="preserve">The benefits of reduced water emissions are assumed to increase gradually over time, reflecting ‘compliance decay’ occurring in the Base Case, but not under Options 1 and 2. </w:t>
      </w:r>
    </w:p>
    <w:p w14:paraId="656B01B6" w14:textId="77777777" w:rsidR="009F0679" w:rsidRDefault="009F0679" w:rsidP="009364B7">
      <w:pPr>
        <w:rPr>
          <w:b/>
        </w:rPr>
      </w:pPr>
      <w:r>
        <w:rPr>
          <w:b/>
        </w:rPr>
        <w:t xml:space="preserve">Reduced cost of </w:t>
      </w:r>
      <w:r w:rsidR="00DA78B9">
        <w:rPr>
          <w:b/>
        </w:rPr>
        <w:t xml:space="preserve">pollution </w:t>
      </w:r>
      <w:r>
        <w:rPr>
          <w:b/>
        </w:rPr>
        <w:t>incidents for business</w:t>
      </w:r>
      <w:r w:rsidR="00006A73">
        <w:rPr>
          <w:b/>
        </w:rPr>
        <w:t>, government and the community</w:t>
      </w:r>
    </w:p>
    <w:p w14:paraId="656B01B7" w14:textId="77777777" w:rsidR="009F0679" w:rsidRDefault="009F0679" w:rsidP="009F0679">
      <w:r>
        <w:t xml:space="preserve">Another benefit of the new permissioning framework is the anticipated reduction in costs incurred by businesses relating to incident management and </w:t>
      </w:r>
      <w:r w:rsidR="005E035A">
        <w:t>clean-up</w:t>
      </w:r>
      <w:r>
        <w:t xml:space="preserve">. These cost savings relate to: </w:t>
      </w:r>
    </w:p>
    <w:p w14:paraId="656B01B8" w14:textId="77777777" w:rsidR="009F0679" w:rsidRDefault="009F0679" w:rsidP="004A2442">
      <w:pPr>
        <w:pStyle w:val="ListParagraph"/>
        <w:numPr>
          <w:ilvl w:val="0"/>
          <w:numId w:val="26"/>
        </w:numPr>
      </w:pPr>
      <w:r w:rsidRPr="00040A06">
        <w:rPr>
          <w:b/>
        </w:rPr>
        <w:t>‘make-good’ costs</w:t>
      </w:r>
      <w:r>
        <w:t>, where businesses need to, for example, mobilise personnel to clean up and limit the spread of pollution</w:t>
      </w:r>
      <w:r w:rsidR="009364B7">
        <w:t xml:space="preserve">. </w:t>
      </w:r>
      <w:r w:rsidR="00E206CF">
        <w:t>For each incident, businesses are estimated to incur make good costs of $126,530 (in $2018).</w:t>
      </w:r>
      <w:r w:rsidR="00A01EB9" w:rsidRPr="00A01EB9">
        <w:rPr>
          <w:rStyle w:val="FootnoteReference"/>
        </w:rPr>
        <w:t xml:space="preserve"> </w:t>
      </w:r>
      <w:r w:rsidR="00A01EB9">
        <w:rPr>
          <w:rStyle w:val="FootnoteReference"/>
        </w:rPr>
        <w:footnoteReference w:id="65"/>
      </w:r>
    </w:p>
    <w:p w14:paraId="656B01B9" w14:textId="77777777" w:rsidR="009F0679" w:rsidRPr="00040A06" w:rsidRDefault="00006A73" w:rsidP="004A2442">
      <w:pPr>
        <w:pStyle w:val="ListParagraph"/>
        <w:numPr>
          <w:ilvl w:val="0"/>
          <w:numId w:val="26"/>
        </w:numPr>
      </w:pPr>
      <w:r>
        <w:rPr>
          <w:b/>
        </w:rPr>
        <w:t>a</w:t>
      </w:r>
      <w:r w:rsidR="009F0679" w:rsidRPr="00040A06">
        <w:rPr>
          <w:b/>
        </w:rPr>
        <w:t xml:space="preserve">dministrative costs in dealing with </w:t>
      </w:r>
      <w:r w:rsidR="000514DD">
        <w:rPr>
          <w:b/>
        </w:rPr>
        <w:t>EPA</w:t>
      </w:r>
      <w:r w:rsidR="009F0679">
        <w:t xml:space="preserve"> – for instance, responding to EPA inspections, remedial notices and sanctions, and liaising with EPA to ensure that neighbouring properties are not affected.</w:t>
      </w:r>
      <w:r w:rsidR="00E206CF" w:rsidRPr="00E206CF">
        <w:t xml:space="preserve"> </w:t>
      </w:r>
      <w:r w:rsidR="00E206CF">
        <w:t>For each incident, businesses are estimated to incur administrative costs of $28,500 (in $2018).</w:t>
      </w:r>
      <w:r w:rsidR="00E206CF">
        <w:rPr>
          <w:rStyle w:val="FootnoteReference"/>
        </w:rPr>
        <w:footnoteReference w:id="66"/>
      </w:r>
    </w:p>
    <w:p w14:paraId="656B01BA" w14:textId="77777777" w:rsidR="009364B7" w:rsidRDefault="00F61BA1" w:rsidP="00E206CF">
      <w:r>
        <w:t>Following an environmental</w:t>
      </w:r>
      <w:r w:rsidR="00B8082A">
        <w:t xml:space="preserve"> and/or human health</w:t>
      </w:r>
      <w:r>
        <w:t xml:space="preserve"> incident, EPA staff manage the response and inspect and assess the site. </w:t>
      </w:r>
      <w:r w:rsidR="00D81528">
        <w:t xml:space="preserve">Furthermore EPA must work to remediate the site and clean up external impacts (such as impacts on groundwater or through contamination of surrounding land). </w:t>
      </w:r>
      <w:r w:rsidR="009364B7">
        <w:t>For</w:t>
      </w:r>
      <w:r w:rsidR="00E206CF">
        <w:t xml:space="preserve"> each incident</w:t>
      </w:r>
      <w:r w:rsidR="009364B7">
        <w:t xml:space="preserve">, </w:t>
      </w:r>
      <w:r w:rsidR="00E206CF">
        <w:t xml:space="preserve">EPA incurs costs of </w:t>
      </w:r>
      <w:r w:rsidR="009364B7">
        <w:t>$1,</w:t>
      </w:r>
      <w:r w:rsidR="00E206CF">
        <w:t>337</w:t>
      </w:r>
      <w:r w:rsidR="009364B7">
        <w:t xml:space="preserve"> </w:t>
      </w:r>
      <w:r w:rsidR="00E206CF">
        <w:t>(</w:t>
      </w:r>
      <w:r w:rsidR="009364B7">
        <w:t>on average</w:t>
      </w:r>
      <w:r w:rsidR="00E206CF">
        <w:t xml:space="preserve">) </w:t>
      </w:r>
      <w:r w:rsidR="009364B7">
        <w:t>to manage the short-term response, and $1,</w:t>
      </w:r>
      <w:r w:rsidR="00E206CF">
        <w:t>737</w:t>
      </w:r>
      <w:r w:rsidR="009364B7">
        <w:t xml:space="preserve"> to remediate the site and surrounds.</w:t>
      </w:r>
      <w:r w:rsidR="00E206CF" w:rsidRPr="00E206CF">
        <w:rPr>
          <w:rStyle w:val="FootnoteReference"/>
        </w:rPr>
        <w:t xml:space="preserve"> </w:t>
      </w:r>
      <w:r w:rsidR="00E206CF">
        <w:rPr>
          <w:rStyle w:val="FootnoteReference"/>
        </w:rPr>
        <w:footnoteReference w:id="67"/>
      </w:r>
      <w:r w:rsidR="009364B7">
        <w:t xml:space="preserve"> </w:t>
      </w:r>
    </w:p>
    <w:p w14:paraId="656B01BB" w14:textId="77777777" w:rsidR="00E206CF" w:rsidRDefault="009F0679">
      <w:r>
        <w:t xml:space="preserve">The </w:t>
      </w:r>
      <w:r w:rsidR="00E206CF">
        <w:t xml:space="preserve">proposed </w:t>
      </w:r>
      <w:r w:rsidR="00852412">
        <w:t>R</w:t>
      </w:r>
      <w:r>
        <w:t>egulations address the risk of incidents by imposing licensing and works approval requirements on those premises where the risk of an incident is high. For example, a cement manufacturer planning an expansion of its facilities may be required to implement measures to control the spread of dust to surrounding localities.</w:t>
      </w:r>
    </w:p>
    <w:p w14:paraId="656B01BC" w14:textId="77777777" w:rsidR="003140EC" w:rsidRDefault="00E206CF">
      <w:r>
        <w:t>The</w:t>
      </w:r>
      <w:r w:rsidR="00006A73">
        <w:t xml:space="preserve"> estimated benefit </w:t>
      </w:r>
      <w:r w:rsidR="004E2AEB">
        <w:t xml:space="preserve">is marginally higher for </w:t>
      </w:r>
      <w:r w:rsidR="003F6069">
        <w:t>O</w:t>
      </w:r>
      <w:r w:rsidR="004E2AEB">
        <w:t xml:space="preserve">ption </w:t>
      </w:r>
      <w:r w:rsidR="00B8082A">
        <w:t xml:space="preserve">2, relative to </w:t>
      </w:r>
      <w:r w:rsidR="003F6069">
        <w:t>O</w:t>
      </w:r>
      <w:r w:rsidR="004E2AEB">
        <w:t xml:space="preserve">ption </w:t>
      </w:r>
      <w:r w:rsidR="00B8082A">
        <w:t>1</w:t>
      </w:r>
      <w:r w:rsidR="004E2AEB">
        <w:t xml:space="preserve">. This is because the number of premises subject to permissions varies across the two options, meaning that the number of avoided incidents </w:t>
      </w:r>
      <w:r w:rsidR="003F6069">
        <w:t>will</w:t>
      </w:r>
      <w:r w:rsidR="004E2AEB">
        <w:t xml:space="preserve"> increase as the cohort of activities duty holders captured by the pe</w:t>
      </w:r>
      <w:r w:rsidR="00432CE4">
        <w:t>rmissioning framework expands</w:t>
      </w:r>
      <w:r w:rsidR="003E5783">
        <w:t xml:space="preserve"> (see </w:t>
      </w:r>
      <w:r w:rsidR="003E5783">
        <w:rPr>
          <w:color w:val="2B579A"/>
          <w:shd w:val="clear" w:color="auto" w:fill="E6E6E6"/>
        </w:rPr>
        <w:fldChar w:fldCharType="begin"/>
      </w:r>
      <w:r w:rsidR="003E5783">
        <w:instrText xml:space="preserve"> REF _Ref7689202 \h </w:instrText>
      </w:r>
      <w:r w:rsidR="003E5783">
        <w:rPr>
          <w:color w:val="2B579A"/>
          <w:shd w:val="clear" w:color="auto" w:fill="E6E6E6"/>
        </w:rPr>
      </w:r>
      <w:r w:rsidR="003E5783">
        <w:rPr>
          <w:color w:val="2B579A"/>
          <w:shd w:val="clear" w:color="auto" w:fill="E6E6E6"/>
        </w:rPr>
        <w:fldChar w:fldCharType="separate"/>
      </w:r>
      <w:r w:rsidR="00B11C1E">
        <w:t xml:space="preserve">Table </w:t>
      </w:r>
      <w:r w:rsidR="00B11C1E">
        <w:rPr>
          <w:noProof/>
        </w:rPr>
        <w:t>6</w:t>
      </w:r>
      <w:r w:rsidR="00B11C1E">
        <w:noBreakHyphen/>
      </w:r>
      <w:r w:rsidR="00B11C1E">
        <w:rPr>
          <w:noProof/>
        </w:rPr>
        <w:t>3</w:t>
      </w:r>
      <w:r w:rsidR="003E5783">
        <w:rPr>
          <w:color w:val="2B579A"/>
          <w:shd w:val="clear" w:color="auto" w:fill="E6E6E6"/>
        </w:rPr>
        <w:fldChar w:fldCharType="end"/>
      </w:r>
      <w:r w:rsidR="003E5783">
        <w:t>).</w:t>
      </w:r>
      <w:r w:rsidR="003140EC">
        <w:t xml:space="preserve"> </w:t>
      </w:r>
    </w:p>
    <w:p w14:paraId="656B01BD" w14:textId="77777777" w:rsidR="003140EC" w:rsidRDefault="003140EC">
      <w:r>
        <w:t xml:space="preserve">The number of avoided incidents under Option 1 was based on EPA estimates from the 2017 Scheduled Premises RIS. </w:t>
      </w:r>
      <w:r w:rsidR="00955B2A">
        <w:t xml:space="preserve">Deloitte estimates the </w:t>
      </w:r>
      <w:r>
        <w:t xml:space="preserve">number of avoided pollution incidents would </w:t>
      </w:r>
      <w:r w:rsidR="00681AA2">
        <w:t>be</w:t>
      </w:r>
      <w:r w:rsidR="00955B2A">
        <w:t xml:space="preserve"> approximately </w:t>
      </w:r>
      <w:r>
        <w:t>20% higher under Option 2</w:t>
      </w:r>
      <w:r w:rsidR="00D260D4">
        <w:t>, relative to Option 1</w:t>
      </w:r>
      <w:r w:rsidR="00955B2A">
        <w:t xml:space="preserve">. This reflects </w:t>
      </w:r>
      <w:r w:rsidR="00D260D4">
        <w:t xml:space="preserve">EPA’s ability to impose conditions (including </w:t>
      </w:r>
      <w:r w:rsidR="00955B2A">
        <w:t>financial assurances</w:t>
      </w:r>
      <w:r w:rsidR="00D260D4">
        <w:t>) on</w:t>
      </w:r>
      <w:r w:rsidR="00955B2A">
        <w:t xml:space="preserve"> (and have greater oversight of)</w:t>
      </w:r>
      <w:r w:rsidR="00D260D4">
        <w:t xml:space="preserve"> a larger </w:t>
      </w:r>
      <w:r w:rsidR="00955B2A">
        <w:t>number of duty holders</w:t>
      </w:r>
      <w:r w:rsidR="00D260D4">
        <w:t xml:space="preserve">. EPA estimates that there would be an additional 15 </w:t>
      </w:r>
      <w:r w:rsidR="00955B2A">
        <w:t xml:space="preserve">fixed </w:t>
      </w:r>
      <w:r w:rsidR="00D260D4">
        <w:t xml:space="preserve">sites requiring a licence, 50 sites requiring a permit and 3,000 sites requiring a </w:t>
      </w:r>
      <w:r w:rsidR="00F37FD4">
        <w:t>r</w:t>
      </w:r>
      <w:r w:rsidR="00D260D4">
        <w:t xml:space="preserve">egistration under Option 2 (relative to Option </w:t>
      </w:r>
      <w:r w:rsidR="00F37FD4">
        <w:t>1</w:t>
      </w:r>
      <w:r w:rsidR="00D260D4">
        <w:t xml:space="preserve">). </w:t>
      </w:r>
    </w:p>
    <w:p w14:paraId="656B01BE" w14:textId="77777777" w:rsidR="00DF278D" w:rsidRDefault="00DF278D" w:rsidP="00DF278D">
      <w:pPr>
        <w:pStyle w:val="Caption"/>
      </w:pPr>
      <w:bookmarkStart w:id="597" w:name="_Ref7689202"/>
      <w:r>
        <w:t xml:space="preserve">Table </w:t>
      </w:r>
      <w:r w:rsidR="007E575A">
        <w:rPr>
          <w:color w:val="2B579A"/>
          <w:shd w:val="clear" w:color="auto" w:fill="E6E6E6"/>
        </w:rPr>
        <w:fldChar w:fldCharType="begin"/>
      </w:r>
      <w:r w:rsidR="007E575A">
        <w:instrText xml:space="preserve"> STYLEREF 1 \s </w:instrText>
      </w:r>
      <w:r w:rsidR="007E575A">
        <w:rPr>
          <w:color w:val="2B579A"/>
          <w:shd w:val="clear" w:color="auto" w:fill="E6E6E6"/>
        </w:rPr>
        <w:fldChar w:fldCharType="separate"/>
      </w:r>
      <w:r w:rsidR="00B11C1E">
        <w:rPr>
          <w:noProof/>
        </w:rPr>
        <w:t>6</w:t>
      </w:r>
      <w:r w:rsidR="007E575A">
        <w:rPr>
          <w:color w:val="2B579A"/>
          <w:shd w:val="clear" w:color="auto" w:fill="E6E6E6"/>
        </w:rPr>
        <w:fldChar w:fldCharType="end"/>
      </w:r>
      <w:r w:rsidR="007E575A">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3</w:t>
      </w:r>
      <w:r w:rsidR="00997CFA">
        <w:rPr>
          <w:color w:val="2B579A"/>
          <w:shd w:val="clear" w:color="auto" w:fill="E6E6E6"/>
        </w:rPr>
        <w:fldChar w:fldCharType="end"/>
      </w:r>
      <w:bookmarkEnd w:id="597"/>
      <w:r w:rsidR="00B8082A">
        <w:t xml:space="preserve"> </w:t>
      </w:r>
      <w:r w:rsidR="003140EC">
        <w:t>Estimated n</w:t>
      </w:r>
      <w:r w:rsidR="00B8082A">
        <w:t xml:space="preserve">umber of avoided </w:t>
      </w:r>
      <w:r w:rsidR="003E5783">
        <w:t xml:space="preserve">pollution </w:t>
      </w:r>
      <w:r w:rsidR="00B8082A">
        <w:t>incidents</w:t>
      </w:r>
      <w:r w:rsidR="009E64BB">
        <w:t>, relative to the Base Case</w:t>
      </w:r>
      <w:r w:rsidR="00B8082A">
        <w:t xml:space="preserve"> </w:t>
      </w:r>
      <w:r w:rsidR="009E64BB">
        <w:t>for Options 1 and 2</w:t>
      </w:r>
    </w:p>
    <w:tbl>
      <w:tblPr>
        <w:tblStyle w:val="Deloittetable2"/>
        <w:tblW w:w="4841" w:type="pct"/>
        <w:tblLook w:val="04A0" w:firstRow="1" w:lastRow="0" w:firstColumn="1" w:lastColumn="0" w:noHBand="0" w:noVBand="1"/>
      </w:tblPr>
      <w:tblGrid>
        <w:gridCol w:w="5490"/>
        <w:gridCol w:w="1063"/>
        <w:gridCol w:w="903"/>
        <w:gridCol w:w="897"/>
        <w:gridCol w:w="895"/>
        <w:gridCol w:w="879"/>
      </w:tblGrid>
      <w:tr w:rsidR="00F54C16" w:rsidRPr="00F54C16" w14:paraId="656B01C5" w14:textId="77777777" w:rsidTr="00F54C16">
        <w:trPr>
          <w:cnfStyle w:val="100000000000" w:firstRow="1" w:lastRow="0" w:firstColumn="0" w:lastColumn="0" w:oddVBand="0" w:evenVBand="0" w:oddHBand="0" w:evenHBand="0" w:firstRowFirstColumn="0" w:firstRowLastColumn="0" w:lastRowFirstColumn="0" w:lastRowLastColumn="0"/>
          <w:trHeight w:val="296"/>
        </w:trPr>
        <w:tc>
          <w:tcPr>
            <w:tcW w:w="2710" w:type="pct"/>
          </w:tcPr>
          <w:p w14:paraId="656B01BF" w14:textId="77777777" w:rsidR="004E2AEB" w:rsidRPr="000E7C5E" w:rsidRDefault="004E2AEB" w:rsidP="0021280E">
            <w:pPr>
              <w:spacing w:after="0" w:line="240" w:lineRule="auto"/>
              <w:rPr>
                <w:rFonts w:eastAsia="Times New Roman" w:cs="Segoe UI Light"/>
                <w:b/>
                <w:color w:val="000000" w:themeColor="text1"/>
                <w:sz w:val="18"/>
                <w:szCs w:val="20"/>
                <w:lang w:eastAsia="en-AU"/>
              </w:rPr>
            </w:pPr>
            <w:r w:rsidRPr="000E7C5E">
              <w:rPr>
                <w:rFonts w:eastAsia="Times New Roman" w:cs="Segoe UI Light"/>
                <w:b/>
                <w:bCs/>
                <w:color w:val="000000" w:themeColor="text1"/>
                <w:sz w:val="18"/>
                <w:szCs w:val="20"/>
                <w:lang w:eastAsia="en-AU"/>
              </w:rPr>
              <w:t>Option 1</w:t>
            </w:r>
          </w:p>
        </w:tc>
        <w:tc>
          <w:tcPr>
            <w:tcW w:w="525" w:type="pct"/>
          </w:tcPr>
          <w:p w14:paraId="656B01C0" w14:textId="77777777" w:rsidR="004E2AEB" w:rsidRPr="000E7C5E" w:rsidRDefault="004E2AEB" w:rsidP="0073546C">
            <w:pPr>
              <w:spacing w:after="0" w:line="240" w:lineRule="auto"/>
              <w:ind w:right="57"/>
              <w:jc w:val="right"/>
              <w:rPr>
                <w:rFonts w:eastAsia="Times New Roman" w:cs="Segoe UI Light"/>
                <w:b/>
                <w:i/>
                <w:iCs/>
                <w:color w:val="000000" w:themeColor="text1"/>
                <w:sz w:val="18"/>
                <w:szCs w:val="20"/>
                <w:lang w:eastAsia="en-AU"/>
              </w:rPr>
            </w:pPr>
            <w:r w:rsidRPr="000E7C5E">
              <w:rPr>
                <w:rFonts w:eastAsia="Times New Roman" w:cs="Segoe UI Light"/>
                <w:b/>
                <w:i/>
                <w:iCs/>
                <w:color w:val="000000" w:themeColor="text1"/>
                <w:sz w:val="18"/>
                <w:szCs w:val="20"/>
                <w:lang w:eastAsia="en-AU"/>
              </w:rPr>
              <w:t>Year 1</w:t>
            </w:r>
          </w:p>
        </w:tc>
        <w:tc>
          <w:tcPr>
            <w:tcW w:w="446" w:type="pct"/>
          </w:tcPr>
          <w:p w14:paraId="656B01C1" w14:textId="77777777" w:rsidR="004E2AEB" w:rsidRPr="000E7C5E" w:rsidRDefault="004E2AEB" w:rsidP="0073546C">
            <w:pPr>
              <w:spacing w:after="0" w:line="240" w:lineRule="auto"/>
              <w:ind w:right="57"/>
              <w:jc w:val="right"/>
              <w:rPr>
                <w:rFonts w:eastAsia="Times New Roman" w:cs="Segoe UI Light"/>
                <w:b/>
                <w:i/>
                <w:iCs/>
                <w:color w:val="000000" w:themeColor="text1"/>
                <w:sz w:val="18"/>
                <w:szCs w:val="20"/>
                <w:lang w:eastAsia="en-AU"/>
              </w:rPr>
            </w:pPr>
            <w:r w:rsidRPr="000E7C5E">
              <w:rPr>
                <w:rFonts w:eastAsia="Times New Roman" w:cs="Segoe UI Light"/>
                <w:b/>
                <w:i/>
                <w:iCs/>
                <w:color w:val="000000" w:themeColor="text1"/>
                <w:sz w:val="18"/>
                <w:szCs w:val="20"/>
                <w:lang w:eastAsia="en-AU"/>
              </w:rPr>
              <w:t>Year 2</w:t>
            </w:r>
          </w:p>
        </w:tc>
        <w:tc>
          <w:tcPr>
            <w:tcW w:w="443" w:type="pct"/>
          </w:tcPr>
          <w:p w14:paraId="656B01C2" w14:textId="77777777" w:rsidR="004E2AEB" w:rsidRPr="000E7C5E" w:rsidRDefault="004E2AEB" w:rsidP="0073546C">
            <w:pPr>
              <w:spacing w:after="0" w:line="240" w:lineRule="auto"/>
              <w:ind w:right="57"/>
              <w:jc w:val="right"/>
              <w:rPr>
                <w:rFonts w:eastAsia="Times New Roman" w:cs="Segoe UI Light"/>
                <w:b/>
                <w:i/>
                <w:iCs/>
                <w:color w:val="000000" w:themeColor="text1"/>
                <w:sz w:val="18"/>
                <w:szCs w:val="20"/>
                <w:lang w:eastAsia="en-AU"/>
              </w:rPr>
            </w:pPr>
            <w:r w:rsidRPr="000E7C5E">
              <w:rPr>
                <w:rFonts w:eastAsia="Times New Roman" w:cs="Segoe UI Light"/>
                <w:b/>
                <w:i/>
                <w:iCs/>
                <w:color w:val="000000" w:themeColor="text1"/>
                <w:sz w:val="18"/>
                <w:szCs w:val="20"/>
                <w:lang w:eastAsia="en-AU"/>
              </w:rPr>
              <w:t>Year 3</w:t>
            </w:r>
          </w:p>
        </w:tc>
        <w:tc>
          <w:tcPr>
            <w:tcW w:w="442" w:type="pct"/>
          </w:tcPr>
          <w:p w14:paraId="656B01C3" w14:textId="77777777" w:rsidR="004E2AEB" w:rsidRPr="000E7C5E" w:rsidRDefault="004E2AEB" w:rsidP="0073546C">
            <w:pPr>
              <w:spacing w:after="0" w:line="240" w:lineRule="auto"/>
              <w:ind w:right="57"/>
              <w:jc w:val="right"/>
              <w:rPr>
                <w:rFonts w:eastAsia="Times New Roman" w:cs="Segoe UI Light"/>
                <w:b/>
                <w:i/>
                <w:iCs/>
                <w:color w:val="000000" w:themeColor="text1"/>
                <w:sz w:val="18"/>
                <w:szCs w:val="20"/>
                <w:lang w:eastAsia="en-AU"/>
              </w:rPr>
            </w:pPr>
            <w:r w:rsidRPr="000E7C5E">
              <w:rPr>
                <w:rFonts w:eastAsia="Times New Roman" w:cs="Segoe UI Light"/>
                <w:b/>
                <w:i/>
                <w:iCs/>
                <w:color w:val="000000" w:themeColor="text1"/>
                <w:sz w:val="18"/>
                <w:szCs w:val="20"/>
                <w:lang w:eastAsia="en-AU"/>
              </w:rPr>
              <w:t>Year 4</w:t>
            </w:r>
          </w:p>
        </w:tc>
        <w:tc>
          <w:tcPr>
            <w:tcW w:w="435" w:type="pct"/>
          </w:tcPr>
          <w:p w14:paraId="656B01C4" w14:textId="77777777" w:rsidR="004E2AEB" w:rsidRPr="000E7C5E" w:rsidRDefault="004E2AEB" w:rsidP="0073546C">
            <w:pPr>
              <w:spacing w:after="0" w:line="240" w:lineRule="auto"/>
              <w:ind w:right="57"/>
              <w:jc w:val="right"/>
              <w:rPr>
                <w:rFonts w:eastAsia="Times New Roman" w:cs="Segoe UI Light"/>
                <w:b/>
                <w:i/>
                <w:iCs/>
                <w:color w:val="000000" w:themeColor="text1"/>
                <w:sz w:val="18"/>
                <w:szCs w:val="20"/>
                <w:lang w:eastAsia="en-AU"/>
              </w:rPr>
            </w:pPr>
            <w:r w:rsidRPr="000E7C5E">
              <w:rPr>
                <w:rFonts w:eastAsia="Times New Roman" w:cs="Segoe UI Light"/>
                <w:b/>
                <w:i/>
                <w:iCs/>
                <w:color w:val="000000" w:themeColor="text1"/>
                <w:sz w:val="18"/>
                <w:szCs w:val="20"/>
                <w:lang w:eastAsia="en-AU"/>
              </w:rPr>
              <w:t>Year 5+</w:t>
            </w:r>
          </w:p>
        </w:tc>
      </w:tr>
      <w:tr w:rsidR="00F54C16" w:rsidRPr="00F54C16" w14:paraId="656B01CC" w14:textId="77777777" w:rsidTr="00F54C16">
        <w:trPr>
          <w:trHeight w:val="296"/>
        </w:trPr>
        <w:tc>
          <w:tcPr>
            <w:tcW w:w="2710" w:type="pct"/>
          </w:tcPr>
          <w:p w14:paraId="656B01C6" w14:textId="77777777" w:rsidR="004E2AEB" w:rsidRPr="000E7C5E" w:rsidRDefault="003E5783" w:rsidP="003E5783">
            <w:pPr>
              <w:spacing w:after="0" w:line="240" w:lineRule="auto"/>
              <w:rPr>
                <w:rFonts w:eastAsia="Times New Roman" w:cs="Segoe UI Light"/>
                <w:color w:val="000000" w:themeColor="text1"/>
                <w:sz w:val="18"/>
                <w:szCs w:val="20"/>
                <w:lang w:eastAsia="en-AU"/>
              </w:rPr>
            </w:pPr>
            <w:r w:rsidRPr="000E7C5E">
              <w:rPr>
                <w:rFonts w:eastAsia="Times New Roman" w:cs="Segoe UI Light"/>
                <w:color w:val="000000" w:themeColor="text1"/>
                <w:sz w:val="18"/>
                <w:szCs w:val="20"/>
                <w:lang w:eastAsia="en-AU"/>
              </w:rPr>
              <w:t>Avoided p</w:t>
            </w:r>
            <w:r w:rsidR="004E2AEB" w:rsidRPr="000E7C5E">
              <w:rPr>
                <w:rFonts w:eastAsia="Times New Roman" w:cs="Segoe UI Light"/>
                <w:color w:val="000000" w:themeColor="text1"/>
                <w:sz w:val="18"/>
                <w:szCs w:val="20"/>
                <w:lang w:eastAsia="en-AU"/>
              </w:rPr>
              <w:t>ollution incidents</w:t>
            </w:r>
          </w:p>
        </w:tc>
        <w:tc>
          <w:tcPr>
            <w:tcW w:w="525" w:type="pct"/>
          </w:tcPr>
          <w:p w14:paraId="656B01C7" w14:textId="77777777" w:rsidR="004E2AEB" w:rsidRPr="000E7C5E" w:rsidRDefault="004E2AEB" w:rsidP="0073546C">
            <w:pPr>
              <w:spacing w:after="0" w:line="240" w:lineRule="auto"/>
              <w:ind w:right="57"/>
              <w:jc w:val="right"/>
              <w:rPr>
                <w:rFonts w:eastAsia="Times New Roman" w:cs="Segoe UI Light"/>
                <w:iCs/>
                <w:color w:val="000000" w:themeColor="text1"/>
                <w:sz w:val="18"/>
                <w:szCs w:val="20"/>
                <w:lang w:eastAsia="en-AU"/>
              </w:rPr>
            </w:pPr>
            <w:r w:rsidRPr="000E7C5E">
              <w:rPr>
                <w:rFonts w:eastAsia="Times New Roman" w:cs="Segoe UI Light"/>
                <w:iCs/>
                <w:color w:val="000000" w:themeColor="text1"/>
                <w:sz w:val="18"/>
                <w:szCs w:val="20"/>
                <w:lang w:eastAsia="en-AU"/>
              </w:rPr>
              <w:t>4</w:t>
            </w:r>
          </w:p>
        </w:tc>
        <w:tc>
          <w:tcPr>
            <w:tcW w:w="446" w:type="pct"/>
          </w:tcPr>
          <w:p w14:paraId="656B01C8" w14:textId="77777777" w:rsidR="004E2AEB" w:rsidRPr="000E7C5E" w:rsidRDefault="004E2AEB"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7</w:t>
            </w:r>
          </w:p>
        </w:tc>
        <w:tc>
          <w:tcPr>
            <w:tcW w:w="443" w:type="pct"/>
          </w:tcPr>
          <w:p w14:paraId="656B01C9" w14:textId="77777777" w:rsidR="004E2AEB" w:rsidRPr="000E7C5E" w:rsidRDefault="004E2AEB"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11</w:t>
            </w:r>
          </w:p>
        </w:tc>
        <w:tc>
          <w:tcPr>
            <w:tcW w:w="442" w:type="pct"/>
          </w:tcPr>
          <w:p w14:paraId="656B01CA" w14:textId="77777777" w:rsidR="004E2AEB" w:rsidRPr="000E7C5E" w:rsidRDefault="004E2AEB"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15</w:t>
            </w:r>
          </w:p>
        </w:tc>
        <w:tc>
          <w:tcPr>
            <w:tcW w:w="435" w:type="pct"/>
          </w:tcPr>
          <w:p w14:paraId="656B01CB" w14:textId="77777777" w:rsidR="004E2AEB" w:rsidRPr="000E7C5E" w:rsidRDefault="004E2AEB"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19</w:t>
            </w:r>
          </w:p>
        </w:tc>
      </w:tr>
      <w:tr w:rsidR="00F54C16" w:rsidRPr="00F54C16" w14:paraId="656B01D3" w14:textId="77777777" w:rsidTr="00F54C16">
        <w:trPr>
          <w:trHeight w:val="296"/>
        </w:trPr>
        <w:tc>
          <w:tcPr>
            <w:tcW w:w="2710" w:type="pct"/>
          </w:tcPr>
          <w:p w14:paraId="656B01CD" w14:textId="77777777" w:rsidR="004E2AEB" w:rsidRPr="000E7C5E" w:rsidRDefault="004E2AEB" w:rsidP="0021280E">
            <w:pPr>
              <w:spacing w:after="0" w:line="240" w:lineRule="auto"/>
              <w:rPr>
                <w:rFonts w:eastAsia="Times New Roman" w:cs="Segoe UI Light"/>
                <w:color w:val="000000" w:themeColor="text1"/>
                <w:sz w:val="18"/>
                <w:szCs w:val="20"/>
                <w:lang w:eastAsia="en-AU"/>
              </w:rPr>
            </w:pPr>
            <w:r w:rsidRPr="000E7C5E">
              <w:rPr>
                <w:rFonts w:eastAsia="Times New Roman" w:cs="Segoe UI Light"/>
                <w:b/>
                <w:bCs/>
                <w:color w:val="000000" w:themeColor="text1"/>
                <w:sz w:val="18"/>
                <w:szCs w:val="20"/>
                <w:lang w:eastAsia="en-AU"/>
              </w:rPr>
              <w:t>Option 2</w:t>
            </w:r>
          </w:p>
        </w:tc>
        <w:tc>
          <w:tcPr>
            <w:tcW w:w="525" w:type="pct"/>
          </w:tcPr>
          <w:p w14:paraId="656B01CE" w14:textId="77777777" w:rsidR="004E2AEB" w:rsidRPr="000E7C5E" w:rsidRDefault="004E2AEB" w:rsidP="0073546C">
            <w:pPr>
              <w:spacing w:after="0" w:line="240" w:lineRule="auto"/>
              <w:ind w:right="57"/>
              <w:jc w:val="right"/>
              <w:rPr>
                <w:rFonts w:cs="Segoe UI Light"/>
                <w:color w:val="000000" w:themeColor="text1"/>
                <w:sz w:val="18"/>
              </w:rPr>
            </w:pPr>
            <w:r w:rsidRPr="000E7C5E">
              <w:rPr>
                <w:rFonts w:eastAsia="Times New Roman" w:cs="Segoe UI Light"/>
                <w:b/>
                <w:i/>
                <w:iCs/>
                <w:color w:val="000000" w:themeColor="text1"/>
                <w:sz w:val="18"/>
                <w:szCs w:val="20"/>
                <w:lang w:eastAsia="en-AU"/>
              </w:rPr>
              <w:t>Year 1</w:t>
            </w:r>
          </w:p>
        </w:tc>
        <w:tc>
          <w:tcPr>
            <w:tcW w:w="446" w:type="pct"/>
          </w:tcPr>
          <w:p w14:paraId="656B01CF" w14:textId="77777777" w:rsidR="004E2AEB" w:rsidRPr="000E7C5E" w:rsidRDefault="004E2AEB" w:rsidP="0073546C">
            <w:pPr>
              <w:spacing w:after="0" w:line="240" w:lineRule="auto"/>
              <w:ind w:right="57"/>
              <w:jc w:val="right"/>
              <w:rPr>
                <w:rFonts w:cs="Segoe UI Light"/>
                <w:color w:val="000000" w:themeColor="text1"/>
                <w:sz w:val="18"/>
              </w:rPr>
            </w:pPr>
            <w:r w:rsidRPr="000E7C5E">
              <w:rPr>
                <w:rFonts w:eastAsia="Times New Roman" w:cs="Segoe UI Light"/>
                <w:b/>
                <w:i/>
                <w:iCs/>
                <w:color w:val="000000" w:themeColor="text1"/>
                <w:sz w:val="18"/>
                <w:szCs w:val="20"/>
                <w:lang w:eastAsia="en-AU"/>
              </w:rPr>
              <w:t>Year 2</w:t>
            </w:r>
          </w:p>
        </w:tc>
        <w:tc>
          <w:tcPr>
            <w:tcW w:w="443" w:type="pct"/>
          </w:tcPr>
          <w:p w14:paraId="656B01D0" w14:textId="77777777" w:rsidR="004E2AEB" w:rsidRPr="000E7C5E" w:rsidRDefault="004E2AEB" w:rsidP="0073546C">
            <w:pPr>
              <w:spacing w:after="0" w:line="240" w:lineRule="auto"/>
              <w:ind w:right="57"/>
              <w:jc w:val="right"/>
              <w:rPr>
                <w:rFonts w:cs="Segoe UI Light"/>
                <w:color w:val="000000" w:themeColor="text1"/>
                <w:sz w:val="18"/>
              </w:rPr>
            </w:pPr>
            <w:r w:rsidRPr="000E7C5E">
              <w:rPr>
                <w:rFonts w:eastAsia="Times New Roman" w:cs="Segoe UI Light"/>
                <w:b/>
                <w:i/>
                <w:iCs/>
                <w:color w:val="000000" w:themeColor="text1"/>
                <w:sz w:val="18"/>
                <w:szCs w:val="20"/>
                <w:lang w:eastAsia="en-AU"/>
              </w:rPr>
              <w:t>Year 3</w:t>
            </w:r>
          </w:p>
        </w:tc>
        <w:tc>
          <w:tcPr>
            <w:tcW w:w="442" w:type="pct"/>
          </w:tcPr>
          <w:p w14:paraId="656B01D1" w14:textId="77777777" w:rsidR="004E2AEB" w:rsidRPr="000E7C5E" w:rsidRDefault="004E2AEB" w:rsidP="0073546C">
            <w:pPr>
              <w:spacing w:after="0" w:line="240" w:lineRule="auto"/>
              <w:ind w:right="57"/>
              <w:jc w:val="right"/>
              <w:rPr>
                <w:rFonts w:cs="Segoe UI Light"/>
                <w:color w:val="000000" w:themeColor="text1"/>
                <w:sz w:val="18"/>
              </w:rPr>
            </w:pPr>
            <w:r w:rsidRPr="000E7C5E">
              <w:rPr>
                <w:rFonts w:eastAsia="Times New Roman" w:cs="Segoe UI Light"/>
                <w:b/>
                <w:i/>
                <w:iCs/>
                <w:color w:val="000000" w:themeColor="text1"/>
                <w:sz w:val="18"/>
                <w:szCs w:val="20"/>
                <w:lang w:eastAsia="en-AU"/>
              </w:rPr>
              <w:t>Year 4</w:t>
            </w:r>
          </w:p>
        </w:tc>
        <w:tc>
          <w:tcPr>
            <w:tcW w:w="435" w:type="pct"/>
          </w:tcPr>
          <w:p w14:paraId="656B01D2" w14:textId="77777777" w:rsidR="004E2AEB" w:rsidRPr="000E7C5E" w:rsidRDefault="004E2AEB" w:rsidP="0073546C">
            <w:pPr>
              <w:spacing w:after="0" w:line="240" w:lineRule="auto"/>
              <w:ind w:right="57"/>
              <w:jc w:val="right"/>
              <w:rPr>
                <w:rFonts w:cs="Segoe UI Light"/>
                <w:color w:val="000000" w:themeColor="text1"/>
                <w:sz w:val="18"/>
              </w:rPr>
            </w:pPr>
            <w:r w:rsidRPr="000E7C5E">
              <w:rPr>
                <w:rFonts w:eastAsia="Times New Roman" w:cs="Segoe UI Light"/>
                <w:b/>
                <w:i/>
                <w:iCs/>
                <w:color w:val="000000" w:themeColor="text1"/>
                <w:sz w:val="18"/>
                <w:szCs w:val="20"/>
                <w:lang w:eastAsia="en-AU"/>
              </w:rPr>
              <w:t>Year 5+</w:t>
            </w:r>
          </w:p>
        </w:tc>
      </w:tr>
      <w:tr w:rsidR="00F54C16" w:rsidRPr="00F54C16" w14:paraId="656B01DA" w14:textId="77777777" w:rsidTr="00F54C16">
        <w:trPr>
          <w:trHeight w:val="296"/>
        </w:trPr>
        <w:tc>
          <w:tcPr>
            <w:tcW w:w="2710" w:type="pct"/>
          </w:tcPr>
          <w:p w14:paraId="656B01D4" w14:textId="77777777" w:rsidR="004E2AEB" w:rsidRPr="000E7C5E" w:rsidRDefault="003E5783" w:rsidP="003E5783">
            <w:pPr>
              <w:spacing w:after="0" w:line="240" w:lineRule="auto"/>
              <w:rPr>
                <w:rFonts w:eastAsia="Times New Roman" w:cs="Segoe UI Light"/>
                <w:b/>
                <w:bCs/>
                <w:color w:val="000000" w:themeColor="text1"/>
                <w:sz w:val="18"/>
                <w:szCs w:val="20"/>
                <w:lang w:eastAsia="en-AU"/>
              </w:rPr>
            </w:pPr>
            <w:r w:rsidRPr="000E7C5E">
              <w:rPr>
                <w:rFonts w:eastAsia="Times New Roman" w:cs="Segoe UI Light"/>
                <w:color w:val="000000" w:themeColor="text1"/>
                <w:sz w:val="18"/>
                <w:szCs w:val="20"/>
                <w:lang w:eastAsia="en-AU"/>
              </w:rPr>
              <w:t>Avoided p</w:t>
            </w:r>
            <w:r w:rsidR="004E2AEB" w:rsidRPr="000E7C5E">
              <w:rPr>
                <w:rFonts w:eastAsia="Times New Roman" w:cs="Segoe UI Light"/>
                <w:color w:val="000000" w:themeColor="text1"/>
                <w:sz w:val="18"/>
                <w:szCs w:val="20"/>
                <w:lang w:eastAsia="en-AU"/>
              </w:rPr>
              <w:t>ollution incidents</w:t>
            </w:r>
          </w:p>
        </w:tc>
        <w:tc>
          <w:tcPr>
            <w:tcW w:w="525" w:type="pct"/>
          </w:tcPr>
          <w:p w14:paraId="656B01D5" w14:textId="77777777" w:rsidR="004E2AEB" w:rsidRPr="000E7C5E" w:rsidRDefault="004E2AEB" w:rsidP="0073546C">
            <w:pPr>
              <w:spacing w:after="0" w:line="240" w:lineRule="auto"/>
              <w:ind w:right="57"/>
              <w:jc w:val="right"/>
              <w:rPr>
                <w:rFonts w:eastAsia="Times New Roman" w:cs="Segoe UI Light"/>
                <w:iCs/>
                <w:color w:val="000000" w:themeColor="text1"/>
                <w:sz w:val="18"/>
                <w:szCs w:val="20"/>
                <w:lang w:eastAsia="en-AU"/>
              </w:rPr>
            </w:pPr>
            <w:r w:rsidRPr="000E7C5E">
              <w:rPr>
                <w:rFonts w:eastAsia="Times New Roman" w:cs="Segoe UI Light"/>
                <w:iCs/>
                <w:color w:val="000000" w:themeColor="text1"/>
                <w:sz w:val="18"/>
                <w:szCs w:val="20"/>
                <w:lang w:eastAsia="en-AU"/>
              </w:rPr>
              <w:t>5</w:t>
            </w:r>
          </w:p>
        </w:tc>
        <w:tc>
          <w:tcPr>
            <w:tcW w:w="446" w:type="pct"/>
          </w:tcPr>
          <w:p w14:paraId="656B01D6" w14:textId="77777777" w:rsidR="004E2AEB" w:rsidRPr="000E7C5E" w:rsidRDefault="004E2AEB" w:rsidP="0073546C">
            <w:pPr>
              <w:spacing w:after="0" w:line="240" w:lineRule="auto"/>
              <w:ind w:right="57"/>
              <w:jc w:val="right"/>
              <w:rPr>
                <w:rFonts w:eastAsia="Times New Roman" w:cs="Segoe UI Light"/>
                <w:iCs/>
                <w:color w:val="000000" w:themeColor="text1"/>
                <w:sz w:val="18"/>
                <w:szCs w:val="20"/>
                <w:lang w:eastAsia="en-AU"/>
              </w:rPr>
            </w:pPr>
            <w:r w:rsidRPr="000E7C5E">
              <w:rPr>
                <w:rFonts w:eastAsia="Times New Roman" w:cs="Segoe UI Light"/>
                <w:iCs/>
                <w:color w:val="000000" w:themeColor="text1"/>
                <w:sz w:val="18"/>
                <w:szCs w:val="20"/>
                <w:lang w:eastAsia="en-AU"/>
              </w:rPr>
              <w:t>9</w:t>
            </w:r>
          </w:p>
        </w:tc>
        <w:tc>
          <w:tcPr>
            <w:tcW w:w="443" w:type="pct"/>
          </w:tcPr>
          <w:p w14:paraId="656B01D7" w14:textId="77777777" w:rsidR="004E2AEB" w:rsidRPr="000E7C5E" w:rsidRDefault="004E2AEB" w:rsidP="0073546C">
            <w:pPr>
              <w:spacing w:after="0" w:line="240" w:lineRule="auto"/>
              <w:ind w:right="57"/>
              <w:jc w:val="right"/>
              <w:rPr>
                <w:rFonts w:eastAsia="Times New Roman" w:cs="Segoe UI Light"/>
                <w:iCs/>
                <w:color w:val="000000" w:themeColor="text1"/>
                <w:sz w:val="18"/>
                <w:szCs w:val="20"/>
                <w:lang w:eastAsia="en-AU"/>
              </w:rPr>
            </w:pPr>
            <w:r w:rsidRPr="000E7C5E">
              <w:rPr>
                <w:rFonts w:eastAsia="Times New Roman" w:cs="Segoe UI Light"/>
                <w:iCs/>
                <w:color w:val="000000" w:themeColor="text1"/>
                <w:sz w:val="18"/>
                <w:szCs w:val="20"/>
                <w:lang w:eastAsia="en-AU"/>
              </w:rPr>
              <w:t>13</w:t>
            </w:r>
          </w:p>
        </w:tc>
        <w:tc>
          <w:tcPr>
            <w:tcW w:w="442" w:type="pct"/>
          </w:tcPr>
          <w:p w14:paraId="656B01D8" w14:textId="77777777" w:rsidR="004E2AEB" w:rsidRPr="000E7C5E" w:rsidRDefault="004E2AEB" w:rsidP="0073546C">
            <w:pPr>
              <w:spacing w:after="0" w:line="240" w:lineRule="auto"/>
              <w:ind w:right="57"/>
              <w:jc w:val="right"/>
              <w:rPr>
                <w:rFonts w:eastAsia="Times New Roman" w:cs="Segoe UI Light"/>
                <w:iCs/>
                <w:color w:val="000000" w:themeColor="text1"/>
                <w:sz w:val="18"/>
                <w:szCs w:val="20"/>
                <w:lang w:eastAsia="en-AU"/>
              </w:rPr>
            </w:pPr>
            <w:r w:rsidRPr="000E7C5E">
              <w:rPr>
                <w:rFonts w:eastAsia="Times New Roman" w:cs="Segoe UI Light"/>
                <w:iCs/>
                <w:color w:val="000000" w:themeColor="text1"/>
                <w:sz w:val="18"/>
                <w:szCs w:val="20"/>
                <w:lang w:eastAsia="en-AU"/>
              </w:rPr>
              <w:t>18</w:t>
            </w:r>
          </w:p>
        </w:tc>
        <w:tc>
          <w:tcPr>
            <w:tcW w:w="435" w:type="pct"/>
          </w:tcPr>
          <w:p w14:paraId="656B01D9" w14:textId="77777777" w:rsidR="004E2AEB" w:rsidRPr="000E7C5E" w:rsidRDefault="004E2AEB" w:rsidP="0073546C">
            <w:pPr>
              <w:spacing w:after="0" w:line="240" w:lineRule="auto"/>
              <w:ind w:right="57"/>
              <w:jc w:val="right"/>
              <w:rPr>
                <w:rFonts w:eastAsia="Times New Roman" w:cs="Segoe UI Light"/>
                <w:iCs/>
                <w:color w:val="000000" w:themeColor="text1"/>
                <w:sz w:val="18"/>
                <w:szCs w:val="20"/>
                <w:lang w:eastAsia="en-AU"/>
              </w:rPr>
            </w:pPr>
            <w:r w:rsidRPr="000E7C5E">
              <w:rPr>
                <w:rFonts w:eastAsia="Times New Roman" w:cs="Segoe UI Light"/>
                <w:iCs/>
                <w:color w:val="000000" w:themeColor="text1"/>
                <w:sz w:val="18"/>
                <w:szCs w:val="20"/>
                <w:lang w:eastAsia="en-AU"/>
              </w:rPr>
              <w:t>22</w:t>
            </w:r>
          </w:p>
        </w:tc>
      </w:tr>
    </w:tbl>
    <w:p w14:paraId="656B01DB" w14:textId="77777777" w:rsidR="004E2AEB" w:rsidRDefault="004E2AEB"/>
    <w:p w14:paraId="656B01DC" w14:textId="77777777" w:rsidR="004E2AEB" w:rsidRDefault="004E2AEB" w:rsidP="004E2AEB">
      <w:pPr>
        <w:rPr>
          <w:b/>
        </w:rPr>
      </w:pPr>
      <w:r>
        <w:rPr>
          <w:b/>
        </w:rPr>
        <w:t xml:space="preserve">Reduced cost of fires at </w:t>
      </w:r>
      <w:r w:rsidR="007901B3">
        <w:rPr>
          <w:b/>
        </w:rPr>
        <w:t>WRRs</w:t>
      </w:r>
    </w:p>
    <w:p w14:paraId="656B01DD" w14:textId="77777777" w:rsidR="004E2AEB" w:rsidRDefault="004E2AEB" w:rsidP="004E2AEB">
      <w:r>
        <w:t xml:space="preserve">An added benefit of Option 2 is an anticipated reduction in the number of stockpile fires that occur at </w:t>
      </w:r>
      <w:r w:rsidR="007901B3">
        <w:t>WRRs</w:t>
      </w:r>
      <w:r w:rsidR="003F6069">
        <w:t>.</w:t>
      </w:r>
    </w:p>
    <w:p w14:paraId="656B01DE" w14:textId="77777777" w:rsidR="004E2AEB" w:rsidRDefault="004E2AEB" w:rsidP="004E2AEB">
      <w:r>
        <w:t>These facilities present a significant fire risk.</w:t>
      </w:r>
      <w:r>
        <w:rPr>
          <w:rStyle w:val="FootnoteReference"/>
        </w:rPr>
        <w:footnoteReference w:id="68"/>
      </w:r>
      <w:r>
        <w:t xml:space="preserve"> By introducing licence or permit conditions for these facilities, and increasing EPA oversight, it is anticipated that the number of fires occurring at </w:t>
      </w:r>
      <w:r w:rsidR="007901B3">
        <w:t xml:space="preserve">WRRs </w:t>
      </w:r>
      <w:r>
        <w:t xml:space="preserve">would be lower than it would </w:t>
      </w:r>
      <w:r w:rsidR="00A903BC">
        <w:t>under</w:t>
      </w:r>
      <w:r>
        <w:t xml:space="preserve"> the Base Case. The average combined cost to the business, government and community of a fire at a </w:t>
      </w:r>
      <w:r w:rsidR="007901B3">
        <w:t xml:space="preserve">WRR </w:t>
      </w:r>
      <w:r>
        <w:t>is conservatively assumed to be $4 million.</w:t>
      </w:r>
      <w:r>
        <w:rPr>
          <w:rStyle w:val="FootnoteReference"/>
        </w:rPr>
        <w:footnoteReference w:id="69"/>
      </w:r>
      <w:r>
        <w:t xml:space="preserve"> </w:t>
      </w:r>
    </w:p>
    <w:p w14:paraId="656B01DF" w14:textId="77777777" w:rsidR="009E64BB" w:rsidRDefault="00DE7FE1">
      <w:r>
        <w:t xml:space="preserve">By enabling EPA to impose conditions on </w:t>
      </w:r>
      <w:r w:rsidR="007901B3">
        <w:t>WRR</w:t>
      </w:r>
      <w:r>
        <w:t>s (such as how certain wastes are stored), and have greater oversight of their activities, the number</w:t>
      </w:r>
      <w:r w:rsidR="000730C7">
        <w:t xml:space="preserve"> of</w:t>
      </w:r>
      <w:r>
        <w:t xml:space="preserve"> fires occurring </w:t>
      </w:r>
      <w:r w:rsidR="00F37FD4">
        <w:t>at</w:t>
      </w:r>
      <w:r>
        <w:t xml:space="preserve"> </w:t>
      </w:r>
      <w:r w:rsidR="007901B3">
        <w:t>WRR</w:t>
      </w:r>
      <w:r>
        <w:t xml:space="preserve">s is expected to be lower under Option 2. Imposing financial assurances could also increase accountability of site operators, leading a greater level of compliance. </w:t>
      </w:r>
    </w:p>
    <w:p w14:paraId="656B01E0" w14:textId="77777777" w:rsidR="001F27C4" w:rsidRDefault="001F27C4" w:rsidP="001F27C4">
      <w:r>
        <w:t>The</w:t>
      </w:r>
      <w:r w:rsidR="00A903BC">
        <w:t xml:space="preserve"> estimated</w:t>
      </w:r>
      <w:r>
        <w:t xml:space="preserve"> number of avoided fires per year, under each of the options is displayed in the table below. </w:t>
      </w:r>
      <w:r w:rsidR="00A903BC">
        <w:t>In the ten years to 2017, there were an estimated 136 recorded fires at Victorian WRRs.</w:t>
      </w:r>
      <w:r w:rsidR="00A903BC">
        <w:rPr>
          <w:rStyle w:val="FootnoteReference"/>
        </w:rPr>
        <w:footnoteReference w:id="70"/>
      </w:r>
      <w:r w:rsidR="00A903BC" w:rsidRPr="00A903BC">
        <w:t xml:space="preserve"> </w:t>
      </w:r>
      <w:r w:rsidR="00A903BC">
        <w:t xml:space="preserve">In the absence of empirical evidence to indicate how fire risks at WRRs could be mitigated through EPA’s permissioning framework, Deloitte has estimated that one fire would be avoided per year under Option 2. This is considered to be a conservative estimate, given the number of fires since 2017. Under Option 1, the equivalent number </w:t>
      </w:r>
      <w:r w:rsidR="000730C7">
        <w:t xml:space="preserve">of avoided fires </w:t>
      </w:r>
      <w:r w:rsidR="00A903BC">
        <w:t>is zero, since WRRs are not captured by the permissioning framework</w:t>
      </w:r>
      <w:r w:rsidR="00DC7A63">
        <w:t>.</w:t>
      </w:r>
      <w:r w:rsidR="00014F56">
        <w:t xml:space="preserve"> </w:t>
      </w:r>
    </w:p>
    <w:p w14:paraId="656B01E1" w14:textId="77777777" w:rsidR="00DF278D" w:rsidRDefault="00DF278D" w:rsidP="00DF278D">
      <w:pPr>
        <w:pStyle w:val="Caption"/>
      </w:pPr>
      <w:r>
        <w:t xml:space="preserve">Table </w:t>
      </w:r>
      <w:r w:rsidR="007E575A">
        <w:rPr>
          <w:color w:val="2B579A"/>
          <w:shd w:val="clear" w:color="auto" w:fill="E6E6E6"/>
        </w:rPr>
        <w:fldChar w:fldCharType="begin"/>
      </w:r>
      <w:r w:rsidR="007E575A">
        <w:instrText xml:space="preserve"> STYLEREF 1 \s </w:instrText>
      </w:r>
      <w:r w:rsidR="007E575A">
        <w:rPr>
          <w:color w:val="2B579A"/>
          <w:shd w:val="clear" w:color="auto" w:fill="E6E6E6"/>
        </w:rPr>
        <w:fldChar w:fldCharType="separate"/>
      </w:r>
      <w:r w:rsidR="00B11C1E">
        <w:rPr>
          <w:noProof/>
        </w:rPr>
        <w:t>6</w:t>
      </w:r>
      <w:r w:rsidR="007E575A">
        <w:rPr>
          <w:color w:val="2B579A"/>
          <w:shd w:val="clear" w:color="auto" w:fill="E6E6E6"/>
        </w:rPr>
        <w:fldChar w:fldCharType="end"/>
      </w:r>
      <w:r w:rsidR="007E575A">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4</w:t>
      </w:r>
      <w:r w:rsidR="00997CFA">
        <w:rPr>
          <w:color w:val="2B579A"/>
          <w:shd w:val="clear" w:color="auto" w:fill="E6E6E6"/>
        </w:rPr>
        <w:fldChar w:fldCharType="end"/>
      </w:r>
      <w:r w:rsidRPr="00DF278D">
        <w:t xml:space="preserve"> </w:t>
      </w:r>
      <w:r w:rsidR="00955B2A">
        <w:t>Estimated r</w:t>
      </w:r>
      <w:r>
        <w:t>eduction in incidents, relative to the Base Case, for Options 1</w:t>
      </w:r>
      <w:r w:rsidR="009E64BB">
        <w:t xml:space="preserve"> and</w:t>
      </w:r>
      <w:r>
        <w:t xml:space="preserve"> 2</w:t>
      </w:r>
    </w:p>
    <w:tbl>
      <w:tblPr>
        <w:tblStyle w:val="Deloittetable2"/>
        <w:tblW w:w="4841" w:type="pct"/>
        <w:tblLook w:val="04A0" w:firstRow="1" w:lastRow="0" w:firstColumn="1" w:lastColumn="0" w:noHBand="0" w:noVBand="1"/>
      </w:tblPr>
      <w:tblGrid>
        <w:gridCol w:w="5490"/>
        <w:gridCol w:w="1063"/>
        <w:gridCol w:w="903"/>
        <w:gridCol w:w="897"/>
        <w:gridCol w:w="895"/>
        <w:gridCol w:w="879"/>
      </w:tblGrid>
      <w:tr w:rsidR="00D81528" w:rsidRPr="005B03CD" w14:paraId="656B01E8" w14:textId="77777777" w:rsidTr="000E7C5E">
        <w:trPr>
          <w:cnfStyle w:val="100000000000" w:firstRow="1" w:lastRow="0" w:firstColumn="0" w:lastColumn="0" w:oddVBand="0" w:evenVBand="0" w:oddHBand="0" w:evenHBand="0" w:firstRowFirstColumn="0" w:firstRowLastColumn="0" w:lastRowFirstColumn="0" w:lastRowLastColumn="0"/>
          <w:trHeight w:val="296"/>
        </w:trPr>
        <w:tc>
          <w:tcPr>
            <w:tcW w:w="2710" w:type="pct"/>
          </w:tcPr>
          <w:p w14:paraId="656B01E2" w14:textId="77777777" w:rsidR="00D81528" w:rsidRPr="000E7C5E" w:rsidRDefault="00D81528" w:rsidP="00DE1159">
            <w:pPr>
              <w:spacing w:after="0" w:line="240" w:lineRule="auto"/>
              <w:rPr>
                <w:rFonts w:eastAsia="Times New Roman" w:cs="Segoe UI Light"/>
                <w:b/>
                <w:color w:val="000000" w:themeColor="text1"/>
                <w:sz w:val="18"/>
                <w:szCs w:val="20"/>
                <w:lang w:eastAsia="en-AU"/>
              </w:rPr>
            </w:pPr>
            <w:r w:rsidRPr="000E7C5E">
              <w:rPr>
                <w:rFonts w:eastAsia="Times New Roman" w:cs="Segoe UI Light"/>
                <w:b/>
                <w:bCs/>
                <w:color w:val="000000" w:themeColor="text1"/>
                <w:sz w:val="18"/>
                <w:szCs w:val="20"/>
                <w:lang w:eastAsia="en-AU"/>
              </w:rPr>
              <w:t>Option 1</w:t>
            </w:r>
          </w:p>
        </w:tc>
        <w:tc>
          <w:tcPr>
            <w:tcW w:w="525" w:type="pct"/>
          </w:tcPr>
          <w:p w14:paraId="656B01E3" w14:textId="77777777" w:rsidR="00D81528" w:rsidRPr="000E7C5E" w:rsidRDefault="00D81528" w:rsidP="0073546C">
            <w:pPr>
              <w:spacing w:after="0" w:line="240" w:lineRule="auto"/>
              <w:ind w:right="57"/>
              <w:jc w:val="right"/>
              <w:rPr>
                <w:rFonts w:eastAsia="Times New Roman" w:cs="Segoe UI Light"/>
                <w:b/>
                <w:i/>
                <w:iCs/>
                <w:color w:val="000000" w:themeColor="text1"/>
                <w:sz w:val="18"/>
                <w:szCs w:val="20"/>
                <w:lang w:eastAsia="en-AU"/>
              </w:rPr>
            </w:pPr>
            <w:r w:rsidRPr="000E7C5E">
              <w:rPr>
                <w:rFonts w:eastAsia="Times New Roman" w:cs="Segoe UI Light"/>
                <w:b/>
                <w:i/>
                <w:iCs/>
                <w:color w:val="000000" w:themeColor="text1"/>
                <w:sz w:val="18"/>
                <w:szCs w:val="20"/>
                <w:lang w:eastAsia="en-AU"/>
              </w:rPr>
              <w:t>Year 1</w:t>
            </w:r>
          </w:p>
        </w:tc>
        <w:tc>
          <w:tcPr>
            <w:tcW w:w="446" w:type="pct"/>
          </w:tcPr>
          <w:p w14:paraId="656B01E4" w14:textId="77777777" w:rsidR="00D81528" w:rsidRPr="000E7C5E" w:rsidRDefault="00D81528" w:rsidP="0073546C">
            <w:pPr>
              <w:spacing w:after="0" w:line="240" w:lineRule="auto"/>
              <w:ind w:right="57"/>
              <w:jc w:val="right"/>
              <w:rPr>
                <w:rFonts w:eastAsia="Times New Roman" w:cs="Segoe UI Light"/>
                <w:b/>
                <w:i/>
                <w:iCs/>
                <w:color w:val="000000" w:themeColor="text1"/>
                <w:sz w:val="18"/>
                <w:szCs w:val="20"/>
                <w:lang w:eastAsia="en-AU"/>
              </w:rPr>
            </w:pPr>
            <w:r w:rsidRPr="000E7C5E">
              <w:rPr>
                <w:rFonts w:eastAsia="Times New Roman" w:cs="Segoe UI Light"/>
                <w:b/>
                <w:i/>
                <w:iCs/>
                <w:color w:val="000000" w:themeColor="text1"/>
                <w:sz w:val="18"/>
                <w:szCs w:val="20"/>
                <w:lang w:eastAsia="en-AU"/>
              </w:rPr>
              <w:t>Year 2</w:t>
            </w:r>
          </w:p>
        </w:tc>
        <w:tc>
          <w:tcPr>
            <w:tcW w:w="443" w:type="pct"/>
          </w:tcPr>
          <w:p w14:paraId="656B01E5" w14:textId="77777777" w:rsidR="00D81528" w:rsidRPr="000E7C5E" w:rsidRDefault="00D81528" w:rsidP="0073546C">
            <w:pPr>
              <w:spacing w:after="0" w:line="240" w:lineRule="auto"/>
              <w:ind w:right="57"/>
              <w:jc w:val="right"/>
              <w:rPr>
                <w:rFonts w:eastAsia="Times New Roman" w:cs="Segoe UI Light"/>
                <w:b/>
                <w:i/>
                <w:iCs/>
                <w:color w:val="000000" w:themeColor="text1"/>
                <w:sz w:val="18"/>
                <w:szCs w:val="20"/>
                <w:lang w:eastAsia="en-AU"/>
              </w:rPr>
            </w:pPr>
            <w:r w:rsidRPr="000E7C5E">
              <w:rPr>
                <w:rFonts w:eastAsia="Times New Roman" w:cs="Segoe UI Light"/>
                <w:b/>
                <w:i/>
                <w:iCs/>
                <w:color w:val="000000" w:themeColor="text1"/>
                <w:sz w:val="18"/>
                <w:szCs w:val="20"/>
                <w:lang w:eastAsia="en-AU"/>
              </w:rPr>
              <w:t>Year 3</w:t>
            </w:r>
          </w:p>
        </w:tc>
        <w:tc>
          <w:tcPr>
            <w:tcW w:w="442" w:type="pct"/>
          </w:tcPr>
          <w:p w14:paraId="656B01E6" w14:textId="77777777" w:rsidR="00D81528" w:rsidRPr="000E7C5E" w:rsidRDefault="00D81528" w:rsidP="0073546C">
            <w:pPr>
              <w:spacing w:after="0" w:line="240" w:lineRule="auto"/>
              <w:ind w:right="57"/>
              <w:jc w:val="right"/>
              <w:rPr>
                <w:rFonts w:eastAsia="Times New Roman" w:cs="Segoe UI Light"/>
                <w:b/>
                <w:i/>
                <w:iCs/>
                <w:color w:val="000000" w:themeColor="text1"/>
                <w:sz w:val="18"/>
                <w:szCs w:val="20"/>
                <w:lang w:eastAsia="en-AU"/>
              </w:rPr>
            </w:pPr>
            <w:r w:rsidRPr="000E7C5E">
              <w:rPr>
                <w:rFonts w:eastAsia="Times New Roman" w:cs="Segoe UI Light"/>
                <w:b/>
                <w:i/>
                <w:iCs/>
                <w:color w:val="000000" w:themeColor="text1"/>
                <w:sz w:val="18"/>
                <w:szCs w:val="20"/>
                <w:lang w:eastAsia="en-AU"/>
              </w:rPr>
              <w:t>Year 4</w:t>
            </w:r>
          </w:p>
        </w:tc>
        <w:tc>
          <w:tcPr>
            <w:tcW w:w="435" w:type="pct"/>
          </w:tcPr>
          <w:p w14:paraId="656B01E7" w14:textId="77777777" w:rsidR="00D81528" w:rsidRPr="000E7C5E" w:rsidRDefault="00D81528" w:rsidP="0073546C">
            <w:pPr>
              <w:spacing w:after="0" w:line="240" w:lineRule="auto"/>
              <w:ind w:right="57"/>
              <w:jc w:val="right"/>
              <w:rPr>
                <w:rFonts w:eastAsia="Times New Roman" w:cs="Segoe UI Light"/>
                <w:b/>
                <w:i/>
                <w:iCs/>
                <w:color w:val="000000" w:themeColor="text1"/>
                <w:sz w:val="18"/>
                <w:szCs w:val="20"/>
                <w:lang w:eastAsia="en-AU"/>
              </w:rPr>
            </w:pPr>
            <w:r w:rsidRPr="000E7C5E">
              <w:rPr>
                <w:rFonts w:eastAsia="Times New Roman" w:cs="Segoe UI Light"/>
                <w:b/>
                <w:i/>
                <w:iCs/>
                <w:color w:val="000000" w:themeColor="text1"/>
                <w:sz w:val="18"/>
                <w:szCs w:val="20"/>
                <w:lang w:eastAsia="en-AU"/>
              </w:rPr>
              <w:t>Year 5+</w:t>
            </w:r>
          </w:p>
        </w:tc>
      </w:tr>
      <w:tr w:rsidR="00D81528" w14:paraId="656B01EF" w14:textId="77777777" w:rsidTr="000E7C5E">
        <w:trPr>
          <w:trHeight w:val="296"/>
        </w:trPr>
        <w:tc>
          <w:tcPr>
            <w:tcW w:w="2710" w:type="pct"/>
          </w:tcPr>
          <w:p w14:paraId="656B01E9" w14:textId="77777777" w:rsidR="00D81528" w:rsidRPr="000E7C5E" w:rsidRDefault="00D95504" w:rsidP="007901B3">
            <w:pPr>
              <w:spacing w:after="0" w:line="240" w:lineRule="auto"/>
              <w:rPr>
                <w:rFonts w:eastAsia="Times New Roman" w:cs="Segoe UI Light"/>
                <w:color w:val="000000" w:themeColor="text1"/>
                <w:sz w:val="18"/>
                <w:szCs w:val="20"/>
                <w:lang w:eastAsia="en-AU"/>
              </w:rPr>
            </w:pPr>
            <w:r w:rsidRPr="000E7C5E">
              <w:rPr>
                <w:rFonts w:eastAsia="Times New Roman" w:cs="Segoe UI Light"/>
                <w:color w:val="000000" w:themeColor="text1"/>
                <w:sz w:val="18"/>
                <w:szCs w:val="20"/>
                <w:lang w:eastAsia="en-AU"/>
              </w:rPr>
              <w:t xml:space="preserve">Prevented fires at </w:t>
            </w:r>
            <w:r w:rsidR="007901B3">
              <w:rPr>
                <w:rFonts w:eastAsia="Times New Roman" w:cs="Segoe UI Light"/>
                <w:color w:val="000000" w:themeColor="text1"/>
                <w:sz w:val="18"/>
                <w:szCs w:val="20"/>
                <w:lang w:eastAsia="en-AU"/>
              </w:rPr>
              <w:t>WRR</w:t>
            </w:r>
            <w:r w:rsidR="007901B3" w:rsidRPr="000E7C5E">
              <w:rPr>
                <w:rFonts w:eastAsia="Times New Roman" w:cs="Segoe UI Light"/>
                <w:color w:val="000000" w:themeColor="text1"/>
                <w:sz w:val="18"/>
                <w:szCs w:val="20"/>
                <w:lang w:eastAsia="en-AU"/>
              </w:rPr>
              <w:t>s</w:t>
            </w:r>
          </w:p>
        </w:tc>
        <w:tc>
          <w:tcPr>
            <w:tcW w:w="525" w:type="pct"/>
          </w:tcPr>
          <w:p w14:paraId="656B01EA" w14:textId="77777777" w:rsidR="00D81528" w:rsidRPr="000E7C5E" w:rsidRDefault="00D81528" w:rsidP="0073546C">
            <w:pPr>
              <w:spacing w:after="0" w:line="240" w:lineRule="auto"/>
              <w:ind w:right="57"/>
              <w:jc w:val="right"/>
              <w:rPr>
                <w:rFonts w:eastAsia="Times New Roman" w:cs="Segoe UI Light"/>
                <w:iCs/>
                <w:color w:val="000000" w:themeColor="text1"/>
                <w:sz w:val="18"/>
                <w:szCs w:val="20"/>
                <w:lang w:eastAsia="en-AU"/>
              </w:rPr>
            </w:pPr>
            <w:r w:rsidRPr="000E7C5E">
              <w:rPr>
                <w:rFonts w:eastAsia="Times New Roman" w:cs="Segoe UI Light"/>
                <w:iCs/>
                <w:color w:val="000000" w:themeColor="text1"/>
                <w:sz w:val="18"/>
                <w:szCs w:val="20"/>
                <w:lang w:eastAsia="en-AU"/>
              </w:rPr>
              <w:t>0</w:t>
            </w:r>
          </w:p>
        </w:tc>
        <w:tc>
          <w:tcPr>
            <w:tcW w:w="446" w:type="pct"/>
          </w:tcPr>
          <w:p w14:paraId="656B01EB" w14:textId="77777777" w:rsidR="00D81528" w:rsidRPr="000E7C5E" w:rsidRDefault="00D81528"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0</w:t>
            </w:r>
          </w:p>
        </w:tc>
        <w:tc>
          <w:tcPr>
            <w:tcW w:w="443" w:type="pct"/>
          </w:tcPr>
          <w:p w14:paraId="656B01EC" w14:textId="77777777" w:rsidR="00D81528" w:rsidRPr="000E7C5E" w:rsidRDefault="00D81528"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0</w:t>
            </w:r>
          </w:p>
        </w:tc>
        <w:tc>
          <w:tcPr>
            <w:tcW w:w="442" w:type="pct"/>
          </w:tcPr>
          <w:p w14:paraId="656B01ED" w14:textId="77777777" w:rsidR="00D81528" w:rsidRPr="000E7C5E" w:rsidRDefault="00D81528"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0</w:t>
            </w:r>
          </w:p>
        </w:tc>
        <w:tc>
          <w:tcPr>
            <w:tcW w:w="435" w:type="pct"/>
          </w:tcPr>
          <w:p w14:paraId="656B01EE" w14:textId="77777777" w:rsidR="00D81528" w:rsidRPr="000E7C5E" w:rsidRDefault="00D81528"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0</w:t>
            </w:r>
          </w:p>
        </w:tc>
      </w:tr>
      <w:tr w:rsidR="00D81528" w14:paraId="656B01F6" w14:textId="77777777" w:rsidTr="000E7C5E">
        <w:trPr>
          <w:trHeight w:val="296"/>
        </w:trPr>
        <w:tc>
          <w:tcPr>
            <w:tcW w:w="2710" w:type="pct"/>
          </w:tcPr>
          <w:p w14:paraId="656B01F0" w14:textId="77777777" w:rsidR="00D81528" w:rsidRPr="000E7C5E" w:rsidRDefault="00D81528" w:rsidP="00D81528">
            <w:pPr>
              <w:spacing w:after="0" w:line="240" w:lineRule="auto"/>
              <w:rPr>
                <w:rFonts w:eastAsia="Times New Roman" w:cs="Segoe UI Light"/>
                <w:color w:val="000000" w:themeColor="text1"/>
                <w:sz w:val="18"/>
                <w:szCs w:val="20"/>
                <w:lang w:eastAsia="en-AU"/>
              </w:rPr>
            </w:pPr>
            <w:r w:rsidRPr="000E7C5E">
              <w:rPr>
                <w:rFonts w:eastAsia="Times New Roman" w:cs="Segoe UI Light"/>
                <w:b/>
                <w:bCs/>
                <w:color w:val="000000" w:themeColor="text1"/>
                <w:sz w:val="18"/>
                <w:szCs w:val="20"/>
                <w:lang w:eastAsia="en-AU"/>
              </w:rPr>
              <w:t>Option 2</w:t>
            </w:r>
          </w:p>
        </w:tc>
        <w:tc>
          <w:tcPr>
            <w:tcW w:w="525" w:type="pct"/>
          </w:tcPr>
          <w:p w14:paraId="656B01F1" w14:textId="77777777" w:rsidR="00D81528" w:rsidRPr="000E7C5E" w:rsidRDefault="00D81528" w:rsidP="0073546C">
            <w:pPr>
              <w:spacing w:after="0" w:line="240" w:lineRule="auto"/>
              <w:ind w:right="57"/>
              <w:jc w:val="right"/>
              <w:rPr>
                <w:rFonts w:cs="Segoe UI Light"/>
                <w:color w:val="000000" w:themeColor="text1"/>
                <w:sz w:val="18"/>
              </w:rPr>
            </w:pPr>
            <w:r w:rsidRPr="000E7C5E">
              <w:rPr>
                <w:rFonts w:eastAsia="Times New Roman" w:cs="Segoe UI Light"/>
                <w:b/>
                <w:i/>
                <w:iCs/>
                <w:color w:val="000000" w:themeColor="text1"/>
                <w:sz w:val="18"/>
                <w:szCs w:val="20"/>
                <w:lang w:eastAsia="en-AU"/>
              </w:rPr>
              <w:t>Year 1</w:t>
            </w:r>
          </w:p>
        </w:tc>
        <w:tc>
          <w:tcPr>
            <w:tcW w:w="446" w:type="pct"/>
          </w:tcPr>
          <w:p w14:paraId="656B01F2" w14:textId="77777777" w:rsidR="00D81528" w:rsidRPr="000E7C5E" w:rsidRDefault="00D81528" w:rsidP="0073546C">
            <w:pPr>
              <w:spacing w:after="0" w:line="240" w:lineRule="auto"/>
              <w:ind w:right="57"/>
              <w:jc w:val="right"/>
              <w:rPr>
                <w:rFonts w:cs="Segoe UI Light"/>
                <w:color w:val="000000" w:themeColor="text1"/>
                <w:sz w:val="18"/>
              </w:rPr>
            </w:pPr>
            <w:r w:rsidRPr="000E7C5E">
              <w:rPr>
                <w:rFonts w:eastAsia="Times New Roman" w:cs="Segoe UI Light"/>
                <w:b/>
                <w:i/>
                <w:iCs/>
                <w:color w:val="000000" w:themeColor="text1"/>
                <w:sz w:val="18"/>
                <w:szCs w:val="20"/>
                <w:lang w:eastAsia="en-AU"/>
              </w:rPr>
              <w:t>Year 2</w:t>
            </w:r>
          </w:p>
        </w:tc>
        <w:tc>
          <w:tcPr>
            <w:tcW w:w="443" w:type="pct"/>
          </w:tcPr>
          <w:p w14:paraId="656B01F3" w14:textId="77777777" w:rsidR="00D81528" w:rsidRPr="000E7C5E" w:rsidRDefault="00D81528" w:rsidP="0073546C">
            <w:pPr>
              <w:spacing w:after="0" w:line="240" w:lineRule="auto"/>
              <w:ind w:right="57"/>
              <w:jc w:val="right"/>
              <w:rPr>
                <w:rFonts w:cs="Segoe UI Light"/>
                <w:color w:val="000000" w:themeColor="text1"/>
                <w:sz w:val="18"/>
              </w:rPr>
            </w:pPr>
            <w:r w:rsidRPr="000E7C5E">
              <w:rPr>
                <w:rFonts w:eastAsia="Times New Roman" w:cs="Segoe UI Light"/>
                <w:b/>
                <w:i/>
                <w:iCs/>
                <w:color w:val="000000" w:themeColor="text1"/>
                <w:sz w:val="18"/>
                <w:szCs w:val="20"/>
                <w:lang w:eastAsia="en-AU"/>
              </w:rPr>
              <w:t>Year 3</w:t>
            </w:r>
          </w:p>
        </w:tc>
        <w:tc>
          <w:tcPr>
            <w:tcW w:w="442" w:type="pct"/>
          </w:tcPr>
          <w:p w14:paraId="656B01F4" w14:textId="77777777" w:rsidR="00D81528" w:rsidRPr="000E7C5E" w:rsidRDefault="00D81528" w:rsidP="0073546C">
            <w:pPr>
              <w:spacing w:after="0" w:line="240" w:lineRule="auto"/>
              <w:ind w:right="57"/>
              <w:jc w:val="right"/>
              <w:rPr>
                <w:rFonts w:cs="Segoe UI Light"/>
                <w:color w:val="000000" w:themeColor="text1"/>
                <w:sz w:val="18"/>
              </w:rPr>
            </w:pPr>
            <w:r w:rsidRPr="000E7C5E">
              <w:rPr>
                <w:rFonts w:eastAsia="Times New Roman" w:cs="Segoe UI Light"/>
                <w:b/>
                <w:i/>
                <w:iCs/>
                <w:color w:val="000000" w:themeColor="text1"/>
                <w:sz w:val="18"/>
                <w:szCs w:val="20"/>
                <w:lang w:eastAsia="en-AU"/>
              </w:rPr>
              <w:t>Year 4</w:t>
            </w:r>
          </w:p>
        </w:tc>
        <w:tc>
          <w:tcPr>
            <w:tcW w:w="435" w:type="pct"/>
          </w:tcPr>
          <w:p w14:paraId="656B01F5" w14:textId="77777777" w:rsidR="00D81528" w:rsidRPr="000E7C5E" w:rsidRDefault="00D81528" w:rsidP="0073546C">
            <w:pPr>
              <w:spacing w:after="0" w:line="240" w:lineRule="auto"/>
              <w:ind w:right="57"/>
              <w:jc w:val="right"/>
              <w:rPr>
                <w:rFonts w:cs="Segoe UI Light"/>
                <w:color w:val="000000" w:themeColor="text1"/>
                <w:sz w:val="18"/>
              </w:rPr>
            </w:pPr>
            <w:r w:rsidRPr="000E7C5E">
              <w:rPr>
                <w:rFonts w:eastAsia="Times New Roman" w:cs="Segoe UI Light"/>
                <w:b/>
                <w:i/>
                <w:iCs/>
                <w:color w:val="000000" w:themeColor="text1"/>
                <w:sz w:val="18"/>
                <w:szCs w:val="20"/>
                <w:lang w:eastAsia="en-AU"/>
              </w:rPr>
              <w:t>Year 5+</w:t>
            </w:r>
          </w:p>
        </w:tc>
      </w:tr>
      <w:tr w:rsidR="00D81528" w14:paraId="656B01FD" w14:textId="77777777" w:rsidTr="000E7C5E">
        <w:trPr>
          <w:trHeight w:val="296"/>
        </w:trPr>
        <w:tc>
          <w:tcPr>
            <w:tcW w:w="2710" w:type="pct"/>
          </w:tcPr>
          <w:p w14:paraId="656B01F7" w14:textId="77777777" w:rsidR="00D81528" w:rsidRPr="000E7C5E" w:rsidRDefault="00D95504" w:rsidP="007901B3">
            <w:pPr>
              <w:spacing w:after="0" w:line="240" w:lineRule="auto"/>
              <w:rPr>
                <w:rFonts w:eastAsia="Times New Roman" w:cs="Segoe UI Light"/>
                <w:color w:val="000000" w:themeColor="text1"/>
                <w:sz w:val="18"/>
                <w:szCs w:val="20"/>
                <w:lang w:eastAsia="en-AU"/>
              </w:rPr>
            </w:pPr>
            <w:r w:rsidRPr="000E7C5E">
              <w:rPr>
                <w:rFonts w:eastAsia="Times New Roman" w:cs="Segoe UI Light"/>
                <w:color w:val="000000" w:themeColor="text1"/>
                <w:sz w:val="18"/>
                <w:szCs w:val="20"/>
                <w:lang w:eastAsia="en-AU"/>
              </w:rPr>
              <w:t xml:space="preserve">Prevented fires at </w:t>
            </w:r>
            <w:r w:rsidR="007901B3">
              <w:rPr>
                <w:rFonts w:eastAsia="Times New Roman" w:cs="Segoe UI Light"/>
                <w:color w:val="000000" w:themeColor="text1"/>
                <w:sz w:val="18"/>
                <w:szCs w:val="20"/>
                <w:lang w:eastAsia="en-AU"/>
              </w:rPr>
              <w:t>WRR</w:t>
            </w:r>
            <w:r w:rsidR="007901B3" w:rsidRPr="000E7C5E">
              <w:rPr>
                <w:rFonts w:eastAsia="Times New Roman" w:cs="Segoe UI Light"/>
                <w:color w:val="000000" w:themeColor="text1"/>
                <w:sz w:val="18"/>
                <w:szCs w:val="20"/>
                <w:lang w:eastAsia="en-AU"/>
              </w:rPr>
              <w:t>s</w:t>
            </w:r>
          </w:p>
        </w:tc>
        <w:tc>
          <w:tcPr>
            <w:tcW w:w="525" w:type="pct"/>
          </w:tcPr>
          <w:p w14:paraId="656B01F8" w14:textId="77777777" w:rsidR="00D81528" w:rsidRPr="000E7C5E" w:rsidRDefault="00D81528" w:rsidP="0073546C">
            <w:pPr>
              <w:spacing w:after="0" w:line="240" w:lineRule="auto"/>
              <w:ind w:right="57"/>
              <w:jc w:val="right"/>
              <w:rPr>
                <w:rFonts w:eastAsia="Times New Roman" w:cs="Segoe UI Light"/>
                <w:b/>
                <w:iCs/>
                <w:color w:val="000000" w:themeColor="text1"/>
                <w:sz w:val="18"/>
                <w:szCs w:val="20"/>
                <w:lang w:eastAsia="en-AU"/>
              </w:rPr>
            </w:pPr>
            <w:r w:rsidRPr="000E7C5E">
              <w:rPr>
                <w:rFonts w:eastAsia="Times New Roman" w:cs="Segoe UI Light"/>
                <w:iCs/>
                <w:color w:val="000000" w:themeColor="text1"/>
                <w:sz w:val="18"/>
                <w:szCs w:val="20"/>
                <w:lang w:eastAsia="en-AU"/>
              </w:rPr>
              <w:t>0</w:t>
            </w:r>
          </w:p>
        </w:tc>
        <w:tc>
          <w:tcPr>
            <w:tcW w:w="446" w:type="pct"/>
          </w:tcPr>
          <w:p w14:paraId="656B01F9" w14:textId="77777777" w:rsidR="00D81528" w:rsidRPr="000E7C5E" w:rsidRDefault="00D95504" w:rsidP="0073546C">
            <w:pPr>
              <w:spacing w:after="0" w:line="240" w:lineRule="auto"/>
              <w:ind w:right="57"/>
              <w:jc w:val="right"/>
              <w:rPr>
                <w:rFonts w:eastAsia="Times New Roman" w:cs="Segoe UI Light"/>
                <w:iCs/>
                <w:color w:val="000000" w:themeColor="text1"/>
                <w:sz w:val="18"/>
                <w:szCs w:val="20"/>
                <w:lang w:eastAsia="en-AU"/>
              </w:rPr>
            </w:pPr>
            <w:r w:rsidRPr="000E7C5E">
              <w:rPr>
                <w:rFonts w:eastAsia="Times New Roman" w:cs="Segoe UI Light"/>
                <w:iCs/>
                <w:color w:val="000000" w:themeColor="text1"/>
                <w:sz w:val="18"/>
                <w:szCs w:val="20"/>
                <w:lang w:eastAsia="en-AU"/>
              </w:rPr>
              <w:t>1</w:t>
            </w:r>
          </w:p>
        </w:tc>
        <w:tc>
          <w:tcPr>
            <w:tcW w:w="443" w:type="pct"/>
          </w:tcPr>
          <w:p w14:paraId="656B01FA" w14:textId="77777777" w:rsidR="00D81528" w:rsidRPr="000E7C5E" w:rsidRDefault="00D81528" w:rsidP="0073546C">
            <w:pPr>
              <w:spacing w:after="0" w:line="240" w:lineRule="auto"/>
              <w:ind w:right="57"/>
              <w:jc w:val="right"/>
              <w:rPr>
                <w:rFonts w:eastAsia="Times New Roman" w:cs="Segoe UI Light"/>
                <w:iCs/>
                <w:color w:val="000000" w:themeColor="text1"/>
                <w:sz w:val="18"/>
                <w:szCs w:val="20"/>
                <w:lang w:eastAsia="en-AU"/>
              </w:rPr>
            </w:pPr>
            <w:r w:rsidRPr="000E7C5E">
              <w:rPr>
                <w:rFonts w:eastAsia="Times New Roman" w:cs="Segoe UI Light"/>
                <w:iCs/>
                <w:color w:val="000000" w:themeColor="text1"/>
                <w:sz w:val="18"/>
                <w:szCs w:val="20"/>
                <w:lang w:eastAsia="en-AU"/>
              </w:rPr>
              <w:t>1</w:t>
            </w:r>
          </w:p>
        </w:tc>
        <w:tc>
          <w:tcPr>
            <w:tcW w:w="442" w:type="pct"/>
          </w:tcPr>
          <w:p w14:paraId="656B01FB" w14:textId="77777777" w:rsidR="00D81528" w:rsidRPr="000E7C5E" w:rsidRDefault="00D81528" w:rsidP="0073546C">
            <w:pPr>
              <w:spacing w:after="0" w:line="240" w:lineRule="auto"/>
              <w:ind w:right="57"/>
              <w:jc w:val="right"/>
              <w:rPr>
                <w:rFonts w:eastAsia="Times New Roman" w:cs="Segoe UI Light"/>
                <w:b/>
                <w:iCs/>
                <w:color w:val="000000" w:themeColor="text1"/>
                <w:sz w:val="18"/>
                <w:szCs w:val="20"/>
                <w:lang w:eastAsia="en-AU"/>
              </w:rPr>
            </w:pPr>
            <w:r w:rsidRPr="000E7C5E">
              <w:rPr>
                <w:rFonts w:cs="Segoe UI Light"/>
                <w:color w:val="000000" w:themeColor="text1"/>
                <w:sz w:val="18"/>
              </w:rPr>
              <w:t>1</w:t>
            </w:r>
          </w:p>
        </w:tc>
        <w:tc>
          <w:tcPr>
            <w:tcW w:w="435" w:type="pct"/>
          </w:tcPr>
          <w:p w14:paraId="656B01FC" w14:textId="77777777" w:rsidR="00D81528" w:rsidRPr="000E7C5E" w:rsidRDefault="00D81528" w:rsidP="0073546C">
            <w:pPr>
              <w:spacing w:after="0" w:line="240" w:lineRule="auto"/>
              <w:ind w:right="57"/>
              <w:jc w:val="right"/>
              <w:rPr>
                <w:rFonts w:eastAsia="Times New Roman" w:cs="Segoe UI Light"/>
                <w:b/>
                <w:iCs/>
                <w:color w:val="000000" w:themeColor="text1"/>
                <w:sz w:val="18"/>
                <w:szCs w:val="20"/>
                <w:lang w:eastAsia="en-AU"/>
              </w:rPr>
            </w:pPr>
            <w:r w:rsidRPr="000E7C5E">
              <w:rPr>
                <w:rFonts w:cs="Segoe UI Light"/>
                <w:color w:val="000000" w:themeColor="text1"/>
                <w:sz w:val="18"/>
              </w:rPr>
              <w:t>1</w:t>
            </w:r>
          </w:p>
        </w:tc>
      </w:tr>
    </w:tbl>
    <w:p w14:paraId="656B01FE" w14:textId="77777777" w:rsidR="004E2AEB" w:rsidRDefault="004E2AEB" w:rsidP="00F61BA1"/>
    <w:p w14:paraId="656B01FF" w14:textId="77777777" w:rsidR="00F61BA1" w:rsidRDefault="00FA4535" w:rsidP="00F61BA1">
      <w:pPr>
        <w:rPr>
          <w:b/>
        </w:rPr>
      </w:pPr>
      <w:r>
        <w:rPr>
          <w:b/>
        </w:rPr>
        <w:t>Other benefits</w:t>
      </w:r>
      <w:r w:rsidR="00FA1A75">
        <w:rPr>
          <w:b/>
        </w:rPr>
        <w:t xml:space="preserve"> </w:t>
      </w:r>
    </w:p>
    <w:p w14:paraId="656B0200" w14:textId="77777777" w:rsidR="00432CE4" w:rsidRPr="00432CE4" w:rsidRDefault="00432CE4" w:rsidP="00F61BA1">
      <w:r w:rsidRPr="00432CE4">
        <w:t xml:space="preserve">The </w:t>
      </w:r>
      <w:r>
        <w:t xml:space="preserve">following benefits have not been quantified in the cost-benefit analysis. </w:t>
      </w:r>
    </w:p>
    <w:p w14:paraId="656B0201" w14:textId="77777777" w:rsidR="00432CE4" w:rsidRPr="00432CE4" w:rsidRDefault="00432CE4" w:rsidP="00F61BA1">
      <w:pPr>
        <w:rPr>
          <w:i/>
          <w:u w:val="single"/>
        </w:rPr>
      </w:pPr>
      <w:r>
        <w:rPr>
          <w:i/>
          <w:u w:val="single"/>
        </w:rPr>
        <w:t xml:space="preserve">Increased </w:t>
      </w:r>
      <w:r w:rsidR="00B52272">
        <w:rPr>
          <w:i/>
          <w:u w:val="single"/>
        </w:rPr>
        <w:t xml:space="preserve">certainty </w:t>
      </w:r>
      <w:r>
        <w:rPr>
          <w:i/>
          <w:u w:val="single"/>
        </w:rPr>
        <w:t>for duty holders</w:t>
      </w:r>
    </w:p>
    <w:p w14:paraId="656B0202" w14:textId="77777777" w:rsidR="009504C9" w:rsidRDefault="003F6069" w:rsidP="00FA1A75">
      <w:r>
        <w:t>During consultation</w:t>
      </w:r>
      <w:r w:rsidR="00DC3CFB">
        <w:t xml:space="preserve"> s</w:t>
      </w:r>
      <w:r w:rsidR="009504C9">
        <w:t xml:space="preserve">ome </w:t>
      </w:r>
      <w:r w:rsidR="00DC3CFB">
        <w:t xml:space="preserve">duty holders </w:t>
      </w:r>
      <w:r w:rsidR="00F61BA1">
        <w:t xml:space="preserve">identified </w:t>
      </w:r>
      <w:r w:rsidR="00DC3CFB">
        <w:t xml:space="preserve">noted that they derive </w:t>
      </w:r>
      <w:r w:rsidR="00F61BA1">
        <w:t xml:space="preserve">benefits from </w:t>
      </w:r>
      <w:r w:rsidR="00A06696">
        <w:t>operating licences</w:t>
      </w:r>
      <w:r w:rsidR="00DC3CFB">
        <w:t xml:space="preserve"> and works approvals</w:t>
      </w:r>
      <w:r w:rsidR="00F61BA1">
        <w:t>. These include</w:t>
      </w:r>
      <w:r w:rsidR="00DC3CFB">
        <w:t>:</w:t>
      </w:r>
      <w:r w:rsidR="00FA4535">
        <w:t xml:space="preserve"> greater </w:t>
      </w:r>
      <w:r w:rsidR="00F61BA1">
        <w:t>c</w:t>
      </w:r>
      <w:r w:rsidR="00B52272">
        <w:t>ertainty</w:t>
      </w:r>
      <w:r w:rsidR="00F61BA1">
        <w:t xml:space="preserve"> over environmental obligations, </w:t>
      </w:r>
      <w:r w:rsidR="000730C7">
        <w:t>reduced</w:t>
      </w:r>
      <w:r w:rsidR="00F61BA1">
        <w:t xml:space="preserve"> over</w:t>
      </w:r>
      <w:r w:rsidR="00FA4535">
        <w:t>-</w:t>
      </w:r>
      <w:r w:rsidR="00F61BA1">
        <w:t xml:space="preserve">compliance activities, and risks </w:t>
      </w:r>
      <w:r w:rsidR="00DC3CFB">
        <w:t xml:space="preserve">and costs </w:t>
      </w:r>
      <w:r w:rsidR="00F61BA1">
        <w:t>associated with under-compliance</w:t>
      </w:r>
      <w:r w:rsidR="00DC3CFB">
        <w:t xml:space="preserve">. Furthermore, some commented that the permissioning system </w:t>
      </w:r>
      <w:r w:rsidR="009504C9">
        <w:t>p</w:t>
      </w:r>
      <w:r w:rsidR="00F61BA1">
        <w:t>romot</w:t>
      </w:r>
      <w:r w:rsidR="00DC3CFB">
        <w:t>es</w:t>
      </w:r>
      <w:r w:rsidR="00F61BA1">
        <w:t xml:space="preserve"> a level playing field </w:t>
      </w:r>
      <w:r>
        <w:t xml:space="preserve">and promotes competition </w:t>
      </w:r>
      <w:r w:rsidR="00DC3CFB">
        <w:t>by setting minimum</w:t>
      </w:r>
      <w:r w:rsidR="00F61BA1">
        <w:t xml:space="preserve"> environmental standards across particular industries. </w:t>
      </w:r>
    </w:p>
    <w:p w14:paraId="656B0203" w14:textId="77777777" w:rsidR="00432CE4" w:rsidRPr="00432CE4" w:rsidRDefault="00432CE4" w:rsidP="00432CE4">
      <w:pPr>
        <w:rPr>
          <w:i/>
          <w:u w:val="single"/>
        </w:rPr>
      </w:pPr>
      <w:r>
        <w:rPr>
          <w:i/>
          <w:u w:val="single"/>
        </w:rPr>
        <w:t>Improved information for EPA to assess environmental risks and harms of activities</w:t>
      </w:r>
    </w:p>
    <w:p w14:paraId="656B0204" w14:textId="77777777" w:rsidR="00006A73" w:rsidRDefault="00D95504" w:rsidP="00FA1A75">
      <w:r w:rsidRPr="00FA1A75">
        <w:t xml:space="preserve">The introduction of registrations means that </w:t>
      </w:r>
      <w:r w:rsidR="000514DD" w:rsidRPr="00FA1A75">
        <w:t>EPA</w:t>
      </w:r>
      <w:r w:rsidRPr="00FA1A75">
        <w:t xml:space="preserve"> will have better access to information </w:t>
      </w:r>
      <w:r w:rsidR="00DE1A33" w:rsidRPr="00FA1A75">
        <w:t xml:space="preserve">on the location of activities which pose a moderate risk to human health and environment. </w:t>
      </w:r>
      <w:r w:rsidR="00FA1A75">
        <w:t xml:space="preserve">With this information, EPA </w:t>
      </w:r>
      <w:r w:rsidR="003F6069">
        <w:t>can</w:t>
      </w:r>
      <w:r w:rsidR="00FA1A75">
        <w:t xml:space="preserve"> improve its understanding of the local pollution impacts of these activities. </w:t>
      </w:r>
    </w:p>
    <w:p w14:paraId="656B0205" w14:textId="77777777" w:rsidR="00432CE4" w:rsidRPr="00432CE4" w:rsidRDefault="00432CE4" w:rsidP="00432CE4">
      <w:pPr>
        <w:rPr>
          <w:i/>
          <w:u w:val="single"/>
        </w:rPr>
      </w:pPr>
      <w:r>
        <w:rPr>
          <w:i/>
          <w:u w:val="single"/>
        </w:rPr>
        <w:t>Preventing taxpayers from incurring clean-up costs</w:t>
      </w:r>
    </w:p>
    <w:p w14:paraId="656B0206" w14:textId="77777777" w:rsidR="00FA1A75" w:rsidRDefault="00003D4C" w:rsidP="00D13ABA">
      <w:r w:rsidRPr="00FA1A75">
        <w:t xml:space="preserve">Requiring businesses to hold a financial assurance ensures that </w:t>
      </w:r>
      <w:r w:rsidR="00DC3CFB" w:rsidRPr="00FA1A75">
        <w:t xml:space="preserve">clean-up costs from pollution </w:t>
      </w:r>
      <w:r w:rsidRPr="00FA1A75">
        <w:t>incident</w:t>
      </w:r>
      <w:r w:rsidR="00DC3CFB" w:rsidRPr="00FA1A75">
        <w:t>s</w:t>
      </w:r>
      <w:r w:rsidRPr="00FA1A75">
        <w:t xml:space="preserve"> </w:t>
      </w:r>
      <w:r w:rsidR="00DC3CFB" w:rsidRPr="00FA1A75">
        <w:t xml:space="preserve">are borne by the duty holders that caused the incident, rather than taxpayers. This benefit is greater </w:t>
      </w:r>
      <w:r w:rsidR="003F6069">
        <w:t>under</w:t>
      </w:r>
      <w:r w:rsidR="00FA1A75">
        <w:t xml:space="preserve"> Option 2 which </w:t>
      </w:r>
      <w:r w:rsidR="003F6069">
        <w:t>requires</w:t>
      </w:r>
      <w:r w:rsidR="00FA1A75">
        <w:t xml:space="preserve"> </w:t>
      </w:r>
      <w:r w:rsidR="007901B3">
        <w:t xml:space="preserve">WRRs </w:t>
      </w:r>
      <w:r w:rsidR="00FA1A75">
        <w:t>to hold financial assurances.</w:t>
      </w:r>
      <w:r w:rsidR="00DC3CFB" w:rsidRPr="00FA1A75">
        <w:t xml:space="preserve"> </w:t>
      </w:r>
      <w:r w:rsidR="00D13ABA">
        <w:t>To provide an idea of the scale of costs that this may prevent for taxpayers, clean up and emergency costs are estimated to be $150,000 per small/moderate fire, $3 million per large fire, and $5 million per very large fire.</w:t>
      </w:r>
      <w:r w:rsidR="00D13ABA">
        <w:rPr>
          <w:rStyle w:val="FootnoteReference"/>
        </w:rPr>
        <w:footnoteReference w:id="71"/>
      </w:r>
    </w:p>
    <w:p w14:paraId="656B0207" w14:textId="77777777" w:rsidR="00FA1A75" w:rsidRPr="00FA1A75" w:rsidRDefault="00432CE4" w:rsidP="005C72EC">
      <w:pPr>
        <w:pStyle w:val="Heading3"/>
        <w:ind w:left="720"/>
      </w:pPr>
      <w:r>
        <w:t>C</w:t>
      </w:r>
      <w:r w:rsidR="00552496">
        <w:t>osts</w:t>
      </w:r>
    </w:p>
    <w:p w14:paraId="656B0208" w14:textId="77777777" w:rsidR="00FA1A75" w:rsidRDefault="00F61BA1" w:rsidP="000E7C5E">
      <w:pPr>
        <w:pStyle w:val="Heading4un-numbered"/>
      </w:pPr>
      <w:r w:rsidRPr="00040A06">
        <w:t xml:space="preserve">Industry costs </w:t>
      </w:r>
    </w:p>
    <w:p w14:paraId="656B0209" w14:textId="77777777" w:rsidR="00C7394E" w:rsidRPr="000E7C5E" w:rsidRDefault="00C7394E" w:rsidP="00C7394E">
      <w:pPr>
        <w:rPr>
          <w:b/>
          <w:i/>
        </w:rPr>
      </w:pPr>
      <w:r w:rsidRPr="000E7C5E">
        <w:rPr>
          <w:b/>
          <w:i/>
        </w:rPr>
        <w:t>Development licence applications</w:t>
      </w:r>
    </w:p>
    <w:p w14:paraId="656B020A" w14:textId="77777777" w:rsidR="00C7394E" w:rsidRDefault="00C7394E" w:rsidP="00C7394E">
      <w:r>
        <w:t>Development licence requirements will oblige duty holders to address potential environmental risks prior to establishing a premises, or undertaking major works on their existing premises. Similar to the current works approvals process, duty holders must first notify EPA of a planned development, and make an application for an approval to undertake the works. Businesses may be required to modify or abandon planned works if the application is rejected, which could lead to further costs.</w:t>
      </w:r>
    </w:p>
    <w:p w14:paraId="656B020B" w14:textId="77777777" w:rsidR="00C7394E" w:rsidRDefault="00C7394E" w:rsidP="00C7394E">
      <w:r>
        <w:t xml:space="preserve">Applying for a development licence imposes costs including labour and consultants’ fees, </w:t>
      </w:r>
      <w:r w:rsidR="000730C7">
        <w:t xml:space="preserve">and </w:t>
      </w:r>
      <w:r>
        <w:t>capital costs.</w:t>
      </w:r>
      <w:r w:rsidRPr="002445DA">
        <w:t xml:space="preserve"> </w:t>
      </w:r>
      <w:r>
        <w:t>Each development licence approval is estimated to impose a cost of $33,461 per year.</w:t>
      </w:r>
      <w:r>
        <w:rPr>
          <w:rStyle w:val="FootnoteReference"/>
        </w:rPr>
        <w:footnoteReference w:id="72"/>
      </w:r>
    </w:p>
    <w:p w14:paraId="656B020C" w14:textId="77777777" w:rsidR="00C7394E" w:rsidRPr="00040A06" w:rsidRDefault="00C7394E" w:rsidP="00C7394E">
      <w:r>
        <w:t xml:space="preserve">This cost is higher under Option 2. It is estimated that businesses </w:t>
      </w:r>
      <w:r w:rsidRPr="002658AF">
        <w:t xml:space="preserve">would undertake an average of </w:t>
      </w:r>
      <w:r w:rsidRPr="000E7C5E">
        <w:t>30</w:t>
      </w:r>
      <w:r w:rsidRPr="002658AF">
        <w:t xml:space="preserve"> development licence</w:t>
      </w:r>
      <w:r>
        <w:t xml:space="preserve"> applications per year for Option 1, and 33 development licence applications per year for Option 2. This estimate has</w:t>
      </w:r>
      <w:r w:rsidR="00413D5D">
        <w:t xml:space="preserve"> been</w:t>
      </w:r>
      <w:r>
        <w:t xml:space="preserve"> based on the average number of annual works approvals between 2014 and 2018. </w:t>
      </w:r>
    </w:p>
    <w:p w14:paraId="656B020D" w14:textId="77777777" w:rsidR="00C7394E" w:rsidRPr="000E7C5E" w:rsidRDefault="00C7394E" w:rsidP="00C7394E">
      <w:pPr>
        <w:rPr>
          <w:b/>
          <w:i/>
        </w:rPr>
      </w:pPr>
      <w:r w:rsidRPr="000E7C5E">
        <w:rPr>
          <w:b/>
          <w:i/>
        </w:rPr>
        <w:t xml:space="preserve">Industry development licence delay costs </w:t>
      </w:r>
    </w:p>
    <w:p w14:paraId="656B020E" w14:textId="77777777" w:rsidR="00C7394E" w:rsidRPr="002658AF" w:rsidRDefault="00C7394E" w:rsidP="00C7394E">
      <w:r>
        <w:t xml:space="preserve">Businesses can also encounter delay costs during the development licence process. When delays occur, they are typically encountered during the consultation stage, and during reviews by Victorian Government </w:t>
      </w:r>
      <w:r w:rsidR="000730C7">
        <w:t>agencies</w:t>
      </w:r>
      <w:r>
        <w:t xml:space="preserve">. This can include standby costs (those incurred due to delays in production while waiting for approval), and holding costs (costs associated with holding of property, </w:t>
      </w:r>
      <w:r w:rsidRPr="002658AF">
        <w:t xml:space="preserve">equipment or land while a decision is awaited). </w:t>
      </w:r>
    </w:p>
    <w:p w14:paraId="656B020F" w14:textId="77777777" w:rsidR="00C7394E" w:rsidRDefault="00C7394E" w:rsidP="00C7394E">
      <w:r w:rsidRPr="002658AF">
        <w:t>Delay costs apply to an estimated 20 per cent of works approvals, and cost an average of $515,390 (in $2018).</w:t>
      </w:r>
      <w:r w:rsidRPr="002658AF">
        <w:rPr>
          <w:rStyle w:val="FootnoteReference"/>
        </w:rPr>
        <w:footnoteReference w:id="73"/>
      </w:r>
      <w:r w:rsidRPr="002658AF">
        <w:t xml:space="preserve"> Applying this cost in current values to the estimated number of development licences suggests an average delay cost of $103,078 for each of the average </w:t>
      </w:r>
      <w:r w:rsidRPr="000E7C5E">
        <w:t>30</w:t>
      </w:r>
      <w:r w:rsidRPr="002658AF">
        <w:t xml:space="preserve"> de</w:t>
      </w:r>
      <w:r>
        <w:t>velopment licences per year (Option 1) and the 33 development licences per year (Option 2).</w:t>
      </w:r>
    </w:p>
    <w:p w14:paraId="656B0210" w14:textId="77777777" w:rsidR="00C7394E" w:rsidRPr="00CA11A0" w:rsidRDefault="00C7394E" w:rsidP="00C7394E">
      <w:r>
        <w:t xml:space="preserve">Delay costs are likely to vary significantly from one project to the next. As such, we have considered the impact that higher delay costs would have on the net benefit in the sensitivity analysis. </w:t>
      </w:r>
    </w:p>
    <w:p w14:paraId="7CDF5E94" w14:textId="77777777" w:rsidR="0073546C" w:rsidRDefault="0073546C" w:rsidP="00C7394E">
      <w:pPr>
        <w:rPr>
          <w:b/>
          <w:i/>
        </w:rPr>
      </w:pPr>
    </w:p>
    <w:p w14:paraId="656B0211" w14:textId="120C4C7F" w:rsidR="00C7394E" w:rsidRPr="000E7C5E" w:rsidRDefault="00C7394E" w:rsidP="00C7394E">
      <w:pPr>
        <w:rPr>
          <w:b/>
          <w:i/>
        </w:rPr>
      </w:pPr>
      <w:r w:rsidRPr="000E7C5E">
        <w:rPr>
          <w:b/>
          <w:i/>
        </w:rPr>
        <w:t>Industry development licence compliance cost</w:t>
      </w:r>
      <w:r w:rsidR="00014F56">
        <w:rPr>
          <w:b/>
          <w:i/>
        </w:rPr>
        <w:t xml:space="preserve"> </w:t>
      </w:r>
    </w:p>
    <w:p w14:paraId="656B0212" w14:textId="77777777" w:rsidR="00C7394E" w:rsidRDefault="00C7394E" w:rsidP="00C7394E">
      <w:r>
        <w:t xml:space="preserve">Compliance costs reflect the burden of complying with the development licence conditions over and above what the original design would cost. For example, a development licence may specify that a filter be added to a new chimney stack, or that lining be installed under a premises to stop chemicals leaking into groundwater. </w:t>
      </w:r>
    </w:p>
    <w:p w14:paraId="656B0213" w14:textId="77777777" w:rsidR="00C7394E" w:rsidRDefault="00C7394E" w:rsidP="00C7394E">
      <w:r>
        <w:t>It is estimated that on average, development licence compliance would add $29,694 (in $2018) to each of the average 30 development licence applications completed by businesses each year.</w:t>
      </w:r>
      <w:r>
        <w:rPr>
          <w:rStyle w:val="FootnoteReference"/>
        </w:rPr>
        <w:footnoteReference w:id="74"/>
      </w:r>
      <w:r>
        <w:t xml:space="preserve"> </w:t>
      </w:r>
    </w:p>
    <w:p w14:paraId="656B0214" w14:textId="77777777" w:rsidR="00C7394E" w:rsidRDefault="000730C7" w:rsidP="00C7394E">
      <w:r>
        <w:t xml:space="preserve">However there </w:t>
      </w:r>
      <w:r w:rsidR="00C7394E">
        <w:t xml:space="preserve">is significant variation in the compliance costs associated with development licences. Costs will vary depending on the nature and scale of any additional or modified works specified in the licence conditions (if any are specified). As such, we have considered the impact that higher average compliance costs would have on the net benefit in the sensitivity analysis. </w:t>
      </w:r>
    </w:p>
    <w:p w14:paraId="656B0215" w14:textId="77777777" w:rsidR="00C7394E" w:rsidRPr="000E7C5E" w:rsidRDefault="00C7394E" w:rsidP="00C7394E">
      <w:pPr>
        <w:rPr>
          <w:b/>
          <w:i/>
        </w:rPr>
      </w:pPr>
      <w:r w:rsidRPr="000E7C5E">
        <w:rPr>
          <w:b/>
          <w:i/>
        </w:rPr>
        <w:t>Industry costs of development licence exemptions</w:t>
      </w:r>
    </w:p>
    <w:p w14:paraId="656B0216" w14:textId="77777777" w:rsidR="00C7394E" w:rsidRDefault="00C7394E" w:rsidP="00C7394E">
      <w:r>
        <w:t>Under certain circumstances, businesses may be able to apply for a development licence exemption to avoid the burden and conditions associated with a full application. The process to apply for an exemption is typically less time consuming and administrative. The cost of applying for a development licence exemption is estimated to cost, on average, $16,000 per application.</w:t>
      </w:r>
      <w:r>
        <w:rPr>
          <w:rStyle w:val="FootnoteReference"/>
        </w:rPr>
        <w:footnoteReference w:id="75"/>
      </w:r>
      <w:r>
        <w:t xml:space="preserve"> </w:t>
      </w:r>
    </w:p>
    <w:p w14:paraId="656B0217" w14:textId="77777777" w:rsidR="00C7394E" w:rsidRDefault="00C7394E" w:rsidP="00F175CF">
      <w:pPr>
        <w:rPr>
          <w:b/>
          <w:i/>
        </w:rPr>
      </w:pPr>
      <w:r>
        <w:t>It is estimated that, under the proposed options, there would be 40 development licence exemption applications received by EPA each year. This cost is assumed to be the same under Options 1 and 2, since there is no variation in the activities that would require a development licence exemption.</w:t>
      </w:r>
    </w:p>
    <w:p w14:paraId="656B0218" w14:textId="77777777" w:rsidR="00F175CF" w:rsidRPr="00AF7EC4" w:rsidRDefault="00F175CF" w:rsidP="00F175CF">
      <w:pPr>
        <w:rPr>
          <w:b/>
          <w:i/>
        </w:rPr>
      </w:pPr>
      <w:r>
        <w:rPr>
          <w:b/>
          <w:i/>
        </w:rPr>
        <w:t xml:space="preserve">Reporting costs for </w:t>
      </w:r>
      <w:r w:rsidRPr="00AF7EC4">
        <w:rPr>
          <w:b/>
          <w:i/>
        </w:rPr>
        <w:t xml:space="preserve">operating licence </w:t>
      </w:r>
      <w:r>
        <w:rPr>
          <w:b/>
          <w:i/>
        </w:rPr>
        <w:t>holders</w:t>
      </w:r>
      <w:r w:rsidRPr="00AF7EC4">
        <w:rPr>
          <w:b/>
          <w:i/>
        </w:rPr>
        <w:t xml:space="preserve">. </w:t>
      </w:r>
    </w:p>
    <w:p w14:paraId="656B0219" w14:textId="77777777" w:rsidR="00F175CF" w:rsidRDefault="00BD7E69">
      <w:r>
        <w:t xml:space="preserve">Annual reporting </w:t>
      </w:r>
      <w:r w:rsidR="00F175CF">
        <w:t xml:space="preserve">costs are </w:t>
      </w:r>
      <w:r>
        <w:t xml:space="preserve">associated with demonstrating compliance with licence conditions, and provision of information to EPA. These costs can include record keeping and reporting. </w:t>
      </w:r>
      <w:r w:rsidR="00F175CF">
        <w:t xml:space="preserve">It is estimated that </w:t>
      </w:r>
      <w:r>
        <w:t xml:space="preserve">reporting costs total </w:t>
      </w:r>
      <w:r w:rsidR="00F175CF">
        <w:t>$2</w:t>
      </w:r>
      <w:r>
        <w:t>2</w:t>
      </w:r>
      <w:r w:rsidR="00F175CF">
        <w:t>,</w:t>
      </w:r>
      <w:r>
        <w:t>291</w:t>
      </w:r>
      <w:r w:rsidR="00F175CF">
        <w:t xml:space="preserve"> per year, on average, for each business holding an operating licence.</w:t>
      </w:r>
      <w:r w:rsidR="00F175CF">
        <w:rPr>
          <w:rStyle w:val="FootnoteReference"/>
        </w:rPr>
        <w:footnoteReference w:id="76"/>
      </w:r>
    </w:p>
    <w:p w14:paraId="656B021A" w14:textId="77777777" w:rsidR="005B03CD" w:rsidRPr="000E7C5E" w:rsidRDefault="00FA1A75" w:rsidP="00FA1A75">
      <w:pPr>
        <w:rPr>
          <w:b/>
          <w:i/>
        </w:rPr>
      </w:pPr>
      <w:r w:rsidRPr="000E7C5E">
        <w:rPr>
          <w:b/>
          <w:i/>
        </w:rPr>
        <w:t>C</w:t>
      </w:r>
      <w:r w:rsidR="00F61BA1" w:rsidRPr="000E7C5E">
        <w:rPr>
          <w:b/>
          <w:i/>
        </w:rPr>
        <w:t>ompliance with</w:t>
      </w:r>
      <w:r w:rsidR="00A72E96" w:rsidRPr="000E7C5E">
        <w:rPr>
          <w:b/>
          <w:i/>
        </w:rPr>
        <w:t xml:space="preserve"> operating</w:t>
      </w:r>
      <w:r w:rsidR="00F61BA1" w:rsidRPr="000E7C5E">
        <w:rPr>
          <w:b/>
          <w:i/>
        </w:rPr>
        <w:t xml:space="preserve"> licen</w:t>
      </w:r>
      <w:r w:rsidR="003F6069" w:rsidRPr="000E7C5E">
        <w:rPr>
          <w:b/>
          <w:i/>
        </w:rPr>
        <w:t>c</w:t>
      </w:r>
      <w:r w:rsidR="00F61BA1" w:rsidRPr="000E7C5E">
        <w:rPr>
          <w:b/>
          <w:i/>
        </w:rPr>
        <w:t xml:space="preserve">e conditions. </w:t>
      </w:r>
    </w:p>
    <w:p w14:paraId="656B021B" w14:textId="77777777" w:rsidR="00F61BA1" w:rsidRDefault="00A72E96" w:rsidP="005B03CD">
      <w:r>
        <w:t xml:space="preserve">Compliance costs are directly related to the achievement of the intended outcomes of the permissioning framework. Industry costs </w:t>
      </w:r>
      <w:r w:rsidR="003F6069">
        <w:t>include</w:t>
      </w:r>
      <w:r>
        <w:t xml:space="preserve"> monitoring the environmental effects of activities to ensure that licence conditions are not breached (in addition to those required for annual reporting).</w:t>
      </w:r>
    </w:p>
    <w:p w14:paraId="656B021C" w14:textId="77777777" w:rsidR="00DE1159" w:rsidRDefault="003F6069" w:rsidP="005B03CD">
      <w:r>
        <w:t>Substantive c</w:t>
      </w:r>
      <w:r w:rsidR="00A72E96">
        <w:t>ompliance costs include upgrades to equipment, or providing training to employees. It is estimated that compliance with licence conditions costs $</w:t>
      </w:r>
      <w:r w:rsidR="00FA1A75">
        <w:t>29,387</w:t>
      </w:r>
      <w:r w:rsidR="00A72E96">
        <w:t xml:space="preserve"> per year, on average, for each business holding an operating licence.</w:t>
      </w:r>
      <w:r w:rsidR="00A72E96">
        <w:rPr>
          <w:rStyle w:val="FootnoteReference"/>
        </w:rPr>
        <w:footnoteReference w:id="77"/>
      </w:r>
    </w:p>
    <w:p w14:paraId="656B021D" w14:textId="77777777" w:rsidR="00DF012D" w:rsidRPr="000E7C5E" w:rsidRDefault="00DF012D" w:rsidP="00DF012D">
      <w:pPr>
        <w:rPr>
          <w:b/>
          <w:i/>
        </w:rPr>
      </w:pPr>
      <w:r w:rsidRPr="000E7C5E">
        <w:rPr>
          <w:b/>
          <w:i/>
        </w:rPr>
        <w:t>Industry costs of permit applications</w:t>
      </w:r>
    </w:p>
    <w:p w14:paraId="656B021E" w14:textId="77777777" w:rsidR="00DF012D" w:rsidRDefault="00DF012D" w:rsidP="00DF012D">
      <w:r>
        <w:t xml:space="preserve">Under Options 1 and 2, duty holders will be required to apply for permits in order to undertake activities specified in regulations. For a number of the proposed permit activities in Options 1 and 2, there is currently a different form of permission required, or a submission must be made to EPA to seek an exemption. </w:t>
      </w:r>
    </w:p>
    <w:p w14:paraId="656B021F" w14:textId="77777777" w:rsidR="00DF012D" w:rsidRDefault="00DF012D" w:rsidP="00DF012D">
      <w:r>
        <w:t xml:space="preserve">For example, some of the proposed permit activities (including operation of biosolids or wastewater reuse schemes) are eligible for an exemption from the requirement to hold a licence. EPA currently </w:t>
      </w:r>
      <w:r w:rsidRPr="00DE1A33">
        <w:t>determines whether</w:t>
      </w:r>
      <w:r w:rsidR="00C7394E">
        <w:t xml:space="preserve"> the activity or scheme meets acceptable technology, deposit, discharge and/or emissions</w:t>
      </w:r>
      <w:r w:rsidRPr="00DE1A33">
        <w:t xml:space="preserve"> specifications by assessing an Environment Improvement Plan (EIP)</w:t>
      </w:r>
      <w:r>
        <w:t xml:space="preserve">, which is prepared by the duty holder. Of the businesses that responded to </w:t>
      </w:r>
      <w:r w:rsidR="000730C7">
        <w:t xml:space="preserve">our </w:t>
      </w:r>
      <w:r>
        <w:t xml:space="preserve">survey, those which had recently completed an EIP estimated the cost to be in the order of $14,000 per EIP (median value). As a proxy for estimating the cost of permit applications, with direction from EPA, this cost has been applied to the following activities that are proposed for the permit tiers: </w:t>
      </w:r>
    </w:p>
    <w:p w14:paraId="656B0220" w14:textId="77777777" w:rsidR="00DF012D" w:rsidRDefault="00DF012D" w:rsidP="00DF012D">
      <w:pPr>
        <w:pStyle w:val="ListParagraph"/>
        <w:numPr>
          <w:ilvl w:val="0"/>
          <w:numId w:val="26"/>
        </w:numPr>
      </w:pPr>
      <w:r>
        <w:t>Municipal landfills serving &lt;5,000 people (Option 1 and 2)</w:t>
      </w:r>
      <w:r w:rsidR="000730C7">
        <w:t>.</w:t>
      </w:r>
    </w:p>
    <w:p w14:paraId="656B0221" w14:textId="77777777" w:rsidR="00DF012D" w:rsidRDefault="00DF012D" w:rsidP="00DF012D">
      <w:pPr>
        <w:pStyle w:val="ListParagraph"/>
        <w:numPr>
          <w:ilvl w:val="0"/>
          <w:numId w:val="26"/>
        </w:numPr>
      </w:pPr>
      <w:r>
        <w:t>Supply or use of wastewater/biosolids (Option 1 and 2)</w:t>
      </w:r>
      <w:r w:rsidR="000730C7">
        <w:t>.</w:t>
      </w:r>
    </w:p>
    <w:p w14:paraId="656B0222" w14:textId="77777777" w:rsidR="00DF012D" w:rsidRDefault="00DF012D" w:rsidP="00DF012D">
      <w:pPr>
        <w:pStyle w:val="ListParagraph"/>
        <w:numPr>
          <w:ilvl w:val="0"/>
          <w:numId w:val="26"/>
        </w:numPr>
      </w:pPr>
      <w:r>
        <w:t>Temporary plant for on-site waste treatment (Option 1 and 2)</w:t>
      </w:r>
      <w:r w:rsidR="000730C7">
        <w:t>.</w:t>
      </w:r>
    </w:p>
    <w:p w14:paraId="656B0223" w14:textId="77777777" w:rsidR="00DF012D" w:rsidRDefault="00DF012D" w:rsidP="00DF012D">
      <w:pPr>
        <w:pStyle w:val="ListParagraph"/>
        <w:numPr>
          <w:ilvl w:val="0"/>
          <w:numId w:val="26"/>
        </w:numPr>
      </w:pPr>
      <w:r>
        <w:t>Discharge of waste to aquifer (Option 1 and 2)</w:t>
      </w:r>
      <w:r w:rsidR="000730C7">
        <w:t>.</w:t>
      </w:r>
    </w:p>
    <w:p w14:paraId="656B0224" w14:textId="77777777" w:rsidR="00DF012D" w:rsidRDefault="00DF012D" w:rsidP="00DF012D">
      <w:pPr>
        <w:pStyle w:val="ListParagraph"/>
        <w:numPr>
          <w:ilvl w:val="0"/>
          <w:numId w:val="26"/>
        </w:numPr>
      </w:pPr>
      <w:r>
        <w:t>Operation of piggeries which discharge solely to land (Option 1 and 2)</w:t>
      </w:r>
      <w:r w:rsidR="000730C7">
        <w:t>.</w:t>
      </w:r>
    </w:p>
    <w:p w14:paraId="656B0225" w14:textId="77777777" w:rsidR="00DF012D" w:rsidRDefault="00DF012D" w:rsidP="00DF012D">
      <w:pPr>
        <w:pStyle w:val="ListParagraph"/>
        <w:numPr>
          <w:ilvl w:val="0"/>
          <w:numId w:val="26"/>
        </w:numPr>
      </w:pPr>
      <w:r>
        <w:t>Operation of saleyards/holding pens which discharge solely to land (Option 1 and 2)</w:t>
      </w:r>
      <w:r w:rsidR="000730C7">
        <w:t>.</w:t>
      </w:r>
    </w:p>
    <w:p w14:paraId="656B0226" w14:textId="77777777" w:rsidR="00DF012D" w:rsidRDefault="007901B3" w:rsidP="00DF012D">
      <w:pPr>
        <w:pStyle w:val="ListParagraph"/>
        <w:numPr>
          <w:ilvl w:val="0"/>
          <w:numId w:val="26"/>
        </w:numPr>
      </w:pPr>
      <w:r>
        <w:t xml:space="preserve">WRRs </w:t>
      </w:r>
      <w:r w:rsidR="00DF012D">
        <w:t>handling 5,000 cubic metres (or more) on the premises at any time (Option 2 only)</w:t>
      </w:r>
      <w:r w:rsidR="000730C7">
        <w:t>.</w:t>
      </w:r>
    </w:p>
    <w:p w14:paraId="656B0227" w14:textId="77777777" w:rsidR="00DF012D" w:rsidRPr="00DF012D" w:rsidRDefault="00DF012D" w:rsidP="00DF012D">
      <w:pPr>
        <w:pStyle w:val="ListParagraph"/>
        <w:numPr>
          <w:ilvl w:val="0"/>
          <w:numId w:val="26"/>
        </w:numPr>
      </w:pPr>
      <w:r w:rsidRPr="000E7C5E">
        <w:t xml:space="preserve">Containment of Category D soils on project site </w:t>
      </w:r>
      <w:r w:rsidRPr="00DF012D">
        <w:t>(Option 2 only)</w:t>
      </w:r>
      <w:r w:rsidR="000730C7">
        <w:t>.</w:t>
      </w:r>
    </w:p>
    <w:p w14:paraId="656B0228" w14:textId="77777777" w:rsidR="00DF012D" w:rsidRDefault="00DF012D" w:rsidP="000E7C5E">
      <w:pPr>
        <w:pStyle w:val="ListParagraph"/>
        <w:numPr>
          <w:ilvl w:val="0"/>
          <w:numId w:val="26"/>
        </w:numPr>
      </w:pPr>
      <w:r w:rsidRPr="000E7C5E">
        <w:t xml:space="preserve">Supply or Use of Reportable Priority Waste and liquid wastes </w:t>
      </w:r>
      <w:r w:rsidRPr="009402A8">
        <w:t>(Option 2</w:t>
      </w:r>
      <w:r>
        <w:t xml:space="preserve"> only)</w:t>
      </w:r>
      <w:r w:rsidR="000730C7">
        <w:t>.</w:t>
      </w:r>
    </w:p>
    <w:p w14:paraId="656B0229" w14:textId="77777777" w:rsidR="00DF012D" w:rsidRDefault="00DF012D" w:rsidP="00DF012D">
      <w:r>
        <w:t xml:space="preserve">EPA has also estimated the cost of permit applications to business for other activities, based on the level of information and complexity: </w:t>
      </w:r>
    </w:p>
    <w:p w14:paraId="656B022A" w14:textId="77777777" w:rsidR="00DF012D" w:rsidRDefault="00DF012D" w:rsidP="00DF012D">
      <w:pPr>
        <w:pStyle w:val="ListParagraph"/>
        <w:numPr>
          <w:ilvl w:val="0"/>
          <w:numId w:val="26"/>
        </w:numPr>
      </w:pPr>
      <w:r>
        <w:t>Consignments of waste into Victoria are estimated to cost businesses $500 per application</w:t>
      </w:r>
      <w:r w:rsidR="000730C7">
        <w:t>.</w:t>
      </w:r>
    </w:p>
    <w:p w14:paraId="656B022B" w14:textId="77777777" w:rsidR="00DF012D" w:rsidRDefault="00DF012D" w:rsidP="00DF012D">
      <w:pPr>
        <w:pStyle w:val="ListParagraph"/>
        <w:numPr>
          <w:ilvl w:val="0"/>
          <w:numId w:val="26"/>
        </w:numPr>
      </w:pPr>
      <w:r>
        <w:t>Waste transport vehicle permits (per vehicle</w:t>
      </w:r>
      <w:r w:rsidR="00413D5D">
        <w:t>)</w:t>
      </w:r>
      <w:r>
        <w:t xml:space="preserve"> are estimated to cost $1,000 per application</w:t>
      </w:r>
      <w:r w:rsidR="000730C7">
        <w:t>.</w:t>
      </w:r>
      <w:r>
        <w:rPr>
          <w:rStyle w:val="FootnoteReference"/>
        </w:rPr>
        <w:footnoteReference w:id="78"/>
      </w:r>
    </w:p>
    <w:p w14:paraId="656B022C" w14:textId="77777777" w:rsidR="00DF012D" w:rsidRDefault="00DF012D" w:rsidP="00DF012D">
      <w:pPr>
        <w:pStyle w:val="ListParagraph"/>
        <w:numPr>
          <w:ilvl w:val="0"/>
          <w:numId w:val="26"/>
        </w:numPr>
      </w:pPr>
      <w:r>
        <w:t>Outdoor noise permits</w:t>
      </w:r>
      <w:r w:rsidR="00413D5D">
        <w:t xml:space="preserve"> are estimated</w:t>
      </w:r>
      <w:r>
        <w:t xml:space="preserve"> </w:t>
      </w:r>
      <w:r w:rsidR="00413D5D">
        <w:t xml:space="preserve">to cost </w:t>
      </w:r>
      <w:r>
        <w:t>$2,000 per application</w:t>
      </w:r>
      <w:r w:rsidR="000730C7">
        <w:t>.</w:t>
      </w:r>
    </w:p>
    <w:p w14:paraId="656B022D" w14:textId="77777777" w:rsidR="00DF012D" w:rsidRDefault="00DF012D" w:rsidP="00CA11A0">
      <w:pPr>
        <w:rPr>
          <w:i/>
          <w:u w:val="single"/>
        </w:rPr>
      </w:pPr>
      <w:r>
        <w:t xml:space="preserve">The number of permit applications undertaken per year has been estimated by EPA based on the estimated cohorts for each proposed activity. Estimated cohort sizes are outlined in </w:t>
      </w:r>
      <w:r w:rsidRPr="005F58DF">
        <w:t xml:space="preserve">Appendix </w:t>
      </w:r>
      <w:r w:rsidR="005F58DF" w:rsidRPr="005F58DF">
        <w:t>5</w:t>
      </w:r>
      <w:r w:rsidRPr="002B6801">
        <w:t>.</w:t>
      </w:r>
    </w:p>
    <w:p w14:paraId="656B022E" w14:textId="77777777" w:rsidR="00CA11A0" w:rsidRPr="000E7C5E" w:rsidRDefault="00CA11A0" w:rsidP="00CA11A0">
      <w:pPr>
        <w:rPr>
          <w:b/>
          <w:i/>
        </w:rPr>
      </w:pPr>
      <w:r w:rsidRPr="000E7C5E">
        <w:rPr>
          <w:b/>
          <w:i/>
        </w:rPr>
        <w:t>Industry costs of Registrations</w:t>
      </w:r>
    </w:p>
    <w:p w14:paraId="656B022F" w14:textId="77777777" w:rsidR="00CA11A0" w:rsidRDefault="00E11DBB" w:rsidP="00CA11A0">
      <w:r>
        <w:t>Under Options 1</w:t>
      </w:r>
      <w:r w:rsidR="00FA1A75">
        <w:t xml:space="preserve"> and</w:t>
      </w:r>
      <w:r>
        <w:t xml:space="preserve"> 2</w:t>
      </w:r>
      <w:r w:rsidR="000F0797">
        <w:t xml:space="preserve"> a large number of </w:t>
      </w:r>
      <w:r w:rsidR="0021280E">
        <w:t xml:space="preserve">duty holders </w:t>
      </w:r>
      <w:r>
        <w:t xml:space="preserve">will </w:t>
      </w:r>
      <w:r w:rsidR="00950B54">
        <w:t xml:space="preserve">need to register with </w:t>
      </w:r>
      <w:r w:rsidR="000514DD">
        <w:t>EPA</w:t>
      </w:r>
      <w:r w:rsidR="00950B54">
        <w:t xml:space="preserve">. </w:t>
      </w:r>
    </w:p>
    <w:p w14:paraId="656B0230" w14:textId="77777777" w:rsidR="00950B54" w:rsidRDefault="00950B54" w:rsidP="00CA11A0">
      <w:r>
        <w:t>The registration process for each business is estimated to take up to one hour</w:t>
      </w:r>
      <w:r w:rsidR="00124241">
        <w:t xml:space="preserve">. Relatively limited </w:t>
      </w:r>
      <w:r>
        <w:t xml:space="preserve">information </w:t>
      </w:r>
      <w:r w:rsidR="00124241">
        <w:t xml:space="preserve">about the activity </w:t>
      </w:r>
      <w:r>
        <w:t xml:space="preserve">is required to complete the process. Therefore, the cost of each registration has been </w:t>
      </w:r>
      <w:r w:rsidR="00F27D8F">
        <w:t xml:space="preserve">conservatively </w:t>
      </w:r>
      <w:r>
        <w:t xml:space="preserve">estimated </w:t>
      </w:r>
      <w:r w:rsidR="00F27D8F">
        <w:t xml:space="preserve">at </w:t>
      </w:r>
      <w:r w:rsidR="00124241">
        <w:t>$</w:t>
      </w:r>
      <w:r w:rsidR="00F27D8F">
        <w:t>50</w:t>
      </w:r>
      <w:r w:rsidR="009E64BB">
        <w:t xml:space="preserve"> (</w:t>
      </w:r>
      <w:r w:rsidR="00AB0B23">
        <w:t>including</w:t>
      </w:r>
      <w:r w:rsidR="009E64BB">
        <w:t xml:space="preserve"> </w:t>
      </w:r>
      <w:r w:rsidR="004C7ABB">
        <w:t>overheads</w:t>
      </w:r>
      <w:r w:rsidR="00EA09FA">
        <w:t xml:space="preserve"> and on-costs of 50%</w:t>
      </w:r>
      <w:r w:rsidR="009E64BB">
        <w:t>)</w:t>
      </w:r>
      <w:r w:rsidR="00F27D8F">
        <w:t>. The average Victorian hourly wage rate is $34 per hour.</w:t>
      </w:r>
      <w:r w:rsidR="00F27D8F">
        <w:rPr>
          <w:rStyle w:val="FootnoteReference"/>
        </w:rPr>
        <w:footnoteReference w:id="79"/>
      </w:r>
      <w:r w:rsidR="00F27D8F">
        <w:t xml:space="preserve"> </w:t>
      </w:r>
    </w:p>
    <w:p w14:paraId="656B0231" w14:textId="77777777" w:rsidR="003369C4" w:rsidRDefault="00532AFC" w:rsidP="003369C4">
      <w:r>
        <w:t>Unless otherwise specified in the Permission, Registrations will need to be renewed after 5 years</w:t>
      </w:r>
      <w:r w:rsidR="00FA4535">
        <w:t xml:space="preserve">. </w:t>
      </w:r>
      <w:r w:rsidR="00950B54">
        <w:t xml:space="preserve">The number of </w:t>
      </w:r>
      <w:r w:rsidR="00F27D8F">
        <w:t xml:space="preserve">ongoing </w:t>
      </w:r>
      <w:r w:rsidR="00950B54">
        <w:t>registrations</w:t>
      </w:r>
      <w:r w:rsidR="00F27D8F">
        <w:t xml:space="preserve"> (requiring renewal every five years) and other permits applications received each year (which expire after a shorter time frame)</w:t>
      </w:r>
      <w:r w:rsidR="00950B54">
        <w:t xml:space="preserve"> for each activity has been estimated by EPA</w:t>
      </w:r>
      <w:r w:rsidR="00DC7A63">
        <w:t xml:space="preserve">. </w:t>
      </w:r>
    </w:p>
    <w:p w14:paraId="656B0232" w14:textId="77777777" w:rsidR="0021280E" w:rsidRDefault="0021280E" w:rsidP="00CA11A0">
      <w:r>
        <w:t xml:space="preserve">This cost </w:t>
      </w:r>
      <w:r w:rsidR="000F0797">
        <w:t>will</w:t>
      </w:r>
      <w:r>
        <w:t xml:space="preserve"> vary under Options 1 and 2, since there are more activities that would require a registration under Option 2. Under Option 1, EPA estimates that there would be in the order of 3,500 registrations required at any one time, comprising mostly of waste transport vehicles.</w:t>
      </w:r>
      <w:r w:rsidR="00017DEB">
        <w:rPr>
          <w:rStyle w:val="FootnoteReference"/>
        </w:rPr>
        <w:footnoteReference w:id="80"/>
      </w:r>
      <w:r w:rsidR="000730C7">
        <w:t xml:space="preserve"> </w:t>
      </w:r>
      <w:r>
        <w:t>Under Option 2, there would be an additional 3,000 registrations required</w:t>
      </w:r>
      <w:r w:rsidR="000F0797">
        <w:t>,</w:t>
      </w:r>
      <w:r>
        <w:t xml:space="preserve"> comprising mostly dry cleaners and </w:t>
      </w:r>
      <w:r w:rsidR="007901B3">
        <w:t>WRRs</w:t>
      </w:r>
      <w:r>
        <w:t xml:space="preserve">. </w:t>
      </w:r>
    </w:p>
    <w:p w14:paraId="656B0233" w14:textId="77777777" w:rsidR="00CA11A0" w:rsidRPr="0052072F" w:rsidRDefault="0052072F" w:rsidP="000E7C5E">
      <w:pPr>
        <w:pStyle w:val="Heading4un-numbered"/>
      </w:pPr>
      <w:r>
        <w:t>Government costs</w:t>
      </w:r>
    </w:p>
    <w:p w14:paraId="656B0234" w14:textId="77777777" w:rsidR="00003D4C" w:rsidRDefault="00CA11A0" w:rsidP="00CA11A0">
      <w:r>
        <w:t xml:space="preserve">EPA has estimated the annual costs of administering the new permissioning framework. </w:t>
      </w:r>
      <w:r w:rsidR="00003D4C">
        <w:t>It is important to note that</w:t>
      </w:r>
      <w:r w:rsidR="004C7ABB">
        <w:t xml:space="preserve"> </w:t>
      </w:r>
      <w:r w:rsidR="007D188D">
        <w:t xml:space="preserve">Government </w:t>
      </w:r>
      <w:r w:rsidR="004C7ABB">
        <w:t xml:space="preserve">will recover costs for almost all </w:t>
      </w:r>
      <w:r w:rsidR="007D188D">
        <w:t>permission</w:t>
      </w:r>
      <w:r w:rsidR="004C7ABB">
        <w:t xml:space="preserve">ing activities through its proposed </w:t>
      </w:r>
      <w:r w:rsidR="00663A32">
        <w:t>fees</w:t>
      </w:r>
      <w:r w:rsidR="004C7ABB">
        <w:t xml:space="preserve"> structure</w:t>
      </w:r>
      <w:r w:rsidR="00663A32">
        <w:t xml:space="preserve">, and </w:t>
      </w:r>
      <w:r w:rsidR="000730C7">
        <w:t xml:space="preserve">costs will </w:t>
      </w:r>
      <w:r w:rsidR="00663A32">
        <w:t xml:space="preserve">therefore </w:t>
      </w:r>
      <w:r w:rsidR="00835FDF">
        <w:t xml:space="preserve">be </w:t>
      </w:r>
      <w:r w:rsidR="003F64F2">
        <w:t xml:space="preserve">borne by </w:t>
      </w:r>
      <w:r w:rsidR="00835FDF">
        <w:t>duty holders</w:t>
      </w:r>
      <w:r w:rsidR="004C7ABB">
        <w:t xml:space="preserve"> (see</w:t>
      </w:r>
      <w:r w:rsidR="00293BFC">
        <w:t xml:space="preserve"> </w:t>
      </w:r>
      <w:r w:rsidR="000730C7">
        <w:t>Chapter 16</w:t>
      </w:r>
      <w:r w:rsidR="004C7ABB">
        <w:t>: Cost recovery and fees analysis)</w:t>
      </w:r>
      <w:r w:rsidR="00DC7A63">
        <w:t xml:space="preserve">. </w:t>
      </w:r>
    </w:p>
    <w:p w14:paraId="656B0235" w14:textId="77777777" w:rsidR="004F70D7" w:rsidRDefault="003F64F2" w:rsidP="00CA11A0">
      <w:r>
        <w:t>Costs</w:t>
      </w:r>
      <w:r w:rsidR="00FA7F28">
        <w:t xml:space="preserve"> to government </w:t>
      </w:r>
      <w:r w:rsidR="00413D5D">
        <w:t>(in $2018)</w:t>
      </w:r>
      <w:r w:rsidR="00FA7F28">
        <w:t xml:space="preserve"> have been calculated as follows: </w:t>
      </w:r>
    </w:p>
    <w:p w14:paraId="656B0236" w14:textId="77777777" w:rsidR="00FA7F28" w:rsidRPr="00DA78B9" w:rsidRDefault="00FA7F28" w:rsidP="004A2442">
      <w:pPr>
        <w:pStyle w:val="ListParagraph"/>
        <w:numPr>
          <w:ilvl w:val="0"/>
          <w:numId w:val="26"/>
        </w:numPr>
      </w:pPr>
      <w:r w:rsidRPr="00040A06">
        <w:rPr>
          <w:b/>
        </w:rPr>
        <w:t>Administration of operating licences</w:t>
      </w:r>
      <w:r>
        <w:t xml:space="preserve">: EPA </w:t>
      </w:r>
      <w:r w:rsidR="003601FC">
        <w:t xml:space="preserve">will incur </w:t>
      </w:r>
      <w:r>
        <w:t>administrative costs to operate and manage the licensing regime. These include</w:t>
      </w:r>
      <w:r w:rsidR="003601FC">
        <w:t>:</w:t>
      </w:r>
      <w:r>
        <w:t xml:space="preserve"> costs to employ staff in administrative and policy roles, as well as capital expenditure on equipment, office space and technology. </w:t>
      </w:r>
      <w:r w:rsidR="008D6E9D">
        <w:t xml:space="preserve">This also includes investigation and enforcement activity to ensure that licensees are complying with their licence conditions. </w:t>
      </w:r>
      <w:r>
        <w:t xml:space="preserve">It is estimated that administering the licensing system </w:t>
      </w:r>
      <w:r w:rsidR="003601FC">
        <w:t>will cost,</w:t>
      </w:r>
      <w:r>
        <w:t xml:space="preserve"> on average</w:t>
      </w:r>
      <w:r w:rsidR="003601FC">
        <w:t>,</w:t>
      </w:r>
      <w:r>
        <w:t xml:space="preserve"> </w:t>
      </w:r>
      <w:r w:rsidRPr="000E7C5E">
        <w:t>$</w:t>
      </w:r>
      <w:r w:rsidR="00835FDF" w:rsidRPr="000E7C5E">
        <w:t>1</w:t>
      </w:r>
      <w:r w:rsidR="009250DC">
        <w:t>4,3</w:t>
      </w:r>
      <w:r w:rsidR="00835FDF" w:rsidRPr="000E7C5E">
        <w:t>00</w:t>
      </w:r>
      <w:r w:rsidR="00DE63DA">
        <w:t xml:space="preserve"> </w:t>
      </w:r>
      <w:r>
        <w:t xml:space="preserve">per year for each </w:t>
      </w:r>
      <w:r w:rsidR="003601FC" w:rsidRPr="00DE63DA">
        <w:t>operating licence</w:t>
      </w:r>
      <w:r w:rsidRPr="00DE63DA">
        <w:t>.</w:t>
      </w:r>
      <w:r w:rsidR="00DE63DA" w:rsidRPr="00DE63DA">
        <w:rPr>
          <w:rStyle w:val="FootnoteReference"/>
        </w:rPr>
        <w:footnoteReference w:id="81"/>
      </w:r>
      <w:r w:rsidR="003601FC" w:rsidRPr="00DE63DA">
        <w:t xml:space="preserve"> EPA</w:t>
      </w:r>
      <w:r w:rsidR="003601FC">
        <w:t xml:space="preserve"> estimates that the number of operating licences under </w:t>
      </w:r>
      <w:r w:rsidR="003601FC" w:rsidRPr="00DA78B9">
        <w:t xml:space="preserve">Option 1 is </w:t>
      </w:r>
      <w:r w:rsidR="003601FC" w:rsidRPr="000E7C5E">
        <w:t>66</w:t>
      </w:r>
      <w:r w:rsidR="00133F83" w:rsidRPr="000E7C5E">
        <w:t>3</w:t>
      </w:r>
      <w:r w:rsidR="003601FC" w:rsidRPr="00DA78B9">
        <w:t xml:space="preserve">, while for Option 2 the number is </w:t>
      </w:r>
      <w:r w:rsidR="00133F83" w:rsidRPr="000E7C5E">
        <w:t>678</w:t>
      </w:r>
      <w:r w:rsidR="003601FC" w:rsidRPr="00DA78B9">
        <w:t xml:space="preserve">. </w:t>
      </w:r>
    </w:p>
    <w:p w14:paraId="656B0237" w14:textId="77777777" w:rsidR="003601FC" w:rsidRDefault="003601FC" w:rsidP="004A2442">
      <w:pPr>
        <w:pStyle w:val="ListParagraph"/>
        <w:numPr>
          <w:ilvl w:val="0"/>
          <w:numId w:val="26"/>
        </w:numPr>
      </w:pPr>
      <w:r>
        <w:rPr>
          <w:b/>
        </w:rPr>
        <w:t>Administration of financial assurances</w:t>
      </w:r>
      <w:r>
        <w:t xml:space="preserve">: To ensure that licensees are complying with financial assurance conditions, EPA will administer a monitoring and checking </w:t>
      </w:r>
      <w:r w:rsidRPr="004A2442">
        <w:t>system. This is estimated to cost $</w:t>
      </w:r>
      <w:r w:rsidR="00663A32" w:rsidRPr="004A2442">
        <w:t>1</w:t>
      </w:r>
      <w:r w:rsidRPr="004A2442">
        <w:t>,</w:t>
      </w:r>
      <w:r w:rsidR="00663A32" w:rsidRPr="004A2442">
        <w:t>417</w:t>
      </w:r>
      <w:r w:rsidR="00DE63DA" w:rsidRPr="004A2442">
        <w:t xml:space="preserve"> </w:t>
      </w:r>
      <w:r w:rsidRPr="004A2442">
        <w:t xml:space="preserve">for each </w:t>
      </w:r>
      <w:r w:rsidR="00663A32" w:rsidRPr="004A2442">
        <w:t xml:space="preserve">of the </w:t>
      </w:r>
      <w:r w:rsidRPr="004A2442">
        <w:t xml:space="preserve">financial assurances </w:t>
      </w:r>
      <w:r w:rsidR="00663A32" w:rsidRPr="004A2442">
        <w:t xml:space="preserve">that </w:t>
      </w:r>
      <w:r w:rsidRPr="004A2442">
        <w:t>EPA administers on average each year.</w:t>
      </w:r>
      <w:r w:rsidR="00DE63DA" w:rsidRPr="004A2442">
        <w:rPr>
          <w:rStyle w:val="FootnoteReference"/>
        </w:rPr>
        <w:footnoteReference w:id="82"/>
      </w:r>
      <w:r w:rsidRPr="004A2442">
        <w:t xml:space="preserve"> EPA estimates that the number of financial assurances would be 104 under Option 1, and </w:t>
      </w:r>
      <w:r w:rsidR="00663A32" w:rsidRPr="004A2442">
        <w:t>170</w:t>
      </w:r>
      <w:r w:rsidRPr="004A2442">
        <w:t xml:space="preserve"> under Option 2.</w:t>
      </w:r>
      <w:r w:rsidR="00DF012D">
        <w:rPr>
          <w:rStyle w:val="FootnoteReference"/>
        </w:rPr>
        <w:footnoteReference w:id="83"/>
      </w:r>
      <w:r>
        <w:t xml:space="preserve"> </w:t>
      </w:r>
    </w:p>
    <w:p w14:paraId="656B0238" w14:textId="00250E6F" w:rsidR="003601FC" w:rsidRPr="0093229A" w:rsidRDefault="009C2A19" w:rsidP="004A2442">
      <w:pPr>
        <w:pStyle w:val="ListParagraph"/>
        <w:numPr>
          <w:ilvl w:val="0"/>
          <w:numId w:val="26"/>
        </w:numPr>
      </w:pPr>
      <w:r>
        <w:rPr>
          <w:b/>
        </w:rPr>
        <w:t xml:space="preserve">Administering </w:t>
      </w:r>
      <w:r w:rsidR="003601FC">
        <w:rPr>
          <w:b/>
        </w:rPr>
        <w:t>registrations</w:t>
      </w:r>
      <w:r w:rsidR="003601FC">
        <w:t xml:space="preserve">: EPA will incur costs in administering and renewing registrations. Costs are estimated to vary based on the type of </w:t>
      </w:r>
      <w:r w:rsidR="003601FC" w:rsidRPr="00BD7E69">
        <w:t xml:space="preserve">registration. EPA estimates that, on average, it will cost </w:t>
      </w:r>
      <w:r w:rsidR="002E2F90" w:rsidRPr="000E7C5E">
        <w:t>$</w:t>
      </w:r>
      <w:r w:rsidR="00ED0868" w:rsidRPr="000E7C5E">
        <w:t>2</w:t>
      </w:r>
      <w:r w:rsidR="005A5C61">
        <w:t xml:space="preserve">08 </w:t>
      </w:r>
      <w:r w:rsidR="002E2F90" w:rsidRPr="00BD7E69">
        <w:t>to administer a new registration, and $</w:t>
      </w:r>
      <w:r w:rsidR="002E2F90" w:rsidRPr="000E7C5E">
        <w:t>38</w:t>
      </w:r>
      <w:r w:rsidR="002E2F90" w:rsidRPr="00BD7E69">
        <w:t xml:space="preserve"> to renew a</w:t>
      </w:r>
      <w:r w:rsidR="002E2F90">
        <w:t xml:space="preserve"> registration.</w:t>
      </w:r>
      <w:r w:rsidR="00ED0868">
        <w:rPr>
          <w:rStyle w:val="FootnoteReference"/>
        </w:rPr>
        <w:footnoteReference w:id="84"/>
      </w:r>
      <w:r w:rsidR="002E2F90">
        <w:t xml:space="preserve"> </w:t>
      </w:r>
      <w:r w:rsidR="00DE63DA">
        <w:t xml:space="preserve">The number of </w:t>
      </w:r>
      <w:r w:rsidR="009F313C" w:rsidRPr="006A6B88">
        <w:t xml:space="preserve">registrations </w:t>
      </w:r>
      <w:r w:rsidR="00DE63DA" w:rsidRPr="006A6B88">
        <w:t xml:space="preserve">has been estimated based on the </w:t>
      </w:r>
      <w:r w:rsidR="006A6B88" w:rsidRPr="006A6B88">
        <w:t xml:space="preserve">total registration costs calculated in </w:t>
      </w:r>
      <w:r w:rsidR="006A6B88" w:rsidRPr="0093229A">
        <w:t xml:space="preserve">Appendix </w:t>
      </w:r>
      <w:r w:rsidR="00E116F0" w:rsidRPr="0093229A">
        <w:t>7</w:t>
      </w:r>
      <w:r w:rsidR="006A6B88" w:rsidRPr="0093229A">
        <w:t xml:space="preserve"> and the </w:t>
      </w:r>
      <w:r w:rsidR="00DE63DA" w:rsidRPr="0093229A">
        <w:t xml:space="preserve">cohort sizes outlined in Appendix </w:t>
      </w:r>
      <w:r w:rsidR="005F58DF" w:rsidRPr="0093229A">
        <w:t>5</w:t>
      </w:r>
      <w:r w:rsidR="00DE63DA" w:rsidRPr="0093229A">
        <w:t>.</w:t>
      </w:r>
    </w:p>
    <w:p w14:paraId="656B0239" w14:textId="7A1B61E6" w:rsidR="002E2F90" w:rsidRDefault="003601FC" w:rsidP="004A2442">
      <w:pPr>
        <w:pStyle w:val="ListParagraph"/>
        <w:numPr>
          <w:ilvl w:val="0"/>
          <w:numId w:val="26"/>
        </w:numPr>
      </w:pPr>
      <w:r w:rsidRPr="0093229A">
        <w:rPr>
          <w:b/>
        </w:rPr>
        <w:t xml:space="preserve">Administration of </w:t>
      </w:r>
      <w:r w:rsidR="002E2F90" w:rsidRPr="0093229A">
        <w:rPr>
          <w:b/>
        </w:rPr>
        <w:t>permits</w:t>
      </w:r>
      <w:r w:rsidRPr="0093229A">
        <w:t xml:space="preserve">: </w:t>
      </w:r>
      <w:r w:rsidR="002E2F90" w:rsidRPr="0093229A">
        <w:t>EPA will incur costs in administering, renewing, amending and permits. Costs are estimated to vary based on the type of permi</w:t>
      </w:r>
      <w:r w:rsidR="005E035A" w:rsidRPr="0093229A">
        <w:t>t (simple, complex, consignment and</w:t>
      </w:r>
      <w:r w:rsidR="002E2F90" w:rsidRPr="0093229A">
        <w:t xml:space="preserve"> vehicle). EPA estimates that, on average, it will cost $</w:t>
      </w:r>
      <w:r w:rsidR="00D27576" w:rsidRPr="0093229A">
        <w:t>4</w:t>
      </w:r>
      <w:r w:rsidR="0088419B" w:rsidRPr="0093229A">
        <w:t>21</w:t>
      </w:r>
      <w:r w:rsidR="00D27576" w:rsidRPr="0093229A">
        <w:t>,</w:t>
      </w:r>
      <w:r w:rsidR="0088419B" w:rsidRPr="0093229A">
        <w:t xml:space="preserve">799 </w:t>
      </w:r>
      <w:r w:rsidR="00D27576" w:rsidRPr="0093229A">
        <w:t xml:space="preserve">per year </w:t>
      </w:r>
      <w:r w:rsidR="002E2F90" w:rsidRPr="0093229A">
        <w:t>to administer</w:t>
      </w:r>
      <w:r w:rsidR="00D27576" w:rsidRPr="0093229A">
        <w:t xml:space="preserve"> permits under Option 1</w:t>
      </w:r>
      <w:r w:rsidR="002E2F90" w:rsidRPr="0093229A">
        <w:t>, and $</w:t>
      </w:r>
      <w:r w:rsidR="0088419B" w:rsidRPr="0093229A">
        <w:t>3</w:t>
      </w:r>
      <w:r w:rsidR="006A6B88" w:rsidRPr="0093229A">
        <w:t>84</w:t>
      </w:r>
      <w:r w:rsidR="00D27576" w:rsidRPr="0093229A">
        <w:t>,</w:t>
      </w:r>
      <w:r w:rsidR="006A6B88" w:rsidRPr="0093229A">
        <w:t>082</w:t>
      </w:r>
      <w:r w:rsidR="0088419B" w:rsidRPr="0093229A">
        <w:t xml:space="preserve"> </w:t>
      </w:r>
      <w:r w:rsidR="00D27576" w:rsidRPr="0093229A">
        <w:t>per year</w:t>
      </w:r>
      <w:r w:rsidR="002E2F90" w:rsidRPr="0093229A">
        <w:t xml:space="preserve"> to </w:t>
      </w:r>
      <w:r w:rsidR="00D27576" w:rsidRPr="0093229A">
        <w:t xml:space="preserve">administer </w:t>
      </w:r>
      <w:r w:rsidR="00DE63DA" w:rsidRPr="0093229A">
        <w:t>permit</w:t>
      </w:r>
      <w:r w:rsidR="00D27576" w:rsidRPr="0093229A">
        <w:t>s under option 2</w:t>
      </w:r>
      <w:r w:rsidR="002E2F90" w:rsidRPr="0093229A">
        <w:t>.</w:t>
      </w:r>
      <w:r w:rsidR="00D27576" w:rsidRPr="0093229A">
        <w:t xml:space="preserve"> This cost includes estimated EPA costs for applications, transfers, amendments surrenders exemptions and renewals, and has been estimated </w:t>
      </w:r>
      <w:r w:rsidR="00DE63DA" w:rsidRPr="0093229A">
        <w:t xml:space="preserve">based on the </w:t>
      </w:r>
      <w:r w:rsidR="0088419B" w:rsidRPr="0093229A">
        <w:t xml:space="preserve">total permit costs calculated in </w:t>
      </w:r>
      <w:r w:rsidR="00DE63DA" w:rsidRPr="0093229A">
        <w:t xml:space="preserve">Appendix </w:t>
      </w:r>
      <w:r w:rsidR="00E116F0" w:rsidRPr="0093229A">
        <w:t>7</w:t>
      </w:r>
      <w:r w:rsidR="0088419B">
        <w:t xml:space="preserve"> and the cohort sizes in Appendix </w:t>
      </w:r>
      <w:r w:rsidR="005F58DF">
        <w:t>5</w:t>
      </w:r>
      <w:r w:rsidR="00DE63DA" w:rsidRPr="00D27576">
        <w:t>.</w:t>
      </w:r>
    </w:p>
    <w:p w14:paraId="656B023A" w14:textId="77777777" w:rsidR="00407E8B" w:rsidRDefault="00407E8B">
      <w:pPr>
        <w:pStyle w:val="ListParagraph"/>
        <w:numPr>
          <w:ilvl w:val="0"/>
          <w:numId w:val="26"/>
        </w:numPr>
      </w:pPr>
      <w:r>
        <w:rPr>
          <w:b/>
        </w:rPr>
        <w:t xml:space="preserve">Administering development licences: </w:t>
      </w:r>
      <w:r>
        <w:t xml:space="preserve">Under Options 1, it is estimated that there </w:t>
      </w:r>
      <w:r w:rsidRPr="001D0E34">
        <w:t xml:space="preserve">would </w:t>
      </w:r>
      <w:r w:rsidRPr="006A6B88">
        <w:t xml:space="preserve">be </w:t>
      </w:r>
      <w:r w:rsidRPr="000E7C5E">
        <w:t>30</w:t>
      </w:r>
      <w:r w:rsidRPr="006A6B88">
        <w:t xml:space="preserve"> de</w:t>
      </w:r>
      <w:r w:rsidRPr="001D0E34">
        <w:t>velopment licence</w:t>
      </w:r>
      <w:r w:rsidR="0088419B">
        <w:t>s</w:t>
      </w:r>
      <w:r w:rsidRPr="001D0E34">
        <w:t xml:space="preserve"> processed on average each year, costing (on average) </w:t>
      </w:r>
      <w:r w:rsidRPr="000E7C5E">
        <w:t>$50</w:t>
      </w:r>
      <w:r w:rsidR="0088419B">
        <w:t>,</w:t>
      </w:r>
      <w:r w:rsidR="0088419B" w:rsidRPr="0088419B">
        <w:t>335</w:t>
      </w:r>
      <w:r w:rsidR="0088419B" w:rsidRPr="001D0E34">
        <w:t xml:space="preserve"> </w:t>
      </w:r>
      <w:r w:rsidRPr="001D0E34">
        <w:t>per appl</w:t>
      </w:r>
      <w:r>
        <w:t>ication.</w:t>
      </w:r>
      <w:r w:rsidR="0088419B">
        <w:t xml:space="preserve"> Under Option 2, it is estimated that there would be 33 development licences processed each year.</w:t>
      </w:r>
      <w:r w:rsidR="0088419B">
        <w:rPr>
          <w:rStyle w:val="FootnoteReference"/>
        </w:rPr>
        <w:footnoteReference w:id="85"/>
      </w:r>
      <w:r>
        <w:t xml:space="preserve"> </w:t>
      </w:r>
    </w:p>
    <w:p w14:paraId="656B023B" w14:textId="77777777" w:rsidR="003601FC" w:rsidRPr="006A6B88" w:rsidRDefault="009C2A19" w:rsidP="004A2442">
      <w:pPr>
        <w:pStyle w:val="ListParagraph"/>
        <w:numPr>
          <w:ilvl w:val="0"/>
          <w:numId w:val="26"/>
        </w:numPr>
      </w:pPr>
      <w:r>
        <w:rPr>
          <w:b/>
        </w:rPr>
        <w:t xml:space="preserve">Administering exemptions for development licences: </w:t>
      </w:r>
      <w:r w:rsidRPr="00040A06">
        <w:t>EPA</w:t>
      </w:r>
      <w:r>
        <w:t xml:space="preserve"> will encounter costs when processing applications for development licence exemptions, although these </w:t>
      </w:r>
      <w:r w:rsidR="000730C7">
        <w:t xml:space="preserve">are </w:t>
      </w:r>
      <w:r>
        <w:t xml:space="preserve">expected to be less burdensome for Government to process than applications for development licences themselves. </w:t>
      </w:r>
      <w:r w:rsidR="00DE63DA">
        <w:t xml:space="preserve">Under </w:t>
      </w:r>
      <w:r w:rsidR="00DE63DA" w:rsidRPr="006A6B88">
        <w:t>Options 1 and 2, i</w:t>
      </w:r>
      <w:r w:rsidRPr="006A6B88">
        <w:t xml:space="preserve">t is estimated that </w:t>
      </w:r>
      <w:r w:rsidR="0006560E" w:rsidRPr="006A6B88">
        <w:t xml:space="preserve">the total annual cost to process exemptions for development licences </w:t>
      </w:r>
      <w:r w:rsidR="0088419B" w:rsidRPr="006A6B88">
        <w:t xml:space="preserve">is </w:t>
      </w:r>
      <w:r w:rsidR="0006560E" w:rsidRPr="000E7C5E">
        <w:t>$272,50</w:t>
      </w:r>
      <w:r w:rsidR="0088419B" w:rsidRPr="006A6B88">
        <w:t>6</w:t>
      </w:r>
      <w:r w:rsidR="0006560E" w:rsidRPr="006A6B88">
        <w:t>, based on an estimated 40 applications per year</w:t>
      </w:r>
      <w:r w:rsidRPr="006A6B88">
        <w:t>.</w:t>
      </w:r>
      <w:r w:rsidR="0006560E" w:rsidRPr="006A6B88">
        <w:rPr>
          <w:rStyle w:val="FootnoteReference"/>
        </w:rPr>
        <w:footnoteReference w:id="86"/>
      </w:r>
      <w:r w:rsidRPr="006A6B88">
        <w:t xml:space="preserve"> </w:t>
      </w:r>
    </w:p>
    <w:p w14:paraId="656B023C" w14:textId="77777777" w:rsidR="00D27576" w:rsidRDefault="00407E8B" w:rsidP="004A2442">
      <w:pPr>
        <w:pStyle w:val="ListParagraph"/>
        <w:numPr>
          <w:ilvl w:val="0"/>
          <w:numId w:val="26"/>
        </w:numPr>
      </w:pPr>
      <w:r w:rsidRPr="006A6B88">
        <w:rPr>
          <w:b/>
        </w:rPr>
        <w:t xml:space="preserve">Administering pilot project licences: </w:t>
      </w:r>
      <w:r w:rsidRPr="006A6B88">
        <w:t xml:space="preserve">EPA </w:t>
      </w:r>
      <w:r w:rsidRPr="005A5C61">
        <w:t xml:space="preserve">estimates that, for Options 1 and 2, there will be (on average) 5 applications per year costing approximately </w:t>
      </w:r>
      <w:r w:rsidRPr="000E7C5E">
        <w:t>$20,0</w:t>
      </w:r>
      <w:r w:rsidR="005A5C61" w:rsidRPr="000E7C5E">
        <w:t>52</w:t>
      </w:r>
      <w:r w:rsidRPr="001D0E34">
        <w:t xml:space="preserve"> per appl</w:t>
      </w:r>
      <w:r>
        <w:t>ication.</w:t>
      </w:r>
      <w:r>
        <w:rPr>
          <w:rStyle w:val="FootnoteReference"/>
        </w:rPr>
        <w:footnoteReference w:id="87"/>
      </w:r>
      <w:r>
        <w:t xml:space="preserve"> </w:t>
      </w:r>
    </w:p>
    <w:p w14:paraId="656B023D" w14:textId="77777777" w:rsidR="00003D4C" w:rsidRDefault="00003D4C" w:rsidP="00924CA0">
      <w:pPr>
        <w:pStyle w:val="Heading3"/>
        <w:ind w:left="720"/>
      </w:pPr>
      <w:bookmarkStart w:id="598" w:name="_Ref9868393"/>
      <w:r>
        <w:t>Results</w:t>
      </w:r>
      <w:bookmarkEnd w:id="598"/>
    </w:p>
    <w:p w14:paraId="656B023E" w14:textId="77777777" w:rsidR="00003D4C" w:rsidRDefault="00003D4C" w:rsidP="00003D4C">
      <w:r>
        <w:t xml:space="preserve">The results of the cost-benefit analysis are outlined below. </w:t>
      </w:r>
    </w:p>
    <w:p w14:paraId="656B023F" w14:textId="77777777" w:rsidR="00592C8F" w:rsidRPr="005D3B6D" w:rsidRDefault="00592C8F" w:rsidP="000E7C5E">
      <w:pPr>
        <w:spacing w:after="0"/>
        <w:rPr>
          <w:iCs/>
          <w:color w:val="75787B" w:themeColor="accent6"/>
          <w:sz w:val="17"/>
        </w:rPr>
      </w:pPr>
      <w:r w:rsidRPr="005D3B6D">
        <w:rPr>
          <w:iCs/>
          <w:color w:val="75787B" w:themeColor="accent6"/>
          <w:sz w:val="17"/>
        </w:rPr>
        <w:t xml:space="preserve">Table </w:t>
      </w:r>
      <w:r w:rsidR="007E575A" w:rsidRPr="005D3B6D">
        <w:rPr>
          <w:color w:val="75787B" w:themeColor="accent6"/>
          <w:sz w:val="17"/>
          <w:shd w:val="clear" w:color="auto" w:fill="E6E6E6"/>
        </w:rPr>
        <w:fldChar w:fldCharType="begin"/>
      </w:r>
      <w:r w:rsidR="007E575A" w:rsidRPr="005D3B6D">
        <w:rPr>
          <w:iCs/>
          <w:color w:val="75787B" w:themeColor="accent6"/>
          <w:sz w:val="17"/>
        </w:rPr>
        <w:instrText xml:space="preserve"> STYLEREF 1 \s </w:instrText>
      </w:r>
      <w:r w:rsidR="007E575A" w:rsidRPr="005D3B6D">
        <w:rPr>
          <w:color w:val="75787B" w:themeColor="accent6"/>
          <w:sz w:val="17"/>
          <w:shd w:val="clear" w:color="auto" w:fill="E6E6E6"/>
        </w:rPr>
        <w:fldChar w:fldCharType="separate"/>
      </w:r>
      <w:r w:rsidR="00B11C1E">
        <w:rPr>
          <w:iCs/>
          <w:noProof/>
          <w:color w:val="75787B" w:themeColor="accent6"/>
          <w:sz w:val="17"/>
        </w:rPr>
        <w:t>6</w:t>
      </w:r>
      <w:r w:rsidR="007E575A" w:rsidRPr="005D3B6D">
        <w:rPr>
          <w:color w:val="75787B" w:themeColor="accent6"/>
          <w:sz w:val="17"/>
          <w:shd w:val="clear" w:color="auto" w:fill="E6E6E6"/>
        </w:rPr>
        <w:fldChar w:fldCharType="end"/>
      </w:r>
      <w:r w:rsidR="007E575A" w:rsidRPr="005D3B6D">
        <w:rPr>
          <w:iCs/>
          <w:color w:val="75787B" w:themeColor="accent6"/>
          <w:sz w:val="17"/>
        </w:rPr>
        <w:noBreakHyphen/>
      </w:r>
      <w:r w:rsidR="00997CFA">
        <w:rPr>
          <w:color w:val="75787B" w:themeColor="accent6"/>
          <w:sz w:val="17"/>
          <w:shd w:val="clear" w:color="auto" w:fill="E6E6E6"/>
        </w:rPr>
        <w:fldChar w:fldCharType="begin"/>
      </w:r>
      <w:r w:rsidR="00997CFA">
        <w:rPr>
          <w:iCs/>
          <w:color w:val="75787B" w:themeColor="accent6"/>
          <w:sz w:val="17"/>
        </w:rPr>
        <w:instrText xml:space="preserve"> SEQ Table \* ARABIC \s 1 </w:instrText>
      </w:r>
      <w:r w:rsidR="00997CFA">
        <w:rPr>
          <w:color w:val="75787B" w:themeColor="accent6"/>
          <w:sz w:val="17"/>
          <w:shd w:val="clear" w:color="auto" w:fill="E6E6E6"/>
        </w:rPr>
        <w:fldChar w:fldCharType="separate"/>
      </w:r>
      <w:r w:rsidR="00B11C1E">
        <w:rPr>
          <w:iCs/>
          <w:noProof/>
          <w:color w:val="75787B" w:themeColor="accent6"/>
          <w:sz w:val="17"/>
        </w:rPr>
        <w:t>5</w:t>
      </w:r>
      <w:r w:rsidR="00997CFA">
        <w:rPr>
          <w:color w:val="75787B" w:themeColor="accent6"/>
          <w:sz w:val="17"/>
          <w:shd w:val="clear" w:color="auto" w:fill="E6E6E6"/>
        </w:rPr>
        <w:fldChar w:fldCharType="end"/>
      </w:r>
      <w:r w:rsidRPr="005D3B6D">
        <w:rPr>
          <w:iCs/>
          <w:color w:val="75787B" w:themeColor="accent6"/>
          <w:sz w:val="17"/>
        </w:rPr>
        <w:t xml:space="preserve"> Total costs and benefits of Options 1 and 2 ($million net present value, 2020 to 2029)</w:t>
      </w:r>
      <w:r w:rsidR="009250DC">
        <w:rPr>
          <w:iCs/>
          <w:color w:val="75787B" w:themeColor="accent6"/>
          <w:sz w:val="17"/>
        </w:rPr>
        <w:t xml:space="preserve">, relative to the </w:t>
      </w:r>
      <w:r w:rsidR="00E93EEB">
        <w:rPr>
          <w:iCs/>
          <w:color w:val="75787B" w:themeColor="accent6"/>
          <w:sz w:val="17"/>
        </w:rPr>
        <w:t>Base Case</w:t>
      </w:r>
    </w:p>
    <w:tbl>
      <w:tblPr>
        <w:tblStyle w:val="Deloittetable2"/>
        <w:tblW w:w="4826" w:type="pct"/>
        <w:tblLook w:val="04A0" w:firstRow="1" w:lastRow="0" w:firstColumn="1" w:lastColumn="0" w:noHBand="0" w:noVBand="1"/>
      </w:tblPr>
      <w:tblGrid>
        <w:gridCol w:w="7420"/>
        <w:gridCol w:w="1434"/>
        <w:gridCol w:w="1242"/>
      </w:tblGrid>
      <w:tr w:rsidR="00BC1A0C" w:rsidRPr="00BC1A0C" w14:paraId="656B0243" w14:textId="77777777" w:rsidTr="00BC1A0C">
        <w:trPr>
          <w:cnfStyle w:val="100000000000" w:firstRow="1" w:lastRow="0" w:firstColumn="0" w:lastColumn="0" w:oddVBand="0" w:evenVBand="0" w:oddHBand="0" w:evenHBand="0" w:firstRowFirstColumn="0" w:firstRowLastColumn="0" w:lastRowFirstColumn="0" w:lastRowLastColumn="0"/>
          <w:trHeight w:val="286"/>
        </w:trPr>
        <w:tc>
          <w:tcPr>
            <w:tcW w:w="3674" w:type="pct"/>
            <w:hideMark/>
          </w:tcPr>
          <w:p w14:paraId="656B0240" w14:textId="77777777" w:rsidR="00003D4C" w:rsidRPr="000E7C5E" w:rsidRDefault="00003D4C" w:rsidP="00B96C53">
            <w:pPr>
              <w:spacing w:after="0" w:line="240" w:lineRule="auto"/>
              <w:rPr>
                <w:rFonts w:eastAsia="Times New Roman" w:cs="Segoe UI Light"/>
                <w:b/>
                <w:bCs/>
                <w:color w:val="000000" w:themeColor="text1"/>
                <w:sz w:val="18"/>
                <w:szCs w:val="20"/>
                <w:lang w:eastAsia="en-AU"/>
              </w:rPr>
            </w:pPr>
            <w:r w:rsidRPr="000E7C5E">
              <w:rPr>
                <w:rFonts w:eastAsia="Times New Roman" w:cs="Segoe UI Light"/>
                <w:b/>
                <w:bCs/>
                <w:color w:val="000000" w:themeColor="text1"/>
                <w:sz w:val="18"/>
                <w:szCs w:val="20"/>
                <w:lang w:eastAsia="en-AU"/>
              </w:rPr>
              <w:t>Benefits</w:t>
            </w:r>
          </w:p>
        </w:tc>
        <w:tc>
          <w:tcPr>
            <w:tcW w:w="709" w:type="pct"/>
            <w:hideMark/>
          </w:tcPr>
          <w:p w14:paraId="656B0241" w14:textId="77777777" w:rsidR="00003D4C" w:rsidRPr="000E7C5E" w:rsidRDefault="00003D4C" w:rsidP="0073546C">
            <w:pPr>
              <w:spacing w:after="0" w:line="240" w:lineRule="auto"/>
              <w:ind w:right="57"/>
              <w:jc w:val="right"/>
              <w:rPr>
                <w:rFonts w:eastAsia="Times New Roman" w:cs="Segoe UI Light"/>
                <w:b/>
                <w:bCs/>
                <w:color w:val="000000" w:themeColor="text1"/>
                <w:sz w:val="18"/>
                <w:szCs w:val="20"/>
                <w:lang w:eastAsia="en-AU"/>
              </w:rPr>
            </w:pPr>
            <w:r w:rsidRPr="000E7C5E">
              <w:rPr>
                <w:rFonts w:eastAsia="Times New Roman" w:cs="Segoe UI Light"/>
                <w:b/>
                <w:bCs/>
                <w:color w:val="000000" w:themeColor="text1"/>
                <w:sz w:val="18"/>
                <w:szCs w:val="20"/>
                <w:lang w:eastAsia="en-AU"/>
              </w:rPr>
              <w:t>Option 1</w:t>
            </w:r>
          </w:p>
        </w:tc>
        <w:tc>
          <w:tcPr>
            <w:tcW w:w="617" w:type="pct"/>
          </w:tcPr>
          <w:p w14:paraId="656B0242" w14:textId="77777777" w:rsidR="00003D4C" w:rsidRPr="000E7C5E" w:rsidRDefault="00003D4C" w:rsidP="0073546C">
            <w:pPr>
              <w:spacing w:after="0" w:line="240" w:lineRule="auto"/>
              <w:ind w:right="57"/>
              <w:jc w:val="right"/>
              <w:rPr>
                <w:rFonts w:eastAsia="Times New Roman" w:cs="Segoe UI Light"/>
                <w:b/>
                <w:bCs/>
                <w:color w:val="000000" w:themeColor="text1"/>
                <w:sz w:val="18"/>
                <w:szCs w:val="20"/>
                <w:lang w:eastAsia="en-AU"/>
              </w:rPr>
            </w:pPr>
            <w:r w:rsidRPr="000E7C5E">
              <w:rPr>
                <w:rFonts w:eastAsia="Times New Roman" w:cs="Segoe UI Light"/>
                <w:b/>
                <w:bCs/>
                <w:color w:val="000000" w:themeColor="text1"/>
                <w:sz w:val="18"/>
                <w:szCs w:val="20"/>
                <w:lang w:eastAsia="en-AU"/>
              </w:rPr>
              <w:t>Option 2</w:t>
            </w:r>
          </w:p>
        </w:tc>
      </w:tr>
      <w:tr w:rsidR="00BC1A0C" w:rsidRPr="00BC1A0C" w14:paraId="656B0247" w14:textId="77777777" w:rsidTr="00BC1A0C">
        <w:trPr>
          <w:trHeight w:val="286"/>
        </w:trPr>
        <w:tc>
          <w:tcPr>
            <w:tcW w:w="3675" w:type="pct"/>
            <w:hideMark/>
          </w:tcPr>
          <w:p w14:paraId="656B0244" w14:textId="77777777" w:rsidR="005A5C61" w:rsidRPr="000E7C5E" w:rsidRDefault="005A5C61" w:rsidP="005A5C61">
            <w:pPr>
              <w:spacing w:after="0" w:line="240" w:lineRule="auto"/>
              <w:rPr>
                <w:rFonts w:eastAsia="Times New Roman" w:cs="Segoe UI Light"/>
                <w:color w:val="000000" w:themeColor="text1"/>
                <w:sz w:val="18"/>
                <w:lang w:eastAsia="en-AU"/>
              </w:rPr>
            </w:pPr>
            <w:r w:rsidRPr="000E7C5E">
              <w:rPr>
                <w:rFonts w:eastAsia="Times New Roman" w:cs="Segoe UI Light"/>
                <w:color w:val="000000" w:themeColor="text1"/>
                <w:sz w:val="18"/>
                <w:lang w:eastAsia="en-AU"/>
              </w:rPr>
              <w:t>Reduction in air emissions</w:t>
            </w:r>
          </w:p>
        </w:tc>
        <w:tc>
          <w:tcPr>
            <w:tcW w:w="710" w:type="pct"/>
            <w:hideMark/>
          </w:tcPr>
          <w:p w14:paraId="656B0245"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1,560.4</w:t>
            </w:r>
          </w:p>
        </w:tc>
        <w:tc>
          <w:tcPr>
            <w:tcW w:w="615" w:type="pct"/>
          </w:tcPr>
          <w:p w14:paraId="656B0246"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1,560.4</w:t>
            </w:r>
          </w:p>
        </w:tc>
      </w:tr>
      <w:tr w:rsidR="00BC1A0C" w:rsidRPr="00BC1A0C" w14:paraId="656B024B" w14:textId="77777777" w:rsidTr="00BC1A0C">
        <w:trPr>
          <w:trHeight w:val="286"/>
        </w:trPr>
        <w:tc>
          <w:tcPr>
            <w:tcW w:w="3675" w:type="pct"/>
            <w:hideMark/>
          </w:tcPr>
          <w:p w14:paraId="656B0248" w14:textId="77777777" w:rsidR="005A5C61" w:rsidRPr="000E7C5E" w:rsidRDefault="005A5C61" w:rsidP="005A5C61">
            <w:pPr>
              <w:spacing w:after="0" w:line="240" w:lineRule="auto"/>
              <w:rPr>
                <w:rFonts w:eastAsia="Times New Roman" w:cs="Segoe UI Light"/>
                <w:color w:val="000000" w:themeColor="text1"/>
                <w:sz w:val="18"/>
                <w:lang w:eastAsia="en-AU"/>
              </w:rPr>
            </w:pPr>
            <w:r w:rsidRPr="000E7C5E">
              <w:rPr>
                <w:rFonts w:eastAsia="Times New Roman" w:cs="Segoe UI Light"/>
                <w:color w:val="000000" w:themeColor="text1"/>
                <w:sz w:val="18"/>
                <w:lang w:eastAsia="en-AU"/>
              </w:rPr>
              <w:t>Reduction in water emissions</w:t>
            </w:r>
          </w:p>
        </w:tc>
        <w:tc>
          <w:tcPr>
            <w:tcW w:w="710" w:type="pct"/>
            <w:hideMark/>
          </w:tcPr>
          <w:p w14:paraId="656B0249"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600.7</w:t>
            </w:r>
          </w:p>
        </w:tc>
        <w:tc>
          <w:tcPr>
            <w:tcW w:w="615" w:type="pct"/>
          </w:tcPr>
          <w:p w14:paraId="656B024A"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600.7</w:t>
            </w:r>
          </w:p>
        </w:tc>
      </w:tr>
      <w:tr w:rsidR="00BC1A0C" w:rsidRPr="00BC1A0C" w14:paraId="656B024F" w14:textId="77777777" w:rsidTr="00BC1A0C">
        <w:trPr>
          <w:trHeight w:val="286"/>
        </w:trPr>
        <w:tc>
          <w:tcPr>
            <w:tcW w:w="3675" w:type="pct"/>
          </w:tcPr>
          <w:p w14:paraId="656B024C" w14:textId="77777777" w:rsidR="005A5C61" w:rsidRPr="000E7C5E" w:rsidRDefault="005A5C61" w:rsidP="005A5C61">
            <w:pPr>
              <w:spacing w:after="0" w:line="240" w:lineRule="auto"/>
              <w:rPr>
                <w:rFonts w:eastAsia="Times New Roman" w:cs="Segoe UI Light"/>
                <w:color w:val="000000" w:themeColor="text1"/>
                <w:sz w:val="18"/>
                <w:lang w:eastAsia="en-AU"/>
              </w:rPr>
            </w:pPr>
            <w:r w:rsidRPr="000E7C5E">
              <w:rPr>
                <w:rFonts w:eastAsia="Times New Roman" w:cs="Segoe UI Light"/>
                <w:color w:val="000000" w:themeColor="text1"/>
                <w:sz w:val="18"/>
                <w:lang w:eastAsia="en-AU"/>
              </w:rPr>
              <w:t>Reduced cost of pollution incidents for business, government and community</w:t>
            </w:r>
          </w:p>
        </w:tc>
        <w:tc>
          <w:tcPr>
            <w:tcW w:w="710" w:type="pct"/>
          </w:tcPr>
          <w:p w14:paraId="656B024D"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15.4</w:t>
            </w:r>
          </w:p>
        </w:tc>
        <w:tc>
          <w:tcPr>
            <w:tcW w:w="615" w:type="pct"/>
          </w:tcPr>
          <w:p w14:paraId="656B024E"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18.2</w:t>
            </w:r>
          </w:p>
        </w:tc>
      </w:tr>
      <w:tr w:rsidR="00BC1A0C" w:rsidRPr="00BC1A0C" w14:paraId="656B0253" w14:textId="77777777" w:rsidTr="00BC1A0C">
        <w:trPr>
          <w:trHeight w:val="286"/>
        </w:trPr>
        <w:tc>
          <w:tcPr>
            <w:tcW w:w="3675" w:type="pct"/>
          </w:tcPr>
          <w:p w14:paraId="656B0250" w14:textId="77777777" w:rsidR="005A5C61" w:rsidRPr="000E7C5E" w:rsidRDefault="005A5C61" w:rsidP="007901B3">
            <w:pPr>
              <w:spacing w:after="0" w:line="240" w:lineRule="auto"/>
              <w:rPr>
                <w:rFonts w:eastAsia="Times New Roman" w:cs="Segoe UI Light"/>
                <w:color w:val="000000" w:themeColor="text1"/>
                <w:sz w:val="18"/>
                <w:lang w:eastAsia="en-AU"/>
              </w:rPr>
            </w:pPr>
            <w:r w:rsidRPr="000E7C5E">
              <w:rPr>
                <w:rFonts w:eastAsia="Times New Roman" w:cs="Segoe UI Light"/>
                <w:color w:val="000000" w:themeColor="text1"/>
                <w:sz w:val="18"/>
                <w:lang w:eastAsia="en-AU"/>
              </w:rPr>
              <w:t xml:space="preserve">Reduced cost of fires at </w:t>
            </w:r>
            <w:r w:rsidR="007901B3">
              <w:rPr>
                <w:rFonts w:eastAsia="Times New Roman" w:cs="Segoe UI Light"/>
                <w:color w:val="000000" w:themeColor="text1"/>
                <w:sz w:val="18"/>
                <w:lang w:eastAsia="en-AU"/>
              </w:rPr>
              <w:t>WRR</w:t>
            </w:r>
            <w:r w:rsidR="007901B3" w:rsidRPr="000E7C5E">
              <w:rPr>
                <w:rFonts w:eastAsia="Times New Roman" w:cs="Segoe UI Light"/>
                <w:color w:val="000000" w:themeColor="text1"/>
                <w:sz w:val="18"/>
                <w:lang w:eastAsia="en-AU"/>
              </w:rPr>
              <w:t>s</w:t>
            </w:r>
          </w:p>
        </w:tc>
        <w:tc>
          <w:tcPr>
            <w:tcW w:w="710" w:type="pct"/>
          </w:tcPr>
          <w:p w14:paraId="656B0251"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0.0</w:t>
            </w:r>
          </w:p>
        </w:tc>
        <w:tc>
          <w:tcPr>
            <w:tcW w:w="615" w:type="pct"/>
          </w:tcPr>
          <w:p w14:paraId="656B0252"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24.4</w:t>
            </w:r>
          </w:p>
        </w:tc>
      </w:tr>
      <w:tr w:rsidR="00BC1A0C" w:rsidRPr="00BC1A0C" w14:paraId="656B0257" w14:textId="77777777" w:rsidTr="00BC1A0C">
        <w:trPr>
          <w:trHeight w:val="286"/>
        </w:trPr>
        <w:tc>
          <w:tcPr>
            <w:tcW w:w="3675" w:type="pct"/>
          </w:tcPr>
          <w:p w14:paraId="656B0254" w14:textId="77777777" w:rsidR="005A5C61" w:rsidRPr="000E7C5E" w:rsidRDefault="005A5C61" w:rsidP="005A5C61">
            <w:pPr>
              <w:spacing w:after="0" w:line="240" w:lineRule="auto"/>
              <w:rPr>
                <w:rFonts w:eastAsia="Times New Roman" w:cs="Segoe UI Light"/>
                <w:b/>
                <w:color w:val="000000" w:themeColor="text1"/>
                <w:sz w:val="18"/>
                <w:lang w:eastAsia="en-AU"/>
              </w:rPr>
            </w:pPr>
            <w:r w:rsidRPr="000E7C5E">
              <w:rPr>
                <w:rFonts w:eastAsia="Times New Roman" w:cs="Segoe UI Light"/>
                <w:b/>
                <w:color w:val="000000" w:themeColor="text1"/>
                <w:sz w:val="18"/>
                <w:lang w:eastAsia="en-AU"/>
              </w:rPr>
              <w:t>Total benefits</w:t>
            </w:r>
          </w:p>
        </w:tc>
        <w:tc>
          <w:tcPr>
            <w:tcW w:w="710" w:type="pct"/>
          </w:tcPr>
          <w:p w14:paraId="656B0255" w14:textId="77777777" w:rsidR="005A5C61" w:rsidRPr="000E7C5E" w:rsidRDefault="005A5C61" w:rsidP="0073546C">
            <w:pPr>
              <w:spacing w:after="0" w:line="240" w:lineRule="auto"/>
              <w:ind w:right="57"/>
              <w:jc w:val="right"/>
              <w:rPr>
                <w:rFonts w:cs="Segoe UI Light"/>
                <w:b/>
                <w:color w:val="000000" w:themeColor="text1"/>
                <w:sz w:val="18"/>
              </w:rPr>
            </w:pPr>
            <w:r w:rsidRPr="000E7C5E">
              <w:rPr>
                <w:rFonts w:cs="Segoe UI Light"/>
                <w:b/>
                <w:bCs/>
                <w:color w:val="000000" w:themeColor="text1"/>
                <w:sz w:val="18"/>
              </w:rPr>
              <w:t>2,176.6</w:t>
            </w:r>
          </w:p>
        </w:tc>
        <w:tc>
          <w:tcPr>
            <w:tcW w:w="615" w:type="pct"/>
          </w:tcPr>
          <w:p w14:paraId="656B0256" w14:textId="77777777" w:rsidR="005A5C61" w:rsidRPr="000E7C5E" w:rsidRDefault="005A5C61" w:rsidP="0073546C">
            <w:pPr>
              <w:spacing w:after="0" w:line="240" w:lineRule="auto"/>
              <w:ind w:right="57"/>
              <w:jc w:val="right"/>
              <w:rPr>
                <w:rFonts w:cs="Segoe UI Light"/>
                <w:b/>
                <w:color w:val="000000" w:themeColor="text1"/>
                <w:sz w:val="18"/>
              </w:rPr>
            </w:pPr>
            <w:r w:rsidRPr="000E7C5E">
              <w:rPr>
                <w:rFonts w:cs="Segoe UI Light"/>
                <w:b/>
                <w:bCs/>
                <w:color w:val="000000" w:themeColor="text1"/>
                <w:sz w:val="18"/>
              </w:rPr>
              <w:t>2,203.6</w:t>
            </w:r>
          </w:p>
        </w:tc>
      </w:tr>
      <w:tr w:rsidR="00BC1A0C" w:rsidRPr="00BC1A0C" w14:paraId="656B025B" w14:textId="77777777" w:rsidTr="00BC1A0C">
        <w:trPr>
          <w:trHeight w:val="286"/>
        </w:trPr>
        <w:tc>
          <w:tcPr>
            <w:tcW w:w="3675" w:type="pct"/>
          </w:tcPr>
          <w:p w14:paraId="656B0258" w14:textId="77777777" w:rsidR="00003D4C" w:rsidRPr="000E7C5E" w:rsidRDefault="00003D4C" w:rsidP="00B96C53">
            <w:pPr>
              <w:spacing w:after="0" w:line="240" w:lineRule="auto"/>
              <w:rPr>
                <w:rFonts w:eastAsia="Times New Roman" w:cs="Segoe UI Light"/>
                <w:b/>
                <w:color w:val="000000" w:themeColor="text1"/>
                <w:sz w:val="18"/>
                <w:szCs w:val="20"/>
                <w:lang w:eastAsia="en-AU"/>
              </w:rPr>
            </w:pPr>
            <w:r w:rsidRPr="000E7C5E">
              <w:rPr>
                <w:rFonts w:eastAsia="Times New Roman" w:cs="Segoe UI Light"/>
                <w:b/>
                <w:bCs/>
                <w:color w:val="000000" w:themeColor="text1"/>
                <w:sz w:val="18"/>
                <w:szCs w:val="20"/>
                <w:lang w:eastAsia="en-AU"/>
              </w:rPr>
              <w:t>Costs</w:t>
            </w:r>
          </w:p>
        </w:tc>
        <w:tc>
          <w:tcPr>
            <w:tcW w:w="710" w:type="pct"/>
          </w:tcPr>
          <w:p w14:paraId="656B0259" w14:textId="77777777" w:rsidR="00003D4C" w:rsidRPr="000E7C5E" w:rsidRDefault="00003D4C" w:rsidP="00B96C53">
            <w:pPr>
              <w:spacing w:after="0" w:line="240" w:lineRule="auto"/>
              <w:jc w:val="right"/>
              <w:rPr>
                <w:rFonts w:eastAsia="Times New Roman" w:cs="Segoe UI Light"/>
                <w:i/>
                <w:iCs/>
                <w:color w:val="000000" w:themeColor="text1"/>
                <w:sz w:val="18"/>
                <w:szCs w:val="20"/>
                <w:lang w:eastAsia="en-AU"/>
              </w:rPr>
            </w:pPr>
          </w:p>
        </w:tc>
        <w:tc>
          <w:tcPr>
            <w:tcW w:w="615" w:type="pct"/>
          </w:tcPr>
          <w:p w14:paraId="656B025A" w14:textId="77777777" w:rsidR="00003D4C" w:rsidRPr="000E7C5E" w:rsidRDefault="00003D4C" w:rsidP="00B96C53">
            <w:pPr>
              <w:spacing w:after="0" w:line="240" w:lineRule="auto"/>
              <w:jc w:val="right"/>
              <w:rPr>
                <w:rFonts w:eastAsia="Times New Roman" w:cs="Segoe UI Light"/>
                <w:i/>
                <w:iCs/>
                <w:color w:val="000000" w:themeColor="text1"/>
                <w:sz w:val="18"/>
                <w:szCs w:val="20"/>
                <w:lang w:eastAsia="en-AU"/>
              </w:rPr>
            </w:pPr>
          </w:p>
        </w:tc>
      </w:tr>
      <w:tr w:rsidR="00BC1A0C" w:rsidRPr="00BC1A0C" w14:paraId="656B025F" w14:textId="77777777" w:rsidTr="00BC1A0C">
        <w:trPr>
          <w:trHeight w:val="286"/>
        </w:trPr>
        <w:tc>
          <w:tcPr>
            <w:tcW w:w="3675" w:type="pct"/>
          </w:tcPr>
          <w:p w14:paraId="656B025C" w14:textId="77777777" w:rsidR="00133F83" w:rsidRPr="00924CA0" w:rsidRDefault="00133F83" w:rsidP="00133F83">
            <w:pPr>
              <w:spacing w:after="0" w:line="240" w:lineRule="auto"/>
              <w:rPr>
                <w:rFonts w:eastAsia="Times New Roman" w:cs="Segoe UI Light"/>
                <w:color w:val="000000" w:themeColor="text1"/>
                <w:sz w:val="18"/>
                <w:szCs w:val="20"/>
                <w:u w:val="single"/>
                <w:lang w:eastAsia="en-AU"/>
              </w:rPr>
            </w:pPr>
            <w:r w:rsidRPr="00924CA0">
              <w:rPr>
                <w:rFonts w:cs="Segoe UI Light"/>
                <w:color w:val="000000" w:themeColor="text1"/>
                <w:sz w:val="18"/>
                <w:u w:val="single"/>
              </w:rPr>
              <w:t>Costs to business</w:t>
            </w:r>
          </w:p>
        </w:tc>
        <w:tc>
          <w:tcPr>
            <w:tcW w:w="710" w:type="pct"/>
          </w:tcPr>
          <w:p w14:paraId="656B025D" w14:textId="77777777" w:rsidR="00133F83" w:rsidRPr="000E7C5E" w:rsidRDefault="00133F83" w:rsidP="0073546C">
            <w:pPr>
              <w:spacing w:after="0" w:line="240" w:lineRule="auto"/>
              <w:ind w:right="57"/>
              <w:jc w:val="right"/>
              <w:rPr>
                <w:rFonts w:eastAsia="Times New Roman" w:cs="Segoe UI Light"/>
                <w:i/>
                <w:iCs/>
                <w:color w:val="000000" w:themeColor="text1"/>
                <w:sz w:val="18"/>
                <w:szCs w:val="20"/>
                <w:lang w:eastAsia="en-AU"/>
              </w:rPr>
            </w:pPr>
          </w:p>
        </w:tc>
        <w:tc>
          <w:tcPr>
            <w:tcW w:w="615" w:type="pct"/>
          </w:tcPr>
          <w:p w14:paraId="656B025E" w14:textId="77777777" w:rsidR="00133F83" w:rsidRPr="000E7C5E" w:rsidRDefault="00133F83" w:rsidP="0073546C">
            <w:pPr>
              <w:spacing w:after="0" w:line="240" w:lineRule="auto"/>
              <w:ind w:right="57"/>
              <w:jc w:val="right"/>
              <w:rPr>
                <w:rFonts w:eastAsia="Times New Roman" w:cs="Segoe UI Light"/>
                <w:i/>
                <w:iCs/>
                <w:color w:val="000000" w:themeColor="text1"/>
                <w:sz w:val="18"/>
                <w:szCs w:val="20"/>
                <w:lang w:eastAsia="en-AU"/>
              </w:rPr>
            </w:pPr>
          </w:p>
        </w:tc>
      </w:tr>
      <w:tr w:rsidR="00BC1A0C" w:rsidRPr="00BC1A0C" w14:paraId="656B0263" w14:textId="77777777" w:rsidTr="00BC1A0C">
        <w:trPr>
          <w:trHeight w:val="286"/>
        </w:trPr>
        <w:tc>
          <w:tcPr>
            <w:tcW w:w="3675" w:type="pct"/>
          </w:tcPr>
          <w:p w14:paraId="656B0260" w14:textId="77777777" w:rsidR="005A5C61" w:rsidRPr="000E7C5E" w:rsidRDefault="005A5C61" w:rsidP="005A5C61">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Operating licence – annual reporting costs</w:t>
            </w:r>
          </w:p>
        </w:tc>
        <w:tc>
          <w:tcPr>
            <w:tcW w:w="710" w:type="pct"/>
          </w:tcPr>
          <w:p w14:paraId="656B0261" w14:textId="77777777" w:rsidR="005A5C61" w:rsidRPr="000E7C5E" w:rsidRDefault="005A5C61"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103.8 </w:t>
            </w:r>
          </w:p>
        </w:tc>
        <w:tc>
          <w:tcPr>
            <w:tcW w:w="615" w:type="pct"/>
          </w:tcPr>
          <w:p w14:paraId="656B0262"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 xml:space="preserve">  106.1 </w:t>
            </w:r>
          </w:p>
        </w:tc>
      </w:tr>
      <w:tr w:rsidR="00BC1A0C" w:rsidRPr="00BC1A0C" w14:paraId="656B0267" w14:textId="77777777" w:rsidTr="00BC1A0C">
        <w:trPr>
          <w:trHeight w:val="286"/>
        </w:trPr>
        <w:tc>
          <w:tcPr>
            <w:tcW w:w="3675" w:type="pct"/>
          </w:tcPr>
          <w:p w14:paraId="656B0264" w14:textId="77777777" w:rsidR="005A5C61" w:rsidRPr="000E7C5E" w:rsidRDefault="005A5C61" w:rsidP="005A5C61">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Operating licences – annual compliance costs</w:t>
            </w:r>
          </w:p>
        </w:tc>
        <w:tc>
          <w:tcPr>
            <w:tcW w:w="710" w:type="pct"/>
          </w:tcPr>
          <w:p w14:paraId="656B0265" w14:textId="77777777" w:rsidR="005A5C61" w:rsidRPr="000E7C5E" w:rsidRDefault="005A5C61"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136.8 </w:t>
            </w:r>
          </w:p>
        </w:tc>
        <w:tc>
          <w:tcPr>
            <w:tcW w:w="615" w:type="pct"/>
          </w:tcPr>
          <w:p w14:paraId="656B0266"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 xml:space="preserve">  139.9 </w:t>
            </w:r>
          </w:p>
        </w:tc>
      </w:tr>
      <w:tr w:rsidR="00BC1A0C" w:rsidRPr="00BC1A0C" w14:paraId="656B026B" w14:textId="77777777" w:rsidTr="00BC1A0C">
        <w:trPr>
          <w:trHeight w:val="286"/>
        </w:trPr>
        <w:tc>
          <w:tcPr>
            <w:tcW w:w="3675" w:type="pct"/>
          </w:tcPr>
          <w:p w14:paraId="656B0268" w14:textId="77777777" w:rsidR="005A5C61" w:rsidRPr="000E7C5E" w:rsidRDefault="005A5C61" w:rsidP="005A5C61">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Development licence – cost of licence applications</w:t>
            </w:r>
          </w:p>
        </w:tc>
        <w:tc>
          <w:tcPr>
            <w:tcW w:w="710" w:type="pct"/>
          </w:tcPr>
          <w:p w14:paraId="656B0269" w14:textId="77777777" w:rsidR="005A5C61" w:rsidRPr="000E7C5E" w:rsidRDefault="005A5C61"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7.1 </w:t>
            </w:r>
          </w:p>
        </w:tc>
        <w:tc>
          <w:tcPr>
            <w:tcW w:w="615" w:type="pct"/>
          </w:tcPr>
          <w:p w14:paraId="656B026A"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 xml:space="preserve">  7.8 </w:t>
            </w:r>
          </w:p>
        </w:tc>
      </w:tr>
      <w:tr w:rsidR="00BC1A0C" w:rsidRPr="00BC1A0C" w14:paraId="656B026F" w14:textId="77777777" w:rsidTr="00BC1A0C">
        <w:trPr>
          <w:trHeight w:val="286"/>
        </w:trPr>
        <w:tc>
          <w:tcPr>
            <w:tcW w:w="3675" w:type="pct"/>
          </w:tcPr>
          <w:p w14:paraId="656B026C" w14:textId="77777777" w:rsidR="005A5C61" w:rsidRPr="000E7C5E" w:rsidRDefault="005A5C61" w:rsidP="005A5C61">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Development licence – delay costs</w:t>
            </w:r>
          </w:p>
        </w:tc>
        <w:tc>
          <w:tcPr>
            <w:tcW w:w="710" w:type="pct"/>
          </w:tcPr>
          <w:p w14:paraId="656B026D" w14:textId="77777777" w:rsidR="005A5C61" w:rsidRPr="000E7C5E" w:rsidRDefault="005A5C61"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21.7 </w:t>
            </w:r>
          </w:p>
        </w:tc>
        <w:tc>
          <w:tcPr>
            <w:tcW w:w="615" w:type="pct"/>
          </w:tcPr>
          <w:p w14:paraId="656B026E"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 xml:space="preserve">  23.9 </w:t>
            </w:r>
          </w:p>
        </w:tc>
      </w:tr>
      <w:tr w:rsidR="00BC1A0C" w:rsidRPr="00BC1A0C" w14:paraId="656B0273" w14:textId="77777777" w:rsidTr="00BC1A0C">
        <w:trPr>
          <w:trHeight w:val="286"/>
        </w:trPr>
        <w:tc>
          <w:tcPr>
            <w:tcW w:w="3675" w:type="pct"/>
          </w:tcPr>
          <w:p w14:paraId="656B0270" w14:textId="77777777" w:rsidR="005A5C61" w:rsidRPr="000E7C5E" w:rsidRDefault="005A5C61" w:rsidP="005A5C61">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Development licence – compliance costs</w:t>
            </w:r>
          </w:p>
        </w:tc>
        <w:tc>
          <w:tcPr>
            <w:tcW w:w="710" w:type="pct"/>
          </w:tcPr>
          <w:p w14:paraId="656B0271" w14:textId="77777777" w:rsidR="005A5C61" w:rsidRPr="000E7C5E" w:rsidRDefault="005A5C61"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6.3 </w:t>
            </w:r>
          </w:p>
        </w:tc>
        <w:tc>
          <w:tcPr>
            <w:tcW w:w="615" w:type="pct"/>
          </w:tcPr>
          <w:p w14:paraId="656B0272"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 xml:space="preserve">  6.9 </w:t>
            </w:r>
          </w:p>
        </w:tc>
      </w:tr>
      <w:tr w:rsidR="00BC1A0C" w:rsidRPr="00BC1A0C" w14:paraId="656B0277" w14:textId="77777777" w:rsidTr="00BC1A0C">
        <w:trPr>
          <w:trHeight w:val="286"/>
        </w:trPr>
        <w:tc>
          <w:tcPr>
            <w:tcW w:w="3675" w:type="pct"/>
          </w:tcPr>
          <w:p w14:paraId="656B0274" w14:textId="77777777" w:rsidR="005A5C61" w:rsidRPr="000E7C5E" w:rsidRDefault="005A5C61" w:rsidP="005A5C61">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Development licence – exemptions</w:t>
            </w:r>
          </w:p>
        </w:tc>
        <w:tc>
          <w:tcPr>
            <w:tcW w:w="710" w:type="pct"/>
          </w:tcPr>
          <w:p w14:paraId="656B0275" w14:textId="77777777" w:rsidR="005A5C61" w:rsidRPr="000E7C5E" w:rsidRDefault="005A5C61"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4.5 </w:t>
            </w:r>
          </w:p>
        </w:tc>
        <w:tc>
          <w:tcPr>
            <w:tcW w:w="615" w:type="pct"/>
          </w:tcPr>
          <w:p w14:paraId="656B0276"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 xml:space="preserve">  4.5 </w:t>
            </w:r>
          </w:p>
        </w:tc>
      </w:tr>
      <w:tr w:rsidR="00BC1A0C" w:rsidRPr="00BC1A0C" w14:paraId="656B027B" w14:textId="77777777" w:rsidTr="00BC1A0C">
        <w:trPr>
          <w:trHeight w:val="286"/>
        </w:trPr>
        <w:tc>
          <w:tcPr>
            <w:tcW w:w="3675" w:type="pct"/>
          </w:tcPr>
          <w:p w14:paraId="656B0278" w14:textId="77777777" w:rsidR="005A5C61" w:rsidRPr="000E7C5E" w:rsidRDefault="005A5C61" w:rsidP="005A5C61">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Registration cost</w:t>
            </w:r>
          </w:p>
        </w:tc>
        <w:tc>
          <w:tcPr>
            <w:tcW w:w="710" w:type="pct"/>
          </w:tcPr>
          <w:p w14:paraId="656B0279" w14:textId="77777777" w:rsidR="005A5C61" w:rsidRPr="000E7C5E" w:rsidRDefault="005A5C61"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0.3 </w:t>
            </w:r>
          </w:p>
        </w:tc>
        <w:tc>
          <w:tcPr>
            <w:tcW w:w="615" w:type="pct"/>
          </w:tcPr>
          <w:p w14:paraId="656B027A"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 xml:space="preserve">  0.5 </w:t>
            </w:r>
          </w:p>
        </w:tc>
      </w:tr>
      <w:tr w:rsidR="00BC1A0C" w:rsidRPr="00BC1A0C" w14:paraId="656B027F" w14:textId="77777777" w:rsidTr="00BC1A0C">
        <w:trPr>
          <w:trHeight w:val="286"/>
        </w:trPr>
        <w:tc>
          <w:tcPr>
            <w:tcW w:w="3675" w:type="pct"/>
          </w:tcPr>
          <w:p w14:paraId="656B027C" w14:textId="77777777" w:rsidR="005A5C61" w:rsidRPr="000E7C5E" w:rsidRDefault="005A5C61" w:rsidP="005A5C61">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Financial assurance – administrative costs</w:t>
            </w:r>
          </w:p>
        </w:tc>
        <w:tc>
          <w:tcPr>
            <w:tcW w:w="710" w:type="pct"/>
          </w:tcPr>
          <w:p w14:paraId="656B027D" w14:textId="77777777" w:rsidR="005A5C61" w:rsidRPr="000E7C5E" w:rsidRDefault="005A5C61"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19.3 </w:t>
            </w:r>
          </w:p>
        </w:tc>
        <w:tc>
          <w:tcPr>
            <w:tcW w:w="615" w:type="pct"/>
          </w:tcPr>
          <w:p w14:paraId="656B027E"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 xml:space="preserve">  22.7 </w:t>
            </w:r>
          </w:p>
        </w:tc>
      </w:tr>
      <w:tr w:rsidR="00BC1A0C" w:rsidRPr="00BC1A0C" w14:paraId="656B0283" w14:textId="77777777" w:rsidTr="00BC1A0C">
        <w:trPr>
          <w:trHeight w:val="286"/>
        </w:trPr>
        <w:tc>
          <w:tcPr>
            <w:tcW w:w="3675" w:type="pct"/>
          </w:tcPr>
          <w:p w14:paraId="656B0280" w14:textId="77777777" w:rsidR="005A5C61" w:rsidRPr="000E7C5E" w:rsidRDefault="005A5C61" w:rsidP="005A5C61">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Permit costs – administration</w:t>
            </w:r>
          </w:p>
        </w:tc>
        <w:tc>
          <w:tcPr>
            <w:tcW w:w="710" w:type="pct"/>
          </w:tcPr>
          <w:p w14:paraId="656B0281" w14:textId="77777777" w:rsidR="005A5C61" w:rsidRPr="000E7C5E" w:rsidRDefault="005A5C61"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4.5 </w:t>
            </w:r>
          </w:p>
        </w:tc>
        <w:tc>
          <w:tcPr>
            <w:tcW w:w="615" w:type="pct"/>
          </w:tcPr>
          <w:p w14:paraId="656B0282" w14:textId="77777777" w:rsidR="005A5C61" w:rsidRPr="000E7C5E" w:rsidRDefault="005A5C61"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 xml:space="preserve">  11.5 </w:t>
            </w:r>
          </w:p>
        </w:tc>
      </w:tr>
      <w:tr w:rsidR="00BC1A0C" w:rsidRPr="00BC1A0C" w14:paraId="656B0287" w14:textId="77777777" w:rsidTr="00BC1A0C">
        <w:trPr>
          <w:trHeight w:val="68"/>
        </w:trPr>
        <w:tc>
          <w:tcPr>
            <w:tcW w:w="3675" w:type="pct"/>
          </w:tcPr>
          <w:p w14:paraId="656B0284" w14:textId="77777777" w:rsidR="00133F83" w:rsidRPr="000E7C5E" w:rsidRDefault="00133F83" w:rsidP="00133F83">
            <w:pPr>
              <w:spacing w:after="0" w:line="240" w:lineRule="auto"/>
              <w:rPr>
                <w:rFonts w:eastAsia="Times New Roman" w:cs="Segoe UI Light"/>
                <w:color w:val="000000" w:themeColor="text1"/>
                <w:sz w:val="8"/>
                <w:szCs w:val="20"/>
                <w:lang w:eastAsia="en-AU"/>
              </w:rPr>
            </w:pPr>
          </w:p>
        </w:tc>
        <w:tc>
          <w:tcPr>
            <w:tcW w:w="710" w:type="pct"/>
          </w:tcPr>
          <w:p w14:paraId="656B0285" w14:textId="77777777" w:rsidR="00133F83" w:rsidRPr="000E7C5E" w:rsidRDefault="00133F83" w:rsidP="0073546C">
            <w:pPr>
              <w:spacing w:after="0" w:line="240" w:lineRule="auto"/>
              <w:ind w:right="57"/>
              <w:jc w:val="right"/>
              <w:rPr>
                <w:rFonts w:eastAsia="Times New Roman" w:cs="Segoe UI Light"/>
                <w:iCs/>
                <w:color w:val="000000" w:themeColor="text1"/>
                <w:sz w:val="18"/>
                <w:szCs w:val="20"/>
                <w:lang w:eastAsia="en-AU"/>
              </w:rPr>
            </w:pPr>
          </w:p>
        </w:tc>
        <w:tc>
          <w:tcPr>
            <w:tcW w:w="615" w:type="pct"/>
          </w:tcPr>
          <w:p w14:paraId="656B0286" w14:textId="77777777" w:rsidR="00133F83" w:rsidRPr="000E7C5E" w:rsidRDefault="00133F83" w:rsidP="0073546C">
            <w:pPr>
              <w:spacing w:after="0" w:line="240" w:lineRule="auto"/>
              <w:ind w:right="57"/>
              <w:jc w:val="right"/>
              <w:rPr>
                <w:rFonts w:eastAsia="Times New Roman" w:cs="Segoe UI Light"/>
                <w:iCs/>
                <w:color w:val="000000" w:themeColor="text1"/>
                <w:sz w:val="18"/>
                <w:szCs w:val="20"/>
                <w:lang w:eastAsia="en-AU"/>
              </w:rPr>
            </w:pPr>
          </w:p>
        </w:tc>
      </w:tr>
      <w:tr w:rsidR="00BC1A0C" w:rsidRPr="00BC1A0C" w14:paraId="656B028B" w14:textId="77777777" w:rsidTr="00BC1A0C">
        <w:trPr>
          <w:trHeight w:val="286"/>
        </w:trPr>
        <w:tc>
          <w:tcPr>
            <w:tcW w:w="3675" w:type="pct"/>
          </w:tcPr>
          <w:p w14:paraId="656B0288" w14:textId="77777777" w:rsidR="00133F83" w:rsidRPr="000E7C5E" w:rsidRDefault="00133F83" w:rsidP="00133F83">
            <w:pPr>
              <w:spacing w:after="0" w:line="240" w:lineRule="auto"/>
              <w:rPr>
                <w:rFonts w:eastAsia="Times New Roman" w:cs="Segoe UI Light"/>
                <w:color w:val="000000" w:themeColor="text1"/>
                <w:sz w:val="18"/>
                <w:szCs w:val="20"/>
                <w:u w:val="single"/>
                <w:lang w:eastAsia="en-AU"/>
              </w:rPr>
            </w:pPr>
            <w:r w:rsidRPr="000E7C5E">
              <w:rPr>
                <w:rFonts w:cs="Segoe UI Light"/>
                <w:color w:val="000000" w:themeColor="text1"/>
                <w:sz w:val="18"/>
                <w:u w:val="single"/>
              </w:rPr>
              <w:t>Costs to Government</w:t>
            </w:r>
          </w:p>
        </w:tc>
        <w:tc>
          <w:tcPr>
            <w:tcW w:w="710" w:type="pct"/>
          </w:tcPr>
          <w:p w14:paraId="656B0289" w14:textId="77777777" w:rsidR="00133F83" w:rsidRPr="000E7C5E" w:rsidRDefault="00133F83" w:rsidP="0073546C">
            <w:pPr>
              <w:spacing w:after="0" w:line="240" w:lineRule="auto"/>
              <w:ind w:right="57"/>
              <w:jc w:val="right"/>
              <w:rPr>
                <w:rFonts w:eastAsia="Times New Roman" w:cs="Segoe UI Light"/>
                <w:iCs/>
                <w:color w:val="000000" w:themeColor="text1"/>
                <w:sz w:val="18"/>
                <w:szCs w:val="20"/>
                <w:lang w:eastAsia="en-AU"/>
              </w:rPr>
            </w:pPr>
          </w:p>
        </w:tc>
        <w:tc>
          <w:tcPr>
            <w:tcW w:w="615" w:type="pct"/>
          </w:tcPr>
          <w:p w14:paraId="656B028A" w14:textId="77777777" w:rsidR="00133F83" w:rsidRPr="000E7C5E" w:rsidRDefault="00133F83" w:rsidP="0073546C">
            <w:pPr>
              <w:spacing w:after="0" w:line="240" w:lineRule="auto"/>
              <w:ind w:right="57"/>
              <w:jc w:val="right"/>
              <w:rPr>
                <w:rFonts w:eastAsia="Times New Roman" w:cs="Segoe UI Light"/>
                <w:iCs/>
                <w:color w:val="000000" w:themeColor="text1"/>
                <w:sz w:val="18"/>
                <w:szCs w:val="20"/>
                <w:lang w:eastAsia="en-AU"/>
              </w:rPr>
            </w:pPr>
          </w:p>
        </w:tc>
      </w:tr>
      <w:tr w:rsidR="00BC1A0C" w:rsidRPr="00BC1A0C" w14:paraId="656B028F" w14:textId="77777777" w:rsidTr="00BC1A0C">
        <w:trPr>
          <w:trHeight w:val="286"/>
        </w:trPr>
        <w:tc>
          <w:tcPr>
            <w:tcW w:w="3675" w:type="pct"/>
          </w:tcPr>
          <w:p w14:paraId="656B028C" w14:textId="77777777" w:rsidR="00AD7F6D" w:rsidRPr="000E7C5E" w:rsidRDefault="00AD7F6D" w:rsidP="00AD7F6D">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 xml:space="preserve">Administration of operating licences </w:t>
            </w:r>
          </w:p>
        </w:tc>
        <w:tc>
          <w:tcPr>
            <w:tcW w:w="710" w:type="pct"/>
          </w:tcPr>
          <w:p w14:paraId="656B028D" w14:textId="77777777" w:rsidR="00AD7F6D" w:rsidRPr="000E7C5E" w:rsidRDefault="00AD7F6D"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w:t>
            </w:r>
            <w:r w:rsidR="007D127F">
              <w:rPr>
                <w:rFonts w:cs="Segoe UI Light"/>
                <w:color w:val="000000" w:themeColor="text1"/>
                <w:sz w:val="18"/>
              </w:rPr>
              <w:t>66.6</w:t>
            </w:r>
            <w:r w:rsidRPr="000E7C5E">
              <w:rPr>
                <w:rFonts w:cs="Segoe UI Light"/>
                <w:color w:val="000000" w:themeColor="text1"/>
                <w:sz w:val="18"/>
              </w:rPr>
              <w:t xml:space="preserve"> </w:t>
            </w:r>
          </w:p>
        </w:tc>
        <w:tc>
          <w:tcPr>
            <w:tcW w:w="615" w:type="pct"/>
          </w:tcPr>
          <w:p w14:paraId="656B028E" w14:textId="77777777" w:rsidR="00AD7F6D" w:rsidRPr="000E7C5E" w:rsidRDefault="007D127F" w:rsidP="0073546C">
            <w:pPr>
              <w:spacing w:after="0" w:line="240" w:lineRule="auto"/>
              <w:ind w:right="57"/>
              <w:jc w:val="right"/>
              <w:rPr>
                <w:rFonts w:cs="Segoe UI Light"/>
                <w:color w:val="000000" w:themeColor="text1"/>
                <w:sz w:val="18"/>
              </w:rPr>
            </w:pPr>
            <w:r>
              <w:rPr>
                <w:rFonts w:cs="Segoe UI Light"/>
                <w:color w:val="000000" w:themeColor="text1"/>
                <w:sz w:val="18"/>
              </w:rPr>
              <w:t>68.1</w:t>
            </w:r>
          </w:p>
        </w:tc>
      </w:tr>
      <w:tr w:rsidR="00BC1A0C" w:rsidRPr="00BC1A0C" w14:paraId="656B0293" w14:textId="77777777" w:rsidTr="00BC1A0C">
        <w:trPr>
          <w:trHeight w:val="286"/>
        </w:trPr>
        <w:tc>
          <w:tcPr>
            <w:tcW w:w="3674" w:type="pct"/>
          </w:tcPr>
          <w:p w14:paraId="656B0290" w14:textId="77777777" w:rsidR="00AD7F6D" w:rsidRPr="000E7C5E" w:rsidRDefault="00AD7F6D" w:rsidP="00AD7F6D">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 xml:space="preserve">Administration of pilot project licences </w:t>
            </w:r>
          </w:p>
        </w:tc>
        <w:tc>
          <w:tcPr>
            <w:tcW w:w="709" w:type="pct"/>
          </w:tcPr>
          <w:p w14:paraId="656B0291" w14:textId="77777777" w:rsidR="00AD7F6D" w:rsidRPr="000E7C5E" w:rsidRDefault="00AD7F6D"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0.7 </w:t>
            </w:r>
          </w:p>
        </w:tc>
        <w:tc>
          <w:tcPr>
            <w:tcW w:w="617" w:type="pct"/>
          </w:tcPr>
          <w:p w14:paraId="656B0292" w14:textId="77777777" w:rsidR="00AD7F6D" w:rsidRPr="000E7C5E" w:rsidRDefault="00AD7F6D"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0.7</w:t>
            </w:r>
          </w:p>
        </w:tc>
      </w:tr>
      <w:tr w:rsidR="00BC1A0C" w:rsidRPr="00BC1A0C" w14:paraId="656B0297" w14:textId="77777777" w:rsidTr="00BC1A0C">
        <w:trPr>
          <w:trHeight w:val="286"/>
        </w:trPr>
        <w:tc>
          <w:tcPr>
            <w:tcW w:w="3674" w:type="pct"/>
          </w:tcPr>
          <w:p w14:paraId="656B0294" w14:textId="77777777" w:rsidR="00AD7F6D" w:rsidRPr="000E7C5E" w:rsidRDefault="00AD7F6D" w:rsidP="00AD7F6D">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 xml:space="preserve">Administration of permits </w:t>
            </w:r>
          </w:p>
        </w:tc>
        <w:tc>
          <w:tcPr>
            <w:tcW w:w="709" w:type="pct"/>
          </w:tcPr>
          <w:p w14:paraId="656B0295" w14:textId="77777777" w:rsidR="00AD7F6D" w:rsidRPr="000E7C5E" w:rsidRDefault="00AD7F6D"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2.7 </w:t>
            </w:r>
          </w:p>
        </w:tc>
        <w:tc>
          <w:tcPr>
            <w:tcW w:w="617" w:type="pct"/>
          </w:tcPr>
          <w:p w14:paraId="656B0296" w14:textId="77777777" w:rsidR="00AD7F6D" w:rsidRPr="000E7C5E" w:rsidRDefault="00AD7F6D"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3.0</w:t>
            </w:r>
          </w:p>
        </w:tc>
      </w:tr>
      <w:tr w:rsidR="00BC1A0C" w:rsidRPr="00BC1A0C" w14:paraId="656B029B" w14:textId="77777777" w:rsidTr="00BC1A0C">
        <w:trPr>
          <w:trHeight w:val="286"/>
        </w:trPr>
        <w:tc>
          <w:tcPr>
            <w:tcW w:w="3674" w:type="pct"/>
          </w:tcPr>
          <w:p w14:paraId="656B0298" w14:textId="77777777" w:rsidR="00AD7F6D" w:rsidRPr="000E7C5E" w:rsidRDefault="00AD7F6D" w:rsidP="00AD7F6D">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 xml:space="preserve">Administration of financial assurance </w:t>
            </w:r>
          </w:p>
        </w:tc>
        <w:tc>
          <w:tcPr>
            <w:tcW w:w="709" w:type="pct"/>
          </w:tcPr>
          <w:p w14:paraId="656B0299" w14:textId="77777777" w:rsidR="00AD7F6D" w:rsidRPr="000E7C5E" w:rsidRDefault="00AD7F6D"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1.0 </w:t>
            </w:r>
          </w:p>
        </w:tc>
        <w:tc>
          <w:tcPr>
            <w:tcW w:w="617" w:type="pct"/>
          </w:tcPr>
          <w:p w14:paraId="656B029A" w14:textId="77777777" w:rsidR="00AD7F6D" w:rsidRPr="000E7C5E" w:rsidRDefault="00AD7F6D"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1.7</w:t>
            </w:r>
          </w:p>
        </w:tc>
      </w:tr>
      <w:tr w:rsidR="00BC1A0C" w:rsidRPr="00BC1A0C" w14:paraId="656B029F" w14:textId="77777777" w:rsidTr="00BC1A0C">
        <w:trPr>
          <w:trHeight w:val="286"/>
        </w:trPr>
        <w:tc>
          <w:tcPr>
            <w:tcW w:w="3674" w:type="pct"/>
          </w:tcPr>
          <w:p w14:paraId="656B029C" w14:textId="77777777" w:rsidR="00AD7F6D" w:rsidRPr="000E7C5E" w:rsidRDefault="00AD7F6D" w:rsidP="00AD7F6D">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 xml:space="preserve">Administering registrations </w:t>
            </w:r>
          </w:p>
        </w:tc>
        <w:tc>
          <w:tcPr>
            <w:tcW w:w="709" w:type="pct"/>
          </w:tcPr>
          <w:p w14:paraId="656B029D" w14:textId="77777777" w:rsidR="00AD7F6D" w:rsidRPr="000E7C5E" w:rsidRDefault="00AD7F6D"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0.9 </w:t>
            </w:r>
          </w:p>
        </w:tc>
        <w:tc>
          <w:tcPr>
            <w:tcW w:w="617" w:type="pct"/>
          </w:tcPr>
          <w:p w14:paraId="656B029E" w14:textId="77777777" w:rsidR="00AD7F6D" w:rsidRPr="000E7C5E" w:rsidRDefault="00AD7F6D"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1.7</w:t>
            </w:r>
          </w:p>
        </w:tc>
      </w:tr>
      <w:tr w:rsidR="00BC1A0C" w:rsidRPr="00BC1A0C" w14:paraId="656B02A3" w14:textId="77777777" w:rsidTr="00BC1A0C">
        <w:trPr>
          <w:trHeight w:val="286"/>
        </w:trPr>
        <w:tc>
          <w:tcPr>
            <w:tcW w:w="3674" w:type="pct"/>
          </w:tcPr>
          <w:p w14:paraId="656B02A0" w14:textId="77777777" w:rsidR="00AD7F6D" w:rsidRPr="000E7C5E" w:rsidRDefault="00AD7F6D" w:rsidP="00AD7F6D">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 xml:space="preserve">Administering exemptions for development licences </w:t>
            </w:r>
          </w:p>
        </w:tc>
        <w:tc>
          <w:tcPr>
            <w:tcW w:w="709" w:type="pct"/>
          </w:tcPr>
          <w:p w14:paraId="656B02A1" w14:textId="77777777" w:rsidR="00AD7F6D" w:rsidRPr="000E7C5E" w:rsidRDefault="00AD7F6D"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1.9 </w:t>
            </w:r>
          </w:p>
        </w:tc>
        <w:tc>
          <w:tcPr>
            <w:tcW w:w="617" w:type="pct"/>
          </w:tcPr>
          <w:p w14:paraId="656B02A2" w14:textId="77777777" w:rsidR="00AD7F6D" w:rsidRPr="000E7C5E" w:rsidRDefault="00AD7F6D"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1.9</w:t>
            </w:r>
          </w:p>
        </w:tc>
      </w:tr>
      <w:tr w:rsidR="00BC1A0C" w:rsidRPr="00BC1A0C" w14:paraId="656B02A7" w14:textId="77777777" w:rsidTr="00BC1A0C">
        <w:trPr>
          <w:trHeight w:val="286"/>
        </w:trPr>
        <w:tc>
          <w:tcPr>
            <w:tcW w:w="3674" w:type="pct"/>
          </w:tcPr>
          <w:p w14:paraId="656B02A4" w14:textId="77777777" w:rsidR="00AD7F6D" w:rsidRPr="000E7C5E" w:rsidRDefault="00AD7F6D" w:rsidP="00AD7F6D">
            <w:pPr>
              <w:spacing w:after="0" w:line="240" w:lineRule="auto"/>
              <w:rPr>
                <w:rFonts w:eastAsia="Times New Roman" w:cs="Segoe UI Light"/>
                <w:color w:val="000000" w:themeColor="text1"/>
                <w:sz w:val="18"/>
                <w:szCs w:val="20"/>
                <w:lang w:eastAsia="en-AU"/>
              </w:rPr>
            </w:pPr>
            <w:r w:rsidRPr="000E7C5E">
              <w:rPr>
                <w:rFonts w:cs="Segoe UI Light"/>
                <w:color w:val="000000" w:themeColor="text1"/>
                <w:sz w:val="18"/>
              </w:rPr>
              <w:t xml:space="preserve">Administration of development licences </w:t>
            </w:r>
          </w:p>
        </w:tc>
        <w:tc>
          <w:tcPr>
            <w:tcW w:w="709" w:type="pct"/>
          </w:tcPr>
          <w:p w14:paraId="656B02A5" w14:textId="77777777" w:rsidR="00AD7F6D" w:rsidRPr="000E7C5E" w:rsidRDefault="00AD7F6D" w:rsidP="0073546C">
            <w:pPr>
              <w:spacing w:after="0" w:line="240" w:lineRule="auto"/>
              <w:ind w:right="57"/>
              <w:jc w:val="right"/>
              <w:rPr>
                <w:rFonts w:eastAsia="Times New Roman" w:cs="Segoe UI Light"/>
                <w:iCs/>
                <w:color w:val="000000" w:themeColor="text1"/>
                <w:sz w:val="18"/>
                <w:szCs w:val="20"/>
                <w:lang w:eastAsia="en-AU"/>
              </w:rPr>
            </w:pPr>
            <w:r w:rsidRPr="000E7C5E">
              <w:rPr>
                <w:rFonts w:cs="Segoe UI Light"/>
                <w:color w:val="000000" w:themeColor="text1"/>
                <w:sz w:val="18"/>
              </w:rPr>
              <w:t xml:space="preserve">  10.6 </w:t>
            </w:r>
          </w:p>
        </w:tc>
        <w:tc>
          <w:tcPr>
            <w:tcW w:w="617" w:type="pct"/>
          </w:tcPr>
          <w:p w14:paraId="656B02A6" w14:textId="77777777" w:rsidR="00AD7F6D" w:rsidRPr="000E7C5E" w:rsidRDefault="00AD7F6D" w:rsidP="0073546C">
            <w:pPr>
              <w:spacing w:after="0" w:line="240" w:lineRule="auto"/>
              <w:ind w:right="57"/>
              <w:jc w:val="right"/>
              <w:rPr>
                <w:rFonts w:cs="Segoe UI Light"/>
                <w:color w:val="000000" w:themeColor="text1"/>
                <w:sz w:val="18"/>
              </w:rPr>
            </w:pPr>
            <w:r w:rsidRPr="000E7C5E">
              <w:rPr>
                <w:rFonts w:cs="Segoe UI Light"/>
                <w:color w:val="000000" w:themeColor="text1"/>
                <w:sz w:val="18"/>
              </w:rPr>
              <w:t>11.7</w:t>
            </w:r>
          </w:p>
        </w:tc>
      </w:tr>
      <w:tr w:rsidR="00BC1A0C" w:rsidRPr="00BC1A0C" w14:paraId="656B02AB" w14:textId="77777777" w:rsidTr="00BC1A0C">
        <w:trPr>
          <w:trHeight w:val="286"/>
        </w:trPr>
        <w:tc>
          <w:tcPr>
            <w:tcW w:w="3674" w:type="pct"/>
          </w:tcPr>
          <w:p w14:paraId="656B02A8" w14:textId="77777777" w:rsidR="00AD7F6D" w:rsidRPr="000E7C5E" w:rsidRDefault="00AD7F6D" w:rsidP="00AD7F6D">
            <w:pPr>
              <w:spacing w:after="0" w:line="240" w:lineRule="auto"/>
              <w:rPr>
                <w:rFonts w:eastAsia="Times New Roman" w:cs="Segoe UI Light"/>
                <w:b/>
                <w:color w:val="000000" w:themeColor="text1"/>
                <w:sz w:val="18"/>
                <w:szCs w:val="20"/>
                <w:lang w:eastAsia="en-AU"/>
              </w:rPr>
            </w:pPr>
            <w:r w:rsidRPr="000E7C5E">
              <w:rPr>
                <w:rFonts w:cs="Segoe UI Light"/>
                <w:b/>
                <w:bCs/>
                <w:color w:val="000000" w:themeColor="text1"/>
                <w:sz w:val="18"/>
              </w:rPr>
              <w:t>Total costs</w:t>
            </w:r>
          </w:p>
        </w:tc>
        <w:tc>
          <w:tcPr>
            <w:tcW w:w="709" w:type="pct"/>
          </w:tcPr>
          <w:p w14:paraId="656B02A9" w14:textId="77777777" w:rsidR="00AD7F6D" w:rsidRPr="000E7C5E" w:rsidRDefault="007D127F" w:rsidP="0073546C">
            <w:pPr>
              <w:spacing w:after="0" w:line="240" w:lineRule="auto"/>
              <w:ind w:right="57"/>
              <w:jc w:val="right"/>
              <w:rPr>
                <w:rFonts w:eastAsia="Times New Roman" w:cs="Segoe UI Light"/>
                <w:b/>
                <w:iCs/>
                <w:color w:val="000000" w:themeColor="text1"/>
                <w:sz w:val="18"/>
                <w:szCs w:val="20"/>
                <w:lang w:eastAsia="en-AU"/>
              </w:rPr>
            </w:pPr>
            <w:r>
              <w:rPr>
                <w:rFonts w:cs="Segoe UI Light"/>
                <w:b/>
                <w:bCs/>
                <w:color w:val="000000" w:themeColor="text1"/>
                <w:sz w:val="18"/>
              </w:rPr>
              <w:t>388.6</w:t>
            </w:r>
          </w:p>
        </w:tc>
        <w:tc>
          <w:tcPr>
            <w:tcW w:w="617" w:type="pct"/>
          </w:tcPr>
          <w:p w14:paraId="656B02AA" w14:textId="77777777" w:rsidR="00AD7F6D" w:rsidRPr="000E7C5E" w:rsidRDefault="00AD7F6D" w:rsidP="0073546C">
            <w:pPr>
              <w:spacing w:after="0" w:line="240" w:lineRule="auto"/>
              <w:ind w:right="57"/>
              <w:jc w:val="right"/>
              <w:rPr>
                <w:rFonts w:eastAsia="Times New Roman" w:cs="Segoe UI Light"/>
                <w:b/>
                <w:iCs/>
                <w:color w:val="000000" w:themeColor="text1"/>
                <w:sz w:val="18"/>
                <w:szCs w:val="20"/>
                <w:lang w:eastAsia="en-AU"/>
              </w:rPr>
            </w:pPr>
            <w:r w:rsidRPr="000E7C5E">
              <w:rPr>
                <w:rFonts w:cs="Segoe UI Light"/>
                <w:b/>
                <w:bCs/>
                <w:color w:val="000000" w:themeColor="text1"/>
                <w:sz w:val="18"/>
              </w:rPr>
              <w:t>4</w:t>
            </w:r>
            <w:r w:rsidR="007D127F">
              <w:rPr>
                <w:rFonts w:cs="Segoe UI Light"/>
                <w:b/>
                <w:bCs/>
                <w:color w:val="000000" w:themeColor="text1"/>
                <w:sz w:val="18"/>
              </w:rPr>
              <w:t>12.6</w:t>
            </w:r>
          </w:p>
        </w:tc>
      </w:tr>
      <w:tr w:rsidR="00BC1A0C" w:rsidRPr="00BC1A0C" w14:paraId="656B02AF" w14:textId="77777777" w:rsidTr="00BC1A0C">
        <w:trPr>
          <w:trHeight w:val="286"/>
        </w:trPr>
        <w:tc>
          <w:tcPr>
            <w:tcW w:w="3674" w:type="pct"/>
          </w:tcPr>
          <w:p w14:paraId="656B02AC" w14:textId="77777777" w:rsidR="005A5C61" w:rsidRPr="000E7C5E" w:rsidRDefault="005A5C61" w:rsidP="005A5C61">
            <w:pPr>
              <w:spacing w:after="0" w:line="240" w:lineRule="auto"/>
              <w:rPr>
                <w:rFonts w:eastAsia="Times New Roman" w:cs="Segoe UI Light"/>
                <w:b/>
                <w:color w:val="000000" w:themeColor="text1"/>
                <w:sz w:val="18"/>
                <w:szCs w:val="20"/>
                <w:lang w:eastAsia="en-AU"/>
              </w:rPr>
            </w:pPr>
            <w:r w:rsidRPr="000E7C5E">
              <w:rPr>
                <w:rFonts w:cs="Segoe UI Light"/>
                <w:b/>
                <w:bCs/>
                <w:color w:val="000000" w:themeColor="text1"/>
                <w:sz w:val="18"/>
              </w:rPr>
              <w:t>Net Benefit ($)</w:t>
            </w:r>
          </w:p>
        </w:tc>
        <w:tc>
          <w:tcPr>
            <w:tcW w:w="709" w:type="pct"/>
          </w:tcPr>
          <w:p w14:paraId="656B02AD" w14:textId="77777777" w:rsidR="005A5C61" w:rsidRPr="000E7C5E" w:rsidRDefault="005A5C61" w:rsidP="0073546C">
            <w:pPr>
              <w:spacing w:after="0" w:line="240" w:lineRule="auto"/>
              <w:ind w:right="57"/>
              <w:jc w:val="right"/>
              <w:rPr>
                <w:rFonts w:eastAsia="Times New Roman" w:cs="Segoe UI Light"/>
                <w:b/>
                <w:iCs/>
                <w:color w:val="000000" w:themeColor="text1"/>
                <w:sz w:val="18"/>
                <w:szCs w:val="20"/>
                <w:lang w:eastAsia="en-AU"/>
              </w:rPr>
            </w:pPr>
            <w:r w:rsidRPr="000E7C5E">
              <w:rPr>
                <w:rFonts w:cs="Segoe UI Light"/>
                <w:b/>
                <w:bCs/>
                <w:color w:val="000000" w:themeColor="text1"/>
                <w:sz w:val="18"/>
              </w:rPr>
              <w:t>1,</w:t>
            </w:r>
            <w:r w:rsidR="007D127F" w:rsidRPr="000E7C5E">
              <w:rPr>
                <w:rFonts w:cs="Segoe UI Light"/>
                <w:b/>
                <w:bCs/>
                <w:color w:val="000000" w:themeColor="text1"/>
                <w:sz w:val="18"/>
              </w:rPr>
              <w:t>7</w:t>
            </w:r>
            <w:r w:rsidR="007D127F">
              <w:rPr>
                <w:rFonts w:cs="Segoe UI Light"/>
                <w:b/>
                <w:bCs/>
                <w:color w:val="000000" w:themeColor="text1"/>
                <w:sz w:val="18"/>
              </w:rPr>
              <w:t>87</w:t>
            </w:r>
            <w:r w:rsidR="00AD7F6D" w:rsidRPr="000E7C5E">
              <w:rPr>
                <w:rFonts w:cs="Segoe UI Light"/>
                <w:b/>
                <w:bCs/>
                <w:color w:val="000000" w:themeColor="text1"/>
                <w:sz w:val="18"/>
              </w:rPr>
              <w:t>.</w:t>
            </w:r>
            <w:r w:rsidR="007D127F">
              <w:rPr>
                <w:rFonts w:cs="Segoe UI Light"/>
                <w:b/>
                <w:bCs/>
                <w:color w:val="000000" w:themeColor="text1"/>
                <w:sz w:val="18"/>
              </w:rPr>
              <w:t>9</w:t>
            </w:r>
          </w:p>
        </w:tc>
        <w:tc>
          <w:tcPr>
            <w:tcW w:w="617" w:type="pct"/>
          </w:tcPr>
          <w:p w14:paraId="656B02AE" w14:textId="77777777" w:rsidR="005A5C61" w:rsidRPr="000E7C5E" w:rsidRDefault="005A5C61" w:rsidP="0073546C">
            <w:pPr>
              <w:spacing w:after="0" w:line="240" w:lineRule="auto"/>
              <w:ind w:right="57"/>
              <w:jc w:val="right"/>
              <w:rPr>
                <w:rFonts w:eastAsia="Times New Roman" w:cs="Segoe UI Light"/>
                <w:b/>
                <w:iCs/>
                <w:color w:val="000000" w:themeColor="text1"/>
                <w:sz w:val="18"/>
                <w:szCs w:val="20"/>
                <w:lang w:eastAsia="en-AU"/>
              </w:rPr>
            </w:pPr>
            <w:r w:rsidRPr="000E7C5E">
              <w:rPr>
                <w:rFonts w:cs="Segoe UI Light"/>
                <w:b/>
                <w:bCs/>
                <w:color w:val="000000" w:themeColor="text1"/>
                <w:sz w:val="18"/>
              </w:rPr>
              <w:t>1,7</w:t>
            </w:r>
            <w:r w:rsidR="007D127F">
              <w:rPr>
                <w:rFonts w:cs="Segoe UI Light"/>
                <w:b/>
                <w:bCs/>
                <w:color w:val="000000" w:themeColor="text1"/>
                <w:sz w:val="18"/>
              </w:rPr>
              <w:t>91.0</w:t>
            </w:r>
          </w:p>
        </w:tc>
      </w:tr>
      <w:tr w:rsidR="00413D5D" w:rsidRPr="00BC1A0C" w14:paraId="656B02B3" w14:textId="77777777" w:rsidTr="00BC1A0C">
        <w:trPr>
          <w:trHeight w:val="286"/>
        </w:trPr>
        <w:tc>
          <w:tcPr>
            <w:tcW w:w="3674" w:type="pct"/>
          </w:tcPr>
          <w:p w14:paraId="656B02B0" w14:textId="77777777" w:rsidR="00413D5D" w:rsidRPr="000E7C5E" w:rsidRDefault="00413D5D" w:rsidP="005A5C61">
            <w:pPr>
              <w:spacing w:after="0" w:line="240" w:lineRule="auto"/>
              <w:rPr>
                <w:rFonts w:cs="Segoe UI Light"/>
                <w:b/>
                <w:bCs/>
                <w:color w:val="000000" w:themeColor="text1"/>
                <w:sz w:val="18"/>
              </w:rPr>
            </w:pPr>
            <w:r>
              <w:rPr>
                <w:rFonts w:cs="Segoe UI Light"/>
                <w:b/>
                <w:bCs/>
                <w:color w:val="000000" w:themeColor="text1"/>
                <w:sz w:val="18"/>
              </w:rPr>
              <w:t>BCR</w:t>
            </w:r>
          </w:p>
        </w:tc>
        <w:tc>
          <w:tcPr>
            <w:tcW w:w="709" w:type="pct"/>
          </w:tcPr>
          <w:p w14:paraId="656B02B1" w14:textId="77777777" w:rsidR="00413D5D" w:rsidRPr="000E7C5E" w:rsidRDefault="00413D5D" w:rsidP="0073546C">
            <w:pPr>
              <w:spacing w:after="0" w:line="240" w:lineRule="auto"/>
              <w:ind w:right="57"/>
              <w:jc w:val="right"/>
              <w:rPr>
                <w:rFonts w:cs="Segoe UI Light"/>
                <w:b/>
                <w:bCs/>
                <w:color w:val="000000" w:themeColor="text1"/>
                <w:sz w:val="18"/>
              </w:rPr>
            </w:pPr>
            <w:r>
              <w:rPr>
                <w:rFonts w:cs="Segoe UI Light"/>
                <w:b/>
                <w:bCs/>
                <w:color w:val="000000" w:themeColor="text1"/>
                <w:sz w:val="18"/>
              </w:rPr>
              <w:t>5.</w:t>
            </w:r>
            <w:r w:rsidR="007D127F">
              <w:rPr>
                <w:rFonts w:cs="Segoe UI Light"/>
                <w:b/>
                <w:bCs/>
                <w:color w:val="000000" w:themeColor="text1"/>
                <w:sz w:val="18"/>
              </w:rPr>
              <w:t>60</w:t>
            </w:r>
          </w:p>
        </w:tc>
        <w:tc>
          <w:tcPr>
            <w:tcW w:w="617" w:type="pct"/>
          </w:tcPr>
          <w:p w14:paraId="656B02B2" w14:textId="77777777" w:rsidR="00413D5D" w:rsidRPr="000E7C5E" w:rsidRDefault="00413D5D" w:rsidP="0073546C">
            <w:pPr>
              <w:spacing w:after="0" w:line="240" w:lineRule="auto"/>
              <w:ind w:right="57"/>
              <w:jc w:val="right"/>
              <w:rPr>
                <w:rFonts w:cs="Segoe UI Light"/>
                <w:b/>
                <w:bCs/>
                <w:color w:val="000000" w:themeColor="text1"/>
                <w:sz w:val="18"/>
              </w:rPr>
            </w:pPr>
            <w:r>
              <w:rPr>
                <w:rFonts w:cs="Segoe UI Light"/>
                <w:b/>
                <w:bCs/>
                <w:color w:val="000000" w:themeColor="text1"/>
                <w:sz w:val="18"/>
              </w:rPr>
              <w:t>5.</w:t>
            </w:r>
            <w:r w:rsidR="007D127F">
              <w:rPr>
                <w:rFonts w:cs="Segoe UI Light"/>
                <w:b/>
                <w:bCs/>
                <w:color w:val="000000" w:themeColor="text1"/>
                <w:sz w:val="18"/>
              </w:rPr>
              <w:t>3</w:t>
            </w:r>
            <w:r>
              <w:rPr>
                <w:rFonts w:cs="Segoe UI Light"/>
                <w:b/>
                <w:bCs/>
                <w:color w:val="000000" w:themeColor="text1"/>
                <w:sz w:val="18"/>
              </w:rPr>
              <w:t>4</w:t>
            </w:r>
          </w:p>
        </w:tc>
      </w:tr>
    </w:tbl>
    <w:p w14:paraId="656B02B4" w14:textId="77777777" w:rsidR="00003D4C" w:rsidRDefault="00003D4C" w:rsidP="00003D4C">
      <w:pPr>
        <w:rPr>
          <w:rFonts w:eastAsia="Times New Roman" w:cs="Segoe UI Light"/>
          <w:b/>
          <w:bCs/>
          <w:color w:val="000000"/>
          <w:szCs w:val="20"/>
          <w:lang w:eastAsia="en-AU"/>
        </w:rPr>
      </w:pPr>
    </w:p>
    <w:p w14:paraId="656B02B5" w14:textId="77777777" w:rsidR="00003D4C" w:rsidRDefault="00003D4C" w:rsidP="00003D4C">
      <w:r>
        <w:t xml:space="preserve">The key findings </w:t>
      </w:r>
      <w:r w:rsidR="00BE35C4">
        <w:t xml:space="preserve">of the cost-benefit analysis </w:t>
      </w:r>
      <w:r>
        <w:t xml:space="preserve">are: </w:t>
      </w:r>
    </w:p>
    <w:p w14:paraId="656B02B6" w14:textId="77777777" w:rsidR="00003D4C" w:rsidRDefault="00BE35C4" w:rsidP="004A2442">
      <w:pPr>
        <w:pStyle w:val="ListParagraph"/>
        <w:numPr>
          <w:ilvl w:val="0"/>
          <w:numId w:val="26"/>
        </w:numPr>
      </w:pPr>
      <w:r>
        <w:t xml:space="preserve">Options </w:t>
      </w:r>
      <w:r w:rsidR="00003D4C">
        <w:t xml:space="preserve">1 and 2 </w:t>
      </w:r>
      <w:r>
        <w:t xml:space="preserve">both </w:t>
      </w:r>
      <w:r w:rsidR="00003D4C">
        <w:t>have a large net benefit</w:t>
      </w:r>
      <w:r w:rsidR="00407E8B">
        <w:t>, in the order of $</w:t>
      </w:r>
      <w:r w:rsidR="005A5C61">
        <w:t>1.8</w:t>
      </w:r>
      <w:r>
        <w:t xml:space="preserve"> billion over ten years. These are </w:t>
      </w:r>
      <w:r w:rsidR="00003D4C">
        <w:t xml:space="preserve">relatively similar in scale, reflecting the </w:t>
      </w:r>
      <w:r>
        <w:t xml:space="preserve">relatively large cohorts that would be required to obtain a permission under either option. </w:t>
      </w:r>
    </w:p>
    <w:p w14:paraId="656B02B7" w14:textId="77777777" w:rsidR="00003D4C" w:rsidRDefault="00003D4C" w:rsidP="004A2442">
      <w:pPr>
        <w:pStyle w:val="ListParagraph"/>
        <w:numPr>
          <w:ilvl w:val="0"/>
          <w:numId w:val="26"/>
        </w:numPr>
      </w:pPr>
      <w:r>
        <w:t xml:space="preserve">Option 2 has a </w:t>
      </w:r>
      <w:r w:rsidR="00AD7F6D">
        <w:t>marginally</w:t>
      </w:r>
      <w:r w:rsidR="00373BFF">
        <w:t xml:space="preserve"> </w:t>
      </w:r>
      <w:r>
        <w:t xml:space="preserve">larger benefit than Option 1, reflecting a predicted reduction in the number of fires occurring at </w:t>
      </w:r>
      <w:r w:rsidR="007901B3">
        <w:t xml:space="preserve">WRRs </w:t>
      </w:r>
      <w:r w:rsidR="00AD7F6D">
        <w:t>and reduction in other pollution incidents</w:t>
      </w:r>
      <w:r>
        <w:t xml:space="preserve">. Those facilities would require a licence or permit under the new framework. </w:t>
      </w:r>
    </w:p>
    <w:p w14:paraId="656B02B8" w14:textId="77777777" w:rsidR="00003D4C" w:rsidRPr="007D188D" w:rsidRDefault="00003D4C" w:rsidP="004A2442">
      <w:pPr>
        <w:pStyle w:val="ListParagraph"/>
        <w:numPr>
          <w:ilvl w:val="0"/>
          <w:numId w:val="26"/>
        </w:numPr>
        <w:rPr>
          <w:rFonts w:eastAsia="Times New Roman" w:cs="Segoe UI Light"/>
          <w:b/>
          <w:bCs/>
          <w:color w:val="000000"/>
          <w:szCs w:val="20"/>
          <w:lang w:eastAsia="en-AU"/>
        </w:rPr>
      </w:pPr>
      <w:r>
        <w:t>Option 2 also has a higher cost to business and Government faces additional administrative costs under this option</w:t>
      </w:r>
      <w:r w:rsidR="007D188D">
        <w:t xml:space="preserve">, which </w:t>
      </w:r>
      <w:r w:rsidR="00373BFF">
        <w:t xml:space="preserve">are </w:t>
      </w:r>
      <w:r w:rsidR="007D188D">
        <w:t xml:space="preserve">mostly recovered through fees. Businesses also face higher costs to apply for permissions, as well as compliance and delay costs. </w:t>
      </w:r>
    </w:p>
    <w:p w14:paraId="656B02B9" w14:textId="77777777" w:rsidR="00413D5D" w:rsidRPr="00F04BFC" w:rsidRDefault="00413D5D" w:rsidP="004A2442">
      <w:pPr>
        <w:pStyle w:val="ListParagraph"/>
        <w:numPr>
          <w:ilvl w:val="0"/>
          <w:numId w:val="26"/>
        </w:numPr>
        <w:rPr>
          <w:rFonts w:eastAsia="Times New Roman" w:cs="Segoe UI Light"/>
          <w:color w:val="000000"/>
          <w:szCs w:val="20"/>
          <w:lang w:eastAsia="en-AU"/>
        </w:rPr>
      </w:pPr>
      <w:r w:rsidRPr="00924CA0">
        <w:t>Option 2</w:t>
      </w:r>
      <w:r w:rsidR="00D2274C">
        <w:rPr>
          <w:rFonts w:eastAsia="Times New Roman" w:cs="Segoe UI Light"/>
          <w:bCs/>
          <w:color w:val="000000"/>
          <w:szCs w:val="20"/>
          <w:lang w:eastAsia="en-AU"/>
        </w:rPr>
        <w:t xml:space="preserve"> has a lower BCR than Option 1. While the marginal benefits of Option 2 are higher than the marginal costs</w:t>
      </w:r>
      <w:r w:rsidR="003E60A8">
        <w:rPr>
          <w:rFonts w:eastAsia="Times New Roman" w:cs="Segoe UI Light"/>
          <w:bCs/>
          <w:color w:val="000000"/>
          <w:szCs w:val="20"/>
          <w:lang w:eastAsia="en-AU"/>
        </w:rPr>
        <w:t xml:space="preserve"> (leading to a higher NPV than Option 1)</w:t>
      </w:r>
      <w:r w:rsidR="00D2274C">
        <w:rPr>
          <w:rFonts w:eastAsia="Times New Roman" w:cs="Segoe UI Light"/>
          <w:bCs/>
          <w:color w:val="000000"/>
          <w:szCs w:val="20"/>
          <w:lang w:eastAsia="en-AU"/>
        </w:rPr>
        <w:t xml:space="preserve">, </w:t>
      </w:r>
      <w:r w:rsidR="003E60A8">
        <w:rPr>
          <w:rFonts w:eastAsia="Times New Roman" w:cs="Segoe UI Light"/>
          <w:bCs/>
          <w:color w:val="000000"/>
          <w:szCs w:val="20"/>
          <w:lang w:eastAsia="en-AU"/>
        </w:rPr>
        <w:t>they would need to be higher by a factor of at least 5.</w:t>
      </w:r>
      <w:r w:rsidR="004E51A5">
        <w:rPr>
          <w:rFonts w:eastAsia="Times New Roman" w:cs="Segoe UI Light"/>
          <w:bCs/>
          <w:color w:val="000000"/>
          <w:szCs w:val="20"/>
          <w:lang w:eastAsia="en-AU"/>
        </w:rPr>
        <w:t>6</w:t>
      </w:r>
      <w:r w:rsidR="003E60A8">
        <w:rPr>
          <w:rFonts w:eastAsia="Times New Roman" w:cs="Segoe UI Light"/>
          <w:bCs/>
          <w:color w:val="000000"/>
          <w:szCs w:val="20"/>
          <w:lang w:eastAsia="en-AU"/>
        </w:rPr>
        <w:t xml:space="preserve"> in order to generate a higher BCR. This is not the case, reflecting the relatively conservative assumptions surrounding the reduced cost of fires occurring at </w:t>
      </w:r>
      <w:r w:rsidR="007901B3">
        <w:rPr>
          <w:rFonts w:eastAsia="Times New Roman" w:cs="Segoe UI Light"/>
          <w:bCs/>
          <w:color w:val="000000"/>
          <w:szCs w:val="20"/>
          <w:lang w:eastAsia="en-AU"/>
        </w:rPr>
        <w:t>WRR</w:t>
      </w:r>
      <w:r w:rsidR="003E60A8">
        <w:rPr>
          <w:rFonts w:eastAsia="Times New Roman" w:cs="Segoe UI Light"/>
          <w:bCs/>
          <w:color w:val="000000"/>
          <w:szCs w:val="20"/>
          <w:lang w:eastAsia="en-AU"/>
        </w:rPr>
        <w:t xml:space="preserve">s. </w:t>
      </w:r>
    </w:p>
    <w:p w14:paraId="656B02BA" w14:textId="77777777" w:rsidR="00275036" w:rsidRDefault="007F4FF2" w:rsidP="005B03CD">
      <w:pPr>
        <w:rPr>
          <w:b/>
        </w:rPr>
      </w:pPr>
      <w:r>
        <w:t xml:space="preserve">On balance, Option 2 is expected to provide the greatest </w:t>
      </w:r>
      <w:r w:rsidR="00C27F95">
        <w:t xml:space="preserve">net </w:t>
      </w:r>
      <w:r>
        <w:t xml:space="preserve">benefit </w:t>
      </w:r>
      <w:r w:rsidR="00C27F95">
        <w:t xml:space="preserve">to Victoria, and is therefore the preferred option. </w:t>
      </w:r>
      <w:r w:rsidR="00275036">
        <w:t xml:space="preserve">By prescribing the activities for which duty holders would be required to obtain a permission or a financial assurance, </w:t>
      </w:r>
      <w:r w:rsidR="00275036">
        <w:rPr>
          <w:rFonts w:cs="Segoe UI Light"/>
        </w:rPr>
        <w:t xml:space="preserve">Option 2 enables </w:t>
      </w:r>
      <w:r w:rsidR="00275036" w:rsidRPr="00AE2A33">
        <w:rPr>
          <w:rFonts w:cs="Segoe UI Light"/>
        </w:rPr>
        <w:t xml:space="preserve">EPA to establish greater certainty of control for activities </w:t>
      </w:r>
      <w:r w:rsidR="00275036" w:rsidRPr="00A029F6">
        <w:t>which pose</w:t>
      </w:r>
      <w:r w:rsidR="00275036">
        <w:t xml:space="preserve"> the most</w:t>
      </w:r>
      <w:r w:rsidR="00275036" w:rsidRPr="00A029F6">
        <w:t xml:space="preserve"> significant risks of harm to human health and the environment</w:t>
      </w:r>
      <w:r w:rsidR="00275036">
        <w:t xml:space="preserve"> through its permissioning framework. </w:t>
      </w:r>
    </w:p>
    <w:p w14:paraId="656B02BB" w14:textId="77777777" w:rsidR="00F175CF" w:rsidRPr="00040A06" w:rsidRDefault="00F175CF" w:rsidP="000E7C5E">
      <w:pPr>
        <w:pStyle w:val="Heading4un-numbered"/>
      </w:pPr>
      <w:r>
        <w:t>Sensitivity analysis</w:t>
      </w:r>
    </w:p>
    <w:p w14:paraId="656B02BC" w14:textId="77777777" w:rsidR="002658AF" w:rsidRDefault="002658AF" w:rsidP="002658AF">
      <w:r>
        <w:t xml:space="preserve">A sensitivity analysis </w:t>
      </w:r>
      <w:r w:rsidR="00AA4559">
        <w:t xml:space="preserve">of the preferred option </w:t>
      </w:r>
      <w:r>
        <w:t>was conducted on discount rates, as well as the following estimated costs</w:t>
      </w:r>
      <w:r w:rsidR="0078557B">
        <w:t>. These costs were chosen for the sensitivity analysis either because they have a high degree of variability, or represent a significant share of the overall cost</w:t>
      </w:r>
      <w:r>
        <w:t>:</w:t>
      </w:r>
    </w:p>
    <w:p w14:paraId="656B02BD" w14:textId="77777777" w:rsidR="00F175CF" w:rsidRPr="00AF7EC4" w:rsidRDefault="00F175CF" w:rsidP="00F175CF">
      <w:pPr>
        <w:pStyle w:val="ListParagraph"/>
        <w:numPr>
          <w:ilvl w:val="0"/>
          <w:numId w:val="164"/>
        </w:numPr>
      </w:pPr>
      <w:r>
        <w:rPr>
          <w:b/>
        </w:rPr>
        <w:t xml:space="preserve">Higher operating licence compliance costs: </w:t>
      </w:r>
      <w:r w:rsidRPr="00AF7EC4">
        <w:t>In the core analysis,</w:t>
      </w:r>
      <w:r>
        <w:rPr>
          <w:b/>
        </w:rPr>
        <w:t xml:space="preserve"> </w:t>
      </w:r>
      <w:r>
        <w:t xml:space="preserve">compliance with licence conditions is estimated to cost $29,387 per year, on average. The sensitivity analysis assumes that operating licence compliance costs </w:t>
      </w:r>
      <w:r w:rsidR="00AB0B23">
        <w:t>average</w:t>
      </w:r>
      <w:r>
        <w:t xml:space="preserve"> $60,000 per year. </w:t>
      </w:r>
    </w:p>
    <w:p w14:paraId="656B02BE" w14:textId="77777777" w:rsidR="00AA4559" w:rsidRPr="000E7C5E" w:rsidRDefault="00AA4559" w:rsidP="000E7C5E">
      <w:pPr>
        <w:pStyle w:val="ListParagraph"/>
        <w:numPr>
          <w:ilvl w:val="0"/>
          <w:numId w:val="164"/>
        </w:numPr>
      </w:pPr>
      <w:r>
        <w:rPr>
          <w:b/>
        </w:rPr>
        <w:t xml:space="preserve">Higher operating licence reporting costs: </w:t>
      </w:r>
      <w:r w:rsidR="00F175CF" w:rsidRPr="00AF7EC4">
        <w:t>In the core analysis,</w:t>
      </w:r>
      <w:r w:rsidR="00F175CF">
        <w:rPr>
          <w:b/>
        </w:rPr>
        <w:t xml:space="preserve"> </w:t>
      </w:r>
      <w:r w:rsidR="00F175CF">
        <w:t xml:space="preserve">licence reporting costs are estimated </w:t>
      </w:r>
      <w:r w:rsidR="00BD7E69">
        <w:t xml:space="preserve">to be </w:t>
      </w:r>
      <w:r w:rsidR="00F175CF">
        <w:t>$2</w:t>
      </w:r>
      <w:r w:rsidR="00BD7E69">
        <w:t>2</w:t>
      </w:r>
      <w:r w:rsidR="00F175CF">
        <w:t>,</w:t>
      </w:r>
      <w:r w:rsidR="00BD7E69">
        <w:t>291</w:t>
      </w:r>
      <w:r w:rsidR="00F175CF">
        <w:t xml:space="preserve"> per year, on average. The sensitivity analysis assumes that </w:t>
      </w:r>
      <w:r w:rsidR="00BD7E69">
        <w:t xml:space="preserve">reporting </w:t>
      </w:r>
      <w:r w:rsidR="00F175CF">
        <w:t xml:space="preserve">costs </w:t>
      </w:r>
      <w:r w:rsidR="00AB0B23">
        <w:t>average</w:t>
      </w:r>
      <w:r w:rsidR="00F175CF">
        <w:t xml:space="preserve"> $</w:t>
      </w:r>
      <w:r w:rsidR="00BD7E69">
        <w:t>5</w:t>
      </w:r>
      <w:r w:rsidR="00F175CF">
        <w:t xml:space="preserve">0,000 per year. </w:t>
      </w:r>
    </w:p>
    <w:p w14:paraId="656B02BF" w14:textId="77777777" w:rsidR="002658AF" w:rsidRDefault="00AA4559" w:rsidP="000E7C5E">
      <w:pPr>
        <w:pStyle w:val="ListParagraph"/>
        <w:numPr>
          <w:ilvl w:val="0"/>
          <w:numId w:val="164"/>
        </w:numPr>
      </w:pPr>
      <w:r>
        <w:rPr>
          <w:b/>
        </w:rPr>
        <w:t xml:space="preserve">Higher delay costs: </w:t>
      </w:r>
      <w:r w:rsidR="002658AF">
        <w:t>In the core analysis, d</w:t>
      </w:r>
      <w:r w:rsidR="002658AF" w:rsidRPr="002658AF">
        <w:t xml:space="preserve">elay costs </w:t>
      </w:r>
      <w:r w:rsidR="002658AF">
        <w:t xml:space="preserve">are estimated to </w:t>
      </w:r>
      <w:r w:rsidR="002658AF" w:rsidRPr="002658AF">
        <w:t>apply to an estimated 20</w:t>
      </w:r>
      <w:r w:rsidR="000730C7">
        <w:t>%</w:t>
      </w:r>
      <w:r w:rsidR="002658AF" w:rsidRPr="002658AF">
        <w:t xml:space="preserve"> of works approvals, and cost an average of $515,390 (in $2018). </w:t>
      </w:r>
      <w:r w:rsidR="002658AF">
        <w:t>The sensitivity analysis assume</w:t>
      </w:r>
      <w:r w:rsidR="00AB0B23">
        <w:t>s</w:t>
      </w:r>
      <w:r w:rsidR="002658AF">
        <w:t xml:space="preserve"> that delay costs impact 40% of development licences, and cost an average of $1 million. </w:t>
      </w:r>
    </w:p>
    <w:p w14:paraId="656B02C0" w14:textId="77777777" w:rsidR="002658AF" w:rsidRDefault="00AA4559" w:rsidP="000E7C5E">
      <w:pPr>
        <w:pStyle w:val="ListParagraph"/>
        <w:numPr>
          <w:ilvl w:val="0"/>
          <w:numId w:val="164"/>
        </w:numPr>
      </w:pPr>
      <w:r>
        <w:rPr>
          <w:b/>
        </w:rPr>
        <w:t xml:space="preserve">Higher development licence compliance costs: </w:t>
      </w:r>
      <w:r>
        <w:t>It is estimated that on average, development licence compliance would add $29,694 (in $2018) to each of the 30 development licence applications completed by businesses each year. The sensitivity analysis assume</w:t>
      </w:r>
      <w:r w:rsidR="00AB0B23">
        <w:t>s</w:t>
      </w:r>
      <w:r>
        <w:t xml:space="preserve"> that compliance costs are $100,000 per development licence application</w:t>
      </w:r>
    </w:p>
    <w:p w14:paraId="656B02C1" w14:textId="77777777" w:rsidR="003E60A8" w:rsidRPr="00924CA0" w:rsidRDefault="003E60A8" w:rsidP="002658AF">
      <w:pPr>
        <w:rPr>
          <w:rFonts w:eastAsia="Times New Roman" w:cs="Segoe UI Light"/>
          <w:bCs/>
          <w:color w:val="000000"/>
          <w:szCs w:val="20"/>
          <w:lang w:eastAsia="en-AU"/>
        </w:rPr>
      </w:pPr>
      <w:r w:rsidRPr="00924CA0">
        <w:rPr>
          <w:rFonts w:eastAsia="Times New Roman" w:cs="Segoe UI Light"/>
          <w:bCs/>
          <w:color w:val="000000"/>
          <w:szCs w:val="20"/>
          <w:lang w:eastAsia="en-AU"/>
        </w:rPr>
        <w:t>Lower bound costs were not considered in the sensitivity analysis</w:t>
      </w:r>
      <w:r>
        <w:rPr>
          <w:rFonts w:eastAsia="Times New Roman" w:cs="Segoe UI Light"/>
          <w:bCs/>
          <w:color w:val="000000"/>
          <w:szCs w:val="20"/>
          <w:lang w:eastAsia="en-AU"/>
        </w:rPr>
        <w:t xml:space="preserve">, because they would not alter the overall finding of the CBA for the preferred option (i.e. the positive NPV and the BCR being greater than 1). </w:t>
      </w:r>
    </w:p>
    <w:p w14:paraId="656B02C2" w14:textId="77777777" w:rsidR="002658AF" w:rsidRDefault="002658AF" w:rsidP="002658AF">
      <w:r>
        <w:t>The impact on the net present value is summarised in the table below. Under each scenario, the net present value remains positive.</w:t>
      </w:r>
    </w:p>
    <w:p w14:paraId="656B02C3" w14:textId="77777777" w:rsidR="002658AF" w:rsidRDefault="002658AF" w:rsidP="002658AF">
      <w:pPr>
        <w:pStyle w:val="Caption"/>
      </w:pPr>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6</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6</w:t>
      </w:r>
      <w:r w:rsidR="00997CFA">
        <w:rPr>
          <w:color w:val="2B579A"/>
          <w:shd w:val="clear" w:color="auto" w:fill="E6E6E6"/>
        </w:rPr>
        <w:fldChar w:fldCharType="end"/>
      </w:r>
      <w:r>
        <w:t xml:space="preserve"> Option 2 NPV sensitivity analysis ($m 2018)</w:t>
      </w:r>
    </w:p>
    <w:tbl>
      <w:tblPr>
        <w:tblStyle w:val="Deloittetable2"/>
        <w:tblW w:w="0" w:type="auto"/>
        <w:tblLook w:val="04A0" w:firstRow="1" w:lastRow="0" w:firstColumn="1" w:lastColumn="0" w:noHBand="0" w:noVBand="1"/>
      </w:tblPr>
      <w:tblGrid>
        <w:gridCol w:w="1441"/>
        <w:gridCol w:w="1380"/>
        <w:gridCol w:w="1504"/>
        <w:gridCol w:w="1433"/>
        <w:gridCol w:w="1348"/>
        <w:gridCol w:w="1318"/>
        <w:gridCol w:w="1318"/>
      </w:tblGrid>
      <w:tr w:rsidR="00216A1C" w14:paraId="656B02C6" w14:textId="77777777" w:rsidTr="000E7C5E">
        <w:trPr>
          <w:cnfStyle w:val="100000000000" w:firstRow="1" w:lastRow="0" w:firstColumn="0" w:lastColumn="0" w:oddVBand="0" w:evenVBand="0" w:oddHBand="0" w:evenHBand="0" w:firstRowFirstColumn="0" w:firstRowLastColumn="0" w:lastRowFirstColumn="0" w:lastRowLastColumn="0"/>
          <w:trHeight w:val="393"/>
        </w:trPr>
        <w:tc>
          <w:tcPr>
            <w:tcW w:w="1441" w:type="dxa"/>
          </w:tcPr>
          <w:p w14:paraId="656B02C4" w14:textId="77777777" w:rsidR="00216A1C" w:rsidRPr="000E7C5E" w:rsidRDefault="00216A1C" w:rsidP="002658AF">
            <w:pPr>
              <w:keepNext/>
              <w:rPr>
                <w:b/>
                <w:sz w:val="18"/>
              </w:rPr>
            </w:pPr>
            <w:r w:rsidRPr="000E7C5E">
              <w:rPr>
                <w:b/>
                <w:sz w:val="18"/>
              </w:rPr>
              <w:t>NPV sensitivity</w:t>
            </w:r>
          </w:p>
        </w:tc>
        <w:tc>
          <w:tcPr>
            <w:tcW w:w="8301" w:type="dxa"/>
            <w:gridSpan w:val="6"/>
          </w:tcPr>
          <w:p w14:paraId="656B02C5" w14:textId="77777777" w:rsidR="00216A1C" w:rsidRPr="00216A1C" w:rsidRDefault="0078557B">
            <w:pPr>
              <w:keepNext/>
              <w:jc w:val="center"/>
              <w:rPr>
                <w:b/>
                <w:sz w:val="18"/>
              </w:rPr>
            </w:pPr>
            <w:r>
              <w:rPr>
                <w:b/>
                <w:sz w:val="18"/>
              </w:rPr>
              <w:t>Scenario</w:t>
            </w:r>
          </w:p>
        </w:tc>
      </w:tr>
      <w:tr w:rsidR="00216A1C" w14:paraId="656B02CE" w14:textId="77777777" w:rsidTr="000E7C5E">
        <w:trPr>
          <w:trHeight w:val="393"/>
        </w:trPr>
        <w:tc>
          <w:tcPr>
            <w:tcW w:w="1441" w:type="dxa"/>
          </w:tcPr>
          <w:p w14:paraId="656B02C7" w14:textId="77777777" w:rsidR="00216A1C" w:rsidRPr="000E7C5E" w:rsidRDefault="00216A1C" w:rsidP="002658AF">
            <w:pPr>
              <w:keepNext/>
              <w:rPr>
                <w:b/>
                <w:sz w:val="18"/>
              </w:rPr>
            </w:pPr>
            <w:r w:rsidRPr="000E7C5E">
              <w:rPr>
                <w:b/>
                <w:sz w:val="18"/>
              </w:rPr>
              <w:t>Discount rates</w:t>
            </w:r>
          </w:p>
        </w:tc>
        <w:tc>
          <w:tcPr>
            <w:tcW w:w="1380" w:type="dxa"/>
          </w:tcPr>
          <w:p w14:paraId="656B02C8" w14:textId="77777777" w:rsidR="00216A1C" w:rsidRPr="000E7C5E" w:rsidRDefault="00216A1C" w:rsidP="002658AF">
            <w:pPr>
              <w:keepNext/>
              <w:jc w:val="center"/>
              <w:rPr>
                <w:b/>
                <w:sz w:val="18"/>
              </w:rPr>
            </w:pPr>
            <w:r w:rsidRPr="000E7C5E">
              <w:rPr>
                <w:b/>
                <w:sz w:val="18"/>
              </w:rPr>
              <w:t>Core analysis</w:t>
            </w:r>
          </w:p>
        </w:tc>
        <w:tc>
          <w:tcPr>
            <w:tcW w:w="1504" w:type="dxa"/>
          </w:tcPr>
          <w:p w14:paraId="656B02C9" w14:textId="77777777" w:rsidR="00216A1C" w:rsidRPr="000E7C5E" w:rsidRDefault="00216A1C" w:rsidP="000E7C5E">
            <w:pPr>
              <w:keepNext/>
              <w:jc w:val="center"/>
              <w:rPr>
                <w:b/>
                <w:sz w:val="18"/>
              </w:rPr>
            </w:pPr>
            <w:r w:rsidRPr="000E7C5E">
              <w:rPr>
                <w:b/>
                <w:sz w:val="18"/>
              </w:rPr>
              <w:t xml:space="preserve">Higher </w:t>
            </w:r>
            <w:r w:rsidR="000E7C5E">
              <w:rPr>
                <w:b/>
                <w:sz w:val="18"/>
              </w:rPr>
              <w:t xml:space="preserve">operating licence </w:t>
            </w:r>
            <w:r w:rsidRPr="000E7C5E">
              <w:rPr>
                <w:b/>
                <w:sz w:val="18"/>
              </w:rPr>
              <w:t>compliance costs</w:t>
            </w:r>
          </w:p>
        </w:tc>
        <w:tc>
          <w:tcPr>
            <w:tcW w:w="1433" w:type="dxa"/>
          </w:tcPr>
          <w:p w14:paraId="656B02CA" w14:textId="77777777" w:rsidR="00216A1C" w:rsidRPr="000E7C5E" w:rsidRDefault="00216A1C" w:rsidP="000E7C5E">
            <w:pPr>
              <w:keepNext/>
              <w:jc w:val="center"/>
              <w:rPr>
                <w:b/>
                <w:sz w:val="18"/>
              </w:rPr>
            </w:pPr>
            <w:r w:rsidRPr="000E7C5E">
              <w:rPr>
                <w:b/>
                <w:sz w:val="18"/>
              </w:rPr>
              <w:t xml:space="preserve">Higher </w:t>
            </w:r>
            <w:r w:rsidR="000E7C5E">
              <w:rPr>
                <w:b/>
                <w:sz w:val="18"/>
              </w:rPr>
              <w:t>operating licence</w:t>
            </w:r>
            <w:r w:rsidRPr="000E7C5E">
              <w:rPr>
                <w:b/>
                <w:sz w:val="18"/>
              </w:rPr>
              <w:t xml:space="preserve"> reporting costs</w:t>
            </w:r>
          </w:p>
        </w:tc>
        <w:tc>
          <w:tcPr>
            <w:tcW w:w="1348" w:type="dxa"/>
          </w:tcPr>
          <w:p w14:paraId="656B02CB" w14:textId="77777777" w:rsidR="00216A1C" w:rsidRPr="000E7C5E" w:rsidRDefault="00216A1C" w:rsidP="000E7C5E">
            <w:pPr>
              <w:keepNext/>
              <w:jc w:val="center"/>
              <w:rPr>
                <w:b/>
                <w:sz w:val="18"/>
              </w:rPr>
            </w:pPr>
            <w:r w:rsidRPr="000E7C5E">
              <w:rPr>
                <w:b/>
                <w:sz w:val="18"/>
              </w:rPr>
              <w:t xml:space="preserve">Higher </w:t>
            </w:r>
            <w:r w:rsidR="000E7C5E">
              <w:rPr>
                <w:b/>
                <w:sz w:val="18"/>
              </w:rPr>
              <w:t xml:space="preserve">development licence </w:t>
            </w:r>
            <w:r w:rsidRPr="000E7C5E">
              <w:rPr>
                <w:b/>
                <w:sz w:val="18"/>
              </w:rPr>
              <w:t>delay costs</w:t>
            </w:r>
          </w:p>
        </w:tc>
        <w:tc>
          <w:tcPr>
            <w:tcW w:w="1318" w:type="dxa"/>
          </w:tcPr>
          <w:p w14:paraId="656B02CC" w14:textId="77777777" w:rsidR="00216A1C" w:rsidRPr="000E7C5E" w:rsidRDefault="00216A1C" w:rsidP="000E7C5E">
            <w:pPr>
              <w:keepNext/>
              <w:jc w:val="center"/>
              <w:rPr>
                <w:b/>
                <w:sz w:val="18"/>
              </w:rPr>
            </w:pPr>
            <w:r w:rsidRPr="000E7C5E">
              <w:rPr>
                <w:b/>
                <w:sz w:val="18"/>
              </w:rPr>
              <w:t>H</w:t>
            </w:r>
            <w:r w:rsidR="000E7C5E">
              <w:rPr>
                <w:b/>
                <w:sz w:val="18"/>
              </w:rPr>
              <w:t xml:space="preserve">igher development licence </w:t>
            </w:r>
            <w:r w:rsidRPr="000E7C5E">
              <w:rPr>
                <w:b/>
                <w:sz w:val="18"/>
              </w:rPr>
              <w:t>compliance costs</w:t>
            </w:r>
          </w:p>
        </w:tc>
        <w:tc>
          <w:tcPr>
            <w:tcW w:w="1318" w:type="dxa"/>
          </w:tcPr>
          <w:p w14:paraId="656B02CD" w14:textId="77777777" w:rsidR="00216A1C" w:rsidRPr="00216A1C" w:rsidRDefault="00216A1C" w:rsidP="00D40880">
            <w:pPr>
              <w:keepNext/>
              <w:jc w:val="center"/>
              <w:rPr>
                <w:b/>
                <w:sz w:val="18"/>
              </w:rPr>
            </w:pPr>
            <w:r>
              <w:rPr>
                <w:b/>
                <w:sz w:val="18"/>
              </w:rPr>
              <w:t>All assumptions combined</w:t>
            </w:r>
          </w:p>
        </w:tc>
      </w:tr>
      <w:tr w:rsidR="00216A1C" w14:paraId="656B02D6" w14:textId="77777777" w:rsidTr="000E7C5E">
        <w:trPr>
          <w:trHeight w:val="393"/>
        </w:trPr>
        <w:tc>
          <w:tcPr>
            <w:tcW w:w="1441" w:type="dxa"/>
          </w:tcPr>
          <w:p w14:paraId="656B02CF" w14:textId="77777777" w:rsidR="00216A1C" w:rsidRPr="000E7C5E" w:rsidRDefault="00216A1C" w:rsidP="00216A1C">
            <w:pPr>
              <w:keepNext/>
              <w:rPr>
                <w:sz w:val="18"/>
              </w:rPr>
            </w:pPr>
            <w:r w:rsidRPr="000E7C5E">
              <w:rPr>
                <w:rFonts w:cs="Segoe UI Light"/>
                <w:b/>
                <w:bCs/>
                <w:color w:val="000000"/>
                <w:sz w:val="18"/>
                <w:szCs w:val="20"/>
              </w:rPr>
              <w:t xml:space="preserve"> Low (4%) </w:t>
            </w:r>
          </w:p>
        </w:tc>
        <w:tc>
          <w:tcPr>
            <w:tcW w:w="1380" w:type="dxa"/>
          </w:tcPr>
          <w:p w14:paraId="656B02D0" w14:textId="77777777" w:rsidR="00216A1C" w:rsidRPr="000E7C5E" w:rsidRDefault="00216A1C" w:rsidP="00216A1C">
            <w:pPr>
              <w:jc w:val="center"/>
              <w:rPr>
                <w:rFonts w:cs="Segoe UI Light"/>
                <w:sz w:val="18"/>
              </w:rPr>
            </w:pPr>
            <w:r w:rsidRPr="000E7C5E">
              <w:rPr>
                <w:rFonts w:cs="Segoe UI Light"/>
                <w:color w:val="000000"/>
                <w:sz w:val="18"/>
              </w:rPr>
              <w:t>2,133.4</w:t>
            </w:r>
          </w:p>
        </w:tc>
        <w:tc>
          <w:tcPr>
            <w:tcW w:w="1504" w:type="dxa"/>
          </w:tcPr>
          <w:p w14:paraId="656B02D1" w14:textId="77777777" w:rsidR="00216A1C" w:rsidRPr="000E7C5E" w:rsidRDefault="00216A1C" w:rsidP="00216A1C">
            <w:pPr>
              <w:jc w:val="center"/>
              <w:rPr>
                <w:rFonts w:cs="Segoe UI Light"/>
                <w:sz w:val="18"/>
              </w:rPr>
            </w:pPr>
            <w:r w:rsidRPr="000E7C5E">
              <w:rPr>
                <w:rFonts w:cs="Segoe UI Light"/>
                <w:color w:val="000000"/>
                <w:sz w:val="18"/>
              </w:rPr>
              <w:t>1,965.0</w:t>
            </w:r>
          </w:p>
        </w:tc>
        <w:tc>
          <w:tcPr>
            <w:tcW w:w="1433" w:type="dxa"/>
          </w:tcPr>
          <w:p w14:paraId="656B02D2" w14:textId="77777777" w:rsidR="00216A1C" w:rsidRPr="000E7C5E" w:rsidRDefault="00216A1C" w:rsidP="00216A1C">
            <w:pPr>
              <w:jc w:val="center"/>
              <w:rPr>
                <w:rFonts w:cs="Segoe UI Light"/>
                <w:sz w:val="18"/>
              </w:rPr>
            </w:pPr>
            <w:r w:rsidRPr="000E7C5E">
              <w:rPr>
                <w:rFonts w:cs="Segoe UI Light"/>
                <w:color w:val="000000"/>
                <w:sz w:val="18"/>
              </w:rPr>
              <w:t>1,981.0</w:t>
            </w:r>
          </w:p>
        </w:tc>
        <w:tc>
          <w:tcPr>
            <w:tcW w:w="1348" w:type="dxa"/>
          </w:tcPr>
          <w:p w14:paraId="656B02D3" w14:textId="77777777" w:rsidR="00216A1C" w:rsidRPr="000E7C5E" w:rsidRDefault="00216A1C" w:rsidP="00216A1C">
            <w:pPr>
              <w:jc w:val="center"/>
              <w:rPr>
                <w:rFonts w:cs="Segoe UI Light"/>
                <w:sz w:val="18"/>
              </w:rPr>
            </w:pPr>
            <w:r w:rsidRPr="000E7C5E">
              <w:rPr>
                <w:rFonts w:cs="Segoe UI Light"/>
                <w:color w:val="000000"/>
                <w:sz w:val="18"/>
              </w:rPr>
              <w:t>2,053.9</w:t>
            </w:r>
          </w:p>
        </w:tc>
        <w:tc>
          <w:tcPr>
            <w:tcW w:w="1318" w:type="dxa"/>
          </w:tcPr>
          <w:p w14:paraId="656B02D4" w14:textId="77777777" w:rsidR="00216A1C" w:rsidRPr="000E7C5E" w:rsidRDefault="00216A1C" w:rsidP="00216A1C">
            <w:pPr>
              <w:jc w:val="center"/>
              <w:rPr>
                <w:rFonts w:cs="Segoe UI Light"/>
                <w:sz w:val="18"/>
              </w:rPr>
            </w:pPr>
            <w:r w:rsidRPr="000E7C5E">
              <w:rPr>
                <w:rFonts w:cs="Segoe UI Light"/>
                <w:color w:val="000000"/>
                <w:sz w:val="18"/>
              </w:rPr>
              <w:t>2,125.9</w:t>
            </w:r>
          </w:p>
        </w:tc>
        <w:tc>
          <w:tcPr>
            <w:tcW w:w="1318" w:type="dxa"/>
          </w:tcPr>
          <w:p w14:paraId="656B02D5" w14:textId="77777777" w:rsidR="00216A1C" w:rsidRPr="00963F6D" w:rsidRDefault="00216A1C" w:rsidP="00216A1C">
            <w:pPr>
              <w:jc w:val="center"/>
              <w:rPr>
                <w:rFonts w:cs="Segoe UI Light"/>
                <w:sz w:val="18"/>
              </w:rPr>
            </w:pPr>
            <w:r w:rsidRPr="000E7C5E">
              <w:rPr>
                <w:rFonts w:cs="Segoe UI Light"/>
                <w:color w:val="000000"/>
                <w:sz w:val="18"/>
              </w:rPr>
              <w:t xml:space="preserve">  1,734.6 </w:t>
            </w:r>
          </w:p>
        </w:tc>
      </w:tr>
      <w:tr w:rsidR="00216A1C" w14:paraId="656B02DE" w14:textId="77777777" w:rsidTr="000E7C5E">
        <w:trPr>
          <w:trHeight w:val="393"/>
        </w:trPr>
        <w:tc>
          <w:tcPr>
            <w:tcW w:w="1441" w:type="dxa"/>
          </w:tcPr>
          <w:p w14:paraId="656B02D7" w14:textId="77777777" w:rsidR="00216A1C" w:rsidRPr="000E7C5E" w:rsidRDefault="00216A1C" w:rsidP="00216A1C">
            <w:pPr>
              <w:rPr>
                <w:sz w:val="18"/>
              </w:rPr>
            </w:pPr>
            <w:r w:rsidRPr="000E7C5E">
              <w:rPr>
                <w:rFonts w:cs="Segoe UI Light"/>
                <w:b/>
                <w:bCs/>
                <w:color w:val="000000"/>
                <w:sz w:val="18"/>
                <w:szCs w:val="20"/>
              </w:rPr>
              <w:t xml:space="preserve"> Mid (7%) </w:t>
            </w:r>
          </w:p>
        </w:tc>
        <w:tc>
          <w:tcPr>
            <w:tcW w:w="1380" w:type="dxa"/>
          </w:tcPr>
          <w:p w14:paraId="656B02D8" w14:textId="77777777" w:rsidR="00216A1C" w:rsidRPr="000E7C5E" w:rsidRDefault="00216A1C" w:rsidP="00216A1C">
            <w:pPr>
              <w:jc w:val="center"/>
              <w:rPr>
                <w:rFonts w:cs="Segoe UI Light"/>
                <w:sz w:val="18"/>
              </w:rPr>
            </w:pPr>
            <w:r w:rsidRPr="000E7C5E">
              <w:rPr>
                <w:rFonts w:cs="Segoe UI Light"/>
                <w:color w:val="000000"/>
                <w:sz w:val="18"/>
              </w:rPr>
              <w:t>1,766.3</w:t>
            </w:r>
          </w:p>
        </w:tc>
        <w:tc>
          <w:tcPr>
            <w:tcW w:w="1504" w:type="dxa"/>
          </w:tcPr>
          <w:p w14:paraId="656B02D9" w14:textId="77777777" w:rsidR="00216A1C" w:rsidRPr="000E7C5E" w:rsidRDefault="00216A1C" w:rsidP="00216A1C">
            <w:pPr>
              <w:jc w:val="center"/>
              <w:rPr>
                <w:rFonts w:cs="Segoe UI Light"/>
                <w:sz w:val="18"/>
              </w:rPr>
            </w:pPr>
            <w:r w:rsidRPr="000E7C5E">
              <w:rPr>
                <w:rFonts w:cs="Segoe UI Light"/>
                <w:color w:val="000000"/>
                <w:sz w:val="18"/>
              </w:rPr>
              <w:t>1,620.5</w:t>
            </w:r>
          </w:p>
        </w:tc>
        <w:tc>
          <w:tcPr>
            <w:tcW w:w="1433" w:type="dxa"/>
          </w:tcPr>
          <w:p w14:paraId="656B02DA" w14:textId="77777777" w:rsidR="00216A1C" w:rsidRPr="000E7C5E" w:rsidRDefault="00216A1C" w:rsidP="00216A1C">
            <w:pPr>
              <w:jc w:val="center"/>
              <w:rPr>
                <w:rFonts w:cs="Segoe UI Light"/>
                <w:sz w:val="18"/>
              </w:rPr>
            </w:pPr>
            <w:r w:rsidRPr="000E7C5E">
              <w:rPr>
                <w:rFonts w:cs="Segoe UI Light"/>
                <w:color w:val="000000"/>
                <w:sz w:val="18"/>
              </w:rPr>
              <w:t>1,634.3</w:t>
            </w:r>
          </w:p>
        </w:tc>
        <w:tc>
          <w:tcPr>
            <w:tcW w:w="1348" w:type="dxa"/>
          </w:tcPr>
          <w:p w14:paraId="656B02DB" w14:textId="77777777" w:rsidR="00216A1C" w:rsidRPr="000E7C5E" w:rsidRDefault="00216A1C" w:rsidP="00216A1C">
            <w:pPr>
              <w:jc w:val="center"/>
              <w:rPr>
                <w:rFonts w:cs="Segoe UI Light"/>
                <w:sz w:val="18"/>
              </w:rPr>
            </w:pPr>
            <w:r w:rsidRPr="000E7C5E">
              <w:rPr>
                <w:rFonts w:cs="Segoe UI Light"/>
                <w:color w:val="000000"/>
                <w:sz w:val="18"/>
              </w:rPr>
              <w:t>1,697.4</w:t>
            </w:r>
          </w:p>
        </w:tc>
        <w:tc>
          <w:tcPr>
            <w:tcW w:w="1318" w:type="dxa"/>
          </w:tcPr>
          <w:p w14:paraId="656B02DC" w14:textId="77777777" w:rsidR="00216A1C" w:rsidRPr="000E7C5E" w:rsidRDefault="00216A1C" w:rsidP="00216A1C">
            <w:pPr>
              <w:jc w:val="center"/>
              <w:rPr>
                <w:rFonts w:cs="Segoe UI Light"/>
                <w:sz w:val="18"/>
              </w:rPr>
            </w:pPr>
            <w:r w:rsidRPr="000E7C5E">
              <w:rPr>
                <w:rFonts w:cs="Segoe UI Light"/>
                <w:color w:val="000000"/>
                <w:sz w:val="18"/>
              </w:rPr>
              <w:t>1,759.8</w:t>
            </w:r>
          </w:p>
        </w:tc>
        <w:tc>
          <w:tcPr>
            <w:tcW w:w="1318" w:type="dxa"/>
          </w:tcPr>
          <w:p w14:paraId="656B02DD" w14:textId="77777777" w:rsidR="00216A1C" w:rsidRPr="00963F6D" w:rsidRDefault="00216A1C" w:rsidP="00216A1C">
            <w:pPr>
              <w:jc w:val="center"/>
              <w:rPr>
                <w:rFonts w:cs="Segoe UI Light"/>
                <w:sz w:val="18"/>
              </w:rPr>
            </w:pPr>
            <w:r w:rsidRPr="000E7C5E">
              <w:rPr>
                <w:rFonts w:cs="Segoe UI Light"/>
                <w:color w:val="000000"/>
                <w:sz w:val="18"/>
              </w:rPr>
              <w:t xml:space="preserve">  1,421.0 </w:t>
            </w:r>
          </w:p>
        </w:tc>
      </w:tr>
      <w:tr w:rsidR="00216A1C" w14:paraId="656B02E6" w14:textId="77777777" w:rsidTr="000E7C5E">
        <w:trPr>
          <w:trHeight w:val="393"/>
        </w:trPr>
        <w:tc>
          <w:tcPr>
            <w:tcW w:w="1441" w:type="dxa"/>
          </w:tcPr>
          <w:p w14:paraId="656B02DF" w14:textId="77777777" w:rsidR="00216A1C" w:rsidRPr="000E7C5E" w:rsidRDefault="00216A1C" w:rsidP="00216A1C">
            <w:pPr>
              <w:rPr>
                <w:sz w:val="18"/>
              </w:rPr>
            </w:pPr>
            <w:r w:rsidRPr="000E7C5E">
              <w:rPr>
                <w:rFonts w:cs="Segoe UI Light"/>
                <w:b/>
                <w:bCs/>
                <w:color w:val="000000"/>
                <w:sz w:val="18"/>
                <w:szCs w:val="20"/>
              </w:rPr>
              <w:t xml:space="preserve"> High (10%) </w:t>
            </w:r>
          </w:p>
        </w:tc>
        <w:tc>
          <w:tcPr>
            <w:tcW w:w="1380" w:type="dxa"/>
          </w:tcPr>
          <w:p w14:paraId="656B02E0" w14:textId="77777777" w:rsidR="00216A1C" w:rsidRPr="000E7C5E" w:rsidRDefault="00216A1C" w:rsidP="00216A1C">
            <w:pPr>
              <w:jc w:val="center"/>
              <w:rPr>
                <w:rFonts w:cs="Segoe UI Light"/>
                <w:sz w:val="18"/>
              </w:rPr>
            </w:pPr>
            <w:r w:rsidRPr="000E7C5E">
              <w:rPr>
                <w:rFonts w:cs="Segoe UI Light"/>
                <w:color w:val="000000"/>
                <w:sz w:val="18"/>
              </w:rPr>
              <w:t>1,491.4</w:t>
            </w:r>
          </w:p>
        </w:tc>
        <w:tc>
          <w:tcPr>
            <w:tcW w:w="1504" w:type="dxa"/>
          </w:tcPr>
          <w:p w14:paraId="656B02E1" w14:textId="77777777" w:rsidR="00216A1C" w:rsidRPr="000E7C5E" w:rsidRDefault="00216A1C" w:rsidP="00216A1C">
            <w:pPr>
              <w:jc w:val="center"/>
              <w:rPr>
                <w:rFonts w:cs="Segoe UI Light"/>
                <w:sz w:val="18"/>
              </w:rPr>
            </w:pPr>
            <w:r w:rsidRPr="000E7C5E">
              <w:rPr>
                <w:rFonts w:cs="Segoe UI Light"/>
                <w:color w:val="000000"/>
                <w:sz w:val="18"/>
              </w:rPr>
              <w:t>1,363.9</w:t>
            </w:r>
          </w:p>
        </w:tc>
        <w:tc>
          <w:tcPr>
            <w:tcW w:w="1433" w:type="dxa"/>
          </w:tcPr>
          <w:p w14:paraId="656B02E2" w14:textId="77777777" w:rsidR="00216A1C" w:rsidRPr="000E7C5E" w:rsidRDefault="00216A1C" w:rsidP="00216A1C">
            <w:pPr>
              <w:jc w:val="center"/>
              <w:rPr>
                <w:rFonts w:cs="Segoe UI Light"/>
                <w:sz w:val="18"/>
              </w:rPr>
            </w:pPr>
            <w:r w:rsidRPr="000E7C5E">
              <w:rPr>
                <w:rFonts w:cs="Segoe UI Light"/>
                <w:color w:val="000000"/>
                <w:sz w:val="18"/>
              </w:rPr>
              <w:t>1,376.0</w:t>
            </w:r>
          </w:p>
        </w:tc>
        <w:tc>
          <w:tcPr>
            <w:tcW w:w="1348" w:type="dxa"/>
          </w:tcPr>
          <w:p w14:paraId="656B02E3" w14:textId="77777777" w:rsidR="00216A1C" w:rsidRPr="000E7C5E" w:rsidRDefault="00216A1C" w:rsidP="00216A1C">
            <w:pPr>
              <w:jc w:val="center"/>
              <w:rPr>
                <w:rFonts w:cs="Segoe UI Light"/>
                <w:sz w:val="18"/>
              </w:rPr>
            </w:pPr>
            <w:r w:rsidRPr="000E7C5E">
              <w:rPr>
                <w:rFonts w:cs="Segoe UI Light"/>
                <w:color w:val="000000"/>
                <w:sz w:val="18"/>
              </w:rPr>
              <w:t>1,431.2</w:t>
            </w:r>
          </w:p>
        </w:tc>
        <w:tc>
          <w:tcPr>
            <w:tcW w:w="1318" w:type="dxa"/>
          </w:tcPr>
          <w:p w14:paraId="656B02E4" w14:textId="77777777" w:rsidR="00216A1C" w:rsidRPr="000E7C5E" w:rsidRDefault="00216A1C" w:rsidP="00216A1C">
            <w:pPr>
              <w:jc w:val="center"/>
              <w:rPr>
                <w:rFonts w:cs="Segoe UI Light"/>
                <w:sz w:val="18"/>
              </w:rPr>
            </w:pPr>
            <w:r w:rsidRPr="000E7C5E">
              <w:rPr>
                <w:rFonts w:cs="Segoe UI Light"/>
                <w:color w:val="000000"/>
                <w:sz w:val="18"/>
              </w:rPr>
              <w:t>1,485.7</w:t>
            </w:r>
          </w:p>
        </w:tc>
        <w:tc>
          <w:tcPr>
            <w:tcW w:w="1318" w:type="dxa"/>
          </w:tcPr>
          <w:p w14:paraId="656B02E5" w14:textId="77777777" w:rsidR="00216A1C" w:rsidRPr="00963F6D" w:rsidRDefault="00216A1C" w:rsidP="00216A1C">
            <w:pPr>
              <w:jc w:val="center"/>
              <w:rPr>
                <w:rFonts w:cs="Segoe UI Light"/>
                <w:sz w:val="18"/>
              </w:rPr>
            </w:pPr>
            <w:r w:rsidRPr="000E7C5E">
              <w:rPr>
                <w:rFonts w:cs="Segoe UI Light"/>
                <w:color w:val="000000"/>
                <w:sz w:val="18"/>
              </w:rPr>
              <w:t xml:space="preserve">  1,189.3 </w:t>
            </w:r>
          </w:p>
        </w:tc>
      </w:tr>
    </w:tbl>
    <w:p w14:paraId="656B02E7" w14:textId="77777777" w:rsidR="002658AF" w:rsidRPr="006D7BB4" w:rsidRDefault="002658AF" w:rsidP="002658AF"/>
    <w:p w14:paraId="656B02E8" w14:textId="77777777" w:rsidR="00FB1751" w:rsidRDefault="00FB1751" w:rsidP="00243F08"/>
    <w:p w14:paraId="656B02E9" w14:textId="77777777" w:rsidR="007F415B" w:rsidRDefault="007F415B" w:rsidP="00243F08"/>
    <w:p w14:paraId="656B02EA" w14:textId="77777777" w:rsidR="00243F08" w:rsidRDefault="00243F08" w:rsidP="00243F08"/>
    <w:p w14:paraId="656B02EB" w14:textId="77777777" w:rsidR="00243F08" w:rsidRDefault="00243F08" w:rsidP="00243F08"/>
    <w:p w14:paraId="656B02EC" w14:textId="77777777" w:rsidR="00243F08" w:rsidRDefault="00243F08" w:rsidP="00243F08">
      <w:pPr>
        <w:sectPr w:rsidR="00243F08" w:rsidSect="00875B43">
          <w:pgSz w:w="11900" w:h="16820"/>
          <w:pgMar w:top="720" w:right="720" w:bottom="567" w:left="720" w:header="720" w:footer="720" w:gutter="0"/>
          <w:cols w:space="720"/>
          <w:noEndnote/>
        </w:sectPr>
      </w:pPr>
    </w:p>
    <w:p w14:paraId="656B02ED" w14:textId="77777777" w:rsidR="00AF1882" w:rsidRPr="00243F08" w:rsidRDefault="00D35051" w:rsidP="00243F08">
      <w:pPr>
        <w:pStyle w:val="Heading1"/>
      </w:pPr>
      <w:r>
        <w:t xml:space="preserve"> </w:t>
      </w:r>
      <w:bookmarkStart w:id="599" w:name="_Toc10018328"/>
      <w:bookmarkStart w:id="600" w:name="_Toc10021435"/>
      <w:bookmarkStart w:id="601" w:name="_Toc10021849"/>
      <w:bookmarkStart w:id="602" w:name="_Toc12892333"/>
      <w:r>
        <w:t>O</w:t>
      </w:r>
      <w:r w:rsidR="000A0404">
        <w:t>n</w:t>
      </w:r>
      <w:r w:rsidR="00AF3E41">
        <w:t>-</w:t>
      </w:r>
      <w:r w:rsidR="000A0404">
        <w:t>site wastewater</w:t>
      </w:r>
      <w:r w:rsidR="006A1BFA">
        <w:t xml:space="preserve"> management systems</w:t>
      </w:r>
      <w:r w:rsidR="00AF3E41">
        <w:t xml:space="preserve"> (Septic tank systems)</w:t>
      </w:r>
      <w:bookmarkEnd w:id="599"/>
      <w:bookmarkEnd w:id="600"/>
      <w:bookmarkEnd w:id="601"/>
      <w:bookmarkEnd w:id="602"/>
    </w:p>
    <w:p w14:paraId="656B02EE" w14:textId="77777777" w:rsidR="007B310B" w:rsidRPr="00040A06" w:rsidRDefault="007B310B" w:rsidP="007B310B">
      <w:pPr>
        <w:mirrorIndents/>
        <w:rPr>
          <w:b/>
          <w:color w:val="808080" w:themeColor="background1" w:themeShade="80"/>
        </w:rPr>
      </w:pPr>
      <w:r w:rsidRPr="00E41BF3">
        <w:rPr>
          <w:b/>
          <w:color w:val="808080" w:themeColor="background1" w:themeShade="80"/>
        </w:rPr>
        <w:t xml:space="preserve">This chapter </w:t>
      </w:r>
      <w:r>
        <w:rPr>
          <w:b/>
          <w:color w:val="808080" w:themeColor="background1" w:themeShade="80"/>
        </w:rPr>
        <w:t>outlines the problem</w:t>
      </w:r>
      <w:r w:rsidR="00624595">
        <w:rPr>
          <w:b/>
          <w:color w:val="808080" w:themeColor="background1" w:themeShade="80"/>
        </w:rPr>
        <w:t>s</w:t>
      </w:r>
      <w:r>
        <w:rPr>
          <w:b/>
          <w:color w:val="808080" w:themeColor="background1" w:themeShade="80"/>
        </w:rPr>
        <w:t xml:space="preserve"> </w:t>
      </w:r>
      <w:r w:rsidR="00624595">
        <w:rPr>
          <w:b/>
          <w:color w:val="808080" w:themeColor="background1" w:themeShade="80"/>
        </w:rPr>
        <w:t>associated with on</w:t>
      </w:r>
      <w:r w:rsidR="00DD5CE9">
        <w:rPr>
          <w:b/>
          <w:color w:val="808080" w:themeColor="background1" w:themeShade="80"/>
        </w:rPr>
        <w:t>-</w:t>
      </w:r>
      <w:r w:rsidR="00624595">
        <w:rPr>
          <w:b/>
          <w:color w:val="808080" w:themeColor="background1" w:themeShade="80"/>
        </w:rPr>
        <w:t>site wastewater management systems,</w:t>
      </w:r>
      <w:r>
        <w:rPr>
          <w:b/>
          <w:color w:val="808080" w:themeColor="background1" w:themeShade="80"/>
        </w:rPr>
        <w:t xml:space="preserve"> and assesses re</w:t>
      </w:r>
      <w:r w:rsidRPr="00E41BF3">
        <w:rPr>
          <w:b/>
          <w:color w:val="808080" w:themeColor="background1" w:themeShade="80"/>
        </w:rPr>
        <w:t xml:space="preserve">gulations being proposed to </w:t>
      </w:r>
      <w:r>
        <w:rPr>
          <w:b/>
          <w:color w:val="808080" w:themeColor="background1" w:themeShade="80"/>
        </w:rPr>
        <w:t xml:space="preserve">address the residual </w:t>
      </w:r>
      <w:r w:rsidR="00B52272">
        <w:rPr>
          <w:b/>
          <w:color w:val="808080" w:themeColor="background1" w:themeShade="80"/>
        </w:rPr>
        <w:t>risk.</w:t>
      </w:r>
    </w:p>
    <w:p w14:paraId="656B02EF" w14:textId="77777777" w:rsidR="007B310B" w:rsidRPr="00E41BF3" w:rsidRDefault="007B310B" w:rsidP="007B310B">
      <w:pPr>
        <w:mirrorIndents/>
        <w:rPr>
          <w:color w:val="808080" w:themeColor="background1" w:themeShade="80"/>
        </w:rPr>
      </w:pPr>
      <w:r w:rsidRPr="00B70E30">
        <w:rPr>
          <w:rFonts w:cs="Segoe UI Light"/>
          <w:noProof/>
          <w:color w:val="2B579A"/>
          <w:shd w:val="clear" w:color="auto" w:fill="E6E6E6"/>
          <w:lang w:eastAsia="en-AU"/>
        </w:rPr>
        <mc:AlternateContent>
          <mc:Choice Requires="wps">
            <w:drawing>
              <wp:inline distT="0" distB="0" distL="0" distR="0" wp14:anchorId="656B1EA2" wp14:editId="656B1EA3">
                <wp:extent cx="5940425" cy="4548554"/>
                <wp:effectExtent l="0" t="0" r="22225" b="23495"/>
                <wp:docPr id="42" name="Rectangle 42"/>
                <wp:cNvGraphicFramePr/>
                <a:graphic xmlns:a="http://schemas.openxmlformats.org/drawingml/2006/main">
                  <a:graphicData uri="http://schemas.microsoft.com/office/word/2010/wordprocessingShape">
                    <wps:wsp>
                      <wps:cNvSpPr/>
                      <wps:spPr bwMode="gray">
                        <a:xfrm>
                          <a:off x="0" y="0"/>
                          <a:ext cx="5940425" cy="4548554"/>
                        </a:xfrm>
                        <a:prstGeom prst="rect">
                          <a:avLst/>
                        </a:prstGeom>
                        <a:solidFill>
                          <a:schemeClr val="bg2"/>
                        </a:solidFill>
                        <a:ln w="19050" algn="ctr">
                          <a:solidFill>
                            <a:srgbClr val="62B5E5"/>
                          </a:solidFill>
                          <a:miter lim="800000"/>
                          <a:headEnd/>
                          <a:tailEnd/>
                        </a:ln>
                      </wps:spPr>
                      <wps:txbx>
                        <w:txbxContent>
                          <w:p w14:paraId="656B21DB" w14:textId="77777777" w:rsidR="00E752DE" w:rsidRPr="00834BC6" w:rsidRDefault="00E752DE" w:rsidP="007B310B">
                            <w:pPr>
                              <w:ind w:right="262"/>
                              <w:rPr>
                                <w:rFonts w:cs="Segoe UI Light"/>
                                <w:b/>
                                <w:color w:val="FF0000"/>
                              </w:rPr>
                            </w:pPr>
                            <w:r w:rsidRPr="005D5854">
                              <w:rPr>
                                <w:rFonts w:cs="Segoe UI Light"/>
                                <w:b/>
                                <w:color w:val="012169" w:themeColor="accent4"/>
                              </w:rPr>
                              <w:t xml:space="preserve">Key </w:t>
                            </w:r>
                            <w:r w:rsidRPr="00410F9E">
                              <w:rPr>
                                <w:rFonts w:cs="Segoe UI Light"/>
                                <w:b/>
                                <w:color w:val="012169" w:themeColor="accent4"/>
                              </w:rPr>
                              <w:t>points:</w:t>
                            </w:r>
                          </w:p>
                          <w:p w14:paraId="656B21DC" w14:textId="77777777" w:rsidR="00E752DE" w:rsidRPr="00A61646" w:rsidRDefault="00E752DE" w:rsidP="004A2442">
                            <w:pPr>
                              <w:pStyle w:val="ListParagraph"/>
                              <w:numPr>
                                <w:ilvl w:val="0"/>
                                <w:numId w:val="62"/>
                              </w:numPr>
                              <w:ind w:right="262"/>
                              <w:mirrorIndents/>
                              <w:rPr>
                                <w:rFonts w:cs="Segoe UI Light"/>
                              </w:rPr>
                            </w:pPr>
                            <w:r w:rsidRPr="0039479A">
                              <w:rPr>
                                <w:rFonts w:cs="Segoe UI Light"/>
                              </w:rPr>
                              <w:t>On-</w:t>
                            </w:r>
                            <w:r w:rsidRPr="00A61646">
                              <w:rPr>
                                <w:rFonts w:cs="Segoe UI Light"/>
                              </w:rPr>
                              <w:t>site wastewater management systems (“on-site systems”) are an efficient and cost effective way for managing wastewater in sparsely populated areas that extend beyond Victoria’s sewerage networks.</w:t>
                            </w:r>
                          </w:p>
                          <w:p w14:paraId="656B21DD" w14:textId="77777777" w:rsidR="00E752DE" w:rsidRPr="00A61646" w:rsidRDefault="00E752DE" w:rsidP="004A2442">
                            <w:pPr>
                              <w:pStyle w:val="ListParagraph"/>
                              <w:numPr>
                                <w:ilvl w:val="0"/>
                                <w:numId w:val="62"/>
                              </w:numPr>
                              <w:ind w:right="262"/>
                              <w:mirrorIndents/>
                              <w:rPr>
                                <w:rFonts w:cs="Segoe UI Light"/>
                              </w:rPr>
                            </w:pPr>
                            <w:r w:rsidRPr="00A61646">
                              <w:rPr>
                                <w:rFonts w:eastAsiaTheme="majorEastAsia" w:cs="Arial"/>
                                <w:color w:val="000000" w:themeColor="text1"/>
                              </w:rPr>
                              <w:t xml:space="preserve">On-site systems can pose a significant risk to the environment, public health of communities, and to local amenity. In particular, this occurs when systems (1) have deteriorated, (2) are poorly maintained, (3) are not fit for purpose, or (4) are not properly located. </w:t>
                            </w:r>
                          </w:p>
                          <w:p w14:paraId="656B21DE" w14:textId="6D4ECCFE" w:rsidR="00E752DE" w:rsidRPr="00924CA0" w:rsidRDefault="00E752DE" w:rsidP="00F2756B">
                            <w:pPr>
                              <w:pStyle w:val="ListParagraph"/>
                              <w:numPr>
                                <w:ilvl w:val="0"/>
                                <w:numId w:val="62"/>
                              </w:numPr>
                              <w:rPr>
                                <w:szCs w:val="20"/>
                              </w:rPr>
                            </w:pPr>
                            <w:r w:rsidRPr="00924CA0">
                              <w:rPr>
                                <w:rFonts w:cs="Arial"/>
                                <w:szCs w:val="20"/>
                              </w:rPr>
                              <w:t xml:space="preserve">Under the new EP legislation there are no specific requirements or duties relating to on-site systems. </w:t>
                            </w:r>
                            <w:r w:rsidRPr="00924CA0">
                              <w:t xml:space="preserve">The GED would apply to operators of on-site systems, however </w:t>
                            </w:r>
                            <w:r>
                              <w:t>failure to comply with the GED is only an offence for</w:t>
                            </w:r>
                            <w:r w:rsidRPr="00924CA0">
                              <w:t xml:space="preserve"> those conducting a business or undertaking. Therefore, the GED would not be enforceable against operators of domestic on-site systems. </w:t>
                            </w:r>
                          </w:p>
                          <w:p w14:paraId="656B21DF" w14:textId="77777777" w:rsidR="00E752DE" w:rsidRPr="00B05634" w:rsidRDefault="00E752DE" w:rsidP="00924CA0">
                            <w:pPr>
                              <w:pStyle w:val="ListParagraph"/>
                              <w:numPr>
                                <w:ilvl w:val="0"/>
                                <w:numId w:val="62"/>
                              </w:numPr>
                              <w:ind w:right="262"/>
                              <w:mirrorIndents/>
                              <w:rPr>
                                <w:rFonts w:cs="Segoe UI Light"/>
                              </w:rPr>
                            </w:pPr>
                            <w:r w:rsidRPr="00924CA0">
                              <w:rPr>
                                <w:szCs w:val="20"/>
                              </w:rPr>
                              <w:t xml:space="preserve">The new permissioning framework enables EPA and (if required) councils to oversee the regulation of on-site systems, in a manner similar to the current process. </w:t>
                            </w:r>
                            <w:r w:rsidRPr="00410F9E">
                              <w:rPr>
                                <w:szCs w:val="20"/>
                              </w:rPr>
                              <w:t>Under section 81 of the new EP legislation, councils can issue permits</w:t>
                            </w:r>
                            <w:r w:rsidRPr="00834BC6">
                              <w:rPr>
                                <w:szCs w:val="20"/>
                              </w:rPr>
                              <w:t xml:space="preserve"> </w:t>
                            </w:r>
                            <w:r w:rsidRPr="0039479A">
                              <w:rPr>
                                <w:szCs w:val="20"/>
                              </w:rPr>
                              <w:t>but the legislation does not define</w:t>
                            </w:r>
                            <w:r w:rsidRPr="00924CA0">
                              <w:rPr>
                                <w:szCs w:val="20"/>
                              </w:rPr>
                              <w:t xml:space="preserve"> the ‘permit activity’ or specify the form, manner or fees for an application for a permit. The new EP legislation </w:t>
                            </w:r>
                            <w:r>
                              <w:rPr>
                                <w:szCs w:val="20"/>
                              </w:rPr>
                              <w:t xml:space="preserve">also </w:t>
                            </w:r>
                            <w:r w:rsidRPr="00924CA0">
                              <w:rPr>
                                <w:szCs w:val="20"/>
                              </w:rPr>
                              <w:t xml:space="preserve">does not specify any matters that council must take into account when determining whether to issue a permit, </w:t>
                            </w:r>
                            <w:r>
                              <w:rPr>
                                <w:szCs w:val="20"/>
                              </w:rPr>
                              <w:t xml:space="preserve">the </w:t>
                            </w:r>
                            <w:r w:rsidRPr="00924CA0">
                              <w:rPr>
                                <w:szCs w:val="20"/>
                              </w:rPr>
                              <w:t xml:space="preserve">circumstances where a permit must be refused or enable councils to take proceedings for </w:t>
                            </w:r>
                            <w:r w:rsidRPr="00924CA0">
                              <w:rPr>
                                <w:rFonts w:cs="Segoe UI Light"/>
                              </w:rPr>
                              <w:t xml:space="preserve">specific related offences. </w:t>
                            </w:r>
                          </w:p>
                          <w:p w14:paraId="656B21E0" w14:textId="67A1E034" w:rsidR="00E752DE" w:rsidRPr="00924CA0" w:rsidRDefault="00E752DE" w:rsidP="00924CA0">
                            <w:pPr>
                              <w:pStyle w:val="ListParagraph"/>
                              <w:numPr>
                                <w:ilvl w:val="0"/>
                                <w:numId w:val="62"/>
                              </w:numPr>
                              <w:ind w:right="262"/>
                              <w:mirrorIndents/>
                              <w:rPr>
                                <w:rFonts w:cs="Segoe UI Light"/>
                              </w:rPr>
                            </w:pPr>
                            <w:r>
                              <w:rPr>
                                <w:rFonts w:eastAsia="Times New Roman"/>
                                <w:color w:val="000000"/>
                              </w:rPr>
                              <w:t>Councils would not be able to adequately continue their regulatory role in managing the risks posed by on-site systems, without prescription under regulations</w:t>
                            </w:r>
                            <w:r w:rsidRPr="00924CA0">
                              <w:rPr>
                                <w:rFonts w:cs="Segoe UI Light"/>
                              </w:rPr>
                              <w:t xml:space="preserve">. </w:t>
                            </w:r>
                          </w:p>
                          <w:p w14:paraId="656B21E1" w14:textId="77777777" w:rsidR="00E752DE" w:rsidRPr="00410F9E" w:rsidRDefault="00E752DE" w:rsidP="004A2442">
                            <w:pPr>
                              <w:pStyle w:val="ListParagraph"/>
                              <w:numPr>
                                <w:ilvl w:val="0"/>
                                <w:numId w:val="62"/>
                              </w:numPr>
                              <w:ind w:right="262"/>
                              <w:mirrorIndents/>
                              <w:rPr>
                                <w:rFonts w:cs="Segoe UI Light"/>
                              </w:rPr>
                            </w:pPr>
                            <w:r w:rsidRPr="003E6970">
                              <w:rPr>
                                <w:rFonts w:cs="Segoe UI Light"/>
                              </w:rPr>
                              <w:t>The preferred option is for councils to continue to issue permits to construct, install or alter on-site systems</w:t>
                            </w:r>
                            <w:r w:rsidRPr="00A61646">
                              <w:rPr>
                                <w:rFonts w:cs="Segoe UI Light"/>
                              </w:rPr>
                              <w:t xml:space="preserve"> with flow rates less than 5,000 litres per day. </w:t>
                            </w:r>
                            <w:r w:rsidRPr="00924CA0">
                              <w:rPr>
                                <w:rFonts w:cs="Segoe UI Light"/>
                              </w:rPr>
                              <w:t>This is the current approach under the EP Act 1970.</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56B1EA2" id="Rectangle 42" o:spid="_x0000_s1070" style="width:467.75pt;height:358.15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" fillcolor="#e7e6e6 [3214]" strokecolor="#62b5e5" strokeweight="1.5pt">
                <v:textbox inset="7pt,7pt,7pt,7pt">
                  <w:txbxContent>
                    <w:p w14:paraId="656B21DB" w14:textId="77777777" w:rsidR="00E752DE" w:rsidRPr="00834BC6" w:rsidRDefault="00E752DE" w:rsidP="007B310B">
                      <w:pPr>
                        <w:ind w:right="262"/>
                        <w:rPr>
                          <w:rFonts w:cs="Segoe UI Light"/>
                          <w:b/>
                          <w:color w:val="FF0000"/>
                        </w:rPr>
                      </w:pPr>
                      <w:r w:rsidRPr="005D5854">
                        <w:rPr>
                          <w:rFonts w:cs="Segoe UI Light"/>
                          <w:b/>
                          <w:color w:val="012169" w:themeColor="accent4"/>
                        </w:rPr>
                        <w:t xml:space="preserve">Key </w:t>
                      </w:r>
                      <w:r w:rsidRPr="00410F9E">
                        <w:rPr>
                          <w:rFonts w:cs="Segoe UI Light"/>
                          <w:b/>
                          <w:color w:val="012169" w:themeColor="accent4"/>
                        </w:rPr>
                        <w:t>points:</w:t>
                      </w:r>
                    </w:p>
                    <w:p w14:paraId="656B21DC" w14:textId="77777777" w:rsidR="00E752DE" w:rsidRPr="00A61646" w:rsidRDefault="00E752DE" w:rsidP="004A2442">
                      <w:pPr>
                        <w:pStyle w:val="ListParagraph"/>
                        <w:numPr>
                          <w:ilvl w:val="0"/>
                          <w:numId w:val="62"/>
                        </w:numPr>
                        <w:ind w:right="262"/>
                        <w:mirrorIndents/>
                        <w:rPr>
                          <w:rFonts w:cs="Segoe UI Light"/>
                        </w:rPr>
                      </w:pPr>
                      <w:r w:rsidRPr="0039479A">
                        <w:rPr>
                          <w:rFonts w:cs="Segoe UI Light"/>
                        </w:rPr>
                        <w:t>On-</w:t>
                      </w:r>
                      <w:r w:rsidRPr="00A61646">
                        <w:rPr>
                          <w:rFonts w:cs="Segoe UI Light"/>
                        </w:rPr>
                        <w:t>site wastewater management systems (“on-site systems”) are an efficient and cost effective way for managing wastewater in sparsely populated areas that extend beyond Victoria’s sewerage networks.</w:t>
                      </w:r>
                    </w:p>
                    <w:p w14:paraId="656B21DD" w14:textId="77777777" w:rsidR="00E752DE" w:rsidRPr="00A61646" w:rsidRDefault="00E752DE" w:rsidP="004A2442">
                      <w:pPr>
                        <w:pStyle w:val="ListParagraph"/>
                        <w:numPr>
                          <w:ilvl w:val="0"/>
                          <w:numId w:val="62"/>
                        </w:numPr>
                        <w:ind w:right="262"/>
                        <w:mirrorIndents/>
                        <w:rPr>
                          <w:rFonts w:cs="Segoe UI Light"/>
                        </w:rPr>
                      </w:pPr>
                      <w:r w:rsidRPr="00A61646">
                        <w:rPr>
                          <w:rFonts w:eastAsiaTheme="majorEastAsia" w:cs="Arial"/>
                          <w:color w:val="000000" w:themeColor="text1"/>
                        </w:rPr>
                        <w:t xml:space="preserve">On-site systems can pose a significant risk to the environment, public health of communities, and to local amenity. In particular, this occurs when systems (1) have deteriorated, (2) are poorly maintained, (3) are not fit for purpose, or (4) are not properly located. </w:t>
                      </w:r>
                    </w:p>
                    <w:p w14:paraId="656B21DE" w14:textId="6D4ECCFE" w:rsidR="00E752DE" w:rsidRPr="00924CA0" w:rsidRDefault="00E752DE" w:rsidP="00F2756B">
                      <w:pPr>
                        <w:pStyle w:val="ListParagraph"/>
                        <w:numPr>
                          <w:ilvl w:val="0"/>
                          <w:numId w:val="62"/>
                        </w:numPr>
                        <w:rPr>
                          <w:szCs w:val="20"/>
                        </w:rPr>
                      </w:pPr>
                      <w:r w:rsidRPr="00924CA0">
                        <w:rPr>
                          <w:rFonts w:cs="Arial"/>
                          <w:szCs w:val="20"/>
                        </w:rPr>
                        <w:t xml:space="preserve">Under the new EP legislation there are no specific requirements or duties relating to on-site systems. </w:t>
                      </w:r>
                      <w:r w:rsidRPr="00924CA0">
                        <w:t xml:space="preserve">The GED would apply to operators of on-site systems, however </w:t>
                      </w:r>
                      <w:r>
                        <w:t>failure to comply with the GED is only an offence for</w:t>
                      </w:r>
                      <w:r w:rsidRPr="00924CA0">
                        <w:t xml:space="preserve"> those conducting a business or undertaking. Therefore, the GED would not be enforceable against operators of domestic on-site systems. </w:t>
                      </w:r>
                    </w:p>
                    <w:p w14:paraId="656B21DF" w14:textId="77777777" w:rsidR="00E752DE" w:rsidRPr="00B05634" w:rsidRDefault="00E752DE" w:rsidP="00924CA0">
                      <w:pPr>
                        <w:pStyle w:val="ListParagraph"/>
                        <w:numPr>
                          <w:ilvl w:val="0"/>
                          <w:numId w:val="62"/>
                        </w:numPr>
                        <w:ind w:right="262"/>
                        <w:mirrorIndents/>
                        <w:rPr>
                          <w:rFonts w:cs="Segoe UI Light"/>
                        </w:rPr>
                      </w:pPr>
                      <w:r w:rsidRPr="00924CA0">
                        <w:rPr>
                          <w:szCs w:val="20"/>
                        </w:rPr>
                        <w:t xml:space="preserve">The new permissioning framework enables EPA and (if required) councils to oversee the regulation of on-site systems, in a manner similar to the current process. </w:t>
                      </w:r>
                      <w:r w:rsidRPr="00410F9E">
                        <w:rPr>
                          <w:szCs w:val="20"/>
                        </w:rPr>
                        <w:t>Under section 81 of the new EP legislation, councils can issue permits</w:t>
                      </w:r>
                      <w:r w:rsidRPr="00834BC6">
                        <w:rPr>
                          <w:szCs w:val="20"/>
                        </w:rPr>
                        <w:t xml:space="preserve"> </w:t>
                      </w:r>
                      <w:r w:rsidRPr="0039479A">
                        <w:rPr>
                          <w:szCs w:val="20"/>
                        </w:rPr>
                        <w:t>but the legislation does not define</w:t>
                      </w:r>
                      <w:r w:rsidRPr="00924CA0">
                        <w:rPr>
                          <w:szCs w:val="20"/>
                        </w:rPr>
                        <w:t xml:space="preserve"> the ‘permit activity’ or specify the form, manner or fees for an application for a permit. The new EP legislation </w:t>
                      </w:r>
                      <w:r>
                        <w:rPr>
                          <w:szCs w:val="20"/>
                        </w:rPr>
                        <w:t xml:space="preserve">also </w:t>
                      </w:r>
                      <w:r w:rsidRPr="00924CA0">
                        <w:rPr>
                          <w:szCs w:val="20"/>
                        </w:rPr>
                        <w:t xml:space="preserve">does not specify any matters that council must take into account when determining whether to issue a permit, </w:t>
                      </w:r>
                      <w:r>
                        <w:rPr>
                          <w:szCs w:val="20"/>
                        </w:rPr>
                        <w:t xml:space="preserve">the </w:t>
                      </w:r>
                      <w:r w:rsidRPr="00924CA0">
                        <w:rPr>
                          <w:szCs w:val="20"/>
                        </w:rPr>
                        <w:t xml:space="preserve">circumstances where a permit must be refused or enable councils to take proceedings for </w:t>
                      </w:r>
                      <w:r w:rsidRPr="00924CA0">
                        <w:rPr>
                          <w:rFonts w:cs="Segoe UI Light"/>
                        </w:rPr>
                        <w:t xml:space="preserve">specific related offences. </w:t>
                      </w:r>
                    </w:p>
                    <w:p w14:paraId="656B21E0" w14:textId="67A1E034" w:rsidR="00E752DE" w:rsidRPr="00924CA0" w:rsidRDefault="00E752DE" w:rsidP="00924CA0">
                      <w:pPr>
                        <w:pStyle w:val="ListParagraph"/>
                        <w:numPr>
                          <w:ilvl w:val="0"/>
                          <w:numId w:val="62"/>
                        </w:numPr>
                        <w:ind w:right="262"/>
                        <w:mirrorIndents/>
                        <w:rPr>
                          <w:rFonts w:cs="Segoe UI Light"/>
                        </w:rPr>
                      </w:pPr>
                      <w:r>
                        <w:rPr>
                          <w:rFonts w:eastAsia="Times New Roman"/>
                          <w:color w:val="000000"/>
                        </w:rPr>
                        <w:t>Councils would not be able to adequately continue their regulatory role in managing the risks posed by on-site systems, without prescription under regulations</w:t>
                      </w:r>
                      <w:r w:rsidRPr="00924CA0">
                        <w:rPr>
                          <w:rFonts w:cs="Segoe UI Light"/>
                        </w:rPr>
                        <w:t xml:space="preserve">. </w:t>
                      </w:r>
                    </w:p>
                    <w:p w14:paraId="656B21E1" w14:textId="77777777" w:rsidR="00E752DE" w:rsidRPr="00410F9E" w:rsidRDefault="00E752DE" w:rsidP="004A2442">
                      <w:pPr>
                        <w:pStyle w:val="ListParagraph"/>
                        <w:numPr>
                          <w:ilvl w:val="0"/>
                          <w:numId w:val="62"/>
                        </w:numPr>
                        <w:ind w:right="262"/>
                        <w:mirrorIndents/>
                        <w:rPr>
                          <w:rFonts w:cs="Segoe UI Light"/>
                        </w:rPr>
                      </w:pPr>
                      <w:r w:rsidRPr="003E6970">
                        <w:rPr>
                          <w:rFonts w:cs="Segoe UI Light"/>
                        </w:rPr>
                        <w:t>The preferred option is for councils to continue to issue permits to construct, install or alter on-site systems</w:t>
                      </w:r>
                      <w:r w:rsidRPr="00A61646">
                        <w:rPr>
                          <w:rFonts w:cs="Segoe UI Light"/>
                        </w:rPr>
                        <w:t xml:space="preserve"> with flow rates less than 5,000 litres per day. </w:t>
                      </w:r>
                      <w:r w:rsidRPr="00924CA0">
                        <w:rPr>
                          <w:rFonts w:cs="Segoe UI Light"/>
                        </w:rPr>
                        <w:t>This is the current approach under the EP Act 1970.</w:t>
                      </w:r>
                    </w:p>
                  </w:txbxContent>
                </v:textbox>
                <w10:anchorlock/>
              </v:rect>
            </w:pict>
          </mc:Fallback>
        </mc:AlternateContent>
      </w:r>
    </w:p>
    <w:p w14:paraId="656B02F0" w14:textId="77777777" w:rsidR="00E76028" w:rsidRDefault="005B1E24" w:rsidP="00982D63">
      <w:pPr>
        <w:pStyle w:val="Heading2"/>
      </w:pPr>
      <w:r>
        <w:t>Background</w:t>
      </w:r>
    </w:p>
    <w:p w14:paraId="656B02F1" w14:textId="77777777" w:rsidR="007B310B" w:rsidRDefault="00EA61A4" w:rsidP="00603903">
      <w:pPr>
        <w:rPr>
          <w:rFonts w:eastAsiaTheme="majorEastAsia" w:cs="Arial"/>
          <w:color w:val="000000" w:themeColor="text1"/>
        </w:rPr>
      </w:pPr>
      <w:r w:rsidRPr="0D6E9B50">
        <w:rPr>
          <w:rFonts w:eastAsiaTheme="majorEastAsia" w:cs="Arial"/>
          <w:color w:val="000000" w:themeColor="text1"/>
        </w:rPr>
        <w:t>In Victoria, sewage is treated through reticulated sewerage systems</w:t>
      </w:r>
      <w:r w:rsidRPr="0D6E9B50">
        <w:rPr>
          <w:rStyle w:val="FootnoteReference"/>
          <w:rFonts w:eastAsiaTheme="majorEastAsia" w:cs="Arial"/>
          <w:color w:val="000000" w:themeColor="text1"/>
        </w:rPr>
        <w:footnoteReference w:id="88"/>
      </w:r>
      <w:r w:rsidRPr="0D6E9B50">
        <w:rPr>
          <w:rFonts w:eastAsiaTheme="majorEastAsia" w:cs="Arial"/>
          <w:color w:val="000000" w:themeColor="text1"/>
        </w:rPr>
        <w:t xml:space="preserve"> or </w:t>
      </w:r>
      <w:r>
        <w:rPr>
          <w:rFonts w:eastAsiaTheme="majorEastAsia" w:cs="Arial"/>
          <w:color w:val="000000" w:themeColor="text1"/>
        </w:rPr>
        <w:t>on</w:t>
      </w:r>
      <w:r w:rsidR="00CF7602">
        <w:rPr>
          <w:rFonts w:eastAsiaTheme="majorEastAsia" w:cs="Arial"/>
          <w:color w:val="000000" w:themeColor="text1"/>
        </w:rPr>
        <w:t>-</w:t>
      </w:r>
      <w:r>
        <w:rPr>
          <w:rFonts w:eastAsiaTheme="majorEastAsia" w:cs="Arial"/>
          <w:color w:val="000000" w:themeColor="text1"/>
        </w:rPr>
        <w:t xml:space="preserve">site systems. </w:t>
      </w:r>
    </w:p>
    <w:p w14:paraId="656B02F2" w14:textId="77777777" w:rsidR="006C4761" w:rsidRDefault="00EA61A4" w:rsidP="00603903">
      <w:pPr>
        <w:rPr>
          <w:rFonts w:eastAsiaTheme="majorEastAsia" w:cs="Arial"/>
          <w:color w:val="000000" w:themeColor="text1"/>
        </w:rPr>
      </w:pPr>
      <w:r>
        <w:rPr>
          <w:rFonts w:eastAsiaTheme="majorEastAsia" w:cs="Arial"/>
          <w:color w:val="000000" w:themeColor="text1"/>
        </w:rPr>
        <w:t>On</w:t>
      </w:r>
      <w:r w:rsidR="00CF7602">
        <w:rPr>
          <w:rFonts w:eastAsiaTheme="majorEastAsia" w:cs="Arial"/>
          <w:color w:val="000000" w:themeColor="text1"/>
        </w:rPr>
        <w:t>-</w:t>
      </w:r>
      <w:r>
        <w:rPr>
          <w:rFonts w:eastAsiaTheme="majorEastAsia" w:cs="Arial"/>
          <w:color w:val="000000" w:themeColor="text1"/>
        </w:rPr>
        <w:t xml:space="preserve">site systems </w:t>
      </w:r>
      <w:r w:rsidR="00426F38">
        <w:rPr>
          <w:rFonts w:eastAsiaTheme="majorEastAsia" w:cs="Arial"/>
          <w:color w:val="000000" w:themeColor="text1"/>
        </w:rPr>
        <w:t xml:space="preserve">can </w:t>
      </w:r>
      <w:r w:rsidR="00426F38" w:rsidRPr="00CB26EB">
        <w:rPr>
          <w:rFonts w:eastAsiaTheme="majorEastAsia" w:cs="Arial"/>
          <w:color w:val="000000" w:themeColor="text1"/>
        </w:rPr>
        <w:t xml:space="preserve">pose a significant risk to the environment, public health of communities and to </w:t>
      </w:r>
      <w:r w:rsidR="006C4761">
        <w:rPr>
          <w:rFonts w:eastAsiaTheme="majorEastAsia" w:cs="Arial"/>
          <w:color w:val="000000" w:themeColor="text1"/>
        </w:rPr>
        <w:t>local amenity</w:t>
      </w:r>
      <w:r w:rsidR="00426F38" w:rsidRPr="00CB26EB">
        <w:rPr>
          <w:rFonts w:eastAsiaTheme="majorEastAsia" w:cs="Arial"/>
          <w:color w:val="000000" w:themeColor="text1"/>
        </w:rPr>
        <w:t xml:space="preserve">. </w:t>
      </w:r>
      <w:r w:rsidR="00603903">
        <w:rPr>
          <w:rFonts w:eastAsiaTheme="majorEastAsia" w:cs="Arial"/>
          <w:color w:val="000000" w:themeColor="text1"/>
        </w:rPr>
        <w:t>In particular, this occurs when systems (1) have deteriorated, (2) are poorly maintained, (3) are not fit for purpose, or (4) are not properly located so that wastewater is not contained and disposed of effectively on-site but discharges from the property polluting surrounding soils, waterways or groundwater.</w:t>
      </w:r>
    </w:p>
    <w:p w14:paraId="656B02F3" w14:textId="77777777" w:rsidR="00E76028" w:rsidRPr="00243F08" w:rsidRDefault="00E76028" w:rsidP="00982D63">
      <w:pPr>
        <w:pStyle w:val="Heading2"/>
      </w:pPr>
      <w:r w:rsidRPr="00243F08">
        <w:t>Current legislative and regulatory framework</w:t>
      </w:r>
    </w:p>
    <w:p w14:paraId="656B02F4" w14:textId="77777777" w:rsidR="00E76028" w:rsidRDefault="00E76028" w:rsidP="00605C29">
      <w:pPr>
        <w:rPr>
          <w:rFonts w:eastAsiaTheme="majorEastAsia" w:cs="Arial"/>
          <w:color w:val="000000" w:themeColor="text1"/>
        </w:rPr>
      </w:pPr>
      <w:r>
        <w:rPr>
          <w:rFonts w:eastAsiaTheme="majorEastAsia" w:cs="Arial"/>
          <w:color w:val="000000" w:themeColor="text1"/>
        </w:rPr>
        <w:t>A</w:t>
      </w:r>
      <w:r w:rsidR="00281674">
        <w:rPr>
          <w:rFonts w:eastAsiaTheme="majorEastAsia" w:cs="Arial"/>
          <w:color w:val="000000" w:themeColor="text1"/>
        </w:rPr>
        <w:t>n on</w:t>
      </w:r>
      <w:r w:rsidR="00CF7602">
        <w:rPr>
          <w:rFonts w:eastAsiaTheme="majorEastAsia" w:cs="Arial"/>
          <w:color w:val="000000" w:themeColor="text1"/>
        </w:rPr>
        <w:t>-</w:t>
      </w:r>
      <w:r w:rsidR="00281674">
        <w:rPr>
          <w:rFonts w:eastAsiaTheme="majorEastAsia" w:cs="Arial"/>
          <w:color w:val="000000" w:themeColor="text1"/>
        </w:rPr>
        <w:t>site system</w:t>
      </w:r>
      <w:r w:rsidR="00281674" w:rsidRPr="000A0404">
        <w:rPr>
          <w:rStyle w:val="FootnoteReference"/>
          <w:rFonts w:eastAsiaTheme="majorEastAsia" w:cs="Arial"/>
          <w:color w:val="000000" w:themeColor="text1"/>
        </w:rPr>
        <w:footnoteReference w:id="89"/>
      </w:r>
      <w:r w:rsidR="00281674" w:rsidRPr="000A0404">
        <w:rPr>
          <w:rStyle w:val="FootnoteReference"/>
        </w:rPr>
        <w:t xml:space="preserve"> </w:t>
      </w:r>
      <w:r w:rsidRPr="00040A06">
        <w:rPr>
          <w:rFonts w:eastAsiaTheme="majorEastAsia" w:cs="Arial"/>
          <w:color w:val="000000" w:themeColor="text1"/>
        </w:rPr>
        <w:t>is defined under the EP Act 1970 as “a system for the bacterial, biological, chemical or physical treatment of sewage, and includes all tanks, beds, sewers, drains, pipes, fittings, appliances and land uses in connection with the system.”</w:t>
      </w:r>
    </w:p>
    <w:p w14:paraId="656B02F5" w14:textId="77777777" w:rsidR="001C6CBD" w:rsidRDefault="000A0404" w:rsidP="001C6CBD">
      <w:pPr>
        <w:shd w:val="clear" w:color="auto" w:fill="FFFFFF"/>
        <w:spacing w:after="150" w:line="240" w:lineRule="auto"/>
        <w:textAlignment w:val="baseline"/>
        <w:rPr>
          <w:color w:val="000000" w:themeColor="text1"/>
          <w:szCs w:val="20"/>
        </w:rPr>
      </w:pPr>
      <w:r w:rsidRPr="001C6CBD">
        <w:rPr>
          <w:color w:val="000000" w:themeColor="text1"/>
          <w:szCs w:val="20"/>
        </w:rPr>
        <w:t>Under the EP Act 1970, councils are responsible for issuing permits for the construction, installation, and alteration of on</w:t>
      </w:r>
      <w:r w:rsidR="00CF7602">
        <w:rPr>
          <w:color w:val="000000" w:themeColor="text1"/>
          <w:szCs w:val="20"/>
        </w:rPr>
        <w:t>-</w:t>
      </w:r>
      <w:r w:rsidRPr="001C6CBD">
        <w:rPr>
          <w:color w:val="000000" w:themeColor="text1"/>
          <w:szCs w:val="20"/>
        </w:rPr>
        <w:t xml:space="preserve">site systems </w:t>
      </w:r>
      <w:r w:rsidR="00306E6E" w:rsidRPr="001C6CBD">
        <w:rPr>
          <w:color w:val="000000" w:themeColor="text1"/>
          <w:szCs w:val="20"/>
        </w:rPr>
        <w:t>with flow rates less than 5,000L per day</w:t>
      </w:r>
      <w:r w:rsidR="00CF7602">
        <w:rPr>
          <w:color w:val="000000" w:themeColor="text1"/>
          <w:szCs w:val="20"/>
        </w:rPr>
        <w:t>, and may also impose conditions</w:t>
      </w:r>
      <w:r w:rsidR="00306E6E" w:rsidRPr="001C6CBD">
        <w:rPr>
          <w:color w:val="000000" w:themeColor="text1"/>
          <w:szCs w:val="20"/>
        </w:rPr>
        <w:t xml:space="preserve">. </w:t>
      </w:r>
      <w:r w:rsidRPr="000A0404">
        <w:rPr>
          <w:color w:val="000000" w:themeColor="text1"/>
          <w:szCs w:val="20"/>
        </w:rPr>
        <w:t>Councils may refuse a permit if the site of the proposed system is unsuitable or the area for the treatment and disposal of effluent is not sufficient</w:t>
      </w:r>
      <w:r w:rsidR="00306E6E" w:rsidRPr="000A0404">
        <w:rPr>
          <w:color w:val="000000" w:themeColor="text1"/>
          <w:szCs w:val="20"/>
        </w:rPr>
        <w:t xml:space="preserve">. </w:t>
      </w:r>
    </w:p>
    <w:p w14:paraId="656B02F6" w14:textId="77777777" w:rsidR="00306E6E" w:rsidRDefault="00306E6E" w:rsidP="00306E6E">
      <w:pPr>
        <w:rPr>
          <w:rFonts w:ascii="Arial" w:hAnsi="Arial" w:cs="Arial"/>
          <w:color w:val="555555"/>
          <w:sz w:val="21"/>
          <w:szCs w:val="21"/>
          <w:shd w:val="clear" w:color="auto" w:fill="FFFFFF"/>
        </w:rPr>
      </w:pPr>
      <w:r>
        <w:rPr>
          <w:color w:val="000000" w:themeColor="text1"/>
          <w:szCs w:val="20"/>
        </w:rPr>
        <w:t xml:space="preserve">Furthermore, councils </w:t>
      </w:r>
      <w:r w:rsidRPr="00306E6E">
        <w:rPr>
          <w:color w:val="000000" w:themeColor="text1"/>
          <w:szCs w:val="20"/>
        </w:rPr>
        <w:t>must</w:t>
      </w:r>
      <w:r>
        <w:rPr>
          <w:color w:val="000000" w:themeColor="text1"/>
          <w:szCs w:val="20"/>
        </w:rPr>
        <w:t xml:space="preserve"> refuse to issue a permit if the </w:t>
      </w:r>
      <w:r w:rsidR="00820499">
        <w:rPr>
          <w:color w:val="000000" w:themeColor="text1"/>
          <w:szCs w:val="20"/>
        </w:rPr>
        <w:t xml:space="preserve">treatment </w:t>
      </w:r>
      <w:r>
        <w:rPr>
          <w:color w:val="000000" w:themeColor="text1"/>
          <w:szCs w:val="20"/>
        </w:rPr>
        <w:t xml:space="preserve">system is not </w:t>
      </w:r>
      <w:r w:rsidR="00820499">
        <w:rPr>
          <w:color w:val="000000" w:themeColor="text1"/>
          <w:szCs w:val="20"/>
        </w:rPr>
        <w:t xml:space="preserve">of a type </w:t>
      </w:r>
      <w:r>
        <w:rPr>
          <w:color w:val="000000" w:themeColor="text1"/>
          <w:szCs w:val="20"/>
        </w:rPr>
        <w:t xml:space="preserve">approved by EPA. Currently, </w:t>
      </w:r>
      <w:r w:rsidRPr="00306E6E">
        <w:rPr>
          <w:color w:val="000000" w:themeColor="text1"/>
          <w:szCs w:val="20"/>
        </w:rPr>
        <w:t>EPA approves system types in line with Australian Standards 1546.1 to 1546.4. Treatment system brands and models must be certified by an accredited conformity assessment body as conforming to the relevant A</w:t>
      </w:r>
      <w:r w:rsidR="00512F7C">
        <w:rPr>
          <w:color w:val="000000" w:themeColor="text1"/>
          <w:szCs w:val="20"/>
        </w:rPr>
        <w:t xml:space="preserve">ustralian </w:t>
      </w:r>
      <w:r w:rsidRPr="00306E6E">
        <w:rPr>
          <w:color w:val="000000" w:themeColor="text1"/>
          <w:szCs w:val="20"/>
        </w:rPr>
        <w:t>S</w:t>
      </w:r>
      <w:r w:rsidR="00512F7C">
        <w:rPr>
          <w:color w:val="000000" w:themeColor="text1"/>
          <w:szCs w:val="20"/>
        </w:rPr>
        <w:t>tandard</w:t>
      </w:r>
      <w:r w:rsidRPr="00306E6E">
        <w:rPr>
          <w:color w:val="000000" w:themeColor="text1"/>
          <w:szCs w:val="20"/>
        </w:rPr>
        <w:t>.</w:t>
      </w:r>
      <w:r>
        <w:rPr>
          <w:color w:val="000000" w:themeColor="text1"/>
          <w:szCs w:val="20"/>
        </w:rPr>
        <w:t xml:space="preserve"> </w:t>
      </w:r>
      <w:r w:rsidRPr="00306E6E">
        <w:rPr>
          <w:color w:val="000000" w:themeColor="text1"/>
          <w:szCs w:val="20"/>
        </w:rPr>
        <w:t>The four approved types are:</w:t>
      </w:r>
      <w:r>
        <w:rPr>
          <w:rFonts w:ascii="Arial" w:hAnsi="Arial" w:cs="Arial"/>
          <w:color w:val="555555"/>
          <w:sz w:val="21"/>
          <w:szCs w:val="21"/>
          <w:shd w:val="clear" w:color="auto" w:fill="FFFFFF"/>
        </w:rPr>
        <w:t xml:space="preserve"> </w:t>
      </w:r>
    </w:p>
    <w:p w14:paraId="656B02F7" w14:textId="77777777" w:rsidR="00306E6E" w:rsidRPr="00306E6E" w:rsidRDefault="00306E6E" w:rsidP="004A2442">
      <w:pPr>
        <w:pStyle w:val="ListParagraph"/>
        <w:numPr>
          <w:ilvl w:val="0"/>
          <w:numId w:val="123"/>
        </w:numPr>
        <w:rPr>
          <w:color w:val="000000" w:themeColor="text1"/>
          <w:szCs w:val="20"/>
        </w:rPr>
      </w:pPr>
      <w:r w:rsidRPr="00306E6E">
        <w:rPr>
          <w:color w:val="000000" w:themeColor="text1"/>
          <w:szCs w:val="20"/>
        </w:rPr>
        <w:t>AS/NZS 1546.1: 2008 – On-site domestic wastewater treatment units – Septic tanks</w:t>
      </w:r>
    </w:p>
    <w:p w14:paraId="656B02F8" w14:textId="77777777" w:rsidR="00306E6E" w:rsidRPr="00306E6E" w:rsidRDefault="00306E6E" w:rsidP="004A2442">
      <w:pPr>
        <w:pStyle w:val="ListParagraph"/>
        <w:numPr>
          <w:ilvl w:val="0"/>
          <w:numId w:val="123"/>
        </w:numPr>
        <w:rPr>
          <w:color w:val="000000" w:themeColor="text1"/>
          <w:szCs w:val="20"/>
        </w:rPr>
      </w:pPr>
      <w:r w:rsidRPr="00306E6E">
        <w:rPr>
          <w:color w:val="000000" w:themeColor="text1"/>
          <w:szCs w:val="20"/>
        </w:rPr>
        <w:t>AS/NZS 1546.2: 2008 – On-site domestic wastewater treatment units – Waterless composting toilets</w:t>
      </w:r>
    </w:p>
    <w:p w14:paraId="656B02F9" w14:textId="77777777" w:rsidR="00306E6E" w:rsidRPr="00306E6E" w:rsidRDefault="00306E6E" w:rsidP="004A2442">
      <w:pPr>
        <w:pStyle w:val="ListParagraph"/>
        <w:numPr>
          <w:ilvl w:val="0"/>
          <w:numId w:val="123"/>
        </w:numPr>
        <w:rPr>
          <w:color w:val="000000" w:themeColor="text1"/>
          <w:szCs w:val="20"/>
        </w:rPr>
      </w:pPr>
      <w:r w:rsidRPr="00306E6E">
        <w:rPr>
          <w:color w:val="000000" w:themeColor="text1"/>
          <w:szCs w:val="20"/>
        </w:rPr>
        <w:t>AS 1546.3: 2017 – On-site domestic wastewater treatment units – Secondary treatment systems</w:t>
      </w:r>
    </w:p>
    <w:p w14:paraId="656B02FA" w14:textId="77777777" w:rsidR="00306E6E" w:rsidRPr="00306E6E" w:rsidRDefault="00306E6E" w:rsidP="004A2442">
      <w:pPr>
        <w:pStyle w:val="ListParagraph"/>
        <w:numPr>
          <w:ilvl w:val="0"/>
          <w:numId w:val="123"/>
        </w:numPr>
        <w:rPr>
          <w:color w:val="000000" w:themeColor="text1"/>
          <w:szCs w:val="20"/>
        </w:rPr>
      </w:pPr>
      <w:r w:rsidRPr="00306E6E">
        <w:rPr>
          <w:color w:val="000000" w:themeColor="text1"/>
          <w:szCs w:val="20"/>
        </w:rPr>
        <w:t>AS 1546.4: 2016 – On-site domestic wastewater treatment units – Domestic greywater treatment systems.</w:t>
      </w:r>
    </w:p>
    <w:p w14:paraId="656B02FB" w14:textId="77777777" w:rsidR="000A0404" w:rsidRDefault="001C6CBD" w:rsidP="00605C29">
      <w:pPr>
        <w:rPr>
          <w:color w:val="000000" w:themeColor="text1"/>
          <w:szCs w:val="20"/>
        </w:rPr>
      </w:pPr>
      <w:r>
        <w:rPr>
          <w:color w:val="000000" w:themeColor="text1"/>
          <w:szCs w:val="20"/>
        </w:rPr>
        <w:t>Councils may also impose m</w:t>
      </w:r>
      <w:r w:rsidR="000A0404" w:rsidRPr="000A0404">
        <w:rPr>
          <w:color w:val="000000" w:themeColor="text1"/>
          <w:szCs w:val="20"/>
        </w:rPr>
        <w:t xml:space="preserve">aintenance requirements on the occupiers of premises with </w:t>
      </w:r>
      <w:r w:rsidR="00306E6E">
        <w:rPr>
          <w:color w:val="000000" w:themeColor="text1"/>
          <w:szCs w:val="20"/>
        </w:rPr>
        <w:t>on</w:t>
      </w:r>
      <w:r w:rsidR="00820499">
        <w:rPr>
          <w:color w:val="000000" w:themeColor="text1"/>
          <w:szCs w:val="20"/>
        </w:rPr>
        <w:t>-</w:t>
      </w:r>
      <w:r w:rsidR="00306E6E">
        <w:rPr>
          <w:color w:val="000000" w:themeColor="text1"/>
          <w:szCs w:val="20"/>
        </w:rPr>
        <w:t>site systems</w:t>
      </w:r>
      <w:r>
        <w:rPr>
          <w:color w:val="000000" w:themeColor="text1"/>
          <w:szCs w:val="20"/>
        </w:rPr>
        <w:t>. T</w:t>
      </w:r>
      <w:r w:rsidR="000A0404" w:rsidRPr="000A0404">
        <w:rPr>
          <w:color w:val="000000" w:themeColor="text1"/>
          <w:szCs w:val="20"/>
        </w:rPr>
        <w:t xml:space="preserve">his is not always the case, </w:t>
      </w:r>
      <w:r w:rsidR="009271CA">
        <w:rPr>
          <w:color w:val="000000" w:themeColor="text1"/>
          <w:szCs w:val="20"/>
        </w:rPr>
        <w:t>and</w:t>
      </w:r>
      <w:r w:rsidR="009271CA" w:rsidRPr="000A0404">
        <w:rPr>
          <w:color w:val="000000" w:themeColor="text1"/>
          <w:szCs w:val="20"/>
        </w:rPr>
        <w:t xml:space="preserve"> </w:t>
      </w:r>
      <w:r w:rsidR="000A0404" w:rsidRPr="000A0404">
        <w:rPr>
          <w:color w:val="000000" w:themeColor="text1"/>
          <w:szCs w:val="20"/>
        </w:rPr>
        <w:t>practices can vary by council. Under the EP Act 1970, councils are given powers to take enforcement action on persons who fail to obtain a permit for a septic tank system, breach a condition of a septic tank permit, or occupiers of premises for not maintaining their on</w:t>
      </w:r>
      <w:r w:rsidR="00820499">
        <w:rPr>
          <w:color w:val="000000" w:themeColor="text1"/>
          <w:szCs w:val="20"/>
        </w:rPr>
        <w:t>-</w:t>
      </w:r>
      <w:r w:rsidR="000A0404" w:rsidRPr="000A0404">
        <w:rPr>
          <w:color w:val="000000" w:themeColor="text1"/>
          <w:szCs w:val="20"/>
        </w:rPr>
        <w:t>site systems.</w:t>
      </w:r>
      <w:r>
        <w:rPr>
          <w:color w:val="000000" w:themeColor="text1"/>
          <w:szCs w:val="20"/>
        </w:rPr>
        <w:t xml:space="preserve"> </w:t>
      </w:r>
    </w:p>
    <w:p w14:paraId="656B02FC" w14:textId="77777777" w:rsidR="00F64F11" w:rsidRDefault="00F64F11" w:rsidP="00605C29">
      <w:pPr>
        <w:rPr>
          <w:rFonts w:eastAsiaTheme="majorEastAsia" w:cs="Arial"/>
          <w:color w:val="000000" w:themeColor="text1"/>
        </w:rPr>
      </w:pPr>
      <w:r>
        <w:rPr>
          <w:rFonts w:eastAsiaTheme="majorEastAsia" w:cs="Arial"/>
          <w:color w:val="000000" w:themeColor="text1"/>
        </w:rPr>
        <w:t xml:space="preserve">Councils are </w:t>
      </w:r>
      <w:r w:rsidR="003F77EF">
        <w:rPr>
          <w:rFonts w:eastAsiaTheme="majorEastAsia" w:cs="Arial"/>
          <w:color w:val="000000" w:themeColor="text1"/>
        </w:rPr>
        <w:t xml:space="preserve">expected </w:t>
      </w:r>
      <w:r>
        <w:rPr>
          <w:rFonts w:eastAsiaTheme="majorEastAsia" w:cs="Arial"/>
          <w:color w:val="000000" w:themeColor="text1"/>
        </w:rPr>
        <w:t>to develop and implement a domestic wastewater management plan</w:t>
      </w:r>
      <w:r w:rsidR="00512F7C">
        <w:rPr>
          <w:rFonts w:eastAsiaTheme="majorEastAsia" w:cs="Arial"/>
          <w:color w:val="000000" w:themeColor="text1"/>
        </w:rPr>
        <w:t xml:space="preserve"> (DWMP)</w:t>
      </w:r>
      <w:r>
        <w:rPr>
          <w:rFonts w:eastAsiaTheme="majorEastAsia" w:cs="Arial"/>
          <w:color w:val="000000" w:themeColor="text1"/>
        </w:rPr>
        <w:t xml:space="preserve">, under SEPP (Waters), which </w:t>
      </w:r>
      <w:r w:rsidR="009271CA">
        <w:rPr>
          <w:rFonts w:eastAsiaTheme="majorEastAsia" w:cs="Arial"/>
          <w:color w:val="000000" w:themeColor="text1"/>
        </w:rPr>
        <w:t xml:space="preserve">is </w:t>
      </w:r>
      <w:r>
        <w:rPr>
          <w:rFonts w:eastAsiaTheme="majorEastAsia" w:cs="Arial"/>
          <w:color w:val="000000" w:themeColor="text1"/>
        </w:rPr>
        <w:t>updated by councils at intervals of no more than five years</w:t>
      </w:r>
      <w:r w:rsidR="003F77EF">
        <w:rPr>
          <w:rFonts w:eastAsiaTheme="majorEastAsia" w:cs="Arial"/>
          <w:color w:val="000000" w:themeColor="text1"/>
        </w:rPr>
        <w:t>. DWMPs</w:t>
      </w:r>
      <w:r>
        <w:rPr>
          <w:rFonts w:eastAsiaTheme="majorEastAsia" w:cs="Arial"/>
          <w:color w:val="000000" w:themeColor="text1"/>
        </w:rPr>
        <w:t xml:space="preserve"> </w:t>
      </w:r>
      <w:r w:rsidR="00D91090">
        <w:rPr>
          <w:rFonts w:eastAsiaTheme="majorEastAsia" w:cs="Arial"/>
          <w:color w:val="000000" w:themeColor="text1"/>
        </w:rPr>
        <w:t xml:space="preserve">are expected to </w:t>
      </w:r>
      <w:r>
        <w:rPr>
          <w:rFonts w:eastAsiaTheme="majorEastAsia" w:cs="Arial"/>
          <w:color w:val="000000" w:themeColor="text1"/>
        </w:rPr>
        <w:t>identify the public health and environmental risks associated with the on</w:t>
      </w:r>
      <w:r w:rsidR="003F77EF">
        <w:rPr>
          <w:rFonts w:eastAsiaTheme="majorEastAsia" w:cs="Arial"/>
          <w:color w:val="000000" w:themeColor="text1"/>
        </w:rPr>
        <w:t>-</w:t>
      </w:r>
      <w:r>
        <w:rPr>
          <w:rFonts w:eastAsiaTheme="majorEastAsia" w:cs="Arial"/>
          <w:color w:val="000000" w:themeColor="text1"/>
        </w:rPr>
        <w:t>site systems, and set ou</w:t>
      </w:r>
      <w:r w:rsidR="003F77EF">
        <w:rPr>
          <w:rFonts w:eastAsiaTheme="majorEastAsia" w:cs="Arial"/>
          <w:color w:val="000000" w:themeColor="text1"/>
        </w:rPr>
        <w:t>t</w:t>
      </w:r>
      <w:r>
        <w:rPr>
          <w:rFonts w:eastAsiaTheme="majorEastAsia" w:cs="Arial"/>
          <w:color w:val="000000" w:themeColor="text1"/>
        </w:rPr>
        <w:t xml:space="preserve"> strategies to minimise those risks. </w:t>
      </w:r>
      <w:r w:rsidR="00D02675">
        <w:rPr>
          <w:rFonts w:eastAsiaTheme="majorEastAsia" w:cs="Arial"/>
          <w:color w:val="000000" w:themeColor="text1"/>
        </w:rPr>
        <w:t xml:space="preserve">DWMPs </w:t>
      </w:r>
      <w:r w:rsidR="003F77EF">
        <w:rPr>
          <w:rFonts w:eastAsiaTheme="majorEastAsia" w:cs="Arial"/>
          <w:color w:val="000000" w:themeColor="text1"/>
        </w:rPr>
        <w:t xml:space="preserve">should also </w:t>
      </w:r>
      <w:r w:rsidR="00D02675">
        <w:rPr>
          <w:rFonts w:eastAsiaTheme="majorEastAsia" w:cs="Arial"/>
          <w:color w:val="000000" w:themeColor="text1"/>
        </w:rPr>
        <w:t>identify existing unsewered allotments that do not (or cannot) retain sewage on site, and identif</w:t>
      </w:r>
      <w:r w:rsidR="00D91090">
        <w:rPr>
          <w:rFonts w:eastAsiaTheme="majorEastAsia" w:cs="Arial"/>
          <w:color w:val="000000" w:themeColor="text1"/>
        </w:rPr>
        <w:t>y</w:t>
      </w:r>
      <w:r w:rsidR="00D02675">
        <w:rPr>
          <w:rFonts w:eastAsiaTheme="majorEastAsia" w:cs="Arial"/>
          <w:color w:val="000000" w:themeColor="text1"/>
        </w:rPr>
        <w:t xml:space="preserve"> solutions to prevent off-site discharges and minimise impacts to groundwater. </w:t>
      </w:r>
    </w:p>
    <w:p w14:paraId="656B02FD" w14:textId="77777777" w:rsidR="00383D61" w:rsidRDefault="00306E6E" w:rsidP="00605C29">
      <w:pPr>
        <w:rPr>
          <w:rFonts w:eastAsiaTheme="majorEastAsia" w:cs="Arial"/>
          <w:color w:val="000000" w:themeColor="text1"/>
        </w:rPr>
      </w:pPr>
      <w:r>
        <w:rPr>
          <w:rFonts w:eastAsiaTheme="majorEastAsia" w:cs="Arial"/>
          <w:color w:val="000000" w:themeColor="text1"/>
        </w:rPr>
        <w:t xml:space="preserve">In Victoria, the installation of new </w:t>
      </w:r>
      <w:r w:rsidR="00383D61">
        <w:rPr>
          <w:rFonts w:eastAsiaTheme="majorEastAsia" w:cs="Arial"/>
          <w:color w:val="000000" w:themeColor="text1"/>
        </w:rPr>
        <w:t>on</w:t>
      </w:r>
      <w:r w:rsidR="003F77EF">
        <w:rPr>
          <w:rFonts w:eastAsiaTheme="majorEastAsia" w:cs="Arial"/>
          <w:color w:val="000000" w:themeColor="text1"/>
        </w:rPr>
        <w:t>-</w:t>
      </w:r>
      <w:r w:rsidR="00383D61">
        <w:rPr>
          <w:rFonts w:eastAsiaTheme="majorEastAsia" w:cs="Arial"/>
          <w:color w:val="000000" w:themeColor="text1"/>
        </w:rPr>
        <w:t xml:space="preserve">site systems </w:t>
      </w:r>
      <w:r>
        <w:rPr>
          <w:rFonts w:eastAsiaTheme="majorEastAsia" w:cs="Arial"/>
          <w:color w:val="000000" w:themeColor="text1"/>
        </w:rPr>
        <w:t xml:space="preserve">must also </w:t>
      </w:r>
      <w:r w:rsidR="009271CA">
        <w:rPr>
          <w:rFonts w:eastAsiaTheme="majorEastAsia" w:cs="Arial"/>
          <w:color w:val="000000" w:themeColor="text1"/>
        </w:rPr>
        <w:t>occur</w:t>
      </w:r>
      <w:r>
        <w:rPr>
          <w:rFonts w:eastAsiaTheme="majorEastAsia" w:cs="Arial"/>
          <w:color w:val="000000" w:themeColor="text1"/>
        </w:rPr>
        <w:t xml:space="preserve"> in compliance with two other </w:t>
      </w:r>
      <w:r w:rsidR="00383D61">
        <w:rPr>
          <w:rFonts w:eastAsiaTheme="majorEastAsia" w:cs="Arial"/>
          <w:color w:val="000000" w:themeColor="text1"/>
        </w:rPr>
        <w:t xml:space="preserve">Acts: the </w:t>
      </w:r>
      <w:r w:rsidR="00383D61" w:rsidRPr="00040A06">
        <w:rPr>
          <w:rFonts w:eastAsiaTheme="majorEastAsia" w:cs="Arial"/>
          <w:i/>
          <w:color w:val="000000" w:themeColor="text1"/>
        </w:rPr>
        <w:t>Planning and Environment Act 1987</w:t>
      </w:r>
      <w:r w:rsidR="00383D61">
        <w:rPr>
          <w:rFonts w:eastAsiaTheme="majorEastAsia" w:cs="Arial"/>
          <w:color w:val="000000" w:themeColor="text1"/>
        </w:rPr>
        <w:t xml:space="preserve"> and the </w:t>
      </w:r>
      <w:r w:rsidR="00383D61" w:rsidRPr="00040A06">
        <w:rPr>
          <w:rFonts w:eastAsiaTheme="majorEastAsia" w:cs="Arial"/>
          <w:i/>
          <w:color w:val="000000" w:themeColor="text1"/>
        </w:rPr>
        <w:t>Building Act 1993</w:t>
      </w:r>
      <w:r w:rsidR="00383D61">
        <w:rPr>
          <w:rFonts w:eastAsiaTheme="majorEastAsia" w:cs="Arial"/>
          <w:color w:val="000000" w:themeColor="text1"/>
        </w:rPr>
        <w:t>:</w:t>
      </w:r>
    </w:p>
    <w:p w14:paraId="656B02FE" w14:textId="77777777" w:rsidR="00383D61" w:rsidRDefault="00383D61" w:rsidP="004A2442">
      <w:pPr>
        <w:pStyle w:val="ListParagraph"/>
        <w:numPr>
          <w:ilvl w:val="0"/>
          <w:numId w:val="26"/>
        </w:numPr>
        <w:rPr>
          <w:rFonts w:eastAsiaTheme="majorEastAsia" w:cs="Arial"/>
          <w:color w:val="000000" w:themeColor="text1"/>
        </w:rPr>
      </w:pPr>
      <w:r>
        <w:rPr>
          <w:rFonts w:eastAsiaTheme="majorEastAsia" w:cs="Arial"/>
          <w:color w:val="000000" w:themeColor="text1"/>
        </w:rPr>
        <w:t xml:space="preserve">A planning permit may be required for a new </w:t>
      </w:r>
      <w:r w:rsidR="00306E6E">
        <w:rPr>
          <w:rFonts w:eastAsiaTheme="majorEastAsia" w:cs="Arial"/>
          <w:color w:val="000000" w:themeColor="text1"/>
        </w:rPr>
        <w:t>on</w:t>
      </w:r>
      <w:r w:rsidR="00DD5CE9">
        <w:rPr>
          <w:rFonts w:eastAsiaTheme="majorEastAsia" w:cs="Arial"/>
          <w:color w:val="000000" w:themeColor="text1"/>
        </w:rPr>
        <w:t>-</w:t>
      </w:r>
      <w:r w:rsidR="00306E6E">
        <w:rPr>
          <w:rFonts w:eastAsiaTheme="majorEastAsia" w:cs="Arial"/>
          <w:color w:val="000000" w:themeColor="text1"/>
        </w:rPr>
        <w:t xml:space="preserve">site system </w:t>
      </w:r>
      <w:r>
        <w:rPr>
          <w:rFonts w:eastAsiaTheme="majorEastAsia" w:cs="Arial"/>
          <w:color w:val="000000" w:themeColor="text1"/>
        </w:rPr>
        <w:t xml:space="preserve">under the </w:t>
      </w:r>
      <w:r w:rsidRPr="007E466A">
        <w:rPr>
          <w:rFonts w:eastAsiaTheme="majorEastAsia" w:cs="Arial"/>
          <w:i/>
          <w:color w:val="000000" w:themeColor="text1"/>
        </w:rPr>
        <w:t>Planning and Environment Act 1987</w:t>
      </w:r>
      <w:r>
        <w:rPr>
          <w:rFonts w:eastAsiaTheme="majorEastAsia" w:cs="Arial"/>
          <w:color w:val="000000" w:themeColor="text1"/>
        </w:rPr>
        <w:t xml:space="preserve">, for which Council is the responsible authority. </w:t>
      </w:r>
    </w:p>
    <w:p w14:paraId="656B02FF" w14:textId="77777777" w:rsidR="006C031A" w:rsidRPr="006C031A" w:rsidRDefault="006C031A" w:rsidP="004A2442">
      <w:pPr>
        <w:pStyle w:val="ListParagraph"/>
        <w:numPr>
          <w:ilvl w:val="0"/>
          <w:numId w:val="26"/>
        </w:numPr>
        <w:rPr>
          <w:color w:val="000000" w:themeColor="text1"/>
          <w:szCs w:val="20"/>
        </w:rPr>
      </w:pPr>
      <w:r>
        <w:t>When installing a</w:t>
      </w:r>
      <w:r w:rsidR="00306E6E">
        <w:t>n on</w:t>
      </w:r>
      <w:r w:rsidR="00DD5CE9">
        <w:t>-</w:t>
      </w:r>
      <w:r w:rsidR="00306E6E">
        <w:t>site</w:t>
      </w:r>
      <w:r>
        <w:t xml:space="preserve"> system, </w:t>
      </w:r>
      <w:r w:rsidR="00E00711">
        <w:t xml:space="preserve">it must be done so in accordance with the </w:t>
      </w:r>
      <w:r w:rsidR="00E00711" w:rsidRPr="00040A06">
        <w:rPr>
          <w:i/>
        </w:rPr>
        <w:t>Plumbing Regulations 2018</w:t>
      </w:r>
      <w:r w:rsidR="00E00711">
        <w:t xml:space="preserve"> – which outlines the </w:t>
      </w:r>
      <w:r w:rsidR="003F77EF">
        <w:t xml:space="preserve">criteria required to be licenced as a </w:t>
      </w:r>
      <w:r w:rsidR="00E00711">
        <w:t xml:space="preserve">plumber </w:t>
      </w:r>
      <w:r w:rsidR="003F77EF">
        <w:t xml:space="preserve">that can </w:t>
      </w:r>
      <w:r w:rsidR="00E00711">
        <w:t xml:space="preserve">carry out </w:t>
      </w:r>
      <w:r>
        <w:t>sanitary work</w:t>
      </w:r>
      <w:r w:rsidR="00E00711">
        <w:t xml:space="preserve"> under the </w:t>
      </w:r>
      <w:r w:rsidR="00E00711" w:rsidRPr="00040A06">
        <w:rPr>
          <w:i/>
        </w:rPr>
        <w:t>Building Act 1993</w:t>
      </w:r>
      <w:r w:rsidR="00E00711">
        <w:t>.</w:t>
      </w:r>
    </w:p>
    <w:p w14:paraId="656B0300" w14:textId="77777777" w:rsidR="00E00711" w:rsidRPr="000A1D65" w:rsidRDefault="006C031A">
      <w:pPr>
        <w:rPr>
          <w:szCs w:val="20"/>
        </w:rPr>
      </w:pPr>
      <w:r w:rsidRPr="002E2BA7">
        <w:rPr>
          <w:rFonts w:cs="Arial"/>
          <w:szCs w:val="20"/>
        </w:rPr>
        <w:t>Currently, on</w:t>
      </w:r>
      <w:r w:rsidR="00820499">
        <w:rPr>
          <w:rFonts w:cs="Arial"/>
          <w:szCs w:val="20"/>
        </w:rPr>
        <w:t>-</w:t>
      </w:r>
      <w:r w:rsidRPr="002E2BA7">
        <w:rPr>
          <w:rFonts w:cs="Arial"/>
          <w:szCs w:val="20"/>
        </w:rPr>
        <w:t>site systems that handle</w:t>
      </w:r>
      <w:r w:rsidRPr="00CF0796">
        <w:rPr>
          <w:szCs w:val="20"/>
        </w:rPr>
        <w:t xml:space="preserve"> or are designed to handle flow rates of more than 5,000 litres per day are regulated by EPA through works approvals and, in some cases, operating licences.</w:t>
      </w:r>
    </w:p>
    <w:p w14:paraId="656B0301" w14:textId="77777777" w:rsidR="00E76028" w:rsidRPr="00243F08" w:rsidRDefault="004C6915" w:rsidP="00982D63">
      <w:pPr>
        <w:pStyle w:val="Heading2"/>
      </w:pPr>
      <w:r w:rsidRPr="00243F08">
        <w:t>New EP legislation</w:t>
      </w:r>
    </w:p>
    <w:p w14:paraId="656B0302" w14:textId="77777777" w:rsidR="00240BA6" w:rsidRDefault="0069193A" w:rsidP="00605C29">
      <w:pPr>
        <w:rPr>
          <w:rFonts w:cs="Arial"/>
          <w:szCs w:val="20"/>
        </w:rPr>
      </w:pPr>
      <w:r>
        <w:rPr>
          <w:rFonts w:cs="Arial"/>
          <w:szCs w:val="20"/>
        </w:rPr>
        <w:t>T</w:t>
      </w:r>
      <w:r w:rsidR="00BE1229">
        <w:rPr>
          <w:rFonts w:cs="Arial"/>
          <w:szCs w:val="20"/>
        </w:rPr>
        <w:t xml:space="preserve">here are no </w:t>
      </w:r>
      <w:r w:rsidR="007D0C29">
        <w:rPr>
          <w:rFonts w:cs="Arial"/>
          <w:szCs w:val="20"/>
        </w:rPr>
        <w:t xml:space="preserve">specific requirements </w:t>
      </w:r>
      <w:r w:rsidR="00BE1229">
        <w:rPr>
          <w:rFonts w:cs="Arial"/>
          <w:szCs w:val="20"/>
        </w:rPr>
        <w:t xml:space="preserve">or duties relating to </w:t>
      </w:r>
      <w:r w:rsidR="009271CA">
        <w:rPr>
          <w:rFonts w:cs="Arial"/>
          <w:szCs w:val="20"/>
        </w:rPr>
        <w:t>on-site systems</w:t>
      </w:r>
      <w:r w:rsidR="00BE1229">
        <w:rPr>
          <w:rFonts w:cs="Arial"/>
          <w:szCs w:val="20"/>
        </w:rPr>
        <w:t xml:space="preserve"> in the </w:t>
      </w:r>
      <w:r w:rsidR="004C6915">
        <w:rPr>
          <w:rFonts w:cs="Arial"/>
          <w:szCs w:val="20"/>
        </w:rPr>
        <w:t>new EP legislation</w:t>
      </w:r>
      <w:r w:rsidR="007D0C29">
        <w:rPr>
          <w:rFonts w:cs="Arial"/>
          <w:szCs w:val="20"/>
        </w:rPr>
        <w:t xml:space="preserve">. </w:t>
      </w:r>
      <w:r w:rsidR="008C3F6B">
        <w:rPr>
          <w:rFonts w:cs="Arial"/>
          <w:szCs w:val="20"/>
        </w:rPr>
        <w:t xml:space="preserve">The </w:t>
      </w:r>
      <w:r w:rsidR="006C4761">
        <w:rPr>
          <w:rFonts w:cs="Arial"/>
          <w:szCs w:val="20"/>
        </w:rPr>
        <w:t>primary reason for this is</w:t>
      </w:r>
      <w:r>
        <w:rPr>
          <w:rFonts w:cs="Arial"/>
          <w:szCs w:val="20"/>
        </w:rPr>
        <w:t xml:space="preserve"> to</w:t>
      </w:r>
      <w:r w:rsidR="006C4761">
        <w:rPr>
          <w:rFonts w:cs="Arial"/>
          <w:szCs w:val="20"/>
        </w:rPr>
        <w:t xml:space="preserve"> </w:t>
      </w:r>
      <w:r w:rsidR="008C3F6B">
        <w:rPr>
          <w:rFonts w:cs="Arial"/>
          <w:szCs w:val="20"/>
        </w:rPr>
        <w:t xml:space="preserve">ensure consistency in the way that </w:t>
      </w:r>
      <w:r w:rsidR="003F77EF">
        <w:rPr>
          <w:rFonts w:cs="Arial"/>
          <w:szCs w:val="20"/>
        </w:rPr>
        <w:t xml:space="preserve">risks to human health and the </w:t>
      </w:r>
      <w:r w:rsidR="008C3F6B">
        <w:rPr>
          <w:rFonts w:cs="Arial"/>
          <w:szCs w:val="20"/>
        </w:rPr>
        <w:t>environment are managed across h</w:t>
      </w:r>
      <w:r>
        <w:rPr>
          <w:rFonts w:cs="Arial"/>
          <w:szCs w:val="20"/>
        </w:rPr>
        <w:t xml:space="preserve">azardous or complex activities – which is through the permissioning framework. </w:t>
      </w:r>
      <w:r w:rsidR="003F77EF">
        <w:rPr>
          <w:rFonts w:cs="Arial"/>
          <w:szCs w:val="20"/>
        </w:rPr>
        <w:t>T</w:t>
      </w:r>
      <w:r w:rsidR="00BE1229">
        <w:rPr>
          <w:rFonts w:cs="Arial"/>
          <w:szCs w:val="20"/>
        </w:rPr>
        <w:t xml:space="preserve">he </w:t>
      </w:r>
      <w:r w:rsidR="00240BA6">
        <w:rPr>
          <w:rFonts w:cs="Arial"/>
          <w:szCs w:val="20"/>
        </w:rPr>
        <w:t xml:space="preserve">new </w:t>
      </w:r>
      <w:r w:rsidR="00BE1229">
        <w:rPr>
          <w:rFonts w:cs="Arial"/>
          <w:szCs w:val="20"/>
        </w:rPr>
        <w:t xml:space="preserve">permissioning framework </w:t>
      </w:r>
      <w:r w:rsidR="00240BA6">
        <w:rPr>
          <w:rFonts w:cs="Arial"/>
          <w:szCs w:val="20"/>
        </w:rPr>
        <w:t xml:space="preserve">enables </w:t>
      </w:r>
      <w:r w:rsidR="000514DD">
        <w:rPr>
          <w:rFonts w:cs="Arial"/>
          <w:szCs w:val="20"/>
        </w:rPr>
        <w:t>EPA</w:t>
      </w:r>
      <w:r w:rsidR="00240BA6">
        <w:rPr>
          <w:rFonts w:cs="Arial"/>
          <w:szCs w:val="20"/>
        </w:rPr>
        <w:t xml:space="preserve"> and</w:t>
      </w:r>
      <w:r w:rsidR="008C3F6B">
        <w:rPr>
          <w:rFonts w:cs="Arial"/>
          <w:szCs w:val="20"/>
        </w:rPr>
        <w:t xml:space="preserve"> (if required)</w:t>
      </w:r>
      <w:r w:rsidR="00240BA6">
        <w:rPr>
          <w:rFonts w:cs="Arial"/>
          <w:szCs w:val="20"/>
        </w:rPr>
        <w:t xml:space="preserve"> councils </w:t>
      </w:r>
      <w:r w:rsidR="008C3F6B">
        <w:rPr>
          <w:rFonts w:cs="Arial"/>
          <w:szCs w:val="20"/>
        </w:rPr>
        <w:t xml:space="preserve">to oversee the </w:t>
      </w:r>
      <w:r w:rsidR="0043309C">
        <w:rPr>
          <w:rFonts w:cs="Arial"/>
          <w:szCs w:val="20"/>
        </w:rPr>
        <w:t xml:space="preserve">regulation of </w:t>
      </w:r>
      <w:r w:rsidR="00240BA6">
        <w:rPr>
          <w:rFonts w:cs="Arial"/>
          <w:szCs w:val="20"/>
        </w:rPr>
        <w:t>on</w:t>
      </w:r>
      <w:r w:rsidR="003F77EF">
        <w:rPr>
          <w:rFonts w:cs="Arial"/>
          <w:szCs w:val="20"/>
        </w:rPr>
        <w:t>-</w:t>
      </w:r>
      <w:r w:rsidR="00240BA6">
        <w:rPr>
          <w:rFonts w:cs="Arial"/>
          <w:szCs w:val="20"/>
        </w:rPr>
        <w:t xml:space="preserve">site </w:t>
      </w:r>
      <w:r w:rsidR="00BE1229">
        <w:rPr>
          <w:rFonts w:cs="Arial"/>
          <w:szCs w:val="20"/>
        </w:rPr>
        <w:t>systems</w:t>
      </w:r>
      <w:r w:rsidR="008C3F6B">
        <w:rPr>
          <w:rFonts w:cs="Arial"/>
          <w:szCs w:val="20"/>
        </w:rPr>
        <w:t xml:space="preserve">, </w:t>
      </w:r>
      <w:r w:rsidR="00D91090">
        <w:rPr>
          <w:rFonts w:cs="Arial"/>
          <w:szCs w:val="20"/>
        </w:rPr>
        <w:t xml:space="preserve">in </w:t>
      </w:r>
      <w:r w:rsidR="008C3F6B">
        <w:rPr>
          <w:rFonts w:cs="Arial"/>
          <w:szCs w:val="20"/>
        </w:rPr>
        <w:t>a manner</w:t>
      </w:r>
      <w:r w:rsidR="00240BA6">
        <w:rPr>
          <w:rFonts w:cs="Arial"/>
          <w:szCs w:val="20"/>
        </w:rPr>
        <w:t xml:space="preserve"> similar to the current process. </w:t>
      </w:r>
    </w:p>
    <w:p w14:paraId="656B0303" w14:textId="77777777" w:rsidR="00775894" w:rsidRPr="003E6970" w:rsidRDefault="00186DA4" w:rsidP="00414E75">
      <w:pPr>
        <w:rPr>
          <w:rFonts w:eastAsiaTheme="majorEastAsia" w:cs="Arial"/>
          <w:bCs/>
          <w:color w:val="000000" w:themeColor="text1"/>
          <w:szCs w:val="20"/>
        </w:rPr>
      </w:pPr>
      <w:r>
        <w:rPr>
          <w:szCs w:val="20"/>
        </w:rPr>
        <w:t xml:space="preserve">Under section 81 of the new EP </w:t>
      </w:r>
      <w:r w:rsidRPr="00B05634">
        <w:rPr>
          <w:szCs w:val="20"/>
        </w:rPr>
        <w:t>legislation, council</w:t>
      </w:r>
      <w:r w:rsidRPr="003E6970">
        <w:rPr>
          <w:szCs w:val="20"/>
        </w:rPr>
        <w:t xml:space="preserve">s can issue permits </w:t>
      </w:r>
      <w:r w:rsidR="00B52272" w:rsidRPr="003E6970">
        <w:rPr>
          <w:szCs w:val="20"/>
        </w:rPr>
        <w:t xml:space="preserve">but </w:t>
      </w:r>
      <w:r w:rsidRPr="003E6970">
        <w:rPr>
          <w:szCs w:val="20"/>
        </w:rPr>
        <w:t>the legislation does not define</w:t>
      </w:r>
      <w:r w:rsidR="00C45F50" w:rsidRPr="00B9192C">
        <w:rPr>
          <w:szCs w:val="20"/>
        </w:rPr>
        <w:t xml:space="preserve"> the </w:t>
      </w:r>
      <w:r w:rsidRPr="00B9192C">
        <w:rPr>
          <w:rFonts w:eastAsiaTheme="majorEastAsia" w:cs="Arial"/>
          <w:bCs/>
          <w:color w:val="000000" w:themeColor="text1"/>
          <w:szCs w:val="20"/>
        </w:rPr>
        <w:t>‘permit activity’</w:t>
      </w:r>
      <w:r w:rsidR="00C45F50" w:rsidRPr="00B9192C">
        <w:rPr>
          <w:rFonts w:eastAsiaTheme="majorEastAsia" w:cs="Arial"/>
          <w:bCs/>
          <w:color w:val="000000" w:themeColor="text1"/>
          <w:szCs w:val="20"/>
        </w:rPr>
        <w:t xml:space="preserve"> or specify the </w:t>
      </w:r>
      <w:r w:rsidRPr="00B9192C">
        <w:rPr>
          <w:rFonts w:eastAsiaTheme="majorEastAsia" w:cs="Arial"/>
          <w:bCs/>
          <w:color w:val="000000" w:themeColor="text1"/>
          <w:szCs w:val="20"/>
        </w:rPr>
        <w:t xml:space="preserve">form, manner </w:t>
      </w:r>
      <w:r w:rsidR="00C45F50" w:rsidRPr="00B9192C">
        <w:rPr>
          <w:rFonts w:eastAsiaTheme="majorEastAsia" w:cs="Arial"/>
          <w:bCs/>
          <w:color w:val="000000" w:themeColor="text1"/>
          <w:szCs w:val="20"/>
        </w:rPr>
        <w:t>or</w:t>
      </w:r>
      <w:r w:rsidRPr="00B9192C">
        <w:rPr>
          <w:rFonts w:eastAsiaTheme="majorEastAsia" w:cs="Arial"/>
          <w:bCs/>
          <w:color w:val="000000" w:themeColor="text1"/>
          <w:szCs w:val="20"/>
        </w:rPr>
        <w:t xml:space="preserve"> fee</w:t>
      </w:r>
      <w:r w:rsidRPr="00B05634">
        <w:rPr>
          <w:rFonts w:eastAsiaTheme="majorEastAsia" w:cs="Arial"/>
          <w:bCs/>
          <w:color w:val="000000" w:themeColor="text1"/>
          <w:szCs w:val="20"/>
        </w:rPr>
        <w:t>s for an application for a permit</w:t>
      </w:r>
      <w:r w:rsidR="00C45F50" w:rsidRPr="003E6970">
        <w:rPr>
          <w:rFonts w:eastAsiaTheme="majorEastAsia" w:cs="Arial"/>
          <w:bCs/>
          <w:color w:val="000000" w:themeColor="text1"/>
          <w:szCs w:val="20"/>
        </w:rPr>
        <w:t xml:space="preserve">. The new EP legislation </w:t>
      </w:r>
      <w:r w:rsidR="009271CA">
        <w:rPr>
          <w:rFonts w:eastAsiaTheme="majorEastAsia" w:cs="Arial"/>
          <w:bCs/>
          <w:color w:val="000000" w:themeColor="text1"/>
          <w:szCs w:val="20"/>
        </w:rPr>
        <w:t xml:space="preserve">also </w:t>
      </w:r>
      <w:r w:rsidR="00C45F50" w:rsidRPr="003E6970">
        <w:rPr>
          <w:rFonts w:eastAsiaTheme="majorEastAsia" w:cs="Arial"/>
          <w:bCs/>
          <w:color w:val="000000" w:themeColor="text1"/>
          <w:szCs w:val="20"/>
        </w:rPr>
        <w:t xml:space="preserve">does not specify </w:t>
      </w:r>
      <w:r w:rsidRPr="003E6970">
        <w:rPr>
          <w:rFonts w:eastAsiaTheme="majorEastAsia" w:cs="Arial"/>
          <w:bCs/>
          <w:color w:val="000000" w:themeColor="text1"/>
          <w:szCs w:val="20"/>
        </w:rPr>
        <w:t>any matters that council must take into account when determining whether to issue a permit</w:t>
      </w:r>
      <w:r w:rsidR="00C45F50" w:rsidRPr="003E6970">
        <w:rPr>
          <w:rFonts w:eastAsiaTheme="majorEastAsia" w:cs="Arial"/>
          <w:bCs/>
          <w:color w:val="000000" w:themeColor="text1"/>
          <w:szCs w:val="20"/>
        </w:rPr>
        <w:t>,</w:t>
      </w:r>
      <w:r w:rsidRPr="003E6970">
        <w:rPr>
          <w:rFonts w:eastAsiaTheme="majorEastAsia" w:cs="Arial"/>
          <w:bCs/>
          <w:color w:val="000000" w:themeColor="text1"/>
          <w:szCs w:val="20"/>
        </w:rPr>
        <w:t xml:space="preserve"> circumstances where a permit </w:t>
      </w:r>
      <w:r w:rsidRPr="003E6970">
        <w:rPr>
          <w:rFonts w:eastAsiaTheme="majorEastAsia" w:cs="Arial"/>
          <w:bCs/>
          <w:i/>
          <w:color w:val="000000" w:themeColor="text1"/>
          <w:szCs w:val="20"/>
        </w:rPr>
        <w:t xml:space="preserve">must </w:t>
      </w:r>
      <w:r w:rsidRPr="003E6970">
        <w:rPr>
          <w:rFonts w:eastAsiaTheme="majorEastAsia" w:cs="Arial"/>
          <w:bCs/>
          <w:color w:val="000000" w:themeColor="text1"/>
          <w:szCs w:val="20"/>
        </w:rPr>
        <w:t>be refused</w:t>
      </w:r>
      <w:r w:rsidR="00C45F50" w:rsidRPr="003E6970">
        <w:rPr>
          <w:rFonts w:eastAsiaTheme="majorEastAsia" w:cs="Arial"/>
          <w:bCs/>
          <w:color w:val="000000" w:themeColor="text1"/>
          <w:szCs w:val="20"/>
        </w:rPr>
        <w:t xml:space="preserve"> or </w:t>
      </w:r>
      <w:r w:rsidR="00782274" w:rsidRPr="003E6970">
        <w:rPr>
          <w:rFonts w:eastAsiaTheme="majorEastAsia" w:cs="Arial"/>
          <w:bCs/>
          <w:color w:val="000000" w:themeColor="text1"/>
          <w:szCs w:val="20"/>
        </w:rPr>
        <w:t>enabl</w:t>
      </w:r>
      <w:r w:rsidR="00C45F50" w:rsidRPr="003E6970">
        <w:rPr>
          <w:rFonts w:eastAsiaTheme="majorEastAsia" w:cs="Arial"/>
          <w:bCs/>
          <w:color w:val="000000" w:themeColor="text1"/>
          <w:szCs w:val="20"/>
        </w:rPr>
        <w:t>e</w:t>
      </w:r>
      <w:r w:rsidR="00782274" w:rsidRPr="003E6970">
        <w:rPr>
          <w:rFonts w:eastAsiaTheme="majorEastAsia" w:cs="Arial"/>
          <w:bCs/>
          <w:color w:val="000000" w:themeColor="text1"/>
          <w:szCs w:val="20"/>
        </w:rPr>
        <w:t xml:space="preserve"> councils to </w:t>
      </w:r>
      <w:r w:rsidR="009E3E88" w:rsidRPr="003E6970">
        <w:rPr>
          <w:rFonts w:eastAsiaTheme="majorEastAsia" w:cs="Arial"/>
          <w:bCs/>
          <w:color w:val="000000" w:themeColor="text1"/>
          <w:szCs w:val="20"/>
        </w:rPr>
        <w:t xml:space="preserve">take proceedings for specific </w:t>
      </w:r>
      <w:r w:rsidR="007974B8" w:rsidRPr="003E6970">
        <w:rPr>
          <w:rFonts w:eastAsiaTheme="majorEastAsia" w:cs="Arial"/>
          <w:bCs/>
          <w:color w:val="000000" w:themeColor="text1"/>
          <w:szCs w:val="20"/>
        </w:rPr>
        <w:t xml:space="preserve">related </w:t>
      </w:r>
      <w:r w:rsidR="009E3E88" w:rsidRPr="003E6970">
        <w:rPr>
          <w:rFonts w:eastAsiaTheme="majorEastAsia" w:cs="Arial"/>
          <w:bCs/>
          <w:color w:val="000000" w:themeColor="text1"/>
          <w:szCs w:val="20"/>
        </w:rPr>
        <w:t>offences</w:t>
      </w:r>
      <w:r w:rsidR="001C6CBD" w:rsidRPr="003E6970">
        <w:rPr>
          <w:rFonts w:eastAsiaTheme="majorEastAsia" w:cs="Arial"/>
          <w:bCs/>
          <w:color w:val="000000" w:themeColor="text1"/>
          <w:szCs w:val="20"/>
        </w:rPr>
        <w:t xml:space="preserve">. </w:t>
      </w:r>
    </w:p>
    <w:p w14:paraId="656B0304" w14:textId="2BEC710D" w:rsidR="00775894" w:rsidRDefault="00775894" w:rsidP="00775894">
      <w:pPr>
        <w:rPr>
          <w:szCs w:val="20"/>
        </w:rPr>
      </w:pPr>
      <w:r w:rsidRPr="003E6970">
        <w:t>The GED would apply to operators of on-</w:t>
      </w:r>
      <w:r>
        <w:t xml:space="preserve">site systems, however </w:t>
      </w:r>
      <w:r w:rsidR="00382BB6">
        <w:t xml:space="preserve">failure to comply with the GED is only an offence for </w:t>
      </w:r>
      <w:r w:rsidRPr="004D210C">
        <w:t>those conducting a business or undertaking</w:t>
      </w:r>
      <w:r>
        <w:t xml:space="preserve">. Therefore, the GED would not be enforceable against operators of domestic on-site systems. </w:t>
      </w:r>
    </w:p>
    <w:p w14:paraId="656B0305" w14:textId="77777777" w:rsidR="00E76028" w:rsidRPr="00243F08" w:rsidRDefault="00906C8E" w:rsidP="00982D63">
      <w:pPr>
        <w:pStyle w:val="Heading2"/>
      </w:pPr>
      <w:r>
        <w:t>Nature and extent of problem</w:t>
      </w:r>
    </w:p>
    <w:p w14:paraId="656B0306" w14:textId="77777777" w:rsidR="007A01B2" w:rsidRPr="00A42036" w:rsidRDefault="007A01B2" w:rsidP="00B9192C">
      <w:pPr>
        <w:pStyle w:val="Heading3"/>
        <w:ind w:left="720"/>
      </w:pPr>
      <w:r w:rsidRPr="00A42036">
        <w:t>Residual risk</w:t>
      </w:r>
    </w:p>
    <w:p w14:paraId="6FC20E52" w14:textId="77777777" w:rsidR="00FC3DD5" w:rsidRDefault="007C68E3" w:rsidP="007C68E3">
      <w:pPr>
        <w:rPr>
          <w:rFonts w:eastAsiaTheme="majorEastAsia" w:cs="Arial"/>
          <w:color w:val="000000" w:themeColor="text1"/>
        </w:rPr>
      </w:pPr>
      <w:r w:rsidRPr="00FC3DD5">
        <w:rPr>
          <w:rFonts w:eastAsiaTheme="majorEastAsia" w:cs="Arial"/>
          <w:color w:val="000000" w:themeColor="text1"/>
        </w:rPr>
        <w:t>The residual risk in relation to on-site systems relates to the lack of certainty for councils. Further definition of the legal framework is required for councils to adequately continue undertaking their regulatory role. </w:t>
      </w:r>
    </w:p>
    <w:p w14:paraId="414E9122" w14:textId="13C02CE6" w:rsidR="007C68E3" w:rsidRPr="00FC3DD5" w:rsidRDefault="007C68E3" w:rsidP="007C68E3">
      <w:pPr>
        <w:rPr>
          <w:rFonts w:eastAsiaTheme="majorEastAsia" w:cs="Arial"/>
          <w:color w:val="000000" w:themeColor="text1"/>
        </w:rPr>
      </w:pPr>
      <w:r w:rsidRPr="00FC3DD5">
        <w:rPr>
          <w:rFonts w:eastAsiaTheme="majorEastAsia" w:cs="Arial"/>
          <w:color w:val="000000" w:themeColor="text1"/>
        </w:rPr>
        <w:t>Under the new EP legislation, councils can issue permits, but councils’ role in the management of on-site systems require prescription under regulation of the on-site systems permit framework.</w:t>
      </w:r>
      <w:r w:rsidR="00FC3DD5">
        <w:rPr>
          <w:rFonts w:eastAsiaTheme="majorEastAsia" w:cs="Arial"/>
          <w:color w:val="000000" w:themeColor="text1"/>
        </w:rPr>
        <w:t xml:space="preserve"> </w:t>
      </w:r>
      <w:r w:rsidRPr="00FC3DD5">
        <w:rPr>
          <w:rFonts w:eastAsiaTheme="majorEastAsia" w:cs="Arial"/>
          <w:color w:val="000000" w:themeColor="text1"/>
        </w:rPr>
        <w:t>In the absence of regulations for on-site systems, the problems associated with pollution from on-site systems are likely to significantly increase, and likely to result in increased human health and environmental harms, and reduced local amenity.</w:t>
      </w:r>
    </w:p>
    <w:p w14:paraId="656B030A" w14:textId="77777777" w:rsidR="00906C8E" w:rsidRPr="00243F08" w:rsidRDefault="00906C8E" w:rsidP="00B9192C">
      <w:pPr>
        <w:pStyle w:val="Heading3"/>
        <w:ind w:left="720"/>
      </w:pPr>
      <w:r w:rsidRPr="00951752">
        <w:t>Size</w:t>
      </w:r>
      <w:r>
        <w:t xml:space="preserve"> of problem</w:t>
      </w:r>
    </w:p>
    <w:p w14:paraId="656B030B" w14:textId="77777777" w:rsidR="007A01B2" w:rsidRDefault="00906C8E" w:rsidP="00935A79">
      <w:pPr>
        <w:rPr>
          <w:rFonts w:eastAsiaTheme="majorEastAsia" w:cs="Arial"/>
          <w:color w:val="000000" w:themeColor="text1"/>
        </w:rPr>
      </w:pPr>
      <w:r w:rsidRPr="00ED173F">
        <w:rPr>
          <w:rFonts w:eastAsiaTheme="majorEastAsia" w:cs="Arial"/>
          <w:color w:val="000000" w:themeColor="text1"/>
        </w:rPr>
        <w:t xml:space="preserve">Tens of thousands of Victorian households </w:t>
      </w:r>
      <w:r>
        <w:rPr>
          <w:rFonts w:eastAsiaTheme="majorEastAsia" w:cs="Arial"/>
          <w:color w:val="000000" w:themeColor="text1"/>
        </w:rPr>
        <w:t xml:space="preserve">in unsewered townships </w:t>
      </w:r>
      <w:r w:rsidRPr="00ED173F">
        <w:rPr>
          <w:rFonts w:eastAsiaTheme="majorEastAsia" w:cs="Arial"/>
          <w:color w:val="000000" w:themeColor="text1"/>
        </w:rPr>
        <w:t xml:space="preserve">are serviced by </w:t>
      </w:r>
      <w:r>
        <w:rPr>
          <w:rFonts w:eastAsiaTheme="majorEastAsia" w:cs="Arial"/>
          <w:color w:val="000000" w:themeColor="text1"/>
        </w:rPr>
        <w:t>on</w:t>
      </w:r>
      <w:r w:rsidR="003F77EF">
        <w:rPr>
          <w:rFonts w:eastAsiaTheme="majorEastAsia" w:cs="Arial"/>
          <w:color w:val="000000" w:themeColor="text1"/>
        </w:rPr>
        <w:t>-</w:t>
      </w:r>
      <w:r>
        <w:rPr>
          <w:rFonts w:eastAsiaTheme="majorEastAsia" w:cs="Arial"/>
          <w:color w:val="000000" w:themeColor="text1"/>
        </w:rPr>
        <w:t>site systems</w:t>
      </w:r>
      <w:r w:rsidRPr="00ED173F">
        <w:rPr>
          <w:rFonts w:eastAsiaTheme="majorEastAsia" w:cs="Arial"/>
          <w:color w:val="000000" w:themeColor="text1"/>
        </w:rPr>
        <w:t xml:space="preserve">. Many of these are poorly maintained and pose a significant risk to the environment and human health, with numerous reviews </w:t>
      </w:r>
      <w:r w:rsidR="009271CA">
        <w:rPr>
          <w:rFonts w:eastAsiaTheme="majorEastAsia" w:cs="Arial"/>
          <w:color w:val="000000" w:themeColor="text1"/>
        </w:rPr>
        <w:t>of</w:t>
      </w:r>
      <w:r w:rsidRPr="00ED173F">
        <w:rPr>
          <w:rFonts w:eastAsiaTheme="majorEastAsia" w:cs="Arial"/>
          <w:color w:val="000000" w:themeColor="text1"/>
        </w:rPr>
        <w:t xml:space="preserve"> the management of on</w:t>
      </w:r>
      <w:r w:rsidR="003F77EF">
        <w:rPr>
          <w:rFonts w:eastAsiaTheme="majorEastAsia" w:cs="Arial"/>
          <w:color w:val="000000" w:themeColor="text1"/>
        </w:rPr>
        <w:t>-</w:t>
      </w:r>
      <w:r w:rsidRPr="00ED173F">
        <w:rPr>
          <w:rFonts w:eastAsiaTheme="majorEastAsia" w:cs="Arial"/>
          <w:color w:val="000000" w:themeColor="text1"/>
        </w:rPr>
        <w:t xml:space="preserve">site systems indicating that the scale of the problem is very significant. </w:t>
      </w:r>
      <w:r w:rsidR="007A01B2">
        <w:rPr>
          <w:rFonts w:eastAsiaTheme="majorEastAsia" w:cs="Arial"/>
          <w:color w:val="000000" w:themeColor="text1"/>
        </w:rPr>
        <w:t>However, t</w:t>
      </w:r>
      <w:r w:rsidRPr="00ED173F">
        <w:rPr>
          <w:rFonts w:eastAsiaTheme="majorEastAsia" w:cs="Arial"/>
          <w:color w:val="000000" w:themeColor="text1"/>
        </w:rPr>
        <w:t>he precise scale of the problem is unknown</w:t>
      </w:r>
      <w:r w:rsidR="00935A79">
        <w:rPr>
          <w:rFonts w:eastAsiaTheme="majorEastAsia" w:cs="Arial"/>
          <w:color w:val="000000" w:themeColor="text1"/>
        </w:rPr>
        <w:t xml:space="preserve">. </w:t>
      </w:r>
    </w:p>
    <w:p w14:paraId="656B030C" w14:textId="77777777" w:rsidR="007A01B2" w:rsidRDefault="00935A79" w:rsidP="00935A79">
      <w:pPr>
        <w:rPr>
          <w:rFonts w:eastAsiaTheme="majorEastAsia" w:cs="Arial"/>
          <w:color w:val="000000" w:themeColor="text1"/>
        </w:rPr>
      </w:pPr>
      <w:r>
        <w:rPr>
          <w:rFonts w:eastAsiaTheme="majorEastAsia" w:cs="Arial"/>
          <w:color w:val="000000" w:themeColor="text1"/>
        </w:rPr>
        <w:t xml:space="preserve">In 2006 </w:t>
      </w:r>
      <w:r w:rsidR="009271CA">
        <w:rPr>
          <w:rFonts w:eastAsiaTheme="majorEastAsia" w:cs="Arial"/>
          <w:color w:val="000000" w:themeColor="text1"/>
        </w:rPr>
        <w:t xml:space="preserve">the </w:t>
      </w:r>
      <w:r w:rsidR="007A01B2">
        <w:rPr>
          <w:rFonts w:eastAsiaTheme="majorEastAsia" w:cs="Arial"/>
          <w:color w:val="000000" w:themeColor="text1"/>
        </w:rPr>
        <w:t>Victorian Auditor-General’s Office (</w:t>
      </w:r>
      <w:r>
        <w:rPr>
          <w:rFonts w:eastAsiaTheme="majorEastAsia" w:cs="Arial"/>
          <w:color w:val="000000" w:themeColor="text1"/>
        </w:rPr>
        <w:t>VAGO</w:t>
      </w:r>
      <w:r w:rsidR="007A01B2">
        <w:rPr>
          <w:rFonts w:eastAsiaTheme="majorEastAsia" w:cs="Arial"/>
          <w:color w:val="000000" w:themeColor="text1"/>
        </w:rPr>
        <w:t xml:space="preserve">) </w:t>
      </w:r>
      <w:r w:rsidRPr="00935A79">
        <w:rPr>
          <w:rFonts w:eastAsiaTheme="majorEastAsia" w:cs="Arial"/>
          <w:color w:val="000000" w:themeColor="text1"/>
        </w:rPr>
        <w:t>found that the impacts of poorly performing on</w:t>
      </w:r>
      <w:r w:rsidR="00AE28E7">
        <w:rPr>
          <w:rFonts w:eastAsiaTheme="majorEastAsia" w:cs="Arial"/>
          <w:color w:val="000000" w:themeColor="text1"/>
        </w:rPr>
        <w:t>-</w:t>
      </w:r>
      <w:r w:rsidRPr="00935A79">
        <w:rPr>
          <w:rFonts w:eastAsiaTheme="majorEastAsia" w:cs="Arial"/>
          <w:color w:val="000000" w:themeColor="text1"/>
        </w:rPr>
        <w:t>site systems on the environment</w:t>
      </w:r>
      <w:r>
        <w:rPr>
          <w:rFonts w:eastAsiaTheme="majorEastAsia" w:cs="Arial"/>
          <w:color w:val="000000" w:themeColor="text1"/>
        </w:rPr>
        <w:t xml:space="preserve"> and public health were unclear, because of the </w:t>
      </w:r>
      <w:r w:rsidRPr="00935A79">
        <w:rPr>
          <w:rFonts w:eastAsiaTheme="majorEastAsia" w:cs="Arial"/>
          <w:color w:val="000000" w:themeColor="text1"/>
        </w:rPr>
        <w:t>lack of water quality monitoring, and poor information collation and sharing of available data</w:t>
      </w:r>
      <w:r w:rsidR="00036B6E">
        <w:rPr>
          <w:rFonts w:eastAsiaTheme="majorEastAsia" w:cs="Arial"/>
          <w:color w:val="000000" w:themeColor="text1"/>
        </w:rPr>
        <w:t xml:space="preserve">. </w:t>
      </w:r>
    </w:p>
    <w:p w14:paraId="656B030D" w14:textId="77777777" w:rsidR="007A01B2" w:rsidRDefault="007A01B2" w:rsidP="007A01B2">
      <w:pPr>
        <w:rPr>
          <w:szCs w:val="20"/>
        </w:rPr>
      </w:pPr>
      <w:r>
        <w:rPr>
          <w:szCs w:val="20"/>
        </w:rPr>
        <w:t xml:space="preserve">In 2018, a </w:t>
      </w:r>
      <w:r>
        <w:rPr>
          <w:rFonts w:eastAsiaTheme="majorEastAsia" w:cs="Arial"/>
          <w:color w:val="000000" w:themeColor="text1"/>
        </w:rPr>
        <w:t>report from VAGO</w:t>
      </w:r>
      <w:r>
        <w:rPr>
          <w:szCs w:val="20"/>
        </w:rPr>
        <w:t xml:space="preserve"> identified a number of issues relating to the management of domestic on-site systems within two councils in metropolitan Melbourne (Yarra Ranges Council and Mornington Peninsula Shire). </w:t>
      </w:r>
      <w:r>
        <w:rPr>
          <w:rFonts w:eastAsiaTheme="majorEastAsia" w:cs="Arial"/>
          <w:color w:val="000000" w:themeColor="text1"/>
        </w:rPr>
        <w:t>VAGO</w:t>
      </w:r>
      <w:r w:rsidRPr="00ED173F">
        <w:rPr>
          <w:rFonts w:eastAsiaTheme="majorEastAsia" w:cs="Arial"/>
          <w:color w:val="000000" w:themeColor="text1"/>
        </w:rPr>
        <w:t xml:space="preserve"> </w:t>
      </w:r>
      <w:r>
        <w:rPr>
          <w:rFonts w:eastAsiaTheme="majorEastAsia" w:cs="Arial"/>
          <w:color w:val="000000" w:themeColor="text1"/>
        </w:rPr>
        <w:t xml:space="preserve">found that </w:t>
      </w:r>
      <w:r w:rsidRPr="00ED173F">
        <w:rPr>
          <w:rFonts w:eastAsiaTheme="majorEastAsia" w:cs="Arial"/>
          <w:color w:val="000000" w:themeColor="text1"/>
        </w:rPr>
        <w:t>approximately 22</w:t>
      </w:r>
      <w:r>
        <w:rPr>
          <w:rFonts w:eastAsiaTheme="majorEastAsia" w:cs="Arial"/>
          <w:color w:val="000000" w:themeColor="text1"/>
        </w:rPr>
        <w:t>,</w:t>
      </w:r>
      <w:r w:rsidRPr="00ED173F">
        <w:rPr>
          <w:rFonts w:eastAsiaTheme="majorEastAsia" w:cs="Arial"/>
          <w:color w:val="000000" w:themeColor="text1"/>
        </w:rPr>
        <w:t xml:space="preserve">000 properties in the Yarra Ranges </w:t>
      </w:r>
      <w:r>
        <w:rPr>
          <w:rFonts w:eastAsiaTheme="majorEastAsia" w:cs="Arial"/>
          <w:color w:val="000000" w:themeColor="text1"/>
        </w:rPr>
        <w:t xml:space="preserve">Council </w:t>
      </w:r>
      <w:r w:rsidRPr="00ED173F">
        <w:rPr>
          <w:rFonts w:eastAsiaTheme="majorEastAsia" w:cs="Arial"/>
          <w:color w:val="000000" w:themeColor="text1"/>
        </w:rPr>
        <w:t>and 30</w:t>
      </w:r>
      <w:r>
        <w:rPr>
          <w:rFonts w:eastAsiaTheme="majorEastAsia" w:cs="Arial"/>
          <w:color w:val="000000" w:themeColor="text1"/>
        </w:rPr>
        <w:t>,</w:t>
      </w:r>
      <w:r w:rsidRPr="00ED173F">
        <w:rPr>
          <w:rFonts w:eastAsiaTheme="majorEastAsia" w:cs="Arial"/>
          <w:color w:val="000000" w:themeColor="text1"/>
        </w:rPr>
        <w:t xml:space="preserve">000 properties across the Mornington Peninsula </w:t>
      </w:r>
      <w:r>
        <w:rPr>
          <w:rFonts w:eastAsiaTheme="majorEastAsia" w:cs="Arial"/>
          <w:color w:val="000000" w:themeColor="text1"/>
        </w:rPr>
        <w:t xml:space="preserve">Shire Council </w:t>
      </w:r>
      <w:r w:rsidRPr="00ED173F">
        <w:rPr>
          <w:rFonts w:eastAsiaTheme="majorEastAsia" w:cs="Arial"/>
          <w:color w:val="000000" w:themeColor="text1"/>
        </w:rPr>
        <w:t>use on</w:t>
      </w:r>
      <w:r>
        <w:rPr>
          <w:rFonts w:eastAsiaTheme="majorEastAsia" w:cs="Arial"/>
          <w:color w:val="000000" w:themeColor="text1"/>
        </w:rPr>
        <w:t>-</w:t>
      </w:r>
      <w:r w:rsidRPr="00ED173F">
        <w:rPr>
          <w:rFonts w:eastAsiaTheme="majorEastAsia" w:cs="Arial"/>
          <w:color w:val="000000" w:themeColor="text1"/>
        </w:rPr>
        <w:t>site systems</w:t>
      </w:r>
      <w:r>
        <w:rPr>
          <w:rFonts w:eastAsiaTheme="majorEastAsia" w:cs="Arial"/>
          <w:color w:val="000000" w:themeColor="text1"/>
        </w:rPr>
        <w:t>,</w:t>
      </w:r>
      <w:r w:rsidRPr="00ED173F">
        <w:rPr>
          <w:rFonts w:eastAsiaTheme="majorEastAsia" w:cs="Arial"/>
          <w:color w:val="000000" w:themeColor="text1"/>
        </w:rPr>
        <w:t xml:space="preserve"> and that many of these systems were at high risk of failure due to their age or poor maintenance.</w:t>
      </w:r>
      <w:r w:rsidRPr="0043309C">
        <w:rPr>
          <w:rStyle w:val="FootnoteReference"/>
          <w:rFonts w:cs="Segoe UI Light"/>
          <w:szCs w:val="20"/>
        </w:rPr>
        <w:footnoteReference w:id="90"/>
      </w:r>
      <w:r>
        <w:rPr>
          <w:rFonts w:eastAsiaTheme="majorEastAsia" w:cs="Arial"/>
          <w:color w:val="000000" w:themeColor="text1"/>
        </w:rPr>
        <w:t xml:space="preserve"> </w:t>
      </w:r>
      <w:r>
        <w:rPr>
          <w:szCs w:val="20"/>
        </w:rPr>
        <w:t>VAGO found that the two councils:</w:t>
      </w:r>
    </w:p>
    <w:p w14:paraId="656B030E" w14:textId="77777777" w:rsidR="007A01B2" w:rsidRDefault="00B2202D" w:rsidP="007A01B2">
      <w:pPr>
        <w:pStyle w:val="ListParagraph"/>
        <w:numPr>
          <w:ilvl w:val="0"/>
          <w:numId w:val="26"/>
        </w:numPr>
        <w:rPr>
          <w:szCs w:val="20"/>
        </w:rPr>
      </w:pPr>
      <w:r>
        <w:rPr>
          <w:szCs w:val="20"/>
        </w:rPr>
        <w:t>H</w:t>
      </w:r>
      <w:r w:rsidR="007A01B2">
        <w:rPr>
          <w:szCs w:val="20"/>
        </w:rPr>
        <w:t xml:space="preserve">ave </w:t>
      </w:r>
      <w:r w:rsidR="007A01B2" w:rsidRPr="008C3F6B">
        <w:rPr>
          <w:szCs w:val="20"/>
        </w:rPr>
        <w:t>limited assurance that they are effectively managing the risks posed by poorly performing on</w:t>
      </w:r>
      <w:r w:rsidR="007A01B2">
        <w:rPr>
          <w:szCs w:val="20"/>
        </w:rPr>
        <w:t>-</w:t>
      </w:r>
      <w:r w:rsidR="007A01B2" w:rsidRPr="008C3F6B">
        <w:rPr>
          <w:szCs w:val="20"/>
        </w:rPr>
        <w:t>site systems</w:t>
      </w:r>
      <w:r w:rsidR="007A01B2">
        <w:rPr>
          <w:szCs w:val="20"/>
        </w:rPr>
        <w:t>,</w:t>
      </w:r>
      <w:r w:rsidR="007A01B2" w:rsidRPr="008C3F6B">
        <w:rPr>
          <w:szCs w:val="20"/>
        </w:rPr>
        <w:t xml:space="preserve"> and that the environment and their local communities are protected from the potential threats from inadequately treated domestic wastewater</w:t>
      </w:r>
      <w:r w:rsidR="007A01B2">
        <w:rPr>
          <w:szCs w:val="20"/>
        </w:rPr>
        <w:t xml:space="preserve">. </w:t>
      </w:r>
    </w:p>
    <w:p w14:paraId="656B030F" w14:textId="77777777" w:rsidR="007A01B2" w:rsidRDefault="00B2202D" w:rsidP="007A01B2">
      <w:pPr>
        <w:pStyle w:val="ListParagraph"/>
        <w:numPr>
          <w:ilvl w:val="0"/>
          <w:numId w:val="26"/>
        </w:numPr>
        <w:rPr>
          <w:szCs w:val="20"/>
        </w:rPr>
      </w:pPr>
      <w:r>
        <w:rPr>
          <w:szCs w:val="20"/>
        </w:rPr>
        <w:t>H</w:t>
      </w:r>
      <w:r w:rsidR="007A01B2" w:rsidRPr="003035B5">
        <w:rPr>
          <w:szCs w:val="20"/>
        </w:rPr>
        <w:t>ave not adequately addressed information gaps about on</w:t>
      </w:r>
      <w:r w:rsidR="007A01B2">
        <w:rPr>
          <w:szCs w:val="20"/>
        </w:rPr>
        <w:t>-</w:t>
      </w:r>
      <w:r w:rsidR="007A01B2" w:rsidRPr="003035B5">
        <w:rPr>
          <w:szCs w:val="20"/>
        </w:rPr>
        <w:t>site systems in high‐risk unsewered townships because of limitations in the councils’ risk assessment processes.</w:t>
      </w:r>
    </w:p>
    <w:p w14:paraId="656B0310" w14:textId="77777777" w:rsidR="007A01B2" w:rsidRDefault="00B2202D" w:rsidP="007A01B2">
      <w:pPr>
        <w:pStyle w:val="ListParagraph"/>
        <w:numPr>
          <w:ilvl w:val="0"/>
          <w:numId w:val="26"/>
        </w:numPr>
        <w:rPr>
          <w:szCs w:val="20"/>
        </w:rPr>
      </w:pPr>
      <w:r>
        <w:rPr>
          <w:szCs w:val="20"/>
        </w:rPr>
        <w:t>D</w:t>
      </w:r>
      <w:r w:rsidR="007A01B2" w:rsidRPr="003035B5">
        <w:rPr>
          <w:szCs w:val="20"/>
        </w:rPr>
        <w:t>o not have comprehensive and accurate information about on</w:t>
      </w:r>
      <w:r w:rsidR="007A01B2">
        <w:rPr>
          <w:szCs w:val="20"/>
        </w:rPr>
        <w:t>-</w:t>
      </w:r>
      <w:r w:rsidR="007A01B2" w:rsidRPr="003035B5">
        <w:rPr>
          <w:szCs w:val="20"/>
        </w:rPr>
        <w:t>site systems. Significant gaps in councils’ information include the ongoing performance of on</w:t>
      </w:r>
      <w:r w:rsidR="007A01B2">
        <w:rPr>
          <w:szCs w:val="20"/>
        </w:rPr>
        <w:t>-</w:t>
      </w:r>
      <w:r w:rsidR="007A01B2" w:rsidRPr="003035B5">
        <w:rPr>
          <w:szCs w:val="20"/>
        </w:rPr>
        <w:t xml:space="preserve">site systems in safely treating and maintaining domestic wastewater on site; and number, location and performance of </w:t>
      </w:r>
      <w:r w:rsidR="007A01B2">
        <w:rPr>
          <w:szCs w:val="20"/>
        </w:rPr>
        <w:t>‘</w:t>
      </w:r>
      <w:r w:rsidR="007A01B2" w:rsidRPr="003035B5">
        <w:rPr>
          <w:szCs w:val="20"/>
        </w:rPr>
        <w:t>legacy</w:t>
      </w:r>
      <w:r w:rsidR="007A01B2">
        <w:rPr>
          <w:szCs w:val="20"/>
        </w:rPr>
        <w:t>’</w:t>
      </w:r>
      <w:r w:rsidR="007A01B2" w:rsidRPr="003035B5">
        <w:rPr>
          <w:szCs w:val="20"/>
        </w:rPr>
        <w:t xml:space="preserve"> systems</w:t>
      </w:r>
      <w:r w:rsidR="007A01B2">
        <w:rPr>
          <w:szCs w:val="20"/>
        </w:rPr>
        <w:t xml:space="preserve"> (which were installed prior to the introduction of the current permit system)</w:t>
      </w:r>
      <w:r w:rsidR="00DC7A63">
        <w:rPr>
          <w:szCs w:val="20"/>
        </w:rPr>
        <w:t xml:space="preserve">. </w:t>
      </w:r>
    </w:p>
    <w:p w14:paraId="656B0311" w14:textId="77777777" w:rsidR="007A01B2" w:rsidRPr="00D02675" w:rsidRDefault="00B2202D" w:rsidP="007A01B2">
      <w:pPr>
        <w:pStyle w:val="ListParagraph"/>
        <w:numPr>
          <w:ilvl w:val="0"/>
          <w:numId w:val="26"/>
        </w:numPr>
        <w:rPr>
          <w:szCs w:val="20"/>
        </w:rPr>
      </w:pPr>
      <w:r>
        <w:rPr>
          <w:szCs w:val="20"/>
        </w:rPr>
        <w:t>H</w:t>
      </w:r>
      <w:r w:rsidR="007A01B2">
        <w:rPr>
          <w:szCs w:val="20"/>
        </w:rPr>
        <w:t>ave</w:t>
      </w:r>
      <w:r w:rsidR="007A01B2" w:rsidRPr="002E2BA7">
        <w:rPr>
          <w:szCs w:val="20"/>
        </w:rPr>
        <w:t xml:space="preserve"> </w:t>
      </w:r>
      <w:r w:rsidR="007A01B2">
        <w:rPr>
          <w:szCs w:val="20"/>
        </w:rPr>
        <w:t xml:space="preserve">not </w:t>
      </w:r>
      <w:r w:rsidR="007A01B2" w:rsidRPr="002E2BA7">
        <w:rPr>
          <w:szCs w:val="20"/>
        </w:rPr>
        <w:t xml:space="preserve">been able to accurately determine </w:t>
      </w:r>
      <w:r w:rsidR="007A01B2" w:rsidRPr="003035B5">
        <w:rPr>
          <w:szCs w:val="20"/>
        </w:rPr>
        <w:t xml:space="preserve">which unsewered areas </w:t>
      </w:r>
      <w:r w:rsidR="007A01B2">
        <w:rPr>
          <w:szCs w:val="20"/>
        </w:rPr>
        <w:t xml:space="preserve">water corporations </w:t>
      </w:r>
      <w:r w:rsidR="007A01B2" w:rsidRPr="003035B5">
        <w:rPr>
          <w:szCs w:val="20"/>
        </w:rPr>
        <w:t>should prioritise for sewering</w:t>
      </w:r>
      <w:r w:rsidR="007A01B2">
        <w:rPr>
          <w:szCs w:val="20"/>
        </w:rPr>
        <w:t xml:space="preserve"> as a result of inadequate </w:t>
      </w:r>
      <w:r w:rsidR="007A01B2" w:rsidRPr="002E2BA7">
        <w:rPr>
          <w:szCs w:val="20"/>
        </w:rPr>
        <w:t>information</w:t>
      </w:r>
      <w:r w:rsidR="007A01B2" w:rsidRPr="003035B5">
        <w:rPr>
          <w:szCs w:val="20"/>
        </w:rPr>
        <w:t xml:space="preserve"> about legacy systems</w:t>
      </w:r>
      <w:r w:rsidR="007A01B2">
        <w:rPr>
          <w:szCs w:val="20"/>
        </w:rPr>
        <w:t>.</w:t>
      </w:r>
    </w:p>
    <w:p w14:paraId="656B0312" w14:textId="77777777" w:rsidR="00906C8E" w:rsidRDefault="00935A79" w:rsidP="00935A79">
      <w:pPr>
        <w:rPr>
          <w:rFonts w:eastAsiaTheme="majorEastAsia" w:cs="Arial"/>
          <w:color w:val="000000" w:themeColor="text1"/>
        </w:rPr>
      </w:pPr>
      <w:r>
        <w:rPr>
          <w:rFonts w:eastAsiaTheme="majorEastAsia" w:cs="Arial"/>
          <w:color w:val="000000" w:themeColor="text1"/>
        </w:rPr>
        <w:t>However,</w:t>
      </w:r>
      <w:r w:rsidR="007A01B2">
        <w:rPr>
          <w:rFonts w:eastAsiaTheme="majorEastAsia" w:cs="Arial"/>
          <w:color w:val="000000" w:themeColor="text1"/>
        </w:rPr>
        <w:t xml:space="preserve"> it should be noted that</w:t>
      </w:r>
      <w:r>
        <w:rPr>
          <w:rFonts w:eastAsiaTheme="majorEastAsia" w:cs="Arial"/>
          <w:color w:val="000000" w:themeColor="text1"/>
        </w:rPr>
        <w:t xml:space="preserve"> there are no state</w:t>
      </w:r>
      <w:r w:rsidR="003F77EF">
        <w:rPr>
          <w:rFonts w:eastAsiaTheme="majorEastAsia" w:cs="Arial"/>
          <w:color w:val="000000" w:themeColor="text1"/>
        </w:rPr>
        <w:t>-</w:t>
      </w:r>
      <w:r>
        <w:rPr>
          <w:rFonts w:eastAsiaTheme="majorEastAsia" w:cs="Arial"/>
          <w:color w:val="000000" w:themeColor="text1"/>
        </w:rPr>
        <w:t xml:space="preserve">wide estimates of </w:t>
      </w:r>
      <w:r w:rsidR="00F04777">
        <w:rPr>
          <w:rFonts w:eastAsiaTheme="majorEastAsia" w:cs="Arial"/>
          <w:color w:val="000000" w:themeColor="text1"/>
        </w:rPr>
        <w:t>failure rates of on</w:t>
      </w:r>
      <w:r w:rsidR="003F77EF">
        <w:rPr>
          <w:rFonts w:eastAsiaTheme="majorEastAsia" w:cs="Arial"/>
          <w:color w:val="000000" w:themeColor="text1"/>
        </w:rPr>
        <w:t>-</w:t>
      </w:r>
      <w:r w:rsidR="00F04777">
        <w:rPr>
          <w:rFonts w:eastAsiaTheme="majorEastAsia" w:cs="Arial"/>
          <w:color w:val="000000" w:themeColor="text1"/>
        </w:rPr>
        <w:t xml:space="preserve">site systems, meaning that the size of the problem in Victoria is difficult to quantify. </w:t>
      </w:r>
    </w:p>
    <w:p w14:paraId="656B0313" w14:textId="77777777" w:rsidR="009D2023" w:rsidRPr="009D2023" w:rsidRDefault="009D2023" w:rsidP="00B9192C">
      <w:pPr>
        <w:pStyle w:val="Heading3"/>
        <w:ind w:left="720"/>
      </w:pPr>
      <w:r w:rsidRPr="009D2023">
        <w:t>Harms</w:t>
      </w:r>
    </w:p>
    <w:p w14:paraId="656B0314" w14:textId="77777777" w:rsidR="009D2023" w:rsidRPr="00ED173F" w:rsidRDefault="009D2023" w:rsidP="009D2023">
      <w:pPr>
        <w:rPr>
          <w:rFonts w:eastAsiaTheme="majorEastAsia" w:cs="Arial"/>
          <w:color w:val="000000" w:themeColor="text1"/>
        </w:rPr>
      </w:pPr>
      <w:r>
        <w:rPr>
          <w:rFonts w:eastAsiaTheme="majorEastAsia" w:cs="Arial"/>
          <w:color w:val="000000" w:themeColor="text1"/>
        </w:rPr>
        <w:t>On</w:t>
      </w:r>
      <w:r w:rsidR="003F77EF">
        <w:rPr>
          <w:rFonts w:eastAsiaTheme="majorEastAsia" w:cs="Arial"/>
          <w:color w:val="000000" w:themeColor="text1"/>
        </w:rPr>
        <w:t>-</w:t>
      </w:r>
      <w:r>
        <w:rPr>
          <w:rFonts w:eastAsiaTheme="majorEastAsia" w:cs="Arial"/>
          <w:color w:val="000000" w:themeColor="text1"/>
        </w:rPr>
        <w:t xml:space="preserve">site systems can impact entire local </w:t>
      </w:r>
      <w:r w:rsidRPr="00ED173F">
        <w:rPr>
          <w:rFonts w:eastAsiaTheme="majorEastAsia" w:cs="Arial"/>
          <w:color w:val="000000" w:themeColor="text1"/>
        </w:rPr>
        <w:t>communities</w:t>
      </w:r>
      <w:r>
        <w:rPr>
          <w:rFonts w:eastAsiaTheme="majorEastAsia" w:cs="Arial"/>
          <w:color w:val="000000" w:themeColor="text1"/>
        </w:rPr>
        <w:t>. W</w:t>
      </w:r>
      <w:r w:rsidRPr="00ED173F">
        <w:rPr>
          <w:rFonts w:eastAsiaTheme="majorEastAsia" w:cs="Arial"/>
          <w:color w:val="000000" w:themeColor="text1"/>
        </w:rPr>
        <w:t>astewater that is not contained and disposed of effectively on-site but discharges off-site causes risks to:</w:t>
      </w:r>
    </w:p>
    <w:p w14:paraId="656B0315" w14:textId="77777777" w:rsidR="009D2023" w:rsidRPr="00E10EB2" w:rsidRDefault="009D2023" w:rsidP="004A2442">
      <w:pPr>
        <w:pStyle w:val="ListParagraph"/>
        <w:numPr>
          <w:ilvl w:val="0"/>
          <w:numId w:val="34"/>
        </w:numPr>
        <w:rPr>
          <w:rFonts w:eastAsiaTheme="majorEastAsia" w:cs="Arial"/>
          <w:color w:val="000000" w:themeColor="text1"/>
        </w:rPr>
      </w:pPr>
      <w:r w:rsidRPr="00D85A7F">
        <w:rPr>
          <w:rFonts w:eastAsiaTheme="majorEastAsia" w:cs="Arial"/>
          <w:color w:val="000000" w:themeColor="text1"/>
        </w:rPr>
        <w:t>Human health</w:t>
      </w:r>
      <w:r w:rsidRPr="00E10EB2">
        <w:rPr>
          <w:rFonts w:eastAsiaTheme="majorEastAsia" w:cs="Arial"/>
          <w:color w:val="000000" w:themeColor="text1"/>
        </w:rPr>
        <w:t xml:space="preserve"> - where drinking water and recreational water bodies are contaminated from mismanaged wastewater, or where effluent discharge may cause disease outbreaks</w:t>
      </w:r>
      <w:r w:rsidR="009271CA">
        <w:rPr>
          <w:rFonts w:eastAsiaTheme="majorEastAsia" w:cs="Arial"/>
          <w:color w:val="000000" w:themeColor="text1"/>
        </w:rPr>
        <w:t>.</w:t>
      </w:r>
    </w:p>
    <w:p w14:paraId="656B0316" w14:textId="77777777" w:rsidR="009D2023" w:rsidRPr="00E10EB2" w:rsidRDefault="009D2023" w:rsidP="004A2442">
      <w:pPr>
        <w:pStyle w:val="ListParagraph"/>
        <w:numPr>
          <w:ilvl w:val="0"/>
          <w:numId w:val="34"/>
        </w:numPr>
        <w:rPr>
          <w:rFonts w:eastAsiaTheme="majorEastAsia" w:cs="Arial"/>
          <w:color w:val="000000" w:themeColor="text1"/>
        </w:rPr>
      </w:pPr>
      <w:r w:rsidRPr="00D85A7F">
        <w:rPr>
          <w:rFonts w:eastAsiaTheme="majorEastAsia" w:cs="Arial"/>
          <w:color w:val="000000" w:themeColor="text1"/>
        </w:rPr>
        <w:t>Environmental health</w:t>
      </w:r>
      <w:r w:rsidRPr="00E10EB2">
        <w:rPr>
          <w:rFonts w:eastAsiaTheme="majorEastAsia" w:cs="Arial"/>
          <w:color w:val="000000" w:themeColor="text1"/>
        </w:rPr>
        <w:t xml:space="preserve"> - where discharge to surface w</w:t>
      </w:r>
      <w:r w:rsidR="00036B6E">
        <w:rPr>
          <w:rFonts w:eastAsiaTheme="majorEastAsia" w:cs="Arial"/>
          <w:color w:val="000000" w:themeColor="text1"/>
        </w:rPr>
        <w:t>ater and ground</w:t>
      </w:r>
      <w:r w:rsidRPr="00E10EB2">
        <w:rPr>
          <w:rFonts w:eastAsiaTheme="majorEastAsia" w:cs="Arial"/>
          <w:color w:val="000000" w:themeColor="text1"/>
        </w:rPr>
        <w:t>water can cause significant harm to aquatic fauna and vegetation</w:t>
      </w:r>
      <w:r w:rsidR="009271CA">
        <w:rPr>
          <w:rFonts w:eastAsiaTheme="majorEastAsia" w:cs="Arial"/>
          <w:color w:val="000000" w:themeColor="text1"/>
        </w:rPr>
        <w:t>.</w:t>
      </w:r>
    </w:p>
    <w:p w14:paraId="656B0317" w14:textId="77777777" w:rsidR="009D2023" w:rsidRPr="00E10EB2" w:rsidRDefault="009D2023" w:rsidP="004A2442">
      <w:pPr>
        <w:pStyle w:val="ListParagraph"/>
        <w:numPr>
          <w:ilvl w:val="0"/>
          <w:numId w:val="34"/>
        </w:numPr>
        <w:rPr>
          <w:rFonts w:eastAsiaTheme="majorEastAsia" w:cs="Arial"/>
          <w:color w:val="000000" w:themeColor="text1"/>
        </w:rPr>
      </w:pPr>
      <w:r w:rsidRPr="00D85A7F">
        <w:rPr>
          <w:rFonts w:eastAsiaTheme="majorEastAsia" w:cs="Arial"/>
          <w:color w:val="000000" w:themeColor="text1"/>
        </w:rPr>
        <w:t>Amenity</w:t>
      </w:r>
      <w:r w:rsidRPr="00E10EB2">
        <w:rPr>
          <w:rFonts w:eastAsiaTheme="majorEastAsia" w:cs="Arial"/>
          <w:color w:val="000000" w:themeColor="text1"/>
        </w:rPr>
        <w:t xml:space="preserve"> - causing odour, unsightly discharges and seepage leading to reduced amenity and potential reduction in property values.</w:t>
      </w:r>
      <w:r w:rsidR="00BD698F" w:rsidRPr="00E10EB2">
        <w:rPr>
          <w:rStyle w:val="FootnoteReference"/>
          <w:rFonts w:cs="Segoe UI Light"/>
          <w:szCs w:val="20"/>
        </w:rPr>
        <w:footnoteReference w:id="91"/>
      </w:r>
      <w:r w:rsidR="00BD698F">
        <w:rPr>
          <w:rFonts w:eastAsiaTheme="majorEastAsia" w:cs="Arial"/>
          <w:color w:val="000000" w:themeColor="text1"/>
        </w:rPr>
        <w:t xml:space="preserve"> </w:t>
      </w:r>
      <w:r w:rsidR="00935A79">
        <w:rPr>
          <w:rFonts w:eastAsiaTheme="majorEastAsia" w:cs="Arial"/>
          <w:color w:val="000000" w:themeColor="text1"/>
        </w:rPr>
        <w:t>This can be a particular issue in unsewered townships with a higher number of legacy systems</w:t>
      </w:r>
      <w:r w:rsidR="00BD698F">
        <w:rPr>
          <w:rFonts w:eastAsiaTheme="majorEastAsia" w:cs="Arial"/>
          <w:color w:val="000000" w:themeColor="text1"/>
        </w:rPr>
        <w:t xml:space="preserve">, and in areas where residents typically encounter greater levels of hardship. </w:t>
      </w:r>
    </w:p>
    <w:p w14:paraId="656B0318" w14:textId="77777777" w:rsidR="00906C8E" w:rsidRPr="00ED173F" w:rsidRDefault="00906C8E" w:rsidP="00906C8E">
      <w:pPr>
        <w:rPr>
          <w:rFonts w:eastAsiaTheme="majorEastAsia" w:cs="Arial"/>
          <w:color w:val="000000" w:themeColor="text1"/>
        </w:rPr>
      </w:pPr>
      <w:r>
        <w:rPr>
          <w:rFonts w:eastAsiaTheme="majorEastAsia" w:cs="Arial"/>
          <w:color w:val="000000" w:themeColor="text1"/>
        </w:rPr>
        <w:t xml:space="preserve">The </w:t>
      </w:r>
      <w:r w:rsidR="00036B6E">
        <w:rPr>
          <w:rFonts w:eastAsiaTheme="majorEastAsia" w:cs="Arial"/>
          <w:color w:val="000000" w:themeColor="text1"/>
        </w:rPr>
        <w:t xml:space="preserve">2018 </w:t>
      </w:r>
      <w:r>
        <w:rPr>
          <w:rFonts w:eastAsiaTheme="majorEastAsia" w:cs="Arial"/>
          <w:color w:val="000000" w:themeColor="text1"/>
        </w:rPr>
        <w:t xml:space="preserve">VAGO report stated that there </w:t>
      </w:r>
      <w:r w:rsidR="009D2023">
        <w:rPr>
          <w:rFonts w:eastAsiaTheme="majorEastAsia" w:cs="Arial"/>
          <w:color w:val="000000" w:themeColor="text1"/>
        </w:rPr>
        <w:t>is</w:t>
      </w:r>
      <w:r>
        <w:rPr>
          <w:rFonts w:eastAsiaTheme="majorEastAsia" w:cs="Arial"/>
          <w:color w:val="000000" w:themeColor="text1"/>
        </w:rPr>
        <w:t xml:space="preserve"> limited data </w:t>
      </w:r>
      <w:r w:rsidRPr="00A41373">
        <w:rPr>
          <w:rFonts w:eastAsiaTheme="majorEastAsia" w:cs="Arial"/>
          <w:color w:val="000000" w:themeColor="text1"/>
        </w:rPr>
        <w:t>about health impacts from poorly performing on</w:t>
      </w:r>
      <w:r w:rsidR="00AE28E7">
        <w:rPr>
          <w:rFonts w:eastAsiaTheme="majorEastAsia" w:cs="Arial"/>
          <w:color w:val="000000" w:themeColor="text1"/>
        </w:rPr>
        <w:t>-</w:t>
      </w:r>
      <w:r w:rsidRPr="00A41373">
        <w:rPr>
          <w:rFonts w:eastAsiaTheme="majorEastAsia" w:cs="Arial"/>
          <w:color w:val="000000" w:themeColor="text1"/>
        </w:rPr>
        <w:t>site systems.</w:t>
      </w:r>
      <w:r>
        <w:rPr>
          <w:rFonts w:eastAsiaTheme="majorEastAsia" w:cs="Arial"/>
          <w:color w:val="000000" w:themeColor="text1"/>
        </w:rPr>
        <w:t xml:space="preserve"> However, there is some evidence that highlights the risk they pose to human health and the environment. For example, f</w:t>
      </w:r>
      <w:r w:rsidRPr="00ED173F">
        <w:rPr>
          <w:rFonts w:eastAsiaTheme="majorEastAsia" w:cs="Arial"/>
          <w:color w:val="000000" w:themeColor="text1"/>
        </w:rPr>
        <w:t xml:space="preserve">ailing systems were identified as the likely source of sewage contamination that led </w:t>
      </w:r>
      <w:r>
        <w:rPr>
          <w:rFonts w:eastAsiaTheme="majorEastAsia" w:cs="Arial"/>
          <w:color w:val="000000" w:themeColor="text1"/>
        </w:rPr>
        <w:t xml:space="preserve">to </w:t>
      </w:r>
      <w:r w:rsidRPr="00ED173F">
        <w:rPr>
          <w:rFonts w:eastAsiaTheme="majorEastAsia" w:cs="Arial"/>
          <w:color w:val="000000" w:themeColor="text1"/>
        </w:rPr>
        <w:t>the Wallis Lakes Hepatitis outbreak in 1997.</w:t>
      </w:r>
      <w:r w:rsidRPr="0043309C">
        <w:rPr>
          <w:rStyle w:val="FootnoteReference"/>
          <w:rFonts w:cs="Segoe UI Light"/>
          <w:szCs w:val="20"/>
        </w:rPr>
        <w:footnoteReference w:id="92"/>
      </w:r>
      <w:r w:rsidRPr="00ED173F">
        <w:rPr>
          <w:rFonts w:eastAsiaTheme="majorEastAsia" w:cs="Arial"/>
          <w:color w:val="000000" w:themeColor="text1"/>
        </w:rPr>
        <w:t xml:space="preserve"> </w:t>
      </w:r>
    </w:p>
    <w:p w14:paraId="656B0319" w14:textId="77777777" w:rsidR="00E76028" w:rsidRDefault="00E76028" w:rsidP="00982D63">
      <w:pPr>
        <w:pStyle w:val="Heading2"/>
      </w:pPr>
      <w:r w:rsidRPr="00243F08">
        <w:t>Options</w:t>
      </w:r>
    </w:p>
    <w:p w14:paraId="656B031A" w14:textId="77777777" w:rsidR="001D0C33" w:rsidRDefault="001D0C33" w:rsidP="001D0C33">
      <w:pPr>
        <w:rPr>
          <w:rFonts w:asciiTheme="minorHAnsi" w:hAnsiTheme="minorHAnsi"/>
        </w:rPr>
      </w:pPr>
      <w:r>
        <w:t xml:space="preserve">In developing these options, DELWP and EPA have considered what would be required for the effective implementation and operation of an on-site system management framework, upon the commencement of the new EP legislation. The two options considered below represent two variations of such a management framework, with varying degrees of council oversight. </w:t>
      </w:r>
    </w:p>
    <w:p w14:paraId="656B031B" w14:textId="545EC428" w:rsidR="004B4B8C" w:rsidRDefault="000A0404" w:rsidP="00040A06">
      <w:r>
        <w:t xml:space="preserve">Under the </w:t>
      </w:r>
      <w:r w:rsidR="009F5DB1">
        <w:t>B</w:t>
      </w:r>
      <w:r>
        <w:t xml:space="preserve">ase </w:t>
      </w:r>
      <w:r w:rsidR="009F5DB1">
        <w:t>C</w:t>
      </w:r>
      <w:r>
        <w:t>ase, there would be no permits required to install</w:t>
      </w:r>
      <w:r w:rsidR="00C14F7A">
        <w:t xml:space="preserve"> or</w:t>
      </w:r>
      <w:r>
        <w:t xml:space="preserve"> alter an on</w:t>
      </w:r>
      <w:r w:rsidR="00212092">
        <w:t>-</w:t>
      </w:r>
      <w:r>
        <w:t>site system</w:t>
      </w:r>
      <w:r w:rsidR="004B4B8C">
        <w:t xml:space="preserve"> with a flow rate less than 5,000 litres </w:t>
      </w:r>
      <w:r w:rsidR="00A17435">
        <w:t>any</w:t>
      </w:r>
      <w:r w:rsidR="006410C5">
        <w:t xml:space="preserve"> </w:t>
      </w:r>
      <w:r w:rsidR="004B4B8C">
        <w:t>day</w:t>
      </w:r>
      <w:r>
        <w:t>.</w:t>
      </w:r>
      <w:r w:rsidR="00AD123A">
        <w:rPr>
          <w:rStyle w:val="FootnoteReference"/>
        </w:rPr>
        <w:footnoteReference w:id="93"/>
      </w:r>
      <w:r w:rsidR="004B4B8C">
        <w:t xml:space="preserve"> </w:t>
      </w:r>
    </w:p>
    <w:p w14:paraId="656B031C" w14:textId="77777777" w:rsidR="00D91090" w:rsidRDefault="004B4B8C" w:rsidP="004A2442">
      <w:pPr>
        <w:pStyle w:val="ListParagraph"/>
        <w:numPr>
          <w:ilvl w:val="0"/>
          <w:numId w:val="34"/>
        </w:numPr>
      </w:pPr>
      <w:r>
        <w:t xml:space="preserve">Under </w:t>
      </w:r>
      <w:r w:rsidR="00036B6E">
        <w:t>O</w:t>
      </w:r>
      <w:r>
        <w:t xml:space="preserve">ption 1, </w:t>
      </w:r>
      <w:r w:rsidR="00AE0C24">
        <w:t xml:space="preserve">councils </w:t>
      </w:r>
      <w:r>
        <w:t>would issue permits to construct, install or alter on</w:t>
      </w:r>
      <w:r w:rsidR="00AE0C24">
        <w:t>-</w:t>
      </w:r>
      <w:r>
        <w:t>site systems with flow rates less than 5,000 litres</w:t>
      </w:r>
      <w:r w:rsidR="006410C5">
        <w:t xml:space="preserve"> any</w:t>
      </w:r>
      <w:r>
        <w:t xml:space="preserve"> day. In doing so, councils </w:t>
      </w:r>
      <w:r w:rsidR="00AE0C24">
        <w:t xml:space="preserve">would </w:t>
      </w:r>
      <w:r>
        <w:t>be required to consider</w:t>
      </w:r>
      <w:r w:rsidR="00D91090">
        <w:t xml:space="preserve">: </w:t>
      </w:r>
    </w:p>
    <w:p w14:paraId="656B031D" w14:textId="77777777" w:rsidR="00D91090" w:rsidRPr="000E7C5E" w:rsidRDefault="00D91090" w:rsidP="000E7C5E">
      <w:pPr>
        <w:pStyle w:val="ListParagraph"/>
        <w:numPr>
          <w:ilvl w:val="1"/>
          <w:numId w:val="34"/>
        </w:numPr>
      </w:pPr>
      <w:r w:rsidRPr="000E7C5E">
        <w:t>whether the site is environmentally sensitive or is otherwise unsuitable;</w:t>
      </w:r>
    </w:p>
    <w:p w14:paraId="656B031E" w14:textId="77777777" w:rsidR="00D91090" w:rsidRPr="000E7C5E" w:rsidRDefault="00D91090" w:rsidP="000E7C5E">
      <w:pPr>
        <w:pStyle w:val="ListParagraph"/>
        <w:numPr>
          <w:ilvl w:val="1"/>
          <w:numId w:val="34"/>
        </w:numPr>
      </w:pPr>
      <w:r w:rsidRPr="000E7C5E">
        <w:t>whether the system is unsuitable for the site or proposed use;</w:t>
      </w:r>
    </w:p>
    <w:p w14:paraId="656B031F" w14:textId="77777777" w:rsidR="00D91090" w:rsidRPr="000E7C5E" w:rsidRDefault="00D91090" w:rsidP="000E7C5E">
      <w:pPr>
        <w:pStyle w:val="ListParagraph"/>
        <w:numPr>
          <w:ilvl w:val="1"/>
          <w:numId w:val="34"/>
        </w:numPr>
      </w:pPr>
      <w:r w:rsidRPr="000E7C5E">
        <w:t>whether the proposed use of the on</w:t>
      </w:r>
      <w:r w:rsidR="00212092">
        <w:t>-</w:t>
      </w:r>
      <w:r w:rsidRPr="000E7C5E">
        <w:t>site system is inconsistent with the design specifications of the system;</w:t>
      </w:r>
    </w:p>
    <w:p w14:paraId="656B0320" w14:textId="77777777" w:rsidR="00D91090" w:rsidRPr="000E7C5E" w:rsidRDefault="00D91090" w:rsidP="000E7C5E">
      <w:pPr>
        <w:pStyle w:val="ListParagraph"/>
        <w:numPr>
          <w:ilvl w:val="1"/>
          <w:numId w:val="34"/>
        </w:numPr>
      </w:pPr>
      <w:r w:rsidRPr="000E7C5E">
        <w:t>whether the area available for the treatment or disposal of the effluent resulting from the system is not suitable or sufficient;</w:t>
      </w:r>
    </w:p>
    <w:p w14:paraId="656B0321" w14:textId="77777777" w:rsidR="00D91090" w:rsidRPr="000E7C5E" w:rsidRDefault="00D91090" w:rsidP="000E7C5E">
      <w:pPr>
        <w:pStyle w:val="ListParagraph"/>
        <w:numPr>
          <w:ilvl w:val="1"/>
          <w:numId w:val="34"/>
        </w:numPr>
      </w:pPr>
      <w:r w:rsidRPr="000E7C5E">
        <w:t>the findings of any land capability assessment</w:t>
      </w:r>
      <w:r w:rsidR="005D2713">
        <w:t>.</w:t>
      </w:r>
      <w:r w:rsidRPr="000E7C5E">
        <w:t xml:space="preserve"> </w:t>
      </w:r>
    </w:p>
    <w:p w14:paraId="656B0322" w14:textId="77777777" w:rsidR="00ED124A" w:rsidRDefault="00ED124A" w:rsidP="00B9192C">
      <w:pPr>
        <w:ind w:left="720"/>
      </w:pPr>
      <w:bookmarkStart w:id="603" w:name="_Hlk5789844"/>
      <w:r w:rsidRPr="000E7C5E">
        <w:t xml:space="preserve">Councils </w:t>
      </w:r>
      <w:r w:rsidR="00AE0C24">
        <w:t xml:space="preserve">would </w:t>
      </w:r>
      <w:r w:rsidRPr="000E7C5E">
        <w:t xml:space="preserve">be required to refuse an application to install if the system is not of a type approved by </w:t>
      </w:r>
      <w:r w:rsidR="00B73D17">
        <w:t xml:space="preserve">EPA </w:t>
      </w:r>
      <w:r w:rsidRPr="000E7C5E">
        <w:t xml:space="preserve">or does not meet the specifications required by </w:t>
      </w:r>
      <w:r w:rsidR="00B73D17">
        <w:t>EPA</w:t>
      </w:r>
      <w:bookmarkEnd w:id="603"/>
      <w:r w:rsidRPr="000E7C5E">
        <w:t>.</w:t>
      </w:r>
    </w:p>
    <w:p w14:paraId="656B0323" w14:textId="430D2F9A" w:rsidR="008660EC" w:rsidRDefault="008660EC" w:rsidP="00B9192C">
      <w:pPr>
        <w:ind w:left="720"/>
      </w:pPr>
      <w:r>
        <w:t>Under Option 1, the ongoing operation and maintenance on-site systems will be addressed primarily through the GED.</w:t>
      </w:r>
      <w:r w:rsidR="008F3F6D">
        <w:t xml:space="preserve"> </w:t>
      </w:r>
      <w:r w:rsidR="008F3F6D">
        <w:rPr>
          <w:rFonts w:eastAsia="Times New Roman"/>
          <w:color w:val="000000"/>
          <w:shd w:val="clear" w:color="auto" w:fill="FFFFFF"/>
        </w:rPr>
        <w:t xml:space="preserve">Councils would also be required to refuse an application to alter on those same grounds, </w:t>
      </w:r>
    </w:p>
    <w:p w14:paraId="656B0324" w14:textId="77777777" w:rsidR="00922BBC" w:rsidRDefault="002B7376" w:rsidP="004A2442">
      <w:pPr>
        <w:pStyle w:val="ListParagraph"/>
        <w:numPr>
          <w:ilvl w:val="0"/>
          <w:numId w:val="34"/>
        </w:numPr>
      </w:pPr>
      <w:r>
        <w:t xml:space="preserve">Under </w:t>
      </w:r>
      <w:r w:rsidR="00036B6E">
        <w:t>O</w:t>
      </w:r>
      <w:r>
        <w:t xml:space="preserve">ption 2, </w:t>
      </w:r>
      <w:r w:rsidR="004209D1">
        <w:t xml:space="preserve">councils </w:t>
      </w:r>
      <w:r>
        <w:t>would issue</w:t>
      </w:r>
      <w:r w:rsidR="00A706B3">
        <w:t xml:space="preserve"> two types of</w:t>
      </w:r>
      <w:r>
        <w:t xml:space="preserve"> permits</w:t>
      </w:r>
      <w:r w:rsidR="00A706B3">
        <w:t>, to</w:t>
      </w:r>
      <w:r w:rsidR="00922BBC">
        <w:t>:</w:t>
      </w:r>
      <w:r>
        <w:t xml:space="preserve"> </w:t>
      </w:r>
    </w:p>
    <w:p w14:paraId="656B0325" w14:textId="77777777" w:rsidR="00922BBC" w:rsidRDefault="00A706B3" w:rsidP="004A2442">
      <w:pPr>
        <w:pStyle w:val="ListParagraph"/>
        <w:numPr>
          <w:ilvl w:val="1"/>
          <w:numId w:val="34"/>
        </w:numPr>
      </w:pPr>
      <w:r>
        <w:t>c</w:t>
      </w:r>
      <w:r w:rsidR="002B7376">
        <w:t>onstruct, install or alter on</w:t>
      </w:r>
      <w:r w:rsidR="00370E16">
        <w:t>-</w:t>
      </w:r>
      <w:r w:rsidR="002B7376">
        <w:t xml:space="preserve">site systems with flow rates </w:t>
      </w:r>
      <w:r w:rsidR="00922BBC">
        <w:t xml:space="preserve">less than 5,000 litres </w:t>
      </w:r>
      <w:r w:rsidR="00543B99">
        <w:t>any</w:t>
      </w:r>
      <w:r w:rsidR="00922BBC">
        <w:t xml:space="preserve"> day (as per option 1)</w:t>
      </w:r>
      <w:r>
        <w:t>; and</w:t>
      </w:r>
    </w:p>
    <w:p w14:paraId="656B0326" w14:textId="77777777" w:rsidR="00FF1007" w:rsidRPr="002E2BA7" w:rsidRDefault="00922BBC" w:rsidP="004A2442">
      <w:pPr>
        <w:pStyle w:val="ListParagraph"/>
        <w:numPr>
          <w:ilvl w:val="1"/>
          <w:numId w:val="34"/>
        </w:numPr>
      </w:pPr>
      <w:r>
        <w:t xml:space="preserve">operate and maintain existing </w:t>
      </w:r>
      <w:r w:rsidR="00A706B3">
        <w:t xml:space="preserve">on-site </w:t>
      </w:r>
      <w:r>
        <w:t xml:space="preserve">systems with flow rates less than 5,000 litres </w:t>
      </w:r>
      <w:r w:rsidR="00543B99">
        <w:t>any</w:t>
      </w:r>
      <w:r>
        <w:t xml:space="preserve"> day. </w:t>
      </w:r>
      <w:r w:rsidR="00A05293">
        <w:t>P</w:t>
      </w:r>
      <w:r>
        <w:t>ermits would be renewed periodically (once every 5 years).</w:t>
      </w:r>
      <w:r w:rsidR="00FF1007">
        <w:rPr>
          <w:rStyle w:val="FootnoteReference"/>
        </w:rPr>
        <w:footnoteReference w:id="94"/>
      </w:r>
      <w:r>
        <w:t xml:space="preserve"> </w:t>
      </w:r>
      <w:r w:rsidR="00F04777">
        <w:t>In order to comply with permits, o</w:t>
      </w:r>
      <w:r w:rsidR="00FF1007">
        <w:t>ccupiers of premises with on</w:t>
      </w:r>
      <w:r w:rsidR="00A706B3">
        <w:t>-</w:t>
      </w:r>
      <w:r w:rsidR="00FF1007">
        <w:t>site system</w:t>
      </w:r>
      <w:r w:rsidR="00F04777">
        <w:t>s</w:t>
      </w:r>
      <w:r w:rsidR="00FF1007">
        <w:t xml:space="preserve"> would need to </w:t>
      </w:r>
      <w:r w:rsidR="00F04777">
        <w:t>ensure that the system was operating</w:t>
      </w:r>
      <w:r w:rsidR="00FF1007">
        <w:t xml:space="preserve"> </w:t>
      </w:r>
      <w:r w:rsidR="00F04777">
        <w:t xml:space="preserve">appropriately </w:t>
      </w:r>
      <w:r w:rsidR="00FF1007">
        <w:t xml:space="preserve">and </w:t>
      </w:r>
      <w:r w:rsidR="00F04777">
        <w:t xml:space="preserve">was being </w:t>
      </w:r>
      <w:r w:rsidR="00FF1007">
        <w:t>maintained</w:t>
      </w:r>
      <w:r w:rsidR="00176910">
        <w:t xml:space="preserve"> </w:t>
      </w:r>
      <w:r w:rsidR="00F04777">
        <w:t xml:space="preserve">to an acceptable standard. </w:t>
      </w:r>
    </w:p>
    <w:p w14:paraId="656B0327" w14:textId="77777777" w:rsidR="00E213E9" w:rsidRDefault="001D0C33" w:rsidP="00B9192C">
      <w:r w:rsidRPr="006C5DE9">
        <w:t xml:space="preserve">A </w:t>
      </w:r>
      <w:r>
        <w:t xml:space="preserve">non-regulatory </w:t>
      </w:r>
      <w:r w:rsidRPr="006C5DE9">
        <w:t xml:space="preserve">option was not considered feasible by </w:t>
      </w:r>
      <w:r>
        <w:t xml:space="preserve">DELWP and </w:t>
      </w:r>
      <w:r w:rsidRPr="006C5DE9">
        <w:t xml:space="preserve">EPA. If no permissioning regulations </w:t>
      </w:r>
      <w:r>
        <w:t xml:space="preserve">were made, on-site </w:t>
      </w:r>
      <w:r w:rsidRPr="006C5DE9">
        <w:t xml:space="preserve">systems </w:t>
      </w:r>
      <w:r>
        <w:t xml:space="preserve">would </w:t>
      </w:r>
      <w:r w:rsidRPr="006C5DE9">
        <w:t xml:space="preserve">not </w:t>
      </w:r>
      <w:r>
        <w:t xml:space="preserve">be </w:t>
      </w:r>
      <w:r w:rsidRPr="006C5DE9">
        <w:t xml:space="preserve">required to meet </w:t>
      </w:r>
      <w:r w:rsidR="00F37FD4">
        <w:t>specified</w:t>
      </w:r>
      <w:r w:rsidRPr="006C5DE9">
        <w:t xml:space="preserve"> standards and conditions</w:t>
      </w:r>
      <w:r>
        <w:t xml:space="preserve">, meaning that they would pose a significant risk to human health and the environment. </w:t>
      </w:r>
    </w:p>
    <w:p w14:paraId="656B0328" w14:textId="77777777" w:rsidR="001D0C33" w:rsidRPr="002E2BA7" w:rsidRDefault="001D0C33" w:rsidP="00B9192C">
      <w:r>
        <w:t>DELWP and EPA also considered the appropriateness of the 5,000</w:t>
      </w:r>
      <w:r w:rsidR="009271CA">
        <w:t xml:space="preserve"> litres</w:t>
      </w:r>
      <w:r w:rsidR="00A0525A">
        <w:t xml:space="preserve"> any </w:t>
      </w:r>
      <w:r>
        <w:t xml:space="preserve">day threshold, however as with other permissioning thresholds, </w:t>
      </w:r>
      <w:r w:rsidR="00F37FD4">
        <w:t xml:space="preserve">considered it was desirable </w:t>
      </w:r>
      <w:r w:rsidR="00E213E9">
        <w:t xml:space="preserve">to leave thresholds unchanged to minimise </w:t>
      </w:r>
      <w:r w:rsidR="00E213E9" w:rsidRPr="00064264">
        <w:t xml:space="preserve">disruption </w:t>
      </w:r>
      <w:r w:rsidR="00E213E9">
        <w:t xml:space="preserve">for duty holders and councils, </w:t>
      </w:r>
      <w:r w:rsidR="00E213E9" w:rsidRPr="00064264">
        <w:t xml:space="preserve">and </w:t>
      </w:r>
      <w:r w:rsidR="00E213E9">
        <w:t xml:space="preserve">to allow </w:t>
      </w:r>
      <w:r w:rsidR="00E213E9" w:rsidRPr="00064264">
        <w:t>the GED to demonstrate its effectiveness</w:t>
      </w:r>
      <w:r w:rsidR="00E213E9">
        <w:t xml:space="preserve">. </w:t>
      </w:r>
    </w:p>
    <w:p w14:paraId="656B0329" w14:textId="77777777" w:rsidR="00AF1882" w:rsidRDefault="00922BBC" w:rsidP="00982D63">
      <w:pPr>
        <w:pStyle w:val="Heading2"/>
      </w:pPr>
      <w:r>
        <w:t>Assessment</w:t>
      </w:r>
    </w:p>
    <w:p w14:paraId="656B032A" w14:textId="77777777" w:rsidR="00EB0FC5" w:rsidRDefault="00922BBC" w:rsidP="00922BBC">
      <w:r>
        <w:t xml:space="preserve">MCA is used to assess options for the </w:t>
      </w:r>
      <w:r w:rsidR="00EB0FC5">
        <w:t xml:space="preserve">regulation of </w:t>
      </w:r>
      <w:r>
        <w:t>on</w:t>
      </w:r>
      <w:r w:rsidR="00AE0C24">
        <w:t>-</w:t>
      </w:r>
      <w:r>
        <w:t>site system</w:t>
      </w:r>
      <w:r w:rsidR="00EB0FC5">
        <w:t>s</w:t>
      </w:r>
      <w:r>
        <w:t xml:space="preserve">. </w:t>
      </w:r>
    </w:p>
    <w:p w14:paraId="656B032B" w14:textId="77777777" w:rsidR="00A05293" w:rsidRDefault="00A05293" w:rsidP="00B9192C">
      <w:pPr>
        <w:pStyle w:val="Heading3"/>
        <w:ind w:left="720"/>
      </w:pPr>
      <w:r>
        <w:t>Effectiveness</w:t>
      </w:r>
    </w:p>
    <w:p w14:paraId="656B032C" w14:textId="77777777" w:rsidR="003857ED" w:rsidRDefault="006C7E00" w:rsidP="006C7E00">
      <w:r w:rsidRPr="009431F8">
        <w:t>Under</w:t>
      </w:r>
      <w:r>
        <w:rPr>
          <w:b/>
        </w:rPr>
        <w:t xml:space="preserve"> </w:t>
      </w:r>
      <w:r w:rsidRPr="009431F8">
        <w:rPr>
          <w:b/>
        </w:rPr>
        <w:t>Option 1</w:t>
      </w:r>
      <w:r w:rsidRPr="009431F8">
        <w:t>,</w:t>
      </w:r>
      <w:r>
        <w:t xml:space="preserve"> duty holders would be required to seek council permission to </w:t>
      </w:r>
      <w:r w:rsidR="00842AE1">
        <w:t xml:space="preserve">construct / </w:t>
      </w:r>
      <w:r>
        <w:t>install a new on</w:t>
      </w:r>
      <w:r w:rsidR="00AE0C24">
        <w:t>-</w:t>
      </w:r>
      <w:r>
        <w:t>site system, or to alter or modify an existing on</w:t>
      </w:r>
      <w:r w:rsidR="00AE0C24">
        <w:t>-</w:t>
      </w:r>
      <w:r>
        <w:t xml:space="preserve">site system. </w:t>
      </w:r>
      <w:r w:rsidRPr="000E7C5E">
        <w:t>Option 1</w:t>
      </w:r>
      <w:r>
        <w:t xml:space="preserve"> is anticipated to reduce the risk of harm to human health and the environment, over and above the Base C</w:t>
      </w:r>
      <w:r w:rsidRPr="00956B6D">
        <w:t>ase</w:t>
      </w:r>
      <w:r>
        <w:t>, by ensuring that all new or modified systems are</w:t>
      </w:r>
      <w:r w:rsidR="005D2713">
        <w:t xml:space="preserve"> of</w:t>
      </w:r>
      <w:r>
        <w:t xml:space="preserve"> an approved type, and are suitable for the proposed site. </w:t>
      </w:r>
    </w:p>
    <w:p w14:paraId="656B032D" w14:textId="77777777" w:rsidR="006C7E00" w:rsidRDefault="006C7E00" w:rsidP="006C7E00">
      <w:r>
        <w:t xml:space="preserve">However, Option 1 </w:t>
      </w:r>
      <w:r w:rsidR="00804BF7">
        <w:t>may</w:t>
      </w:r>
      <w:r>
        <w:t xml:space="preserve"> be less effective in addressing any issues relating to existing on</w:t>
      </w:r>
      <w:r w:rsidR="00AE0C24">
        <w:t>-</w:t>
      </w:r>
      <w:r>
        <w:t>site systems that are not being properly maintained, are failing, or have not been installed appropriately but council</w:t>
      </w:r>
      <w:r w:rsidR="009271CA">
        <w:t>s</w:t>
      </w:r>
      <w:r>
        <w:t xml:space="preserve"> are unaware of.</w:t>
      </w:r>
      <w:r w:rsidR="003857ED">
        <w:t xml:space="preserve"> Permits would cease once the installation or alteration of the on</w:t>
      </w:r>
      <w:r w:rsidR="00DD5CE9">
        <w:t>-</w:t>
      </w:r>
      <w:r w:rsidR="003857ED">
        <w:t xml:space="preserve">site system is completed and its operation is approved by </w:t>
      </w:r>
      <w:r w:rsidR="009271CA">
        <w:t>council</w:t>
      </w:r>
      <w:r w:rsidR="003857ED">
        <w:t xml:space="preserve">. </w:t>
      </w:r>
      <w:r w:rsidR="00AD123A">
        <w:t xml:space="preserve">There would be private incentives to encourage maintenance, such as maintaining property value and greater amenity. </w:t>
      </w:r>
      <w:r w:rsidR="008100A1">
        <w:t>The GED would also apply, however offences for breaches of the GED do not apply to all persons – only those conducting a business or undertaking. The GED is</w:t>
      </w:r>
      <w:r w:rsidR="008660EC">
        <w:t xml:space="preserve"> unlikely to be as effective as requiring </w:t>
      </w:r>
      <w:r w:rsidR="0013641A">
        <w:t xml:space="preserve">duty holders to hold and routinely renew </w:t>
      </w:r>
      <w:r w:rsidR="008660EC">
        <w:t>permit</w:t>
      </w:r>
      <w:r w:rsidR="0013641A">
        <w:t xml:space="preserve">s to operate </w:t>
      </w:r>
      <w:r w:rsidR="008660EC">
        <w:t>on-site systems</w:t>
      </w:r>
      <w:r w:rsidR="0013641A">
        <w:t>.</w:t>
      </w:r>
      <w:r w:rsidR="008660EC">
        <w:t xml:space="preserve"> </w:t>
      </w:r>
      <w:r>
        <w:t>A</w:t>
      </w:r>
      <w:r w:rsidRPr="009431F8">
        <w:t xml:space="preserve"> score of </w:t>
      </w:r>
      <w:r>
        <w:t>+</w:t>
      </w:r>
      <w:r w:rsidR="0013641A">
        <w:t>5</w:t>
      </w:r>
      <w:r w:rsidRPr="009431F8">
        <w:t xml:space="preserve"> is given relative to the </w:t>
      </w:r>
      <w:r>
        <w:t>Base Case</w:t>
      </w:r>
      <w:r w:rsidRPr="00956B6D">
        <w:t>.</w:t>
      </w:r>
    </w:p>
    <w:p w14:paraId="656B032E" w14:textId="77777777" w:rsidR="00A05293" w:rsidRDefault="00FF1007" w:rsidP="00A05293">
      <w:r w:rsidRPr="009431F8">
        <w:t>Under</w:t>
      </w:r>
      <w:r>
        <w:rPr>
          <w:b/>
        </w:rPr>
        <w:t xml:space="preserve"> </w:t>
      </w:r>
      <w:r w:rsidRPr="009431F8">
        <w:rPr>
          <w:b/>
        </w:rPr>
        <w:t xml:space="preserve">Option </w:t>
      </w:r>
      <w:r>
        <w:rPr>
          <w:b/>
        </w:rPr>
        <w:t>2</w:t>
      </w:r>
      <w:r w:rsidRPr="009431F8">
        <w:t>,</w:t>
      </w:r>
      <w:r>
        <w:t xml:space="preserve"> duty holders would also be required to apply </w:t>
      </w:r>
      <w:r w:rsidR="00176910">
        <w:t xml:space="preserve">to local council </w:t>
      </w:r>
      <w:r>
        <w:t>for permits to operate on</w:t>
      </w:r>
      <w:r w:rsidR="00A706B3">
        <w:t>-</w:t>
      </w:r>
      <w:r>
        <w:t>site systems, and obtain renewals of those permits</w:t>
      </w:r>
      <w:r w:rsidR="00BA4EE8">
        <w:t xml:space="preserve"> every five years</w:t>
      </w:r>
      <w:r>
        <w:t xml:space="preserve">. </w:t>
      </w:r>
      <w:r w:rsidR="00176910">
        <w:t xml:space="preserve">This option is anticipated to further reduce the risk of harm to human health and the environmental, over and above Option 1, by </w:t>
      </w:r>
      <w:r w:rsidR="00BA4EE8">
        <w:t xml:space="preserve">enabling </w:t>
      </w:r>
      <w:r w:rsidR="00176910">
        <w:t>councils to assess and manage the risks (</w:t>
      </w:r>
      <w:r w:rsidR="00E2379B">
        <w:t xml:space="preserve">including </w:t>
      </w:r>
      <w:r w:rsidR="00176910">
        <w:t xml:space="preserve">by imposing </w:t>
      </w:r>
      <w:r w:rsidR="00657ED7">
        <w:t>permit</w:t>
      </w:r>
      <w:r w:rsidR="00176910">
        <w:t xml:space="preserve"> conditions) on </w:t>
      </w:r>
      <w:r w:rsidR="00BA4EE8">
        <w:t>any on</w:t>
      </w:r>
      <w:r w:rsidR="00DD5CE9">
        <w:t>-</w:t>
      </w:r>
      <w:r w:rsidR="00BA4EE8">
        <w:t>site system within the municipality</w:t>
      </w:r>
      <w:r w:rsidR="00A706B3">
        <w:t xml:space="preserve"> – and requiring operators to adequately maintain the system in order to be issued a permit</w:t>
      </w:r>
      <w:r w:rsidR="00BA4EE8">
        <w:t>. However, it is unlikely that each council would be able to identify and rectify all failing systems within the</w:t>
      </w:r>
      <w:r w:rsidR="009271CA">
        <w:t>ir</w:t>
      </w:r>
      <w:r w:rsidR="00BA4EE8">
        <w:t xml:space="preserve"> municipality, since councils typically have incomplete records of legacy systems. Furthermore, </w:t>
      </w:r>
      <w:r w:rsidR="00A706B3">
        <w:t xml:space="preserve">although some </w:t>
      </w:r>
      <w:r w:rsidR="00BA4EE8">
        <w:t>occupiers of premises with aging on</w:t>
      </w:r>
      <w:r w:rsidR="00A706B3">
        <w:t>-</w:t>
      </w:r>
      <w:r w:rsidR="00BA4EE8">
        <w:t xml:space="preserve">site systems may </w:t>
      </w:r>
      <w:r w:rsidR="00A706B3">
        <w:t xml:space="preserve">be able to make some improvements, many may </w:t>
      </w:r>
      <w:r w:rsidR="00BA4EE8">
        <w:t>not have sufficient financial resources to upgrade or replace those systems</w:t>
      </w:r>
      <w:r w:rsidR="00641EF0">
        <w:t xml:space="preserve"> to meet current standards</w:t>
      </w:r>
      <w:r w:rsidR="00BA4EE8">
        <w:t xml:space="preserve">. </w:t>
      </w:r>
      <w:r w:rsidR="00B2202D">
        <w:rPr>
          <w:rFonts w:eastAsia="Segoe UI Light" w:cs="Segoe UI Light"/>
          <w:szCs w:val="20"/>
        </w:rPr>
        <w:t xml:space="preserve">Operators of systems </w:t>
      </w:r>
      <w:r w:rsidR="00B2202D" w:rsidRPr="5A8DC5B2">
        <w:rPr>
          <w:rFonts w:eastAsia="Segoe UI Light" w:cs="Segoe UI Light"/>
          <w:szCs w:val="20"/>
        </w:rPr>
        <w:t>found to not comply with requirements would be unable to obtain a permit to operate.</w:t>
      </w:r>
      <w:r w:rsidR="00B2202D">
        <w:rPr>
          <w:rFonts w:eastAsia="Segoe UI Light" w:cs="Segoe UI Light"/>
          <w:szCs w:val="20"/>
        </w:rPr>
        <w:t xml:space="preserve"> </w:t>
      </w:r>
      <w:r w:rsidR="00BA4EE8">
        <w:t>A</w:t>
      </w:r>
      <w:r w:rsidR="00BA4EE8" w:rsidRPr="009431F8">
        <w:t xml:space="preserve"> score of </w:t>
      </w:r>
      <w:r w:rsidR="00BA4EE8">
        <w:t>+</w:t>
      </w:r>
      <w:r w:rsidR="00AD123A">
        <w:t>7</w:t>
      </w:r>
      <w:r w:rsidR="00BA4EE8" w:rsidRPr="009431F8">
        <w:t xml:space="preserve"> is given relative to the </w:t>
      </w:r>
      <w:r w:rsidR="00BA4EE8">
        <w:t>Base Case</w:t>
      </w:r>
      <w:r w:rsidR="00BA4EE8" w:rsidRPr="00956B6D">
        <w:t>.</w:t>
      </w:r>
    </w:p>
    <w:p w14:paraId="656B032F" w14:textId="77777777" w:rsidR="00BA4EE8" w:rsidRDefault="00BA4EE8" w:rsidP="00B9192C">
      <w:pPr>
        <w:pStyle w:val="Heading3"/>
        <w:ind w:left="720"/>
      </w:pPr>
      <w:r>
        <w:t xml:space="preserve">Cost </w:t>
      </w:r>
    </w:p>
    <w:p w14:paraId="656B0330" w14:textId="77777777" w:rsidR="009211B6" w:rsidRDefault="009211B6" w:rsidP="009211B6">
      <w:pPr>
        <w:spacing w:before="120" w:after="0"/>
        <w:rPr>
          <w:b/>
          <w:i/>
        </w:rPr>
      </w:pPr>
      <w:r>
        <w:rPr>
          <w:b/>
          <w:i/>
        </w:rPr>
        <w:t>Cost</w:t>
      </w:r>
      <w:r w:rsidRPr="009431F8">
        <w:rPr>
          <w:b/>
          <w:i/>
        </w:rPr>
        <w:t xml:space="preserve"> to </w:t>
      </w:r>
      <w:r>
        <w:rPr>
          <w:b/>
          <w:i/>
        </w:rPr>
        <w:t>local councils</w:t>
      </w:r>
    </w:p>
    <w:p w14:paraId="656B0331" w14:textId="77777777" w:rsidR="009211B6" w:rsidRDefault="009211B6" w:rsidP="009211B6">
      <w:pPr>
        <w:spacing w:before="120" w:after="0"/>
      </w:pPr>
      <w:r>
        <w:t xml:space="preserve">Under </w:t>
      </w:r>
      <w:r w:rsidR="005D2713" w:rsidRPr="000E7C5E">
        <w:t xml:space="preserve">both Option </w:t>
      </w:r>
      <w:r w:rsidRPr="000E7C5E">
        <w:t xml:space="preserve">1 and </w:t>
      </w:r>
      <w:r w:rsidR="005D2713" w:rsidRPr="000E7C5E">
        <w:t xml:space="preserve">Option </w:t>
      </w:r>
      <w:r w:rsidRPr="000E7C5E">
        <w:t>2</w:t>
      </w:r>
      <w:r>
        <w:t>, local councils will bear the following costs:</w:t>
      </w:r>
    </w:p>
    <w:p w14:paraId="656B0332" w14:textId="77777777" w:rsidR="009211B6" w:rsidRPr="009211B6" w:rsidRDefault="00A83308" w:rsidP="004A2442">
      <w:pPr>
        <w:pStyle w:val="ListParagraph"/>
        <w:numPr>
          <w:ilvl w:val="0"/>
          <w:numId w:val="34"/>
        </w:numPr>
        <w:rPr>
          <w:b/>
        </w:rPr>
      </w:pPr>
      <w:r>
        <w:rPr>
          <w:b/>
        </w:rPr>
        <w:t xml:space="preserve">Indirect </w:t>
      </w:r>
      <w:r w:rsidR="009211B6">
        <w:rPr>
          <w:b/>
        </w:rPr>
        <w:t>costs</w:t>
      </w:r>
      <w:r w:rsidR="009211B6" w:rsidRPr="008113F9">
        <w:rPr>
          <w:b/>
        </w:rPr>
        <w:t>:</w:t>
      </w:r>
      <w:r w:rsidR="009211B6">
        <w:rPr>
          <w:b/>
        </w:rPr>
        <w:t xml:space="preserve"> </w:t>
      </w:r>
      <w:r w:rsidR="009211B6">
        <w:t>Local councils will incur overhead costs in administering a permit system. These include annual fee setting and budgeting, training, communications and website maintenance and vehicle overheads</w:t>
      </w:r>
      <w:r>
        <w:t xml:space="preserve">. In some instances, councils also may need to respond to complaints, issue notices for non-compliance, and respond to appeals made through the Victorian Civil and Administrative Tribunal (VCAT). </w:t>
      </w:r>
    </w:p>
    <w:p w14:paraId="656B0333" w14:textId="77777777" w:rsidR="009211B6" w:rsidRPr="009540CC" w:rsidRDefault="00A83308" w:rsidP="004A2442">
      <w:pPr>
        <w:pStyle w:val="ListParagraph"/>
        <w:numPr>
          <w:ilvl w:val="0"/>
          <w:numId w:val="34"/>
        </w:numPr>
        <w:rPr>
          <w:b/>
        </w:rPr>
      </w:pPr>
      <w:r>
        <w:rPr>
          <w:b/>
        </w:rPr>
        <w:t>Direct p</w:t>
      </w:r>
      <w:r w:rsidR="009211B6" w:rsidRPr="009211B6">
        <w:rPr>
          <w:b/>
        </w:rPr>
        <w:t xml:space="preserve">ermit </w:t>
      </w:r>
      <w:r w:rsidR="009211B6">
        <w:rPr>
          <w:b/>
        </w:rPr>
        <w:t xml:space="preserve">costs: </w:t>
      </w:r>
      <w:r w:rsidR="009211B6" w:rsidRPr="009211B6">
        <w:t>Local</w:t>
      </w:r>
      <w:r w:rsidR="009211B6">
        <w:t xml:space="preserve"> councils will incur costs for each permit application. T</w:t>
      </w:r>
      <w:r>
        <w:t>he activities which would contribute to the cost of administering a permit are</w:t>
      </w:r>
      <w:r w:rsidR="009211B6">
        <w:t xml:space="preserve">: receipt and assessment of application, </w:t>
      </w:r>
      <w:r>
        <w:t>initial site assessment, installation inspection, final inspection, follow-up of non-compliance issues (where applicable), follow-up of non-payment (where applicable), and processing fees</w:t>
      </w:r>
      <w:r w:rsidR="00DC7A63">
        <w:t xml:space="preserve">. </w:t>
      </w:r>
    </w:p>
    <w:p w14:paraId="656B0334" w14:textId="77777777" w:rsidR="00594730" w:rsidRDefault="00594730" w:rsidP="00CE71B4">
      <w:pPr>
        <w:spacing w:before="120" w:after="0"/>
      </w:pPr>
      <w:r>
        <w:t xml:space="preserve">Deloitte Access Economics consulted with </w:t>
      </w:r>
      <w:r w:rsidR="003D1E7A">
        <w:t xml:space="preserve">officers from </w:t>
      </w:r>
      <w:r>
        <w:t>six local council</w:t>
      </w:r>
      <w:r w:rsidR="003D1E7A">
        <w:t>s</w:t>
      </w:r>
      <w:r w:rsidR="003D1E7A">
        <w:rPr>
          <w:rStyle w:val="FootnoteReference"/>
        </w:rPr>
        <w:footnoteReference w:id="95"/>
      </w:r>
      <w:r>
        <w:t xml:space="preserve"> to obtain estimates of the cost of administering </w:t>
      </w:r>
      <w:r w:rsidR="00641EF0">
        <w:t xml:space="preserve">permits for </w:t>
      </w:r>
      <w:r>
        <w:t>on</w:t>
      </w:r>
      <w:r w:rsidR="00A706B3">
        <w:t>-</w:t>
      </w:r>
      <w:r>
        <w:t xml:space="preserve">site </w:t>
      </w:r>
      <w:r w:rsidR="00641EF0">
        <w:t xml:space="preserve">systems </w:t>
      </w:r>
      <w:r w:rsidR="00664307">
        <w:t xml:space="preserve">under the current </w:t>
      </w:r>
      <w:r w:rsidR="005F12C3">
        <w:t xml:space="preserve">legislation </w:t>
      </w:r>
      <w:r w:rsidR="00664307">
        <w:t>(the EP Act 1970)</w:t>
      </w:r>
      <w:r>
        <w:t xml:space="preserve">. </w:t>
      </w:r>
      <w:r w:rsidR="00664307">
        <w:t xml:space="preserve">This information can be used to estimate the annual cost to local councils under Option 1. </w:t>
      </w:r>
      <w:r>
        <w:t xml:space="preserve">Most </w:t>
      </w:r>
      <w:r w:rsidR="00664307">
        <w:t xml:space="preserve">council officers </w:t>
      </w:r>
      <w:r>
        <w:t xml:space="preserve">indicated that </w:t>
      </w:r>
      <w:r w:rsidR="005D2713">
        <w:t xml:space="preserve">councils </w:t>
      </w:r>
      <w:r>
        <w:t>were often not able to recover all costs from administering on</w:t>
      </w:r>
      <w:r w:rsidR="005F12C3">
        <w:t>-</w:t>
      </w:r>
      <w:r>
        <w:t>site wastewater permits</w:t>
      </w:r>
      <w:r w:rsidR="00AD123A">
        <w:t>, reflecting pressure to keep fees low, and the additional costs associated with more complex applications</w:t>
      </w:r>
      <w:r>
        <w:t xml:space="preserve">. </w:t>
      </w:r>
      <w:r w:rsidR="00641EF0">
        <w:t xml:space="preserve">Further costs may also be incurred </w:t>
      </w:r>
      <w:r w:rsidR="00ED124A">
        <w:t xml:space="preserve">by </w:t>
      </w:r>
      <w:r w:rsidR="005D2713">
        <w:t>c</w:t>
      </w:r>
      <w:r w:rsidR="00ED124A">
        <w:t xml:space="preserve">ouncils </w:t>
      </w:r>
      <w:r w:rsidR="00641EF0">
        <w:t>in relation to granting permit exemptions, as well as transferring and amending permits</w:t>
      </w:r>
      <w:r w:rsidR="005F12C3">
        <w:t>, although these matters are likely to arise infrequently</w:t>
      </w:r>
      <w:r w:rsidR="00DC7A63">
        <w:t xml:space="preserve">. </w:t>
      </w:r>
    </w:p>
    <w:p w14:paraId="656B0335" w14:textId="77777777" w:rsidR="00BA31E9" w:rsidRDefault="00BA31E9" w:rsidP="00CE71B4">
      <w:pPr>
        <w:spacing w:before="120" w:after="0"/>
      </w:pPr>
      <w:r>
        <w:t>The table below summarises the responses of the council officers. T</w:t>
      </w:r>
      <w:r w:rsidRPr="00594730">
        <w:t xml:space="preserve">he average </w:t>
      </w:r>
      <w:r>
        <w:t xml:space="preserve">annual direct and indirect cost </w:t>
      </w:r>
      <w:r w:rsidR="00F37FD4">
        <w:t>is</w:t>
      </w:r>
      <w:r w:rsidR="00F37FD4" w:rsidRPr="000E7C5E">
        <w:t xml:space="preserve"> </w:t>
      </w:r>
      <w:r w:rsidRPr="000E7C5E">
        <w:t xml:space="preserve">$51,400 per </w:t>
      </w:r>
      <w:r w:rsidR="006415C4" w:rsidRPr="000E7C5E">
        <w:t>council, per year</w:t>
      </w:r>
      <w:r w:rsidRPr="005D2713">
        <w:t>. Importantly</w:t>
      </w:r>
      <w:r>
        <w:t xml:space="preserve">, councils can recover </w:t>
      </w:r>
      <w:r w:rsidR="00047578">
        <w:t xml:space="preserve">some of the </w:t>
      </w:r>
      <w:r>
        <w:t>cost of administering permits for on</w:t>
      </w:r>
      <w:r w:rsidR="005F12C3">
        <w:t>-</w:t>
      </w:r>
      <w:r>
        <w:t>site systems. However, many council officers indicated that full cost recovery was difficult, largely reflecting the complexity (and resultant extra effort) of some applications. Therefore, these council costs will be borne by both duty holders (for costs that are recovered) and councils (for any costs which cannot be recovered).</w:t>
      </w:r>
    </w:p>
    <w:p w14:paraId="656B0336" w14:textId="77777777" w:rsidR="00594730" w:rsidRDefault="0041102F" w:rsidP="00664307">
      <w:pPr>
        <w:pStyle w:val="Caption"/>
      </w:pPr>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7</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w:t>
      </w:r>
      <w:r w:rsidR="00997CFA">
        <w:rPr>
          <w:color w:val="2B579A"/>
          <w:shd w:val="clear" w:color="auto" w:fill="E6E6E6"/>
        </w:rPr>
        <w:fldChar w:fldCharType="end"/>
      </w:r>
      <w:r>
        <w:t>:</w:t>
      </w:r>
      <w:r w:rsidR="00664307">
        <w:t xml:space="preserve"> </w:t>
      </w:r>
      <w:r w:rsidR="00BA31E9">
        <w:t>Annual c</w:t>
      </w:r>
      <w:r w:rsidR="00664307">
        <w:t xml:space="preserve">osts per council for administering permits to install or modify </w:t>
      </w:r>
      <w:r w:rsidR="00BA31E9">
        <w:t>on</w:t>
      </w:r>
      <w:r w:rsidR="00DD5CE9">
        <w:t>-</w:t>
      </w:r>
      <w:r w:rsidR="00BA31E9">
        <w:t xml:space="preserve">site systems. </w:t>
      </w:r>
    </w:p>
    <w:tbl>
      <w:tblPr>
        <w:tblStyle w:val="Deloittetable1"/>
        <w:tblW w:w="9233" w:type="dxa"/>
        <w:tblLook w:val="04A0" w:firstRow="1" w:lastRow="0" w:firstColumn="1" w:lastColumn="0" w:noHBand="0" w:noVBand="1"/>
      </w:tblPr>
      <w:tblGrid>
        <w:gridCol w:w="4189"/>
        <w:gridCol w:w="2456"/>
        <w:gridCol w:w="2588"/>
      </w:tblGrid>
      <w:tr w:rsidR="00863C40" w14:paraId="656B033A" w14:textId="77777777" w:rsidTr="00B9192C">
        <w:trPr>
          <w:cnfStyle w:val="100000000000" w:firstRow="1" w:lastRow="0" w:firstColumn="0" w:lastColumn="0" w:oddVBand="0" w:evenVBand="0" w:oddHBand="0" w:evenHBand="0" w:firstRowFirstColumn="0" w:firstRowLastColumn="0" w:lastRowFirstColumn="0" w:lastRowLastColumn="0"/>
          <w:trHeight w:val="272"/>
        </w:trPr>
        <w:tc>
          <w:tcPr>
            <w:tcW w:w="0" w:type="dxa"/>
          </w:tcPr>
          <w:p w14:paraId="656B0337" w14:textId="77777777" w:rsidR="00863C40" w:rsidRPr="005B03CD" w:rsidRDefault="00863C40" w:rsidP="00863C40">
            <w:r>
              <w:rPr>
                <w:b/>
              </w:rPr>
              <w:t>Variable</w:t>
            </w:r>
          </w:p>
        </w:tc>
        <w:tc>
          <w:tcPr>
            <w:tcW w:w="0" w:type="dxa"/>
          </w:tcPr>
          <w:p w14:paraId="656B0338" w14:textId="77777777" w:rsidR="00863C40" w:rsidRDefault="00863C40" w:rsidP="0073546C">
            <w:pPr>
              <w:ind w:right="57"/>
              <w:jc w:val="right"/>
              <w:rPr>
                <w:b/>
              </w:rPr>
            </w:pPr>
            <w:r>
              <w:rPr>
                <w:b/>
              </w:rPr>
              <w:t>Low-high</w:t>
            </w:r>
          </w:p>
        </w:tc>
        <w:tc>
          <w:tcPr>
            <w:tcW w:w="0" w:type="dxa"/>
          </w:tcPr>
          <w:p w14:paraId="656B0339" w14:textId="77777777" w:rsidR="00863C40" w:rsidRDefault="00863C40" w:rsidP="0073546C">
            <w:pPr>
              <w:ind w:right="57"/>
              <w:jc w:val="right"/>
              <w:rPr>
                <w:b/>
              </w:rPr>
            </w:pPr>
            <w:r>
              <w:rPr>
                <w:b/>
              </w:rPr>
              <w:t>Simple average</w:t>
            </w:r>
          </w:p>
        </w:tc>
      </w:tr>
      <w:tr w:rsidR="00863C40" w14:paraId="656B033E" w14:textId="77777777" w:rsidTr="00B9192C">
        <w:trPr>
          <w:trHeight w:val="246"/>
        </w:trPr>
        <w:tc>
          <w:tcPr>
            <w:tcW w:w="0" w:type="dxa"/>
          </w:tcPr>
          <w:p w14:paraId="656B033B" w14:textId="77777777" w:rsidR="00863C40" w:rsidRPr="00594730" w:rsidRDefault="00863C40" w:rsidP="00863C40">
            <w:pPr>
              <w:spacing w:after="0"/>
              <w:rPr>
                <w:sz w:val="18"/>
              </w:rPr>
            </w:pPr>
            <w:r w:rsidRPr="00594730">
              <w:rPr>
                <w:sz w:val="18"/>
              </w:rPr>
              <w:t>Annual number of construct/install permits</w:t>
            </w:r>
            <w:r>
              <w:rPr>
                <w:sz w:val="18"/>
              </w:rPr>
              <w:t xml:space="preserve"> per council</w:t>
            </w:r>
          </w:p>
        </w:tc>
        <w:tc>
          <w:tcPr>
            <w:tcW w:w="0" w:type="dxa"/>
          </w:tcPr>
          <w:p w14:paraId="656B033C" w14:textId="77777777" w:rsidR="00863C40" w:rsidRDefault="00863C40" w:rsidP="0073546C">
            <w:pPr>
              <w:tabs>
                <w:tab w:val="left" w:pos="1248"/>
              </w:tabs>
              <w:spacing w:after="0"/>
              <w:ind w:right="57"/>
              <w:jc w:val="right"/>
              <w:rPr>
                <w:sz w:val="18"/>
              </w:rPr>
            </w:pPr>
            <w:r>
              <w:rPr>
                <w:sz w:val="18"/>
              </w:rPr>
              <w:t>31-120</w:t>
            </w:r>
          </w:p>
        </w:tc>
        <w:tc>
          <w:tcPr>
            <w:tcW w:w="0" w:type="dxa"/>
          </w:tcPr>
          <w:p w14:paraId="656B033D" w14:textId="77777777" w:rsidR="00863C40" w:rsidRPr="00594730" w:rsidRDefault="00863C40" w:rsidP="0073546C">
            <w:pPr>
              <w:spacing w:after="0"/>
              <w:ind w:right="57"/>
              <w:jc w:val="right"/>
              <w:rPr>
                <w:sz w:val="18"/>
              </w:rPr>
            </w:pPr>
            <w:r>
              <w:rPr>
                <w:sz w:val="18"/>
              </w:rPr>
              <w:t>58</w:t>
            </w:r>
          </w:p>
        </w:tc>
      </w:tr>
      <w:tr w:rsidR="00863C40" w14:paraId="656B0342" w14:textId="77777777" w:rsidTr="00B9192C">
        <w:trPr>
          <w:trHeight w:val="246"/>
        </w:trPr>
        <w:tc>
          <w:tcPr>
            <w:tcW w:w="0" w:type="dxa"/>
          </w:tcPr>
          <w:p w14:paraId="656B033F" w14:textId="77777777" w:rsidR="00863C40" w:rsidRPr="00594730" w:rsidRDefault="00863C40" w:rsidP="00863C40">
            <w:pPr>
              <w:spacing w:after="0"/>
              <w:rPr>
                <w:sz w:val="18"/>
              </w:rPr>
            </w:pPr>
            <w:r w:rsidRPr="00594730">
              <w:rPr>
                <w:sz w:val="18"/>
              </w:rPr>
              <w:t xml:space="preserve">Annual number of </w:t>
            </w:r>
            <w:r>
              <w:rPr>
                <w:sz w:val="18"/>
              </w:rPr>
              <w:t xml:space="preserve">modification </w:t>
            </w:r>
            <w:r w:rsidRPr="00594730">
              <w:rPr>
                <w:sz w:val="18"/>
              </w:rPr>
              <w:t>permits</w:t>
            </w:r>
            <w:r>
              <w:rPr>
                <w:sz w:val="18"/>
              </w:rPr>
              <w:t xml:space="preserve"> per council</w:t>
            </w:r>
          </w:p>
        </w:tc>
        <w:tc>
          <w:tcPr>
            <w:tcW w:w="0" w:type="dxa"/>
          </w:tcPr>
          <w:p w14:paraId="656B0340" w14:textId="77777777" w:rsidR="00863C40" w:rsidRDefault="00863C40" w:rsidP="0073546C">
            <w:pPr>
              <w:spacing w:after="0"/>
              <w:ind w:right="57"/>
              <w:jc w:val="right"/>
              <w:rPr>
                <w:sz w:val="18"/>
              </w:rPr>
            </w:pPr>
            <w:r>
              <w:rPr>
                <w:sz w:val="18"/>
              </w:rPr>
              <w:t>7-35</w:t>
            </w:r>
          </w:p>
        </w:tc>
        <w:tc>
          <w:tcPr>
            <w:tcW w:w="0" w:type="dxa"/>
          </w:tcPr>
          <w:p w14:paraId="656B0341" w14:textId="77777777" w:rsidR="00863C40" w:rsidRPr="00594730" w:rsidRDefault="00863C40" w:rsidP="0073546C">
            <w:pPr>
              <w:spacing w:after="0"/>
              <w:ind w:right="57"/>
              <w:jc w:val="right"/>
              <w:rPr>
                <w:sz w:val="18"/>
              </w:rPr>
            </w:pPr>
            <w:r>
              <w:rPr>
                <w:sz w:val="18"/>
              </w:rPr>
              <w:t>12</w:t>
            </w:r>
          </w:p>
        </w:tc>
      </w:tr>
      <w:tr w:rsidR="00863C40" w14:paraId="656B0346" w14:textId="77777777" w:rsidTr="00B9192C">
        <w:trPr>
          <w:trHeight w:val="246"/>
        </w:trPr>
        <w:tc>
          <w:tcPr>
            <w:tcW w:w="0" w:type="dxa"/>
          </w:tcPr>
          <w:p w14:paraId="656B0343" w14:textId="77777777" w:rsidR="00863C40" w:rsidRPr="00594730" w:rsidRDefault="00863C40" w:rsidP="00863C40">
            <w:pPr>
              <w:spacing w:after="0"/>
              <w:rPr>
                <w:sz w:val="18"/>
              </w:rPr>
            </w:pPr>
            <w:r w:rsidRPr="00594730">
              <w:rPr>
                <w:sz w:val="18"/>
              </w:rPr>
              <w:t>Average cost per construction permit</w:t>
            </w:r>
            <w:r>
              <w:rPr>
                <w:sz w:val="18"/>
              </w:rPr>
              <w:t xml:space="preserve"> (direct and indirect)</w:t>
            </w:r>
          </w:p>
        </w:tc>
        <w:tc>
          <w:tcPr>
            <w:tcW w:w="0" w:type="dxa"/>
          </w:tcPr>
          <w:p w14:paraId="656B0344" w14:textId="77777777" w:rsidR="00863C40" w:rsidRDefault="00863C40" w:rsidP="0073546C">
            <w:pPr>
              <w:spacing w:after="0"/>
              <w:ind w:right="57"/>
              <w:jc w:val="right"/>
              <w:rPr>
                <w:sz w:val="18"/>
              </w:rPr>
            </w:pPr>
            <w:r>
              <w:rPr>
                <w:sz w:val="18"/>
              </w:rPr>
              <w:t>$490-$1,000</w:t>
            </w:r>
          </w:p>
        </w:tc>
        <w:tc>
          <w:tcPr>
            <w:tcW w:w="0" w:type="dxa"/>
          </w:tcPr>
          <w:p w14:paraId="656B0345" w14:textId="77777777" w:rsidR="00863C40" w:rsidRDefault="00863C40" w:rsidP="0073546C">
            <w:pPr>
              <w:spacing w:after="0"/>
              <w:ind w:right="57"/>
              <w:jc w:val="right"/>
              <w:rPr>
                <w:sz w:val="18"/>
              </w:rPr>
            </w:pPr>
            <w:r>
              <w:rPr>
                <w:sz w:val="18"/>
              </w:rPr>
              <w:t>$754</w:t>
            </w:r>
          </w:p>
        </w:tc>
      </w:tr>
      <w:tr w:rsidR="00863C40" w14:paraId="656B034A" w14:textId="77777777" w:rsidTr="00B9192C">
        <w:trPr>
          <w:trHeight w:val="246"/>
        </w:trPr>
        <w:tc>
          <w:tcPr>
            <w:tcW w:w="0" w:type="dxa"/>
          </w:tcPr>
          <w:p w14:paraId="656B0347" w14:textId="77777777" w:rsidR="00863C40" w:rsidRPr="00594730" w:rsidRDefault="00863C40" w:rsidP="00863C40">
            <w:pPr>
              <w:spacing w:after="0"/>
              <w:rPr>
                <w:sz w:val="18"/>
              </w:rPr>
            </w:pPr>
            <w:r w:rsidRPr="00594730">
              <w:rPr>
                <w:sz w:val="18"/>
              </w:rPr>
              <w:t>Average cost per modification permit</w:t>
            </w:r>
            <w:r>
              <w:rPr>
                <w:sz w:val="18"/>
              </w:rPr>
              <w:t xml:space="preserve"> (direct and indirect)</w:t>
            </w:r>
          </w:p>
        </w:tc>
        <w:tc>
          <w:tcPr>
            <w:tcW w:w="0" w:type="dxa"/>
          </w:tcPr>
          <w:p w14:paraId="656B0348" w14:textId="77777777" w:rsidR="00863C40" w:rsidRDefault="00863C40" w:rsidP="0073546C">
            <w:pPr>
              <w:spacing w:after="0"/>
              <w:ind w:right="57"/>
              <w:jc w:val="right"/>
              <w:rPr>
                <w:sz w:val="18"/>
              </w:rPr>
            </w:pPr>
            <w:r>
              <w:rPr>
                <w:sz w:val="18"/>
              </w:rPr>
              <w:t>$245-$600</w:t>
            </w:r>
          </w:p>
        </w:tc>
        <w:tc>
          <w:tcPr>
            <w:tcW w:w="0" w:type="dxa"/>
          </w:tcPr>
          <w:p w14:paraId="656B0349" w14:textId="77777777" w:rsidR="00863C40" w:rsidRDefault="00863C40" w:rsidP="0073546C">
            <w:pPr>
              <w:spacing w:after="0"/>
              <w:ind w:right="57"/>
              <w:jc w:val="right"/>
              <w:rPr>
                <w:sz w:val="18"/>
              </w:rPr>
            </w:pPr>
            <w:r>
              <w:rPr>
                <w:sz w:val="18"/>
              </w:rPr>
              <w:t>$398</w:t>
            </w:r>
          </w:p>
        </w:tc>
      </w:tr>
      <w:tr w:rsidR="00863C40" w14:paraId="656B034E" w14:textId="77777777" w:rsidTr="00B9192C">
        <w:trPr>
          <w:trHeight w:val="246"/>
        </w:trPr>
        <w:tc>
          <w:tcPr>
            <w:tcW w:w="0" w:type="dxa"/>
          </w:tcPr>
          <w:p w14:paraId="656B034B" w14:textId="77777777" w:rsidR="00863C40" w:rsidRPr="00594730" w:rsidRDefault="00863C40" w:rsidP="00863C40">
            <w:pPr>
              <w:spacing w:after="0"/>
              <w:rPr>
                <w:sz w:val="18"/>
              </w:rPr>
            </w:pPr>
            <w:r>
              <w:rPr>
                <w:sz w:val="18"/>
              </w:rPr>
              <w:t xml:space="preserve">Total annual costs per council (direct and indirect) </w:t>
            </w:r>
          </w:p>
        </w:tc>
        <w:tc>
          <w:tcPr>
            <w:tcW w:w="0" w:type="dxa"/>
          </w:tcPr>
          <w:p w14:paraId="656B034C" w14:textId="77777777" w:rsidR="00863C40" w:rsidRDefault="00863C40" w:rsidP="0073546C">
            <w:pPr>
              <w:spacing w:after="0"/>
              <w:ind w:right="57"/>
              <w:jc w:val="right"/>
              <w:rPr>
                <w:sz w:val="18"/>
              </w:rPr>
            </w:pPr>
            <w:r>
              <w:rPr>
                <w:sz w:val="18"/>
              </w:rPr>
              <w:t>$25,370 - $121,500</w:t>
            </w:r>
          </w:p>
        </w:tc>
        <w:tc>
          <w:tcPr>
            <w:tcW w:w="0" w:type="dxa"/>
          </w:tcPr>
          <w:p w14:paraId="656B034D" w14:textId="77777777" w:rsidR="00863C40" w:rsidRDefault="00863C40" w:rsidP="0073546C">
            <w:pPr>
              <w:spacing w:after="0"/>
              <w:ind w:right="57"/>
              <w:jc w:val="right"/>
              <w:rPr>
                <w:sz w:val="18"/>
              </w:rPr>
            </w:pPr>
            <w:r>
              <w:rPr>
                <w:sz w:val="18"/>
              </w:rPr>
              <w:t>$51,400</w:t>
            </w:r>
          </w:p>
        </w:tc>
      </w:tr>
    </w:tbl>
    <w:p w14:paraId="656B034F" w14:textId="77777777" w:rsidR="009540CC" w:rsidRPr="00594730" w:rsidRDefault="00594730" w:rsidP="00594730">
      <w:pPr>
        <w:pStyle w:val="2Source"/>
      </w:pPr>
      <w:r w:rsidRPr="00594730">
        <w:t xml:space="preserve">Source: </w:t>
      </w:r>
      <w:r>
        <w:t>Deloitte c</w:t>
      </w:r>
      <w:r w:rsidRPr="00594730">
        <w:t xml:space="preserve">onsultation. </w:t>
      </w:r>
      <w:r w:rsidR="00863C40">
        <w:t xml:space="preserve">Note that average costs represent a simple average of ‘per-system’ costs provided by councils. </w:t>
      </w:r>
    </w:p>
    <w:p w14:paraId="656B0350" w14:textId="77777777" w:rsidR="00460FAD" w:rsidRDefault="00BA31E9" w:rsidP="00557F3C">
      <w:pPr>
        <w:spacing w:before="120" w:after="0"/>
      </w:pPr>
      <w:r w:rsidRPr="00BA31E9">
        <w:t>For</w:t>
      </w:r>
      <w:r>
        <w:rPr>
          <w:b/>
        </w:rPr>
        <w:t xml:space="preserve"> </w:t>
      </w:r>
      <w:r w:rsidR="005D2713" w:rsidRPr="000E7C5E">
        <w:t xml:space="preserve">Option </w:t>
      </w:r>
      <w:r w:rsidRPr="000E7C5E">
        <w:t>2</w:t>
      </w:r>
      <w:r w:rsidRPr="005D2713">
        <w:t>,</w:t>
      </w:r>
      <w:r>
        <w:t xml:space="preserve"> councils would also incur direct and indirect costs for administering operating permits. However, the costs per permit might differ, as would the number of permits that would likely be administered each year</w:t>
      </w:r>
      <w:r w:rsidR="00557F3C">
        <w:t xml:space="preserve">. </w:t>
      </w:r>
      <w:r w:rsidR="00460FAD">
        <w:t>Some</w:t>
      </w:r>
      <w:r w:rsidR="00557F3C">
        <w:t xml:space="preserve"> councils have </w:t>
      </w:r>
      <w:r w:rsidR="00460FAD">
        <w:t xml:space="preserve">in excess of </w:t>
      </w:r>
      <w:r w:rsidR="00557F3C">
        <w:t>10,000 on</w:t>
      </w:r>
      <w:r w:rsidR="005F12C3">
        <w:t>-</w:t>
      </w:r>
      <w:r w:rsidR="00557F3C">
        <w:t xml:space="preserve">site systems operating in their municipality, </w:t>
      </w:r>
      <w:r w:rsidR="00460FAD">
        <w:t xml:space="preserve">and under Option 2, </w:t>
      </w:r>
      <w:r w:rsidR="00557F3C">
        <w:t>each one would require an operating permit to be renewed</w:t>
      </w:r>
      <w:r w:rsidR="00460FAD">
        <w:t xml:space="preserve"> every five years. </w:t>
      </w:r>
    </w:p>
    <w:p w14:paraId="656B0351" w14:textId="77777777" w:rsidR="00557F3C" w:rsidRDefault="00460FAD" w:rsidP="00557F3C">
      <w:pPr>
        <w:spacing w:before="120" w:after="0"/>
      </w:pPr>
      <w:r>
        <w:t>T</w:t>
      </w:r>
      <w:r w:rsidR="00557F3C">
        <w:t>he cost of Option 2 is significantly higher than Option 1</w:t>
      </w:r>
      <w:r w:rsidR="00BA31E9">
        <w:t xml:space="preserve">. </w:t>
      </w:r>
      <w:r>
        <w:t>Assuming that one-fifth of all existing on</w:t>
      </w:r>
      <w:r w:rsidR="005F12C3">
        <w:t>-</w:t>
      </w:r>
      <w:r>
        <w:t>site systems receive an operating permit (or renewal) in any given year, t</w:t>
      </w:r>
      <w:r w:rsidR="00557F3C" w:rsidRPr="00594730">
        <w:t xml:space="preserve">he average </w:t>
      </w:r>
      <w:r w:rsidR="00557F3C">
        <w:t xml:space="preserve">annual direct and indirect cost would </w:t>
      </w:r>
      <w:r>
        <w:t xml:space="preserve">total </w:t>
      </w:r>
      <w:r w:rsidR="00557F3C" w:rsidRPr="00BA31E9">
        <w:rPr>
          <w:b/>
        </w:rPr>
        <w:t>$5</w:t>
      </w:r>
      <w:r w:rsidR="00557F3C">
        <w:rPr>
          <w:b/>
        </w:rPr>
        <w:t>8</w:t>
      </w:r>
      <w:r w:rsidR="00557F3C" w:rsidRPr="00BA31E9">
        <w:rPr>
          <w:b/>
        </w:rPr>
        <w:t>1,</w:t>
      </w:r>
      <w:r w:rsidR="00557F3C">
        <w:rPr>
          <w:b/>
        </w:rPr>
        <w:t>2</w:t>
      </w:r>
      <w:r w:rsidR="00557F3C" w:rsidRPr="00BA31E9">
        <w:rPr>
          <w:b/>
        </w:rPr>
        <w:t xml:space="preserve">00 </w:t>
      </w:r>
      <w:r w:rsidR="006415C4">
        <w:rPr>
          <w:b/>
        </w:rPr>
        <w:t xml:space="preserve">per council, </w:t>
      </w:r>
      <w:r w:rsidR="00557F3C" w:rsidRPr="00BA31E9">
        <w:rPr>
          <w:b/>
        </w:rPr>
        <w:t>per year</w:t>
      </w:r>
      <w:r w:rsidR="00557F3C">
        <w:t xml:space="preserve">. </w:t>
      </w:r>
      <w:r>
        <w:t>For councils with a large number of existing on</w:t>
      </w:r>
      <w:r w:rsidR="005F12C3">
        <w:t>-</w:t>
      </w:r>
      <w:r>
        <w:t xml:space="preserve">site systems, this cost could exceed $1 million per year. </w:t>
      </w:r>
      <w:r w:rsidR="00557F3C">
        <w:t>Under Option 2, local councils would be able to recover</w:t>
      </w:r>
      <w:r w:rsidR="003E6970">
        <w:t xml:space="preserve"> some of</w:t>
      </w:r>
      <w:r w:rsidR="00557F3C">
        <w:t xml:space="preserve"> the cost of administering operating permits for on</w:t>
      </w:r>
      <w:r w:rsidR="005F12C3">
        <w:t>-</w:t>
      </w:r>
      <w:r w:rsidR="00557F3C">
        <w:t>site systems</w:t>
      </w:r>
      <w:r w:rsidR="008100A1">
        <w:t xml:space="preserve"> (</w:t>
      </w:r>
      <w:r w:rsidR="008100A1">
        <w:rPr>
          <w:rFonts w:cs="Segoe UI Light"/>
          <w:szCs w:val="20"/>
        </w:rPr>
        <w:t>compared to under the Base Case where</w:t>
      </w:r>
      <w:r w:rsidR="008100A1" w:rsidRPr="00AA6D61">
        <w:rPr>
          <w:rFonts w:cs="Segoe UI Light"/>
          <w:szCs w:val="20"/>
        </w:rPr>
        <w:t xml:space="preserve"> councils would not </w:t>
      </w:r>
      <w:r w:rsidR="008100A1" w:rsidRPr="00AA6D61">
        <w:t>have the power to recover the costs of their activities</w:t>
      </w:r>
      <w:r w:rsidR="008100A1">
        <w:t>)</w:t>
      </w:r>
      <w:r w:rsidR="00557F3C">
        <w:t>.</w:t>
      </w:r>
      <w:r>
        <w:t xml:space="preserve"> </w:t>
      </w:r>
    </w:p>
    <w:p w14:paraId="656B0352" w14:textId="77777777" w:rsidR="00BA31E9" w:rsidRDefault="0041102F" w:rsidP="00BA31E9">
      <w:pPr>
        <w:pStyle w:val="Caption"/>
      </w:pPr>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7</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2</w:t>
      </w:r>
      <w:r w:rsidR="00997CFA">
        <w:rPr>
          <w:color w:val="2B579A"/>
          <w:shd w:val="clear" w:color="auto" w:fill="E6E6E6"/>
        </w:rPr>
        <w:fldChar w:fldCharType="end"/>
      </w:r>
      <w:r>
        <w:t>:</w:t>
      </w:r>
      <w:r w:rsidR="00BA31E9">
        <w:t xml:space="preserve"> Estimated</w:t>
      </w:r>
      <w:r w:rsidR="00557F3C">
        <w:t xml:space="preserve"> council</w:t>
      </w:r>
      <w:r w:rsidR="00BA31E9">
        <w:t xml:space="preserve"> cost for administering permits to operate on</w:t>
      </w:r>
      <w:r w:rsidR="005F12C3">
        <w:t>-</w:t>
      </w:r>
      <w:r w:rsidR="00BA31E9">
        <w:t xml:space="preserve">site systems. </w:t>
      </w:r>
    </w:p>
    <w:tbl>
      <w:tblPr>
        <w:tblStyle w:val="Deloittetable1"/>
        <w:tblW w:w="9314" w:type="dxa"/>
        <w:tblLook w:val="04A0" w:firstRow="1" w:lastRow="0" w:firstColumn="1" w:lastColumn="0" w:noHBand="0" w:noVBand="1"/>
      </w:tblPr>
      <w:tblGrid>
        <w:gridCol w:w="5989"/>
        <w:gridCol w:w="1701"/>
        <w:gridCol w:w="1624"/>
      </w:tblGrid>
      <w:tr w:rsidR="00BA31E9" w14:paraId="656B0356" w14:textId="77777777" w:rsidTr="00557F3C">
        <w:trPr>
          <w:cnfStyle w:val="100000000000" w:firstRow="1" w:lastRow="0" w:firstColumn="0" w:lastColumn="0" w:oddVBand="0" w:evenVBand="0" w:oddHBand="0" w:evenHBand="0" w:firstRowFirstColumn="0" w:firstRowLastColumn="0" w:lastRowFirstColumn="0" w:lastRowLastColumn="0"/>
          <w:trHeight w:val="272"/>
        </w:trPr>
        <w:tc>
          <w:tcPr>
            <w:tcW w:w="5989" w:type="dxa"/>
          </w:tcPr>
          <w:p w14:paraId="656B0353" w14:textId="77777777" w:rsidR="00BA31E9" w:rsidRPr="005B03CD" w:rsidRDefault="00BA31E9" w:rsidP="00557F3C">
            <w:r>
              <w:rPr>
                <w:b/>
              </w:rPr>
              <w:t>Variable</w:t>
            </w:r>
          </w:p>
        </w:tc>
        <w:tc>
          <w:tcPr>
            <w:tcW w:w="1701" w:type="dxa"/>
          </w:tcPr>
          <w:p w14:paraId="656B0354" w14:textId="77777777" w:rsidR="00BA31E9" w:rsidRPr="005B03CD" w:rsidRDefault="00BA31E9" w:rsidP="0073546C">
            <w:pPr>
              <w:ind w:right="57"/>
              <w:jc w:val="right"/>
            </w:pPr>
            <w:r>
              <w:rPr>
                <w:b/>
              </w:rPr>
              <w:t>High-low</w:t>
            </w:r>
          </w:p>
        </w:tc>
        <w:tc>
          <w:tcPr>
            <w:tcW w:w="1624" w:type="dxa"/>
          </w:tcPr>
          <w:p w14:paraId="656B0355" w14:textId="77777777" w:rsidR="00BA31E9" w:rsidRDefault="00BA31E9" w:rsidP="0073546C">
            <w:pPr>
              <w:ind w:right="57"/>
              <w:jc w:val="right"/>
              <w:rPr>
                <w:b/>
              </w:rPr>
            </w:pPr>
            <w:r>
              <w:rPr>
                <w:b/>
              </w:rPr>
              <w:t>Average</w:t>
            </w:r>
          </w:p>
        </w:tc>
      </w:tr>
      <w:tr w:rsidR="00BA31E9" w14:paraId="656B035A" w14:textId="77777777" w:rsidTr="00557F3C">
        <w:trPr>
          <w:trHeight w:val="246"/>
        </w:trPr>
        <w:tc>
          <w:tcPr>
            <w:tcW w:w="5989" w:type="dxa"/>
          </w:tcPr>
          <w:p w14:paraId="656B0357" w14:textId="77777777" w:rsidR="00BA31E9" w:rsidRPr="00594730" w:rsidRDefault="00BA31E9" w:rsidP="00557F3C">
            <w:pPr>
              <w:spacing w:after="0"/>
              <w:rPr>
                <w:sz w:val="18"/>
              </w:rPr>
            </w:pPr>
            <w:r>
              <w:rPr>
                <w:sz w:val="18"/>
              </w:rPr>
              <w:t xml:space="preserve">Estimated number of </w:t>
            </w:r>
            <w:r w:rsidR="00557F3C">
              <w:rPr>
                <w:sz w:val="18"/>
              </w:rPr>
              <w:t>on</w:t>
            </w:r>
            <w:r w:rsidR="005F12C3">
              <w:rPr>
                <w:sz w:val="18"/>
              </w:rPr>
              <w:t>-</w:t>
            </w:r>
            <w:r w:rsidR="00557F3C">
              <w:rPr>
                <w:sz w:val="18"/>
              </w:rPr>
              <w:t xml:space="preserve">site systems </w:t>
            </w:r>
            <w:r>
              <w:rPr>
                <w:sz w:val="18"/>
              </w:rPr>
              <w:t xml:space="preserve">installed with a permit </w:t>
            </w:r>
          </w:p>
        </w:tc>
        <w:tc>
          <w:tcPr>
            <w:tcW w:w="1701" w:type="dxa"/>
          </w:tcPr>
          <w:p w14:paraId="656B0358" w14:textId="77777777" w:rsidR="00BA31E9" w:rsidRPr="00594730" w:rsidRDefault="00BA31E9" w:rsidP="0073546C">
            <w:pPr>
              <w:tabs>
                <w:tab w:val="left" w:pos="1248"/>
              </w:tabs>
              <w:spacing w:after="0"/>
              <w:ind w:right="57"/>
              <w:jc w:val="right"/>
              <w:rPr>
                <w:sz w:val="18"/>
              </w:rPr>
            </w:pPr>
            <w:r>
              <w:rPr>
                <w:sz w:val="18"/>
              </w:rPr>
              <w:t>1</w:t>
            </w:r>
            <w:r w:rsidR="00557F3C">
              <w:rPr>
                <w:sz w:val="18"/>
              </w:rPr>
              <w:t xml:space="preserve">,100 – 6,000  </w:t>
            </w:r>
          </w:p>
        </w:tc>
        <w:tc>
          <w:tcPr>
            <w:tcW w:w="1624" w:type="dxa"/>
          </w:tcPr>
          <w:p w14:paraId="656B0359" w14:textId="77777777" w:rsidR="00BA31E9" w:rsidRPr="00594730" w:rsidRDefault="00557F3C" w:rsidP="0073546C">
            <w:pPr>
              <w:spacing w:after="0"/>
              <w:ind w:right="57"/>
              <w:jc w:val="right"/>
              <w:rPr>
                <w:sz w:val="18"/>
              </w:rPr>
            </w:pPr>
            <w:r>
              <w:rPr>
                <w:sz w:val="18"/>
              </w:rPr>
              <w:t>3,740</w:t>
            </w:r>
          </w:p>
        </w:tc>
      </w:tr>
      <w:tr w:rsidR="00BA31E9" w14:paraId="656B035E" w14:textId="77777777" w:rsidTr="00557F3C">
        <w:trPr>
          <w:trHeight w:val="246"/>
        </w:trPr>
        <w:tc>
          <w:tcPr>
            <w:tcW w:w="5989" w:type="dxa"/>
          </w:tcPr>
          <w:p w14:paraId="656B035B" w14:textId="77777777" w:rsidR="00BA31E9" w:rsidRPr="00594730" w:rsidRDefault="00BA31E9" w:rsidP="00557F3C">
            <w:pPr>
              <w:spacing w:after="0"/>
              <w:rPr>
                <w:sz w:val="18"/>
              </w:rPr>
            </w:pPr>
            <w:r>
              <w:rPr>
                <w:sz w:val="18"/>
              </w:rPr>
              <w:t xml:space="preserve">Estimated number of </w:t>
            </w:r>
            <w:r w:rsidR="00557F3C">
              <w:rPr>
                <w:sz w:val="18"/>
              </w:rPr>
              <w:t>on</w:t>
            </w:r>
            <w:r w:rsidR="005F12C3">
              <w:rPr>
                <w:sz w:val="18"/>
              </w:rPr>
              <w:t>-</w:t>
            </w:r>
            <w:r w:rsidR="00557F3C">
              <w:rPr>
                <w:sz w:val="18"/>
              </w:rPr>
              <w:t xml:space="preserve">site systems </w:t>
            </w:r>
            <w:r>
              <w:rPr>
                <w:sz w:val="18"/>
              </w:rPr>
              <w:t xml:space="preserve">installed without a permit </w:t>
            </w:r>
          </w:p>
        </w:tc>
        <w:tc>
          <w:tcPr>
            <w:tcW w:w="1701" w:type="dxa"/>
          </w:tcPr>
          <w:p w14:paraId="656B035C" w14:textId="77777777" w:rsidR="00BA31E9" w:rsidRPr="00594730" w:rsidRDefault="00557F3C" w:rsidP="0073546C">
            <w:pPr>
              <w:spacing w:after="0"/>
              <w:ind w:right="57"/>
              <w:jc w:val="right"/>
              <w:rPr>
                <w:sz w:val="18"/>
              </w:rPr>
            </w:pPr>
            <w:r>
              <w:rPr>
                <w:sz w:val="18"/>
              </w:rPr>
              <w:t>1,660 – 7,000</w:t>
            </w:r>
          </w:p>
        </w:tc>
        <w:tc>
          <w:tcPr>
            <w:tcW w:w="1624" w:type="dxa"/>
          </w:tcPr>
          <w:p w14:paraId="656B035D" w14:textId="77777777" w:rsidR="00BA31E9" w:rsidRPr="00594730" w:rsidRDefault="00557F3C" w:rsidP="0073546C">
            <w:pPr>
              <w:spacing w:after="0"/>
              <w:ind w:right="57"/>
              <w:jc w:val="right"/>
              <w:rPr>
                <w:sz w:val="18"/>
              </w:rPr>
            </w:pPr>
            <w:r>
              <w:rPr>
                <w:sz w:val="18"/>
              </w:rPr>
              <w:t>3,743</w:t>
            </w:r>
          </w:p>
        </w:tc>
      </w:tr>
      <w:tr w:rsidR="00557F3C" w14:paraId="656B0362" w14:textId="77777777" w:rsidTr="00557F3C">
        <w:trPr>
          <w:trHeight w:val="246"/>
        </w:trPr>
        <w:tc>
          <w:tcPr>
            <w:tcW w:w="5989" w:type="dxa"/>
          </w:tcPr>
          <w:p w14:paraId="656B035F" w14:textId="77777777" w:rsidR="00557F3C" w:rsidRDefault="00557F3C" w:rsidP="00557F3C">
            <w:pPr>
              <w:spacing w:after="0"/>
              <w:rPr>
                <w:sz w:val="18"/>
              </w:rPr>
            </w:pPr>
            <w:r>
              <w:rPr>
                <w:sz w:val="18"/>
              </w:rPr>
              <w:t>Estimated number of operating permits p.a. (assumed to be 20% of total existing on</w:t>
            </w:r>
            <w:r w:rsidR="005F12C3">
              <w:rPr>
                <w:sz w:val="18"/>
              </w:rPr>
              <w:t>-</w:t>
            </w:r>
            <w:r>
              <w:rPr>
                <w:sz w:val="18"/>
              </w:rPr>
              <w:t>site systems)</w:t>
            </w:r>
          </w:p>
        </w:tc>
        <w:tc>
          <w:tcPr>
            <w:tcW w:w="1701" w:type="dxa"/>
          </w:tcPr>
          <w:p w14:paraId="656B0360" w14:textId="77777777" w:rsidR="00557F3C" w:rsidRDefault="00557F3C" w:rsidP="0073546C">
            <w:pPr>
              <w:spacing w:after="0"/>
              <w:ind w:right="57"/>
              <w:jc w:val="right"/>
              <w:rPr>
                <w:sz w:val="18"/>
              </w:rPr>
            </w:pPr>
            <w:r>
              <w:rPr>
                <w:sz w:val="18"/>
              </w:rPr>
              <w:t>800 – 2,200</w:t>
            </w:r>
          </w:p>
        </w:tc>
        <w:tc>
          <w:tcPr>
            <w:tcW w:w="1624" w:type="dxa"/>
          </w:tcPr>
          <w:p w14:paraId="656B0361" w14:textId="77777777" w:rsidR="00557F3C" w:rsidRDefault="00557F3C" w:rsidP="0073546C">
            <w:pPr>
              <w:spacing w:after="0"/>
              <w:ind w:right="57"/>
              <w:jc w:val="right"/>
              <w:rPr>
                <w:sz w:val="18"/>
              </w:rPr>
            </w:pPr>
          </w:p>
        </w:tc>
      </w:tr>
      <w:tr w:rsidR="00BA31E9" w14:paraId="656B0366" w14:textId="77777777" w:rsidTr="00557F3C">
        <w:trPr>
          <w:trHeight w:val="246"/>
        </w:trPr>
        <w:tc>
          <w:tcPr>
            <w:tcW w:w="5989" w:type="dxa"/>
          </w:tcPr>
          <w:p w14:paraId="656B0363" w14:textId="77777777" w:rsidR="00BA31E9" w:rsidRPr="00594730" w:rsidRDefault="00BA31E9" w:rsidP="00BA31E9">
            <w:pPr>
              <w:spacing w:after="0"/>
              <w:rPr>
                <w:sz w:val="18"/>
              </w:rPr>
            </w:pPr>
            <w:r>
              <w:rPr>
                <w:sz w:val="18"/>
              </w:rPr>
              <w:t>Estimated average</w:t>
            </w:r>
            <w:r w:rsidRPr="00594730">
              <w:rPr>
                <w:sz w:val="18"/>
              </w:rPr>
              <w:t xml:space="preserve"> cost per </w:t>
            </w:r>
            <w:r>
              <w:rPr>
                <w:sz w:val="18"/>
              </w:rPr>
              <w:t>operating</w:t>
            </w:r>
            <w:r w:rsidRPr="00594730">
              <w:rPr>
                <w:sz w:val="18"/>
              </w:rPr>
              <w:t xml:space="preserve"> permit</w:t>
            </w:r>
            <w:r>
              <w:rPr>
                <w:sz w:val="18"/>
              </w:rPr>
              <w:t xml:space="preserve"> (direct and indirect)</w:t>
            </w:r>
          </w:p>
        </w:tc>
        <w:tc>
          <w:tcPr>
            <w:tcW w:w="1701" w:type="dxa"/>
          </w:tcPr>
          <w:p w14:paraId="656B0364" w14:textId="77777777" w:rsidR="00BA31E9" w:rsidRPr="00594730" w:rsidRDefault="00BA31E9" w:rsidP="0073546C">
            <w:pPr>
              <w:spacing w:after="0"/>
              <w:ind w:right="57"/>
              <w:jc w:val="right"/>
              <w:rPr>
                <w:sz w:val="18"/>
              </w:rPr>
            </w:pPr>
            <w:r>
              <w:rPr>
                <w:sz w:val="18"/>
              </w:rPr>
              <w:t>$190-$600</w:t>
            </w:r>
          </w:p>
        </w:tc>
        <w:tc>
          <w:tcPr>
            <w:tcW w:w="1624" w:type="dxa"/>
          </w:tcPr>
          <w:p w14:paraId="656B0365" w14:textId="77777777" w:rsidR="00BA31E9" w:rsidRDefault="00BA31E9" w:rsidP="0073546C">
            <w:pPr>
              <w:spacing w:after="0"/>
              <w:ind w:right="57"/>
              <w:jc w:val="right"/>
              <w:rPr>
                <w:sz w:val="18"/>
              </w:rPr>
            </w:pPr>
          </w:p>
        </w:tc>
      </w:tr>
      <w:tr w:rsidR="00BA31E9" w14:paraId="656B036A" w14:textId="77777777" w:rsidTr="00557F3C">
        <w:trPr>
          <w:trHeight w:val="246"/>
        </w:trPr>
        <w:tc>
          <w:tcPr>
            <w:tcW w:w="5989" w:type="dxa"/>
          </w:tcPr>
          <w:p w14:paraId="656B0367" w14:textId="77777777" w:rsidR="00BA31E9" w:rsidRPr="00594730" w:rsidRDefault="00BA31E9" w:rsidP="00557F3C">
            <w:pPr>
              <w:spacing w:after="0"/>
              <w:rPr>
                <w:sz w:val="18"/>
              </w:rPr>
            </w:pPr>
            <w:r>
              <w:rPr>
                <w:sz w:val="18"/>
              </w:rPr>
              <w:t xml:space="preserve">Total annual costs per council (direct and indirect) </w:t>
            </w:r>
          </w:p>
        </w:tc>
        <w:tc>
          <w:tcPr>
            <w:tcW w:w="1701" w:type="dxa"/>
          </w:tcPr>
          <w:p w14:paraId="656B0368" w14:textId="77777777" w:rsidR="00BA31E9" w:rsidRPr="00594730" w:rsidRDefault="00557F3C" w:rsidP="0073546C">
            <w:pPr>
              <w:spacing w:after="0"/>
              <w:ind w:right="57"/>
              <w:jc w:val="right"/>
              <w:rPr>
                <w:sz w:val="18"/>
              </w:rPr>
            </w:pPr>
            <w:r>
              <w:rPr>
                <w:sz w:val="18"/>
              </w:rPr>
              <w:t>$152,000 – $1.1 million</w:t>
            </w:r>
          </w:p>
        </w:tc>
        <w:tc>
          <w:tcPr>
            <w:tcW w:w="1624" w:type="dxa"/>
          </w:tcPr>
          <w:p w14:paraId="656B0369" w14:textId="77777777" w:rsidR="00557F3C" w:rsidRDefault="00BA31E9" w:rsidP="0073546C">
            <w:pPr>
              <w:spacing w:after="0"/>
              <w:ind w:right="57"/>
              <w:jc w:val="right"/>
              <w:rPr>
                <w:sz w:val="18"/>
              </w:rPr>
            </w:pPr>
            <w:r>
              <w:rPr>
                <w:sz w:val="18"/>
              </w:rPr>
              <w:t>$5</w:t>
            </w:r>
            <w:r w:rsidR="00557F3C">
              <w:rPr>
                <w:sz w:val="18"/>
              </w:rPr>
              <w:t>8</w:t>
            </w:r>
            <w:r>
              <w:rPr>
                <w:sz w:val="18"/>
              </w:rPr>
              <w:t>1,</w:t>
            </w:r>
            <w:r w:rsidR="00557F3C">
              <w:rPr>
                <w:sz w:val="18"/>
              </w:rPr>
              <w:t>206</w:t>
            </w:r>
          </w:p>
        </w:tc>
      </w:tr>
    </w:tbl>
    <w:p w14:paraId="656B036B" w14:textId="77777777" w:rsidR="00BA31E9" w:rsidRDefault="00BA31E9" w:rsidP="0063475B">
      <w:pPr>
        <w:pStyle w:val="2Source"/>
      </w:pPr>
      <w:r w:rsidRPr="00594730">
        <w:t xml:space="preserve">Source: </w:t>
      </w:r>
      <w:r>
        <w:t>Deloitte c</w:t>
      </w:r>
      <w:r w:rsidR="0063475B">
        <w:t xml:space="preserve">onsultation. </w:t>
      </w:r>
    </w:p>
    <w:p w14:paraId="656B036C" w14:textId="77777777" w:rsidR="00CE71B4" w:rsidRPr="00CE71B4" w:rsidRDefault="00CE71B4" w:rsidP="00CE71B4">
      <w:pPr>
        <w:spacing w:before="120" w:after="0"/>
        <w:rPr>
          <w:b/>
          <w:i/>
        </w:rPr>
      </w:pPr>
      <w:r w:rsidRPr="00CE71B4">
        <w:rPr>
          <w:b/>
          <w:i/>
        </w:rPr>
        <w:t>Cost to duty holders</w:t>
      </w:r>
    </w:p>
    <w:p w14:paraId="656B036D" w14:textId="77777777" w:rsidR="00CE71B4" w:rsidRDefault="00CE71B4" w:rsidP="00BA4EE8">
      <w:r>
        <w:t xml:space="preserve">Under </w:t>
      </w:r>
      <w:r w:rsidR="00A304D2">
        <w:rPr>
          <w:b/>
        </w:rPr>
        <w:t>O</w:t>
      </w:r>
      <w:r w:rsidR="00A304D2" w:rsidRPr="00DF5D75">
        <w:rPr>
          <w:b/>
        </w:rPr>
        <w:t xml:space="preserve">ption </w:t>
      </w:r>
      <w:r w:rsidRPr="00DF5D75">
        <w:rPr>
          <w:b/>
        </w:rPr>
        <w:t>1</w:t>
      </w:r>
      <w:r w:rsidR="00E83E17">
        <w:rPr>
          <w:b/>
        </w:rPr>
        <w:t xml:space="preserve"> and </w:t>
      </w:r>
      <w:r w:rsidR="00A304D2">
        <w:rPr>
          <w:b/>
        </w:rPr>
        <w:t>O</w:t>
      </w:r>
      <w:r w:rsidR="00E83E17">
        <w:rPr>
          <w:b/>
        </w:rPr>
        <w:t>ption 2</w:t>
      </w:r>
      <w:r>
        <w:t>, dut</w:t>
      </w:r>
      <w:r w:rsidR="00DF5D75">
        <w:t xml:space="preserve">y holders will bear the following costs: </w:t>
      </w:r>
    </w:p>
    <w:p w14:paraId="656B036E" w14:textId="77777777" w:rsidR="00DF5D75" w:rsidRPr="008113F9" w:rsidRDefault="00DF5D75" w:rsidP="004A2442">
      <w:pPr>
        <w:pStyle w:val="ListParagraph"/>
        <w:numPr>
          <w:ilvl w:val="0"/>
          <w:numId w:val="34"/>
        </w:numPr>
        <w:rPr>
          <w:b/>
        </w:rPr>
      </w:pPr>
      <w:r w:rsidRPr="008113F9">
        <w:rPr>
          <w:b/>
        </w:rPr>
        <w:t xml:space="preserve">Fees paid to </w:t>
      </w:r>
      <w:r w:rsidR="009271CA">
        <w:rPr>
          <w:b/>
        </w:rPr>
        <w:t>c</w:t>
      </w:r>
      <w:r w:rsidR="009271CA" w:rsidRPr="008113F9">
        <w:rPr>
          <w:b/>
        </w:rPr>
        <w:t xml:space="preserve">ouncil </w:t>
      </w:r>
      <w:r w:rsidRPr="008113F9">
        <w:rPr>
          <w:b/>
        </w:rPr>
        <w:t xml:space="preserve">for </w:t>
      </w:r>
      <w:r w:rsidR="008113F9">
        <w:rPr>
          <w:b/>
        </w:rPr>
        <w:t>permits to install new on</w:t>
      </w:r>
      <w:r w:rsidR="005F12C3">
        <w:rPr>
          <w:b/>
        </w:rPr>
        <w:t>-</w:t>
      </w:r>
      <w:r w:rsidR="008113F9">
        <w:rPr>
          <w:b/>
        </w:rPr>
        <w:t>site systems</w:t>
      </w:r>
      <w:r w:rsidRPr="008113F9">
        <w:rPr>
          <w:b/>
        </w:rPr>
        <w:t>:</w:t>
      </w:r>
      <w:r w:rsidR="008113F9">
        <w:rPr>
          <w:b/>
        </w:rPr>
        <w:t xml:space="preserve"> </w:t>
      </w:r>
      <w:r w:rsidR="008113F9">
        <w:t xml:space="preserve">Costs to </w:t>
      </w:r>
      <w:r w:rsidR="009271CA">
        <w:t xml:space="preserve">council </w:t>
      </w:r>
      <w:r w:rsidR="008113F9">
        <w:t xml:space="preserve">are estimated </w:t>
      </w:r>
      <w:r w:rsidR="00F81098">
        <w:t>above</w:t>
      </w:r>
      <w:r w:rsidR="00177B6E">
        <w:t xml:space="preserve"> (noting it may not be full cost recovery)</w:t>
      </w:r>
      <w:r w:rsidR="00DC7A63">
        <w:t xml:space="preserve">. </w:t>
      </w:r>
    </w:p>
    <w:p w14:paraId="656B036F" w14:textId="77777777" w:rsidR="008113F9" w:rsidRPr="00A83308" w:rsidRDefault="008113F9" w:rsidP="004A2442">
      <w:pPr>
        <w:pStyle w:val="ListParagraph"/>
        <w:numPr>
          <w:ilvl w:val="0"/>
          <w:numId w:val="34"/>
        </w:numPr>
        <w:rPr>
          <w:b/>
        </w:rPr>
      </w:pPr>
      <w:r w:rsidRPr="008113F9">
        <w:rPr>
          <w:b/>
        </w:rPr>
        <w:t xml:space="preserve">Fees paid to </w:t>
      </w:r>
      <w:r w:rsidR="009271CA">
        <w:rPr>
          <w:b/>
        </w:rPr>
        <w:t>c</w:t>
      </w:r>
      <w:r w:rsidR="009271CA" w:rsidRPr="008113F9">
        <w:rPr>
          <w:b/>
        </w:rPr>
        <w:t xml:space="preserve">ouncil </w:t>
      </w:r>
      <w:r w:rsidRPr="008113F9">
        <w:rPr>
          <w:b/>
        </w:rPr>
        <w:t xml:space="preserve">for </w:t>
      </w:r>
      <w:r>
        <w:rPr>
          <w:b/>
        </w:rPr>
        <w:t>permits to install modify existing on</w:t>
      </w:r>
      <w:r w:rsidR="005F12C3">
        <w:rPr>
          <w:b/>
        </w:rPr>
        <w:t>-</w:t>
      </w:r>
      <w:r>
        <w:rPr>
          <w:b/>
        </w:rPr>
        <w:t>site systems</w:t>
      </w:r>
      <w:r w:rsidRPr="008113F9">
        <w:rPr>
          <w:b/>
        </w:rPr>
        <w:t>:</w:t>
      </w:r>
      <w:r>
        <w:rPr>
          <w:b/>
        </w:rPr>
        <w:t xml:space="preserve"> </w:t>
      </w:r>
      <w:r>
        <w:t xml:space="preserve">Costs to </w:t>
      </w:r>
      <w:r w:rsidR="009271CA">
        <w:t xml:space="preserve">councils </w:t>
      </w:r>
      <w:r>
        <w:t xml:space="preserve">are estimated </w:t>
      </w:r>
      <w:r w:rsidR="00F81098">
        <w:t>above</w:t>
      </w:r>
      <w:r>
        <w:t>.</w:t>
      </w:r>
    </w:p>
    <w:p w14:paraId="656B0370" w14:textId="77777777" w:rsidR="00A83308" w:rsidRPr="00A83308" w:rsidRDefault="00A83308" w:rsidP="004A2442">
      <w:pPr>
        <w:pStyle w:val="ListParagraph"/>
        <w:numPr>
          <w:ilvl w:val="0"/>
          <w:numId w:val="34"/>
        </w:numPr>
      </w:pPr>
      <w:r>
        <w:rPr>
          <w:b/>
        </w:rPr>
        <w:t>Costs of a land capability assessment</w:t>
      </w:r>
      <w:r w:rsidRPr="008113F9">
        <w:rPr>
          <w:b/>
        </w:rPr>
        <w:t>:</w:t>
      </w:r>
      <w:r>
        <w:rPr>
          <w:b/>
        </w:rPr>
        <w:t xml:space="preserve"> </w:t>
      </w:r>
      <w:r w:rsidRPr="00E83E17">
        <w:t>D</w:t>
      </w:r>
      <w:r>
        <w:t xml:space="preserve">uty holders </w:t>
      </w:r>
      <w:r w:rsidR="006415C4">
        <w:t xml:space="preserve">typically have to </w:t>
      </w:r>
      <w:r>
        <w:t>undertake a land capability assessment prior to installing an on</w:t>
      </w:r>
      <w:r w:rsidR="00281E0A">
        <w:t>-</w:t>
      </w:r>
      <w:r>
        <w:t>site system. These assessments</w:t>
      </w:r>
      <w:r w:rsidR="007D4653">
        <w:t xml:space="preserve">, </w:t>
      </w:r>
      <w:r w:rsidR="006415C4">
        <w:t xml:space="preserve">which are </w:t>
      </w:r>
      <w:r w:rsidR="007D4653">
        <w:t>undertaken by consultants,</w:t>
      </w:r>
      <w:r>
        <w:t xml:space="preserve"> </w:t>
      </w:r>
      <w:r w:rsidR="006415C4">
        <w:t xml:space="preserve">allow council officers to assess </w:t>
      </w:r>
      <w:r>
        <w:t xml:space="preserve">the </w:t>
      </w:r>
      <w:r w:rsidRPr="00A83308">
        <w:t>risks that a</w:t>
      </w:r>
      <w:r w:rsidR="00ED124A">
        <w:t>n o</w:t>
      </w:r>
      <w:r w:rsidR="00627A77">
        <w:t>n</w:t>
      </w:r>
      <w:r w:rsidR="00281E0A">
        <w:t>-</w:t>
      </w:r>
      <w:r w:rsidR="00ED124A">
        <w:t xml:space="preserve">site </w:t>
      </w:r>
      <w:r w:rsidRPr="00A83308">
        <w:t xml:space="preserve">system presents to public health, </w:t>
      </w:r>
      <w:r w:rsidR="006415C4">
        <w:t xml:space="preserve">the </w:t>
      </w:r>
      <w:r w:rsidRPr="00A83308">
        <w:t>e</w:t>
      </w:r>
      <w:r w:rsidRPr="000D3224">
        <w:t xml:space="preserve">nvironment, and local amenity. </w:t>
      </w:r>
      <w:r w:rsidR="006415C4" w:rsidRPr="000D3224">
        <w:t>L</w:t>
      </w:r>
      <w:r w:rsidR="00C45038" w:rsidRPr="000D3224">
        <w:t>and capability</w:t>
      </w:r>
      <w:r w:rsidR="007D4653" w:rsidRPr="000D3224">
        <w:t xml:space="preserve"> assessment</w:t>
      </w:r>
      <w:r w:rsidR="006415C4" w:rsidRPr="000D3224">
        <w:t>s are estimated</w:t>
      </w:r>
      <w:r w:rsidR="00C45038" w:rsidRPr="000D3224">
        <w:t xml:space="preserve"> </w:t>
      </w:r>
      <w:r w:rsidR="006415C4" w:rsidRPr="000D3224">
        <w:t>to cost</w:t>
      </w:r>
      <w:r w:rsidR="00C45038" w:rsidRPr="000D3224">
        <w:t xml:space="preserve"> </w:t>
      </w:r>
      <w:r w:rsidR="006415C4" w:rsidRPr="000D3224">
        <w:t xml:space="preserve">between </w:t>
      </w:r>
      <w:r w:rsidR="00C45038" w:rsidRPr="000D3224">
        <w:t>$</w:t>
      </w:r>
      <w:r w:rsidR="00460FAD" w:rsidRPr="000D3224">
        <w:t>1,0</w:t>
      </w:r>
      <w:r w:rsidR="00C45038" w:rsidRPr="000D3224">
        <w:t>00</w:t>
      </w:r>
      <w:r w:rsidR="00F04777">
        <w:t xml:space="preserve"> and</w:t>
      </w:r>
      <w:r w:rsidR="00460FAD" w:rsidRPr="000D3224">
        <w:t xml:space="preserve"> $2,000</w:t>
      </w:r>
      <w:r w:rsidR="006415C4">
        <w:t xml:space="preserve">. </w:t>
      </w:r>
    </w:p>
    <w:p w14:paraId="656B0371" w14:textId="77777777" w:rsidR="008113F9" w:rsidRPr="009540CC" w:rsidRDefault="008113F9" w:rsidP="004A2442">
      <w:pPr>
        <w:pStyle w:val="ListParagraph"/>
        <w:numPr>
          <w:ilvl w:val="0"/>
          <w:numId w:val="34"/>
        </w:numPr>
        <w:rPr>
          <w:b/>
        </w:rPr>
      </w:pPr>
      <w:r>
        <w:rPr>
          <w:b/>
        </w:rPr>
        <w:t>Costs o</w:t>
      </w:r>
      <w:r w:rsidR="00E83E17">
        <w:rPr>
          <w:b/>
        </w:rPr>
        <w:t>f complying</w:t>
      </w:r>
      <w:r>
        <w:rPr>
          <w:b/>
        </w:rPr>
        <w:t xml:space="preserve"> with permit conditions</w:t>
      </w:r>
      <w:r w:rsidRPr="008113F9">
        <w:rPr>
          <w:b/>
        </w:rPr>
        <w:t>:</w:t>
      </w:r>
      <w:r w:rsidR="00E83E17">
        <w:rPr>
          <w:b/>
        </w:rPr>
        <w:t xml:space="preserve"> </w:t>
      </w:r>
      <w:r w:rsidR="00F81098">
        <w:t>Homeowners</w:t>
      </w:r>
      <w:r w:rsidR="00E83E17">
        <w:t xml:space="preserve"> may also face additional costs over and above the fees paid to council for complying with permit conditions. These costs may include </w:t>
      </w:r>
      <w:r w:rsidR="006415C4">
        <w:t xml:space="preserve">any </w:t>
      </w:r>
      <w:r w:rsidR="00E83E17">
        <w:t xml:space="preserve">re-work </w:t>
      </w:r>
      <w:r w:rsidR="006415C4">
        <w:t xml:space="preserve">required </w:t>
      </w:r>
      <w:r w:rsidR="00E83E17">
        <w:t>on installations</w:t>
      </w:r>
      <w:r w:rsidR="006415C4">
        <w:t>,</w:t>
      </w:r>
      <w:r w:rsidR="00E83E17">
        <w:t xml:space="preserve"> </w:t>
      </w:r>
      <w:r w:rsidR="006415C4">
        <w:t xml:space="preserve">and any </w:t>
      </w:r>
      <w:r w:rsidR="009211B6">
        <w:t xml:space="preserve">costs involved with disputes or reviews. </w:t>
      </w:r>
      <w:r w:rsidR="006415C4">
        <w:t xml:space="preserve">These compliance costs would vary significantly across permit applications. </w:t>
      </w:r>
      <w:r w:rsidR="00863C40">
        <w:t xml:space="preserve">These costs are additional to the costs that would be incurred in the absence of any regulations. </w:t>
      </w:r>
    </w:p>
    <w:p w14:paraId="656B0372" w14:textId="77777777" w:rsidR="008113F9" w:rsidRDefault="008113F9" w:rsidP="008113F9">
      <w:r>
        <w:t xml:space="preserve">Under </w:t>
      </w:r>
      <w:r w:rsidR="00A304D2">
        <w:rPr>
          <w:b/>
        </w:rPr>
        <w:t>O</w:t>
      </w:r>
      <w:r w:rsidR="00A304D2" w:rsidRPr="00DF5D75">
        <w:rPr>
          <w:b/>
        </w:rPr>
        <w:t xml:space="preserve">ption </w:t>
      </w:r>
      <w:r>
        <w:rPr>
          <w:b/>
        </w:rPr>
        <w:t>2</w:t>
      </w:r>
      <w:r>
        <w:t xml:space="preserve">, duty holders will bear the following additional costs, over and above </w:t>
      </w:r>
      <w:r w:rsidR="006415C4">
        <w:t>the costs of obtaining permits to install or modify a new system</w:t>
      </w:r>
      <w:r>
        <w:t>:</w:t>
      </w:r>
    </w:p>
    <w:p w14:paraId="656B0373" w14:textId="77777777" w:rsidR="00E83E17" w:rsidRPr="00E83E17" w:rsidRDefault="008113F9" w:rsidP="004A2442">
      <w:pPr>
        <w:pStyle w:val="ListParagraph"/>
        <w:numPr>
          <w:ilvl w:val="0"/>
          <w:numId w:val="34"/>
        </w:numPr>
        <w:rPr>
          <w:b/>
        </w:rPr>
      </w:pPr>
      <w:r w:rsidRPr="008113F9">
        <w:rPr>
          <w:b/>
        </w:rPr>
        <w:t xml:space="preserve">Fees paid to Council for </w:t>
      </w:r>
      <w:r>
        <w:rPr>
          <w:b/>
        </w:rPr>
        <w:t>permits to operate on</w:t>
      </w:r>
      <w:r w:rsidR="005F12C3">
        <w:rPr>
          <w:b/>
        </w:rPr>
        <w:t>-</w:t>
      </w:r>
      <w:r>
        <w:rPr>
          <w:b/>
        </w:rPr>
        <w:t>site systems</w:t>
      </w:r>
      <w:r w:rsidRPr="008113F9">
        <w:rPr>
          <w:b/>
        </w:rPr>
        <w:t>:</w:t>
      </w:r>
      <w:r w:rsidR="00E83E17">
        <w:rPr>
          <w:b/>
        </w:rPr>
        <w:t xml:space="preserve"> </w:t>
      </w:r>
      <w:r w:rsidR="007D4653">
        <w:t>Costs to council are estimated above</w:t>
      </w:r>
      <w:r w:rsidR="00177B6E">
        <w:t xml:space="preserve"> (noting it may not be full cost recovery).</w:t>
      </w:r>
    </w:p>
    <w:p w14:paraId="656B0374" w14:textId="77777777" w:rsidR="00460FAD" w:rsidRPr="00460FAD" w:rsidRDefault="00E83E17" w:rsidP="004A2442">
      <w:pPr>
        <w:pStyle w:val="ListParagraph"/>
        <w:numPr>
          <w:ilvl w:val="0"/>
          <w:numId w:val="34"/>
        </w:numPr>
        <w:rPr>
          <w:b/>
        </w:rPr>
      </w:pPr>
      <w:r>
        <w:rPr>
          <w:b/>
        </w:rPr>
        <w:t xml:space="preserve">Costs borne by </w:t>
      </w:r>
      <w:r w:rsidR="007D4653">
        <w:rPr>
          <w:b/>
        </w:rPr>
        <w:t>duty holders to bring systems to a</w:t>
      </w:r>
      <w:r w:rsidR="005F12C3">
        <w:rPr>
          <w:b/>
        </w:rPr>
        <w:t xml:space="preserve">n acceptable </w:t>
      </w:r>
      <w:r w:rsidR="007D4653">
        <w:rPr>
          <w:b/>
        </w:rPr>
        <w:t xml:space="preserve">standard: </w:t>
      </w:r>
      <w:r w:rsidR="00D9427F">
        <w:t>Property owners with existing on</w:t>
      </w:r>
      <w:r w:rsidR="005F12C3">
        <w:t>-</w:t>
      </w:r>
      <w:r w:rsidR="00D9427F">
        <w:t xml:space="preserve">site systems </w:t>
      </w:r>
      <w:r w:rsidR="007D4653">
        <w:t xml:space="preserve">may also face significant costs to bring </w:t>
      </w:r>
      <w:r w:rsidR="00ED124A">
        <w:t>on</w:t>
      </w:r>
      <w:r w:rsidR="005F12C3">
        <w:t>-</w:t>
      </w:r>
      <w:r w:rsidR="00ED124A">
        <w:t xml:space="preserve">site </w:t>
      </w:r>
      <w:r w:rsidR="007D4653">
        <w:t xml:space="preserve">systems </w:t>
      </w:r>
      <w:r w:rsidR="00D9427F">
        <w:t xml:space="preserve">up </w:t>
      </w:r>
      <w:r w:rsidR="007D4653">
        <w:t xml:space="preserve">to </w:t>
      </w:r>
      <w:r w:rsidR="00C563C3">
        <w:t>an acceptable</w:t>
      </w:r>
      <w:r w:rsidR="007D4653">
        <w:t xml:space="preserve"> standard</w:t>
      </w:r>
      <w:r w:rsidR="00D9427F">
        <w:t xml:space="preserve"> and comply with an operating permit</w:t>
      </w:r>
      <w:r w:rsidR="007D4653">
        <w:t xml:space="preserve">. </w:t>
      </w:r>
      <w:r w:rsidR="00D9427F">
        <w:t xml:space="preserve">For older </w:t>
      </w:r>
      <w:r w:rsidR="007D4653">
        <w:t>systems, some or all components may need to be replaced.</w:t>
      </w:r>
      <w:r w:rsidR="00460FAD">
        <w:t xml:space="preserve"> Local council officers estimated that the average cost of works required to bring an </w:t>
      </w:r>
      <w:r w:rsidR="0063475B">
        <w:t>on</w:t>
      </w:r>
      <w:r w:rsidR="005F12C3">
        <w:t>-</w:t>
      </w:r>
      <w:r w:rsidR="0063475B">
        <w:t xml:space="preserve">site </w:t>
      </w:r>
      <w:r w:rsidR="00460FAD">
        <w:t xml:space="preserve">system </w:t>
      </w:r>
      <w:r w:rsidR="00D9427F">
        <w:t xml:space="preserve">up to </w:t>
      </w:r>
      <w:r w:rsidR="00C563C3">
        <w:t>an acceptable</w:t>
      </w:r>
      <w:r w:rsidR="00D9427F">
        <w:t xml:space="preserve"> standard may </w:t>
      </w:r>
      <w:r w:rsidR="00F81098">
        <w:t>be</w:t>
      </w:r>
      <w:r w:rsidR="00D9427F">
        <w:t xml:space="preserve"> between $5,000 and $15,000. Local council officers also estimated that as many as 60-80% of existing systems may require work in order to operate at </w:t>
      </w:r>
      <w:r w:rsidR="00C563C3">
        <w:t>an acceptable</w:t>
      </w:r>
      <w:r w:rsidR="00D9427F">
        <w:t xml:space="preserve"> standard. As</w:t>
      </w:r>
      <w:r w:rsidR="0063475B">
        <w:t xml:space="preserve">suming an average upgrade cost of $10,000 per system, then a municipality with 3,000 </w:t>
      </w:r>
      <w:r w:rsidR="00F81098">
        <w:t xml:space="preserve">properties would have a </w:t>
      </w:r>
      <w:r w:rsidR="0063475B">
        <w:t xml:space="preserve">total cost to </w:t>
      </w:r>
      <w:r w:rsidR="00F81098">
        <w:t>property owners</w:t>
      </w:r>
      <w:r w:rsidR="0063475B">
        <w:t xml:space="preserve"> </w:t>
      </w:r>
      <w:r w:rsidR="0013641A">
        <w:t xml:space="preserve">of between </w:t>
      </w:r>
      <w:r w:rsidR="0063475B">
        <w:t>$</w:t>
      </w:r>
      <w:r w:rsidR="0013641A">
        <w:t xml:space="preserve">18 </w:t>
      </w:r>
      <w:r w:rsidR="0063475B">
        <w:t xml:space="preserve">million </w:t>
      </w:r>
      <w:r w:rsidR="0013641A">
        <w:t>and $24 million</w:t>
      </w:r>
      <w:r w:rsidR="0063475B">
        <w:t>.</w:t>
      </w:r>
      <w:r w:rsidR="00B2202D" w:rsidRPr="00B2202D">
        <w:rPr>
          <w:vertAlign w:val="superscript"/>
        </w:rPr>
        <w:footnoteReference w:id="96"/>
      </w:r>
      <w:r w:rsidR="00B2202D" w:rsidRPr="00B2202D">
        <w:t xml:space="preserve"> </w:t>
      </w:r>
      <w:r w:rsidR="0063475B">
        <w:t xml:space="preserve"> </w:t>
      </w:r>
    </w:p>
    <w:p w14:paraId="656B0375" w14:textId="77777777" w:rsidR="0063475B" w:rsidRDefault="0063475B" w:rsidP="0063475B">
      <w:r>
        <w:t>Based on the costs to duty holders and local councils</w:t>
      </w:r>
      <w:r w:rsidR="000D3224">
        <w:t xml:space="preserve"> identified above</w:t>
      </w:r>
      <w:r>
        <w:t>, a</w:t>
      </w:r>
      <w:r w:rsidRPr="009431F8">
        <w:t xml:space="preserve"> score of </w:t>
      </w:r>
      <w:r>
        <w:t>-</w:t>
      </w:r>
      <w:r w:rsidR="00A30EAE">
        <w:t>1</w:t>
      </w:r>
      <w:r>
        <w:t xml:space="preserve"> </w:t>
      </w:r>
      <w:r w:rsidRPr="009431F8">
        <w:t xml:space="preserve">is given </w:t>
      </w:r>
      <w:r>
        <w:t xml:space="preserve">for Option 1 </w:t>
      </w:r>
      <w:r w:rsidRPr="009431F8">
        <w:t xml:space="preserve">relative to the </w:t>
      </w:r>
      <w:r>
        <w:t xml:space="preserve">Base Case, and </w:t>
      </w:r>
      <w:r w:rsidR="00A30EAE">
        <w:t xml:space="preserve">a score of -8 </w:t>
      </w:r>
      <w:r>
        <w:t xml:space="preserve">is given for Option 2. </w:t>
      </w:r>
    </w:p>
    <w:p w14:paraId="656B0376" w14:textId="77777777" w:rsidR="000D3224" w:rsidRDefault="0041102F" w:rsidP="000D3224">
      <w:r>
        <w:t xml:space="preserve">In terms of practicality (which is not </w:t>
      </w:r>
      <w:r w:rsidR="00545403">
        <w:t>explicitly</w:t>
      </w:r>
      <w:r>
        <w:t xml:space="preserve"> considered in the MCA), </w:t>
      </w:r>
      <w:r w:rsidR="0063475B" w:rsidRPr="000E7C5E">
        <w:t>Option 1</w:t>
      </w:r>
      <w:r w:rsidR="0063475B">
        <w:rPr>
          <w:b/>
        </w:rPr>
        <w:t xml:space="preserve"> </w:t>
      </w:r>
      <w:r>
        <w:t xml:space="preserve">presents a more </w:t>
      </w:r>
      <w:r w:rsidR="0063475B">
        <w:t>practical option, insofar as it represents a continuation of the status quo for local councils, duty holders and EPA. It would ensure that councils maintain oversight of all new and modified on</w:t>
      </w:r>
      <w:r w:rsidR="009325B6">
        <w:t>-</w:t>
      </w:r>
      <w:r w:rsidR="0063475B">
        <w:t>site systems</w:t>
      </w:r>
      <w:r w:rsidR="000D3224">
        <w:t xml:space="preserve"> within their municipality. </w:t>
      </w:r>
      <w:r w:rsidR="009325B6">
        <w:t xml:space="preserve">Under this option, </w:t>
      </w:r>
      <w:r w:rsidR="005A2865">
        <w:t>the operation and maintenance of on-site systems and</w:t>
      </w:r>
      <w:r w:rsidR="009325B6">
        <w:t xml:space="preserve"> problematic legacy systems would be managed under the GED, possibly </w:t>
      </w:r>
      <w:r w:rsidR="00081B14">
        <w:t xml:space="preserve">enforced </w:t>
      </w:r>
      <w:r w:rsidR="009325B6">
        <w:t xml:space="preserve">by councils themselves. </w:t>
      </w:r>
      <w:r w:rsidR="000D3224" w:rsidRPr="000E7C5E">
        <w:t>Option 2</w:t>
      </w:r>
      <w:r>
        <w:t xml:space="preserve">, however, </w:t>
      </w:r>
      <w:r w:rsidR="000D3224">
        <w:t xml:space="preserve">would present </w:t>
      </w:r>
      <w:r w:rsidR="0052198E">
        <w:t xml:space="preserve">greater </w:t>
      </w:r>
      <w:r w:rsidR="000D3224">
        <w:t>implementation challenges for councils</w:t>
      </w:r>
      <w:r>
        <w:t>:</w:t>
      </w:r>
    </w:p>
    <w:p w14:paraId="656B0377" w14:textId="77777777" w:rsidR="000D3224" w:rsidRDefault="000D3224" w:rsidP="004A2442">
      <w:pPr>
        <w:pStyle w:val="ListParagraph"/>
        <w:numPr>
          <w:ilvl w:val="0"/>
          <w:numId w:val="34"/>
        </w:numPr>
      </w:pPr>
      <w:r>
        <w:t>For council areas where financial hardship is a significant issue, the costs of obtaining an operating permit for an on</w:t>
      </w:r>
      <w:r w:rsidR="009325B6">
        <w:t>-</w:t>
      </w:r>
      <w:r>
        <w:t xml:space="preserve">site system, as well as the cost to comply with </w:t>
      </w:r>
      <w:r w:rsidR="00A461B2">
        <w:t xml:space="preserve">permit </w:t>
      </w:r>
      <w:r>
        <w:t xml:space="preserve">conditions, would present a significant financial burden </w:t>
      </w:r>
      <w:r w:rsidR="0052198E">
        <w:t xml:space="preserve">for many </w:t>
      </w:r>
      <w:r>
        <w:t xml:space="preserve">residents. </w:t>
      </w:r>
    </w:p>
    <w:p w14:paraId="656B0378" w14:textId="77777777" w:rsidR="000D3224" w:rsidRPr="00494A7B" w:rsidRDefault="000D3224" w:rsidP="00B2202D">
      <w:pPr>
        <w:pStyle w:val="ListParagraph"/>
        <w:numPr>
          <w:ilvl w:val="0"/>
          <w:numId w:val="34"/>
        </w:numPr>
        <w:rPr>
          <w:b/>
        </w:rPr>
      </w:pPr>
      <w:r>
        <w:t xml:space="preserve">Councils would face a significant backlog of legacy </w:t>
      </w:r>
      <w:r w:rsidR="00ED124A">
        <w:t>on</w:t>
      </w:r>
      <w:r w:rsidR="009325B6">
        <w:t>-</w:t>
      </w:r>
      <w:r w:rsidR="00ED124A">
        <w:t xml:space="preserve">site </w:t>
      </w:r>
      <w:r>
        <w:t>systems that have never been assessed by council, but would require an operating permit. Managing this backlog would be made more difficult because some council</w:t>
      </w:r>
      <w:r w:rsidR="00177B6E">
        <w:t>s</w:t>
      </w:r>
      <w:r>
        <w:t xml:space="preserve"> have no record</w:t>
      </w:r>
      <w:r w:rsidR="0052198E">
        <w:t>s</w:t>
      </w:r>
      <w:r>
        <w:t xml:space="preserve"> for many legacy systems</w:t>
      </w:r>
      <w:r w:rsidR="00B2202D" w:rsidRPr="00B2202D">
        <w:t>.</w:t>
      </w:r>
    </w:p>
    <w:p w14:paraId="656B0379" w14:textId="77777777" w:rsidR="00A30EAE" w:rsidRDefault="00A30EAE" w:rsidP="00B9192C">
      <w:pPr>
        <w:pStyle w:val="Heading3"/>
        <w:ind w:left="720"/>
      </w:pPr>
      <w:bookmarkStart w:id="604" w:name="_Ref536484495"/>
      <w:bookmarkStart w:id="605" w:name="_Ref536465603"/>
      <w:r>
        <w:t>MCA summary</w:t>
      </w:r>
    </w:p>
    <w:p w14:paraId="656B037A" w14:textId="77777777" w:rsidR="00A30EAE" w:rsidRDefault="00A30EAE" w:rsidP="00B2202D">
      <w:r>
        <w:t xml:space="preserve">Based on the MCA, the preferred option </w:t>
      </w:r>
      <w:r w:rsidR="00B2202D" w:rsidRPr="00A4619A">
        <w:t>is for councils to continue to issue permits to construct, install or alter on-site systems with flow rates l</w:t>
      </w:r>
      <w:r w:rsidR="00B2202D" w:rsidRPr="003445E1">
        <w:t>ess than 5,000 litres per day</w:t>
      </w:r>
      <w:r w:rsidR="00B2202D">
        <w:t xml:space="preserve"> (Option 1)</w:t>
      </w:r>
      <w:r w:rsidR="00B2202D" w:rsidRPr="00A4619A">
        <w:t>. This is the current approach under the EP Act 1970</w:t>
      </w:r>
      <w:r w:rsidR="00B2202D">
        <w:t xml:space="preserve">. Option 2 is not preferred because while it is </w:t>
      </w:r>
      <w:r w:rsidR="00902D19">
        <w:t xml:space="preserve">likely to be more effective in addressing harms to human health and the environment caused by existing on-site systems, </w:t>
      </w:r>
      <w:r w:rsidR="00B2202D">
        <w:t xml:space="preserve">DELWP and EPA consider that the these benefits would not be sufficient to outweigh its significantly higher costs (assuming full compliance). </w:t>
      </w:r>
      <w:r w:rsidR="0041102F">
        <w:t xml:space="preserve">Table </w:t>
      </w:r>
      <w:r w:rsidR="0041102F">
        <w:rPr>
          <w:color w:val="2B579A"/>
          <w:shd w:val="clear" w:color="auto" w:fill="E6E6E6"/>
        </w:rPr>
        <w:fldChar w:fldCharType="begin"/>
      </w:r>
      <w:r w:rsidR="0041102F">
        <w:instrText xml:space="preserve"> STYLEREF 1 \s </w:instrText>
      </w:r>
      <w:r w:rsidR="0041102F">
        <w:rPr>
          <w:color w:val="2B579A"/>
          <w:shd w:val="clear" w:color="auto" w:fill="E6E6E6"/>
        </w:rPr>
        <w:fldChar w:fldCharType="separate"/>
      </w:r>
      <w:r w:rsidR="00B11C1E">
        <w:rPr>
          <w:noProof/>
        </w:rPr>
        <w:t>7</w:t>
      </w:r>
      <w:r w:rsidR="0041102F">
        <w:rPr>
          <w:color w:val="2B579A"/>
          <w:shd w:val="clear" w:color="auto" w:fill="E6E6E6"/>
        </w:rPr>
        <w:fldChar w:fldCharType="end"/>
      </w:r>
      <w:r w:rsidR="0041102F">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3</w:t>
      </w:r>
      <w:r w:rsidR="00997CFA">
        <w:rPr>
          <w:color w:val="2B579A"/>
          <w:shd w:val="clear" w:color="auto" w:fill="E6E6E6"/>
        </w:rPr>
        <w:fldChar w:fldCharType="end"/>
      </w:r>
      <w:r w:rsidR="0041102F">
        <w:t xml:space="preserve">: </w:t>
      </w:r>
      <w:r>
        <w:t>MCA analysis summary for on</w:t>
      </w:r>
      <w:r w:rsidR="00DD5CE9">
        <w:t>-</w:t>
      </w:r>
      <w:r>
        <w:t>site systems</w:t>
      </w:r>
    </w:p>
    <w:tbl>
      <w:tblPr>
        <w:tblStyle w:val="Deloittetable1"/>
        <w:tblW w:w="9314" w:type="dxa"/>
        <w:tblLook w:val="04A0" w:firstRow="1" w:lastRow="0" w:firstColumn="1" w:lastColumn="0" w:noHBand="0" w:noVBand="1"/>
      </w:tblPr>
      <w:tblGrid>
        <w:gridCol w:w="5989"/>
        <w:gridCol w:w="1701"/>
        <w:gridCol w:w="1624"/>
      </w:tblGrid>
      <w:tr w:rsidR="009325B6" w14:paraId="656B037E" w14:textId="77777777" w:rsidTr="009D1A56">
        <w:trPr>
          <w:cnfStyle w:val="100000000000" w:firstRow="1" w:lastRow="0" w:firstColumn="0" w:lastColumn="0" w:oddVBand="0" w:evenVBand="0" w:oddHBand="0" w:evenHBand="0" w:firstRowFirstColumn="0" w:firstRowLastColumn="0" w:lastRowFirstColumn="0" w:lastRowLastColumn="0"/>
          <w:trHeight w:val="272"/>
        </w:trPr>
        <w:tc>
          <w:tcPr>
            <w:tcW w:w="5989" w:type="dxa"/>
          </w:tcPr>
          <w:p w14:paraId="656B037B" w14:textId="77777777" w:rsidR="009325B6" w:rsidRPr="005B03CD" w:rsidRDefault="009325B6">
            <w:r>
              <w:rPr>
                <w:b/>
              </w:rPr>
              <w:t>Criteria</w:t>
            </w:r>
            <w:r w:rsidR="00057CE0">
              <w:rPr>
                <w:b/>
              </w:rPr>
              <w:t xml:space="preserve"> (and weight)</w:t>
            </w:r>
          </w:p>
        </w:tc>
        <w:tc>
          <w:tcPr>
            <w:tcW w:w="1701" w:type="dxa"/>
          </w:tcPr>
          <w:p w14:paraId="656B037C" w14:textId="77777777" w:rsidR="009325B6" w:rsidRPr="005B03CD" w:rsidRDefault="009325B6" w:rsidP="001F1C85">
            <w:pPr>
              <w:ind w:right="57"/>
              <w:jc w:val="right"/>
            </w:pPr>
            <w:r>
              <w:rPr>
                <w:b/>
              </w:rPr>
              <w:t>Option 1</w:t>
            </w:r>
          </w:p>
        </w:tc>
        <w:tc>
          <w:tcPr>
            <w:tcW w:w="1624" w:type="dxa"/>
          </w:tcPr>
          <w:p w14:paraId="656B037D" w14:textId="77777777" w:rsidR="009325B6" w:rsidRDefault="009325B6" w:rsidP="001F1C85">
            <w:pPr>
              <w:ind w:right="57"/>
              <w:jc w:val="right"/>
              <w:rPr>
                <w:b/>
              </w:rPr>
            </w:pPr>
            <w:r>
              <w:rPr>
                <w:b/>
              </w:rPr>
              <w:t>Option 2</w:t>
            </w:r>
          </w:p>
        </w:tc>
      </w:tr>
      <w:tr w:rsidR="009325B6" w:rsidRPr="00594730" w14:paraId="656B0382" w14:textId="77777777" w:rsidTr="009D1A56">
        <w:trPr>
          <w:trHeight w:val="246"/>
        </w:trPr>
        <w:tc>
          <w:tcPr>
            <w:tcW w:w="5989" w:type="dxa"/>
          </w:tcPr>
          <w:p w14:paraId="656B037F" w14:textId="77777777" w:rsidR="009325B6" w:rsidRPr="00594730" w:rsidRDefault="009325B6" w:rsidP="009D1A56">
            <w:pPr>
              <w:spacing w:after="0"/>
              <w:rPr>
                <w:sz w:val="18"/>
              </w:rPr>
            </w:pPr>
            <w:r>
              <w:rPr>
                <w:sz w:val="18"/>
              </w:rPr>
              <w:t xml:space="preserve">Effectiveness </w:t>
            </w:r>
            <w:r w:rsidR="00057CE0">
              <w:rPr>
                <w:sz w:val="18"/>
              </w:rPr>
              <w:t>(50%)</w:t>
            </w:r>
          </w:p>
        </w:tc>
        <w:tc>
          <w:tcPr>
            <w:tcW w:w="1701" w:type="dxa"/>
          </w:tcPr>
          <w:p w14:paraId="656B0380" w14:textId="77777777" w:rsidR="009325B6" w:rsidRPr="00594730" w:rsidRDefault="0013641A" w:rsidP="001F1C85">
            <w:pPr>
              <w:tabs>
                <w:tab w:val="left" w:pos="1248"/>
              </w:tabs>
              <w:spacing w:after="0"/>
              <w:ind w:right="57"/>
              <w:jc w:val="right"/>
              <w:rPr>
                <w:sz w:val="18"/>
              </w:rPr>
            </w:pPr>
            <w:r>
              <w:rPr>
                <w:sz w:val="18"/>
              </w:rPr>
              <w:t>5</w:t>
            </w:r>
          </w:p>
        </w:tc>
        <w:tc>
          <w:tcPr>
            <w:tcW w:w="1624" w:type="dxa"/>
          </w:tcPr>
          <w:p w14:paraId="656B0381" w14:textId="77777777" w:rsidR="009325B6" w:rsidRPr="00594730" w:rsidRDefault="00AD123A" w:rsidP="001F1C85">
            <w:pPr>
              <w:spacing w:after="0"/>
              <w:ind w:right="57"/>
              <w:jc w:val="right"/>
              <w:rPr>
                <w:sz w:val="18"/>
              </w:rPr>
            </w:pPr>
            <w:r>
              <w:rPr>
                <w:sz w:val="18"/>
              </w:rPr>
              <w:t>7</w:t>
            </w:r>
          </w:p>
        </w:tc>
      </w:tr>
      <w:tr w:rsidR="009325B6" w:rsidRPr="00594730" w14:paraId="656B0386" w14:textId="77777777" w:rsidTr="009D1A56">
        <w:trPr>
          <w:trHeight w:val="246"/>
        </w:trPr>
        <w:tc>
          <w:tcPr>
            <w:tcW w:w="5989" w:type="dxa"/>
          </w:tcPr>
          <w:p w14:paraId="656B0383" w14:textId="77777777" w:rsidR="009325B6" w:rsidRPr="00594730" w:rsidRDefault="009325B6" w:rsidP="009D1A56">
            <w:pPr>
              <w:spacing w:after="0"/>
              <w:rPr>
                <w:sz w:val="18"/>
              </w:rPr>
            </w:pPr>
            <w:r>
              <w:rPr>
                <w:sz w:val="18"/>
              </w:rPr>
              <w:t>Cost</w:t>
            </w:r>
            <w:r w:rsidR="00057CE0">
              <w:rPr>
                <w:sz w:val="18"/>
              </w:rPr>
              <w:t xml:space="preserve"> (50%)</w:t>
            </w:r>
          </w:p>
        </w:tc>
        <w:tc>
          <w:tcPr>
            <w:tcW w:w="1701" w:type="dxa"/>
          </w:tcPr>
          <w:p w14:paraId="656B0384" w14:textId="77777777" w:rsidR="009325B6" w:rsidRPr="00594730" w:rsidRDefault="009325B6" w:rsidP="001F1C85">
            <w:pPr>
              <w:spacing w:after="0"/>
              <w:ind w:right="57"/>
              <w:jc w:val="right"/>
              <w:rPr>
                <w:sz w:val="18"/>
              </w:rPr>
            </w:pPr>
            <w:r>
              <w:rPr>
                <w:sz w:val="18"/>
              </w:rPr>
              <w:t>-1</w:t>
            </w:r>
          </w:p>
        </w:tc>
        <w:tc>
          <w:tcPr>
            <w:tcW w:w="1624" w:type="dxa"/>
          </w:tcPr>
          <w:p w14:paraId="656B0385" w14:textId="77777777" w:rsidR="009325B6" w:rsidRPr="00594730" w:rsidRDefault="009325B6" w:rsidP="001F1C85">
            <w:pPr>
              <w:spacing w:after="0"/>
              <w:ind w:right="57"/>
              <w:jc w:val="right"/>
              <w:rPr>
                <w:sz w:val="18"/>
              </w:rPr>
            </w:pPr>
            <w:r>
              <w:rPr>
                <w:sz w:val="18"/>
              </w:rPr>
              <w:t>-8</w:t>
            </w:r>
          </w:p>
        </w:tc>
      </w:tr>
      <w:tr w:rsidR="009325B6" w:rsidRPr="00594730" w14:paraId="656B038A" w14:textId="77777777" w:rsidTr="009D1A56">
        <w:trPr>
          <w:trHeight w:val="246"/>
        </w:trPr>
        <w:tc>
          <w:tcPr>
            <w:tcW w:w="5989" w:type="dxa"/>
          </w:tcPr>
          <w:p w14:paraId="656B0387" w14:textId="77777777" w:rsidR="009325B6" w:rsidRPr="00222833" w:rsidRDefault="009325B6" w:rsidP="00057CE0">
            <w:pPr>
              <w:spacing w:after="0"/>
              <w:rPr>
                <w:b/>
                <w:sz w:val="18"/>
              </w:rPr>
            </w:pPr>
            <w:r>
              <w:rPr>
                <w:b/>
                <w:sz w:val="18"/>
              </w:rPr>
              <w:t xml:space="preserve">Total </w:t>
            </w:r>
            <w:r w:rsidR="00E573AE">
              <w:rPr>
                <w:b/>
                <w:sz w:val="18"/>
              </w:rPr>
              <w:t>w</w:t>
            </w:r>
            <w:r w:rsidR="00057CE0">
              <w:rPr>
                <w:b/>
                <w:sz w:val="18"/>
              </w:rPr>
              <w:t>eighted s</w:t>
            </w:r>
            <w:r>
              <w:rPr>
                <w:b/>
                <w:sz w:val="18"/>
              </w:rPr>
              <w:t>core</w:t>
            </w:r>
          </w:p>
        </w:tc>
        <w:tc>
          <w:tcPr>
            <w:tcW w:w="1701" w:type="dxa"/>
          </w:tcPr>
          <w:p w14:paraId="656B0388" w14:textId="77777777" w:rsidR="009325B6" w:rsidRPr="00222833" w:rsidRDefault="00057CE0" w:rsidP="001F1C85">
            <w:pPr>
              <w:spacing w:after="0"/>
              <w:ind w:right="57"/>
              <w:jc w:val="right"/>
              <w:rPr>
                <w:b/>
                <w:sz w:val="18"/>
              </w:rPr>
            </w:pPr>
            <w:r>
              <w:rPr>
                <w:b/>
                <w:sz w:val="18"/>
              </w:rPr>
              <w:t>2</w:t>
            </w:r>
          </w:p>
        </w:tc>
        <w:tc>
          <w:tcPr>
            <w:tcW w:w="1624" w:type="dxa"/>
          </w:tcPr>
          <w:p w14:paraId="656B0389" w14:textId="77777777" w:rsidR="009325B6" w:rsidRPr="00222833" w:rsidRDefault="00AD123A" w:rsidP="001F1C85">
            <w:pPr>
              <w:spacing w:after="0"/>
              <w:ind w:right="57"/>
              <w:jc w:val="right"/>
              <w:rPr>
                <w:b/>
                <w:sz w:val="18"/>
              </w:rPr>
            </w:pPr>
            <w:r>
              <w:rPr>
                <w:b/>
                <w:sz w:val="18"/>
              </w:rPr>
              <w:t>-</w:t>
            </w:r>
            <w:r w:rsidR="00057CE0">
              <w:rPr>
                <w:b/>
                <w:sz w:val="18"/>
              </w:rPr>
              <w:t>0.5</w:t>
            </w:r>
          </w:p>
        </w:tc>
      </w:tr>
    </w:tbl>
    <w:p w14:paraId="656B038B" w14:textId="77777777" w:rsidR="009325B6" w:rsidRPr="009D1A56" w:rsidRDefault="009325B6" w:rsidP="00222833"/>
    <w:p w14:paraId="656B038C" w14:textId="77777777" w:rsidR="00A30EAE" w:rsidRPr="0041102F" w:rsidRDefault="00A30EAE"/>
    <w:p w14:paraId="656B038D" w14:textId="77777777" w:rsidR="00117601" w:rsidRPr="00243F08" w:rsidRDefault="00117601" w:rsidP="00243F08">
      <w:pPr>
        <w:pStyle w:val="Heading1"/>
      </w:pPr>
      <w:bookmarkStart w:id="606" w:name="_Toc536807103"/>
      <w:bookmarkStart w:id="607" w:name="_Toc342630"/>
      <w:bookmarkStart w:id="608" w:name="_Toc10018329"/>
      <w:bookmarkStart w:id="609" w:name="_Toc10021436"/>
      <w:bookmarkStart w:id="610" w:name="_Toc10021850"/>
      <w:bookmarkStart w:id="611" w:name="_Toc12892334"/>
      <w:r w:rsidRPr="00243F08">
        <w:t>Contaminated</w:t>
      </w:r>
      <w:r w:rsidR="00A2264F" w:rsidRPr="00243F08">
        <w:t xml:space="preserve"> land</w:t>
      </w:r>
      <w:bookmarkEnd w:id="594"/>
      <w:bookmarkEnd w:id="595"/>
      <w:bookmarkEnd w:id="604"/>
      <w:bookmarkEnd w:id="605"/>
      <w:bookmarkEnd w:id="606"/>
      <w:bookmarkEnd w:id="607"/>
      <w:bookmarkEnd w:id="608"/>
      <w:bookmarkEnd w:id="609"/>
      <w:bookmarkEnd w:id="610"/>
      <w:bookmarkEnd w:id="611"/>
    </w:p>
    <w:p w14:paraId="656B038E" w14:textId="77777777" w:rsidR="00E04324" w:rsidRPr="00040A06" w:rsidRDefault="00E04324" w:rsidP="00E04324">
      <w:pPr>
        <w:mirrorIndents/>
        <w:rPr>
          <w:color w:val="808080" w:themeColor="background1" w:themeShade="80"/>
        </w:rPr>
      </w:pPr>
      <w:bookmarkStart w:id="612" w:name="_Toc525554653"/>
      <w:bookmarkStart w:id="613" w:name="_Toc536054966"/>
      <w:bookmarkStart w:id="614" w:name="_Toc525554660"/>
      <w:bookmarkStart w:id="615" w:name="_Toc536054973"/>
      <w:r w:rsidRPr="00040A06">
        <w:rPr>
          <w:b/>
          <w:color w:val="808080" w:themeColor="background1" w:themeShade="80"/>
        </w:rPr>
        <w:t xml:space="preserve">This chapter assesses regulations being proposed to provide more detailed prescription </w:t>
      </w:r>
      <w:r>
        <w:rPr>
          <w:b/>
          <w:color w:val="808080" w:themeColor="background1" w:themeShade="80"/>
        </w:rPr>
        <w:t>regarding</w:t>
      </w:r>
      <w:r w:rsidRPr="00040A06">
        <w:rPr>
          <w:b/>
          <w:color w:val="808080" w:themeColor="background1" w:themeShade="80"/>
        </w:rPr>
        <w:t xml:space="preserve"> what is required to comply with the </w:t>
      </w:r>
      <w:r>
        <w:rPr>
          <w:b/>
          <w:color w:val="808080" w:themeColor="background1" w:themeShade="80"/>
        </w:rPr>
        <w:t xml:space="preserve">new </w:t>
      </w:r>
      <w:r w:rsidRPr="00906C8E">
        <w:rPr>
          <w:b/>
          <w:color w:val="808080" w:themeColor="background1" w:themeShade="80"/>
        </w:rPr>
        <w:t>duties</w:t>
      </w:r>
      <w:r w:rsidRPr="00040A06">
        <w:rPr>
          <w:b/>
          <w:color w:val="808080" w:themeColor="background1" w:themeShade="80"/>
        </w:rPr>
        <w:t xml:space="preserve"> to </w:t>
      </w:r>
      <w:r>
        <w:rPr>
          <w:b/>
          <w:color w:val="808080" w:themeColor="background1" w:themeShade="80"/>
        </w:rPr>
        <w:t xml:space="preserve">manage contaminated land, and provide notification, in specified circumstances, where it exists. Consideration is also given to prescribing control measures for non-aqueous phase liquids and exemptions to notifiable contamination. </w:t>
      </w:r>
    </w:p>
    <w:p w14:paraId="656B038F" w14:textId="77777777" w:rsidR="00CF0796" w:rsidRDefault="00CF0796" w:rsidP="00040A06">
      <w:pPr>
        <w:mirrorIndents/>
      </w:pPr>
      <w:r w:rsidRPr="00B70E30">
        <w:rPr>
          <w:rFonts w:cs="Segoe UI Light"/>
          <w:noProof/>
          <w:color w:val="2B579A"/>
          <w:shd w:val="clear" w:color="auto" w:fill="E6E6E6"/>
          <w:lang w:eastAsia="en-AU"/>
        </w:rPr>
        <mc:AlternateContent>
          <mc:Choice Requires="wps">
            <w:drawing>
              <wp:inline distT="0" distB="0" distL="0" distR="0" wp14:anchorId="656B1EA4" wp14:editId="656B1EA5">
                <wp:extent cx="5940425" cy="6307015"/>
                <wp:effectExtent l="0" t="0" r="22225" b="17780"/>
                <wp:docPr id="14" name="Rectangle 14"/>
                <wp:cNvGraphicFramePr/>
                <a:graphic xmlns:a="http://schemas.openxmlformats.org/drawingml/2006/main">
                  <a:graphicData uri="http://schemas.microsoft.com/office/word/2010/wordprocessingShape">
                    <wps:wsp>
                      <wps:cNvSpPr/>
                      <wps:spPr bwMode="gray">
                        <a:xfrm>
                          <a:off x="0" y="0"/>
                          <a:ext cx="5940425" cy="6307015"/>
                        </a:xfrm>
                        <a:prstGeom prst="rect">
                          <a:avLst/>
                        </a:prstGeom>
                        <a:solidFill>
                          <a:schemeClr val="bg2"/>
                        </a:solidFill>
                        <a:ln w="19050" algn="ctr">
                          <a:solidFill>
                            <a:srgbClr val="62B5E5"/>
                          </a:solidFill>
                          <a:miter lim="800000"/>
                          <a:headEnd/>
                          <a:tailEnd/>
                        </a:ln>
                      </wps:spPr>
                      <wps:txbx>
                        <w:txbxContent>
                          <w:p w14:paraId="656B21E2" w14:textId="77777777" w:rsidR="00E752DE" w:rsidRPr="007553F2" w:rsidRDefault="00E752DE" w:rsidP="00040A06">
                            <w:pPr>
                              <w:spacing w:after="0"/>
                              <w:ind w:right="262"/>
                              <w:rPr>
                                <w:rFonts w:cs="Segoe UI Light"/>
                                <w:b/>
                                <w:color w:val="FF0000"/>
                              </w:rPr>
                            </w:pPr>
                            <w:r w:rsidRPr="005D5854">
                              <w:rPr>
                                <w:rFonts w:cs="Segoe UI Light"/>
                                <w:b/>
                                <w:color w:val="012169" w:themeColor="accent4"/>
                              </w:rPr>
                              <w:t>Key points:</w:t>
                            </w:r>
                          </w:p>
                          <w:p w14:paraId="656B21E3" w14:textId="77777777" w:rsidR="00E752DE" w:rsidRPr="00834BC6" w:rsidRDefault="00E752DE" w:rsidP="004A2442">
                            <w:pPr>
                              <w:pStyle w:val="ListParagraph"/>
                              <w:numPr>
                                <w:ilvl w:val="0"/>
                                <w:numId w:val="62"/>
                              </w:numPr>
                              <w:ind w:right="262"/>
                              <w:rPr>
                                <w:rFonts w:cs="Segoe UI Light"/>
                              </w:rPr>
                            </w:pPr>
                            <w:r w:rsidRPr="00F94F7D">
                              <w:rPr>
                                <w:rFonts w:cs="Segoe UI Light"/>
                              </w:rPr>
                              <w:t>Contaminated land was identified by the EP</w:t>
                            </w:r>
                            <w:r>
                              <w:rPr>
                                <w:rFonts w:cs="Segoe UI Light"/>
                              </w:rPr>
                              <w:t>A</w:t>
                            </w:r>
                            <w:r w:rsidRPr="00F94F7D">
                              <w:rPr>
                                <w:rFonts w:cs="Segoe UI Light"/>
                              </w:rPr>
                              <w:t xml:space="preserve"> Inquiry as one of the critical challenges for </w:t>
                            </w:r>
                            <w:r w:rsidRPr="00410F9E">
                              <w:rPr>
                                <w:rFonts w:cs="Segoe UI Light"/>
                              </w:rPr>
                              <w:t>environmental protection in Victoria</w:t>
                            </w:r>
                            <w:r w:rsidRPr="00834BC6">
                              <w:rPr>
                                <w:rFonts w:cs="Segoe UI Light"/>
                              </w:rPr>
                              <w:t>.</w:t>
                            </w:r>
                          </w:p>
                          <w:p w14:paraId="656B21E4" w14:textId="77777777" w:rsidR="00E752DE" w:rsidRPr="0039479A" w:rsidRDefault="00E752DE" w:rsidP="004A2442">
                            <w:pPr>
                              <w:pStyle w:val="ListParagraph"/>
                              <w:numPr>
                                <w:ilvl w:val="0"/>
                                <w:numId w:val="62"/>
                              </w:numPr>
                              <w:ind w:right="262"/>
                              <w:rPr>
                                <w:rFonts w:cs="Segoe UI Light"/>
                              </w:rPr>
                            </w:pPr>
                            <w:r w:rsidRPr="0039479A">
                              <w:rPr>
                                <w:rFonts w:cs="Segoe UI Light"/>
                              </w:rPr>
                              <w:t>Alongside the GED, the new EP legislation establishes new duties to:</w:t>
                            </w:r>
                          </w:p>
                          <w:p w14:paraId="656B21E5" w14:textId="77777777" w:rsidR="00E752DE" w:rsidRPr="005C028A" w:rsidRDefault="00E752DE" w:rsidP="00140866">
                            <w:pPr>
                              <w:pStyle w:val="ListParagraph"/>
                              <w:numPr>
                                <w:ilvl w:val="1"/>
                                <w:numId w:val="62"/>
                              </w:numPr>
                              <w:ind w:left="993" w:right="262" w:hanging="284"/>
                              <w:mirrorIndents/>
                            </w:pPr>
                            <w:r w:rsidRPr="005C028A">
                              <w:t>Manage contaminated land</w:t>
                            </w:r>
                          </w:p>
                          <w:p w14:paraId="656B21E6" w14:textId="77777777" w:rsidR="00E752DE" w:rsidRPr="005C028A" w:rsidRDefault="00E752DE" w:rsidP="00140866">
                            <w:pPr>
                              <w:pStyle w:val="ListParagraph"/>
                              <w:numPr>
                                <w:ilvl w:val="1"/>
                                <w:numId w:val="62"/>
                              </w:numPr>
                              <w:ind w:left="993" w:right="262" w:hanging="284"/>
                              <w:mirrorIndents/>
                            </w:pPr>
                            <w:r w:rsidRPr="005C028A">
                              <w:t>Notify EPA of contaminated land in certain circumstances.</w:t>
                            </w:r>
                          </w:p>
                          <w:p w14:paraId="656B21E7" w14:textId="77777777" w:rsidR="00E752DE" w:rsidRPr="00B9192C" w:rsidRDefault="00E752DE" w:rsidP="00980997">
                            <w:pPr>
                              <w:pStyle w:val="ListParagraph"/>
                              <w:numPr>
                                <w:ilvl w:val="0"/>
                                <w:numId w:val="62"/>
                              </w:numPr>
                              <w:ind w:right="262"/>
                              <w:rPr>
                                <w:rFonts w:cs="Segoe UI Light"/>
                              </w:rPr>
                            </w:pPr>
                            <w:r w:rsidRPr="00B9192C">
                              <w:rPr>
                                <w:rFonts w:cs="Segoe UI Light"/>
                              </w:rPr>
                              <w:t>However, the following residual risks will continue to exist after the new EP legislation has taken effect:</w:t>
                            </w:r>
                          </w:p>
                          <w:p w14:paraId="656B21E9" w14:textId="3BCABABC" w:rsidR="00E752DE" w:rsidRPr="00B9192C" w:rsidRDefault="00E752DE" w:rsidP="00140866">
                            <w:pPr>
                              <w:pStyle w:val="ListParagraph"/>
                              <w:numPr>
                                <w:ilvl w:val="1"/>
                                <w:numId w:val="62"/>
                              </w:numPr>
                              <w:ind w:left="993" w:right="262" w:hanging="284"/>
                              <w:mirrorIndents/>
                              <w:rPr>
                                <w:rFonts w:cs="Segoe UI Light"/>
                              </w:rPr>
                            </w:pPr>
                            <w:r>
                              <w:t>Un</w:t>
                            </w:r>
                            <w:r w:rsidRPr="00B9192C">
                              <w:t xml:space="preserve">certainty </w:t>
                            </w:r>
                            <w:r>
                              <w:t xml:space="preserve">around the compliance standard required </w:t>
                            </w:r>
                            <w:r w:rsidRPr="00B9192C">
                              <w:t xml:space="preserve">with respect to their contaminated land management and notification obligations, </w:t>
                            </w:r>
                            <w:r>
                              <w:t xml:space="preserve">tending </w:t>
                            </w:r>
                            <w:r w:rsidRPr="00B9192C">
                              <w:t>to</w:t>
                            </w:r>
                            <w:r>
                              <w:t xml:space="preserve"> </w:t>
                            </w:r>
                            <w:r w:rsidRPr="00B9192C">
                              <w:t>under-compliance</w:t>
                            </w:r>
                            <w:r>
                              <w:t xml:space="preserve"> </w:t>
                            </w:r>
                            <w:r>
                              <w:rPr>
                                <w:rFonts w:cs="Segoe UI Light"/>
                              </w:rPr>
                              <w:t>particularly in relation to how contamination is assessed against ‘naturally occurring concentrations’.</w:t>
                            </w:r>
                            <w:r w:rsidRPr="00B9192C">
                              <w:t xml:space="preserve"> Significant impacts to harm to human health and the environment in relation to non-aqueous phase liquids (NAPL) contamination and as a result of EPA not receiving adequate information through the duty to notify</w:t>
                            </w:r>
                            <w:r w:rsidRPr="00B9192C">
                              <w:rPr>
                                <w:rFonts w:cs="Segoe UI Light"/>
                              </w:rPr>
                              <w:t>.</w:t>
                            </w:r>
                          </w:p>
                          <w:p w14:paraId="656B21EA" w14:textId="77777777" w:rsidR="00E752DE" w:rsidRPr="005C028A" w:rsidRDefault="00E752DE" w:rsidP="00F34DF6">
                            <w:pPr>
                              <w:pStyle w:val="ListParagraph"/>
                              <w:numPr>
                                <w:ilvl w:val="0"/>
                                <w:numId w:val="62"/>
                              </w:numPr>
                              <w:ind w:right="262"/>
                              <w:rPr>
                                <w:rFonts w:cs="Segoe UI Light"/>
                              </w:rPr>
                            </w:pPr>
                            <w:r w:rsidRPr="005C028A">
                              <w:t xml:space="preserve">The GED and the duty to manage are insufficiently targeted to adequately control the risks presented by </w:t>
                            </w:r>
                            <w:r>
                              <w:t>NAPLs</w:t>
                            </w:r>
                            <w:r w:rsidRPr="005C028A">
                              <w:t>, particularly given the persistence and highly harmful nature of NAPL and potential to result in long-term multigenerational human health and environmental impacts. Duty holders are unlikely to observe the full impacts or fully understand the longer</w:t>
                            </w:r>
                            <w:r w:rsidRPr="005C028A">
                              <w:noBreakHyphen/>
                              <w:t>term human health and environmental impacts of NAPL contamination.</w:t>
                            </w:r>
                          </w:p>
                          <w:p w14:paraId="656B21EB" w14:textId="77777777" w:rsidR="00E752DE" w:rsidRDefault="00E752DE" w:rsidP="007068D9">
                            <w:pPr>
                              <w:pStyle w:val="ListParagraph"/>
                              <w:numPr>
                                <w:ilvl w:val="0"/>
                                <w:numId w:val="62"/>
                              </w:numPr>
                              <w:ind w:right="262"/>
                              <w:rPr>
                                <w:rFonts w:cs="Segoe UI Light"/>
                              </w:rPr>
                            </w:pPr>
                            <w:r w:rsidRPr="005C028A">
                              <w:rPr>
                                <w:rFonts w:cs="Segoe UI Light"/>
                              </w:rPr>
                              <w:t>The new EP legislation</w:t>
                            </w:r>
                            <w:r>
                              <w:rPr>
                                <w:rFonts w:cs="Segoe UI Light"/>
                              </w:rPr>
                              <w:t xml:space="preserve"> adopts two alternatives for definition of notifiable contamination for the purposes of supporting a proportionate response: the option to specify particular thresholds in the regulation, or otherwise, if no such threshold is specified, default to a dollar value threshold based on likely remediation costs. As the duty is new and EPA’s current knowledge on the number of contaminated sites is limited, using the dollar value threshold alone could impose a burden on businesses and individuals not commensurate to the information objectives sought in initial implementation of the new duty. This could lead to higher regulatory burden with marginal benefit to human health or the environment at this point in time.  </w:t>
                            </w:r>
                          </w:p>
                          <w:p w14:paraId="656B21EC" w14:textId="77777777" w:rsidR="00E752DE" w:rsidRDefault="00E752DE" w:rsidP="004A2442">
                            <w:pPr>
                              <w:pStyle w:val="ListParagraph"/>
                              <w:numPr>
                                <w:ilvl w:val="0"/>
                                <w:numId w:val="62"/>
                              </w:numPr>
                              <w:ind w:right="262"/>
                              <w:rPr>
                                <w:rFonts w:cs="Segoe UI Light"/>
                              </w:rPr>
                            </w:pPr>
                            <w:r>
                              <w:rPr>
                                <w:rFonts w:cs="Segoe UI Light"/>
                              </w:rPr>
                              <w:t>The preferred options to address these residual risks are:</w:t>
                            </w:r>
                          </w:p>
                          <w:p w14:paraId="656B21ED" w14:textId="77777777" w:rsidR="00E752DE" w:rsidRPr="00C624E0" w:rsidRDefault="00E752DE" w:rsidP="00B9192C">
                            <w:pPr>
                              <w:pStyle w:val="ListParagraph"/>
                              <w:numPr>
                                <w:ilvl w:val="1"/>
                                <w:numId w:val="62"/>
                              </w:numPr>
                              <w:ind w:left="993" w:right="262" w:hanging="284"/>
                              <w:mirrorIndents/>
                            </w:pPr>
                            <w:r w:rsidRPr="00C624E0">
                              <w:t>In relation to the duty to manage: prescribe regulation</w:t>
                            </w:r>
                            <w:r>
                              <w:t>s</w:t>
                            </w:r>
                            <w:r w:rsidRPr="00C624E0">
                              <w:t xml:space="preserve"> to allow EPA to make determinations on background levels on a case by case basis and prescribe specific control measures for NAPL contamination.</w:t>
                            </w:r>
                          </w:p>
                          <w:p w14:paraId="656B21EE" w14:textId="77777777" w:rsidR="00E752DE" w:rsidRDefault="00E752DE" w:rsidP="00B9192C">
                            <w:pPr>
                              <w:pStyle w:val="ListParagraph"/>
                              <w:numPr>
                                <w:ilvl w:val="1"/>
                                <w:numId w:val="62"/>
                              </w:numPr>
                              <w:ind w:left="993" w:right="262" w:hanging="284"/>
                              <w:mirrorIndents/>
                            </w:pPr>
                            <w:r w:rsidRPr="00EF47F7">
                              <w:t xml:space="preserve">In relation to the duty to notify: prescribe in regulation an alternative risk-based definition of notifiable contamination, establish specific exemptions to notifiable contamination and the requirement for duty holders to provide a management </w:t>
                            </w:r>
                            <w:r w:rsidRPr="00140866">
                              <w:t>response with their notification to the EPA.</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56B1EA4" id="Rectangle 14" o:spid="_x0000_s1071" style="width:467.75pt;height:496.6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" fillcolor="#e7e6e6 [3214]" strokecolor="#62b5e5" strokeweight="1.5pt">
                <v:textbox inset="7pt,7pt,7pt,7pt">
                  <w:txbxContent>
                    <w:p w14:paraId="656B21E2" w14:textId="77777777" w:rsidR="00E752DE" w:rsidRPr="007553F2" w:rsidRDefault="00E752DE" w:rsidP="00040A06">
                      <w:pPr>
                        <w:spacing w:after="0"/>
                        <w:ind w:right="262"/>
                        <w:rPr>
                          <w:rFonts w:cs="Segoe UI Light"/>
                          <w:b/>
                          <w:color w:val="FF0000"/>
                        </w:rPr>
                      </w:pPr>
                      <w:r w:rsidRPr="005D5854">
                        <w:rPr>
                          <w:rFonts w:cs="Segoe UI Light"/>
                          <w:b/>
                          <w:color w:val="012169" w:themeColor="accent4"/>
                        </w:rPr>
                        <w:t>Key points:</w:t>
                      </w:r>
                    </w:p>
                    <w:p w14:paraId="656B21E3" w14:textId="77777777" w:rsidR="00E752DE" w:rsidRPr="00834BC6" w:rsidRDefault="00E752DE" w:rsidP="004A2442">
                      <w:pPr>
                        <w:pStyle w:val="ListParagraph"/>
                        <w:numPr>
                          <w:ilvl w:val="0"/>
                          <w:numId w:val="62"/>
                        </w:numPr>
                        <w:ind w:right="262"/>
                        <w:rPr>
                          <w:rFonts w:cs="Segoe UI Light"/>
                        </w:rPr>
                      </w:pPr>
                      <w:r w:rsidRPr="00F94F7D">
                        <w:rPr>
                          <w:rFonts w:cs="Segoe UI Light"/>
                        </w:rPr>
                        <w:t>Contaminated land was identified by the EP</w:t>
                      </w:r>
                      <w:r>
                        <w:rPr>
                          <w:rFonts w:cs="Segoe UI Light"/>
                        </w:rPr>
                        <w:t>A</w:t>
                      </w:r>
                      <w:r w:rsidRPr="00F94F7D">
                        <w:rPr>
                          <w:rFonts w:cs="Segoe UI Light"/>
                        </w:rPr>
                        <w:t xml:space="preserve"> Inquiry as one of the critical challenges for </w:t>
                      </w:r>
                      <w:r w:rsidRPr="00410F9E">
                        <w:rPr>
                          <w:rFonts w:cs="Segoe UI Light"/>
                        </w:rPr>
                        <w:t>environmental protection in Victoria</w:t>
                      </w:r>
                      <w:r w:rsidRPr="00834BC6">
                        <w:rPr>
                          <w:rFonts w:cs="Segoe UI Light"/>
                        </w:rPr>
                        <w:t>.</w:t>
                      </w:r>
                    </w:p>
                    <w:p w14:paraId="656B21E4" w14:textId="77777777" w:rsidR="00E752DE" w:rsidRPr="0039479A" w:rsidRDefault="00E752DE" w:rsidP="004A2442">
                      <w:pPr>
                        <w:pStyle w:val="ListParagraph"/>
                        <w:numPr>
                          <w:ilvl w:val="0"/>
                          <w:numId w:val="62"/>
                        </w:numPr>
                        <w:ind w:right="262"/>
                        <w:rPr>
                          <w:rFonts w:cs="Segoe UI Light"/>
                        </w:rPr>
                      </w:pPr>
                      <w:r w:rsidRPr="0039479A">
                        <w:rPr>
                          <w:rFonts w:cs="Segoe UI Light"/>
                        </w:rPr>
                        <w:t>Alongside the GED, the new EP legislation establishes new duties to:</w:t>
                      </w:r>
                    </w:p>
                    <w:p w14:paraId="656B21E5" w14:textId="77777777" w:rsidR="00E752DE" w:rsidRPr="005C028A" w:rsidRDefault="00E752DE" w:rsidP="00140866">
                      <w:pPr>
                        <w:pStyle w:val="ListParagraph"/>
                        <w:numPr>
                          <w:ilvl w:val="1"/>
                          <w:numId w:val="62"/>
                        </w:numPr>
                        <w:ind w:left="993" w:right="262" w:hanging="284"/>
                        <w:mirrorIndents/>
                      </w:pPr>
                      <w:r w:rsidRPr="005C028A">
                        <w:t>Manage contaminated land</w:t>
                      </w:r>
                    </w:p>
                    <w:p w14:paraId="656B21E6" w14:textId="77777777" w:rsidR="00E752DE" w:rsidRPr="005C028A" w:rsidRDefault="00E752DE" w:rsidP="00140866">
                      <w:pPr>
                        <w:pStyle w:val="ListParagraph"/>
                        <w:numPr>
                          <w:ilvl w:val="1"/>
                          <w:numId w:val="62"/>
                        </w:numPr>
                        <w:ind w:left="993" w:right="262" w:hanging="284"/>
                        <w:mirrorIndents/>
                      </w:pPr>
                      <w:r w:rsidRPr="005C028A">
                        <w:t>Notify EPA of contaminated land in certain circumstances.</w:t>
                      </w:r>
                    </w:p>
                    <w:p w14:paraId="656B21E7" w14:textId="77777777" w:rsidR="00E752DE" w:rsidRPr="00B9192C" w:rsidRDefault="00E752DE" w:rsidP="00980997">
                      <w:pPr>
                        <w:pStyle w:val="ListParagraph"/>
                        <w:numPr>
                          <w:ilvl w:val="0"/>
                          <w:numId w:val="62"/>
                        </w:numPr>
                        <w:ind w:right="262"/>
                        <w:rPr>
                          <w:rFonts w:cs="Segoe UI Light"/>
                        </w:rPr>
                      </w:pPr>
                      <w:r w:rsidRPr="00B9192C">
                        <w:rPr>
                          <w:rFonts w:cs="Segoe UI Light"/>
                        </w:rPr>
                        <w:t>However, the following residual risks will continue to exist after the new EP legislation has taken effect:</w:t>
                      </w:r>
                    </w:p>
                    <w:p w14:paraId="656B21E9" w14:textId="3BCABABC" w:rsidR="00E752DE" w:rsidRPr="00B9192C" w:rsidRDefault="00E752DE" w:rsidP="00140866">
                      <w:pPr>
                        <w:pStyle w:val="ListParagraph"/>
                        <w:numPr>
                          <w:ilvl w:val="1"/>
                          <w:numId w:val="62"/>
                        </w:numPr>
                        <w:ind w:left="993" w:right="262" w:hanging="284"/>
                        <w:mirrorIndents/>
                        <w:rPr>
                          <w:rFonts w:cs="Segoe UI Light"/>
                        </w:rPr>
                      </w:pPr>
                      <w:r>
                        <w:t>Un</w:t>
                      </w:r>
                      <w:r w:rsidRPr="00B9192C">
                        <w:t xml:space="preserve">certainty </w:t>
                      </w:r>
                      <w:r>
                        <w:t xml:space="preserve">around the compliance standard required </w:t>
                      </w:r>
                      <w:r w:rsidRPr="00B9192C">
                        <w:t xml:space="preserve">with respect to their contaminated land management and notification obligations, </w:t>
                      </w:r>
                      <w:r>
                        <w:t xml:space="preserve">tending </w:t>
                      </w:r>
                      <w:r w:rsidRPr="00B9192C">
                        <w:t>to</w:t>
                      </w:r>
                      <w:r>
                        <w:t xml:space="preserve"> </w:t>
                      </w:r>
                      <w:r w:rsidRPr="00B9192C">
                        <w:t>under-compliance</w:t>
                      </w:r>
                      <w:r>
                        <w:t xml:space="preserve"> </w:t>
                      </w:r>
                      <w:r>
                        <w:rPr>
                          <w:rFonts w:cs="Segoe UI Light"/>
                        </w:rPr>
                        <w:t>particularly in relation to how contamination is assessed against ‘naturally occurring concentrations’.</w:t>
                      </w:r>
                      <w:r w:rsidRPr="00B9192C">
                        <w:t xml:space="preserve"> Significant impacts to harm to human health and the environment in relation to non-aqueous phase liquids (NAPL) contamination and as a result of EPA not receiving adequate information through the duty to notify</w:t>
                      </w:r>
                      <w:r w:rsidRPr="00B9192C">
                        <w:rPr>
                          <w:rFonts w:cs="Segoe UI Light"/>
                        </w:rPr>
                        <w:t>.</w:t>
                      </w:r>
                    </w:p>
                    <w:p w14:paraId="656B21EA" w14:textId="77777777" w:rsidR="00E752DE" w:rsidRPr="005C028A" w:rsidRDefault="00E752DE" w:rsidP="00F34DF6">
                      <w:pPr>
                        <w:pStyle w:val="ListParagraph"/>
                        <w:numPr>
                          <w:ilvl w:val="0"/>
                          <w:numId w:val="62"/>
                        </w:numPr>
                        <w:ind w:right="262"/>
                        <w:rPr>
                          <w:rFonts w:cs="Segoe UI Light"/>
                        </w:rPr>
                      </w:pPr>
                      <w:r w:rsidRPr="005C028A">
                        <w:t xml:space="preserve">The GED and the duty to manage are insufficiently targeted to adequately control the risks presented by </w:t>
                      </w:r>
                      <w:r>
                        <w:t>NAPLs</w:t>
                      </w:r>
                      <w:r w:rsidRPr="005C028A">
                        <w:t>, particularly given the persistence and highly harmful nature of NAPL and potential to result in long-term multigenerational human health and environmental impacts. Duty holders are unlikely to observe the full impacts or fully understand the longer</w:t>
                      </w:r>
                      <w:r w:rsidRPr="005C028A">
                        <w:noBreakHyphen/>
                        <w:t>term human health and environmental impacts of NAPL contamination.</w:t>
                      </w:r>
                    </w:p>
                    <w:p w14:paraId="656B21EB" w14:textId="77777777" w:rsidR="00E752DE" w:rsidRDefault="00E752DE" w:rsidP="007068D9">
                      <w:pPr>
                        <w:pStyle w:val="ListParagraph"/>
                        <w:numPr>
                          <w:ilvl w:val="0"/>
                          <w:numId w:val="62"/>
                        </w:numPr>
                        <w:ind w:right="262"/>
                        <w:rPr>
                          <w:rFonts w:cs="Segoe UI Light"/>
                        </w:rPr>
                      </w:pPr>
                      <w:r w:rsidRPr="005C028A">
                        <w:rPr>
                          <w:rFonts w:cs="Segoe UI Light"/>
                        </w:rPr>
                        <w:t>The new EP legislation</w:t>
                      </w:r>
                      <w:r>
                        <w:rPr>
                          <w:rFonts w:cs="Segoe UI Light"/>
                        </w:rPr>
                        <w:t xml:space="preserve"> adopts two alternatives for definition of notifiable contamination for the purposes of supporting a proportionate response: the option to specify particular thresholds in the regulation, or otherwise, if no such threshold is specified, default to a dollar value threshold based on likely remediation costs. As the duty is new and EPA’s current knowledge on the number of contaminated sites is limited, using the dollar value threshold alone could impose a burden on businesses and individuals not commensurate to the information objectives sought in initial implementation of the new duty. This could lead to higher regulatory burden with marginal benefit to human health or the environment at this point in time.  </w:t>
                      </w:r>
                    </w:p>
                    <w:p w14:paraId="656B21EC" w14:textId="77777777" w:rsidR="00E752DE" w:rsidRDefault="00E752DE" w:rsidP="004A2442">
                      <w:pPr>
                        <w:pStyle w:val="ListParagraph"/>
                        <w:numPr>
                          <w:ilvl w:val="0"/>
                          <w:numId w:val="62"/>
                        </w:numPr>
                        <w:ind w:right="262"/>
                        <w:rPr>
                          <w:rFonts w:cs="Segoe UI Light"/>
                        </w:rPr>
                      </w:pPr>
                      <w:r>
                        <w:rPr>
                          <w:rFonts w:cs="Segoe UI Light"/>
                        </w:rPr>
                        <w:t>The preferred options to address these residual risks are:</w:t>
                      </w:r>
                    </w:p>
                    <w:p w14:paraId="656B21ED" w14:textId="77777777" w:rsidR="00E752DE" w:rsidRPr="00C624E0" w:rsidRDefault="00E752DE" w:rsidP="00B9192C">
                      <w:pPr>
                        <w:pStyle w:val="ListParagraph"/>
                        <w:numPr>
                          <w:ilvl w:val="1"/>
                          <w:numId w:val="62"/>
                        </w:numPr>
                        <w:ind w:left="993" w:right="262" w:hanging="284"/>
                        <w:mirrorIndents/>
                      </w:pPr>
                      <w:r w:rsidRPr="00C624E0">
                        <w:t>In relation to the duty to manage: prescribe regulation</w:t>
                      </w:r>
                      <w:r>
                        <w:t>s</w:t>
                      </w:r>
                      <w:r w:rsidRPr="00C624E0">
                        <w:t xml:space="preserve"> to allow EPA to make determinations on background levels on a case by case basis and prescribe specific control measures for NAPL contamination.</w:t>
                      </w:r>
                    </w:p>
                    <w:p w14:paraId="656B21EE" w14:textId="77777777" w:rsidR="00E752DE" w:rsidRDefault="00E752DE" w:rsidP="00B9192C">
                      <w:pPr>
                        <w:pStyle w:val="ListParagraph"/>
                        <w:numPr>
                          <w:ilvl w:val="1"/>
                          <w:numId w:val="62"/>
                        </w:numPr>
                        <w:ind w:left="993" w:right="262" w:hanging="284"/>
                        <w:mirrorIndents/>
                      </w:pPr>
                      <w:r w:rsidRPr="00EF47F7">
                        <w:t xml:space="preserve">In relation to the duty to notify: prescribe in regulation an alternative risk-based definition of notifiable contamination, establish specific exemptions to notifiable contamination and the requirement for duty holders to provide a management </w:t>
                      </w:r>
                      <w:r w:rsidRPr="00140866">
                        <w:t>response with their notification to the EPA.</w:t>
                      </w:r>
                    </w:p>
                  </w:txbxContent>
                </v:textbox>
                <w10:anchorlock/>
              </v:rect>
            </w:pict>
          </mc:Fallback>
        </mc:AlternateContent>
      </w:r>
    </w:p>
    <w:bookmarkEnd w:id="612"/>
    <w:bookmarkEnd w:id="613"/>
    <w:p w14:paraId="656B0390" w14:textId="77777777" w:rsidR="00CF0796" w:rsidRPr="001922B1" w:rsidRDefault="00CF0796" w:rsidP="00982D63">
      <w:pPr>
        <w:pStyle w:val="Heading2"/>
      </w:pPr>
      <w:r>
        <w:t>Background</w:t>
      </w:r>
    </w:p>
    <w:p w14:paraId="656B0391" w14:textId="77777777" w:rsidR="00CF0796" w:rsidRPr="00E96D6E" w:rsidRDefault="00CF0796" w:rsidP="00CF0796">
      <w:pPr>
        <w:mirrorIndents/>
        <w:rPr>
          <w:rFonts w:cs="Segoe UI Light"/>
          <w:szCs w:val="20"/>
        </w:rPr>
      </w:pPr>
      <w:r>
        <w:t>Land use acros</w:t>
      </w:r>
      <w:r w:rsidRPr="00E96D6E">
        <w:t xml:space="preserve">s Victoria covers a broad range of activities, including residential, commercial and industrial use, agricultural </w:t>
      </w:r>
      <w:r w:rsidR="00B81AAA">
        <w:t xml:space="preserve">use </w:t>
      </w:r>
      <w:r w:rsidRPr="00E96D6E">
        <w:t xml:space="preserve">for production of food and fibre, and conservation </w:t>
      </w:r>
      <w:r w:rsidR="00B81AAA">
        <w:t xml:space="preserve">activities </w:t>
      </w:r>
      <w:r w:rsidRPr="00E96D6E">
        <w:t>to protect biodiversity.</w:t>
      </w:r>
      <w:r w:rsidRPr="00E96D6E">
        <w:rPr>
          <w:rStyle w:val="FootnoteReference"/>
        </w:rPr>
        <w:footnoteReference w:id="97"/>
      </w:r>
      <w:r w:rsidRPr="00E96D6E">
        <w:t xml:space="preserve"> Human activities such as industrial and agricultural uses have resulted in a </w:t>
      </w:r>
      <w:r w:rsidRPr="00E96D6E">
        <w:rPr>
          <w:rFonts w:cs="Segoe UI Light"/>
          <w:szCs w:val="20"/>
        </w:rPr>
        <w:t xml:space="preserve">legacy of contaminated sites across Victoria. </w:t>
      </w:r>
      <w:r w:rsidRPr="00040A06">
        <w:t xml:space="preserve">The </w:t>
      </w:r>
      <w:r>
        <w:t xml:space="preserve">number, </w:t>
      </w:r>
      <w:r w:rsidRPr="00040A06">
        <w:t xml:space="preserve">location </w:t>
      </w:r>
      <w:r>
        <w:t xml:space="preserve">and condition </w:t>
      </w:r>
      <w:r w:rsidRPr="00040A06">
        <w:t>of Victoria’s contaminated sites are largely unknown</w:t>
      </w:r>
      <w:r>
        <w:rPr>
          <w:rStyle w:val="FootnoteReference"/>
        </w:rPr>
        <w:footnoteReference w:id="98"/>
      </w:r>
      <w:r w:rsidR="00891BBD">
        <w:t>,</w:t>
      </w:r>
      <w:r w:rsidRPr="00040A06">
        <w:t xml:space="preserve"> however </w:t>
      </w:r>
      <w:r w:rsidR="000514DD">
        <w:t>EPA</w:t>
      </w:r>
      <w:r>
        <w:t xml:space="preserve"> estimates there are upwards of </w:t>
      </w:r>
      <w:r w:rsidRPr="00040A06">
        <w:t>30,000 sites</w:t>
      </w:r>
      <w:r>
        <w:t xml:space="preserve"> </w:t>
      </w:r>
      <w:r w:rsidRPr="00040A06">
        <w:t>with varying levels of risk to human health and the</w:t>
      </w:r>
      <w:r w:rsidR="00891BBD">
        <w:t xml:space="preserve"> </w:t>
      </w:r>
      <w:r w:rsidRPr="00040A06">
        <w:t>environment</w:t>
      </w:r>
      <w:r>
        <w:t xml:space="preserve"> across Victoria</w:t>
      </w:r>
      <w:r w:rsidRPr="00040A06">
        <w:t>.</w:t>
      </w:r>
      <w:r>
        <w:rPr>
          <w:rStyle w:val="FootnoteReference"/>
        </w:rPr>
        <w:footnoteReference w:id="99"/>
      </w:r>
    </w:p>
    <w:p w14:paraId="656B0392" w14:textId="77777777" w:rsidR="000E36A7" w:rsidRPr="000E36A7" w:rsidRDefault="000E36A7" w:rsidP="000E36A7">
      <w:pPr>
        <w:mirrorIndents/>
      </w:pPr>
      <w:r w:rsidRPr="000E36A7">
        <w:t>Based on the estimated stock of contaminated land and the risk profile, the number of contaminated land sites under each category of risk is estimated to be:</w:t>
      </w:r>
      <w:r>
        <w:rPr>
          <w:rStyle w:val="FootnoteReference"/>
        </w:rPr>
        <w:footnoteReference w:id="100"/>
      </w:r>
    </w:p>
    <w:p w14:paraId="656B0393" w14:textId="77777777" w:rsidR="000E36A7" w:rsidRPr="000E36A7" w:rsidRDefault="000E36A7" w:rsidP="004A2442">
      <w:pPr>
        <w:pStyle w:val="ListParagraph"/>
        <w:numPr>
          <w:ilvl w:val="0"/>
          <w:numId w:val="117"/>
        </w:numPr>
        <w:mirrorIndents/>
      </w:pPr>
      <w:r>
        <w:t>High Risk (NAPL) - 1,400 sites</w:t>
      </w:r>
    </w:p>
    <w:p w14:paraId="656B0394" w14:textId="77777777" w:rsidR="000E36A7" w:rsidRPr="000E36A7" w:rsidRDefault="000E36A7" w:rsidP="004A2442">
      <w:pPr>
        <w:pStyle w:val="ListParagraph"/>
        <w:numPr>
          <w:ilvl w:val="0"/>
          <w:numId w:val="117"/>
        </w:numPr>
        <w:mirrorIndents/>
      </w:pPr>
      <w:r w:rsidRPr="000E36A7">
        <w:t xml:space="preserve">High </w:t>
      </w:r>
      <w:r>
        <w:t>Risk (Vapours) - 3,300 sites</w:t>
      </w:r>
    </w:p>
    <w:p w14:paraId="656B0395" w14:textId="77777777" w:rsidR="000E36A7" w:rsidRPr="000E36A7" w:rsidRDefault="000E36A7" w:rsidP="004A2442">
      <w:pPr>
        <w:pStyle w:val="ListParagraph"/>
        <w:numPr>
          <w:ilvl w:val="0"/>
          <w:numId w:val="117"/>
        </w:numPr>
        <w:mirrorIndents/>
      </w:pPr>
      <w:r w:rsidRPr="000E36A7">
        <w:t>High Risk (Groundwater conta</w:t>
      </w:r>
      <w:r>
        <w:t>mination offsite) - 1,800 sites</w:t>
      </w:r>
    </w:p>
    <w:p w14:paraId="656B0396" w14:textId="77777777" w:rsidR="000E36A7" w:rsidRPr="000E36A7" w:rsidRDefault="000E36A7" w:rsidP="004A2442">
      <w:pPr>
        <w:pStyle w:val="ListParagraph"/>
        <w:numPr>
          <w:ilvl w:val="0"/>
          <w:numId w:val="117"/>
        </w:numPr>
        <w:mirrorIndents/>
      </w:pPr>
      <w:r w:rsidRPr="000E36A7">
        <w:t>High Risk (Groundwater cont</w:t>
      </w:r>
      <w:r>
        <w:t>amination on</w:t>
      </w:r>
      <w:r w:rsidR="00DD5CE9">
        <w:t>-</w:t>
      </w:r>
      <w:r>
        <w:t>site) - 9,400 sites</w:t>
      </w:r>
    </w:p>
    <w:p w14:paraId="656B0397" w14:textId="77777777" w:rsidR="000E36A7" w:rsidRPr="000E36A7" w:rsidRDefault="000E36A7" w:rsidP="004A2442">
      <w:pPr>
        <w:pStyle w:val="ListParagraph"/>
        <w:numPr>
          <w:ilvl w:val="0"/>
          <w:numId w:val="117"/>
        </w:numPr>
        <w:mirrorIndents/>
      </w:pPr>
      <w:r w:rsidRPr="000E36A7">
        <w:t xml:space="preserve">Medium Risk (Unsafe for </w:t>
      </w:r>
      <w:r w:rsidR="008F21F6">
        <w:t xml:space="preserve">current </w:t>
      </w:r>
      <w:r w:rsidRPr="000E36A7">
        <w:t>use, high co</w:t>
      </w:r>
      <w:r>
        <w:t>ntaminant levels) - 7,400 sites</w:t>
      </w:r>
    </w:p>
    <w:p w14:paraId="656B0398" w14:textId="77777777" w:rsidR="000E36A7" w:rsidRPr="000E36A7" w:rsidRDefault="000E36A7" w:rsidP="004A2442">
      <w:pPr>
        <w:pStyle w:val="ListParagraph"/>
        <w:numPr>
          <w:ilvl w:val="0"/>
          <w:numId w:val="117"/>
        </w:numPr>
        <w:mirrorIndents/>
      </w:pPr>
      <w:r>
        <w:t xml:space="preserve">Medium Risk (Unsafe for </w:t>
      </w:r>
      <w:r w:rsidR="008F21F6">
        <w:t xml:space="preserve">current </w:t>
      </w:r>
      <w:r>
        <w:t>use) -</w:t>
      </w:r>
      <w:r w:rsidRPr="000E36A7">
        <w:t xml:space="preserve"> 1,500</w:t>
      </w:r>
      <w:r>
        <w:t xml:space="preserve"> sites</w:t>
      </w:r>
    </w:p>
    <w:p w14:paraId="656B0399" w14:textId="77777777" w:rsidR="000E36A7" w:rsidRPr="000E36A7" w:rsidRDefault="000E36A7" w:rsidP="004A2442">
      <w:pPr>
        <w:pStyle w:val="ListParagraph"/>
        <w:numPr>
          <w:ilvl w:val="0"/>
          <w:numId w:val="117"/>
        </w:numPr>
        <w:mirrorIndents/>
      </w:pPr>
      <w:r w:rsidRPr="000E36A7">
        <w:t>Low Risk (</w:t>
      </w:r>
      <w:r>
        <w:t xml:space="preserve">Safe for </w:t>
      </w:r>
      <w:r w:rsidR="008F21F6">
        <w:t xml:space="preserve">current </w:t>
      </w:r>
      <w:r>
        <w:t>use) - 4,100 sites</w:t>
      </w:r>
    </w:p>
    <w:p w14:paraId="656B039A" w14:textId="77777777" w:rsidR="000E36A7" w:rsidRPr="000E36A7" w:rsidRDefault="000E36A7" w:rsidP="004A2442">
      <w:pPr>
        <w:pStyle w:val="ListParagraph"/>
        <w:numPr>
          <w:ilvl w:val="0"/>
          <w:numId w:val="117"/>
        </w:numPr>
        <w:mirrorIndents/>
      </w:pPr>
      <w:r>
        <w:t>Low Risk (Below thresholds) -</w:t>
      </w:r>
      <w:r w:rsidRPr="000E36A7">
        <w:t xml:space="preserve"> 1,200 sites.</w:t>
      </w:r>
    </w:p>
    <w:p w14:paraId="656B039B" w14:textId="77777777" w:rsidR="00CF0796" w:rsidRPr="00081EBF" w:rsidRDefault="00CF0796" w:rsidP="00CF0796">
      <w:pPr>
        <w:mirrorIndents/>
      </w:pPr>
      <w:r w:rsidRPr="00E96D6E">
        <w:t xml:space="preserve">In accordance with the </w:t>
      </w:r>
      <w:r>
        <w:t>new EP legislation</w:t>
      </w:r>
      <w:r w:rsidRPr="00E96D6E">
        <w:t>, land is contaminated if ‘waste, a chemical substance or a prescribed substance is present on or under the surface of the land and the waste, chemical substance or prescribed substance – is present in a concentration above the background level, and creates a risk to human health o</w:t>
      </w:r>
      <w:r>
        <w:t>r</w:t>
      </w:r>
      <w:r w:rsidRPr="00E96D6E">
        <w:t xml:space="preserve"> the environment’. </w:t>
      </w:r>
      <w:r w:rsidRPr="00E96D6E">
        <w:rPr>
          <w:rFonts w:cs="Segoe UI Light"/>
          <w:szCs w:val="20"/>
        </w:rPr>
        <w:t>These substances can include toxic and/or carcinogenic chemicals</w:t>
      </w:r>
      <w:r>
        <w:rPr>
          <w:rFonts w:cs="Segoe UI Light"/>
          <w:szCs w:val="20"/>
        </w:rPr>
        <w:t xml:space="preserve">, chemicals which generate </w:t>
      </w:r>
      <w:r w:rsidRPr="00380B91">
        <w:rPr>
          <w:rFonts w:cs="Segoe UI Light"/>
          <w:szCs w:val="20"/>
        </w:rPr>
        <w:t>harmful vapours</w:t>
      </w:r>
      <w:r>
        <w:rPr>
          <w:rFonts w:cs="Segoe UI Light"/>
          <w:szCs w:val="20"/>
        </w:rPr>
        <w:t xml:space="preserve"> and other harmful substances.</w:t>
      </w:r>
      <w:r w:rsidRPr="00C815C0">
        <w:t xml:space="preserve"> </w:t>
      </w:r>
    </w:p>
    <w:p w14:paraId="656B039C" w14:textId="77777777" w:rsidR="00CF0796" w:rsidRPr="00A90187" w:rsidRDefault="00CF0796" w:rsidP="00CF0796">
      <w:pPr>
        <w:mirrorIndents/>
        <w:rPr>
          <w:rFonts w:cs="Segoe UI Light"/>
          <w:szCs w:val="20"/>
        </w:rPr>
      </w:pPr>
      <w:r>
        <w:t>Land contamination</w:t>
      </w:r>
      <w:r w:rsidRPr="00081EBF">
        <w:t xml:space="preserve"> </w:t>
      </w:r>
      <w:r>
        <w:t xml:space="preserve">is typically the </w:t>
      </w:r>
      <w:r w:rsidRPr="00081EBF">
        <w:t>result of current or historical activities at, or adjacent to</w:t>
      </w:r>
      <w:r>
        <w:t>,</w:t>
      </w:r>
      <w:r w:rsidRPr="00081EBF">
        <w:t xml:space="preserve"> the site.</w:t>
      </w:r>
      <w:r>
        <w:t xml:space="preserve"> </w:t>
      </w:r>
      <w:r w:rsidRPr="00A90187">
        <w:t xml:space="preserve">The </w:t>
      </w:r>
      <w:r w:rsidR="00B81AAA">
        <w:t>VAGO report</w:t>
      </w:r>
      <w:r w:rsidRPr="00A90187">
        <w:t xml:space="preserve"> </w:t>
      </w:r>
      <w:r w:rsidRPr="00A90187">
        <w:rPr>
          <w:i/>
        </w:rPr>
        <w:t>Managing Contaminated Sites</w:t>
      </w:r>
      <w:r w:rsidRPr="00A90187">
        <w:t xml:space="preserve">, notes that there are </w:t>
      </w:r>
      <w:r w:rsidRPr="00A90187">
        <w:rPr>
          <w:rFonts w:cs="Segoe UI Light"/>
          <w:szCs w:val="20"/>
        </w:rPr>
        <w:t xml:space="preserve">typically three ways in which contamination may affect sites: </w:t>
      </w:r>
    </w:p>
    <w:p w14:paraId="656B039D" w14:textId="77777777" w:rsidR="00CF0796" w:rsidRPr="00ED173F" w:rsidRDefault="00891BBD" w:rsidP="004A2442">
      <w:pPr>
        <w:pStyle w:val="Bullet1"/>
        <w:numPr>
          <w:ilvl w:val="0"/>
          <w:numId w:val="26"/>
        </w:numPr>
      </w:pPr>
      <w:r>
        <w:t>C</w:t>
      </w:r>
      <w:r w:rsidR="00CF0796" w:rsidRPr="00ED173F">
        <w:t>ontaminants attach to, or are contained within, the soil</w:t>
      </w:r>
      <w:r w:rsidR="00B81AAA">
        <w:t>.</w:t>
      </w:r>
    </w:p>
    <w:p w14:paraId="656B039E" w14:textId="77777777" w:rsidR="00CF0796" w:rsidRPr="00ED173F" w:rsidRDefault="00891BBD" w:rsidP="004A2442">
      <w:pPr>
        <w:pStyle w:val="Bullet1"/>
        <w:numPr>
          <w:ilvl w:val="0"/>
          <w:numId w:val="26"/>
        </w:numPr>
      </w:pPr>
      <w:r>
        <w:t>C</w:t>
      </w:r>
      <w:r w:rsidR="00CF0796" w:rsidRPr="00ED173F">
        <w:t>ontaminants leach from the soil into surface or ground waters, which may be static, or migrating onto or off the site</w:t>
      </w:r>
      <w:r w:rsidR="00B81AAA">
        <w:t>.</w:t>
      </w:r>
    </w:p>
    <w:p w14:paraId="656B039F" w14:textId="77777777" w:rsidR="00CF0796" w:rsidRDefault="00891BBD" w:rsidP="004A2442">
      <w:pPr>
        <w:pStyle w:val="Bullet1"/>
        <w:numPr>
          <w:ilvl w:val="0"/>
          <w:numId w:val="26"/>
        </w:numPr>
      </w:pPr>
      <w:r>
        <w:t>V</w:t>
      </w:r>
      <w:r w:rsidR="00CF0796" w:rsidRPr="00ED173F">
        <w:t xml:space="preserve">olatile contaminants in the soil and groundwater which </w:t>
      </w:r>
      <w:r w:rsidR="00CF0796">
        <w:t xml:space="preserve">can </w:t>
      </w:r>
      <w:r w:rsidR="00CF0796" w:rsidRPr="00ED173F">
        <w:t xml:space="preserve">generate vapours which migrate through the soil profile and </w:t>
      </w:r>
      <w:r w:rsidR="00CF0796">
        <w:t>may</w:t>
      </w:r>
      <w:r w:rsidR="00CF0796" w:rsidRPr="00ED173F">
        <w:t xml:space="preserve"> accumulate in overlying structures such as dwellings.</w:t>
      </w:r>
    </w:p>
    <w:p w14:paraId="656B03A0" w14:textId="77777777" w:rsidR="00CF0796" w:rsidRPr="00906C8E" w:rsidRDefault="00CF0796" w:rsidP="00CF0796">
      <w:pPr>
        <w:mirrorIndents/>
        <w:rPr>
          <w:rFonts w:cs="Segoe UI Light"/>
          <w:szCs w:val="20"/>
        </w:rPr>
      </w:pPr>
      <w:r w:rsidRPr="00801A03">
        <w:rPr>
          <w:rFonts w:cs="Segoe UI Light"/>
          <w:szCs w:val="20"/>
        </w:rPr>
        <w:t xml:space="preserve">Victoria’s </w:t>
      </w:r>
      <w:r>
        <w:rPr>
          <w:rFonts w:cs="Segoe UI Light"/>
          <w:szCs w:val="20"/>
        </w:rPr>
        <w:t xml:space="preserve">growing population will continue to drive </w:t>
      </w:r>
      <w:r w:rsidRPr="00801A03">
        <w:rPr>
          <w:rFonts w:cs="Segoe UI Light"/>
          <w:szCs w:val="20"/>
        </w:rPr>
        <w:t>demand for residential</w:t>
      </w:r>
      <w:r>
        <w:rPr>
          <w:rFonts w:cs="Segoe UI Light"/>
          <w:szCs w:val="20"/>
        </w:rPr>
        <w:t xml:space="preserve">, </w:t>
      </w:r>
      <w:r w:rsidRPr="00801A03">
        <w:rPr>
          <w:rFonts w:cs="Segoe UI Light"/>
          <w:szCs w:val="20"/>
        </w:rPr>
        <w:t>recreational and commercial land</w:t>
      </w:r>
      <w:r>
        <w:rPr>
          <w:rFonts w:cs="Segoe UI Light"/>
          <w:szCs w:val="20"/>
        </w:rPr>
        <w:t xml:space="preserve"> within existing urban and regional centres</w:t>
      </w:r>
      <w:r w:rsidRPr="00801A03">
        <w:rPr>
          <w:rFonts w:cs="Segoe UI Light"/>
          <w:szCs w:val="20"/>
        </w:rPr>
        <w:t xml:space="preserve">. </w:t>
      </w:r>
      <w:r>
        <w:rPr>
          <w:rFonts w:cs="Segoe UI Light"/>
          <w:szCs w:val="20"/>
        </w:rPr>
        <w:t>To meet this growing demand, there will be a requirement to manage, and potentia</w:t>
      </w:r>
      <w:r w:rsidR="009325B6">
        <w:rPr>
          <w:rFonts w:cs="Segoe UI Light"/>
          <w:szCs w:val="20"/>
        </w:rPr>
        <w:t>l</w:t>
      </w:r>
      <w:r>
        <w:rPr>
          <w:rFonts w:cs="Segoe UI Light"/>
          <w:szCs w:val="20"/>
        </w:rPr>
        <w:t>l</w:t>
      </w:r>
      <w:r w:rsidR="009325B6">
        <w:rPr>
          <w:rFonts w:cs="Segoe UI Light"/>
          <w:szCs w:val="20"/>
        </w:rPr>
        <w:t>y</w:t>
      </w:r>
      <w:r>
        <w:rPr>
          <w:rFonts w:cs="Segoe UI Light"/>
          <w:szCs w:val="20"/>
        </w:rPr>
        <w:t xml:space="preserve"> remediate, </w:t>
      </w:r>
      <w:r w:rsidRPr="00801A03">
        <w:rPr>
          <w:rFonts w:cs="Segoe UI Light"/>
          <w:szCs w:val="20"/>
        </w:rPr>
        <w:t xml:space="preserve">contaminated </w:t>
      </w:r>
      <w:r>
        <w:rPr>
          <w:rFonts w:cs="Segoe UI Light"/>
          <w:szCs w:val="20"/>
        </w:rPr>
        <w:t>infill sites for other uses.</w:t>
      </w:r>
    </w:p>
    <w:p w14:paraId="656B03A1" w14:textId="77777777" w:rsidR="00CF0796" w:rsidRDefault="00CF0796" w:rsidP="00982D63">
      <w:pPr>
        <w:pStyle w:val="Heading2"/>
      </w:pPr>
      <w:r w:rsidRPr="00EA5B65">
        <w:t>Current legislative and</w:t>
      </w:r>
      <w:r w:rsidRPr="00335250">
        <w:t xml:space="preserve"> regulatory framework</w:t>
      </w:r>
    </w:p>
    <w:p w14:paraId="656B03A2" w14:textId="77777777" w:rsidR="00CF0796" w:rsidRDefault="00CF0796" w:rsidP="00CF0796">
      <w:pPr>
        <w:rPr>
          <w:rFonts w:cs="Segoe UI Light"/>
          <w:szCs w:val="20"/>
        </w:rPr>
      </w:pPr>
      <w:r w:rsidRPr="00864F09">
        <w:t xml:space="preserve">Current </w:t>
      </w:r>
      <w:r>
        <w:t>land contamination</w:t>
      </w:r>
      <w:r w:rsidRPr="00864F09">
        <w:t xml:space="preserve"> requirements set out in the </w:t>
      </w:r>
      <w:r>
        <w:t xml:space="preserve">EP Act 1970 </w:t>
      </w:r>
      <w:r w:rsidRPr="00864F09">
        <w:t xml:space="preserve">are </w:t>
      </w:r>
      <w:r>
        <w:t xml:space="preserve">outlined </w:t>
      </w:r>
      <w:r w:rsidRPr="00864F09">
        <w:t xml:space="preserve">in the form of </w:t>
      </w:r>
      <w:r>
        <w:t>SEPPs and an Industrial Waste Management Policy (IWMP)</w:t>
      </w:r>
      <w:r w:rsidRPr="00864F09">
        <w:t>.</w:t>
      </w:r>
      <w:r w:rsidRPr="00B02D02">
        <w:rPr>
          <w:rFonts w:cs="Segoe UI Light"/>
          <w:szCs w:val="20"/>
        </w:rPr>
        <w:t xml:space="preserve"> </w:t>
      </w:r>
      <w:r>
        <w:rPr>
          <w:rFonts w:cs="Segoe UI Light"/>
          <w:szCs w:val="20"/>
        </w:rPr>
        <w:t xml:space="preserve">The current framework for contaminated land can be described as ‘reactive’ rather than ‘proactive’ in managing human health and environmental risks from contamination. The current framework typically only requires the clean-up and remediation of sites when a change of land use occurs, or when </w:t>
      </w:r>
      <w:r w:rsidR="000514DD">
        <w:rPr>
          <w:rFonts w:cs="Segoe UI Light"/>
          <w:szCs w:val="20"/>
        </w:rPr>
        <w:t>EPA</w:t>
      </w:r>
      <w:r>
        <w:rPr>
          <w:rFonts w:cs="Segoe UI Light"/>
          <w:szCs w:val="20"/>
        </w:rPr>
        <w:t xml:space="preserve"> discovers the existence of contamination and issues a notice requiring the clean-up</w:t>
      </w:r>
      <w:r w:rsidR="00E83A93">
        <w:rPr>
          <w:rFonts w:cs="Segoe UI Light"/>
          <w:szCs w:val="20"/>
        </w:rPr>
        <w:t>.</w:t>
      </w:r>
      <w:r w:rsidDel="00E83A93">
        <w:rPr>
          <w:rFonts w:cs="Segoe UI Light"/>
          <w:szCs w:val="20"/>
        </w:rPr>
        <w:t xml:space="preserve"> </w:t>
      </w:r>
      <w:r>
        <w:rPr>
          <w:rFonts w:cs="Segoe UI Light"/>
          <w:szCs w:val="20"/>
        </w:rPr>
        <w:t>The lack of effective disclosure obligations within the existing framework</w:t>
      </w:r>
      <w:r w:rsidR="00E83A93">
        <w:rPr>
          <w:rFonts w:cs="Segoe UI Light"/>
          <w:szCs w:val="20"/>
        </w:rPr>
        <w:t xml:space="preserve"> can</w:t>
      </w:r>
      <w:r>
        <w:rPr>
          <w:rFonts w:cs="Segoe UI Light"/>
          <w:szCs w:val="20"/>
        </w:rPr>
        <w:t xml:space="preserve"> result in duty holders withholding information from </w:t>
      </w:r>
      <w:r w:rsidR="000514DD">
        <w:rPr>
          <w:rFonts w:cs="Segoe UI Light"/>
          <w:szCs w:val="20"/>
        </w:rPr>
        <w:t>EPA</w:t>
      </w:r>
      <w:r>
        <w:rPr>
          <w:rFonts w:cs="Segoe UI Light"/>
          <w:szCs w:val="20"/>
        </w:rPr>
        <w:t xml:space="preserve"> and potentially affected stakeholders</w:t>
      </w:r>
      <w:r w:rsidR="00DC7A63">
        <w:rPr>
          <w:rFonts w:cs="Segoe UI Light"/>
          <w:szCs w:val="20"/>
        </w:rPr>
        <w:t xml:space="preserve">. </w:t>
      </w:r>
    </w:p>
    <w:p w14:paraId="656B03A3" w14:textId="77777777" w:rsidR="00CF0796" w:rsidRPr="00040A06" w:rsidRDefault="00CF0796" w:rsidP="00040A06">
      <w:pPr>
        <w:rPr>
          <w:rFonts w:cs="Segoe UI Light"/>
          <w:szCs w:val="20"/>
        </w:rPr>
      </w:pPr>
      <w:r>
        <w:rPr>
          <w:rFonts w:cs="Segoe UI Light"/>
          <w:szCs w:val="20"/>
        </w:rPr>
        <w:t xml:space="preserve">Consequently, there </w:t>
      </w:r>
      <w:r w:rsidRPr="00040A06">
        <w:rPr>
          <w:rFonts w:cs="Segoe UI Light"/>
          <w:szCs w:val="20"/>
        </w:rPr>
        <w:t xml:space="preserve">is the potential that many </w:t>
      </w:r>
      <w:r>
        <w:rPr>
          <w:rFonts w:cs="Segoe UI Light"/>
          <w:szCs w:val="20"/>
        </w:rPr>
        <w:t xml:space="preserve">human health and environmental </w:t>
      </w:r>
      <w:r w:rsidRPr="00040A06">
        <w:rPr>
          <w:rFonts w:cs="Segoe UI Light"/>
          <w:szCs w:val="20"/>
        </w:rPr>
        <w:t xml:space="preserve">risks </w:t>
      </w:r>
      <w:r>
        <w:rPr>
          <w:rFonts w:cs="Segoe UI Light"/>
          <w:szCs w:val="20"/>
        </w:rPr>
        <w:t>under the current contaminated land</w:t>
      </w:r>
      <w:r w:rsidR="00E83A93">
        <w:rPr>
          <w:rFonts w:cs="Segoe UI Light"/>
          <w:szCs w:val="20"/>
        </w:rPr>
        <w:t xml:space="preserve"> legislative</w:t>
      </w:r>
      <w:r>
        <w:rPr>
          <w:rFonts w:cs="Segoe UI Light"/>
          <w:szCs w:val="20"/>
        </w:rPr>
        <w:t xml:space="preserve"> framework </w:t>
      </w:r>
      <w:r w:rsidRPr="00040A06">
        <w:rPr>
          <w:rFonts w:cs="Segoe UI Light"/>
          <w:szCs w:val="20"/>
        </w:rPr>
        <w:t xml:space="preserve">are </w:t>
      </w:r>
      <w:r>
        <w:rPr>
          <w:rFonts w:cs="Segoe UI Light"/>
          <w:szCs w:val="20"/>
        </w:rPr>
        <w:t xml:space="preserve">not being appropriately </w:t>
      </w:r>
      <w:r w:rsidRPr="00040A06">
        <w:rPr>
          <w:rFonts w:cs="Segoe UI Light"/>
          <w:szCs w:val="20"/>
        </w:rPr>
        <w:t xml:space="preserve">managed, and </w:t>
      </w:r>
      <w:r>
        <w:rPr>
          <w:rFonts w:cs="Segoe UI Light"/>
          <w:szCs w:val="20"/>
        </w:rPr>
        <w:t xml:space="preserve">may in </w:t>
      </w:r>
      <w:r w:rsidRPr="00040A06">
        <w:rPr>
          <w:rFonts w:cs="Segoe UI Light"/>
          <w:szCs w:val="20"/>
        </w:rPr>
        <w:t xml:space="preserve">some cases </w:t>
      </w:r>
      <w:r>
        <w:rPr>
          <w:rFonts w:cs="Segoe UI Light"/>
          <w:szCs w:val="20"/>
        </w:rPr>
        <w:t xml:space="preserve">be </w:t>
      </w:r>
      <w:r w:rsidRPr="00040A06">
        <w:rPr>
          <w:rFonts w:cs="Segoe UI Light"/>
          <w:szCs w:val="20"/>
        </w:rPr>
        <w:t xml:space="preserve">intensifying over time. </w:t>
      </w:r>
      <w:r>
        <w:rPr>
          <w:rFonts w:cs="Segoe UI Light"/>
          <w:szCs w:val="20"/>
        </w:rPr>
        <w:t>Land c</w:t>
      </w:r>
      <w:r w:rsidRPr="00040A06">
        <w:rPr>
          <w:rFonts w:cs="Segoe UI Light"/>
          <w:szCs w:val="20"/>
        </w:rPr>
        <w:t xml:space="preserve">ontamination risks can be present for many </w:t>
      </w:r>
      <w:r>
        <w:rPr>
          <w:rFonts w:cs="Segoe UI Light"/>
          <w:szCs w:val="20"/>
        </w:rPr>
        <w:t>years</w:t>
      </w:r>
      <w:r w:rsidR="001F2B86">
        <w:rPr>
          <w:rFonts w:cs="Segoe UI Light"/>
          <w:szCs w:val="20"/>
        </w:rPr>
        <w:t xml:space="preserve"> and </w:t>
      </w:r>
      <w:r w:rsidR="00B81AAA">
        <w:rPr>
          <w:rFonts w:cs="Segoe UI Light"/>
          <w:szCs w:val="20"/>
        </w:rPr>
        <w:t>can</w:t>
      </w:r>
      <w:r w:rsidR="001F2B86">
        <w:rPr>
          <w:rFonts w:cs="Segoe UI Light"/>
          <w:szCs w:val="20"/>
        </w:rPr>
        <w:t xml:space="preserve"> migrate</w:t>
      </w:r>
      <w:r w:rsidRPr="00040A06">
        <w:rPr>
          <w:rFonts w:cs="Segoe UI Light"/>
          <w:szCs w:val="20"/>
        </w:rPr>
        <w:t xml:space="preserve">, </w:t>
      </w:r>
      <w:r>
        <w:rPr>
          <w:rFonts w:cs="Segoe UI Light"/>
          <w:szCs w:val="20"/>
        </w:rPr>
        <w:t>resulting in a wide</w:t>
      </w:r>
      <w:r w:rsidR="00B81AAA">
        <w:rPr>
          <w:rFonts w:cs="Segoe UI Light"/>
          <w:szCs w:val="20"/>
        </w:rPr>
        <w:t>r</w:t>
      </w:r>
      <w:r>
        <w:rPr>
          <w:rFonts w:cs="Segoe UI Light"/>
          <w:szCs w:val="20"/>
        </w:rPr>
        <w:t xml:space="preserve"> range of </w:t>
      </w:r>
      <w:r w:rsidRPr="00040A06">
        <w:rPr>
          <w:rFonts w:cs="Segoe UI Light"/>
          <w:szCs w:val="20"/>
        </w:rPr>
        <w:t xml:space="preserve">people </w:t>
      </w:r>
      <w:r>
        <w:rPr>
          <w:rFonts w:cs="Segoe UI Light"/>
          <w:szCs w:val="20"/>
        </w:rPr>
        <w:t xml:space="preserve">being potentially exposed over time </w:t>
      </w:r>
      <w:r w:rsidRPr="00040A06">
        <w:rPr>
          <w:rFonts w:cs="Segoe UI Light"/>
          <w:szCs w:val="20"/>
        </w:rPr>
        <w:t xml:space="preserve">and compounding health impacts. </w:t>
      </w:r>
    </w:p>
    <w:p w14:paraId="656B03A4" w14:textId="77777777" w:rsidR="00CF0796" w:rsidRPr="00B02D02" w:rsidRDefault="00CF0796" w:rsidP="00CF0796">
      <w:pPr>
        <w:rPr>
          <w:rFonts w:cs="Segoe UI Light"/>
          <w:color w:val="7F7F7F" w:themeColor="text1" w:themeTint="80"/>
          <w:szCs w:val="20"/>
        </w:rPr>
      </w:pPr>
      <w:r w:rsidRPr="00B02D02">
        <w:rPr>
          <w:rFonts w:cs="Segoe UI Light"/>
          <w:szCs w:val="20"/>
        </w:rPr>
        <w:t xml:space="preserve">A summary </w:t>
      </w:r>
      <w:r>
        <w:rPr>
          <w:rFonts w:cs="Segoe UI Light"/>
          <w:szCs w:val="20"/>
        </w:rPr>
        <w:t xml:space="preserve">of the legislative and regulatory framework underpinning the management of contaminated land in Victoria </w:t>
      </w:r>
      <w:r w:rsidRPr="00B02D02">
        <w:rPr>
          <w:rFonts w:cs="Segoe UI Light"/>
          <w:szCs w:val="20"/>
        </w:rPr>
        <w:t>is provided in</w:t>
      </w:r>
      <w:r>
        <w:rPr>
          <w:rFonts w:cs="Segoe UI Light"/>
          <w:szCs w:val="20"/>
        </w:rPr>
        <w:t xml:space="preserve"> </w:t>
      </w:r>
      <w:r>
        <w:rPr>
          <w:rFonts w:cs="Segoe UI Light"/>
          <w:color w:val="2B579A"/>
          <w:szCs w:val="20"/>
          <w:shd w:val="clear" w:color="auto" w:fill="E6E6E6"/>
        </w:rPr>
        <w:fldChar w:fldCharType="begin"/>
      </w:r>
      <w:r>
        <w:rPr>
          <w:rFonts w:cs="Segoe UI Light"/>
          <w:szCs w:val="20"/>
        </w:rPr>
        <w:instrText xml:space="preserve"> REF _Ref4764951 \h </w:instrText>
      </w:r>
      <w:r>
        <w:rPr>
          <w:rFonts w:cs="Segoe UI Light"/>
          <w:color w:val="2B579A"/>
          <w:szCs w:val="20"/>
          <w:shd w:val="clear" w:color="auto" w:fill="E6E6E6"/>
        </w:rPr>
      </w:r>
      <w:r>
        <w:rPr>
          <w:rFonts w:cs="Segoe UI Light"/>
          <w:color w:val="2B579A"/>
          <w:szCs w:val="20"/>
          <w:shd w:val="clear" w:color="auto" w:fill="E6E6E6"/>
        </w:rPr>
        <w:fldChar w:fldCharType="separate"/>
      </w:r>
      <w:r w:rsidR="00B11C1E">
        <w:t xml:space="preserve">Table </w:t>
      </w:r>
      <w:r w:rsidR="00B11C1E">
        <w:rPr>
          <w:noProof/>
        </w:rPr>
        <w:t>8</w:t>
      </w:r>
      <w:r w:rsidR="00B11C1E">
        <w:noBreakHyphen/>
      </w:r>
      <w:r w:rsidR="00B11C1E">
        <w:rPr>
          <w:noProof/>
        </w:rPr>
        <w:t>1</w:t>
      </w:r>
      <w:r>
        <w:rPr>
          <w:rFonts w:cs="Segoe UI Light"/>
          <w:color w:val="2B579A"/>
          <w:szCs w:val="20"/>
          <w:shd w:val="clear" w:color="auto" w:fill="E6E6E6"/>
        </w:rPr>
        <w:fldChar w:fldCharType="end"/>
      </w:r>
      <w:r>
        <w:rPr>
          <w:rFonts w:cs="Segoe UI Light"/>
          <w:szCs w:val="20"/>
        </w:rPr>
        <w:t xml:space="preserve">. Supporting legislative and regulatory frameworks outside the EP Act 1970, including </w:t>
      </w:r>
      <w:r w:rsidRPr="009325B6">
        <w:rPr>
          <w:rFonts w:cs="Segoe UI Light"/>
          <w:szCs w:val="20"/>
        </w:rPr>
        <w:t xml:space="preserve">the </w:t>
      </w:r>
      <w:r w:rsidRPr="009325B6">
        <w:rPr>
          <w:rFonts w:cs="Segoe UI Light"/>
          <w:i/>
          <w:szCs w:val="20"/>
        </w:rPr>
        <w:t>Planning and Environmental Act 1987,</w:t>
      </w:r>
      <w:r w:rsidRPr="009325B6">
        <w:rPr>
          <w:rFonts w:cs="Segoe UI Light"/>
          <w:szCs w:val="20"/>
        </w:rPr>
        <w:t xml:space="preserve"> that pertain to contaminated land are </w:t>
      </w:r>
      <w:r w:rsidR="00E83A93" w:rsidRPr="009325B6">
        <w:rPr>
          <w:rFonts w:cs="Segoe UI Light"/>
          <w:szCs w:val="20"/>
        </w:rPr>
        <w:t xml:space="preserve">identified </w:t>
      </w:r>
      <w:r w:rsidRPr="009325B6">
        <w:rPr>
          <w:rFonts w:cs="Segoe UI Light"/>
          <w:szCs w:val="20"/>
        </w:rPr>
        <w:t xml:space="preserve">in Appendix </w:t>
      </w:r>
      <w:r w:rsidR="005F58DF">
        <w:rPr>
          <w:rFonts w:cs="Segoe UI Light"/>
          <w:szCs w:val="20"/>
        </w:rPr>
        <w:t>3</w:t>
      </w:r>
      <w:r w:rsidRPr="00B9192C">
        <w:rPr>
          <w:rFonts w:cs="Segoe UI Light"/>
          <w:szCs w:val="20"/>
        </w:rPr>
        <w:t>.</w:t>
      </w:r>
      <w:r>
        <w:rPr>
          <w:rFonts w:cs="Segoe UI Light"/>
          <w:szCs w:val="20"/>
        </w:rPr>
        <w:t xml:space="preserve"> </w:t>
      </w:r>
    </w:p>
    <w:p w14:paraId="656B03A5" w14:textId="77777777" w:rsidR="00CF0796" w:rsidRDefault="00CF0796" w:rsidP="00B9192C">
      <w:pPr>
        <w:pStyle w:val="Caption"/>
        <w:spacing w:before="120" w:after="120"/>
      </w:pPr>
      <w:bookmarkStart w:id="616" w:name="_Ref4764951"/>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8</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w:t>
      </w:r>
      <w:r w:rsidR="00997CFA">
        <w:rPr>
          <w:color w:val="2B579A"/>
          <w:shd w:val="clear" w:color="auto" w:fill="E6E6E6"/>
        </w:rPr>
        <w:fldChar w:fldCharType="end"/>
      </w:r>
      <w:bookmarkEnd w:id="616"/>
      <w:r>
        <w:t xml:space="preserve"> Current legislative and regulatory framework – contaminated land</w:t>
      </w:r>
    </w:p>
    <w:tbl>
      <w:tblPr>
        <w:tblStyle w:val="Deloittetable1"/>
        <w:tblW w:w="9214" w:type="dxa"/>
        <w:tblLook w:val="04A0" w:firstRow="1" w:lastRow="0" w:firstColumn="1" w:lastColumn="0" w:noHBand="0" w:noVBand="1"/>
      </w:tblPr>
      <w:tblGrid>
        <w:gridCol w:w="2657"/>
        <w:gridCol w:w="6557"/>
      </w:tblGrid>
      <w:tr w:rsidR="00CF0796" w:rsidRPr="00864F09" w14:paraId="656B03A8" w14:textId="77777777" w:rsidTr="00040A06">
        <w:trPr>
          <w:cnfStyle w:val="100000000000" w:firstRow="1" w:lastRow="0" w:firstColumn="0" w:lastColumn="0" w:oddVBand="0" w:evenVBand="0" w:oddHBand="0" w:evenHBand="0" w:firstRowFirstColumn="0" w:firstRowLastColumn="0" w:lastRowFirstColumn="0" w:lastRowLastColumn="0"/>
          <w:trHeight w:val="302"/>
          <w:tblHeader/>
        </w:trPr>
        <w:tc>
          <w:tcPr>
            <w:tcW w:w="2657" w:type="dxa"/>
            <w:tcBorders>
              <w:bottom w:val="single" w:sz="12" w:space="0" w:color="000000" w:themeColor="text1"/>
            </w:tcBorders>
          </w:tcPr>
          <w:p w14:paraId="656B03A6" w14:textId="77777777" w:rsidR="00CF0796" w:rsidRPr="00B87C3F" w:rsidRDefault="00CF0796" w:rsidP="006E0CDD">
            <w:pPr>
              <w:rPr>
                <w:b/>
              </w:rPr>
            </w:pPr>
            <w:r w:rsidRPr="00B87C3F">
              <w:rPr>
                <w:b/>
              </w:rPr>
              <w:t>Name</w:t>
            </w:r>
          </w:p>
        </w:tc>
        <w:tc>
          <w:tcPr>
            <w:tcW w:w="6557" w:type="dxa"/>
            <w:tcBorders>
              <w:bottom w:val="single" w:sz="12" w:space="0" w:color="000000" w:themeColor="text1"/>
            </w:tcBorders>
          </w:tcPr>
          <w:p w14:paraId="656B03A7" w14:textId="77777777" w:rsidR="00CF0796" w:rsidRPr="00B87C3F" w:rsidRDefault="00CF0796" w:rsidP="006E0CDD">
            <w:pPr>
              <w:rPr>
                <w:b/>
              </w:rPr>
            </w:pPr>
            <w:r w:rsidRPr="00B87C3F">
              <w:rPr>
                <w:b/>
              </w:rPr>
              <w:t>Description</w:t>
            </w:r>
          </w:p>
        </w:tc>
      </w:tr>
      <w:tr w:rsidR="00CF0796" w:rsidRPr="00864F09" w14:paraId="656B03AC" w14:textId="77777777" w:rsidTr="00040A06">
        <w:trPr>
          <w:trHeight w:val="302"/>
        </w:trPr>
        <w:tc>
          <w:tcPr>
            <w:tcW w:w="2657" w:type="dxa"/>
            <w:tcBorders>
              <w:top w:val="single" w:sz="12" w:space="0" w:color="000000" w:themeColor="text1"/>
              <w:bottom w:val="single" w:sz="4" w:space="0" w:color="auto"/>
            </w:tcBorders>
          </w:tcPr>
          <w:p w14:paraId="656B03A9" w14:textId="77777777" w:rsidR="00CF0796" w:rsidRPr="00765039" w:rsidRDefault="00CF0796" w:rsidP="006E0CDD">
            <w:pPr>
              <w:spacing w:after="0"/>
              <w:rPr>
                <w:sz w:val="18"/>
              </w:rPr>
            </w:pPr>
            <w:r>
              <w:rPr>
                <w:sz w:val="18"/>
              </w:rPr>
              <w:t>SEPP</w:t>
            </w:r>
            <w:r w:rsidRPr="00765039">
              <w:rPr>
                <w:sz w:val="18"/>
              </w:rPr>
              <w:t xml:space="preserve"> (Prevention and Management of Contamination of Land) (SEPP </w:t>
            </w:r>
            <w:r w:rsidR="00F34DF6">
              <w:rPr>
                <w:sz w:val="18"/>
              </w:rPr>
              <w:t>(</w:t>
            </w:r>
            <w:r w:rsidRPr="00765039">
              <w:rPr>
                <w:sz w:val="18"/>
              </w:rPr>
              <w:t>PMCL</w:t>
            </w:r>
            <w:r w:rsidR="00F34DF6">
              <w:rPr>
                <w:sz w:val="18"/>
              </w:rPr>
              <w:t>)</w:t>
            </w:r>
            <w:r w:rsidRPr="00765039">
              <w:rPr>
                <w:sz w:val="18"/>
              </w:rPr>
              <w:t>)</w:t>
            </w:r>
          </w:p>
        </w:tc>
        <w:tc>
          <w:tcPr>
            <w:tcW w:w="6557" w:type="dxa"/>
            <w:tcBorders>
              <w:top w:val="single" w:sz="12" w:space="0" w:color="000000" w:themeColor="text1"/>
              <w:bottom w:val="single" w:sz="4" w:space="0" w:color="auto"/>
            </w:tcBorders>
          </w:tcPr>
          <w:p w14:paraId="656B03AA" w14:textId="77777777" w:rsidR="00CF0796" w:rsidRDefault="009325B6" w:rsidP="00040A06">
            <w:pPr>
              <w:rPr>
                <w:sz w:val="18"/>
              </w:rPr>
            </w:pPr>
            <w:r>
              <w:rPr>
                <w:sz w:val="18"/>
              </w:rPr>
              <w:t>Identifies</w:t>
            </w:r>
            <w:r w:rsidRPr="00765039">
              <w:rPr>
                <w:sz w:val="18"/>
              </w:rPr>
              <w:t xml:space="preserve"> </w:t>
            </w:r>
            <w:r w:rsidR="00CF0796" w:rsidRPr="00765039">
              <w:rPr>
                <w:sz w:val="18"/>
              </w:rPr>
              <w:t xml:space="preserve">general uses of land in Victoria </w:t>
            </w:r>
            <w:r>
              <w:rPr>
                <w:sz w:val="18"/>
              </w:rPr>
              <w:t xml:space="preserve">(“beneficial uses”) </w:t>
            </w:r>
            <w:r w:rsidR="00CF0796" w:rsidRPr="00765039">
              <w:rPr>
                <w:sz w:val="18"/>
              </w:rPr>
              <w:t>and provides a mechanism for determining whether these uses are being protected, including indicators and objectives of use in assessing impacts. Also sets out requirements for the prevention of contamination and links the environmental audit system and the statutory planning system.</w:t>
            </w:r>
          </w:p>
          <w:p w14:paraId="656B03AB" w14:textId="77777777" w:rsidR="008F21F6" w:rsidRPr="00765039" w:rsidRDefault="008F21F6">
            <w:pPr>
              <w:rPr>
                <w:sz w:val="18"/>
              </w:rPr>
            </w:pPr>
            <w:r>
              <w:rPr>
                <w:sz w:val="18"/>
              </w:rPr>
              <w:t xml:space="preserve">SEPP (PMCL) </w:t>
            </w:r>
            <w:r w:rsidR="009325B6">
              <w:rPr>
                <w:sz w:val="18"/>
              </w:rPr>
              <w:t xml:space="preserve">incorporates </w:t>
            </w:r>
            <w:r>
              <w:rPr>
                <w:sz w:val="18"/>
              </w:rPr>
              <w:t>reference to the National Environment Protection (Assessment of Site Contamination) Measure (NEPM ASC)</w:t>
            </w:r>
            <w:r w:rsidR="009325B6">
              <w:rPr>
                <w:sz w:val="18"/>
              </w:rPr>
              <w:t>,</w:t>
            </w:r>
            <w:r>
              <w:rPr>
                <w:sz w:val="18"/>
              </w:rPr>
              <w:t xml:space="preserve"> </w:t>
            </w:r>
            <w:r w:rsidR="009325B6">
              <w:rPr>
                <w:sz w:val="18"/>
              </w:rPr>
              <w:t xml:space="preserve">amongst other external standards, </w:t>
            </w:r>
            <w:r>
              <w:rPr>
                <w:sz w:val="18"/>
              </w:rPr>
              <w:t>in relation to establishing environmental quality indicators or objectives.</w:t>
            </w:r>
          </w:p>
        </w:tc>
      </w:tr>
      <w:tr w:rsidR="00CF0796" w:rsidRPr="00864F09" w14:paraId="656B03B0" w14:textId="77777777" w:rsidTr="00040A06">
        <w:trPr>
          <w:trHeight w:val="302"/>
        </w:trPr>
        <w:tc>
          <w:tcPr>
            <w:tcW w:w="2657" w:type="dxa"/>
            <w:tcBorders>
              <w:top w:val="single" w:sz="4" w:space="0" w:color="auto"/>
              <w:bottom w:val="single" w:sz="4" w:space="0" w:color="auto"/>
            </w:tcBorders>
          </w:tcPr>
          <w:p w14:paraId="656B03AD" w14:textId="77777777" w:rsidR="00CF0796" w:rsidRPr="0041540A" w:rsidRDefault="00CF0796" w:rsidP="006E0CDD">
            <w:pPr>
              <w:spacing w:after="0"/>
              <w:rPr>
                <w:i/>
                <w:iCs/>
                <w:sz w:val="18"/>
              </w:rPr>
            </w:pPr>
            <w:r>
              <w:rPr>
                <w:sz w:val="18"/>
              </w:rPr>
              <w:t>SEPP</w:t>
            </w:r>
            <w:r w:rsidRPr="00765039">
              <w:rPr>
                <w:sz w:val="18"/>
              </w:rPr>
              <w:t xml:space="preserve"> (</w:t>
            </w:r>
            <w:r>
              <w:rPr>
                <w:sz w:val="18"/>
              </w:rPr>
              <w:t>Waters</w:t>
            </w:r>
            <w:r w:rsidRPr="00765039">
              <w:rPr>
                <w:sz w:val="18"/>
              </w:rPr>
              <w:t xml:space="preserve">) </w:t>
            </w:r>
          </w:p>
        </w:tc>
        <w:tc>
          <w:tcPr>
            <w:tcW w:w="6557" w:type="dxa"/>
            <w:tcBorders>
              <w:top w:val="single" w:sz="4" w:space="0" w:color="auto"/>
              <w:bottom w:val="single" w:sz="4" w:space="0" w:color="auto"/>
            </w:tcBorders>
          </w:tcPr>
          <w:p w14:paraId="656B03AE" w14:textId="77777777" w:rsidR="00CF0796" w:rsidRDefault="00CF0796" w:rsidP="00040A06">
            <w:pPr>
              <w:rPr>
                <w:sz w:val="18"/>
              </w:rPr>
            </w:pPr>
            <w:r w:rsidRPr="00037EC6">
              <w:rPr>
                <w:sz w:val="18"/>
              </w:rPr>
              <w:t>The new SEPP (Waters)</w:t>
            </w:r>
            <w:r>
              <w:rPr>
                <w:sz w:val="18"/>
              </w:rPr>
              <w:t xml:space="preserve"> </w:t>
            </w:r>
            <w:r w:rsidRPr="00037EC6">
              <w:rPr>
                <w:sz w:val="18"/>
              </w:rPr>
              <w:t>commenced on 19 October 2018</w:t>
            </w:r>
            <w:r>
              <w:rPr>
                <w:sz w:val="18"/>
              </w:rPr>
              <w:t xml:space="preserve"> and </w:t>
            </w:r>
            <w:r w:rsidRPr="00037EC6">
              <w:rPr>
                <w:sz w:val="18"/>
              </w:rPr>
              <w:t>provide</w:t>
            </w:r>
            <w:r>
              <w:rPr>
                <w:sz w:val="18"/>
              </w:rPr>
              <w:t>s</w:t>
            </w:r>
            <w:r w:rsidRPr="00037EC6">
              <w:rPr>
                <w:sz w:val="18"/>
              </w:rPr>
              <w:t xml:space="preserve"> a single instrument to guide water quality management in Victoria</w:t>
            </w:r>
            <w:r>
              <w:rPr>
                <w:sz w:val="18"/>
              </w:rPr>
              <w:t xml:space="preserve">. SEPP Waters replaced </w:t>
            </w:r>
            <w:r w:rsidRPr="00037EC6">
              <w:rPr>
                <w:sz w:val="18"/>
              </w:rPr>
              <w:t>SEPP (Groundwaters of Victoria) 199</w:t>
            </w:r>
            <w:r>
              <w:rPr>
                <w:sz w:val="18"/>
              </w:rPr>
              <w:t>7</w:t>
            </w:r>
            <w:r w:rsidRPr="00037EC6">
              <w:rPr>
                <w:sz w:val="18"/>
              </w:rPr>
              <w:t xml:space="preserve"> </w:t>
            </w:r>
            <w:r>
              <w:rPr>
                <w:sz w:val="18"/>
              </w:rPr>
              <w:t xml:space="preserve">and </w:t>
            </w:r>
            <w:r w:rsidRPr="00037EC6">
              <w:rPr>
                <w:sz w:val="18"/>
              </w:rPr>
              <w:t>Variation to SEPP (Groundwaters of Victoria) 2002</w:t>
            </w:r>
            <w:r>
              <w:rPr>
                <w:sz w:val="18"/>
              </w:rPr>
              <w:t xml:space="preserve">, which previously set policy for groundwater quality. </w:t>
            </w:r>
          </w:p>
          <w:p w14:paraId="656B03AF" w14:textId="77777777" w:rsidR="00CF0796" w:rsidRPr="00765039" w:rsidRDefault="00CF0796">
            <w:pPr>
              <w:rPr>
                <w:sz w:val="18"/>
              </w:rPr>
            </w:pPr>
            <w:r>
              <w:rPr>
                <w:sz w:val="18"/>
              </w:rPr>
              <w:t>SEPP (Waters) also sets out the management approach to NAPL, and requires duty holders to clean up NAPL pollution and remove or control the NAPL source in so far as reasonably practica</w:t>
            </w:r>
            <w:r w:rsidR="002F3896">
              <w:rPr>
                <w:sz w:val="18"/>
              </w:rPr>
              <w:t>b</w:t>
            </w:r>
            <w:r>
              <w:rPr>
                <w:sz w:val="18"/>
              </w:rPr>
              <w:t>l</w:t>
            </w:r>
            <w:r w:rsidR="002F3896">
              <w:rPr>
                <w:sz w:val="18"/>
              </w:rPr>
              <w:t>e</w:t>
            </w:r>
            <w:r>
              <w:rPr>
                <w:sz w:val="18"/>
              </w:rPr>
              <w:t>.</w:t>
            </w:r>
            <w:r>
              <w:rPr>
                <w:rStyle w:val="FootnoteReference"/>
                <w:sz w:val="18"/>
              </w:rPr>
              <w:footnoteReference w:id="101"/>
            </w:r>
            <w:r>
              <w:rPr>
                <w:sz w:val="18"/>
              </w:rPr>
              <w:t xml:space="preserve"> </w:t>
            </w:r>
          </w:p>
        </w:tc>
      </w:tr>
    </w:tbl>
    <w:p w14:paraId="656B03B1" w14:textId="77777777" w:rsidR="00CF0796" w:rsidRPr="00906C8E" w:rsidRDefault="00CF0796" w:rsidP="00040A06">
      <w:pPr>
        <w:spacing w:after="0"/>
        <w:mirrorIndents/>
        <w:rPr>
          <w:rFonts w:cs="Segoe UI Light"/>
          <w:szCs w:val="20"/>
        </w:rPr>
      </w:pPr>
    </w:p>
    <w:p w14:paraId="656B03B2" w14:textId="77777777" w:rsidR="00CF0796" w:rsidRDefault="00CF0796" w:rsidP="00CF0796">
      <w:pPr>
        <w:autoSpaceDE w:val="0"/>
        <w:autoSpaceDN w:val="0"/>
        <w:adjustRightInd w:val="0"/>
        <w:spacing w:line="240" w:lineRule="auto"/>
        <w:rPr>
          <w:rFonts w:cs="Segoe UI Light"/>
          <w:color w:val="58595B"/>
          <w:szCs w:val="20"/>
        </w:rPr>
      </w:pPr>
      <w:r w:rsidRPr="00906C8E">
        <w:rPr>
          <w:rFonts w:cs="Segoe UI Light"/>
        </w:rPr>
        <w:t>Like many other en</w:t>
      </w:r>
      <w:r w:rsidRPr="00487A62">
        <w:rPr>
          <w:rFonts w:cs="Segoe UI Light"/>
        </w:rPr>
        <w:t xml:space="preserve">vironmental issues, the regulatory framework for legacy contamination has developed incrementally as risks </w:t>
      </w:r>
      <w:r>
        <w:rPr>
          <w:rFonts w:cs="Segoe UI Light"/>
        </w:rPr>
        <w:t xml:space="preserve">become </w:t>
      </w:r>
      <w:r w:rsidRPr="00487A62">
        <w:rPr>
          <w:rFonts w:cs="Segoe UI Light"/>
        </w:rPr>
        <w:t xml:space="preserve">better understood </w:t>
      </w:r>
      <w:r>
        <w:rPr>
          <w:rFonts w:cs="Segoe UI Light"/>
        </w:rPr>
        <w:t xml:space="preserve">through improved science and understanding </w:t>
      </w:r>
      <w:r w:rsidRPr="00487A62">
        <w:rPr>
          <w:rFonts w:cs="Segoe UI Light"/>
        </w:rPr>
        <w:t>and in response to critical incidents and threats to human health.</w:t>
      </w:r>
      <w:r w:rsidRPr="00487A62">
        <w:rPr>
          <w:rStyle w:val="FootnoteReference"/>
          <w:rFonts w:cs="Segoe UI Light"/>
          <w:color w:val="58595B"/>
          <w:szCs w:val="20"/>
        </w:rPr>
        <w:footnoteReference w:id="102"/>
      </w:r>
      <w:r w:rsidRPr="00487A62">
        <w:rPr>
          <w:rFonts w:cs="Segoe UI Light"/>
          <w:color w:val="58595B"/>
          <w:szCs w:val="20"/>
        </w:rPr>
        <w:t xml:space="preserve"> </w:t>
      </w:r>
    </w:p>
    <w:p w14:paraId="656B03B3" w14:textId="77777777" w:rsidR="00CF0796" w:rsidRPr="00487A62" w:rsidRDefault="00CF0796" w:rsidP="00040A06">
      <w:pPr>
        <w:autoSpaceDE w:val="0"/>
        <w:autoSpaceDN w:val="0"/>
        <w:adjustRightInd w:val="0"/>
        <w:spacing w:line="240" w:lineRule="auto"/>
        <w:rPr>
          <w:rFonts w:cs="Segoe UI Light"/>
        </w:rPr>
      </w:pPr>
      <w:r>
        <w:rPr>
          <w:rFonts w:cs="Segoe UI Light"/>
        </w:rPr>
        <w:t xml:space="preserve">Recent reviews of Victoria’s contaminated land framework have identified a range of limitations and issues with respect </w:t>
      </w:r>
      <w:r w:rsidR="00C12738">
        <w:rPr>
          <w:rFonts w:cs="Segoe UI Light"/>
        </w:rPr>
        <w:t xml:space="preserve">to </w:t>
      </w:r>
      <w:r>
        <w:rPr>
          <w:rFonts w:cs="Segoe UI Light"/>
        </w:rPr>
        <w:t xml:space="preserve">the management </w:t>
      </w:r>
      <w:r w:rsidR="00C12738">
        <w:rPr>
          <w:rFonts w:cs="Segoe UI Light"/>
        </w:rPr>
        <w:t>of</w:t>
      </w:r>
      <w:r>
        <w:rPr>
          <w:rFonts w:cs="Segoe UI Light"/>
        </w:rPr>
        <w:t xml:space="preserve"> human health and environmental risks associated with legacy contamination. For example, the recent </w:t>
      </w:r>
      <w:r w:rsidRPr="009226ED">
        <w:rPr>
          <w:rFonts w:cs="Segoe UI Light"/>
        </w:rPr>
        <w:t>EPA Inquiry</w:t>
      </w:r>
      <w:r w:rsidRPr="00801A03">
        <w:rPr>
          <w:rFonts w:cs="Segoe UI Light"/>
          <w:szCs w:val="20"/>
        </w:rPr>
        <w:t xml:space="preserve"> </w:t>
      </w:r>
      <w:r>
        <w:rPr>
          <w:rFonts w:cs="Segoe UI Light"/>
          <w:szCs w:val="20"/>
        </w:rPr>
        <w:t xml:space="preserve">identified the need for a </w:t>
      </w:r>
      <w:r w:rsidRPr="00801A03">
        <w:rPr>
          <w:rFonts w:cs="Segoe UI Light"/>
          <w:szCs w:val="20"/>
        </w:rPr>
        <w:t xml:space="preserve">comprehensive reform process to provide </w:t>
      </w:r>
      <w:r>
        <w:rPr>
          <w:rFonts w:cs="Segoe UI Light"/>
          <w:szCs w:val="20"/>
        </w:rPr>
        <w:t xml:space="preserve">a consistent, </w:t>
      </w:r>
      <w:r w:rsidRPr="00801A03">
        <w:rPr>
          <w:rFonts w:cs="Segoe UI Light"/>
          <w:szCs w:val="20"/>
        </w:rPr>
        <w:t>risk-based approach</w:t>
      </w:r>
      <w:r>
        <w:rPr>
          <w:rFonts w:cs="Segoe UI Light"/>
          <w:szCs w:val="20"/>
        </w:rPr>
        <w:t xml:space="preserve"> to the screening, assessment and remediation of contaminated land and the need for a comprehensive state-wide database of sites that pose a significant risk to the community</w:t>
      </w:r>
      <w:r w:rsidRPr="00801A03">
        <w:rPr>
          <w:rFonts w:cs="Segoe UI Light"/>
          <w:szCs w:val="20"/>
        </w:rPr>
        <w:t>.</w:t>
      </w:r>
      <w:r w:rsidRPr="00801A03">
        <w:rPr>
          <w:rStyle w:val="FootnoteReference"/>
          <w:rFonts w:cs="Segoe UI Light"/>
          <w:szCs w:val="20"/>
        </w:rPr>
        <w:footnoteReference w:id="103"/>
      </w:r>
      <w:r>
        <w:rPr>
          <w:rFonts w:cs="Segoe UI Light"/>
          <w:szCs w:val="20"/>
        </w:rPr>
        <w:t xml:space="preserve"> Furthermore, </w:t>
      </w:r>
      <w:r w:rsidR="001136F7">
        <w:rPr>
          <w:rFonts w:cs="Segoe UI Light"/>
          <w:szCs w:val="20"/>
        </w:rPr>
        <w:t>the 2011</w:t>
      </w:r>
      <w:r>
        <w:rPr>
          <w:rFonts w:cs="Segoe UI Light"/>
          <w:szCs w:val="20"/>
        </w:rPr>
        <w:t xml:space="preserve"> </w:t>
      </w:r>
      <w:r w:rsidR="00B81AAA">
        <w:rPr>
          <w:rFonts w:cs="Segoe UI Light"/>
          <w:szCs w:val="20"/>
        </w:rPr>
        <w:t>VAGO</w:t>
      </w:r>
      <w:r>
        <w:rPr>
          <w:rFonts w:cs="Segoe UI Light"/>
          <w:szCs w:val="20"/>
        </w:rPr>
        <w:t xml:space="preserve"> report into the management of contaminated sites in Victoria found that </w:t>
      </w:r>
      <w:r w:rsidRPr="002E07EA">
        <w:rPr>
          <w:rFonts w:cs="Segoe UI Light"/>
        </w:rPr>
        <w:t>key elements of</w:t>
      </w:r>
      <w:r w:rsidRPr="00487A62">
        <w:rPr>
          <w:rFonts w:cs="Segoe UI Light"/>
        </w:rPr>
        <w:t xml:space="preserve"> the existing legislative and regulatory framework </w:t>
      </w:r>
      <w:r>
        <w:rPr>
          <w:rFonts w:cs="Segoe UI Light"/>
        </w:rPr>
        <w:t xml:space="preserve">lacked sufficient clarity, and </w:t>
      </w:r>
      <w:r w:rsidRPr="00487A62">
        <w:rPr>
          <w:rFonts w:cs="Segoe UI Light"/>
        </w:rPr>
        <w:t xml:space="preserve">significant gaps exist </w:t>
      </w:r>
      <w:r>
        <w:rPr>
          <w:rFonts w:cs="Segoe UI Light"/>
        </w:rPr>
        <w:t xml:space="preserve">with respect to the identification, management, reporting </w:t>
      </w:r>
      <w:r w:rsidRPr="00487A62">
        <w:rPr>
          <w:rFonts w:cs="Segoe UI Light"/>
        </w:rPr>
        <w:t>and clean-up of contaminated sites.</w:t>
      </w:r>
      <w:r w:rsidRPr="00487A62">
        <w:rPr>
          <w:rStyle w:val="FootnoteReference"/>
          <w:rFonts w:cs="Segoe UI Light"/>
        </w:rPr>
        <w:footnoteReference w:id="104"/>
      </w:r>
    </w:p>
    <w:p w14:paraId="656B03B4" w14:textId="77777777" w:rsidR="00CF0796" w:rsidRDefault="00CF0796" w:rsidP="00982D63">
      <w:pPr>
        <w:pStyle w:val="Heading2"/>
      </w:pPr>
      <w:r w:rsidRPr="00335250">
        <w:t>New EP legislation</w:t>
      </w:r>
    </w:p>
    <w:p w14:paraId="656B03B5" w14:textId="77777777" w:rsidR="00CF0796" w:rsidRDefault="00CF0796" w:rsidP="00CF0796">
      <w:r>
        <w:rPr>
          <w:rFonts w:cs="Segoe UI Light"/>
        </w:rPr>
        <w:t xml:space="preserve">In addition to the GED, </w:t>
      </w:r>
      <w:r>
        <w:t xml:space="preserve">the new EP legislation sets out a range of duties, prescriptive elements and new instruments for managing contaminated land in Victoria. The duties for contaminated land include the new </w:t>
      </w:r>
      <w:r w:rsidR="006A5A54">
        <w:t>duty to manage</w:t>
      </w:r>
      <w:r>
        <w:t xml:space="preserve"> contaminated land and </w:t>
      </w:r>
      <w:r w:rsidR="006A5A54">
        <w:t>duty to notify</w:t>
      </w:r>
      <w:r>
        <w:t xml:space="preserve"> of contaminated land. </w:t>
      </w:r>
    </w:p>
    <w:p w14:paraId="656B03B6" w14:textId="77777777" w:rsidR="00CF0796" w:rsidRDefault="00CF0796" w:rsidP="00CF0796">
      <w:r w:rsidRPr="001F4EBC">
        <w:rPr>
          <w:rFonts w:cs="Segoe UI Light"/>
        </w:rPr>
        <w:t xml:space="preserve">The new EP legislation defines land as contaminated if </w:t>
      </w:r>
      <w:r w:rsidRPr="00E07C79">
        <w:t>waste, a chemical substance or a prescribed substance is present on or under the surface of the land in a concentration</w:t>
      </w:r>
      <w:r>
        <w:t xml:space="preserve"> above the ‘background level’ </w:t>
      </w:r>
      <w:r w:rsidRPr="001F4EBC">
        <w:rPr>
          <w:i/>
        </w:rPr>
        <w:t>and</w:t>
      </w:r>
      <w:r w:rsidRPr="00B6606C">
        <w:t xml:space="preserve"> creates a risk of harm to human health or the environment.</w:t>
      </w:r>
      <w:r>
        <w:t xml:space="preserve"> Unless prescribed in regulation</w:t>
      </w:r>
      <w:r w:rsidR="00066004">
        <w:t xml:space="preserve">, determined in accordance with the regulations or set out in an </w:t>
      </w:r>
      <w:r>
        <w:t>ERS, Section 36 of the new EP legislation defines ‘b</w:t>
      </w:r>
      <w:r w:rsidRPr="00B6606C">
        <w:t>ackground levels</w:t>
      </w:r>
      <w:r>
        <w:t>’</w:t>
      </w:r>
      <w:r w:rsidRPr="00B6606C">
        <w:t xml:space="preserve"> </w:t>
      </w:r>
      <w:r>
        <w:t xml:space="preserve">of waste, chemical substances or prescribed substances </w:t>
      </w:r>
      <w:r w:rsidRPr="00B6606C">
        <w:t>as ‘naturally occurring concentration’</w:t>
      </w:r>
      <w:r>
        <w:t xml:space="preserve">. </w:t>
      </w:r>
    </w:p>
    <w:p w14:paraId="656B03B7" w14:textId="77777777" w:rsidR="00CF0796" w:rsidRPr="00801A03" w:rsidRDefault="00CF0796" w:rsidP="00CF0796">
      <w:r>
        <w:t>A</w:t>
      </w:r>
      <w:r w:rsidRPr="00153A50">
        <w:t xml:space="preserve"> more ‘proactive</w:t>
      </w:r>
      <w:r w:rsidRPr="007866F0">
        <w:t xml:space="preserve">’ approach </w:t>
      </w:r>
      <w:r>
        <w:t xml:space="preserve">has been established, </w:t>
      </w:r>
      <w:r w:rsidRPr="007866F0">
        <w:t xml:space="preserve">with earlier management of contaminated land risks and </w:t>
      </w:r>
      <w:r w:rsidR="00B81AAA">
        <w:t xml:space="preserve">a </w:t>
      </w:r>
      <w:r w:rsidRPr="007866F0">
        <w:t>broaden</w:t>
      </w:r>
      <w:r w:rsidR="00B81AAA">
        <w:t>ing of</w:t>
      </w:r>
      <w:r w:rsidRPr="007866F0">
        <w:t xml:space="preserve"> duty holders’ responsibilities to </w:t>
      </w:r>
      <w:r w:rsidR="00B81AAA">
        <w:t xml:space="preserve">include </w:t>
      </w:r>
      <w:r w:rsidRPr="007866F0">
        <w:t xml:space="preserve">anyone with management or control of contaminated land. The new framework also seeks to support duty holders with investigation and clean-up activities </w:t>
      </w:r>
      <w:r w:rsidRPr="00040A06">
        <w:t xml:space="preserve">with a </w:t>
      </w:r>
      <w:r w:rsidRPr="00153A50">
        <w:t xml:space="preserve">focus on highest risk contamination, while </w:t>
      </w:r>
      <w:r w:rsidRPr="00040A06">
        <w:t xml:space="preserve">also </w:t>
      </w:r>
      <w:r w:rsidRPr="00153A50">
        <w:t xml:space="preserve">supporting duty holders to understand and </w:t>
      </w:r>
      <w:r w:rsidRPr="00040A06">
        <w:t xml:space="preserve">manage </w:t>
      </w:r>
      <w:r w:rsidRPr="00153A50">
        <w:t xml:space="preserve">lower </w:t>
      </w:r>
      <w:r w:rsidRPr="00040A06">
        <w:t xml:space="preserve">contamination </w:t>
      </w:r>
      <w:r w:rsidRPr="00153A50">
        <w:t xml:space="preserve">risks where clean-up may not </w:t>
      </w:r>
      <w:r w:rsidRPr="00040A06">
        <w:t xml:space="preserve">be required or </w:t>
      </w:r>
      <w:r w:rsidRPr="00153A50">
        <w:t xml:space="preserve">warranted. </w:t>
      </w:r>
    </w:p>
    <w:p w14:paraId="656B03B8" w14:textId="77777777" w:rsidR="00CF0796" w:rsidRPr="00D85A7F" w:rsidRDefault="00CF0796" w:rsidP="00CF0796">
      <w:pPr>
        <w:spacing w:after="0"/>
        <w:rPr>
          <w:i/>
        </w:rPr>
      </w:pPr>
      <w:r w:rsidRPr="00D85A7F">
        <w:rPr>
          <w:b/>
          <w:i/>
        </w:rPr>
        <w:t>Duty to manage contaminat</w:t>
      </w:r>
      <w:r>
        <w:rPr>
          <w:b/>
          <w:i/>
        </w:rPr>
        <w:t>ed land</w:t>
      </w:r>
    </w:p>
    <w:p w14:paraId="656B03B9" w14:textId="77777777" w:rsidR="00CF0796" w:rsidRDefault="00CF0796" w:rsidP="00040A06">
      <w:r>
        <w:t xml:space="preserve">The </w:t>
      </w:r>
      <w:r w:rsidR="006A5A54">
        <w:t>duty to manage</w:t>
      </w:r>
      <w:r w:rsidRPr="003C0CAA">
        <w:t xml:space="preserve"> </w:t>
      </w:r>
      <w:r>
        <w:t>c</w:t>
      </w:r>
      <w:r w:rsidRPr="003C0CAA">
        <w:t>ontaminat</w:t>
      </w:r>
      <w:r>
        <w:t>ed land compels</w:t>
      </w:r>
      <w:r w:rsidRPr="003C0CAA">
        <w:t xml:space="preserve"> </w:t>
      </w:r>
      <w:r>
        <w:t xml:space="preserve">duty holders to manage or control contaminated land </w:t>
      </w:r>
      <w:r w:rsidRPr="003C0CAA">
        <w:t xml:space="preserve">to </w:t>
      </w:r>
      <w:r>
        <w:t xml:space="preserve">minimise </w:t>
      </w:r>
      <w:r w:rsidRPr="003C0CAA">
        <w:t>risk</w:t>
      </w:r>
      <w:r>
        <w:t>s</w:t>
      </w:r>
      <w:r w:rsidRPr="003C0CAA">
        <w:t xml:space="preserve"> to human health and </w:t>
      </w:r>
      <w:r>
        <w:t xml:space="preserve">the </w:t>
      </w:r>
      <w:r w:rsidRPr="003C0CAA">
        <w:t>environment</w:t>
      </w:r>
      <w:r>
        <w:t xml:space="preserve"> so far as reasonably practicable</w:t>
      </w:r>
      <w:r w:rsidRPr="003C0CAA">
        <w:t xml:space="preserve">. </w:t>
      </w:r>
      <w:r>
        <w:t xml:space="preserve">It also requires duty holders </w:t>
      </w:r>
      <w:r w:rsidRPr="003C0CAA">
        <w:t xml:space="preserve">to share relevant information regarding </w:t>
      </w:r>
      <w:r>
        <w:t xml:space="preserve">the </w:t>
      </w:r>
      <w:r w:rsidRPr="003C0CAA">
        <w:t xml:space="preserve">risks of contamination to </w:t>
      </w:r>
      <w:r>
        <w:t>any persons likely be affected by the contamination. This duty includes the following requirements:</w:t>
      </w:r>
    </w:p>
    <w:p w14:paraId="656B03BA" w14:textId="77777777" w:rsidR="00CF0796" w:rsidRPr="00305EA6" w:rsidRDefault="00066004" w:rsidP="004A2442">
      <w:pPr>
        <w:pStyle w:val="Bullet1"/>
        <w:numPr>
          <w:ilvl w:val="0"/>
          <w:numId w:val="26"/>
        </w:numPr>
      </w:pPr>
      <w:r>
        <w:t>I</w:t>
      </w:r>
      <w:r w:rsidRPr="002E07EA">
        <w:t xml:space="preserve">dentification </w:t>
      </w:r>
      <w:r w:rsidR="00CF0796" w:rsidRPr="002E07EA">
        <w:t>of any contamination that is known or should reasonably be known</w:t>
      </w:r>
      <w:r>
        <w:t>.</w:t>
      </w:r>
    </w:p>
    <w:p w14:paraId="656B03BB" w14:textId="77777777" w:rsidR="00CF0796" w:rsidRPr="009226ED" w:rsidRDefault="00CF0796" w:rsidP="004A2442">
      <w:pPr>
        <w:pStyle w:val="Bullet1"/>
        <w:numPr>
          <w:ilvl w:val="0"/>
          <w:numId w:val="26"/>
        </w:numPr>
      </w:pPr>
      <w:r>
        <w:t>I</w:t>
      </w:r>
      <w:r w:rsidRPr="009226ED">
        <w:t>nvestigation and assessment of the contamination</w:t>
      </w:r>
      <w:r w:rsidR="00066004">
        <w:t>.</w:t>
      </w:r>
    </w:p>
    <w:p w14:paraId="656B03BC" w14:textId="77777777" w:rsidR="00CF0796" w:rsidRPr="00801A03" w:rsidRDefault="00CF0796" w:rsidP="004A2442">
      <w:pPr>
        <w:pStyle w:val="Bullet1"/>
        <w:numPr>
          <w:ilvl w:val="0"/>
          <w:numId w:val="26"/>
        </w:numPr>
      </w:pPr>
      <w:r>
        <w:t>P</w:t>
      </w:r>
      <w:r w:rsidRPr="00801A03">
        <w:t xml:space="preserve">rovision and maintenance of reasonably practicable measures to minimise risks </w:t>
      </w:r>
      <w:r>
        <w:t xml:space="preserve">of harm to human health and the environment, </w:t>
      </w:r>
      <w:r w:rsidRPr="00801A03">
        <w:t>including clean-up activities</w:t>
      </w:r>
      <w:r>
        <w:t xml:space="preserve"> where </w:t>
      </w:r>
      <w:r w:rsidR="002F344F">
        <w:t>necessary</w:t>
      </w:r>
      <w:r w:rsidR="00066004">
        <w:t>.</w:t>
      </w:r>
    </w:p>
    <w:p w14:paraId="656B03BD" w14:textId="77777777" w:rsidR="00CF0796" w:rsidRDefault="00CF0796" w:rsidP="004A2442">
      <w:pPr>
        <w:pStyle w:val="Bullet1"/>
        <w:numPr>
          <w:ilvl w:val="0"/>
          <w:numId w:val="26"/>
        </w:numPr>
      </w:pPr>
      <w:r>
        <w:t>P</w:t>
      </w:r>
      <w:r w:rsidRPr="00801A03">
        <w:t xml:space="preserve">rovision of adequate information to any person that may </w:t>
      </w:r>
      <w:r>
        <w:t xml:space="preserve">reasonably be considered to </w:t>
      </w:r>
      <w:r w:rsidRPr="00801A03">
        <w:t xml:space="preserve">be affected </w:t>
      </w:r>
      <w:r>
        <w:t xml:space="preserve">by the contamination, </w:t>
      </w:r>
      <w:r w:rsidRPr="00801A03">
        <w:t xml:space="preserve">or who is </w:t>
      </w:r>
      <w:r>
        <w:t xml:space="preserve">reasonably </w:t>
      </w:r>
      <w:r w:rsidRPr="00801A03">
        <w:t xml:space="preserve">expected to become </w:t>
      </w:r>
      <w:r>
        <w:t>responsible for</w:t>
      </w:r>
      <w:r w:rsidRPr="00801A03">
        <w:t xml:space="preserve"> </w:t>
      </w:r>
      <w:r>
        <w:t xml:space="preserve">the </w:t>
      </w:r>
      <w:r w:rsidRPr="00801A03">
        <w:t>management or control of the contaminated land.</w:t>
      </w:r>
    </w:p>
    <w:p w14:paraId="656B03BE" w14:textId="77777777" w:rsidR="00CF0796" w:rsidRPr="00D85A7F" w:rsidRDefault="00CF0796" w:rsidP="00CF0796">
      <w:pPr>
        <w:spacing w:after="0"/>
        <w:rPr>
          <w:i/>
        </w:rPr>
      </w:pPr>
      <w:r w:rsidRPr="00D85A7F">
        <w:rPr>
          <w:b/>
          <w:i/>
        </w:rPr>
        <w:t>Duty to notify of contamination</w:t>
      </w:r>
    </w:p>
    <w:p w14:paraId="656B03BF" w14:textId="77777777" w:rsidR="00CF0796" w:rsidRPr="00801A03" w:rsidRDefault="00CF0796" w:rsidP="00BD7055">
      <w:pPr>
        <w:keepNext/>
        <w:rPr>
          <w:rFonts w:cs="Segoe UI Light"/>
          <w:szCs w:val="20"/>
        </w:rPr>
      </w:pPr>
      <w:r w:rsidRPr="00690CAA">
        <w:rPr>
          <w:szCs w:val="20"/>
        </w:rPr>
        <w:t xml:space="preserve">The </w:t>
      </w:r>
      <w:r w:rsidR="006A5A54">
        <w:rPr>
          <w:szCs w:val="20"/>
        </w:rPr>
        <w:t>duty to notify</w:t>
      </w:r>
      <w:r w:rsidRPr="00690CAA">
        <w:rPr>
          <w:szCs w:val="20"/>
        </w:rPr>
        <w:t xml:space="preserve"> of contamination requires duty holders to notify EPA of notifiable contamination as soon as </w:t>
      </w:r>
      <w:r w:rsidRPr="00690CAA">
        <w:rPr>
          <w:rFonts w:cs="Segoe UI Light"/>
          <w:szCs w:val="20"/>
        </w:rPr>
        <w:t xml:space="preserve">practicable </w:t>
      </w:r>
      <w:r>
        <w:rPr>
          <w:rFonts w:cs="Segoe UI Light"/>
          <w:szCs w:val="20"/>
        </w:rPr>
        <w:t xml:space="preserve">as </w:t>
      </w:r>
      <w:r w:rsidRPr="00690CAA">
        <w:rPr>
          <w:rFonts w:cs="Segoe UI Light"/>
          <w:szCs w:val="20"/>
        </w:rPr>
        <w:t xml:space="preserve">the duty holder becomes aware of </w:t>
      </w:r>
      <w:r>
        <w:rPr>
          <w:rFonts w:cs="Segoe UI Light"/>
          <w:szCs w:val="20"/>
        </w:rPr>
        <w:t xml:space="preserve">the </w:t>
      </w:r>
      <w:r w:rsidRPr="00690CAA">
        <w:rPr>
          <w:rFonts w:cs="Segoe UI Light"/>
          <w:szCs w:val="20"/>
        </w:rPr>
        <w:t xml:space="preserve">notifiable contamination. Section 37 </w:t>
      </w:r>
      <w:r>
        <w:rPr>
          <w:rFonts w:cs="Segoe UI Light"/>
          <w:szCs w:val="20"/>
        </w:rPr>
        <w:t xml:space="preserve">of the new EP legislation </w:t>
      </w:r>
      <w:r w:rsidRPr="00690CAA">
        <w:rPr>
          <w:rFonts w:cs="Segoe UI Light"/>
          <w:szCs w:val="20"/>
        </w:rPr>
        <w:t>defines n</w:t>
      </w:r>
      <w:r w:rsidRPr="00801A03">
        <w:rPr>
          <w:rFonts w:cs="Segoe UI Light"/>
          <w:szCs w:val="20"/>
        </w:rPr>
        <w:t>otifiable contamination, in relation to contaminated land, to mean contamination that</w:t>
      </w:r>
      <w:r w:rsidRPr="00690CAA">
        <w:rPr>
          <w:rFonts w:cs="Segoe UI Light"/>
          <w:szCs w:val="20"/>
        </w:rPr>
        <w:t xml:space="preserve"> </w:t>
      </w:r>
      <w:r w:rsidRPr="00801A03">
        <w:rPr>
          <w:rFonts w:cs="Segoe UI Light"/>
          <w:szCs w:val="20"/>
        </w:rPr>
        <w:t>is:</w:t>
      </w:r>
    </w:p>
    <w:p w14:paraId="656B03C0" w14:textId="77777777" w:rsidR="00CF0796" w:rsidRPr="00801A03" w:rsidRDefault="00CF0796" w:rsidP="004A2442">
      <w:pPr>
        <w:pStyle w:val="BodyText"/>
        <w:numPr>
          <w:ilvl w:val="0"/>
          <w:numId w:val="61"/>
        </w:numPr>
        <w:spacing w:after="120"/>
        <w:ind w:right="29"/>
        <w:rPr>
          <w:rFonts w:cs="Segoe UI Light"/>
        </w:rPr>
      </w:pPr>
      <w:r>
        <w:rPr>
          <w:rFonts w:cs="Segoe UI Light"/>
        </w:rPr>
        <w:t>P</w:t>
      </w:r>
      <w:r w:rsidRPr="00801A03">
        <w:rPr>
          <w:rFonts w:cs="Segoe UI Light"/>
        </w:rPr>
        <w:t>rescribed notifiable contamination</w:t>
      </w:r>
      <w:r>
        <w:rPr>
          <w:rFonts w:cs="Segoe UI Light"/>
        </w:rPr>
        <w:t>,</w:t>
      </w:r>
      <w:r w:rsidRPr="00801A03">
        <w:rPr>
          <w:rFonts w:cs="Segoe UI Light"/>
        </w:rPr>
        <w:t xml:space="preserve"> or</w:t>
      </w:r>
    </w:p>
    <w:p w14:paraId="656B03C1" w14:textId="77777777" w:rsidR="00CF0796" w:rsidRPr="00690CAA" w:rsidRDefault="00CF0796" w:rsidP="004A2442">
      <w:pPr>
        <w:pStyle w:val="BodyText"/>
        <w:numPr>
          <w:ilvl w:val="0"/>
          <w:numId w:val="61"/>
        </w:numPr>
        <w:ind w:right="29"/>
        <w:rPr>
          <w:rFonts w:cs="Segoe UI Light"/>
        </w:rPr>
      </w:pPr>
      <w:r>
        <w:rPr>
          <w:rFonts w:cs="Segoe UI Light"/>
        </w:rPr>
        <w:t>I</w:t>
      </w:r>
      <w:r w:rsidRPr="00801A03">
        <w:rPr>
          <w:rFonts w:cs="Segoe UI Light"/>
        </w:rPr>
        <w:t>f the regulations do not prescribe notifiable contamination by a particular waste, chemical substance or prescribed substance, contamination for which the reasonable cost of action to remediate the land is likely to exceed $50</w:t>
      </w:r>
      <w:r>
        <w:rPr>
          <w:rFonts w:cs="Segoe UI Light"/>
        </w:rPr>
        <w:t>,</w:t>
      </w:r>
      <w:r w:rsidRPr="00801A03">
        <w:rPr>
          <w:rFonts w:cs="Segoe UI Light"/>
        </w:rPr>
        <w:t>000 or any other prescribed amount</w:t>
      </w:r>
      <w:r w:rsidRPr="00E16CC9">
        <w:rPr>
          <w:rFonts w:cs="Segoe UI Light"/>
        </w:rPr>
        <w:t>.</w:t>
      </w:r>
    </w:p>
    <w:p w14:paraId="656B03C2" w14:textId="77777777" w:rsidR="00CF0796" w:rsidRPr="00690CAA" w:rsidRDefault="00CF0796" w:rsidP="00CF0796">
      <w:pPr>
        <w:autoSpaceDE w:val="0"/>
        <w:autoSpaceDN w:val="0"/>
        <w:adjustRightInd w:val="0"/>
        <w:spacing w:before="120" w:after="0" w:line="240" w:lineRule="auto"/>
        <w:rPr>
          <w:rFonts w:cs="Segoe UI Light"/>
          <w:szCs w:val="20"/>
        </w:rPr>
      </w:pPr>
      <w:r w:rsidRPr="00690CAA">
        <w:rPr>
          <w:rFonts w:cs="Segoe UI Light"/>
          <w:szCs w:val="20"/>
        </w:rPr>
        <w:t xml:space="preserve">In notifying EPA of notifiable contamination, a </w:t>
      </w:r>
      <w:r>
        <w:rPr>
          <w:rFonts w:cs="Segoe UI Light"/>
          <w:szCs w:val="20"/>
        </w:rPr>
        <w:t>duty holder</w:t>
      </w:r>
      <w:r w:rsidRPr="00690CAA">
        <w:rPr>
          <w:rFonts w:cs="Segoe UI Light"/>
          <w:szCs w:val="20"/>
        </w:rPr>
        <w:t xml:space="preserve"> must report on:</w:t>
      </w:r>
    </w:p>
    <w:p w14:paraId="656B03C3" w14:textId="77777777" w:rsidR="00CF0796" w:rsidRPr="002E07EA" w:rsidRDefault="00CF0796" w:rsidP="004A2442">
      <w:pPr>
        <w:pStyle w:val="Bullet1"/>
        <w:numPr>
          <w:ilvl w:val="0"/>
          <w:numId w:val="26"/>
        </w:numPr>
      </w:pPr>
      <w:r>
        <w:t>T</w:t>
      </w:r>
      <w:r w:rsidRPr="002E07EA">
        <w:t>he location of the land</w:t>
      </w:r>
      <w:r w:rsidR="00066004">
        <w:t>.</w:t>
      </w:r>
      <w:r w:rsidRPr="002E07EA">
        <w:t xml:space="preserve"> </w:t>
      </w:r>
    </w:p>
    <w:p w14:paraId="656B03C4" w14:textId="77777777" w:rsidR="00CF0796" w:rsidRPr="00305EA6" w:rsidRDefault="00CF0796" w:rsidP="004A2442">
      <w:pPr>
        <w:pStyle w:val="Bullet1"/>
        <w:numPr>
          <w:ilvl w:val="0"/>
          <w:numId w:val="26"/>
        </w:numPr>
      </w:pPr>
      <w:r>
        <w:t>T</w:t>
      </w:r>
      <w:r w:rsidRPr="00305EA6">
        <w:t>he activity resulting, or suspected as resulting, in the contamination</w:t>
      </w:r>
      <w:r w:rsidR="00066004">
        <w:t>.</w:t>
      </w:r>
      <w:r w:rsidRPr="00305EA6">
        <w:t xml:space="preserve"> </w:t>
      </w:r>
    </w:p>
    <w:p w14:paraId="656B03C5" w14:textId="77777777" w:rsidR="00CF0796" w:rsidRPr="009226ED" w:rsidRDefault="00CF0796" w:rsidP="004A2442">
      <w:pPr>
        <w:pStyle w:val="Bullet1"/>
        <w:numPr>
          <w:ilvl w:val="0"/>
          <w:numId w:val="26"/>
        </w:numPr>
      </w:pPr>
      <w:r>
        <w:t>T</w:t>
      </w:r>
      <w:r w:rsidRPr="009226ED">
        <w:t>he nature and extent of the contamination</w:t>
      </w:r>
      <w:r w:rsidR="00066004">
        <w:t>.</w:t>
      </w:r>
    </w:p>
    <w:p w14:paraId="656B03C6" w14:textId="77777777" w:rsidR="00CF0796" w:rsidRPr="00801A03" w:rsidRDefault="00CF0796" w:rsidP="004A2442">
      <w:pPr>
        <w:pStyle w:val="Bullet1"/>
        <w:numPr>
          <w:ilvl w:val="0"/>
          <w:numId w:val="26"/>
        </w:numPr>
      </w:pPr>
      <w:r>
        <w:t>T</w:t>
      </w:r>
      <w:r w:rsidRPr="00801A03">
        <w:t>he nature of the risk of harm to human health and the environment from the contamination.</w:t>
      </w:r>
    </w:p>
    <w:p w14:paraId="656B03C7" w14:textId="77777777" w:rsidR="00CF0796" w:rsidRPr="004474B3" w:rsidRDefault="00CF0796" w:rsidP="00040A06">
      <w:pPr>
        <w:autoSpaceDE w:val="0"/>
        <w:autoSpaceDN w:val="0"/>
        <w:adjustRightInd w:val="0"/>
        <w:spacing w:before="120" w:after="0" w:line="240" w:lineRule="auto"/>
        <w:rPr>
          <w:szCs w:val="20"/>
        </w:rPr>
      </w:pPr>
      <w:r w:rsidRPr="00690CAA">
        <w:rPr>
          <w:szCs w:val="20"/>
        </w:rPr>
        <w:t>Duty holders are exempt from the duty to notify of contamination if they are aware that a notification has already been made to EPA in accordance with Secti</w:t>
      </w:r>
      <w:r>
        <w:rPr>
          <w:szCs w:val="20"/>
        </w:rPr>
        <w:t xml:space="preserve">on 37 of the new EP legislation or if </w:t>
      </w:r>
      <w:r w:rsidRPr="00801A03">
        <w:rPr>
          <w:szCs w:val="20"/>
        </w:rPr>
        <w:t>the notifiable contamination is a prescribed exempt notifiable contamination.</w:t>
      </w:r>
    </w:p>
    <w:p w14:paraId="656B03C8" w14:textId="77777777" w:rsidR="00CF0796" w:rsidRDefault="00CF0796" w:rsidP="00982D63">
      <w:pPr>
        <w:pStyle w:val="Heading2"/>
      </w:pPr>
      <w:r>
        <w:t>Nature and extent of problem</w:t>
      </w:r>
    </w:p>
    <w:p w14:paraId="656B03C9" w14:textId="77777777" w:rsidR="00CF0796" w:rsidRPr="00834BC6" w:rsidRDefault="00CF0796" w:rsidP="00B9192C">
      <w:pPr>
        <w:pStyle w:val="Heading3"/>
        <w:ind w:left="720"/>
      </w:pPr>
      <w:r w:rsidRPr="00410F9E">
        <w:t>Residual risk</w:t>
      </w:r>
    </w:p>
    <w:p w14:paraId="656B03CA" w14:textId="77777777" w:rsidR="00057CE0" w:rsidRPr="00B9192C" w:rsidRDefault="00057CE0" w:rsidP="00B9192C">
      <w:pPr>
        <w:mirrorIndents/>
      </w:pPr>
      <w:r w:rsidRPr="00B9192C">
        <w:rPr>
          <w:rFonts w:cs="Segoe UI Light"/>
        </w:rPr>
        <w:t>The following residual risks will exist after the new EP legislation has taken effect:</w:t>
      </w:r>
    </w:p>
    <w:p w14:paraId="656B03CB" w14:textId="77777777" w:rsidR="00057CE0" w:rsidRPr="00B9192C" w:rsidRDefault="00057CE0" w:rsidP="00140866">
      <w:pPr>
        <w:pStyle w:val="ListParagraph"/>
        <w:numPr>
          <w:ilvl w:val="0"/>
          <w:numId w:val="62"/>
        </w:numPr>
        <w:ind w:right="262"/>
        <w:rPr>
          <w:rFonts w:cs="Segoe UI Light"/>
        </w:rPr>
      </w:pPr>
      <w:r w:rsidRPr="00B9192C">
        <w:rPr>
          <w:rFonts w:cs="Segoe UI Light"/>
        </w:rPr>
        <w:t>Duty holders will require greater consistency and certainty with respect to their contaminated land management and notification obligations</w:t>
      </w:r>
      <w:r w:rsidR="00B81AAA">
        <w:rPr>
          <w:rFonts w:cs="Segoe UI Light"/>
        </w:rPr>
        <w:t xml:space="preserve">. In the absence of this consistency or clarity duty holders may incur </w:t>
      </w:r>
      <w:r w:rsidRPr="00B9192C">
        <w:rPr>
          <w:rFonts w:cs="Segoe UI Light"/>
        </w:rPr>
        <w:t xml:space="preserve">unnecessary costs in order to meet their duties. </w:t>
      </w:r>
      <w:r w:rsidRPr="00410F9E">
        <w:rPr>
          <w:rFonts w:cs="Segoe UI Light"/>
        </w:rPr>
        <w:t>By specifying the legislative intent of the new EP legislation through the supporting regulations for this new scheme, uncertainty with respect to duty holders’ contaminated lan</w:t>
      </w:r>
      <w:r w:rsidRPr="00834BC6">
        <w:rPr>
          <w:rFonts w:cs="Segoe UI Light"/>
        </w:rPr>
        <w:t>d management and notification obligations may be reduced without comprising the policy intent, leading to businesses being better supported to meet their duties without incurring unnecessary costs.</w:t>
      </w:r>
    </w:p>
    <w:p w14:paraId="656B03CC" w14:textId="77777777" w:rsidR="00057CE0" w:rsidRPr="00B9192C" w:rsidRDefault="00057CE0" w:rsidP="00140866">
      <w:pPr>
        <w:pStyle w:val="ListParagraph"/>
        <w:numPr>
          <w:ilvl w:val="0"/>
          <w:numId w:val="62"/>
        </w:numPr>
        <w:ind w:right="262"/>
        <w:rPr>
          <w:rFonts w:cs="Segoe UI Light"/>
        </w:rPr>
      </w:pPr>
      <w:r w:rsidRPr="00B9192C">
        <w:rPr>
          <w:rFonts w:cs="Segoe UI Light"/>
        </w:rPr>
        <w:t xml:space="preserve">Significant impacts to harm to human health and the environment in relation to </w:t>
      </w:r>
      <w:r w:rsidRPr="00B9192C">
        <w:t>non-aqueous phase liquids (</w:t>
      </w:r>
      <w:r w:rsidRPr="00B9192C">
        <w:rPr>
          <w:rFonts w:cs="Segoe UI Light"/>
        </w:rPr>
        <w:t>NAPL) contamination and as a result of EPA not receiving adequate information through the duty to notify.</w:t>
      </w:r>
    </w:p>
    <w:p w14:paraId="656B03CD" w14:textId="77777777" w:rsidR="00CF0796" w:rsidRDefault="00997CFA" w:rsidP="00CF0796">
      <w:pPr>
        <w:mirrorIndents/>
        <w:rPr>
          <w:rFonts w:cs="Segoe UI Light"/>
          <w:szCs w:val="20"/>
        </w:rPr>
      </w:pPr>
      <w:r>
        <w:rPr>
          <w:color w:val="2B579A"/>
          <w:shd w:val="clear" w:color="auto" w:fill="E6E6E6"/>
        </w:rPr>
        <w:fldChar w:fldCharType="begin"/>
      </w:r>
      <w:r>
        <w:instrText xml:space="preserve"> REF _Ref9870107 \h </w:instrText>
      </w:r>
      <w:r>
        <w:rPr>
          <w:color w:val="2B579A"/>
          <w:shd w:val="clear" w:color="auto" w:fill="E6E6E6"/>
        </w:rPr>
      </w:r>
      <w:r>
        <w:rPr>
          <w:color w:val="2B579A"/>
          <w:shd w:val="clear" w:color="auto" w:fill="E6E6E6"/>
        </w:rPr>
        <w:fldChar w:fldCharType="separate"/>
      </w:r>
      <w:r w:rsidR="00B11C1E">
        <w:t xml:space="preserve">Table </w:t>
      </w:r>
      <w:r w:rsidR="00B11C1E">
        <w:rPr>
          <w:noProof/>
        </w:rPr>
        <w:t>8</w:t>
      </w:r>
      <w:r w:rsidR="00B11C1E">
        <w:noBreakHyphen/>
      </w:r>
      <w:r w:rsidR="00B11C1E">
        <w:rPr>
          <w:noProof/>
        </w:rPr>
        <w:t>2</w:t>
      </w:r>
      <w:r>
        <w:rPr>
          <w:color w:val="2B579A"/>
          <w:shd w:val="clear" w:color="auto" w:fill="E6E6E6"/>
        </w:rPr>
        <w:fldChar w:fldCharType="end"/>
      </w:r>
      <w:r>
        <w:rPr>
          <w:rFonts w:cs="Segoe UI Light"/>
          <w:szCs w:val="20"/>
        </w:rPr>
        <w:t xml:space="preserve"> sets out the residual risks that are likely to remain in relation to contaminated land after the</w:t>
      </w:r>
      <w:r w:rsidR="00CF0796">
        <w:rPr>
          <w:rFonts w:cs="Segoe UI Light"/>
          <w:szCs w:val="20"/>
        </w:rPr>
        <w:t xml:space="preserve"> new EP legislation </w:t>
      </w:r>
      <w:r>
        <w:rPr>
          <w:rFonts w:cs="Segoe UI Light"/>
          <w:szCs w:val="20"/>
        </w:rPr>
        <w:t xml:space="preserve">commences. </w:t>
      </w:r>
    </w:p>
    <w:p w14:paraId="656B03CE" w14:textId="77777777" w:rsidR="00997CFA" w:rsidRDefault="00997CFA" w:rsidP="00057CE0">
      <w:pPr>
        <w:pStyle w:val="Caption"/>
      </w:pPr>
      <w:bookmarkStart w:id="617" w:name="_Ref9870107"/>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8</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B11C1E">
        <w:rPr>
          <w:noProof/>
        </w:rPr>
        <w:t>2</w:t>
      </w:r>
      <w:r>
        <w:rPr>
          <w:color w:val="2B579A"/>
          <w:shd w:val="clear" w:color="auto" w:fill="E6E6E6"/>
        </w:rPr>
        <w:fldChar w:fldCharType="end"/>
      </w:r>
      <w:bookmarkEnd w:id="617"/>
      <w:r>
        <w:t xml:space="preserve"> Summary of residual risks</w:t>
      </w:r>
    </w:p>
    <w:tbl>
      <w:tblPr>
        <w:tblStyle w:val="Deloittetable2"/>
        <w:tblW w:w="5002" w:type="pct"/>
        <w:shd w:val="clear" w:color="auto" w:fill="FFFFFF" w:themeFill="background1"/>
        <w:tblLook w:val="04A0" w:firstRow="1" w:lastRow="0" w:firstColumn="1" w:lastColumn="0" w:noHBand="0" w:noVBand="1"/>
      </w:tblPr>
      <w:tblGrid>
        <w:gridCol w:w="4695"/>
        <w:gridCol w:w="4664"/>
      </w:tblGrid>
      <w:tr w:rsidR="005C028A" w:rsidRPr="005C028A" w14:paraId="656B03D1" w14:textId="77777777" w:rsidTr="00700983">
        <w:trPr>
          <w:cnfStyle w:val="100000000000" w:firstRow="1" w:lastRow="0" w:firstColumn="0" w:lastColumn="0" w:oddVBand="0" w:evenVBand="0" w:oddHBand="0" w:evenHBand="0" w:firstRowFirstColumn="0" w:firstRowLastColumn="0" w:lastRowFirstColumn="0" w:lastRowLastColumn="0"/>
        </w:trPr>
        <w:tc>
          <w:tcPr>
            <w:tcW w:w="0" w:type="pct"/>
            <w:shd w:val="clear" w:color="auto" w:fill="FFFFFF" w:themeFill="background1"/>
          </w:tcPr>
          <w:p w14:paraId="656B03CF" w14:textId="77777777" w:rsidR="009969DF" w:rsidRPr="00700983" w:rsidRDefault="00997CFA" w:rsidP="00700983">
            <w:pPr>
              <w:ind w:right="489"/>
              <w:rPr>
                <w:color w:val="000000" w:themeColor="text1"/>
                <w:sz w:val="18"/>
              </w:rPr>
            </w:pPr>
            <w:r w:rsidRPr="00700983">
              <w:rPr>
                <w:color w:val="000000" w:themeColor="text1"/>
                <w:sz w:val="18"/>
              </w:rPr>
              <w:t>Area</w:t>
            </w:r>
          </w:p>
        </w:tc>
        <w:tc>
          <w:tcPr>
            <w:tcW w:w="0" w:type="pct"/>
            <w:shd w:val="clear" w:color="auto" w:fill="FFFFFF" w:themeFill="background1"/>
          </w:tcPr>
          <w:p w14:paraId="656B03D0" w14:textId="77777777" w:rsidR="009969DF" w:rsidRPr="00700983" w:rsidRDefault="00997CFA" w:rsidP="00700983">
            <w:pPr>
              <w:ind w:right="489"/>
              <w:rPr>
                <w:color w:val="000000" w:themeColor="text1"/>
                <w:sz w:val="18"/>
              </w:rPr>
            </w:pPr>
            <w:r w:rsidRPr="00700983">
              <w:rPr>
                <w:color w:val="000000" w:themeColor="text1"/>
                <w:sz w:val="18"/>
              </w:rPr>
              <w:t>Residual risk</w:t>
            </w:r>
          </w:p>
        </w:tc>
      </w:tr>
      <w:tr w:rsidR="005C028A" w:rsidRPr="005C028A" w14:paraId="656B03D4" w14:textId="77777777" w:rsidTr="00700983">
        <w:tc>
          <w:tcPr>
            <w:tcW w:w="0" w:type="pct"/>
            <w:shd w:val="clear" w:color="auto" w:fill="FFFFFF" w:themeFill="background1"/>
          </w:tcPr>
          <w:p w14:paraId="656B03D2" w14:textId="77777777" w:rsidR="009969DF" w:rsidRPr="00700983" w:rsidRDefault="009969DF" w:rsidP="0071126B">
            <w:pPr>
              <w:pStyle w:val="Bullet1"/>
              <w:ind w:left="0" w:firstLine="0"/>
              <w:rPr>
                <w:color w:val="000000" w:themeColor="text1"/>
                <w:sz w:val="18"/>
              </w:rPr>
            </w:pPr>
            <w:r w:rsidRPr="00700983">
              <w:rPr>
                <w:color w:val="000000" w:themeColor="text1"/>
                <w:sz w:val="18"/>
              </w:rPr>
              <w:t>What constitutes ‘background levels’ of contamination for individual waste or chemical substances.</w:t>
            </w:r>
          </w:p>
        </w:tc>
        <w:tc>
          <w:tcPr>
            <w:tcW w:w="0" w:type="pct"/>
            <w:shd w:val="clear" w:color="auto" w:fill="FFFFFF" w:themeFill="background1"/>
          </w:tcPr>
          <w:p w14:paraId="656B03D3" w14:textId="77777777" w:rsidR="009969DF" w:rsidRPr="00700983" w:rsidRDefault="009969DF" w:rsidP="00700983">
            <w:pPr>
              <w:ind w:right="489"/>
              <w:rPr>
                <w:color w:val="000000" w:themeColor="text1"/>
                <w:sz w:val="18"/>
              </w:rPr>
            </w:pPr>
            <w:r w:rsidRPr="00700983">
              <w:rPr>
                <w:color w:val="000000" w:themeColor="text1"/>
                <w:sz w:val="18"/>
              </w:rPr>
              <w:t xml:space="preserve">Relying only on the duty to manage as specified in the new EP legislation could result in uncertainty for duty holders in determining background levels. Without further direction, </w:t>
            </w:r>
            <w:r w:rsidR="00A852F8" w:rsidRPr="00700983">
              <w:rPr>
                <w:color w:val="000000" w:themeColor="text1"/>
                <w:sz w:val="18"/>
              </w:rPr>
              <w:t>duty holders may</w:t>
            </w:r>
            <w:r w:rsidRPr="00700983">
              <w:rPr>
                <w:color w:val="000000" w:themeColor="text1"/>
                <w:sz w:val="18"/>
              </w:rPr>
              <w:t xml:space="preserve"> ha</w:t>
            </w:r>
            <w:r w:rsidR="009D770A" w:rsidRPr="00700983">
              <w:rPr>
                <w:color w:val="000000" w:themeColor="text1"/>
                <w:sz w:val="18"/>
              </w:rPr>
              <w:t>ve to determine for themselves,</w:t>
            </w:r>
            <w:r w:rsidRPr="00700983">
              <w:rPr>
                <w:color w:val="000000" w:themeColor="text1"/>
                <w:sz w:val="18"/>
              </w:rPr>
              <w:t xml:space="preserve"> at their own cost</w:t>
            </w:r>
            <w:r w:rsidR="009D770A" w:rsidRPr="00700983">
              <w:rPr>
                <w:color w:val="000000" w:themeColor="text1"/>
                <w:sz w:val="18"/>
              </w:rPr>
              <w:t>, their obligations under the duty to manage</w:t>
            </w:r>
            <w:r w:rsidRPr="00700983">
              <w:rPr>
                <w:color w:val="000000" w:themeColor="text1"/>
                <w:sz w:val="18"/>
              </w:rPr>
              <w:t>. This will likely result in excessive cost burden.</w:t>
            </w:r>
          </w:p>
        </w:tc>
      </w:tr>
      <w:tr w:rsidR="005C028A" w:rsidRPr="005C028A" w14:paraId="656B03D7" w14:textId="77777777" w:rsidTr="00700983">
        <w:tc>
          <w:tcPr>
            <w:tcW w:w="0" w:type="pct"/>
            <w:shd w:val="clear" w:color="auto" w:fill="FFFFFF" w:themeFill="background1"/>
          </w:tcPr>
          <w:p w14:paraId="656B03D5" w14:textId="77777777" w:rsidR="009969DF" w:rsidRPr="00700983" w:rsidRDefault="009969DF" w:rsidP="0071126B">
            <w:pPr>
              <w:pStyle w:val="Bullet1"/>
              <w:ind w:left="0" w:firstLine="0"/>
              <w:rPr>
                <w:color w:val="000000" w:themeColor="text1"/>
                <w:sz w:val="18"/>
              </w:rPr>
            </w:pPr>
            <w:r w:rsidRPr="00700983">
              <w:rPr>
                <w:color w:val="000000" w:themeColor="text1"/>
                <w:sz w:val="18"/>
              </w:rPr>
              <w:t xml:space="preserve">Specific control measures for </w:t>
            </w:r>
            <w:r w:rsidR="00A852F8" w:rsidRPr="00700983">
              <w:rPr>
                <w:color w:val="000000" w:themeColor="text1"/>
                <w:sz w:val="18"/>
              </w:rPr>
              <w:t>NAPL</w:t>
            </w:r>
          </w:p>
        </w:tc>
        <w:tc>
          <w:tcPr>
            <w:tcW w:w="0" w:type="pct"/>
            <w:shd w:val="clear" w:color="auto" w:fill="FFFFFF" w:themeFill="background1"/>
          </w:tcPr>
          <w:p w14:paraId="656B03D6" w14:textId="77777777" w:rsidR="009969DF" w:rsidRPr="00700983" w:rsidRDefault="009969DF" w:rsidP="0071126B">
            <w:pPr>
              <w:pStyle w:val="Bullet1"/>
              <w:ind w:left="0" w:firstLine="0"/>
              <w:rPr>
                <w:color w:val="000000" w:themeColor="text1"/>
                <w:sz w:val="18"/>
              </w:rPr>
            </w:pPr>
            <w:r w:rsidRPr="00700983">
              <w:rPr>
                <w:color w:val="000000" w:themeColor="text1"/>
                <w:sz w:val="18"/>
              </w:rPr>
              <w:t>In the absence of prescribed risk control measures for NAPL it</w:t>
            </w:r>
            <w:r w:rsidR="00A852F8" w:rsidRPr="00700983">
              <w:rPr>
                <w:color w:val="000000" w:themeColor="text1"/>
                <w:sz w:val="18"/>
              </w:rPr>
              <w:t xml:space="preserve"> is unlikely duty holders would</w:t>
            </w:r>
            <w:r w:rsidRPr="00700983">
              <w:rPr>
                <w:color w:val="000000" w:themeColor="text1"/>
                <w:sz w:val="18"/>
              </w:rPr>
              <w:t xml:space="preserve"> seek to address the risk and clean-up and remove the NAPL source to th</w:t>
            </w:r>
            <w:r w:rsidR="00A852F8" w:rsidRPr="00700983">
              <w:rPr>
                <w:color w:val="000000" w:themeColor="text1"/>
                <w:sz w:val="18"/>
              </w:rPr>
              <w:t>e extent reasonably practicable - particularly</w:t>
            </w:r>
            <w:r w:rsidRPr="00700983">
              <w:rPr>
                <w:color w:val="000000" w:themeColor="text1"/>
                <w:sz w:val="18"/>
              </w:rPr>
              <w:t xml:space="preserve"> </w:t>
            </w:r>
            <w:r w:rsidR="00A852F8" w:rsidRPr="00700983">
              <w:rPr>
                <w:color w:val="000000" w:themeColor="text1"/>
                <w:sz w:val="18"/>
              </w:rPr>
              <w:t>g</w:t>
            </w:r>
            <w:r w:rsidRPr="00700983">
              <w:rPr>
                <w:color w:val="000000" w:themeColor="text1"/>
                <w:sz w:val="18"/>
              </w:rPr>
              <w:t>iven the complexities and costs in</w:t>
            </w:r>
            <w:r w:rsidR="00A852F8" w:rsidRPr="00700983">
              <w:rPr>
                <w:color w:val="000000" w:themeColor="text1"/>
                <w:sz w:val="18"/>
              </w:rPr>
              <w:t xml:space="preserve">volved in the clean-up of NAPL. </w:t>
            </w:r>
            <w:r w:rsidRPr="00700983">
              <w:rPr>
                <w:color w:val="000000" w:themeColor="text1"/>
                <w:sz w:val="18"/>
              </w:rPr>
              <w:t>This may result in increased and significant long-term risks to hum</w:t>
            </w:r>
            <w:r w:rsidR="0059166F" w:rsidRPr="00700983">
              <w:rPr>
                <w:color w:val="000000" w:themeColor="text1"/>
                <w:sz w:val="18"/>
              </w:rPr>
              <w:t xml:space="preserve">an health and the environment. </w:t>
            </w:r>
          </w:p>
        </w:tc>
      </w:tr>
      <w:tr w:rsidR="005C028A" w:rsidRPr="005C028A" w14:paraId="656B03DB" w14:textId="77777777" w:rsidTr="00700983">
        <w:tc>
          <w:tcPr>
            <w:tcW w:w="0" w:type="pct"/>
            <w:shd w:val="clear" w:color="auto" w:fill="FFFFFF" w:themeFill="background1"/>
          </w:tcPr>
          <w:p w14:paraId="656B03D8" w14:textId="77777777" w:rsidR="00014F56" w:rsidRDefault="009969DF" w:rsidP="009969DF">
            <w:pPr>
              <w:pStyle w:val="Bullet1"/>
              <w:ind w:left="0" w:firstLine="0"/>
              <w:rPr>
                <w:color w:val="000000" w:themeColor="text1"/>
                <w:sz w:val="18"/>
              </w:rPr>
            </w:pPr>
            <w:r w:rsidRPr="00700983">
              <w:rPr>
                <w:color w:val="000000" w:themeColor="text1"/>
                <w:sz w:val="18"/>
              </w:rPr>
              <w:t>How anticipated remediation costs are to be calculated for</w:t>
            </w:r>
            <w:r w:rsidR="00700983">
              <w:rPr>
                <w:color w:val="000000" w:themeColor="text1"/>
                <w:sz w:val="18"/>
              </w:rPr>
              <w:t xml:space="preserve"> </w:t>
            </w:r>
          </w:p>
          <w:p w14:paraId="656B03D9" w14:textId="77777777" w:rsidR="009969DF" w:rsidRPr="00700983" w:rsidRDefault="009969DF" w:rsidP="009969DF">
            <w:pPr>
              <w:pStyle w:val="Bullet1"/>
              <w:ind w:left="0" w:firstLine="0"/>
              <w:rPr>
                <w:color w:val="000000" w:themeColor="text1"/>
                <w:sz w:val="18"/>
              </w:rPr>
            </w:pPr>
            <w:r w:rsidRPr="00700983">
              <w:rPr>
                <w:color w:val="000000" w:themeColor="text1"/>
                <w:sz w:val="18"/>
              </w:rPr>
              <w:t>the purposes of determining what is notifiable contaminated land or exemptions to notifiable contamination.</w:t>
            </w:r>
          </w:p>
        </w:tc>
        <w:tc>
          <w:tcPr>
            <w:tcW w:w="0" w:type="pct"/>
            <w:shd w:val="clear" w:color="auto" w:fill="FFFFFF" w:themeFill="background1"/>
          </w:tcPr>
          <w:p w14:paraId="656B03DA" w14:textId="77777777" w:rsidR="009969DF" w:rsidRPr="00700983" w:rsidRDefault="00381056" w:rsidP="00B81AAA">
            <w:pPr>
              <w:pStyle w:val="Bullet1"/>
              <w:ind w:left="0" w:firstLine="0"/>
              <w:rPr>
                <w:color w:val="000000" w:themeColor="text1"/>
                <w:sz w:val="18"/>
              </w:rPr>
            </w:pPr>
            <w:r w:rsidRPr="00700983">
              <w:rPr>
                <w:color w:val="000000" w:themeColor="text1"/>
                <w:sz w:val="18"/>
              </w:rPr>
              <w:t>As a new scheme aimed primarily at filling a significant information gap in EPA’s knowledge of the extent of contaminated sites, there is a chance that</w:t>
            </w:r>
            <w:r w:rsidR="003E1ECC" w:rsidRPr="00700983">
              <w:rPr>
                <w:color w:val="000000" w:themeColor="text1"/>
                <w:sz w:val="18"/>
              </w:rPr>
              <w:t xml:space="preserve"> that the </w:t>
            </w:r>
            <w:r w:rsidR="00B81AAA">
              <w:rPr>
                <w:color w:val="000000" w:themeColor="text1"/>
                <w:sz w:val="18"/>
              </w:rPr>
              <w:t>default</w:t>
            </w:r>
            <w:r w:rsidR="00B81AAA" w:rsidRPr="00700983">
              <w:rPr>
                <w:color w:val="000000" w:themeColor="text1"/>
                <w:sz w:val="18"/>
              </w:rPr>
              <w:t xml:space="preserve"> </w:t>
            </w:r>
            <w:r w:rsidR="003E1ECC" w:rsidRPr="00700983">
              <w:rPr>
                <w:color w:val="000000" w:themeColor="text1"/>
                <w:sz w:val="18"/>
              </w:rPr>
              <w:t>threshold of remediation exceeding $50,000 may capture a wider number of sites than required for EPA to address contamination issues in a proportionate manner in this first phase of the new contaminated land scheme.</w:t>
            </w:r>
            <w:r w:rsidR="00543C5C" w:rsidRPr="00700983">
              <w:rPr>
                <w:color w:val="000000" w:themeColor="text1"/>
                <w:sz w:val="18"/>
              </w:rPr>
              <w:t xml:space="preserve"> </w:t>
            </w:r>
            <w:r w:rsidR="00DF6131">
              <w:rPr>
                <w:color w:val="000000" w:themeColor="text1"/>
                <w:sz w:val="18"/>
              </w:rPr>
              <w:t>There may also be some instances where the cost to remediate contamination is below $50,000 (</w:t>
            </w:r>
            <w:r w:rsidR="00543C5C" w:rsidRPr="00700983">
              <w:rPr>
                <w:color w:val="000000" w:themeColor="text1"/>
                <w:sz w:val="18"/>
              </w:rPr>
              <w:t>and therefore not captured by the duty to notify</w:t>
            </w:r>
            <w:r w:rsidR="00DF6131">
              <w:rPr>
                <w:color w:val="000000" w:themeColor="text1"/>
                <w:sz w:val="18"/>
              </w:rPr>
              <w:t>)</w:t>
            </w:r>
            <w:r w:rsidR="00543C5C" w:rsidRPr="00700983">
              <w:rPr>
                <w:color w:val="000000" w:themeColor="text1"/>
                <w:sz w:val="18"/>
              </w:rPr>
              <w:t xml:space="preserve"> but the contamination poses a significant risk to human health and/or the environment.</w:t>
            </w:r>
          </w:p>
        </w:tc>
      </w:tr>
      <w:tr w:rsidR="005C028A" w:rsidRPr="005C028A" w14:paraId="656B03DE" w14:textId="77777777" w:rsidTr="00700983">
        <w:tc>
          <w:tcPr>
            <w:tcW w:w="0" w:type="pct"/>
            <w:shd w:val="clear" w:color="auto" w:fill="FFFFFF" w:themeFill="background1"/>
          </w:tcPr>
          <w:p w14:paraId="656B03DC" w14:textId="77777777" w:rsidR="009969DF" w:rsidRPr="00700983" w:rsidRDefault="009969DF" w:rsidP="00700983">
            <w:pPr>
              <w:pStyle w:val="Bullet1"/>
              <w:ind w:left="0" w:right="427" w:firstLine="0"/>
              <w:rPr>
                <w:color w:val="000000" w:themeColor="text1"/>
                <w:sz w:val="18"/>
              </w:rPr>
            </w:pPr>
            <w:r w:rsidRPr="00700983">
              <w:rPr>
                <w:color w:val="000000" w:themeColor="text1"/>
                <w:sz w:val="18"/>
              </w:rPr>
              <w:t>The manner and form of notification, specifically a description of the duty holder’s management response.</w:t>
            </w:r>
          </w:p>
        </w:tc>
        <w:tc>
          <w:tcPr>
            <w:tcW w:w="0" w:type="pct"/>
            <w:shd w:val="clear" w:color="auto" w:fill="FFFFFF" w:themeFill="background1"/>
          </w:tcPr>
          <w:p w14:paraId="656B03DD" w14:textId="77777777" w:rsidR="009969DF" w:rsidRPr="00700983" w:rsidRDefault="00997CFA" w:rsidP="0071126B">
            <w:pPr>
              <w:pStyle w:val="Bullet1"/>
              <w:ind w:left="0" w:firstLine="0"/>
              <w:rPr>
                <w:color w:val="000000" w:themeColor="text1"/>
                <w:sz w:val="18"/>
              </w:rPr>
            </w:pPr>
            <w:r w:rsidRPr="00700983">
              <w:rPr>
                <w:color w:val="000000" w:themeColor="text1"/>
                <w:sz w:val="18"/>
              </w:rPr>
              <w:t xml:space="preserve">In the absence of more detailed prescription, EPA is unlikely to have adequate information to efficiently monitor and manage high-risk contaminated sites. EPA would be faced with additional costs and resources in order to undertake its role and also may not be able to identify and adequately respond to high priority sites that are not being managed appropriately, which could lead </w:t>
            </w:r>
            <w:r w:rsidR="00B81AAA">
              <w:rPr>
                <w:color w:val="000000" w:themeColor="text1"/>
                <w:sz w:val="18"/>
              </w:rPr>
              <w:t xml:space="preserve">to </w:t>
            </w:r>
            <w:r w:rsidRPr="00700983">
              <w:rPr>
                <w:color w:val="000000" w:themeColor="text1"/>
                <w:sz w:val="18"/>
              </w:rPr>
              <w:t>increased risk of harms to human health and safety.</w:t>
            </w:r>
          </w:p>
        </w:tc>
      </w:tr>
    </w:tbl>
    <w:p w14:paraId="656B03DF" w14:textId="77777777" w:rsidR="00CF0796" w:rsidRDefault="00CF0796" w:rsidP="00700983">
      <w:pPr>
        <w:pStyle w:val="Bullet1"/>
      </w:pPr>
    </w:p>
    <w:p w14:paraId="656B03E0" w14:textId="77777777" w:rsidR="00CF0796" w:rsidRDefault="00CF0796" w:rsidP="00CF0796">
      <w:r>
        <w:t>The</w:t>
      </w:r>
      <w:r w:rsidR="00B81AAA">
        <w:t>se</w:t>
      </w:r>
      <w:r>
        <w:t xml:space="preserve"> residual risk</w:t>
      </w:r>
      <w:r w:rsidR="00A852F8">
        <w:t xml:space="preserve">s are discussed </w:t>
      </w:r>
      <w:r w:rsidR="00B81AAA">
        <w:t xml:space="preserve"> in </w:t>
      </w:r>
      <w:r>
        <w:t xml:space="preserve">further </w:t>
      </w:r>
      <w:r w:rsidR="00A852F8">
        <w:t xml:space="preserve">detail </w:t>
      </w:r>
      <w:r>
        <w:t xml:space="preserve">below. </w:t>
      </w:r>
    </w:p>
    <w:p w14:paraId="656B03E1" w14:textId="77777777" w:rsidR="00CF0796" w:rsidRPr="00801A03" w:rsidRDefault="00CF0796" w:rsidP="00CF0796">
      <w:pPr>
        <w:rPr>
          <w:b/>
          <w:i/>
        </w:rPr>
      </w:pPr>
      <w:r w:rsidRPr="009F222C">
        <w:rPr>
          <w:b/>
          <w:i/>
        </w:rPr>
        <w:t xml:space="preserve">Duty to manage </w:t>
      </w:r>
      <w:r>
        <w:rPr>
          <w:b/>
          <w:i/>
        </w:rPr>
        <w:t>– determining background levels</w:t>
      </w:r>
    </w:p>
    <w:p w14:paraId="656B03E2" w14:textId="77777777" w:rsidR="00CF0796" w:rsidRDefault="00CF0796" w:rsidP="00CF0796">
      <w:pPr>
        <w:ind w:right="489"/>
      </w:pPr>
      <w:r>
        <w:t>The ‘background levels’ for wastes and other chemical substances,</w:t>
      </w:r>
      <w:r w:rsidRPr="004E1FB9">
        <w:t xml:space="preserve"> </w:t>
      </w:r>
      <w:r>
        <w:t xml:space="preserve">in the absence of any prescription, are defined within the new EP legislation as the ‘naturally occurring’ concentrations of the substance on or under the surface of land. </w:t>
      </w:r>
    </w:p>
    <w:p w14:paraId="656B03E3" w14:textId="77777777" w:rsidR="009F7413" w:rsidRDefault="009F7413" w:rsidP="009F7413">
      <w:pPr>
        <w:ind w:right="-1"/>
      </w:pPr>
      <w:r>
        <w:t xml:space="preserve">Generally, this approach will be appropriate for contaminants for which the risks to human health or the environment are reasonably understood and quantifiable. For example, </w:t>
      </w:r>
      <w:r w:rsidR="006A6D65">
        <w:t xml:space="preserve">investigation levels for all contaminants of concern </w:t>
      </w:r>
      <w:r>
        <w:t xml:space="preserve">listed in Table 1A of Schedule B1 to the NEPM ASC have been agreed between all Australia jurisdictions. These values, known as “investigation levels” or “screening levels” mark the starting point at which further investigation may be required to ensure the site is fit for its current use </w:t>
      </w:r>
      <w:r w:rsidR="001136F7">
        <w:t xml:space="preserve">or a proposed use </w:t>
      </w:r>
      <w:r>
        <w:t xml:space="preserve">and the environment is being sufficiently protected. These values can play an efficient role in generally setting the background levels applicable to a site, based on its use and for assessing what, if any, management actions are required under the duty to manage contamination. </w:t>
      </w:r>
    </w:p>
    <w:p w14:paraId="656B03E4" w14:textId="77777777" w:rsidR="009F7413" w:rsidRDefault="009F7413" w:rsidP="009F7413">
      <w:pPr>
        <w:ind w:right="489"/>
      </w:pPr>
      <w:r>
        <w:t xml:space="preserve">However, not all contaminants of concern are listed in the NEPM ASC, meaning an alternative means of determining the background level </w:t>
      </w:r>
      <w:r w:rsidR="00C210B0">
        <w:t>is</w:t>
      </w:r>
      <w:r>
        <w:t xml:space="preserve"> required. If only a negligible concentration is present for a substance not listed in NEPM ASC, then </w:t>
      </w:r>
      <w:r>
        <w:rPr>
          <w:i/>
        </w:rPr>
        <w:t xml:space="preserve">any </w:t>
      </w:r>
      <w:r>
        <w:t xml:space="preserve">presence will be regarded as being above “naturally occurring”, which means a duty holder would then need to assess </w:t>
      </w:r>
      <w:r w:rsidR="00C210B0">
        <w:t>whether</w:t>
      </w:r>
      <w:r>
        <w:t xml:space="preserve"> that negligible presence creates a risk to human health or the environment. This need to rely on a risk assessment to know if the duty to manage applies is </w:t>
      </w:r>
      <w:r w:rsidR="001136F7">
        <w:t xml:space="preserve">inherently complex </w:t>
      </w:r>
      <w:r>
        <w:t xml:space="preserve">and risks </w:t>
      </w:r>
      <w:r w:rsidR="001136F7">
        <w:t xml:space="preserve">increasing </w:t>
      </w:r>
      <w:r>
        <w:t xml:space="preserve">uncertainty for </w:t>
      </w:r>
      <w:r w:rsidR="001136F7">
        <w:t xml:space="preserve">potential </w:t>
      </w:r>
      <w:r>
        <w:t>duty holders</w:t>
      </w:r>
      <w:r w:rsidR="00542843">
        <w:rPr>
          <w:rStyle w:val="FootnoteReference"/>
        </w:rPr>
        <w:footnoteReference w:id="105"/>
      </w:r>
      <w:r>
        <w:t xml:space="preserve"> as to when to act and how much effort is required</w:t>
      </w:r>
      <w:r w:rsidR="00DC7A63">
        <w:t xml:space="preserve">. </w:t>
      </w:r>
      <w:r w:rsidR="00C210B0">
        <w:t xml:space="preserve">It also imposes costs on </w:t>
      </w:r>
      <w:r w:rsidR="001136F7">
        <w:t xml:space="preserve">potential </w:t>
      </w:r>
      <w:r w:rsidR="00C210B0">
        <w:t>duty holders</w:t>
      </w:r>
      <w:r w:rsidR="001136F7">
        <w:t xml:space="preserve"> that are disproportionate to the actual risks</w:t>
      </w:r>
      <w:r w:rsidR="00C210B0">
        <w:t>.</w:t>
      </w:r>
    </w:p>
    <w:p w14:paraId="656B03E5" w14:textId="77777777" w:rsidR="009F7413" w:rsidRDefault="009F7413" w:rsidP="00CF0796">
      <w:pPr>
        <w:ind w:right="489"/>
      </w:pPr>
      <w:r>
        <w:t>Further, naturally occurring levels of a particular substance can differ considerably across Victoria irrespective of the values settled upon in the NEPM ASC.</w:t>
      </w:r>
    </w:p>
    <w:p w14:paraId="656B03E6" w14:textId="77777777" w:rsidR="00CF0796" w:rsidRDefault="00CF0796" w:rsidP="00CF0796">
      <w:pPr>
        <w:ind w:right="489"/>
      </w:pPr>
      <w:r>
        <w:t xml:space="preserve">A particular region may have elevated levels of a specific substance in the soil due to the underlying natural geology or due to historical industrial land uses. For example, arsenic is a naturally occurring </w:t>
      </w:r>
      <w:r w:rsidR="001136F7">
        <w:t xml:space="preserve">element </w:t>
      </w:r>
      <w:r>
        <w:t>in the soil and rocks of Victoria’s gold mining areas including Bendigo</w:t>
      </w:r>
      <w:r w:rsidR="00E12CF5">
        <w:t xml:space="preserve"> and</w:t>
      </w:r>
      <w:r w:rsidR="00134D5E">
        <w:t xml:space="preserve"> Ballarat</w:t>
      </w:r>
      <w:r>
        <w:t xml:space="preserve">. The long history of gold mining in the </w:t>
      </w:r>
      <w:r w:rsidR="00E12CF5">
        <w:t xml:space="preserve">Goldfields </w:t>
      </w:r>
      <w:r>
        <w:t>region has also resulted in leftover material such as rock, sand and earth which may or may not have higher concentrations of arsenic than the surrounding soils and rocks.</w:t>
      </w:r>
      <w:r>
        <w:rPr>
          <w:rStyle w:val="FootnoteReference"/>
        </w:rPr>
        <w:footnoteReference w:id="106"/>
      </w:r>
      <w:r w:rsidR="00110540">
        <w:t xml:space="preserve"> </w:t>
      </w:r>
      <w:r w:rsidR="001136F7">
        <w:t>I</w:t>
      </w:r>
      <w:r w:rsidR="00110540">
        <w:t>nterventions to protect human health, such as raising public awareness on safe use of land (e.g. using raised garden beds with imported soil</w:t>
      </w:r>
      <w:r w:rsidR="006F04F8">
        <w:t xml:space="preserve"> to grow vegetables,</w:t>
      </w:r>
      <w:r w:rsidR="00110540">
        <w:t xml:space="preserve"> and land use planning</w:t>
      </w:r>
      <w:r w:rsidR="006F04F8">
        <w:t xml:space="preserve"> controls</w:t>
      </w:r>
      <w:r w:rsidR="00110540">
        <w:t xml:space="preserve">) </w:t>
      </w:r>
      <w:r w:rsidR="004F1B1B">
        <w:t>exist</w:t>
      </w:r>
      <w:r w:rsidR="001136F7">
        <w:t xml:space="preserve"> in such regions and </w:t>
      </w:r>
      <w:r w:rsidR="00110540">
        <w:t xml:space="preserve">may be more appropriate </w:t>
      </w:r>
      <w:r w:rsidR="004F1B1B">
        <w:t>for meeting the duty to manage</w:t>
      </w:r>
      <w:r w:rsidR="004F1B1B" w:rsidDel="001136F7">
        <w:t xml:space="preserve"> </w:t>
      </w:r>
      <w:r w:rsidR="001136F7">
        <w:t>than remediation or other similar controls</w:t>
      </w:r>
      <w:r w:rsidR="00110540">
        <w:t>.</w:t>
      </w:r>
    </w:p>
    <w:p w14:paraId="656B03E7" w14:textId="77777777" w:rsidR="00CF0796" w:rsidRDefault="00CF0796" w:rsidP="00CF0796">
      <w:pPr>
        <w:ind w:right="489"/>
      </w:pPr>
      <w:r>
        <w:t>Determining whether a site is within or above the ‘naturally occurring’ concentration threshold</w:t>
      </w:r>
      <w:r w:rsidR="002F47D9">
        <w:t>, especially when not listed in the NEPM ASC,</w:t>
      </w:r>
      <w:r>
        <w:t xml:space="preserve"> can be difficult due to the complexity of assessing soil and water concentrations against ‘natural’ levels. Furthermore, many regions of Victoria (e.g. the broader </w:t>
      </w:r>
      <w:r w:rsidR="00292FAB">
        <w:t xml:space="preserve">Goldfields </w:t>
      </w:r>
      <w:r>
        <w:t xml:space="preserve">region and surrounds) and urban residential in-fill areas of inner Melbourne may have elevated levels of substances already known by EPA to </w:t>
      </w:r>
      <w:r w:rsidRPr="00040A06">
        <w:rPr>
          <w:i/>
        </w:rPr>
        <w:t>not</w:t>
      </w:r>
      <w:r>
        <w:t xml:space="preserve"> pose a significant risk to human health or the environment. </w:t>
      </w:r>
    </w:p>
    <w:p w14:paraId="656B03E8" w14:textId="77777777" w:rsidR="00CF0796" w:rsidRDefault="00CF0796" w:rsidP="00CF0796">
      <w:pPr>
        <w:ind w:right="489"/>
      </w:pPr>
      <w:r>
        <w:t xml:space="preserve">Duty holders who suspect they may have a land contamination risk will likely require the services of expert land contamination and environmental consultants for advice and, potentially, to undertake sampling and assessment activities to determine their obligations under the </w:t>
      </w:r>
      <w:r w:rsidR="006A5A54">
        <w:t>duty to manage</w:t>
      </w:r>
      <w:r>
        <w:t xml:space="preserve">. The absence of prescribed background levels of waste and chemical substances may necessitate duty holders undertaking multiple soil and groundwater samples and assessments to determine substance concentration levels against ‘naturally occurring’ levels. </w:t>
      </w:r>
    </w:p>
    <w:p w14:paraId="656B03E9" w14:textId="77777777" w:rsidR="00CF0796" w:rsidRDefault="001136F7" w:rsidP="002F47D9">
      <w:pPr>
        <w:ind w:right="489"/>
      </w:pPr>
      <w:r>
        <w:t xml:space="preserve">Conservative values are </w:t>
      </w:r>
      <w:r w:rsidR="004F1B1B">
        <w:t>adopted</w:t>
      </w:r>
      <w:r>
        <w:t xml:space="preserve"> in the NEPM ASC in order to account for a wide range of potential uses of land</w:t>
      </w:r>
      <w:r w:rsidR="00644405">
        <w:t xml:space="preserve">, but these conservative values can </w:t>
      </w:r>
      <w:r w:rsidR="00644405" w:rsidRPr="00040A06">
        <w:t>restrict the efficient</w:t>
      </w:r>
      <w:r w:rsidR="00644405">
        <w:t xml:space="preserve"> allocation of land for highest-value </w:t>
      </w:r>
      <w:r w:rsidR="00644405" w:rsidRPr="00040A06">
        <w:t>and best uses</w:t>
      </w:r>
      <w:r>
        <w:t xml:space="preserve">. </w:t>
      </w:r>
      <w:r w:rsidR="00CF0796">
        <w:t>For sites that present very low contamination risks, the resultant</w:t>
      </w:r>
      <w:r w:rsidR="00CF0796" w:rsidRPr="006A4CB5">
        <w:t xml:space="preserve"> </w:t>
      </w:r>
      <w:r w:rsidR="002F47D9">
        <w:t xml:space="preserve">conservative values </w:t>
      </w:r>
      <w:r>
        <w:t xml:space="preserve">used </w:t>
      </w:r>
      <w:r w:rsidR="004F1B1B">
        <w:t>to define</w:t>
      </w:r>
      <w:r>
        <w:t xml:space="preserve"> </w:t>
      </w:r>
      <w:r w:rsidR="002F47D9">
        <w:t xml:space="preserve">background levels </w:t>
      </w:r>
      <w:r>
        <w:t xml:space="preserve">might </w:t>
      </w:r>
      <w:r w:rsidR="00CF0796" w:rsidRPr="00040A06">
        <w:t xml:space="preserve">affect duty holders’ ability to access finance and/or gain legal and planning approvals for site works or changes to land use. Potential buyers of a site may also </w:t>
      </w:r>
      <w:r w:rsidR="00E251A5">
        <w:t>have difficulty</w:t>
      </w:r>
      <w:r w:rsidR="00CF0796" w:rsidRPr="00040A06">
        <w:t xml:space="preserve"> gain</w:t>
      </w:r>
      <w:r w:rsidR="00CF0796">
        <w:t>ing</w:t>
      </w:r>
      <w:r w:rsidR="00CF0796" w:rsidRPr="00040A06">
        <w:t xml:space="preserve"> access to finance. </w:t>
      </w:r>
      <w:r w:rsidR="00CF0796">
        <w:t xml:space="preserve">In the absence of </w:t>
      </w:r>
      <w:r w:rsidR="00E251A5">
        <w:t>specific guidance</w:t>
      </w:r>
      <w:r w:rsidR="00CF0796">
        <w:t xml:space="preserve">, </w:t>
      </w:r>
      <w:r w:rsidR="002F47D9">
        <w:t>financial institutions and planning regulators</w:t>
      </w:r>
      <w:r w:rsidR="004F1B1B">
        <w:t>, when</w:t>
      </w:r>
      <w:r w:rsidR="002F47D9">
        <w:t xml:space="preserve"> </w:t>
      </w:r>
      <w:r w:rsidR="00644405">
        <w:t xml:space="preserve">accepting </w:t>
      </w:r>
      <w:r w:rsidR="002F47D9">
        <w:t>legislative definitions around ‘naturally occurring’ levels</w:t>
      </w:r>
      <w:r w:rsidR="004F1B1B">
        <w:t>,</w:t>
      </w:r>
      <w:r w:rsidR="002F47D9">
        <w:t xml:space="preserve"> may be overly conservative in assessing the risk of harm to human health or the environment when assessing their </w:t>
      </w:r>
      <w:r w:rsidR="00644405">
        <w:t xml:space="preserve">finance/planning </w:t>
      </w:r>
      <w:r w:rsidR="002F47D9">
        <w:t>risk</w:t>
      </w:r>
      <w:r w:rsidR="00644405">
        <w:t xml:space="preserve">s – even where </w:t>
      </w:r>
      <w:r w:rsidR="002F47D9">
        <w:t>a site potentially represent</w:t>
      </w:r>
      <w:r w:rsidR="00644405">
        <w:t>s</w:t>
      </w:r>
      <w:r w:rsidR="002F47D9">
        <w:t xml:space="preserve"> a very low contamination risk to human health or the environment.</w:t>
      </w:r>
      <w:r w:rsidR="00CF0796">
        <w:t xml:space="preserve"> Consequently, financial institutions </w:t>
      </w:r>
      <w:r w:rsidR="00CF0796" w:rsidRPr="00040A06">
        <w:t xml:space="preserve">may restrict lending </w:t>
      </w:r>
      <w:r w:rsidR="00CF0796">
        <w:t xml:space="preserve">and/or planning regulators may </w:t>
      </w:r>
      <w:r w:rsidR="002F47D9">
        <w:t>be more conservative with their respective approvals</w:t>
      </w:r>
      <w:r w:rsidR="00644405">
        <w:t xml:space="preserve"> in a manner that is disproportionate to the actual risks</w:t>
      </w:r>
      <w:r w:rsidR="00CF0796" w:rsidRPr="00040A06">
        <w:t xml:space="preserve">. </w:t>
      </w:r>
    </w:p>
    <w:p w14:paraId="656B03EA" w14:textId="77777777" w:rsidR="00CF0796" w:rsidRPr="00040A06" w:rsidRDefault="00CF0796" w:rsidP="00CF0796">
      <w:pPr>
        <w:ind w:right="489"/>
        <w:rPr>
          <w:b/>
          <w:i/>
        </w:rPr>
      </w:pPr>
      <w:r w:rsidRPr="00040A06">
        <w:rPr>
          <w:b/>
          <w:i/>
        </w:rPr>
        <w:t xml:space="preserve">Duty to manage – prescribing </w:t>
      </w:r>
      <w:r>
        <w:rPr>
          <w:b/>
          <w:i/>
        </w:rPr>
        <w:t>control measures</w:t>
      </w:r>
      <w:r w:rsidRPr="00040A06">
        <w:rPr>
          <w:b/>
          <w:i/>
        </w:rPr>
        <w:t xml:space="preserve"> for </w:t>
      </w:r>
      <w:r>
        <w:rPr>
          <w:b/>
          <w:i/>
        </w:rPr>
        <w:t>NAPL</w:t>
      </w:r>
    </w:p>
    <w:p w14:paraId="656B03EB" w14:textId="77777777" w:rsidR="00CF0796" w:rsidRPr="00040A06" w:rsidRDefault="00CF0796" w:rsidP="00040A06">
      <w:pPr>
        <w:ind w:right="489"/>
      </w:pPr>
      <w:r w:rsidRPr="00394031">
        <w:t xml:space="preserve">Under the new EP legislation, </w:t>
      </w:r>
      <w:r w:rsidR="002F47D9">
        <w:t>only general</w:t>
      </w:r>
      <w:r w:rsidR="002F47D9" w:rsidRPr="00040A06">
        <w:t xml:space="preserve"> </w:t>
      </w:r>
      <w:r w:rsidR="002F47D9" w:rsidRPr="00394031">
        <w:t xml:space="preserve">management approaches </w:t>
      </w:r>
      <w:r w:rsidR="002F47D9">
        <w:t>and</w:t>
      </w:r>
      <w:r w:rsidR="002F47D9" w:rsidRPr="00394031">
        <w:t xml:space="preserve"> risk control measures </w:t>
      </w:r>
      <w:r w:rsidR="002F47D9">
        <w:t xml:space="preserve">are stated – the EP Act does not assign measures </w:t>
      </w:r>
      <w:r w:rsidR="002F47D9" w:rsidRPr="00394031">
        <w:t xml:space="preserve">for specific </w:t>
      </w:r>
      <w:r w:rsidR="002F47D9" w:rsidRPr="00040A06">
        <w:t>waste or chemical substances</w:t>
      </w:r>
      <w:r w:rsidR="002F47D9" w:rsidRPr="00394031">
        <w:t>.</w:t>
      </w:r>
    </w:p>
    <w:p w14:paraId="656B03EC" w14:textId="77777777" w:rsidR="00CF0796" w:rsidRDefault="00CF0796" w:rsidP="00040A06">
      <w:pPr>
        <w:ind w:right="489"/>
      </w:pPr>
      <w:r w:rsidRPr="00040A06">
        <w:t xml:space="preserve">NAPL </w:t>
      </w:r>
      <w:r>
        <w:t>contamination can pose a significant and long-term risk to human health and the environment if not appropriately managed due to its toxicity, limited solubility, and significant migration potential in soil</w:t>
      </w:r>
      <w:r w:rsidR="002D441D">
        <w:t>,</w:t>
      </w:r>
      <w:r>
        <w:t xml:space="preserve"> ground</w:t>
      </w:r>
      <w:r w:rsidR="002D441D">
        <w:t>water</w:t>
      </w:r>
      <w:r>
        <w:t xml:space="preserve"> and surface waters. </w:t>
      </w:r>
      <w:r w:rsidRPr="00040A06">
        <w:rPr>
          <w:rFonts w:cs="Segoe UI Light"/>
          <w:szCs w:val="20"/>
        </w:rPr>
        <w:t xml:space="preserve">When released from spills or through leaking underground storage systems, NAPL </w:t>
      </w:r>
      <w:r w:rsidRPr="00394031">
        <w:t xml:space="preserve">provide an ongoing source for the dissolution of substances into groundwater resulting in a spreading dissolved phase plume. </w:t>
      </w:r>
    </w:p>
    <w:p w14:paraId="656B03ED" w14:textId="77777777" w:rsidR="00CF0796" w:rsidRDefault="00CF0796" w:rsidP="00040A06">
      <w:pPr>
        <w:ind w:right="489"/>
      </w:pPr>
      <w:r w:rsidRPr="00394031">
        <w:t xml:space="preserve">NAPL and dissolved phase plumes can </w:t>
      </w:r>
      <w:r w:rsidRPr="00394031" w:rsidDel="00E67EDB">
        <w:t xml:space="preserve">pose </w:t>
      </w:r>
      <w:r w:rsidR="00E67EDB">
        <w:t>risks due to</w:t>
      </w:r>
      <w:r w:rsidRPr="00394031">
        <w:t xml:space="preserve"> vapour intrusion, groundwater extraction and use, seepage of contaminated groundwater (for example into adjacent basements), ecological risks from the discharge of contamination into surface waters, and explosion from the accumulation of vapours.</w:t>
      </w:r>
      <w:r>
        <w:rPr>
          <w:rStyle w:val="FootnoteReference"/>
        </w:rPr>
        <w:footnoteReference w:id="107"/>
      </w:r>
      <w:r w:rsidRPr="00394031">
        <w:t xml:space="preserve"> </w:t>
      </w:r>
      <w:r>
        <w:t>Due to the range of exposure pathways, NAPL has the potential to have long-term (multi-generational) and significantly detrimental impacts on human health and the environment.</w:t>
      </w:r>
      <w:r>
        <w:rPr>
          <w:rStyle w:val="FootnoteReference"/>
        </w:rPr>
        <w:footnoteReference w:id="108"/>
      </w:r>
      <w:r>
        <w:t xml:space="preserve"> To </w:t>
      </w:r>
      <w:r w:rsidR="00E67EDB">
        <w:t xml:space="preserve">reduce </w:t>
      </w:r>
      <w:r>
        <w:t xml:space="preserve">these risks, the NAPL and </w:t>
      </w:r>
      <w:r w:rsidR="00644405">
        <w:t xml:space="preserve">its </w:t>
      </w:r>
      <w:r>
        <w:t xml:space="preserve">source should be cleaned-up and removed to the extent practicable. However, the </w:t>
      </w:r>
      <w:r w:rsidRPr="00063A89">
        <w:t>characteristics</w:t>
      </w:r>
      <w:r>
        <w:t xml:space="preserve"> of NAPL</w:t>
      </w:r>
      <w:r w:rsidRPr="00063A89">
        <w:t xml:space="preserve">, combined with the particular geologies present in Victoria, make </w:t>
      </w:r>
      <w:r w:rsidR="00644405">
        <w:t xml:space="preserve">it </w:t>
      </w:r>
      <w:r>
        <w:t>extremely</w:t>
      </w:r>
      <w:r w:rsidRPr="00063A89">
        <w:t xml:space="preserve"> difficult</w:t>
      </w:r>
      <w:r>
        <w:t xml:space="preserve"> and potentially expensive</w:t>
      </w:r>
      <w:r w:rsidRPr="00063A89">
        <w:t xml:space="preserve"> to remediate or clean up</w:t>
      </w:r>
      <w:r w:rsidR="00644405">
        <w:t xml:space="preserve"> completely</w:t>
      </w:r>
      <w:r>
        <w:t xml:space="preserve">. </w:t>
      </w:r>
    </w:p>
    <w:p w14:paraId="656B03EE" w14:textId="77777777" w:rsidR="00CF0796" w:rsidRDefault="00CF0796" w:rsidP="00040A06">
      <w:pPr>
        <w:ind w:right="489"/>
      </w:pPr>
      <w:r w:rsidRPr="00040A06">
        <w:t xml:space="preserve">Under the current SEPP (Waters), land owners managing NAPL are required to clean-up and remove NAPL source in so far as reasonably practicable. </w:t>
      </w:r>
      <w:r w:rsidRPr="00F1555D">
        <w:t xml:space="preserve">However, </w:t>
      </w:r>
      <w:r w:rsidRPr="00040A06">
        <w:t xml:space="preserve">under the </w:t>
      </w:r>
      <w:r>
        <w:t xml:space="preserve">GED and </w:t>
      </w:r>
      <w:r w:rsidR="006A5A54">
        <w:t>duty to manage</w:t>
      </w:r>
      <w:r w:rsidRPr="00040A06">
        <w:t xml:space="preserve"> within the new EP legislati</w:t>
      </w:r>
      <w:r>
        <w:t>on</w:t>
      </w:r>
      <w:r w:rsidRPr="00040A06">
        <w:t xml:space="preserve">, </w:t>
      </w:r>
      <w:r w:rsidRPr="00F1555D">
        <w:t xml:space="preserve">duty holders are not </w:t>
      </w:r>
      <w:r w:rsidRPr="00040A06">
        <w:t xml:space="preserve">explicitly compelled </w:t>
      </w:r>
      <w:r w:rsidRPr="00F1555D">
        <w:t xml:space="preserve">to </w:t>
      </w:r>
      <w:r>
        <w:t xml:space="preserve">clean-up and </w:t>
      </w:r>
      <w:r w:rsidRPr="00F1555D">
        <w:t xml:space="preserve">remove the source of a </w:t>
      </w:r>
      <w:r w:rsidR="00193E2E">
        <w:t xml:space="preserve">NAPL </w:t>
      </w:r>
      <w:r w:rsidRPr="00F1555D">
        <w:t>contaminant</w:t>
      </w:r>
      <w:r>
        <w:t xml:space="preserve">. Given the </w:t>
      </w:r>
      <w:r w:rsidRPr="00040A06">
        <w:t>persistence</w:t>
      </w:r>
      <w:r w:rsidRPr="008B5F0B">
        <w:t xml:space="preserve"> and highly harmful nature </w:t>
      </w:r>
      <w:r>
        <w:t xml:space="preserve">of NAPLs, and potential to result in long-term multigenerational human health and environmental impacts, the GED and </w:t>
      </w:r>
      <w:r w:rsidR="006A5A54">
        <w:t>duty to manage</w:t>
      </w:r>
      <w:r>
        <w:t xml:space="preserve"> are insufficiently targeted to adequately control the risks presented by NAPL. Duty holders are unlikely to observe the full impacts or fully understand the longer</w:t>
      </w:r>
      <w:r>
        <w:noBreakHyphen/>
        <w:t xml:space="preserve">term human health and environmental impacts of NAPL contamination. </w:t>
      </w:r>
    </w:p>
    <w:p w14:paraId="656B03EF" w14:textId="77777777" w:rsidR="00CF0796" w:rsidRDefault="00CF0796" w:rsidP="00040A06">
      <w:pPr>
        <w:ind w:right="489"/>
      </w:pPr>
      <w:r>
        <w:t>Consequently, i</w:t>
      </w:r>
      <w:r w:rsidRPr="00040A06">
        <w:t>n the absence of prescribed risk control measures for NAPL</w:t>
      </w:r>
      <w:r>
        <w:t xml:space="preserve"> </w:t>
      </w:r>
      <w:r w:rsidRPr="00F1555D">
        <w:t xml:space="preserve">it is unlikely duty holders would </w:t>
      </w:r>
      <w:r w:rsidR="000D3407">
        <w:t xml:space="preserve">always </w:t>
      </w:r>
      <w:r w:rsidRPr="00040A06">
        <w:t>seek to</w:t>
      </w:r>
      <w:r w:rsidRPr="00F1555D">
        <w:t xml:space="preserve"> </w:t>
      </w:r>
      <w:r w:rsidR="000D3407">
        <w:t xml:space="preserve">address this risk and </w:t>
      </w:r>
      <w:r w:rsidRPr="00040A06">
        <w:t xml:space="preserve">clean-up and </w:t>
      </w:r>
      <w:r w:rsidRPr="00F1555D">
        <w:t xml:space="preserve">remove the NAPL source to the extent reasonably practicable. </w:t>
      </w:r>
      <w:r>
        <w:t xml:space="preserve">Given the complexities and costs involved in the clean-up of NAPL, duty holders are unlikely to appropriately follow EPA issued non-mandatory guidelines. </w:t>
      </w:r>
      <w:r w:rsidRPr="00040A06">
        <w:t xml:space="preserve">This may result in increased </w:t>
      </w:r>
      <w:r>
        <w:t xml:space="preserve">and significant long-term </w:t>
      </w:r>
      <w:r w:rsidRPr="00040A06">
        <w:t xml:space="preserve">risks to human health and the environment. This </w:t>
      </w:r>
      <w:r>
        <w:t>may,</w:t>
      </w:r>
      <w:r w:rsidRPr="00040A06">
        <w:t xml:space="preserve"> in turn</w:t>
      </w:r>
      <w:r>
        <w:t>,</w:t>
      </w:r>
      <w:r w:rsidRPr="00040A06">
        <w:t xml:space="preserve"> result in </w:t>
      </w:r>
      <w:r w:rsidRPr="00F1555D">
        <w:t xml:space="preserve">higher future </w:t>
      </w:r>
      <w:r>
        <w:t xml:space="preserve">healthcare costs associated with human exposure to NAPL, higher future </w:t>
      </w:r>
      <w:r w:rsidRPr="00F1555D">
        <w:t>management costs on the part of duty holder</w:t>
      </w:r>
      <w:r>
        <w:t xml:space="preserve">s, potential impacts on third parties on sites adjacent to where the NAPL source is located, and </w:t>
      </w:r>
      <w:r w:rsidRPr="00F1555D">
        <w:t xml:space="preserve">higher administrative costs </w:t>
      </w:r>
      <w:r w:rsidRPr="00040A06">
        <w:t xml:space="preserve">(and potential clean-up and remediation costs) </w:t>
      </w:r>
      <w:r w:rsidRPr="00F1555D">
        <w:t xml:space="preserve">to government. </w:t>
      </w:r>
      <w:r w:rsidR="0083416D">
        <w:t>The nature of the contamination (the extent of which is often unknown until a site assessment is undertake</w:t>
      </w:r>
      <w:r w:rsidR="004F1B1B">
        <w:t>n</w:t>
      </w:r>
      <w:r w:rsidR="0083416D">
        <w:t>), the cost of remediation and the long-term human exposure pathways mean that market</w:t>
      </w:r>
      <w:r w:rsidR="0083416D">
        <w:noBreakHyphen/>
        <w:t xml:space="preserve">based incentives (such as effects on re-sale values) are unlikely to moderate clean-up behaviour. </w:t>
      </w:r>
    </w:p>
    <w:p w14:paraId="656B03F0" w14:textId="77777777" w:rsidR="00CF0796" w:rsidRDefault="00CF0796" w:rsidP="00CF0796">
      <w:pPr>
        <w:rPr>
          <w:b/>
        </w:rPr>
      </w:pPr>
      <w:r w:rsidRPr="00040A06">
        <w:rPr>
          <w:b/>
          <w:i/>
        </w:rPr>
        <w:t>Duty to notify</w:t>
      </w:r>
      <w:r>
        <w:rPr>
          <w:b/>
          <w:i/>
        </w:rPr>
        <w:t xml:space="preserve"> </w:t>
      </w:r>
      <w:r w:rsidRPr="00040A06">
        <w:rPr>
          <w:b/>
          <w:i/>
        </w:rPr>
        <w:t>– definition of notifiable contamination</w:t>
      </w:r>
    </w:p>
    <w:p w14:paraId="656B03F1" w14:textId="77777777" w:rsidR="00CF0796" w:rsidRDefault="00CF0796" w:rsidP="00CF0796">
      <w:r w:rsidRPr="00040A06">
        <w:t>The in</w:t>
      </w:r>
      <w:r>
        <w:t xml:space="preserve">tent of the </w:t>
      </w:r>
      <w:r w:rsidR="006A5A54">
        <w:t>duty to notify</w:t>
      </w:r>
      <w:r>
        <w:t xml:space="preserve"> is to inform </w:t>
      </w:r>
      <w:r w:rsidR="000514DD">
        <w:t>EPA</w:t>
      </w:r>
      <w:r>
        <w:t xml:space="preserve"> of significant and high-risk instances of contamination that warrant EPA’s involvement in the management of the contamination. This may involve advice or direct action on the part of </w:t>
      </w:r>
      <w:r w:rsidR="000514DD">
        <w:t>EPA</w:t>
      </w:r>
      <w:r>
        <w:t xml:space="preserve">. </w:t>
      </w:r>
    </w:p>
    <w:p w14:paraId="656B03F2" w14:textId="77777777" w:rsidR="00A6745F" w:rsidRDefault="00A6745F" w:rsidP="00A6745F">
      <w:r>
        <w:t xml:space="preserve">The </w:t>
      </w:r>
      <w:r w:rsidR="00B81AAA">
        <w:t xml:space="preserve">$50,000 </w:t>
      </w:r>
      <w:r>
        <w:t xml:space="preserve">default notification threshold under the new EP legislation, based on current general knowledge of remediation costs, may be relatively low for this first iteration of this new duty. The legislative intent of the duty to notify, to address the considerable gap in EPA’s knowledge of the extent of contaminated sites in Victoria, may not be commensurate to the contamination risk </w:t>
      </w:r>
      <w:r w:rsidR="00467705">
        <w:t>upon the commencement of the new EP legislation</w:t>
      </w:r>
      <w:r>
        <w:t xml:space="preserve">. </w:t>
      </w:r>
    </w:p>
    <w:p w14:paraId="656B03F3" w14:textId="77777777" w:rsidR="00CF0796" w:rsidRDefault="00CF0796" w:rsidP="00CF0796">
      <w:r>
        <w:t xml:space="preserve">Furthermore, sites that </w:t>
      </w:r>
      <w:r w:rsidR="001D7D22">
        <w:t xml:space="preserve">are </w:t>
      </w:r>
      <w:r>
        <w:t xml:space="preserve">subject to an environmental audit </w:t>
      </w:r>
      <w:r w:rsidR="001D7D22">
        <w:t xml:space="preserve">under the new EP legislation </w:t>
      </w:r>
      <w:r>
        <w:t xml:space="preserve">or sites </w:t>
      </w:r>
      <w:r w:rsidR="009D1A56">
        <w:t>issued with clean up or abatement notice</w:t>
      </w:r>
      <w:r w:rsidR="0031554A">
        <w:t>s</w:t>
      </w:r>
      <w:r w:rsidR="009D1A56">
        <w:t xml:space="preserve"> would </w:t>
      </w:r>
      <w:r w:rsidR="00BD1113">
        <w:t xml:space="preserve">in effect </w:t>
      </w:r>
      <w:r w:rsidR="0031554A">
        <w:t xml:space="preserve">automatically </w:t>
      </w:r>
      <w:r>
        <w:t>trigger the requirement to notify EPA. It is estimated that there are approximately over 3,500 such sites.</w:t>
      </w:r>
      <w:r>
        <w:rPr>
          <w:rStyle w:val="FootnoteReference"/>
        </w:rPr>
        <w:footnoteReference w:id="109"/>
      </w:r>
    </w:p>
    <w:p w14:paraId="656B03F4" w14:textId="77777777" w:rsidR="00CF0796" w:rsidRDefault="000D3407" w:rsidP="00CF0796">
      <w:pPr>
        <w:autoSpaceDE w:val="0"/>
        <w:autoSpaceDN w:val="0"/>
        <w:adjustRightInd w:val="0"/>
        <w:spacing w:before="120" w:after="0" w:line="240" w:lineRule="auto"/>
      </w:pPr>
      <w:r>
        <w:t xml:space="preserve">The default notification threshold </w:t>
      </w:r>
      <w:r w:rsidR="00CF0796">
        <w:t xml:space="preserve">risks imposing an unnecessary regulatory burden on duty holders where sites pose </w:t>
      </w:r>
      <w:r>
        <w:t xml:space="preserve">low to moderate </w:t>
      </w:r>
      <w:r w:rsidR="00CF0796">
        <w:t xml:space="preserve">risk </w:t>
      </w:r>
      <w:r>
        <w:t xml:space="preserve">(but where the remediation may exceed $50,000) </w:t>
      </w:r>
      <w:r w:rsidR="00CF0796">
        <w:t>and a significant administrative burden on government from administering the notification scheme. Given the unknown</w:t>
      </w:r>
      <w:r w:rsidR="00CF0796" w:rsidRPr="001F2907">
        <w:t xml:space="preserve"> </w:t>
      </w:r>
      <w:r w:rsidR="00CF0796">
        <w:t xml:space="preserve">number, </w:t>
      </w:r>
      <w:r w:rsidR="00CF0796" w:rsidRPr="001F2907">
        <w:t xml:space="preserve">location </w:t>
      </w:r>
      <w:r w:rsidR="00CF0796">
        <w:t xml:space="preserve">and condition </w:t>
      </w:r>
      <w:r w:rsidR="00CF0796" w:rsidRPr="001F2907">
        <w:t>of Victoria’s contaminated sites</w:t>
      </w:r>
      <w:r w:rsidR="00CF0796">
        <w:t xml:space="preserve">, it is extremely difficult to estimate how many sites across Victoria will be captured by the current </w:t>
      </w:r>
      <w:r w:rsidR="006A5A54">
        <w:t>duty to notify</w:t>
      </w:r>
      <w:r w:rsidR="00CF0796">
        <w:t xml:space="preserve"> threshold. However, it is likely to result in a significant proportion of low-risk contaminated sites being subject to notification.</w:t>
      </w:r>
    </w:p>
    <w:p w14:paraId="656B03F5" w14:textId="77777777" w:rsidR="00CF0796" w:rsidRDefault="00CF0796" w:rsidP="00040A06">
      <w:pPr>
        <w:spacing w:before="120"/>
        <w:rPr>
          <w:rFonts w:cs="Segoe UI Light"/>
        </w:rPr>
      </w:pPr>
      <w:r>
        <w:t xml:space="preserve">Alternatively, there may be some situations in which the cost to remediate contamination is below $50,000, but the contamination poses a significant risk to human health and/or the environment. </w:t>
      </w:r>
    </w:p>
    <w:p w14:paraId="656B03F6" w14:textId="77777777" w:rsidR="00CF0796" w:rsidRDefault="00CF0796" w:rsidP="00CF0796">
      <w:pPr>
        <w:rPr>
          <w:b/>
        </w:rPr>
      </w:pPr>
      <w:r w:rsidRPr="00040A06">
        <w:rPr>
          <w:b/>
          <w:i/>
        </w:rPr>
        <w:t>Duty to notify</w:t>
      </w:r>
      <w:r>
        <w:rPr>
          <w:b/>
          <w:i/>
        </w:rPr>
        <w:t xml:space="preserve"> </w:t>
      </w:r>
      <w:r w:rsidRPr="00040A06">
        <w:rPr>
          <w:b/>
          <w:i/>
        </w:rPr>
        <w:t>– manner and form of notification</w:t>
      </w:r>
    </w:p>
    <w:p w14:paraId="656B03F7" w14:textId="77777777" w:rsidR="00CF0796" w:rsidRDefault="00CF0796" w:rsidP="00CF0796">
      <w:r>
        <w:t xml:space="preserve">The new EP legislation requires duty holders to include information on location, the activity resulting in the contamination, and nature and extent of the contamination when submitting </w:t>
      </w:r>
      <w:r w:rsidR="00F73F25">
        <w:t>a</w:t>
      </w:r>
      <w:r>
        <w:t xml:space="preserve"> notification to </w:t>
      </w:r>
      <w:r w:rsidR="000514DD">
        <w:t>EPA</w:t>
      </w:r>
      <w:r>
        <w:t xml:space="preserve">. However, there is no prescribed requirement for duty holders to specify how the contamination is being, or is planned to be, managed. </w:t>
      </w:r>
    </w:p>
    <w:p w14:paraId="656B03F8" w14:textId="77777777" w:rsidR="00CF0796" w:rsidRDefault="00CF0796" w:rsidP="00CF0796">
      <w:r>
        <w:t xml:space="preserve">Understanding how duty holders are responding to the contaminated land is important for </w:t>
      </w:r>
      <w:r w:rsidR="000514DD">
        <w:t>EPA</w:t>
      </w:r>
      <w:r>
        <w:t xml:space="preserve"> to assess and prioritise those sites which represent the greatest risk to human health and environment, and where EPA support and oversight is required in a timely manner. </w:t>
      </w:r>
    </w:p>
    <w:p w14:paraId="656B03F9" w14:textId="77777777" w:rsidR="00CF0796" w:rsidRDefault="00CF0796" w:rsidP="00CF0796">
      <w:r>
        <w:t xml:space="preserve">The lack of information outlining a duty holder’s management response may impede EPA’s ability to effectively and efficiently monitor and manage high-risk contaminated sites. </w:t>
      </w:r>
      <w:r w:rsidR="009D1A56">
        <w:t xml:space="preserve">Without an understanding of the duty holder’s </w:t>
      </w:r>
      <w:r>
        <w:t>management response</w:t>
      </w:r>
      <w:r w:rsidR="009D1A56">
        <w:t>,</w:t>
      </w:r>
      <w:r>
        <w:t xml:space="preserve"> </w:t>
      </w:r>
      <w:r w:rsidR="009D1A56">
        <w:t xml:space="preserve">EPA would be faced with </w:t>
      </w:r>
      <w:r>
        <w:t>additional costs and resources to determine the nature and timing of action</w:t>
      </w:r>
      <w:r w:rsidR="009D1A56">
        <w:t>.</w:t>
      </w:r>
      <w:r>
        <w:t xml:space="preserve"> </w:t>
      </w:r>
      <w:r w:rsidR="009D1A56">
        <w:t xml:space="preserve">Without sufficient information to triage </w:t>
      </w:r>
      <w:r w:rsidR="00C943C9">
        <w:t xml:space="preserve">notifications, EPA </w:t>
      </w:r>
      <w:r>
        <w:t>may not be able to identify and adequately respond to high priority sites that are not being managed appropriately</w:t>
      </w:r>
      <w:r w:rsidR="00D87CCD">
        <w:t xml:space="preserve">. </w:t>
      </w:r>
      <w:r>
        <w:t xml:space="preserve">There is a need to address these risks by requiring duty holders to submit information that is relevant to </w:t>
      </w:r>
      <w:r w:rsidR="000514DD">
        <w:t>EPA</w:t>
      </w:r>
      <w:r>
        <w:t>’s prioritisation of contaminated sites.</w:t>
      </w:r>
    </w:p>
    <w:p w14:paraId="656B03FA" w14:textId="77777777" w:rsidR="00CF0796" w:rsidRPr="00611A88" w:rsidRDefault="00CF0796" w:rsidP="00700983">
      <w:pPr>
        <w:pStyle w:val="Heading3"/>
        <w:ind w:left="720"/>
      </w:pPr>
      <w:r>
        <w:t>Size of problem</w:t>
      </w:r>
    </w:p>
    <w:p w14:paraId="656B03FB" w14:textId="77777777" w:rsidR="00997CFA" w:rsidRPr="0071126B" w:rsidRDefault="00997CFA" w:rsidP="00700983">
      <w:r>
        <w:t>This section</w:t>
      </w:r>
      <w:r w:rsidR="0059166F">
        <w:t>, along with the discussion of harms and costs in sections 8.4.3 and 8.4.</w:t>
      </w:r>
      <w:r w:rsidR="00E0671F">
        <w:t>4</w:t>
      </w:r>
      <w:r w:rsidR="0059166F">
        <w:t>,</w:t>
      </w:r>
      <w:r>
        <w:t xml:space="preserve"> provides evidence of the size of the contaminated land problem in Victoria. Evidence is provi</w:t>
      </w:r>
      <w:r w:rsidR="0059166F">
        <w:t>ded for the overarching problem</w:t>
      </w:r>
      <w:r>
        <w:t xml:space="preserve">. The new EP legislation is expected to address a significant </w:t>
      </w:r>
      <w:r w:rsidR="0059166F">
        <w:t>proportion of the overarching problem. The proposed Regulations are intended to address the residual risk i.e. that part of the problem that still remains after the new EP legislation takes effect.</w:t>
      </w:r>
    </w:p>
    <w:p w14:paraId="656B03FC" w14:textId="77777777" w:rsidR="00CF0796" w:rsidRDefault="00CF0796" w:rsidP="00CF0796">
      <w:pPr>
        <w:mirrorIndents/>
      </w:pPr>
      <w:r>
        <w:rPr>
          <w:rFonts w:cs="Segoe UI Light"/>
        </w:rPr>
        <w:t>As noted above, the number, extent and location of contaminated sites in Victoria</w:t>
      </w:r>
      <w:r w:rsidR="000D3407">
        <w:rPr>
          <w:rFonts w:cs="Segoe UI Light"/>
        </w:rPr>
        <w:t>, in general,</w:t>
      </w:r>
      <w:r>
        <w:rPr>
          <w:rFonts w:cs="Segoe UI Light"/>
        </w:rPr>
        <w:t xml:space="preserve"> is largely unknown.</w:t>
      </w:r>
      <w:r>
        <w:rPr>
          <w:rStyle w:val="FootnoteReference"/>
          <w:rFonts w:cs="Segoe UI Light"/>
        </w:rPr>
        <w:footnoteReference w:id="110"/>
      </w:r>
      <w:r>
        <w:rPr>
          <w:rFonts w:cs="Segoe UI Light"/>
        </w:rPr>
        <w:t xml:space="preserve"> </w:t>
      </w:r>
      <w:r>
        <w:t xml:space="preserve">Despite a significant focus of community and government concern, there is a lack of consistent evidence regarding the extent of contaminated land in Victoria and the risks it poses to human health and the environment. As noted in the </w:t>
      </w:r>
      <w:r w:rsidR="00B81AAA">
        <w:t>VAGO</w:t>
      </w:r>
      <w:r>
        <w:t xml:space="preserve"> audit of the management of contaminated sites in Victoria, the “ability to assess and mitigate health, environmental and financial risks associated with contamination is also being hampered by the lack of complete and reliable information on the number and location of contaminated sites, and the nature and extent of contamination.”</w:t>
      </w:r>
      <w:r>
        <w:rPr>
          <w:vertAlign w:val="superscript"/>
        </w:rPr>
        <w:footnoteReference w:id="111"/>
      </w:r>
    </w:p>
    <w:p w14:paraId="656B03FD" w14:textId="77777777" w:rsidR="00CF0796" w:rsidRDefault="00CF0796" w:rsidP="00CF0796">
      <w:pPr>
        <w:mirrorIndents/>
        <w:rPr>
          <w:rFonts w:cs="Segoe UI Light"/>
        </w:rPr>
      </w:pPr>
      <w:r>
        <w:t xml:space="preserve">Reflecting the nature of Victoria’s industrial development, </w:t>
      </w:r>
      <w:r>
        <w:rPr>
          <w:rFonts w:cs="Segoe UI Light"/>
          <w:szCs w:val="20"/>
        </w:rPr>
        <w:t xml:space="preserve">contaminated sites and suspected contaminated sites are spread across the state. Contaminated sites are typically concentrated in and around former industrial locations in Melbourne and major regional centres. </w:t>
      </w:r>
      <w:r>
        <w:rPr>
          <w:rFonts w:cs="Segoe UI Light"/>
        </w:rPr>
        <w:t xml:space="preserve">In regional and rural Victoria, towns with significant historical industrial and agricultural activities - such as sheep dipping, minerals extraction and processing, and the unregulated use of pesticides and herbicide - </w:t>
      </w:r>
      <w:r w:rsidR="00D87CCD">
        <w:rPr>
          <w:rFonts w:cs="Segoe UI Light"/>
        </w:rPr>
        <w:t>may</w:t>
      </w:r>
      <w:r>
        <w:rPr>
          <w:rFonts w:cs="Segoe UI Light"/>
        </w:rPr>
        <w:t xml:space="preserve"> also have large numbers of potentially contaminated sites.</w:t>
      </w:r>
    </w:p>
    <w:p w14:paraId="656B03FE" w14:textId="77777777" w:rsidR="00CF0796" w:rsidRDefault="00CF0796" w:rsidP="00CF0796">
      <w:pPr>
        <w:mirrorIndents/>
        <w:rPr>
          <w:rFonts w:cs="Segoe UI Light"/>
          <w:szCs w:val="20"/>
        </w:rPr>
      </w:pPr>
      <w:r>
        <w:rPr>
          <w:rFonts w:cs="Segoe UI Light"/>
          <w:szCs w:val="20"/>
        </w:rPr>
        <w:t xml:space="preserve">EPA has identified around </w:t>
      </w:r>
      <w:r w:rsidR="00C143AD">
        <w:rPr>
          <w:rFonts w:cs="Segoe UI Light"/>
          <w:szCs w:val="20"/>
        </w:rPr>
        <w:t>60</w:t>
      </w:r>
      <w:r>
        <w:rPr>
          <w:rFonts w:cs="Segoe UI Light"/>
          <w:szCs w:val="20"/>
        </w:rPr>
        <w:t xml:space="preserve"> types of land use and activities that are considered to have a high potential for contamination, covering light and heavy industrial land uses, agricultural activities and utilities.</w:t>
      </w:r>
      <w:r>
        <w:rPr>
          <w:rStyle w:val="FootnoteReference"/>
          <w:rFonts w:cs="Segoe UI Light"/>
        </w:rPr>
        <w:t xml:space="preserve"> </w:t>
      </w:r>
      <w:r>
        <w:rPr>
          <w:rFonts w:cs="Segoe UI Light"/>
          <w:szCs w:val="20"/>
        </w:rPr>
        <w:t>There are also a range of activities, which may be incidental to the main site activity, where the potential for contamination arises. This may include infilling of land, chemical and fuel storage, warehousing and waste disposal. EPA estimates that approximately 30% of significant contamination relates to fuel storage – in many instances this is not at a recognised fuel or transport industry site (such as a service station).</w:t>
      </w:r>
      <w:r>
        <w:rPr>
          <w:rStyle w:val="FootnoteReference"/>
          <w:rFonts w:cs="Segoe UI Light"/>
        </w:rPr>
        <w:footnoteReference w:id="112"/>
      </w:r>
    </w:p>
    <w:p w14:paraId="656B03FF" w14:textId="77777777" w:rsidR="00CF0796" w:rsidRDefault="00CF0796" w:rsidP="00CF0796">
      <w:pPr>
        <w:mirrorIndents/>
        <w:rPr>
          <w:rFonts w:cs="Segoe UI Light"/>
        </w:rPr>
      </w:pPr>
      <w:r>
        <w:rPr>
          <w:rFonts w:cs="Segoe UI Light"/>
        </w:rPr>
        <w:t>Overall, EPA estimates that there are approximately 30,000 contaminated sites within Victoria that present varying levels of risk to public health and the environment.</w:t>
      </w:r>
      <w:r>
        <w:rPr>
          <w:rStyle w:val="FootnoteReference"/>
          <w:rFonts w:cs="Segoe UI Light"/>
        </w:rPr>
        <w:footnoteReference w:id="113"/>
      </w:r>
      <w:r>
        <w:rPr>
          <w:rFonts w:cs="Segoe UI Light"/>
        </w:rPr>
        <w:t xml:space="preserve"> An overview of the historical land uses contributing to significantly contaminated sites within Victoria is presented </w:t>
      </w:r>
      <w:r w:rsidR="00A564FA">
        <w:rPr>
          <w:rFonts w:cs="Segoe UI Light"/>
        </w:rPr>
        <w:t xml:space="preserve">in the </w:t>
      </w:r>
      <w:r w:rsidR="001B4F51">
        <w:rPr>
          <w:rFonts w:cs="Segoe UI Light"/>
        </w:rPr>
        <w:t>f</w:t>
      </w:r>
      <w:r w:rsidR="00A564FA">
        <w:rPr>
          <w:rFonts w:cs="Segoe UI Light"/>
        </w:rPr>
        <w:t>igure below.</w:t>
      </w:r>
    </w:p>
    <w:p w14:paraId="656B0400" w14:textId="77777777" w:rsidR="00CF0796" w:rsidRDefault="00CF0796" w:rsidP="00CF0796">
      <w:pPr>
        <w:pStyle w:val="Caption"/>
        <w:spacing w:before="120" w:after="0"/>
        <w:mirrorIndents/>
        <w:rPr>
          <w:rFonts w:cs="Segoe UI Light"/>
        </w:rPr>
      </w:pPr>
      <w:bookmarkStart w:id="618" w:name="_Ref5115818"/>
      <w:r>
        <w:t xml:space="preserve">Figure </w:t>
      </w:r>
      <w:r w:rsidR="008C5D06">
        <w:rPr>
          <w:color w:val="2B579A"/>
          <w:shd w:val="clear" w:color="auto" w:fill="E6E6E6"/>
        </w:rPr>
        <w:fldChar w:fldCharType="begin"/>
      </w:r>
      <w:r w:rsidR="008C5D06">
        <w:instrText xml:space="preserve"> STYLEREF 1 \s </w:instrText>
      </w:r>
      <w:r w:rsidR="008C5D06">
        <w:rPr>
          <w:color w:val="2B579A"/>
          <w:shd w:val="clear" w:color="auto" w:fill="E6E6E6"/>
        </w:rPr>
        <w:fldChar w:fldCharType="separate"/>
      </w:r>
      <w:r w:rsidR="00B11C1E">
        <w:rPr>
          <w:noProof/>
        </w:rPr>
        <w:t>8</w:t>
      </w:r>
      <w:r w:rsidR="008C5D06">
        <w:rPr>
          <w:color w:val="2B579A"/>
          <w:shd w:val="clear" w:color="auto" w:fill="E6E6E6"/>
        </w:rPr>
        <w:fldChar w:fldCharType="end"/>
      </w:r>
      <w:r w:rsidR="008C5D06">
        <w:noBreakHyphen/>
      </w:r>
      <w:r w:rsidR="008C5D06">
        <w:rPr>
          <w:color w:val="2B579A"/>
          <w:shd w:val="clear" w:color="auto" w:fill="E6E6E6"/>
        </w:rPr>
        <w:fldChar w:fldCharType="begin"/>
      </w:r>
      <w:r w:rsidR="008C5D06">
        <w:instrText xml:space="preserve"> SEQ Figure \* ARABIC \s 1 </w:instrText>
      </w:r>
      <w:r w:rsidR="008C5D06">
        <w:rPr>
          <w:color w:val="2B579A"/>
          <w:shd w:val="clear" w:color="auto" w:fill="E6E6E6"/>
        </w:rPr>
        <w:fldChar w:fldCharType="separate"/>
      </w:r>
      <w:r w:rsidR="00B11C1E">
        <w:rPr>
          <w:noProof/>
        </w:rPr>
        <w:t>1</w:t>
      </w:r>
      <w:r w:rsidR="008C5D06">
        <w:rPr>
          <w:color w:val="2B579A"/>
          <w:shd w:val="clear" w:color="auto" w:fill="E6E6E6"/>
        </w:rPr>
        <w:fldChar w:fldCharType="end"/>
      </w:r>
      <w:bookmarkEnd w:id="618"/>
      <w:r>
        <w:t xml:space="preserve"> Historical land uses of significantly contaminated sites</w:t>
      </w:r>
    </w:p>
    <w:p w14:paraId="656B0401" w14:textId="77777777" w:rsidR="00CF0796" w:rsidRDefault="00CF0796" w:rsidP="00CF0796">
      <w:pPr>
        <w:mirrorIndents/>
        <w:rPr>
          <w:rFonts w:cs="Segoe UI Light"/>
        </w:rPr>
      </w:pPr>
      <w:r>
        <w:rPr>
          <w:noProof/>
          <w:color w:val="2B579A"/>
          <w:shd w:val="clear" w:color="auto" w:fill="E6E6E6"/>
          <w:lang w:eastAsia="en-AU"/>
        </w:rPr>
        <mc:AlternateContent>
          <mc:Choice Requires="cx1">
            <w:drawing>
              <wp:inline distT="0" distB="0" distL="0" distR="0" wp14:anchorId="656B1EA6" wp14:editId="656B1EA7">
                <wp:extent cx="5939790" cy="3628800"/>
                <wp:effectExtent l="0" t="0" r="3810" b="10160"/>
                <wp:docPr id="50" name="Chart 50">
                  <a:extLst xmlns:a="http://schemas.openxmlformats.org/drawingml/2006/main">
                    <a:ext uri="{FF2B5EF4-FFF2-40B4-BE49-F238E27FC236}">
                      <a16:creationId xmlns:a16="http://schemas.microsoft.com/office/drawing/2014/main" id="{FB0571D3-1FAA-4EE3-B97E-9076CF9D06A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4"/>
                  </a:graphicData>
                </a:graphic>
              </wp:inline>
            </w:drawing>
          </mc:Choice>
          <mc:Fallback>
            <w:drawing>
              <wp:inline distT="0" distB="0" distL="0" distR="0" wp14:anchorId="656B1EA6" wp14:editId="656B1EA7">
                <wp:extent cx="5939790" cy="3628800"/>
                <wp:effectExtent l="0" t="0" r="3810" b="10160"/>
                <wp:docPr id="50" name="Chart 50">
                  <a:extLst xmlns:a="http://schemas.openxmlformats.org/drawingml/2006/main">
                    <a:ext uri="{FF2B5EF4-FFF2-40B4-BE49-F238E27FC236}">
                      <a16:creationId xmlns:a16="http://schemas.microsoft.com/office/drawing/2014/main" id="{FB0571D3-1FAA-4EE3-B97E-9076CF9D06A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0" name="Chart 50">
                          <a:extLst>
                            <a:ext uri="{FF2B5EF4-FFF2-40B4-BE49-F238E27FC236}">
                              <a16:creationId xmlns:a16="http://schemas.microsoft.com/office/drawing/2014/main" id="{FB0571D3-1FAA-4EE3-B97E-9076CF9D06A7}"/>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5939790" cy="3628390"/>
                        </a:xfrm>
                        <a:prstGeom prst="rect">
                          <a:avLst/>
                        </a:prstGeom>
                      </pic:spPr>
                    </pic:pic>
                  </a:graphicData>
                </a:graphic>
              </wp:inline>
            </w:drawing>
          </mc:Fallback>
        </mc:AlternateContent>
      </w:r>
    </w:p>
    <w:p w14:paraId="656B0402" w14:textId="77777777" w:rsidR="00CF0796" w:rsidRDefault="00CF0796" w:rsidP="00CF0796">
      <w:pPr>
        <w:pStyle w:val="2Source"/>
      </w:pPr>
      <w:r>
        <w:t>Source: EPA internal data.</w:t>
      </w:r>
    </w:p>
    <w:p w14:paraId="656B0403" w14:textId="77777777" w:rsidR="00CF0796" w:rsidRDefault="00CF0796" w:rsidP="00CF0796">
      <w:r>
        <w:t xml:space="preserve">Further complicating the assessment of Victoria‘s contaminated land is the fact that some regions may have elevated levels </w:t>
      </w:r>
      <w:r w:rsidR="00C143AD">
        <w:t xml:space="preserve">of </w:t>
      </w:r>
      <w:r>
        <w:t xml:space="preserve">substances due to the underlying natural geology which may or may not pose human health and/or environmental risk. In some instances, naturally occurring concentrations of a substance may exceed concentrations resulting from industrial uses. </w:t>
      </w:r>
    </w:p>
    <w:p w14:paraId="656B0404" w14:textId="77777777" w:rsidR="00CF0796" w:rsidRDefault="00CF0796" w:rsidP="00CF0796">
      <w:r>
        <w:t xml:space="preserve">Naturally occurring substances and minerals are highly variable, </w:t>
      </w:r>
      <w:r w:rsidR="00C143AD">
        <w:t>and determining</w:t>
      </w:r>
      <w:r>
        <w:t xml:space="preserve"> anthropogenic contamination can be </w:t>
      </w:r>
      <w:r w:rsidR="009B4EBE">
        <w:t xml:space="preserve">difficult </w:t>
      </w:r>
      <w:r>
        <w:t>even after multiple sampling and site assessments.</w:t>
      </w:r>
      <w:r>
        <w:rPr>
          <w:color w:val="FF0000"/>
        </w:rPr>
        <w:t xml:space="preserve"> </w:t>
      </w:r>
      <w:r>
        <w:t>For example, research conducted by RMIT University for the Victorian Background Soil Database indicates that naturally occurring arsenic concentrations in the Greater Melbourne, Ballarat, Geelong and Mitchell regions can vary from 0 to 1,200mg/kg of soil.</w:t>
      </w:r>
      <w:r>
        <w:rPr>
          <w:rStyle w:val="FootnoteReference"/>
        </w:rPr>
        <w:footnoteReference w:id="114"/>
      </w:r>
      <w:r>
        <w:t xml:space="preserve"> As indicated in </w:t>
      </w:r>
      <w:r w:rsidR="00DB5445">
        <w:t xml:space="preserve">the </w:t>
      </w:r>
      <w:r w:rsidR="001B4F51">
        <w:t>f</w:t>
      </w:r>
      <w:r>
        <w:t xml:space="preserve">igure </w:t>
      </w:r>
      <w:r w:rsidR="00DB5445">
        <w:t>below</w:t>
      </w:r>
      <w:r>
        <w:t>, over 450 locations have varying levels of Category C soil contamination</w:t>
      </w:r>
      <w:r w:rsidR="00B40D23">
        <w:t>,</w:t>
      </w:r>
      <w:r>
        <w:rPr>
          <w:rStyle w:val="FootnoteReference"/>
        </w:rPr>
        <w:footnoteReference w:id="115"/>
      </w:r>
      <w:r>
        <w:t xml:space="preserve"> with 50</w:t>
      </w:r>
      <w:r w:rsidR="000D3407">
        <w:t> </w:t>
      </w:r>
      <w:r>
        <w:t xml:space="preserve">locations above the NEPM </w:t>
      </w:r>
      <w:r w:rsidR="000D3407">
        <w:t>ASC</w:t>
      </w:r>
      <w:r>
        <w:t xml:space="preserve"> health investigation level for residential areas.</w:t>
      </w:r>
      <w:r>
        <w:rPr>
          <w:rStyle w:val="FootnoteReference"/>
        </w:rPr>
        <w:footnoteReference w:id="116"/>
      </w:r>
      <w:r>
        <w:t xml:space="preserve"> </w:t>
      </w:r>
      <w:r w:rsidR="009B4EBE">
        <w:t>Consultations</w:t>
      </w:r>
      <w:r>
        <w:t xml:space="preserve"> with contaminated land practitioners indicated that determining elevated contamination levels relative to background levels could </w:t>
      </w:r>
      <w:r w:rsidRPr="00040A06">
        <w:t xml:space="preserve">require an additional two to four site assessments in some regions in the </w:t>
      </w:r>
      <w:r>
        <w:t>absence of prescribed background levels</w:t>
      </w:r>
      <w:r w:rsidR="00DC7A63">
        <w:t xml:space="preserve">. </w:t>
      </w:r>
    </w:p>
    <w:p w14:paraId="656B0405" w14:textId="77777777" w:rsidR="00207186" w:rsidRPr="00207186" w:rsidRDefault="00CF0796" w:rsidP="00207186">
      <w:pPr>
        <w:pStyle w:val="Caption"/>
        <w:spacing w:after="0"/>
        <w:rPr>
          <w:iCs w:val="0"/>
        </w:rPr>
      </w:pPr>
      <w:r w:rsidRPr="00207186">
        <w:t xml:space="preserve">Figure </w:t>
      </w:r>
      <w:r w:rsidR="008C5D06">
        <w:rPr>
          <w:color w:val="2B579A"/>
          <w:shd w:val="clear" w:color="auto" w:fill="E6E6E6"/>
        </w:rPr>
        <w:fldChar w:fldCharType="begin"/>
      </w:r>
      <w:r w:rsidR="008C5D06">
        <w:instrText xml:space="preserve"> STYLEREF 1 \s </w:instrText>
      </w:r>
      <w:r w:rsidR="008C5D06">
        <w:rPr>
          <w:color w:val="2B579A"/>
          <w:shd w:val="clear" w:color="auto" w:fill="E6E6E6"/>
        </w:rPr>
        <w:fldChar w:fldCharType="separate"/>
      </w:r>
      <w:r w:rsidR="00B11C1E">
        <w:rPr>
          <w:noProof/>
        </w:rPr>
        <w:t>8</w:t>
      </w:r>
      <w:r w:rsidR="008C5D06">
        <w:rPr>
          <w:color w:val="2B579A"/>
          <w:shd w:val="clear" w:color="auto" w:fill="E6E6E6"/>
        </w:rPr>
        <w:fldChar w:fldCharType="end"/>
      </w:r>
      <w:r w:rsidR="008C5D06">
        <w:noBreakHyphen/>
      </w:r>
      <w:r w:rsidR="008C5D06">
        <w:rPr>
          <w:color w:val="2B579A"/>
          <w:shd w:val="clear" w:color="auto" w:fill="E6E6E6"/>
        </w:rPr>
        <w:fldChar w:fldCharType="begin"/>
      </w:r>
      <w:r w:rsidR="008C5D06">
        <w:instrText xml:space="preserve"> SEQ Figure \* ARABIC \s 1 </w:instrText>
      </w:r>
      <w:r w:rsidR="008C5D06">
        <w:rPr>
          <w:color w:val="2B579A"/>
          <w:shd w:val="clear" w:color="auto" w:fill="E6E6E6"/>
        </w:rPr>
        <w:fldChar w:fldCharType="separate"/>
      </w:r>
      <w:r w:rsidR="00B11C1E">
        <w:rPr>
          <w:noProof/>
        </w:rPr>
        <w:t>2</w:t>
      </w:r>
      <w:r w:rsidR="008C5D06">
        <w:rPr>
          <w:color w:val="2B579A"/>
          <w:shd w:val="clear" w:color="auto" w:fill="E6E6E6"/>
        </w:rPr>
        <w:fldChar w:fldCharType="end"/>
      </w:r>
      <w:r>
        <w:rPr>
          <w:iCs w:val="0"/>
        </w:rPr>
        <w:t xml:space="preserve"> Number of locations with various levels of naturally occurring arsenic concentrations in the Greater Melbourne, Ballarat, Geelong and Mitchell regions</w:t>
      </w:r>
    </w:p>
    <w:p w14:paraId="656B0406" w14:textId="77777777" w:rsidR="00CF0796" w:rsidRDefault="00CF0796" w:rsidP="00CF0796">
      <w:pPr>
        <w:spacing w:after="0"/>
      </w:pPr>
      <w:r>
        <w:rPr>
          <w:noProof/>
          <w:color w:val="2B579A"/>
          <w:shd w:val="clear" w:color="auto" w:fill="E6E6E6"/>
          <w:lang w:eastAsia="en-AU"/>
        </w:rPr>
        <w:drawing>
          <wp:inline distT="0" distB="0" distL="0" distR="0" wp14:anchorId="656B1EA8" wp14:editId="656B1EA9">
            <wp:extent cx="5916581" cy="2397600"/>
            <wp:effectExtent l="0" t="0" r="8255" b="3175"/>
            <wp:docPr id="1048826368" name="Picture 1048826368" descr="Arsenic concentrations an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rsenic concentrations and n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6303" cy="2401540"/>
                    </a:xfrm>
                    <a:prstGeom prst="rect">
                      <a:avLst/>
                    </a:prstGeom>
                    <a:noFill/>
                    <a:ln>
                      <a:noFill/>
                    </a:ln>
                  </pic:spPr>
                </pic:pic>
              </a:graphicData>
            </a:graphic>
          </wp:inline>
        </w:drawing>
      </w:r>
    </w:p>
    <w:p w14:paraId="656B0407" w14:textId="77777777" w:rsidR="00CF0796" w:rsidRDefault="00CF0796" w:rsidP="00CF0796">
      <w:pPr>
        <w:pStyle w:val="2Source"/>
      </w:pPr>
      <w:r>
        <w:t xml:space="preserve">Data from Mikkonen, H.G., Bentley, P.D., Barker, A.O., Dasika, R., Wallis, C.J., Clarke, B.O., Reichman, S.M., 2018. Victorian Background Soil Database, Version 1.0. RMIT University, Melbourne, Australia. </w:t>
      </w:r>
      <w:hyperlink r:id="rId47" w:history="1">
        <w:r>
          <w:rPr>
            <w:rStyle w:val="Hyperlink"/>
          </w:rPr>
          <w:t>http://doi.org/10.4225/61/5a3ae6d48570c</w:t>
        </w:r>
      </w:hyperlink>
    </w:p>
    <w:p w14:paraId="656B0408" w14:textId="77777777" w:rsidR="00CF0796" w:rsidRDefault="00CF0796" w:rsidP="00CF0796">
      <w:r>
        <w:t xml:space="preserve">Given the inherent uncertainty around the number, state and location of Victoria’s contaminated sites, it is not possible to estimate with any rigour the number of sites that will be captured by the </w:t>
      </w:r>
      <w:r w:rsidR="009D1A56">
        <w:t>‘</w:t>
      </w:r>
      <w:r>
        <w:t>notifiable contamination</w:t>
      </w:r>
      <w:r w:rsidR="009D1A56">
        <w:t>’</w:t>
      </w:r>
      <w:r>
        <w:t xml:space="preserve"> definition under the new EP legislation. Similarly, it is not possible to quantify with any precision the number of high-risk contaminated sites within Victoria. Many duty holders are likely unaware of the extent of contamination on their land and the potential remediation costs, and would need to engage an environmental consultant to undertake a site assessment and prepare a land management plan, including an estimate of the likely cost to manage and/or remediate the site.</w:t>
      </w:r>
    </w:p>
    <w:p w14:paraId="656B0409" w14:textId="77777777" w:rsidR="00CF0796" w:rsidRDefault="00CF0796" w:rsidP="00040A06">
      <w:r>
        <w:t xml:space="preserve">While it is not possible to reliably estimate the total number of duty holders likely to be captured by the existing notifiable contamination, </w:t>
      </w:r>
      <w:r w:rsidR="000D3407">
        <w:t xml:space="preserve">it is expected that a larger proportion of contaminated sites would meet the $50,000 threshold than may be warranted in terms of meeting the policy intent of the new duty, particularly in its first iteration. </w:t>
      </w:r>
      <w:r>
        <w:t xml:space="preserve">For </w:t>
      </w:r>
      <w:r w:rsidRPr="00C37A1A">
        <w:t xml:space="preserve">example, consultation </w:t>
      </w:r>
      <w:r>
        <w:t>with industry for this RIS</w:t>
      </w:r>
      <w:r w:rsidRPr="00C37A1A">
        <w:t xml:space="preserve"> indicates that disposal of soil with Category C contamination can cost approximately </w:t>
      </w:r>
      <w:r w:rsidRPr="00040A06">
        <w:t>$120</w:t>
      </w:r>
      <w:r w:rsidRPr="00C37A1A">
        <w:t xml:space="preserve"> per cubic metre. The disposal of </w:t>
      </w:r>
      <w:r w:rsidR="00CC70A2">
        <w:t>800</w:t>
      </w:r>
      <w:r w:rsidR="00CC70A2" w:rsidRPr="00040A06">
        <w:t xml:space="preserve"> </w:t>
      </w:r>
      <w:r w:rsidRPr="00040A06">
        <w:t xml:space="preserve">cubic metres (or approximately </w:t>
      </w:r>
      <w:r w:rsidR="00CC70A2">
        <w:t>1,2</w:t>
      </w:r>
      <w:r w:rsidR="00CC70A2" w:rsidRPr="00040A06">
        <w:t xml:space="preserve">00 </w:t>
      </w:r>
      <w:r w:rsidRPr="00040A06">
        <w:t>tonnes</w:t>
      </w:r>
      <w:r w:rsidR="00A87593">
        <w:t>, which is a relatively small volume of contaminated soil</w:t>
      </w:r>
      <w:r w:rsidRPr="00C37A1A">
        <w:t>)</w:t>
      </w:r>
      <w:r w:rsidR="00A87593">
        <w:t xml:space="preserve">, </w:t>
      </w:r>
      <w:r w:rsidRPr="00C37A1A">
        <w:t xml:space="preserve">would result in land remediation costs of </w:t>
      </w:r>
      <w:r w:rsidR="00CC70A2">
        <w:t>almost $100,000</w:t>
      </w:r>
      <w:r w:rsidRPr="00C37A1A">
        <w:t xml:space="preserve">, </w:t>
      </w:r>
      <w:r w:rsidR="0031554A">
        <w:t>in addition to</w:t>
      </w:r>
      <w:r w:rsidR="0031554A" w:rsidRPr="00C37A1A">
        <w:t xml:space="preserve"> </w:t>
      </w:r>
      <w:r w:rsidRPr="00C37A1A">
        <w:t>costs to extract and replace the soil, other site testing and assessment</w:t>
      </w:r>
      <w:r>
        <w:t xml:space="preserve"> activities and related consultancy fees. However, if the contamination was in an area restricted to </w:t>
      </w:r>
      <w:r w:rsidR="00B40D23">
        <w:t xml:space="preserve">the </w:t>
      </w:r>
      <w:r>
        <w:t xml:space="preserve">general public and soil contaminant was contained underground and not migrating, then the </w:t>
      </w:r>
      <w:r w:rsidR="00274DED">
        <w:t>risk to human health</w:t>
      </w:r>
      <w:r>
        <w:t xml:space="preserve"> would potentially be negligible</w:t>
      </w:r>
      <w:r w:rsidR="00C210B0">
        <w:t>. C</w:t>
      </w:r>
      <w:r w:rsidR="00CC70A2">
        <w:t>ompliance with the duty to manage contaminat</w:t>
      </w:r>
      <w:r w:rsidR="009D1A56">
        <w:t>ed land</w:t>
      </w:r>
      <w:r w:rsidR="00CC70A2">
        <w:t xml:space="preserve"> would be suitably protective without requiring EPA’s direct involvement</w:t>
      </w:r>
      <w:r w:rsidR="009D1A56">
        <w:t xml:space="preserve"> through a notification</w:t>
      </w:r>
      <w:r>
        <w:t>.</w:t>
      </w:r>
    </w:p>
    <w:p w14:paraId="656B040A" w14:textId="77777777" w:rsidR="00CF0796" w:rsidRDefault="00CF0796" w:rsidP="00700983">
      <w:pPr>
        <w:pStyle w:val="Heading3"/>
        <w:ind w:left="720"/>
      </w:pPr>
      <w:r>
        <w:t>Harms</w:t>
      </w:r>
    </w:p>
    <w:p w14:paraId="656B040B" w14:textId="77777777" w:rsidR="00CF0796" w:rsidRDefault="00CF0796" w:rsidP="00040A06">
      <w:pPr>
        <w:mirrorIndents/>
        <w:rPr>
          <w:rFonts w:cs="Segoe UI Light"/>
          <w:szCs w:val="20"/>
        </w:rPr>
      </w:pPr>
      <w:r>
        <w:rPr>
          <w:rFonts w:cs="Segoe UI Light"/>
          <w:szCs w:val="20"/>
        </w:rPr>
        <w:t xml:space="preserve">Contaminated sites can pose </w:t>
      </w:r>
      <w:r w:rsidR="00E06DB6">
        <w:rPr>
          <w:rFonts w:cs="Segoe UI Light"/>
          <w:szCs w:val="20"/>
        </w:rPr>
        <w:t xml:space="preserve">both </w:t>
      </w:r>
      <w:r>
        <w:rPr>
          <w:rFonts w:cs="Segoe UI Light"/>
          <w:szCs w:val="20"/>
        </w:rPr>
        <w:t>immediate or longer-term risks to human health and/or the environment</w:t>
      </w:r>
      <w:r w:rsidR="00E06DB6">
        <w:rPr>
          <w:rFonts w:cs="Segoe UI Light"/>
          <w:szCs w:val="20"/>
        </w:rPr>
        <w:t>. This can</w:t>
      </w:r>
      <w:r>
        <w:rPr>
          <w:rFonts w:cs="Segoe UI Light"/>
          <w:szCs w:val="20"/>
        </w:rPr>
        <w:t xml:space="preserve"> depend on the nature and extent of the contamination, how the site is used and the potential exposure pathways</w:t>
      </w:r>
      <w:r w:rsidR="00DC7A63">
        <w:rPr>
          <w:rFonts w:cs="Segoe UI Light"/>
          <w:szCs w:val="20"/>
        </w:rPr>
        <w:t xml:space="preserve">. </w:t>
      </w:r>
    </w:p>
    <w:p w14:paraId="656B040C" w14:textId="77777777" w:rsidR="00CF0796" w:rsidRDefault="00CF0796" w:rsidP="00040A06">
      <w:pPr>
        <w:mirrorIndents/>
        <w:rPr>
          <w:rFonts w:cs="Segoe UI Light"/>
          <w:szCs w:val="20"/>
        </w:rPr>
      </w:pPr>
      <w:r>
        <w:rPr>
          <w:rFonts w:cs="Segoe UI Light"/>
          <w:szCs w:val="20"/>
        </w:rPr>
        <w:t>Contaminated sites that pose an imminent risk have concentrations of contaminants that may endanger human health and the environment unless immediate attention is undertaken. Sites may also pose a long-term risk to human health or the environment if they contain levels of contaminants where exposure over a long period is known to result in a risk.</w:t>
      </w:r>
      <w:r>
        <w:rPr>
          <w:rStyle w:val="FootnoteReference"/>
          <w:rFonts w:cs="Segoe UI Light"/>
          <w:szCs w:val="20"/>
        </w:rPr>
        <w:footnoteReference w:id="117"/>
      </w:r>
    </w:p>
    <w:p w14:paraId="656B040D" w14:textId="77777777" w:rsidR="00CF0796" w:rsidRDefault="00B40D23" w:rsidP="00040A06">
      <w:pPr>
        <w:mirrorIndents/>
        <w:rPr>
          <w:rFonts w:cs="Segoe UI Light"/>
          <w:szCs w:val="20"/>
        </w:rPr>
      </w:pPr>
      <w:r>
        <w:rPr>
          <w:rFonts w:cs="Segoe UI Light"/>
          <w:szCs w:val="20"/>
        </w:rPr>
        <w:t>VAGO</w:t>
      </w:r>
      <w:r w:rsidR="00CF0796">
        <w:rPr>
          <w:rFonts w:cs="Segoe UI Light"/>
          <w:szCs w:val="20"/>
        </w:rPr>
        <w:t xml:space="preserve"> notes that the human health risks from contaminated land cover </w:t>
      </w:r>
      <w:r w:rsidR="009048BE">
        <w:rPr>
          <w:rFonts w:cs="Segoe UI Light"/>
          <w:szCs w:val="20"/>
        </w:rPr>
        <w:t>a wide</w:t>
      </w:r>
      <w:r w:rsidR="00CF0796">
        <w:rPr>
          <w:rFonts w:cs="Segoe UI Light"/>
          <w:szCs w:val="20"/>
        </w:rPr>
        <w:t xml:space="preserve"> range from minor health problems, such as allergic reactions and hypersensitivity, to serious health problems, such as respiratory illness, reproductive problems, cancer and birth defects.</w:t>
      </w:r>
      <w:r w:rsidR="00CF0796">
        <w:rPr>
          <w:rStyle w:val="FootnoteReference"/>
          <w:rFonts w:cs="Segoe UI Light"/>
          <w:szCs w:val="20"/>
        </w:rPr>
        <w:footnoteReference w:id="118"/>
      </w:r>
      <w:r w:rsidR="00CF0796">
        <w:rPr>
          <w:rFonts w:cs="Segoe UI Light"/>
          <w:szCs w:val="20"/>
        </w:rPr>
        <w:t xml:space="preserve"> The risks to human health largely depend on the contaminant and its concentration, the exposure pathway, the level of exposure, and the vulnerability of the exposed population. </w:t>
      </w:r>
    </w:p>
    <w:p w14:paraId="656B040E" w14:textId="77777777" w:rsidR="00CF0796" w:rsidRDefault="00CF0796" w:rsidP="00040A06">
      <w:pPr>
        <w:autoSpaceDE w:val="0"/>
        <w:autoSpaceDN w:val="0"/>
        <w:adjustRightInd w:val="0"/>
        <w:spacing w:line="240" w:lineRule="auto"/>
      </w:pPr>
      <w:r>
        <w:rPr>
          <w:rFonts w:cs="Segoe UI Light"/>
          <w:szCs w:val="20"/>
        </w:rPr>
        <w:t>Harms to the environment generally result from contaminants leaching into the soil, ground</w:t>
      </w:r>
      <w:r w:rsidR="00625A65">
        <w:rPr>
          <w:rFonts w:cs="Segoe UI Light"/>
          <w:szCs w:val="20"/>
        </w:rPr>
        <w:t>water</w:t>
      </w:r>
      <w:r>
        <w:rPr>
          <w:rFonts w:cs="Segoe UI Light"/>
          <w:szCs w:val="20"/>
        </w:rPr>
        <w:t xml:space="preserve"> and surface water, leading to the degradation of soil, water and air quality and affect the potential range of uses of the site. For example, contamination of soil may inhibit or prevent vegetation growth, destroy crops, and increase risks of erosion. As </w:t>
      </w:r>
      <w:r w:rsidR="004E69D3">
        <w:rPr>
          <w:rFonts w:cs="Segoe UI Light"/>
          <w:szCs w:val="20"/>
        </w:rPr>
        <w:t>noted</w:t>
      </w:r>
      <w:r w:rsidDel="004E69D3">
        <w:rPr>
          <w:rFonts w:cs="Segoe UI Light"/>
          <w:szCs w:val="20"/>
        </w:rPr>
        <w:t xml:space="preserve"> </w:t>
      </w:r>
      <w:r>
        <w:rPr>
          <w:rFonts w:cs="Segoe UI Light"/>
          <w:szCs w:val="20"/>
        </w:rPr>
        <w:t xml:space="preserve">above, NAPL contamination can pose a high risk to human health and environment. High risk NAPL substances such as hydrocarbons (i.e. liquid fuels) can cause harm to organisms through vapour inhalation, ingestion of contaminated water and contact to skin. </w:t>
      </w:r>
      <w:r>
        <w:t>Depending on the type and</w:t>
      </w:r>
      <w:r>
        <w:rPr>
          <w:rFonts w:cs="Segoe UI Light"/>
          <w:szCs w:val="20"/>
        </w:rPr>
        <w:t xml:space="preserve"> level of exposure, hydrocarbons can cause a range of issues, including dermatosis, skin cancer and poisoning through inhalation. </w:t>
      </w:r>
      <w:r>
        <w:t xml:space="preserve">Chronic exposition may cause weariness, headache, blood production malfunction and irritation to eyes and lungs. Chronic exposure of skin might lead to degeneration of liver, kidneys and spleen. </w:t>
      </w:r>
      <w:r>
        <w:rPr>
          <w:rFonts w:cs="Segoe UI Light"/>
          <w:szCs w:val="20"/>
        </w:rPr>
        <w:t>Fuels such as benzene can also lead to cancer. Liquid fuels are also toxic to the ecosystem, particularly fish and invertebrates.</w:t>
      </w:r>
      <w:r>
        <w:rPr>
          <w:rStyle w:val="FootnoteReference"/>
          <w:rFonts w:cs="Segoe UI Light"/>
          <w:szCs w:val="20"/>
        </w:rPr>
        <w:footnoteReference w:id="119"/>
      </w:r>
      <w:r>
        <w:rPr>
          <w:rFonts w:cs="Segoe UI Light"/>
          <w:szCs w:val="20"/>
        </w:rPr>
        <w:t xml:space="preserve"> Accumulation of vapours from </w:t>
      </w:r>
      <w:r w:rsidR="004E51A5">
        <w:rPr>
          <w:rFonts w:cs="Segoe UI Light"/>
          <w:szCs w:val="20"/>
        </w:rPr>
        <w:t xml:space="preserve">some forms of NAPL </w:t>
      </w:r>
      <w:r>
        <w:rPr>
          <w:rFonts w:cs="Segoe UI Light"/>
          <w:szCs w:val="20"/>
        </w:rPr>
        <w:t>may also pose an explosion risk.</w:t>
      </w:r>
      <w:r>
        <w:rPr>
          <w:rStyle w:val="FootnoteReference"/>
          <w:rFonts w:cs="Segoe UI Light"/>
          <w:szCs w:val="20"/>
        </w:rPr>
        <w:footnoteReference w:id="120"/>
      </w:r>
    </w:p>
    <w:p w14:paraId="656B040F" w14:textId="77777777" w:rsidR="00CF0796" w:rsidRPr="0077266D" w:rsidRDefault="00CF0796" w:rsidP="00CF0796">
      <w:pPr>
        <w:mirrorIndents/>
        <w:rPr>
          <w:rFonts w:cs="Segoe UI Light"/>
          <w:szCs w:val="20"/>
        </w:rPr>
      </w:pPr>
      <w:r w:rsidRPr="00906C8E">
        <w:rPr>
          <w:rFonts w:cs="Segoe UI Light"/>
          <w:szCs w:val="20"/>
        </w:rPr>
        <w:t>Furthermore, c</w:t>
      </w:r>
      <w:r w:rsidRPr="002E07EA">
        <w:rPr>
          <w:rFonts w:cs="Segoe UI Light"/>
          <w:szCs w:val="20"/>
        </w:rPr>
        <w:t>ontamination of groundwater can prevent it from being used for drinking, irrigation or stock supplies</w:t>
      </w:r>
      <w:r>
        <w:rPr>
          <w:rFonts w:cs="Segoe UI Light"/>
          <w:szCs w:val="20"/>
        </w:rPr>
        <w:t xml:space="preserve">, or </w:t>
      </w:r>
      <w:r>
        <w:t>may present a risk of vapour intrusion into buildings.</w:t>
      </w:r>
      <w:r>
        <w:rPr>
          <w:rFonts w:cs="Segoe UI Light"/>
          <w:szCs w:val="20"/>
        </w:rPr>
        <w:t xml:space="preserve"> C</w:t>
      </w:r>
      <w:r w:rsidRPr="00906C8E">
        <w:rPr>
          <w:rFonts w:cs="Segoe UI Light"/>
          <w:szCs w:val="20"/>
        </w:rPr>
        <w:t xml:space="preserve">ontamination of soil </w:t>
      </w:r>
      <w:r w:rsidRPr="002E07EA">
        <w:rPr>
          <w:rFonts w:cs="Segoe UI Light"/>
          <w:szCs w:val="20"/>
        </w:rPr>
        <w:t>can result in odours making recreational areas unusable, or de</w:t>
      </w:r>
      <w:r w:rsidRPr="00305EA6">
        <w:rPr>
          <w:rFonts w:cs="Segoe UI Light"/>
          <w:szCs w:val="20"/>
        </w:rPr>
        <w:t>grade the aesthetic values of an area (for example, by destroying native vegetation).</w:t>
      </w:r>
    </w:p>
    <w:p w14:paraId="656B0410" w14:textId="77777777" w:rsidR="00CF0796" w:rsidRDefault="00CF0796" w:rsidP="00700983">
      <w:pPr>
        <w:pStyle w:val="Heading3"/>
        <w:ind w:left="720"/>
      </w:pPr>
      <w:bookmarkStart w:id="619" w:name="_Ref7527729"/>
      <w:r>
        <w:t>Costs</w:t>
      </w:r>
      <w:bookmarkEnd w:id="619"/>
    </w:p>
    <w:p w14:paraId="656B0411" w14:textId="77777777" w:rsidR="00CF0796" w:rsidRDefault="00CF0796" w:rsidP="00CF0796">
      <w:pPr>
        <w:spacing w:after="0"/>
        <w:rPr>
          <w:rFonts w:cs="Segoe UI Light"/>
          <w:szCs w:val="20"/>
        </w:rPr>
      </w:pPr>
      <w:r>
        <w:rPr>
          <w:rFonts w:cs="Segoe UI Light"/>
          <w:szCs w:val="20"/>
        </w:rPr>
        <w:t>The presence, and management, of land contamination can result in a range of short- and longer-term financial and economic costs, including:</w:t>
      </w:r>
    </w:p>
    <w:p w14:paraId="656B0412" w14:textId="77777777" w:rsidR="00D07001" w:rsidRPr="00D07001" w:rsidRDefault="00014F56" w:rsidP="00D07001">
      <w:pPr>
        <w:pStyle w:val="Bullet1"/>
        <w:numPr>
          <w:ilvl w:val="0"/>
          <w:numId w:val="26"/>
        </w:numPr>
        <w:tabs>
          <w:tab w:val="left" w:pos="720"/>
        </w:tabs>
        <w:rPr>
          <w:color w:val="FF0000"/>
        </w:rPr>
      </w:pPr>
      <w:r>
        <w:t>D</w:t>
      </w:r>
      <w:r w:rsidR="00CF0796">
        <w:t xml:space="preserve">irect financial costs associated with the assessment, management and remediation (including clean-up and disposal of contaminants) of sites to ensure land that was contaminated by past activities is safe and suitable for a proposed new use  </w:t>
      </w:r>
      <w:r w:rsidR="00CF0796">
        <w:rPr>
          <w:color w:val="FF0000"/>
        </w:rPr>
        <w:t xml:space="preserve"> </w:t>
      </w:r>
    </w:p>
    <w:p w14:paraId="656B0413" w14:textId="77777777" w:rsidR="00CF0796" w:rsidRDefault="00014F56" w:rsidP="004A2442">
      <w:pPr>
        <w:pStyle w:val="Bullet1"/>
        <w:numPr>
          <w:ilvl w:val="0"/>
          <w:numId w:val="26"/>
        </w:numPr>
        <w:tabs>
          <w:tab w:val="left" w:pos="720"/>
        </w:tabs>
      </w:pPr>
      <w:r>
        <w:t>D</w:t>
      </w:r>
      <w:r w:rsidR="00CF0796">
        <w:t>irect healthcare system costs associated with the treatment of adverse human health outcomes attributed to the exposure of contaminates in soil and ground and surface waters</w:t>
      </w:r>
    </w:p>
    <w:p w14:paraId="656B0414" w14:textId="77777777" w:rsidR="00CF0796" w:rsidRDefault="00014F56" w:rsidP="004A2442">
      <w:pPr>
        <w:pStyle w:val="Bullet1"/>
        <w:numPr>
          <w:ilvl w:val="0"/>
          <w:numId w:val="26"/>
        </w:numPr>
        <w:tabs>
          <w:tab w:val="left" w:pos="720"/>
        </w:tabs>
      </w:pPr>
      <w:r>
        <w:t>C</w:t>
      </w:r>
      <w:r w:rsidR="00CF0796">
        <w:t>osts to the economy in the form of lost productivity from illnesses related to exposure of contaminants</w:t>
      </w:r>
    </w:p>
    <w:p w14:paraId="656B0415" w14:textId="77777777" w:rsidR="00CF0796" w:rsidRDefault="00014F56" w:rsidP="004A2442">
      <w:pPr>
        <w:pStyle w:val="Bullet1"/>
        <w:numPr>
          <w:ilvl w:val="0"/>
          <w:numId w:val="26"/>
        </w:numPr>
        <w:tabs>
          <w:tab w:val="left" w:pos="720"/>
        </w:tabs>
      </w:pPr>
      <w:r>
        <w:t>C</w:t>
      </w:r>
      <w:r w:rsidR="00CF0796">
        <w:t xml:space="preserve">osts to the economy in the form of reduced productivity from loss of productive agricultural and industrial land </w:t>
      </w:r>
    </w:p>
    <w:p w14:paraId="656B0416" w14:textId="77777777" w:rsidR="00CF0796" w:rsidRDefault="00014F56" w:rsidP="004A2442">
      <w:pPr>
        <w:pStyle w:val="Bullet1"/>
        <w:numPr>
          <w:ilvl w:val="0"/>
          <w:numId w:val="26"/>
        </w:numPr>
        <w:tabs>
          <w:tab w:val="left" w:pos="720"/>
        </w:tabs>
      </w:pPr>
      <w:r>
        <w:t>R</w:t>
      </w:r>
      <w:r w:rsidR="00CF0796">
        <w:t>educed land values for sites exposed to contamination or located adjacent to contaminated sites</w:t>
      </w:r>
    </w:p>
    <w:p w14:paraId="656B0417" w14:textId="77777777" w:rsidR="00CF0796" w:rsidRDefault="00014F56" w:rsidP="004A2442">
      <w:pPr>
        <w:pStyle w:val="Bullet1"/>
        <w:numPr>
          <w:ilvl w:val="0"/>
          <w:numId w:val="26"/>
        </w:numPr>
        <w:tabs>
          <w:tab w:val="left" w:pos="720"/>
        </w:tabs>
      </w:pPr>
      <w:r>
        <w:t>L</w:t>
      </w:r>
      <w:r w:rsidR="00CF0796">
        <w:t xml:space="preserve">oss and degradation of recreational areas affected by contamination </w:t>
      </w:r>
    </w:p>
    <w:p w14:paraId="656B0418" w14:textId="77777777" w:rsidR="00CF0796" w:rsidRDefault="00014F56" w:rsidP="004A2442">
      <w:pPr>
        <w:pStyle w:val="Bullet1"/>
        <w:numPr>
          <w:ilvl w:val="0"/>
          <w:numId w:val="26"/>
        </w:numPr>
        <w:tabs>
          <w:tab w:val="left" w:pos="720"/>
        </w:tabs>
      </w:pPr>
      <w:r>
        <w:t>E</w:t>
      </w:r>
      <w:r w:rsidR="00CF0796">
        <w:t xml:space="preserve">cological costs and degradation of natural ecosystems from </w:t>
      </w:r>
      <w:r w:rsidR="00CF0796" w:rsidRPr="00394031">
        <w:t xml:space="preserve">discharge of contamination into </w:t>
      </w:r>
      <w:r w:rsidR="00CF0796">
        <w:t xml:space="preserve">soil and ground and </w:t>
      </w:r>
      <w:r w:rsidR="00CF0796" w:rsidRPr="00394031">
        <w:t>surface waters</w:t>
      </w:r>
      <w:r w:rsidR="00DC7A63">
        <w:t xml:space="preserve">. </w:t>
      </w:r>
    </w:p>
    <w:p w14:paraId="656B0419" w14:textId="77777777" w:rsidR="00CF0796" w:rsidRDefault="00CF0796" w:rsidP="00CF0796">
      <w:r>
        <w:t xml:space="preserve">The nature and extent of contamination and the associated risks and exposure pathways are unique to each site. Correspondingly, the mitigation and management response (and associated costs) are specific to each site and the specific waste and chemical substances present. In the absence of a detailed </w:t>
      </w:r>
      <w:r w:rsidR="00C657D3">
        <w:t xml:space="preserve">audit of </w:t>
      </w:r>
      <w:r>
        <w:t xml:space="preserve">state-wide land contamination, it is not possible to reliably quantify the annual costs to Victoria from land contamination. </w:t>
      </w:r>
    </w:p>
    <w:p w14:paraId="656B041A" w14:textId="77777777" w:rsidR="00CF0796" w:rsidRDefault="00CF0796" w:rsidP="00CF0796">
      <w:r>
        <w:t>Direct costs to sample and assess land contamination varies significantly based on the local geological characteristics of soil or water and contaminants tested. Interviews with contaminated land experts indicate that consultancy fees for a high-level site assessment can range from appro</w:t>
      </w:r>
      <w:r w:rsidRPr="00C37A1A">
        <w:t>ximately $</w:t>
      </w:r>
      <w:r w:rsidRPr="00040A06">
        <w:t>5,000 to $30,000</w:t>
      </w:r>
      <w:r w:rsidRPr="00C37A1A">
        <w:t>, while a more complex assessment such as</w:t>
      </w:r>
      <w:r w:rsidR="00F0215F">
        <w:t xml:space="preserve"> a</w:t>
      </w:r>
      <w:r w:rsidRPr="00C37A1A">
        <w:t xml:space="preserve"> groundwater assessment cost</w:t>
      </w:r>
      <w:r w:rsidR="00B40D23">
        <w:t>s</w:t>
      </w:r>
      <w:r w:rsidRPr="00C37A1A">
        <w:t xml:space="preserve"> approximately </w:t>
      </w:r>
      <w:r w:rsidRPr="00040A06">
        <w:t>$50,000</w:t>
      </w:r>
      <w:r w:rsidRPr="008B5F0B">
        <w:t>.</w:t>
      </w:r>
      <w:r>
        <w:t xml:space="preserve"> </w:t>
      </w:r>
    </w:p>
    <w:p w14:paraId="656B041B" w14:textId="77777777" w:rsidR="00CF0796" w:rsidRDefault="00CF0796" w:rsidP="00CF0796">
      <w:r>
        <w:t>Limited data exists on costs such as healthcare costs associated with exposure to contaminated land or water, impacts of contamination on land values, reduced value of natural ecosystems or loss of recreational areas. The cost</w:t>
      </w:r>
      <w:r w:rsidR="00003564">
        <w:t>s</w:t>
      </w:r>
      <w:r>
        <w:t xml:space="preserve"> of managing and remediating contaminated land are typically borne by private duty holders, and </w:t>
      </w:r>
      <w:r w:rsidR="00B40D23">
        <w:t xml:space="preserve">are </w:t>
      </w:r>
      <w:r>
        <w:t>therefore not well known to government. However, while there is no broad scale data on the cost to the Victorian community from contaminated land, there are a range of high-profile cases that demonstrate the management and remediation costs can be significant where contamination needs to be managed. In considering these costs, it is important to note that as the new EP legislation is expected to address most of the overarching problem</w:t>
      </w:r>
      <w:r w:rsidR="00EB6E42">
        <w:t>s</w:t>
      </w:r>
      <w:r>
        <w:t xml:space="preserve"> for contaminated land, the costs of the residual problem will be significantly smaller than the costs of the overarching contamination problem. Examples of management and remediation costs include:</w:t>
      </w:r>
    </w:p>
    <w:p w14:paraId="656B041C" w14:textId="77777777" w:rsidR="00CF0796" w:rsidRDefault="00CF0796" w:rsidP="004A2442">
      <w:pPr>
        <w:pStyle w:val="Bullet1"/>
        <w:numPr>
          <w:ilvl w:val="0"/>
          <w:numId w:val="26"/>
        </w:numPr>
        <w:tabs>
          <w:tab w:val="left" w:pos="720"/>
        </w:tabs>
      </w:pPr>
      <w:r>
        <w:t>EPA spent approximately $2 million cleaning up four high-risk residential sites contaminated by foundry waste left in an old quarry within the City of Maribyrnong.</w:t>
      </w:r>
      <w:r>
        <w:rPr>
          <w:rStyle w:val="FootnoteReference"/>
        </w:rPr>
        <w:footnoteReference w:id="121"/>
      </w:r>
    </w:p>
    <w:p w14:paraId="656B041D" w14:textId="77777777" w:rsidR="00CF0796" w:rsidRDefault="00CF0796" w:rsidP="004A2442">
      <w:pPr>
        <w:pStyle w:val="Bullet1"/>
        <w:numPr>
          <w:ilvl w:val="0"/>
          <w:numId w:val="26"/>
        </w:numPr>
        <w:tabs>
          <w:tab w:val="left" w:pos="720"/>
        </w:tabs>
      </w:pPr>
      <w:r>
        <w:t>EPA was required to spend approximately $6.6 million on the remediation of two sites within the City of Maribyrnong and City of Brimbank.</w:t>
      </w:r>
      <w:r>
        <w:rPr>
          <w:rStyle w:val="FootnoteReference"/>
        </w:rPr>
        <w:footnoteReference w:id="122"/>
      </w:r>
    </w:p>
    <w:p w14:paraId="656B041E" w14:textId="77777777" w:rsidR="00CF0796" w:rsidRDefault="00CF0796" w:rsidP="004A2442">
      <w:pPr>
        <w:pStyle w:val="Bullet1"/>
        <w:numPr>
          <w:ilvl w:val="0"/>
          <w:numId w:val="26"/>
        </w:numPr>
        <w:tabs>
          <w:tab w:val="left" w:pos="720"/>
        </w:tabs>
      </w:pPr>
      <w:r>
        <w:t>Maribyrnong City Council has spent approximately $1 million annually for several years to manage a high-risk contaminated site.</w:t>
      </w:r>
      <w:r>
        <w:rPr>
          <w:rStyle w:val="FootnoteReference"/>
        </w:rPr>
        <w:footnoteReference w:id="123"/>
      </w:r>
      <w:r>
        <w:t xml:space="preserve"> </w:t>
      </w:r>
    </w:p>
    <w:p w14:paraId="656B041F" w14:textId="77777777" w:rsidR="00CF0796" w:rsidRPr="005B5305" w:rsidRDefault="00CF0796" w:rsidP="004A2442">
      <w:pPr>
        <w:pStyle w:val="Bullet1"/>
        <w:numPr>
          <w:ilvl w:val="0"/>
          <w:numId w:val="26"/>
        </w:numPr>
        <w:tabs>
          <w:tab w:val="left" w:pos="720"/>
        </w:tabs>
        <w:rPr>
          <w:rFonts w:cs="Segoe UI Light"/>
          <w:szCs w:val="20"/>
        </w:rPr>
      </w:pPr>
      <w:r w:rsidRPr="00040A06">
        <w:t xml:space="preserve">EPA </w:t>
      </w:r>
      <w:r w:rsidRPr="00040A06">
        <w:rPr>
          <w:rFonts w:cs="Segoe UI Light"/>
          <w:szCs w:val="20"/>
        </w:rPr>
        <w:t xml:space="preserve">analysis of 49 environmental audits involving groundwater contamination found that an average of $1.8 million (representing total remediation costs) was spent </w:t>
      </w:r>
      <w:r w:rsidR="008037FF">
        <w:rPr>
          <w:rFonts w:cs="Segoe UI Light"/>
          <w:szCs w:val="20"/>
        </w:rPr>
        <w:t>by each site proponent</w:t>
      </w:r>
      <w:r w:rsidRPr="00040A06">
        <w:rPr>
          <w:rFonts w:cs="Segoe UI Light"/>
          <w:szCs w:val="20"/>
        </w:rPr>
        <w:t>.</w:t>
      </w:r>
      <w:r w:rsidRPr="00040A06">
        <w:rPr>
          <w:rStyle w:val="FootnoteReference"/>
          <w:rFonts w:cs="Segoe UI Light"/>
          <w:szCs w:val="20"/>
        </w:rPr>
        <w:footnoteReference w:id="124"/>
      </w:r>
    </w:p>
    <w:p w14:paraId="656B0420" w14:textId="77777777" w:rsidR="00CF0796" w:rsidRDefault="00CF0796" w:rsidP="004A2442">
      <w:pPr>
        <w:pStyle w:val="Bullet1"/>
        <w:numPr>
          <w:ilvl w:val="0"/>
          <w:numId w:val="26"/>
        </w:numPr>
        <w:tabs>
          <w:tab w:val="left" w:pos="720"/>
        </w:tabs>
      </w:pPr>
      <w:r>
        <w:t>Brimbank City Council was required to spen</w:t>
      </w:r>
      <w:r w:rsidR="005E035A">
        <w:t>d</w:t>
      </w:r>
      <w:r>
        <w:t xml:space="preserve"> approximately $2.6 million over the course of three years to clean up a single high-risk site, and a further $5 million since 1997 on another high-risk site.</w:t>
      </w:r>
      <w:r>
        <w:rPr>
          <w:vertAlign w:val="superscript"/>
        </w:rPr>
        <w:footnoteReference w:id="125"/>
      </w:r>
    </w:p>
    <w:p w14:paraId="656B0421" w14:textId="77777777" w:rsidR="00CF0796" w:rsidRDefault="00CF0796" w:rsidP="004A2442">
      <w:pPr>
        <w:pStyle w:val="Bullet1"/>
        <w:numPr>
          <w:ilvl w:val="0"/>
          <w:numId w:val="26"/>
        </w:numPr>
        <w:tabs>
          <w:tab w:val="left" w:pos="720"/>
        </w:tabs>
      </w:pPr>
      <w:r>
        <w:t xml:space="preserve">The leaking of methane from a nearby landfill into the Brookland Greens housing estate in Cranbourne resulted in significant clean-up, remediation and legal costs for </w:t>
      </w:r>
      <w:r w:rsidR="00693407">
        <w:t xml:space="preserve">City of </w:t>
      </w:r>
      <w:r>
        <w:t xml:space="preserve">Casey and </w:t>
      </w:r>
      <w:r w:rsidR="000514DD">
        <w:t>EPA</w:t>
      </w:r>
      <w:r>
        <w:t xml:space="preserve">. In 2008-09 alone, the </w:t>
      </w:r>
      <w:r w:rsidR="00693407">
        <w:t>c</w:t>
      </w:r>
      <w:r>
        <w:t>ouncil committed approximately $21 million to a range of clean-up and remediation measures aimed at mitigating the risk of the landfill gas leak. In addition, the landfill gas leak led to a class action suit against the City of Casey and EPA at a cost of $23.5 million.</w:t>
      </w:r>
      <w:r>
        <w:rPr>
          <w:vertAlign w:val="superscript"/>
        </w:rPr>
        <w:footnoteReference w:id="126"/>
      </w:r>
      <w:r>
        <w:t xml:space="preserve"> In the long term, the total cost of rehabilitating the landfill is expected to exceed $100 million.</w:t>
      </w:r>
      <w:r w:rsidR="008037FF">
        <w:t xml:space="preserve"> </w:t>
      </w:r>
      <w:r w:rsidR="00F0474C">
        <w:t>The methane leak may have been avoided by the construction of a landfill liner at an estimate cost of $500,000 in 1992.</w:t>
      </w:r>
      <w:r>
        <w:rPr>
          <w:vertAlign w:val="superscript"/>
        </w:rPr>
        <w:footnoteReference w:id="127"/>
      </w:r>
      <w:r>
        <w:t xml:space="preserve"> </w:t>
      </w:r>
    </w:p>
    <w:p w14:paraId="656B0422" w14:textId="77777777" w:rsidR="00CF0796" w:rsidRDefault="00CF0796" w:rsidP="004A2442">
      <w:pPr>
        <w:pStyle w:val="Bullet1"/>
        <w:numPr>
          <w:ilvl w:val="0"/>
          <w:numId w:val="26"/>
        </w:numPr>
        <w:tabs>
          <w:tab w:val="left" w:pos="720"/>
        </w:tabs>
      </w:pPr>
      <w:r>
        <w:t xml:space="preserve">In the late 1980s, severely contaminated soil was discovered when a former battery factory at Ardeer was redeveloped for residential purposes. This discovery resulted in the abandonment of new </w:t>
      </w:r>
      <w:r w:rsidR="00794C97">
        <w:t xml:space="preserve">and partially built </w:t>
      </w:r>
      <w:r>
        <w:t xml:space="preserve">homes and relocation of residents, generating </w:t>
      </w:r>
      <w:r w:rsidR="00D4452B">
        <w:t>a significant</w:t>
      </w:r>
      <w:r>
        <w:t xml:space="preserve"> social and emotional cost to the local community and a financial cost to the State Government of several million dollars. As a direct result, the Government introduced legislative measures</w:t>
      </w:r>
      <w:r w:rsidR="00003564">
        <w:t>, such as the environmental audit system,</w:t>
      </w:r>
      <w:r>
        <w:t xml:space="preserve"> into both the planning and environment protection frameworks to prevent a recurrence of this type of incident. </w:t>
      </w:r>
    </w:p>
    <w:p w14:paraId="656B0423" w14:textId="77777777" w:rsidR="00CF0796" w:rsidRDefault="00CF0796" w:rsidP="00CF0796">
      <w:r>
        <w:t xml:space="preserve">The examples provided are where the clean-up is undertaken and </w:t>
      </w:r>
      <w:r w:rsidR="00003564">
        <w:t xml:space="preserve">funded </w:t>
      </w:r>
      <w:r>
        <w:t xml:space="preserve">by government. These examples are likely to be at the higher end of the scale of clean-up costs required because they were high risk sites requiring government intervention. Investigating and cleaning up contaminated sites is, in most cases, the responsibility of the polluter or current site owner. </w:t>
      </w:r>
    </w:p>
    <w:p w14:paraId="656B0424" w14:textId="77777777" w:rsidR="0073725F" w:rsidRDefault="00CF0796" w:rsidP="00787395">
      <w:r>
        <w:t xml:space="preserve">The majority of remediation is market driven and borne by private duty holders and is therefore unknown to government. For example, it is common for residential developments to be built on land that was previously used for potentially contaminating activities such as service stations and agriculture. </w:t>
      </w:r>
      <w:r w:rsidR="0073725F">
        <w:t>In instances such as this, remediation costs are typically borne by the new owner or developer</w:t>
      </w:r>
      <w:r w:rsidR="00A43CE7">
        <w:t>.</w:t>
      </w:r>
      <w:r w:rsidR="0073725F">
        <w:t xml:space="preserve"> </w:t>
      </w:r>
    </w:p>
    <w:p w14:paraId="656B0425" w14:textId="77777777" w:rsidR="00CF0796" w:rsidRDefault="0031554A" w:rsidP="00CF0796">
      <w:pPr>
        <w:spacing w:after="0" w:line="240" w:lineRule="auto"/>
        <w:rPr>
          <w:rFonts w:ascii="Times New Roman" w:hAnsi="Times New Roman" w:cs="Times New Roman"/>
          <w:sz w:val="24"/>
          <w:szCs w:val="24"/>
          <w:lang w:eastAsia="en-AU"/>
        </w:rPr>
      </w:pPr>
      <w:r>
        <w:rPr>
          <w:szCs w:val="20"/>
        </w:rPr>
        <w:t>The cost to c</w:t>
      </w:r>
      <w:r w:rsidR="00CF0796">
        <w:rPr>
          <w:szCs w:val="20"/>
        </w:rPr>
        <w:t xml:space="preserve">lean up a service station can range from tens of thousands of dollars up to </w:t>
      </w:r>
      <w:r>
        <w:rPr>
          <w:szCs w:val="20"/>
        </w:rPr>
        <w:t xml:space="preserve">over </w:t>
      </w:r>
      <w:r w:rsidR="00CF0796">
        <w:rPr>
          <w:szCs w:val="20"/>
        </w:rPr>
        <w:t>a million dollars depending on the nature and extent of contamination.</w:t>
      </w:r>
      <w:r w:rsidR="00CF0796">
        <w:rPr>
          <w:szCs w:val="20"/>
          <w:vertAlign w:val="superscript"/>
        </w:rPr>
        <w:footnoteReference w:id="128"/>
      </w:r>
      <w:r w:rsidR="00CF0796">
        <w:rPr>
          <w:szCs w:val="20"/>
        </w:rPr>
        <w:t xml:space="preserve"> </w:t>
      </w:r>
      <w:r w:rsidR="00023C4F">
        <w:rPr>
          <w:szCs w:val="20"/>
        </w:rPr>
        <w:t>Anecdotally, o</w:t>
      </w:r>
      <w:r w:rsidR="00CF0796">
        <w:rPr>
          <w:szCs w:val="20"/>
        </w:rPr>
        <w:t>ne petrol station business previously estimated that remediation typically costs anywhere from $500,000 to more than $1 million for each site.</w:t>
      </w:r>
      <w:r w:rsidR="00CF0796">
        <w:rPr>
          <w:rStyle w:val="FootnoteReference"/>
          <w:rFonts w:cs="Segoe UI Light"/>
          <w:szCs w:val="20"/>
        </w:rPr>
        <w:footnoteReference w:id="129"/>
      </w:r>
      <w:r w:rsidR="00CF0796">
        <w:rPr>
          <w:szCs w:val="20"/>
        </w:rPr>
        <w:t xml:space="preserve"> This is generally because petrol stations have issues with NAPL contamination, where </w:t>
      </w:r>
      <w:r w:rsidR="00003564">
        <w:rPr>
          <w:szCs w:val="20"/>
        </w:rPr>
        <w:t xml:space="preserve">its </w:t>
      </w:r>
      <w:r w:rsidR="00CF0796">
        <w:rPr>
          <w:szCs w:val="20"/>
        </w:rPr>
        <w:t xml:space="preserve">removal </w:t>
      </w:r>
      <w:r w:rsidR="00003564">
        <w:rPr>
          <w:szCs w:val="20"/>
        </w:rPr>
        <w:t>(</w:t>
      </w:r>
      <w:r w:rsidR="00CF0796">
        <w:rPr>
          <w:szCs w:val="20"/>
        </w:rPr>
        <w:t>to the extent reasonably practicable</w:t>
      </w:r>
      <w:r w:rsidR="00003564">
        <w:rPr>
          <w:szCs w:val="20"/>
        </w:rPr>
        <w:t>)</w:t>
      </w:r>
      <w:r w:rsidR="00CF0796">
        <w:rPr>
          <w:szCs w:val="20"/>
        </w:rPr>
        <w:t xml:space="preserve"> </w:t>
      </w:r>
      <w:r w:rsidR="00003564">
        <w:rPr>
          <w:szCs w:val="20"/>
        </w:rPr>
        <w:t xml:space="preserve">is </w:t>
      </w:r>
      <w:r w:rsidR="00CF0796">
        <w:t>estimated between $250,000 and $1,000,000 per instance, depending on the nature of the site</w:t>
      </w:r>
      <w:r w:rsidR="008247C5">
        <w:t xml:space="preserve"> and</w:t>
      </w:r>
      <w:r w:rsidR="00CF0796">
        <w:t xml:space="preserve"> source and leakage. However, </w:t>
      </w:r>
      <w:r>
        <w:t xml:space="preserve">consultations indicated </w:t>
      </w:r>
      <w:r w:rsidR="00CF0796">
        <w:t xml:space="preserve">extreme instances up to $15 million </w:t>
      </w:r>
      <w:r w:rsidR="00712630">
        <w:t>can also occur</w:t>
      </w:r>
      <w:r w:rsidR="00CF0796">
        <w:t>.</w:t>
      </w:r>
      <w:r w:rsidR="00CF0796">
        <w:rPr>
          <w:rStyle w:val="FootnoteReference"/>
        </w:rPr>
        <w:footnoteReference w:id="130"/>
      </w:r>
      <w:r w:rsidR="00014F56">
        <w:t xml:space="preserve"> </w:t>
      </w:r>
      <w:r w:rsidR="00CF0796">
        <w:rPr>
          <w:rFonts w:ascii="Times New Roman" w:hAnsi="Times New Roman" w:cs="Times New Roman"/>
          <w:sz w:val="24"/>
          <w:szCs w:val="24"/>
          <w:lang w:eastAsia="en-AU"/>
        </w:rPr>
        <w:t xml:space="preserve"> </w:t>
      </w:r>
    </w:p>
    <w:p w14:paraId="656B0426" w14:textId="77777777" w:rsidR="00CF0796" w:rsidRDefault="00CF0796" w:rsidP="00982D63">
      <w:pPr>
        <w:pStyle w:val="Heading2"/>
      </w:pPr>
      <w:r>
        <w:t>Assessment</w:t>
      </w:r>
    </w:p>
    <w:p w14:paraId="656B0427" w14:textId="77777777" w:rsidR="00CF0796" w:rsidRDefault="00CF0796" w:rsidP="00040A06">
      <w:r>
        <w:t>This section assesses the feasible options for addressing the different problem areas. Problem areas are assessed in two separate parts:</w:t>
      </w:r>
      <w:r w:rsidR="00014F56">
        <w:t xml:space="preserve"> </w:t>
      </w:r>
    </w:p>
    <w:p w14:paraId="656B0428" w14:textId="77777777" w:rsidR="00CF0796" w:rsidRDefault="00891BBD" w:rsidP="004A2442">
      <w:pPr>
        <w:pStyle w:val="ListParagraph"/>
        <w:numPr>
          <w:ilvl w:val="0"/>
          <w:numId w:val="78"/>
        </w:numPr>
      </w:pPr>
      <w:r>
        <w:t>D</w:t>
      </w:r>
      <w:r w:rsidR="006A5A54">
        <w:t>uty to manage</w:t>
      </w:r>
      <w:r w:rsidR="00003564">
        <w:t xml:space="preserve"> contaminated land</w:t>
      </w:r>
    </w:p>
    <w:p w14:paraId="656B0429" w14:textId="77777777" w:rsidR="00CF0796" w:rsidRPr="009E1FB1" w:rsidRDefault="00891BBD" w:rsidP="004A2442">
      <w:pPr>
        <w:pStyle w:val="ListParagraph"/>
        <w:numPr>
          <w:ilvl w:val="0"/>
          <w:numId w:val="78"/>
        </w:numPr>
      </w:pPr>
      <w:r>
        <w:t>D</w:t>
      </w:r>
      <w:r w:rsidR="006A5A54">
        <w:t>uty to notify</w:t>
      </w:r>
      <w:r w:rsidR="00003564">
        <w:t xml:space="preserve"> of contaminated land.</w:t>
      </w:r>
    </w:p>
    <w:p w14:paraId="656B042A" w14:textId="77777777" w:rsidR="00CF0796" w:rsidRDefault="00CF0796" w:rsidP="00700983">
      <w:pPr>
        <w:pStyle w:val="Heading3"/>
        <w:ind w:left="720"/>
      </w:pPr>
      <w:r w:rsidRPr="0093659F">
        <w:t>Assessment method</w:t>
      </w:r>
    </w:p>
    <w:p w14:paraId="656B042B" w14:textId="77777777" w:rsidR="00CF0796" w:rsidRDefault="00CF0796" w:rsidP="00040A06">
      <w:r>
        <w:t>MCA is used to assess options for the contaminated land problem area because insufficient information is available to allow a fully quantitative CBA to be undertaken. MCA is selected because it a straightforward method for assessing multiple different options against a set of criteria.</w:t>
      </w:r>
    </w:p>
    <w:p w14:paraId="656B042C" w14:textId="77777777" w:rsidR="00CF0796" w:rsidRDefault="00CF0796" w:rsidP="00982D63">
      <w:pPr>
        <w:pStyle w:val="Heading2"/>
      </w:pPr>
      <w:r>
        <w:t xml:space="preserve">Duty to </w:t>
      </w:r>
      <w:r w:rsidR="006A5A54">
        <w:t>m</w:t>
      </w:r>
      <w:r>
        <w:t>anage</w:t>
      </w:r>
      <w:r w:rsidR="00003564">
        <w:t xml:space="preserve"> contaminated land</w:t>
      </w:r>
    </w:p>
    <w:p w14:paraId="656B042D" w14:textId="77777777" w:rsidR="00CF0796" w:rsidRDefault="00CF0796" w:rsidP="00700983">
      <w:pPr>
        <w:pStyle w:val="Heading3"/>
        <w:ind w:left="720"/>
      </w:pPr>
      <w:r>
        <w:t>Options</w:t>
      </w:r>
    </w:p>
    <w:p w14:paraId="656B042E" w14:textId="77777777" w:rsidR="00E213E9" w:rsidRDefault="00346D41" w:rsidP="00040A06">
      <w:pPr>
        <w:mirrorIndents/>
      </w:pPr>
      <w:r>
        <w:t>This RIS considers</w:t>
      </w:r>
      <w:r w:rsidR="00E213E9">
        <w:t xml:space="preserve"> t</w:t>
      </w:r>
      <w:r>
        <w:t>hree</w:t>
      </w:r>
      <w:r w:rsidR="00E213E9">
        <w:t xml:space="preserve"> distinct options to address the residual risk. When developing these options, </w:t>
      </w:r>
      <w:r>
        <w:t>EPA and DELWP</w:t>
      </w:r>
      <w:r w:rsidR="00E213E9">
        <w:t xml:space="preserve"> considered ways to address </w:t>
      </w:r>
      <w:r w:rsidR="00E213E9" w:rsidRPr="00E213E9">
        <w:t>the subjective elements associated with the dut</w:t>
      </w:r>
      <w:r w:rsidR="00E213E9">
        <w:t>y</w:t>
      </w:r>
      <w:r w:rsidR="00E213E9" w:rsidRPr="00E213E9">
        <w:t xml:space="preserve"> to manage contaminated land, </w:t>
      </w:r>
      <w:r w:rsidR="00E213E9">
        <w:t xml:space="preserve">and the processes required to meet that duty. </w:t>
      </w:r>
    </w:p>
    <w:p w14:paraId="656B042F" w14:textId="77777777" w:rsidR="00CF0796" w:rsidRDefault="00CF0796" w:rsidP="00040A06">
      <w:pPr>
        <w:mirrorIndents/>
      </w:pPr>
      <w:r>
        <w:t xml:space="preserve">The options considered in addressing the residual risks associated with the </w:t>
      </w:r>
      <w:r w:rsidR="006A5A54">
        <w:t>duty to manage</w:t>
      </w:r>
      <w:r>
        <w:t xml:space="preserve"> contaminated land are:</w:t>
      </w:r>
    </w:p>
    <w:p w14:paraId="656B0430" w14:textId="77777777" w:rsidR="00CF0796" w:rsidRDefault="00CF0796" w:rsidP="004A2442">
      <w:pPr>
        <w:pStyle w:val="Bullet1"/>
        <w:numPr>
          <w:ilvl w:val="0"/>
          <w:numId w:val="26"/>
        </w:numPr>
        <w:tabs>
          <w:tab w:val="left" w:pos="720"/>
        </w:tabs>
      </w:pPr>
      <w:r w:rsidRPr="00040A06">
        <w:rPr>
          <w:b/>
        </w:rPr>
        <w:t xml:space="preserve">Base </w:t>
      </w:r>
      <w:r>
        <w:rPr>
          <w:b/>
        </w:rPr>
        <w:t>C</w:t>
      </w:r>
      <w:r w:rsidRPr="00040A06">
        <w:rPr>
          <w:b/>
        </w:rPr>
        <w:t>ase - do nothing:</w:t>
      </w:r>
      <w:r>
        <w:t xml:space="preserve"> no regulations to compl</w:t>
      </w:r>
      <w:r w:rsidR="002D5DB2">
        <w:t>e</w:t>
      </w:r>
      <w:r>
        <w:t xml:space="preserve">ment the GED and </w:t>
      </w:r>
      <w:r w:rsidR="006A5A54">
        <w:t>duty to manage</w:t>
      </w:r>
      <w:r>
        <w:t>.</w:t>
      </w:r>
    </w:p>
    <w:p w14:paraId="656B0431" w14:textId="77777777" w:rsidR="00CF0796" w:rsidRDefault="00CF0796" w:rsidP="004A2442">
      <w:pPr>
        <w:pStyle w:val="Bullet1"/>
        <w:numPr>
          <w:ilvl w:val="0"/>
          <w:numId w:val="26"/>
        </w:numPr>
        <w:tabs>
          <w:tab w:val="left" w:pos="720"/>
        </w:tabs>
      </w:pPr>
      <w:r w:rsidRPr="00040A06">
        <w:rPr>
          <w:b/>
        </w:rPr>
        <w:t>Option 1 – prescrib</w:t>
      </w:r>
      <w:r>
        <w:rPr>
          <w:b/>
        </w:rPr>
        <w:t>e</w:t>
      </w:r>
      <w:r w:rsidRPr="00040A06">
        <w:rPr>
          <w:b/>
        </w:rPr>
        <w:t xml:space="preserve"> a mechanism for EPA to determine background levels:</w:t>
      </w:r>
      <w:r>
        <w:t xml:space="preserve"> Option 1 involves the introduction of a prescribed mechanism in regulation that enables </w:t>
      </w:r>
      <w:r w:rsidR="000514DD">
        <w:t>EPA</w:t>
      </w:r>
      <w:r>
        <w:t xml:space="preserve"> to determine the background level of a specific waste or chemical substance on a case by case basis. A determination by </w:t>
      </w:r>
      <w:r w:rsidR="000514DD">
        <w:t>EPA</w:t>
      </w:r>
      <w:r>
        <w:t xml:space="preserve"> may be limited to a specific place or premises or class of places or premises, and/or may be of specific or general application. An example may be for EPA to make a determination of arsenic background levels </w:t>
      </w:r>
      <w:r w:rsidR="00346D41">
        <w:t>around</w:t>
      </w:r>
      <w:r w:rsidR="00346D41" w:rsidDel="00712630">
        <w:t xml:space="preserve"> </w:t>
      </w:r>
      <w:r w:rsidR="0035668D">
        <w:t>Goldfields regions</w:t>
      </w:r>
      <w:r w:rsidR="00712630">
        <w:t>.</w:t>
      </w:r>
    </w:p>
    <w:p w14:paraId="656B0432" w14:textId="77777777" w:rsidR="00CF0796" w:rsidRDefault="00CF0796" w:rsidP="004A2442">
      <w:pPr>
        <w:pStyle w:val="Bullet1"/>
        <w:numPr>
          <w:ilvl w:val="0"/>
          <w:numId w:val="26"/>
        </w:numPr>
        <w:tabs>
          <w:tab w:val="left" w:pos="720"/>
        </w:tabs>
      </w:pPr>
      <w:r w:rsidRPr="00040A06">
        <w:rPr>
          <w:b/>
        </w:rPr>
        <w:t>Option 2 – Option 1 plus prescrib</w:t>
      </w:r>
      <w:r>
        <w:rPr>
          <w:b/>
        </w:rPr>
        <w:t>e</w:t>
      </w:r>
      <w:r w:rsidRPr="00040A06">
        <w:rPr>
          <w:b/>
        </w:rPr>
        <w:t xml:space="preserve"> the clean-up and removal of NAPL:</w:t>
      </w:r>
      <w:r>
        <w:t xml:space="preserve"> Option 2, in addition to the determination mechanism under Option 1, also includes prescribing in regulation specific control measures for NAPL contamination. This would require a duty holder, in so far as reasonably practicable, to clean-up NAPL and remove or control the source of the NAPL if the source is located on land. This would be a translation of Section 54 </w:t>
      </w:r>
      <w:r w:rsidR="0030184B">
        <w:t>of</w:t>
      </w:r>
      <w:r>
        <w:t xml:space="preserve"> the existing SEPP (Waters).</w:t>
      </w:r>
    </w:p>
    <w:p w14:paraId="656B0433" w14:textId="77777777" w:rsidR="00CF0796" w:rsidRDefault="00CF0796" w:rsidP="004A2442">
      <w:pPr>
        <w:pStyle w:val="Bullet1"/>
        <w:numPr>
          <w:ilvl w:val="0"/>
          <w:numId w:val="26"/>
        </w:numPr>
        <w:tabs>
          <w:tab w:val="left" w:pos="720"/>
        </w:tabs>
      </w:pPr>
      <w:r w:rsidRPr="00040A06">
        <w:rPr>
          <w:b/>
        </w:rPr>
        <w:t>Option 3 – non-statutory guidance:</w:t>
      </w:r>
      <w:r>
        <w:t xml:space="preserve"> Option 3 involves the development of non-statutory guidance material to provide duty holders with assistance in determining the ‘naturally occurring’ concentrations of waste and chemical substances under the new EP legislation, similar to the NEPM ASC Schedule B g</w:t>
      </w:r>
      <w:r w:rsidRPr="009A6676">
        <w:t>uidelines for the assessment of site contamination</w:t>
      </w:r>
      <w:r>
        <w:t>.</w:t>
      </w:r>
      <w:r w:rsidRPr="009A6676">
        <w:t xml:space="preserve"> </w:t>
      </w:r>
      <w:r>
        <w:t>Option 3 would also involve development of non-statutory guidance material on preferred control measures for NAPL contamination. This guidance would not be mandatory.</w:t>
      </w:r>
    </w:p>
    <w:p w14:paraId="656B0434" w14:textId="77777777" w:rsidR="00CF0796" w:rsidRDefault="001D29D9" w:rsidP="00700983">
      <w:pPr>
        <w:pStyle w:val="Heading3"/>
        <w:ind w:left="720"/>
      </w:pPr>
      <w:r>
        <w:t>Detailed a</w:t>
      </w:r>
      <w:r w:rsidR="00CF0796">
        <w:t>ssessment</w:t>
      </w:r>
    </w:p>
    <w:p w14:paraId="656B0435" w14:textId="77777777" w:rsidR="00CF0796" w:rsidRDefault="00CF0796" w:rsidP="00E70781">
      <w:pPr>
        <w:pStyle w:val="Heading4"/>
      </w:pPr>
      <w:r>
        <w:t>Effectiveness</w:t>
      </w:r>
    </w:p>
    <w:p w14:paraId="656B0436" w14:textId="77777777" w:rsidR="00CF0796" w:rsidRDefault="00CF0796" w:rsidP="00CF0796">
      <w:r w:rsidRPr="009431F8">
        <w:t>Under</w:t>
      </w:r>
      <w:r>
        <w:rPr>
          <w:b/>
        </w:rPr>
        <w:t xml:space="preserve"> </w:t>
      </w:r>
      <w:r w:rsidRPr="009431F8">
        <w:rPr>
          <w:b/>
        </w:rPr>
        <w:t>Option 1</w:t>
      </w:r>
      <w:r w:rsidRPr="009431F8">
        <w:t xml:space="preserve"> </w:t>
      </w:r>
      <w:r w:rsidRPr="009431F8">
        <w:rPr>
          <w:b/>
        </w:rPr>
        <w:t>(prescribe a mechanism for EPA to determine background levels</w:t>
      </w:r>
      <w:r>
        <w:rPr>
          <w:b/>
        </w:rPr>
        <w:t>)</w:t>
      </w:r>
      <w:r w:rsidRPr="009431F8">
        <w:t>,</w:t>
      </w:r>
      <w:r>
        <w:t xml:space="preserve"> duty holders will have the same requirement to comply with the GED and the </w:t>
      </w:r>
      <w:r w:rsidR="006A5A54">
        <w:t>duty to manage</w:t>
      </w:r>
      <w:r>
        <w:t xml:space="preserve"> as per the Base Case. </w:t>
      </w:r>
      <w:r w:rsidR="00CA6F23">
        <w:t xml:space="preserve">Option 1 </w:t>
      </w:r>
      <w:r w:rsidR="00CA6F23" w:rsidRPr="009431F8">
        <w:t>provide</w:t>
      </w:r>
      <w:r w:rsidR="00CA6F23">
        <w:t>s</w:t>
      </w:r>
      <w:r w:rsidR="00CA6F23" w:rsidRPr="009431F8">
        <w:t xml:space="preserve"> </w:t>
      </w:r>
      <w:r w:rsidR="00CA6F23" w:rsidRPr="000C6D02">
        <w:t>greater</w:t>
      </w:r>
      <w:r w:rsidR="00CA6F23" w:rsidRPr="009431F8">
        <w:t xml:space="preserve"> guidance and certainty to duty holders with respect to establishing background contamination levels for specific waste and chemical substances and in specific regions. </w:t>
      </w:r>
      <w:r w:rsidR="00CA6F23">
        <w:t xml:space="preserve">However, it does not change or affect a duty holder’s requirement to mitigate human health and/or environmental risks under the GED and Duty to Manage. As such, </w:t>
      </w:r>
      <w:r w:rsidRPr="009431F8">
        <w:rPr>
          <w:b/>
        </w:rPr>
        <w:t>Option 1</w:t>
      </w:r>
      <w:r>
        <w:t xml:space="preserve"> is not anticipated to achieve improved human health and environmental outcomes over and above the Base C</w:t>
      </w:r>
      <w:r w:rsidRPr="00956B6D">
        <w:t xml:space="preserve">ase. Overall, </w:t>
      </w:r>
      <w:r w:rsidRPr="009431F8">
        <w:t xml:space="preserve">a score of 0 is given relative to the </w:t>
      </w:r>
      <w:r w:rsidR="000514DD">
        <w:t>Base Case</w:t>
      </w:r>
      <w:r w:rsidRPr="00956B6D">
        <w:t>.</w:t>
      </w:r>
    </w:p>
    <w:p w14:paraId="656B0437" w14:textId="77777777" w:rsidR="00CF0796" w:rsidRDefault="00CF0796" w:rsidP="00CF0796">
      <w:r w:rsidRPr="009431F8">
        <w:rPr>
          <w:b/>
        </w:rPr>
        <w:t>Option 2</w:t>
      </w:r>
      <w:r>
        <w:t xml:space="preserve"> (</w:t>
      </w:r>
      <w:r w:rsidR="0096675F" w:rsidRPr="00040A06">
        <w:rPr>
          <w:b/>
        </w:rPr>
        <w:t>Option 1 plus prescrib</w:t>
      </w:r>
      <w:r w:rsidR="0096675F">
        <w:rPr>
          <w:b/>
        </w:rPr>
        <w:t>e</w:t>
      </w:r>
      <w:r w:rsidR="0096675F" w:rsidRPr="00040A06">
        <w:rPr>
          <w:b/>
        </w:rPr>
        <w:t xml:space="preserve"> the clean-up and removal of NAPL</w:t>
      </w:r>
      <w:r>
        <w:rPr>
          <w:b/>
        </w:rPr>
        <w:t xml:space="preserve">) </w:t>
      </w:r>
      <w:r>
        <w:t xml:space="preserve">will </w:t>
      </w:r>
      <w:r w:rsidRPr="00E97621">
        <w:t>reduce risk</w:t>
      </w:r>
      <w:r>
        <w:t>s</w:t>
      </w:r>
      <w:r w:rsidRPr="00E97621">
        <w:t xml:space="preserve"> to human health and environment </w:t>
      </w:r>
      <w:r>
        <w:t xml:space="preserve">by reducing instances of NAPL contamination </w:t>
      </w:r>
      <w:r w:rsidRPr="00DA3E22">
        <w:t xml:space="preserve">mismanagement relative to Option 1 and the </w:t>
      </w:r>
      <w:r>
        <w:t>B</w:t>
      </w:r>
      <w:r w:rsidRPr="00DA3E22">
        <w:t xml:space="preserve">ase </w:t>
      </w:r>
      <w:r>
        <w:t>C</w:t>
      </w:r>
      <w:r w:rsidRPr="00DA3E22">
        <w:t xml:space="preserve">ase. </w:t>
      </w:r>
      <w:r w:rsidR="000E36A7">
        <w:t xml:space="preserve">As reported above, there are approximately 1,400 high risk NAPL sites across Victoria. </w:t>
      </w:r>
      <w:r w:rsidRPr="009431F8">
        <w:rPr>
          <w:b/>
        </w:rPr>
        <w:t>Option 2</w:t>
      </w:r>
      <w:r w:rsidRPr="00DA3E22">
        <w:t xml:space="preserve"> has the potential to reduce and avoid long</w:t>
      </w:r>
      <w:r w:rsidR="0096675F">
        <w:noBreakHyphen/>
      </w:r>
      <w:r w:rsidRPr="00DA3E22">
        <w:t xml:space="preserve">term and significant impacts to human health and </w:t>
      </w:r>
      <w:r w:rsidR="00B40D23">
        <w:t xml:space="preserve">the </w:t>
      </w:r>
      <w:r w:rsidRPr="00DA3E22">
        <w:t>environment</w:t>
      </w:r>
      <w:r>
        <w:t xml:space="preserve"> </w:t>
      </w:r>
      <w:r w:rsidRPr="00DA3E22">
        <w:t>by addressing the residual risk posed by NAPL contamination through the clean-up and removal of the NAPL source</w:t>
      </w:r>
      <w:r>
        <w:t xml:space="preserve"> and avoiding future </w:t>
      </w:r>
      <w:r w:rsidRPr="00DA3E22">
        <w:t>discharge</w:t>
      </w:r>
      <w:r>
        <w:t>s</w:t>
      </w:r>
      <w:r w:rsidRPr="00DA3E22">
        <w:t xml:space="preserve"> of contamination into </w:t>
      </w:r>
      <w:r>
        <w:t xml:space="preserve">soils and </w:t>
      </w:r>
      <w:r w:rsidRPr="00DA3E22">
        <w:t>surface and groundwater.</w:t>
      </w:r>
      <w:r>
        <w:t xml:space="preserve"> </w:t>
      </w:r>
    </w:p>
    <w:p w14:paraId="656B0438" w14:textId="77777777" w:rsidR="00CF0796" w:rsidRDefault="00CF0796" w:rsidP="00CF0796">
      <w:r>
        <w:t xml:space="preserve">While it is not possible to quantify the reduced harm to human health and the environment given the lack of data on Victoria’s contaminated sites and the range of exposure pathways and long-term impacts associated with NAPL contamination, the effectiveness of </w:t>
      </w:r>
      <w:r w:rsidRPr="007D51F4">
        <w:rPr>
          <w:b/>
        </w:rPr>
        <w:t xml:space="preserve">Option </w:t>
      </w:r>
      <w:r>
        <w:rPr>
          <w:b/>
        </w:rPr>
        <w:t>2</w:t>
      </w:r>
      <w:r>
        <w:t xml:space="preserve"> to reduce harm to human health and environment is anticipated to be high relative to the Base Case. </w:t>
      </w:r>
      <w:r w:rsidR="006A0854">
        <w:t xml:space="preserve">In the absence of a statutory requirement, the complexity and cost involved in the clean-up and removal of NAPL contamination is likely to result in the significant sub-optimal remediation of NAPL contamination. </w:t>
      </w:r>
      <w:r>
        <w:t xml:space="preserve">Overall, </w:t>
      </w:r>
      <w:r w:rsidRPr="009431F8">
        <w:t xml:space="preserve">a score of </w:t>
      </w:r>
      <w:r>
        <w:t>+8</w:t>
      </w:r>
      <w:r w:rsidR="006A0854">
        <w:t xml:space="preserve"> is given to Option 2 relative to the Base Case</w:t>
      </w:r>
      <w:r>
        <w:t>.</w:t>
      </w:r>
    </w:p>
    <w:p w14:paraId="656B0439" w14:textId="77777777" w:rsidR="00CF0796" w:rsidRPr="0093659F" w:rsidRDefault="00CF0796" w:rsidP="00040A06">
      <w:r w:rsidRPr="009431F8">
        <w:rPr>
          <w:b/>
        </w:rPr>
        <w:t>Option 3</w:t>
      </w:r>
      <w:r>
        <w:rPr>
          <w:b/>
        </w:rPr>
        <w:t xml:space="preserve"> (</w:t>
      </w:r>
      <w:r w:rsidRPr="009431F8">
        <w:rPr>
          <w:b/>
        </w:rPr>
        <w:t>non-statutory guidance</w:t>
      </w:r>
      <w:r>
        <w:rPr>
          <w:b/>
        </w:rPr>
        <w:t>)</w:t>
      </w:r>
      <w:r>
        <w:t xml:space="preserve">, by providing non-statutory guidance material, is likely to have </w:t>
      </w:r>
      <w:r w:rsidR="006A0854">
        <w:t xml:space="preserve">marginal </w:t>
      </w:r>
      <w:r>
        <w:t xml:space="preserve">beneficial human health and environmental outcomes relative to the Base Case. It is likely that some duty holders may follow </w:t>
      </w:r>
      <w:r w:rsidR="006A0854">
        <w:t xml:space="preserve">some </w:t>
      </w:r>
      <w:r>
        <w:t xml:space="preserve">guidance with respect to the clean-up and removal of NAPL contamination, thereby reducing some of the residual risks associated with NAPL contamination. However, given the cost and complexity involved in adequately mitigating NAPL contamination, and that guidance is not mandatory, </w:t>
      </w:r>
      <w:r w:rsidRPr="009431F8">
        <w:rPr>
          <w:b/>
        </w:rPr>
        <w:t>Option</w:t>
      </w:r>
      <w:r w:rsidR="00E70781">
        <w:rPr>
          <w:b/>
        </w:rPr>
        <w:t> </w:t>
      </w:r>
      <w:r w:rsidRPr="009431F8">
        <w:rPr>
          <w:b/>
        </w:rPr>
        <w:t>3</w:t>
      </w:r>
      <w:r>
        <w:t xml:space="preserve"> is not expected to </w:t>
      </w:r>
      <w:r w:rsidR="006A0854">
        <w:t xml:space="preserve">materially change duty holder behaviour. As such, Option 3 is not expected to </w:t>
      </w:r>
      <w:r>
        <w:t xml:space="preserve">be </w:t>
      </w:r>
      <w:r w:rsidR="00346D41">
        <w:t xml:space="preserve">nearly </w:t>
      </w:r>
      <w:r>
        <w:t>as effective as Option 2 in reducing harms to human health and the environment. A</w:t>
      </w:r>
      <w:r w:rsidRPr="009431F8">
        <w:t xml:space="preserve"> score of </w:t>
      </w:r>
      <w:r>
        <w:t>+</w:t>
      </w:r>
      <w:r w:rsidRPr="009431F8">
        <w:t xml:space="preserve">1 is given relative to the </w:t>
      </w:r>
      <w:r w:rsidR="000514DD">
        <w:t>Base Case</w:t>
      </w:r>
      <w:r w:rsidRPr="00956B6D">
        <w:t>.</w:t>
      </w:r>
    </w:p>
    <w:p w14:paraId="656B043A" w14:textId="77777777" w:rsidR="00CF0796" w:rsidRDefault="00CF0796" w:rsidP="00E70781">
      <w:pPr>
        <w:pStyle w:val="Heading4"/>
      </w:pPr>
      <w:r>
        <w:t>Cost</w:t>
      </w:r>
    </w:p>
    <w:p w14:paraId="656B043B" w14:textId="77777777" w:rsidR="00CF0796" w:rsidRPr="009431F8" w:rsidRDefault="00CF0796" w:rsidP="00040A06">
      <w:pPr>
        <w:spacing w:before="120" w:after="0"/>
        <w:rPr>
          <w:i/>
        </w:rPr>
      </w:pPr>
      <w:r>
        <w:rPr>
          <w:b/>
          <w:i/>
        </w:rPr>
        <w:t>Cost</w:t>
      </w:r>
      <w:r w:rsidRPr="009431F8">
        <w:rPr>
          <w:b/>
          <w:i/>
        </w:rPr>
        <w:t xml:space="preserve"> to duty holders</w:t>
      </w:r>
    </w:p>
    <w:p w14:paraId="656B043C" w14:textId="36205981" w:rsidR="00CF0796" w:rsidRPr="00F40A37" w:rsidRDefault="00CF0796" w:rsidP="00CF0796">
      <w:pPr>
        <w:rPr>
          <w:i/>
        </w:rPr>
      </w:pPr>
      <w:r w:rsidRPr="009431F8">
        <w:rPr>
          <w:b/>
        </w:rPr>
        <w:t>Option 1</w:t>
      </w:r>
      <w:r w:rsidRPr="009431F8">
        <w:t xml:space="preserve"> </w:t>
      </w:r>
      <w:r w:rsidRPr="009431F8">
        <w:rPr>
          <w:b/>
        </w:rPr>
        <w:t>(prescribe a mechanism for EPA to determine background levels</w:t>
      </w:r>
      <w:r>
        <w:rPr>
          <w:b/>
        </w:rPr>
        <w:t>)</w:t>
      </w:r>
      <w:r>
        <w:t xml:space="preserve"> is likely </w:t>
      </w:r>
      <w:r w:rsidRPr="009431F8">
        <w:t xml:space="preserve">to provide </w:t>
      </w:r>
      <w:r w:rsidRPr="000C6D02">
        <w:t>greater</w:t>
      </w:r>
      <w:r w:rsidRPr="009431F8">
        <w:t xml:space="preserve"> certainty to duty holders with respect to establishing background contamination levels for specific waste and chemical substances and in specific regions. </w:t>
      </w:r>
      <w:r w:rsidRPr="000C6D02">
        <w:t xml:space="preserve">Industry consultations </w:t>
      </w:r>
      <w:r w:rsidR="00895C9A">
        <w:t>confirmed</w:t>
      </w:r>
      <w:r w:rsidR="00895C9A" w:rsidRPr="000C6D02">
        <w:t xml:space="preserve"> </w:t>
      </w:r>
      <w:r w:rsidRPr="000C6D02">
        <w:t>that a background level determination</w:t>
      </w:r>
      <w:r w:rsidR="00895C9A">
        <w:t>, where there was a reasonable suspicion of the presence of contamination,</w:t>
      </w:r>
      <w:r w:rsidRPr="000C6D02">
        <w:t xml:space="preserve"> would </w:t>
      </w:r>
      <w:r w:rsidR="00895C9A">
        <w:t xml:space="preserve">provide greater certainty to </w:t>
      </w:r>
      <w:r w:rsidRPr="000C6D02">
        <w:t xml:space="preserve">duty holders in establishing their responsibilities under the </w:t>
      </w:r>
      <w:r w:rsidR="006A5A54">
        <w:t>duty to manage</w:t>
      </w:r>
      <w:r>
        <w:t xml:space="preserve">. For example, </w:t>
      </w:r>
      <w:r w:rsidRPr="000C6D02">
        <w:t>in regions where it may be uncertain if elevated concentrations of substances are</w:t>
      </w:r>
      <w:r w:rsidR="00B40D23">
        <w:t xml:space="preserve"> due</w:t>
      </w:r>
      <w:r w:rsidRPr="000C6D02">
        <w:t xml:space="preserve"> to natural or anthropogenic occurrences</w:t>
      </w:r>
      <w:r>
        <w:t xml:space="preserve">, an EPA determination </w:t>
      </w:r>
      <w:r w:rsidR="00895C9A">
        <w:t xml:space="preserve">would </w:t>
      </w:r>
      <w:r>
        <w:t xml:space="preserve">help duty holders avoid up to two or three site assessments. As discussed in section </w:t>
      </w:r>
      <w:r w:rsidR="00895C9A">
        <w:rPr>
          <w:color w:val="2B579A"/>
          <w:shd w:val="clear" w:color="auto" w:fill="E6E6E6"/>
        </w:rPr>
        <w:fldChar w:fldCharType="begin"/>
      </w:r>
      <w:r w:rsidR="00895C9A">
        <w:instrText xml:space="preserve"> REF _Ref7527729 \r \h </w:instrText>
      </w:r>
      <w:r w:rsidR="00895C9A">
        <w:rPr>
          <w:color w:val="2B579A"/>
          <w:shd w:val="clear" w:color="auto" w:fill="E6E6E6"/>
        </w:rPr>
      </w:r>
      <w:r w:rsidR="00895C9A">
        <w:rPr>
          <w:color w:val="2B579A"/>
          <w:shd w:val="clear" w:color="auto" w:fill="E6E6E6"/>
        </w:rPr>
        <w:fldChar w:fldCharType="separate"/>
      </w:r>
      <w:r w:rsidR="00B11C1E">
        <w:t>8.4.4</w:t>
      </w:r>
      <w:r w:rsidR="00895C9A">
        <w:rPr>
          <w:color w:val="2B579A"/>
          <w:shd w:val="clear" w:color="auto" w:fill="E6E6E6"/>
        </w:rPr>
        <w:fldChar w:fldCharType="end"/>
      </w:r>
      <w:r>
        <w:t xml:space="preserve">, a single assessment may cost a minimum </w:t>
      </w:r>
      <w:r w:rsidRPr="00DA3E22">
        <w:t>of $</w:t>
      </w:r>
      <w:r w:rsidRPr="009431F8">
        <w:t>5,000 to $50,000</w:t>
      </w:r>
      <w:r w:rsidRPr="00DA3E22">
        <w:t>,</w:t>
      </w:r>
      <w:r>
        <w:t xml:space="preserve"> depending on the geological surrounds and site complexities. </w:t>
      </w:r>
    </w:p>
    <w:p w14:paraId="656B043D" w14:textId="2DE22465" w:rsidR="00CF0796" w:rsidRDefault="00CF0796" w:rsidP="00CF0796">
      <w:r>
        <w:t xml:space="preserve">Due to a lack of land contamination data and uncertainty as to which substances or regions may be the subject of a determination, it is not possible to estimate the number of sites that would be affected by a background level determination. </w:t>
      </w:r>
      <w:r w:rsidR="00B57025">
        <w:t>Particularly,</w:t>
      </w:r>
      <w:r w:rsidDel="000453B7">
        <w:t xml:space="preserve"> </w:t>
      </w:r>
      <w:r>
        <w:t xml:space="preserve">small to medium businesses and residential home owners are likely to </w:t>
      </w:r>
      <w:r w:rsidR="00B57025">
        <w:t xml:space="preserve">be supportive of the regulations enabling EPA to make a </w:t>
      </w:r>
      <w:r>
        <w:t>background determination because they are likely to have less understand</w:t>
      </w:r>
      <w:r w:rsidR="00CD7AFC">
        <w:t>ing</w:t>
      </w:r>
      <w:r>
        <w:t xml:space="preserve"> of the legislative requirements, less established systems and processes and fewer resources available to undertake processes such as site assessments. Larger industrial businesses with established environmental management systems and site assessment processes are likely to be less </w:t>
      </w:r>
      <w:r w:rsidR="000453B7">
        <w:t>impacted.</w:t>
      </w:r>
    </w:p>
    <w:p w14:paraId="656B043E" w14:textId="77777777" w:rsidR="00CF0796" w:rsidRDefault="00CF0796" w:rsidP="00CF0796">
      <w:r w:rsidRPr="009431F8">
        <w:rPr>
          <w:b/>
        </w:rPr>
        <w:t>Option 1</w:t>
      </w:r>
      <w:r>
        <w:t>, by reducing the ambiguity in determining the contamination status of a specific site</w:t>
      </w:r>
      <w:r w:rsidR="008A3668">
        <w:t xml:space="preserve"> in a specific location</w:t>
      </w:r>
      <w:r>
        <w:t xml:space="preserve">, is also expected to assist in providing greater assurance to third parties (such as financial institutions and planning regulators) regarding the risks posed by the waste and chemical substances found on a site. </w:t>
      </w:r>
    </w:p>
    <w:p w14:paraId="656B043F" w14:textId="77777777" w:rsidR="00CF0796" w:rsidRDefault="00CF0796" w:rsidP="00CF0796">
      <w:r>
        <w:t xml:space="preserve">Under </w:t>
      </w:r>
      <w:r w:rsidRPr="009431F8">
        <w:rPr>
          <w:b/>
        </w:rPr>
        <w:t>Option 2</w:t>
      </w:r>
      <w:r>
        <w:t xml:space="preserve"> (</w:t>
      </w:r>
      <w:r w:rsidR="009D1E74" w:rsidRPr="00040A06">
        <w:rPr>
          <w:b/>
        </w:rPr>
        <w:t>Option 1 plus prescrib</w:t>
      </w:r>
      <w:r w:rsidR="009D1E74">
        <w:rPr>
          <w:b/>
        </w:rPr>
        <w:t>e</w:t>
      </w:r>
      <w:r w:rsidR="009D1E74" w:rsidRPr="00040A06">
        <w:rPr>
          <w:b/>
        </w:rPr>
        <w:t xml:space="preserve"> the clean-up and removal of NAPL</w:t>
      </w:r>
      <w:r>
        <w:rPr>
          <w:b/>
        </w:rPr>
        <w:t>)</w:t>
      </w:r>
      <w:r>
        <w:t>, the prescribed requirement to clean-up and remove NAPL contamination is expected to result in significant compliance costs to affected duty holders relative to the Base Case and Option</w:t>
      </w:r>
      <w:r w:rsidR="009D1E74">
        <w:t> </w:t>
      </w:r>
      <w:r>
        <w:t xml:space="preserve">1. However, duty holders affected by NAPL contamination are likely to represent a small proportion of total duty holders captured by the </w:t>
      </w:r>
      <w:r w:rsidR="006A5A54">
        <w:t>duty to manage</w:t>
      </w:r>
      <w:r>
        <w:t xml:space="preserve">. </w:t>
      </w:r>
    </w:p>
    <w:p w14:paraId="656B0440" w14:textId="77777777" w:rsidR="00CF0796" w:rsidRDefault="00CF0796" w:rsidP="00CF0796">
      <w:r w:rsidRPr="00D5736C">
        <w:t xml:space="preserve">The clean-up and removal of NAPL is </w:t>
      </w:r>
      <w:r w:rsidR="009D1E74">
        <w:t xml:space="preserve">a </w:t>
      </w:r>
      <w:r w:rsidRPr="00D5736C">
        <w:t xml:space="preserve">costly </w:t>
      </w:r>
      <w:r>
        <w:t xml:space="preserve">and complex </w:t>
      </w:r>
      <w:r w:rsidRPr="00D5736C">
        <w:t>activity</w:t>
      </w:r>
      <w:r>
        <w:t xml:space="preserve">. Interviews with industry representatives undertaken for this RIS indicated an approximate total cost </w:t>
      </w:r>
      <w:r w:rsidRPr="00BF7949">
        <w:t>of $1,250,000 per incident</w:t>
      </w:r>
      <w:r>
        <w:t xml:space="preserve"> can be expected, although costs can vary widely depending on the extent of contamination and underlying geology. D</w:t>
      </w:r>
      <w:r w:rsidRPr="00BF7949">
        <w:t>emonstration of clean</w:t>
      </w:r>
      <w:r w:rsidRPr="00BF7949">
        <w:noBreakHyphen/>
        <w:t>up and removal to the extent</w:t>
      </w:r>
      <w:r>
        <w:t xml:space="preserve"> reasonably</w:t>
      </w:r>
      <w:r w:rsidRPr="00BF7949">
        <w:t xml:space="preserve"> practicable </w:t>
      </w:r>
      <w:r>
        <w:t xml:space="preserve">can </w:t>
      </w:r>
      <w:r w:rsidRPr="00BF7949">
        <w:t>typically tak</w:t>
      </w:r>
      <w:r>
        <w:t xml:space="preserve">e up to </w:t>
      </w:r>
      <w:r w:rsidRPr="00BF7949">
        <w:t xml:space="preserve">five years, depending on the nature of the site, source and leakage. However, </w:t>
      </w:r>
      <w:r w:rsidR="00346D41">
        <w:t xml:space="preserve">as discussed above, </w:t>
      </w:r>
      <w:r w:rsidRPr="00BF7949">
        <w:t xml:space="preserve">industry representatives noted </w:t>
      </w:r>
      <w:r w:rsidR="009D1E74">
        <w:t>upper-end</w:t>
      </w:r>
      <w:r w:rsidR="009D1E74" w:rsidRPr="00BF7949">
        <w:t xml:space="preserve"> </w:t>
      </w:r>
      <w:r w:rsidRPr="00BF7949">
        <w:t>instances where clean</w:t>
      </w:r>
      <w:r w:rsidRPr="00BF7949">
        <w:noBreakHyphen/>
        <w:t xml:space="preserve">up and removal of NAPL has cost </w:t>
      </w:r>
      <w:r w:rsidRPr="009431F8">
        <w:t>$15 million</w:t>
      </w:r>
      <w:r w:rsidR="00312EAF">
        <w:t>, albeit very rare</w:t>
      </w:r>
      <w:r w:rsidR="00B40D23">
        <w:t>ly</w:t>
      </w:r>
      <w:r w:rsidRPr="00BF7949">
        <w:t>.</w:t>
      </w:r>
      <w:r>
        <w:t xml:space="preserve"> </w:t>
      </w:r>
    </w:p>
    <w:p w14:paraId="656B0441" w14:textId="77777777" w:rsidR="00CF0796" w:rsidRDefault="00CF0796" w:rsidP="00CF0796">
      <w:r w:rsidRPr="009431F8">
        <w:rPr>
          <w:b/>
        </w:rPr>
        <w:t>Option 2</w:t>
      </w:r>
      <w:r>
        <w:t xml:space="preserve"> requires duty holders to demonstrate clean-up and removal of NAPL contamination to the extent </w:t>
      </w:r>
      <w:r>
        <w:rPr>
          <w:i/>
        </w:rPr>
        <w:t xml:space="preserve">reasonably </w:t>
      </w:r>
      <w:r w:rsidR="009D1E74">
        <w:rPr>
          <w:i/>
        </w:rPr>
        <w:t>practicable</w:t>
      </w:r>
      <w:r>
        <w:t xml:space="preserve">. This likely requires duty holders to undertake additional remediation and management activities over and above what may be required under the Base Case. This may require duty holders to </w:t>
      </w:r>
      <w:r w:rsidR="00CD7AFC">
        <w:t xml:space="preserve">explore </w:t>
      </w:r>
      <w:r>
        <w:t xml:space="preserve">a range of technologies and options before demonstrating </w:t>
      </w:r>
      <w:r w:rsidR="009D1E74">
        <w:t>compliance with Option 2</w:t>
      </w:r>
      <w:r>
        <w:t xml:space="preserve">. </w:t>
      </w:r>
    </w:p>
    <w:p w14:paraId="656B0442" w14:textId="77777777" w:rsidR="00CF0796" w:rsidRDefault="00CF0796" w:rsidP="00CF0796">
      <w:r>
        <w:t xml:space="preserve">Stakeholder consultations indicate that </w:t>
      </w:r>
      <w:r w:rsidRPr="00A20FD6">
        <w:rPr>
          <w:b/>
        </w:rPr>
        <w:t>Option 2</w:t>
      </w:r>
      <w:r>
        <w:t xml:space="preserve"> is likely to increase total NAPL remediation costs in the order of around 50% over and above that required by the GED and </w:t>
      </w:r>
      <w:r w:rsidR="006A5A54">
        <w:t>duty to manage</w:t>
      </w:r>
      <w:r>
        <w:t xml:space="preserve">. </w:t>
      </w:r>
      <w:r w:rsidR="009D1E74">
        <w:t>I</w:t>
      </w:r>
      <w:r>
        <w:t xml:space="preserve">ndustry operators have indicated that they would typically choose alternative, less expensive management responses </w:t>
      </w:r>
      <w:r w:rsidR="009D1E74">
        <w:t xml:space="preserve">(to the clean-up and removal of NAPL) </w:t>
      </w:r>
      <w:r>
        <w:t xml:space="preserve">that also ensure compliance with relevant regulatory requirements if allowed, particularly in instances where the risks are deemed to be low. However, a level of assessment and monitoring would still be required given the nature of NAPL. Thus the </w:t>
      </w:r>
      <w:r w:rsidR="0056355E">
        <w:t>average</w:t>
      </w:r>
      <w:r>
        <w:t xml:space="preserve"> incremental cost of </w:t>
      </w:r>
      <w:r w:rsidRPr="009431F8">
        <w:rPr>
          <w:b/>
        </w:rPr>
        <w:t>Option 2</w:t>
      </w:r>
      <w:r>
        <w:t xml:space="preserve"> </w:t>
      </w:r>
      <w:r w:rsidR="00E573AE">
        <w:t xml:space="preserve">(based on consultations) </w:t>
      </w:r>
      <w:r>
        <w:t>is estimated at approximately $500,000 per instance compared to the Base Case</w:t>
      </w:r>
      <w:r w:rsidR="00E573AE">
        <w:t xml:space="preserve">, however this cost will vary significantly depending on the nature and scale of </w:t>
      </w:r>
      <w:r w:rsidR="003E6970">
        <w:t>the contamination</w:t>
      </w:r>
      <w:r>
        <w:t xml:space="preserve">. It is very difficult to estimate the number of annual NAPL contamination instances. </w:t>
      </w:r>
      <w:r w:rsidR="001D0619">
        <w:t xml:space="preserve">However, if </w:t>
      </w:r>
      <w:r>
        <w:t>50 sites with NAPL contamination are cleaned up and remediated each year, this would result in a total incremental cost to duty holders of $25</w:t>
      </w:r>
      <w:r w:rsidR="006D5690">
        <w:t> </w:t>
      </w:r>
      <w:r>
        <w:t>million each year, noting that the annual cost would likely decrease over time as the number of legacy sites with NAPL contamination is reduced</w:t>
      </w:r>
      <w:r w:rsidR="00CD7AFC">
        <w:t xml:space="preserve"> and treatment methods improve</w:t>
      </w:r>
      <w:r>
        <w:t xml:space="preserve">. </w:t>
      </w:r>
    </w:p>
    <w:p w14:paraId="656B0443" w14:textId="77777777" w:rsidR="00CF0796" w:rsidRDefault="00CF0796" w:rsidP="00CF0796">
      <w:r w:rsidRPr="009431F8">
        <w:rPr>
          <w:b/>
        </w:rPr>
        <w:t>Option 2</w:t>
      </w:r>
      <w:r>
        <w:t xml:space="preserve"> would also likely result in additional administrative costs </w:t>
      </w:r>
      <w:r w:rsidR="00B40D23">
        <w:t xml:space="preserve">to </w:t>
      </w:r>
      <w:r>
        <w:t>duty holders in liaising with EPA and potential lost revenue if duty holders are required to delay operations at sites in order to remediate. This delay cost is difficult to estimate as it will depend on factors such as the complexity of the NAPL contamination, the required remediation, and nature of the business.</w:t>
      </w:r>
    </w:p>
    <w:p w14:paraId="656B0444" w14:textId="77777777" w:rsidR="00CF0796" w:rsidRDefault="00CF0796" w:rsidP="00CF0796">
      <w:r>
        <w:t xml:space="preserve">In contrast to the above, </w:t>
      </w:r>
      <w:r w:rsidRPr="009431F8">
        <w:rPr>
          <w:b/>
        </w:rPr>
        <w:t>Option 3</w:t>
      </w:r>
      <w:r>
        <w:t xml:space="preserve"> is not anticipated to result in any additional costs to duty holders relative to the </w:t>
      </w:r>
      <w:r w:rsidR="000514DD">
        <w:t>Base Case</w:t>
      </w:r>
      <w:r w:rsidR="006D5690">
        <w:t xml:space="preserve">, however it may assist duty holders </w:t>
      </w:r>
      <w:r w:rsidR="00B40D23">
        <w:t>to save</w:t>
      </w:r>
      <w:r w:rsidR="006D5690">
        <w:t xml:space="preserve"> costs through avoiding unnecessary monitoring and assessment activities</w:t>
      </w:r>
      <w:r>
        <w:t xml:space="preserve">. </w:t>
      </w:r>
      <w:r w:rsidRPr="009431F8">
        <w:rPr>
          <w:b/>
        </w:rPr>
        <w:t>Option 3</w:t>
      </w:r>
      <w:r>
        <w:t xml:space="preserve"> may provide duty holders with greater certainty </w:t>
      </w:r>
      <w:r w:rsidRPr="007D51F4">
        <w:t>with respect to establishing background contamination levels for specific waste and chemical substances and in specific regions</w:t>
      </w:r>
      <w:r>
        <w:t xml:space="preserve">. However, depending on the nature of the guidance, it is likely duty holders will still need to undertake </w:t>
      </w:r>
      <w:r w:rsidR="006D5690">
        <w:t xml:space="preserve">some </w:t>
      </w:r>
      <w:r>
        <w:t xml:space="preserve">sampling and monitoring to assess their sites’ background levels and associated risks. </w:t>
      </w:r>
    </w:p>
    <w:p w14:paraId="656B0445" w14:textId="77777777" w:rsidR="00CF0796" w:rsidRPr="00040A06" w:rsidRDefault="00CF0796" w:rsidP="00040A06">
      <w:pPr>
        <w:spacing w:after="0"/>
        <w:rPr>
          <w:i/>
        </w:rPr>
      </w:pPr>
      <w:r w:rsidRPr="00040A06">
        <w:rPr>
          <w:b/>
          <w:i/>
        </w:rPr>
        <w:t>Cost to government</w:t>
      </w:r>
    </w:p>
    <w:p w14:paraId="656B0446" w14:textId="77777777" w:rsidR="00CF0796" w:rsidRDefault="00CF0796" w:rsidP="00CF0796">
      <w:r w:rsidRPr="00040A06">
        <w:rPr>
          <w:b/>
        </w:rPr>
        <w:t>Option 1</w:t>
      </w:r>
      <w:r>
        <w:t xml:space="preserve"> </w:t>
      </w:r>
      <w:r>
        <w:rPr>
          <w:b/>
        </w:rPr>
        <w:t>(</w:t>
      </w:r>
      <w:r w:rsidRPr="009431F8">
        <w:rPr>
          <w:b/>
        </w:rPr>
        <w:t>prescrib</w:t>
      </w:r>
      <w:r>
        <w:rPr>
          <w:b/>
        </w:rPr>
        <w:t>e</w:t>
      </w:r>
      <w:r w:rsidRPr="009431F8">
        <w:rPr>
          <w:b/>
        </w:rPr>
        <w:t xml:space="preserve"> a mechanism for EPA to determine background levels</w:t>
      </w:r>
      <w:r>
        <w:rPr>
          <w:b/>
        </w:rPr>
        <w:t>)</w:t>
      </w:r>
      <w:r>
        <w:t xml:space="preserve"> will involve some costs to government </w:t>
      </w:r>
      <w:r w:rsidR="0030184B">
        <w:t xml:space="preserve">associated with determining </w:t>
      </w:r>
      <w:r>
        <w:t>prescribed background levels of waste or chemical substances on a case-by-case basis. The</w:t>
      </w:r>
      <w:r w:rsidR="00E0655D">
        <w:t>se</w:t>
      </w:r>
      <w:r>
        <w:t xml:space="preserve"> cost</w:t>
      </w:r>
      <w:r w:rsidR="00E0655D">
        <w:t>s</w:t>
      </w:r>
      <w:r>
        <w:t xml:space="preserve"> will depend on the substance and region being considered, and the availability of quality data. The process will likely involve some combination of:</w:t>
      </w:r>
    </w:p>
    <w:p w14:paraId="656B0447" w14:textId="77777777" w:rsidR="00E11C78" w:rsidRDefault="00891BBD" w:rsidP="004A2442">
      <w:pPr>
        <w:pStyle w:val="ListParagraph"/>
        <w:numPr>
          <w:ilvl w:val="0"/>
          <w:numId w:val="79"/>
        </w:numPr>
        <w:spacing w:before="120" w:after="0"/>
      </w:pPr>
      <w:r>
        <w:t>A</w:t>
      </w:r>
      <w:r w:rsidR="00CF0796">
        <w:t>nalysing extant data</w:t>
      </w:r>
      <w:r w:rsidR="009D1E74">
        <w:t xml:space="preserve"> and studies</w:t>
      </w:r>
      <w:r w:rsidR="00E11C78">
        <w:t xml:space="preserve"> for relevant regions across Victoria </w:t>
      </w:r>
    </w:p>
    <w:p w14:paraId="656B0448" w14:textId="77777777" w:rsidR="00CF0796" w:rsidRDefault="00891BBD" w:rsidP="004A2442">
      <w:pPr>
        <w:pStyle w:val="ListParagraph"/>
        <w:numPr>
          <w:ilvl w:val="0"/>
          <w:numId w:val="79"/>
        </w:numPr>
        <w:spacing w:before="120" w:after="0"/>
      </w:pPr>
      <w:r>
        <w:t>R</w:t>
      </w:r>
      <w:r w:rsidR="00E11C78">
        <w:t>eviewing existing standards including existing investigation levels under NEPM ASC</w:t>
      </w:r>
    </w:p>
    <w:p w14:paraId="656B0449" w14:textId="77777777" w:rsidR="00CF0796" w:rsidRDefault="00891BBD" w:rsidP="004A2442">
      <w:pPr>
        <w:pStyle w:val="ListParagraph"/>
        <w:numPr>
          <w:ilvl w:val="0"/>
          <w:numId w:val="79"/>
        </w:numPr>
        <w:spacing w:after="0"/>
      </w:pPr>
      <w:r>
        <w:t>E</w:t>
      </w:r>
      <w:r w:rsidR="00CF0796">
        <w:t>ngaging internal and external expertise</w:t>
      </w:r>
    </w:p>
    <w:p w14:paraId="656B044A" w14:textId="77777777" w:rsidR="00CF0796" w:rsidRDefault="00891BBD" w:rsidP="004A2442">
      <w:pPr>
        <w:pStyle w:val="ListParagraph"/>
        <w:numPr>
          <w:ilvl w:val="0"/>
          <w:numId w:val="79"/>
        </w:numPr>
      </w:pPr>
      <w:r>
        <w:t>P</w:t>
      </w:r>
      <w:r w:rsidR="00CF0796">
        <w:t xml:space="preserve">ublishing the determination. </w:t>
      </w:r>
    </w:p>
    <w:p w14:paraId="656B044B" w14:textId="77777777" w:rsidR="00CF0796" w:rsidRDefault="009D1E74" w:rsidP="00CF0796">
      <w:r>
        <w:t>T</w:t>
      </w:r>
      <w:r w:rsidR="00B4323F">
        <w:t xml:space="preserve">he above </w:t>
      </w:r>
      <w:r w:rsidR="00E11C78">
        <w:t xml:space="preserve">investigative </w:t>
      </w:r>
      <w:r w:rsidR="00B4323F">
        <w:t>process is</w:t>
      </w:r>
      <w:r>
        <w:t xml:space="preserve"> a core function of the EPA</w:t>
      </w:r>
      <w:r w:rsidR="00E11C78">
        <w:t xml:space="preserve">; </w:t>
      </w:r>
      <w:r w:rsidR="00CF0796">
        <w:t xml:space="preserve">the costs </w:t>
      </w:r>
      <w:r w:rsidR="00E11C78">
        <w:t xml:space="preserve">of establishing a determination </w:t>
      </w:r>
      <w:r w:rsidR="00CF0796">
        <w:t xml:space="preserve">are </w:t>
      </w:r>
      <w:r w:rsidR="00E11C78">
        <w:t>expected to be met through existing internal resources and are unlikely to be material</w:t>
      </w:r>
      <w:r w:rsidR="00CF0796">
        <w:t xml:space="preserve">. It is unclear how many determinations are likely to be made by EPA. </w:t>
      </w:r>
    </w:p>
    <w:p w14:paraId="656B044C" w14:textId="77777777" w:rsidR="00CF0796" w:rsidRDefault="00CF0796" w:rsidP="00CF0796">
      <w:r w:rsidRPr="00040A06">
        <w:t xml:space="preserve">Under </w:t>
      </w:r>
      <w:r w:rsidRPr="00040A06">
        <w:rPr>
          <w:b/>
        </w:rPr>
        <w:t>Option 2</w:t>
      </w:r>
      <w:r>
        <w:rPr>
          <w:b/>
        </w:rPr>
        <w:t xml:space="preserve"> (</w:t>
      </w:r>
      <w:r w:rsidRPr="009431F8">
        <w:rPr>
          <w:b/>
        </w:rPr>
        <w:t>Option 1 plus prescrib</w:t>
      </w:r>
      <w:r>
        <w:rPr>
          <w:b/>
        </w:rPr>
        <w:t>e</w:t>
      </w:r>
      <w:r w:rsidRPr="009431F8">
        <w:rPr>
          <w:b/>
        </w:rPr>
        <w:t xml:space="preserve"> the clean-up and removal of NAPL</w:t>
      </w:r>
      <w:r>
        <w:rPr>
          <w:b/>
        </w:rPr>
        <w:t>)</w:t>
      </w:r>
      <w:r w:rsidRPr="00040A06">
        <w:t>, government will</w:t>
      </w:r>
      <w:r w:rsidRPr="009E1FB1">
        <w:t xml:space="preserve"> incur the same</w:t>
      </w:r>
      <w:r>
        <w:t xml:space="preserve"> costs as Option 1. However, unlike Option 1, </w:t>
      </w:r>
      <w:r w:rsidRPr="00040A06">
        <w:rPr>
          <w:b/>
        </w:rPr>
        <w:t>Option 2</w:t>
      </w:r>
      <w:r>
        <w:t xml:space="preserve"> has the potential to avoid some future monitoring, legal, and remediation costs to government associated with the management of NAPL contaminated sites.</w:t>
      </w:r>
    </w:p>
    <w:p w14:paraId="656B044D" w14:textId="77777777" w:rsidR="00CF0796" w:rsidRDefault="00CF0796" w:rsidP="00CF0796">
      <w:r>
        <w:t xml:space="preserve">As reported above, the remediation of NAPL is complex and resource intensive. In the event that a site clean-up may be mismanaged, EPA can incur significant costs monitoring and assessing such sites, in addition to legal fees in relation to contesting and enforcing duty holder compliance. </w:t>
      </w:r>
      <w:r w:rsidRPr="00040A06">
        <w:t>P</w:t>
      </w:r>
      <w:r>
        <w:t xml:space="preserve">rescribing the clean-up and removal of NAPL contamination has the potential to significantly reduce government costs associated with monitoring and assessing the management and clean-up of NAPL contamination because it will require duty holders to undertake specific control measures for NAPL contamination. </w:t>
      </w:r>
      <w:r w:rsidRPr="00782E92">
        <w:rPr>
          <w:b/>
        </w:rPr>
        <w:t>Option 2</w:t>
      </w:r>
      <w:r>
        <w:t xml:space="preserve"> is therefore expected to have a lower cost to government than Option 1.</w:t>
      </w:r>
    </w:p>
    <w:p w14:paraId="656B044E" w14:textId="77777777" w:rsidR="00CF0796" w:rsidRPr="00FD248E" w:rsidRDefault="00CF0796" w:rsidP="00CF0796">
      <w:r w:rsidRPr="00040A06">
        <w:rPr>
          <w:b/>
        </w:rPr>
        <w:t>Option 3</w:t>
      </w:r>
      <w:r>
        <w:rPr>
          <w:b/>
        </w:rPr>
        <w:t xml:space="preserve"> (</w:t>
      </w:r>
      <w:r w:rsidRPr="009431F8">
        <w:rPr>
          <w:b/>
        </w:rPr>
        <w:t>non-statutory guidance</w:t>
      </w:r>
      <w:r>
        <w:rPr>
          <w:b/>
        </w:rPr>
        <w:t>)</w:t>
      </w:r>
      <w:r w:rsidRPr="00FD248E">
        <w:rPr>
          <w:b/>
        </w:rPr>
        <w:t xml:space="preserve"> </w:t>
      </w:r>
      <w:r w:rsidRPr="00040A06">
        <w:t xml:space="preserve">will involve costs to government in the form of developing and issuing guidance </w:t>
      </w:r>
      <w:r w:rsidRPr="00FD248E">
        <w:t>material</w:t>
      </w:r>
      <w:r w:rsidRPr="00040A06">
        <w:t xml:space="preserve">. While it is reasonable to expect that </w:t>
      </w:r>
      <w:r>
        <w:t>EPA</w:t>
      </w:r>
      <w:r w:rsidRPr="00FD248E">
        <w:t xml:space="preserve"> </w:t>
      </w:r>
      <w:r w:rsidRPr="00040A06">
        <w:t xml:space="preserve">may </w:t>
      </w:r>
      <w:r w:rsidRPr="00FD248E">
        <w:t xml:space="preserve">adopt </w:t>
      </w:r>
      <w:r w:rsidRPr="00040A06">
        <w:t xml:space="preserve">some </w:t>
      </w:r>
      <w:r w:rsidRPr="00FD248E">
        <w:t>material</w:t>
      </w:r>
      <w:r w:rsidRPr="00040A06">
        <w:t xml:space="preserve"> from existing publications such as </w:t>
      </w:r>
      <w:r w:rsidRPr="00FD248E">
        <w:t>the NEPM ASC,</w:t>
      </w:r>
      <w:r w:rsidRPr="00040A06">
        <w:t xml:space="preserve"> </w:t>
      </w:r>
      <w:r w:rsidR="006D5690">
        <w:t>a</w:t>
      </w:r>
      <w:r>
        <w:t xml:space="preserve">s for Option 1 the time and resources involved will depend on the extent of guidance material published </w:t>
      </w:r>
      <w:r w:rsidRPr="00040A06">
        <w:t xml:space="preserve">and the range of substances and regions covered. Guidance material may also require </w:t>
      </w:r>
      <w:r w:rsidRPr="00FD248E">
        <w:t xml:space="preserve">updating guidelines as scientific understanding improves </w:t>
      </w:r>
      <w:r w:rsidRPr="00040A06">
        <w:t xml:space="preserve">overtime. </w:t>
      </w:r>
      <w:r>
        <w:t xml:space="preserve">The cost of implementing </w:t>
      </w:r>
      <w:r w:rsidRPr="00040A06">
        <w:rPr>
          <w:b/>
        </w:rPr>
        <w:t>Option 3</w:t>
      </w:r>
      <w:r>
        <w:t xml:space="preserve"> is expected to </w:t>
      </w:r>
      <w:r w:rsidR="006D5690">
        <w:t>be less than</w:t>
      </w:r>
      <w:r>
        <w:t xml:space="preserve"> for Option 1.</w:t>
      </w:r>
    </w:p>
    <w:p w14:paraId="656B044F" w14:textId="77777777" w:rsidR="00CF0796" w:rsidRPr="00040A06" w:rsidRDefault="00CF0796" w:rsidP="00CF0796">
      <w:r>
        <w:t>P</w:t>
      </w:r>
      <w:r w:rsidRPr="00040A06">
        <w:t xml:space="preserve">roviding duty holders with greater </w:t>
      </w:r>
      <w:r w:rsidR="00E0671F" w:rsidRPr="00040A06">
        <w:t>c</w:t>
      </w:r>
      <w:r w:rsidR="00E0671F">
        <w:t xml:space="preserve">ertainty </w:t>
      </w:r>
      <w:r w:rsidRPr="00040A06">
        <w:t xml:space="preserve">and direction through guidance material will likely improve consistency in how duty holders comply with the </w:t>
      </w:r>
      <w:r w:rsidR="006A5A54">
        <w:t>duty to manage</w:t>
      </w:r>
      <w:r>
        <w:t>, compared to the Base Case</w:t>
      </w:r>
      <w:r w:rsidRPr="00040A06">
        <w:t>. This may</w:t>
      </w:r>
      <w:r>
        <w:t xml:space="preserve"> reduce </w:t>
      </w:r>
      <w:r w:rsidRPr="00040A06">
        <w:t xml:space="preserve">some costs </w:t>
      </w:r>
      <w:r>
        <w:t xml:space="preserve">to government </w:t>
      </w:r>
      <w:r w:rsidRPr="00040A06">
        <w:t>through avoided or reduced monitoring</w:t>
      </w:r>
      <w:r>
        <w:t xml:space="preserve"> and</w:t>
      </w:r>
      <w:r w:rsidRPr="00040A06">
        <w:t xml:space="preserve"> assessment. </w:t>
      </w:r>
      <w:r>
        <w:t>However, given the guidance is non-mandatory, this cost offset is not expected to be smaller for Option 3 than Option 2.</w:t>
      </w:r>
    </w:p>
    <w:p w14:paraId="656B0450" w14:textId="77777777" w:rsidR="00CF0796" w:rsidRDefault="00CF0796" w:rsidP="00CF0796">
      <w:pPr>
        <w:rPr>
          <w:b/>
          <w:i/>
        </w:rPr>
      </w:pPr>
      <w:r w:rsidRPr="00040A06">
        <w:rPr>
          <w:b/>
          <w:i/>
        </w:rPr>
        <w:t xml:space="preserve">Overall </w:t>
      </w:r>
      <w:r>
        <w:rPr>
          <w:b/>
          <w:i/>
        </w:rPr>
        <w:t>cost summary</w:t>
      </w:r>
    </w:p>
    <w:p w14:paraId="656B0451" w14:textId="77777777" w:rsidR="00CF0796" w:rsidRPr="00040A06" w:rsidRDefault="00CF0796" w:rsidP="00CF0796">
      <w:r w:rsidRPr="00040A06">
        <w:t>Under</w:t>
      </w:r>
      <w:r>
        <w:rPr>
          <w:b/>
        </w:rPr>
        <w:t xml:space="preserve"> </w:t>
      </w:r>
      <w:r w:rsidRPr="009431F8">
        <w:rPr>
          <w:b/>
        </w:rPr>
        <w:t>Option 1</w:t>
      </w:r>
      <w:r w:rsidRPr="009431F8">
        <w:t xml:space="preserve"> </w:t>
      </w:r>
      <w:r w:rsidRPr="009431F8">
        <w:rPr>
          <w:b/>
        </w:rPr>
        <w:t>(prescribe a mechanism for EPA to determine background levels</w:t>
      </w:r>
      <w:r>
        <w:rPr>
          <w:b/>
        </w:rPr>
        <w:t>)</w:t>
      </w:r>
      <w:r>
        <w:t xml:space="preserve"> there will be costs to government although</w:t>
      </w:r>
      <w:r w:rsidRPr="00040A06">
        <w:t xml:space="preserve"> </w:t>
      </w:r>
      <w:r>
        <w:t>these will be partially offset by avoided monitoring and assessment costs over time. Duty holders will have lower costs</w:t>
      </w:r>
      <w:r w:rsidRPr="00040A06">
        <w:t xml:space="preserve"> in complying with the </w:t>
      </w:r>
      <w:r w:rsidR="006A5A54">
        <w:t>duty to manage</w:t>
      </w:r>
      <w:r>
        <w:t xml:space="preserve"> relative to the Base C</w:t>
      </w:r>
      <w:r w:rsidRPr="00040A06">
        <w:t xml:space="preserve">ase. A score </w:t>
      </w:r>
      <w:r>
        <w:t>of -</w:t>
      </w:r>
      <w:r w:rsidR="00F05DD5">
        <w:t>1</w:t>
      </w:r>
      <w:r>
        <w:t xml:space="preserve"> is given compared to the Base C</w:t>
      </w:r>
      <w:r w:rsidRPr="00040A06">
        <w:t>ase.</w:t>
      </w:r>
    </w:p>
    <w:p w14:paraId="656B0452" w14:textId="77777777" w:rsidR="00CF0796" w:rsidRPr="00040A06" w:rsidRDefault="00CF0796" w:rsidP="00CF0796">
      <w:r w:rsidRPr="009431F8">
        <w:rPr>
          <w:b/>
        </w:rPr>
        <w:t>Option 2</w:t>
      </w:r>
      <w:r>
        <w:t xml:space="preserve"> (</w:t>
      </w:r>
      <w:r w:rsidR="007C42F1" w:rsidRPr="009431F8">
        <w:rPr>
          <w:b/>
        </w:rPr>
        <w:t xml:space="preserve">Option 1 plus </w:t>
      </w:r>
      <w:r w:rsidRPr="009431F8">
        <w:rPr>
          <w:b/>
        </w:rPr>
        <w:t>prescrib</w:t>
      </w:r>
      <w:r>
        <w:rPr>
          <w:b/>
        </w:rPr>
        <w:t>e</w:t>
      </w:r>
      <w:r w:rsidRPr="009431F8">
        <w:rPr>
          <w:b/>
        </w:rPr>
        <w:t xml:space="preserve"> </w:t>
      </w:r>
      <w:r w:rsidR="007C42F1" w:rsidRPr="009431F8">
        <w:rPr>
          <w:b/>
        </w:rPr>
        <w:t>the clean-up and removal of NAPL</w:t>
      </w:r>
      <w:r>
        <w:rPr>
          <w:b/>
        </w:rPr>
        <w:t>)</w:t>
      </w:r>
      <w:r>
        <w:t xml:space="preserve"> </w:t>
      </w:r>
      <w:r w:rsidRPr="00040A06">
        <w:t>has the potential to avoid significant future government costs associated with the monitoring, management and c</w:t>
      </w:r>
      <w:r>
        <w:t>lean-up of NAPL contamination, H</w:t>
      </w:r>
      <w:r w:rsidRPr="00040A06">
        <w:t>owever</w:t>
      </w:r>
      <w:r w:rsidR="00F05DD5">
        <w:t>,</w:t>
      </w:r>
      <w:r w:rsidRPr="00040A06">
        <w:t xml:space="preserve"> it is expected to </w:t>
      </w:r>
      <w:r>
        <w:t>impose significant compliance costs on</w:t>
      </w:r>
      <w:r w:rsidRPr="00040A06">
        <w:t xml:space="preserve"> </w:t>
      </w:r>
      <w:r w:rsidR="00F05DD5">
        <w:t xml:space="preserve">a small proportion of </w:t>
      </w:r>
      <w:r w:rsidRPr="00040A06">
        <w:t>affecte</w:t>
      </w:r>
      <w:r>
        <w:t>d duty holders relative to the Base C</w:t>
      </w:r>
      <w:r w:rsidRPr="00040A06">
        <w:t xml:space="preserve">ase. A score </w:t>
      </w:r>
      <w:r>
        <w:t>of -</w:t>
      </w:r>
      <w:r w:rsidR="00F05DD5">
        <w:t xml:space="preserve">7 </w:t>
      </w:r>
      <w:r>
        <w:t>is given compared to the Base C</w:t>
      </w:r>
      <w:r w:rsidRPr="00040A06">
        <w:t>ase.</w:t>
      </w:r>
    </w:p>
    <w:p w14:paraId="656B0453" w14:textId="77777777" w:rsidR="00CF0796" w:rsidRPr="00CB768C" w:rsidRDefault="00CF0796" w:rsidP="00CF0796">
      <w:r w:rsidRPr="00C34056">
        <w:rPr>
          <w:b/>
        </w:rPr>
        <w:t>Option 3</w:t>
      </w:r>
      <w:r>
        <w:rPr>
          <w:b/>
        </w:rPr>
        <w:t xml:space="preserve"> (</w:t>
      </w:r>
      <w:r w:rsidRPr="009431F8">
        <w:rPr>
          <w:b/>
        </w:rPr>
        <w:t>non-statutory guidance</w:t>
      </w:r>
      <w:r>
        <w:rPr>
          <w:b/>
        </w:rPr>
        <w:t xml:space="preserve">) </w:t>
      </w:r>
      <w:r w:rsidRPr="00C34056">
        <w:t xml:space="preserve">is </w:t>
      </w:r>
      <w:r w:rsidR="007C42F1">
        <w:t>expected</w:t>
      </w:r>
      <w:r w:rsidRPr="00C34056">
        <w:t xml:space="preserve"> to represent a </w:t>
      </w:r>
      <w:r w:rsidR="007C42F1">
        <w:t>lower</w:t>
      </w:r>
      <w:r w:rsidRPr="00C34056">
        <w:t xml:space="preserve"> cost burden</w:t>
      </w:r>
      <w:r w:rsidRPr="00C34056" w:rsidDel="007F0E92">
        <w:t xml:space="preserve"> </w:t>
      </w:r>
      <w:r w:rsidRPr="00040A06">
        <w:t xml:space="preserve">to </w:t>
      </w:r>
      <w:r w:rsidRPr="00C34056">
        <w:t>government</w:t>
      </w:r>
      <w:r w:rsidR="007C42F1">
        <w:t xml:space="preserve"> tha</w:t>
      </w:r>
      <w:r w:rsidR="008E4563">
        <w:t>n</w:t>
      </w:r>
      <w:r w:rsidR="007C42F1">
        <w:t xml:space="preserve"> Option 1</w:t>
      </w:r>
      <w:r w:rsidRPr="00040A06">
        <w:t xml:space="preserve">, </w:t>
      </w:r>
      <w:r>
        <w:t>however is likely to lead to higher costs for duty holders compared to Option 1 because some duty holders will adopt the guidance</w:t>
      </w:r>
      <w:r w:rsidR="00B40D23">
        <w:t>,</w:t>
      </w:r>
      <w:r>
        <w:t xml:space="preserve"> but lower than under Option 2 where there are prescribed requirements. Option 3 will impose similar costs as Option 1 and 2 in relation to prescription of background levels for the </w:t>
      </w:r>
      <w:r w:rsidR="006A5A54">
        <w:t>duty to manage</w:t>
      </w:r>
      <w:r>
        <w:t xml:space="preserve">. Overall, Option 3 is </w:t>
      </w:r>
      <w:r w:rsidRPr="00956B6D">
        <w:t>score</w:t>
      </w:r>
      <w:r>
        <w:t>d</w:t>
      </w:r>
      <w:r w:rsidRPr="00956B6D">
        <w:t xml:space="preserve"> </w:t>
      </w:r>
      <w:r w:rsidRPr="00040A06">
        <w:t>-</w:t>
      </w:r>
      <w:r w:rsidR="00F05DD5">
        <w:t>2</w:t>
      </w:r>
      <w:r w:rsidR="00F05DD5" w:rsidRPr="00956B6D">
        <w:t xml:space="preserve"> </w:t>
      </w:r>
      <w:r>
        <w:t>for costs</w:t>
      </w:r>
      <w:r w:rsidRPr="00956B6D">
        <w:t>.</w:t>
      </w:r>
    </w:p>
    <w:p w14:paraId="656B0454" w14:textId="77777777" w:rsidR="00CF0796" w:rsidRDefault="00CF0796" w:rsidP="00700983">
      <w:pPr>
        <w:pStyle w:val="Heading3"/>
        <w:ind w:left="720"/>
      </w:pPr>
      <w:r>
        <w:t xml:space="preserve">MCA summary </w:t>
      </w:r>
    </w:p>
    <w:p w14:paraId="656B0455" w14:textId="77777777" w:rsidR="00CF0796" w:rsidRDefault="00CF0796" w:rsidP="00040A06">
      <w:pPr>
        <w:spacing w:after="0"/>
      </w:pPr>
      <w:r w:rsidRPr="00C34056">
        <w:t xml:space="preserve">The preferred option is to </w:t>
      </w:r>
      <w:r w:rsidRPr="00040A06">
        <w:t>prescribe a mechanism for EPA to determine background levels and prescribe specific control measures for the management of NAPL contamination (</w:t>
      </w:r>
      <w:r w:rsidRPr="008748DE">
        <w:rPr>
          <w:b/>
        </w:rPr>
        <w:t>Option 2</w:t>
      </w:r>
      <w:r w:rsidRPr="00040A06">
        <w:t>).</w:t>
      </w:r>
      <w:r>
        <w:t xml:space="preserve"> </w:t>
      </w:r>
      <w:r w:rsidRPr="00040A06">
        <w:rPr>
          <w:b/>
        </w:rPr>
        <w:t>Option 2</w:t>
      </w:r>
      <w:r>
        <w:t xml:space="preserve"> has the potential to avoid significant future government costs associated with the monitoring, management and clean-up of NAPL contamination. </w:t>
      </w:r>
      <w:r w:rsidRPr="00040A06">
        <w:t>While</w:t>
      </w:r>
      <w:r>
        <w:rPr>
          <w:b/>
        </w:rPr>
        <w:t xml:space="preserve"> </w:t>
      </w:r>
      <w:r w:rsidRPr="00040A06">
        <w:rPr>
          <w:b/>
        </w:rPr>
        <w:t>Option 2</w:t>
      </w:r>
      <w:r>
        <w:t xml:space="preserve"> is anticipated to result in significant costs to duty holders, it is also expected to </w:t>
      </w:r>
      <w:r w:rsidRPr="007D51F4">
        <w:t xml:space="preserve">reduce and avoid long-term and significant impacts to human health and environment by addressing the residual risk posed by NAPL contamination through the clean-up and removal of the NAPL source. </w:t>
      </w:r>
    </w:p>
    <w:p w14:paraId="656B0456" w14:textId="77777777" w:rsidR="00CF0796" w:rsidRDefault="00CF0796" w:rsidP="00782E92">
      <w:pPr>
        <w:pStyle w:val="Caption"/>
      </w:pPr>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8</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3</w:t>
      </w:r>
      <w:r w:rsidR="00997CFA">
        <w:rPr>
          <w:color w:val="2B579A"/>
          <w:shd w:val="clear" w:color="auto" w:fill="E6E6E6"/>
        </w:rPr>
        <w:fldChar w:fldCharType="end"/>
      </w:r>
      <w:r>
        <w:t xml:space="preserve"> Summary of MCA assessment under the </w:t>
      </w:r>
      <w:r w:rsidR="006A5A54">
        <w:t>duty to manage</w:t>
      </w:r>
    </w:p>
    <w:tbl>
      <w:tblPr>
        <w:tblStyle w:val="Deloittetable1"/>
        <w:tblW w:w="9234" w:type="dxa"/>
        <w:tblLook w:val="04A0" w:firstRow="1" w:lastRow="0" w:firstColumn="1" w:lastColumn="0" w:noHBand="0" w:noVBand="1"/>
      </w:tblPr>
      <w:tblGrid>
        <w:gridCol w:w="2308"/>
        <w:gridCol w:w="2309"/>
        <w:gridCol w:w="2308"/>
        <w:gridCol w:w="2309"/>
      </w:tblGrid>
      <w:tr w:rsidR="00E127A9" w14:paraId="656B045E" w14:textId="77777777" w:rsidTr="00700983">
        <w:trPr>
          <w:cnfStyle w:val="100000000000" w:firstRow="1" w:lastRow="0" w:firstColumn="0" w:lastColumn="0" w:oddVBand="0" w:evenVBand="0" w:oddHBand="0" w:evenHBand="0" w:firstRowFirstColumn="0" w:firstRowLastColumn="0" w:lastRowFirstColumn="0" w:lastRowLastColumn="0"/>
          <w:trHeight w:val="308"/>
        </w:trPr>
        <w:tc>
          <w:tcPr>
            <w:tcW w:w="2308" w:type="dxa"/>
          </w:tcPr>
          <w:p w14:paraId="656B0457" w14:textId="77777777" w:rsidR="00E127A9" w:rsidRPr="005B03CD" w:rsidRDefault="00E127A9" w:rsidP="00E573AE">
            <w:r>
              <w:rPr>
                <w:b/>
              </w:rPr>
              <w:t>Criteria</w:t>
            </w:r>
            <w:r w:rsidR="00E573AE">
              <w:rPr>
                <w:b/>
              </w:rPr>
              <w:t xml:space="preserve"> (and weight)</w:t>
            </w:r>
          </w:p>
        </w:tc>
        <w:tc>
          <w:tcPr>
            <w:tcW w:w="2309" w:type="dxa"/>
          </w:tcPr>
          <w:p w14:paraId="656B0458" w14:textId="77777777" w:rsidR="00E127A9" w:rsidRDefault="00E127A9" w:rsidP="001F1C85">
            <w:pPr>
              <w:ind w:right="57"/>
              <w:jc w:val="right"/>
              <w:rPr>
                <w:b/>
              </w:rPr>
            </w:pPr>
            <w:r>
              <w:rPr>
                <w:b/>
              </w:rPr>
              <w:t>Option 1</w:t>
            </w:r>
          </w:p>
          <w:p w14:paraId="656B0459" w14:textId="77777777" w:rsidR="00E127A9" w:rsidRPr="00E127A9" w:rsidRDefault="00E127A9" w:rsidP="001F1C85">
            <w:pPr>
              <w:ind w:right="57"/>
              <w:jc w:val="right"/>
            </w:pPr>
            <w:r>
              <w:t>Determination    mechanism</w:t>
            </w:r>
          </w:p>
        </w:tc>
        <w:tc>
          <w:tcPr>
            <w:tcW w:w="2308" w:type="dxa"/>
          </w:tcPr>
          <w:p w14:paraId="656B045A" w14:textId="77777777" w:rsidR="00E127A9" w:rsidRDefault="00E127A9" w:rsidP="001F1C85">
            <w:pPr>
              <w:ind w:right="57"/>
              <w:jc w:val="right"/>
              <w:rPr>
                <w:b/>
              </w:rPr>
            </w:pPr>
            <w:r>
              <w:rPr>
                <w:b/>
              </w:rPr>
              <w:t>Option 2</w:t>
            </w:r>
          </w:p>
          <w:p w14:paraId="656B045B" w14:textId="77777777" w:rsidR="00E127A9" w:rsidRDefault="00E127A9" w:rsidP="001F1C85">
            <w:pPr>
              <w:ind w:right="57"/>
              <w:jc w:val="right"/>
              <w:rPr>
                <w:b/>
              </w:rPr>
            </w:pPr>
            <w:r w:rsidRPr="00700983">
              <w:t>Option 1 plus NAPL removal</w:t>
            </w:r>
          </w:p>
        </w:tc>
        <w:tc>
          <w:tcPr>
            <w:tcW w:w="2309" w:type="dxa"/>
          </w:tcPr>
          <w:p w14:paraId="656B045C" w14:textId="77777777" w:rsidR="00E127A9" w:rsidRDefault="00E127A9" w:rsidP="001F1C85">
            <w:pPr>
              <w:ind w:right="57"/>
              <w:jc w:val="right"/>
              <w:rPr>
                <w:b/>
              </w:rPr>
            </w:pPr>
            <w:r>
              <w:rPr>
                <w:b/>
              </w:rPr>
              <w:t>Option 3</w:t>
            </w:r>
          </w:p>
          <w:p w14:paraId="656B045D" w14:textId="77777777" w:rsidR="00E127A9" w:rsidRPr="00700983" w:rsidRDefault="00E127A9" w:rsidP="001F1C85">
            <w:pPr>
              <w:ind w:right="57"/>
              <w:jc w:val="right"/>
            </w:pPr>
            <w:r>
              <w:t>Provide guidelines</w:t>
            </w:r>
          </w:p>
        </w:tc>
      </w:tr>
      <w:tr w:rsidR="00E127A9" w:rsidRPr="00594730" w14:paraId="656B0463" w14:textId="77777777" w:rsidTr="00700983">
        <w:trPr>
          <w:trHeight w:val="279"/>
        </w:trPr>
        <w:tc>
          <w:tcPr>
            <w:tcW w:w="2308" w:type="dxa"/>
          </w:tcPr>
          <w:p w14:paraId="656B045F" w14:textId="77777777" w:rsidR="00E127A9" w:rsidRPr="00594730" w:rsidRDefault="00E127A9" w:rsidP="002C669A">
            <w:pPr>
              <w:spacing w:after="0"/>
              <w:rPr>
                <w:sz w:val="18"/>
              </w:rPr>
            </w:pPr>
            <w:r>
              <w:rPr>
                <w:sz w:val="18"/>
              </w:rPr>
              <w:t xml:space="preserve">Effectiveness </w:t>
            </w:r>
            <w:r w:rsidR="00E573AE">
              <w:rPr>
                <w:sz w:val="18"/>
              </w:rPr>
              <w:t>(50%)</w:t>
            </w:r>
          </w:p>
        </w:tc>
        <w:tc>
          <w:tcPr>
            <w:tcW w:w="2309" w:type="dxa"/>
          </w:tcPr>
          <w:p w14:paraId="656B0460" w14:textId="77777777" w:rsidR="00E127A9" w:rsidRPr="00594730" w:rsidRDefault="00E127A9" w:rsidP="001F1C85">
            <w:pPr>
              <w:tabs>
                <w:tab w:val="left" w:pos="1248"/>
              </w:tabs>
              <w:spacing w:after="0"/>
              <w:ind w:right="57"/>
              <w:jc w:val="right"/>
              <w:rPr>
                <w:sz w:val="18"/>
              </w:rPr>
            </w:pPr>
            <w:r>
              <w:rPr>
                <w:sz w:val="18"/>
              </w:rPr>
              <w:t>0</w:t>
            </w:r>
          </w:p>
        </w:tc>
        <w:tc>
          <w:tcPr>
            <w:tcW w:w="2308" w:type="dxa"/>
          </w:tcPr>
          <w:p w14:paraId="656B0461" w14:textId="77777777" w:rsidR="00E127A9" w:rsidRPr="00594730" w:rsidRDefault="00E127A9" w:rsidP="001F1C85">
            <w:pPr>
              <w:spacing w:after="0"/>
              <w:ind w:right="57"/>
              <w:jc w:val="right"/>
              <w:rPr>
                <w:sz w:val="18"/>
              </w:rPr>
            </w:pPr>
            <w:r>
              <w:rPr>
                <w:sz w:val="18"/>
              </w:rPr>
              <w:t>8</w:t>
            </w:r>
          </w:p>
        </w:tc>
        <w:tc>
          <w:tcPr>
            <w:tcW w:w="2309" w:type="dxa"/>
          </w:tcPr>
          <w:p w14:paraId="656B0462" w14:textId="77777777" w:rsidR="00E127A9" w:rsidRDefault="00E127A9" w:rsidP="001F1C85">
            <w:pPr>
              <w:spacing w:after="0"/>
              <w:ind w:right="57"/>
              <w:jc w:val="right"/>
              <w:rPr>
                <w:sz w:val="18"/>
              </w:rPr>
            </w:pPr>
            <w:r>
              <w:rPr>
                <w:sz w:val="18"/>
              </w:rPr>
              <w:t>1</w:t>
            </w:r>
          </w:p>
        </w:tc>
      </w:tr>
      <w:tr w:rsidR="00E127A9" w:rsidRPr="00594730" w14:paraId="656B0468" w14:textId="77777777" w:rsidTr="00700983">
        <w:trPr>
          <w:trHeight w:val="279"/>
        </w:trPr>
        <w:tc>
          <w:tcPr>
            <w:tcW w:w="2308" w:type="dxa"/>
          </w:tcPr>
          <w:p w14:paraId="656B0464" w14:textId="77777777" w:rsidR="00E127A9" w:rsidRPr="00594730" w:rsidRDefault="00E127A9" w:rsidP="002C669A">
            <w:pPr>
              <w:spacing w:after="0"/>
              <w:rPr>
                <w:sz w:val="18"/>
              </w:rPr>
            </w:pPr>
            <w:r>
              <w:rPr>
                <w:sz w:val="18"/>
              </w:rPr>
              <w:t>Cost</w:t>
            </w:r>
            <w:r w:rsidR="00E573AE">
              <w:rPr>
                <w:sz w:val="18"/>
              </w:rPr>
              <w:t xml:space="preserve"> (50</w:t>
            </w:r>
            <w:r w:rsidR="00891BBD">
              <w:rPr>
                <w:sz w:val="18"/>
              </w:rPr>
              <w:t>%</w:t>
            </w:r>
            <w:r w:rsidR="00E573AE">
              <w:rPr>
                <w:sz w:val="18"/>
              </w:rPr>
              <w:t>)</w:t>
            </w:r>
          </w:p>
        </w:tc>
        <w:tc>
          <w:tcPr>
            <w:tcW w:w="2309" w:type="dxa"/>
          </w:tcPr>
          <w:p w14:paraId="656B0465" w14:textId="77777777" w:rsidR="00E127A9" w:rsidRPr="00594730" w:rsidRDefault="00E127A9" w:rsidP="001F1C85">
            <w:pPr>
              <w:spacing w:after="0"/>
              <w:ind w:right="57"/>
              <w:jc w:val="right"/>
              <w:rPr>
                <w:sz w:val="18"/>
              </w:rPr>
            </w:pPr>
            <w:r>
              <w:rPr>
                <w:sz w:val="18"/>
              </w:rPr>
              <w:t>-1</w:t>
            </w:r>
          </w:p>
        </w:tc>
        <w:tc>
          <w:tcPr>
            <w:tcW w:w="2308" w:type="dxa"/>
          </w:tcPr>
          <w:p w14:paraId="656B0466" w14:textId="77777777" w:rsidR="00E127A9" w:rsidRPr="00594730" w:rsidRDefault="00E127A9" w:rsidP="001F1C85">
            <w:pPr>
              <w:spacing w:after="0"/>
              <w:ind w:right="57"/>
              <w:jc w:val="right"/>
              <w:rPr>
                <w:sz w:val="18"/>
              </w:rPr>
            </w:pPr>
            <w:r>
              <w:rPr>
                <w:sz w:val="18"/>
              </w:rPr>
              <w:t>-7</w:t>
            </w:r>
          </w:p>
        </w:tc>
        <w:tc>
          <w:tcPr>
            <w:tcW w:w="2309" w:type="dxa"/>
          </w:tcPr>
          <w:p w14:paraId="656B0467" w14:textId="77777777" w:rsidR="00E127A9" w:rsidRDefault="00E127A9" w:rsidP="001F1C85">
            <w:pPr>
              <w:spacing w:after="0"/>
              <w:ind w:right="57"/>
              <w:jc w:val="right"/>
              <w:rPr>
                <w:sz w:val="18"/>
              </w:rPr>
            </w:pPr>
            <w:r>
              <w:rPr>
                <w:sz w:val="18"/>
              </w:rPr>
              <w:t>-2</w:t>
            </w:r>
          </w:p>
        </w:tc>
      </w:tr>
      <w:tr w:rsidR="00E127A9" w:rsidRPr="00594730" w14:paraId="656B046D" w14:textId="77777777" w:rsidTr="00700983">
        <w:trPr>
          <w:trHeight w:val="279"/>
        </w:trPr>
        <w:tc>
          <w:tcPr>
            <w:tcW w:w="2308" w:type="dxa"/>
          </w:tcPr>
          <w:p w14:paraId="656B0469" w14:textId="77777777" w:rsidR="00E127A9" w:rsidRPr="00F27F90" w:rsidRDefault="00E127A9" w:rsidP="002C669A">
            <w:pPr>
              <w:spacing w:after="0"/>
              <w:rPr>
                <w:b/>
                <w:sz w:val="18"/>
              </w:rPr>
            </w:pPr>
            <w:r>
              <w:rPr>
                <w:b/>
                <w:sz w:val="18"/>
              </w:rPr>
              <w:t xml:space="preserve">Total </w:t>
            </w:r>
            <w:r w:rsidR="00E573AE">
              <w:rPr>
                <w:b/>
                <w:sz w:val="18"/>
              </w:rPr>
              <w:t>weighted s</w:t>
            </w:r>
            <w:r>
              <w:rPr>
                <w:b/>
                <w:sz w:val="18"/>
              </w:rPr>
              <w:t>core</w:t>
            </w:r>
          </w:p>
        </w:tc>
        <w:tc>
          <w:tcPr>
            <w:tcW w:w="2309" w:type="dxa"/>
          </w:tcPr>
          <w:p w14:paraId="656B046A" w14:textId="77777777" w:rsidR="00E127A9" w:rsidRPr="00F27F90" w:rsidRDefault="00E127A9" w:rsidP="001F1C85">
            <w:pPr>
              <w:spacing w:after="0"/>
              <w:ind w:right="57"/>
              <w:jc w:val="right"/>
              <w:rPr>
                <w:b/>
                <w:sz w:val="18"/>
              </w:rPr>
            </w:pPr>
            <w:r>
              <w:rPr>
                <w:b/>
                <w:sz w:val="18"/>
              </w:rPr>
              <w:t>-</w:t>
            </w:r>
            <w:r w:rsidR="002813CD">
              <w:rPr>
                <w:b/>
                <w:sz w:val="18"/>
              </w:rPr>
              <w:t>0.5</w:t>
            </w:r>
          </w:p>
        </w:tc>
        <w:tc>
          <w:tcPr>
            <w:tcW w:w="2308" w:type="dxa"/>
          </w:tcPr>
          <w:p w14:paraId="656B046B" w14:textId="77777777" w:rsidR="00E127A9" w:rsidRPr="00F27F90" w:rsidRDefault="00E127A9" w:rsidP="001F1C85">
            <w:pPr>
              <w:spacing w:after="0"/>
              <w:ind w:right="57"/>
              <w:jc w:val="right"/>
              <w:rPr>
                <w:b/>
                <w:sz w:val="18"/>
              </w:rPr>
            </w:pPr>
            <w:r>
              <w:rPr>
                <w:b/>
                <w:sz w:val="18"/>
              </w:rPr>
              <w:t>1</w:t>
            </w:r>
          </w:p>
        </w:tc>
        <w:tc>
          <w:tcPr>
            <w:tcW w:w="2309" w:type="dxa"/>
          </w:tcPr>
          <w:p w14:paraId="656B046C" w14:textId="77777777" w:rsidR="00E127A9" w:rsidRPr="00F27F90" w:rsidRDefault="00E127A9" w:rsidP="001F1C85">
            <w:pPr>
              <w:spacing w:after="0"/>
              <w:ind w:right="57"/>
              <w:jc w:val="right"/>
              <w:rPr>
                <w:b/>
                <w:sz w:val="18"/>
              </w:rPr>
            </w:pPr>
            <w:r>
              <w:rPr>
                <w:b/>
                <w:sz w:val="18"/>
              </w:rPr>
              <w:t>-</w:t>
            </w:r>
            <w:r w:rsidR="002813CD">
              <w:rPr>
                <w:b/>
                <w:sz w:val="18"/>
              </w:rPr>
              <w:t>0.5</w:t>
            </w:r>
          </w:p>
        </w:tc>
      </w:tr>
    </w:tbl>
    <w:p w14:paraId="656B046F" w14:textId="77777777" w:rsidR="00CF0796" w:rsidRDefault="00CF0796" w:rsidP="00982D63">
      <w:pPr>
        <w:pStyle w:val="Heading2"/>
      </w:pPr>
      <w:r>
        <w:t>Duty to notify</w:t>
      </w:r>
      <w:r w:rsidR="00E127A9">
        <w:t xml:space="preserve"> of contaminated land</w:t>
      </w:r>
    </w:p>
    <w:p w14:paraId="656B0470" w14:textId="77777777" w:rsidR="00CF0796" w:rsidRDefault="00CF0796" w:rsidP="006E4A14">
      <w:pPr>
        <w:pStyle w:val="Heading3"/>
        <w:ind w:left="720"/>
      </w:pPr>
      <w:r>
        <w:t>Options</w:t>
      </w:r>
    </w:p>
    <w:p w14:paraId="656B0471" w14:textId="77777777" w:rsidR="00E213E9" w:rsidRDefault="00346D41" w:rsidP="00700983">
      <w:pPr>
        <w:mirrorIndents/>
      </w:pPr>
      <w:r>
        <w:t>This RIS considers</w:t>
      </w:r>
      <w:r w:rsidR="00E213E9">
        <w:t xml:space="preserve"> two distinct options to address the residual risk. When developing these options, </w:t>
      </w:r>
      <w:r>
        <w:t>EPA and DELWP</w:t>
      </w:r>
      <w:r w:rsidR="00E213E9">
        <w:t xml:space="preserve"> considered the opportunities to refine the triggers for </w:t>
      </w:r>
      <w:r w:rsidR="00883762">
        <w:t xml:space="preserve">and actions required under </w:t>
      </w:r>
      <w:r w:rsidR="00E213E9">
        <w:t>the duty to notify of contaminated land in the new EP legislation</w:t>
      </w:r>
      <w:r w:rsidR="00883762">
        <w:t xml:space="preserve">. Options were developed </w:t>
      </w:r>
      <w:r w:rsidR="00E213E9">
        <w:t xml:space="preserve">such that they give greater consideration to the risk of harm to human health and the environment from land contamination. </w:t>
      </w:r>
    </w:p>
    <w:p w14:paraId="656B0472" w14:textId="77777777" w:rsidR="00CF0796" w:rsidRDefault="00E213E9" w:rsidP="00040A06">
      <w:r>
        <w:t xml:space="preserve"> </w:t>
      </w:r>
      <w:r w:rsidR="00CF0796">
        <w:t xml:space="preserve">The options considered in addressing the residual risks associated with the </w:t>
      </w:r>
      <w:r w:rsidR="006A5A54">
        <w:t>duty to notify</w:t>
      </w:r>
      <w:r w:rsidR="00CF0796">
        <w:t xml:space="preserve"> </w:t>
      </w:r>
      <w:r>
        <w:t>of</w:t>
      </w:r>
      <w:r w:rsidR="00CF0796">
        <w:t xml:space="preserve"> contaminated land are:</w:t>
      </w:r>
    </w:p>
    <w:p w14:paraId="656B0473" w14:textId="77777777" w:rsidR="00D84189" w:rsidRDefault="00D84189" w:rsidP="00D84189">
      <w:pPr>
        <w:pStyle w:val="Bullet1"/>
        <w:numPr>
          <w:ilvl w:val="0"/>
          <w:numId w:val="26"/>
        </w:numPr>
        <w:tabs>
          <w:tab w:val="left" w:pos="720"/>
        </w:tabs>
      </w:pPr>
      <w:r w:rsidRPr="007D51F4">
        <w:rPr>
          <w:b/>
        </w:rPr>
        <w:t>Base case</w:t>
      </w:r>
      <w:r>
        <w:rPr>
          <w:b/>
        </w:rPr>
        <w:t xml:space="preserve"> – do nothing</w:t>
      </w:r>
      <w:r w:rsidRPr="007D51F4">
        <w:rPr>
          <w:b/>
        </w:rPr>
        <w:t>:</w:t>
      </w:r>
      <w:r>
        <w:t xml:space="preserve"> no regulations to support the duty to notify. Under this option, the notifiable threshold of $50,000 would apply. </w:t>
      </w:r>
    </w:p>
    <w:p w14:paraId="656B0474" w14:textId="77777777" w:rsidR="00D84189" w:rsidRPr="00040A06" w:rsidRDefault="00D84189" w:rsidP="00D84189">
      <w:pPr>
        <w:pStyle w:val="Bullet1"/>
        <w:numPr>
          <w:ilvl w:val="0"/>
          <w:numId w:val="64"/>
        </w:numPr>
        <w:tabs>
          <w:tab w:val="left" w:pos="720"/>
        </w:tabs>
      </w:pPr>
      <w:r w:rsidRPr="00114C8D">
        <w:rPr>
          <w:b/>
        </w:rPr>
        <w:t>Option 1 – prescrib</w:t>
      </w:r>
      <w:r>
        <w:rPr>
          <w:b/>
        </w:rPr>
        <w:t>e</w:t>
      </w:r>
      <w:r w:rsidRPr="00114C8D">
        <w:rPr>
          <w:b/>
        </w:rPr>
        <w:t xml:space="preserve"> an alternative risk-based notification threshold:</w:t>
      </w:r>
      <w:r>
        <w:t xml:space="preserve"> </w:t>
      </w:r>
      <w:r w:rsidRPr="00CB2B46">
        <w:t xml:space="preserve">As a new duty to Victoria, the </w:t>
      </w:r>
      <w:r>
        <w:t xml:space="preserve">new EP </w:t>
      </w:r>
      <w:r w:rsidRPr="00CB2B46">
        <w:t xml:space="preserve">legislation provides for two alternative ways of setting the contamination threshold: a dollar value as the default threshold (comparable to the </w:t>
      </w:r>
      <w:r>
        <w:t xml:space="preserve">approach adopted in </w:t>
      </w:r>
      <w:r w:rsidRPr="00CB2B46">
        <w:t>Queensland)</w:t>
      </w:r>
      <w:r>
        <w:t xml:space="preserve">; or through </w:t>
      </w:r>
      <w:r w:rsidRPr="00CB2B46">
        <w:t xml:space="preserve">regulations </w:t>
      </w:r>
      <w:r>
        <w:t xml:space="preserve">that </w:t>
      </w:r>
      <w:r w:rsidRPr="00CB2B46">
        <w:t>prescribe notification thresholds (akin to the NSW model)</w:t>
      </w:r>
      <w:r>
        <w:t xml:space="preserve"> </w:t>
      </w:r>
      <w:r w:rsidR="00B40D23">
        <w:t xml:space="preserve">which </w:t>
      </w:r>
      <w:r>
        <w:t>override the default threshold</w:t>
      </w:r>
      <w:r w:rsidRPr="00CB2B46">
        <w:t xml:space="preserve">. </w:t>
      </w:r>
      <w:r>
        <w:t>Option 1 adopts the latter, prescribing risk</w:t>
      </w:r>
      <w:r>
        <w:noBreakHyphen/>
        <w:t xml:space="preserve">based contamination thresholds in regulations </w:t>
      </w:r>
      <w:r w:rsidRPr="00D758CD">
        <w:t xml:space="preserve">based on </w:t>
      </w:r>
      <w:r w:rsidRPr="00163CEE">
        <w:t xml:space="preserve">NEPM investigation levels and </w:t>
      </w:r>
      <w:r w:rsidRPr="00163CEE">
        <w:rPr>
          <w:color w:val="000000" w:themeColor="text1"/>
        </w:rPr>
        <w:t xml:space="preserve">provisions in the </w:t>
      </w:r>
      <w:r w:rsidRPr="00D758CD">
        <w:rPr>
          <w:i/>
        </w:rPr>
        <w:t>NSW Contaminated Land Management Act 1997</w:t>
      </w:r>
      <w:r>
        <w:rPr>
          <w:i/>
        </w:rPr>
        <w:t xml:space="preserve">. </w:t>
      </w:r>
      <w:r>
        <w:t>This would replace the notifiable threshold of $50,000. Risk-based thresholds</w:t>
      </w:r>
      <w:r w:rsidR="0056355E">
        <w:t>, consistent with the N</w:t>
      </w:r>
      <w:r w:rsidR="00C44902">
        <w:t>EP</w:t>
      </w:r>
      <w:r w:rsidR="0056355E">
        <w:t>M ASC,</w:t>
      </w:r>
      <w:r>
        <w:t xml:space="preserve"> will take into account</w:t>
      </w:r>
      <w:r w:rsidRPr="00114C8D">
        <w:rPr>
          <w:color w:val="000000" w:themeColor="text1"/>
        </w:rPr>
        <w:t xml:space="preserve">: </w:t>
      </w:r>
    </w:p>
    <w:p w14:paraId="656B0475" w14:textId="77777777" w:rsidR="00CF0796" w:rsidRDefault="00891BBD" w:rsidP="004A2442">
      <w:pPr>
        <w:pStyle w:val="Bullet1"/>
        <w:numPr>
          <w:ilvl w:val="1"/>
          <w:numId w:val="64"/>
        </w:numPr>
        <w:tabs>
          <w:tab w:val="left" w:pos="720"/>
        </w:tabs>
      </w:pPr>
      <w:r>
        <w:rPr>
          <w:color w:val="2B579A"/>
          <w:shd w:val="clear" w:color="auto" w:fill="E6E6E6"/>
        </w:rPr>
        <w:t>O</w:t>
      </w:r>
      <w:r w:rsidR="00CF0796">
        <w:t>n-site contamination levels</w:t>
      </w:r>
      <w:r w:rsidR="00072E31">
        <w:t xml:space="preserve"> in soil</w:t>
      </w:r>
    </w:p>
    <w:p w14:paraId="656B0476" w14:textId="77777777" w:rsidR="00CF0796" w:rsidRDefault="00891BBD" w:rsidP="004A2442">
      <w:pPr>
        <w:pStyle w:val="Bullet1"/>
        <w:numPr>
          <w:ilvl w:val="1"/>
          <w:numId w:val="64"/>
        </w:numPr>
        <w:tabs>
          <w:tab w:val="left" w:pos="720"/>
        </w:tabs>
      </w:pPr>
      <w:r>
        <w:t>C</w:t>
      </w:r>
      <w:r w:rsidR="00CF0796">
        <w:t>ontamination levels of neighbouring land</w:t>
      </w:r>
    </w:p>
    <w:p w14:paraId="656B0477" w14:textId="77777777" w:rsidR="00CF0796" w:rsidRDefault="00891BBD" w:rsidP="004A2442">
      <w:pPr>
        <w:pStyle w:val="Bullet1"/>
        <w:numPr>
          <w:ilvl w:val="1"/>
          <w:numId w:val="64"/>
        </w:numPr>
        <w:tabs>
          <w:tab w:val="left" w:pos="720"/>
        </w:tabs>
      </w:pPr>
      <w:r>
        <w:t>F</w:t>
      </w:r>
      <w:r w:rsidR="00CF0796">
        <w:t>oreseeable contamination of neighbouring land</w:t>
      </w:r>
    </w:p>
    <w:p w14:paraId="656B0478" w14:textId="77777777" w:rsidR="00CF0796" w:rsidRDefault="00891BBD" w:rsidP="004A2442">
      <w:pPr>
        <w:pStyle w:val="Bullet1"/>
        <w:numPr>
          <w:ilvl w:val="1"/>
          <w:numId w:val="64"/>
        </w:numPr>
        <w:tabs>
          <w:tab w:val="left" w:pos="720"/>
        </w:tabs>
      </w:pPr>
      <w:r>
        <w:t>P</w:t>
      </w:r>
      <w:r w:rsidR="00CF0796">
        <w:t xml:space="preserve">resence and </w:t>
      </w:r>
      <w:r w:rsidR="00E127A9">
        <w:t xml:space="preserve">exposure risks of </w:t>
      </w:r>
      <w:r w:rsidR="00CF0796">
        <w:t>respirable asbestos fibres in or on soi</w:t>
      </w:r>
      <w:r w:rsidR="00B40D23">
        <w:t>l</w:t>
      </w:r>
    </w:p>
    <w:p w14:paraId="656B0479" w14:textId="77777777" w:rsidR="00CF0796" w:rsidRDefault="00891BBD" w:rsidP="004A2442">
      <w:pPr>
        <w:pStyle w:val="Bullet1"/>
        <w:numPr>
          <w:ilvl w:val="1"/>
          <w:numId w:val="64"/>
        </w:numPr>
        <w:tabs>
          <w:tab w:val="left" w:pos="720"/>
        </w:tabs>
      </w:pPr>
      <w:r>
        <w:t>A</w:t>
      </w:r>
      <w:r w:rsidR="00CF0796">
        <w:t>ctual or foreseeable contamination of groundwater or surface water</w:t>
      </w:r>
    </w:p>
    <w:p w14:paraId="656B047A" w14:textId="77777777" w:rsidR="00E0671F" w:rsidRDefault="00891BBD" w:rsidP="00F77C1B">
      <w:pPr>
        <w:pStyle w:val="Bullet1"/>
        <w:numPr>
          <w:ilvl w:val="1"/>
          <w:numId w:val="64"/>
        </w:numPr>
        <w:tabs>
          <w:tab w:val="left" w:pos="720"/>
        </w:tabs>
      </w:pPr>
      <w:r>
        <w:t>V</w:t>
      </w:r>
      <w:r w:rsidR="00CF0796">
        <w:t>apour intrusion.</w:t>
      </w:r>
    </w:p>
    <w:p w14:paraId="656B047B" w14:textId="77777777" w:rsidR="00CF0796" w:rsidRDefault="00CF0796" w:rsidP="00700983">
      <w:pPr>
        <w:pStyle w:val="Bullet1"/>
        <w:numPr>
          <w:ilvl w:val="0"/>
          <w:numId w:val="26"/>
        </w:numPr>
        <w:tabs>
          <w:tab w:val="left" w:pos="720"/>
        </w:tabs>
        <w:spacing w:before="120"/>
      </w:pPr>
      <w:r w:rsidRPr="007D51F4">
        <w:rPr>
          <w:b/>
        </w:rPr>
        <w:t>Option 2 – Option 1 plus prescrib</w:t>
      </w:r>
      <w:r>
        <w:rPr>
          <w:b/>
        </w:rPr>
        <w:t>e</w:t>
      </w:r>
      <w:r w:rsidRPr="007D51F4">
        <w:rPr>
          <w:b/>
        </w:rPr>
        <w:t xml:space="preserve"> </w:t>
      </w:r>
      <w:r>
        <w:rPr>
          <w:b/>
        </w:rPr>
        <w:t>exemptions and a requirement to submit a management response</w:t>
      </w:r>
      <w:r w:rsidRPr="007D51F4">
        <w:rPr>
          <w:b/>
        </w:rPr>
        <w:t>:</w:t>
      </w:r>
      <w:r>
        <w:t xml:space="preserve"> Option 2, in addition to prescribing an alternative notification threshold as per Option 1, includes prescribing exempt circumstances for the </w:t>
      </w:r>
      <w:r w:rsidR="006A5A54">
        <w:t>duty to notify</w:t>
      </w:r>
      <w:r>
        <w:t xml:space="preserve"> and a </w:t>
      </w:r>
      <w:r w:rsidRPr="00677B23">
        <w:t xml:space="preserve">requirement for the duty holder to submit the current and/or planned management response to the contamination </w:t>
      </w:r>
      <w:r>
        <w:t>with their notification.</w:t>
      </w:r>
    </w:p>
    <w:p w14:paraId="656B047C" w14:textId="77777777" w:rsidR="00883762" w:rsidRDefault="00883762" w:rsidP="00CF0796">
      <w:r>
        <w:t xml:space="preserve">An option to </w:t>
      </w:r>
      <w:r w:rsidR="00902D19">
        <w:t xml:space="preserve">not </w:t>
      </w:r>
      <w:r>
        <w:t xml:space="preserve">introduce </w:t>
      </w:r>
      <w:r w:rsidR="00902D19">
        <w:t xml:space="preserve">any </w:t>
      </w:r>
      <w:r>
        <w:t xml:space="preserve">regulations was also considered. This option was not progressed, since DELWP and EPA ultimately determined that, in order to enhance consistency with other Australian jurisdictions, notification triggers would need to be refined in regulations. </w:t>
      </w:r>
    </w:p>
    <w:p w14:paraId="656B047D" w14:textId="77777777" w:rsidR="00CF0796" w:rsidRDefault="00EB0A6A" w:rsidP="00CF0796">
      <w:r>
        <w:t>DELWP and EPA also consider that g</w:t>
      </w:r>
      <w:r w:rsidR="00CF0796">
        <w:t xml:space="preserve">uidance material is not an appropriate option for addressing residual risks associated with the </w:t>
      </w:r>
      <w:r w:rsidR="006A5A54">
        <w:t>duty to notify</w:t>
      </w:r>
      <w:r w:rsidR="00883762">
        <w:t>,</w:t>
      </w:r>
      <w:r w:rsidR="00CF0796">
        <w:t xml:space="preserve"> </w:t>
      </w:r>
      <w:r w:rsidR="00883762">
        <w:t xml:space="preserve">since </w:t>
      </w:r>
      <w:r w:rsidR="00CF0796">
        <w:t xml:space="preserve">contravention of the </w:t>
      </w:r>
      <w:r w:rsidR="006A5A54">
        <w:t>duty to notify</w:t>
      </w:r>
      <w:r w:rsidR="00CF0796">
        <w:t xml:space="preserve"> </w:t>
      </w:r>
      <w:r w:rsidR="00555241">
        <w:t>can give rise to a criminal offence</w:t>
      </w:r>
      <w:r w:rsidR="00CF0796">
        <w:t xml:space="preserve">. </w:t>
      </w:r>
    </w:p>
    <w:p w14:paraId="656B047E" w14:textId="77777777" w:rsidR="00CF0796" w:rsidRDefault="001D29D9" w:rsidP="006E4A14">
      <w:pPr>
        <w:pStyle w:val="Heading3"/>
        <w:ind w:left="720"/>
      </w:pPr>
      <w:r>
        <w:t>Detailed a</w:t>
      </w:r>
      <w:r w:rsidR="00CF0796">
        <w:t>ssessment</w:t>
      </w:r>
    </w:p>
    <w:p w14:paraId="656B047F" w14:textId="77777777" w:rsidR="00CF0796" w:rsidRDefault="00CF0796" w:rsidP="00527A5F">
      <w:pPr>
        <w:pStyle w:val="Heading4"/>
      </w:pPr>
      <w:r>
        <w:t xml:space="preserve">Effectiveness </w:t>
      </w:r>
    </w:p>
    <w:p w14:paraId="656B0480" w14:textId="618740C5" w:rsidR="00CF0796" w:rsidRDefault="00CF0796" w:rsidP="00040A06">
      <w:r w:rsidRPr="00F75AD3">
        <w:rPr>
          <w:b/>
        </w:rPr>
        <w:t>Option 1 (prescribing an alternative risk-based notification threshold)</w:t>
      </w:r>
      <w:r>
        <w:t xml:space="preserve"> </w:t>
      </w:r>
      <w:r w:rsidRPr="009431F8">
        <w:t xml:space="preserve">is expected to significantly reduce the cost to government </w:t>
      </w:r>
      <w:r w:rsidR="0019024B">
        <w:t>of</w:t>
      </w:r>
      <w:r w:rsidR="0019024B" w:rsidRPr="009431F8">
        <w:t xml:space="preserve"> </w:t>
      </w:r>
      <w:r w:rsidRPr="009431F8">
        <w:t xml:space="preserve">administering notifications under the new EP legislation. The </w:t>
      </w:r>
      <w:r w:rsidR="00160F3B">
        <w:t>default</w:t>
      </w:r>
      <w:r w:rsidRPr="009431F8">
        <w:t xml:space="preserve"> notification </w:t>
      </w:r>
      <w:r w:rsidRPr="005604E3">
        <w:t xml:space="preserve">threshold </w:t>
      </w:r>
      <w:r>
        <w:t xml:space="preserve">of $50,000 </w:t>
      </w:r>
      <w:r w:rsidRPr="005604E3">
        <w:t xml:space="preserve">under the new EP legislation is </w:t>
      </w:r>
      <w:r w:rsidR="00683D0B">
        <w:t xml:space="preserve">considered a </w:t>
      </w:r>
      <w:r w:rsidR="00683D0B" w:rsidRPr="005604E3">
        <w:t>low</w:t>
      </w:r>
      <w:r w:rsidR="00683D0B">
        <w:t xml:space="preserve"> threshold</w:t>
      </w:r>
      <w:r w:rsidR="00D84189">
        <w:t xml:space="preserve">. As with setting any threshold dollar value, it </w:t>
      </w:r>
      <w:r w:rsidR="00555241">
        <w:t xml:space="preserve">may be challenging </w:t>
      </w:r>
      <w:r w:rsidR="00D84189">
        <w:t xml:space="preserve">for duty holders </w:t>
      </w:r>
      <w:r w:rsidR="00555241">
        <w:t xml:space="preserve">to assess </w:t>
      </w:r>
      <w:r w:rsidR="00D84189">
        <w:t xml:space="preserve">their site against this threshold based </w:t>
      </w:r>
      <w:r w:rsidR="00555241">
        <w:t>on current data</w:t>
      </w:r>
      <w:r w:rsidR="00D84189">
        <w:t>,</w:t>
      </w:r>
      <w:r w:rsidRPr="005604E3">
        <w:t xml:space="preserve"> and </w:t>
      </w:r>
      <w:r w:rsidR="00D84189">
        <w:t xml:space="preserve">it is </w:t>
      </w:r>
      <w:r w:rsidRPr="005604E3">
        <w:t>likely to result in a significant number of low-risk contaminated sites across Victoria being subject to notification</w:t>
      </w:r>
      <w:r w:rsidR="00555241">
        <w:t xml:space="preserve"> </w:t>
      </w:r>
      <w:r w:rsidR="00683D0B">
        <w:t>which may provide EPA and the Government and opportunity to focus on the higher risk contamination sites</w:t>
      </w:r>
      <w:r w:rsidR="0000613F">
        <w:t xml:space="preserve"> </w:t>
      </w:r>
      <w:r w:rsidR="00281F82">
        <w:t>(upon the commencement of the new EP legislation)</w:t>
      </w:r>
      <w:r w:rsidRPr="005604E3">
        <w:t xml:space="preserve">. </w:t>
      </w:r>
      <w:r w:rsidR="0056355E">
        <w:t xml:space="preserve">For example, where there is naturally occurring </w:t>
      </w:r>
      <w:r w:rsidR="00A94F74">
        <w:t xml:space="preserve">levels of arsenic in the goldfields region of Victoria. </w:t>
      </w:r>
    </w:p>
    <w:p w14:paraId="656B0481" w14:textId="77777777" w:rsidR="00CF0796" w:rsidRPr="009431F8" w:rsidRDefault="00CF0796" w:rsidP="00040A06">
      <w:r>
        <w:t>Given the unknown</w:t>
      </w:r>
      <w:r w:rsidRPr="001F2907">
        <w:t xml:space="preserve"> </w:t>
      </w:r>
      <w:r>
        <w:t xml:space="preserve">number, </w:t>
      </w:r>
      <w:r w:rsidRPr="001F2907">
        <w:t xml:space="preserve">location </w:t>
      </w:r>
      <w:r>
        <w:t xml:space="preserve">and condition </w:t>
      </w:r>
      <w:r w:rsidRPr="001F2907">
        <w:t>of Victoria’s contaminated sites</w:t>
      </w:r>
      <w:r>
        <w:t xml:space="preserve">, it is extremely difficult to estimate how many sites across Victoria will be captured by an alternate threshold based on NEPM investigation levels relative to the Base Case. However, industry stakeholders consulted for this RIS estimate that potentially up to 50% of all contaminated sites may be </w:t>
      </w:r>
      <w:r w:rsidR="00E127A9">
        <w:t xml:space="preserve">unnecessarily </w:t>
      </w:r>
      <w:r>
        <w:t xml:space="preserve">captured by the </w:t>
      </w:r>
      <w:r w:rsidR="006A5A54">
        <w:t>duty to notify</w:t>
      </w:r>
      <w:r>
        <w:t xml:space="preserve"> under the Base Case, representing approximately 15,000 sites. Under </w:t>
      </w:r>
      <w:r w:rsidRPr="00F75AD3">
        <w:rPr>
          <w:b/>
        </w:rPr>
        <w:t>Option 1</w:t>
      </w:r>
      <w:r>
        <w:t xml:space="preserve">, industry stakeholders noted that it is reasonable to expect the number of sites captured by the </w:t>
      </w:r>
      <w:r w:rsidR="006A5A54">
        <w:t>duty to notify</w:t>
      </w:r>
      <w:r>
        <w:t xml:space="preserve"> would be</w:t>
      </w:r>
      <w:r w:rsidR="00CE061D">
        <w:t xml:space="preserve"> reduced by</w:t>
      </w:r>
      <w:r>
        <w:t xml:space="preserve"> </w:t>
      </w:r>
      <w:r w:rsidRPr="00F75AD3">
        <w:rPr>
          <w:i/>
        </w:rPr>
        <w:t>at least</w:t>
      </w:r>
      <w:r>
        <w:t xml:space="preserve"> half that of the Base Case. That is, </w:t>
      </w:r>
      <w:r w:rsidRPr="00F75AD3">
        <w:rPr>
          <w:b/>
        </w:rPr>
        <w:t xml:space="preserve">Option 1 </w:t>
      </w:r>
      <w:r>
        <w:t xml:space="preserve">is expected to reduce the number of sites captured by the </w:t>
      </w:r>
      <w:r w:rsidR="006A5A54">
        <w:t>duty to notify</w:t>
      </w:r>
      <w:r>
        <w:t xml:space="preserve"> by approximately 7,500 sites across </w:t>
      </w:r>
      <w:r w:rsidRPr="00163CEE">
        <w:t>Victoria.</w:t>
      </w:r>
      <w:r>
        <w:t xml:space="preserve"> </w:t>
      </w:r>
      <w:r w:rsidR="00697E16">
        <w:t xml:space="preserve">By reducing the number of notifications, this will enhance EPA’s ability to effectively monitor land contamination across the state, triage responses effectively and respond in a timely fashion (relative to the Base Case). </w:t>
      </w:r>
    </w:p>
    <w:p w14:paraId="656B0482" w14:textId="77777777" w:rsidR="00CF0796" w:rsidRDefault="00CF0796" w:rsidP="00CF0796">
      <w:r>
        <w:t>The</w:t>
      </w:r>
      <w:r w:rsidRPr="009431F8">
        <w:t xml:space="preserve"> </w:t>
      </w:r>
      <w:r w:rsidRPr="00F55EEB">
        <w:t>adoption of risk-based thresholds are expected to result in high</w:t>
      </w:r>
      <w:r>
        <w:t>er</w:t>
      </w:r>
      <w:r w:rsidRPr="00F55EEB">
        <w:t xml:space="preserve">-risk sites being captured by the </w:t>
      </w:r>
      <w:r w:rsidR="006A5A54">
        <w:t>duty to notify</w:t>
      </w:r>
      <w:r w:rsidRPr="00F55EEB">
        <w:t xml:space="preserve">. </w:t>
      </w:r>
      <w:r w:rsidRPr="00040A06">
        <w:t>It</w:t>
      </w:r>
      <w:r w:rsidRPr="00F55EEB">
        <w:t xml:space="preserve"> will avoid the potential </w:t>
      </w:r>
      <w:r w:rsidR="00B97890">
        <w:t>for</w:t>
      </w:r>
      <w:r w:rsidRPr="00F55EEB">
        <w:t xml:space="preserve"> notifications that do not</w:t>
      </w:r>
      <w:r>
        <w:t xml:space="preserve"> represent a material contamination risk and enable EPA to focus its regulatory effort on</w:t>
      </w:r>
      <w:r w:rsidRPr="009431F8">
        <w:t xml:space="preserve"> sites considered to be high-risk to human health and the environment</w:t>
      </w:r>
      <w:r>
        <w:t xml:space="preserve"> Overall, this will support the achievement of reduced risks to human health and environment. In doing so, </w:t>
      </w:r>
      <w:r w:rsidRPr="00D758CD">
        <w:rPr>
          <w:b/>
        </w:rPr>
        <w:t>Option 1</w:t>
      </w:r>
      <w:r>
        <w:t xml:space="preserve"> is consistent with the </w:t>
      </w:r>
      <w:r w:rsidRPr="007D51F4">
        <w:t>in</w:t>
      </w:r>
      <w:r>
        <w:t xml:space="preserve">tent of the </w:t>
      </w:r>
      <w:r w:rsidR="006A5A54">
        <w:t>duty to notify</w:t>
      </w:r>
      <w:r>
        <w:t xml:space="preserve"> to inform EPA of significant and high-risk instances of contamination that warrant EPA’s involvement in the management of the contamination. However, due to data limitations it is not possible to quantify this benefit with any level of rigour. Option 1 is given a</w:t>
      </w:r>
      <w:r w:rsidRPr="007D51F4">
        <w:t xml:space="preserve"> score of </w:t>
      </w:r>
      <w:r>
        <w:t>+6</w:t>
      </w:r>
      <w:r w:rsidRPr="007D51F4">
        <w:t xml:space="preserve"> relative to the </w:t>
      </w:r>
      <w:r>
        <w:t>Base Case</w:t>
      </w:r>
      <w:r w:rsidRPr="00956B6D">
        <w:t>.</w:t>
      </w:r>
    </w:p>
    <w:p w14:paraId="656B0483" w14:textId="77777777" w:rsidR="00CF0796" w:rsidRDefault="00CF0796" w:rsidP="00CF0796">
      <w:r>
        <w:rPr>
          <w:b/>
        </w:rPr>
        <w:t>Option 2 (</w:t>
      </w:r>
      <w:r w:rsidRPr="007D51F4">
        <w:rPr>
          <w:b/>
        </w:rPr>
        <w:t xml:space="preserve">Option 1 plus prescribing </w:t>
      </w:r>
      <w:r>
        <w:rPr>
          <w:b/>
        </w:rPr>
        <w:t>exemptions and a requirement to submit a management response)</w:t>
      </w:r>
      <w:r w:rsidRPr="009431F8">
        <w:t xml:space="preserve"> </w:t>
      </w:r>
      <w:r>
        <w:t xml:space="preserve">is </w:t>
      </w:r>
      <w:r w:rsidRPr="00126724">
        <w:t>expected to be more effective than Option 1 through the inclusion of prescribed exemptions and a requirement for duty holders to include a planned management response. Exemptions will include where waste is lawfully permitted, where EPA has already been notified, and where the site has been (or is) subject to an environmental audit or notice. It is estimated that over 3,500</w:t>
      </w:r>
      <w:r w:rsidR="00CE061D">
        <w:t xml:space="preserve"> additional</w:t>
      </w:r>
      <w:r w:rsidRPr="00126724">
        <w:t xml:space="preserve"> sites will be exempt from the </w:t>
      </w:r>
      <w:r w:rsidR="006A5A54">
        <w:t>duty to notify</w:t>
      </w:r>
      <w:r w:rsidRPr="00126724">
        <w:t xml:space="preserve"> relative to Option 1.</w:t>
      </w:r>
      <w:r w:rsidRPr="00126724">
        <w:rPr>
          <w:rStyle w:val="FootnoteReference"/>
        </w:rPr>
        <w:footnoteReference w:id="131"/>
      </w:r>
      <w:r w:rsidRPr="00126724">
        <w:t xml:space="preserve"> These </w:t>
      </w:r>
      <w:r>
        <w:t>exemptions</w:t>
      </w:r>
      <w:r w:rsidRPr="00126724">
        <w:t xml:space="preserve"> are expected to enable EPA to further enhance its focus on high-risk sites. </w:t>
      </w:r>
      <w:r w:rsidRPr="009431F8">
        <w:rPr>
          <w:b/>
        </w:rPr>
        <w:t>Option 2</w:t>
      </w:r>
      <w:r>
        <w:t xml:space="preserve"> also prescribes the requirement for duty holders to provide the current (or planned) management response to EPA as part of the notification. This is </w:t>
      </w:r>
      <w:r w:rsidRPr="00126724">
        <w:t xml:space="preserve">expected to support EPA to determine the nature and timing of a duty holder’s proposed response/action, and intervene or otherwise support the management of the contaminated site. </w:t>
      </w:r>
      <w:r>
        <w:t>Option 2 is given a score of</w:t>
      </w:r>
      <w:r w:rsidRPr="00126724">
        <w:t xml:space="preserve"> +</w:t>
      </w:r>
      <w:r>
        <w:t>8</w:t>
      </w:r>
      <w:r w:rsidRPr="00126724">
        <w:t xml:space="preserve"> relative to the Base Case.</w:t>
      </w:r>
    </w:p>
    <w:p w14:paraId="656B0484" w14:textId="77777777" w:rsidR="00CF0796" w:rsidRDefault="00CF0796" w:rsidP="00527A5F">
      <w:pPr>
        <w:pStyle w:val="Heading4"/>
      </w:pPr>
      <w:r>
        <w:t>Cos</w:t>
      </w:r>
      <w:r w:rsidRPr="008B5F0B">
        <w:t>t</w:t>
      </w:r>
    </w:p>
    <w:p w14:paraId="656B0485" w14:textId="77777777" w:rsidR="00CF0796" w:rsidRPr="009431F8" w:rsidRDefault="00CF0796" w:rsidP="00040A06">
      <w:pPr>
        <w:spacing w:after="0"/>
        <w:rPr>
          <w:i/>
        </w:rPr>
      </w:pPr>
      <w:r w:rsidRPr="009431F8">
        <w:rPr>
          <w:b/>
          <w:i/>
        </w:rPr>
        <w:t>Cost to duty holders</w:t>
      </w:r>
    </w:p>
    <w:p w14:paraId="656B0486" w14:textId="77777777" w:rsidR="00CF0796" w:rsidRDefault="00CF0796" w:rsidP="00CF0796">
      <w:r>
        <w:t xml:space="preserve">As discussed above, </w:t>
      </w:r>
      <w:r>
        <w:rPr>
          <w:b/>
        </w:rPr>
        <w:t>Option 1 (</w:t>
      </w:r>
      <w:r w:rsidRPr="00114C8D">
        <w:rPr>
          <w:b/>
        </w:rPr>
        <w:t>prescribing an alternative risk-based notification threshold</w:t>
      </w:r>
      <w:r>
        <w:rPr>
          <w:b/>
        </w:rPr>
        <w:t>)</w:t>
      </w:r>
      <w:r>
        <w:t xml:space="preserve"> is expected to reduce the number of sites</w:t>
      </w:r>
      <w:r w:rsidR="00E127A9">
        <w:t xml:space="preserve"> unnecessarily</w:t>
      </w:r>
      <w:r>
        <w:t xml:space="preserve"> captured by the </w:t>
      </w:r>
      <w:r w:rsidR="001479D1">
        <w:t>d</w:t>
      </w:r>
      <w:r>
        <w:t xml:space="preserve">uty </w:t>
      </w:r>
      <w:r w:rsidR="0019024B">
        <w:t xml:space="preserve">to </w:t>
      </w:r>
      <w:r w:rsidR="001479D1">
        <w:t>n</w:t>
      </w:r>
      <w:r>
        <w:t xml:space="preserve">otify by at least half that of the Base Case. </w:t>
      </w:r>
      <w:r w:rsidRPr="00040A06">
        <w:t>This is</w:t>
      </w:r>
      <w:r>
        <w:t xml:space="preserve"> </w:t>
      </w:r>
      <w:r w:rsidRPr="00222A9F">
        <w:t xml:space="preserve">expected to </w:t>
      </w:r>
      <w:r>
        <w:t xml:space="preserve">significantly </w:t>
      </w:r>
      <w:r w:rsidRPr="00222A9F">
        <w:t>reduce</w:t>
      </w:r>
      <w:r>
        <w:t xml:space="preserve"> the</w:t>
      </w:r>
      <w:r w:rsidRPr="00222A9F">
        <w:t xml:space="preserve"> burden </w:t>
      </w:r>
      <w:r>
        <w:t xml:space="preserve">on duty holders complying with the </w:t>
      </w:r>
      <w:r w:rsidR="006A5A54">
        <w:t>duty to notify</w:t>
      </w:r>
      <w:r>
        <w:t xml:space="preserve">. The requirement for duty holders to understand their obligations under the </w:t>
      </w:r>
      <w:r w:rsidR="006A5A54">
        <w:t>duty to manage</w:t>
      </w:r>
      <w:r>
        <w:t xml:space="preserve">, which may involve some form of risk assessment and sampling activities, will remain unchanged relative to the Base Case. </w:t>
      </w:r>
    </w:p>
    <w:p w14:paraId="656B0487" w14:textId="77777777" w:rsidR="00CF0796" w:rsidRDefault="00CF0796" w:rsidP="00CF0796">
      <w:r>
        <w:rPr>
          <w:b/>
        </w:rPr>
        <w:t>Option 2 (</w:t>
      </w:r>
      <w:r w:rsidRPr="007D51F4">
        <w:rPr>
          <w:b/>
        </w:rPr>
        <w:t xml:space="preserve">Option 1 plus prescribing </w:t>
      </w:r>
      <w:r>
        <w:rPr>
          <w:b/>
        </w:rPr>
        <w:t>exemptions and a requirement to submit a management response)</w:t>
      </w:r>
      <w:r>
        <w:t xml:space="preserve"> is expected to further reduce the burden of duty holders through prescribing exemptions to notifiable contamination; as discussed above, it is estimated that over 3,500 sites across Victoria will be exempted from the </w:t>
      </w:r>
      <w:r w:rsidR="006A5A54">
        <w:t>duty to notify</w:t>
      </w:r>
      <w:r>
        <w:t xml:space="preserve"> under </w:t>
      </w:r>
      <w:r w:rsidRPr="009431F8">
        <w:rPr>
          <w:b/>
        </w:rPr>
        <w:t>Option 2</w:t>
      </w:r>
      <w:r>
        <w:rPr>
          <w:b/>
        </w:rPr>
        <w:t xml:space="preserve"> </w:t>
      </w:r>
      <w:r w:rsidRPr="009431F8">
        <w:t>relative to Option 1.</w:t>
      </w:r>
      <w:r>
        <w:t xml:space="preserve"> </w:t>
      </w:r>
    </w:p>
    <w:p w14:paraId="656B0488" w14:textId="77777777" w:rsidR="00CF0796" w:rsidRDefault="00CF0796" w:rsidP="00CF0796">
      <w:r w:rsidRPr="00040A06">
        <w:t>Under</w:t>
      </w:r>
      <w:r>
        <w:rPr>
          <w:b/>
        </w:rPr>
        <w:t xml:space="preserve"> </w:t>
      </w:r>
      <w:r w:rsidRPr="009431F8">
        <w:rPr>
          <w:b/>
        </w:rPr>
        <w:t>Option 2</w:t>
      </w:r>
      <w:r>
        <w:rPr>
          <w:b/>
        </w:rPr>
        <w:t xml:space="preserve">, </w:t>
      </w:r>
      <w:r w:rsidRPr="00040A06">
        <w:t>the requirement to</w:t>
      </w:r>
      <w:r>
        <w:t xml:space="preserve"> include a management </w:t>
      </w:r>
      <w:r w:rsidR="00E127A9">
        <w:t xml:space="preserve">response </w:t>
      </w:r>
      <w:r>
        <w:t xml:space="preserve">may increase duty holders’ administration and management costs, although industry stakeholders interviewed indicated this cost is likely to be small. Furthermore, industry representatives overwhelmingly supported the requirement to include a management </w:t>
      </w:r>
      <w:r w:rsidR="00E127A9">
        <w:t>response</w:t>
      </w:r>
      <w:r>
        <w:t xml:space="preserve">, noting the requirement may assist with liaising with EPA and ensuring an agreed management approach is adopted prior to any substantive remediation works </w:t>
      </w:r>
      <w:r w:rsidR="0019024B">
        <w:t xml:space="preserve">being </w:t>
      </w:r>
      <w:r>
        <w:t xml:space="preserve">undertaken. In doing so, the requirement may </w:t>
      </w:r>
      <w:r w:rsidR="00E127A9">
        <w:t xml:space="preserve">result in some </w:t>
      </w:r>
      <w:r>
        <w:t xml:space="preserve">avoided costs </w:t>
      </w:r>
      <w:r w:rsidR="00E127A9">
        <w:t xml:space="preserve">to duty holders over the longer-term, </w:t>
      </w:r>
      <w:r>
        <w:t>relative to the Base Case and Option 1.</w:t>
      </w:r>
    </w:p>
    <w:p w14:paraId="656B0489" w14:textId="77777777" w:rsidR="00CF0796" w:rsidRDefault="00CF0796" w:rsidP="00527A5F">
      <w:pPr>
        <w:keepNext/>
        <w:spacing w:after="0"/>
        <w:rPr>
          <w:b/>
          <w:i/>
        </w:rPr>
      </w:pPr>
      <w:r w:rsidRPr="009431F8">
        <w:rPr>
          <w:b/>
          <w:i/>
        </w:rPr>
        <w:t>Cost to government</w:t>
      </w:r>
    </w:p>
    <w:p w14:paraId="656B048A" w14:textId="77777777" w:rsidR="00CF0796" w:rsidRPr="009431F8" w:rsidRDefault="00CF0796" w:rsidP="00CF0796">
      <w:pPr>
        <w:rPr>
          <w:i/>
        </w:rPr>
      </w:pPr>
      <w:r>
        <w:t xml:space="preserve">As already noted, </w:t>
      </w:r>
      <w:r w:rsidRPr="009431F8">
        <w:rPr>
          <w:b/>
        </w:rPr>
        <w:t xml:space="preserve">Option 1 </w:t>
      </w:r>
      <w:r>
        <w:t xml:space="preserve">is expected to reduce the number of sites </w:t>
      </w:r>
      <w:r w:rsidR="00E127A9">
        <w:t xml:space="preserve">unnecessarily </w:t>
      </w:r>
      <w:r>
        <w:t xml:space="preserve">captured by the </w:t>
      </w:r>
      <w:r w:rsidR="006A5A54">
        <w:t>duty to notify</w:t>
      </w:r>
      <w:r>
        <w:t xml:space="preserve"> by approximately 7,500 sites across </w:t>
      </w:r>
      <w:r w:rsidRPr="00163CEE">
        <w:t>Victoria.</w:t>
      </w:r>
      <w:r>
        <w:t xml:space="preserve"> </w:t>
      </w:r>
      <w:r w:rsidRPr="009431F8">
        <w:t>As such,</w:t>
      </w:r>
      <w:r w:rsidRPr="009431F8">
        <w:rPr>
          <w:b/>
        </w:rPr>
        <w:t xml:space="preserve"> Option 1</w:t>
      </w:r>
      <w:r w:rsidRPr="00163CEE">
        <w:t xml:space="preserve"> is expected to significantly reduce the time and resources required by EPA to administer the </w:t>
      </w:r>
      <w:r w:rsidR="006A5A54">
        <w:t>duty to notify</w:t>
      </w:r>
      <w:r w:rsidRPr="00163CEE">
        <w:t>.</w:t>
      </w:r>
    </w:p>
    <w:p w14:paraId="656B048B" w14:textId="77777777" w:rsidR="00CF0796" w:rsidRDefault="00CF0796" w:rsidP="00CF0796">
      <w:r w:rsidRPr="00040A06">
        <w:t xml:space="preserve">In addition to the above, Option 1 will adopt risk-based notification thresholds based on </w:t>
      </w:r>
      <w:r w:rsidRPr="00163CEE">
        <w:t xml:space="preserve">NEPM investigation levels and </w:t>
      </w:r>
      <w:r w:rsidRPr="00163CEE">
        <w:rPr>
          <w:color w:val="000000" w:themeColor="text1"/>
        </w:rPr>
        <w:t xml:space="preserve">provisions in the </w:t>
      </w:r>
      <w:r w:rsidRPr="00555241">
        <w:t xml:space="preserve">NSW </w:t>
      </w:r>
      <w:r w:rsidRPr="00040A06">
        <w:rPr>
          <w:i/>
        </w:rPr>
        <w:t>Contaminated Land Management Act 1997</w:t>
      </w:r>
      <w:r w:rsidRPr="00163CEE">
        <w:t xml:space="preserve">. As such, the cost to </w:t>
      </w:r>
      <w:r>
        <w:t xml:space="preserve">government of </w:t>
      </w:r>
      <w:r w:rsidRPr="00163CEE">
        <w:t>design</w:t>
      </w:r>
      <w:r>
        <w:t>ing</w:t>
      </w:r>
      <w:r w:rsidRPr="00163CEE">
        <w:t xml:space="preserve"> and implement</w:t>
      </w:r>
      <w:r>
        <w:t>ing</w:t>
      </w:r>
      <w:r w:rsidRPr="00163CEE">
        <w:t xml:space="preserve"> </w:t>
      </w:r>
      <w:r w:rsidRPr="00040A06">
        <w:rPr>
          <w:b/>
        </w:rPr>
        <w:t>Option 1</w:t>
      </w:r>
      <w:r w:rsidRPr="00163CEE">
        <w:t xml:space="preserve"> is expected to be minimal.</w:t>
      </w:r>
    </w:p>
    <w:p w14:paraId="656B048C" w14:textId="77777777" w:rsidR="00CF0796" w:rsidRDefault="00CF0796" w:rsidP="00CF0796">
      <w:r>
        <w:rPr>
          <w:b/>
        </w:rPr>
        <w:t>Option 2 (</w:t>
      </w:r>
      <w:r w:rsidRPr="007D51F4">
        <w:rPr>
          <w:b/>
        </w:rPr>
        <w:t xml:space="preserve">Option 1 plus prescribing </w:t>
      </w:r>
      <w:r>
        <w:rPr>
          <w:b/>
        </w:rPr>
        <w:t>exemptions and a requirement to submit a management response)</w:t>
      </w:r>
      <w:r>
        <w:t xml:space="preserve"> is expected to significantly reduce the cost to government. As noted above, it is estimated that over 3,500 sites across Victoria will be exempted from the </w:t>
      </w:r>
      <w:r w:rsidR="006A5A54">
        <w:t>duty to notify</w:t>
      </w:r>
      <w:r>
        <w:t xml:space="preserve"> under </w:t>
      </w:r>
      <w:r w:rsidRPr="009431F8">
        <w:rPr>
          <w:b/>
        </w:rPr>
        <w:t>Option 2</w:t>
      </w:r>
      <w:r>
        <w:rPr>
          <w:b/>
        </w:rPr>
        <w:t xml:space="preserve"> </w:t>
      </w:r>
      <w:r w:rsidRPr="009431F8">
        <w:t>relative to Option 1.</w:t>
      </w:r>
    </w:p>
    <w:p w14:paraId="656B048D" w14:textId="77777777" w:rsidR="00CF0796" w:rsidRDefault="00CF0796" w:rsidP="00CF0796">
      <w:r w:rsidRPr="00040A06">
        <w:rPr>
          <w:b/>
        </w:rPr>
        <w:t>Option 2</w:t>
      </w:r>
      <w:r>
        <w:t xml:space="preserve"> is also expected to assist the government to effectively and efficiently monitor and manage high-risk contaminated sites through prescribing the inclusion of a current or planned management response within notification submissions. Understanding how duty holders are seeking to respond and manage high-risk contaminated land will enable EPA to better prioritise which sites require more support, guidance and direction. In turn, this is likely to avoid administrative costs associated from liaising with duty holders, follow-up engagement and site inspections. </w:t>
      </w:r>
    </w:p>
    <w:p w14:paraId="656B048E" w14:textId="77777777" w:rsidR="00CF0796" w:rsidRDefault="00CF0796" w:rsidP="00040A06">
      <w:r>
        <w:t xml:space="preserve">Overall, </w:t>
      </w:r>
      <w:r w:rsidRPr="00040A06">
        <w:rPr>
          <w:b/>
        </w:rPr>
        <w:t>Option 2</w:t>
      </w:r>
      <w:r>
        <w:t xml:space="preserve"> is expected to result in a greater reduction in administration and monitoring costs to government relative to Option 1. </w:t>
      </w:r>
    </w:p>
    <w:p w14:paraId="656B048F" w14:textId="77777777" w:rsidR="00CF0796" w:rsidRDefault="00CF0796" w:rsidP="00040A06">
      <w:pPr>
        <w:spacing w:after="0"/>
        <w:rPr>
          <w:b/>
          <w:i/>
        </w:rPr>
      </w:pPr>
      <w:r w:rsidRPr="00126724">
        <w:rPr>
          <w:b/>
          <w:i/>
        </w:rPr>
        <w:t>Overall cost summary</w:t>
      </w:r>
    </w:p>
    <w:p w14:paraId="656B0490" w14:textId="77777777" w:rsidR="00CF0796" w:rsidRDefault="00CF0796" w:rsidP="00CF0796">
      <w:r>
        <w:t>In summary,</w:t>
      </w:r>
      <w:r w:rsidRPr="0029591D">
        <w:t xml:space="preserve"> </w:t>
      </w:r>
      <w:r w:rsidRPr="0029591D">
        <w:rPr>
          <w:b/>
        </w:rPr>
        <w:t>Option 1</w:t>
      </w:r>
      <w:r w:rsidRPr="0029591D">
        <w:t xml:space="preserve"> is </w:t>
      </w:r>
      <w:r w:rsidRPr="009431F8">
        <w:t>likely</w:t>
      </w:r>
      <w:r w:rsidRPr="0029591D">
        <w:t xml:space="preserve"> to </w:t>
      </w:r>
      <w:r w:rsidRPr="009431F8">
        <w:t xml:space="preserve">materially reduce or avoid costs </w:t>
      </w:r>
      <w:r w:rsidRPr="0029591D">
        <w:t xml:space="preserve">to government while </w:t>
      </w:r>
      <w:r w:rsidRPr="009431F8">
        <w:t xml:space="preserve">also significantly reducing the burden of duty holders in complying with the </w:t>
      </w:r>
      <w:r w:rsidR="006A5A54">
        <w:t>duty to notify</w:t>
      </w:r>
      <w:r>
        <w:t xml:space="preserve">, relative to the Base Case. </w:t>
      </w:r>
      <w:r w:rsidRPr="00ED6D6D">
        <w:rPr>
          <w:b/>
        </w:rPr>
        <w:t>Option 2</w:t>
      </w:r>
      <w:r w:rsidRPr="00ED6D6D">
        <w:t xml:space="preserve"> </w:t>
      </w:r>
      <w:r w:rsidRPr="009431F8">
        <w:t xml:space="preserve">is likely to result in greater reduced or avoided costs to government and a greater reduced burden to duty holders in complying with the </w:t>
      </w:r>
      <w:r w:rsidR="006A5A54">
        <w:t>duty to notify</w:t>
      </w:r>
      <w:r w:rsidRPr="009431F8">
        <w:t xml:space="preserve">, relative to Option 1 and the </w:t>
      </w:r>
      <w:r>
        <w:t>Base Case</w:t>
      </w:r>
      <w:r w:rsidRPr="009431F8">
        <w:t xml:space="preserve">. A score of </w:t>
      </w:r>
      <w:r>
        <w:t xml:space="preserve">+4 is given for Option 1 and </w:t>
      </w:r>
      <w:r w:rsidRPr="009431F8">
        <w:t xml:space="preserve">+7 </w:t>
      </w:r>
      <w:r>
        <w:t xml:space="preserve">for Option 2 </w:t>
      </w:r>
      <w:r w:rsidRPr="009431F8">
        <w:t xml:space="preserve">compared to the </w:t>
      </w:r>
      <w:r>
        <w:t>Base Case</w:t>
      </w:r>
      <w:r w:rsidRPr="009431F8">
        <w:t>.</w:t>
      </w:r>
    </w:p>
    <w:p w14:paraId="656B0491" w14:textId="77777777" w:rsidR="00CF0796" w:rsidRDefault="00CF0796" w:rsidP="006E4A14">
      <w:pPr>
        <w:pStyle w:val="Heading3"/>
        <w:ind w:left="720"/>
      </w:pPr>
      <w:r>
        <w:t>MCA Summary</w:t>
      </w:r>
    </w:p>
    <w:p w14:paraId="656B0492" w14:textId="77777777" w:rsidR="00CF0796" w:rsidRDefault="00CF0796" w:rsidP="00497350">
      <w:pPr>
        <w:keepNext/>
      </w:pPr>
      <w:r w:rsidRPr="00DA345B">
        <w:t xml:space="preserve">The preferred option </w:t>
      </w:r>
      <w:r w:rsidRPr="00040A06">
        <w:t xml:space="preserve">to address the residual risk is </w:t>
      </w:r>
      <w:r w:rsidRPr="000A1D65">
        <w:rPr>
          <w:b/>
        </w:rPr>
        <w:t>Option 2</w:t>
      </w:r>
      <w:r w:rsidRPr="00040A06">
        <w:t>. This option</w:t>
      </w:r>
      <w:r w:rsidRPr="0093659F">
        <w:t xml:space="preserve"> </w:t>
      </w:r>
      <w:r w:rsidRPr="00040A06">
        <w:t xml:space="preserve">is expected to achieve the greatest </w:t>
      </w:r>
      <w:r w:rsidRPr="00DA345B">
        <w:t>avoid</w:t>
      </w:r>
      <w:r w:rsidRPr="00040A06">
        <w:t xml:space="preserve">ed costs to </w:t>
      </w:r>
      <w:r w:rsidRPr="00DA345B">
        <w:t xml:space="preserve">government </w:t>
      </w:r>
      <w:r w:rsidRPr="00040A06">
        <w:t xml:space="preserve">and duty holders, while best enabling </w:t>
      </w:r>
      <w:r>
        <w:t>EPA</w:t>
      </w:r>
      <w:r w:rsidRPr="00040A06">
        <w:t xml:space="preserve"> </w:t>
      </w:r>
      <w:r w:rsidRPr="00DA345B">
        <w:t xml:space="preserve">to </w:t>
      </w:r>
      <w:r>
        <w:t>target its regulatory effort on</w:t>
      </w:r>
      <w:r w:rsidRPr="00DA345B">
        <w:t xml:space="preserve"> </w:t>
      </w:r>
      <w:r>
        <w:t>high</w:t>
      </w:r>
      <w:r w:rsidRPr="00DA345B">
        <w:t>-risk contaminated sites.</w:t>
      </w:r>
      <w:r w:rsidRPr="00FF2905">
        <w:t xml:space="preserve"> </w:t>
      </w:r>
      <w:r w:rsidRPr="00040A06">
        <w:t xml:space="preserve">This will best </w:t>
      </w:r>
      <w:r>
        <w:t xml:space="preserve">reduce risks to human health and environment. </w:t>
      </w:r>
    </w:p>
    <w:p w14:paraId="656B0493" w14:textId="77777777" w:rsidR="002E2BA7" w:rsidRDefault="002E2BA7" w:rsidP="00782E92">
      <w:pPr>
        <w:pStyle w:val="Caption"/>
        <w:spacing w:before="120" w:after="120"/>
      </w:pPr>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8</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4</w:t>
      </w:r>
      <w:r w:rsidR="00997CFA">
        <w:rPr>
          <w:color w:val="2B579A"/>
          <w:shd w:val="clear" w:color="auto" w:fill="E6E6E6"/>
        </w:rPr>
        <w:fldChar w:fldCharType="end"/>
      </w:r>
      <w:r>
        <w:t xml:space="preserve"> Summary of MCA assessment under the </w:t>
      </w:r>
      <w:r w:rsidR="006A5A54">
        <w:t>duty to notify</w:t>
      </w:r>
    </w:p>
    <w:tbl>
      <w:tblPr>
        <w:tblStyle w:val="Deloittetable2"/>
        <w:tblW w:w="5000" w:type="pct"/>
        <w:tblLayout w:type="fixed"/>
        <w:tblLook w:val="04A0" w:firstRow="1" w:lastRow="0" w:firstColumn="1" w:lastColumn="0" w:noHBand="0" w:noVBand="1"/>
      </w:tblPr>
      <w:tblGrid>
        <w:gridCol w:w="1677"/>
        <w:gridCol w:w="3839"/>
        <w:gridCol w:w="3839"/>
      </w:tblGrid>
      <w:tr w:rsidR="00BC1A0C" w:rsidRPr="00BC1A0C" w14:paraId="656B0499" w14:textId="77777777" w:rsidTr="00197257">
        <w:trPr>
          <w:cnfStyle w:val="100000000000" w:firstRow="1" w:lastRow="0" w:firstColumn="0" w:lastColumn="0" w:oddVBand="0" w:evenVBand="0" w:oddHBand="0" w:evenHBand="0" w:firstRowFirstColumn="0" w:firstRowLastColumn="0" w:lastRowFirstColumn="0" w:lastRowLastColumn="0"/>
          <w:trHeight w:val="285"/>
        </w:trPr>
        <w:tc>
          <w:tcPr>
            <w:tcW w:w="896" w:type="pct"/>
            <w:noWrap/>
            <w:hideMark/>
          </w:tcPr>
          <w:p w14:paraId="656B0494" w14:textId="77777777" w:rsidR="002E2BA7" w:rsidRPr="00222833" w:rsidRDefault="002E2BA7" w:rsidP="007A265B">
            <w:pPr>
              <w:keepNext/>
              <w:spacing w:after="0" w:line="240" w:lineRule="auto"/>
              <w:rPr>
                <w:rFonts w:eastAsia="Times New Roman" w:cs="Segoe UI Light"/>
                <w:color w:val="000000" w:themeColor="text1"/>
                <w:szCs w:val="20"/>
                <w:lang w:eastAsia="en-AU"/>
              </w:rPr>
            </w:pPr>
            <w:r w:rsidRPr="005D7838" w:rsidDel="001F6217">
              <w:rPr>
                <w:rFonts w:cs="Segoe UI Light"/>
                <w:b/>
                <w:color w:val="000000" w:themeColor="text1"/>
                <w:szCs w:val="20"/>
              </w:rPr>
              <w:t xml:space="preserve"> </w:t>
            </w:r>
            <w:r w:rsidR="00E127A9" w:rsidRPr="00F27F90">
              <w:rPr>
                <w:rFonts w:eastAsia="Times New Roman" w:cs="Segoe UI Light"/>
                <w:b/>
                <w:bCs/>
                <w:color w:val="000000" w:themeColor="text1"/>
                <w:szCs w:val="20"/>
                <w:lang w:eastAsia="en-AU"/>
              </w:rPr>
              <w:t>Criteria</w:t>
            </w:r>
            <w:r w:rsidR="002813CD">
              <w:rPr>
                <w:rFonts w:eastAsia="Times New Roman" w:cs="Segoe UI Light"/>
                <w:b/>
                <w:bCs/>
                <w:color w:val="000000" w:themeColor="text1"/>
                <w:szCs w:val="20"/>
                <w:lang w:eastAsia="en-AU"/>
              </w:rPr>
              <w:t xml:space="preserve"> (and weight)</w:t>
            </w:r>
          </w:p>
        </w:tc>
        <w:tc>
          <w:tcPr>
            <w:tcW w:w="2052" w:type="pct"/>
            <w:noWrap/>
            <w:hideMark/>
          </w:tcPr>
          <w:p w14:paraId="656B0495" w14:textId="77777777" w:rsidR="002E2BA7" w:rsidRPr="00B05634" w:rsidRDefault="002E2BA7" w:rsidP="001F1C85">
            <w:pPr>
              <w:keepNext/>
              <w:spacing w:after="0" w:line="240" w:lineRule="auto"/>
              <w:ind w:right="57"/>
              <w:jc w:val="right"/>
              <w:rPr>
                <w:rFonts w:eastAsia="Times New Roman" w:cs="Segoe UI Light"/>
                <w:b/>
                <w:color w:val="000000" w:themeColor="text1"/>
                <w:szCs w:val="20"/>
                <w:lang w:eastAsia="en-AU"/>
              </w:rPr>
            </w:pPr>
            <w:r w:rsidRPr="006E4A14">
              <w:rPr>
                <w:rFonts w:eastAsia="Times New Roman" w:cs="Segoe UI Light"/>
                <w:b/>
                <w:color w:val="000000" w:themeColor="text1"/>
                <w:szCs w:val="20"/>
                <w:lang w:eastAsia="en-AU"/>
              </w:rPr>
              <w:t>Option 1</w:t>
            </w:r>
          </w:p>
          <w:p w14:paraId="656B0496" w14:textId="77777777" w:rsidR="00E127A9" w:rsidRPr="006E4A14" w:rsidRDefault="00E127A9" w:rsidP="001F1C85">
            <w:pPr>
              <w:keepNext/>
              <w:spacing w:after="0" w:line="240" w:lineRule="auto"/>
              <w:ind w:right="57"/>
              <w:jc w:val="right"/>
              <w:rPr>
                <w:rFonts w:eastAsia="Times New Roman" w:cs="Segoe UI Light"/>
                <w:color w:val="000000" w:themeColor="text1"/>
                <w:szCs w:val="20"/>
                <w:lang w:eastAsia="en-AU"/>
              </w:rPr>
            </w:pPr>
            <w:r w:rsidRPr="00F27F90">
              <w:rPr>
                <w:rFonts w:eastAsia="Times New Roman" w:cs="Segoe UI Light"/>
                <w:color w:val="000000" w:themeColor="text1"/>
                <w:szCs w:val="20"/>
                <w:lang w:eastAsia="en-AU"/>
              </w:rPr>
              <w:t>Prescribed risk-based threshold</w:t>
            </w:r>
          </w:p>
        </w:tc>
        <w:tc>
          <w:tcPr>
            <w:tcW w:w="2052" w:type="pct"/>
            <w:noWrap/>
            <w:hideMark/>
          </w:tcPr>
          <w:p w14:paraId="656B0497" w14:textId="77777777" w:rsidR="002E2BA7" w:rsidRPr="00B05634" w:rsidRDefault="002E2BA7" w:rsidP="001F1C85">
            <w:pPr>
              <w:keepNext/>
              <w:spacing w:after="0" w:line="240" w:lineRule="auto"/>
              <w:ind w:right="57"/>
              <w:jc w:val="right"/>
              <w:rPr>
                <w:rFonts w:eastAsia="Times New Roman" w:cs="Segoe UI Light"/>
                <w:b/>
                <w:color w:val="000000" w:themeColor="text1"/>
                <w:szCs w:val="20"/>
                <w:lang w:eastAsia="en-AU"/>
              </w:rPr>
            </w:pPr>
            <w:r w:rsidRPr="006E4A14">
              <w:rPr>
                <w:rFonts w:eastAsia="Times New Roman" w:cs="Segoe UI Light"/>
                <w:b/>
                <w:color w:val="000000" w:themeColor="text1"/>
                <w:szCs w:val="20"/>
                <w:lang w:eastAsia="en-AU"/>
              </w:rPr>
              <w:t>Option 2</w:t>
            </w:r>
          </w:p>
          <w:p w14:paraId="656B0498" w14:textId="77777777" w:rsidR="00E127A9" w:rsidRPr="006E4A14" w:rsidRDefault="00E127A9" w:rsidP="001F1C85">
            <w:pPr>
              <w:keepNext/>
              <w:spacing w:after="0" w:line="240" w:lineRule="auto"/>
              <w:ind w:right="57"/>
              <w:jc w:val="right"/>
              <w:rPr>
                <w:rFonts w:eastAsia="Times New Roman" w:cs="Segoe UI Light"/>
                <w:color w:val="000000" w:themeColor="text1"/>
                <w:szCs w:val="20"/>
                <w:lang w:eastAsia="en-AU"/>
              </w:rPr>
            </w:pPr>
            <w:r w:rsidRPr="00F27F90">
              <w:rPr>
                <w:rFonts w:eastAsia="Times New Roman" w:cs="Segoe UI Light"/>
                <w:color w:val="000000" w:themeColor="text1"/>
                <w:szCs w:val="20"/>
                <w:lang w:eastAsia="en-AU"/>
              </w:rPr>
              <w:t>Option 1 plus prescribed exemptions and management response</w:t>
            </w:r>
          </w:p>
        </w:tc>
      </w:tr>
      <w:tr w:rsidR="00BC1A0C" w:rsidRPr="00BC1A0C" w14:paraId="656B049D" w14:textId="77777777" w:rsidTr="00197257">
        <w:trPr>
          <w:trHeight w:val="285"/>
        </w:trPr>
        <w:tc>
          <w:tcPr>
            <w:tcW w:w="896" w:type="pct"/>
            <w:noWrap/>
            <w:hideMark/>
          </w:tcPr>
          <w:p w14:paraId="656B049A" w14:textId="77777777" w:rsidR="002E2BA7" w:rsidRPr="006E4A14" w:rsidRDefault="002E2BA7" w:rsidP="00197257">
            <w:pPr>
              <w:keepNext/>
              <w:spacing w:after="0" w:line="240" w:lineRule="auto"/>
              <w:rPr>
                <w:rFonts w:eastAsia="Times New Roman" w:cs="Segoe UI Light"/>
                <w:color w:val="000000" w:themeColor="text1"/>
                <w:szCs w:val="20"/>
                <w:lang w:eastAsia="en-AU"/>
              </w:rPr>
            </w:pPr>
            <w:r w:rsidRPr="006E4A14">
              <w:rPr>
                <w:rFonts w:eastAsia="Times New Roman" w:cs="Segoe UI Light"/>
                <w:color w:val="000000" w:themeColor="text1"/>
                <w:szCs w:val="20"/>
                <w:lang w:eastAsia="en-AU"/>
              </w:rPr>
              <w:t>Effectiveness</w:t>
            </w:r>
            <w:r w:rsidR="002813CD" w:rsidRPr="006E4A14">
              <w:rPr>
                <w:rFonts w:eastAsia="Times New Roman" w:cs="Segoe UI Light"/>
                <w:color w:val="000000" w:themeColor="text1"/>
                <w:szCs w:val="20"/>
                <w:lang w:eastAsia="en-AU"/>
              </w:rPr>
              <w:t xml:space="preserve"> (50%)</w:t>
            </w:r>
          </w:p>
        </w:tc>
        <w:tc>
          <w:tcPr>
            <w:tcW w:w="2052" w:type="pct"/>
            <w:noWrap/>
            <w:hideMark/>
          </w:tcPr>
          <w:p w14:paraId="656B049B" w14:textId="77777777" w:rsidR="002E2BA7" w:rsidRPr="006E4A14" w:rsidRDefault="002E2BA7" w:rsidP="001F1C85">
            <w:pPr>
              <w:keepNext/>
              <w:spacing w:after="0" w:line="240" w:lineRule="auto"/>
              <w:ind w:right="57"/>
              <w:jc w:val="right"/>
              <w:rPr>
                <w:rFonts w:eastAsia="Times New Roman" w:cs="Segoe UI Light"/>
                <w:color w:val="000000" w:themeColor="text1"/>
                <w:szCs w:val="20"/>
                <w:lang w:eastAsia="en-AU"/>
              </w:rPr>
            </w:pPr>
            <w:r w:rsidRPr="006E4A14">
              <w:rPr>
                <w:rFonts w:eastAsia="Times New Roman" w:cs="Segoe UI Light"/>
                <w:color w:val="000000" w:themeColor="text1"/>
                <w:szCs w:val="20"/>
                <w:lang w:eastAsia="en-AU"/>
              </w:rPr>
              <w:t>6</w:t>
            </w:r>
          </w:p>
        </w:tc>
        <w:tc>
          <w:tcPr>
            <w:tcW w:w="2052" w:type="pct"/>
            <w:noWrap/>
            <w:hideMark/>
          </w:tcPr>
          <w:p w14:paraId="656B049C" w14:textId="77777777" w:rsidR="002E2BA7" w:rsidRPr="006E4A14" w:rsidRDefault="002E2BA7" w:rsidP="001F1C85">
            <w:pPr>
              <w:keepNext/>
              <w:spacing w:after="0" w:line="240" w:lineRule="auto"/>
              <w:ind w:right="57"/>
              <w:jc w:val="right"/>
              <w:rPr>
                <w:rFonts w:eastAsia="Times New Roman" w:cs="Segoe UI Light"/>
                <w:color w:val="000000" w:themeColor="text1"/>
                <w:szCs w:val="20"/>
                <w:lang w:eastAsia="en-AU"/>
              </w:rPr>
            </w:pPr>
            <w:r w:rsidRPr="006E4A14">
              <w:rPr>
                <w:rFonts w:eastAsia="Times New Roman" w:cs="Segoe UI Light"/>
                <w:color w:val="000000" w:themeColor="text1"/>
                <w:szCs w:val="20"/>
                <w:lang w:eastAsia="en-AU"/>
              </w:rPr>
              <w:t>8</w:t>
            </w:r>
          </w:p>
        </w:tc>
      </w:tr>
      <w:tr w:rsidR="00BC1A0C" w:rsidRPr="00BC1A0C" w14:paraId="656B04A1" w14:textId="77777777" w:rsidTr="00197257">
        <w:trPr>
          <w:trHeight w:val="285"/>
        </w:trPr>
        <w:tc>
          <w:tcPr>
            <w:tcW w:w="896" w:type="pct"/>
            <w:noWrap/>
            <w:hideMark/>
          </w:tcPr>
          <w:p w14:paraId="656B049E" w14:textId="77777777" w:rsidR="002E2BA7" w:rsidRPr="006E4A14" w:rsidRDefault="002E2BA7" w:rsidP="00197257">
            <w:pPr>
              <w:keepNext/>
              <w:spacing w:after="0" w:line="240" w:lineRule="auto"/>
              <w:rPr>
                <w:rFonts w:eastAsia="Times New Roman" w:cs="Segoe UI Light"/>
                <w:color w:val="000000" w:themeColor="text1"/>
                <w:szCs w:val="20"/>
                <w:lang w:eastAsia="en-AU"/>
              </w:rPr>
            </w:pPr>
            <w:r w:rsidRPr="006E4A14">
              <w:rPr>
                <w:rFonts w:eastAsia="Times New Roman" w:cs="Segoe UI Light"/>
                <w:color w:val="000000" w:themeColor="text1"/>
                <w:szCs w:val="20"/>
                <w:lang w:eastAsia="en-AU"/>
              </w:rPr>
              <w:t>Cost</w:t>
            </w:r>
            <w:r w:rsidR="002813CD" w:rsidRPr="006E4A14">
              <w:rPr>
                <w:rFonts w:eastAsia="Times New Roman" w:cs="Segoe UI Light"/>
                <w:color w:val="000000" w:themeColor="text1"/>
                <w:szCs w:val="20"/>
                <w:lang w:eastAsia="en-AU"/>
              </w:rPr>
              <w:t xml:space="preserve"> (50%)</w:t>
            </w:r>
          </w:p>
        </w:tc>
        <w:tc>
          <w:tcPr>
            <w:tcW w:w="2052" w:type="pct"/>
            <w:noWrap/>
            <w:hideMark/>
          </w:tcPr>
          <w:p w14:paraId="656B049F" w14:textId="77777777" w:rsidR="002E2BA7" w:rsidRPr="006E4A14" w:rsidRDefault="002E2BA7" w:rsidP="001F1C85">
            <w:pPr>
              <w:keepNext/>
              <w:spacing w:after="0" w:line="240" w:lineRule="auto"/>
              <w:ind w:right="57"/>
              <w:jc w:val="right"/>
              <w:rPr>
                <w:rFonts w:eastAsia="Times New Roman" w:cs="Segoe UI Light"/>
                <w:color w:val="000000" w:themeColor="text1"/>
                <w:szCs w:val="20"/>
                <w:lang w:eastAsia="en-AU"/>
              </w:rPr>
            </w:pPr>
            <w:r w:rsidRPr="006E4A14">
              <w:rPr>
                <w:rFonts w:eastAsia="Times New Roman" w:cs="Segoe UI Light"/>
                <w:color w:val="000000" w:themeColor="text1"/>
                <w:szCs w:val="20"/>
                <w:lang w:eastAsia="en-AU"/>
              </w:rPr>
              <w:t>4</w:t>
            </w:r>
          </w:p>
        </w:tc>
        <w:tc>
          <w:tcPr>
            <w:tcW w:w="2052" w:type="pct"/>
            <w:noWrap/>
            <w:hideMark/>
          </w:tcPr>
          <w:p w14:paraId="656B04A0" w14:textId="77777777" w:rsidR="002E2BA7" w:rsidRPr="006E4A14" w:rsidRDefault="002E2BA7" w:rsidP="001F1C85">
            <w:pPr>
              <w:keepNext/>
              <w:spacing w:after="0" w:line="240" w:lineRule="auto"/>
              <w:ind w:right="57"/>
              <w:jc w:val="right"/>
              <w:rPr>
                <w:rFonts w:eastAsia="Times New Roman" w:cs="Segoe UI Light"/>
                <w:color w:val="000000" w:themeColor="text1"/>
                <w:szCs w:val="20"/>
                <w:lang w:eastAsia="en-AU"/>
              </w:rPr>
            </w:pPr>
            <w:r w:rsidRPr="006E4A14">
              <w:rPr>
                <w:rFonts w:eastAsia="Times New Roman" w:cs="Segoe UI Light"/>
                <w:color w:val="000000" w:themeColor="text1"/>
                <w:szCs w:val="20"/>
                <w:lang w:eastAsia="en-AU"/>
              </w:rPr>
              <w:t>7</w:t>
            </w:r>
          </w:p>
        </w:tc>
      </w:tr>
      <w:tr w:rsidR="00BC1A0C" w:rsidRPr="00BC1A0C" w14:paraId="656B04A5" w14:textId="77777777" w:rsidTr="00197257">
        <w:trPr>
          <w:trHeight w:val="285"/>
        </w:trPr>
        <w:tc>
          <w:tcPr>
            <w:tcW w:w="896" w:type="pct"/>
            <w:noWrap/>
            <w:hideMark/>
          </w:tcPr>
          <w:p w14:paraId="656B04A2" w14:textId="77777777" w:rsidR="002E2BA7" w:rsidRPr="006E4A14" w:rsidRDefault="002E2BA7" w:rsidP="00197257">
            <w:pPr>
              <w:keepNext/>
              <w:spacing w:after="0" w:line="240" w:lineRule="auto"/>
              <w:rPr>
                <w:rFonts w:eastAsia="Times New Roman" w:cs="Segoe UI Light"/>
                <w:color w:val="000000" w:themeColor="text1"/>
                <w:szCs w:val="20"/>
                <w:lang w:eastAsia="en-AU"/>
              </w:rPr>
            </w:pPr>
            <w:r w:rsidRPr="006E4A14">
              <w:rPr>
                <w:rFonts w:eastAsia="Times New Roman" w:cs="Segoe UI Light"/>
                <w:color w:val="000000" w:themeColor="text1"/>
                <w:szCs w:val="20"/>
                <w:lang w:eastAsia="en-AU"/>
              </w:rPr>
              <w:t xml:space="preserve">Total </w:t>
            </w:r>
            <w:r w:rsidR="007A265B" w:rsidRPr="006E4A14">
              <w:rPr>
                <w:rFonts w:eastAsia="Times New Roman" w:cs="Segoe UI Light"/>
                <w:color w:val="000000" w:themeColor="text1"/>
                <w:szCs w:val="20"/>
                <w:lang w:eastAsia="en-AU"/>
              </w:rPr>
              <w:t xml:space="preserve">weighted </w:t>
            </w:r>
            <w:r w:rsidRPr="006E4A14">
              <w:rPr>
                <w:rFonts w:eastAsia="Times New Roman" w:cs="Segoe UI Light"/>
                <w:color w:val="000000" w:themeColor="text1"/>
                <w:szCs w:val="20"/>
                <w:lang w:eastAsia="en-AU"/>
              </w:rPr>
              <w:t>score</w:t>
            </w:r>
          </w:p>
        </w:tc>
        <w:tc>
          <w:tcPr>
            <w:tcW w:w="2052" w:type="pct"/>
            <w:noWrap/>
            <w:hideMark/>
          </w:tcPr>
          <w:p w14:paraId="656B04A3" w14:textId="77777777" w:rsidR="002E2BA7" w:rsidRPr="006E4A14" w:rsidRDefault="002813CD" w:rsidP="001F1C85">
            <w:pPr>
              <w:keepNext/>
              <w:spacing w:after="0" w:line="240" w:lineRule="auto"/>
              <w:ind w:right="57"/>
              <w:jc w:val="right"/>
              <w:rPr>
                <w:rFonts w:eastAsia="Times New Roman" w:cs="Segoe UI Light"/>
                <w:color w:val="000000" w:themeColor="text1"/>
                <w:szCs w:val="20"/>
                <w:lang w:eastAsia="en-AU"/>
              </w:rPr>
            </w:pPr>
            <w:r w:rsidRPr="006E4A14">
              <w:rPr>
                <w:rFonts w:eastAsia="Times New Roman" w:cs="Segoe UI Light"/>
                <w:color w:val="000000" w:themeColor="text1"/>
                <w:szCs w:val="20"/>
                <w:lang w:eastAsia="en-AU"/>
              </w:rPr>
              <w:t>5</w:t>
            </w:r>
          </w:p>
        </w:tc>
        <w:tc>
          <w:tcPr>
            <w:tcW w:w="2052" w:type="pct"/>
            <w:noWrap/>
            <w:hideMark/>
          </w:tcPr>
          <w:p w14:paraId="656B04A4" w14:textId="77777777" w:rsidR="002E2BA7" w:rsidRPr="006E4A14" w:rsidRDefault="002813CD" w:rsidP="001F1C85">
            <w:pPr>
              <w:keepNext/>
              <w:spacing w:after="0" w:line="240" w:lineRule="auto"/>
              <w:ind w:right="57"/>
              <w:jc w:val="right"/>
              <w:rPr>
                <w:rFonts w:eastAsia="Times New Roman" w:cs="Segoe UI Light"/>
                <w:color w:val="000000" w:themeColor="text1"/>
                <w:szCs w:val="20"/>
                <w:lang w:eastAsia="en-AU"/>
              </w:rPr>
            </w:pPr>
            <w:r w:rsidRPr="006E4A14">
              <w:rPr>
                <w:rFonts w:eastAsia="Times New Roman" w:cs="Segoe UI Light"/>
                <w:color w:val="000000" w:themeColor="text1"/>
                <w:szCs w:val="20"/>
                <w:lang w:eastAsia="en-AU"/>
              </w:rPr>
              <w:t>7.5</w:t>
            </w:r>
          </w:p>
        </w:tc>
      </w:tr>
    </w:tbl>
    <w:p w14:paraId="656B04A6" w14:textId="77777777" w:rsidR="002E2BA7" w:rsidRPr="00330947" w:rsidRDefault="002E2BA7" w:rsidP="002E2BA7">
      <w:r w:rsidRPr="00330947">
        <w:t xml:space="preserve"> </w:t>
      </w:r>
    </w:p>
    <w:p w14:paraId="656B04A7" w14:textId="77777777" w:rsidR="001922B1" w:rsidRDefault="001922B1" w:rsidP="00ED173F">
      <w:pPr>
        <w:pStyle w:val="Heading1"/>
      </w:pPr>
      <w:bookmarkStart w:id="620" w:name="_Toc536054975"/>
      <w:bookmarkStart w:id="621" w:name="_Ref536465624"/>
      <w:bookmarkStart w:id="622" w:name="_Ref536465630"/>
      <w:bookmarkStart w:id="623" w:name="_Toc536807104"/>
      <w:bookmarkStart w:id="624" w:name="_Toc342631"/>
      <w:bookmarkStart w:id="625" w:name="_Toc10018330"/>
      <w:bookmarkStart w:id="626" w:name="_Toc10021437"/>
      <w:bookmarkStart w:id="627" w:name="_Toc10021851"/>
      <w:bookmarkStart w:id="628" w:name="_Toc12892335"/>
      <w:bookmarkEnd w:id="614"/>
      <w:bookmarkEnd w:id="615"/>
      <w:r>
        <w:t>Waste</w:t>
      </w:r>
      <w:bookmarkEnd w:id="596"/>
      <w:bookmarkEnd w:id="620"/>
      <w:bookmarkEnd w:id="621"/>
      <w:bookmarkEnd w:id="622"/>
      <w:bookmarkEnd w:id="623"/>
      <w:bookmarkEnd w:id="624"/>
      <w:bookmarkEnd w:id="625"/>
      <w:bookmarkEnd w:id="626"/>
      <w:bookmarkEnd w:id="627"/>
      <w:bookmarkEnd w:id="628"/>
    </w:p>
    <w:p w14:paraId="656B04A8" w14:textId="77777777" w:rsidR="009248CA" w:rsidRPr="0022081C" w:rsidRDefault="00213E13" w:rsidP="00213E13">
      <w:pPr>
        <w:mirrorIndents/>
        <w:rPr>
          <w:color w:val="808080" w:themeColor="background1" w:themeShade="80"/>
        </w:rPr>
      </w:pPr>
      <w:bookmarkStart w:id="629" w:name="_Toc525554673"/>
      <w:bookmarkStart w:id="630" w:name="_Toc536054976"/>
      <w:bookmarkStart w:id="631" w:name="_Toc525554692"/>
      <w:r w:rsidRPr="0022081C">
        <w:rPr>
          <w:b/>
          <w:color w:val="808080" w:themeColor="background1" w:themeShade="80"/>
        </w:rPr>
        <w:t xml:space="preserve">This chapter </w:t>
      </w:r>
      <w:r w:rsidRPr="00B05634">
        <w:rPr>
          <w:b/>
          <w:color w:val="808080" w:themeColor="background1" w:themeShade="80"/>
        </w:rPr>
        <w:t>assesses regulations be</w:t>
      </w:r>
      <w:r w:rsidRPr="003E6970">
        <w:rPr>
          <w:b/>
          <w:color w:val="808080" w:themeColor="background1" w:themeShade="80"/>
        </w:rPr>
        <w:t xml:space="preserve">ing proposed </w:t>
      </w:r>
      <w:r w:rsidR="0087534E" w:rsidRPr="006E4A14">
        <w:rPr>
          <w:b/>
          <w:color w:val="808080" w:themeColor="background1" w:themeShade="80"/>
        </w:rPr>
        <w:t>to enable the new waste management framework to function</w:t>
      </w:r>
      <w:r w:rsidR="0087534E" w:rsidRPr="00B05634">
        <w:rPr>
          <w:b/>
          <w:color w:val="808080" w:themeColor="background1" w:themeShade="80"/>
        </w:rPr>
        <w:t xml:space="preserve"> under the new EP legislation, and to address poor waste management </w:t>
      </w:r>
      <w:r w:rsidR="0087534E" w:rsidRPr="003E6970">
        <w:rPr>
          <w:b/>
          <w:color w:val="808080" w:themeColor="background1" w:themeShade="80"/>
        </w:rPr>
        <w:t>practices and known risk of mismanagement by duty holders in the waste sector.</w:t>
      </w:r>
    </w:p>
    <w:p w14:paraId="656B04A9" w14:textId="77777777" w:rsidR="00213E13" w:rsidRDefault="00213E13" w:rsidP="00213E13">
      <w:pPr>
        <w:mirrorIndents/>
      </w:pPr>
      <w:r w:rsidRPr="00B70E30">
        <w:rPr>
          <w:rFonts w:cs="Segoe UI Light"/>
          <w:noProof/>
          <w:color w:val="2B579A"/>
          <w:shd w:val="clear" w:color="auto" w:fill="E6E6E6"/>
          <w:lang w:eastAsia="en-AU"/>
        </w:rPr>
        <mc:AlternateContent>
          <mc:Choice Requires="wps">
            <w:drawing>
              <wp:inline distT="0" distB="0" distL="0" distR="0" wp14:anchorId="656B1EAA" wp14:editId="656B1EAB">
                <wp:extent cx="6195060" cy="6692900"/>
                <wp:effectExtent l="0" t="0" r="15240" b="12700"/>
                <wp:docPr id="662474186" name="Rectangle 662474186"/>
                <wp:cNvGraphicFramePr/>
                <a:graphic xmlns:a="http://schemas.openxmlformats.org/drawingml/2006/main">
                  <a:graphicData uri="http://schemas.microsoft.com/office/word/2010/wordprocessingShape">
                    <wps:wsp>
                      <wps:cNvSpPr/>
                      <wps:spPr bwMode="gray">
                        <a:xfrm>
                          <a:off x="0" y="0"/>
                          <a:ext cx="6195060" cy="6692900"/>
                        </a:xfrm>
                        <a:prstGeom prst="rect">
                          <a:avLst/>
                        </a:prstGeom>
                        <a:solidFill>
                          <a:schemeClr val="bg2"/>
                        </a:solidFill>
                        <a:ln w="19050" algn="ctr">
                          <a:solidFill>
                            <a:srgbClr val="62B5E5"/>
                          </a:solidFill>
                          <a:miter lim="800000"/>
                          <a:headEnd/>
                          <a:tailEnd/>
                        </a:ln>
                      </wps:spPr>
                      <wps:txbx>
                        <w:txbxContent>
                          <w:p w14:paraId="656B21EF" w14:textId="77777777" w:rsidR="00E752DE" w:rsidRPr="007553F2" w:rsidRDefault="00E752DE" w:rsidP="00213E13">
                            <w:pPr>
                              <w:ind w:right="262"/>
                              <w:rPr>
                                <w:rFonts w:cs="Segoe UI Light"/>
                                <w:b/>
                                <w:color w:val="FF0000"/>
                              </w:rPr>
                            </w:pPr>
                            <w:r w:rsidRPr="005D5854">
                              <w:rPr>
                                <w:rFonts w:cs="Segoe UI Light"/>
                                <w:b/>
                                <w:color w:val="012169" w:themeColor="accent4"/>
                              </w:rPr>
                              <w:t>Key points:</w:t>
                            </w:r>
                          </w:p>
                          <w:p w14:paraId="656B21F0" w14:textId="77777777" w:rsidR="00E752DE" w:rsidRPr="006E4A14" w:rsidRDefault="00E752DE" w:rsidP="00213E13">
                            <w:pPr>
                              <w:pStyle w:val="ListParagraph"/>
                              <w:numPr>
                                <w:ilvl w:val="0"/>
                                <w:numId w:val="67"/>
                              </w:numPr>
                              <w:rPr>
                                <w:rFonts w:cs="Segoe UI Light"/>
                                <w:sz w:val="19"/>
                                <w:szCs w:val="19"/>
                              </w:rPr>
                            </w:pPr>
                            <w:r w:rsidRPr="006E4A14">
                              <w:rPr>
                                <w:rFonts w:cs="Segoe UI Light"/>
                                <w:sz w:val="19"/>
                                <w:szCs w:val="19"/>
                              </w:rPr>
                              <w:t xml:space="preserve">Poor management of waste presents potentially catastrophic risks to the environment and human health. This is clearly seen in a series of waste fires and stockpiling cases that have occurred in Victoria in recent months and years. </w:t>
                            </w:r>
                          </w:p>
                          <w:p w14:paraId="656B21F1" w14:textId="77777777" w:rsidR="00E752DE" w:rsidRPr="006E4A14" w:rsidRDefault="00E752DE" w:rsidP="00213E13">
                            <w:pPr>
                              <w:pStyle w:val="ListParagraph"/>
                              <w:numPr>
                                <w:ilvl w:val="0"/>
                                <w:numId w:val="67"/>
                              </w:numPr>
                              <w:rPr>
                                <w:rFonts w:cs="Segoe UI Light"/>
                                <w:sz w:val="19"/>
                                <w:szCs w:val="19"/>
                              </w:rPr>
                            </w:pPr>
                            <w:r w:rsidRPr="006E4A14">
                              <w:rPr>
                                <w:rFonts w:cs="Segoe UI Light"/>
                                <w:sz w:val="19"/>
                                <w:szCs w:val="19"/>
                              </w:rPr>
                              <w:t xml:space="preserve">Factors contributing to mismanagement include inadequate technical knowledge, complex regulation, costs of regulatory compliance and intentional non-compliance or illegal activity. Complex global market forces also drive some activities and incentives in the waste sector and </w:t>
                            </w:r>
                            <w:r w:rsidRPr="006E4A14">
                              <w:rPr>
                                <w:sz w:val="19"/>
                                <w:szCs w:val="19"/>
                              </w:rPr>
                              <w:t>add a layer of complexity to local environment protection regulations.</w:t>
                            </w:r>
                          </w:p>
                          <w:p w14:paraId="656B21F2" w14:textId="77777777" w:rsidR="00E752DE" w:rsidRPr="006E4A14" w:rsidRDefault="00E752DE" w:rsidP="00213E13">
                            <w:pPr>
                              <w:pStyle w:val="ListParagraph"/>
                              <w:numPr>
                                <w:ilvl w:val="0"/>
                                <w:numId w:val="67"/>
                              </w:numPr>
                              <w:mirrorIndents/>
                              <w:rPr>
                                <w:sz w:val="19"/>
                                <w:szCs w:val="19"/>
                              </w:rPr>
                            </w:pPr>
                            <w:r w:rsidRPr="006E4A14">
                              <w:rPr>
                                <w:sz w:val="19"/>
                                <w:szCs w:val="19"/>
                              </w:rPr>
                              <w:t xml:space="preserve">Under the new EP legislation, waste risks will be principally managed by the GED which will require industry to demonstrate how it is managing risks and minimising harm from waste related activities. There are also specific waste provisions in the new EP legislation relating to industrial waste, priority waste, waste levies and landfill management. </w:t>
                            </w:r>
                          </w:p>
                          <w:p w14:paraId="656B21F3" w14:textId="77777777" w:rsidR="00E752DE" w:rsidRPr="006E4A14" w:rsidRDefault="00E752DE" w:rsidP="0087534E">
                            <w:pPr>
                              <w:pStyle w:val="ListParagraph"/>
                              <w:numPr>
                                <w:ilvl w:val="0"/>
                                <w:numId w:val="67"/>
                              </w:numPr>
                              <w:ind w:right="565"/>
                              <w:rPr>
                                <w:rFonts w:cs="Segoe UI Light"/>
                                <w:b/>
                                <w:sz w:val="19"/>
                                <w:szCs w:val="19"/>
                              </w:rPr>
                            </w:pPr>
                            <w:r w:rsidRPr="006E4A14">
                              <w:rPr>
                                <w:sz w:val="19"/>
                                <w:szCs w:val="19"/>
                              </w:rPr>
                              <w:t xml:space="preserve">However, significant residual risks remain in the area of waste management:  </w:t>
                            </w:r>
                          </w:p>
                          <w:p w14:paraId="656B21F4"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 xml:space="preserve">Some waste duties under the new EP legislation cannot function without prescription under regulation. These include duties relating to priority and reportable priority wastes, transaction controls (including appropriate classification and tracking of waste), transport permissions for reportable priority waste and lawful place. </w:t>
                            </w:r>
                          </w:p>
                          <w:p w14:paraId="656B21F5"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Some types of waste present lower levels of risk of environmental harm in smaller quantities, however cumulative impacts on the environment and human health (such as through stockpiles) can be significant. Therefore these risks are more difficult to control through the GED and duties in the new EP legislation.</w:t>
                            </w:r>
                          </w:p>
                          <w:p w14:paraId="656B21F6"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There is a known risk of mismanagement by some duty holders in the waste sector, reflected in behaviour such as illegal dumping and illegal landfilling. Regulatory controls will create consistency and certainty between operators in their response to their duties. Guidance alone is unlikely to be effective with cohorts that have consistently demonstrated poor management practices.</w:t>
                            </w:r>
                          </w:p>
                          <w:p w14:paraId="656B21F7" w14:textId="77777777" w:rsidR="00E752DE" w:rsidRPr="006E4A14" w:rsidRDefault="00E752DE">
                            <w:pPr>
                              <w:pStyle w:val="ListParagraph"/>
                              <w:numPr>
                                <w:ilvl w:val="0"/>
                                <w:numId w:val="67"/>
                              </w:numPr>
                              <w:mirrorIndents/>
                              <w:rPr>
                                <w:sz w:val="19"/>
                                <w:szCs w:val="19"/>
                              </w:rPr>
                            </w:pPr>
                            <w:r w:rsidRPr="006E4A14">
                              <w:rPr>
                                <w:sz w:val="19"/>
                                <w:szCs w:val="19"/>
                              </w:rPr>
                              <w:t xml:space="preserve">The preferred options to address the residual risks are: </w:t>
                            </w:r>
                          </w:p>
                          <w:p w14:paraId="656B21F8"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Establish a tiered classification pathway for waste generators to classify their industrial waste</w:t>
                            </w:r>
                          </w:p>
                          <w:p w14:paraId="656B21F9"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 xml:space="preserve">Utilise the permissioning framework to determine lawful authority to receive industrial wastes, together with an extra tool for identifying legitimate uses of waste in certain circumstances. </w:t>
                            </w:r>
                          </w:p>
                          <w:p w14:paraId="656B21FA"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 xml:space="preserve">Prescribe very high hazard, high-hazard and moderate-hazardous wastes, along with those at risk of mismanagement, as priority wastes. </w:t>
                            </w:r>
                          </w:p>
                          <w:p w14:paraId="656B21FB"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Require transport permissions</w:t>
                            </w:r>
                            <w:r w:rsidRPr="006E4A14" w:rsidDel="003D7CAC">
                              <w:rPr>
                                <w:sz w:val="19"/>
                                <w:szCs w:val="19"/>
                              </w:rPr>
                              <w:t xml:space="preserve"> </w:t>
                            </w:r>
                            <w:r w:rsidRPr="006E4A14">
                              <w:rPr>
                                <w:sz w:val="19"/>
                                <w:szCs w:val="19"/>
                              </w:rPr>
                              <w:t>for very high – moderate hazard wastes, and transaction tracking for all very high and high hazard wastes (e.g. asbestos, hazardous liquids)</w:t>
                            </w:r>
                          </w:p>
                          <w:p w14:paraId="656B21FC"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 xml:space="preserve">Require waste tracking for reportable priority waste, to be undertaken by either the waste generator themselves or, as a second option, by an accredited waste consigner. </w:t>
                            </w:r>
                          </w:p>
                          <w:p w14:paraId="656B21FD"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Prescribing that sensitive environmental areas must not be impacted by a landfill, and prevent EPA from granting permissions for landfill sites to accept selected wastes</w:t>
                            </w:r>
                          </w:p>
                          <w:p w14:paraId="656B21FE"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 xml:space="preserve">Prescribe information that EPA requires to assess compliance with the waste levy scheme, the conditions under which waste can attract a rebate (for being recoverable), the timing of waste levy payments and the time limits within which materials must be recovered to claim a rebate. </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56B1EAA" id="Rectangle 662474186" o:spid="_x0000_s1072" style="width:487.8pt;height:52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" fillcolor="#e7e6e6 [3214]" strokecolor="#62b5e5" strokeweight="1.5pt">
                <v:textbox inset="7pt,7pt,7pt,7pt">
                  <w:txbxContent>
                    <w:p w14:paraId="656B21EF" w14:textId="77777777" w:rsidR="00E752DE" w:rsidRPr="007553F2" w:rsidRDefault="00E752DE" w:rsidP="00213E13">
                      <w:pPr>
                        <w:ind w:right="262"/>
                        <w:rPr>
                          <w:rFonts w:cs="Segoe UI Light"/>
                          <w:b/>
                          <w:color w:val="FF0000"/>
                        </w:rPr>
                      </w:pPr>
                      <w:r w:rsidRPr="005D5854">
                        <w:rPr>
                          <w:rFonts w:cs="Segoe UI Light"/>
                          <w:b/>
                          <w:color w:val="012169" w:themeColor="accent4"/>
                        </w:rPr>
                        <w:t>Key points:</w:t>
                      </w:r>
                    </w:p>
                    <w:p w14:paraId="656B21F0" w14:textId="77777777" w:rsidR="00E752DE" w:rsidRPr="006E4A14" w:rsidRDefault="00E752DE" w:rsidP="00213E13">
                      <w:pPr>
                        <w:pStyle w:val="ListParagraph"/>
                        <w:numPr>
                          <w:ilvl w:val="0"/>
                          <w:numId w:val="67"/>
                        </w:numPr>
                        <w:rPr>
                          <w:rFonts w:cs="Segoe UI Light"/>
                          <w:sz w:val="19"/>
                          <w:szCs w:val="19"/>
                        </w:rPr>
                      </w:pPr>
                      <w:r w:rsidRPr="006E4A14">
                        <w:rPr>
                          <w:rFonts w:cs="Segoe UI Light"/>
                          <w:sz w:val="19"/>
                          <w:szCs w:val="19"/>
                        </w:rPr>
                        <w:t xml:space="preserve">Poor management of waste presents potentially catastrophic risks to the environment and human health. This is clearly seen in a series of waste fires and stockpiling cases that have occurred in Victoria in recent months and years. </w:t>
                      </w:r>
                    </w:p>
                    <w:p w14:paraId="656B21F1" w14:textId="77777777" w:rsidR="00E752DE" w:rsidRPr="006E4A14" w:rsidRDefault="00E752DE" w:rsidP="00213E13">
                      <w:pPr>
                        <w:pStyle w:val="ListParagraph"/>
                        <w:numPr>
                          <w:ilvl w:val="0"/>
                          <w:numId w:val="67"/>
                        </w:numPr>
                        <w:rPr>
                          <w:rFonts w:cs="Segoe UI Light"/>
                          <w:sz w:val="19"/>
                          <w:szCs w:val="19"/>
                        </w:rPr>
                      </w:pPr>
                      <w:r w:rsidRPr="006E4A14">
                        <w:rPr>
                          <w:rFonts w:cs="Segoe UI Light"/>
                          <w:sz w:val="19"/>
                          <w:szCs w:val="19"/>
                        </w:rPr>
                        <w:t xml:space="preserve">Factors contributing to mismanagement include inadequate technical knowledge, complex regulation, costs of regulatory compliance and intentional non-compliance or illegal activity. Complex global market forces also drive some activities and incentives in the waste sector and </w:t>
                      </w:r>
                      <w:r w:rsidRPr="006E4A14">
                        <w:rPr>
                          <w:sz w:val="19"/>
                          <w:szCs w:val="19"/>
                        </w:rPr>
                        <w:t>add a layer of complexity to local environment protection regulations.</w:t>
                      </w:r>
                    </w:p>
                    <w:p w14:paraId="656B21F2" w14:textId="77777777" w:rsidR="00E752DE" w:rsidRPr="006E4A14" w:rsidRDefault="00E752DE" w:rsidP="00213E13">
                      <w:pPr>
                        <w:pStyle w:val="ListParagraph"/>
                        <w:numPr>
                          <w:ilvl w:val="0"/>
                          <w:numId w:val="67"/>
                        </w:numPr>
                        <w:mirrorIndents/>
                        <w:rPr>
                          <w:sz w:val="19"/>
                          <w:szCs w:val="19"/>
                        </w:rPr>
                      </w:pPr>
                      <w:r w:rsidRPr="006E4A14">
                        <w:rPr>
                          <w:sz w:val="19"/>
                          <w:szCs w:val="19"/>
                        </w:rPr>
                        <w:t xml:space="preserve">Under the new EP legislation, waste risks will be principally managed by the GED which will require industry to demonstrate how it is managing risks and minimising harm from waste related activities. There are also specific waste provisions in the new EP legislation relating to industrial waste, priority waste, waste levies and landfill management. </w:t>
                      </w:r>
                    </w:p>
                    <w:p w14:paraId="656B21F3" w14:textId="77777777" w:rsidR="00E752DE" w:rsidRPr="006E4A14" w:rsidRDefault="00E752DE" w:rsidP="0087534E">
                      <w:pPr>
                        <w:pStyle w:val="ListParagraph"/>
                        <w:numPr>
                          <w:ilvl w:val="0"/>
                          <w:numId w:val="67"/>
                        </w:numPr>
                        <w:ind w:right="565"/>
                        <w:rPr>
                          <w:rFonts w:cs="Segoe UI Light"/>
                          <w:b/>
                          <w:sz w:val="19"/>
                          <w:szCs w:val="19"/>
                        </w:rPr>
                      </w:pPr>
                      <w:r w:rsidRPr="006E4A14">
                        <w:rPr>
                          <w:sz w:val="19"/>
                          <w:szCs w:val="19"/>
                        </w:rPr>
                        <w:t xml:space="preserve">However, significant residual risks remain in the area of waste management:  </w:t>
                      </w:r>
                    </w:p>
                    <w:p w14:paraId="656B21F4"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 xml:space="preserve">Some waste duties under the new EP legislation cannot function without prescription under regulation. These include duties relating to priority and reportable priority wastes, transaction controls (including appropriate classification and tracking of waste), transport permissions for reportable priority waste and lawful place. </w:t>
                      </w:r>
                    </w:p>
                    <w:p w14:paraId="656B21F5"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Some types of waste present lower levels of risk of environmental harm in smaller quantities, however cumulative impacts on the environment and human health (such as through stockpiles) can be significant. Therefore these risks are more difficult to control through the GED and duties in the new EP legislation.</w:t>
                      </w:r>
                    </w:p>
                    <w:p w14:paraId="656B21F6"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There is a known risk of mismanagement by some duty holders in the waste sector, reflected in behaviour such as illegal dumping and illegal landfilling. Regulatory controls will create consistency and certainty between operators in their response to their duties. Guidance alone is unlikely to be effective with cohorts that have consistently demonstrated poor management practices.</w:t>
                      </w:r>
                    </w:p>
                    <w:p w14:paraId="656B21F7" w14:textId="77777777" w:rsidR="00E752DE" w:rsidRPr="006E4A14" w:rsidRDefault="00E752DE">
                      <w:pPr>
                        <w:pStyle w:val="ListParagraph"/>
                        <w:numPr>
                          <w:ilvl w:val="0"/>
                          <w:numId w:val="67"/>
                        </w:numPr>
                        <w:mirrorIndents/>
                        <w:rPr>
                          <w:sz w:val="19"/>
                          <w:szCs w:val="19"/>
                        </w:rPr>
                      </w:pPr>
                      <w:r w:rsidRPr="006E4A14">
                        <w:rPr>
                          <w:sz w:val="19"/>
                          <w:szCs w:val="19"/>
                        </w:rPr>
                        <w:t xml:space="preserve">The preferred options to address the residual risks are: </w:t>
                      </w:r>
                    </w:p>
                    <w:p w14:paraId="656B21F8"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Establish a tiered classification pathway for waste generators to classify their industrial waste</w:t>
                      </w:r>
                    </w:p>
                    <w:p w14:paraId="656B21F9"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 xml:space="preserve">Utilise the permissioning framework to determine lawful authority to receive industrial wastes, together with an extra tool for identifying legitimate uses of waste in certain circumstances. </w:t>
                      </w:r>
                    </w:p>
                    <w:p w14:paraId="656B21FA"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 xml:space="preserve">Prescribe very high hazard, high-hazard and moderate-hazardous wastes, along with those at risk of mismanagement, as priority wastes. </w:t>
                      </w:r>
                    </w:p>
                    <w:p w14:paraId="656B21FB"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Require transport permissions</w:t>
                      </w:r>
                      <w:r w:rsidRPr="006E4A14" w:rsidDel="003D7CAC">
                        <w:rPr>
                          <w:sz w:val="19"/>
                          <w:szCs w:val="19"/>
                        </w:rPr>
                        <w:t xml:space="preserve"> </w:t>
                      </w:r>
                      <w:r w:rsidRPr="006E4A14">
                        <w:rPr>
                          <w:sz w:val="19"/>
                          <w:szCs w:val="19"/>
                        </w:rPr>
                        <w:t>for very high – moderate hazard wastes, and transaction tracking for all very high and high hazard wastes (e.g. asbestos, hazardous liquids)</w:t>
                      </w:r>
                    </w:p>
                    <w:p w14:paraId="656B21FC"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 xml:space="preserve">Require waste tracking for reportable priority waste, to be undertaken by either the waste generator themselves or, as a second option, by an accredited waste consigner. </w:t>
                      </w:r>
                    </w:p>
                    <w:p w14:paraId="656B21FD"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Prescribing that sensitive environmental areas must not be impacted by a landfill, and prevent EPA from granting permissions for landfill sites to accept selected wastes</w:t>
                      </w:r>
                    </w:p>
                    <w:p w14:paraId="656B21FE" w14:textId="77777777" w:rsidR="00E752DE" w:rsidRPr="006E4A14" w:rsidRDefault="00E752DE" w:rsidP="006E4A14">
                      <w:pPr>
                        <w:pStyle w:val="ListParagraph"/>
                        <w:numPr>
                          <w:ilvl w:val="1"/>
                          <w:numId w:val="62"/>
                        </w:numPr>
                        <w:ind w:left="993" w:right="262" w:hanging="284"/>
                        <w:mirrorIndents/>
                        <w:rPr>
                          <w:sz w:val="19"/>
                          <w:szCs w:val="19"/>
                        </w:rPr>
                      </w:pPr>
                      <w:r w:rsidRPr="006E4A14">
                        <w:rPr>
                          <w:sz w:val="19"/>
                          <w:szCs w:val="19"/>
                        </w:rPr>
                        <w:t xml:space="preserve">Prescribe information that EPA requires to assess compliance with the waste levy scheme, the conditions under which waste can attract a rebate (for being recoverable), the timing of waste levy payments and the time limits within which materials must be recovered to claim a rebate. </w:t>
                      </w:r>
                    </w:p>
                  </w:txbxContent>
                </v:textbox>
                <w10:anchorlock/>
              </v:rect>
            </w:pict>
          </mc:Fallback>
        </mc:AlternateContent>
      </w:r>
    </w:p>
    <w:p w14:paraId="656B04AA" w14:textId="77777777" w:rsidR="00213E13" w:rsidRPr="00012D01" w:rsidRDefault="00213E13" w:rsidP="00982D63">
      <w:pPr>
        <w:pStyle w:val="Heading2"/>
      </w:pPr>
      <w:r>
        <w:t>Background</w:t>
      </w:r>
    </w:p>
    <w:p w14:paraId="656B04AB" w14:textId="77777777" w:rsidR="00213E13" w:rsidRPr="0058441D" w:rsidRDefault="00213E13" w:rsidP="00213E13">
      <w:pPr>
        <w:ind w:right="-2127"/>
        <w:rPr>
          <w:rFonts w:cs="Segoe UI Light"/>
          <w:szCs w:val="20"/>
        </w:rPr>
      </w:pPr>
      <w:r w:rsidRPr="0058441D">
        <w:rPr>
          <w:rFonts w:cs="Segoe UI Light"/>
          <w:szCs w:val="20"/>
        </w:rPr>
        <w:t xml:space="preserve">Waste is </w:t>
      </w:r>
      <w:r>
        <w:rPr>
          <w:rFonts w:cs="Segoe UI Light"/>
          <w:szCs w:val="20"/>
        </w:rPr>
        <w:t xml:space="preserve">typically </w:t>
      </w:r>
      <w:r w:rsidRPr="0058441D">
        <w:rPr>
          <w:rFonts w:cs="Segoe UI Light"/>
          <w:szCs w:val="20"/>
        </w:rPr>
        <w:t xml:space="preserve">categorised by source or type. Three categories of waste sources are </w:t>
      </w:r>
      <w:r>
        <w:rPr>
          <w:rFonts w:cs="Segoe UI Light"/>
          <w:szCs w:val="20"/>
        </w:rPr>
        <w:t>commonly define</w:t>
      </w:r>
      <w:r w:rsidRPr="0058441D">
        <w:rPr>
          <w:rFonts w:cs="Segoe UI Light"/>
          <w:szCs w:val="20"/>
        </w:rPr>
        <w:t>d in Victoria:</w:t>
      </w:r>
    </w:p>
    <w:p w14:paraId="656B04AC" w14:textId="77777777" w:rsidR="00213E13" w:rsidRPr="0058441D" w:rsidRDefault="00213E13" w:rsidP="00213E13">
      <w:pPr>
        <w:numPr>
          <w:ilvl w:val="0"/>
          <w:numId w:val="59"/>
        </w:numPr>
        <w:spacing w:after="170"/>
        <w:ind w:right="-2694"/>
        <w:contextualSpacing/>
        <w:rPr>
          <w:rFonts w:cs="Segoe UI Light"/>
          <w:szCs w:val="20"/>
        </w:rPr>
      </w:pPr>
      <w:r w:rsidRPr="0058441D">
        <w:rPr>
          <w:rFonts w:cs="Segoe UI Light"/>
          <w:szCs w:val="20"/>
        </w:rPr>
        <w:t xml:space="preserve">Municipal solid waste </w:t>
      </w:r>
      <w:r>
        <w:rPr>
          <w:rFonts w:cs="Segoe UI Light"/>
          <w:szCs w:val="20"/>
        </w:rPr>
        <w:t xml:space="preserve">(MSW) </w:t>
      </w:r>
      <w:r w:rsidRPr="0058441D">
        <w:rPr>
          <w:rFonts w:cs="Segoe UI Light"/>
          <w:szCs w:val="20"/>
        </w:rPr>
        <w:t>(24% of total waste)</w:t>
      </w:r>
      <w:r>
        <w:rPr>
          <w:rFonts w:cs="Segoe UI Light"/>
          <w:szCs w:val="20"/>
        </w:rPr>
        <w:t xml:space="preserve"> – all waste of domestic origin</w:t>
      </w:r>
    </w:p>
    <w:p w14:paraId="656B04AD" w14:textId="77777777" w:rsidR="00213E13" w:rsidRPr="0058441D" w:rsidRDefault="00213E13" w:rsidP="00213E13">
      <w:pPr>
        <w:numPr>
          <w:ilvl w:val="0"/>
          <w:numId w:val="59"/>
        </w:numPr>
        <w:spacing w:after="0"/>
        <w:ind w:right="-2694"/>
        <w:contextualSpacing/>
        <w:rPr>
          <w:rFonts w:cs="Segoe UI Light"/>
          <w:szCs w:val="20"/>
        </w:rPr>
      </w:pPr>
      <w:r w:rsidRPr="0058441D">
        <w:rPr>
          <w:rFonts w:cs="Segoe UI Light"/>
          <w:szCs w:val="20"/>
        </w:rPr>
        <w:t>Commercial and industrial w</w:t>
      </w:r>
      <w:r>
        <w:rPr>
          <w:rFonts w:cs="Segoe UI Light"/>
          <w:szCs w:val="20"/>
        </w:rPr>
        <w:t>aste (C&amp;I) (44%)</w:t>
      </w:r>
    </w:p>
    <w:p w14:paraId="656B04AE" w14:textId="77777777" w:rsidR="00213E13" w:rsidRDefault="00213E13" w:rsidP="00213E13">
      <w:pPr>
        <w:pStyle w:val="ListParagraph"/>
        <w:numPr>
          <w:ilvl w:val="0"/>
          <w:numId w:val="26"/>
        </w:numPr>
        <w:rPr>
          <w:rFonts w:cs="Segoe UI Light"/>
          <w:szCs w:val="20"/>
        </w:rPr>
      </w:pPr>
      <w:r w:rsidRPr="0058441D">
        <w:rPr>
          <w:rFonts w:cs="Segoe UI Light"/>
          <w:szCs w:val="20"/>
        </w:rPr>
        <w:t>Construction and demolition waste</w:t>
      </w:r>
      <w:r>
        <w:rPr>
          <w:rFonts w:cs="Segoe UI Light"/>
          <w:szCs w:val="20"/>
        </w:rPr>
        <w:t xml:space="preserve"> (C&amp;D)</w:t>
      </w:r>
      <w:r w:rsidRPr="0058441D">
        <w:rPr>
          <w:rFonts w:cs="Segoe UI Light"/>
          <w:szCs w:val="20"/>
        </w:rPr>
        <w:t xml:space="preserve"> (32%).</w:t>
      </w:r>
      <w:r w:rsidRPr="0058441D">
        <w:rPr>
          <w:vertAlign w:val="superscript"/>
        </w:rPr>
        <w:footnoteReference w:id="132"/>
      </w:r>
    </w:p>
    <w:p w14:paraId="656B04AF" w14:textId="77777777" w:rsidR="00213E13" w:rsidRDefault="00213E13" w:rsidP="00213E13">
      <w:pPr>
        <w:spacing w:before="120"/>
        <w:mirrorIndents/>
        <w:rPr>
          <w:rFonts w:cs="Segoe UI Light"/>
          <w:szCs w:val="20"/>
        </w:rPr>
      </w:pPr>
      <w:r>
        <w:rPr>
          <w:rFonts w:cs="Segoe UI Light"/>
          <w:szCs w:val="20"/>
        </w:rPr>
        <w:t xml:space="preserve">The definition given in </w:t>
      </w:r>
      <w:r w:rsidRPr="008E7E85">
        <w:rPr>
          <w:rFonts w:cs="Segoe UI Light"/>
          <w:szCs w:val="20"/>
        </w:rPr>
        <w:t xml:space="preserve">Victoria’s Statewide Waste and Resource Recovery Infrastructure Plan </w:t>
      </w:r>
      <w:r>
        <w:rPr>
          <w:rFonts w:cs="Segoe UI Light"/>
          <w:szCs w:val="20"/>
        </w:rPr>
        <w:t xml:space="preserve">categorises the types of waste that may cause harm. There are four categories under this definition: </w:t>
      </w:r>
    </w:p>
    <w:p w14:paraId="656B04B0" w14:textId="77777777" w:rsidR="00213E13" w:rsidRPr="008E7E85" w:rsidRDefault="00213E13" w:rsidP="00213E13">
      <w:pPr>
        <w:pStyle w:val="ListParagraph"/>
        <w:numPr>
          <w:ilvl w:val="0"/>
          <w:numId w:val="26"/>
        </w:numPr>
        <w:rPr>
          <w:rFonts w:cs="Segoe UI Light"/>
          <w:szCs w:val="20"/>
        </w:rPr>
      </w:pPr>
      <w:r w:rsidRPr="008E7E85">
        <w:rPr>
          <w:rFonts w:cs="Segoe UI Light"/>
          <w:szCs w:val="20"/>
        </w:rPr>
        <w:t>Putrescible – readily decomposes and in</w:t>
      </w:r>
      <w:r>
        <w:rPr>
          <w:rFonts w:cs="Segoe UI Light"/>
          <w:szCs w:val="20"/>
        </w:rPr>
        <w:t>cludes food and organic material</w:t>
      </w:r>
      <w:r w:rsidR="001676C7">
        <w:rPr>
          <w:rFonts w:cs="Segoe UI Light"/>
          <w:szCs w:val="20"/>
        </w:rPr>
        <w:t>.</w:t>
      </w:r>
    </w:p>
    <w:p w14:paraId="656B04B1" w14:textId="77777777" w:rsidR="00213E13" w:rsidRPr="008E7E85" w:rsidRDefault="00213E13" w:rsidP="00213E13">
      <w:pPr>
        <w:pStyle w:val="ListParagraph"/>
        <w:numPr>
          <w:ilvl w:val="0"/>
          <w:numId w:val="26"/>
        </w:numPr>
        <w:rPr>
          <w:rFonts w:cs="Segoe UI Light"/>
          <w:szCs w:val="20"/>
        </w:rPr>
      </w:pPr>
      <w:r w:rsidRPr="008E7E85">
        <w:rPr>
          <w:rFonts w:cs="Segoe UI Light"/>
          <w:szCs w:val="20"/>
        </w:rPr>
        <w:t>Inert – including non-decomposable substances such as glass, sand and concrete</w:t>
      </w:r>
      <w:r w:rsidR="001676C7">
        <w:rPr>
          <w:rFonts w:cs="Segoe UI Light"/>
          <w:szCs w:val="20"/>
        </w:rPr>
        <w:t>.</w:t>
      </w:r>
    </w:p>
    <w:p w14:paraId="656B04B2" w14:textId="77777777" w:rsidR="00213E13" w:rsidRPr="008E7E85" w:rsidRDefault="00213E13" w:rsidP="00213E13">
      <w:pPr>
        <w:pStyle w:val="ListParagraph"/>
        <w:numPr>
          <w:ilvl w:val="0"/>
          <w:numId w:val="26"/>
        </w:numPr>
        <w:rPr>
          <w:rFonts w:cs="Segoe UI Light"/>
          <w:szCs w:val="20"/>
        </w:rPr>
      </w:pPr>
      <w:r w:rsidRPr="008E7E85">
        <w:rPr>
          <w:rFonts w:cs="Segoe UI Light"/>
          <w:szCs w:val="20"/>
        </w:rPr>
        <w:t>Recyclables – materials such as rigid plastics, paper, cardboard, glass and metal containers</w:t>
      </w:r>
      <w:r w:rsidR="001676C7">
        <w:rPr>
          <w:rFonts w:cs="Segoe UI Light"/>
          <w:szCs w:val="20"/>
        </w:rPr>
        <w:t>.</w:t>
      </w:r>
    </w:p>
    <w:p w14:paraId="656B04B3" w14:textId="77777777" w:rsidR="00213E13" w:rsidRPr="008E7E85" w:rsidRDefault="00213E13" w:rsidP="00213E13">
      <w:pPr>
        <w:pStyle w:val="ListParagraph"/>
        <w:numPr>
          <w:ilvl w:val="0"/>
          <w:numId w:val="26"/>
        </w:numPr>
        <w:rPr>
          <w:rFonts w:cs="Segoe UI Light"/>
          <w:szCs w:val="20"/>
        </w:rPr>
      </w:pPr>
      <w:r w:rsidRPr="008E7E85">
        <w:rPr>
          <w:rFonts w:cs="Segoe UI Light"/>
          <w:szCs w:val="20"/>
        </w:rPr>
        <w:t>Hazardous waste – waste that is either toxic, flammable, corrosive and/or explosive</w:t>
      </w:r>
      <w:r>
        <w:rPr>
          <w:rFonts w:cs="Segoe UI Light"/>
          <w:szCs w:val="20"/>
        </w:rPr>
        <w:t>.</w:t>
      </w:r>
    </w:p>
    <w:p w14:paraId="656B04B4" w14:textId="77777777" w:rsidR="00213E13" w:rsidDel="0015404D" w:rsidRDefault="00213E13" w:rsidP="00213E13">
      <w:pPr>
        <w:rPr>
          <w:rFonts w:cs="Segoe UI Light"/>
          <w:szCs w:val="20"/>
        </w:rPr>
      </w:pPr>
      <w:r>
        <w:t xml:space="preserve">Of the above waste types, </w:t>
      </w:r>
      <w:r w:rsidRPr="00BB313D">
        <w:t>hazardous</w:t>
      </w:r>
      <w:r>
        <w:t xml:space="preserve"> wastes </w:t>
      </w:r>
      <w:r w:rsidRPr="00915235">
        <w:t>pose</w:t>
      </w:r>
      <w:r>
        <w:t xml:space="preserve"> some of the more</w:t>
      </w:r>
      <w:r w:rsidRPr="00915235">
        <w:t xml:space="preserve"> serious </w:t>
      </w:r>
      <w:r>
        <w:t xml:space="preserve">risks of harm if it comes into contact </w:t>
      </w:r>
      <w:r w:rsidRPr="00915235">
        <w:t>with the environment or humans</w:t>
      </w:r>
      <w:r>
        <w:t xml:space="preserve">. Hazardous waste requires specialised </w:t>
      </w:r>
      <w:r w:rsidRPr="00915235">
        <w:t xml:space="preserve">transport, treatment, storage </w:t>
      </w:r>
      <w:r>
        <w:t xml:space="preserve">and ongoing use restrictions </w:t>
      </w:r>
      <w:r w:rsidRPr="00915235">
        <w:t xml:space="preserve">to minimise </w:t>
      </w:r>
      <w:r>
        <w:t>the risk of harm</w:t>
      </w:r>
      <w:r w:rsidRPr="00915235">
        <w:t>.</w:t>
      </w:r>
      <w:r>
        <w:t xml:space="preserve"> There are several frameworks and standards </w:t>
      </w:r>
      <w:r w:rsidRPr="00A644CF">
        <w:rPr>
          <w:rFonts w:cs="Segoe UI Light"/>
          <w:szCs w:val="20"/>
        </w:rPr>
        <w:t>that classify hazardous waste types</w:t>
      </w:r>
      <w:r>
        <w:rPr>
          <w:rFonts w:cs="Segoe UI Light"/>
          <w:szCs w:val="20"/>
        </w:rPr>
        <w:t xml:space="preserve"> including t</w:t>
      </w:r>
      <w:r w:rsidRPr="000E0E8A">
        <w:rPr>
          <w:rFonts w:cs="Segoe UI Light"/>
          <w:szCs w:val="20"/>
        </w:rPr>
        <w:t>he Australian Dangerous Good Code (ADGC</w:t>
      </w:r>
      <w:r>
        <w:rPr>
          <w:rFonts w:cs="Segoe UI Light"/>
          <w:szCs w:val="20"/>
        </w:rPr>
        <w:t xml:space="preserve">). This code identifies </w:t>
      </w:r>
      <w:r w:rsidRPr="00AA28DB">
        <w:rPr>
          <w:rFonts w:cs="Segoe UI Light"/>
          <w:szCs w:val="20"/>
        </w:rPr>
        <w:t>nine classes of hazardous wastes</w:t>
      </w:r>
      <w:r>
        <w:rPr>
          <w:rFonts w:cs="Segoe UI Light"/>
          <w:szCs w:val="20"/>
        </w:rPr>
        <w:t xml:space="preserve"> (</w:t>
      </w:r>
      <w:r w:rsidRPr="00DD06C4">
        <w:t>explosives</w:t>
      </w:r>
      <w:r>
        <w:t xml:space="preserve">; </w:t>
      </w:r>
      <w:r w:rsidRPr="00DD06C4">
        <w:t>gases</w:t>
      </w:r>
      <w:r>
        <w:t xml:space="preserve">; </w:t>
      </w:r>
      <w:r w:rsidRPr="00DD06C4">
        <w:t>flammable liquids</w:t>
      </w:r>
      <w:r>
        <w:t xml:space="preserve">; </w:t>
      </w:r>
      <w:r w:rsidRPr="00DD06C4">
        <w:t>flammable solids</w:t>
      </w:r>
      <w:r>
        <w:t xml:space="preserve">; </w:t>
      </w:r>
      <w:r w:rsidRPr="00DD06C4">
        <w:t>oxidizing substances</w:t>
      </w:r>
      <w:r>
        <w:t xml:space="preserve">; </w:t>
      </w:r>
      <w:r w:rsidRPr="00DD06C4">
        <w:t>toxic and infectious substances</w:t>
      </w:r>
      <w:r>
        <w:t xml:space="preserve">; </w:t>
      </w:r>
      <w:r w:rsidRPr="00DD06C4">
        <w:t>radioactive material</w:t>
      </w:r>
      <w:r>
        <w:t>; corrosive substances; and miscellaneous</w:t>
      </w:r>
      <w:r>
        <w:rPr>
          <w:rFonts w:cs="Segoe UI Light"/>
          <w:szCs w:val="20"/>
        </w:rPr>
        <w:t>).</w:t>
      </w:r>
    </w:p>
    <w:p w14:paraId="656B04B5" w14:textId="77777777" w:rsidR="00213E13" w:rsidRDefault="00213E13" w:rsidP="00213E13">
      <w:pPr>
        <w:rPr>
          <w:rFonts w:cs="Segoe UI Light"/>
          <w:szCs w:val="20"/>
        </w:rPr>
      </w:pPr>
      <w:r>
        <w:t xml:space="preserve">The other three waste types (putrescible, inert and recyclables) can also present risks to the environment and human health if mismanaged such as through </w:t>
      </w:r>
      <w:r w:rsidRPr="008E7E85">
        <w:rPr>
          <w:rFonts w:cs="Segoe UI Light"/>
          <w:szCs w:val="20"/>
        </w:rPr>
        <w:t>illegal dumping</w:t>
      </w:r>
      <w:r>
        <w:rPr>
          <w:rFonts w:cs="Segoe UI Light"/>
          <w:szCs w:val="20"/>
        </w:rPr>
        <w:t>,</w:t>
      </w:r>
      <w:r w:rsidRPr="008E7E85">
        <w:rPr>
          <w:rFonts w:cs="Segoe UI Light"/>
          <w:szCs w:val="20"/>
        </w:rPr>
        <w:t xml:space="preserve"> stockpiling and illegal landfill</w:t>
      </w:r>
      <w:r>
        <w:rPr>
          <w:rFonts w:cs="Segoe UI Light"/>
          <w:szCs w:val="20"/>
        </w:rPr>
        <w:t xml:space="preserve">ing. </w:t>
      </w:r>
    </w:p>
    <w:p w14:paraId="656B04B6" w14:textId="77777777" w:rsidR="00213E13" w:rsidRDefault="00213E13" w:rsidP="00213E13">
      <w:pPr>
        <w:rPr>
          <w:rFonts w:cs="Segoe UI Light"/>
          <w:szCs w:val="20"/>
        </w:rPr>
      </w:pPr>
      <w:r>
        <w:rPr>
          <w:rFonts w:cs="Segoe UI Light"/>
          <w:szCs w:val="20"/>
        </w:rPr>
        <w:t>A number of factors contribute to waste mismanagement including; illegal activity, waste complexity, information asymmetry, complex regulations, regulatory cost of compliance and complex global market forces. These factors are discussed below.</w:t>
      </w:r>
    </w:p>
    <w:p w14:paraId="656B04B7" w14:textId="77777777" w:rsidR="00213E13" w:rsidRDefault="00213E13" w:rsidP="00213E13">
      <w:pPr>
        <w:rPr>
          <w:rFonts w:cs="Segoe UI Light"/>
          <w:szCs w:val="20"/>
        </w:rPr>
      </w:pPr>
      <w:r>
        <w:rPr>
          <w:rFonts w:cs="Segoe UI Light"/>
          <w:i/>
          <w:szCs w:val="20"/>
        </w:rPr>
        <w:t>I</w:t>
      </w:r>
      <w:r w:rsidRPr="009B6D0C">
        <w:rPr>
          <w:rFonts w:cs="Segoe UI Light"/>
          <w:i/>
          <w:szCs w:val="20"/>
        </w:rPr>
        <w:t>ntentional non-compliance or illegal activity</w:t>
      </w:r>
      <w:r>
        <w:rPr>
          <w:rFonts w:cs="Segoe UI Light"/>
          <w:szCs w:val="20"/>
        </w:rPr>
        <w:t xml:space="preserve">, such as illegal dumping, illegal landfilling, waste </w:t>
      </w:r>
      <w:r>
        <w:t>misclassification, miscategorisation, providing inaccurate weights, mixing in order to reduce hazard, and disposing of</w:t>
      </w:r>
      <w:r w:rsidR="00837D1D">
        <w:t xml:space="preserve"> waste</w:t>
      </w:r>
      <w:r>
        <w:t xml:space="preserve"> at </w:t>
      </w:r>
      <w:r w:rsidR="00837D1D">
        <w:t xml:space="preserve">an </w:t>
      </w:r>
      <w:r>
        <w:t>inappropriate site</w:t>
      </w:r>
      <w:r>
        <w:rPr>
          <w:rFonts w:cs="Segoe UI Light"/>
          <w:szCs w:val="20"/>
        </w:rPr>
        <w:t xml:space="preserve">. Illegal dumping is common for C&amp;D waste such as masonry, soils and timber. Illegal landfilling occurs </w:t>
      </w:r>
      <w:r w:rsidR="00837D1D">
        <w:rPr>
          <w:rFonts w:cs="Segoe UI Light"/>
          <w:szCs w:val="20"/>
        </w:rPr>
        <w:t xml:space="preserve">where </w:t>
      </w:r>
      <w:r>
        <w:rPr>
          <w:rFonts w:cs="Segoe UI Light"/>
          <w:szCs w:val="20"/>
        </w:rPr>
        <w:t>w</w:t>
      </w:r>
      <w:r w:rsidRPr="00D85A7F">
        <w:rPr>
          <w:rFonts w:cs="Segoe UI Light"/>
          <w:szCs w:val="20"/>
        </w:rPr>
        <w:t>aste</w:t>
      </w:r>
      <w:r w:rsidRPr="00355057">
        <w:rPr>
          <w:rFonts w:cs="Segoe UI Light"/>
          <w:szCs w:val="20"/>
        </w:rPr>
        <w:t xml:space="preserve"> </w:t>
      </w:r>
      <w:r>
        <w:rPr>
          <w:rFonts w:cs="Segoe UI Light"/>
          <w:szCs w:val="20"/>
        </w:rPr>
        <w:t xml:space="preserve">types that are banned from landfill are </w:t>
      </w:r>
      <w:r w:rsidRPr="00D85A7F">
        <w:rPr>
          <w:rFonts w:cs="Segoe UI Light"/>
          <w:szCs w:val="20"/>
        </w:rPr>
        <w:t>conceal</w:t>
      </w:r>
      <w:r>
        <w:rPr>
          <w:rFonts w:cs="Segoe UI Light"/>
          <w:szCs w:val="20"/>
        </w:rPr>
        <w:t>ed</w:t>
      </w:r>
      <w:r w:rsidDel="00B53D33">
        <w:rPr>
          <w:rFonts w:cs="Segoe UI Light"/>
          <w:szCs w:val="20"/>
        </w:rPr>
        <w:t xml:space="preserve"> </w:t>
      </w:r>
      <w:r>
        <w:rPr>
          <w:rFonts w:cs="Segoe UI Light"/>
          <w:szCs w:val="20"/>
        </w:rPr>
        <w:t xml:space="preserve">in other waste types by mixing. This behaviour occurs </w:t>
      </w:r>
      <w:r w:rsidR="00D14919">
        <w:rPr>
          <w:rFonts w:cs="Segoe UI Light"/>
          <w:szCs w:val="20"/>
        </w:rPr>
        <w:t xml:space="preserve">to </w:t>
      </w:r>
      <w:r w:rsidR="000F33E1">
        <w:rPr>
          <w:rFonts w:cs="Segoe UI Light"/>
          <w:szCs w:val="20"/>
        </w:rPr>
        <w:t>avoid the cost of legal disposal</w:t>
      </w:r>
      <w:r>
        <w:rPr>
          <w:rFonts w:cs="Segoe UI Light"/>
          <w:szCs w:val="20"/>
        </w:rPr>
        <w:t xml:space="preserve"> and </w:t>
      </w:r>
      <w:r w:rsidR="000F33E1">
        <w:rPr>
          <w:rFonts w:cs="Segoe UI Light"/>
          <w:szCs w:val="20"/>
        </w:rPr>
        <w:t xml:space="preserve">where </w:t>
      </w:r>
      <w:r>
        <w:rPr>
          <w:rFonts w:cs="Segoe UI Light"/>
          <w:szCs w:val="20"/>
        </w:rPr>
        <w:t xml:space="preserve">the waste type is easy to disguise </w:t>
      </w:r>
      <w:r w:rsidRPr="00097598">
        <w:rPr>
          <w:rFonts w:cs="Segoe UI Light"/>
          <w:szCs w:val="20"/>
        </w:rPr>
        <w:t xml:space="preserve">(such as solidifying liquids to dispose in </w:t>
      </w:r>
      <w:r>
        <w:rPr>
          <w:rFonts w:cs="Segoe UI Light"/>
          <w:szCs w:val="20"/>
        </w:rPr>
        <w:t>landfill</w:t>
      </w:r>
      <w:r w:rsidR="007A6F04">
        <w:rPr>
          <w:rFonts w:cs="Segoe UI Light"/>
          <w:szCs w:val="20"/>
        </w:rPr>
        <w:t>)</w:t>
      </w:r>
      <w:r>
        <w:rPr>
          <w:rFonts w:cs="Segoe UI Light"/>
          <w:szCs w:val="20"/>
        </w:rPr>
        <w:t xml:space="preserve">, or </w:t>
      </w:r>
      <w:r w:rsidR="00837D1D">
        <w:rPr>
          <w:rFonts w:cs="Segoe UI Light"/>
          <w:szCs w:val="20"/>
        </w:rPr>
        <w:t xml:space="preserve">blending highly </w:t>
      </w:r>
      <w:r>
        <w:rPr>
          <w:rFonts w:cs="Segoe UI Light"/>
          <w:szCs w:val="20"/>
        </w:rPr>
        <w:t xml:space="preserve">contaminated soils </w:t>
      </w:r>
      <w:r w:rsidR="00837D1D">
        <w:rPr>
          <w:rFonts w:cs="Segoe UI Light"/>
          <w:szCs w:val="20"/>
        </w:rPr>
        <w:t>with less contaminated soils and then disposing of them at a lower-threshold landfill (or selling them as fill material).</w:t>
      </w:r>
      <w:r>
        <w:rPr>
          <w:rStyle w:val="FootnoteReference"/>
          <w:rFonts w:cs="Segoe UI Light"/>
          <w:szCs w:val="20"/>
        </w:rPr>
        <w:footnoteReference w:id="133"/>
      </w:r>
    </w:p>
    <w:p w14:paraId="656B04B8" w14:textId="77777777" w:rsidR="00837D1D" w:rsidRDefault="00837D1D" w:rsidP="00837D1D">
      <w:r w:rsidRPr="008E7E85">
        <w:t xml:space="preserve">In 2002 the NSW Independent Commission Against Corruption </w:t>
      </w:r>
      <w:r>
        <w:t xml:space="preserve">(ICAC) </w:t>
      </w:r>
      <w:r w:rsidRPr="008E7E85">
        <w:t>identified the waste industry as prone</w:t>
      </w:r>
      <w:r>
        <w:t xml:space="preserve"> to corruption,</w:t>
      </w:r>
      <w:r w:rsidRPr="008E7E85">
        <w:t xml:space="preserve"> citing low barriers to market entry, high levels of cash transactions and opportunities to benefit from illegal</w:t>
      </w:r>
      <w:r>
        <w:t xml:space="preserve"> dumping.</w:t>
      </w:r>
      <w:r>
        <w:rPr>
          <w:rStyle w:val="FootnoteReference"/>
        </w:rPr>
        <w:footnoteReference w:id="134"/>
      </w:r>
      <w:r>
        <w:t xml:space="preserve"> In 2014-15 it is estimated that 360,000 tonnes of C&amp;D waste was illegally dumped</w:t>
      </w:r>
      <w:r w:rsidR="00CF653A">
        <w:t xml:space="preserve"> in Victoria</w:t>
      </w:r>
      <w:r>
        <w:t>.</w:t>
      </w:r>
      <w:r w:rsidRPr="008E7E85">
        <w:rPr>
          <w:vertAlign w:val="superscript"/>
          <w:lang w:val="en-US"/>
        </w:rPr>
        <w:footnoteReference w:id="135"/>
      </w:r>
      <w:r w:rsidRPr="008E7E85">
        <w:rPr>
          <w:lang w:val="en-US"/>
        </w:rPr>
        <w:t xml:space="preserve"> </w:t>
      </w:r>
      <w:r>
        <w:rPr>
          <w:lang w:val="en-US"/>
        </w:rPr>
        <w:t xml:space="preserve">While </w:t>
      </w:r>
      <w:r w:rsidRPr="008E7E85">
        <w:rPr>
          <w:lang w:val="en-US"/>
        </w:rPr>
        <w:t>remedial notices wer</w:t>
      </w:r>
      <w:r>
        <w:rPr>
          <w:lang w:val="en-US"/>
        </w:rPr>
        <w:t>e issued for approximately 240,</w:t>
      </w:r>
      <w:r w:rsidRPr="008E7E85">
        <w:rPr>
          <w:lang w:val="en-US"/>
        </w:rPr>
        <w:t>000 tonnes</w:t>
      </w:r>
      <w:r>
        <w:rPr>
          <w:lang w:val="en-US"/>
        </w:rPr>
        <w:t xml:space="preserve">, </w:t>
      </w:r>
      <w:r w:rsidRPr="008E7E85">
        <w:rPr>
          <w:lang w:val="en-US"/>
        </w:rPr>
        <w:t xml:space="preserve">100,000 tonnes </w:t>
      </w:r>
      <w:r>
        <w:rPr>
          <w:lang w:val="en-US"/>
        </w:rPr>
        <w:t xml:space="preserve">of dumped waste remains </w:t>
      </w:r>
      <w:r w:rsidRPr="008E7E85">
        <w:rPr>
          <w:lang w:val="en-US"/>
        </w:rPr>
        <w:t>unaccounted for.</w:t>
      </w:r>
      <w:r>
        <w:rPr>
          <w:lang w:val="en-US"/>
        </w:rPr>
        <w:t xml:space="preserve"> </w:t>
      </w:r>
      <w:r>
        <w:t>ICAC noted that wastes subject to classification present the greatest challenge. Similarly, the EPA Inquiry highlighted that wastes that are higher in risk are costlier to safely dispose of, incentivising fraudulent classification or other wilful non-compliance to avoid or minimise costs.</w:t>
      </w:r>
      <w:r>
        <w:rPr>
          <w:rStyle w:val="FootnoteReference"/>
        </w:rPr>
        <w:footnoteReference w:id="136"/>
      </w:r>
      <w:r>
        <w:t xml:space="preserve"> </w:t>
      </w:r>
    </w:p>
    <w:p w14:paraId="656B04B9" w14:textId="77777777" w:rsidR="00213E13" w:rsidRDefault="00213E13" w:rsidP="00213E13">
      <w:pPr>
        <w:rPr>
          <w:rFonts w:cs="Segoe UI Light"/>
          <w:szCs w:val="20"/>
        </w:rPr>
      </w:pPr>
      <w:r w:rsidRPr="00D85A7F">
        <w:rPr>
          <w:rFonts w:cs="Segoe UI Light"/>
          <w:szCs w:val="20"/>
        </w:rPr>
        <w:t>The</w:t>
      </w:r>
      <w:r>
        <w:rPr>
          <w:rFonts w:cs="Segoe UI Light"/>
          <w:i/>
          <w:szCs w:val="20"/>
        </w:rPr>
        <w:t xml:space="preserve"> c</w:t>
      </w:r>
      <w:r w:rsidRPr="00D85A7F">
        <w:rPr>
          <w:rFonts w:cs="Segoe UI Light"/>
          <w:i/>
          <w:szCs w:val="20"/>
        </w:rPr>
        <w:t xml:space="preserve">omplexity </w:t>
      </w:r>
      <w:r>
        <w:rPr>
          <w:rFonts w:cs="Segoe UI Light"/>
          <w:szCs w:val="20"/>
        </w:rPr>
        <w:t xml:space="preserve">of waste can lead to waste mismanagement as a high level of technical knowledge is </w:t>
      </w:r>
      <w:r w:rsidRPr="008E7E85">
        <w:rPr>
          <w:rFonts w:cs="Segoe UI Light"/>
          <w:szCs w:val="20"/>
        </w:rPr>
        <w:t xml:space="preserve">often required to adequately understand </w:t>
      </w:r>
      <w:r>
        <w:rPr>
          <w:rFonts w:cs="Segoe UI Light"/>
          <w:szCs w:val="20"/>
        </w:rPr>
        <w:t xml:space="preserve">different </w:t>
      </w:r>
      <w:r w:rsidRPr="008E7E85">
        <w:rPr>
          <w:rFonts w:cs="Segoe UI Light"/>
          <w:szCs w:val="20"/>
        </w:rPr>
        <w:t xml:space="preserve">waste </w:t>
      </w:r>
      <w:r>
        <w:rPr>
          <w:rFonts w:cs="Segoe UI Light"/>
          <w:szCs w:val="20"/>
        </w:rPr>
        <w:t xml:space="preserve">types </w:t>
      </w:r>
      <w:r w:rsidRPr="008E7E85">
        <w:rPr>
          <w:rFonts w:cs="Segoe UI Light"/>
          <w:szCs w:val="20"/>
        </w:rPr>
        <w:t xml:space="preserve">and manage </w:t>
      </w:r>
      <w:r>
        <w:rPr>
          <w:rFonts w:cs="Segoe UI Light"/>
          <w:szCs w:val="20"/>
        </w:rPr>
        <w:t xml:space="preserve">associated </w:t>
      </w:r>
      <w:r w:rsidRPr="008E7E85">
        <w:rPr>
          <w:rFonts w:cs="Segoe UI Light"/>
          <w:szCs w:val="20"/>
        </w:rPr>
        <w:t>risks</w:t>
      </w:r>
      <w:r>
        <w:rPr>
          <w:rFonts w:cs="Segoe UI Light"/>
          <w:szCs w:val="20"/>
        </w:rPr>
        <w:t>. Without this technical knowledge, wastes can be misclassified at source with the associated information passed down the chain of custody subsequently leading to wastes being disposed of incorrectly or mishandled.</w:t>
      </w:r>
    </w:p>
    <w:p w14:paraId="656B04BA" w14:textId="77777777" w:rsidR="00213E13" w:rsidRDefault="00213E13" w:rsidP="00213E13">
      <w:pPr>
        <w:rPr>
          <w:rFonts w:cs="Segoe UI Light"/>
          <w:szCs w:val="20"/>
        </w:rPr>
      </w:pPr>
      <w:r w:rsidRPr="00054B68">
        <w:rPr>
          <w:rFonts w:cs="Segoe UI Light"/>
          <w:i/>
          <w:szCs w:val="20"/>
        </w:rPr>
        <w:t>Information asymmetry</w:t>
      </w:r>
      <w:r>
        <w:rPr>
          <w:rFonts w:cs="Segoe UI Light"/>
          <w:szCs w:val="20"/>
        </w:rPr>
        <w:t xml:space="preserve"> occurs in the waste supply chain where information is not accurately passed down the chain of custody. For example, the hazardous nature of the waste may be miscommunicated, lost or intentionally withheld as the waste moves through the waste supply chain, again resulting in the incorrect handling of the waste. </w:t>
      </w:r>
    </w:p>
    <w:p w14:paraId="656B04BB" w14:textId="77777777" w:rsidR="00213E13" w:rsidRPr="008E7E85" w:rsidRDefault="00213E13" w:rsidP="00213E13">
      <w:pPr>
        <w:rPr>
          <w:rFonts w:cs="Segoe UI Light"/>
          <w:szCs w:val="20"/>
        </w:rPr>
      </w:pPr>
      <w:r w:rsidRPr="00054B68">
        <w:rPr>
          <w:rFonts w:cs="Segoe UI Light"/>
          <w:i/>
          <w:szCs w:val="20"/>
        </w:rPr>
        <w:t>Complex regulation</w:t>
      </w:r>
      <w:r>
        <w:rPr>
          <w:rFonts w:cs="Segoe UI Light"/>
          <w:szCs w:val="20"/>
        </w:rPr>
        <w:t xml:space="preserve"> </w:t>
      </w:r>
      <w:r w:rsidRPr="008E7E85">
        <w:rPr>
          <w:rFonts w:cs="Segoe UI Light"/>
          <w:szCs w:val="20"/>
        </w:rPr>
        <w:t>can</w:t>
      </w:r>
      <w:r>
        <w:rPr>
          <w:rFonts w:cs="Segoe UI Light"/>
          <w:szCs w:val="20"/>
        </w:rPr>
        <w:t xml:space="preserve"> cause confusion or encourage non-</w:t>
      </w:r>
      <w:r w:rsidRPr="008E7E85">
        <w:rPr>
          <w:rFonts w:cs="Segoe UI Light"/>
          <w:szCs w:val="20"/>
        </w:rPr>
        <w:t xml:space="preserve">compliance </w:t>
      </w:r>
      <w:r>
        <w:rPr>
          <w:rFonts w:cs="Segoe UI Light"/>
          <w:szCs w:val="20"/>
        </w:rPr>
        <w:t xml:space="preserve">as complexity increases compliance costs. Businesses have to spend more time understanding and enacting the regulation and non-compliance can inadvertently or intentionally occur. This is particularly true where regulation differs state to state, or there is overlap between state and </w:t>
      </w:r>
      <w:r w:rsidRPr="008E7E85">
        <w:rPr>
          <w:rFonts w:cs="Segoe UI Light"/>
          <w:szCs w:val="20"/>
        </w:rPr>
        <w:t xml:space="preserve">Commonwealth </w:t>
      </w:r>
      <w:r>
        <w:rPr>
          <w:rFonts w:cs="Segoe UI Light"/>
          <w:szCs w:val="20"/>
        </w:rPr>
        <w:t>legislation</w:t>
      </w:r>
      <w:r w:rsidR="00DC7A63">
        <w:rPr>
          <w:rFonts w:cs="Segoe UI Light"/>
          <w:szCs w:val="20"/>
        </w:rPr>
        <w:t xml:space="preserve">. </w:t>
      </w:r>
    </w:p>
    <w:p w14:paraId="656B04BC" w14:textId="77777777" w:rsidR="00213E13" w:rsidRDefault="00213E13" w:rsidP="00213E13">
      <w:r>
        <w:rPr>
          <w:rFonts w:cs="Segoe UI Light"/>
          <w:szCs w:val="20"/>
        </w:rPr>
        <w:t xml:space="preserve">The </w:t>
      </w:r>
      <w:r w:rsidRPr="009B6D0C">
        <w:rPr>
          <w:rFonts w:cs="Segoe UI Light"/>
          <w:i/>
          <w:szCs w:val="20"/>
        </w:rPr>
        <w:t>cost</w:t>
      </w:r>
      <w:r>
        <w:rPr>
          <w:rFonts w:cs="Segoe UI Light"/>
          <w:i/>
          <w:szCs w:val="20"/>
        </w:rPr>
        <w:t>s</w:t>
      </w:r>
      <w:r w:rsidRPr="009B6D0C">
        <w:rPr>
          <w:rFonts w:cs="Segoe UI Light"/>
          <w:i/>
          <w:szCs w:val="20"/>
        </w:rPr>
        <w:t xml:space="preserve"> of regulatory compliance</w:t>
      </w:r>
      <w:r w:rsidRPr="000E61D4">
        <w:rPr>
          <w:rFonts w:cs="Segoe UI Light"/>
          <w:szCs w:val="20"/>
        </w:rPr>
        <w:t xml:space="preserve"> </w:t>
      </w:r>
      <w:r>
        <w:rPr>
          <w:rFonts w:cs="Segoe UI Light"/>
          <w:szCs w:val="20"/>
        </w:rPr>
        <w:t>can create financial incentives for mismanagement</w:t>
      </w:r>
      <w:r w:rsidRPr="000E61D4">
        <w:rPr>
          <w:rFonts w:cs="Segoe UI Light"/>
          <w:szCs w:val="20"/>
        </w:rPr>
        <w:t>.</w:t>
      </w:r>
      <w:r>
        <w:rPr>
          <w:rFonts w:cs="Segoe UI Light"/>
          <w:szCs w:val="20"/>
        </w:rPr>
        <w:t xml:space="preserve"> </w:t>
      </w:r>
      <w:r w:rsidRPr="008838F6">
        <w:t>Wastes with low resource recovery value are often mishandled when the cost of compliance is high</w:t>
      </w:r>
      <w:r>
        <w:t xml:space="preserve"> and the treatment and processing costs are difficult to recover.</w:t>
      </w:r>
      <w:r w:rsidRPr="008838F6">
        <w:t xml:space="preserve"> An example is asbestos, which has no reuse potential and carries a high cost to treat and process.</w:t>
      </w:r>
      <w:r>
        <w:t xml:space="preserve"> If asbestos is discovered after work commences and there is no contingency in the project budget, there may be an incentive to illegally dump this material. While a high profile court case in 2018 saw two developers fined $120,000 each, and their company a further $300,000, for illegally dumping asbestos, such cases are rare.</w:t>
      </w:r>
      <w:r w:rsidR="00837D1D">
        <w:rPr>
          <w:rStyle w:val="FootnoteReference"/>
        </w:rPr>
        <w:footnoteReference w:id="137"/>
      </w:r>
      <w:r>
        <w:t xml:space="preserve"> </w:t>
      </w:r>
      <w:r w:rsidR="00837D1D">
        <w:t xml:space="preserve">In some cases, the fines are considerably smaller than the avoided waste management costs. </w:t>
      </w:r>
      <w:r>
        <w:t xml:space="preserve">Consequently, for those that do not expect to be caught, illegal dumping may be viewed as a viable option. </w:t>
      </w:r>
      <w:r w:rsidRPr="00710051">
        <w:t xml:space="preserve">Another example of mismanagement </w:t>
      </w:r>
      <w:r>
        <w:t>owing</w:t>
      </w:r>
      <w:r w:rsidRPr="00710051">
        <w:t xml:space="preserve"> to market forces was </w:t>
      </w:r>
      <w:r>
        <w:t xml:space="preserve">in 2017, where </w:t>
      </w:r>
      <w:r w:rsidRPr="00710051">
        <w:t xml:space="preserve">an abandoned warehouse </w:t>
      </w:r>
      <w:r>
        <w:t>was</w:t>
      </w:r>
      <w:r w:rsidRPr="00710051">
        <w:t xml:space="preserve"> stacked full of steel drums and plastic tubs filled with mercury, contaminated powders, leaking batteries, suspected X-ray machine parts and almost 800 containers of highly toxic material</w:t>
      </w:r>
      <w:r>
        <w:t xml:space="preserve">. The </w:t>
      </w:r>
      <w:r w:rsidRPr="00710051">
        <w:t xml:space="preserve">materials </w:t>
      </w:r>
      <w:r>
        <w:t>had little to no</w:t>
      </w:r>
      <w:r w:rsidRPr="00710051">
        <w:t xml:space="preserve"> market value</w:t>
      </w:r>
      <w:r>
        <w:t xml:space="preserve">, yet had a </w:t>
      </w:r>
      <w:r w:rsidRPr="00710051">
        <w:t>high disposal cost.</w:t>
      </w:r>
      <w:r w:rsidRPr="000F2C86">
        <w:rPr>
          <w:rFonts w:cs="Segoe UI Light"/>
          <w:szCs w:val="20"/>
          <w:vertAlign w:val="superscript"/>
        </w:rPr>
        <w:t xml:space="preserve"> </w:t>
      </w:r>
      <w:r w:rsidRPr="00AF0372">
        <w:rPr>
          <w:rFonts w:cs="Segoe UI Light"/>
          <w:szCs w:val="20"/>
          <w:vertAlign w:val="superscript"/>
        </w:rPr>
        <w:footnoteReference w:id="138"/>
      </w:r>
    </w:p>
    <w:p w14:paraId="656B04BD" w14:textId="77777777" w:rsidR="00213E13" w:rsidRPr="000F2C86" w:rsidRDefault="00213E13" w:rsidP="00213E13">
      <w:r>
        <w:t xml:space="preserve">Stockpiles are a further example of the potential consequences </w:t>
      </w:r>
      <w:r w:rsidR="001676C7">
        <w:t>of</w:t>
      </w:r>
      <w:r>
        <w:t xml:space="preserve"> a lack of market value. Stockpiling is a common practice in the waste and recycling industry and some level of stockpiling is necessary for the optimal management of wastes, to manage supplies depending on the price and demand </w:t>
      </w:r>
      <w:r w:rsidR="001676C7">
        <w:t xml:space="preserve">for </w:t>
      </w:r>
      <w:r>
        <w:t xml:space="preserve">recycled materials. However, the protracted and uncontrolled stockpiling of waste materials is a problem. </w:t>
      </w:r>
      <w:r w:rsidRPr="00097598">
        <w:rPr>
          <w:rFonts w:cs="Segoe UI Light"/>
          <w:szCs w:val="20"/>
        </w:rPr>
        <w:t xml:space="preserve">Recent </w:t>
      </w:r>
      <w:r w:rsidR="001676C7">
        <w:rPr>
          <w:rFonts w:cs="Segoe UI Light"/>
          <w:szCs w:val="20"/>
        </w:rPr>
        <w:t>cases demonstrate</w:t>
      </w:r>
      <w:r w:rsidRPr="00097598">
        <w:rPr>
          <w:rFonts w:cs="Segoe UI Light"/>
          <w:szCs w:val="20"/>
        </w:rPr>
        <w:t xml:space="preserve"> how </w:t>
      </w:r>
      <w:r>
        <w:rPr>
          <w:rFonts w:cs="Segoe UI Light"/>
          <w:szCs w:val="20"/>
        </w:rPr>
        <w:t xml:space="preserve">stockpiles </w:t>
      </w:r>
      <w:r w:rsidRPr="00097598">
        <w:rPr>
          <w:rFonts w:cs="Segoe UI Light"/>
          <w:szCs w:val="20"/>
        </w:rPr>
        <w:t xml:space="preserve">can </w:t>
      </w:r>
      <w:r w:rsidRPr="00834FDA">
        <w:rPr>
          <w:rFonts w:cs="Segoe UI Light"/>
          <w:szCs w:val="20"/>
        </w:rPr>
        <w:t xml:space="preserve">result in significant fire risks that </w:t>
      </w:r>
      <w:r w:rsidRPr="00601DBE">
        <w:rPr>
          <w:rFonts w:cs="Segoe UI Light"/>
          <w:szCs w:val="20"/>
        </w:rPr>
        <w:t xml:space="preserve">are detrimental to human health, the environment and property (for example </w:t>
      </w:r>
      <w:r w:rsidRPr="005F65C1">
        <w:rPr>
          <w:rFonts w:cs="Segoe UI Light"/>
          <w:szCs w:val="20"/>
        </w:rPr>
        <w:t>30,000 tonnes of waste material that caught fire at Coolaroo in July 2017).</w:t>
      </w:r>
      <w:r w:rsidRPr="00834FDA">
        <w:rPr>
          <w:rStyle w:val="FootnoteReference"/>
          <w:rFonts w:cs="Segoe UI Light"/>
          <w:szCs w:val="20"/>
        </w:rPr>
        <w:footnoteReference w:id="139"/>
      </w:r>
    </w:p>
    <w:p w14:paraId="656B04BE" w14:textId="77777777" w:rsidR="00213E13" w:rsidRDefault="00213E13" w:rsidP="00213E13">
      <w:pPr>
        <w:autoSpaceDE w:val="0"/>
        <w:autoSpaceDN w:val="0"/>
        <w:adjustRightInd w:val="0"/>
        <w:spacing w:after="0" w:line="240" w:lineRule="auto"/>
        <w:rPr>
          <w:rFonts w:cs="Segoe UI Light"/>
          <w:szCs w:val="20"/>
        </w:rPr>
      </w:pPr>
      <w:r w:rsidRPr="009B6D0C">
        <w:rPr>
          <w:rFonts w:cs="Segoe UI Light"/>
          <w:szCs w:val="20"/>
        </w:rPr>
        <w:t xml:space="preserve">EPA’s 2014 RIS on </w:t>
      </w:r>
      <w:r w:rsidRPr="00834FDA">
        <w:rPr>
          <w:rFonts w:cs="Segoe UI Light"/>
          <w:szCs w:val="20"/>
        </w:rPr>
        <w:t>s</w:t>
      </w:r>
      <w:r w:rsidRPr="009B6D0C">
        <w:rPr>
          <w:rFonts w:cs="Segoe UI Light"/>
          <w:szCs w:val="20"/>
        </w:rPr>
        <w:t xml:space="preserve">torage of waste tyres found there is also </w:t>
      </w:r>
      <w:r>
        <w:rPr>
          <w:rFonts w:cs="Segoe UI Light"/>
          <w:szCs w:val="20"/>
        </w:rPr>
        <w:t xml:space="preserve">an </w:t>
      </w:r>
      <w:r w:rsidRPr="009B6D0C">
        <w:rPr>
          <w:rFonts w:cs="Segoe UI Light"/>
          <w:szCs w:val="20"/>
        </w:rPr>
        <w:t xml:space="preserve">economic incentive for waste tyres to be diverted towards operators that are less likely to manage the </w:t>
      </w:r>
      <w:r w:rsidR="001676C7">
        <w:rPr>
          <w:rFonts w:cs="Segoe UI Light"/>
          <w:szCs w:val="20"/>
        </w:rPr>
        <w:t xml:space="preserve">associated </w:t>
      </w:r>
      <w:r w:rsidRPr="009B6D0C">
        <w:rPr>
          <w:rFonts w:cs="Segoe UI Light"/>
          <w:szCs w:val="20"/>
        </w:rPr>
        <w:t>fire risk. Currently there is an economic advantage in stockpiling or exporting whole tyres, relative to the cost of processing waste tyres for recycling or landfill purposes.</w:t>
      </w:r>
      <w:r w:rsidRPr="00834FDA">
        <w:rPr>
          <w:rFonts w:cs="Segoe UI Light"/>
          <w:szCs w:val="20"/>
        </w:rPr>
        <w:t xml:space="preserve"> </w:t>
      </w:r>
      <w:r w:rsidR="001676C7">
        <w:rPr>
          <w:rFonts w:cs="Segoe UI Light"/>
          <w:szCs w:val="20"/>
        </w:rPr>
        <w:t xml:space="preserve"> The RIS noted that:</w:t>
      </w:r>
    </w:p>
    <w:p w14:paraId="656B04BF" w14:textId="77777777" w:rsidR="00213E13" w:rsidRPr="009B6D0C" w:rsidRDefault="00213E13" w:rsidP="00213E13">
      <w:pPr>
        <w:autoSpaceDE w:val="0"/>
        <w:autoSpaceDN w:val="0"/>
        <w:adjustRightInd w:val="0"/>
        <w:spacing w:before="120" w:line="240" w:lineRule="auto"/>
        <w:ind w:left="426"/>
        <w:rPr>
          <w:rFonts w:cs="Segoe UI Light"/>
          <w:i/>
          <w:szCs w:val="20"/>
        </w:rPr>
      </w:pPr>
      <w:r w:rsidRPr="009B6D0C">
        <w:rPr>
          <w:rFonts w:cs="Segoe UI Light"/>
          <w:i/>
          <w:szCs w:val="20"/>
        </w:rPr>
        <w:t>As Hyder Consulting (2014) reports, this is due to the disparate pricing mechanism for collection/disposal/recycling of tyres. While practices vary, some tyre retailers are charging consumers between $3.50 and $10 per tyre for disposal or recycling costs. Recyclers may then only receive between $1.50 and $2.50 per tyre, to cover the capital and operating costs of the plan</w:t>
      </w:r>
      <w:r w:rsidR="00CF2694">
        <w:rPr>
          <w:rFonts w:cs="Segoe UI Light"/>
          <w:i/>
          <w:szCs w:val="20"/>
        </w:rPr>
        <w:t>t.</w:t>
      </w:r>
      <w:r w:rsidRPr="009B6D0C">
        <w:rPr>
          <w:rFonts w:cs="Segoe UI Light"/>
          <w:i/>
          <w:szCs w:val="20"/>
        </w:rPr>
        <w:t xml:space="preserve"> The cost for a tyre shredding plant can exceed $6 million, while the costs to set up a tyre baling machine for the export of whole tyres can be under $50,000</w:t>
      </w:r>
      <w:r w:rsidR="00CF2694">
        <w:rPr>
          <w:rFonts w:cs="Segoe UI Light"/>
          <w:i/>
          <w:szCs w:val="20"/>
        </w:rPr>
        <w:t>.</w:t>
      </w:r>
      <w:r w:rsidRPr="009B6D0C">
        <w:rPr>
          <w:rFonts w:cs="Segoe UI Light"/>
          <w:i/>
          <w:szCs w:val="20"/>
        </w:rPr>
        <w:t xml:space="preserve"> This significant capital investment for a recycling facility produces an incentive to reduce the fire risk from storing tyres and maintain adequate insurance cover. However, the processing facilities are also competing with the lower cost base of those operators who stockpile, or illegally dump the tyres. With limited capital costs and little to no operating costs other than collection and transport, these forms of operation are making greater returns for each tyre collected, with limited incentive to maintain the tyre stores in a fire-safe manner.</w:t>
      </w:r>
      <w:r>
        <w:rPr>
          <w:rStyle w:val="FootnoteReference"/>
          <w:rFonts w:cs="Segoe UI Light"/>
          <w:i/>
          <w:szCs w:val="20"/>
        </w:rPr>
        <w:footnoteReference w:id="140"/>
      </w:r>
    </w:p>
    <w:p w14:paraId="656B04C0" w14:textId="77777777" w:rsidR="00177605" w:rsidRPr="006E4A14" w:rsidRDefault="00213E13" w:rsidP="00177605">
      <w:pPr>
        <w:spacing w:after="160" w:line="252" w:lineRule="auto"/>
      </w:pPr>
      <w:r>
        <w:rPr>
          <w:rFonts w:cs="Segoe UI Light"/>
          <w:i/>
          <w:szCs w:val="20"/>
        </w:rPr>
        <w:t>Complex global market forces</w:t>
      </w:r>
      <w:r>
        <w:rPr>
          <w:rFonts w:cs="Segoe UI Light"/>
          <w:szCs w:val="20"/>
        </w:rPr>
        <w:t xml:space="preserve"> drive some activities and incentives in the waste sector and </w:t>
      </w:r>
      <w:r>
        <w:t>add a layer of complexity to local environment protection regulations that EPA must contend with. This is most challenging when regulatory and market forces diverge, as was the case in recycling markets in 2018</w:t>
      </w:r>
      <w:r>
        <w:rPr>
          <w:rFonts w:cs="Segoe UI Light"/>
          <w:szCs w:val="20"/>
        </w:rPr>
        <w:t xml:space="preserve">. At the time, more than a quarter of Australia’s total volume of exported waste, or 1 million tonnes, was sent to China. </w:t>
      </w:r>
      <w:r w:rsidR="001F1C0B">
        <w:rPr>
          <w:rFonts w:cs="Segoe UI Light"/>
          <w:szCs w:val="20"/>
        </w:rPr>
        <w:t xml:space="preserve">China’s decision to enforce contamination thresholds (known as the ‘National Sword’ policy) </w:t>
      </w:r>
      <w:r>
        <w:rPr>
          <w:rFonts w:cs="Segoe UI Light"/>
          <w:szCs w:val="20"/>
        </w:rPr>
        <w:t xml:space="preserve">disrupted more than </w:t>
      </w:r>
      <w:r w:rsidRPr="008E7E85">
        <w:rPr>
          <w:rFonts w:cs="Segoe UI Light"/>
          <w:szCs w:val="20"/>
        </w:rPr>
        <w:t>600,000 tonnes of Australian waste</w:t>
      </w:r>
      <w:r>
        <w:rPr>
          <w:rFonts w:cs="Segoe UI Light"/>
          <w:szCs w:val="20"/>
        </w:rPr>
        <w:t xml:space="preserve"> exports</w:t>
      </w:r>
      <w:r w:rsidR="001F1C0B">
        <w:rPr>
          <w:rFonts w:cs="Segoe UI Light"/>
          <w:szCs w:val="20"/>
        </w:rPr>
        <w:t xml:space="preserve">. It </w:t>
      </w:r>
      <w:r>
        <w:rPr>
          <w:rFonts w:cs="Segoe UI Light"/>
          <w:szCs w:val="20"/>
        </w:rPr>
        <w:t xml:space="preserve">led to increased stockpiling </w:t>
      </w:r>
      <w:r>
        <w:t xml:space="preserve">of </w:t>
      </w:r>
      <w:r w:rsidRPr="00626A0F">
        <w:rPr>
          <w:rFonts w:cs="Segoe UI Light"/>
          <w:szCs w:val="20"/>
        </w:rPr>
        <w:t>recyclable and waste material</w:t>
      </w:r>
      <w:r>
        <w:t xml:space="preserve"> as the sector, councils and the government worked out how to respond.</w:t>
      </w:r>
      <w:r w:rsidRPr="008E7E85">
        <w:rPr>
          <w:vertAlign w:val="superscript"/>
        </w:rPr>
        <w:footnoteReference w:id="141"/>
      </w:r>
      <w:r>
        <w:t xml:space="preserve"> With little to no market demand for recyclable wastes, many facilities in Australia </w:t>
      </w:r>
      <w:r w:rsidR="001676C7">
        <w:t xml:space="preserve">commenced </w:t>
      </w:r>
      <w:r w:rsidRPr="006E4A14">
        <w:t xml:space="preserve">stockpiling in the hope that the market would recover. </w:t>
      </w:r>
      <w:r w:rsidR="00177605" w:rsidRPr="006E4A14">
        <w:t xml:space="preserve">Although prolonged and uncontrolled stockpiling with no end-market is contrary to environmental protection regulations, the collapse in the market and subsequent erosion of value for recyclable products was </w:t>
      </w:r>
      <w:r w:rsidR="006E4A14" w:rsidRPr="006E4A14">
        <w:t xml:space="preserve">a </w:t>
      </w:r>
      <w:r w:rsidR="00177605" w:rsidRPr="006E4A14">
        <w:t xml:space="preserve">more powerful force </w:t>
      </w:r>
      <w:r w:rsidR="006E4A14" w:rsidRPr="006E4A14">
        <w:t xml:space="preserve">than regulations </w:t>
      </w:r>
      <w:r w:rsidR="00177605" w:rsidRPr="006E4A14">
        <w:t xml:space="preserve">for some </w:t>
      </w:r>
      <w:r w:rsidR="006E4A14" w:rsidRPr="006E4A14">
        <w:t xml:space="preserve">(but not all) </w:t>
      </w:r>
      <w:r w:rsidR="00177605" w:rsidRPr="006E4A14">
        <w:t>facilities</w:t>
      </w:r>
      <w:r w:rsidR="00DC7A63">
        <w:t xml:space="preserve">. </w:t>
      </w:r>
    </w:p>
    <w:p w14:paraId="656B04C1" w14:textId="77777777" w:rsidR="00213E13" w:rsidRPr="008E7E85" w:rsidRDefault="00213E13" w:rsidP="00213E13">
      <w:pPr>
        <w:spacing w:after="170"/>
        <w:mirrorIndents/>
        <w:rPr>
          <w:rFonts w:cs="Segoe UI Light"/>
          <w:szCs w:val="20"/>
        </w:rPr>
      </w:pPr>
      <w:r w:rsidRPr="00ED173F">
        <w:rPr>
          <w:rFonts w:cs="Segoe UI Light"/>
          <w:szCs w:val="20"/>
        </w:rPr>
        <w:t xml:space="preserve">Despite the high profile impact of China’s policy change on the sector, </w:t>
      </w:r>
      <w:r>
        <w:rPr>
          <w:rFonts w:cs="Segoe UI Light"/>
          <w:szCs w:val="20"/>
        </w:rPr>
        <w:t>market concentration and structure varies by waste type, meaning that market forces are not the same industry wide.</w:t>
      </w:r>
      <w:r w:rsidRPr="00C62B6A">
        <w:rPr>
          <w:rFonts w:cs="Segoe UI Light"/>
          <w:szCs w:val="20"/>
        </w:rPr>
        <w:t xml:space="preserve"> </w:t>
      </w:r>
      <w:r w:rsidRPr="003D39B7">
        <w:rPr>
          <w:rFonts w:cs="Segoe UI Light"/>
          <w:szCs w:val="20"/>
        </w:rPr>
        <w:t xml:space="preserve">In other words, the waste </w:t>
      </w:r>
      <w:r>
        <w:rPr>
          <w:rFonts w:cs="Segoe UI Light"/>
          <w:szCs w:val="20"/>
        </w:rPr>
        <w:t>sector</w:t>
      </w:r>
      <w:r w:rsidRPr="003D39B7">
        <w:rPr>
          <w:rFonts w:cs="Segoe UI Light"/>
          <w:szCs w:val="20"/>
        </w:rPr>
        <w:t xml:space="preserve"> is complex</w:t>
      </w:r>
      <w:r w:rsidR="0068151F">
        <w:rPr>
          <w:rFonts w:cs="Segoe UI Light"/>
          <w:szCs w:val="20"/>
        </w:rPr>
        <w:t>, and this makes it</w:t>
      </w:r>
      <w:r w:rsidR="00464EE5">
        <w:rPr>
          <w:rFonts w:cs="Segoe UI Light"/>
          <w:szCs w:val="20"/>
        </w:rPr>
        <w:t xml:space="preserve"> challenging</w:t>
      </w:r>
      <w:r w:rsidR="0068151F">
        <w:rPr>
          <w:rFonts w:cs="Segoe UI Light"/>
          <w:szCs w:val="20"/>
        </w:rPr>
        <w:t xml:space="preserve"> </w:t>
      </w:r>
      <w:r>
        <w:rPr>
          <w:rFonts w:cs="Segoe UI Light"/>
          <w:szCs w:val="20"/>
        </w:rPr>
        <w:t xml:space="preserve">for both EPA to enforce regulations and operators to comply. The waste industry includes a large variety of </w:t>
      </w:r>
      <w:r w:rsidRPr="008E7E85">
        <w:rPr>
          <w:rFonts w:cs="Segoe UI Light"/>
          <w:szCs w:val="20"/>
        </w:rPr>
        <w:t>stakeholders</w:t>
      </w:r>
      <w:r>
        <w:rPr>
          <w:rFonts w:cs="Segoe UI Light"/>
          <w:szCs w:val="20"/>
        </w:rPr>
        <w:t xml:space="preserve"> across the public and private sector</w:t>
      </w:r>
      <w:r w:rsidR="001F1C0B">
        <w:rPr>
          <w:rFonts w:cs="Segoe UI Light"/>
          <w:szCs w:val="20"/>
        </w:rPr>
        <w:t>s</w:t>
      </w:r>
      <w:r>
        <w:rPr>
          <w:rFonts w:cs="Segoe UI Light"/>
          <w:szCs w:val="20"/>
        </w:rPr>
        <w:t>, covering a range of waste types and with varying management and disposal requirements</w:t>
      </w:r>
      <w:r w:rsidRPr="008E7E85">
        <w:rPr>
          <w:rFonts w:cs="Segoe UI Light"/>
          <w:szCs w:val="20"/>
        </w:rPr>
        <w:t>.</w:t>
      </w:r>
      <w:r>
        <w:rPr>
          <w:rFonts w:cs="Segoe UI Light"/>
          <w:szCs w:val="20"/>
        </w:rPr>
        <w:t xml:space="preserve"> </w:t>
      </w:r>
    </w:p>
    <w:p w14:paraId="656B04C2" w14:textId="77777777" w:rsidR="00213E13" w:rsidRPr="00355057" w:rsidDel="00EA5B65" w:rsidRDefault="00213E13" w:rsidP="00213E13">
      <w:pPr>
        <w:rPr>
          <w:rFonts w:cs="Segoe UI Light"/>
          <w:szCs w:val="20"/>
        </w:rPr>
      </w:pPr>
      <w:r>
        <w:rPr>
          <w:rFonts w:cs="Segoe UI Light"/>
          <w:szCs w:val="20"/>
        </w:rPr>
        <w:t xml:space="preserve">Some sectors, such as the MSW and C&amp;I sectors </w:t>
      </w:r>
      <w:r w:rsidR="004B63C1">
        <w:rPr>
          <w:rFonts w:cs="Segoe UI Light"/>
          <w:szCs w:val="20"/>
        </w:rPr>
        <w:t xml:space="preserve">are characterised by </w:t>
      </w:r>
      <w:r>
        <w:rPr>
          <w:rFonts w:cs="Segoe UI Light"/>
          <w:szCs w:val="20"/>
        </w:rPr>
        <w:t xml:space="preserve">high industry concentration with a few, large players. </w:t>
      </w:r>
      <w:r w:rsidR="004B63C1">
        <w:rPr>
          <w:rFonts w:cs="Segoe UI Light"/>
          <w:szCs w:val="20"/>
        </w:rPr>
        <w:t xml:space="preserve">While these characteristics </w:t>
      </w:r>
      <w:r>
        <w:rPr>
          <w:rFonts w:cs="Segoe UI Light"/>
          <w:szCs w:val="20"/>
        </w:rPr>
        <w:t>might reduce competition and be concerning on this front, these operators are easy for EPA to identify and their visibility to industry and the community tends to drive compliance. Others, like the C&amp;D sector, have many small players that specialise in specific waste types. A 201</w:t>
      </w:r>
      <w:r w:rsidR="008F2B61">
        <w:rPr>
          <w:rFonts w:cs="Segoe UI Light"/>
          <w:szCs w:val="20"/>
        </w:rPr>
        <w:t>0</w:t>
      </w:r>
      <w:r>
        <w:rPr>
          <w:rFonts w:cs="Segoe UI Light"/>
          <w:szCs w:val="20"/>
        </w:rPr>
        <w:t xml:space="preserve"> VAGO report </w:t>
      </w:r>
      <w:r w:rsidR="00EC680C">
        <w:rPr>
          <w:rFonts w:cs="Segoe UI Light"/>
          <w:szCs w:val="20"/>
        </w:rPr>
        <w:t xml:space="preserve">noted </w:t>
      </w:r>
      <w:r>
        <w:rPr>
          <w:rFonts w:cs="Segoe UI Light"/>
          <w:szCs w:val="20"/>
        </w:rPr>
        <w:t xml:space="preserve">that EPA has insufficient data on many of these smaller operators, suggesting this may allow some operators to fall outside </w:t>
      </w:r>
      <w:r w:rsidRPr="008E7E85">
        <w:rPr>
          <w:rFonts w:cs="Segoe UI Light"/>
          <w:szCs w:val="20"/>
        </w:rPr>
        <w:t>regulatory scrutiny</w:t>
      </w:r>
      <w:r>
        <w:rPr>
          <w:rFonts w:cs="Segoe UI Light"/>
          <w:szCs w:val="20"/>
        </w:rPr>
        <w:t>.</w:t>
      </w:r>
    </w:p>
    <w:p w14:paraId="656B04C3" w14:textId="77777777" w:rsidR="00213E13" w:rsidRPr="001D5824" w:rsidRDefault="00213E13" w:rsidP="00982D63">
      <w:pPr>
        <w:pStyle w:val="Heading2"/>
      </w:pPr>
      <w:r w:rsidRPr="001D5824">
        <w:t>Current legislative and regulatory framework</w:t>
      </w:r>
    </w:p>
    <w:p w14:paraId="656B04C4" w14:textId="77777777" w:rsidR="00213E13" w:rsidRPr="00FB1820" w:rsidRDefault="00213E13" w:rsidP="00213E13">
      <w:pPr>
        <w:mirrorIndents/>
        <w:rPr>
          <w:rFonts w:cs="Segoe UI Light"/>
          <w:lang w:eastAsia="ja-JP"/>
        </w:rPr>
      </w:pPr>
      <w:r w:rsidRPr="00FB1820">
        <w:rPr>
          <w:rFonts w:cs="Segoe UI Light"/>
          <w:lang w:eastAsia="ja-JP"/>
        </w:rPr>
        <w:t>The EP Act</w:t>
      </w:r>
      <w:r w:rsidRPr="00FB1820">
        <w:rPr>
          <w:rFonts w:cs="Segoe UI Light"/>
          <w:i/>
          <w:lang w:eastAsia="ja-JP"/>
        </w:rPr>
        <w:t xml:space="preserve"> </w:t>
      </w:r>
      <w:r w:rsidRPr="00FB1820">
        <w:rPr>
          <w:rFonts w:cs="Segoe UI Light"/>
          <w:lang w:eastAsia="ja-JP"/>
        </w:rPr>
        <w:t>1970 includes an overarching principle of the waste hierarchy, that is, wastes should be managed in accordance with the following order of preference – avoidance; re-use; recycling; recovery of energy; treatment; containment;</w:t>
      </w:r>
      <w:r>
        <w:rPr>
          <w:rFonts w:cs="Segoe UI Light"/>
          <w:lang w:eastAsia="ja-JP"/>
        </w:rPr>
        <w:t xml:space="preserve"> and disposal. This principle</w:t>
      </w:r>
      <w:r w:rsidRPr="00FB1820">
        <w:rPr>
          <w:rFonts w:cs="Segoe UI Light"/>
          <w:lang w:eastAsia="ja-JP"/>
        </w:rPr>
        <w:t xml:space="preserve"> </w:t>
      </w:r>
      <w:r>
        <w:rPr>
          <w:rFonts w:cs="Segoe UI Light"/>
          <w:lang w:eastAsia="ja-JP"/>
        </w:rPr>
        <w:t>has been</w:t>
      </w:r>
      <w:r w:rsidRPr="00FB1820">
        <w:rPr>
          <w:rFonts w:cs="Segoe UI Light"/>
          <w:lang w:eastAsia="ja-JP"/>
        </w:rPr>
        <w:t xml:space="preserve"> applied by </w:t>
      </w:r>
      <w:r>
        <w:rPr>
          <w:rFonts w:cs="Segoe UI Light"/>
          <w:lang w:eastAsia="ja-JP"/>
        </w:rPr>
        <w:t>EPA</w:t>
      </w:r>
      <w:r w:rsidRPr="00FB1820">
        <w:rPr>
          <w:rFonts w:cs="Segoe UI Light"/>
          <w:lang w:eastAsia="ja-JP"/>
        </w:rPr>
        <w:t xml:space="preserve"> in making decisions regarding licensing and works approval in relation to EPA scheduled premises, as well as applying an overarching principle for all parties handling wastes to consider.</w:t>
      </w:r>
    </w:p>
    <w:p w14:paraId="656B04C5" w14:textId="77777777" w:rsidR="00213E13" w:rsidRDefault="00213E13" w:rsidP="00213E13">
      <w:pPr>
        <w:mirrorIndents/>
        <w:rPr>
          <w:rFonts w:cs="Segoe UI Light"/>
          <w:lang w:eastAsia="ja-JP"/>
        </w:rPr>
      </w:pPr>
      <w:r w:rsidRPr="00FB1820">
        <w:rPr>
          <w:rFonts w:cs="Segoe UI Light"/>
          <w:lang w:eastAsia="ja-JP"/>
        </w:rPr>
        <w:t xml:space="preserve">The current waste management system has a specific focus on wastes that are of a particularly hazardous nature and can have significant impacts on human health (including increased risk of cancer and respiratory diseases) and the environment. These wastes are currently regulated as </w:t>
      </w:r>
      <w:r>
        <w:rPr>
          <w:rFonts w:cs="Segoe UI Light"/>
          <w:lang w:eastAsia="ja-JP"/>
        </w:rPr>
        <w:t xml:space="preserve">Prescribed Industrial Waste (PIW) </w:t>
      </w:r>
      <w:r w:rsidRPr="00FB1820">
        <w:rPr>
          <w:rFonts w:cs="Segoe UI Light"/>
          <w:lang w:eastAsia="ja-JP"/>
        </w:rPr>
        <w:t xml:space="preserve">through the </w:t>
      </w:r>
      <w:r w:rsidRPr="00FB1820">
        <w:rPr>
          <w:rFonts w:cs="Segoe UI Light"/>
          <w:i/>
          <w:lang w:eastAsia="ja-JP"/>
        </w:rPr>
        <w:t xml:space="preserve">Environment Protection (Industrial Waste Resource) Regulations 2009 </w:t>
      </w:r>
      <w:r w:rsidRPr="00FB1820">
        <w:rPr>
          <w:rFonts w:cs="Segoe UI Light"/>
          <w:lang w:eastAsia="ja-JP"/>
        </w:rPr>
        <w:t xml:space="preserve">for the purposes of applying specific obligations. PIW is essentially a subset of industrial wastes, </w:t>
      </w:r>
      <w:r>
        <w:rPr>
          <w:rFonts w:cs="Segoe UI Light"/>
          <w:lang w:eastAsia="ja-JP"/>
        </w:rPr>
        <w:t>although</w:t>
      </w:r>
      <w:r w:rsidRPr="00FB1820">
        <w:rPr>
          <w:rFonts w:cs="Segoe UI Light"/>
          <w:lang w:eastAsia="ja-JP"/>
        </w:rPr>
        <w:t xml:space="preserve"> packaged asbestos also </w:t>
      </w:r>
      <w:r>
        <w:rPr>
          <w:rFonts w:cs="Segoe UI Light"/>
          <w:lang w:eastAsia="ja-JP"/>
        </w:rPr>
        <w:t>comes</w:t>
      </w:r>
      <w:r w:rsidRPr="00FB1820">
        <w:rPr>
          <w:rFonts w:cs="Segoe UI Light"/>
          <w:lang w:eastAsia="ja-JP"/>
        </w:rPr>
        <w:t xml:space="preserve"> from domestic sources. Strict obligations apply under the </w:t>
      </w:r>
      <w:r>
        <w:rPr>
          <w:rFonts w:cs="Segoe UI Light"/>
          <w:lang w:eastAsia="ja-JP"/>
        </w:rPr>
        <w:t xml:space="preserve">EP </w:t>
      </w:r>
      <w:r w:rsidRPr="00FB1820">
        <w:rPr>
          <w:rFonts w:cs="Segoe UI Light"/>
          <w:lang w:eastAsia="ja-JP"/>
        </w:rPr>
        <w:t xml:space="preserve">Act </w:t>
      </w:r>
      <w:r>
        <w:rPr>
          <w:rFonts w:cs="Segoe UI Light"/>
          <w:lang w:eastAsia="ja-JP"/>
        </w:rPr>
        <w:t>1970</w:t>
      </w:r>
      <w:r w:rsidRPr="00FB1820">
        <w:rPr>
          <w:rFonts w:cs="Segoe UI Light"/>
          <w:lang w:eastAsia="ja-JP"/>
        </w:rPr>
        <w:t xml:space="preserve"> for actions relating to the transport and disposal of PIW, established through a series of obligations.</w:t>
      </w:r>
      <w:r>
        <w:rPr>
          <w:rFonts w:cs="Segoe UI Light"/>
          <w:lang w:eastAsia="ja-JP"/>
        </w:rPr>
        <w:t xml:space="preserve"> Substances </w:t>
      </w:r>
      <w:r>
        <w:t xml:space="preserve">classified as dangerous goods have specific </w:t>
      </w:r>
      <w:r w:rsidRPr="002E46B3">
        <w:rPr>
          <w:rFonts w:eastAsia="Arial" w:cs="Arial"/>
          <w:lang w:val="en-US"/>
        </w:rPr>
        <w:t>duties for storage a</w:t>
      </w:r>
      <w:r>
        <w:rPr>
          <w:rFonts w:eastAsia="Arial" w:cs="Arial"/>
          <w:lang w:val="en-US"/>
        </w:rPr>
        <w:t xml:space="preserve">nd handling under the </w:t>
      </w:r>
      <w:r>
        <w:rPr>
          <w:i/>
        </w:rPr>
        <w:t>Dangerous Goods Act 1985</w:t>
      </w:r>
      <w:r>
        <w:t xml:space="preserve"> and its regulations. Some waste material/products containing controlled substances, poisons or drugs are also regulated by DHHS through the </w:t>
      </w:r>
      <w:r>
        <w:rPr>
          <w:i/>
        </w:rPr>
        <w:t>Drugs, Poisons and Controlled Substances Act 1981.</w:t>
      </w:r>
      <w:r>
        <w:rPr>
          <w:rFonts w:cs="Segoe UI Light"/>
          <w:lang w:eastAsia="ja-JP"/>
        </w:rPr>
        <w:t xml:space="preserve"> </w:t>
      </w:r>
      <w:r w:rsidRPr="00ED173F">
        <w:rPr>
          <w:rFonts w:cs="Segoe UI Light"/>
          <w:lang w:eastAsia="ja-JP"/>
        </w:rPr>
        <w:t xml:space="preserve">The regulatory framework for waste also includes management policies, the statutory guidelines around waste management and the Best Practice Environment Management </w:t>
      </w:r>
      <w:r>
        <w:rPr>
          <w:rFonts w:cs="Segoe UI Light"/>
          <w:lang w:eastAsia="ja-JP"/>
        </w:rPr>
        <w:t xml:space="preserve">(BPEM) </w:t>
      </w:r>
      <w:r w:rsidRPr="00ED173F">
        <w:rPr>
          <w:rFonts w:cs="Segoe UI Light"/>
          <w:lang w:eastAsia="ja-JP"/>
        </w:rPr>
        <w:t>guidance.</w:t>
      </w:r>
    </w:p>
    <w:p w14:paraId="656B04C6" w14:textId="77777777" w:rsidR="00213E13" w:rsidRDefault="00213E13" w:rsidP="00982D63">
      <w:pPr>
        <w:pStyle w:val="Heading2"/>
      </w:pPr>
      <w:r>
        <w:t>New EP legislation</w:t>
      </w:r>
    </w:p>
    <w:p w14:paraId="656B04C7" w14:textId="77777777" w:rsidR="00213E13" w:rsidRDefault="00213E13" w:rsidP="00213E13">
      <w:r>
        <w:t xml:space="preserve">A key outcome of the EPA Inquiry was major reform to Victoria’s waste management framework. </w:t>
      </w:r>
    </w:p>
    <w:p w14:paraId="656B04C8" w14:textId="77777777" w:rsidR="00213E13" w:rsidRPr="00311850" w:rsidRDefault="00213E13" w:rsidP="00213E13">
      <w:r>
        <w:t>The GED is a key instrument for managing waste risks. It places the responsibility on waste managers to demonstrate how they are managing risks and minimising harm from waste related activities. Other major changes to the waste management system are the introduction of industrial waste duties, and the replacement of t</w:t>
      </w:r>
      <w:r w:rsidRPr="00311850">
        <w:t xml:space="preserve">he current </w:t>
      </w:r>
      <w:r>
        <w:t>PIW</w:t>
      </w:r>
      <w:r w:rsidRPr="00311850">
        <w:t xml:space="preserve"> system under the EP Act 1970 </w:t>
      </w:r>
      <w:r>
        <w:t>with</w:t>
      </w:r>
      <w:r w:rsidRPr="00311850">
        <w:t xml:space="preserve"> a new system of priority wastes. </w:t>
      </w:r>
    </w:p>
    <w:p w14:paraId="656B04C9" w14:textId="77777777" w:rsidR="00213E13" w:rsidRDefault="00213E13" w:rsidP="00213E13">
      <w:r>
        <w:t>Specifically, alongside the GED, the new EP legislation establishes:</w:t>
      </w:r>
    </w:p>
    <w:p w14:paraId="656B04CA" w14:textId="77777777" w:rsidR="00213E13" w:rsidRPr="00D4295F" w:rsidRDefault="00213E13" w:rsidP="00213E13">
      <w:pPr>
        <w:pStyle w:val="ListParagraph"/>
        <w:numPr>
          <w:ilvl w:val="0"/>
          <w:numId w:val="26"/>
        </w:numPr>
        <w:spacing w:after="0"/>
        <w:rPr>
          <w:rFonts w:cs="Segoe UI Light"/>
          <w:szCs w:val="20"/>
        </w:rPr>
      </w:pPr>
      <w:r w:rsidRPr="00D4295F">
        <w:rPr>
          <w:rFonts w:cs="Segoe UI Light"/>
          <w:szCs w:val="20"/>
        </w:rPr>
        <w:t>Duties and offences in regard to</w:t>
      </w:r>
      <w:r>
        <w:rPr>
          <w:rFonts w:cs="Segoe UI Light"/>
          <w:szCs w:val="20"/>
        </w:rPr>
        <w:t xml:space="preserve"> </w:t>
      </w:r>
      <w:r w:rsidRPr="00D4295F">
        <w:rPr>
          <w:rFonts w:cs="Segoe UI Light"/>
          <w:szCs w:val="20"/>
        </w:rPr>
        <w:t>industrial waste (Part</w:t>
      </w:r>
      <w:r>
        <w:rPr>
          <w:rFonts w:cs="Segoe UI Light"/>
          <w:szCs w:val="20"/>
        </w:rPr>
        <w:t xml:space="preserve"> </w:t>
      </w:r>
      <w:r w:rsidRPr="00D4295F">
        <w:rPr>
          <w:rFonts w:cs="Segoe UI Light"/>
          <w:szCs w:val="20"/>
        </w:rPr>
        <w:t>6.4) namely:</w:t>
      </w:r>
    </w:p>
    <w:p w14:paraId="656B04CB" w14:textId="77777777" w:rsidR="00213E13" w:rsidRDefault="00213E13" w:rsidP="00213E13">
      <w:pPr>
        <w:pStyle w:val="Bullet1"/>
        <w:numPr>
          <w:ilvl w:val="1"/>
          <w:numId w:val="16"/>
        </w:numPr>
      </w:pPr>
      <w:r w:rsidRPr="00D4295F">
        <w:t>The prohibition of the deposit and receipt of industrial waste at a place that is not</w:t>
      </w:r>
      <w:r>
        <w:t xml:space="preserve"> authorised to receive industrial waste.</w:t>
      </w:r>
    </w:p>
    <w:p w14:paraId="656B04CC" w14:textId="77777777" w:rsidR="00213E13" w:rsidRDefault="00213E13" w:rsidP="00213E13">
      <w:pPr>
        <w:pStyle w:val="Bullet1"/>
        <w:numPr>
          <w:ilvl w:val="1"/>
          <w:numId w:val="16"/>
        </w:numPr>
      </w:pPr>
      <w:r>
        <w:t>A duty on transporters of industrial waste to take reasonable steps, before relinquishing management or control of waste, that it is taken to a place authorised to receive industrial waste.</w:t>
      </w:r>
    </w:p>
    <w:p w14:paraId="656B04CD" w14:textId="77777777" w:rsidR="00213E13" w:rsidRPr="000641D0" w:rsidRDefault="00213E13" w:rsidP="00213E13">
      <w:pPr>
        <w:pStyle w:val="Bullet1"/>
        <w:numPr>
          <w:ilvl w:val="1"/>
          <w:numId w:val="16"/>
        </w:numPr>
        <w:spacing w:after="240"/>
      </w:pPr>
      <w:r w:rsidRPr="000641D0">
        <w:t>Offence to provide misleading information on industrial waste.</w:t>
      </w:r>
    </w:p>
    <w:p w14:paraId="656B04CE" w14:textId="77777777" w:rsidR="00213E13" w:rsidRPr="000641D0" w:rsidRDefault="00213E13" w:rsidP="00213E13">
      <w:pPr>
        <w:pStyle w:val="Bullet1"/>
        <w:numPr>
          <w:ilvl w:val="1"/>
          <w:numId w:val="16"/>
        </w:numPr>
        <w:spacing w:after="240"/>
      </w:pPr>
      <w:r w:rsidRPr="001B3151">
        <w:t>Offences for the</w:t>
      </w:r>
      <w:r>
        <w:t xml:space="preserve"> unlawful</w:t>
      </w:r>
      <w:r w:rsidRPr="001B3151">
        <w:t xml:space="preserve"> deposit of waste</w:t>
      </w:r>
      <w:r>
        <w:t>.</w:t>
      </w:r>
    </w:p>
    <w:p w14:paraId="656B04CF" w14:textId="77777777" w:rsidR="00213E13" w:rsidRDefault="00213E13" w:rsidP="00213E13">
      <w:pPr>
        <w:pStyle w:val="ListParagraph"/>
        <w:numPr>
          <w:ilvl w:val="0"/>
          <w:numId w:val="26"/>
        </w:numPr>
        <w:spacing w:after="0"/>
      </w:pPr>
      <w:r>
        <w:t>Duties and controls relating to priority waste (Part 6.5) namely:</w:t>
      </w:r>
    </w:p>
    <w:p w14:paraId="656B04D0" w14:textId="77777777" w:rsidR="00213E13" w:rsidRDefault="00213E13" w:rsidP="00213E13">
      <w:pPr>
        <w:pStyle w:val="Bullet1"/>
        <w:numPr>
          <w:ilvl w:val="1"/>
          <w:numId w:val="16"/>
        </w:numPr>
      </w:pPr>
      <w:r>
        <w:t>Containment and isolation controls.</w:t>
      </w:r>
    </w:p>
    <w:p w14:paraId="656B04D1" w14:textId="77777777" w:rsidR="00213E13" w:rsidRDefault="00213E13" w:rsidP="00213E13">
      <w:pPr>
        <w:pStyle w:val="Bullet1"/>
        <w:numPr>
          <w:ilvl w:val="1"/>
          <w:numId w:val="16"/>
        </w:numPr>
      </w:pPr>
      <w:r>
        <w:t>Duty to investigate alternatives to waste disposal.</w:t>
      </w:r>
    </w:p>
    <w:p w14:paraId="656B04D2" w14:textId="77777777" w:rsidR="00213E13" w:rsidRDefault="00213E13" w:rsidP="00213E13">
      <w:pPr>
        <w:pStyle w:val="Bullet1"/>
        <w:numPr>
          <w:ilvl w:val="1"/>
          <w:numId w:val="16"/>
        </w:numPr>
      </w:pPr>
      <w:r>
        <w:t>Duties on recording and providing transaction details for reportable priority waste.</w:t>
      </w:r>
    </w:p>
    <w:p w14:paraId="656B04D3" w14:textId="77777777" w:rsidR="00213E13" w:rsidRDefault="00213E13" w:rsidP="00213E13">
      <w:pPr>
        <w:pStyle w:val="Bullet1"/>
        <w:numPr>
          <w:ilvl w:val="1"/>
          <w:numId w:val="16"/>
        </w:numPr>
        <w:spacing w:after="0"/>
      </w:pPr>
      <w:r>
        <w:t>Transport of reportable waste only in accordance with a permission.</w:t>
      </w:r>
    </w:p>
    <w:p w14:paraId="656B04D4" w14:textId="77777777" w:rsidR="00213E13" w:rsidRDefault="00213E13" w:rsidP="00213E13">
      <w:pPr>
        <w:pStyle w:val="Bullet1"/>
        <w:spacing w:after="0"/>
        <w:ind w:left="1080" w:firstLine="0"/>
      </w:pPr>
    </w:p>
    <w:p w14:paraId="656B04D5" w14:textId="77777777" w:rsidR="00213E13" w:rsidRDefault="00213E13" w:rsidP="00213E13">
      <w:pPr>
        <w:pStyle w:val="ListParagraph"/>
        <w:numPr>
          <w:ilvl w:val="0"/>
          <w:numId w:val="26"/>
        </w:numPr>
      </w:pPr>
      <w:r>
        <w:t>The requirement of liable persons to pay waste levies (Part 6.6) for each tonne of waste for municipal and industrial waste.</w:t>
      </w:r>
    </w:p>
    <w:p w14:paraId="656B04D6" w14:textId="77777777" w:rsidR="00213E13" w:rsidRDefault="00213E13" w:rsidP="00982D63">
      <w:pPr>
        <w:pStyle w:val="Heading2"/>
      </w:pPr>
      <w:r>
        <w:t>Nature and extent of problem</w:t>
      </w:r>
    </w:p>
    <w:p w14:paraId="656B04D7" w14:textId="77777777" w:rsidR="00213E13" w:rsidRDefault="00213E13" w:rsidP="006E4A14">
      <w:pPr>
        <w:pStyle w:val="Heading3"/>
        <w:ind w:left="720"/>
      </w:pPr>
      <w:r>
        <w:t>Residual risk</w:t>
      </w:r>
    </w:p>
    <w:p w14:paraId="656B04D8" w14:textId="77777777" w:rsidR="0087534E" w:rsidRPr="006E4A14" w:rsidRDefault="0087534E" w:rsidP="00B05634">
      <w:r w:rsidRPr="006E4A14">
        <w:t>The residual risks in relation to waste are:</w:t>
      </w:r>
    </w:p>
    <w:p w14:paraId="656B04D9" w14:textId="77777777" w:rsidR="0087534E" w:rsidRPr="006E4A14" w:rsidRDefault="0087534E" w:rsidP="006E4A14">
      <w:pPr>
        <w:pStyle w:val="ListParagraph"/>
        <w:numPr>
          <w:ilvl w:val="0"/>
          <w:numId w:val="26"/>
        </w:numPr>
      </w:pPr>
      <w:r w:rsidRPr="006E4A14">
        <w:t xml:space="preserve">Some waste duties under the new EP legislation cannot function without prescription under regulation. These include duties relating to priority and reportable priority wastes, transaction controls (including appropriate classification and tracking of waste), transport permissions for reportable priority waste and lawful place. </w:t>
      </w:r>
    </w:p>
    <w:p w14:paraId="656B04DA" w14:textId="77777777" w:rsidR="0087534E" w:rsidRPr="00367222" w:rsidRDefault="00822FE1" w:rsidP="006E4A14">
      <w:pPr>
        <w:pStyle w:val="ListParagraph"/>
        <w:numPr>
          <w:ilvl w:val="0"/>
          <w:numId w:val="26"/>
        </w:numPr>
      </w:pPr>
      <w:r w:rsidRPr="00367222">
        <w:t>Some types of waste present lower levels of risk of environmental harm in smaller quantities however cumulative impacts on the environment and human health (such as through stockpiles) can be significant</w:t>
      </w:r>
      <w:r w:rsidR="00367222">
        <w:t>.</w:t>
      </w:r>
      <w:r w:rsidRPr="00367222">
        <w:t xml:space="preserve"> Therefore these risks are more difficult to control through the GED and duties in the new EP legislation</w:t>
      </w:r>
      <w:r w:rsidR="0087534E" w:rsidRPr="00367222">
        <w:t>.</w:t>
      </w:r>
    </w:p>
    <w:p w14:paraId="656B04DB" w14:textId="77777777" w:rsidR="0087534E" w:rsidRPr="00367222" w:rsidRDefault="0099566D" w:rsidP="006E4A14">
      <w:pPr>
        <w:pStyle w:val="ListParagraph"/>
        <w:numPr>
          <w:ilvl w:val="0"/>
          <w:numId w:val="26"/>
        </w:numPr>
      </w:pPr>
      <w:r w:rsidRPr="00367222">
        <w:t>There is a known risk of mismanagement by some duty holders in the waste sector, reflected in behaviour such as illegal dumping and illegal landfilling. Regulatory controls will create consistency and certainty between operators in their response to their duties. Guidance alone is unlikely to be effective with cohorts that have consistently demonstrated poor management practices</w:t>
      </w:r>
      <w:r w:rsidR="0087534E" w:rsidRPr="00367222">
        <w:t>.</w:t>
      </w:r>
    </w:p>
    <w:p w14:paraId="656B04DC" w14:textId="77777777" w:rsidR="00213E13" w:rsidRDefault="00213E13" w:rsidP="00213E13">
      <w:pPr>
        <w:mirrorIndents/>
      </w:pPr>
      <w:r>
        <w:t>The GED will require</w:t>
      </w:r>
      <w:r w:rsidRPr="00F839BE">
        <w:t xml:space="preserve"> industry to demonstrate how it is managing risks and minimising harm from waste related activities. There are also specific waste provisions in the new EP legislation relating to industrial waste, priority waste, waste levies and landfill </w:t>
      </w:r>
      <w:r>
        <w:t xml:space="preserve">management. </w:t>
      </w:r>
    </w:p>
    <w:p w14:paraId="656B04DD" w14:textId="77777777" w:rsidR="00213E13" w:rsidRDefault="00492AC2" w:rsidP="00213E13">
      <w:pPr>
        <w:mirrorIndents/>
      </w:pPr>
      <w:r>
        <w:t>However t</w:t>
      </w:r>
      <w:r w:rsidR="001F1C0B">
        <w:t xml:space="preserve">he GED alone cannot address mismanagement of low risk wastes which increases the risk of harm to human health and the environment. For example, waste tyres are inert and inherently not hazardous, however the risk of harm increases as mismanagement, such as stockpiling, increases. </w:t>
      </w:r>
      <w:r w:rsidR="00F2103E">
        <w:t xml:space="preserve">The GED also cannot address problems along waste supply chains, where the risks of harm may increase at different points in the supply chain. </w:t>
      </w:r>
      <w:r w:rsidR="00E63219">
        <w:t>Without further prescription, the</w:t>
      </w:r>
      <w:r w:rsidR="00EF51BA">
        <w:t xml:space="preserve"> </w:t>
      </w:r>
      <w:r w:rsidR="00E63219">
        <w:t>w</w:t>
      </w:r>
      <w:r w:rsidR="00213E13" w:rsidRPr="00F839BE">
        <w:t>aste duties</w:t>
      </w:r>
      <w:r w:rsidR="00213E13">
        <w:t xml:space="preserve"> </w:t>
      </w:r>
      <w:r w:rsidR="00E63219">
        <w:t>will not function</w:t>
      </w:r>
      <w:r w:rsidR="00213E13">
        <w:t xml:space="preserve"> because </w:t>
      </w:r>
      <w:r w:rsidR="00213E13" w:rsidRPr="00F839BE">
        <w:t xml:space="preserve">waste types for which specific duties are assigned </w:t>
      </w:r>
      <w:r w:rsidR="00213E13">
        <w:t xml:space="preserve">have not been identified </w:t>
      </w:r>
      <w:r w:rsidR="00213E13" w:rsidRPr="00F839BE">
        <w:t xml:space="preserve">(i.e. priority wastes, reportable priority wastes). </w:t>
      </w:r>
      <w:r w:rsidR="00213E13">
        <w:rPr>
          <w:rFonts w:cs="Segoe UI Light"/>
          <w:sz w:val="18"/>
        </w:rPr>
        <w:t>T</w:t>
      </w:r>
      <w:r w:rsidR="00213E13" w:rsidRPr="00F839BE">
        <w:t>ransaction controls</w:t>
      </w:r>
      <w:r w:rsidR="00213E13">
        <w:t xml:space="preserve"> (including appropriate classification and tracking of waste)</w:t>
      </w:r>
      <w:r w:rsidR="00213E13" w:rsidRPr="00F839BE">
        <w:t xml:space="preserve"> and </w:t>
      </w:r>
      <w:r w:rsidR="00213E13" w:rsidRPr="0026600F">
        <w:rPr>
          <w:szCs w:val="20"/>
        </w:rPr>
        <w:t>transport permissions for reportable priority waste are also not established.</w:t>
      </w:r>
      <w:r w:rsidR="00213E13" w:rsidRPr="00741F8D">
        <w:rPr>
          <w:szCs w:val="20"/>
        </w:rPr>
        <w:t xml:space="preserve"> The new EP legislation also does not define what a </w:t>
      </w:r>
      <w:r w:rsidR="00213E13" w:rsidRPr="002413BC">
        <w:rPr>
          <w:i/>
          <w:szCs w:val="20"/>
        </w:rPr>
        <w:t>lawful place</w:t>
      </w:r>
      <w:r w:rsidR="00213E13" w:rsidRPr="00741F8D">
        <w:rPr>
          <w:szCs w:val="20"/>
        </w:rPr>
        <w:t xml:space="preserve"> is, which means</w:t>
      </w:r>
      <w:r w:rsidR="007A306F">
        <w:rPr>
          <w:szCs w:val="20"/>
        </w:rPr>
        <w:t xml:space="preserve"> without further prescription</w:t>
      </w:r>
      <w:r w:rsidR="00213E13" w:rsidRPr="00741F8D">
        <w:rPr>
          <w:szCs w:val="20"/>
        </w:rPr>
        <w:t xml:space="preserve"> </w:t>
      </w:r>
      <w:r w:rsidR="00213E13" w:rsidRPr="00D96322">
        <w:rPr>
          <w:rFonts w:cs="Segoe UI Light"/>
          <w:szCs w:val="20"/>
        </w:rPr>
        <w:t xml:space="preserve">businesses </w:t>
      </w:r>
      <w:r w:rsidR="004B63C1">
        <w:rPr>
          <w:rFonts w:cs="Segoe UI Light"/>
          <w:szCs w:val="20"/>
        </w:rPr>
        <w:t xml:space="preserve">would not be able to </w:t>
      </w:r>
      <w:r w:rsidR="00213E13" w:rsidRPr="00D96322">
        <w:rPr>
          <w:rFonts w:cs="Segoe UI Light"/>
          <w:szCs w:val="20"/>
        </w:rPr>
        <w:t>lawfully dispose of industrial waste.</w:t>
      </w:r>
      <w:r w:rsidR="00213E13">
        <w:rPr>
          <w:rFonts w:cs="Segoe UI Light"/>
          <w:sz w:val="18"/>
        </w:rPr>
        <w:t xml:space="preserve"> </w:t>
      </w:r>
    </w:p>
    <w:p w14:paraId="656B04DE" w14:textId="77777777" w:rsidR="00213E13" w:rsidRPr="009D5785" w:rsidRDefault="00213E13" w:rsidP="00213E13">
      <w:pPr>
        <w:mirrorIndents/>
      </w:pPr>
      <w:r>
        <w:t>There are six</w:t>
      </w:r>
      <w:r w:rsidRPr="009D5785">
        <w:rPr>
          <w:rFonts w:cs="Segoe UI Light"/>
          <w:szCs w:val="20"/>
        </w:rPr>
        <w:t xml:space="preserve"> areas being considered for regulations</w:t>
      </w:r>
      <w:r>
        <w:rPr>
          <w:rFonts w:cs="Segoe UI Light"/>
          <w:szCs w:val="20"/>
        </w:rPr>
        <w:t>:</w:t>
      </w:r>
    </w:p>
    <w:p w14:paraId="656B04DF" w14:textId="77777777" w:rsidR="00213E13" w:rsidRDefault="00213E13" w:rsidP="00213E13">
      <w:pPr>
        <w:pStyle w:val="ListParagraph"/>
        <w:numPr>
          <w:ilvl w:val="0"/>
          <w:numId w:val="42"/>
        </w:numPr>
      </w:pPr>
      <w:r>
        <w:t>How industrial wastes are to be classified.</w:t>
      </w:r>
    </w:p>
    <w:p w14:paraId="656B04E0" w14:textId="77777777" w:rsidR="00213E13" w:rsidRDefault="00213E13" w:rsidP="00213E13">
      <w:pPr>
        <w:pStyle w:val="ListParagraph"/>
        <w:numPr>
          <w:ilvl w:val="0"/>
          <w:numId w:val="42"/>
        </w:numPr>
      </w:pPr>
      <w:r>
        <w:t>How facilities will comply with the authority to receive industrial waste.</w:t>
      </w:r>
    </w:p>
    <w:p w14:paraId="656B04E1" w14:textId="77777777" w:rsidR="00213E13" w:rsidRDefault="00213E13" w:rsidP="00213E13">
      <w:pPr>
        <w:pStyle w:val="ListParagraph"/>
        <w:numPr>
          <w:ilvl w:val="0"/>
          <w:numId w:val="26"/>
        </w:numPr>
      </w:pPr>
      <w:r>
        <w:t>Which waste types are considered ‘priority’ wastes.</w:t>
      </w:r>
    </w:p>
    <w:p w14:paraId="656B04E2" w14:textId="77777777" w:rsidR="00213E13" w:rsidRDefault="00213E13" w:rsidP="00213E13">
      <w:pPr>
        <w:pStyle w:val="ListParagraph"/>
        <w:numPr>
          <w:ilvl w:val="0"/>
          <w:numId w:val="26"/>
        </w:numPr>
      </w:pPr>
      <w:r>
        <w:t>Which waste types are considered ‘reportable priority’ wastes and how transaction controls and transport permissions will operate for reportable priority wastes.</w:t>
      </w:r>
    </w:p>
    <w:p w14:paraId="656B04E3" w14:textId="77777777" w:rsidR="00213E13" w:rsidRDefault="00213E13" w:rsidP="00213E13">
      <w:pPr>
        <w:pStyle w:val="ListParagraph"/>
        <w:numPr>
          <w:ilvl w:val="0"/>
          <w:numId w:val="26"/>
        </w:numPr>
      </w:pPr>
      <w:r>
        <w:t>T</w:t>
      </w:r>
      <w:r w:rsidRPr="009D5785">
        <w:t xml:space="preserve">he acceptable standards of landfill design and operation. </w:t>
      </w:r>
    </w:p>
    <w:p w14:paraId="656B04E4" w14:textId="77777777" w:rsidR="00213E13" w:rsidRPr="003B1B0F" w:rsidRDefault="00213E13" w:rsidP="00213E13">
      <w:pPr>
        <w:pStyle w:val="ListParagraph"/>
        <w:numPr>
          <w:ilvl w:val="0"/>
          <w:numId w:val="26"/>
        </w:numPr>
      </w:pPr>
      <w:r>
        <w:t>H</w:t>
      </w:r>
      <w:r w:rsidRPr="009D5785">
        <w:t>ow the waste levy will apply in practice</w:t>
      </w:r>
      <w:r>
        <w:t>.</w:t>
      </w:r>
    </w:p>
    <w:p w14:paraId="656B04E5" w14:textId="77777777" w:rsidR="00213E13" w:rsidRPr="00F839BE" w:rsidRDefault="00213E13" w:rsidP="00213E13">
      <w:pPr>
        <w:spacing w:after="170"/>
        <w:mirrorIndents/>
        <w:rPr>
          <w:rFonts w:cs="Segoe UI Light"/>
          <w:szCs w:val="20"/>
        </w:rPr>
      </w:pPr>
      <w:r>
        <w:rPr>
          <w:rFonts w:cs="Segoe UI Light"/>
          <w:szCs w:val="20"/>
        </w:rPr>
        <w:t>The problem underlying each of these</w:t>
      </w:r>
      <w:r w:rsidRPr="00F839BE">
        <w:rPr>
          <w:rFonts w:cs="Segoe UI Light"/>
          <w:szCs w:val="20"/>
        </w:rPr>
        <w:t xml:space="preserve"> areas is described below.</w:t>
      </w:r>
    </w:p>
    <w:p w14:paraId="656B04E6" w14:textId="77777777" w:rsidR="00213E13" w:rsidRPr="00737E6A" w:rsidRDefault="00213E13" w:rsidP="00213E13">
      <w:pPr>
        <w:autoSpaceDE w:val="0"/>
        <w:autoSpaceDN w:val="0"/>
        <w:adjustRightInd w:val="0"/>
        <w:spacing w:after="0" w:line="240" w:lineRule="auto"/>
        <w:mirrorIndents/>
        <w:rPr>
          <w:b/>
        </w:rPr>
      </w:pPr>
      <w:r>
        <w:rPr>
          <w:b/>
        </w:rPr>
        <w:t>Industrial w</w:t>
      </w:r>
      <w:r w:rsidRPr="00737E6A">
        <w:rPr>
          <w:b/>
        </w:rPr>
        <w:t>aste classification</w:t>
      </w:r>
    </w:p>
    <w:p w14:paraId="656B04E7" w14:textId="77777777" w:rsidR="00213E13" w:rsidRDefault="00213E13" w:rsidP="00213E13">
      <w:r>
        <w:t xml:space="preserve">Part 6.4 - Section 135 of the new EP legislation places a duty on persons in management or control of waste </w:t>
      </w:r>
      <w:r w:rsidR="00EC680C">
        <w:t>to</w:t>
      </w:r>
      <w:r>
        <w:t xml:space="preserve"> not relinquish control of industrial waste before they have taken reasonable steps to ensure waste will be transported to a lawful place and received at a lawful place. One of the reasonable steps includes that they have appropriately classified the waste. In addition, Part 6.5 - Section 139(1) states that a person that has management control of waste must classify the waste. </w:t>
      </w:r>
    </w:p>
    <w:p w14:paraId="656B04E8" w14:textId="77777777" w:rsidR="00213E13" w:rsidRDefault="00213E13" w:rsidP="00213E13">
      <w:r>
        <w:t>The Act</w:t>
      </w:r>
      <w:r w:rsidRPr="00996533">
        <w:t xml:space="preserve"> does not specify what the classifications are, how to classify wastes or by what standard these wastes must be classified against. Without regulations or </w:t>
      </w:r>
      <w:r w:rsidR="00F2103E">
        <w:t xml:space="preserve">a </w:t>
      </w:r>
      <w:r w:rsidRPr="00996533">
        <w:t xml:space="preserve">similar subordinate instrument to specify such a system, consistent testing and sorting of industrial waste is not likely to be </w:t>
      </w:r>
      <w:r>
        <w:t>provided</w:t>
      </w:r>
      <w:r w:rsidRPr="00996533">
        <w:t xml:space="preserve"> by the market</w:t>
      </w:r>
      <w:r>
        <w:t xml:space="preserve"> (for reasons such as inadequate technical knowledge</w:t>
      </w:r>
      <w:r w:rsidRPr="00996533">
        <w:t xml:space="preserve"> and </w:t>
      </w:r>
      <w:r>
        <w:t>wilful non-compliance)</w:t>
      </w:r>
      <w:r w:rsidRPr="00996533">
        <w:t>.</w:t>
      </w:r>
      <w:r>
        <w:t xml:space="preserve"> </w:t>
      </w:r>
      <w:r w:rsidRPr="00D96322">
        <w:t>Without classification of industrial waste, waste may not be classified or classified incorrectly, and may be taken to a</w:t>
      </w:r>
      <w:r>
        <w:t>n inappropriate location</w:t>
      </w:r>
      <w:r w:rsidRPr="00D96322">
        <w:t>. This may result in poor waste management practices such as illegal dumping, stockpiling or poor storage.</w:t>
      </w:r>
    </w:p>
    <w:p w14:paraId="656B04E9" w14:textId="77777777" w:rsidR="00213E13" w:rsidRDefault="00213E13" w:rsidP="00213E13">
      <w:pPr>
        <w:autoSpaceDE w:val="0"/>
        <w:autoSpaceDN w:val="0"/>
        <w:adjustRightInd w:val="0"/>
        <w:spacing w:after="0" w:line="240" w:lineRule="auto"/>
        <w:mirrorIndents/>
      </w:pPr>
      <w:r w:rsidRPr="00AF18FB">
        <w:rPr>
          <w:b/>
        </w:rPr>
        <w:t>Authority to receive industrial waste (or ‘lawful place’)</w:t>
      </w:r>
    </w:p>
    <w:p w14:paraId="656B04EA" w14:textId="77777777" w:rsidR="00213E13" w:rsidRDefault="00213E13" w:rsidP="00213E13">
      <w:r>
        <w:t xml:space="preserve">A specific duty is established in the new EP legislation where </w:t>
      </w:r>
      <w:r w:rsidR="00F2103E">
        <w:t xml:space="preserve">no </w:t>
      </w:r>
      <w:r>
        <w:t xml:space="preserve">industrial waste </w:t>
      </w:r>
      <w:r w:rsidR="00F2103E">
        <w:t xml:space="preserve">may </w:t>
      </w:r>
      <w:r>
        <w:t>be deposited, abandoned or received at a place or premises unless it is “authorised to receive” industrial waste (i.e. it is a ‘lawful place’)</w:t>
      </w:r>
      <w:r w:rsidRPr="00B042AE">
        <w:t>.</w:t>
      </w:r>
      <w:r>
        <w:t xml:space="preserve"> Ensuring that industrial wastes are deposited at a lawful place is a duty on waste generators, transporters and receivers alike. The Act defines “</w:t>
      </w:r>
      <w:r w:rsidRPr="00741F8D">
        <w:t>authoris</w:t>
      </w:r>
      <w:r>
        <w:t xml:space="preserve">ed to receive” </w:t>
      </w:r>
      <w:r w:rsidRPr="00741F8D">
        <w:t>via an EPA licence</w:t>
      </w:r>
      <w:r>
        <w:t>,</w:t>
      </w:r>
      <w:r w:rsidRPr="00741F8D">
        <w:t xml:space="preserve"> permit, registration, exemption or via a mec</w:t>
      </w:r>
      <w:r>
        <w:t>hanism prescribed by regulation.</w:t>
      </w:r>
      <w:r w:rsidRPr="00741F8D">
        <w:t xml:space="preserve"> </w:t>
      </w:r>
      <w:r>
        <w:t xml:space="preserve">The permissions framework and its instruments of licences, permits and registrations could not be applied to define lawful place without prescription in regulations. </w:t>
      </w:r>
    </w:p>
    <w:p w14:paraId="656B04EB" w14:textId="77777777" w:rsidR="00213E13" w:rsidRDefault="00213E13" w:rsidP="00213E13">
      <w:pPr>
        <w:rPr>
          <w:b/>
        </w:rPr>
      </w:pPr>
      <w:r w:rsidRPr="00D96322">
        <w:t xml:space="preserve">Without definition of lawful place, there will be significant uncertainty for duty holders in determining where they can deposit waste. This uncertainty could lead to delays in the waste process as duty holders try to understand how to comply. This is likely to result in increased costs for duty holders (such as seeking EPA or specialist advice). It is also likely to result in higher costs of administering the legislation for EPA as it will have to respond to this uncertainty, for example by providing informal guidance or determining compliance and enforcement action in relation to an uncertain framework. It is also possible that the uncertainty might lead to under-compliance, as some duty holders respond by deliberately </w:t>
      </w:r>
      <w:r w:rsidR="00ED1F37">
        <w:t xml:space="preserve">not </w:t>
      </w:r>
      <w:r w:rsidRPr="00D96322">
        <w:t xml:space="preserve">complying; this may result in risks to human health and the environment by allowing poor waste management practices to occur such </w:t>
      </w:r>
      <w:r>
        <w:t xml:space="preserve">as </w:t>
      </w:r>
      <w:r w:rsidRPr="00D96322">
        <w:t>illegal dumping, stockpiling or poor storage.</w:t>
      </w:r>
    </w:p>
    <w:p w14:paraId="656B04EC" w14:textId="77777777" w:rsidR="00213E13" w:rsidRDefault="00213E13" w:rsidP="00213E13">
      <w:pPr>
        <w:autoSpaceDE w:val="0"/>
        <w:autoSpaceDN w:val="0"/>
        <w:adjustRightInd w:val="0"/>
        <w:spacing w:after="0" w:line="240" w:lineRule="auto"/>
        <w:mirrorIndents/>
        <w:rPr>
          <w:b/>
        </w:rPr>
      </w:pPr>
      <w:r>
        <w:rPr>
          <w:b/>
        </w:rPr>
        <w:t>Prescribing ‘priority’ and ‘reportable priority’ waste</w:t>
      </w:r>
    </w:p>
    <w:p w14:paraId="656B04ED" w14:textId="77777777" w:rsidR="00213E13" w:rsidRPr="00F63C39" w:rsidRDefault="00213E13" w:rsidP="00213E13">
      <w:pPr>
        <w:autoSpaceDE w:val="0"/>
        <w:autoSpaceDN w:val="0"/>
        <w:adjustRightInd w:val="0"/>
        <w:spacing w:line="240" w:lineRule="auto"/>
        <w:mirrorIndents/>
      </w:pPr>
      <w:r w:rsidRPr="00D96322">
        <w:t xml:space="preserve">Priority waste </w:t>
      </w:r>
      <w:r w:rsidRPr="005A2AE2">
        <w:t>types</w:t>
      </w:r>
      <w:r>
        <w:t xml:space="preserve"> are those that are highly hazardous, prone to mismanagement (e.g. illegal dumping or illegal landfilling) or are a priority for resource recovery</w:t>
      </w:r>
      <w:r w:rsidR="00B71F63">
        <w:t>.</w:t>
      </w:r>
      <w:r>
        <w:t xml:space="preserve"> </w:t>
      </w:r>
    </w:p>
    <w:p w14:paraId="656B04EE" w14:textId="77777777" w:rsidR="00213E13" w:rsidRDefault="00213E13" w:rsidP="00213E13">
      <w:pPr>
        <w:autoSpaceDE w:val="0"/>
        <w:autoSpaceDN w:val="0"/>
        <w:adjustRightInd w:val="0"/>
        <w:spacing w:line="240" w:lineRule="auto"/>
        <w:mirrorIndents/>
      </w:pPr>
      <w:r w:rsidRPr="00F91D15">
        <w:t xml:space="preserve">Under the </w:t>
      </w:r>
      <w:r>
        <w:t xml:space="preserve">new EP legislation (Part 6.5, Section 138), there are duties and controls in relation to </w:t>
      </w:r>
      <w:r w:rsidRPr="00EE144C">
        <w:rPr>
          <w:i/>
        </w:rPr>
        <w:t xml:space="preserve">priority </w:t>
      </w:r>
      <w:r>
        <w:t>waste that are intended to reduce the risk of harms from mismanagement, including:</w:t>
      </w:r>
    </w:p>
    <w:p w14:paraId="656B04EF" w14:textId="77777777" w:rsidR="00213E13" w:rsidRDefault="00213E13" w:rsidP="00213E13">
      <w:pPr>
        <w:pStyle w:val="ListParagraph"/>
        <w:numPr>
          <w:ilvl w:val="0"/>
          <w:numId w:val="93"/>
        </w:numPr>
      </w:pPr>
      <w:r>
        <w:t>Accurate classification</w:t>
      </w:r>
    </w:p>
    <w:p w14:paraId="656B04F0" w14:textId="77777777" w:rsidR="00213E13" w:rsidRDefault="00213E13" w:rsidP="00213E13">
      <w:pPr>
        <w:pStyle w:val="ListParagraph"/>
        <w:numPr>
          <w:ilvl w:val="0"/>
          <w:numId w:val="93"/>
        </w:numPr>
      </w:pPr>
      <w:r>
        <w:t>Containment during transport</w:t>
      </w:r>
    </w:p>
    <w:p w14:paraId="656B04F1" w14:textId="77777777" w:rsidR="00213E13" w:rsidRDefault="00213E13" w:rsidP="00213E13">
      <w:pPr>
        <w:pStyle w:val="ListParagraph"/>
        <w:numPr>
          <w:ilvl w:val="0"/>
          <w:numId w:val="93"/>
        </w:numPr>
      </w:pPr>
      <w:r>
        <w:t>Isolation with the view to future resource recovery</w:t>
      </w:r>
    </w:p>
    <w:p w14:paraId="656B04F2" w14:textId="77777777" w:rsidR="00213E13" w:rsidRDefault="00213E13" w:rsidP="00213E13">
      <w:pPr>
        <w:pStyle w:val="ListParagraph"/>
        <w:numPr>
          <w:ilvl w:val="0"/>
          <w:numId w:val="93"/>
        </w:numPr>
      </w:pPr>
      <w:r>
        <w:t xml:space="preserve">Provision of information (regarding nature and risks) to those who will take control of the waste at some point in the waste supply chain. </w:t>
      </w:r>
    </w:p>
    <w:p w14:paraId="656B04F3" w14:textId="77777777" w:rsidR="00213E13" w:rsidRPr="00B05634" w:rsidRDefault="00213E13" w:rsidP="00213E13">
      <w:r>
        <w:t xml:space="preserve">In addition, duty holders managing priority waste must investigate alternatives to disposal which involves; considering issued guidance, available technologies, and consulting with expert persons or bodies. The Act defines priority waste as any waste that is </w:t>
      </w:r>
      <w:r w:rsidRPr="00B05634">
        <w:t xml:space="preserve">prescribed. Therefore, without regulations, priority wastes would not be prescribed and the duties and controls in the </w:t>
      </w:r>
      <w:r w:rsidR="00CE519E" w:rsidRPr="00B05634">
        <w:t>new EP legislation</w:t>
      </w:r>
      <w:r w:rsidRPr="00B05634">
        <w:t xml:space="preserve"> </w:t>
      </w:r>
      <w:r w:rsidR="00C46249" w:rsidRPr="00367222">
        <w:t>cannot function</w:t>
      </w:r>
      <w:r w:rsidRPr="00B05634">
        <w:t>.</w:t>
      </w:r>
    </w:p>
    <w:p w14:paraId="656B04F4" w14:textId="77777777" w:rsidR="00213E13" w:rsidRPr="00B05634" w:rsidRDefault="00213E13" w:rsidP="00213E13">
      <w:pPr>
        <w:autoSpaceDE w:val="0"/>
        <w:autoSpaceDN w:val="0"/>
        <w:adjustRightInd w:val="0"/>
        <w:spacing w:after="0" w:line="240" w:lineRule="auto"/>
        <w:mirrorIndents/>
        <w:rPr>
          <w:b/>
        </w:rPr>
      </w:pPr>
      <w:r w:rsidRPr="00B05634">
        <w:rPr>
          <w:b/>
        </w:rPr>
        <w:t>Reportable priority waste transaction controls and transport permissions</w:t>
      </w:r>
    </w:p>
    <w:p w14:paraId="656B04F5" w14:textId="77777777" w:rsidR="00213E13" w:rsidRPr="00B05634" w:rsidRDefault="00213E13" w:rsidP="00213E13">
      <w:r w:rsidRPr="00B05634">
        <w:t xml:space="preserve">Part 6.5 of the new EP legislation also establishes duties and controls in relation to </w:t>
      </w:r>
      <w:r w:rsidRPr="00B05634">
        <w:rPr>
          <w:i/>
        </w:rPr>
        <w:t>reportable priority</w:t>
      </w:r>
      <w:r w:rsidRPr="00B05634">
        <w:t xml:space="preserve"> waste, including:</w:t>
      </w:r>
    </w:p>
    <w:p w14:paraId="656B04F6" w14:textId="77777777" w:rsidR="00213E13" w:rsidRPr="00B05634" w:rsidRDefault="00213E13" w:rsidP="00213E13">
      <w:pPr>
        <w:pStyle w:val="ListParagraph"/>
        <w:numPr>
          <w:ilvl w:val="0"/>
          <w:numId w:val="94"/>
        </w:numPr>
      </w:pPr>
      <w:r w:rsidRPr="00B05634">
        <w:t>Recording and providing transaction details to a prescribed person (Section 142)</w:t>
      </w:r>
      <w:r w:rsidR="000B72E3">
        <w:t>.</w:t>
      </w:r>
    </w:p>
    <w:p w14:paraId="656B04F7" w14:textId="77777777" w:rsidR="00213E13" w:rsidRPr="00B05634" w:rsidRDefault="00213E13" w:rsidP="00213E13">
      <w:pPr>
        <w:pStyle w:val="ListParagraph"/>
        <w:numPr>
          <w:ilvl w:val="0"/>
          <w:numId w:val="94"/>
        </w:numPr>
      </w:pPr>
      <w:r w:rsidRPr="00B05634">
        <w:t xml:space="preserve">Transport permission duties (Section 143). </w:t>
      </w:r>
    </w:p>
    <w:p w14:paraId="656B04F8" w14:textId="77777777" w:rsidR="00213E13" w:rsidRPr="00B05634" w:rsidRDefault="00CE519E" w:rsidP="00213E13">
      <w:r w:rsidRPr="00B05634">
        <w:t xml:space="preserve">The new EP legislation </w:t>
      </w:r>
      <w:r w:rsidR="00213E13" w:rsidRPr="00B05634">
        <w:t xml:space="preserve">defines reportable priority waste as any industrial waste that is prescribed in regulations as such. </w:t>
      </w:r>
    </w:p>
    <w:p w14:paraId="656B04F9" w14:textId="77777777" w:rsidR="00213E13" w:rsidRPr="00B05634" w:rsidRDefault="00213E13" w:rsidP="00213E13">
      <w:r w:rsidRPr="00B05634">
        <w:t xml:space="preserve">With respect to the specific form and application of the duties for reportable priority wastes, Section 142 of </w:t>
      </w:r>
      <w:r w:rsidR="00CE519E" w:rsidRPr="00B05634">
        <w:t>the new EP legislation</w:t>
      </w:r>
      <w:r w:rsidRPr="00B05634">
        <w:t xml:space="preserve"> provides the opportunity to apply additional transaction requirements. These controls allow specific information to be required to be reported when wastes move from one party to another, and to set out the information to be provided, the form of this notification and to whom this information must be provided. Section 143 specifies that duty holders may only transport reportable priority wastes in accordance with a prescribed permission.</w:t>
      </w:r>
    </w:p>
    <w:p w14:paraId="656B04FA" w14:textId="77777777" w:rsidR="00213E13" w:rsidRPr="00B05634" w:rsidRDefault="00213E13" w:rsidP="00213E13">
      <w:r w:rsidRPr="00B05634">
        <w:t xml:space="preserve">Like priority waste types, reportable priority waste types are those that are highly hazardous, are prone to mismanagement or are a priority for resource recovery. The </w:t>
      </w:r>
      <w:r w:rsidR="000B72E3">
        <w:t>new EP legislation</w:t>
      </w:r>
      <w:r w:rsidR="000B72E3" w:rsidRPr="00B05634">
        <w:t xml:space="preserve"> </w:t>
      </w:r>
      <w:r w:rsidRPr="00B05634">
        <w:t xml:space="preserve">establishes reportable priority waste controls, over and above other duties and controls for priority waste, because they are highly hazardous </w:t>
      </w:r>
      <w:r w:rsidR="00CF653A" w:rsidRPr="00B05634">
        <w:t>in nature and the human health and environmental risks posed</w:t>
      </w:r>
      <w:r w:rsidRPr="00B05634">
        <w:t xml:space="preserve"> </w:t>
      </w:r>
      <w:r w:rsidR="00CF653A" w:rsidRPr="00B05634">
        <w:t xml:space="preserve">from </w:t>
      </w:r>
      <w:r w:rsidRPr="00B05634">
        <w:t>mismanagement</w:t>
      </w:r>
      <w:r w:rsidR="00CF653A" w:rsidRPr="00B05634">
        <w:t xml:space="preserve"> (illegal dumping, stockpiling and landfilling) are much greater than other waste types. The waste transaction (tracking) and transport controls therefore aim to place adequate controls around reportable priority wastes to ensure they are contained during transport and that adequate information can flow through the chain of custody to inform decisions about appropriate treatment, reuse and/or disposal. </w:t>
      </w:r>
    </w:p>
    <w:p w14:paraId="656B04FB" w14:textId="77777777" w:rsidR="00213E13" w:rsidRDefault="00213E13" w:rsidP="00213E13">
      <w:r w:rsidRPr="00B05634">
        <w:t xml:space="preserve">Again, without regulations, reportable priority wastes would not be prescribed and the reportable priority waste duties and controls </w:t>
      </w:r>
      <w:r w:rsidR="00C46249" w:rsidRPr="00B05634">
        <w:t>cannot function</w:t>
      </w:r>
      <w:r w:rsidRPr="00B05634">
        <w:t>. Without prescription</w:t>
      </w:r>
      <w:r w:rsidRPr="009D5785">
        <w:t xml:space="preserve"> </w:t>
      </w:r>
      <w:r>
        <w:t xml:space="preserve">of the nature, form and process around transaction information for reportable priority wastes and further to specify what constitutes a ‘transport permission’, </w:t>
      </w:r>
      <w:r w:rsidRPr="009D5785">
        <w:t xml:space="preserve">waste generators, </w:t>
      </w:r>
      <w:r>
        <w:t xml:space="preserve">waste </w:t>
      </w:r>
      <w:r w:rsidRPr="009D5785">
        <w:t xml:space="preserve">consigners, transporters and receivers will not know what they need to do to comply with </w:t>
      </w:r>
      <w:r>
        <w:t xml:space="preserve">reportable </w:t>
      </w:r>
      <w:r w:rsidRPr="009D5785">
        <w:t>priority waste controls</w:t>
      </w:r>
      <w:r>
        <w:t>. This is particularly important as waste moves through the chain of custody.</w:t>
      </w:r>
    </w:p>
    <w:p w14:paraId="656B04FC" w14:textId="77777777" w:rsidR="00213E13" w:rsidRDefault="00213E13" w:rsidP="00213E13">
      <w:r>
        <w:t>This will result in risks of harm from waste mismanagement practices, including illegal dumping and illegal landfilling of hazardous wastes.</w:t>
      </w:r>
    </w:p>
    <w:p w14:paraId="656B04FD" w14:textId="77777777" w:rsidR="00213E13" w:rsidRDefault="00213E13" w:rsidP="00213E13">
      <w:pPr>
        <w:autoSpaceDE w:val="0"/>
        <w:autoSpaceDN w:val="0"/>
        <w:adjustRightInd w:val="0"/>
        <w:spacing w:after="0" w:line="240" w:lineRule="auto"/>
        <w:mirrorIndents/>
        <w:rPr>
          <w:b/>
        </w:rPr>
      </w:pPr>
      <w:r w:rsidRPr="00672441">
        <w:rPr>
          <w:b/>
        </w:rPr>
        <w:t xml:space="preserve">The acceptable standards of landfill design and operation. </w:t>
      </w:r>
    </w:p>
    <w:p w14:paraId="656B04FE" w14:textId="77777777" w:rsidR="00213E13" w:rsidRDefault="00213E13" w:rsidP="00213E13">
      <w:r w:rsidRPr="00C66227">
        <w:t xml:space="preserve">Landfill sites are </w:t>
      </w:r>
      <w:r>
        <w:t xml:space="preserve">currently </w:t>
      </w:r>
      <w:r w:rsidRPr="00C66227">
        <w:t xml:space="preserve">regulated through the </w:t>
      </w:r>
      <w:r>
        <w:t>EP Act 1970</w:t>
      </w:r>
      <w:r w:rsidRPr="00C66227">
        <w:t xml:space="preserve">, </w:t>
      </w:r>
      <w:r>
        <w:t>along with</w:t>
      </w:r>
      <w:r w:rsidRPr="00C66227">
        <w:t xml:space="preserve"> a range of complementary policies, guidelines and regulatory tools, including licences and remedial notices that outline conditions that a landfill duty holder must comply with.</w:t>
      </w:r>
      <w:r>
        <w:t xml:space="preserve"> Under the new EP legislation, current</w:t>
      </w:r>
      <w:r w:rsidRPr="006F70DF">
        <w:t xml:space="preserve"> licensed </w:t>
      </w:r>
      <w:r>
        <w:t xml:space="preserve">landfill </w:t>
      </w:r>
      <w:r w:rsidRPr="006F70DF">
        <w:t xml:space="preserve">premises will continue to be able to lawfully accept </w:t>
      </w:r>
      <w:r>
        <w:t xml:space="preserve">and manage </w:t>
      </w:r>
      <w:r w:rsidRPr="006F70DF">
        <w:t xml:space="preserve">wastes </w:t>
      </w:r>
      <w:r>
        <w:t xml:space="preserve">as </w:t>
      </w:r>
      <w:r w:rsidRPr="006F70DF">
        <w:t>per their licence conditions</w:t>
      </w:r>
      <w:r>
        <w:t>,</w:t>
      </w:r>
      <w:r w:rsidRPr="006F70DF">
        <w:t xml:space="preserve"> as </w:t>
      </w:r>
      <w:r>
        <w:t xml:space="preserve">existing </w:t>
      </w:r>
      <w:r w:rsidRPr="006F70DF">
        <w:t>licensed premises will automatically t</w:t>
      </w:r>
      <w:r>
        <w:t xml:space="preserve">ransition under the new regime. </w:t>
      </w:r>
    </w:p>
    <w:p w14:paraId="656B04FF" w14:textId="77777777" w:rsidR="00213E13" w:rsidRDefault="00213E13" w:rsidP="00213E13">
      <w:r>
        <w:t xml:space="preserve">Landfilling is an inherently risky practice and careful management is required to minimise the risk of harms to human health and the environment. While the GED establishes </w:t>
      </w:r>
      <w:r w:rsidR="00492AC2">
        <w:t xml:space="preserve">a </w:t>
      </w:r>
      <w:r>
        <w:t xml:space="preserve">level of responsibility on duty holders surrounding the development of new landfills and the operation of established landfills, </w:t>
      </w:r>
      <w:r w:rsidR="004B63C1">
        <w:t xml:space="preserve">EPA considers that the </w:t>
      </w:r>
      <w:r>
        <w:t xml:space="preserve">GED </w:t>
      </w:r>
      <w:r w:rsidDel="005D3359">
        <w:t xml:space="preserve">is not </w:t>
      </w:r>
      <w:r>
        <w:t xml:space="preserve">sufficient to minimise risk to an acceptable level. This is because the impacts of non-compliance are high and long lasting, necessitating the need for specific protections to be made in regulation and other subordinate instruments. This will allow a high standard and some degree of control at each stage of a landfill's very long life. </w:t>
      </w:r>
    </w:p>
    <w:p w14:paraId="656B0500" w14:textId="77777777" w:rsidR="00213E13" w:rsidRPr="00672441" w:rsidRDefault="00213E13" w:rsidP="00213E13">
      <w:pPr>
        <w:autoSpaceDE w:val="0"/>
        <w:autoSpaceDN w:val="0"/>
        <w:adjustRightInd w:val="0"/>
        <w:spacing w:after="0" w:line="240" w:lineRule="auto"/>
        <w:mirrorIndents/>
        <w:rPr>
          <w:b/>
        </w:rPr>
      </w:pPr>
      <w:r w:rsidRPr="00672441">
        <w:rPr>
          <w:b/>
        </w:rPr>
        <w:t>How the waste levy will apply in practice</w:t>
      </w:r>
    </w:p>
    <w:p w14:paraId="656B0501" w14:textId="77777777" w:rsidR="00213E13" w:rsidRDefault="00213E13" w:rsidP="00213E13">
      <w:r>
        <w:t xml:space="preserve">The new EP legislation </w:t>
      </w:r>
      <w:r w:rsidRPr="00172D42">
        <w:t>creates a waste levy scheme for all waste deposited at prescribed schedule</w:t>
      </w:r>
      <w:r>
        <w:t>d</w:t>
      </w:r>
      <w:r w:rsidRPr="00172D42">
        <w:t xml:space="preserve"> premises in Victoria</w:t>
      </w:r>
      <w:r>
        <w:t xml:space="preserve"> and sets out the rates, rebates, exemptions and </w:t>
      </w:r>
      <w:r w:rsidRPr="00B05634">
        <w:t xml:space="preserve">obligations relating to paying the levy. The </w:t>
      </w:r>
      <w:r w:rsidR="000B72E3">
        <w:t>new EP legislation</w:t>
      </w:r>
      <w:r w:rsidRPr="00B05634">
        <w:t xml:space="preserve">, however, requires certain factors to be prescribed in order to </w:t>
      </w:r>
      <w:r w:rsidR="00C46249" w:rsidRPr="00367222">
        <w:t>enable the waste levy scheme to function</w:t>
      </w:r>
      <w:r w:rsidR="00C46249" w:rsidRPr="00B05634">
        <w:t xml:space="preserve">. </w:t>
      </w:r>
      <w:r w:rsidR="00A91A5B" w:rsidRPr="00B05634">
        <w:t>The factors which require prescription include:</w:t>
      </w:r>
    </w:p>
    <w:p w14:paraId="656B0502" w14:textId="77777777" w:rsidR="00213E13" w:rsidRDefault="00213E13" w:rsidP="00213E13">
      <w:pPr>
        <w:pStyle w:val="Bullet1"/>
        <w:numPr>
          <w:ilvl w:val="0"/>
          <w:numId w:val="101"/>
        </w:numPr>
      </w:pPr>
      <w:r>
        <w:t xml:space="preserve">The timing in claiming any prescribed allowable rebates on waste that is removed from the landfill some time after having been deposited on land for the purposes of recovery. </w:t>
      </w:r>
    </w:p>
    <w:p w14:paraId="656B0503" w14:textId="77777777" w:rsidR="00213E13" w:rsidRDefault="00213E13" w:rsidP="00213E13">
      <w:pPr>
        <w:pStyle w:val="Bullet1"/>
        <w:numPr>
          <w:ilvl w:val="0"/>
          <w:numId w:val="101"/>
        </w:numPr>
      </w:pPr>
      <w:r>
        <w:t>What</w:t>
      </w:r>
      <w:r w:rsidR="00F2103E">
        <w:t xml:space="preserve"> allowable rebates </w:t>
      </w:r>
      <w:r>
        <w:t xml:space="preserve">will be prescribed </w:t>
      </w:r>
      <w:r w:rsidR="00F2103E">
        <w:t xml:space="preserve">for </w:t>
      </w:r>
      <w:r>
        <w:t>recoverable waste</w:t>
      </w:r>
      <w:r w:rsidR="00F2103E">
        <w:t xml:space="preserve"> and how EPA will address the accountability of a claim for an allowable rebate.</w:t>
      </w:r>
    </w:p>
    <w:p w14:paraId="656B0504" w14:textId="77777777" w:rsidR="00213E13" w:rsidRDefault="00213E13" w:rsidP="00213E13">
      <w:pPr>
        <w:pStyle w:val="Bullet1"/>
        <w:numPr>
          <w:ilvl w:val="0"/>
          <w:numId w:val="101"/>
        </w:numPr>
      </w:pPr>
      <w:r>
        <w:t xml:space="preserve">The timing and intervals at which the waste levy must be remitted. </w:t>
      </w:r>
    </w:p>
    <w:p w14:paraId="656B0505" w14:textId="77777777" w:rsidR="00213E13" w:rsidRDefault="00213E13" w:rsidP="00213E13">
      <w:pPr>
        <w:pStyle w:val="Bullet1"/>
        <w:numPr>
          <w:ilvl w:val="0"/>
          <w:numId w:val="101"/>
        </w:numPr>
      </w:pPr>
      <w:r>
        <w:t xml:space="preserve">Information required when making a claim for allowable rebates. </w:t>
      </w:r>
    </w:p>
    <w:p w14:paraId="656B0506" w14:textId="77777777" w:rsidR="00213E13" w:rsidRDefault="00213E13" w:rsidP="00213E13">
      <w:r>
        <w:t>Given the financial nature of the waste levy, any ambiguity on how the scheme will operate will incentivise undesirable behaviour from licenced waste receivers such as avoiding or delaying payment.</w:t>
      </w:r>
    </w:p>
    <w:p w14:paraId="656B0507" w14:textId="77777777" w:rsidR="00213E13" w:rsidRDefault="00213E13" w:rsidP="00367222">
      <w:pPr>
        <w:pStyle w:val="Heading3"/>
        <w:ind w:left="720"/>
      </w:pPr>
      <w:r>
        <w:t>Size of the problem</w:t>
      </w:r>
    </w:p>
    <w:p w14:paraId="656B0508" w14:textId="77777777" w:rsidR="00213E13" w:rsidRDefault="00213E13" w:rsidP="00213E13">
      <w:pPr>
        <w:tabs>
          <w:tab w:val="left" w:pos="1985"/>
        </w:tabs>
        <w:rPr>
          <w:rFonts w:cs="Segoe UI Light"/>
          <w:szCs w:val="20"/>
        </w:rPr>
      </w:pPr>
      <w:r w:rsidRPr="008E7E85">
        <w:rPr>
          <w:rFonts w:cs="Segoe UI Light"/>
          <w:szCs w:val="20"/>
        </w:rPr>
        <w:t>In Victoria</w:t>
      </w:r>
      <w:r>
        <w:rPr>
          <w:rFonts w:cs="Segoe UI Light"/>
          <w:szCs w:val="20"/>
        </w:rPr>
        <w:t>,</w:t>
      </w:r>
      <w:r w:rsidRPr="008E7E85">
        <w:rPr>
          <w:rFonts w:cs="Segoe UI Light"/>
          <w:szCs w:val="20"/>
        </w:rPr>
        <w:t xml:space="preserve"> </w:t>
      </w:r>
      <w:r>
        <w:rPr>
          <w:rFonts w:cs="Segoe UI Light"/>
          <w:szCs w:val="20"/>
        </w:rPr>
        <w:t>economic and population growth are the key drivers of growth</w:t>
      </w:r>
      <w:r w:rsidRPr="008E7E85">
        <w:rPr>
          <w:rFonts w:cs="Segoe UI Light"/>
          <w:szCs w:val="20"/>
        </w:rPr>
        <w:t xml:space="preserve"> in waste generation. </w:t>
      </w:r>
      <w:r>
        <w:rPr>
          <w:rFonts w:cs="Segoe UI Light"/>
          <w:szCs w:val="20"/>
        </w:rPr>
        <w:t>The EPA Inquiry</w:t>
      </w:r>
      <w:r w:rsidRPr="008E7E85">
        <w:rPr>
          <w:rFonts w:cs="Segoe UI Light"/>
          <w:szCs w:val="20"/>
        </w:rPr>
        <w:t xml:space="preserve"> </w:t>
      </w:r>
      <w:r>
        <w:rPr>
          <w:rFonts w:cs="Segoe UI Light"/>
          <w:szCs w:val="20"/>
        </w:rPr>
        <w:t>forecast Victoria’s solid waste generation to “</w:t>
      </w:r>
      <w:r w:rsidRPr="00ED173F">
        <w:t xml:space="preserve">increase by 63 per cent </w:t>
      </w:r>
      <w:r>
        <w:t xml:space="preserve">[from the current 12.8 million tonnes per annum] </w:t>
      </w:r>
      <w:r w:rsidRPr="00ED173F">
        <w:t xml:space="preserve">to over 20 million tonnes </w:t>
      </w:r>
      <w:r>
        <w:t xml:space="preserve">[annually] </w:t>
      </w:r>
      <w:r w:rsidRPr="00ED173F">
        <w:t>by 2044</w:t>
      </w:r>
      <w:r>
        <w:rPr>
          <w:rFonts w:cs="Segoe UI Light"/>
          <w:szCs w:val="20"/>
        </w:rPr>
        <w:t>”.</w:t>
      </w:r>
      <w:r w:rsidRPr="00C25C3C">
        <w:rPr>
          <w:i/>
          <w:vertAlign w:val="superscript"/>
        </w:rPr>
        <w:t xml:space="preserve"> </w:t>
      </w:r>
      <w:r w:rsidRPr="00AF7F62">
        <w:rPr>
          <w:i/>
          <w:vertAlign w:val="superscript"/>
        </w:rPr>
        <w:footnoteReference w:id="142"/>
      </w:r>
      <w:r>
        <w:rPr>
          <w:rFonts w:cs="Segoe UI Light"/>
          <w:szCs w:val="20"/>
        </w:rPr>
        <w:t xml:space="preserve"> A further </w:t>
      </w:r>
      <w:r w:rsidRPr="008E7E85">
        <w:rPr>
          <w:rFonts w:cs="Segoe UI Light"/>
          <w:szCs w:val="20"/>
        </w:rPr>
        <w:t>1.3 million tonnes of hazardous waste</w:t>
      </w:r>
      <w:r>
        <w:rPr>
          <w:rFonts w:cs="Segoe UI Light"/>
          <w:szCs w:val="20"/>
        </w:rPr>
        <w:t xml:space="preserve"> is produced each year in Victoria</w:t>
      </w:r>
      <w:r w:rsidRPr="008E7E85">
        <w:rPr>
          <w:rFonts w:cs="Segoe UI Light"/>
          <w:szCs w:val="20"/>
        </w:rPr>
        <w:t>.</w:t>
      </w:r>
      <w:r w:rsidRPr="008E7E85">
        <w:rPr>
          <w:rFonts w:cs="Segoe UI Light"/>
          <w:szCs w:val="20"/>
          <w:vertAlign w:val="superscript"/>
        </w:rPr>
        <w:footnoteReference w:id="143"/>
      </w:r>
      <w:r>
        <w:rPr>
          <w:rFonts w:cs="Segoe UI Light"/>
          <w:szCs w:val="20"/>
        </w:rPr>
        <w:t xml:space="preserve"> </w:t>
      </w:r>
    </w:p>
    <w:p w14:paraId="656B0509" w14:textId="77777777" w:rsidR="00213E13" w:rsidRPr="008838F6" w:rsidRDefault="00213E13" w:rsidP="00213E13">
      <w:pPr>
        <w:tabs>
          <w:tab w:val="left" w:pos="1985"/>
        </w:tabs>
        <w:mirrorIndents/>
        <w:rPr>
          <w:i/>
        </w:rPr>
      </w:pPr>
      <w:r>
        <w:rPr>
          <w:rFonts w:cs="Segoe UI Light"/>
          <w:szCs w:val="20"/>
        </w:rPr>
        <w:t>Victoria currently recycles approximately two thirds of its solid waste and landfills the remainder (</w:t>
      </w:r>
      <w:r>
        <w:rPr>
          <w:rFonts w:cs="Segoe UI Light"/>
          <w:color w:val="2B579A"/>
          <w:szCs w:val="20"/>
          <w:shd w:val="clear" w:color="auto" w:fill="E6E6E6"/>
        </w:rPr>
        <w:fldChar w:fldCharType="begin"/>
      </w:r>
      <w:r>
        <w:rPr>
          <w:rFonts w:cs="Segoe UI Light"/>
          <w:szCs w:val="20"/>
        </w:rPr>
        <w:instrText xml:space="preserve"> REF _Ref7794863 \h </w:instrText>
      </w:r>
      <w:r>
        <w:rPr>
          <w:rFonts w:cs="Segoe UI Light"/>
          <w:color w:val="2B579A"/>
          <w:szCs w:val="20"/>
          <w:shd w:val="clear" w:color="auto" w:fill="E6E6E6"/>
        </w:rPr>
      </w:r>
      <w:r>
        <w:rPr>
          <w:rFonts w:cs="Segoe UI Light"/>
          <w:color w:val="2B579A"/>
          <w:szCs w:val="20"/>
          <w:shd w:val="clear" w:color="auto" w:fill="E6E6E6"/>
        </w:rPr>
        <w:fldChar w:fldCharType="separate"/>
      </w:r>
      <w:r w:rsidR="00B11C1E">
        <w:t xml:space="preserve">Figure </w:t>
      </w:r>
      <w:r w:rsidR="00B11C1E">
        <w:rPr>
          <w:noProof/>
        </w:rPr>
        <w:t>9</w:t>
      </w:r>
      <w:r w:rsidR="00B11C1E">
        <w:noBreakHyphen/>
      </w:r>
      <w:r w:rsidR="00B11C1E">
        <w:rPr>
          <w:noProof/>
        </w:rPr>
        <w:t>1</w:t>
      </w:r>
      <w:r>
        <w:rPr>
          <w:rFonts w:cs="Segoe UI Light"/>
          <w:color w:val="2B579A"/>
          <w:szCs w:val="20"/>
          <w:shd w:val="clear" w:color="auto" w:fill="E6E6E6"/>
        </w:rPr>
        <w:fldChar w:fldCharType="end"/>
      </w:r>
      <w:r>
        <w:rPr>
          <w:rFonts w:cs="Segoe UI Light"/>
          <w:szCs w:val="20"/>
        </w:rPr>
        <w:t>). This split is expected to continue. Importantly, however, this data reflects legitimate waste management and doesn’t account for illegal disposal.</w:t>
      </w:r>
    </w:p>
    <w:p w14:paraId="656B050A" w14:textId="77777777" w:rsidR="00213E13" w:rsidRDefault="00213E13" w:rsidP="00213E13">
      <w:pPr>
        <w:pStyle w:val="Caption"/>
      </w:pPr>
      <w:bookmarkStart w:id="632" w:name="_Ref7794863"/>
      <w:r>
        <w:t xml:space="preserve">Figure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Pr>
          <w:color w:val="2B579A"/>
          <w:shd w:val="clear" w:color="auto" w:fill="E6E6E6"/>
        </w:rPr>
        <w:fldChar w:fldCharType="begin"/>
      </w:r>
      <w:r>
        <w:instrText xml:space="preserve"> SEQ Figure \* ARABIC \s 1 </w:instrText>
      </w:r>
      <w:r>
        <w:rPr>
          <w:color w:val="2B579A"/>
          <w:shd w:val="clear" w:color="auto" w:fill="E6E6E6"/>
        </w:rPr>
        <w:fldChar w:fldCharType="separate"/>
      </w:r>
      <w:r w:rsidR="00B11C1E">
        <w:rPr>
          <w:noProof/>
        </w:rPr>
        <w:t>1</w:t>
      </w:r>
      <w:r>
        <w:rPr>
          <w:color w:val="2B579A"/>
          <w:shd w:val="clear" w:color="auto" w:fill="E6E6E6"/>
        </w:rPr>
        <w:fldChar w:fldCharType="end"/>
      </w:r>
      <w:bookmarkEnd w:id="632"/>
      <w:r w:rsidRPr="00FF592D">
        <w:t xml:space="preserve"> </w:t>
      </w:r>
      <w:r w:rsidRPr="008E7E85">
        <w:t>Victorian landfill and resource recovery volumes</w:t>
      </w:r>
    </w:p>
    <w:p w14:paraId="656B050B" w14:textId="77777777" w:rsidR="00213E13" w:rsidRDefault="00213E13" w:rsidP="00213E13">
      <w:pPr>
        <w:tabs>
          <w:tab w:val="left" w:pos="1985"/>
        </w:tabs>
        <w:spacing w:after="170"/>
        <w:mirrorIndents/>
        <w:rPr>
          <w:rFonts w:cs="Segoe UI Light"/>
          <w:szCs w:val="20"/>
        </w:rPr>
      </w:pPr>
      <w:r>
        <w:rPr>
          <w:noProof/>
          <w:color w:val="2B579A"/>
          <w:shd w:val="clear" w:color="auto" w:fill="E6E6E6"/>
          <w:lang w:eastAsia="en-AU"/>
        </w:rPr>
        <w:drawing>
          <wp:inline distT="0" distB="0" distL="0" distR="0" wp14:anchorId="656B1EAC" wp14:editId="656B1EAD">
            <wp:extent cx="4246461" cy="2500131"/>
            <wp:effectExtent l="0" t="0" r="1905" b="0"/>
            <wp:docPr id="1700302031" name="Picture 104882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826369"/>
                    <pic:cNvPicPr/>
                  </pic:nvPicPr>
                  <pic:blipFill>
                    <a:blip r:embed="rId48">
                      <a:extLst>
                        <a:ext uri="{28A0092B-C50C-407E-A947-70E740481C1C}">
                          <a14:useLocalDpi xmlns:a14="http://schemas.microsoft.com/office/drawing/2010/main" val="0"/>
                        </a:ext>
                      </a:extLst>
                    </a:blip>
                    <a:stretch>
                      <a:fillRect/>
                    </a:stretch>
                  </pic:blipFill>
                  <pic:spPr>
                    <a:xfrm>
                      <a:off x="0" y="0"/>
                      <a:ext cx="4246461" cy="2500131"/>
                    </a:xfrm>
                    <a:prstGeom prst="rect">
                      <a:avLst/>
                    </a:prstGeom>
                  </pic:spPr>
                </pic:pic>
              </a:graphicData>
            </a:graphic>
          </wp:inline>
        </w:drawing>
      </w:r>
    </w:p>
    <w:p w14:paraId="656B050C" w14:textId="77777777" w:rsidR="00213E13" w:rsidRPr="00E46C93" w:rsidRDefault="00213E13" w:rsidP="00213E13">
      <w:pPr>
        <w:pStyle w:val="2Source"/>
        <w:tabs>
          <w:tab w:val="left" w:pos="1985"/>
        </w:tabs>
        <w:spacing w:after="120"/>
      </w:pPr>
      <w:r w:rsidRPr="003D43A7">
        <w:t>Source: Commissioner for Environmental Sustainability Victoria, Interim Victorian State of the</w:t>
      </w:r>
      <w:r>
        <w:t xml:space="preserve"> Environment Report 2018, p.57.</w:t>
      </w:r>
    </w:p>
    <w:p w14:paraId="656B050D" w14:textId="77777777" w:rsidR="00213E13" w:rsidRPr="008E7E85" w:rsidRDefault="00213E13" w:rsidP="00213E13">
      <w:pPr>
        <w:tabs>
          <w:tab w:val="left" w:pos="1985"/>
        </w:tabs>
        <w:mirrorIndents/>
        <w:rPr>
          <w:rFonts w:cs="Segoe UI Light"/>
          <w:szCs w:val="20"/>
        </w:rPr>
      </w:pPr>
      <w:r>
        <w:rPr>
          <w:rFonts w:cs="Segoe UI Light"/>
          <w:szCs w:val="20"/>
        </w:rPr>
        <w:t>With respect to illegal dumping of material, the C&amp;D</w:t>
      </w:r>
      <w:r w:rsidRPr="008E7E85">
        <w:rPr>
          <w:rFonts w:cs="Segoe UI Light"/>
          <w:szCs w:val="20"/>
        </w:rPr>
        <w:t xml:space="preserve"> sector</w:t>
      </w:r>
      <w:r>
        <w:rPr>
          <w:rFonts w:cs="Segoe UI Light"/>
          <w:szCs w:val="20"/>
        </w:rPr>
        <w:t xml:space="preserve"> is a </w:t>
      </w:r>
      <w:r w:rsidRPr="008E7E85">
        <w:rPr>
          <w:rFonts w:cs="Segoe UI Light"/>
          <w:szCs w:val="20"/>
        </w:rPr>
        <w:t>significant source of illegal</w:t>
      </w:r>
      <w:r>
        <w:rPr>
          <w:rFonts w:cs="Segoe UI Light"/>
          <w:szCs w:val="20"/>
        </w:rPr>
        <w:t>ly dumped material, with asbestos t</w:t>
      </w:r>
      <w:r w:rsidRPr="008E7E85">
        <w:rPr>
          <w:rFonts w:cs="Segoe UI Light"/>
          <w:szCs w:val="20"/>
        </w:rPr>
        <w:t xml:space="preserve">he second largest category of illegally dumped waste. </w:t>
      </w:r>
      <w:r>
        <w:rPr>
          <w:rFonts w:cs="Segoe UI Light"/>
          <w:color w:val="2B579A"/>
          <w:szCs w:val="20"/>
          <w:shd w:val="clear" w:color="auto" w:fill="E6E6E6"/>
        </w:rPr>
        <w:fldChar w:fldCharType="begin"/>
      </w:r>
      <w:r>
        <w:rPr>
          <w:rFonts w:cs="Segoe UI Light"/>
          <w:szCs w:val="20"/>
        </w:rPr>
        <w:instrText xml:space="preserve"> REF _Ref7794899 \h </w:instrText>
      </w:r>
      <w:r>
        <w:rPr>
          <w:rFonts w:cs="Segoe UI Light"/>
          <w:color w:val="2B579A"/>
          <w:szCs w:val="20"/>
          <w:shd w:val="clear" w:color="auto" w:fill="E6E6E6"/>
        </w:rPr>
      </w:r>
      <w:r>
        <w:rPr>
          <w:rFonts w:cs="Segoe UI Light"/>
          <w:color w:val="2B579A"/>
          <w:szCs w:val="20"/>
          <w:shd w:val="clear" w:color="auto" w:fill="E6E6E6"/>
        </w:rPr>
        <w:fldChar w:fldCharType="separate"/>
      </w:r>
      <w:r w:rsidR="00B11C1E">
        <w:t xml:space="preserve">Figure </w:t>
      </w:r>
      <w:r w:rsidR="00B11C1E">
        <w:rPr>
          <w:noProof/>
        </w:rPr>
        <w:t>9</w:t>
      </w:r>
      <w:r w:rsidR="00B11C1E">
        <w:noBreakHyphen/>
      </w:r>
      <w:r w:rsidR="00B11C1E">
        <w:rPr>
          <w:noProof/>
        </w:rPr>
        <w:t>2</w:t>
      </w:r>
      <w:r>
        <w:rPr>
          <w:rFonts w:cs="Segoe UI Light"/>
          <w:color w:val="2B579A"/>
          <w:szCs w:val="20"/>
          <w:shd w:val="clear" w:color="auto" w:fill="E6E6E6"/>
        </w:rPr>
        <w:fldChar w:fldCharType="end"/>
      </w:r>
      <w:r>
        <w:rPr>
          <w:rFonts w:cs="Segoe UI Light"/>
          <w:szCs w:val="20"/>
        </w:rPr>
        <w:t xml:space="preserve"> </w:t>
      </w:r>
      <w:r w:rsidRPr="008E7E85">
        <w:rPr>
          <w:rFonts w:cs="Segoe UI Light"/>
          <w:szCs w:val="20"/>
        </w:rPr>
        <w:t xml:space="preserve">shows the breakdown of remedial notices issued by </w:t>
      </w:r>
      <w:r>
        <w:rPr>
          <w:rFonts w:cs="Segoe UI Light"/>
          <w:szCs w:val="20"/>
        </w:rPr>
        <w:t>EPA</w:t>
      </w:r>
      <w:r w:rsidRPr="008E7E85">
        <w:rPr>
          <w:rFonts w:cs="Segoe UI Light"/>
          <w:szCs w:val="20"/>
        </w:rPr>
        <w:t xml:space="preserve"> for illegal dumping in 2015-16, by waste type.</w:t>
      </w:r>
    </w:p>
    <w:p w14:paraId="656B050E" w14:textId="77777777" w:rsidR="00213E13" w:rsidRDefault="00213E13" w:rsidP="00213E13">
      <w:pPr>
        <w:pStyle w:val="Caption"/>
        <w:tabs>
          <w:tab w:val="left" w:pos="1985"/>
        </w:tabs>
      </w:pPr>
      <w:bookmarkStart w:id="633" w:name="_Ref7794899"/>
      <w:r>
        <w:t xml:space="preserve">Figure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Pr>
          <w:color w:val="2B579A"/>
          <w:shd w:val="clear" w:color="auto" w:fill="E6E6E6"/>
        </w:rPr>
        <w:fldChar w:fldCharType="begin"/>
      </w:r>
      <w:r>
        <w:instrText xml:space="preserve"> SEQ Figure \* ARABIC \s 1 </w:instrText>
      </w:r>
      <w:r>
        <w:rPr>
          <w:color w:val="2B579A"/>
          <w:shd w:val="clear" w:color="auto" w:fill="E6E6E6"/>
        </w:rPr>
        <w:fldChar w:fldCharType="separate"/>
      </w:r>
      <w:r w:rsidR="00B11C1E">
        <w:rPr>
          <w:noProof/>
        </w:rPr>
        <w:t>2</w:t>
      </w:r>
      <w:r>
        <w:rPr>
          <w:color w:val="2B579A"/>
          <w:shd w:val="clear" w:color="auto" w:fill="E6E6E6"/>
        </w:rPr>
        <w:fldChar w:fldCharType="end"/>
      </w:r>
      <w:bookmarkEnd w:id="633"/>
      <w:r>
        <w:t xml:space="preserve"> </w:t>
      </w:r>
      <w:r w:rsidRPr="008E7E85">
        <w:rPr>
          <w:rFonts w:cs="Segoe UI Light"/>
          <w:color w:val="7F7F7F" w:themeColor="text1" w:themeTint="80"/>
          <w:szCs w:val="20"/>
        </w:rPr>
        <w:t>Percentage of remedial notices issued by industrial waste type, 2015-16</w:t>
      </w:r>
    </w:p>
    <w:p w14:paraId="656B050F" w14:textId="77777777" w:rsidR="00213E13" w:rsidRPr="008E7E85" w:rsidRDefault="00213E13" w:rsidP="00213E13">
      <w:pPr>
        <w:tabs>
          <w:tab w:val="left" w:pos="1985"/>
        </w:tabs>
        <w:spacing w:after="170"/>
        <w:mirrorIndents/>
        <w:rPr>
          <w:rFonts w:cs="Segoe UI Light"/>
          <w:color w:val="7F7F7F" w:themeColor="text1" w:themeTint="80"/>
          <w:szCs w:val="20"/>
        </w:rPr>
      </w:pPr>
      <w:r>
        <w:rPr>
          <w:noProof/>
          <w:color w:val="2B579A"/>
          <w:shd w:val="clear" w:color="auto" w:fill="E6E6E6"/>
          <w:lang w:eastAsia="en-AU"/>
        </w:rPr>
        <w:drawing>
          <wp:inline distT="0" distB="0" distL="0" distR="0" wp14:anchorId="656B1EAE" wp14:editId="656B1EAF">
            <wp:extent cx="5828400" cy="1844040"/>
            <wp:effectExtent l="0" t="0" r="1270" b="3810"/>
            <wp:docPr id="662474203" name="Chart 662474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56B0510" w14:textId="77777777" w:rsidR="00213E13" w:rsidRDefault="00213E13" w:rsidP="00213E13">
      <w:pPr>
        <w:pStyle w:val="2Source"/>
        <w:tabs>
          <w:tab w:val="left" w:pos="1985"/>
        </w:tabs>
      </w:pPr>
      <w:r w:rsidRPr="00B02D02">
        <w:t>Source: EPA data.</w:t>
      </w:r>
    </w:p>
    <w:p w14:paraId="656B0511" w14:textId="77777777" w:rsidR="00213E13" w:rsidRDefault="00213E13" w:rsidP="00367222">
      <w:pPr>
        <w:pStyle w:val="Heading3"/>
        <w:ind w:left="720"/>
      </w:pPr>
      <w:r>
        <w:t>Harms</w:t>
      </w:r>
    </w:p>
    <w:p w14:paraId="656B0512" w14:textId="77777777" w:rsidR="00213E13" w:rsidRDefault="00213E13" w:rsidP="00213E13">
      <w:pPr>
        <w:jc w:val="both"/>
        <w:rPr>
          <w:rFonts w:eastAsia="Arial" w:cs="Arial"/>
        </w:rPr>
      </w:pPr>
      <w:r w:rsidRPr="00FF41FC">
        <w:rPr>
          <w:rFonts w:eastAsia="Arial" w:cs="Arial"/>
        </w:rPr>
        <w:t xml:space="preserve">Waste can be harmful to human health and the environment either due to its inherent characteristics or </w:t>
      </w:r>
      <w:r>
        <w:rPr>
          <w:rFonts w:eastAsia="Arial" w:cs="Arial"/>
        </w:rPr>
        <w:t xml:space="preserve">from </w:t>
      </w:r>
      <w:r w:rsidRPr="00FF41FC">
        <w:rPr>
          <w:rFonts w:eastAsia="Arial" w:cs="Arial"/>
        </w:rPr>
        <w:t xml:space="preserve">improper management. The level of harm varies, depending on the characteristics or composition of the waste and the management approach. Some wastes are only harmful in certain applications, concentrations or contexts of exposure. </w:t>
      </w:r>
    </w:p>
    <w:p w14:paraId="656B0513" w14:textId="77777777" w:rsidR="00213E13" w:rsidRPr="00FF41FC" w:rsidRDefault="00213E13" w:rsidP="00213E13">
      <w:pPr>
        <w:rPr>
          <w:rFonts w:eastAsia="Arial" w:cs="Arial"/>
        </w:rPr>
      </w:pPr>
      <w:r w:rsidRPr="008E7E85">
        <w:t xml:space="preserve">The severity of </w:t>
      </w:r>
      <w:r>
        <w:t>the</w:t>
      </w:r>
      <w:r w:rsidRPr="008E7E85">
        <w:t xml:space="preserve"> harms </w:t>
      </w:r>
      <w:r>
        <w:t xml:space="preserve">caused by mismanagement or incorrect storage, transport, treatment or disposal </w:t>
      </w:r>
      <w:r w:rsidRPr="008E7E85">
        <w:t xml:space="preserve">is dependent on </w:t>
      </w:r>
      <w:r>
        <w:t xml:space="preserve">the </w:t>
      </w:r>
      <w:r w:rsidRPr="008E7E85">
        <w:t xml:space="preserve">hazardous </w:t>
      </w:r>
      <w:r>
        <w:t>nature of the waste, the treatment method</w:t>
      </w:r>
      <w:r w:rsidRPr="008E7E85">
        <w:t xml:space="preserve">, and </w:t>
      </w:r>
      <w:r>
        <w:t>interaction with the environment or human activity</w:t>
      </w:r>
      <w:r w:rsidRPr="008E7E85">
        <w:t xml:space="preserve">. </w:t>
      </w:r>
      <w:r w:rsidRPr="00FF41FC">
        <w:rPr>
          <w:rFonts w:eastAsia="Arial" w:cs="Arial"/>
        </w:rPr>
        <w:t>Harms may be direct or indirect – sometimes it is not necessarily the waste itself that</w:t>
      </w:r>
      <w:r>
        <w:rPr>
          <w:rFonts w:eastAsia="Arial" w:cs="Arial"/>
        </w:rPr>
        <w:t xml:space="preserve"> is</w:t>
      </w:r>
      <w:r w:rsidRPr="00FF41FC">
        <w:rPr>
          <w:rFonts w:eastAsia="Arial" w:cs="Arial"/>
        </w:rPr>
        <w:t xml:space="preserve"> inherently harmful, but rather the way it is managed or mismanaged. For example, waste tyres are inert and not hazardous in their original form in small quantities, however large quantities create a significant fire hazard. Tyres can release toxic plumes of smoke and contaminate land and waters when burnt.</w:t>
      </w:r>
    </w:p>
    <w:p w14:paraId="656B0514" w14:textId="77777777" w:rsidR="00213E13" w:rsidRDefault="00213E13" w:rsidP="00213E13">
      <w:pPr>
        <w:jc w:val="both"/>
        <w:rPr>
          <w:rFonts w:eastAsia="Arial" w:cs="Arial"/>
        </w:rPr>
      </w:pPr>
      <w:r w:rsidRPr="00FF41FC">
        <w:rPr>
          <w:rFonts w:eastAsia="Arial" w:cs="Arial"/>
        </w:rPr>
        <w:t>Harms can occur when wastes follow other management pathways, such as recycling or reprocessing. For instance, if waste organics are not well managed, they can produce odours which affect surrounding communities, and leachate, which can harm soil and groundwater by releasing high concentrations of nutrients or pathogens.</w:t>
      </w:r>
    </w:p>
    <w:p w14:paraId="656B0515" w14:textId="77777777" w:rsidR="00213E13" w:rsidRPr="001A0B9C" w:rsidRDefault="00213E13" w:rsidP="00213E13">
      <w:pPr>
        <w:spacing w:after="0" w:line="240" w:lineRule="auto"/>
        <w:jc w:val="both"/>
        <w:rPr>
          <w:lang w:val="en-US" w:eastAsia="ja-JP"/>
        </w:rPr>
      </w:pPr>
      <w:r>
        <w:rPr>
          <w:lang w:val="en-US" w:eastAsia="ja-JP"/>
        </w:rPr>
        <w:t>The following table outlines some of the harms to the environment and human health as a result of different waste problems:</w:t>
      </w:r>
    </w:p>
    <w:p w14:paraId="656B0516" w14:textId="77777777" w:rsidR="00213E13" w:rsidRDefault="00213E13" w:rsidP="00213E13">
      <w:pPr>
        <w:pStyle w:val="Caption"/>
      </w:pPr>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w:t>
      </w:r>
      <w:r w:rsidR="00997CFA">
        <w:rPr>
          <w:color w:val="2B579A"/>
          <w:shd w:val="clear" w:color="auto" w:fill="E6E6E6"/>
        </w:rPr>
        <w:fldChar w:fldCharType="end"/>
      </w:r>
      <w:r w:rsidRPr="00BD4B18">
        <w:t xml:space="preserve"> </w:t>
      </w:r>
      <w:r>
        <w:t>Harms from waste problems</w:t>
      </w:r>
    </w:p>
    <w:tbl>
      <w:tblPr>
        <w:tblStyle w:val="Deloittetable"/>
        <w:tblW w:w="9351" w:type="dxa"/>
        <w:tblLook w:val="04A0" w:firstRow="1" w:lastRow="0" w:firstColumn="1" w:lastColumn="0" w:noHBand="0" w:noVBand="1"/>
      </w:tblPr>
      <w:tblGrid>
        <w:gridCol w:w="1985"/>
        <w:gridCol w:w="7366"/>
      </w:tblGrid>
      <w:tr w:rsidR="00213E13" w:rsidRPr="00A27A5A" w:rsidDel="00E46C93" w14:paraId="656B0519" w14:textId="77777777" w:rsidTr="00F34DF6">
        <w:trPr>
          <w:cnfStyle w:val="100000000000" w:firstRow="1" w:lastRow="0" w:firstColumn="0" w:lastColumn="0" w:oddVBand="0" w:evenVBand="0" w:oddHBand="0" w:evenHBand="0" w:firstRowFirstColumn="0" w:firstRowLastColumn="0" w:lastRowFirstColumn="0" w:lastRowLastColumn="0"/>
          <w:tblHeader/>
        </w:trPr>
        <w:tc>
          <w:tcPr>
            <w:tcW w:w="1985" w:type="dxa"/>
          </w:tcPr>
          <w:p w14:paraId="656B0517" w14:textId="77777777" w:rsidR="00213E13" w:rsidRPr="00A27A5A" w:rsidDel="00E46C93" w:rsidRDefault="00213E13" w:rsidP="00F34DF6">
            <w:pPr>
              <w:spacing w:before="120" w:after="160" w:line="259" w:lineRule="auto"/>
              <w:rPr>
                <w:b/>
                <w:bCs/>
                <w:sz w:val="18"/>
              </w:rPr>
            </w:pPr>
            <w:r w:rsidRPr="00A27A5A" w:rsidDel="00E46C93">
              <w:rPr>
                <w:b/>
                <w:sz w:val="18"/>
              </w:rPr>
              <w:t>Waste problem</w:t>
            </w:r>
          </w:p>
        </w:tc>
        <w:tc>
          <w:tcPr>
            <w:tcW w:w="7366" w:type="dxa"/>
          </w:tcPr>
          <w:p w14:paraId="656B0518" w14:textId="77777777" w:rsidR="00213E13" w:rsidRPr="00A27A5A" w:rsidDel="00E46C93" w:rsidRDefault="00213E13" w:rsidP="00F34DF6">
            <w:pPr>
              <w:spacing w:before="120" w:after="160" w:line="259" w:lineRule="auto"/>
              <w:rPr>
                <w:b/>
                <w:bCs/>
                <w:sz w:val="18"/>
              </w:rPr>
            </w:pPr>
            <w:r w:rsidRPr="00A27A5A" w:rsidDel="00E46C93">
              <w:rPr>
                <w:b/>
                <w:sz w:val="18"/>
              </w:rPr>
              <w:t>Environmental and human harms</w:t>
            </w:r>
          </w:p>
        </w:tc>
      </w:tr>
      <w:tr w:rsidR="00213E13" w:rsidRPr="00A27A5A" w:rsidDel="00E46C93" w14:paraId="656B0521" w14:textId="77777777" w:rsidTr="00F34DF6">
        <w:tc>
          <w:tcPr>
            <w:tcW w:w="1985" w:type="dxa"/>
          </w:tcPr>
          <w:p w14:paraId="656B051A" w14:textId="77777777" w:rsidR="00213E13" w:rsidRPr="00A27A5A" w:rsidDel="00E46C93" w:rsidRDefault="00213E13" w:rsidP="00F34DF6">
            <w:pPr>
              <w:spacing w:after="0" w:line="259" w:lineRule="auto"/>
              <w:rPr>
                <w:sz w:val="18"/>
              </w:rPr>
            </w:pPr>
            <w:r w:rsidRPr="00A27A5A" w:rsidDel="00E46C93">
              <w:rPr>
                <w:sz w:val="18"/>
              </w:rPr>
              <w:t>Risk of fire from stockpiling</w:t>
            </w:r>
            <w:r w:rsidRPr="00A27A5A">
              <w:rPr>
                <w:sz w:val="18"/>
              </w:rPr>
              <w:t xml:space="preserve"> or </w:t>
            </w:r>
          </w:p>
          <w:p w14:paraId="656B051B" w14:textId="77777777" w:rsidR="00213E13" w:rsidRPr="00A27A5A" w:rsidDel="00E46C93" w:rsidRDefault="00213E13" w:rsidP="00F34DF6">
            <w:pPr>
              <w:spacing w:after="0" w:line="259" w:lineRule="auto"/>
              <w:rPr>
                <w:b/>
                <w:bCs/>
                <w:sz w:val="18"/>
              </w:rPr>
            </w:pPr>
            <w:r w:rsidRPr="00A27A5A" w:rsidDel="00E46C93">
              <w:rPr>
                <w:sz w:val="18"/>
              </w:rPr>
              <w:t>abandonment</w:t>
            </w:r>
          </w:p>
        </w:tc>
        <w:tc>
          <w:tcPr>
            <w:tcW w:w="7366" w:type="dxa"/>
          </w:tcPr>
          <w:p w14:paraId="656B051C" w14:textId="77777777" w:rsidR="00213E13" w:rsidRPr="00A27A5A" w:rsidDel="00E46C93" w:rsidRDefault="00891BBD" w:rsidP="00F34DF6">
            <w:pPr>
              <w:numPr>
                <w:ilvl w:val="0"/>
                <w:numId w:val="58"/>
              </w:numPr>
              <w:ind w:left="357" w:hanging="357"/>
              <w:jc w:val="both"/>
              <w:rPr>
                <w:rFonts w:eastAsia="MS Mincho"/>
                <w:sz w:val="18"/>
              </w:rPr>
            </w:pPr>
            <w:r>
              <w:rPr>
                <w:rFonts w:eastAsia="MS Mincho"/>
                <w:sz w:val="18"/>
              </w:rPr>
              <w:t>R</w:t>
            </w:r>
            <w:r w:rsidR="00213E13" w:rsidRPr="00A27A5A" w:rsidDel="00E46C93">
              <w:rPr>
                <w:rFonts w:eastAsia="MS Mincho"/>
                <w:sz w:val="18"/>
              </w:rPr>
              <w:t>un-off from fire water and any chemicals stored on-site, damaging waterways</w:t>
            </w:r>
          </w:p>
          <w:p w14:paraId="656B051D" w14:textId="77777777" w:rsidR="00213E13" w:rsidRPr="00A27A5A" w:rsidDel="00E46C93" w:rsidRDefault="00891BBD" w:rsidP="00F34DF6">
            <w:pPr>
              <w:numPr>
                <w:ilvl w:val="0"/>
                <w:numId w:val="58"/>
              </w:numPr>
              <w:ind w:left="357" w:hanging="357"/>
              <w:jc w:val="both"/>
              <w:rPr>
                <w:rFonts w:eastAsia="MS Mincho"/>
                <w:sz w:val="18"/>
              </w:rPr>
            </w:pPr>
            <w:r>
              <w:rPr>
                <w:rFonts w:eastAsia="MS Mincho"/>
                <w:sz w:val="18"/>
              </w:rPr>
              <w:t>C</w:t>
            </w:r>
            <w:r w:rsidR="00213E13" w:rsidRPr="00A27A5A" w:rsidDel="00E46C93">
              <w:rPr>
                <w:rFonts w:eastAsia="MS Mincho"/>
                <w:sz w:val="18"/>
              </w:rPr>
              <w:t>ontains fine particles, water vapour, gases such as methane, carbon monoxide and carbon dioxide and other may contain toxic substances including polychlorinated dibenzo-p-dioxins</w:t>
            </w:r>
            <w:r w:rsidR="00196E26">
              <w:rPr>
                <w:rFonts w:eastAsia="MS Mincho"/>
                <w:sz w:val="18"/>
              </w:rPr>
              <w:t xml:space="preserve"> and polycyclic aromatic hydrocarbons</w:t>
            </w:r>
            <w:r w:rsidR="00213E13" w:rsidRPr="00A27A5A" w:rsidDel="00E46C93">
              <w:rPr>
                <w:rFonts w:eastAsia="MS Mincho"/>
                <w:sz w:val="18"/>
              </w:rPr>
              <w:t xml:space="preserve">  </w:t>
            </w:r>
          </w:p>
          <w:p w14:paraId="656B051E" w14:textId="77777777" w:rsidR="00213E13" w:rsidRPr="00A27A5A" w:rsidDel="00E46C93" w:rsidRDefault="00891BBD" w:rsidP="00F34DF6">
            <w:pPr>
              <w:numPr>
                <w:ilvl w:val="0"/>
                <w:numId w:val="58"/>
              </w:numPr>
              <w:ind w:left="357" w:hanging="357"/>
              <w:jc w:val="both"/>
              <w:rPr>
                <w:rFonts w:eastAsia="MS Mincho"/>
                <w:sz w:val="18"/>
              </w:rPr>
            </w:pPr>
            <w:r>
              <w:rPr>
                <w:rFonts w:eastAsia="MS Mincho"/>
                <w:sz w:val="18"/>
              </w:rPr>
              <w:t>C</w:t>
            </w:r>
            <w:r w:rsidR="00213E13" w:rsidRPr="00A27A5A" w:rsidDel="00E46C93">
              <w:rPr>
                <w:rFonts w:eastAsia="MS Mincho"/>
                <w:sz w:val="18"/>
              </w:rPr>
              <w:t>ommunity-wide exposure to fine particles and other potentially toxic compounds from incomplete combustion</w:t>
            </w:r>
          </w:p>
          <w:p w14:paraId="656B051F" w14:textId="77777777" w:rsidR="00213E13" w:rsidRPr="00A27A5A" w:rsidDel="00E46C93" w:rsidRDefault="00891BBD" w:rsidP="00F34DF6">
            <w:pPr>
              <w:numPr>
                <w:ilvl w:val="0"/>
                <w:numId w:val="58"/>
              </w:numPr>
              <w:ind w:left="357" w:hanging="357"/>
              <w:jc w:val="both"/>
              <w:rPr>
                <w:rFonts w:eastAsia="MS Mincho"/>
                <w:sz w:val="18"/>
              </w:rPr>
            </w:pPr>
            <w:r>
              <w:rPr>
                <w:rFonts w:eastAsia="MS Mincho"/>
                <w:sz w:val="18"/>
              </w:rPr>
              <w:t>S</w:t>
            </w:r>
            <w:r w:rsidR="00213E13" w:rsidRPr="00A27A5A" w:rsidDel="00E46C93">
              <w:rPr>
                <w:rFonts w:eastAsia="MS Mincho"/>
                <w:sz w:val="18"/>
              </w:rPr>
              <w:t>tress as a result of evacuations or long-running emergency events</w:t>
            </w:r>
          </w:p>
          <w:p w14:paraId="656B0520" w14:textId="77777777" w:rsidR="00213E13" w:rsidRPr="00A27A5A" w:rsidDel="00E46C93" w:rsidRDefault="00891BBD" w:rsidP="00F34DF6">
            <w:pPr>
              <w:numPr>
                <w:ilvl w:val="0"/>
                <w:numId w:val="58"/>
              </w:numPr>
              <w:ind w:left="357" w:hanging="357"/>
              <w:jc w:val="both"/>
              <w:rPr>
                <w:rFonts w:eastAsia="MS Mincho"/>
                <w:sz w:val="18"/>
              </w:rPr>
            </w:pPr>
            <w:r>
              <w:rPr>
                <w:rFonts w:eastAsia="MS Mincho"/>
                <w:sz w:val="18"/>
              </w:rPr>
              <w:t>P</w:t>
            </w:r>
            <w:r w:rsidR="00213E13" w:rsidRPr="00A27A5A" w:rsidDel="00E46C93">
              <w:rPr>
                <w:rFonts w:eastAsia="MS Mincho"/>
                <w:sz w:val="18"/>
              </w:rPr>
              <w:t>roduce smoke, reduce air quality and can impact human health. People in close proximity with a heart or lung condition, including asthma, children (up to 14 years), pregnant women and people over 65 years of age are most at risk from landfill smoke.</w:t>
            </w:r>
          </w:p>
        </w:tc>
      </w:tr>
      <w:tr w:rsidR="00213E13" w:rsidRPr="00A27A5A" w:rsidDel="00E46C93" w14:paraId="656B052A" w14:textId="77777777" w:rsidTr="00F34DF6">
        <w:tc>
          <w:tcPr>
            <w:tcW w:w="1985" w:type="dxa"/>
          </w:tcPr>
          <w:p w14:paraId="656B0522" w14:textId="77777777" w:rsidR="00213E13" w:rsidRPr="00A27A5A" w:rsidDel="00E46C93" w:rsidRDefault="00213E13" w:rsidP="00F34DF6">
            <w:pPr>
              <w:spacing w:after="0" w:line="259" w:lineRule="auto"/>
              <w:rPr>
                <w:sz w:val="18"/>
              </w:rPr>
            </w:pPr>
            <w:r w:rsidRPr="00A27A5A" w:rsidDel="00E46C93">
              <w:rPr>
                <w:sz w:val="18"/>
              </w:rPr>
              <w:t xml:space="preserve">Poor waste storage practices, </w:t>
            </w:r>
            <w:r w:rsidRPr="00A27A5A">
              <w:rPr>
                <w:sz w:val="18"/>
              </w:rPr>
              <w:t xml:space="preserve">recycling practices or </w:t>
            </w:r>
            <w:r w:rsidRPr="00A27A5A" w:rsidDel="00E46C93">
              <w:rPr>
                <w:sz w:val="18"/>
              </w:rPr>
              <w:t>illegal dumping</w:t>
            </w:r>
          </w:p>
        </w:tc>
        <w:tc>
          <w:tcPr>
            <w:tcW w:w="7366" w:type="dxa"/>
          </w:tcPr>
          <w:p w14:paraId="656B0523" w14:textId="77777777" w:rsidR="00213E13" w:rsidRPr="00A27A5A" w:rsidDel="00E46C93" w:rsidRDefault="00891BBD" w:rsidP="00F34DF6">
            <w:pPr>
              <w:numPr>
                <w:ilvl w:val="0"/>
                <w:numId w:val="58"/>
              </w:numPr>
              <w:ind w:left="357" w:hanging="357"/>
              <w:jc w:val="both"/>
              <w:rPr>
                <w:rFonts w:eastAsia="MS Mincho"/>
                <w:sz w:val="18"/>
              </w:rPr>
            </w:pPr>
            <w:r>
              <w:rPr>
                <w:rFonts w:eastAsia="MS Mincho"/>
                <w:sz w:val="18"/>
              </w:rPr>
              <w:t>L</w:t>
            </w:r>
            <w:r w:rsidR="00213E13" w:rsidRPr="00A27A5A" w:rsidDel="00E46C93">
              <w:rPr>
                <w:rFonts w:eastAsia="MS Mincho"/>
                <w:sz w:val="18"/>
              </w:rPr>
              <w:t>eaching of stored materials, leading to contamination of soils</w:t>
            </w:r>
          </w:p>
          <w:p w14:paraId="656B0524" w14:textId="77777777" w:rsidR="00213E13" w:rsidRPr="00A27A5A" w:rsidDel="00E46C93" w:rsidRDefault="00891BBD" w:rsidP="00F34DF6">
            <w:pPr>
              <w:numPr>
                <w:ilvl w:val="0"/>
                <w:numId w:val="58"/>
              </w:numPr>
              <w:ind w:left="357" w:hanging="357"/>
              <w:jc w:val="both"/>
              <w:rPr>
                <w:rFonts w:eastAsia="MS Mincho"/>
                <w:sz w:val="18"/>
              </w:rPr>
            </w:pPr>
            <w:r>
              <w:rPr>
                <w:rFonts w:eastAsia="MS Mincho"/>
                <w:sz w:val="18"/>
              </w:rPr>
              <w:t>W</w:t>
            </w:r>
            <w:r w:rsidR="00213E13" w:rsidRPr="00A27A5A">
              <w:rPr>
                <w:rFonts w:eastAsia="MS Mincho"/>
                <w:sz w:val="18"/>
              </w:rPr>
              <w:t xml:space="preserve">aste </w:t>
            </w:r>
            <w:r w:rsidR="00213E13" w:rsidRPr="00A27A5A" w:rsidDel="00E46C93">
              <w:rPr>
                <w:rFonts w:eastAsia="MS Mincho"/>
                <w:sz w:val="18"/>
              </w:rPr>
              <w:t>materials applied to land, leading to long-term degradation, such as micro plastics and other solid wastes</w:t>
            </w:r>
          </w:p>
          <w:p w14:paraId="656B0525" w14:textId="77777777" w:rsidR="00213E13" w:rsidRPr="00A27A5A" w:rsidDel="00E46C93" w:rsidRDefault="00891BBD" w:rsidP="00F34DF6">
            <w:pPr>
              <w:numPr>
                <w:ilvl w:val="0"/>
                <w:numId w:val="58"/>
              </w:numPr>
              <w:ind w:left="357" w:hanging="357"/>
              <w:jc w:val="both"/>
              <w:rPr>
                <w:rFonts w:eastAsia="MS Mincho"/>
                <w:sz w:val="18"/>
              </w:rPr>
            </w:pPr>
            <w:r>
              <w:rPr>
                <w:rFonts w:eastAsia="MS Mincho"/>
                <w:sz w:val="18"/>
              </w:rPr>
              <w:t>P</w:t>
            </w:r>
            <w:r w:rsidR="00213E13" w:rsidRPr="00A27A5A" w:rsidDel="00E46C93">
              <w:rPr>
                <w:rFonts w:eastAsia="MS Mincho"/>
                <w:sz w:val="18"/>
              </w:rPr>
              <w:t>ersistent chemicals being applied to land, potentially preventing future beneficial reuses</w:t>
            </w:r>
          </w:p>
          <w:p w14:paraId="656B0526" w14:textId="77777777" w:rsidR="00213E13" w:rsidRPr="00A27A5A" w:rsidDel="00E46C93" w:rsidRDefault="00891BBD" w:rsidP="00F34DF6">
            <w:pPr>
              <w:numPr>
                <w:ilvl w:val="0"/>
                <w:numId w:val="58"/>
              </w:numPr>
              <w:ind w:left="357" w:hanging="357"/>
              <w:jc w:val="both"/>
              <w:rPr>
                <w:rFonts w:eastAsia="MS Mincho"/>
                <w:sz w:val="18"/>
              </w:rPr>
            </w:pPr>
            <w:r>
              <w:rPr>
                <w:rFonts w:eastAsia="MS Mincho"/>
                <w:sz w:val="18"/>
              </w:rPr>
              <w:t>I</w:t>
            </w:r>
            <w:r w:rsidR="00213E13" w:rsidRPr="00A27A5A" w:rsidDel="00E46C93">
              <w:rPr>
                <w:rFonts w:eastAsia="MS Mincho"/>
                <w:sz w:val="18"/>
              </w:rPr>
              <w:t>llegal dumping of materials, leading to loss of land productivity</w:t>
            </w:r>
          </w:p>
          <w:p w14:paraId="656B0527" w14:textId="77777777" w:rsidR="00213E13" w:rsidRPr="00A27A5A" w:rsidDel="00E46C93" w:rsidRDefault="00891BBD" w:rsidP="00F34DF6">
            <w:pPr>
              <w:numPr>
                <w:ilvl w:val="0"/>
                <w:numId w:val="58"/>
              </w:numPr>
              <w:ind w:left="357" w:hanging="357"/>
              <w:jc w:val="both"/>
              <w:rPr>
                <w:rFonts w:eastAsia="MS Mincho"/>
                <w:sz w:val="18"/>
              </w:rPr>
            </w:pPr>
            <w:r>
              <w:rPr>
                <w:rFonts w:eastAsia="MS Mincho"/>
                <w:sz w:val="18"/>
              </w:rPr>
              <w:t>M</w:t>
            </w:r>
            <w:r w:rsidR="00213E13" w:rsidRPr="00A27A5A" w:rsidDel="00E46C93">
              <w:rPr>
                <w:rFonts w:eastAsia="MS Mincho"/>
                <w:sz w:val="18"/>
              </w:rPr>
              <w:t>obile contaminants associated with waste storage or management can leach and enter ground or surface water systems</w:t>
            </w:r>
          </w:p>
          <w:p w14:paraId="656B0528" w14:textId="77777777" w:rsidR="00213E13" w:rsidRPr="00A27A5A" w:rsidDel="00E46C93" w:rsidRDefault="00891BBD" w:rsidP="00F34DF6">
            <w:pPr>
              <w:numPr>
                <w:ilvl w:val="0"/>
                <w:numId w:val="58"/>
              </w:numPr>
              <w:ind w:left="357" w:hanging="357"/>
              <w:jc w:val="both"/>
              <w:rPr>
                <w:rFonts w:eastAsia="MS Mincho"/>
                <w:sz w:val="18"/>
              </w:rPr>
            </w:pPr>
            <w:r>
              <w:rPr>
                <w:rFonts w:eastAsia="MS Mincho"/>
                <w:sz w:val="18"/>
              </w:rPr>
              <w:t>U</w:t>
            </w:r>
            <w:r w:rsidR="00213E13" w:rsidRPr="00A27A5A" w:rsidDel="00E46C93">
              <w:rPr>
                <w:rFonts w:eastAsia="MS Mincho"/>
                <w:sz w:val="18"/>
              </w:rPr>
              <w:t>ncontrolled releases of liquid wastes can cause damage to surface waterways (including non-hazardous substances such as milk)</w:t>
            </w:r>
          </w:p>
          <w:p w14:paraId="656B0529" w14:textId="77777777" w:rsidR="00213E13" w:rsidRPr="00A27A5A" w:rsidDel="00E46C93" w:rsidRDefault="00891BBD" w:rsidP="000B72E3">
            <w:pPr>
              <w:numPr>
                <w:ilvl w:val="0"/>
                <w:numId w:val="58"/>
              </w:numPr>
              <w:ind w:left="357" w:hanging="357"/>
              <w:jc w:val="both"/>
              <w:rPr>
                <w:rFonts w:eastAsia="MS Mincho"/>
                <w:sz w:val="18"/>
              </w:rPr>
            </w:pPr>
            <w:r>
              <w:rPr>
                <w:rFonts w:eastAsia="MS Mincho"/>
                <w:sz w:val="18"/>
              </w:rPr>
              <w:t>L</w:t>
            </w:r>
            <w:r w:rsidR="00213E13" w:rsidRPr="00A27A5A" w:rsidDel="00E46C93">
              <w:rPr>
                <w:rFonts w:eastAsia="MS Mincho"/>
                <w:sz w:val="18"/>
              </w:rPr>
              <w:t xml:space="preserve">andfill without appropriate engineering containment or acceptance criteria </w:t>
            </w:r>
            <w:r w:rsidR="000B72E3">
              <w:rPr>
                <w:rFonts w:eastAsia="MS Mincho"/>
                <w:sz w:val="18"/>
              </w:rPr>
              <w:t>is</w:t>
            </w:r>
            <w:r w:rsidR="000B72E3" w:rsidRPr="00A27A5A" w:rsidDel="00E46C93">
              <w:rPr>
                <w:rFonts w:eastAsia="MS Mincho"/>
                <w:sz w:val="18"/>
              </w:rPr>
              <w:t xml:space="preserve"> </w:t>
            </w:r>
            <w:r w:rsidR="00213E13" w:rsidRPr="00A27A5A" w:rsidDel="00E46C93">
              <w:rPr>
                <w:rFonts w:eastAsia="MS Mincho"/>
                <w:sz w:val="18"/>
              </w:rPr>
              <w:t>likely to allow contaminants, such as heavy metals and persistent chemical compounds, to enter ground or surface waters</w:t>
            </w:r>
          </w:p>
        </w:tc>
      </w:tr>
      <w:tr w:rsidR="00213E13" w:rsidRPr="00A27A5A" w:rsidDel="00E46C93" w14:paraId="656B052F" w14:textId="77777777" w:rsidTr="00F34DF6">
        <w:tc>
          <w:tcPr>
            <w:tcW w:w="1985" w:type="dxa"/>
          </w:tcPr>
          <w:p w14:paraId="656B052B" w14:textId="77777777" w:rsidR="00213E13" w:rsidRPr="00A27A5A" w:rsidDel="00E46C93" w:rsidRDefault="00213E13" w:rsidP="00F34DF6">
            <w:pPr>
              <w:spacing w:before="120" w:after="160" w:line="259" w:lineRule="auto"/>
              <w:rPr>
                <w:sz w:val="18"/>
              </w:rPr>
            </w:pPr>
            <w:r w:rsidRPr="00A27A5A" w:rsidDel="00E46C93">
              <w:rPr>
                <w:sz w:val="18"/>
              </w:rPr>
              <w:t>Air pollution and odour from activities such as landfill, open wind</w:t>
            </w:r>
            <w:r w:rsidRPr="00A27A5A">
              <w:rPr>
                <w:sz w:val="18"/>
              </w:rPr>
              <w:t>row</w:t>
            </w:r>
            <w:r w:rsidRPr="00A27A5A" w:rsidDel="00E46C93">
              <w:rPr>
                <w:sz w:val="18"/>
              </w:rPr>
              <w:t xml:space="preserve"> composting, waste to energy plants, hazardous waste treatments</w:t>
            </w:r>
          </w:p>
        </w:tc>
        <w:tc>
          <w:tcPr>
            <w:tcW w:w="7366" w:type="dxa"/>
          </w:tcPr>
          <w:p w14:paraId="656B052C" w14:textId="77777777" w:rsidR="00213E13" w:rsidRPr="00A27A5A" w:rsidDel="00E46C93" w:rsidRDefault="00891BBD" w:rsidP="00F34DF6">
            <w:pPr>
              <w:numPr>
                <w:ilvl w:val="0"/>
                <w:numId w:val="58"/>
              </w:numPr>
              <w:jc w:val="both"/>
              <w:rPr>
                <w:rFonts w:eastAsia="MS Mincho"/>
                <w:sz w:val="18"/>
              </w:rPr>
            </w:pPr>
            <w:r>
              <w:rPr>
                <w:rFonts w:eastAsia="MS Mincho"/>
                <w:sz w:val="18"/>
              </w:rPr>
              <w:t>R</w:t>
            </w:r>
            <w:r w:rsidR="00213E13" w:rsidRPr="00A27A5A" w:rsidDel="00E46C93">
              <w:rPr>
                <w:rFonts w:eastAsia="MS Mincho"/>
                <w:sz w:val="18"/>
              </w:rPr>
              <w:t>eprocessing, including crushing and grinding, can result in fine particles and chemical compounds being released into the atmosphere</w:t>
            </w:r>
          </w:p>
          <w:p w14:paraId="656B052D" w14:textId="77777777" w:rsidR="00213E13" w:rsidRPr="00A27A5A" w:rsidDel="00E46C93" w:rsidRDefault="00891BBD" w:rsidP="00F34DF6">
            <w:pPr>
              <w:numPr>
                <w:ilvl w:val="0"/>
                <w:numId w:val="58"/>
              </w:numPr>
              <w:jc w:val="both"/>
              <w:rPr>
                <w:rFonts w:eastAsia="MS Mincho"/>
                <w:sz w:val="18"/>
              </w:rPr>
            </w:pPr>
            <w:r>
              <w:rPr>
                <w:rFonts w:eastAsia="MS Mincho"/>
                <w:sz w:val="18"/>
              </w:rPr>
              <w:t>E</w:t>
            </w:r>
            <w:r w:rsidR="00213E13" w:rsidRPr="00A27A5A" w:rsidDel="00E46C93">
              <w:rPr>
                <w:rFonts w:eastAsia="MS Mincho"/>
                <w:sz w:val="18"/>
              </w:rPr>
              <w:t xml:space="preserve">missions from activities such as waste to energy plants and hazardous waste treatments can result in toxic </w:t>
            </w:r>
            <w:r w:rsidR="00E05091">
              <w:rPr>
                <w:rFonts w:eastAsia="MS Mincho"/>
                <w:sz w:val="18"/>
              </w:rPr>
              <w:t>C</w:t>
            </w:r>
            <w:r w:rsidR="00213E13" w:rsidRPr="00A27A5A" w:rsidDel="00E46C93">
              <w:rPr>
                <w:rFonts w:eastAsia="MS Mincho"/>
                <w:sz w:val="18"/>
              </w:rPr>
              <w:t xml:space="preserve">lass 3 </w:t>
            </w:r>
            <w:r w:rsidR="00E05091">
              <w:rPr>
                <w:rFonts w:eastAsia="MS Mincho"/>
                <w:sz w:val="18"/>
              </w:rPr>
              <w:t>substance</w:t>
            </w:r>
            <w:r w:rsidR="000B72E3">
              <w:rPr>
                <w:rFonts w:eastAsia="MS Mincho"/>
                <w:sz w:val="18"/>
              </w:rPr>
              <w:t>s</w:t>
            </w:r>
            <w:r w:rsidR="00E05091" w:rsidRPr="00A27A5A" w:rsidDel="00E46C93">
              <w:rPr>
                <w:rFonts w:eastAsia="MS Mincho"/>
                <w:sz w:val="18"/>
              </w:rPr>
              <w:t xml:space="preserve"> </w:t>
            </w:r>
            <w:r w:rsidR="00213E13" w:rsidRPr="00A27A5A" w:rsidDel="00E46C93">
              <w:rPr>
                <w:rFonts w:eastAsia="MS Mincho"/>
                <w:sz w:val="18"/>
              </w:rPr>
              <w:t>(</w:t>
            </w:r>
            <w:r w:rsidR="00196E26">
              <w:rPr>
                <w:rFonts w:eastAsia="MS Mincho"/>
                <w:sz w:val="18"/>
              </w:rPr>
              <w:t xml:space="preserve">See </w:t>
            </w:r>
            <w:r w:rsidR="000B72E3">
              <w:rPr>
                <w:rFonts w:eastAsia="MS Mincho"/>
                <w:sz w:val="18"/>
              </w:rPr>
              <w:t xml:space="preserve">Section </w:t>
            </w:r>
            <w:r w:rsidR="00196E26">
              <w:rPr>
                <w:rFonts w:eastAsia="MS Mincho"/>
                <w:sz w:val="18"/>
              </w:rPr>
              <w:t>12.8</w:t>
            </w:r>
            <w:r w:rsidR="00213E13" w:rsidRPr="00A27A5A" w:rsidDel="00E46C93">
              <w:rPr>
                <w:rFonts w:eastAsia="MS Mincho"/>
                <w:sz w:val="18"/>
              </w:rPr>
              <w:t>) being released without proper emission controls</w:t>
            </w:r>
          </w:p>
          <w:p w14:paraId="656B052E" w14:textId="77777777" w:rsidR="00213E13" w:rsidRPr="00A27A5A" w:rsidDel="00E46C93" w:rsidRDefault="00891BBD">
            <w:pPr>
              <w:numPr>
                <w:ilvl w:val="0"/>
                <w:numId w:val="58"/>
              </w:numPr>
              <w:jc w:val="both"/>
              <w:rPr>
                <w:rFonts w:eastAsia="MS Mincho"/>
                <w:sz w:val="18"/>
              </w:rPr>
            </w:pPr>
            <w:r>
              <w:rPr>
                <w:rFonts w:eastAsia="MS Mincho"/>
                <w:sz w:val="18"/>
              </w:rPr>
              <w:t>O</w:t>
            </w:r>
            <w:r w:rsidR="00213E13" w:rsidRPr="00A27A5A" w:rsidDel="00E46C93">
              <w:rPr>
                <w:rFonts w:eastAsia="MS Mincho"/>
                <w:sz w:val="18"/>
              </w:rPr>
              <w:t>dour from activities such as landfilling and open wind</w:t>
            </w:r>
            <w:r w:rsidR="00213E13" w:rsidRPr="00A27A5A">
              <w:rPr>
                <w:rFonts w:eastAsia="MS Mincho"/>
                <w:sz w:val="18"/>
              </w:rPr>
              <w:t>row</w:t>
            </w:r>
            <w:r w:rsidR="00213E13" w:rsidRPr="00A27A5A" w:rsidDel="00E46C93">
              <w:rPr>
                <w:rFonts w:eastAsia="MS Mincho"/>
                <w:sz w:val="18"/>
              </w:rPr>
              <w:t xml:space="preserve"> composting can cause substantial distress to residents</w:t>
            </w:r>
          </w:p>
        </w:tc>
      </w:tr>
      <w:tr w:rsidR="00213E13" w:rsidRPr="00A27A5A" w:rsidDel="00E46C93" w14:paraId="656B0533" w14:textId="77777777" w:rsidTr="00F34DF6">
        <w:tc>
          <w:tcPr>
            <w:tcW w:w="1985" w:type="dxa"/>
          </w:tcPr>
          <w:p w14:paraId="656B0530" w14:textId="77777777" w:rsidR="00213E13" w:rsidRPr="00A27A5A" w:rsidDel="00E46C93" w:rsidRDefault="00213E13" w:rsidP="00F34DF6">
            <w:pPr>
              <w:tabs>
                <w:tab w:val="center" w:pos="1557"/>
                <w:tab w:val="left" w:pos="2000"/>
              </w:tabs>
              <w:spacing w:before="120" w:after="160" w:line="259" w:lineRule="auto"/>
              <w:rPr>
                <w:sz w:val="18"/>
              </w:rPr>
            </w:pPr>
            <w:r w:rsidRPr="00A27A5A" w:rsidDel="00E46C93">
              <w:rPr>
                <w:sz w:val="18"/>
              </w:rPr>
              <w:t xml:space="preserve">Hazards and odours from landfill gas, </w:t>
            </w:r>
            <w:r w:rsidRPr="00A27A5A" w:rsidDel="00E46C93">
              <w:rPr>
                <w:rFonts w:cs="Arial"/>
                <w:sz w:val="18"/>
              </w:rPr>
              <w:t>formed during the decomposition of waste</w:t>
            </w:r>
          </w:p>
        </w:tc>
        <w:tc>
          <w:tcPr>
            <w:tcW w:w="7366" w:type="dxa"/>
          </w:tcPr>
          <w:p w14:paraId="656B0531" w14:textId="77777777" w:rsidR="00213E13" w:rsidRPr="00A27A5A" w:rsidDel="00E46C93" w:rsidRDefault="00891BBD" w:rsidP="00F34DF6">
            <w:pPr>
              <w:numPr>
                <w:ilvl w:val="0"/>
                <w:numId w:val="58"/>
              </w:numPr>
              <w:spacing w:after="0"/>
              <w:contextualSpacing/>
              <w:rPr>
                <w:rFonts w:cs="Arial"/>
                <w:sz w:val="18"/>
              </w:rPr>
            </w:pPr>
            <w:r>
              <w:rPr>
                <w:rFonts w:cs="Arial"/>
                <w:sz w:val="18"/>
              </w:rPr>
              <w:t>L</w:t>
            </w:r>
            <w:r w:rsidR="00213E13" w:rsidRPr="00A27A5A" w:rsidDel="00E46C93">
              <w:rPr>
                <w:rFonts w:cs="Arial"/>
                <w:sz w:val="18"/>
              </w:rPr>
              <w:t>andfill gas, if not managed appropriately, is likely to migrate into the surrounding ground and atmosphere, creating an environmental hazard and causing odours. In the most extreme, methane in landfill gas can, at certain concentrations, be explosive when it migrates into an adjacent structure (and an ignition source is present). At high concentration it is not explosive but is an asphyxiant. Landfill gas also contains significant amounts of carbon dioxide, which is also an asphyxiant.</w:t>
            </w:r>
          </w:p>
          <w:p w14:paraId="656B0532" w14:textId="77777777" w:rsidR="00213E13" w:rsidRPr="00A27A5A" w:rsidDel="00E46C93" w:rsidRDefault="00891BBD" w:rsidP="00F34DF6">
            <w:pPr>
              <w:numPr>
                <w:ilvl w:val="0"/>
                <w:numId w:val="58"/>
              </w:numPr>
              <w:spacing w:after="0"/>
              <w:contextualSpacing/>
              <w:rPr>
                <w:rFonts w:cs="Arial"/>
                <w:sz w:val="18"/>
              </w:rPr>
            </w:pPr>
            <w:r>
              <w:rPr>
                <w:rFonts w:cs="Arial"/>
                <w:sz w:val="18"/>
              </w:rPr>
              <w:t>L</w:t>
            </w:r>
            <w:r w:rsidR="00213E13" w:rsidRPr="00A27A5A" w:rsidDel="00E46C93">
              <w:rPr>
                <w:rFonts w:cs="Arial"/>
                <w:sz w:val="18"/>
              </w:rPr>
              <w:t>andfill gas contains other gases at low concentrations many of which are odorous at extremely low concentrations in air and give landfill gas its characteristic smell. Many of these gases are also toxic or otherwise hazardous to health</w:t>
            </w:r>
          </w:p>
        </w:tc>
      </w:tr>
    </w:tbl>
    <w:p w14:paraId="656B0534" w14:textId="77777777" w:rsidR="00213E13" w:rsidRPr="00A27A5A" w:rsidRDefault="00213E13" w:rsidP="00213E13">
      <w:pPr>
        <w:mirrorIndents/>
        <w:rPr>
          <w:rFonts w:cs="Segoe UI Light"/>
          <w:sz w:val="16"/>
          <w:szCs w:val="16"/>
        </w:rPr>
      </w:pPr>
      <w:r w:rsidRPr="00A27A5A">
        <w:rPr>
          <w:rFonts w:cs="Segoe UI Light"/>
          <w:sz w:val="16"/>
          <w:szCs w:val="16"/>
        </w:rPr>
        <w:t xml:space="preserve">Source: EPA </w:t>
      </w:r>
    </w:p>
    <w:p w14:paraId="656B0535" w14:textId="77777777" w:rsidR="00213E13" w:rsidRDefault="00213E13" w:rsidP="000475B8">
      <w:pPr>
        <w:pStyle w:val="Heading3"/>
        <w:ind w:left="720"/>
      </w:pPr>
      <w:r>
        <w:t>Costs of waste mismanagement</w:t>
      </w:r>
    </w:p>
    <w:p w14:paraId="656B0536" w14:textId="77777777" w:rsidR="00213E13" w:rsidRDefault="00213E13" w:rsidP="00213E13">
      <w:pPr>
        <w:rPr>
          <w:rFonts w:cs="Segoe UI Light"/>
          <w:szCs w:val="20"/>
        </w:rPr>
      </w:pPr>
      <w:r>
        <w:rPr>
          <w:rFonts w:cs="Segoe UI Light"/>
          <w:szCs w:val="20"/>
        </w:rPr>
        <w:t>The costs associated with waste mismanagement include (but are not limited to):</w:t>
      </w:r>
    </w:p>
    <w:p w14:paraId="656B0537" w14:textId="77777777" w:rsidR="00213E13" w:rsidRPr="00E12874" w:rsidRDefault="00213E13" w:rsidP="00494A7B">
      <w:pPr>
        <w:pStyle w:val="Bullet1"/>
        <w:numPr>
          <w:ilvl w:val="0"/>
          <w:numId w:val="101"/>
        </w:numPr>
      </w:pPr>
      <w:r w:rsidRPr="00E12874">
        <w:t>Incident response costs, for example emergency services</w:t>
      </w:r>
      <w:r>
        <w:t xml:space="preserve"> in responding to fires</w:t>
      </w:r>
      <w:r w:rsidRPr="00E12874">
        <w:t xml:space="preserve"> and EPA and council clean-up costs</w:t>
      </w:r>
      <w:r>
        <w:t xml:space="preserve"> for illegally dumped materials.</w:t>
      </w:r>
    </w:p>
    <w:p w14:paraId="656B0538" w14:textId="77777777" w:rsidR="00213E13" w:rsidRPr="004663E7" w:rsidRDefault="00213E13" w:rsidP="00494A7B">
      <w:pPr>
        <w:pStyle w:val="Bullet1"/>
        <w:numPr>
          <w:ilvl w:val="0"/>
          <w:numId w:val="101"/>
        </w:numPr>
      </w:pPr>
      <w:r w:rsidRPr="004663E7">
        <w:t>Exposure from air pollution or contaminated land from a waste incident (e.g. waste facility fire) leading to damage to human health</w:t>
      </w:r>
      <w:r>
        <w:t xml:space="preserve"> and</w:t>
      </w:r>
      <w:r w:rsidRPr="004663E7">
        <w:t xml:space="preserve"> imposing financial costs on the health care system.</w:t>
      </w:r>
    </w:p>
    <w:p w14:paraId="656B0539" w14:textId="77777777" w:rsidR="00213E13" w:rsidRPr="00734F03" w:rsidRDefault="00213E13" w:rsidP="00494A7B">
      <w:pPr>
        <w:pStyle w:val="Bullet1"/>
        <w:numPr>
          <w:ilvl w:val="0"/>
          <w:numId w:val="101"/>
        </w:numPr>
      </w:pPr>
      <w:r w:rsidRPr="00FC5946">
        <w:t>Financial costs associated with assessment, management and remediation of sites to ensure land that was contaminated by past waste management activities is safe and suitable for a proposed new use – this includes the clean-up and safe disposal of contaminates</w:t>
      </w:r>
      <w:r>
        <w:t>.</w:t>
      </w:r>
      <w:r w:rsidR="005F4399">
        <w:t xml:space="preserve"> While these costs are waste related, they are covered in the contaminated land chapter of this RIS.</w:t>
      </w:r>
    </w:p>
    <w:p w14:paraId="656B053A" w14:textId="77777777" w:rsidR="00213E13" w:rsidRPr="00231D0B" w:rsidRDefault="00213E13" w:rsidP="00494A7B">
      <w:pPr>
        <w:pStyle w:val="Bullet1"/>
        <w:numPr>
          <w:ilvl w:val="0"/>
          <w:numId w:val="101"/>
        </w:numPr>
      </w:pPr>
      <w:r w:rsidRPr="00231D0B">
        <w:t>Financial costs associated with</w:t>
      </w:r>
      <w:r>
        <w:t xml:space="preserve"> remediating</w:t>
      </w:r>
      <w:r w:rsidRPr="00231D0B">
        <w:t xml:space="preserve"> impacts of waste incidents leading to environmental hazards, such as run off of hazardous materials into waterways.</w:t>
      </w:r>
    </w:p>
    <w:p w14:paraId="656B053B" w14:textId="77777777" w:rsidR="00213E13" w:rsidRPr="00E12874" w:rsidRDefault="00213E13" w:rsidP="00494A7B">
      <w:pPr>
        <w:pStyle w:val="Bullet1"/>
        <w:numPr>
          <w:ilvl w:val="0"/>
          <w:numId w:val="101"/>
        </w:numPr>
      </w:pPr>
      <w:r>
        <w:t>E</w:t>
      </w:r>
      <w:r w:rsidRPr="00E12874">
        <w:t>conomic loss including increased business costs or loss of income, for example disruption to business activities</w:t>
      </w:r>
      <w:r>
        <w:t>, private activities, schools</w:t>
      </w:r>
      <w:r w:rsidRPr="00E12874">
        <w:t xml:space="preserve"> and transport systems due to closures </w:t>
      </w:r>
      <w:r w:rsidR="000B72E3">
        <w:t>following</w:t>
      </w:r>
      <w:r w:rsidR="000B72E3" w:rsidRPr="00E12874">
        <w:t xml:space="preserve"> </w:t>
      </w:r>
      <w:r w:rsidRPr="00E12874">
        <w:t>waste facility fires.</w:t>
      </w:r>
    </w:p>
    <w:p w14:paraId="656B053C" w14:textId="77777777" w:rsidR="00213E13" w:rsidRPr="009271CA" w:rsidRDefault="00213E13" w:rsidP="00494A7B">
      <w:pPr>
        <w:pStyle w:val="Bullet1"/>
        <w:numPr>
          <w:ilvl w:val="0"/>
          <w:numId w:val="101"/>
        </w:numPr>
      </w:pPr>
      <w:r w:rsidRPr="000730C7">
        <w:t>Negative impacts on amenity and recreational value, for example due to reduced enjoyment of natural environment.</w:t>
      </w:r>
    </w:p>
    <w:p w14:paraId="656B053D" w14:textId="77777777" w:rsidR="00213E13" w:rsidRPr="000730C7" w:rsidRDefault="00213E13" w:rsidP="00494A7B">
      <w:pPr>
        <w:pStyle w:val="Bullet1"/>
        <w:numPr>
          <w:ilvl w:val="0"/>
          <w:numId w:val="101"/>
        </w:numPr>
      </w:pPr>
      <w:r>
        <w:t xml:space="preserve">Damage to ecosystems, including acute impacts (such as fish kills caused by toxic leaks to waterways) and chronic impacts (such as bioaccumulation of toxins in a food chain and reduced resilience of ecosystems). </w:t>
      </w:r>
    </w:p>
    <w:p w14:paraId="656B053E" w14:textId="77777777" w:rsidR="00213E13" w:rsidRPr="000730C7" w:rsidRDefault="00213E13" w:rsidP="00494A7B">
      <w:pPr>
        <w:pStyle w:val="Bullet1"/>
        <w:numPr>
          <w:ilvl w:val="0"/>
          <w:numId w:val="101"/>
        </w:numPr>
      </w:pPr>
      <w:r>
        <w:t>Damage to ecosystems and air pollution due to fires</w:t>
      </w:r>
      <w:r w:rsidR="00DC7A63">
        <w:t xml:space="preserve">. </w:t>
      </w:r>
    </w:p>
    <w:p w14:paraId="656B053F" w14:textId="77777777" w:rsidR="00213E13" w:rsidRDefault="00213E13" w:rsidP="00213E13">
      <w:r>
        <w:t>The following discussion aims to provide some indication as to the potential size of the waste mismanagement problem in Victoria by unpacking the data for three key areas of waste mismanagement where some cost data exists; namely stockpile fires, waste abandonment and illegal dumping. This information on waste mismanagement is then used as a point of comparison when considering the costs of waste regulations which are intended to reduce the size of the waste mismanagement problem in Victoria.</w:t>
      </w:r>
    </w:p>
    <w:p w14:paraId="656B0540" w14:textId="77777777" w:rsidR="00213E13" w:rsidRDefault="00213E13" w:rsidP="00213E13">
      <w:r>
        <w:t>However, it is important to note that the cost of waste mismanagement in Victoria is difficult to estimate with accuracy. This is because; costs incurred are not always financial in nature; there may be long lead times between incidence and impact; cost data is not consistently documented or collated; costs are incurred by different organisations; and costs are not reported or are unknown. The following discussion therefore represents only a partial picture.</w:t>
      </w:r>
    </w:p>
    <w:p w14:paraId="656B0541" w14:textId="77777777" w:rsidR="00213E13" w:rsidRPr="00D96322" w:rsidRDefault="00213E13" w:rsidP="00213E13">
      <w:pPr>
        <w:spacing w:after="0"/>
        <w:rPr>
          <w:b/>
        </w:rPr>
      </w:pPr>
      <w:r w:rsidRPr="00D96322">
        <w:rPr>
          <w:b/>
        </w:rPr>
        <w:t>S</w:t>
      </w:r>
      <w:r w:rsidRPr="00340A66">
        <w:rPr>
          <w:b/>
        </w:rPr>
        <w:t>tockpile fires</w:t>
      </w:r>
    </w:p>
    <w:p w14:paraId="656B0542" w14:textId="77777777" w:rsidR="00213E13" w:rsidRDefault="00213E13" w:rsidP="00213E13">
      <w:r>
        <w:t xml:space="preserve">Stockpiling is a common practice in the waste and recycling industry. Some level of stockpiling is necessary for the optimal management of wastes, to manage supplies depending on the price and demand of recycled materials. However, the uncontrolled </w:t>
      </w:r>
      <w:r w:rsidR="00196E26">
        <w:t xml:space="preserve">and unsafe </w:t>
      </w:r>
      <w:r>
        <w:t>stockpiling of waste materials is a problem where there is no end-market in sight. Therefore stockpiling does not produce costs on society per se – rather stockpiling impacts on society when it eventuates into one of two scenarios – the waste stockpile is abandoned or it results in a stockpile fire</w:t>
      </w:r>
      <w:r w:rsidR="00DC7A63">
        <w:t xml:space="preserve">. </w:t>
      </w:r>
    </w:p>
    <w:p w14:paraId="656B0543" w14:textId="77777777" w:rsidR="00213E13" w:rsidRDefault="00213E13" w:rsidP="00213E13">
      <w:r>
        <w:t>There have been 100 fires at recycling facilities alone in Victoria since 2008, the majority occurring since 2012.</w:t>
      </w:r>
      <w:r>
        <w:rPr>
          <w:rStyle w:val="FootnoteReference"/>
        </w:rPr>
        <w:footnoteReference w:id="144"/>
      </w:r>
      <w:r>
        <w:t xml:space="preserve"> Notable stockpile fires have been in Melbourne’s northern suburbs of Coolaroo (2017), Somerton (2015) and Broadmeadows (2016). The cost of stockpile fires on human health and the environment depends on the size, nature, location and conditions of the fires in question. The literature on costs suggests there is a large range of estimates.</w:t>
      </w:r>
    </w:p>
    <w:p w14:paraId="656B0544" w14:textId="5C92D23F" w:rsidR="00213E13" w:rsidRDefault="00213E13" w:rsidP="00213E13">
      <w:r>
        <w:t>T</w:t>
      </w:r>
      <w:r w:rsidRPr="00CF2BEE">
        <w:t>he costs of response, clean up, and societal and business impacts able to be quantified are estimated to</w:t>
      </w:r>
      <w:r w:rsidRPr="00827D05">
        <w:t xml:space="preserve"> be around $6 million for a high-risk fire, and $34 million - $100 million for an extreme-risk fire. These are minimum estimates of costs as many social and environmental impacts are excluded.</w:t>
      </w:r>
      <w:r w:rsidRPr="00827D05">
        <w:rPr>
          <w:vertAlign w:val="superscript"/>
        </w:rPr>
        <w:footnoteReference w:id="145"/>
      </w:r>
      <w:r>
        <w:t xml:space="preserve"> For example, estimates typically don’t cover longer term health impacts; economic costs to businesses, which could include property damage or forced closure due to evacuations; disruptions to normal community activities such as school closures; and mounting community anxiety and concern over these incidents. </w:t>
      </w:r>
      <w:r w:rsidR="00A800FD">
        <w:t>For example, the fire at SKM’s facility in Coolaroo 2007 was arguably the state’s most widely documented stockpile fire</w:t>
      </w:r>
      <w:r>
        <w:t>.</w:t>
      </w:r>
    </w:p>
    <w:p w14:paraId="656B0545" w14:textId="77777777" w:rsidR="00213E13" w:rsidRDefault="00A800FD" w:rsidP="00213E13">
      <w:pPr>
        <w:rPr>
          <w:rFonts w:cs="Segoe UI Light"/>
          <w:szCs w:val="20"/>
        </w:rPr>
      </w:pPr>
      <w:r>
        <w:t>The fire at SKM’s</w:t>
      </w:r>
      <w:r w:rsidR="00196E26">
        <w:t xml:space="preserve"> facility in </w:t>
      </w:r>
      <w:r w:rsidR="00213E13" w:rsidRPr="003D17A2">
        <w:t>Coolaroo</w:t>
      </w:r>
      <w:r w:rsidR="00213E13">
        <w:t xml:space="preserve"> was an extreme-risk fire and cost estimates ranged from </w:t>
      </w:r>
      <w:r w:rsidR="00213E13" w:rsidRPr="000A3552">
        <w:rPr>
          <w:rFonts w:cs="Segoe UI Light"/>
          <w:szCs w:val="20"/>
        </w:rPr>
        <w:t>$30 million to $100 million</w:t>
      </w:r>
      <w:r w:rsidR="00213E13">
        <w:rPr>
          <w:rFonts w:cs="Segoe UI Light"/>
          <w:szCs w:val="20"/>
        </w:rPr>
        <w:t xml:space="preserve"> in firefighting and clean-up costs. The</w:t>
      </w:r>
      <w:r w:rsidR="00213E13">
        <w:t xml:space="preserve"> fire was caused by </w:t>
      </w:r>
      <w:r w:rsidR="00213E13">
        <w:rPr>
          <w:rFonts w:cs="Segoe UI Light"/>
          <w:szCs w:val="20"/>
        </w:rPr>
        <w:t>p</w:t>
      </w:r>
      <w:r w:rsidR="00213E13" w:rsidRPr="000A3552">
        <w:rPr>
          <w:rFonts w:cs="Segoe UI Light"/>
          <w:szCs w:val="20"/>
        </w:rPr>
        <w:t>oor storage practices</w:t>
      </w:r>
      <w:r w:rsidR="00213E13">
        <w:rPr>
          <w:rFonts w:cs="Segoe UI Light"/>
          <w:szCs w:val="20"/>
        </w:rPr>
        <w:t xml:space="preserve"> at SKM’s facility where there was n</w:t>
      </w:r>
      <w:r w:rsidR="00213E13" w:rsidRPr="000A3552">
        <w:rPr>
          <w:rFonts w:cs="Segoe UI Light"/>
          <w:szCs w:val="20"/>
        </w:rPr>
        <w:t xml:space="preserve">o separation of waste to prevent </w:t>
      </w:r>
      <w:r w:rsidR="00196E26">
        <w:rPr>
          <w:rFonts w:cs="Segoe UI Light"/>
          <w:szCs w:val="20"/>
        </w:rPr>
        <w:t xml:space="preserve">the </w:t>
      </w:r>
      <w:r w:rsidR="00213E13" w:rsidRPr="000A3552">
        <w:rPr>
          <w:rFonts w:cs="Segoe UI Light"/>
          <w:szCs w:val="20"/>
        </w:rPr>
        <w:t xml:space="preserve">fire </w:t>
      </w:r>
      <w:r w:rsidR="00196E26">
        <w:rPr>
          <w:rFonts w:cs="Segoe UI Light"/>
          <w:szCs w:val="20"/>
        </w:rPr>
        <w:t xml:space="preserve">from escalating, </w:t>
      </w:r>
      <w:r w:rsidR="00213E13" w:rsidRPr="000A3552">
        <w:rPr>
          <w:rFonts w:cs="Segoe UI Light"/>
          <w:szCs w:val="20"/>
        </w:rPr>
        <w:t>or specialis</w:t>
      </w:r>
      <w:r w:rsidR="00213E13">
        <w:rPr>
          <w:rFonts w:cs="Segoe UI Light"/>
          <w:szCs w:val="20"/>
        </w:rPr>
        <w:t>t firefighting equipment existing</w:t>
      </w:r>
      <w:r w:rsidR="00213E13" w:rsidRPr="000A3552">
        <w:rPr>
          <w:rFonts w:cs="Segoe UI Light"/>
          <w:szCs w:val="20"/>
        </w:rPr>
        <w:t xml:space="preserve"> at the site. </w:t>
      </w:r>
      <w:r w:rsidR="00213E13" w:rsidRPr="003D17A2">
        <w:t>At the height of the fire, the Metropolitan Fire Brigade</w:t>
      </w:r>
      <w:r w:rsidR="00213E13" w:rsidRPr="000A3552">
        <w:rPr>
          <w:rFonts w:cs="Segoe UI Light"/>
          <w:szCs w:val="20"/>
        </w:rPr>
        <w:t xml:space="preserve"> (MFB) and Country Fire Authority (CFA) deployed approximately 54 appliances and</w:t>
      </w:r>
      <w:r w:rsidR="00A91C98">
        <w:rPr>
          <w:rFonts w:cs="Segoe UI Light"/>
          <w:szCs w:val="20"/>
        </w:rPr>
        <w:t xml:space="preserve"> had</w:t>
      </w:r>
      <w:r w:rsidR="00213E13" w:rsidRPr="000A3552">
        <w:rPr>
          <w:rFonts w:cs="Segoe UI Light"/>
          <w:szCs w:val="20"/>
        </w:rPr>
        <w:t xml:space="preserve"> 160 firefighters working with emergency service partners. Firefighters battled the blaze 24 hours a day over 20 days.</w:t>
      </w:r>
      <w:r w:rsidR="00213E13" w:rsidRPr="003D17A2">
        <w:rPr>
          <w:rFonts w:cs="Segoe UI Light"/>
          <w:szCs w:val="20"/>
          <w:vertAlign w:val="superscript"/>
        </w:rPr>
        <w:footnoteReference w:id="146"/>
      </w:r>
      <w:r w:rsidR="00213E13" w:rsidRPr="000A3552">
        <w:rPr>
          <w:rFonts w:cs="Segoe UI Light"/>
          <w:szCs w:val="20"/>
        </w:rPr>
        <w:t xml:space="preserve"> The human health impacts from fine particle levels (PM</w:t>
      </w:r>
      <w:r w:rsidR="00213E13" w:rsidRPr="000A3552">
        <w:rPr>
          <w:rFonts w:cs="Segoe UI Light"/>
          <w:szCs w:val="20"/>
          <w:vertAlign w:val="subscript"/>
        </w:rPr>
        <w:t>2.5</w:t>
      </w:r>
      <w:r w:rsidR="00213E13" w:rsidRPr="000A3552">
        <w:rPr>
          <w:rFonts w:cs="Segoe UI Light"/>
          <w:szCs w:val="20"/>
        </w:rPr>
        <w:t>) were particularly severe, with readings over 2,100 ug/m</w:t>
      </w:r>
      <w:r w:rsidR="00213E13" w:rsidRPr="000A3552">
        <w:rPr>
          <w:rFonts w:cs="Segoe UI Light"/>
          <w:szCs w:val="20"/>
          <w:vertAlign w:val="superscript"/>
        </w:rPr>
        <w:t>3</w:t>
      </w:r>
      <w:r w:rsidR="00213E13" w:rsidRPr="000A3552">
        <w:rPr>
          <w:rFonts w:cs="Segoe UI Light"/>
          <w:szCs w:val="20"/>
        </w:rPr>
        <w:t>. This is well over the 1-hr hazardous threshold levels of 370 ug/m</w:t>
      </w:r>
      <w:r w:rsidR="00213E13" w:rsidRPr="000A3552">
        <w:rPr>
          <w:rFonts w:cs="Segoe UI Light"/>
          <w:szCs w:val="20"/>
          <w:vertAlign w:val="superscript"/>
        </w:rPr>
        <w:t>3</w:t>
      </w:r>
      <w:r w:rsidR="00213E13" w:rsidRPr="000A3552">
        <w:rPr>
          <w:rFonts w:cs="Segoe UI Light"/>
          <w:szCs w:val="20"/>
        </w:rPr>
        <w:t>.</w:t>
      </w:r>
      <w:r w:rsidR="00213E13" w:rsidRPr="003D17A2">
        <w:rPr>
          <w:rFonts w:cs="Segoe UI Light"/>
          <w:szCs w:val="20"/>
          <w:vertAlign w:val="superscript"/>
        </w:rPr>
        <w:footnoteReference w:id="147"/>
      </w:r>
      <w:r w:rsidR="00213E13" w:rsidRPr="000A3552">
        <w:rPr>
          <w:rFonts w:cs="Segoe UI Light"/>
          <w:szCs w:val="20"/>
        </w:rPr>
        <w:t xml:space="preserve"> The fire caused 22 people to evacuate across 13 premises.</w:t>
      </w:r>
      <w:r w:rsidR="00213E13" w:rsidRPr="003D17A2">
        <w:rPr>
          <w:rFonts w:cs="Segoe UI Light"/>
          <w:szCs w:val="20"/>
          <w:vertAlign w:val="superscript"/>
        </w:rPr>
        <w:footnoteReference w:id="148"/>
      </w:r>
      <w:r w:rsidR="00213E13" w:rsidRPr="000A3552">
        <w:rPr>
          <w:rFonts w:cs="Segoe UI Light"/>
          <w:szCs w:val="20"/>
        </w:rPr>
        <w:t xml:space="preserve"> Also, over 140 million litres </w:t>
      </w:r>
      <w:r w:rsidR="00E130FE">
        <w:rPr>
          <w:rFonts w:cs="Segoe UI Light"/>
          <w:szCs w:val="20"/>
        </w:rPr>
        <w:t xml:space="preserve">of contaminated water </w:t>
      </w:r>
      <w:r w:rsidR="00213E13" w:rsidRPr="000A3552">
        <w:rPr>
          <w:rFonts w:cs="Segoe UI Light"/>
          <w:szCs w:val="20"/>
        </w:rPr>
        <w:t xml:space="preserve">were diverted into </w:t>
      </w:r>
      <w:r w:rsidR="002A48A7">
        <w:rPr>
          <w:rFonts w:cs="Segoe UI Light"/>
          <w:szCs w:val="20"/>
        </w:rPr>
        <w:t xml:space="preserve">the </w:t>
      </w:r>
      <w:r w:rsidR="00E130FE">
        <w:rPr>
          <w:rFonts w:cs="Segoe UI Light"/>
          <w:szCs w:val="20"/>
        </w:rPr>
        <w:t xml:space="preserve">sewer from </w:t>
      </w:r>
      <w:r w:rsidR="00213E13" w:rsidRPr="000A3552">
        <w:rPr>
          <w:rFonts w:cs="Segoe UI Light"/>
          <w:szCs w:val="20"/>
        </w:rPr>
        <w:t>Merlynston Creek, with a local fishing and recreation reserve closed to the public owing to water contamination and high E.coli levels.</w:t>
      </w:r>
      <w:r w:rsidR="00213E13" w:rsidRPr="003D17A2">
        <w:rPr>
          <w:rFonts w:cs="Segoe UI Light"/>
          <w:szCs w:val="20"/>
          <w:vertAlign w:val="superscript"/>
        </w:rPr>
        <w:footnoteReference w:id="149"/>
      </w:r>
      <w:r w:rsidR="00213E13" w:rsidRPr="000A3552">
        <w:rPr>
          <w:rFonts w:cs="Segoe UI Light"/>
          <w:szCs w:val="20"/>
        </w:rPr>
        <w:t xml:space="preserve"> The fire at one stage reached a </w:t>
      </w:r>
      <w:r w:rsidR="00A91C98">
        <w:rPr>
          <w:rFonts w:cs="Segoe UI Light"/>
          <w:szCs w:val="20"/>
        </w:rPr>
        <w:t>length</w:t>
      </w:r>
      <w:r w:rsidR="00A91C98" w:rsidRPr="000A3552">
        <w:rPr>
          <w:rFonts w:cs="Segoe UI Light"/>
          <w:szCs w:val="20"/>
        </w:rPr>
        <w:t xml:space="preserve"> </w:t>
      </w:r>
      <w:r w:rsidR="00213E13" w:rsidRPr="000A3552">
        <w:rPr>
          <w:rFonts w:cs="Segoe UI Light"/>
          <w:szCs w:val="20"/>
        </w:rPr>
        <w:t>of 150m by 50m wide.</w:t>
      </w:r>
    </w:p>
    <w:p w14:paraId="656B0546" w14:textId="77777777" w:rsidR="00213E13" w:rsidRPr="00D96322" w:rsidRDefault="00213E13" w:rsidP="00213E13">
      <w:pPr>
        <w:spacing w:after="0"/>
        <w:rPr>
          <w:rFonts w:cs="Segoe UI Light"/>
          <w:i/>
          <w:szCs w:val="20"/>
        </w:rPr>
      </w:pPr>
      <w:r>
        <w:rPr>
          <w:rFonts w:cs="Segoe UI Light"/>
          <w:i/>
          <w:szCs w:val="20"/>
        </w:rPr>
        <w:t xml:space="preserve">Total annual </w:t>
      </w:r>
      <w:r w:rsidRPr="00340A66">
        <w:rPr>
          <w:rFonts w:cs="Segoe UI Light"/>
          <w:i/>
          <w:szCs w:val="20"/>
        </w:rPr>
        <w:t>c</w:t>
      </w:r>
      <w:r w:rsidRPr="00D96322">
        <w:rPr>
          <w:rFonts w:cs="Segoe UI Light"/>
          <w:i/>
          <w:szCs w:val="20"/>
        </w:rPr>
        <w:t>osts for Victoria</w:t>
      </w:r>
      <w:r>
        <w:rPr>
          <w:rFonts w:cs="Segoe UI Light"/>
          <w:i/>
          <w:szCs w:val="20"/>
        </w:rPr>
        <w:t xml:space="preserve"> from stockpile fires</w:t>
      </w:r>
    </w:p>
    <w:p w14:paraId="656B0547" w14:textId="77777777" w:rsidR="00213E13" w:rsidRPr="00B00598" w:rsidRDefault="00213E13" w:rsidP="00213E13">
      <w:pPr>
        <w:rPr>
          <w:rFonts w:cs="Segoe UI Light"/>
          <w:szCs w:val="20"/>
        </w:rPr>
      </w:pPr>
      <w:r>
        <w:rPr>
          <w:rFonts w:cs="Segoe UI Light"/>
          <w:szCs w:val="20"/>
        </w:rPr>
        <w:t xml:space="preserve">Arriving at an accurate annual cost of stockpile fires for Victoria is difficult given the absence of consistently collected data. However, applying some reasonable assumptions </w:t>
      </w:r>
      <w:r w:rsidR="00A91C98">
        <w:rPr>
          <w:rFonts w:cs="Segoe UI Light"/>
          <w:szCs w:val="20"/>
        </w:rPr>
        <w:t>to the</w:t>
      </w:r>
      <w:r>
        <w:rPr>
          <w:rFonts w:cs="Segoe UI Light"/>
          <w:szCs w:val="20"/>
        </w:rPr>
        <w:t xml:space="preserve"> basic cost information available and the historical occurrences of these incidences can provide an indication of the size of the problem. For example, assuming there are 10 stockpile fires on average per year (based on 100 historical incidences since 2008), nine of these being high-risk fires (costing on average $4 million) and </w:t>
      </w:r>
      <w:r w:rsidRPr="00B00598">
        <w:rPr>
          <w:rFonts w:cs="Segoe UI Light"/>
          <w:szCs w:val="20"/>
        </w:rPr>
        <w:t xml:space="preserve">one </w:t>
      </w:r>
      <w:r>
        <w:rPr>
          <w:rFonts w:cs="Segoe UI Light"/>
          <w:szCs w:val="20"/>
        </w:rPr>
        <w:t xml:space="preserve">extreme-risk </w:t>
      </w:r>
      <w:r w:rsidRPr="00B00598">
        <w:rPr>
          <w:rFonts w:cs="Segoe UI Light"/>
          <w:szCs w:val="20"/>
        </w:rPr>
        <w:t xml:space="preserve">stockpile fire </w:t>
      </w:r>
      <w:r>
        <w:rPr>
          <w:rFonts w:cs="Segoe UI Light"/>
          <w:szCs w:val="20"/>
        </w:rPr>
        <w:t xml:space="preserve">(costing on average $65 million), the total cost to Victoria would be </w:t>
      </w:r>
      <w:r w:rsidRPr="00B54452">
        <w:rPr>
          <w:rFonts w:cs="Segoe UI Light"/>
          <w:szCs w:val="20"/>
        </w:rPr>
        <w:t>around</w:t>
      </w:r>
      <w:r>
        <w:rPr>
          <w:rFonts w:cs="Segoe UI Light"/>
          <w:szCs w:val="20"/>
        </w:rPr>
        <w:t xml:space="preserve"> </w:t>
      </w:r>
      <w:r w:rsidRPr="00B54452">
        <w:rPr>
          <w:rFonts w:cs="Segoe UI Light"/>
          <w:szCs w:val="20"/>
        </w:rPr>
        <w:t>$10</w:t>
      </w:r>
      <w:r>
        <w:rPr>
          <w:rFonts w:cs="Segoe UI Light"/>
          <w:szCs w:val="20"/>
        </w:rPr>
        <w:t>5</w:t>
      </w:r>
      <w:r w:rsidRPr="00B54452">
        <w:rPr>
          <w:rFonts w:cs="Segoe UI Light"/>
          <w:szCs w:val="20"/>
        </w:rPr>
        <w:t xml:space="preserve"> million per year.</w:t>
      </w:r>
    </w:p>
    <w:p w14:paraId="656B0548" w14:textId="77777777" w:rsidR="00213E13" w:rsidRDefault="00213E13" w:rsidP="00213E13">
      <w:pPr>
        <w:rPr>
          <w:rFonts w:cs="Segoe UI Light"/>
          <w:szCs w:val="20"/>
        </w:rPr>
      </w:pPr>
      <w:r>
        <w:rPr>
          <w:rFonts w:cs="Segoe UI Light"/>
          <w:szCs w:val="20"/>
        </w:rPr>
        <w:t>The assumption of 10 stockpile fires per year would seem reasonable given it is estimated that there are o</w:t>
      </w:r>
      <w:r w:rsidRPr="00B00598">
        <w:rPr>
          <w:rFonts w:cs="Segoe UI Light"/>
          <w:szCs w:val="20"/>
        </w:rPr>
        <w:t>ver 800 recycling facilities around Victoria and more than 200 of these s</w:t>
      </w:r>
      <w:r>
        <w:rPr>
          <w:rFonts w:cs="Segoe UI Light"/>
          <w:szCs w:val="20"/>
        </w:rPr>
        <w:t>ites require “urgent attention”.</w:t>
      </w:r>
      <w:r w:rsidRPr="00B00598">
        <w:rPr>
          <w:rFonts w:cs="Segoe UI Light"/>
          <w:szCs w:val="20"/>
        </w:rPr>
        <w:t xml:space="preserve"> 345 of these sites </w:t>
      </w:r>
      <w:r>
        <w:rPr>
          <w:rFonts w:cs="Segoe UI Light"/>
          <w:szCs w:val="20"/>
        </w:rPr>
        <w:t xml:space="preserve">have evidence of stockpiling, with </w:t>
      </w:r>
      <w:r w:rsidRPr="00B00598">
        <w:rPr>
          <w:rFonts w:cs="Segoe UI Light"/>
          <w:szCs w:val="20"/>
        </w:rPr>
        <w:t>200 classed as a “high-risk” fire danger, and 5 as “extreme”</w:t>
      </w:r>
      <w:r>
        <w:rPr>
          <w:rFonts w:cs="Segoe UI Light"/>
          <w:szCs w:val="20"/>
        </w:rPr>
        <w:t>.</w:t>
      </w:r>
      <w:r>
        <w:rPr>
          <w:rStyle w:val="FootnoteReference"/>
          <w:rFonts w:cs="Segoe UI Light"/>
          <w:szCs w:val="20"/>
        </w:rPr>
        <w:footnoteReference w:id="150"/>
      </w:r>
      <w:r w:rsidRPr="00B00598">
        <w:rPr>
          <w:rFonts w:cs="Segoe UI Light"/>
          <w:szCs w:val="20"/>
        </w:rPr>
        <w:t xml:space="preserve">  </w:t>
      </w:r>
      <w:r>
        <w:rPr>
          <w:rFonts w:cs="Segoe UI Light"/>
          <w:szCs w:val="20"/>
        </w:rPr>
        <w:t>Given</w:t>
      </w:r>
      <w:r w:rsidRPr="00B00598">
        <w:rPr>
          <w:rFonts w:cs="Segoe UI Light"/>
          <w:szCs w:val="20"/>
        </w:rPr>
        <w:t xml:space="preserve"> recycling stockpiling </w:t>
      </w:r>
      <w:r>
        <w:rPr>
          <w:rFonts w:cs="Segoe UI Light"/>
          <w:szCs w:val="20"/>
        </w:rPr>
        <w:t>of waste is a growing trend</w:t>
      </w:r>
      <w:r w:rsidRPr="00B00598">
        <w:rPr>
          <w:rFonts w:cs="Segoe UI Light"/>
          <w:szCs w:val="20"/>
        </w:rPr>
        <w:t xml:space="preserve">, </w:t>
      </w:r>
      <w:r>
        <w:rPr>
          <w:rFonts w:cs="Segoe UI Light"/>
          <w:szCs w:val="20"/>
        </w:rPr>
        <w:t>10</w:t>
      </w:r>
      <w:r w:rsidRPr="00B00598">
        <w:rPr>
          <w:rFonts w:cs="Segoe UI Light"/>
          <w:szCs w:val="20"/>
        </w:rPr>
        <w:t xml:space="preserve"> stockpile fire</w:t>
      </w:r>
      <w:r>
        <w:rPr>
          <w:rFonts w:cs="Segoe UI Light"/>
          <w:szCs w:val="20"/>
        </w:rPr>
        <w:t xml:space="preserve">s per year in Victoria may be an underestimate. </w:t>
      </w:r>
    </w:p>
    <w:p w14:paraId="656B0549" w14:textId="77777777" w:rsidR="00213E13" w:rsidRPr="00B00598" w:rsidRDefault="00213E13" w:rsidP="00213E13">
      <w:pPr>
        <w:rPr>
          <w:rFonts w:cs="Segoe UI Light"/>
          <w:szCs w:val="20"/>
        </w:rPr>
      </w:pPr>
      <w:r>
        <w:rPr>
          <w:rFonts w:cs="Segoe UI Light"/>
          <w:szCs w:val="20"/>
        </w:rPr>
        <w:t xml:space="preserve">Again, these figures also do not take into account the unknown or difficult to quantify costs to society and the environment </w:t>
      </w:r>
      <w:r w:rsidR="00A91C98">
        <w:rPr>
          <w:rFonts w:cs="Segoe UI Light"/>
          <w:szCs w:val="20"/>
        </w:rPr>
        <w:t xml:space="preserve">and </w:t>
      </w:r>
      <w:r>
        <w:rPr>
          <w:rFonts w:cs="Segoe UI Light"/>
          <w:szCs w:val="20"/>
        </w:rPr>
        <w:t>therefore represent a partial estimate.</w:t>
      </w:r>
    </w:p>
    <w:p w14:paraId="656B054A" w14:textId="77777777" w:rsidR="00213E13" w:rsidRDefault="00213E13" w:rsidP="00213E13">
      <w:pPr>
        <w:spacing w:after="0"/>
        <w:rPr>
          <w:rFonts w:cs="Segoe UI Light"/>
          <w:b/>
          <w:szCs w:val="20"/>
        </w:rPr>
      </w:pPr>
      <w:r>
        <w:rPr>
          <w:rFonts w:cs="Segoe UI Light"/>
          <w:b/>
          <w:szCs w:val="20"/>
        </w:rPr>
        <w:t>Waste abandonment costs</w:t>
      </w:r>
    </w:p>
    <w:p w14:paraId="656B054B" w14:textId="77777777" w:rsidR="00213E13" w:rsidRDefault="00213E13" w:rsidP="00213E13">
      <w:r>
        <w:t>The abandonment of waste occurs when waste businesses rent land, illegally dump waste, and subsequently abandon the site, close their business and leave costs of clean-up for EPA and/or landlord. There are a number of case studies around Victoria (and New South Wales) which can provide an indication of the size of the waste abandonment problem for Victoria. For example:</w:t>
      </w:r>
    </w:p>
    <w:p w14:paraId="656B054C" w14:textId="77777777" w:rsidR="00213E13" w:rsidRPr="00F837E1" w:rsidRDefault="00213E13" w:rsidP="00494A7B">
      <w:pPr>
        <w:pStyle w:val="Bullet1"/>
        <w:numPr>
          <w:ilvl w:val="0"/>
          <w:numId w:val="101"/>
        </w:numPr>
      </w:pPr>
      <w:r>
        <w:t xml:space="preserve">A Campbellfield site for illegal mercury storage had a </w:t>
      </w:r>
      <w:r w:rsidRPr="005A4639">
        <w:t>clean-up cost more than $1 million</w:t>
      </w:r>
      <w:r>
        <w:t xml:space="preserve"> in 2013</w:t>
      </w:r>
      <w:r w:rsidRPr="005A4639">
        <w:t>.</w:t>
      </w:r>
      <w:r w:rsidRPr="00494A7B">
        <w:footnoteReference w:id="151"/>
      </w:r>
      <w:r w:rsidRPr="00494A7B">
        <w:rPr>
          <w:vertAlign w:val="superscript"/>
        </w:rPr>
        <w:t xml:space="preserve"> </w:t>
      </w:r>
    </w:p>
    <w:p w14:paraId="656B054D" w14:textId="77777777" w:rsidR="00213E13" w:rsidRDefault="00213E13" w:rsidP="00494A7B">
      <w:pPr>
        <w:pStyle w:val="Bullet1"/>
        <w:numPr>
          <w:ilvl w:val="0"/>
          <w:numId w:val="101"/>
        </w:numPr>
      </w:pPr>
      <w:r>
        <w:t xml:space="preserve">A </w:t>
      </w:r>
      <w:r w:rsidRPr="001A2AD9">
        <w:t>Thomastown property</w:t>
      </w:r>
      <w:r>
        <w:t xml:space="preserve"> accumulated waste over 3 months in 2016 which was subsequently abandoned and left a clean-up cost of</w:t>
      </w:r>
      <w:r w:rsidRPr="001A2AD9">
        <w:t xml:space="preserve"> $500,000.</w:t>
      </w:r>
      <w:r w:rsidRPr="00494A7B">
        <w:footnoteReference w:id="152"/>
      </w:r>
    </w:p>
    <w:p w14:paraId="656B054E" w14:textId="77777777" w:rsidR="00213E13" w:rsidRDefault="00213E13" w:rsidP="00494A7B">
      <w:pPr>
        <w:pStyle w:val="Bullet1"/>
        <w:numPr>
          <w:ilvl w:val="0"/>
          <w:numId w:val="101"/>
        </w:numPr>
      </w:pPr>
      <w:r>
        <w:t>Removal of 8000 cubic metres of rubbish and asbestos from a property in Ardeer, illegally dumped in 2014, cost an estimated $2 million.</w:t>
      </w:r>
      <w:r w:rsidRPr="00494A7B">
        <w:footnoteReference w:id="153"/>
      </w:r>
    </w:p>
    <w:p w14:paraId="656B054F" w14:textId="77777777" w:rsidR="00891BBD" w:rsidRDefault="00213E13" w:rsidP="00494A7B">
      <w:pPr>
        <w:pStyle w:val="Bullet1"/>
        <w:numPr>
          <w:ilvl w:val="0"/>
          <w:numId w:val="101"/>
        </w:numPr>
      </w:pPr>
      <w:r>
        <w:t xml:space="preserve">Eight warehouses in Epping and Campbellfield containing up to 19 million litres of illegally dumped toxic waste, with an estimated future clean-up cost of $50 million, </w:t>
      </w:r>
      <w:r w:rsidR="0048124E">
        <w:t xml:space="preserve">were </w:t>
      </w:r>
      <w:r>
        <w:t>discovered in December 2018 and reported to be the largest illicit dumping operation in the city’s history.</w:t>
      </w:r>
      <w:r w:rsidRPr="00494A7B">
        <w:footnoteReference w:id="154"/>
      </w:r>
    </w:p>
    <w:p w14:paraId="656B0550" w14:textId="77777777" w:rsidR="00213E13" w:rsidRDefault="00213E13" w:rsidP="00494A7B">
      <w:pPr>
        <w:pStyle w:val="Bullet1"/>
        <w:numPr>
          <w:ilvl w:val="0"/>
          <w:numId w:val="101"/>
        </w:numPr>
      </w:pPr>
      <w:r>
        <w:t>A site in Stawell - considered abandoned by EPA – containing a stockpile of tyres, with clean-up costs of $5 million in 2017.</w:t>
      </w:r>
      <w:r w:rsidRPr="00494A7B">
        <w:footnoteReference w:id="155"/>
      </w:r>
    </w:p>
    <w:p w14:paraId="656B0551" w14:textId="77777777" w:rsidR="00891BBD" w:rsidRDefault="00891BBD" w:rsidP="00494A7B">
      <w:pPr>
        <w:pStyle w:val="Bullet1"/>
        <w:spacing w:before="120"/>
        <w:ind w:left="0" w:firstLine="0"/>
      </w:pPr>
    </w:p>
    <w:p w14:paraId="656B0552" w14:textId="77777777" w:rsidR="00213E13" w:rsidRDefault="00213E13" w:rsidP="00494A7B">
      <w:pPr>
        <w:pStyle w:val="Bullet1"/>
        <w:spacing w:before="120"/>
        <w:ind w:left="0" w:firstLine="0"/>
      </w:pPr>
      <w:r>
        <w:t xml:space="preserve">With respect to the </w:t>
      </w:r>
      <w:r w:rsidRPr="009B6D0C">
        <w:t xml:space="preserve">Stawell </w:t>
      </w:r>
      <w:r>
        <w:t xml:space="preserve">tyre </w:t>
      </w:r>
      <w:r w:rsidRPr="009B6D0C">
        <w:t>site</w:t>
      </w:r>
      <w:r>
        <w:t>, i</w:t>
      </w:r>
      <w:r w:rsidRPr="009B6D0C">
        <w:t xml:space="preserve">f the stockpile had caught fire it would have had many environmental, economic and social risks for Stawell and its surrounds. The environmental impacts would have included </w:t>
      </w:r>
      <w:r w:rsidR="001F6490">
        <w:t xml:space="preserve">poor </w:t>
      </w:r>
      <w:r w:rsidRPr="009B6D0C">
        <w:t>air quality, firewater runoff into local waterways and land contamination.</w:t>
      </w:r>
      <w:r>
        <w:rPr>
          <w:rStyle w:val="FootnoteReference"/>
        </w:rPr>
        <w:footnoteReference w:id="156"/>
      </w:r>
      <w:r>
        <w:t xml:space="preserve"> EPA estimated about 7,000 people from the surrounding area would have to be evacuated if the stockpile caught fire. The stockpile was less than 300 metres from an abattoir, the town's biggest employer, and 2.5 kilometres from the Stawell CBD.</w:t>
      </w:r>
      <w:r>
        <w:rPr>
          <w:rStyle w:val="FootnoteReference"/>
        </w:rPr>
        <w:footnoteReference w:id="157"/>
      </w:r>
      <w:r>
        <w:t xml:space="preserve"> </w:t>
      </w:r>
      <w:r w:rsidRPr="009B6D0C">
        <w:t xml:space="preserve">EPA removed about 9500 tonnes of tyres and shred from </w:t>
      </w:r>
      <w:r>
        <w:t>the</w:t>
      </w:r>
      <w:r w:rsidRPr="009B6D0C">
        <w:t xml:space="preserve"> site after repeated failure by the owners to comply with orders to reduce the risk of fire at the site. </w:t>
      </w:r>
      <w:r w:rsidRPr="00EF6993">
        <w:t>In October 2018 t</w:t>
      </w:r>
      <w:r w:rsidRPr="00D96322">
        <w:t xml:space="preserve">he Supreme Court ordered the owners to foot the $4.5 million bill </w:t>
      </w:r>
      <w:r>
        <w:t>for</w:t>
      </w:r>
      <w:r w:rsidRPr="00D96322">
        <w:t xml:space="preserve"> EPA’s clean-up.</w:t>
      </w:r>
      <w:r w:rsidRPr="00C34C00">
        <w:rPr>
          <w:vertAlign w:val="superscript"/>
        </w:rPr>
        <w:footnoteReference w:id="158"/>
      </w:r>
    </w:p>
    <w:p w14:paraId="656B0553" w14:textId="77777777" w:rsidR="00213E13" w:rsidRDefault="0048124E" w:rsidP="00213E13">
      <w:pPr>
        <w:rPr>
          <w:rFonts w:cs="Segoe UI Light"/>
          <w:color w:val="0A1633"/>
          <w:lang w:val="en"/>
        </w:rPr>
      </w:pPr>
      <w:r>
        <w:t xml:space="preserve">In a </w:t>
      </w:r>
      <w:r w:rsidR="00213E13">
        <w:t xml:space="preserve">further example of the waste abandonment problem, a former recycling centre in Lara was </w:t>
      </w:r>
      <w:r w:rsidR="001A1CDF">
        <w:t>allocated $30 million by the Victorian Government</w:t>
      </w:r>
      <w:r w:rsidR="00213E13">
        <w:t xml:space="preserve"> to return the site to compliance and clean up the abandoned waste.</w:t>
      </w:r>
      <w:r w:rsidR="001A1CDF">
        <w:rPr>
          <w:rStyle w:val="FootnoteReference"/>
        </w:rPr>
        <w:footnoteReference w:id="159"/>
      </w:r>
      <w:r w:rsidR="00213E13">
        <w:t xml:space="preserve"> The Lara site </w:t>
      </w:r>
      <w:r w:rsidR="00213E13">
        <w:rPr>
          <w:rFonts w:cs="Segoe UI Light"/>
        </w:rPr>
        <w:t xml:space="preserve">was allegedly operating for years as an illegal waste dump and had </w:t>
      </w:r>
      <w:r w:rsidR="00213E13" w:rsidRPr="009B6D0C">
        <w:t xml:space="preserve">accumulated a large volume of </w:t>
      </w:r>
      <w:r w:rsidR="00213E13" w:rsidRPr="009B6D0C">
        <w:rPr>
          <w:rFonts w:cs="Segoe UI Light"/>
        </w:rPr>
        <w:t xml:space="preserve">combustible recyclable and waste material. </w:t>
      </w:r>
      <w:r w:rsidR="00213E13">
        <w:rPr>
          <w:rFonts w:cs="Segoe UI Light"/>
        </w:rPr>
        <w:t xml:space="preserve">The site is </w:t>
      </w:r>
      <w:r w:rsidR="00213E13" w:rsidRPr="009B6D0C">
        <w:rPr>
          <w:rFonts w:cs="Segoe UI Light"/>
        </w:rPr>
        <w:t xml:space="preserve">1.2 kilometres from </w:t>
      </w:r>
      <w:r w:rsidR="00213E13">
        <w:rPr>
          <w:rFonts w:cs="Segoe UI Light"/>
        </w:rPr>
        <w:t xml:space="preserve">sensitive land uses including </w:t>
      </w:r>
      <w:r w:rsidR="00213E13" w:rsidRPr="009B6D0C">
        <w:rPr>
          <w:rFonts w:cs="Segoe UI Light"/>
        </w:rPr>
        <w:t>a residential housing estate in Lara and about three kilometres from Corio. The site operator C&amp;D Recycling and its director repeatedly breached planning permit conditions and orders from the Victorian Civil and Administrative Tribunal</w:t>
      </w:r>
      <w:r w:rsidR="00213E13" w:rsidRPr="004663E7">
        <w:rPr>
          <w:rFonts w:cs="Segoe UI Light"/>
        </w:rPr>
        <w:t xml:space="preserve"> (VCAT)</w:t>
      </w:r>
      <w:r w:rsidR="00213E13" w:rsidRPr="009B6D0C">
        <w:rPr>
          <w:rFonts w:cs="Segoe UI Light"/>
        </w:rPr>
        <w:t>, and criminal charges have been laid.</w:t>
      </w:r>
      <w:r w:rsidR="00213E13" w:rsidRPr="004663E7">
        <w:rPr>
          <w:rStyle w:val="FootnoteReference"/>
          <w:rFonts w:cs="Segoe UI Light"/>
        </w:rPr>
        <w:footnoteReference w:id="160"/>
      </w:r>
      <w:r w:rsidR="00213E13">
        <w:rPr>
          <w:rFonts w:cs="Segoe UI Light"/>
          <w:color w:val="0A1633"/>
          <w:lang w:val="en"/>
        </w:rPr>
        <w:t xml:space="preserve"> </w:t>
      </w:r>
    </w:p>
    <w:p w14:paraId="656B0554" w14:textId="77777777" w:rsidR="00213E13" w:rsidRPr="000E7C5E" w:rsidRDefault="00213E13" w:rsidP="00213E13">
      <w:pPr>
        <w:pStyle w:val="2Source"/>
      </w:pPr>
      <w:r w:rsidRPr="000E7C5E">
        <w:t xml:space="preserve">Figure </w:t>
      </w:r>
      <w:r w:rsidRPr="000E7C5E">
        <w:rPr>
          <w:color w:val="2B579A"/>
          <w:shd w:val="clear" w:color="auto" w:fill="E6E6E6"/>
        </w:rPr>
        <w:fldChar w:fldCharType="begin"/>
      </w:r>
      <w:r w:rsidRPr="000E7C5E">
        <w:instrText xml:space="preserve"> STYLEREF 1 \s </w:instrText>
      </w:r>
      <w:r w:rsidRPr="000E7C5E">
        <w:rPr>
          <w:color w:val="2B579A"/>
          <w:shd w:val="clear" w:color="auto" w:fill="E6E6E6"/>
        </w:rPr>
        <w:fldChar w:fldCharType="separate"/>
      </w:r>
      <w:r w:rsidR="00B11C1E">
        <w:rPr>
          <w:noProof/>
        </w:rPr>
        <w:t>9</w:t>
      </w:r>
      <w:r w:rsidRPr="000E7C5E">
        <w:rPr>
          <w:color w:val="2B579A"/>
          <w:shd w:val="clear" w:color="auto" w:fill="E6E6E6"/>
        </w:rPr>
        <w:fldChar w:fldCharType="end"/>
      </w:r>
      <w:r w:rsidRPr="000E7C5E">
        <w:noBreakHyphen/>
      </w:r>
      <w:r w:rsidRPr="000E7C5E">
        <w:rPr>
          <w:color w:val="2B579A"/>
          <w:shd w:val="clear" w:color="auto" w:fill="E6E6E6"/>
        </w:rPr>
        <w:fldChar w:fldCharType="begin"/>
      </w:r>
      <w:r w:rsidRPr="000E7C5E">
        <w:instrText xml:space="preserve"> SEQ Figure \* ARABIC \s 1 </w:instrText>
      </w:r>
      <w:r w:rsidRPr="000E7C5E">
        <w:rPr>
          <w:color w:val="2B579A"/>
          <w:shd w:val="clear" w:color="auto" w:fill="E6E6E6"/>
        </w:rPr>
        <w:fldChar w:fldCharType="separate"/>
      </w:r>
      <w:r w:rsidR="00B11C1E">
        <w:rPr>
          <w:noProof/>
        </w:rPr>
        <w:t>3</w:t>
      </w:r>
      <w:r w:rsidRPr="000E7C5E">
        <w:rPr>
          <w:color w:val="2B579A"/>
          <w:shd w:val="clear" w:color="auto" w:fill="E6E6E6"/>
        </w:rPr>
        <w:fldChar w:fldCharType="end"/>
      </w:r>
      <w:r w:rsidRPr="000E7C5E">
        <w:t xml:space="preserve"> Former recycling centre and then illegal rubbish dump at Lara near Geelong</w:t>
      </w:r>
    </w:p>
    <w:p w14:paraId="656B0555" w14:textId="77777777" w:rsidR="00213E13" w:rsidRDefault="00213E13" w:rsidP="00213E13">
      <w:pPr>
        <w:rPr>
          <w:rFonts w:ascii="PT Serif" w:hAnsi="PT Serif"/>
          <w:noProof/>
          <w:color w:val="707070"/>
          <w:lang w:eastAsia="en-AU"/>
        </w:rPr>
      </w:pPr>
      <w:r w:rsidRPr="00CE41AA">
        <w:rPr>
          <w:noProof/>
          <w:color w:val="2B579A"/>
          <w:shd w:val="clear" w:color="auto" w:fill="E6E6E6"/>
          <w:lang w:eastAsia="en-AU"/>
        </w:rPr>
        <w:drawing>
          <wp:inline distT="0" distB="0" distL="0" distR="0" wp14:anchorId="656B1EB0" wp14:editId="656B1EB1">
            <wp:extent cx="3667930" cy="2065489"/>
            <wp:effectExtent l="0" t="0" r="0" b="0"/>
            <wp:docPr id="662474204" name="Picture 66247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76065" cy="2070070"/>
                    </a:xfrm>
                    <a:prstGeom prst="rect">
                      <a:avLst/>
                    </a:prstGeom>
                  </pic:spPr>
                </pic:pic>
              </a:graphicData>
            </a:graphic>
          </wp:inline>
        </w:drawing>
      </w:r>
      <w:r w:rsidRPr="0076399F">
        <w:rPr>
          <w:rFonts w:ascii="PT Serif" w:hAnsi="PT Serif"/>
          <w:noProof/>
          <w:color w:val="707070"/>
          <w:lang w:eastAsia="en-AU"/>
        </w:rPr>
        <w:t xml:space="preserve"> </w:t>
      </w:r>
      <w:r>
        <w:rPr>
          <w:rFonts w:ascii="PT Serif" w:hAnsi="PT Serif"/>
          <w:noProof/>
          <w:color w:val="707070"/>
          <w:shd w:val="clear" w:color="auto" w:fill="E6E6E6"/>
          <w:lang w:eastAsia="en-AU"/>
        </w:rPr>
        <mc:AlternateContent>
          <mc:Choice Requires="wps">
            <w:drawing>
              <wp:inline distT="0" distB="0" distL="0" distR="0" wp14:anchorId="656B1EB2" wp14:editId="656B1EB3">
                <wp:extent cx="304800" cy="304800"/>
                <wp:effectExtent l="0" t="0" r="0" b="0"/>
                <wp:docPr id="662474202" name="AutoShape 1" descr="A fire broke out at the Lara recycling centre in January 201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D48DDF" id="AutoShape 1" o:spid="_x0000_s1026" alt="A fire broke out at the Lara recycling centre in January 2018."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" o:button="t" filled="f" stroked="f">
                <v:fill o:detectmouseclick="t"/>
                <o:lock v:ext="edit" aspectratio="t"/>
                <w10:anchorlock/>
              </v:rect>
            </w:pict>
          </mc:Fallback>
        </mc:AlternateContent>
      </w:r>
    </w:p>
    <w:p w14:paraId="656B0556" w14:textId="77777777" w:rsidR="00213E13" w:rsidRPr="007947E4" w:rsidRDefault="00213E13" w:rsidP="00213E13">
      <w:pPr>
        <w:spacing w:before="240"/>
        <w:rPr>
          <w:rFonts w:cs="Segoe UI Light"/>
          <w:i/>
          <w:szCs w:val="20"/>
        </w:rPr>
      </w:pPr>
      <w:r>
        <w:rPr>
          <w:rFonts w:cs="Segoe UI Light"/>
          <w:i/>
          <w:szCs w:val="20"/>
        </w:rPr>
        <w:t xml:space="preserve">Total annual </w:t>
      </w:r>
      <w:r w:rsidRPr="00340A66">
        <w:rPr>
          <w:rFonts w:cs="Segoe UI Light"/>
          <w:i/>
          <w:szCs w:val="20"/>
        </w:rPr>
        <w:t>c</w:t>
      </w:r>
      <w:r w:rsidRPr="007947E4">
        <w:rPr>
          <w:rFonts w:cs="Segoe UI Light"/>
          <w:i/>
          <w:szCs w:val="20"/>
        </w:rPr>
        <w:t>osts for Victoria</w:t>
      </w:r>
      <w:r>
        <w:rPr>
          <w:rFonts w:cs="Segoe UI Light"/>
          <w:i/>
          <w:szCs w:val="20"/>
        </w:rPr>
        <w:t xml:space="preserve"> from waste abandonment</w:t>
      </w:r>
    </w:p>
    <w:p w14:paraId="656B0557" w14:textId="77777777" w:rsidR="00213E13" w:rsidRDefault="00213E13" w:rsidP="00213E13">
      <w:pPr>
        <w:rPr>
          <w:rFonts w:cs="Segoe UI Light"/>
          <w:szCs w:val="20"/>
        </w:rPr>
      </w:pPr>
      <w:r>
        <w:rPr>
          <w:rFonts w:cs="Segoe UI Light"/>
          <w:szCs w:val="20"/>
        </w:rPr>
        <w:t>Arriving at an accurate annual cost of waste abandonment for Victoria to determine the size of the problem is also difficult. While the clean-up costs are relatively well documented for a handful of case studies, these costs are only for the clean-up costs themselves. Costs do not include the harms to human health and the environment during the time of the site operation (e.g. odour, litter, harmful gas emissions, leachate to surface and groundwater etc.) nor does it cover the legacy issues after the clean-up of the site.</w:t>
      </w:r>
    </w:p>
    <w:p w14:paraId="656B0558" w14:textId="77777777" w:rsidR="00213E13" w:rsidRPr="00B00598" w:rsidRDefault="00213E13" w:rsidP="00213E13">
      <w:pPr>
        <w:rPr>
          <w:rFonts w:cs="Segoe UI Light"/>
          <w:szCs w:val="20"/>
        </w:rPr>
      </w:pPr>
      <w:r>
        <w:rPr>
          <w:rFonts w:cs="Segoe UI Light"/>
          <w:szCs w:val="20"/>
        </w:rPr>
        <w:t xml:space="preserve">However, some reasonable assumptions can be applied to give a sense for the magnitude of the </w:t>
      </w:r>
      <w:r w:rsidR="0048124E">
        <w:rPr>
          <w:rFonts w:cs="Segoe UI Light"/>
          <w:szCs w:val="20"/>
        </w:rPr>
        <w:t xml:space="preserve">clean-up </w:t>
      </w:r>
      <w:r>
        <w:rPr>
          <w:rFonts w:cs="Segoe UI Light"/>
          <w:szCs w:val="20"/>
        </w:rPr>
        <w:t xml:space="preserve">problem. </w:t>
      </w:r>
      <w:r w:rsidR="002A48A7">
        <w:rPr>
          <w:rFonts w:cs="Segoe UI Light"/>
          <w:szCs w:val="20"/>
        </w:rPr>
        <w:t xml:space="preserve">Purely for illustration - </w:t>
      </w:r>
      <w:r>
        <w:rPr>
          <w:rFonts w:cs="Segoe UI Light"/>
          <w:szCs w:val="20"/>
        </w:rPr>
        <w:t xml:space="preserve">assuming an average of </w:t>
      </w:r>
      <w:r w:rsidR="001F6490">
        <w:rPr>
          <w:rFonts w:cs="Segoe UI Light"/>
          <w:szCs w:val="20"/>
        </w:rPr>
        <w:t>five</w:t>
      </w:r>
      <w:r>
        <w:rPr>
          <w:rFonts w:cs="Segoe UI Light"/>
          <w:szCs w:val="20"/>
        </w:rPr>
        <w:t xml:space="preserve"> abandoned sites are required to be cleaned-up per year, four of these with clean-up costs averaging $2 million and </w:t>
      </w:r>
      <w:r w:rsidRPr="00B00598">
        <w:rPr>
          <w:rFonts w:cs="Segoe UI Light"/>
          <w:szCs w:val="20"/>
        </w:rPr>
        <w:t>one</w:t>
      </w:r>
      <w:r>
        <w:rPr>
          <w:rFonts w:cs="Segoe UI Light"/>
          <w:szCs w:val="20"/>
        </w:rPr>
        <w:t xml:space="preserve"> large site</w:t>
      </w:r>
      <w:r w:rsidRPr="00B00598">
        <w:rPr>
          <w:rFonts w:cs="Segoe UI Light"/>
          <w:szCs w:val="20"/>
        </w:rPr>
        <w:t xml:space="preserve"> </w:t>
      </w:r>
      <w:r>
        <w:rPr>
          <w:rFonts w:cs="Segoe UI Light"/>
          <w:szCs w:val="20"/>
        </w:rPr>
        <w:t xml:space="preserve">(costing on average $50 million), the total annual cost to Victoria would be in the order of </w:t>
      </w:r>
      <w:r w:rsidRPr="00B54452">
        <w:rPr>
          <w:rFonts w:cs="Segoe UI Light"/>
          <w:szCs w:val="20"/>
        </w:rPr>
        <w:t>$58 million per year.</w:t>
      </w:r>
    </w:p>
    <w:p w14:paraId="656B0559" w14:textId="77777777" w:rsidR="00213E13" w:rsidRDefault="00213E13" w:rsidP="00213E13">
      <w:pPr>
        <w:rPr>
          <w:rFonts w:cs="Segoe UI Light"/>
          <w:b/>
          <w:szCs w:val="20"/>
        </w:rPr>
      </w:pPr>
      <w:r>
        <w:rPr>
          <w:rFonts w:cs="Segoe UI Light"/>
          <w:szCs w:val="20"/>
        </w:rPr>
        <w:t>These estimates are, however, for clean-up costs alone.</w:t>
      </w:r>
    </w:p>
    <w:p w14:paraId="656B055A" w14:textId="77777777" w:rsidR="00213E13" w:rsidRPr="00D96322" w:rsidRDefault="00213E13" w:rsidP="00213E13">
      <w:pPr>
        <w:spacing w:after="0"/>
        <w:rPr>
          <w:b/>
        </w:rPr>
      </w:pPr>
      <w:r>
        <w:rPr>
          <w:rFonts w:cs="Segoe UI Light"/>
          <w:b/>
          <w:szCs w:val="20"/>
        </w:rPr>
        <w:t xml:space="preserve">Other </w:t>
      </w:r>
      <w:r>
        <w:rPr>
          <w:b/>
        </w:rPr>
        <w:t>i</w:t>
      </w:r>
      <w:r w:rsidRPr="00D96322">
        <w:rPr>
          <w:b/>
        </w:rPr>
        <w:t>llegal dumping</w:t>
      </w:r>
      <w:r>
        <w:rPr>
          <w:b/>
        </w:rPr>
        <w:t xml:space="preserve"> costs</w:t>
      </w:r>
    </w:p>
    <w:p w14:paraId="656B055B" w14:textId="77777777" w:rsidR="00213E13" w:rsidRDefault="00213E13" w:rsidP="00213E13">
      <w:r>
        <w:t xml:space="preserve">In addition to waste abandonment, significant volumes of waste </w:t>
      </w:r>
      <w:r w:rsidR="001F6490">
        <w:t xml:space="preserve">are </w:t>
      </w:r>
      <w:r>
        <w:t xml:space="preserve">illegally dumped in Victoria into the environment by smaller operators (e.g. skip bin operators or by private citizens dumping their own waste in an attempt to avoid paying landfill fees). This dumping often </w:t>
      </w:r>
      <w:r w:rsidR="0048124E">
        <w:t xml:space="preserve">occurs </w:t>
      </w:r>
      <w:r>
        <w:t>in sensitive areas such as creeks and waterways. The prevalence of illegal dumping in Victoria has been growing over time as evidenced by the growth in the number of infringement notices (4</w:t>
      </w:r>
      <w:r w:rsidR="002A48A7">
        <w:t>,</w:t>
      </w:r>
      <w:r>
        <w:t xml:space="preserve">700 notices in 1998-99 to around </w:t>
      </w:r>
      <w:r w:rsidR="00B73629">
        <w:t>12</w:t>
      </w:r>
      <w:r>
        <w:t>,</w:t>
      </w:r>
      <w:r w:rsidR="00B73629">
        <w:t xml:space="preserve">165 </w:t>
      </w:r>
      <w:r>
        <w:t xml:space="preserve">in </w:t>
      </w:r>
      <w:r w:rsidR="00B73629">
        <w:t>2017</w:t>
      </w:r>
      <w:r>
        <w:t>-</w:t>
      </w:r>
      <w:r w:rsidR="00B73629">
        <w:t>18</w:t>
      </w:r>
      <w:r>
        <w:t>).</w:t>
      </w:r>
      <w:r>
        <w:rPr>
          <w:rStyle w:val="FootnoteReference"/>
          <w:rFonts w:cs="Segoe UI Light"/>
          <w:sz w:val="18"/>
        </w:rPr>
        <w:footnoteReference w:id="161"/>
      </w:r>
      <w:r>
        <w:t xml:space="preserve"> </w:t>
      </w:r>
      <w:r w:rsidR="005E0D3D">
        <w:t>Key factors contributing to this growth include the increase in population</w:t>
      </w:r>
      <w:r w:rsidR="00677363">
        <w:t>,</w:t>
      </w:r>
      <w:r w:rsidR="005E0D3D">
        <w:t xml:space="preserve"> lack of markets for recycled products</w:t>
      </w:r>
      <w:r w:rsidR="00677363">
        <w:t>,</w:t>
      </w:r>
      <w:r w:rsidR="005E0D3D">
        <w:t xml:space="preserve"> and the rising cost of waste disposal (such as landfill fees).</w:t>
      </w:r>
      <w:r w:rsidR="005F4399">
        <w:t xml:space="preserve"> </w:t>
      </w:r>
    </w:p>
    <w:p w14:paraId="656B055C" w14:textId="77777777" w:rsidR="00213E13" w:rsidRDefault="00213E13" w:rsidP="00213E13">
      <w:r>
        <w:t xml:space="preserve">In terms of the costs of illegal dumping and the size of the problem, EPA estimates that a combination of clean-up costs and lost landfill levy revenue totals around $30 million a year </w:t>
      </w:r>
      <w:r w:rsidR="0048124E">
        <w:t xml:space="preserve">in </w:t>
      </w:r>
      <w:r>
        <w:t>Victoria.</w:t>
      </w:r>
      <w:r>
        <w:rPr>
          <w:rStyle w:val="FootnoteReference"/>
          <w:rFonts w:cs="Segoe UI Light"/>
          <w:sz w:val="18"/>
        </w:rPr>
        <w:footnoteReference w:id="162"/>
      </w:r>
      <w:r>
        <w:t xml:space="preserve"> </w:t>
      </w:r>
    </w:p>
    <w:p w14:paraId="656B055D" w14:textId="77777777" w:rsidR="00213E13" w:rsidRPr="00404EE5" w:rsidRDefault="00213E13" w:rsidP="00213E13">
      <w:r>
        <w:t xml:space="preserve">The costs of clean-up </w:t>
      </w:r>
      <w:r w:rsidR="00BA5751">
        <w:t>are</w:t>
      </w:r>
      <w:r>
        <w:t xml:space="preserve"> often borne by councils as they respond to complaints and </w:t>
      </w:r>
      <w:r w:rsidR="0048124E">
        <w:t xml:space="preserve">incidents </w:t>
      </w:r>
      <w:r>
        <w:t>of illegal dumping in their municipality. The councils with the biggest problems are those on</w:t>
      </w:r>
      <w:r w:rsidR="00592543">
        <w:t xml:space="preserve"> the urban</w:t>
      </w:r>
      <w:r>
        <w:t xml:space="preserve"> fringe where illegal dumping can occur with</w:t>
      </w:r>
      <w:r w:rsidR="00592543">
        <w:t xml:space="preserve"> </w:t>
      </w:r>
      <w:r w:rsidR="0048124E">
        <w:t xml:space="preserve">a </w:t>
      </w:r>
      <w:r w:rsidR="00592543">
        <w:t>lower</w:t>
      </w:r>
      <w:r>
        <w:t xml:space="preserve"> risk of detection. There is some publicly available information on the clean-up costs </w:t>
      </w:r>
      <w:r w:rsidR="00B73629">
        <w:t xml:space="preserve">incurred by </w:t>
      </w:r>
      <w:r>
        <w:t xml:space="preserve">councils </w:t>
      </w:r>
      <w:r w:rsidR="00B73629">
        <w:t xml:space="preserve">to remedy </w:t>
      </w:r>
      <w:r>
        <w:t>illegal dumping. For example, Brimbank Shire estimates</w:t>
      </w:r>
      <w:r w:rsidR="00677363">
        <w:t xml:space="preserve"> that there are</w:t>
      </w:r>
      <w:r>
        <w:t xml:space="preserve"> 50 illegal dumps operating in</w:t>
      </w:r>
      <w:r w:rsidR="00B73629">
        <w:t xml:space="preserve"> </w:t>
      </w:r>
      <w:r w:rsidR="0048124E">
        <w:t xml:space="preserve">its </w:t>
      </w:r>
      <w:r>
        <w:t xml:space="preserve">area, </w:t>
      </w:r>
      <w:r w:rsidR="0048124E">
        <w:t xml:space="preserve">it </w:t>
      </w:r>
      <w:r w:rsidR="00677363">
        <w:t xml:space="preserve">received </w:t>
      </w:r>
      <w:r>
        <w:t>3</w:t>
      </w:r>
      <w:r w:rsidR="00677363">
        <w:t>,</w:t>
      </w:r>
      <w:r>
        <w:t xml:space="preserve">500 reports of littering and illegal dumping last year, and </w:t>
      </w:r>
      <w:r w:rsidR="0048124E">
        <w:t xml:space="preserve">it </w:t>
      </w:r>
      <w:r w:rsidR="00677363">
        <w:t>incur</w:t>
      </w:r>
      <w:r w:rsidR="0048124E">
        <w:t>red</w:t>
      </w:r>
      <w:r w:rsidR="00677363">
        <w:t xml:space="preserve"> </w:t>
      </w:r>
      <w:r>
        <w:t>annual clean-up costs of $700,000</w:t>
      </w:r>
      <w:r w:rsidR="00DC7A63">
        <w:t xml:space="preserve">. </w:t>
      </w:r>
      <w:r>
        <w:t>An adjacent council (Hume City Council) identified 110 sites used by suspected small-to-medium rogue skip bin operators during a blitz with Victoria Police.</w:t>
      </w:r>
      <w:r>
        <w:rPr>
          <w:rStyle w:val="FootnoteReference"/>
          <w:rFonts w:cs="Segoe UI Light"/>
          <w:sz w:val="18"/>
        </w:rPr>
        <w:footnoteReference w:id="163"/>
      </w:r>
      <w:r>
        <w:t xml:space="preserve">  </w:t>
      </w:r>
    </w:p>
    <w:p w14:paraId="656B055E" w14:textId="77777777" w:rsidR="00213E13" w:rsidRDefault="00213E13" w:rsidP="00213E13">
      <w:r>
        <w:t xml:space="preserve">In New South Wales, over 10% of local </w:t>
      </w:r>
      <w:r w:rsidR="002A48A7">
        <w:t xml:space="preserve">councils </w:t>
      </w:r>
      <w:r>
        <w:t>spend $500,000 or more on illegal dumping education, enforcement, clean-up and other activities each year.</w:t>
      </w:r>
      <w:r>
        <w:rPr>
          <w:rStyle w:val="FootnoteReference"/>
          <w:rFonts w:cs="Segoe UI Light"/>
          <w:sz w:val="18"/>
        </w:rPr>
        <w:footnoteReference w:id="164"/>
      </w:r>
      <w:r>
        <w:t xml:space="preserve"> Of these councils, 64% face up to 100 illegal dumping incidents each year. Most councils spent up to $50,000 per year on education (56% of councils) and up to $75,000 per year on enforcement and legal costs (55% of councils). The highest costs were associated with clean-up, with nearly two thirds of councils spending up to $250,000 a year on cleaning up illegal dumping and landfilling</w:t>
      </w:r>
      <w:r w:rsidR="00DC7A63">
        <w:t xml:space="preserve">. </w:t>
      </w:r>
      <w:r>
        <w:t xml:space="preserve">A further $250,000 per year was spent by 61% of councils on contractors in relation to illegal dumping and landfilling. </w:t>
      </w:r>
      <w:r w:rsidR="00BE7131">
        <w:t xml:space="preserve">Although Victorian councils were not considered in the study, </w:t>
      </w:r>
      <w:r w:rsidR="000405EE">
        <w:t>i</w:t>
      </w:r>
      <w:r w:rsidR="00BE7131">
        <w:t xml:space="preserve">t is likely that similar costs </w:t>
      </w:r>
      <w:r w:rsidR="002A48A7">
        <w:t xml:space="preserve">are </w:t>
      </w:r>
      <w:r w:rsidR="00BE7131">
        <w:t xml:space="preserve">also incurred by </w:t>
      </w:r>
      <w:r w:rsidR="002A48A7">
        <w:t>Victoria</w:t>
      </w:r>
      <w:r w:rsidR="00BE7131">
        <w:t>n councils</w:t>
      </w:r>
      <w:r w:rsidR="002A48A7">
        <w:t xml:space="preserve">. </w:t>
      </w:r>
    </w:p>
    <w:p w14:paraId="656B055F" w14:textId="77777777" w:rsidR="00213E13" w:rsidRPr="007947E4" w:rsidRDefault="00213E13" w:rsidP="00213E13">
      <w:pPr>
        <w:rPr>
          <w:rFonts w:cs="Segoe UI Light"/>
          <w:i/>
          <w:szCs w:val="20"/>
        </w:rPr>
      </w:pPr>
      <w:r>
        <w:rPr>
          <w:rFonts w:cs="Segoe UI Light"/>
          <w:i/>
          <w:szCs w:val="20"/>
        </w:rPr>
        <w:t xml:space="preserve">Total annual </w:t>
      </w:r>
      <w:r w:rsidRPr="00340A66">
        <w:rPr>
          <w:rFonts w:cs="Segoe UI Light"/>
          <w:i/>
          <w:szCs w:val="20"/>
        </w:rPr>
        <w:t>c</w:t>
      </w:r>
      <w:r w:rsidRPr="007947E4">
        <w:rPr>
          <w:rFonts w:cs="Segoe UI Light"/>
          <w:i/>
          <w:szCs w:val="20"/>
        </w:rPr>
        <w:t>osts for Victoria</w:t>
      </w:r>
      <w:r>
        <w:rPr>
          <w:rFonts w:cs="Segoe UI Light"/>
          <w:i/>
          <w:szCs w:val="20"/>
        </w:rPr>
        <w:t xml:space="preserve"> from illegal dumping</w:t>
      </w:r>
    </w:p>
    <w:p w14:paraId="656B0560" w14:textId="77777777" w:rsidR="00213E13" w:rsidRDefault="00213E13" w:rsidP="00213E13">
      <w:r>
        <w:rPr>
          <w:rFonts w:cs="Segoe UI Light"/>
          <w:szCs w:val="20"/>
        </w:rPr>
        <w:t xml:space="preserve">The illegal dumping issue in Victoria is widespread, with </w:t>
      </w:r>
      <w:r w:rsidR="00E2579D">
        <w:rPr>
          <w:rFonts w:cs="Segoe UI Light"/>
          <w:szCs w:val="20"/>
        </w:rPr>
        <w:t>councils on the urban fringe</w:t>
      </w:r>
      <w:r>
        <w:rPr>
          <w:rFonts w:cs="Segoe UI Light"/>
          <w:szCs w:val="20"/>
        </w:rPr>
        <w:t xml:space="preserve"> and regional councils perhaps facing the biggest clean-up costs.</w:t>
      </w:r>
      <w:r w:rsidRPr="003C5281">
        <w:t xml:space="preserve"> </w:t>
      </w:r>
      <w:r>
        <w:t>EPA</w:t>
      </w:r>
      <w:r w:rsidR="00B73629">
        <w:t>’s</w:t>
      </w:r>
      <w:r>
        <w:t xml:space="preserve"> estimate </w:t>
      </w:r>
      <w:r w:rsidRPr="00C84017">
        <w:t>of</w:t>
      </w:r>
      <w:r w:rsidRPr="00494A7B">
        <w:t xml:space="preserve"> $30 million per year</w:t>
      </w:r>
      <w:r w:rsidR="00E77408" w:rsidRPr="00494A7B">
        <w:rPr>
          <w:rStyle w:val="FootnoteReference"/>
        </w:rPr>
        <w:footnoteReference w:id="165"/>
      </w:r>
      <w:r w:rsidRPr="00494A7B">
        <w:t xml:space="preserve"> </w:t>
      </w:r>
      <w:r w:rsidRPr="00C84017">
        <w:t>for</w:t>
      </w:r>
      <w:r>
        <w:t xml:space="preserve"> clean-up costs and lost landfills levy revenue appears to be the best available estimate of the total size of the problem.</w:t>
      </w:r>
    </w:p>
    <w:p w14:paraId="656B0561" w14:textId="77777777" w:rsidR="00213E13" w:rsidRDefault="00213E13" w:rsidP="00213E13">
      <w:pPr>
        <w:rPr>
          <w:rFonts w:cs="Segoe UI Light"/>
          <w:szCs w:val="20"/>
        </w:rPr>
      </w:pPr>
      <w:r>
        <w:rPr>
          <w:rFonts w:cs="Segoe UI Light"/>
          <w:szCs w:val="20"/>
        </w:rPr>
        <w:t xml:space="preserve">Again, clean-up costs and avoided levies are partial costs of the overall problem, therefore the above figure </w:t>
      </w:r>
      <w:r w:rsidR="00BE7131">
        <w:rPr>
          <w:rFonts w:cs="Segoe UI Light"/>
          <w:szCs w:val="20"/>
        </w:rPr>
        <w:t xml:space="preserve">represents a minimum estimate </w:t>
      </w:r>
      <w:r>
        <w:rPr>
          <w:rFonts w:cs="Segoe UI Light"/>
          <w:szCs w:val="20"/>
        </w:rPr>
        <w:t xml:space="preserve">of the </w:t>
      </w:r>
      <w:r w:rsidR="00BE7131">
        <w:rPr>
          <w:rFonts w:cs="Segoe UI Light"/>
          <w:szCs w:val="20"/>
        </w:rPr>
        <w:t xml:space="preserve">costs of </w:t>
      </w:r>
      <w:r>
        <w:rPr>
          <w:rFonts w:cs="Segoe UI Light"/>
          <w:szCs w:val="20"/>
        </w:rPr>
        <w:t xml:space="preserve">illegal dumping. The impacts of illegal dumping on the environment, amenity and human health are not included. </w:t>
      </w:r>
    </w:p>
    <w:p w14:paraId="656B0562" w14:textId="77777777" w:rsidR="00213E13" w:rsidRDefault="00213E13" w:rsidP="00213E13">
      <w:pPr>
        <w:spacing w:after="0"/>
        <w:rPr>
          <w:rFonts w:cs="Segoe UI Light"/>
          <w:b/>
          <w:szCs w:val="20"/>
        </w:rPr>
      </w:pPr>
      <w:r w:rsidRPr="00D96322">
        <w:rPr>
          <w:rFonts w:cs="Segoe UI Light"/>
          <w:b/>
          <w:szCs w:val="20"/>
        </w:rPr>
        <w:t>Summary</w:t>
      </w:r>
      <w:r>
        <w:rPr>
          <w:rFonts w:cs="Segoe UI Light"/>
          <w:b/>
          <w:szCs w:val="20"/>
        </w:rPr>
        <w:t xml:space="preserve"> of waste mismanagement costs</w:t>
      </w:r>
    </w:p>
    <w:p w14:paraId="656B0563" w14:textId="77777777" w:rsidR="00213E13" w:rsidRDefault="00213E13" w:rsidP="00213E13">
      <w:r>
        <w:t>The above discussion summarises available data on three areas of waste mismanagement in Victoria, and provides some indication as to the size of the problem from a societal cost perspective. The following estimates were derived as partial estimates of the size of the problem:</w:t>
      </w:r>
    </w:p>
    <w:p w14:paraId="656B0564" w14:textId="77777777" w:rsidR="00213E13" w:rsidRDefault="00213E13" w:rsidP="00891BBD">
      <w:pPr>
        <w:pStyle w:val="Bullet1"/>
        <w:numPr>
          <w:ilvl w:val="0"/>
          <w:numId w:val="16"/>
        </w:numPr>
        <w:ind w:left="567" w:hanging="283"/>
      </w:pPr>
      <w:r w:rsidRPr="00D8221A">
        <w:t xml:space="preserve">$105 million per </w:t>
      </w:r>
      <w:r>
        <w:t>year from stockpile fires.</w:t>
      </w:r>
    </w:p>
    <w:p w14:paraId="656B0565" w14:textId="77777777" w:rsidR="00213E13" w:rsidRPr="00D96322" w:rsidRDefault="00213E13" w:rsidP="00891BBD">
      <w:pPr>
        <w:pStyle w:val="Bullet1"/>
        <w:numPr>
          <w:ilvl w:val="0"/>
          <w:numId w:val="16"/>
        </w:numPr>
        <w:ind w:left="567" w:hanging="283"/>
      </w:pPr>
      <w:r>
        <w:t>$58</w:t>
      </w:r>
      <w:r w:rsidRPr="007947E4">
        <w:t xml:space="preserve"> million per year</w:t>
      </w:r>
      <w:r>
        <w:t xml:space="preserve"> in annual clean-up costs of abandoned waste sites.</w:t>
      </w:r>
    </w:p>
    <w:p w14:paraId="656B0566" w14:textId="77777777" w:rsidR="00213E13" w:rsidRDefault="00213E13" w:rsidP="00891BBD">
      <w:pPr>
        <w:pStyle w:val="Bullet1"/>
        <w:numPr>
          <w:ilvl w:val="0"/>
          <w:numId w:val="16"/>
        </w:numPr>
        <w:ind w:left="567" w:hanging="283"/>
      </w:pPr>
      <w:r w:rsidRPr="00D96322">
        <w:t>$30 million per year</w:t>
      </w:r>
      <w:r w:rsidRPr="007947E4">
        <w:rPr>
          <w:b/>
        </w:rPr>
        <w:t xml:space="preserve"> </w:t>
      </w:r>
      <w:r>
        <w:t>on clean-up costs and lost landfills levy revenue due to illegal dumping.</w:t>
      </w:r>
    </w:p>
    <w:p w14:paraId="656B0567" w14:textId="77777777" w:rsidR="00213E13" w:rsidRDefault="00213E13" w:rsidP="00213E13">
      <w:r>
        <w:t>These estimates are, however, principally the financial costs of response and clean-up of these incidences. They do not capture the costs to human health and environmental damage costs.</w:t>
      </w:r>
    </w:p>
    <w:p w14:paraId="656B0568" w14:textId="77777777" w:rsidR="00213E13" w:rsidRDefault="00213E13" w:rsidP="00213E13">
      <w:pPr>
        <w:rPr>
          <w:szCs w:val="20"/>
        </w:rPr>
      </w:pPr>
      <w:r>
        <w:t xml:space="preserve">These also represent only three areas of waste mismanagement. As described earlier, there are numerous other costs on society from waste management including </w:t>
      </w:r>
      <w:r>
        <w:rPr>
          <w:szCs w:val="20"/>
        </w:rPr>
        <w:t>a</w:t>
      </w:r>
      <w:r w:rsidDel="00E46C93">
        <w:rPr>
          <w:szCs w:val="20"/>
        </w:rPr>
        <w:t>ir pollution and odour from a</w:t>
      </w:r>
      <w:r w:rsidRPr="00505FC0" w:rsidDel="00E46C93">
        <w:rPr>
          <w:szCs w:val="20"/>
        </w:rPr>
        <w:t xml:space="preserve">ctivities such as </w:t>
      </w:r>
      <w:r>
        <w:rPr>
          <w:szCs w:val="20"/>
        </w:rPr>
        <w:t xml:space="preserve">landfill, </w:t>
      </w:r>
      <w:r w:rsidRPr="00505FC0" w:rsidDel="00E46C93">
        <w:rPr>
          <w:szCs w:val="20"/>
        </w:rPr>
        <w:t>open wind</w:t>
      </w:r>
      <w:r>
        <w:rPr>
          <w:szCs w:val="20"/>
        </w:rPr>
        <w:t>row</w:t>
      </w:r>
      <w:r w:rsidRPr="00505FC0" w:rsidDel="00E46C93">
        <w:rPr>
          <w:szCs w:val="20"/>
        </w:rPr>
        <w:t xml:space="preserve"> comp</w:t>
      </w:r>
      <w:r>
        <w:rPr>
          <w:szCs w:val="20"/>
        </w:rPr>
        <w:t xml:space="preserve">osting, waste to energy plants, </w:t>
      </w:r>
      <w:r w:rsidRPr="00505FC0" w:rsidDel="00E46C93">
        <w:rPr>
          <w:szCs w:val="20"/>
        </w:rPr>
        <w:t>hazardous waste treatments</w:t>
      </w:r>
      <w:r>
        <w:rPr>
          <w:szCs w:val="20"/>
        </w:rPr>
        <w:t>, and waste materials not being contained during transport.</w:t>
      </w:r>
      <w:r w:rsidDel="00E46C93">
        <w:rPr>
          <w:szCs w:val="20"/>
        </w:rPr>
        <w:t xml:space="preserve"> </w:t>
      </w:r>
      <w:r>
        <w:rPr>
          <w:szCs w:val="20"/>
        </w:rPr>
        <w:t xml:space="preserve">These </w:t>
      </w:r>
      <w:r w:rsidR="00BE7131">
        <w:rPr>
          <w:szCs w:val="20"/>
        </w:rPr>
        <w:t xml:space="preserve">costs, which may include loss of amenity and negative impacts to human health, </w:t>
      </w:r>
      <w:r>
        <w:rPr>
          <w:szCs w:val="20"/>
        </w:rPr>
        <w:t xml:space="preserve">are difficult costs to quantify. </w:t>
      </w:r>
    </w:p>
    <w:p w14:paraId="656B0569" w14:textId="77777777" w:rsidR="00213E13" w:rsidRPr="00D8221A" w:rsidRDefault="00213E13" w:rsidP="00982D63">
      <w:pPr>
        <w:pStyle w:val="Heading2"/>
      </w:pPr>
      <w:r w:rsidRPr="00AF39F7">
        <w:t>Assessment</w:t>
      </w:r>
    </w:p>
    <w:p w14:paraId="656B056A" w14:textId="77777777" w:rsidR="00213E13" w:rsidRDefault="00213E13" w:rsidP="00677363">
      <w:pPr>
        <w:pStyle w:val="Heading3"/>
        <w:ind w:left="720"/>
      </w:pPr>
      <w:r>
        <w:t>Approach to analysis of waste areas</w:t>
      </w:r>
    </w:p>
    <w:p w14:paraId="656B056B" w14:textId="77777777" w:rsidR="00213E13" w:rsidRDefault="00213E13" w:rsidP="00213E13">
      <w:r>
        <w:t>The six areas of regulation are analysed separately in this chapter. However, each area also contributes to the broader environmental and public health benefit of improved waste management in Victoria (or the avoided costs of waste mismanagement outlined above). It is not feasible to attribute a numeric proportion of these wider avoided costs to each area. Therefore an MCA has been used to assess the options. However, where possible, there is brief discussion on the level of avoided waste mismanagement costs (using the estimates in previous section) that would be needed for the preferred option in each area</w:t>
      </w:r>
      <w:r w:rsidR="00934E67">
        <w:t>, as well as the overall package of preferred options,</w:t>
      </w:r>
      <w:r>
        <w:t xml:space="preserve"> to break even.</w:t>
      </w:r>
    </w:p>
    <w:p w14:paraId="656B056C" w14:textId="2E8F1D38" w:rsidR="009F12CD" w:rsidRDefault="009F12CD" w:rsidP="00213E13">
      <w:r>
        <w:t xml:space="preserve">Appendix </w:t>
      </w:r>
      <w:r w:rsidR="00324F19">
        <w:t>10</w:t>
      </w:r>
      <w:r>
        <w:t xml:space="preserve"> summarises how the proposed re</w:t>
      </w:r>
      <w:r w:rsidR="00C36F1B">
        <w:t>gulations (</w:t>
      </w:r>
      <w:r>
        <w:t xml:space="preserve">across the six key areas of </w:t>
      </w:r>
      <w:r w:rsidR="00C36F1B">
        <w:t>regulation)</w:t>
      </w:r>
      <w:r>
        <w:t xml:space="preserve"> would apply in relation to soil and fill material</w:t>
      </w:r>
      <w:r w:rsidR="00C36F1B">
        <w:t xml:space="preserve">, which </w:t>
      </w:r>
      <w:r w:rsidR="003B7B32">
        <w:t>has</w:t>
      </w:r>
      <w:r w:rsidR="00C36F1B">
        <w:t xml:space="preserve"> a high potential for mismanagement.</w:t>
      </w:r>
    </w:p>
    <w:p w14:paraId="656B056D" w14:textId="77777777" w:rsidR="00213E13" w:rsidRDefault="00213E13" w:rsidP="00982D63">
      <w:pPr>
        <w:pStyle w:val="Heading2"/>
      </w:pPr>
      <w:r>
        <w:t>Industrial waste classification</w:t>
      </w:r>
    </w:p>
    <w:p w14:paraId="656B056E" w14:textId="77777777" w:rsidR="009F12CD" w:rsidRPr="009F12CD" w:rsidRDefault="00677363" w:rsidP="00677363">
      <w:pPr>
        <w:pStyle w:val="Heading3"/>
        <w:ind w:left="720"/>
      </w:pPr>
      <w:r>
        <w:t>Options</w:t>
      </w:r>
    </w:p>
    <w:p w14:paraId="656B056F" w14:textId="77777777" w:rsidR="00DE092F" w:rsidRDefault="00DE092F" w:rsidP="00355E4A">
      <w:r>
        <w:t xml:space="preserve">Waste classification can be used to differentiate waste types and accordingly the risk of harms posed by the waste. However, it is challenging to achieve a truly risk based framework for classifying waste that is both underpinned by scientifically justified evidence and not overly complex and burdensome to implement. </w:t>
      </w:r>
    </w:p>
    <w:p w14:paraId="656B0570" w14:textId="77777777" w:rsidR="00355E4A" w:rsidRDefault="00355E4A" w:rsidP="00355E4A">
      <w:pPr>
        <w:rPr>
          <w:rFonts w:eastAsia="Arial" w:cs="Arial"/>
          <w:color w:val="000000" w:themeColor="text1"/>
        </w:rPr>
      </w:pPr>
      <w:r>
        <w:rPr>
          <w:rFonts w:eastAsia="Arial" w:cs="Arial"/>
          <w:lang w:val="en-US"/>
        </w:rPr>
        <w:t xml:space="preserve">In developing options for waste classification, DELWP and EPA compared Victoria with </w:t>
      </w:r>
      <w:r w:rsidR="008F33B7">
        <w:rPr>
          <w:rFonts w:eastAsia="Arial" w:cs="Arial"/>
          <w:lang w:val="en-US"/>
        </w:rPr>
        <w:t xml:space="preserve">how </w:t>
      </w:r>
      <w:r>
        <w:rPr>
          <w:rFonts w:eastAsia="Arial" w:cs="Arial"/>
          <w:lang w:val="en-US"/>
        </w:rPr>
        <w:t>other Australian and overseas jurisdictions define and categorize</w:t>
      </w:r>
      <w:r w:rsidR="008F33B7">
        <w:rPr>
          <w:rFonts w:eastAsia="Arial" w:cs="Arial"/>
          <w:lang w:val="en-US"/>
        </w:rPr>
        <w:t xml:space="preserve"> hazardous wastes</w:t>
      </w:r>
      <w:r>
        <w:rPr>
          <w:rFonts w:eastAsia="Arial" w:cs="Arial"/>
          <w:lang w:val="en-US"/>
        </w:rPr>
        <w:t xml:space="preserve">. </w:t>
      </w:r>
      <w:r>
        <w:rPr>
          <w:rFonts w:eastAsia="Arial" w:cs="Arial"/>
          <w:color w:val="000000" w:themeColor="text1"/>
        </w:rPr>
        <w:t xml:space="preserve">The assessment found that the current Victorian </w:t>
      </w:r>
      <w:r w:rsidR="000A75BE">
        <w:rPr>
          <w:rFonts w:eastAsia="Arial" w:cs="Arial"/>
          <w:color w:val="000000" w:themeColor="text1"/>
        </w:rPr>
        <w:t>waste classification</w:t>
      </w:r>
      <w:r>
        <w:rPr>
          <w:rFonts w:eastAsia="Arial" w:cs="Arial"/>
          <w:color w:val="000000" w:themeColor="text1"/>
        </w:rPr>
        <w:t xml:space="preserve"> framework leans toward a heavy reliance on testing for hazardous properties of the waste, rather than on a list of wastes based on presumed or perceived hazards. </w:t>
      </w:r>
      <w:r w:rsidR="00B10A9A">
        <w:t xml:space="preserve">This means that although the </w:t>
      </w:r>
      <w:r w:rsidR="000A75BE">
        <w:t>current framework</w:t>
      </w:r>
      <w:r w:rsidR="00B10A9A">
        <w:t xml:space="preserve"> may rank higher in terms of scientific justification for regulation, it ranks lower for complexity and compliance costs for the regime for industry.</w:t>
      </w:r>
    </w:p>
    <w:p w14:paraId="656B0571" w14:textId="77777777" w:rsidR="00355E4A" w:rsidRDefault="00355E4A" w:rsidP="00355E4A">
      <w:pPr>
        <w:rPr>
          <w:rFonts w:eastAsia="Arial"/>
        </w:rPr>
      </w:pPr>
      <w:r>
        <w:rPr>
          <w:lang w:eastAsia="ja-JP"/>
        </w:rPr>
        <w:t>To achieve an appropriate balance between scientific justification and ease of compliance and user experience</w:t>
      </w:r>
      <w:r>
        <w:rPr>
          <w:rFonts w:eastAsia="Arial" w:cs="Arial"/>
        </w:rPr>
        <w:t xml:space="preserve">, four objectives were identified for a waste classification </w:t>
      </w:r>
      <w:r>
        <w:rPr>
          <w:rFonts w:eastAsia="Arial"/>
        </w:rPr>
        <w:t xml:space="preserve">framework, which were subsequently used to develop the options. The objectives were: </w:t>
      </w:r>
    </w:p>
    <w:p w14:paraId="656B0572" w14:textId="77777777" w:rsidR="00355E4A" w:rsidRDefault="00355E4A" w:rsidP="00494A7B">
      <w:pPr>
        <w:numPr>
          <w:ilvl w:val="0"/>
          <w:numId w:val="196"/>
        </w:numPr>
        <w:spacing w:after="60" w:line="256" w:lineRule="auto"/>
        <w:ind w:left="714" w:hanging="357"/>
        <w:jc w:val="both"/>
        <w:rPr>
          <w:rFonts w:cstheme="minorHAnsi"/>
          <w:color w:val="000000" w:themeColor="text1"/>
        </w:rPr>
      </w:pPr>
      <w:r>
        <w:rPr>
          <w:rFonts w:eastAsia="Arial" w:cstheme="minorHAnsi"/>
          <w:color w:val="000000" w:themeColor="text1"/>
          <w:lang w:val="en-US"/>
        </w:rPr>
        <w:t>A risk-based framework which can be consistently applied and aids in protecting the environment and human health</w:t>
      </w:r>
      <w:r w:rsidR="00DA0FCF">
        <w:rPr>
          <w:rFonts w:eastAsia="Arial" w:cstheme="minorHAnsi"/>
          <w:color w:val="000000" w:themeColor="text1"/>
          <w:lang w:val="en-US"/>
        </w:rPr>
        <w:t>.</w:t>
      </w:r>
    </w:p>
    <w:p w14:paraId="656B0573" w14:textId="77777777" w:rsidR="00355E4A" w:rsidRDefault="00355E4A" w:rsidP="00494A7B">
      <w:pPr>
        <w:numPr>
          <w:ilvl w:val="0"/>
          <w:numId w:val="196"/>
        </w:numPr>
        <w:spacing w:after="60" w:line="256" w:lineRule="auto"/>
        <w:ind w:left="714" w:hanging="357"/>
        <w:jc w:val="both"/>
        <w:rPr>
          <w:rFonts w:cstheme="minorHAnsi"/>
        </w:rPr>
      </w:pPr>
      <w:r>
        <w:rPr>
          <w:rFonts w:eastAsia="Arial" w:cstheme="minorHAnsi"/>
          <w:color w:val="000000" w:themeColor="text1"/>
          <w:lang w:val="en-US"/>
        </w:rPr>
        <w:t>An approach that balances scientific justification with ease of interpretation and enables higher order outcomes (avoidance, reuse, recycling)</w:t>
      </w:r>
      <w:r w:rsidR="00DA0FCF">
        <w:rPr>
          <w:rFonts w:eastAsia="Arial" w:cstheme="minorHAnsi"/>
          <w:color w:val="000000" w:themeColor="text1"/>
          <w:lang w:val="en-US"/>
        </w:rPr>
        <w:t>.</w:t>
      </w:r>
    </w:p>
    <w:p w14:paraId="656B0574" w14:textId="77777777" w:rsidR="00355E4A" w:rsidRDefault="00355E4A" w:rsidP="00494A7B">
      <w:pPr>
        <w:numPr>
          <w:ilvl w:val="0"/>
          <w:numId w:val="196"/>
        </w:numPr>
        <w:spacing w:after="60" w:line="259" w:lineRule="auto"/>
        <w:ind w:left="714" w:hanging="357"/>
        <w:jc w:val="both"/>
        <w:rPr>
          <w:rFonts w:cstheme="minorHAnsi"/>
        </w:rPr>
      </w:pPr>
      <w:r>
        <w:rPr>
          <w:rFonts w:eastAsia="Arial" w:cstheme="minorHAnsi"/>
          <w:color w:val="000000" w:themeColor="text1"/>
          <w:lang w:val="en-US"/>
        </w:rPr>
        <w:t>Cost of the system is appropriate to risk from the hazard and use of the waste</w:t>
      </w:r>
      <w:r w:rsidR="00DA0FCF">
        <w:rPr>
          <w:rFonts w:eastAsia="Arial" w:cstheme="minorHAnsi"/>
          <w:color w:val="000000" w:themeColor="text1"/>
          <w:lang w:val="en-US"/>
        </w:rPr>
        <w:t>.</w:t>
      </w:r>
    </w:p>
    <w:p w14:paraId="656B0575" w14:textId="77777777" w:rsidR="00355E4A" w:rsidRPr="00064264" w:rsidRDefault="00355E4A" w:rsidP="00494A7B">
      <w:pPr>
        <w:numPr>
          <w:ilvl w:val="0"/>
          <w:numId w:val="196"/>
        </w:numPr>
        <w:spacing w:after="60" w:line="259" w:lineRule="auto"/>
        <w:ind w:left="714" w:hanging="357"/>
        <w:jc w:val="both"/>
      </w:pPr>
      <w:r>
        <w:rPr>
          <w:rFonts w:eastAsia="Arial" w:cstheme="minorHAnsi"/>
          <w:color w:val="000000" w:themeColor="text1"/>
          <w:lang w:val="en-US"/>
        </w:rPr>
        <w:t>A framework that is future proofed for emerging wastes and new technologies.</w:t>
      </w:r>
    </w:p>
    <w:p w14:paraId="656B0576" w14:textId="77777777" w:rsidR="00355E4A" w:rsidRDefault="00355E4A" w:rsidP="00677363">
      <w:r>
        <w:t>To provide a consistent and appropriate process to classify industrial waste, two options are considered in addition to the Base Case.</w:t>
      </w:r>
    </w:p>
    <w:p w14:paraId="656B0577" w14:textId="77777777" w:rsidR="00213E13" w:rsidRDefault="00213E13" w:rsidP="00213E13">
      <w:pPr>
        <w:pStyle w:val="ListParagraph"/>
        <w:numPr>
          <w:ilvl w:val="0"/>
          <w:numId w:val="92"/>
        </w:numPr>
      </w:pPr>
      <w:r>
        <w:rPr>
          <w:b/>
        </w:rPr>
        <w:t>Base C</w:t>
      </w:r>
      <w:r w:rsidRPr="00A27A5A">
        <w:rPr>
          <w:b/>
        </w:rPr>
        <w:t>ase</w:t>
      </w:r>
      <w:r>
        <w:t xml:space="preserve">: </w:t>
      </w:r>
      <w:r w:rsidR="00822B51">
        <w:t>In the absence of regulations</w:t>
      </w:r>
      <w:r w:rsidRPr="00574F78">
        <w:t>, waste classificat</w:t>
      </w:r>
      <w:r>
        <w:t xml:space="preserve">ion reverts to the </w:t>
      </w:r>
      <w:r w:rsidR="00822B51">
        <w:t xml:space="preserve">new EP legislation </w:t>
      </w:r>
      <w:r>
        <w:t xml:space="preserve">where </w:t>
      </w:r>
      <w:r w:rsidRPr="00574F78">
        <w:t>only Municipal Waste and Industrial Waste are defined</w:t>
      </w:r>
      <w:r>
        <w:t>. This means that there would be no process by which to assign a waste as priority or reportable priority waste.</w:t>
      </w:r>
    </w:p>
    <w:p w14:paraId="656B0578" w14:textId="77777777" w:rsidR="00213E13" w:rsidRDefault="00213E13" w:rsidP="00213E13">
      <w:pPr>
        <w:pStyle w:val="ListParagraph"/>
        <w:numPr>
          <w:ilvl w:val="0"/>
          <w:numId w:val="92"/>
        </w:numPr>
        <w:spacing w:after="170"/>
      </w:pPr>
      <w:r w:rsidRPr="00A27A5A">
        <w:rPr>
          <w:b/>
        </w:rPr>
        <w:t>Option 1</w:t>
      </w:r>
      <w:r>
        <w:t xml:space="preserve">: </w:t>
      </w:r>
      <w:r w:rsidRPr="000E7C5E">
        <w:rPr>
          <w:b/>
        </w:rPr>
        <w:t>A science-based testing regime</w:t>
      </w:r>
      <w:r>
        <w:t>. This would require industrial waste generators to sample, analyse and classify waste for all hazardous properties upon entering new industrial waste contracts/commercial arrangements and upon any material change to their waste composition. This option is similar to the classification process under the current regime and represents a translation of the existing framework. There would be a primary reliance on chemical analysis of wastes for classification, which increases the complexity but is based on a scientifically robust set of contaminants and thresholds that are linked to the inherent hazard properties of the waste. This option would have a limited set of pre-classified wastes that would not require sampling. These pre-classified wastes would sit at either end of the hazard spectrum where a set of low hazard wastes are defined as industrial wastes only and a set of high hazard defined as Category A and/or priority wastes.</w:t>
      </w:r>
    </w:p>
    <w:p w14:paraId="656B0579" w14:textId="77777777" w:rsidR="00213E13" w:rsidRDefault="00213E13" w:rsidP="00213E13">
      <w:pPr>
        <w:pStyle w:val="ListParagraph"/>
        <w:numPr>
          <w:ilvl w:val="0"/>
          <w:numId w:val="92"/>
        </w:numPr>
        <w:spacing w:after="170"/>
      </w:pPr>
      <w:r w:rsidRPr="002110FF">
        <w:rPr>
          <w:b/>
          <w:bCs/>
        </w:rPr>
        <w:t>Option 2</w:t>
      </w:r>
      <w:r>
        <w:t xml:space="preserve">: </w:t>
      </w:r>
      <w:r w:rsidRPr="000E7C5E">
        <w:rPr>
          <w:b/>
        </w:rPr>
        <w:t>A tiered classification pathway</w:t>
      </w:r>
      <w:r>
        <w:t xml:space="preserve">, which is modelled </w:t>
      </w:r>
      <w:r w:rsidRPr="00717C2E">
        <w:t>on the European Union’s (EU) approach</w:t>
      </w:r>
      <w:r>
        <w:t xml:space="preserve"> to waste classification</w:t>
      </w:r>
      <w:r w:rsidR="00B73629">
        <w:rPr>
          <w:rStyle w:val="FootnoteReference"/>
        </w:rPr>
        <w:footnoteReference w:id="166"/>
      </w:r>
      <w:r>
        <w:t xml:space="preserve"> but adapted to the Victorian context. </w:t>
      </w:r>
      <w:r w:rsidRPr="00FD1901">
        <w:t>The intention is to provide detailed supporting guidance which guides the user through the classification process to understand their waste and identify its source, type and classification as priority, reportable priority or industrial waste.</w:t>
      </w:r>
    </w:p>
    <w:p w14:paraId="656B057A" w14:textId="77777777" w:rsidR="00213E13" w:rsidRDefault="00213E13" w:rsidP="00822B51">
      <w:pPr>
        <w:pStyle w:val="ListParagraph"/>
        <w:numPr>
          <w:ilvl w:val="1"/>
          <w:numId w:val="92"/>
        </w:numPr>
        <w:spacing w:after="170"/>
        <w:ind w:left="1134" w:hanging="425"/>
      </w:pPr>
      <w:r>
        <w:t>Tier 1 would be the m</w:t>
      </w:r>
      <w:r w:rsidRPr="00F33CCD">
        <w:t xml:space="preserve">ost commonly generated wastes </w:t>
      </w:r>
      <w:r w:rsidR="004B6061">
        <w:t xml:space="preserve">which will be specified in regulation </w:t>
      </w:r>
      <w:r w:rsidR="00757B22">
        <w:t>(i.e. ‘pre-classified’)</w:t>
      </w:r>
      <w:r w:rsidR="004B6061">
        <w:t xml:space="preserve"> as</w:t>
      </w:r>
      <w:r>
        <w:t xml:space="preserve"> industrial, priority and reportable priority w</w:t>
      </w:r>
      <w:r w:rsidRPr="00F33CCD">
        <w:t>astes</w:t>
      </w:r>
      <w:r w:rsidR="00323DB0">
        <w:t xml:space="preserve">, and therefore not require </w:t>
      </w:r>
      <w:r w:rsidR="00AA2D2F">
        <w:t xml:space="preserve">a process of </w:t>
      </w:r>
      <w:r w:rsidR="00542864">
        <w:t>sa</w:t>
      </w:r>
      <w:r w:rsidR="00286F9C">
        <w:t>mpling or further analysis by industrial waste generators</w:t>
      </w:r>
      <w:r w:rsidR="00F33922">
        <w:t xml:space="preserve"> unless disposal at landfill is required</w:t>
      </w:r>
      <w:r w:rsidR="00286F9C">
        <w:t xml:space="preserve">. </w:t>
      </w:r>
      <w:r w:rsidR="001E3FEB">
        <w:t>Th</w:t>
      </w:r>
      <w:r w:rsidR="00286F9C">
        <w:t>e wastes in this t</w:t>
      </w:r>
      <w:r w:rsidR="00AA2D2F">
        <w:t>ie</w:t>
      </w:r>
      <w:r w:rsidR="00286F9C">
        <w:t>r have been determined</w:t>
      </w:r>
      <w:r w:rsidRPr="00F33CCD">
        <w:t xml:space="preserve"> based on EPA’s assessment of the hazard of the waste an</w:t>
      </w:r>
      <w:r>
        <w:t>d potential for mismanagement</w:t>
      </w:r>
      <w:r w:rsidR="00DC7A63">
        <w:t xml:space="preserve">. </w:t>
      </w:r>
      <w:r w:rsidR="0003055A">
        <w:t>Similar to the EU system, a</w:t>
      </w:r>
      <w:r w:rsidR="00BD5F29">
        <w:t xml:space="preserve"> small selection of wastes will be identified as </w:t>
      </w:r>
      <w:r w:rsidR="00D44BD1">
        <w:t>‘</w:t>
      </w:r>
      <w:r w:rsidR="00BD5F29">
        <w:t>mirror’ codes due to their potential to vary in the level of hazard (see below). There are four pairs of mirror codes proposed under this option.</w:t>
      </w:r>
      <w:r w:rsidR="00D220B9" w:rsidRPr="00D220B9">
        <w:rPr>
          <w:bCs/>
        </w:rPr>
        <w:t xml:space="preserve"> </w:t>
      </w:r>
      <w:r w:rsidR="00D220B9" w:rsidRPr="00CE76B5">
        <w:rPr>
          <w:bCs/>
        </w:rPr>
        <w:t xml:space="preserve">Mirror codes are wastes </w:t>
      </w:r>
      <w:r w:rsidR="00D220B9">
        <w:t>which have potentially varying levels of hazard and can be hazardous or non-hazardous.</w:t>
      </w:r>
    </w:p>
    <w:p w14:paraId="656B057B" w14:textId="77777777" w:rsidR="00213E13" w:rsidRDefault="00213E13" w:rsidP="00822B51">
      <w:pPr>
        <w:pStyle w:val="ListParagraph"/>
        <w:numPr>
          <w:ilvl w:val="1"/>
          <w:numId w:val="92"/>
        </w:numPr>
        <w:spacing w:after="170"/>
        <w:ind w:left="1134" w:hanging="425"/>
      </w:pPr>
      <w:r>
        <w:t xml:space="preserve">Tier 2 would be those that are </w:t>
      </w:r>
      <w:r w:rsidRPr="00F33CCD">
        <w:t>not pre-classified (</w:t>
      </w:r>
      <w:r>
        <w:t xml:space="preserve">because </w:t>
      </w:r>
      <w:r w:rsidR="00B20CC5">
        <w:t>they are</w:t>
      </w:r>
      <w:r w:rsidRPr="00F33CCD">
        <w:t xml:space="preserve"> </w:t>
      </w:r>
      <w:r>
        <w:t xml:space="preserve">either </w:t>
      </w:r>
      <w:r w:rsidRPr="00F33CCD">
        <w:t xml:space="preserve">identified as a ‘mirror’ code or </w:t>
      </w:r>
      <w:r w:rsidR="00B20CC5">
        <w:t>are</w:t>
      </w:r>
      <w:r w:rsidRPr="00F33CCD">
        <w:t xml:space="preserve"> not identified on the </w:t>
      </w:r>
      <w:r>
        <w:t>pre-classified list). For these waste types,</w:t>
      </w:r>
      <w:r w:rsidRPr="00F33CCD">
        <w:t xml:space="preserve"> a hazard </w:t>
      </w:r>
      <w:r>
        <w:t xml:space="preserve">classification process applies </w:t>
      </w:r>
      <w:r w:rsidR="00D44BD1">
        <w:t xml:space="preserve">and </w:t>
      </w:r>
      <w:r w:rsidR="001F4098">
        <w:t>t</w:t>
      </w:r>
      <w:r w:rsidR="004B6EB2">
        <w:t>he</w:t>
      </w:r>
      <w:r>
        <w:t xml:space="preserve"> </w:t>
      </w:r>
      <w:r w:rsidR="00FD5EBB">
        <w:t>level of hazard</w:t>
      </w:r>
      <w:r>
        <w:t xml:space="preserve"> in the waste needs to be assessed via a set of EPA-defined criteria or a Hazardous Properties Assessment </w:t>
      </w:r>
      <w:r w:rsidR="00472D9F">
        <w:t xml:space="preserve">(to be published in an incorporated document under the Regulations) </w:t>
      </w:r>
      <w:r>
        <w:t xml:space="preserve">to determine the waste classification. Depending on the outcome of the assessment the waste will be classified using either the </w:t>
      </w:r>
      <w:r w:rsidR="00D44BD1">
        <w:t>‘</w:t>
      </w:r>
      <w:r>
        <w:t>mirror hazardous</w:t>
      </w:r>
      <w:r w:rsidR="00D44BD1">
        <w:t>’</w:t>
      </w:r>
      <w:r>
        <w:t xml:space="preserve"> or </w:t>
      </w:r>
      <w:r w:rsidR="00D44BD1">
        <w:t>‘</w:t>
      </w:r>
      <w:r>
        <w:t>mirror non-hazardous</w:t>
      </w:r>
      <w:r w:rsidR="00D44BD1">
        <w:t>’</w:t>
      </w:r>
      <w:r>
        <w:t xml:space="preserve"> code.</w:t>
      </w:r>
      <w:r w:rsidR="00D53438" w:rsidDel="00610957">
        <w:t xml:space="preserve"> </w:t>
      </w:r>
      <w:r w:rsidR="00447DFE">
        <w:t xml:space="preserve">Where appropriate a new code may be issued </w:t>
      </w:r>
      <w:r w:rsidR="00560347">
        <w:t>via the designation process (see below).</w:t>
      </w:r>
    </w:p>
    <w:p w14:paraId="656B057C" w14:textId="77777777" w:rsidR="00213E13" w:rsidRDefault="00213E13" w:rsidP="00822B51">
      <w:pPr>
        <w:pStyle w:val="ListParagraph"/>
        <w:numPr>
          <w:ilvl w:val="1"/>
          <w:numId w:val="92"/>
        </w:numPr>
        <w:spacing w:after="170"/>
        <w:ind w:left="1134" w:hanging="425"/>
      </w:pPr>
      <w:r>
        <w:t>Tier 3 concerns hazardous wastes destined for landfill</w:t>
      </w:r>
      <w:r w:rsidR="00560347">
        <w:t xml:space="preserve"> </w:t>
      </w:r>
      <w:r w:rsidR="007D190D">
        <w:t>(or on-site containment in the case of contaminated soils)</w:t>
      </w:r>
      <w:r>
        <w:t>, where accurate categorisation is required to determine appropriate landfill for disposal.</w:t>
      </w:r>
      <w:r w:rsidRPr="00F33CCD">
        <w:t xml:space="preserve"> </w:t>
      </w:r>
      <w:r w:rsidR="002A7E6E">
        <w:t>For wastes classified as priority and reportable priority waste</w:t>
      </w:r>
      <w:r w:rsidR="00B34EB7">
        <w:t xml:space="preserve">, either when </w:t>
      </w:r>
      <w:r w:rsidR="00595D4F">
        <w:t xml:space="preserve">sent to landfill or </w:t>
      </w:r>
      <w:r w:rsidR="00B34EB7">
        <w:t xml:space="preserve">for </w:t>
      </w:r>
      <w:r w:rsidR="00595D4F">
        <w:t>on-site containment</w:t>
      </w:r>
      <w:r>
        <w:t xml:space="preserve">, the wastes </w:t>
      </w:r>
      <w:r w:rsidRPr="00F33CCD">
        <w:t>must be</w:t>
      </w:r>
      <w:r>
        <w:t xml:space="preserve"> further</w:t>
      </w:r>
      <w:r w:rsidRPr="00F33CCD">
        <w:t xml:space="preserve"> categorised </w:t>
      </w:r>
      <w:r w:rsidRPr="00FD1901">
        <w:t xml:space="preserve">as Category A, B, </w:t>
      </w:r>
      <w:r w:rsidR="00595D4F">
        <w:t>C, D or soil containing asbestos</w:t>
      </w:r>
      <w:r w:rsidRPr="00FD1901">
        <w:t xml:space="preserve"> </w:t>
      </w:r>
      <w:r>
        <w:t xml:space="preserve">through a </w:t>
      </w:r>
      <w:r w:rsidRPr="00F33CCD">
        <w:t>sampling and analysis regime.</w:t>
      </w:r>
      <w:r>
        <w:t xml:space="preserve"> </w:t>
      </w:r>
    </w:p>
    <w:p w14:paraId="656B057D" w14:textId="77777777" w:rsidR="00A11D28" w:rsidRDefault="00A11D28" w:rsidP="00213E13">
      <w:pPr>
        <w:pStyle w:val="ListParagraph"/>
        <w:spacing w:after="160" w:line="259" w:lineRule="auto"/>
        <w:textboxTightWrap w:val="none"/>
      </w:pPr>
    </w:p>
    <w:p w14:paraId="656B057E" w14:textId="77777777" w:rsidR="00213E13" w:rsidRPr="00CE76B5" w:rsidRDefault="00213E13" w:rsidP="00213E13">
      <w:pPr>
        <w:pStyle w:val="ListParagraph"/>
        <w:spacing w:after="160" w:line="259" w:lineRule="auto"/>
        <w:textboxTightWrap w:val="none"/>
      </w:pPr>
      <w:r>
        <w:t>Option 2 would also allow for a designation process (either EPA initiated or applicant initiated). Designation allows for flexibility in certain circumstances on the application of waste duties or controls and re-classification of waste or re-categorisation of waste where appropriate.</w:t>
      </w:r>
      <w:r w:rsidRPr="007E1BD5">
        <w:t xml:space="preserve"> </w:t>
      </w:r>
      <w:r>
        <w:t>Designations are intended to resolve instances of undue regulatory burden. For example, a waste designation might capture situations where the risk from the hazard can be reduced through certain management practices or due to the pathway/destination.</w:t>
      </w:r>
    </w:p>
    <w:p w14:paraId="656B057F" w14:textId="77777777" w:rsidR="00213E13" w:rsidRDefault="00A11D28" w:rsidP="00481373">
      <w:pPr>
        <w:pStyle w:val="Heading3"/>
        <w:ind w:left="720"/>
      </w:pPr>
      <w:r>
        <w:t xml:space="preserve">Detailed </w:t>
      </w:r>
      <w:r w:rsidR="00213E13">
        <w:t>assessment</w:t>
      </w:r>
    </w:p>
    <w:p w14:paraId="656B0580" w14:textId="77777777" w:rsidR="00DA58E5" w:rsidRDefault="00DA58E5" w:rsidP="00DA58E5">
      <w:pPr>
        <w:pStyle w:val="Heading4"/>
      </w:pPr>
      <w:r>
        <w:t>Assumptions</w:t>
      </w:r>
    </w:p>
    <w:p w14:paraId="656B0581" w14:textId="77777777" w:rsidR="00DA58E5" w:rsidRDefault="00DA58E5" w:rsidP="00DA58E5">
      <w:r>
        <w:t>The approaches for costing waste classification options share some common assumptions. Assumptions are based on average business costs, and it is recognised that individual business costs will range considerably depending on business size and waste complexity. The common assumptions include:</w:t>
      </w:r>
    </w:p>
    <w:p w14:paraId="656B0582" w14:textId="77777777" w:rsidR="00DA58E5" w:rsidRPr="00D96322" w:rsidRDefault="00DA58E5" w:rsidP="00DA58E5">
      <w:pPr>
        <w:spacing w:after="0"/>
        <w:rPr>
          <w:i/>
        </w:rPr>
      </w:pPr>
      <w:r>
        <w:rPr>
          <w:i/>
        </w:rPr>
        <w:t>Business costs</w:t>
      </w:r>
      <w:r w:rsidR="000577C6">
        <w:rPr>
          <w:i/>
        </w:rPr>
        <w:t xml:space="preserve"> – shared assumptions</w:t>
      </w:r>
    </w:p>
    <w:p w14:paraId="656B0583" w14:textId="77777777" w:rsidR="00DA58E5" w:rsidRPr="004E20F3" w:rsidRDefault="00DA58E5" w:rsidP="00DA58E5">
      <w:pPr>
        <w:pStyle w:val="ListParagraph"/>
        <w:numPr>
          <w:ilvl w:val="0"/>
          <w:numId w:val="92"/>
        </w:numPr>
      </w:pPr>
      <w:r>
        <w:t xml:space="preserve">No. of industrial </w:t>
      </w:r>
      <w:r w:rsidRPr="004E20F3">
        <w:t xml:space="preserve">waste generators – </w:t>
      </w:r>
      <w:r w:rsidRPr="004E20F3">
        <w:rPr>
          <w:b/>
        </w:rPr>
        <w:t>430,088</w:t>
      </w:r>
      <w:r w:rsidRPr="004E20F3">
        <w:t xml:space="preserve"> (Source: ABS C&amp;I, C&amp;D and manufacturing business counts &gt;$50</w:t>
      </w:r>
      <w:r w:rsidR="00D44BD1">
        <w:t>,000</w:t>
      </w:r>
      <w:r w:rsidRPr="004E20F3">
        <w:t xml:space="preserve"> turnover)</w:t>
      </w:r>
      <w:r w:rsidR="00D44BD1">
        <w:t>.</w:t>
      </w:r>
    </w:p>
    <w:p w14:paraId="656B0584" w14:textId="77777777" w:rsidR="00DA58E5" w:rsidRPr="003F1D7D" w:rsidRDefault="00DA58E5" w:rsidP="00DA58E5">
      <w:pPr>
        <w:pStyle w:val="ListParagraph"/>
        <w:numPr>
          <w:ilvl w:val="0"/>
          <w:numId w:val="92"/>
        </w:numPr>
      </w:pPr>
      <w:r w:rsidRPr="003F1D7D">
        <w:t>No. of ‘waste classification events’ which is informed by:</w:t>
      </w:r>
    </w:p>
    <w:p w14:paraId="656B0585" w14:textId="77777777" w:rsidR="00DA58E5" w:rsidRPr="004E20F3" w:rsidRDefault="00DA58E5" w:rsidP="00DA58E5">
      <w:pPr>
        <w:pStyle w:val="ListParagraph"/>
        <w:numPr>
          <w:ilvl w:val="1"/>
          <w:numId w:val="92"/>
        </w:numPr>
        <w:spacing w:after="0"/>
        <w:ind w:left="993" w:hanging="284"/>
      </w:pPr>
      <w:r w:rsidRPr="004E20F3">
        <w:t xml:space="preserve">No. of industrial waste management contracts or other commercial arrangements – </w:t>
      </w:r>
      <w:r w:rsidRPr="004E20F3">
        <w:rPr>
          <w:b/>
        </w:rPr>
        <w:t>166,323</w:t>
      </w:r>
      <w:r w:rsidRPr="004E20F3">
        <w:t xml:space="preserve"> (Source: EPA analysis based on business counts to contract ratios)</w:t>
      </w:r>
    </w:p>
    <w:p w14:paraId="656B0586" w14:textId="77777777" w:rsidR="00DA58E5" w:rsidRDefault="00DA58E5" w:rsidP="00DA58E5">
      <w:pPr>
        <w:pStyle w:val="ListParagraph"/>
        <w:numPr>
          <w:ilvl w:val="1"/>
          <w:numId w:val="92"/>
        </w:numPr>
        <w:spacing w:after="0"/>
        <w:ind w:left="993" w:hanging="284"/>
      </w:pPr>
      <w:r w:rsidRPr="004E20F3">
        <w:t xml:space="preserve">Average waste management contract or commercial arrangement renewal – </w:t>
      </w:r>
      <w:r w:rsidRPr="004E20F3">
        <w:rPr>
          <w:b/>
        </w:rPr>
        <w:t>3 years</w:t>
      </w:r>
      <w:r w:rsidRPr="004E20F3">
        <w:t xml:space="preserve"> (Source</w:t>
      </w:r>
      <w:r>
        <w:t>: EPA estimate)</w:t>
      </w:r>
    </w:p>
    <w:p w14:paraId="656B0587" w14:textId="77777777" w:rsidR="00DA58E5" w:rsidRDefault="00DA58E5" w:rsidP="00DA58E5">
      <w:pPr>
        <w:pStyle w:val="ListParagraph"/>
        <w:numPr>
          <w:ilvl w:val="0"/>
          <w:numId w:val="92"/>
        </w:numPr>
      </w:pPr>
      <w:r>
        <w:t xml:space="preserve">Average sampling costs per industrial waste classification event (includes; staff time in sampling waste and record-keeping; sampling equipment costs; and laboratory </w:t>
      </w:r>
      <w:r w:rsidRPr="007E1BBC">
        <w:t xml:space="preserve">analysis costs) - </w:t>
      </w:r>
      <w:r w:rsidRPr="007E1BBC">
        <w:rPr>
          <w:b/>
        </w:rPr>
        <w:t>$3,500</w:t>
      </w:r>
      <w:r w:rsidRPr="007E1BBC">
        <w:t xml:space="preserve"> (Source: Deloitte survey).</w:t>
      </w:r>
    </w:p>
    <w:p w14:paraId="656B0588" w14:textId="77777777" w:rsidR="00DA58E5" w:rsidRDefault="00DA58E5" w:rsidP="00DA58E5">
      <w:pPr>
        <w:pStyle w:val="ListParagraph"/>
        <w:numPr>
          <w:ilvl w:val="0"/>
          <w:numId w:val="92"/>
        </w:numPr>
      </w:pPr>
      <w:r>
        <w:t>Pre-classification costs per waste classification event (</w:t>
      </w:r>
      <w:r w:rsidRPr="007E1BBC">
        <w:t xml:space="preserve">includes time for staff to identify wastes on a pre-classified list and keep adequate records of this classification) - </w:t>
      </w:r>
      <w:r w:rsidRPr="007E1BBC">
        <w:rPr>
          <w:b/>
        </w:rPr>
        <w:t>$50</w:t>
      </w:r>
      <w:r w:rsidRPr="007E1BBC">
        <w:t xml:space="preserve"> </w:t>
      </w:r>
      <w:r>
        <w:t>(Source: Deloitte survey).</w:t>
      </w:r>
    </w:p>
    <w:p w14:paraId="656B0589" w14:textId="77777777" w:rsidR="00DA58E5" w:rsidRDefault="00DA58E5" w:rsidP="00DA58E5">
      <w:pPr>
        <w:pStyle w:val="ListParagraph"/>
        <w:numPr>
          <w:ilvl w:val="0"/>
          <w:numId w:val="92"/>
        </w:numPr>
      </w:pPr>
      <w:r>
        <w:t xml:space="preserve">Hazard assessment costs per waste classification event (Option 2, Tier 2) relating principally to mirror codes or codes not on pre-classified list - </w:t>
      </w:r>
      <w:r w:rsidRPr="001B3151">
        <w:rPr>
          <w:b/>
        </w:rPr>
        <w:t>$1,500</w:t>
      </w:r>
      <w:r>
        <w:t xml:space="preserve"> (Deloitte survey).</w:t>
      </w:r>
    </w:p>
    <w:p w14:paraId="656B058A" w14:textId="77777777" w:rsidR="00DA58E5" w:rsidRDefault="00DA58E5" w:rsidP="00DA58E5">
      <w:pPr>
        <w:pStyle w:val="ListParagraph"/>
        <w:numPr>
          <w:ilvl w:val="0"/>
          <w:numId w:val="92"/>
        </w:numPr>
      </w:pPr>
      <w:r>
        <w:t xml:space="preserve">Average staff training and implementation costs per industrial waste generator to understand the waste classification framework only - </w:t>
      </w:r>
      <w:r w:rsidRPr="007E1BBC">
        <w:rPr>
          <w:b/>
        </w:rPr>
        <w:t>$</w:t>
      </w:r>
      <w:r w:rsidR="00F126E3">
        <w:rPr>
          <w:b/>
        </w:rPr>
        <w:t>400</w:t>
      </w:r>
      <w:r>
        <w:t xml:space="preserve"> (Source: </w:t>
      </w:r>
      <w:r w:rsidRPr="00045BCE">
        <w:t>estimate</w:t>
      </w:r>
      <w:r w:rsidR="009D1151">
        <w:t xml:space="preserve"> based on discussion with </w:t>
      </w:r>
      <w:r w:rsidR="000F616B">
        <w:t xml:space="preserve">DELWP and </w:t>
      </w:r>
      <w:r w:rsidR="009D1151">
        <w:t>EPA</w:t>
      </w:r>
      <w:r>
        <w:t xml:space="preserve">, 1 day (8 hours) </w:t>
      </w:r>
      <w:r w:rsidRPr="00045BCE">
        <w:t>@ $</w:t>
      </w:r>
      <w:r w:rsidR="000405EE">
        <w:t>50</w:t>
      </w:r>
      <w:r>
        <w:t xml:space="preserve"> per hour – average Victorian hourly wage</w:t>
      </w:r>
      <w:r w:rsidR="000405EE">
        <w:t xml:space="preserve"> including </w:t>
      </w:r>
      <w:r w:rsidR="00EA09FA">
        <w:t xml:space="preserve">overheads and </w:t>
      </w:r>
      <w:r w:rsidR="00E7560C">
        <w:t>on-costs</w:t>
      </w:r>
      <w:r>
        <w:t>).</w:t>
      </w:r>
      <w:r w:rsidR="00EA09FA">
        <w:t xml:space="preserve"> The average Victorian hourly wage rate is $34 per hour.</w:t>
      </w:r>
      <w:r w:rsidR="00EA09FA">
        <w:rPr>
          <w:rStyle w:val="FootnoteReference"/>
        </w:rPr>
        <w:footnoteReference w:id="167"/>
      </w:r>
    </w:p>
    <w:p w14:paraId="656B058B" w14:textId="77777777" w:rsidR="000577C6" w:rsidRDefault="000577C6" w:rsidP="00E0490C">
      <w:pPr>
        <w:spacing w:after="0"/>
        <w:rPr>
          <w:i/>
        </w:rPr>
      </w:pPr>
      <w:r w:rsidRPr="00BF51BD">
        <w:rPr>
          <w:i/>
        </w:rPr>
        <w:t xml:space="preserve">Costs to </w:t>
      </w:r>
      <w:r>
        <w:rPr>
          <w:i/>
        </w:rPr>
        <w:t>business – Option 1 assumptions</w:t>
      </w:r>
    </w:p>
    <w:p w14:paraId="656B058C" w14:textId="77777777" w:rsidR="000577C6" w:rsidRDefault="000577C6" w:rsidP="000577C6">
      <w:r>
        <w:t xml:space="preserve">The business cohort affected by </w:t>
      </w:r>
      <w:r w:rsidRPr="00DA58E5">
        <w:rPr>
          <w:b/>
        </w:rPr>
        <w:t>Option 1</w:t>
      </w:r>
      <w:r>
        <w:t xml:space="preserve"> includes industrial waste generators with the main costs being sampling, testing and analysis of industrial waste consignments. Key assumptions for the analysis include:</w:t>
      </w:r>
    </w:p>
    <w:p w14:paraId="656B058D" w14:textId="77777777" w:rsidR="000577C6" w:rsidRPr="00BB164B" w:rsidRDefault="000577C6" w:rsidP="000577C6">
      <w:pPr>
        <w:pStyle w:val="ListParagraph"/>
        <w:numPr>
          <w:ilvl w:val="0"/>
          <w:numId w:val="92"/>
        </w:numPr>
      </w:pPr>
      <w:r>
        <w:t xml:space="preserve">% of industrial waste </w:t>
      </w:r>
      <w:r w:rsidRPr="00BB164B">
        <w:t xml:space="preserve">classification events that would be pre-classified – </w:t>
      </w:r>
      <w:r w:rsidRPr="001B3151">
        <w:rPr>
          <w:b/>
        </w:rPr>
        <w:t>6</w:t>
      </w:r>
      <w:r w:rsidRPr="00BB164B">
        <w:rPr>
          <w:b/>
        </w:rPr>
        <w:t>0%</w:t>
      </w:r>
      <w:r w:rsidRPr="00BB164B">
        <w:t xml:space="preserve"> (Source: Deloitte estimate</w:t>
      </w:r>
      <w:r w:rsidRPr="00045BCE">
        <w:t xml:space="preserve"> based on </w:t>
      </w:r>
      <w:r w:rsidR="009D1151">
        <w:t>discussion</w:t>
      </w:r>
      <w:r w:rsidR="00D44BD1">
        <w:t>s</w:t>
      </w:r>
      <w:r w:rsidR="009D1151">
        <w:t xml:space="preserve"> with </w:t>
      </w:r>
      <w:r w:rsidR="000F616B">
        <w:t xml:space="preserve">DELWP and </w:t>
      </w:r>
      <w:r w:rsidR="009D1151">
        <w:t xml:space="preserve">EPA and assuming </w:t>
      </w:r>
      <w:r w:rsidR="00D44BD1">
        <w:t xml:space="preserve">the </w:t>
      </w:r>
      <w:r w:rsidRPr="00045BCE">
        <w:t xml:space="preserve">majority of waste types </w:t>
      </w:r>
      <w:r w:rsidR="00D44BD1">
        <w:t>is</w:t>
      </w:r>
      <w:r w:rsidR="00D44BD1" w:rsidRPr="00045BCE">
        <w:t xml:space="preserve"> </w:t>
      </w:r>
      <w:r w:rsidRPr="00045BCE">
        <w:t>readily identifiable</w:t>
      </w:r>
      <w:r>
        <w:t xml:space="preserve"> without need for sampling</w:t>
      </w:r>
      <w:r w:rsidRPr="00045BCE">
        <w:t>)</w:t>
      </w:r>
      <w:r w:rsidR="00D44BD1">
        <w:t>.</w:t>
      </w:r>
      <w:r w:rsidRPr="00045BCE">
        <w:t xml:space="preserve"> </w:t>
      </w:r>
    </w:p>
    <w:p w14:paraId="656B058E" w14:textId="77777777" w:rsidR="000577C6" w:rsidRDefault="000577C6" w:rsidP="000577C6">
      <w:pPr>
        <w:pStyle w:val="ListParagraph"/>
        <w:numPr>
          <w:ilvl w:val="0"/>
          <w:numId w:val="92"/>
        </w:numPr>
      </w:pPr>
      <w:r w:rsidRPr="00BB164B">
        <w:t xml:space="preserve">% of industrial waste classification events that would be sampled – </w:t>
      </w:r>
      <w:r w:rsidRPr="001B3151">
        <w:rPr>
          <w:b/>
        </w:rPr>
        <w:t>4</w:t>
      </w:r>
      <w:r w:rsidRPr="00BB164B">
        <w:rPr>
          <w:b/>
        </w:rPr>
        <w:t>0%</w:t>
      </w:r>
      <w:r w:rsidRPr="00BB164B">
        <w:t xml:space="preserve"> (Source: Deloitte estimate</w:t>
      </w:r>
      <w:r w:rsidR="009D1151">
        <w:t xml:space="preserve"> based on discussion</w:t>
      </w:r>
      <w:r w:rsidR="00D44BD1">
        <w:t>s</w:t>
      </w:r>
      <w:r w:rsidR="009D1151">
        <w:t xml:space="preserve"> with </w:t>
      </w:r>
      <w:r w:rsidR="000F616B">
        <w:t xml:space="preserve">DELWP and </w:t>
      </w:r>
      <w:r w:rsidR="009D1151">
        <w:t>EPA</w:t>
      </w:r>
      <w:r w:rsidRPr="00BB164B">
        <w:t>)</w:t>
      </w:r>
      <w:r w:rsidR="00D44BD1">
        <w:t>.</w:t>
      </w:r>
    </w:p>
    <w:p w14:paraId="656B058F" w14:textId="77777777" w:rsidR="000577C6" w:rsidRPr="000577C6" w:rsidRDefault="000577C6" w:rsidP="00E0490C">
      <w:pPr>
        <w:spacing w:after="0"/>
        <w:rPr>
          <w:i/>
        </w:rPr>
      </w:pPr>
      <w:r w:rsidRPr="000577C6">
        <w:rPr>
          <w:i/>
        </w:rPr>
        <w:t xml:space="preserve">Costs to business – Option </w:t>
      </w:r>
      <w:r>
        <w:rPr>
          <w:i/>
        </w:rPr>
        <w:t>2 assumptions</w:t>
      </w:r>
    </w:p>
    <w:p w14:paraId="656B0590" w14:textId="77777777" w:rsidR="000577C6" w:rsidRDefault="000577C6" w:rsidP="00494A7B">
      <w:r>
        <w:t xml:space="preserve">The business cohort affected by </w:t>
      </w:r>
      <w:r w:rsidRPr="00DA58E5">
        <w:rPr>
          <w:b/>
        </w:rPr>
        <w:t>Option 2</w:t>
      </w:r>
      <w:r>
        <w:t xml:space="preserve"> includes all industrial waste generators with the main costs related to following the tiered classification pathway including; Tier 1 identifying waste on a pre-classified list; Tier 2 undertaking a </w:t>
      </w:r>
      <w:r w:rsidR="00D642D8">
        <w:t xml:space="preserve">Hazardous Properties Assessment </w:t>
      </w:r>
      <w:r>
        <w:t>for mirror codes or codes not on pre-classified list; Tier 3 sampling, testing and analysis of industrial waste consignments destined for landfill. Key assumptions for the analysis include:</w:t>
      </w:r>
    </w:p>
    <w:p w14:paraId="656B0591" w14:textId="77777777" w:rsidR="000577C6" w:rsidRDefault="000577C6" w:rsidP="000577C6">
      <w:pPr>
        <w:pStyle w:val="ListParagraph"/>
        <w:numPr>
          <w:ilvl w:val="0"/>
          <w:numId w:val="92"/>
        </w:numPr>
      </w:pPr>
      <w:r>
        <w:t xml:space="preserve">% of industrial waste classification events that would be pre-classified </w:t>
      </w:r>
      <w:r w:rsidRPr="00A4187D">
        <w:t xml:space="preserve">– </w:t>
      </w:r>
      <w:r>
        <w:rPr>
          <w:b/>
        </w:rPr>
        <w:t>94</w:t>
      </w:r>
      <w:r w:rsidRPr="00D96322">
        <w:rPr>
          <w:b/>
        </w:rPr>
        <w:t>%</w:t>
      </w:r>
      <w:r w:rsidRPr="00A4187D">
        <w:t xml:space="preserve"> </w:t>
      </w:r>
      <w:r w:rsidRPr="00D96322">
        <w:t xml:space="preserve">(Source: </w:t>
      </w:r>
      <w:r>
        <w:t xml:space="preserve">Deloitte analysis </w:t>
      </w:r>
      <w:r w:rsidRPr="00210F8E">
        <w:t>from EPA waste code mapping</w:t>
      </w:r>
      <w:r w:rsidRPr="00D96322">
        <w:t>)</w:t>
      </w:r>
      <w:r w:rsidR="00D44BD1">
        <w:t>.</w:t>
      </w:r>
    </w:p>
    <w:p w14:paraId="656B0592" w14:textId="77777777" w:rsidR="00D44BD1" w:rsidRPr="00A4187D" w:rsidRDefault="000577C6" w:rsidP="000577C6">
      <w:pPr>
        <w:pStyle w:val="ListParagraph"/>
        <w:numPr>
          <w:ilvl w:val="0"/>
          <w:numId w:val="92"/>
        </w:numPr>
      </w:pPr>
      <w:r>
        <w:t xml:space="preserve">% of industrial waste classification events (hazardous mirror codes) subject to the hazard identification process – </w:t>
      </w:r>
      <w:r>
        <w:rPr>
          <w:b/>
        </w:rPr>
        <w:t>6</w:t>
      </w:r>
      <w:r w:rsidRPr="619E7634">
        <w:rPr>
          <w:b/>
        </w:rPr>
        <w:t>%</w:t>
      </w:r>
      <w:r>
        <w:t xml:space="preserve"> (Source: Deloitte analysis </w:t>
      </w:r>
      <w:r w:rsidRPr="00210F8E">
        <w:t>from EPA waste code mapping</w:t>
      </w:r>
      <w:r>
        <w:t>, 13% of codes represent mirror codes, 50% of these assumed to be hazardous</w:t>
      </w:r>
      <w:r w:rsidRPr="00D96322">
        <w:t>)</w:t>
      </w:r>
      <w:r w:rsidR="00D44BD1">
        <w:t>.</w:t>
      </w:r>
    </w:p>
    <w:p w14:paraId="656B0593" w14:textId="77777777" w:rsidR="00D44BD1" w:rsidRDefault="000577C6" w:rsidP="00494A7B">
      <w:pPr>
        <w:pStyle w:val="ListParagraph"/>
        <w:numPr>
          <w:ilvl w:val="0"/>
          <w:numId w:val="92"/>
        </w:numPr>
      </w:pPr>
      <w:r w:rsidRPr="00A4187D">
        <w:t xml:space="preserve">% of industrial waste </w:t>
      </w:r>
      <w:r>
        <w:t xml:space="preserve">classification events where waste is destined for landfill i.e. hazardous waste that </w:t>
      </w:r>
      <w:r w:rsidRPr="00A4187D">
        <w:t xml:space="preserve">would </w:t>
      </w:r>
      <w:r>
        <w:t xml:space="preserve">be subject to a sampling regime for landfill categorisation to determine appropriate landfill </w:t>
      </w:r>
      <w:r w:rsidRPr="00A4187D">
        <w:t>–</w:t>
      </w:r>
      <w:r w:rsidRPr="000E7C5E">
        <w:t xml:space="preserve"> </w:t>
      </w:r>
      <w:r w:rsidRPr="00C84017">
        <w:rPr>
          <w:b/>
        </w:rPr>
        <w:t>20%</w:t>
      </w:r>
      <w:r w:rsidRPr="00A4187D">
        <w:t xml:space="preserve"> </w:t>
      </w:r>
      <w:r w:rsidRPr="00D96322">
        <w:t xml:space="preserve">(Source: </w:t>
      </w:r>
      <w:r>
        <w:t>EPA analysis of 2017-18 Landfill Levy Annual Statement - waste volumes declared).</w:t>
      </w:r>
    </w:p>
    <w:p w14:paraId="656B0594" w14:textId="77777777" w:rsidR="00DA58E5" w:rsidRDefault="00DA58E5" w:rsidP="00DA58E5">
      <w:pPr>
        <w:spacing w:after="0"/>
        <w:rPr>
          <w:i/>
        </w:rPr>
      </w:pPr>
      <w:r>
        <w:rPr>
          <w:i/>
        </w:rPr>
        <w:t>Government costs</w:t>
      </w:r>
      <w:r w:rsidR="000577C6">
        <w:rPr>
          <w:i/>
        </w:rPr>
        <w:t xml:space="preserve"> – shared assumptions</w:t>
      </w:r>
    </w:p>
    <w:p w14:paraId="656B0595" w14:textId="77777777" w:rsidR="00DA58E5" w:rsidRDefault="00DA58E5" w:rsidP="00494A7B">
      <w:r w:rsidRPr="00191782">
        <w:t xml:space="preserve">Some costs would fall on </w:t>
      </w:r>
      <w:r>
        <w:t>EPA</w:t>
      </w:r>
      <w:r w:rsidRPr="00191782">
        <w:t xml:space="preserve"> </w:t>
      </w:r>
      <w:r>
        <w:t xml:space="preserve">for both options </w:t>
      </w:r>
      <w:r w:rsidRPr="00191782">
        <w:t>with respect to making designations</w:t>
      </w:r>
      <w:r>
        <w:t xml:space="preserve"> for certain businesses for certain waste types</w:t>
      </w:r>
      <w:r w:rsidRPr="00191782">
        <w:t xml:space="preserve">. </w:t>
      </w:r>
      <w:r>
        <w:t xml:space="preserve">The key assumptions are: </w:t>
      </w:r>
    </w:p>
    <w:p w14:paraId="656B0596" w14:textId="77777777" w:rsidR="00DA58E5" w:rsidRDefault="00DA58E5" w:rsidP="00DA58E5">
      <w:pPr>
        <w:pStyle w:val="ListParagraph"/>
        <w:numPr>
          <w:ilvl w:val="0"/>
          <w:numId w:val="92"/>
        </w:numPr>
      </w:pPr>
      <w:r>
        <w:t>% of waste classification events</w:t>
      </w:r>
      <w:r w:rsidRPr="007E1BD5">
        <w:t xml:space="preserve"> </w:t>
      </w:r>
      <w:r>
        <w:t xml:space="preserve">expected for </w:t>
      </w:r>
      <w:r w:rsidRPr="007E1BBC">
        <w:t xml:space="preserve">designation per year – </w:t>
      </w:r>
      <w:r w:rsidRPr="001B3151">
        <w:rPr>
          <w:b/>
        </w:rPr>
        <w:t>5</w:t>
      </w:r>
      <w:r w:rsidRPr="00045BCE">
        <w:rPr>
          <w:b/>
        </w:rPr>
        <w:t>%</w:t>
      </w:r>
      <w:r>
        <w:rPr>
          <w:b/>
        </w:rPr>
        <w:t xml:space="preserve"> in year 1, and 1% every year thereafter </w:t>
      </w:r>
      <w:r w:rsidRPr="007E1BBC">
        <w:t xml:space="preserve">(Source: </w:t>
      </w:r>
      <w:r w:rsidR="009D1151">
        <w:t xml:space="preserve">EPA </w:t>
      </w:r>
      <w:r>
        <w:t>estimate</w:t>
      </w:r>
      <w:r w:rsidRPr="007E1BBC">
        <w:t>)</w:t>
      </w:r>
      <w:r w:rsidR="00D44BD1">
        <w:t>.</w:t>
      </w:r>
    </w:p>
    <w:p w14:paraId="656B0597" w14:textId="77777777" w:rsidR="00DA58E5" w:rsidRDefault="00DA58E5" w:rsidP="00DA58E5">
      <w:pPr>
        <w:pStyle w:val="ListParagraph"/>
        <w:numPr>
          <w:ilvl w:val="0"/>
          <w:numId w:val="92"/>
        </w:numPr>
      </w:pPr>
      <w:r>
        <w:t xml:space="preserve">EPA cost per </w:t>
      </w:r>
      <w:r w:rsidRPr="007E1BBC">
        <w:t xml:space="preserve">designation - </w:t>
      </w:r>
      <w:r w:rsidRPr="007E1BBC">
        <w:rPr>
          <w:b/>
        </w:rPr>
        <w:t>$</w:t>
      </w:r>
      <w:r>
        <w:rPr>
          <w:b/>
        </w:rPr>
        <w:t>1,500</w:t>
      </w:r>
      <w:r w:rsidRPr="007E1BBC">
        <w:t xml:space="preserve"> (Source: </w:t>
      </w:r>
      <w:r>
        <w:t>EPA estimate</w:t>
      </w:r>
      <w:r w:rsidRPr="007E1BBC">
        <w:t>)</w:t>
      </w:r>
      <w:r>
        <w:t>.</w:t>
      </w:r>
    </w:p>
    <w:p w14:paraId="656B0598" w14:textId="77777777" w:rsidR="00DA58E5" w:rsidRDefault="00DA58E5" w:rsidP="00DA58E5">
      <w:pPr>
        <w:pStyle w:val="Bullet1"/>
        <w:spacing w:after="0"/>
        <w:ind w:left="0" w:firstLine="0"/>
        <w:rPr>
          <w:i/>
        </w:rPr>
      </w:pPr>
      <w:r w:rsidRPr="001B3151">
        <w:rPr>
          <w:i/>
        </w:rPr>
        <w:t>Benefits</w:t>
      </w:r>
      <w:r>
        <w:rPr>
          <w:i/>
        </w:rPr>
        <w:t xml:space="preserve"> to community</w:t>
      </w:r>
    </w:p>
    <w:p w14:paraId="656B0599" w14:textId="77777777" w:rsidR="00DA58E5" w:rsidRDefault="00DA58E5" w:rsidP="00DA58E5">
      <w:pPr>
        <w:ind w:right="565"/>
      </w:pPr>
      <w:r>
        <w:t>The benefits of an effective industrial waste classification system are significant. The accurate classification and landfill categorisation is critical for all other waste controls to operate, and for any waste management benefits to be realised in Victoria. Without a waste classification system it would be expected that waste mismanagement in Victoria would worsen, including increasing stockpile fires, illegal dumping and illegal landfilling. While quantification of benefits is extremely difficult, as noted previously, some comparison is possible assuming the base costs of mismanagement for the following areas:</w:t>
      </w:r>
    </w:p>
    <w:p w14:paraId="656B059A" w14:textId="77777777" w:rsidR="00DA58E5" w:rsidRDefault="00DA58E5" w:rsidP="00DA58E5">
      <w:pPr>
        <w:pStyle w:val="ListParagraph"/>
        <w:numPr>
          <w:ilvl w:val="0"/>
          <w:numId w:val="92"/>
        </w:numPr>
      </w:pPr>
      <w:r w:rsidRPr="00D8221A">
        <w:t xml:space="preserve">$105 million per </w:t>
      </w:r>
      <w:r>
        <w:t>year from stockpile fires.</w:t>
      </w:r>
    </w:p>
    <w:p w14:paraId="656B059B" w14:textId="77777777" w:rsidR="00DA58E5" w:rsidRDefault="00DA58E5" w:rsidP="00DA58E5">
      <w:pPr>
        <w:pStyle w:val="ListParagraph"/>
        <w:numPr>
          <w:ilvl w:val="0"/>
          <w:numId w:val="92"/>
        </w:numPr>
      </w:pPr>
      <w:r>
        <w:t>$58</w:t>
      </w:r>
      <w:r w:rsidRPr="007947E4">
        <w:t xml:space="preserve"> million per year</w:t>
      </w:r>
      <w:r>
        <w:t xml:space="preserve"> in annual clean-up costs of abandoned waste sites.</w:t>
      </w:r>
    </w:p>
    <w:p w14:paraId="656B059C" w14:textId="77777777" w:rsidR="00DA58E5" w:rsidRPr="00DA58E5" w:rsidRDefault="00DA58E5" w:rsidP="00DA58E5">
      <w:pPr>
        <w:pStyle w:val="ListParagraph"/>
        <w:numPr>
          <w:ilvl w:val="0"/>
          <w:numId w:val="92"/>
        </w:numPr>
      </w:pPr>
      <w:r w:rsidRPr="00822B51">
        <w:t>$30 million per year on clean-up costs and lost landfills levy revenue due to illegal dumping.</w:t>
      </w:r>
    </w:p>
    <w:p w14:paraId="656B059D" w14:textId="77777777" w:rsidR="00F126E3" w:rsidRPr="00DA58E5" w:rsidRDefault="00F126E3" w:rsidP="004E20F3">
      <w:r>
        <w:t xml:space="preserve">It should be noted that these estimates are status quo estimates (costs incurred under the current regulatory system), rather than </w:t>
      </w:r>
      <w:r w:rsidR="00375D81">
        <w:t>B</w:t>
      </w:r>
      <w:r>
        <w:t xml:space="preserve">ase </w:t>
      </w:r>
      <w:r w:rsidR="00375D81">
        <w:t>C</w:t>
      </w:r>
      <w:r>
        <w:t xml:space="preserve">ase estimates. Under the </w:t>
      </w:r>
      <w:r w:rsidR="00375D81">
        <w:t>B</w:t>
      </w:r>
      <w:r>
        <w:t xml:space="preserve">ase </w:t>
      </w:r>
      <w:r w:rsidR="00375D81">
        <w:t>C</w:t>
      </w:r>
      <w:r>
        <w:t>ase of no regulations, these costs are likely to be higher</w:t>
      </w:r>
      <w:r w:rsidR="00D44BD1">
        <w:t>.</w:t>
      </w:r>
    </w:p>
    <w:p w14:paraId="656B059E" w14:textId="77777777" w:rsidR="00A11D28" w:rsidRDefault="00A11D28">
      <w:pPr>
        <w:pStyle w:val="Heading4"/>
      </w:pPr>
      <w:r>
        <w:t>Effectiveness</w:t>
      </w:r>
    </w:p>
    <w:p w14:paraId="656B059F" w14:textId="77777777" w:rsidR="00A11D28" w:rsidRDefault="00A11D28" w:rsidP="00A11D28">
      <w:r>
        <w:t xml:space="preserve">Both options are considered to be effective in ensuring waste is adequately classified. </w:t>
      </w:r>
    </w:p>
    <w:p w14:paraId="656B05A0" w14:textId="77777777" w:rsidR="00A11D28" w:rsidRDefault="00A11D28" w:rsidP="00A11D28">
      <w:r w:rsidRPr="00A11D28">
        <w:rPr>
          <w:b/>
        </w:rPr>
        <w:t>Option 1</w:t>
      </w:r>
      <w:r>
        <w:t xml:space="preserve"> provides for a strong scientific basis, however it scores lower, given it is complex and onerous. This high cost burden might drive non-compliant behaviour or create perverse incentives in the market such as avoidance behaviours. Option 1 is given a score of +2 relative to the </w:t>
      </w:r>
      <w:r w:rsidR="00E93EEB">
        <w:t>Base Case</w:t>
      </w:r>
      <w:r>
        <w:t xml:space="preserve">. </w:t>
      </w:r>
    </w:p>
    <w:p w14:paraId="656B05A1" w14:textId="77777777" w:rsidR="00A11D28" w:rsidRDefault="00A11D28" w:rsidP="00A11D28">
      <w:r>
        <w:t xml:space="preserve">In terms of practicality to implement, </w:t>
      </w:r>
      <w:r w:rsidRPr="00A11D28">
        <w:rPr>
          <w:b/>
        </w:rPr>
        <w:t>Option 2</w:t>
      </w:r>
      <w:r>
        <w:t xml:space="preserve"> balances</w:t>
      </w:r>
      <w:r w:rsidRPr="00A663B6">
        <w:t xml:space="preserve"> </w:t>
      </w:r>
      <w:r>
        <w:t xml:space="preserve">the </w:t>
      </w:r>
      <w:r w:rsidRPr="00A663B6">
        <w:t>goals of scientific just</w:t>
      </w:r>
      <w:r>
        <w:t xml:space="preserve">ification and ease of compliance and common interpretation. The </w:t>
      </w:r>
      <w:r w:rsidR="008D5555" w:rsidRPr="008D5555">
        <w:t>Hazardous Properties Assessment</w:t>
      </w:r>
      <w:r>
        <w:t xml:space="preserve"> is also aligned to current approaches such as the </w:t>
      </w:r>
      <w:r w:rsidRPr="001C30E2">
        <w:t>National Industrial Chemicals No</w:t>
      </w:r>
      <w:r>
        <w:t xml:space="preserve">tification &amp; Assessment Scheme, the proposed National Standard for Environmental Risk Management of Industrial Chemicals and the </w:t>
      </w:r>
      <w:r w:rsidRPr="001C30E2">
        <w:t>Globally Harmonised System of Classification &amp; Labelling of Chemicals</w:t>
      </w:r>
      <w:r>
        <w:t xml:space="preserve">. Option 2 is given a score of +5 relative to the </w:t>
      </w:r>
      <w:r w:rsidR="00E93EEB">
        <w:t>Base Case</w:t>
      </w:r>
      <w:r>
        <w:t xml:space="preserve">. </w:t>
      </w:r>
    </w:p>
    <w:p w14:paraId="656B05A2" w14:textId="77777777" w:rsidR="00DA58E5" w:rsidRDefault="000577C6" w:rsidP="00DA58E5">
      <w:pPr>
        <w:pStyle w:val="Heading4"/>
      </w:pPr>
      <w:r>
        <w:t>Cost</w:t>
      </w:r>
    </w:p>
    <w:p w14:paraId="656B05A3" w14:textId="77777777" w:rsidR="00DA58E5" w:rsidRDefault="00DA58E5" w:rsidP="00DA58E5">
      <w:r>
        <w:t>Option 1 imposes large costs on businesses for adequately classifying industrial waste. These costs are driven by the large number of industrial waste consignments that need to be appropriately classified and the costs of sampling and testing. Option 2 is far less costly than Option 1 due to the streamlined nature of classification.</w:t>
      </w:r>
    </w:p>
    <w:p w14:paraId="656B05A4" w14:textId="77777777" w:rsidR="00DA58E5" w:rsidRPr="00506C4D" w:rsidRDefault="00DA58E5" w:rsidP="00DA58E5">
      <w:pPr>
        <w:pStyle w:val="2Source"/>
      </w:pPr>
      <w:bookmarkStart w:id="634" w:name="_Ref8037331"/>
      <w:r w:rsidRPr="00827D05">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2</w:t>
      </w:r>
      <w:r w:rsidR="00997CFA">
        <w:rPr>
          <w:color w:val="2B579A"/>
          <w:shd w:val="clear" w:color="auto" w:fill="E6E6E6"/>
        </w:rPr>
        <w:fldChar w:fldCharType="end"/>
      </w:r>
      <w:bookmarkEnd w:id="634"/>
      <w:r w:rsidRPr="00827D05">
        <w:rPr>
          <w:szCs w:val="20"/>
        </w:rPr>
        <w:t xml:space="preserve"> </w:t>
      </w:r>
      <w:r>
        <w:rPr>
          <w:szCs w:val="20"/>
        </w:rPr>
        <w:t>Present value of costs</w:t>
      </w:r>
      <w:r w:rsidRPr="00827D05">
        <w:rPr>
          <w:szCs w:val="20"/>
        </w:rPr>
        <w:t xml:space="preserve"> </w:t>
      </w:r>
    </w:p>
    <w:tbl>
      <w:tblPr>
        <w:tblStyle w:val="Deloittetable"/>
        <w:tblW w:w="4874" w:type="pct"/>
        <w:tblLook w:val="04A0" w:firstRow="1" w:lastRow="0" w:firstColumn="1" w:lastColumn="0" w:noHBand="0" w:noVBand="1"/>
      </w:tblPr>
      <w:tblGrid>
        <w:gridCol w:w="3545"/>
        <w:gridCol w:w="2835"/>
        <w:gridCol w:w="2739"/>
      </w:tblGrid>
      <w:tr w:rsidR="00DA58E5" w:rsidRPr="00694D0B" w14:paraId="656B05AB" w14:textId="77777777" w:rsidTr="00494A7B">
        <w:trPr>
          <w:cnfStyle w:val="100000000000" w:firstRow="1" w:lastRow="0" w:firstColumn="0" w:lastColumn="0" w:oddVBand="0" w:evenVBand="0" w:oddHBand="0" w:evenHBand="0" w:firstRowFirstColumn="0" w:firstRowLastColumn="0" w:lastRowFirstColumn="0" w:lastRowLastColumn="0"/>
          <w:trHeight w:val="286"/>
        </w:trPr>
        <w:tc>
          <w:tcPr>
            <w:tcW w:w="1943" w:type="pct"/>
            <w:hideMark/>
          </w:tcPr>
          <w:p w14:paraId="656B05A5" w14:textId="77777777" w:rsidR="00DA58E5" w:rsidRPr="00481373" w:rsidRDefault="00DA58E5" w:rsidP="00481373">
            <w:pPr>
              <w:rPr>
                <w:sz w:val="18"/>
              </w:rPr>
            </w:pPr>
          </w:p>
        </w:tc>
        <w:tc>
          <w:tcPr>
            <w:tcW w:w="1554" w:type="pct"/>
            <w:hideMark/>
          </w:tcPr>
          <w:p w14:paraId="656B05A6" w14:textId="77777777" w:rsidR="00DA58E5" w:rsidRPr="00481373" w:rsidRDefault="00DA58E5" w:rsidP="001F1C85">
            <w:pPr>
              <w:ind w:right="57"/>
              <w:jc w:val="right"/>
              <w:rPr>
                <w:b/>
                <w:sz w:val="18"/>
              </w:rPr>
            </w:pPr>
            <w:r w:rsidRPr="00481373">
              <w:rPr>
                <w:b/>
                <w:sz w:val="18"/>
              </w:rPr>
              <w:t>Option 1</w:t>
            </w:r>
          </w:p>
          <w:p w14:paraId="656B05A7" w14:textId="77777777" w:rsidR="00891BBD" w:rsidRDefault="00DA58E5" w:rsidP="001F1C85">
            <w:pPr>
              <w:spacing w:after="0"/>
              <w:ind w:right="57"/>
              <w:jc w:val="right"/>
              <w:rPr>
                <w:sz w:val="18"/>
              </w:rPr>
            </w:pPr>
            <w:r w:rsidRPr="00481373">
              <w:rPr>
                <w:sz w:val="18"/>
              </w:rPr>
              <w:t xml:space="preserve">Complex/ </w:t>
            </w:r>
          </w:p>
          <w:p w14:paraId="656B05A8" w14:textId="77777777" w:rsidR="00DA58E5" w:rsidRPr="00481373" w:rsidRDefault="00DA58E5" w:rsidP="001F1C85">
            <w:pPr>
              <w:spacing w:after="0"/>
              <w:ind w:right="57"/>
              <w:jc w:val="right"/>
              <w:rPr>
                <w:sz w:val="18"/>
              </w:rPr>
            </w:pPr>
            <w:r w:rsidRPr="00481373">
              <w:rPr>
                <w:sz w:val="18"/>
              </w:rPr>
              <w:t>scientific testing regime</w:t>
            </w:r>
          </w:p>
        </w:tc>
        <w:tc>
          <w:tcPr>
            <w:tcW w:w="1502" w:type="pct"/>
            <w:hideMark/>
          </w:tcPr>
          <w:p w14:paraId="656B05A9" w14:textId="77777777" w:rsidR="00DA58E5" w:rsidRPr="00481373" w:rsidRDefault="00DA58E5" w:rsidP="001F1C85">
            <w:pPr>
              <w:ind w:right="57"/>
              <w:jc w:val="right"/>
              <w:rPr>
                <w:b/>
                <w:sz w:val="18"/>
              </w:rPr>
            </w:pPr>
            <w:r w:rsidRPr="00481373">
              <w:rPr>
                <w:b/>
                <w:sz w:val="18"/>
              </w:rPr>
              <w:t>Option 2</w:t>
            </w:r>
          </w:p>
          <w:p w14:paraId="656B05AA" w14:textId="77777777" w:rsidR="00DA58E5" w:rsidRPr="00481373" w:rsidRDefault="00DA58E5" w:rsidP="001F1C85">
            <w:pPr>
              <w:ind w:right="57"/>
              <w:jc w:val="right"/>
              <w:rPr>
                <w:sz w:val="18"/>
              </w:rPr>
            </w:pPr>
            <w:r w:rsidRPr="00481373">
              <w:rPr>
                <w:sz w:val="18"/>
              </w:rPr>
              <w:t>Tiered classification pathway</w:t>
            </w:r>
          </w:p>
        </w:tc>
      </w:tr>
      <w:tr w:rsidR="00DA58E5" w:rsidRPr="00694D0B" w14:paraId="656B05AF" w14:textId="77777777" w:rsidTr="00494A7B">
        <w:trPr>
          <w:trHeight w:val="286"/>
        </w:trPr>
        <w:tc>
          <w:tcPr>
            <w:tcW w:w="1943" w:type="pct"/>
            <w:hideMark/>
          </w:tcPr>
          <w:p w14:paraId="656B05AC" w14:textId="77777777" w:rsidR="00DA58E5" w:rsidRPr="00481373" w:rsidRDefault="00DA58E5" w:rsidP="00481373">
            <w:pPr>
              <w:rPr>
                <w:sz w:val="18"/>
              </w:rPr>
            </w:pPr>
            <w:r w:rsidRPr="00481373">
              <w:rPr>
                <w:sz w:val="18"/>
              </w:rPr>
              <w:t>PV costs to business relative to Base Case</w:t>
            </w:r>
          </w:p>
        </w:tc>
        <w:tc>
          <w:tcPr>
            <w:tcW w:w="1554" w:type="pct"/>
            <w:hideMark/>
          </w:tcPr>
          <w:p w14:paraId="656B05AD" w14:textId="77777777" w:rsidR="00DA58E5" w:rsidRPr="00481373" w:rsidRDefault="005D4F52" w:rsidP="001F1C85">
            <w:pPr>
              <w:ind w:right="57"/>
              <w:jc w:val="right"/>
              <w:rPr>
                <w:sz w:val="18"/>
              </w:rPr>
            </w:pPr>
            <w:r w:rsidRPr="00481373">
              <w:rPr>
                <w:sz w:val="18"/>
              </w:rPr>
              <w:t>$765,646,474</w:t>
            </w:r>
          </w:p>
        </w:tc>
        <w:tc>
          <w:tcPr>
            <w:tcW w:w="1502" w:type="pct"/>
            <w:hideMark/>
          </w:tcPr>
          <w:p w14:paraId="656B05AE" w14:textId="77777777" w:rsidR="00DA58E5" w:rsidRPr="00481373" w:rsidRDefault="005D4F52" w:rsidP="001F1C85">
            <w:pPr>
              <w:ind w:right="57"/>
              <w:jc w:val="right"/>
              <w:rPr>
                <w:sz w:val="18"/>
              </w:rPr>
            </w:pPr>
            <w:r w:rsidRPr="00481373">
              <w:rPr>
                <w:sz w:val="18"/>
              </w:rPr>
              <w:t>$448,427,227</w:t>
            </w:r>
          </w:p>
        </w:tc>
      </w:tr>
      <w:tr w:rsidR="00DA58E5" w:rsidRPr="00694D0B" w14:paraId="656B05B3" w14:textId="77777777" w:rsidTr="00494A7B">
        <w:trPr>
          <w:trHeight w:val="286"/>
        </w:trPr>
        <w:tc>
          <w:tcPr>
            <w:tcW w:w="1943" w:type="pct"/>
            <w:hideMark/>
          </w:tcPr>
          <w:p w14:paraId="656B05B0" w14:textId="77777777" w:rsidR="00DA58E5" w:rsidRPr="00481373" w:rsidRDefault="00DA58E5" w:rsidP="00481373">
            <w:pPr>
              <w:rPr>
                <w:sz w:val="18"/>
              </w:rPr>
            </w:pPr>
            <w:r w:rsidRPr="00481373">
              <w:rPr>
                <w:sz w:val="18"/>
              </w:rPr>
              <w:t>PV costs to government relative to Base Case</w:t>
            </w:r>
          </w:p>
        </w:tc>
        <w:tc>
          <w:tcPr>
            <w:tcW w:w="1554" w:type="pct"/>
            <w:hideMark/>
          </w:tcPr>
          <w:p w14:paraId="656B05B1" w14:textId="77777777" w:rsidR="00DA58E5" w:rsidRPr="00481373" w:rsidRDefault="005D4F52" w:rsidP="001F1C85">
            <w:pPr>
              <w:ind w:right="57"/>
              <w:jc w:val="right"/>
              <w:rPr>
                <w:sz w:val="18"/>
              </w:rPr>
            </w:pPr>
            <w:r w:rsidRPr="00481373">
              <w:rPr>
                <w:sz w:val="18"/>
              </w:rPr>
              <w:t>$6,900,528</w:t>
            </w:r>
          </w:p>
        </w:tc>
        <w:tc>
          <w:tcPr>
            <w:tcW w:w="1502" w:type="pct"/>
            <w:hideMark/>
          </w:tcPr>
          <w:p w14:paraId="656B05B2" w14:textId="77777777" w:rsidR="00DA58E5" w:rsidRPr="00481373" w:rsidRDefault="005D4F52" w:rsidP="001F1C85">
            <w:pPr>
              <w:ind w:right="57"/>
              <w:jc w:val="right"/>
              <w:rPr>
                <w:sz w:val="18"/>
              </w:rPr>
            </w:pPr>
            <w:r w:rsidRPr="00481373">
              <w:rPr>
                <w:sz w:val="18"/>
              </w:rPr>
              <w:t>$3,450,264</w:t>
            </w:r>
          </w:p>
        </w:tc>
      </w:tr>
      <w:tr w:rsidR="00DA58E5" w:rsidRPr="00694D0B" w14:paraId="656B05B7" w14:textId="77777777" w:rsidTr="00494A7B">
        <w:trPr>
          <w:trHeight w:val="286"/>
        </w:trPr>
        <w:tc>
          <w:tcPr>
            <w:tcW w:w="1943" w:type="pct"/>
            <w:hideMark/>
          </w:tcPr>
          <w:p w14:paraId="656B05B4" w14:textId="77777777" w:rsidR="00DA58E5" w:rsidRPr="00481373" w:rsidRDefault="00DA58E5" w:rsidP="00481373">
            <w:pPr>
              <w:rPr>
                <w:sz w:val="18"/>
              </w:rPr>
            </w:pPr>
            <w:r w:rsidRPr="00481373">
              <w:rPr>
                <w:sz w:val="18"/>
              </w:rPr>
              <w:t>PV costs to community relative to Base Case</w:t>
            </w:r>
          </w:p>
        </w:tc>
        <w:tc>
          <w:tcPr>
            <w:tcW w:w="1554" w:type="pct"/>
            <w:hideMark/>
          </w:tcPr>
          <w:p w14:paraId="656B05B5" w14:textId="77777777" w:rsidR="00DA58E5" w:rsidRPr="00481373" w:rsidRDefault="005D4F52" w:rsidP="001F1C85">
            <w:pPr>
              <w:ind w:right="57"/>
              <w:jc w:val="right"/>
              <w:rPr>
                <w:sz w:val="18"/>
              </w:rPr>
            </w:pPr>
            <w:r w:rsidRPr="00481373">
              <w:rPr>
                <w:sz w:val="18"/>
              </w:rPr>
              <w:t>$0</w:t>
            </w:r>
          </w:p>
        </w:tc>
        <w:tc>
          <w:tcPr>
            <w:tcW w:w="1502" w:type="pct"/>
            <w:hideMark/>
          </w:tcPr>
          <w:p w14:paraId="656B05B6" w14:textId="77777777" w:rsidR="00DA58E5" w:rsidRPr="00481373" w:rsidRDefault="005D4F52" w:rsidP="001F1C85">
            <w:pPr>
              <w:ind w:right="57"/>
              <w:jc w:val="right"/>
              <w:rPr>
                <w:sz w:val="18"/>
              </w:rPr>
            </w:pPr>
            <w:r w:rsidRPr="00481373">
              <w:rPr>
                <w:sz w:val="18"/>
              </w:rPr>
              <w:t>$0</w:t>
            </w:r>
          </w:p>
        </w:tc>
      </w:tr>
      <w:tr w:rsidR="00DA58E5" w:rsidRPr="00694D0B" w14:paraId="656B05BB" w14:textId="77777777" w:rsidTr="00494A7B">
        <w:trPr>
          <w:trHeight w:val="297"/>
        </w:trPr>
        <w:tc>
          <w:tcPr>
            <w:tcW w:w="1943" w:type="pct"/>
            <w:hideMark/>
          </w:tcPr>
          <w:p w14:paraId="656B05B8" w14:textId="77777777" w:rsidR="00DA58E5" w:rsidRPr="00481373" w:rsidRDefault="00DA58E5" w:rsidP="00481373">
            <w:pPr>
              <w:rPr>
                <w:sz w:val="18"/>
              </w:rPr>
            </w:pPr>
            <w:r w:rsidRPr="00481373">
              <w:rPr>
                <w:sz w:val="18"/>
              </w:rPr>
              <w:t>Present value total costs relative to Base Case</w:t>
            </w:r>
          </w:p>
        </w:tc>
        <w:tc>
          <w:tcPr>
            <w:tcW w:w="1554" w:type="pct"/>
            <w:hideMark/>
          </w:tcPr>
          <w:p w14:paraId="656B05B9" w14:textId="77777777" w:rsidR="00DA58E5" w:rsidRPr="00481373" w:rsidRDefault="005D4F52" w:rsidP="001F1C85">
            <w:pPr>
              <w:ind w:right="57"/>
              <w:jc w:val="right"/>
              <w:rPr>
                <w:b/>
                <w:sz w:val="18"/>
              </w:rPr>
            </w:pPr>
            <w:r w:rsidRPr="00481373">
              <w:rPr>
                <w:b/>
                <w:sz w:val="18"/>
              </w:rPr>
              <w:t>$772,547,002</w:t>
            </w:r>
          </w:p>
        </w:tc>
        <w:tc>
          <w:tcPr>
            <w:tcW w:w="1502" w:type="pct"/>
            <w:hideMark/>
          </w:tcPr>
          <w:p w14:paraId="656B05BA" w14:textId="77777777" w:rsidR="00DA58E5" w:rsidRPr="00481373" w:rsidRDefault="005D4F52" w:rsidP="001F1C85">
            <w:pPr>
              <w:ind w:right="57"/>
              <w:jc w:val="right"/>
              <w:rPr>
                <w:b/>
                <w:sz w:val="18"/>
              </w:rPr>
            </w:pPr>
            <w:r w:rsidRPr="00481373">
              <w:rPr>
                <w:b/>
                <w:sz w:val="18"/>
              </w:rPr>
              <w:t>$451,877,491</w:t>
            </w:r>
          </w:p>
        </w:tc>
      </w:tr>
    </w:tbl>
    <w:p w14:paraId="656B05BC" w14:textId="77777777" w:rsidR="00DA58E5" w:rsidRDefault="00DA58E5" w:rsidP="00DA58E5"/>
    <w:p w14:paraId="656B05BD" w14:textId="77777777" w:rsidR="000577C6" w:rsidRDefault="00DA58E5" w:rsidP="00DA58E5">
      <w:r>
        <w:t xml:space="preserve">Although both options are costly </w:t>
      </w:r>
      <w:r w:rsidR="00375D81">
        <w:t xml:space="preserve">for </w:t>
      </w:r>
      <w:r>
        <w:t xml:space="preserve">waste businesses (see </w:t>
      </w:r>
      <w:r>
        <w:rPr>
          <w:color w:val="2B579A"/>
          <w:shd w:val="clear" w:color="auto" w:fill="E6E6E6"/>
        </w:rPr>
        <w:fldChar w:fldCharType="begin"/>
      </w:r>
      <w:r>
        <w:instrText xml:space="preserve"> REF _Ref8037331 \h </w:instrText>
      </w:r>
      <w:r>
        <w:rPr>
          <w:color w:val="2B579A"/>
          <w:shd w:val="clear" w:color="auto" w:fill="E6E6E6"/>
        </w:rPr>
      </w:r>
      <w:r>
        <w:rPr>
          <w:color w:val="2B579A"/>
          <w:shd w:val="clear" w:color="auto" w:fill="E6E6E6"/>
        </w:rPr>
        <w:fldChar w:fldCharType="separate"/>
      </w:r>
      <w:r w:rsidR="00B51904" w:rsidRPr="00827D05">
        <w:t xml:space="preserve">Table </w:t>
      </w:r>
      <w:r w:rsidR="00B51904">
        <w:rPr>
          <w:noProof/>
        </w:rPr>
        <w:t>9</w:t>
      </w:r>
      <w:r w:rsidR="00B51904">
        <w:noBreakHyphen/>
      </w:r>
      <w:r w:rsidR="00B51904">
        <w:rPr>
          <w:noProof/>
        </w:rPr>
        <w:t>2</w:t>
      </w:r>
      <w:r>
        <w:rPr>
          <w:color w:val="2B579A"/>
          <w:shd w:val="clear" w:color="auto" w:fill="E6E6E6"/>
        </w:rPr>
        <w:fldChar w:fldCharType="end"/>
      </w:r>
      <w:r w:rsidR="00E0490C">
        <w:t>), Option 1</w:t>
      </w:r>
      <w:r>
        <w:t xml:space="preserve"> is much </w:t>
      </w:r>
      <w:r w:rsidR="00E0490C">
        <w:t xml:space="preserve">more </w:t>
      </w:r>
      <w:r>
        <w:t>costly due to the streamlined n</w:t>
      </w:r>
      <w:r w:rsidR="00E0490C">
        <w:t xml:space="preserve">ature of classification (i.e. </w:t>
      </w:r>
      <w:r w:rsidR="00D44BD1">
        <w:t xml:space="preserve">only </w:t>
      </w:r>
      <w:r w:rsidR="00E0490C">
        <w:t>60</w:t>
      </w:r>
      <w:r>
        <w:t>% of waste codes would be pre-classified or be considered non-</w:t>
      </w:r>
      <w:r w:rsidR="00E0490C">
        <w:t xml:space="preserve">hazardous mirror codes </w:t>
      </w:r>
      <w:r w:rsidR="00D44BD1">
        <w:t xml:space="preserve">compared to </w:t>
      </w:r>
      <w:r w:rsidR="00E0490C">
        <w:t>94% for Option 2</w:t>
      </w:r>
      <w:r>
        <w:t xml:space="preserve">). </w:t>
      </w:r>
      <w:r w:rsidR="00E0490C">
        <w:t>Option 1 is given a</w:t>
      </w:r>
      <w:r w:rsidR="000577C6">
        <w:t xml:space="preserve"> score of </w:t>
      </w:r>
      <w:r w:rsidR="00E0490C">
        <w:t xml:space="preserve">-8 relative to the </w:t>
      </w:r>
      <w:r w:rsidR="00E93EEB">
        <w:t>Base Case</w:t>
      </w:r>
      <w:r w:rsidR="00E0490C">
        <w:t xml:space="preserve">. </w:t>
      </w:r>
    </w:p>
    <w:p w14:paraId="656B05BE" w14:textId="77777777" w:rsidR="00DA58E5" w:rsidRPr="00A4187D" w:rsidRDefault="00DA58E5" w:rsidP="00DA58E5">
      <w:r>
        <w:t xml:space="preserve">Option 2 adopts a </w:t>
      </w:r>
      <w:r w:rsidRPr="001C30E2">
        <w:t xml:space="preserve">structured </w:t>
      </w:r>
      <w:r>
        <w:t xml:space="preserve">and balanced approach with </w:t>
      </w:r>
      <w:r w:rsidRPr="001C30E2">
        <w:t>classification</w:t>
      </w:r>
      <w:r>
        <w:t xml:space="preserve"> streams to address waste complexity where required, and a designation process which provides flexibility for tailored controls based on particular circumstances.</w:t>
      </w:r>
      <w:r w:rsidR="000577C6">
        <w:t xml:space="preserve"> Option 2 is given a score of -</w:t>
      </w:r>
      <w:r w:rsidR="005D4F52">
        <w:t>4</w:t>
      </w:r>
      <w:r w:rsidR="000577C6">
        <w:t xml:space="preserve"> relative to the </w:t>
      </w:r>
      <w:r w:rsidR="00E93EEB">
        <w:t>Base Case</w:t>
      </w:r>
      <w:r w:rsidR="000577C6">
        <w:t xml:space="preserve">. </w:t>
      </w:r>
    </w:p>
    <w:p w14:paraId="656B05BF" w14:textId="77777777" w:rsidR="00213E13" w:rsidRDefault="00213E13" w:rsidP="00481373">
      <w:pPr>
        <w:pStyle w:val="Heading3"/>
        <w:ind w:left="720"/>
      </w:pPr>
      <w:r>
        <w:t>MCA summary – preferred option</w:t>
      </w:r>
    </w:p>
    <w:p w14:paraId="656B05C0" w14:textId="77777777" w:rsidR="00213E13" w:rsidRDefault="00213E13" w:rsidP="000E7C5E">
      <w:pPr>
        <w:ind w:right="565"/>
      </w:pPr>
      <w:r>
        <w:t xml:space="preserve">The results of the </w:t>
      </w:r>
      <w:r w:rsidRPr="007E1BD5">
        <w:t xml:space="preserve">MCA are shown in </w:t>
      </w:r>
      <w:r w:rsidR="000F616B">
        <w:fldChar w:fldCharType="begin"/>
      </w:r>
      <w:r w:rsidR="000F616B">
        <w:instrText xml:space="preserve"> REF _Ref10444542 \h </w:instrText>
      </w:r>
      <w:r w:rsidR="000F616B">
        <w:fldChar w:fldCharType="separate"/>
      </w:r>
      <w:r w:rsidR="00B51904" w:rsidRPr="00827D05">
        <w:t xml:space="preserve">Table </w:t>
      </w:r>
      <w:r w:rsidR="00B51904">
        <w:rPr>
          <w:noProof/>
        </w:rPr>
        <w:t>9</w:t>
      </w:r>
      <w:r w:rsidR="00B51904">
        <w:noBreakHyphen/>
      </w:r>
      <w:r w:rsidR="00B51904">
        <w:rPr>
          <w:noProof/>
        </w:rPr>
        <w:t>3</w:t>
      </w:r>
      <w:r w:rsidR="000F616B">
        <w:fldChar w:fldCharType="end"/>
      </w:r>
      <w:r w:rsidR="000F616B">
        <w:t xml:space="preserve"> </w:t>
      </w:r>
      <w:r w:rsidR="00D70D89">
        <w:t>below</w:t>
      </w:r>
      <w:r w:rsidRPr="007E1BD5">
        <w:t>. Option 2</w:t>
      </w:r>
      <w:r>
        <w:t xml:space="preserve"> has a </w:t>
      </w:r>
      <w:r w:rsidR="00E0490C">
        <w:t xml:space="preserve">much higher score than Option 1, driven by more favourable </w:t>
      </w:r>
      <w:r>
        <w:t xml:space="preserve">scores </w:t>
      </w:r>
      <w:r w:rsidR="00E0490C">
        <w:t xml:space="preserve">for both criteria. </w:t>
      </w:r>
    </w:p>
    <w:p w14:paraId="656B05C1" w14:textId="77777777" w:rsidR="00213E13" w:rsidRDefault="00213E13" w:rsidP="00213E13">
      <w:pPr>
        <w:pStyle w:val="2Source"/>
      </w:pPr>
      <w:bookmarkStart w:id="635" w:name="_Ref8037297"/>
      <w:bookmarkStart w:id="636" w:name="_Ref10444542"/>
      <w:bookmarkStart w:id="637" w:name="_Ref8037293"/>
      <w:bookmarkStart w:id="638" w:name="_Ref10444521"/>
      <w:r w:rsidRPr="00827D05">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3</w:t>
      </w:r>
      <w:r w:rsidR="00997CFA">
        <w:rPr>
          <w:color w:val="2B579A"/>
          <w:shd w:val="clear" w:color="auto" w:fill="E6E6E6"/>
        </w:rPr>
        <w:fldChar w:fldCharType="end"/>
      </w:r>
      <w:bookmarkEnd w:id="635"/>
      <w:bookmarkEnd w:id="636"/>
      <w:r w:rsidRPr="00827D05">
        <w:rPr>
          <w:szCs w:val="20"/>
        </w:rPr>
        <w:t xml:space="preserve"> </w:t>
      </w:r>
      <w:r>
        <w:rPr>
          <w:szCs w:val="20"/>
        </w:rPr>
        <w:t>Multi-criteria analysis</w:t>
      </w:r>
      <w:bookmarkEnd w:id="637"/>
      <w:bookmarkEnd w:id="638"/>
      <w:r w:rsidRPr="00827D05">
        <w:rPr>
          <w:szCs w:val="20"/>
        </w:rPr>
        <w:t xml:space="preserve"> </w:t>
      </w:r>
    </w:p>
    <w:tbl>
      <w:tblPr>
        <w:tblStyle w:val="Deloittetable"/>
        <w:tblW w:w="4994" w:type="pct"/>
        <w:tblLook w:val="04A0" w:firstRow="1" w:lastRow="0" w:firstColumn="1" w:lastColumn="0" w:noHBand="0" w:noVBand="1"/>
      </w:tblPr>
      <w:tblGrid>
        <w:gridCol w:w="3114"/>
        <w:gridCol w:w="3115"/>
        <w:gridCol w:w="3115"/>
      </w:tblGrid>
      <w:tr w:rsidR="00694D0B" w:rsidRPr="00C46F78" w14:paraId="656B05C8" w14:textId="77777777" w:rsidTr="000F616B">
        <w:trPr>
          <w:cnfStyle w:val="100000000000" w:firstRow="1" w:lastRow="0" w:firstColumn="0" w:lastColumn="0" w:oddVBand="0" w:evenVBand="0" w:oddHBand="0" w:evenHBand="0" w:firstRowFirstColumn="0" w:firstRowLastColumn="0" w:lastRowFirstColumn="0" w:lastRowLastColumn="0"/>
          <w:trHeight w:val="269"/>
        </w:trPr>
        <w:tc>
          <w:tcPr>
            <w:tcW w:w="1666" w:type="pct"/>
            <w:noWrap/>
            <w:hideMark/>
          </w:tcPr>
          <w:p w14:paraId="656B05C2" w14:textId="77777777" w:rsidR="00694D0B" w:rsidRPr="00481373" w:rsidRDefault="00694D0B" w:rsidP="00481373">
            <w:pPr>
              <w:ind w:right="565"/>
              <w:rPr>
                <w:b/>
                <w:sz w:val="18"/>
              </w:rPr>
            </w:pPr>
            <w:r w:rsidRPr="00481373">
              <w:rPr>
                <w:b/>
                <w:sz w:val="18"/>
              </w:rPr>
              <w:t>Criteria</w:t>
            </w:r>
            <w:r w:rsidR="000F616B" w:rsidRPr="00481373">
              <w:rPr>
                <w:b/>
                <w:sz w:val="18"/>
              </w:rPr>
              <w:t xml:space="preserve"> (and weight)</w:t>
            </w:r>
          </w:p>
        </w:tc>
        <w:tc>
          <w:tcPr>
            <w:tcW w:w="1667" w:type="pct"/>
            <w:noWrap/>
            <w:hideMark/>
          </w:tcPr>
          <w:p w14:paraId="656B05C3" w14:textId="77777777" w:rsidR="00694D0B" w:rsidRPr="00481373" w:rsidRDefault="00694D0B" w:rsidP="001F1C85">
            <w:pPr>
              <w:spacing w:after="0" w:line="240" w:lineRule="auto"/>
              <w:ind w:right="57"/>
              <w:jc w:val="right"/>
              <w:rPr>
                <w:b/>
                <w:sz w:val="18"/>
              </w:rPr>
            </w:pPr>
            <w:r w:rsidRPr="00481373">
              <w:rPr>
                <w:b/>
                <w:sz w:val="18"/>
              </w:rPr>
              <w:t>Option 1</w:t>
            </w:r>
          </w:p>
          <w:p w14:paraId="656B05C4" w14:textId="77777777" w:rsidR="00694D0B" w:rsidRPr="00481373" w:rsidRDefault="00694D0B" w:rsidP="001F1C85">
            <w:pPr>
              <w:spacing w:after="0" w:line="240" w:lineRule="auto"/>
              <w:ind w:right="57"/>
              <w:jc w:val="right"/>
              <w:rPr>
                <w:sz w:val="18"/>
              </w:rPr>
            </w:pPr>
            <w:r w:rsidRPr="00481373">
              <w:rPr>
                <w:sz w:val="18"/>
              </w:rPr>
              <w:t>Complex/ scientific testing regime</w:t>
            </w:r>
          </w:p>
        </w:tc>
        <w:tc>
          <w:tcPr>
            <w:tcW w:w="1667" w:type="pct"/>
            <w:noWrap/>
            <w:hideMark/>
          </w:tcPr>
          <w:p w14:paraId="656B05C5" w14:textId="77777777" w:rsidR="00694D0B" w:rsidRPr="00481373" w:rsidRDefault="00694D0B" w:rsidP="001F1C85">
            <w:pPr>
              <w:spacing w:after="0" w:line="240" w:lineRule="auto"/>
              <w:ind w:right="57"/>
              <w:jc w:val="right"/>
              <w:rPr>
                <w:b/>
                <w:sz w:val="18"/>
              </w:rPr>
            </w:pPr>
            <w:r w:rsidRPr="00481373">
              <w:rPr>
                <w:b/>
                <w:sz w:val="18"/>
              </w:rPr>
              <w:t>Option 2</w:t>
            </w:r>
          </w:p>
          <w:p w14:paraId="656B05C6" w14:textId="77777777" w:rsidR="00694D0B" w:rsidRPr="00481373" w:rsidRDefault="00694D0B" w:rsidP="001F1C85">
            <w:pPr>
              <w:spacing w:after="0" w:line="240" w:lineRule="auto"/>
              <w:ind w:right="57"/>
              <w:jc w:val="right"/>
              <w:rPr>
                <w:sz w:val="18"/>
              </w:rPr>
            </w:pPr>
            <w:r w:rsidRPr="00481373">
              <w:rPr>
                <w:sz w:val="18"/>
              </w:rPr>
              <w:t>Tiered</w:t>
            </w:r>
          </w:p>
          <w:p w14:paraId="656B05C7" w14:textId="77777777" w:rsidR="00694D0B" w:rsidRPr="00481373" w:rsidRDefault="00694D0B" w:rsidP="001F1C85">
            <w:pPr>
              <w:spacing w:after="0" w:line="240" w:lineRule="auto"/>
              <w:ind w:right="57"/>
              <w:jc w:val="right"/>
              <w:rPr>
                <w:sz w:val="18"/>
              </w:rPr>
            </w:pPr>
            <w:r w:rsidRPr="00481373">
              <w:rPr>
                <w:sz w:val="18"/>
              </w:rPr>
              <w:t>classification pathway</w:t>
            </w:r>
          </w:p>
        </w:tc>
      </w:tr>
      <w:tr w:rsidR="00694D0B" w:rsidRPr="00C46F78" w14:paraId="656B05CC" w14:textId="77777777" w:rsidTr="000F616B">
        <w:trPr>
          <w:trHeight w:val="269"/>
        </w:trPr>
        <w:tc>
          <w:tcPr>
            <w:tcW w:w="1666" w:type="pct"/>
            <w:noWrap/>
            <w:hideMark/>
          </w:tcPr>
          <w:p w14:paraId="656B05C9" w14:textId="77777777" w:rsidR="00694D0B" w:rsidRPr="00481373" w:rsidRDefault="00694D0B" w:rsidP="00481373">
            <w:pPr>
              <w:ind w:right="565"/>
              <w:rPr>
                <w:sz w:val="18"/>
              </w:rPr>
            </w:pPr>
            <w:r w:rsidRPr="00481373">
              <w:rPr>
                <w:sz w:val="18"/>
              </w:rPr>
              <w:t>Effectiveness</w:t>
            </w:r>
            <w:r w:rsidR="000F616B" w:rsidRPr="00481373">
              <w:rPr>
                <w:sz w:val="18"/>
              </w:rPr>
              <w:t xml:space="preserve"> (50%)</w:t>
            </w:r>
          </w:p>
        </w:tc>
        <w:tc>
          <w:tcPr>
            <w:tcW w:w="1667" w:type="pct"/>
            <w:noWrap/>
            <w:hideMark/>
          </w:tcPr>
          <w:p w14:paraId="656B05CA" w14:textId="77777777" w:rsidR="00694D0B" w:rsidRPr="00481373" w:rsidRDefault="00694D0B" w:rsidP="001F1C85">
            <w:pPr>
              <w:ind w:right="57"/>
              <w:jc w:val="right"/>
              <w:rPr>
                <w:sz w:val="18"/>
              </w:rPr>
            </w:pPr>
            <w:r w:rsidRPr="00481373">
              <w:rPr>
                <w:sz w:val="18"/>
              </w:rPr>
              <w:t>2</w:t>
            </w:r>
          </w:p>
        </w:tc>
        <w:tc>
          <w:tcPr>
            <w:tcW w:w="1667" w:type="pct"/>
            <w:noWrap/>
            <w:hideMark/>
          </w:tcPr>
          <w:p w14:paraId="656B05CB" w14:textId="77777777" w:rsidR="00694D0B" w:rsidRPr="00481373" w:rsidRDefault="00694D0B" w:rsidP="001F1C85">
            <w:pPr>
              <w:ind w:right="57"/>
              <w:jc w:val="right"/>
              <w:rPr>
                <w:sz w:val="18"/>
              </w:rPr>
            </w:pPr>
            <w:r w:rsidRPr="00481373">
              <w:rPr>
                <w:sz w:val="18"/>
              </w:rPr>
              <w:t>5</w:t>
            </w:r>
          </w:p>
        </w:tc>
      </w:tr>
      <w:tr w:rsidR="00694D0B" w:rsidRPr="00C46F78" w14:paraId="656B05D0" w14:textId="77777777" w:rsidTr="000F616B">
        <w:trPr>
          <w:trHeight w:val="269"/>
        </w:trPr>
        <w:tc>
          <w:tcPr>
            <w:tcW w:w="1666" w:type="pct"/>
            <w:noWrap/>
            <w:hideMark/>
          </w:tcPr>
          <w:p w14:paraId="656B05CD" w14:textId="77777777" w:rsidR="00694D0B" w:rsidRPr="00481373" w:rsidRDefault="00694D0B" w:rsidP="00481373">
            <w:pPr>
              <w:ind w:right="565"/>
              <w:rPr>
                <w:sz w:val="18"/>
              </w:rPr>
            </w:pPr>
            <w:r w:rsidRPr="00481373">
              <w:rPr>
                <w:sz w:val="18"/>
              </w:rPr>
              <w:t>Cost</w:t>
            </w:r>
            <w:r w:rsidR="000F616B" w:rsidRPr="00481373">
              <w:rPr>
                <w:sz w:val="18"/>
              </w:rPr>
              <w:t xml:space="preserve"> (50%)</w:t>
            </w:r>
          </w:p>
        </w:tc>
        <w:tc>
          <w:tcPr>
            <w:tcW w:w="1667" w:type="pct"/>
            <w:noWrap/>
            <w:hideMark/>
          </w:tcPr>
          <w:p w14:paraId="656B05CE" w14:textId="77777777" w:rsidR="00694D0B" w:rsidRPr="00481373" w:rsidRDefault="00694D0B" w:rsidP="001F1C85">
            <w:pPr>
              <w:ind w:right="57"/>
              <w:jc w:val="right"/>
              <w:rPr>
                <w:sz w:val="18"/>
              </w:rPr>
            </w:pPr>
            <w:r w:rsidRPr="00481373">
              <w:rPr>
                <w:sz w:val="18"/>
              </w:rPr>
              <w:t>-8</w:t>
            </w:r>
          </w:p>
        </w:tc>
        <w:tc>
          <w:tcPr>
            <w:tcW w:w="1667" w:type="pct"/>
            <w:noWrap/>
            <w:hideMark/>
          </w:tcPr>
          <w:p w14:paraId="656B05CF" w14:textId="77777777" w:rsidR="00694D0B" w:rsidRPr="00481373" w:rsidRDefault="00694D0B" w:rsidP="001F1C85">
            <w:pPr>
              <w:ind w:right="57"/>
              <w:jc w:val="right"/>
              <w:rPr>
                <w:sz w:val="18"/>
              </w:rPr>
            </w:pPr>
            <w:r w:rsidRPr="00481373">
              <w:rPr>
                <w:sz w:val="18"/>
              </w:rPr>
              <w:t>-</w:t>
            </w:r>
            <w:r w:rsidR="005D4F52" w:rsidRPr="00481373">
              <w:rPr>
                <w:sz w:val="18"/>
              </w:rPr>
              <w:t>4</w:t>
            </w:r>
          </w:p>
        </w:tc>
      </w:tr>
      <w:tr w:rsidR="00694D0B" w:rsidRPr="00C46F78" w14:paraId="656B05D4" w14:textId="77777777" w:rsidTr="000F616B">
        <w:trPr>
          <w:trHeight w:val="269"/>
        </w:trPr>
        <w:tc>
          <w:tcPr>
            <w:tcW w:w="1666" w:type="pct"/>
            <w:noWrap/>
            <w:hideMark/>
          </w:tcPr>
          <w:p w14:paraId="656B05D1" w14:textId="77777777" w:rsidR="00694D0B" w:rsidRPr="00481373" w:rsidRDefault="00694D0B" w:rsidP="00481373">
            <w:pPr>
              <w:ind w:right="565"/>
              <w:rPr>
                <w:b/>
                <w:sz w:val="18"/>
              </w:rPr>
            </w:pPr>
            <w:r w:rsidRPr="00481373">
              <w:rPr>
                <w:b/>
                <w:sz w:val="18"/>
              </w:rPr>
              <w:t xml:space="preserve">Total </w:t>
            </w:r>
            <w:r w:rsidR="000F616B" w:rsidRPr="00481373">
              <w:rPr>
                <w:b/>
                <w:sz w:val="18"/>
              </w:rPr>
              <w:t xml:space="preserve">weighted </w:t>
            </w:r>
            <w:r w:rsidRPr="00481373">
              <w:rPr>
                <w:b/>
                <w:sz w:val="18"/>
              </w:rPr>
              <w:t>score</w:t>
            </w:r>
          </w:p>
        </w:tc>
        <w:tc>
          <w:tcPr>
            <w:tcW w:w="1667" w:type="pct"/>
            <w:noWrap/>
            <w:hideMark/>
          </w:tcPr>
          <w:p w14:paraId="656B05D2" w14:textId="77777777" w:rsidR="00694D0B" w:rsidRPr="00481373" w:rsidRDefault="00694D0B" w:rsidP="001F1C85">
            <w:pPr>
              <w:ind w:right="57"/>
              <w:jc w:val="right"/>
              <w:rPr>
                <w:b/>
                <w:sz w:val="18"/>
              </w:rPr>
            </w:pPr>
            <w:r w:rsidRPr="00481373">
              <w:rPr>
                <w:b/>
                <w:sz w:val="18"/>
              </w:rPr>
              <w:t>-</w:t>
            </w:r>
            <w:r w:rsidR="000F616B" w:rsidRPr="00481373">
              <w:rPr>
                <w:b/>
                <w:sz w:val="18"/>
              </w:rPr>
              <w:t>3</w:t>
            </w:r>
          </w:p>
        </w:tc>
        <w:tc>
          <w:tcPr>
            <w:tcW w:w="1667" w:type="pct"/>
            <w:noWrap/>
            <w:hideMark/>
          </w:tcPr>
          <w:p w14:paraId="656B05D3" w14:textId="77777777" w:rsidR="00694D0B" w:rsidRPr="00481373" w:rsidRDefault="000F616B" w:rsidP="001F1C85">
            <w:pPr>
              <w:ind w:right="57"/>
              <w:jc w:val="right"/>
              <w:rPr>
                <w:b/>
                <w:sz w:val="18"/>
              </w:rPr>
            </w:pPr>
            <w:r w:rsidRPr="00481373">
              <w:rPr>
                <w:b/>
                <w:sz w:val="18"/>
              </w:rPr>
              <w:t>0.5</w:t>
            </w:r>
          </w:p>
        </w:tc>
      </w:tr>
    </w:tbl>
    <w:p w14:paraId="656B05D5" w14:textId="77777777" w:rsidR="00213E13" w:rsidRDefault="00213E13" w:rsidP="00213E13"/>
    <w:p w14:paraId="656B05D6" w14:textId="77777777" w:rsidR="00213E13" w:rsidRDefault="00213E13" w:rsidP="00982D63">
      <w:pPr>
        <w:pStyle w:val="Heading2"/>
      </w:pPr>
      <w:bookmarkStart w:id="639" w:name="_Ref9868338"/>
      <w:r>
        <w:t>Lawful place</w:t>
      </w:r>
      <w:bookmarkEnd w:id="639"/>
    </w:p>
    <w:p w14:paraId="656B05D7" w14:textId="77777777" w:rsidR="00213E13" w:rsidRDefault="00213E13" w:rsidP="00481373">
      <w:pPr>
        <w:pStyle w:val="Heading3"/>
        <w:ind w:left="720"/>
      </w:pPr>
      <w:bookmarkStart w:id="640" w:name="_Hlk11167840"/>
      <w:r w:rsidRPr="00243F08">
        <w:t>Options</w:t>
      </w:r>
    </w:p>
    <w:p w14:paraId="656B05D8" w14:textId="77777777" w:rsidR="005F0436" w:rsidRDefault="005F0436" w:rsidP="005F0436">
      <w:r>
        <w:t>In developing the options</w:t>
      </w:r>
      <w:r w:rsidR="00D44BD1">
        <w:t xml:space="preserve"> to prescribe what a lawful place is</w:t>
      </w:r>
      <w:r>
        <w:t xml:space="preserve">, DELWP and EPA considered the range of instruments (including within the permissioning framework) </w:t>
      </w:r>
      <w:r w:rsidR="00BB6A53">
        <w:t>through</w:t>
      </w:r>
      <w:r>
        <w:t xml:space="preserve"> which lawful place could be authorised, as well as frameworks applied in other jurisdictions.</w:t>
      </w:r>
    </w:p>
    <w:p w14:paraId="656B05D9" w14:textId="77777777" w:rsidR="00355E4A" w:rsidRPr="00481373" w:rsidRDefault="00355E4A" w:rsidP="00355E4A">
      <w:r w:rsidRPr="00481373">
        <w:t xml:space="preserve">The </w:t>
      </w:r>
      <w:r w:rsidR="003173D1">
        <w:t xml:space="preserve">primary </w:t>
      </w:r>
      <w:r w:rsidRPr="00481373">
        <w:t xml:space="preserve">criteria </w:t>
      </w:r>
      <w:r w:rsidR="003173D1">
        <w:t>to</w:t>
      </w:r>
      <w:r w:rsidRPr="00355E4A">
        <w:t xml:space="preserve"> </w:t>
      </w:r>
      <w:r w:rsidRPr="00481373">
        <w:t>scale permission levels for the lawful receipt of industrial wastes is the risk of waste management activities, with consideration of potential regulatory impact and ease of compliance on different industry sectors</w:t>
      </w:r>
      <w:r w:rsidRPr="00C256B1">
        <w:t xml:space="preserve">. </w:t>
      </w:r>
      <w:r w:rsidR="0020433A" w:rsidRPr="00C256B1">
        <w:t>Options</w:t>
      </w:r>
      <w:r w:rsidR="009A4A25" w:rsidRPr="00C256B1">
        <w:t xml:space="preserve"> </w:t>
      </w:r>
      <w:r w:rsidR="001A53D6" w:rsidRPr="00C256B1">
        <w:t>for addressing</w:t>
      </w:r>
      <w:r w:rsidR="009A4A25" w:rsidRPr="00C256B1">
        <w:t xml:space="preserve"> lawful place </w:t>
      </w:r>
      <w:r w:rsidR="00D96515" w:rsidRPr="00C256B1">
        <w:t xml:space="preserve">are </w:t>
      </w:r>
      <w:r w:rsidR="001A37D4" w:rsidRPr="00C256B1">
        <w:t xml:space="preserve">complemented by a strengthened compliance and enforcement program targeting </w:t>
      </w:r>
      <w:r w:rsidR="001A53D6" w:rsidRPr="00C256B1">
        <w:t>poor</w:t>
      </w:r>
      <w:r w:rsidR="00BF10DA" w:rsidRPr="00C256B1">
        <w:t xml:space="preserve"> management </w:t>
      </w:r>
      <w:r w:rsidR="001A53D6" w:rsidRPr="00C256B1">
        <w:t xml:space="preserve">practices in </w:t>
      </w:r>
      <w:r w:rsidR="00BF10DA" w:rsidRPr="00C256B1">
        <w:t>the waste sector.</w:t>
      </w:r>
    </w:p>
    <w:p w14:paraId="656B05DA" w14:textId="77777777" w:rsidR="00213E13" w:rsidRDefault="00213E13" w:rsidP="000E7C5E">
      <w:pPr>
        <w:ind w:right="565"/>
      </w:pPr>
      <w:r>
        <w:t xml:space="preserve">To prescribe what a lawful place is, three options </w:t>
      </w:r>
      <w:r w:rsidR="00C84017">
        <w:t xml:space="preserve">were </w:t>
      </w:r>
      <w:r>
        <w:t>considered in addition to the Base Case:</w:t>
      </w:r>
    </w:p>
    <w:p w14:paraId="656B05DB" w14:textId="77777777" w:rsidR="00213E13" w:rsidRDefault="00213E13" w:rsidP="00213E13">
      <w:pPr>
        <w:pStyle w:val="ListParagraph"/>
        <w:numPr>
          <w:ilvl w:val="0"/>
          <w:numId w:val="95"/>
        </w:numPr>
        <w:spacing w:after="170"/>
      </w:pPr>
      <w:r>
        <w:rPr>
          <w:b/>
        </w:rPr>
        <w:t>Base C</w:t>
      </w:r>
      <w:r w:rsidRPr="00C75AF2">
        <w:rPr>
          <w:b/>
        </w:rPr>
        <w:t>ase</w:t>
      </w:r>
      <w:r>
        <w:t xml:space="preserve">: The Base Case </w:t>
      </w:r>
      <w:r w:rsidRPr="002432DF">
        <w:t>involve</w:t>
      </w:r>
      <w:r>
        <w:t>s</w:t>
      </w:r>
      <w:r w:rsidRPr="002432DF">
        <w:t xml:space="preserve"> transitioning the current licenced cohort of industrial waste premises to a licence under the</w:t>
      </w:r>
      <w:r w:rsidRPr="00C1637A">
        <w:t xml:space="preserve"> </w:t>
      </w:r>
      <w:r>
        <w:t xml:space="preserve">new </w:t>
      </w:r>
      <w:r w:rsidRPr="00C1637A">
        <w:t>permissions framework</w:t>
      </w:r>
      <w:r>
        <w:t xml:space="preserve"> which would make these premises automatically ‘lawful’</w:t>
      </w:r>
      <w:r w:rsidRPr="00C1637A">
        <w:t>.</w:t>
      </w:r>
      <w:r>
        <w:t xml:space="preserve"> Industrial waste premises that are currently unlicensed will be required to obtain a permission (either licence, permit or registration). </w:t>
      </w:r>
      <w:r w:rsidRPr="006C7001">
        <w:t xml:space="preserve">Within the permissioning framework, licences will be used for managing wastes with higher levels of hazard and complex treatments. Permits will apply where wastes are managed in large volumes or are prone to large fires, mismanagement, abandonment or off-site impacts. Registrations will apply where </w:t>
      </w:r>
      <w:r w:rsidRPr="00C256B1">
        <w:t xml:space="preserve">volumes of waste are smaller, but the activity is prone to mismanagement or lack of transparency for waste generators is likely to occur. </w:t>
      </w:r>
      <w:r w:rsidR="006111C9" w:rsidRPr="00C256B1">
        <w:t>The u</w:t>
      </w:r>
      <w:r w:rsidR="00784A6A" w:rsidRPr="00C256B1">
        <w:t xml:space="preserve">se </w:t>
      </w:r>
      <w:r w:rsidR="00BA3833" w:rsidRPr="00C256B1">
        <w:t>and</w:t>
      </w:r>
      <w:r w:rsidR="00B65D73" w:rsidRPr="00C256B1">
        <w:t xml:space="preserve"> re-use of waste would be covered by guidance</w:t>
      </w:r>
      <w:r w:rsidR="00BA3833" w:rsidRPr="00C256B1">
        <w:t xml:space="preserve"> and the GED. </w:t>
      </w:r>
      <w:r w:rsidR="004E51A5">
        <w:t xml:space="preserve">This would limit </w:t>
      </w:r>
      <w:r w:rsidR="006319D4" w:rsidRPr="00C256B1">
        <w:t xml:space="preserve">the ability </w:t>
      </w:r>
      <w:r w:rsidR="004E51A5">
        <w:t xml:space="preserve">of EPA </w:t>
      </w:r>
      <w:r w:rsidR="006319D4" w:rsidRPr="00C256B1">
        <w:t>to</w:t>
      </w:r>
      <w:r w:rsidR="00B75C68" w:rsidRPr="00C256B1">
        <w:t xml:space="preserve"> </w:t>
      </w:r>
      <w:r w:rsidR="006319D4" w:rsidRPr="00C256B1">
        <w:t>set</w:t>
      </w:r>
      <w:r w:rsidR="00B75C68" w:rsidRPr="00C256B1">
        <w:t xml:space="preserve"> </w:t>
      </w:r>
      <w:r w:rsidR="001971F3" w:rsidRPr="00C256B1">
        <w:t xml:space="preserve">specific limits on a site </w:t>
      </w:r>
      <w:r w:rsidR="004E51A5">
        <w:t xml:space="preserve">in order </w:t>
      </w:r>
      <w:r w:rsidR="00AA2958" w:rsidRPr="00C256B1">
        <w:t>to prevent stockpiling</w:t>
      </w:r>
      <w:r w:rsidR="004E51A5">
        <w:t>,</w:t>
      </w:r>
      <w:r w:rsidR="00AA2958" w:rsidRPr="00C256B1">
        <w:t xml:space="preserve"> if reasonably practicable steps</w:t>
      </w:r>
      <w:r w:rsidR="007414B7" w:rsidRPr="00C256B1">
        <w:t xml:space="preserve"> to prevent harm were met by the duty holder. </w:t>
      </w:r>
      <w:r w:rsidRPr="00C256B1">
        <w:t>The costing for this is included in the Permissions c</w:t>
      </w:r>
      <w:r w:rsidRPr="00D96322">
        <w:t>hapter.</w:t>
      </w:r>
    </w:p>
    <w:bookmarkEnd w:id="640"/>
    <w:p w14:paraId="656B05DC" w14:textId="77777777" w:rsidR="00213E13" w:rsidRDefault="00213E13" w:rsidP="000E7C5E">
      <w:pPr>
        <w:pStyle w:val="ListParagraph"/>
        <w:numPr>
          <w:ilvl w:val="0"/>
          <w:numId w:val="95"/>
        </w:numPr>
        <w:spacing w:after="0"/>
      </w:pPr>
      <w:r w:rsidRPr="001B3151">
        <w:rPr>
          <w:b/>
        </w:rPr>
        <w:t>Option 1: Flexible tools, multiple approaches</w:t>
      </w:r>
      <w:r w:rsidRPr="001B3151">
        <w:t>.</w:t>
      </w:r>
      <w:r w:rsidRPr="00C1637A">
        <w:t xml:space="preserve"> </w:t>
      </w:r>
      <w:r>
        <w:t xml:space="preserve">In addition to the Base Case, there would be new </w:t>
      </w:r>
      <w:r w:rsidR="0062557A">
        <w:t xml:space="preserve">self-assessed </w:t>
      </w:r>
      <w:r>
        <w:t xml:space="preserve">instruments introduced to allow for activities not considered in the permissioning framework to lawfully accept waste or to enable an exemption for lawful acceptance. </w:t>
      </w:r>
      <w:r w:rsidR="004E20F3">
        <w:t xml:space="preserve">DELWP and EPA considered self-assessment (rather than EPA assessment) to be appropriate for these instruments, reflecting the lower-risk nature of the wastes to which they would apply. </w:t>
      </w:r>
      <w:r>
        <w:t>These instruments include:</w:t>
      </w:r>
    </w:p>
    <w:p w14:paraId="656B05DD" w14:textId="77777777" w:rsidR="00213E13" w:rsidRDefault="00213E13" w:rsidP="00213E13">
      <w:pPr>
        <w:pStyle w:val="Bullet1"/>
        <w:numPr>
          <w:ilvl w:val="0"/>
          <w:numId w:val="96"/>
        </w:numPr>
        <w:ind w:left="993" w:hanging="295"/>
      </w:pPr>
      <w:r>
        <w:t xml:space="preserve">A Statement of Acceptance (SoA) for low risk, small scale activities on an individual site to demonstrate the ability to lawfully receive waste beyond the permissioning framework threshold. A key example is the acceptance of organic waste material or soils on agricultural land. A SoA is prepared by the waste receiver with the intent of communicating to the waste generator how the waste is intended to be used. A SoA statement only requires renewal upon a change in waste source or end use. </w:t>
      </w:r>
    </w:p>
    <w:p w14:paraId="656B05DE" w14:textId="77777777" w:rsidR="00213E13" w:rsidRDefault="00213E13" w:rsidP="00213E13">
      <w:pPr>
        <w:pStyle w:val="Bullet1"/>
        <w:numPr>
          <w:ilvl w:val="0"/>
          <w:numId w:val="96"/>
        </w:numPr>
        <w:ind w:left="993" w:hanging="295"/>
      </w:pPr>
      <w:r>
        <w:t>Statement of Compliance (SoC) which would apply for a subset of the above SoA cohort</w:t>
      </w:r>
      <w:r w:rsidRPr="00A8508F">
        <w:t xml:space="preserve"> </w:t>
      </w:r>
      <w:r>
        <w:t xml:space="preserve">for activities carrying a moderate risk or where a waste is being further processed on site. This would apply to particular waste types of a higher hazard level or may be subject to changing </w:t>
      </w:r>
      <w:r w:rsidR="00AB5F76">
        <w:t>waste composition</w:t>
      </w:r>
      <w:r>
        <w:t xml:space="preserve">. Similar to </w:t>
      </w:r>
      <w:r w:rsidR="00C84017">
        <w:t xml:space="preserve">a </w:t>
      </w:r>
      <w:r>
        <w:t>SoA, the SoC would be prepared by the receiver of waste and demonstrate and communicate ongoing compliance to the generator of waste. A SoC would be required to be produced annually.</w:t>
      </w:r>
    </w:p>
    <w:p w14:paraId="656B05DF" w14:textId="02E985A6" w:rsidR="00A66EAB" w:rsidRDefault="00213E13" w:rsidP="00A66EAB">
      <w:pPr>
        <w:pStyle w:val="Bullet1"/>
        <w:numPr>
          <w:ilvl w:val="0"/>
          <w:numId w:val="96"/>
        </w:numPr>
        <w:spacing w:after="0"/>
        <w:ind w:left="993" w:hanging="295"/>
      </w:pPr>
      <w:r>
        <w:t xml:space="preserve">A Declaration of Use (DoU) which is a means of declaring that lawful place is achieved through </w:t>
      </w:r>
      <w:r w:rsidR="00544980">
        <w:t xml:space="preserve">accurately completing a </w:t>
      </w:r>
      <w:r>
        <w:t xml:space="preserve">declaration. It is a self-assessed tool and would be a requirement on the person in management or control of the industrial waste to provide a declaration to the receiver, who agrees to accept the waste at the premises for the declared use. A DoU would apply in circumstances where waste is processed </w:t>
      </w:r>
      <w:r w:rsidR="007D5214">
        <w:t>and deemed fit for a particular</w:t>
      </w:r>
      <w:r>
        <w:t xml:space="preserve"> use. For example, plastic waste is processed into (granulated) plastics which is then supplied to a plastics manufacture</w:t>
      </w:r>
      <w:r w:rsidR="00EB4676">
        <w:t>r</w:t>
      </w:r>
      <w:r>
        <w:t xml:space="preserve">– the plastic waste processor undertakes assessment of the processed waste granulated plastics and declares it to be </w:t>
      </w:r>
      <w:r w:rsidR="005F7A9C">
        <w:t xml:space="preserve">fit </w:t>
      </w:r>
      <w:r>
        <w:t xml:space="preserve">for </w:t>
      </w:r>
      <w:r w:rsidR="00EB4676">
        <w:t>use</w:t>
      </w:r>
      <w:r w:rsidR="005F7A9C">
        <w:t>. For example</w:t>
      </w:r>
      <w:r w:rsidR="00DB7A3F">
        <w:t>,</w:t>
      </w:r>
      <w:r w:rsidR="005F7A9C">
        <w:t xml:space="preserve"> that it is free from </w:t>
      </w:r>
      <w:r w:rsidR="00DB7A3F">
        <w:t>contamination and meets a specification set out in the declaration. T</w:t>
      </w:r>
      <w:r>
        <w:t xml:space="preserve">he plastics manufacturer (receiver) </w:t>
      </w:r>
      <w:r w:rsidR="00C961D3">
        <w:t>gains information</w:t>
      </w:r>
      <w:r w:rsidR="000526CF">
        <w:t xml:space="preserve"> on the appropriate uses of the materials and any limitations of its use. The receiver </w:t>
      </w:r>
      <w:r w:rsidR="00BB5DE5">
        <w:t>accepts the material for an appropriate end use</w:t>
      </w:r>
      <w:r w:rsidR="00516013">
        <w:t xml:space="preserve">, satisfying the requirements of lawful place. </w:t>
      </w:r>
      <w:r w:rsidR="00694D0B">
        <w:t xml:space="preserve">DoUs would be applicable where the receiver intends to use the waste immediately, with minimal storage. </w:t>
      </w:r>
      <w:r w:rsidR="00A66EAB">
        <w:t>It is important to note that the wider definition of waste in the</w:t>
      </w:r>
      <w:r w:rsidR="00824232">
        <w:t xml:space="preserve"> new</w:t>
      </w:r>
      <w:r w:rsidR="00A66EAB">
        <w:t xml:space="preserve"> EP </w:t>
      </w:r>
      <w:r w:rsidR="00824232">
        <w:t xml:space="preserve">legislation </w:t>
      </w:r>
      <w:r w:rsidR="00B469CB">
        <w:t>is</w:t>
      </w:r>
      <w:r w:rsidR="00A66EAB">
        <w:t xml:space="preserve"> </w:t>
      </w:r>
      <w:r w:rsidR="00B469CB">
        <w:t xml:space="preserve">irrespective of any potential use or value, requiring that lawful place be established for wastes </w:t>
      </w:r>
      <w:r w:rsidR="00596F60">
        <w:t>consigned for use.</w:t>
      </w:r>
    </w:p>
    <w:p w14:paraId="656B05E0" w14:textId="77777777" w:rsidR="00CA23EC" w:rsidRDefault="00CA23EC" w:rsidP="004E20F3">
      <w:pPr>
        <w:pStyle w:val="Bullet1"/>
        <w:spacing w:after="0"/>
        <w:ind w:left="698" w:firstLine="0"/>
      </w:pPr>
    </w:p>
    <w:p w14:paraId="656B05E1" w14:textId="77777777" w:rsidR="00CA23EC" w:rsidRDefault="00CA23EC" w:rsidP="004E20F3">
      <w:pPr>
        <w:pStyle w:val="Bullet1"/>
        <w:spacing w:after="0"/>
        <w:ind w:left="698" w:firstLine="0"/>
      </w:pPr>
      <w:r>
        <w:t>All of the above instruments require the duty holder to record information about the waste source, its type and composition, and the intended end use. The duty holder would need to keep adequate records of the relevant instrument.</w:t>
      </w:r>
    </w:p>
    <w:p w14:paraId="656B05E2" w14:textId="77777777" w:rsidR="00CA23EC" w:rsidRDefault="00CA23EC" w:rsidP="004E20F3">
      <w:pPr>
        <w:pStyle w:val="Bullet1"/>
        <w:spacing w:after="0"/>
        <w:ind w:left="698" w:firstLine="0"/>
      </w:pPr>
    </w:p>
    <w:p w14:paraId="656B05E3" w14:textId="77777777" w:rsidR="004E6C03" w:rsidRPr="004E20F3" w:rsidRDefault="00213E13" w:rsidP="004E20F3">
      <w:pPr>
        <w:pStyle w:val="ListParagraph"/>
        <w:numPr>
          <w:ilvl w:val="0"/>
          <w:numId w:val="95"/>
        </w:numPr>
        <w:spacing w:after="0"/>
        <w:rPr>
          <w:b/>
        </w:rPr>
      </w:pPr>
      <w:r w:rsidRPr="00FB3479">
        <w:rPr>
          <w:b/>
        </w:rPr>
        <w:t>Option 2: Streamlined use</w:t>
      </w:r>
      <w:r w:rsidRPr="001B687F">
        <w:rPr>
          <w:b/>
        </w:rPr>
        <w:t xml:space="preserve"> </w:t>
      </w:r>
      <w:r w:rsidRPr="00BC2517">
        <w:rPr>
          <w:b/>
        </w:rPr>
        <w:t>of tools</w:t>
      </w:r>
      <w:r w:rsidRPr="004E20F3">
        <w:rPr>
          <w:b/>
        </w:rPr>
        <w:t xml:space="preserve">. </w:t>
      </w:r>
      <w:r w:rsidRPr="00824232">
        <w:t xml:space="preserve">Option 2 involves prescribing one extra tool (a DoU) for </w:t>
      </w:r>
      <w:r w:rsidR="004E6C03" w:rsidRPr="00824232">
        <w:t>satisfying lawful place requirements outside of permissioning, by declaring what the waste materials are and their intended uses and fitness for those uses.</w:t>
      </w:r>
    </w:p>
    <w:p w14:paraId="656B05E4" w14:textId="30518CC9" w:rsidR="00213E13" w:rsidRPr="00AF2020" w:rsidRDefault="004E6C03" w:rsidP="004E20F3">
      <w:pPr>
        <w:pStyle w:val="Bullet1"/>
        <w:numPr>
          <w:ilvl w:val="0"/>
          <w:numId w:val="96"/>
        </w:numPr>
        <w:ind w:left="993" w:hanging="295"/>
      </w:pPr>
      <w:r>
        <w:t>A DoU is associated with uses of waste that EPA does not require direct notification of and can be considered low risk of harm to the environment and human health</w:t>
      </w:r>
      <w:r w:rsidR="00213E13">
        <w:t>. In addition to the DoU description for Option 1 (above), a DoU under Option 2 would also cover direct application to land of low risk organic waste</w:t>
      </w:r>
      <w:r w:rsidR="00A25E3F">
        <w:t xml:space="preserve">, on-site treatment or </w:t>
      </w:r>
      <w:r w:rsidR="002A50B5">
        <w:t>use</w:t>
      </w:r>
      <w:r w:rsidR="00A25E3F">
        <w:t xml:space="preserve"> of fill material, off-site deposit of fill material, and off-site storage of fill material for a period of no more than 60 days</w:t>
      </w:r>
      <w:r w:rsidR="17B0D6BC">
        <w:t xml:space="preserve">. </w:t>
      </w:r>
    </w:p>
    <w:p w14:paraId="656B05E5" w14:textId="77777777" w:rsidR="00213E13" w:rsidRPr="003225A3" w:rsidRDefault="00213E13" w:rsidP="00213E13">
      <w:pPr>
        <w:pStyle w:val="ListParagraph"/>
        <w:numPr>
          <w:ilvl w:val="0"/>
          <w:numId w:val="95"/>
        </w:numPr>
        <w:spacing w:after="170"/>
        <w:rPr>
          <w:b/>
        </w:rPr>
      </w:pPr>
      <w:r w:rsidRPr="00C75AF2">
        <w:rPr>
          <w:b/>
        </w:rPr>
        <w:t>Option 3: Permissions framework</w:t>
      </w:r>
      <w:r>
        <w:rPr>
          <w:b/>
        </w:rPr>
        <w:t xml:space="preserve"> only</w:t>
      </w:r>
      <w:r w:rsidRPr="00C75AF2">
        <w:rPr>
          <w:b/>
        </w:rPr>
        <w:t xml:space="preserve">. </w:t>
      </w:r>
      <w:r>
        <w:t xml:space="preserve">There would be no additional instruments established outside the permissions framework, which means that all sites receiving industrial waste will be required to at least be registered. </w:t>
      </w:r>
      <w:r w:rsidR="00D50901">
        <w:t>Registration for all uses of waste and fill material would then be required</w:t>
      </w:r>
      <w:r w:rsidR="00E17869">
        <w:t xml:space="preserve"> </w:t>
      </w:r>
      <w:r w:rsidR="00E179CD">
        <w:t xml:space="preserve">to </w:t>
      </w:r>
      <w:r w:rsidR="00A2503B">
        <w:t xml:space="preserve">establish lawful place. </w:t>
      </w:r>
      <w:r w:rsidR="00824232">
        <w:t xml:space="preserve">Under this approach, a </w:t>
      </w:r>
      <w:r w:rsidR="00A2503B">
        <w:t xml:space="preserve">significant number of registrations </w:t>
      </w:r>
      <w:r w:rsidR="00824232">
        <w:t xml:space="preserve">would be required for </w:t>
      </w:r>
      <w:r w:rsidR="00A2503B">
        <w:t xml:space="preserve">single uses of waste or deposit of fill on </w:t>
      </w:r>
      <w:r w:rsidR="00882D72">
        <w:t>construction sites or landscaping works.</w:t>
      </w:r>
      <w:r w:rsidR="00824232">
        <w:t xml:space="preserve"> For this reason, the </w:t>
      </w:r>
      <w:r w:rsidR="00824232" w:rsidRPr="00577F60">
        <w:t xml:space="preserve">approach is </w:t>
      </w:r>
      <w:r w:rsidR="00824232" w:rsidRPr="004E20F3">
        <w:t xml:space="preserve">not considered </w:t>
      </w:r>
      <w:r w:rsidR="00824232">
        <w:t xml:space="preserve">to be </w:t>
      </w:r>
      <w:r w:rsidR="00824232" w:rsidRPr="004E20F3">
        <w:t xml:space="preserve">feasible by DELWP and EPA, it is </w:t>
      </w:r>
      <w:r w:rsidR="00824232">
        <w:t xml:space="preserve">therefore </w:t>
      </w:r>
      <w:r w:rsidR="00824232" w:rsidRPr="004E20F3">
        <w:t xml:space="preserve">not considered further in the analysis below. </w:t>
      </w:r>
    </w:p>
    <w:p w14:paraId="656B05E6" w14:textId="77777777" w:rsidR="00213E13" w:rsidRDefault="00E0490C" w:rsidP="00C256B1">
      <w:pPr>
        <w:pStyle w:val="Heading3"/>
        <w:ind w:left="720"/>
      </w:pPr>
      <w:r w:rsidRPr="00C256B1">
        <w:t>Detailed</w:t>
      </w:r>
      <w:r w:rsidR="00213E13">
        <w:t xml:space="preserve"> assessment</w:t>
      </w:r>
    </w:p>
    <w:p w14:paraId="656B05E7" w14:textId="77777777" w:rsidR="00213E13" w:rsidRDefault="00E0490C" w:rsidP="00E0490C">
      <w:pPr>
        <w:pStyle w:val="Heading4"/>
      </w:pPr>
      <w:r>
        <w:t>Assumptions</w:t>
      </w:r>
    </w:p>
    <w:p w14:paraId="656B05E8" w14:textId="77777777" w:rsidR="00213E13" w:rsidRDefault="00213E13" w:rsidP="000E7C5E">
      <w:pPr>
        <w:spacing w:after="0"/>
        <w:rPr>
          <w:i/>
        </w:rPr>
      </w:pPr>
      <w:r w:rsidRPr="00BF51BD">
        <w:rPr>
          <w:i/>
        </w:rPr>
        <w:t xml:space="preserve">Costs to </w:t>
      </w:r>
      <w:r>
        <w:rPr>
          <w:i/>
        </w:rPr>
        <w:t>business</w:t>
      </w:r>
      <w:r w:rsidR="00E0490C">
        <w:rPr>
          <w:i/>
        </w:rPr>
        <w:t xml:space="preserve"> – Option 1</w:t>
      </w:r>
    </w:p>
    <w:p w14:paraId="656B05E9" w14:textId="77777777" w:rsidR="00213E13" w:rsidRDefault="00213E13" w:rsidP="000E7C5E">
      <w:pPr>
        <w:ind w:right="565"/>
      </w:pPr>
      <w:r>
        <w:t>The business cohort affected by Option 1 includes premises receiving an industrial waste product that would be required to generate a SoA or premises generating an industrial waste product for reuse that would be required to generate a DoU. The main costs on these businesses would be the generation of SoA, SoC and DoU certificates. Key assumptions for the analysis include:</w:t>
      </w:r>
    </w:p>
    <w:p w14:paraId="656B05EA" w14:textId="77777777" w:rsidR="00213E13" w:rsidRDefault="00213E13" w:rsidP="00180BDE">
      <w:pPr>
        <w:pStyle w:val="Bullet1"/>
        <w:numPr>
          <w:ilvl w:val="0"/>
          <w:numId w:val="16"/>
        </w:numPr>
        <w:ind w:left="709" w:hanging="425"/>
      </w:pPr>
      <w:r>
        <w:t>No. of premises that would be requ</w:t>
      </w:r>
      <w:r w:rsidRPr="00A4187D">
        <w:t xml:space="preserve">ired to generate a SoA </w:t>
      </w:r>
      <w:r>
        <w:t>(soils and fill material)</w:t>
      </w:r>
      <w:r w:rsidR="00574F3E">
        <w:t xml:space="preserve"> </w:t>
      </w:r>
      <w:r>
        <w:t xml:space="preserve">– </w:t>
      </w:r>
      <w:r w:rsidR="00574F3E" w:rsidRPr="007235A7">
        <w:rPr>
          <w:b/>
        </w:rPr>
        <w:t>5</w:t>
      </w:r>
      <w:r w:rsidRPr="007235A7">
        <w:rPr>
          <w:b/>
        </w:rPr>
        <w:t xml:space="preserve">0,000 </w:t>
      </w:r>
      <w:r w:rsidRPr="00045BCE">
        <w:t>(Source</w:t>
      </w:r>
      <w:r w:rsidRPr="00D96322">
        <w:t>: Deloitte estimate</w:t>
      </w:r>
      <w:r w:rsidR="009D1151">
        <w:t xml:space="preserve"> based on discussion with EPA and assuming </w:t>
      </w:r>
    </w:p>
    <w:p w14:paraId="656B05EB" w14:textId="77777777" w:rsidR="00D33BE1" w:rsidRDefault="00D33BE1" w:rsidP="00D33BE1">
      <w:pPr>
        <w:pStyle w:val="Bullet1"/>
        <w:numPr>
          <w:ilvl w:val="0"/>
          <w:numId w:val="16"/>
        </w:numPr>
        <w:ind w:left="709" w:hanging="425"/>
      </w:pPr>
      <w:r w:rsidRPr="00A4187D">
        <w:t>No. of premises that would be required to generate a DoU –</w:t>
      </w:r>
      <w:r w:rsidRPr="00D96322">
        <w:rPr>
          <w:b/>
        </w:rPr>
        <w:t xml:space="preserve"> 10,000</w:t>
      </w:r>
      <w:r w:rsidRPr="00A4187D">
        <w:t xml:space="preserve"> </w:t>
      </w:r>
      <w:r w:rsidRPr="00D96322">
        <w:t>(</w:t>
      </w:r>
      <w:r w:rsidRPr="007E1BBC">
        <w:t>Source: Deloitte estimate</w:t>
      </w:r>
      <w:r>
        <w:t xml:space="preserve"> based on discussion with EPA</w:t>
      </w:r>
      <w:r w:rsidRPr="007E1BBC">
        <w:t>)</w:t>
      </w:r>
    </w:p>
    <w:p w14:paraId="656B05EC" w14:textId="77777777" w:rsidR="00213E13" w:rsidRDefault="00213E13" w:rsidP="00180BDE">
      <w:pPr>
        <w:pStyle w:val="Bullet1"/>
        <w:numPr>
          <w:ilvl w:val="0"/>
          <w:numId w:val="16"/>
        </w:numPr>
        <w:ind w:left="709" w:hanging="425"/>
      </w:pPr>
      <w:r w:rsidRPr="00A4187D">
        <w:t xml:space="preserve">Rate of SoA renewal – </w:t>
      </w:r>
      <w:r w:rsidRPr="00D96322">
        <w:rPr>
          <w:b/>
        </w:rPr>
        <w:t>3 years</w:t>
      </w:r>
      <w:r w:rsidRPr="00A4187D">
        <w:t xml:space="preserve"> </w:t>
      </w:r>
      <w:r w:rsidRPr="007E1BBC">
        <w:t>(Source: Deloitte estimate</w:t>
      </w:r>
      <w:r w:rsidR="009D1151">
        <w:t xml:space="preserve"> based on discussion with EPA</w:t>
      </w:r>
      <w:r w:rsidRPr="007E1BBC">
        <w:t>)</w:t>
      </w:r>
    </w:p>
    <w:p w14:paraId="656B05ED" w14:textId="77777777" w:rsidR="00213E13" w:rsidRPr="00A4187D" w:rsidRDefault="00213E13" w:rsidP="00180BDE">
      <w:pPr>
        <w:pStyle w:val="Bullet1"/>
        <w:numPr>
          <w:ilvl w:val="0"/>
          <w:numId w:val="16"/>
        </w:numPr>
        <w:ind w:left="709" w:hanging="425"/>
      </w:pPr>
      <w:r w:rsidRPr="00A4187D">
        <w:t>% of SoA premises</w:t>
      </w:r>
      <w:r>
        <w:t xml:space="preserve"> (other)</w:t>
      </w:r>
      <w:r w:rsidRPr="00A4187D">
        <w:t xml:space="preserve"> that have changing waste feedstocks and would be required to generate a SoC </w:t>
      </w:r>
      <w:r w:rsidRPr="003E39B7">
        <w:t xml:space="preserve">every year – </w:t>
      </w:r>
      <w:r w:rsidRPr="00D96322">
        <w:rPr>
          <w:b/>
        </w:rPr>
        <w:t>18%</w:t>
      </w:r>
      <w:r w:rsidRPr="00A4187D">
        <w:t xml:space="preserve"> </w:t>
      </w:r>
      <w:r w:rsidRPr="00D96322">
        <w:t>(Source: Deloitte survey)</w:t>
      </w:r>
    </w:p>
    <w:p w14:paraId="656B05EE" w14:textId="77777777" w:rsidR="00213E13" w:rsidRPr="00A4187D" w:rsidRDefault="00213E13" w:rsidP="00180BDE">
      <w:pPr>
        <w:pStyle w:val="Bullet1"/>
        <w:numPr>
          <w:ilvl w:val="0"/>
          <w:numId w:val="16"/>
        </w:numPr>
        <w:ind w:left="709" w:hanging="425"/>
      </w:pPr>
      <w:r w:rsidRPr="00A4187D">
        <w:t xml:space="preserve">Cost of generating a SoA certificate - </w:t>
      </w:r>
      <w:r w:rsidRPr="00D96322">
        <w:rPr>
          <w:b/>
        </w:rPr>
        <w:t>$</w:t>
      </w:r>
      <w:r w:rsidR="00E13579">
        <w:rPr>
          <w:b/>
        </w:rPr>
        <w:t xml:space="preserve">100 </w:t>
      </w:r>
      <w:r w:rsidRPr="00A4187D">
        <w:t>(</w:t>
      </w:r>
      <w:r w:rsidRPr="00D96322">
        <w:t xml:space="preserve">Source: </w:t>
      </w:r>
      <w:r>
        <w:t>Deloitte estimate</w:t>
      </w:r>
      <w:r w:rsidR="009D1151">
        <w:t xml:space="preserve"> based on </w:t>
      </w:r>
      <w:r w:rsidR="00D33BE1">
        <w:t xml:space="preserve">survey and </w:t>
      </w:r>
      <w:r w:rsidR="009D1151">
        <w:t>discussion with</w:t>
      </w:r>
      <w:r w:rsidR="00824232">
        <w:t xml:space="preserve"> DELWP and</w:t>
      </w:r>
      <w:r w:rsidR="009D1151">
        <w:t xml:space="preserve"> EPA</w:t>
      </w:r>
      <w:r>
        <w:t>, 2</w:t>
      </w:r>
      <w:r w:rsidRPr="00D96322">
        <w:t xml:space="preserve"> hour per </w:t>
      </w:r>
      <w:r>
        <w:t xml:space="preserve">certificate </w:t>
      </w:r>
      <w:r w:rsidR="00C84017">
        <w:t xml:space="preserve">at </w:t>
      </w:r>
      <w:r>
        <w:t>$</w:t>
      </w:r>
      <w:r w:rsidR="00E13579">
        <w:t xml:space="preserve">50 </w:t>
      </w:r>
      <w:r>
        <w:t>per hour average Victorian hourly wage</w:t>
      </w:r>
      <w:r w:rsidRPr="00D96322">
        <w:t>)</w:t>
      </w:r>
    </w:p>
    <w:p w14:paraId="656B05EF" w14:textId="77777777" w:rsidR="00213E13" w:rsidRDefault="00213E13" w:rsidP="00180BDE">
      <w:pPr>
        <w:pStyle w:val="Bullet1"/>
        <w:numPr>
          <w:ilvl w:val="0"/>
          <w:numId w:val="16"/>
        </w:numPr>
        <w:ind w:left="709" w:hanging="425"/>
      </w:pPr>
      <w:r w:rsidRPr="00A4187D">
        <w:t xml:space="preserve">Cost of generating a SoC certificate - </w:t>
      </w:r>
      <w:r w:rsidRPr="00D96322">
        <w:rPr>
          <w:b/>
        </w:rPr>
        <w:t>$</w:t>
      </w:r>
      <w:r w:rsidR="00E13579">
        <w:rPr>
          <w:b/>
        </w:rPr>
        <w:t>200</w:t>
      </w:r>
      <w:r w:rsidR="00C256B1">
        <w:rPr>
          <w:b/>
        </w:rPr>
        <w:t xml:space="preserve"> </w:t>
      </w:r>
      <w:r w:rsidRPr="00A4187D">
        <w:t>(</w:t>
      </w:r>
      <w:r w:rsidRPr="00D96322">
        <w:t xml:space="preserve">Source: </w:t>
      </w:r>
      <w:r>
        <w:t>Deloitte estimate</w:t>
      </w:r>
      <w:r w:rsidR="009D1151">
        <w:t xml:space="preserve"> based on </w:t>
      </w:r>
      <w:r w:rsidR="00D33BE1">
        <w:t xml:space="preserve">survey and </w:t>
      </w:r>
      <w:r w:rsidR="009D1151">
        <w:t xml:space="preserve">discussion with </w:t>
      </w:r>
      <w:r w:rsidR="00824232">
        <w:t xml:space="preserve">DELWP and </w:t>
      </w:r>
      <w:r w:rsidR="009D1151">
        <w:t>EPA</w:t>
      </w:r>
      <w:r>
        <w:t>, 4</w:t>
      </w:r>
      <w:r w:rsidRPr="00D96322">
        <w:t xml:space="preserve"> hour</w:t>
      </w:r>
      <w:r>
        <w:t>s</w:t>
      </w:r>
      <w:r w:rsidRPr="00D96322">
        <w:t xml:space="preserve"> per </w:t>
      </w:r>
      <w:r>
        <w:t xml:space="preserve">certificate </w:t>
      </w:r>
      <w:r w:rsidR="00C84017">
        <w:t xml:space="preserve">at </w:t>
      </w:r>
      <w:r>
        <w:t>$</w:t>
      </w:r>
      <w:r w:rsidR="00E13579">
        <w:t xml:space="preserve">50 </w:t>
      </w:r>
      <w:r>
        <w:t>per hour average Victorian hourly wage</w:t>
      </w:r>
      <w:r w:rsidRPr="00D96322">
        <w:t>)</w:t>
      </w:r>
    </w:p>
    <w:p w14:paraId="656B05F0" w14:textId="77777777" w:rsidR="00213E13" w:rsidRDefault="00213E13" w:rsidP="00180BDE">
      <w:pPr>
        <w:pStyle w:val="Bullet1"/>
        <w:numPr>
          <w:ilvl w:val="0"/>
          <w:numId w:val="16"/>
        </w:numPr>
        <w:ind w:left="709" w:hanging="425"/>
      </w:pPr>
      <w:r w:rsidRPr="00A4187D">
        <w:t>Cost of generating a DoU certificate -</w:t>
      </w:r>
      <w:r w:rsidRPr="007D46E0">
        <w:rPr>
          <w:b/>
        </w:rPr>
        <w:t xml:space="preserve"> $</w:t>
      </w:r>
      <w:r w:rsidR="00E13579">
        <w:rPr>
          <w:b/>
        </w:rPr>
        <w:t>100</w:t>
      </w:r>
      <w:r w:rsidR="00E13579" w:rsidRPr="007D46E0">
        <w:rPr>
          <w:b/>
        </w:rPr>
        <w:t xml:space="preserve"> </w:t>
      </w:r>
      <w:r w:rsidRPr="00A4187D">
        <w:t>(</w:t>
      </w:r>
      <w:r w:rsidRPr="00D96322">
        <w:t xml:space="preserve">Source: </w:t>
      </w:r>
      <w:r>
        <w:t>Deloitte estimate</w:t>
      </w:r>
      <w:r w:rsidR="009D1151">
        <w:t xml:space="preserve"> based on </w:t>
      </w:r>
      <w:r w:rsidR="00D33BE1">
        <w:t>survey and</w:t>
      </w:r>
      <w:r w:rsidR="009D1151">
        <w:t xml:space="preserve"> discussion with </w:t>
      </w:r>
      <w:r w:rsidR="00824232">
        <w:t xml:space="preserve">DELWP and </w:t>
      </w:r>
      <w:r w:rsidR="009D1151">
        <w:t>EPA</w:t>
      </w:r>
      <w:r>
        <w:t>, 2</w:t>
      </w:r>
      <w:r w:rsidRPr="00D96322">
        <w:t xml:space="preserve"> hour</w:t>
      </w:r>
      <w:r w:rsidR="00C84017">
        <w:t>s</w:t>
      </w:r>
      <w:r w:rsidRPr="00D96322">
        <w:t xml:space="preserve"> per </w:t>
      </w:r>
      <w:r>
        <w:t xml:space="preserve">certificate </w:t>
      </w:r>
      <w:r w:rsidR="00C84017">
        <w:t xml:space="preserve">at </w:t>
      </w:r>
      <w:r>
        <w:t>$</w:t>
      </w:r>
      <w:r w:rsidR="00E13579">
        <w:t xml:space="preserve">50 </w:t>
      </w:r>
      <w:r>
        <w:t>per hour average Victorian hourly wage</w:t>
      </w:r>
      <w:r w:rsidRPr="00D96322">
        <w:t>)</w:t>
      </w:r>
    </w:p>
    <w:p w14:paraId="656B05F1" w14:textId="77777777" w:rsidR="00213E13" w:rsidRDefault="00213E13" w:rsidP="000E7C5E">
      <w:pPr>
        <w:spacing w:after="0"/>
        <w:rPr>
          <w:i/>
        </w:rPr>
      </w:pPr>
      <w:r w:rsidRPr="00BF51BD">
        <w:rPr>
          <w:i/>
        </w:rPr>
        <w:t>Costs to</w:t>
      </w:r>
      <w:r>
        <w:rPr>
          <w:i/>
        </w:rPr>
        <w:t xml:space="preserve"> government</w:t>
      </w:r>
    </w:p>
    <w:p w14:paraId="656B05F2" w14:textId="77777777" w:rsidR="00213E13" w:rsidRDefault="00213E13" w:rsidP="000E7C5E">
      <w:pPr>
        <w:ind w:right="565"/>
      </w:pPr>
      <w:r w:rsidRPr="00191782">
        <w:t xml:space="preserve">Some costs would fall on </w:t>
      </w:r>
      <w:r>
        <w:t>EPA</w:t>
      </w:r>
      <w:r w:rsidRPr="00191782">
        <w:t xml:space="preserve"> with respect to</w:t>
      </w:r>
      <w:r>
        <w:t xml:space="preserve"> monitoring costs of SoA, SoC and DoUs</w:t>
      </w:r>
      <w:r w:rsidRPr="00191782">
        <w:t xml:space="preserve">. </w:t>
      </w:r>
      <w:r>
        <w:t xml:space="preserve">The key assumptions are: </w:t>
      </w:r>
    </w:p>
    <w:p w14:paraId="656B05F3" w14:textId="77777777" w:rsidR="00213E13" w:rsidRPr="00A4187D" w:rsidRDefault="00213E13" w:rsidP="00180BDE">
      <w:pPr>
        <w:pStyle w:val="Bullet1"/>
        <w:numPr>
          <w:ilvl w:val="0"/>
          <w:numId w:val="16"/>
        </w:numPr>
        <w:ind w:left="709" w:hanging="425"/>
      </w:pPr>
      <w:r>
        <w:t>% of</w:t>
      </w:r>
      <w:r w:rsidRPr="00A4187D">
        <w:t xml:space="preserve"> SoA, SoC and DoUs audited</w:t>
      </w:r>
      <w:r>
        <w:t xml:space="preserve"> </w:t>
      </w:r>
      <w:r w:rsidRPr="00D96322">
        <w:rPr>
          <w:b/>
        </w:rPr>
        <w:t>– 10%</w:t>
      </w:r>
      <w:r w:rsidRPr="00A4187D">
        <w:t xml:space="preserve"> in the first year, </w:t>
      </w:r>
      <w:r w:rsidRPr="00D96322">
        <w:rPr>
          <w:b/>
        </w:rPr>
        <w:t>5%</w:t>
      </w:r>
      <w:r w:rsidRPr="00A4187D">
        <w:t xml:space="preserve"> in the second year, and </w:t>
      </w:r>
      <w:r w:rsidRPr="00D96322">
        <w:rPr>
          <w:b/>
        </w:rPr>
        <w:t xml:space="preserve">2% </w:t>
      </w:r>
      <w:r w:rsidRPr="00A4187D">
        <w:t xml:space="preserve">per year ongoing </w:t>
      </w:r>
      <w:r w:rsidRPr="00D96322">
        <w:t xml:space="preserve">(Source: </w:t>
      </w:r>
      <w:r>
        <w:t>Deloitte estimate</w:t>
      </w:r>
      <w:r w:rsidR="009D1151">
        <w:t xml:space="preserve"> based on discussion with </w:t>
      </w:r>
      <w:r w:rsidR="00824232">
        <w:t xml:space="preserve">DELWP and </w:t>
      </w:r>
      <w:r w:rsidR="009D1151">
        <w:t>EPA</w:t>
      </w:r>
      <w:r w:rsidRPr="00D96322">
        <w:t>)</w:t>
      </w:r>
    </w:p>
    <w:p w14:paraId="656B05F4" w14:textId="77777777" w:rsidR="00213E13" w:rsidRDefault="00213E13" w:rsidP="00C256B1">
      <w:pPr>
        <w:pStyle w:val="Bullet1"/>
        <w:numPr>
          <w:ilvl w:val="0"/>
          <w:numId w:val="16"/>
        </w:numPr>
        <w:ind w:left="709" w:hanging="425"/>
      </w:pPr>
      <w:r w:rsidRPr="00A4187D">
        <w:t xml:space="preserve">EPA unit cost for </w:t>
      </w:r>
      <w:r w:rsidRPr="003E39B7">
        <w:t>auditing</w:t>
      </w:r>
      <w:r>
        <w:t xml:space="preserve"> </w:t>
      </w:r>
      <w:r w:rsidRPr="007E1BBC">
        <w:t>SoA, SoC and DoUs</w:t>
      </w:r>
      <w:r w:rsidRPr="00A4187D">
        <w:t xml:space="preserve"> </w:t>
      </w:r>
      <w:r w:rsidRPr="00D96322">
        <w:t xml:space="preserve">- </w:t>
      </w:r>
      <w:r w:rsidRPr="00D96322">
        <w:rPr>
          <w:b/>
        </w:rPr>
        <w:t xml:space="preserve">$500 </w:t>
      </w:r>
      <w:r w:rsidRPr="00D96322">
        <w:t xml:space="preserve">(Source: </w:t>
      </w:r>
      <w:r w:rsidRPr="007E1BBC">
        <w:t>Deloitte estimate</w:t>
      </w:r>
      <w:r w:rsidR="009D1151" w:rsidRPr="009D1151">
        <w:t xml:space="preserve"> </w:t>
      </w:r>
      <w:r w:rsidR="009D1151">
        <w:t>based on discussion with EPA</w:t>
      </w:r>
      <w:r w:rsidRPr="00D96322">
        <w:t>)</w:t>
      </w:r>
    </w:p>
    <w:p w14:paraId="656B05F5" w14:textId="77777777" w:rsidR="00213E13" w:rsidRDefault="00213E13" w:rsidP="000E7C5E">
      <w:pPr>
        <w:spacing w:after="0"/>
        <w:rPr>
          <w:i/>
        </w:rPr>
      </w:pPr>
      <w:r w:rsidRPr="00BF51BD">
        <w:rPr>
          <w:i/>
        </w:rPr>
        <w:t xml:space="preserve">Costs to </w:t>
      </w:r>
      <w:r>
        <w:rPr>
          <w:i/>
        </w:rPr>
        <w:t>business</w:t>
      </w:r>
      <w:r w:rsidR="00E0490C">
        <w:rPr>
          <w:i/>
        </w:rPr>
        <w:t xml:space="preserve"> – Option 2</w:t>
      </w:r>
    </w:p>
    <w:p w14:paraId="656B05F6" w14:textId="77777777" w:rsidR="00213E13" w:rsidRPr="003E39B7" w:rsidRDefault="00213E13" w:rsidP="000E7C5E">
      <w:pPr>
        <w:ind w:right="565"/>
      </w:pPr>
      <w:r>
        <w:t xml:space="preserve">The business cohort affected by Option 2 includes premises generating an industrial waste product for reuse that would be required to generate a DoU. The main costs on these businesses would be the generation of DoU </w:t>
      </w:r>
      <w:r w:rsidRPr="00A4187D">
        <w:t>certificates</w:t>
      </w:r>
      <w:r>
        <w:t xml:space="preserve">. </w:t>
      </w:r>
      <w:r w:rsidRPr="003E39B7">
        <w:t>Key assumptions for the analysis include:</w:t>
      </w:r>
    </w:p>
    <w:p w14:paraId="656B05F7" w14:textId="77777777" w:rsidR="00213E13" w:rsidRPr="00D96322" w:rsidRDefault="00213E13" w:rsidP="0094039D">
      <w:pPr>
        <w:pStyle w:val="Bullet1"/>
        <w:numPr>
          <w:ilvl w:val="0"/>
          <w:numId w:val="16"/>
        </w:numPr>
        <w:ind w:left="709" w:hanging="425"/>
      </w:pPr>
      <w:r>
        <w:t xml:space="preserve">No. of premises that would be required to generate a DoU – </w:t>
      </w:r>
      <w:r>
        <w:rPr>
          <w:b/>
          <w:bCs/>
        </w:rPr>
        <w:t>7</w:t>
      </w:r>
      <w:r w:rsidRPr="619E7634">
        <w:rPr>
          <w:b/>
          <w:bCs/>
        </w:rPr>
        <w:t>0,000</w:t>
      </w:r>
      <w:r>
        <w:t xml:space="preserve"> (Source: Deloitte estimate</w:t>
      </w:r>
      <w:r w:rsidR="009D1151">
        <w:t xml:space="preserve"> based </w:t>
      </w:r>
      <w:r w:rsidR="0094039D">
        <w:t>o</w:t>
      </w:r>
      <w:r w:rsidR="009D1151">
        <w:t>n discussion with EPA</w:t>
      </w:r>
      <w:r>
        <w:t xml:space="preserve">) </w:t>
      </w:r>
    </w:p>
    <w:p w14:paraId="656B05F8" w14:textId="77777777" w:rsidR="00180BDE" w:rsidRDefault="00213E13" w:rsidP="0094039D">
      <w:pPr>
        <w:pStyle w:val="Bullet1"/>
        <w:numPr>
          <w:ilvl w:val="0"/>
          <w:numId w:val="16"/>
        </w:numPr>
        <w:ind w:left="709" w:hanging="425"/>
      </w:pPr>
      <w:r w:rsidRPr="00A4187D">
        <w:t xml:space="preserve">Unit cost of generating a DoU certificate - </w:t>
      </w:r>
      <w:r w:rsidRPr="007D46E0">
        <w:rPr>
          <w:b/>
        </w:rPr>
        <w:t>$</w:t>
      </w:r>
      <w:r w:rsidR="00D33BE1">
        <w:rPr>
          <w:b/>
        </w:rPr>
        <w:t>100</w:t>
      </w:r>
      <w:r w:rsidR="00D33BE1" w:rsidRPr="007D46E0">
        <w:rPr>
          <w:b/>
        </w:rPr>
        <w:t xml:space="preserve"> </w:t>
      </w:r>
      <w:r w:rsidRPr="00A4187D">
        <w:t>(</w:t>
      </w:r>
      <w:r w:rsidRPr="00D96322">
        <w:t xml:space="preserve">Source: </w:t>
      </w:r>
      <w:r>
        <w:t>Deloitte estimate</w:t>
      </w:r>
      <w:r w:rsidR="009D1151" w:rsidRPr="009D1151">
        <w:t xml:space="preserve"> </w:t>
      </w:r>
      <w:r w:rsidR="009D1151">
        <w:t>based on discussion with EPA</w:t>
      </w:r>
      <w:r>
        <w:t>, 2</w:t>
      </w:r>
      <w:r w:rsidRPr="00D96322">
        <w:t xml:space="preserve"> hour per </w:t>
      </w:r>
      <w:r>
        <w:t xml:space="preserve">certificate </w:t>
      </w:r>
      <w:r w:rsidR="00C84017">
        <w:t xml:space="preserve">at </w:t>
      </w:r>
      <w:r>
        <w:t>$</w:t>
      </w:r>
      <w:r w:rsidR="009D1151">
        <w:t xml:space="preserve">50  </w:t>
      </w:r>
    </w:p>
    <w:p w14:paraId="656B05F9" w14:textId="77777777" w:rsidR="00180BDE" w:rsidRDefault="00213E13" w:rsidP="00180BDE">
      <w:pPr>
        <w:pStyle w:val="Bullet1"/>
        <w:ind w:left="360" w:firstLine="360"/>
      </w:pPr>
      <w:r>
        <w:t>per hour average Victorian hourly wage</w:t>
      </w:r>
      <w:r w:rsidR="009D1151">
        <w:t xml:space="preserve"> plus </w:t>
      </w:r>
      <w:r w:rsidR="00D33BE1">
        <w:t>on-costs</w:t>
      </w:r>
      <w:r w:rsidRPr="00D96322">
        <w:t>)</w:t>
      </w:r>
    </w:p>
    <w:p w14:paraId="656B05FA" w14:textId="77777777" w:rsidR="00213E13" w:rsidRDefault="00213E13" w:rsidP="000E7C5E">
      <w:pPr>
        <w:spacing w:after="0"/>
        <w:rPr>
          <w:i/>
        </w:rPr>
      </w:pPr>
      <w:r w:rsidRPr="00BF51BD">
        <w:rPr>
          <w:i/>
        </w:rPr>
        <w:t>Costs to</w:t>
      </w:r>
      <w:r>
        <w:rPr>
          <w:i/>
        </w:rPr>
        <w:t xml:space="preserve"> government</w:t>
      </w:r>
      <w:r w:rsidR="00E0490C">
        <w:rPr>
          <w:i/>
        </w:rPr>
        <w:t xml:space="preserve"> – Option 2</w:t>
      </w:r>
    </w:p>
    <w:p w14:paraId="656B05FB" w14:textId="77777777" w:rsidR="00213E13" w:rsidRDefault="00213E13" w:rsidP="000E7C5E">
      <w:pPr>
        <w:spacing w:after="0"/>
      </w:pPr>
      <w:r w:rsidRPr="00191782">
        <w:t xml:space="preserve">Some costs would fall on </w:t>
      </w:r>
      <w:r>
        <w:t>EPA</w:t>
      </w:r>
      <w:r w:rsidRPr="00191782">
        <w:t xml:space="preserve"> with respect to</w:t>
      </w:r>
      <w:r>
        <w:t xml:space="preserve"> monitoring DoUs</w:t>
      </w:r>
      <w:r w:rsidRPr="00191782">
        <w:t xml:space="preserve">. </w:t>
      </w:r>
      <w:r>
        <w:t xml:space="preserve">The key assumptions are: </w:t>
      </w:r>
    </w:p>
    <w:p w14:paraId="656B05FC" w14:textId="77777777" w:rsidR="00180BDE" w:rsidRDefault="00213E13" w:rsidP="000E7C5E">
      <w:pPr>
        <w:pStyle w:val="Bullet1"/>
        <w:numPr>
          <w:ilvl w:val="0"/>
          <w:numId w:val="16"/>
        </w:numPr>
        <w:ind w:hanging="76"/>
      </w:pPr>
      <w:r>
        <w:t>% of</w:t>
      </w:r>
      <w:r w:rsidRPr="007E1BBC">
        <w:t xml:space="preserve"> DoUs audited</w:t>
      </w:r>
      <w:r>
        <w:t xml:space="preserve"> </w:t>
      </w:r>
      <w:r w:rsidRPr="007E1BBC">
        <w:rPr>
          <w:b/>
        </w:rPr>
        <w:t>– 10%</w:t>
      </w:r>
      <w:r w:rsidRPr="007E1BBC">
        <w:t xml:space="preserve"> in the first year, </w:t>
      </w:r>
      <w:r w:rsidRPr="007E1BBC">
        <w:rPr>
          <w:b/>
        </w:rPr>
        <w:t>5%</w:t>
      </w:r>
      <w:r w:rsidRPr="007E1BBC">
        <w:t xml:space="preserve"> in the second year, and </w:t>
      </w:r>
      <w:r w:rsidRPr="007E1BBC">
        <w:rPr>
          <w:b/>
        </w:rPr>
        <w:t xml:space="preserve">2% </w:t>
      </w:r>
      <w:r w:rsidRPr="007E1BBC">
        <w:t xml:space="preserve">per year ongoing </w:t>
      </w:r>
    </w:p>
    <w:p w14:paraId="656B05FD" w14:textId="77777777" w:rsidR="00213E13" w:rsidRPr="007E1BBC" w:rsidRDefault="00213E13" w:rsidP="000E7C5E">
      <w:pPr>
        <w:pStyle w:val="Bullet1"/>
        <w:ind w:left="360" w:firstLine="360"/>
      </w:pPr>
      <w:r w:rsidRPr="007E1BBC">
        <w:t xml:space="preserve">(Source: </w:t>
      </w:r>
      <w:r>
        <w:t>Deloitte estimate</w:t>
      </w:r>
      <w:r w:rsidR="009D1151">
        <w:t xml:space="preserve"> based on discussion with EPA</w:t>
      </w:r>
      <w:r w:rsidRPr="007E1BBC">
        <w:t>)</w:t>
      </w:r>
    </w:p>
    <w:p w14:paraId="656B05FE" w14:textId="77777777" w:rsidR="00213E13" w:rsidRDefault="00213E13" w:rsidP="000E7C5E">
      <w:pPr>
        <w:pStyle w:val="Bullet1"/>
        <w:numPr>
          <w:ilvl w:val="0"/>
          <w:numId w:val="16"/>
        </w:numPr>
        <w:ind w:hanging="76"/>
      </w:pPr>
      <w:r w:rsidRPr="007E1BBC">
        <w:t>EPA unit cost for auditing</w:t>
      </w:r>
      <w:r>
        <w:t xml:space="preserve"> </w:t>
      </w:r>
      <w:r w:rsidRPr="007E1BBC">
        <w:t xml:space="preserve">DoUs - </w:t>
      </w:r>
      <w:r w:rsidRPr="007E1BBC">
        <w:rPr>
          <w:b/>
        </w:rPr>
        <w:t xml:space="preserve">$500 </w:t>
      </w:r>
      <w:r w:rsidRPr="007E1BBC">
        <w:t>(Source: Deloitte estimate</w:t>
      </w:r>
      <w:r w:rsidR="009D1151">
        <w:t xml:space="preserve"> based on discussion with EPA</w:t>
      </w:r>
      <w:r w:rsidRPr="007E1BBC">
        <w:t>)</w:t>
      </w:r>
    </w:p>
    <w:p w14:paraId="656B05FF" w14:textId="77777777" w:rsidR="00213E13" w:rsidRPr="001B3151" w:rsidRDefault="00213E13" w:rsidP="00D6543F">
      <w:pPr>
        <w:spacing w:after="0"/>
      </w:pPr>
      <w:r w:rsidRPr="00D6543F">
        <w:rPr>
          <w:i/>
        </w:rPr>
        <w:t>Benefits of lawful place options</w:t>
      </w:r>
    </w:p>
    <w:p w14:paraId="656B0600" w14:textId="77777777" w:rsidR="00213E13" w:rsidRDefault="00213E13" w:rsidP="000E7C5E">
      <w:pPr>
        <w:ind w:right="565"/>
      </w:pPr>
      <w:r>
        <w:t>The lawful place permissions provide important controls to ensure waste is not disposed of unlawfully, and that premises receiving waste will manage wastes appropriately. The lawful place controls will contribute to improving waste management in Victoria. Again, quantification of benefits is difficult</w:t>
      </w:r>
      <w:r w:rsidR="00180BDE">
        <w:t>, as</w:t>
      </w:r>
      <w:r>
        <w:t xml:space="preserve"> </w:t>
      </w:r>
      <w:r w:rsidR="00180BDE">
        <w:t>is</w:t>
      </w:r>
      <w:r>
        <w:t xml:space="preserve"> attribution of these benefits to lawful place provisions. </w:t>
      </w:r>
      <w:r w:rsidR="00180BDE">
        <w:t>However, t</w:t>
      </w:r>
      <w:r>
        <w:t>he following base costs of waste mismanagement in Victoria provide some level of comparison in the analysis.</w:t>
      </w:r>
    </w:p>
    <w:p w14:paraId="656B0601" w14:textId="77777777" w:rsidR="00213E13" w:rsidRDefault="00213E13" w:rsidP="000E7C5E">
      <w:pPr>
        <w:pStyle w:val="Bullet1"/>
        <w:numPr>
          <w:ilvl w:val="0"/>
          <w:numId w:val="16"/>
        </w:numPr>
        <w:ind w:hanging="76"/>
      </w:pPr>
      <w:r w:rsidRPr="00D8221A">
        <w:t xml:space="preserve">$105 million per </w:t>
      </w:r>
      <w:r>
        <w:t>year from stockpile fires.</w:t>
      </w:r>
    </w:p>
    <w:p w14:paraId="656B0602" w14:textId="77777777" w:rsidR="00180BDE" w:rsidRPr="00D96322" w:rsidRDefault="00213E13" w:rsidP="000E7C5E">
      <w:pPr>
        <w:pStyle w:val="Bullet1"/>
        <w:numPr>
          <w:ilvl w:val="0"/>
          <w:numId w:val="16"/>
        </w:numPr>
        <w:ind w:hanging="76"/>
      </w:pPr>
      <w:r>
        <w:t>$58</w:t>
      </w:r>
      <w:r w:rsidRPr="007947E4">
        <w:t xml:space="preserve"> million per year</w:t>
      </w:r>
      <w:r>
        <w:t xml:space="preserve"> in annual clean-up costs of abandoned waste sites.</w:t>
      </w:r>
    </w:p>
    <w:p w14:paraId="656B0603" w14:textId="77777777" w:rsidR="00180BDE" w:rsidRDefault="00213E13" w:rsidP="000E7C5E">
      <w:pPr>
        <w:pStyle w:val="Bullet1"/>
        <w:numPr>
          <w:ilvl w:val="0"/>
          <w:numId w:val="16"/>
        </w:numPr>
        <w:ind w:hanging="76"/>
      </w:pPr>
      <w:r w:rsidRPr="00D96322">
        <w:t>$30 million per year</w:t>
      </w:r>
      <w:r w:rsidRPr="000E7C5E">
        <w:t xml:space="preserve"> </w:t>
      </w:r>
      <w:r>
        <w:t xml:space="preserve">on clean-up costs and lost landfills levy revenue due to illegal </w:t>
      </w:r>
    </w:p>
    <w:p w14:paraId="656B0604" w14:textId="77777777" w:rsidR="00D6543F" w:rsidRDefault="00213E13" w:rsidP="00D6543F">
      <w:pPr>
        <w:pStyle w:val="Bullet1"/>
        <w:ind w:left="360" w:firstLine="360"/>
      </w:pPr>
      <w:r>
        <w:t>dumping.</w:t>
      </w:r>
    </w:p>
    <w:p w14:paraId="656B0605" w14:textId="77777777" w:rsidR="00D6543F" w:rsidRDefault="00D6543F" w:rsidP="00D6543F">
      <w:pPr>
        <w:pStyle w:val="Heading4"/>
      </w:pPr>
      <w:r>
        <w:t>Effectiveness</w:t>
      </w:r>
    </w:p>
    <w:p w14:paraId="656B0606" w14:textId="77777777" w:rsidR="00D6543F" w:rsidRDefault="00D6543F" w:rsidP="00D6543F">
      <w:r>
        <w:t xml:space="preserve">Option 1 and Option 2 are considered to be similarly effective in providing assurance of lawful authority to receive wastes. Option 1 does this by providing </w:t>
      </w:r>
      <w:r w:rsidRPr="00DE4A87">
        <w:t>a full suite of tools, to encapsulate all possible scenarios for lawful authority</w:t>
      </w:r>
      <w:r>
        <w:t xml:space="preserve">. Option 2 </w:t>
      </w:r>
      <w:r w:rsidR="00E13579">
        <w:t>adopts one additional tool – DoU – to cover the same range of scenarios</w:t>
      </w:r>
      <w:r>
        <w:t xml:space="preserve">. Both Option 1 and Option 2 are given a score of +5 relative to the </w:t>
      </w:r>
      <w:r w:rsidR="00E93EEB">
        <w:t>Base Case</w:t>
      </w:r>
      <w:r>
        <w:t xml:space="preserve">. </w:t>
      </w:r>
    </w:p>
    <w:p w14:paraId="656B0607" w14:textId="77777777" w:rsidR="00D6543F" w:rsidRDefault="00D6543F" w:rsidP="00C256B1">
      <w:pPr>
        <w:pStyle w:val="Heading4"/>
      </w:pPr>
      <w:r>
        <w:t>Cost</w:t>
      </w:r>
    </w:p>
    <w:p w14:paraId="656B0608" w14:textId="79895A2A" w:rsidR="00AE3B46" w:rsidRDefault="00213E13" w:rsidP="00A159B0">
      <w:r>
        <w:t xml:space="preserve">Options 1 </w:t>
      </w:r>
      <w:r w:rsidR="00DE7273">
        <w:t xml:space="preserve">and </w:t>
      </w:r>
      <w:r>
        <w:t xml:space="preserve">2 place an administrative burden on businesses to prepare and keep records of </w:t>
      </w:r>
      <w:r w:rsidR="002A50B5">
        <w:t>compliance with the requirements of lawful place</w:t>
      </w:r>
      <w:r>
        <w:t xml:space="preserve">. Option 2 is marginally less costly for businesses than Option 1, reflecting the more streamlined use of tools and the associated saving from business dealings with one instrument rather than three. </w:t>
      </w:r>
    </w:p>
    <w:p w14:paraId="656B0609" w14:textId="77777777" w:rsidR="00213E13" w:rsidRPr="00506C4D" w:rsidRDefault="00213E13" w:rsidP="00213E13">
      <w:pPr>
        <w:pStyle w:val="2Source"/>
      </w:pPr>
      <w:bookmarkStart w:id="641" w:name="_Ref8025393"/>
      <w:r w:rsidRPr="00827D05">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4</w:t>
      </w:r>
      <w:r w:rsidR="00997CFA">
        <w:rPr>
          <w:color w:val="2B579A"/>
          <w:shd w:val="clear" w:color="auto" w:fill="E6E6E6"/>
        </w:rPr>
        <w:fldChar w:fldCharType="end"/>
      </w:r>
      <w:bookmarkEnd w:id="641"/>
      <w:r w:rsidRPr="00827D05">
        <w:rPr>
          <w:szCs w:val="20"/>
        </w:rPr>
        <w:t xml:space="preserve"> </w:t>
      </w:r>
      <w:r>
        <w:rPr>
          <w:szCs w:val="20"/>
        </w:rPr>
        <w:t>Present value of costs</w:t>
      </w:r>
      <w:r w:rsidRPr="00827D05">
        <w:rPr>
          <w:szCs w:val="20"/>
        </w:rPr>
        <w:t xml:space="preserve"> </w:t>
      </w:r>
      <w:r>
        <w:rPr>
          <w:szCs w:val="20"/>
        </w:rPr>
        <w:t>(2018/19 $)</w:t>
      </w:r>
    </w:p>
    <w:tbl>
      <w:tblPr>
        <w:tblStyle w:val="Deloittetable"/>
        <w:tblW w:w="4862" w:type="pct"/>
        <w:tblLook w:val="04A0" w:firstRow="1" w:lastRow="0" w:firstColumn="1" w:lastColumn="0" w:noHBand="0" w:noVBand="1"/>
      </w:tblPr>
      <w:tblGrid>
        <w:gridCol w:w="4111"/>
        <w:gridCol w:w="2835"/>
        <w:gridCol w:w="2151"/>
      </w:tblGrid>
      <w:tr w:rsidR="00824232" w:rsidRPr="00BD218F" w14:paraId="656B060D" w14:textId="77777777" w:rsidTr="0094039D">
        <w:trPr>
          <w:cnfStyle w:val="100000000000" w:firstRow="1" w:lastRow="0" w:firstColumn="0" w:lastColumn="0" w:oddVBand="0" w:evenVBand="0" w:oddHBand="0" w:evenHBand="0" w:firstRowFirstColumn="0" w:firstRowLastColumn="0" w:lastRowFirstColumn="0" w:lastRowLastColumn="0"/>
          <w:trHeight w:val="23"/>
        </w:trPr>
        <w:tc>
          <w:tcPr>
            <w:tcW w:w="2260" w:type="pct"/>
            <w:tcBorders>
              <w:bottom w:val="nil"/>
            </w:tcBorders>
            <w:hideMark/>
          </w:tcPr>
          <w:p w14:paraId="656B060A" w14:textId="77777777" w:rsidR="00824232" w:rsidRPr="000E7C5E" w:rsidRDefault="00824232" w:rsidP="00C256B1">
            <w:pPr>
              <w:spacing w:after="0" w:line="240" w:lineRule="auto"/>
              <w:jc w:val="right"/>
              <w:rPr>
                <w:rFonts w:eastAsia="Times New Roman" w:cs="Segoe UI Light"/>
                <w:sz w:val="18"/>
                <w:lang w:eastAsia="en-AU"/>
              </w:rPr>
            </w:pPr>
          </w:p>
        </w:tc>
        <w:tc>
          <w:tcPr>
            <w:tcW w:w="1558" w:type="pct"/>
            <w:tcBorders>
              <w:bottom w:val="nil"/>
            </w:tcBorders>
            <w:hideMark/>
          </w:tcPr>
          <w:p w14:paraId="656B060B" w14:textId="77777777" w:rsidR="00824232" w:rsidRPr="000E7C5E" w:rsidRDefault="00824232" w:rsidP="001F1C85">
            <w:pPr>
              <w:spacing w:after="0" w:line="240" w:lineRule="auto"/>
              <w:ind w:right="57"/>
              <w:jc w:val="right"/>
              <w:rPr>
                <w:rFonts w:eastAsia="Times New Roman" w:cs="Segoe UI Light"/>
                <w:b/>
                <w:bCs/>
                <w:color w:val="000000"/>
                <w:sz w:val="18"/>
                <w:lang w:eastAsia="en-AU"/>
              </w:rPr>
            </w:pPr>
            <w:r w:rsidRPr="000E7C5E">
              <w:rPr>
                <w:rFonts w:eastAsia="Times New Roman" w:cs="Segoe UI Light"/>
                <w:b/>
                <w:bCs/>
                <w:color w:val="000000"/>
                <w:sz w:val="18"/>
                <w:lang w:eastAsia="en-AU"/>
              </w:rPr>
              <w:t>Option 1</w:t>
            </w:r>
          </w:p>
        </w:tc>
        <w:tc>
          <w:tcPr>
            <w:tcW w:w="1182" w:type="pct"/>
            <w:tcBorders>
              <w:bottom w:val="nil"/>
            </w:tcBorders>
            <w:hideMark/>
          </w:tcPr>
          <w:p w14:paraId="656B060C" w14:textId="77777777" w:rsidR="00824232" w:rsidRPr="000E7C5E" w:rsidRDefault="00824232" w:rsidP="001F1C85">
            <w:pPr>
              <w:spacing w:after="0" w:line="240" w:lineRule="auto"/>
              <w:ind w:right="57"/>
              <w:jc w:val="right"/>
              <w:rPr>
                <w:rFonts w:eastAsia="Times New Roman" w:cs="Segoe UI Light"/>
                <w:b/>
                <w:bCs/>
                <w:color w:val="000000"/>
                <w:sz w:val="18"/>
                <w:lang w:eastAsia="en-AU"/>
              </w:rPr>
            </w:pPr>
            <w:r w:rsidRPr="000E7C5E">
              <w:rPr>
                <w:rFonts w:eastAsia="Times New Roman" w:cs="Segoe UI Light"/>
                <w:b/>
                <w:bCs/>
                <w:color w:val="000000"/>
                <w:sz w:val="18"/>
                <w:lang w:eastAsia="en-AU"/>
              </w:rPr>
              <w:t>Option 2</w:t>
            </w:r>
          </w:p>
        </w:tc>
      </w:tr>
      <w:tr w:rsidR="00824232" w:rsidRPr="00BD218F" w14:paraId="656B0611" w14:textId="77777777" w:rsidTr="0094039D">
        <w:trPr>
          <w:trHeight w:val="301"/>
        </w:trPr>
        <w:tc>
          <w:tcPr>
            <w:tcW w:w="2260" w:type="pct"/>
            <w:tcBorders>
              <w:top w:val="nil"/>
            </w:tcBorders>
            <w:hideMark/>
          </w:tcPr>
          <w:p w14:paraId="656B060E" w14:textId="77777777" w:rsidR="00824232" w:rsidRPr="000E7C5E" w:rsidRDefault="00824232" w:rsidP="00C256B1">
            <w:pPr>
              <w:spacing w:after="0" w:line="240" w:lineRule="auto"/>
              <w:jc w:val="right"/>
              <w:rPr>
                <w:rFonts w:eastAsia="Times New Roman" w:cs="Segoe UI Light"/>
                <w:b/>
                <w:bCs/>
                <w:color w:val="000000"/>
                <w:sz w:val="18"/>
                <w:lang w:eastAsia="en-AU"/>
              </w:rPr>
            </w:pPr>
            <w:r w:rsidRPr="000E7C5E">
              <w:rPr>
                <w:rFonts w:eastAsia="Times New Roman" w:cs="Segoe UI Light"/>
                <w:b/>
                <w:bCs/>
                <w:color w:val="000000"/>
                <w:sz w:val="18"/>
                <w:lang w:eastAsia="en-AU"/>
              </w:rPr>
              <w:t> </w:t>
            </w:r>
          </w:p>
        </w:tc>
        <w:tc>
          <w:tcPr>
            <w:tcW w:w="1558" w:type="pct"/>
            <w:tcBorders>
              <w:top w:val="nil"/>
            </w:tcBorders>
            <w:hideMark/>
          </w:tcPr>
          <w:p w14:paraId="656B060F" w14:textId="77777777" w:rsidR="00824232" w:rsidRPr="000E7C5E" w:rsidRDefault="00824232" w:rsidP="001F1C85">
            <w:pPr>
              <w:spacing w:after="0" w:line="240" w:lineRule="auto"/>
              <w:ind w:right="57"/>
              <w:jc w:val="right"/>
              <w:rPr>
                <w:rFonts w:eastAsia="Times New Roman" w:cs="Segoe UI Light"/>
                <w:color w:val="000000"/>
                <w:sz w:val="18"/>
                <w:lang w:eastAsia="en-AU"/>
              </w:rPr>
            </w:pPr>
            <w:r w:rsidRPr="000E7C5E">
              <w:rPr>
                <w:rFonts w:eastAsia="Times New Roman" w:cs="Segoe UI Light"/>
                <w:color w:val="000000"/>
                <w:sz w:val="18"/>
                <w:lang w:eastAsia="en-AU"/>
              </w:rPr>
              <w:t>Flexible tools, multiple approaches.</w:t>
            </w:r>
          </w:p>
        </w:tc>
        <w:tc>
          <w:tcPr>
            <w:tcW w:w="1182" w:type="pct"/>
            <w:tcBorders>
              <w:top w:val="nil"/>
            </w:tcBorders>
            <w:hideMark/>
          </w:tcPr>
          <w:p w14:paraId="656B0610" w14:textId="77777777" w:rsidR="00824232" w:rsidRPr="000E7C5E" w:rsidRDefault="00824232" w:rsidP="001F1C85">
            <w:pPr>
              <w:spacing w:after="0" w:line="240" w:lineRule="auto"/>
              <w:ind w:right="57"/>
              <w:jc w:val="right"/>
              <w:rPr>
                <w:rFonts w:eastAsia="Times New Roman" w:cs="Segoe UI Light"/>
                <w:color w:val="000000"/>
                <w:sz w:val="18"/>
                <w:lang w:eastAsia="en-AU"/>
              </w:rPr>
            </w:pPr>
            <w:r w:rsidRPr="000E7C5E">
              <w:rPr>
                <w:rFonts w:eastAsia="Times New Roman" w:cs="Segoe UI Light"/>
                <w:color w:val="000000"/>
                <w:sz w:val="18"/>
                <w:lang w:eastAsia="en-AU"/>
              </w:rPr>
              <w:t>Streamlined use</w:t>
            </w:r>
            <w:r w:rsidR="00C256B1">
              <w:rPr>
                <w:rFonts w:eastAsia="Times New Roman" w:cs="Segoe UI Light"/>
                <w:color w:val="000000"/>
                <w:sz w:val="18"/>
                <w:lang w:eastAsia="en-AU"/>
              </w:rPr>
              <w:t xml:space="preserve"> </w:t>
            </w:r>
            <w:r w:rsidRPr="000E7C5E">
              <w:rPr>
                <w:rFonts w:eastAsia="Times New Roman" w:cs="Segoe UI Light"/>
                <w:color w:val="000000"/>
                <w:sz w:val="18"/>
                <w:lang w:eastAsia="en-AU"/>
              </w:rPr>
              <w:t>of tools.</w:t>
            </w:r>
          </w:p>
        </w:tc>
      </w:tr>
      <w:tr w:rsidR="00824232" w:rsidRPr="00BD218F" w14:paraId="656B0615" w14:textId="77777777" w:rsidTr="0094039D">
        <w:trPr>
          <w:trHeight w:val="198"/>
        </w:trPr>
        <w:tc>
          <w:tcPr>
            <w:tcW w:w="2260" w:type="pct"/>
            <w:hideMark/>
          </w:tcPr>
          <w:p w14:paraId="656B0612" w14:textId="77777777" w:rsidR="00824232" w:rsidRPr="000E7C5E" w:rsidRDefault="00824232" w:rsidP="004E20F3">
            <w:pPr>
              <w:spacing w:after="0" w:line="240" w:lineRule="auto"/>
              <w:rPr>
                <w:rFonts w:eastAsia="Times New Roman" w:cs="Segoe UI Light"/>
                <w:color w:val="000000"/>
                <w:sz w:val="18"/>
                <w:lang w:eastAsia="en-AU"/>
              </w:rPr>
            </w:pPr>
            <w:r w:rsidRPr="000E7C5E">
              <w:rPr>
                <w:rFonts w:eastAsia="Times New Roman" w:cs="Segoe UI Light"/>
                <w:color w:val="000000"/>
                <w:sz w:val="18"/>
                <w:lang w:eastAsia="en-AU"/>
              </w:rPr>
              <w:t>PV costs to business relative to Base Case</w:t>
            </w:r>
          </w:p>
        </w:tc>
        <w:tc>
          <w:tcPr>
            <w:tcW w:w="1558" w:type="pct"/>
            <w:hideMark/>
          </w:tcPr>
          <w:p w14:paraId="656B0613" w14:textId="77777777" w:rsidR="00824232" w:rsidRPr="00C256B1" w:rsidRDefault="00824232" w:rsidP="001F1C85">
            <w:pPr>
              <w:spacing w:after="0" w:line="240" w:lineRule="auto"/>
              <w:ind w:right="57"/>
              <w:jc w:val="right"/>
              <w:rPr>
                <w:sz w:val="18"/>
              </w:rPr>
            </w:pPr>
            <w:r w:rsidRPr="00C256B1">
              <w:rPr>
                <w:sz w:val="18"/>
              </w:rPr>
              <w:t>$40,932,138</w:t>
            </w:r>
          </w:p>
        </w:tc>
        <w:tc>
          <w:tcPr>
            <w:tcW w:w="1182" w:type="pct"/>
            <w:hideMark/>
          </w:tcPr>
          <w:p w14:paraId="656B0614" w14:textId="77777777" w:rsidR="00824232" w:rsidRPr="00C256B1" w:rsidRDefault="00824232" w:rsidP="001F1C85">
            <w:pPr>
              <w:spacing w:after="0" w:line="240" w:lineRule="auto"/>
              <w:ind w:right="57"/>
              <w:jc w:val="right"/>
              <w:rPr>
                <w:sz w:val="18"/>
              </w:rPr>
            </w:pPr>
            <w:r w:rsidRPr="00C256B1">
              <w:rPr>
                <w:sz w:val="18"/>
              </w:rPr>
              <w:t>$22,512,118</w:t>
            </w:r>
          </w:p>
        </w:tc>
      </w:tr>
      <w:tr w:rsidR="00824232" w:rsidRPr="00BD218F" w14:paraId="656B0619" w14:textId="77777777" w:rsidTr="0094039D">
        <w:trPr>
          <w:trHeight w:val="198"/>
        </w:trPr>
        <w:tc>
          <w:tcPr>
            <w:tcW w:w="2260" w:type="pct"/>
            <w:hideMark/>
          </w:tcPr>
          <w:p w14:paraId="656B0616" w14:textId="77777777" w:rsidR="00824232" w:rsidRPr="000E7C5E" w:rsidRDefault="00824232" w:rsidP="004E20F3">
            <w:pPr>
              <w:spacing w:after="0" w:line="240" w:lineRule="auto"/>
              <w:rPr>
                <w:rFonts w:eastAsia="Times New Roman" w:cs="Segoe UI Light"/>
                <w:color w:val="000000"/>
                <w:sz w:val="18"/>
                <w:lang w:eastAsia="en-AU"/>
              </w:rPr>
            </w:pPr>
            <w:r w:rsidRPr="000E7C5E">
              <w:rPr>
                <w:rFonts w:eastAsia="Times New Roman" w:cs="Segoe UI Light"/>
                <w:color w:val="000000"/>
                <w:sz w:val="18"/>
                <w:lang w:eastAsia="en-AU"/>
              </w:rPr>
              <w:t>PV costs to government relative to Base Case</w:t>
            </w:r>
          </w:p>
        </w:tc>
        <w:tc>
          <w:tcPr>
            <w:tcW w:w="1558" w:type="pct"/>
            <w:hideMark/>
          </w:tcPr>
          <w:p w14:paraId="656B0617" w14:textId="77777777" w:rsidR="00824232" w:rsidRPr="00C256B1" w:rsidRDefault="00824232" w:rsidP="001F1C85">
            <w:pPr>
              <w:spacing w:after="0" w:line="240" w:lineRule="auto"/>
              <w:ind w:right="57"/>
              <w:jc w:val="right"/>
              <w:rPr>
                <w:sz w:val="18"/>
              </w:rPr>
            </w:pPr>
            <w:r w:rsidRPr="00C256B1">
              <w:rPr>
                <w:sz w:val="18"/>
              </w:rPr>
              <w:t>$10,822,413</w:t>
            </w:r>
          </w:p>
        </w:tc>
        <w:tc>
          <w:tcPr>
            <w:tcW w:w="1182" w:type="pct"/>
            <w:hideMark/>
          </w:tcPr>
          <w:p w14:paraId="656B0618" w14:textId="77777777" w:rsidR="00824232" w:rsidRPr="00C256B1" w:rsidRDefault="00824232" w:rsidP="001F1C85">
            <w:pPr>
              <w:spacing w:after="0" w:line="240" w:lineRule="auto"/>
              <w:ind w:right="57"/>
              <w:jc w:val="right"/>
              <w:rPr>
                <w:sz w:val="18"/>
              </w:rPr>
            </w:pPr>
            <w:r w:rsidRPr="00C256B1">
              <w:rPr>
                <w:sz w:val="18"/>
              </w:rPr>
              <w:t>$6,469,035</w:t>
            </w:r>
          </w:p>
        </w:tc>
      </w:tr>
      <w:tr w:rsidR="00824232" w:rsidRPr="00BD218F" w14:paraId="656B061D" w14:textId="77777777" w:rsidTr="0094039D">
        <w:trPr>
          <w:trHeight w:val="198"/>
        </w:trPr>
        <w:tc>
          <w:tcPr>
            <w:tcW w:w="2260" w:type="pct"/>
            <w:hideMark/>
          </w:tcPr>
          <w:p w14:paraId="656B061A" w14:textId="77777777" w:rsidR="00824232" w:rsidRPr="000E7C5E" w:rsidRDefault="00824232" w:rsidP="004E20F3">
            <w:pPr>
              <w:spacing w:after="0" w:line="240" w:lineRule="auto"/>
              <w:rPr>
                <w:rFonts w:eastAsia="Times New Roman" w:cs="Segoe UI Light"/>
                <w:color w:val="000000"/>
                <w:sz w:val="18"/>
                <w:lang w:eastAsia="en-AU"/>
              </w:rPr>
            </w:pPr>
            <w:r w:rsidRPr="000E7C5E">
              <w:rPr>
                <w:rFonts w:eastAsia="Times New Roman" w:cs="Segoe UI Light"/>
                <w:color w:val="000000"/>
                <w:sz w:val="18"/>
                <w:lang w:eastAsia="en-AU"/>
              </w:rPr>
              <w:t>PV costs to community relative to Base Case</w:t>
            </w:r>
          </w:p>
        </w:tc>
        <w:tc>
          <w:tcPr>
            <w:tcW w:w="1558" w:type="pct"/>
            <w:hideMark/>
          </w:tcPr>
          <w:p w14:paraId="656B061B" w14:textId="77777777" w:rsidR="00824232" w:rsidRPr="00C256B1" w:rsidRDefault="00824232" w:rsidP="001F1C85">
            <w:pPr>
              <w:spacing w:after="0" w:line="240" w:lineRule="auto"/>
              <w:ind w:right="57"/>
              <w:jc w:val="right"/>
              <w:rPr>
                <w:sz w:val="18"/>
              </w:rPr>
            </w:pPr>
            <w:r w:rsidRPr="00C256B1">
              <w:rPr>
                <w:sz w:val="18"/>
              </w:rPr>
              <w:t>$0</w:t>
            </w:r>
          </w:p>
        </w:tc>
        <w:tc>
          <w:tcPr>
            <w:tcW w:w="1182" w:type="pct"/>
            <w:hideMark/>
          </w:tcPr>
          <w:p w14:paraId="656B061C" w14:textId="77777777" w:rsidR="00824232" w:rsidRPr="00C256B1" w:rsidRDefault="00824232" w:rsidP="001F1C85">
            <w:pPr>
              <w:spacing w:after="0" w:line="240" w:lineRule="auto"/>
              <w:ind w:right="57"/>
              <w:jc w:val="right"/>
              <w:rPr>
                <w:sz w:val="18"/>
              </w:rPr>
            </w:pPr>
            <w:r w:rsidRPr="00C256B1">
              <w:rPr>
                <w:sz w:val="18"/>
              </w:rPr>
              <w:t>$0</w:t>
            </w:r>
          </w:p>
        </w:tc>
      </w:tr>
      <w:tr w:rsidR="00824232" w:rsidRPr="00BD218F" w14:paraId="656B0621" w14:textId="77777777" w:rsidTr="0094039D">
        <w:trPr>
          <w:trHeight w:val="298"/>
        </w:trPr>
        <w:tc>
          <w:tcPr>
            <w:tcW w:w="2260" w:type="pct"/>
            <w:hideMark/>
          </w:tcPr>
          <w:p w14:paraId="656B061E" w14:textId="77777777" w:rsidR="00824232" w:rsidRPr="000E7C5E" w:rsidRDefault="00824232" w:rsidP="004E20F3">
            <w:pPr>
              <w:spacing w:after="0" w:line="240" w:lineRule="auto"/>
              <w:rPr>
                <w:rFonts w:eastAsia="Times New Roman" w:cs="Segoe UI Light"/>
                <w:b/>
                <w:color w:val="000000" w:themeColor="text1"/>
                <w:sz w:val="18"/>
                <w:lang w:eastAsia="en-AU"/>
              </w:rPr>
            </w:pPr>
            <w:r w:rsidRPr="000E7C5E">
              <w:rPr>
                <w:rFonts w:eastAsia="Times New Roman" w:cs="Segoe UI Light"/>
                <w:b/>
                <w:color w:val="000000" w:themeColor="text1"/>
                <w:sz w:val="18"/>
                <w:lang w:eastAsia="en-AU"/>
              </w:rPr>
              <w:t>Present value total costs relative to Base Case</w:t>
            </w:r>
          </w:p>
        </w:tc>
        <w:tc>
          <w:tcPr>
            <w:tcW w:w="1558" w:type="pct"/>
            <w:hideMark/>
          </w:tcPr>
          <w:p w14:paraId="656B061F" w14:textId="77777777" w:rsidR="00824232" w:rsidRPr="00C256B1" w:rsidRDefault="00824232" w:rsidP="001F1C85">
            <w:pPr>
              <w:spacing w:after="0" w:line="240" w:lineRule="auto"/>
              <w:ind w:right="57"/>
              <w:jc w:val="right"/>
              <w:rPr>
                <w:b/>
                <w:sz w:val="18"/>
              </w:rPr>
            </w:pPr>
            <w:r w:rsidRPr="00C256B1">
              <w:rPr>
                <w:b/>
                <w:sz w:val="18"/>
              </w:rPr>
              <w:t>$51,754,551</w:t>
            </w:r>
          </w:p>
        </w:tc>
        <w:tc>
          <w:tcPr>
            <w:tcW w:w="1182" w:type="pct"/>
            <w:hideMark/>
          </w:tcPr>
          <w:p w14:paraId="656B0620" w14:textId="77777777" w:rsidR="00824232" w:rsidRPr="00C256B1" w:rsidRDefault="00824232" w:rsidP="001F1C85">
            <w:pPr>
              <w:spacing w:after="0" w:line="240" w:lineRule="auto"/>
              <w:ind w:right="57"/>
              <w:jc w:val="right"/>
              <w:rPr>
                <w:b/>
                <w:sz w:val="18"/>
              </w:rPr>
            </w:pPr>
            <w:r w:rsidRPr="00C256B1">
              <w:rPr>
                <w:b/>
                <w:sz w:val="18"/>
              </w:rPr>
              <w:t>$28,981,154</w:t>
            </w:r>
          </w:p>
        </w:tc>
      </w:tr>
    </w:tbl>
    <w:p w14:paraId="656B0622" w14:textId="77777777" w:rsidR="00213E13" w:rsidRDefault="00213E13" w:rsidP="00213E13"/>
    <w:p w14:paraId="656B0623" w14:textId="77777777" w:rsidR="00D6543F" w:rsidRDefault="00D6543F" w:rsidP="00C256B1">
      <w:pPr>
        <w:pStyle w:val="Heading3"/>
        <w:ind w:left="720"/>
      </w:pPr>
      <w:r>
        <w:t>MCA summary and preferred option</w:t>
      </w:r>
    </w:p>
    <w:p w14:paraId="656B0624" w14:textId="77777777" w:rsidR="00D6543F" w:rsidRDefault="00D6543F" w:rsidP="00A159B0">
      <w:r>
        <w:t>The MCA results (</w:t>
      </w:r>
      <w:r>
        <w:rPr>
          <w:color w:val="2B579A"/>
          <w:shd w:val="clear" w:color="auto" w:fill="E6E6E6"/>
        </w:rPr>
        <w:fldChar w:fldCharType="begin"/>
      </w:r>
      <w:r>
        <w:instrText xml:space="preserve"> REF _Ref8025409 \h </w:instrText>
      </w:r>
      <w:r>
        <w:rPr>
          <w:color w:val="2B579A"/>
          <w:shd w:val="clear" w:color="auto" w:fill="E6E6E6"/>
        </w:rPr>
      </w:r>
      <w:r>
        <w:rPr>
          <w:color w:val="2B579A"/>
          <w:shd w:val="clear" w:color="auto" w:fill="E6E6E6"/>
        </w:rPr>
        <w:fldChar w:fldCharType="separate"/>
      </w:r>
      <w:r w:rsidR="00B51904" w:rsidRPr="00827D05">
        <w:t xml:space="preserve">Table </w:t>
      </w:r>
      <w:r w:rsidR="00B51904">
        <w:rPr>
          <w:noProof/>
        </w:rPr>
        <w:t>9</w:t>
      </w:r>
      <w:r w:rsidR="00B51904">
        <w:noBreakHyphen/>
      </w:r>
      <w:r w:rsidR="00B51904">
        <w:rPr>
          <w:noProof/>
        </w:rPr>
        <w:t>5</w:t>
      </w:r>
      <w:r>
        <w:rPr>
          <w:color w:val="2B579A"/>
          <w:shd w:val="clear" w:color="auto" w:fill="E6E6E6"/>
        </w:rPr>
        <w:fldChar w:fldCharType="end"/>
      </w:r>
      <w:r>
        <w:t xml:space="preserve">) show that Option 2 has the highest overall score, </w:t>
      </w:r>
      <w:r w:rsidR="00DE7273">
        <w:t>largely reflecting</w:t>
      </w:r>
      <w:r>
        <w:t xml:space="preserve"> lower costs to business and government than Option 1. Option 2 is therefore the preferred option.</w:t>
      </w:r>
    </w:p>
    <w:p w14:paraId="656B0625" w14:textId="77777777" w:rsidR="00D6543F" w:rsidRPr="00386E87" w:rsidRDefault="00D6543F" w:rsidP="00D6543F">
      <w:pPr>
        <w:pStyle w:val="2Source"/>
        <w:rPr>
          <w:szCs w:val="20"/>
        </w:rPr>
      </w:pPr>
      <w:bookmarkStart w:id="642" w:name="_Ref8025409"/>
      <w:r w:rsidRPr="00827D05">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5</w:t>
      </w:r>
      <w:r w:rsidR="00997CFA">
        <w:rPr>
          <w:color w:val="2B579A"/>
          <w:shd w:val="clear" w:color="auto" w:fill="E6E6E6"/>
        </w:rPr>
        <w:fldChar w:fldCharType="end"/>
      </w:r>
      <w:bookmarkEnd w:id="642"/>
      <w:r w:rsidRPr="00827D05">
        <w:rPr>
          <w:szCs w:val="20"/>
        </w:rPr>
        <w:t xml:space="preserve"> </w:t>
      </w:r>
      <w:r>
        <w:rPr>
          <w:szCs w:val="20"/>
        </w:rPr>
        <w:t>Multi-criteria analysis</w:t>
      </w:r>
      <w:r w:rsidRPr="00827D05">
        <w:rPr>
          <w:szCs w:val="20"/>
        </w:rPr>
        <w:t xml:space="preserve"> </w:t>
      </w:r>
    </w:p>
    <w:tbl>
      <w:tblPr>
        <w:tblStyle w:val="Deloittetable"/>
        <w:tblW w:w="5000" w:type="pct"/>
        <w:tblLook w:val="04A0" w:firstRow="1" w:lastRow="0" w:firstColumn="1" w:lastColumn="0" w:noHBand="0" w:noVBand="1"/>
      </w:tblPr>
      <w:tblGrid>
        <w:gridCol w:w="4110"/>
        <w:gridCol w:w="2835"/>
        <w:gridCol w:w="2410"/>
      </w:tblGrid>
      <w:tr w:rsidR="004E20F3" w:rsidRPr="00CC55BE" w14:paraId="656B0629" w14:textId="77777777" w:rsidTr="0094039D">
        <w:trPr>
          <w:cnfStyle w:val="100000000000" w:firstRow="1" w:lastRow="0" w:firstColumn="0" w:lastColumn="0" w:oddVBand="0" w:evenVBand="0" w:oddHBand="0" w:evenHBand="0" w:firstRowFirstColumn="0" w:firstRowLastColumn="0" w:lastRowFirstColumn="0" w:lastRowLastColumn="0"/>
          <w:trHeight w:val="271"/>
        </w:trPr>
        <w:tc>
          <w:tcPr>
            <w:tcW w:w="2197" w:type="pct"/>
            <w:tcBorders>
              <w:bottom w:val="nil"/>
            </w:tcBorders>
            <w:noWrap/>
            <w:hideMark/>
          </w:tcPr>
          <w:p w14:paraId="656B0626" w14:textId="77777777" w:rsidR="004E20F3" w:rsidRPr="00F04BFC" w:rsidRDefault="004E20F3" w:rsidP="004B63C1">
            <w:pPr>
              <w:spacing w:after="0" w:line="240" w:lineRule="auto"/>
              <w:rPr>
                <w:rFonts w:eastAsia="Times New Roman" w:cs="Segoe UI Light"/>
                <w:sz w:val="18"/>
                <w:szCs w:val="20"/>
                <w:lang w:eastAsia="en-AU"/>
              </w:rPr>
            </w:pPr>
          </w:p>
        </w:tc>
        <w:tc>
          <w:tcPr>
            <w:tcW w:w="1515" w:type="pct"/>
            <w:tcBorders>
              <w:bottom w:val="nil"/>
            </w:tcBorders>
            <w:noWrap/>
            <w:hideMark/>
          </w:tcPr>
          <w:p w14:paraId="656B0627" w14:textId="77777777" w:rsidR="004E20F3" w:rsidRPr="00520B77" w:rsidRDefault="004E20F3" w:rsidP="001F1C85">
            <w:pPr>
              <w:spacing w:after="0" w:line="240" w:lineRule="auto"/>
              <w:ind w:right="57"/>
              <w:jc w:val="right"/>
              <w:rPr>
                <w:rFonts w:eastAsia="Times New Roman" w:cs="Segoe UI Light"/>
                <w:b/>
                <w:bCs/>
                <w:color w:val="000000"/>
                <w:sz w:val="18"/>
                <w:szCs w:val="20"/>
                <w:lang w:eastAsia="en-AU"/>
              </w:rPr>
            </w:pPr>
            <w:r w:rsidRPr="00520B77">
              <w:rPr>
                <w:rFonts w:eastAsia="Times New Roman" w:cs="Segoe UI Light"/>
                <w:b/>
                <w:bCs/>
                <w:color w:val="000000"/>
                <w:sz w:val="18"/>
                <w:szCs w:val="20"/>
                <w:lang w:eastAsia="en-AU"/>
              </w:rPr>
              <w:t>Option 1</w:t>
            </w:r>
          </w:p>
        </w:tc>
        <w:tc>
          <w:tcPr>
            <w:tcW w:w="1288" w:type="pct"/>
            <w:tcBorders>
              <w:bottom w:val="nil"/>
            </w:tcBorders>
            <w:noWrap/>
            <w:hideMark/>
          </w:tcPr>
          <w:p w14:paraId="656B0628" w14:textId="77777777" w:rsidR="004E20F3" w:rsidRPr="00EF6FDE" w:rsidRDefault="004E20F3" w:rsidP="001F1C85">
            <w:pPr>
              <w:spacing w:after="0" w:line="240" w:lineRule="auto"/>
              <w:ind w:right="57"/>
              <w:jc w:val="right"/>
              <w:rPr>
                <w:rFonts w:eastAsia="Times New Roman" w:cs="Segoe UI Light"/>
                <w:b/>
                <w:bCs/>
                <w:color w:val="000000"/>
                <w:sz w:val="18"/>
                <w:szCs w:val="20"/>
                <w:lang w:eastAsia="en-AU"/>
              </w:rPr>
            </w:pPr>
            <w:r w:rsidRPr="00EF6FDE">
              <w:rPr>
                <w:rFonts w:eastAsia="Times New Roman" w:cs="Segoe UI Light"/>
                <w:b/>
                <w:bCs/>
                <w:color w:val="000000"/>
                <w:sz w:val="18"/>
                <w:szCs w:val="20"/>
                <w:lang w:eastAsia="en-AU"/>
              </w:rPr>
              <w:t>Option 2</w:t>
            </w:r>
          </w:p>
        </w:tc>
      </w:tr>
      <w:tr w:rsidR="004E20F3" w:rsidRPr="00CC55BE" w14:paraId="656B062D" w14:textId="77777777" w:rsidTr="0094039D">
        <w:trPr>
          <w:trHeight w:val="411"/>
        </w:trPr>
        <w:tc>
          <w:tcPr>
            <w:tcW w:w="2197" w:type="pct"/>
            <w:tcBorders>
              <w:top w:val="nil"/>
            </w:tcBorders>
            <w:noWrap/>
            <w:hideMark/>
          </w:tcPr>
          <w:p w14:paraId="656B062A" w14:textId="77777777" w:rsidR="004E20F3" w:rsidRPr="00520B77" w:rsidRDefault="004E20F3" w:rsidP="004B63C1">
            <w:pPr>
              <w:spacing w:after="0" w:line="240" w:lineRule="auto"/>
              <w:rPr>
                <w:rFonts w:eastAsia="Times New Roman" w:cs="Segoe UI Light"/>
                <w:b/>
                <w:bCs/>
                <w:color w:val="000000"/>
                <w:sz w:val="18"/>
                <w:szCs w:val="20"/>
                <w:lang w:eastAsia="en-AU"/>
              </w:rPr>
            </w:pPr>
            <w:r w:rsidRPr="00F04BFC">
              <w:rPr>
                <w:rFonts w:eastAsia="Times New Roman" w:cs="Segoe UI Light"/>
                <w:b/>
                <w:bCs/>
                <w:color w:val="000000"/>
                <w:sz w:val="18"/>
                <w:szCs w:val="20"/>
                <w:lang w:eastAsia="en-AU"/>
              </w:rPr>
              <w:t>Criteria</w:t>
            </w:r>
            <w:r>
              <w:rPr>
                <w:rFonts w:eastAsia="Times New Roman" w:cs="Segoe UI Light"/>
                <w:b/>
                <w:bCs/>
                <w:color w:val="000000"/>
                <w:sz w:val="18"/>
                <w:szCs w:val="20"/>
                <w:lang w:eastAsia="en-AU"/>
              </w:rPr>
              <w:t xml:space="preserve"> (and weight)</w:t>
            </w:r>
          </w:p>
        </w:tc>
        <w:tc>
          <w:tcPr>
            <w:tcW w:w="1515" w:type="pct"/>
            <w:tcBorders>
              <w:top w:val="nil"/>
            </w:tcBorders>
            <w:hideMark/>
          </w:tcPr>
          <w:p w14:paraId="656B062B" w14:textId="77777777" w:rsidR="004E20F3" w:rsidRPr="00EF6FDE" w:rsidRDefault="004E20F3" w:rsidP="001F1C85">
            <w:pPr>
              <w:spacing w:after="0" w:line="240" w:lineRule="auto"/>
              <w:ind w:right="57"/>
              <w:jc w:val="right"/>
              <w:rPr>
                <w:rFonts w:eastAsia="Times New Roman" w:cs="Segoe UI Light"/>
                <w:color w:val="000000"/>
                <w:sz w:val="18"/>
                <w:szCs w:val="20"/>
                <w:lang w:eastAsia="en-AU"/>
              </w:rPr>
            </w:pPr>
            <w:r w:rsidRPr="00EF6FDE">
              <w:rPr>
                <w:rFonts w:eastAsia="Times New Roman" w:cs="Segoe UI Light"/>
                <w:color w:val="000000"/>
                <w:sz w:val="18"/>
                <w:szCs w:val="20"/>
                <w:lang w:eastAsia="en-AU"/>
              </w:rPr>
              <w:t>Flexible tools, multiple approaches</w:t>
            </w:r>
          </w:p>
        </w:tc>
        <w:tc>
          <w:tcPr>
            <w:tcW w:w="1288" w:type="pct"/>
            <w:tcBorders>
              <w:top w:val="nil"/>
            </w:tcBorders>
            <w:hideMark/>
          </w:tcPr>
          <w:p w14:paraId="656B062C" w14:textId="77777777" w:rsidR="004E20F3" w:rsidRPr="00CA3F78" w:rsidRDefault="004E20F3" w:rsidP="001F1C85">
            <w:pPr>
              <w:spacing w:after="0" w:line="240" w:lineRule="auto"/>
              <w:ind w:right="57"/>
              <w:jc w:val="right"/>
              <w:rPr>
                <w:rFonts w:eastAsia="Times New Roman" w:cs="Segoe UI Light"/>
                <w:color w:val="000000"/>
                <w:sz w:val="18"/>
                <w:szCs w:val="20"/>
                <w:lang w:eastAsia="en-AU"/>
              </w:rPr>
            </w:pPr>
            <w:r w:rsidRPr="000A1254">
              <w:rPr>
                <w:rFonts w:eastAsia="Times New Roman" w:cs="Segoe UI Light"/>
                <w:color w:val="000000"/>
                <w:sz w:val="18"/>
                <w:szCs w:val="20"/>
                <w:lang w:eastAsia="en-AU"/>
              </w:rPr>
              <w:t>Streamlined use</w:t>
            </w:r>
            <w:r w:rsidRPr="00CA3F78">
              <w:rPr>
                <w:rFonts w:eastAsia="Times New Roman" w:cs="Segoe UI Light"/>
                <w:color w:val="000000"/>
                <w:sz w:val="18"/>
                <w:szCs w:val="20"/>
                <w:lang w:eastAsia="en-AU"/>
              </w:rPr>
              <w:t xml:space="preserve"> of tools</w:t>
            </w:r>
          </w:p>
        </w:tc>
      </w:tr>
      <w:tr w:rsidR="004E20F3" w:rsidRPr="00CC55BE" w14:paraId="656B0631" w14:textId="77777777" w:rsidTr="0094039D">
        <w:trPr>
          <w:trHeight w:val="271"/>
        </w:trPr>
        <w:tc>
          <w:tcPr>
            <w:tcW w:w="2197" w:type="pct"/>
            <w:noWrap/>
            <w:hideMark/>
          </w:tcPr>
          <w:p w14:paraId="656B062E" w14:textId="77777777" w:rsidR="004E20F3" w:rsidRPr="00520B77" w:rsidRDefault="004E20F3" w:rsidP="004B63C1">
            <w:pPr>
              <w:spacing w:after="0" w:line="240" w:lineRule="auto"/>
              <w:rPr>
                <w:rFonts w:eastAsia="Times New Roman" w:cs="Segoe UI Light"/>
                <w:color w:val="000000"/>
                <w:sz w:val="18"/>
                <w:szCs w:val="20"/>
                <w:lang w:eastAsia="en-AU"/>
              </w:rPr>
            </w:pPr>
            <w:r w:rsidRPr="00F04BFC">
              <w:rPr>
                <w:rFonts w:eastAsia="Times New Roman" w:cs="Segoe UI Light"/>
                <w:color w:val="000000"/>
                <w:sz w:val="18"/>
                <w:szCs w:val="20"/>
                <w:lang w:eastAsia="en-AU"/>
              </w:rPr>
              <w:t>Effectiveness</w:t>
            </w:r>
            <w:r>
              <w:rPr>
                <w:rFonts w:eastAsia="Times New Roman" w:cs="Segoe UI Light"/>
                <w:color w:val="000000"/>
                <w:sz w:val="18"/>
                <w:szCs w:val="20"/>
                <w:lang w:eastAsia="en-AU"/>
              </w:rPr>
              <w:t xml:space="preserve"> (50%)</w:t>
            </w:r>
          </w:p>
        </w:tc>
        <w:tc>
          <w:tcPr>
            <w:tcW w:w="1515" w:type="pct"/>
            <w:noWrap/>
            <w:hideMark/>
          </w:tcPr>
          <w:p w14:paraId="656B062F" w14:textId="77777777" w:rsidR="004E20F3" w:rsidRPr="00EF6FDE" w:rsidRDefault="004E20F3" w:rsidP="001F1C85">
            <w:pPr>
              <w:spacing w:after="0" w:line="240" w:lineRule="auto"/>
              <w:ind w:right="57"/>
              <w:jc w:val="right"/>
              <w:rPr>
                <w:rFonts w:eastAsia="Times New Roman" w:cs="Segoe UI Light"/>
                <w:color w:val="000000"/>
                <w:sz w:val="18"/>
                <w:szCs w:val="20"/>
                <w:lang w:eastAsia="en-AU"/>
              </w:rPr>
            </w:pPr>
            <w:r w:rsidRPr="00EF6FDE">
              <w:rPr>
                <w:rFonts w:cs="Segoe UI Light"/>
                <w:color w:val="000000"/>
                <w:sz w:val="18"/>
                <w:szCs w:val="20"/>
              </w:rPr>
              <w:t>5</w:t>
            </w:r>
          </w:p>
        </w:tc>
        <w:tc>
          <w:tcPr>
            <w:tcW w:w="1288" w:type="pct"/>
            <w:noWrap/>
            <w:hideMark/>
          </w:tcPr>
          <w:p w14:paraId="656B0630" w14:textId="77777777" w:rsidR="004E20F3" w:rsidRPr="00BE05FA" w:rsidRDefault="004E20F3" w:rsidP="001F1C85">
            <w:pPr>
              <w:spacing w:after="0" w:line="240" w:lineRule="auto"/>
              <w:ind w:right="57"/>
              <w:jc w:val="right"/>
              <w:rPr>
                <w:rFonts w:eastAsia="Times New Roman" w:cs="Segoe UI Light"/>
                <w:color w:val="000000"/>
                <w:sz w:val="18"/>
                <w:szCs w:val="20"/>
                <w:lang w:eastAsia="en-AU"/>
              </w:rPr>
            </w:pPr>
            <w:r w:rsidRPr="000A1254">
              <w:rPr>
                <w:rFonts w:cs="Segoe UI Light"/>
                <w:color w:val="000000"/>
                <w:sz w:val="18"/>
                <w:szCs w:val="20"/>
              </w:rPr>
              <w:t>5</w:t>
            </w:r>
          </w:p>
        </w:tc>
      </w:tr>
      <w:tr w:rsidR="004E20F3" w:rsidRPr="00CC55BE" w14:paraId="656B0635" w14:textId="77777777" w:rsidTr="0094039D">
        <w:trPr>
          <w:trHeight w:val="271"/>
        </w:trPr>
        <w:tc>
          <w:tcPr>
            <w:tcW w:w="2197" w:type="pct"/>
            <w:noWrap/>
            <w:hideMark/>
          </w:tcPr>
          <w:p w14:paraId="656B0632" w14:textId="77777777" w:rsidR="004E20F3" w:rsidRPr="00520B77" w:rsidRDefault="004E20F3" w:rsidP="004B63C1">
            <w:pPr>
              <w:spacing w:after="0" w:line="240" w:lineRule="auto"/>
              <w:rPr>
                <w:rFonts w:eastAsia="Times New Roman" w:cs="Segoe UI Light"/>
                <w:color w:val="000000"/>
                <w:sz w:val="18"/>
                <w:szCs w:val="20"/>
                <w:lang w:eastAsia="en-AU"/>
              </w:rPr>
            </w:pPr>
            <w:r w:rsidRPr="00F04BFC">
              <w:rPr>
                <w:rFonts w:eastAsia="Times New Roman" w:cs="Segoe UI Light"/>
                <w:color w:val="000000"/>
                <w:sz w:val="18"/>
                <w:szCs w:val="20"/>
                <w:lang w:eastAsia="en-AU"/>
              </w:rPr>
              <w:t>Cost</w:t>
            </w:r>
            <w:r>
              <w:rPr>
                <w:rFonts w:eastAsia="Times New Roman" w:cs="Segoe UI Light"/>
                <w:color w:val="000000"/>
                <w:sz w:val="18"/>
                <w:szCs w:val="20"/>
                <w:lang w:eastAsia="en-AU"/>
              </w:rPr>
              <w:t xml:space="preserve"> (50%)</w:t>
            </w:r>
          </w:p>
        </w:tc>
        <w:tc>
          <w:tcPr>
            <w:tcW w:w="1515" w:type="pct"/>
            <w:noWrap/>
            <w:hideMark/>
          </w:tcPr>
          <w:p w14:paraId="656B0633" w14:textId="77777777" w:rsidR="004E20F3" w:rsidRPr="00EF6FDE" w:rsidRDefault="004E20F3" w:rsidP="001F1C85">
            <w:pPr>
              <w:spacing w:after="0" w:line="240" w:lineRule="auto"/>
              <w:ind w:right="57"/>
              <w:jc w:val="right"/>
              <w:rPr>
                <w:rFonts w:eastAsia="Times New Roman" w:cs="Segoe UI Light"/>
                <w:color w:val="000000"/>
                <w:sz w:val="18"/>
                <w:szCs w:val="20"/>
                <w:lang w:eastAsia="en-AU"/>
              </w:rPr>
            </w:pPr>
            <w:r w:rsidRPr="00EF6FDE">
              <w:rPr>
                <w:rFonts w:cs="Segoe UI Light"/>
                <w:color w:val="000000"/>
                <w:sz w:val="18"/>
                <w:szCs w:val="20"/>
              </w:rPr>
              <w:t>-4</w:t>
            </w:r>
          </w:p>
        </w:tc>
        <w:tc>
          <w:tcPr>
            <w:tcW w:w="1288" w:type="pct"/>
            <w:noWrap/>
            <w:hideMark/>
          </w:tcPr>
          <w:p w14:paraId="656B0634" w14:textId="77777777" w:rsidR="004E20F3" w:rsidRPr="00BE05FA" w:rsidRDefault="004E20F3" w:rsidP="001F1C85">
            <w:pPr>
              <w:spacing w:after="0" w:line="240" w:lineRule="auto"/>
              <w:ind w:right="57"/>
              <w:jc w:val="right"/>
              <w:rPr>
                <w:rFonts w:eastAsia="Times New Roman" w:cs="Segoe UI Light"/>
                <w:color w:val="000000"/>
                <w:sz w:val="18"/>
                <w:szCs w:val="20"/>
                <w:lang w:eastAsia="en-AU"/>
              </w:rPr>
            </w:pPr>
            <w:r w:rsidRPr="000A1254">
              <w:rPr>
                <w:rFonts w:cs="Segoe UI Light"/>
                <w:color w:val="000000"/>
                <w:sz w:val="18"/>
                <w:szCs w:val="20"/>
              </w:rPr>
              <w:t>-2</w:t>
            </w:r>
          </w:p>
        </w:tc>
      </w:tr>
      <w:tr w:rsidR="004E20F3" w:rsidRPr="00CC55BE" w14:paraId="656B0639" w14:textId="77777777" w:rsidTr="0094039D">
        <w:trPr>
          <w:trHeight w:val="271"/>
        </w:trPr>
        <w:tc>
          <w:tcPr>
            <w:tcW w:w="2197" w:type="pct"/>
            <w:noWrap/>
            <w:hideMark/>
          </w:tcPr>
          <w:p w14:paraId="656B0636" w14:textId="77777777" w:rsidR="004E20F3" w:rsidRPr="00520B77" w:rsidRDefault="004E20F3" w:rsidP="004B63C1">
            <w:pPr>
              <w:spacing w:after="0" w:line="240" w:lineRule="auto"/>
              <w:rPr>
                <w:rFonts w:eastAsia="Times New Roman" w:cs="Segoe UI Light"/>
                <w:b/>
                <w:bCs/>
                <w:color w:val="000000"/>
                <w:sz w:val="18"/>
                <w:szCs w:val="20"/>
                <w:lang w:eastAsia="en-AU"/>
              </w:rPr>
            </w:pPr>
            <w:r w:rsidRPr="00F04BFC">
              <w:rPr>
                <w:rFonts w:eastAsia="Times New Roman" w:cs="Segoe UI Light"/>
                <w:b/>
                <w:bCs/>
                <w:color w:val="000000"/>
                <w:sz w:val="18"/>
                <w:szCs w:val="20"/>
                <w:lang w:eastAsia="en-AU"/>
              </w:rPr>
              <w:t xml:space="preserve">Total </w:t>
            </w:r>
            <w:r>
              <w:rPr>
                <w:rFonts w:eastAsia="Times New Roman" w:cs="Segoe UI Light"/>
                <w:b/>
                <w:bCs/>
                <w:color w:val="000000"/>
                <w:sz w:val="18"/>
                <w:szCs w:val="20"/>
                <w:lang w:eastAsia="en-AU"/>
              </w:rPr>
              <w:t xml:space="preserve">weighted </w:t>
            </w:r>
            <w:r w:rsidRPr="00F04BFC">
              <w:rPr>
                <w:rFonts w:eastAsia="Times New Roman" w:cs="Segoe UI Light"/>
                <w:b/>
                <w:bCs/>
                <w:color w:val="000000"/>
                <w:sz w:val="18"/>
                <w:szCs w:val="20"/>
                <w:lang w:eastAsia="en-AU"/>
              </w:rPr>
              <w:t>score</w:t>
            </w:r>
          </w:p>
        </w:tc>
        <w:tc>
          <w:tcPr>
            <w:tcW w:w="1515" w:type="pct"/>
            <w:noWrap/>
            <w:hideMark/>
          </w:tcPr>
          <w:p w14:paraId="656B0637" w14:textId="77777777" w:rsidR="004E20F3" w:rsidRPr="00EF6FDE" w:rsidRDefault="004E20F3" w:rsidP="001F1C85">
            <w:pPr>
              <w:spacing w:after="0" w:line="240" w:lineRule="auto"/>
              <w:ind w:right="57"/>
              <w:jc w:val="right"/>
              <w:rPr>
                <w:rFonts w:eastAsia="Times New Roman" w:cs="Segoe UI Light"/>
                <w:b/>
                <w:bCs/>
                <w:color w:val="000000"/>
                <w:sz w:val="18"/>
                <w:szCs w:val="20"/>
                <w:lang w:eastAsia="en-AU"/>
              </w:rPr>
            </w:pPr>
            <w:r>
              <w:rPr>
                <w:rFonts w:cs="Segoe UI Light"/>
                <w:b/>
                <w:bCs/>
                <w:color w:val="000000"/>
                <w:sz w:val="18"/>
                <w:szCs w:val="20"/>
              </w:rPr>
              <w:t>0.5</w:t>
            </w:r>
          </w:p>
        </w:tc>
        <w:tc>
          <w:tcPr>
            <w:tcW w:w="1288" w:type="pct"/>
            <w:noWrap/>
            <w:hideMark/>
          </w:tcPr>
          <w:p w14:paraId="656B0638" w14:textId="77777777" w:rsidR="004E20F3" w:rsidRPr="00BE05FA" w:rsidRDefault="004E20F3" w:rsidP="001F1C85">
            <w:pPr>
              <w:spacing w:after="0" w:line="240" w:lineRule="auto"/>
              <w:ind w:right="57"/>
              <w:jc w:val="right"/>
              <w:rPr>
                <w:rFonts w:eastAsia="Times New Roman" w:cs="Segoe UI Light"/>
                <w:b/>
                <w:bCs/>
                <w:color w:val="000000"/>
                <w:sz w:val="18"/>
                <w:szCs w:val="20"/>
                <w:lang w:eastAsia="en-AU"/>
              </w:rPr>
            </w:pPr>
            <w:r>
              <w:rPr>
                <w:rFonts w:cs="Segoe UI Light"/>
                <w:b/>
                <w:bCs/>
                <w:color w:val="000000"/>
                <w:sz w:val="18"/>
                <w:szCs w:val="20"/>
              </w:rPr>
              <w:t>1.5</w:t>
            </w:r>
          </w:p>
        </w:tc>
      </w:tr>
    </w:tbl>
    <w:p w14:paraId="656B063B" w14:textId="77777777" w:rsidR="00213E13" w:rsidRDefault="00213E13" w:rsidP="00982D63">
      <w:pPr>
        <w:pStyle w:val="Heading2"/>
      </w:pPr>
      <w:r>
        <w:t xml:space="preserve">Priority waste </w:t>
      </w:r>
    </w:p>
    <w:p w14:paraId="656B063C" w14:textId="77777777" w:rsidR="00213E13" w:rsidRDefault="00213E13" w:rsidP="001D4AFF">
      <w:pPr>
        <w:pStyle w:val="Heading3"/>
        <w:ind w:left="720"/>
      </w:pPr>
      <w:r w:rsidRPr="00243F08">
        <w:t>Options</w:t>
      </w:r>
    </w:p>
    <w:p w14:paraId="656B063D" w14:textId="77777777" w:rsidR="003173D1" w:rsidRPr="003173D1" w:rsidRDefault="003173D1" w:rsidP="004E20F3">
      <w:pPr>
        <w:spacing w:after="60"/>
        <w:jc w:val="both"/>
        <w:rPr>
          <w:rFonts w:eastAsia="MS Mincho"/>
          <w:lang w:val="en-US" w:eastAsia="ja-JP"/>
        </w:rPr>
      </w:pPr>
      <w:r>
        <w:rPr>
          <w:lang w:eastAsia="en-AU"/>
        </w:rPr>
        <w:t xml:space="preserve">In developing these options to give effect to the priority waste duties in the new EP Legislation, DELWP and EPA considered </w:t>
      </w:r>
      <w:r w:rsidRPr="00EC5C30">
        <w:rPr>
          <w:lang w:eastAsia="en-AU"/>
        </w:rPr>
        <w:t xml:space="preserve">which wastes </w:t>
      </w:r>
      <w:r>
        <w:rPr>
          <w:lang w:eastAsia="en-AU"/>
        </w:rPr>
        <w:t xml:space="preserve">would </w:t>
      </w:r>
      <w:r w:rsidRPr="00EC5C30">
        <w:rPr>
          <w:lang w:eastAsia="en-AU"/>
        </w:rPr>
        <w:t xml:space="preserve">warrant additional controls beyond those already in the </w:t>
      </w:r>
      <w:r w:rsidR="00375D81">
        <w:rPr>
          <w:lang w:eastAsia="en-AU"/>
        </w:rPr>
        <w:t>GED</w:t>
      </w:r>
      <w:r>
        <w:rPr>
          <w:lang w:eastAsia="en-AU"/>
        </w:rPr>
        <w:t>, industrial waste and</w:t>
      </w:r>
      <w:r w:rsidRPr="00EC5C30">
        <w:rPr>
          <w:lang w:eastAsia="en-AU"/>
        </w:rPr>
        <w:t xml:space="preserve"> lawful place</w:t>
      </w:r>
      <w:r>
        <w:rPr>
          <w:lang w:eastAsia="en-AU"/>
        </w:rPr>
        <w:t xml:space="preserve"> duties. Three interrelated criteria </w:t>
      </w:r>
      <w:r w:rsidR="00D07001">
        <w:rPr>
          <w:lang w:eastAsia="en-AU"/>
        </w:rPr>
        <w:t>w</w:t>
      </w:r>
      <w:r>
        <w:rPr>
          <w:lang w:eastAsia="en-AU"/>
        </w:rPr>
        <w:t xml:space="preserve">ere considered for each waste type to assess whether inclusion into the priority waste category was suitable: </w:t>
      </w:r>
      <w:r w:rsidR="00BB66E6" w:rsidRPr="001D4AFF">
        <w:rPr>
          <w:lang w:eastAsia="en-AU"/>
        </w:rPr>
        <w:t>h</w:t>
      </w:r>
      <w:r w:rsidRPr="001D4AFF">
        <w:rPr>
          <w:lang w:eastAsia="en-AU"/>
        </w:rPr>
        <w:t xml:space="preserve">azard (where the intrinsic or latent hazard of the waste indicates that sufficient risk of harm to human health and the environment is likely unless managed correctly), </w:t>
      </w:r>
      <w:r w:rsidR="00BB66E6" w:rsidRPr="001D4AFF">
        <w:rPr>
          <w:lang w:eastAsia="en-AU"/>
        </w:rPr>
        <w:t>m</w:t>
      </w:r>
      <w:r w:rsidRPr="001D4AFF">
        <w:rPr>
          <w:lang w:eastAsia="en-AU"/>
        </w:rPr>
        <w:t>ismanagement (where waste requires additional controls to address mismanagement such as illegal dumping, abandonment or indefinite stockpiling etc.) and</w:t>
      </w:r>
      <w:r w:rsidR="00A73FB4" w:rsidRPr="001D4AFF">
        <w:rPr>
          <w:lang w:eastAsia="en-AU"/>
        </w:rPr>
        <w:t xml:space="preserve"> resource recovery</w:t>
      </w:r>
      <w:r w:rsidRPr="001D4AFF">
        <w:rPr>
          <w:lang w:eastAsia="en-AU"/>
        </w:rPr>
        <w:t xml:space="preserve"> (to improve the rate of recovery or efficiency of a waste stream or the input resources</w:t>
      </w:r>
      <w:r>
        <w:rPr>
          <w:rFonts w:eastAsia="MS Mincho"/>
          <w:lang w:val="en-US" w:eastAsia="ja-JP"/>
        </w:rPr>
        <w:t>)</w:t>
      </w:r>
      <w:r w:rsidRPr="003173D1">
        <w:rPr>
          <w:rFonts w:eastAsia="MS Mincho"/>
          <w:lang w:val="en-US" w:eastAsia="ja-JP"/>
        </w:rPr>
        <w:t>.</w:t>
      </w:r>
    </w:p>
    <w:p w14:paraId="656B063E" w14:textId="77777777" w:rsidR="00E31CCE" w:rsidRPr="00EE3F36" w:rsidRDefault="00E31CCE" w:rsidP="00E31CCE">
      <w:pPr>
        <w:textAlignment w:val="baseline"/>
        <w:rPr>
          <w:rFonts w:eastAsia="MS Mincho"/>
          <w:lang w:val="en-US" w:eastAsia="ja-JP"/>
        </w:rPr>
      </w:pPr>
      <w:r>
        <w:t xml:space="preserve">The new EP legislation </w:t>
      </w:r>
      <w:r>
        <w:rPr>
          <w:lang w:eastAsia="en-AU"/>
        </w:rPr>
        <w:t xml:space="preserve">provides that priority waste type must be prescribed in </w:t>
      </w:r>
      <w:r w:rsidR="00DE7273">
        <w:rPr>
          <w:lang w:eastAsia="en-AU"/>
        </w:rPr>
        <w:t>regulations</w:t>
      </w:r>
      <w:r>
        <w:rPr>
          <w:lang w:eastAsia="en-AU"/>
        </w:rPr>
        <w:t>, so n</w:t>
      </w:r>
      <w:r w:rsidRPr="001D4AFF">
        <w:rPr>
          <w:lang w:eastAsia="en-AU"/>
        </w:rPr>
        <w:t>on-regulatory approaches were not consider</w:t>
      </w:r>
      <w:r>
        <w:rPr>
          <w:rFonts w:eastAsia="MS Mincho"/>
          <w:lang w:val="en-US" w:eastAsia="ja-JP"/>
        </w:rPr>
        <w:t>ed.</w:t>
      </w:r>
    </w:p>
    <w:p w14:paraId="656B063F" w14:textId="77777777" w:rsidR="00213E13" w:rsidRDefault="00213E13" w:rsidP="000E7C5E">
      <w:pPr>
        <w:ind w:right="565"/>
      </w:pPr>
      <w:r>
        <w:t>The options for what is considered priority waste are:</w:t>
      </w:r>
    </w:p>
    <w:p w14:paraId="656B0640" w14:textId="77777777" w:rsidR="00213E13" w:rsidRPr="00AF2020" w:rsidRDefault="00213E13" w:rsidP="00213E13">
      <w:pPr>
        <w:pStyle w:val="ListParagraph"/>
        <w:numPr>
          <w:ilvl w:val="0"/>
          <w:numId w:val="97"/>
        </w:numPr>
        <w:spacing w:after="170"/>
      </w:pPr>
      <w:r w:rsidRPr="004E20F3">
        <w:rPr>
          <w:b/>
          <w:i/>
        </w:rPr>
        <w:t>Base Case:</w:t>
      </w:r>
      <w:r>
        <w:t xml:space="preserve"> The Base Case would have no priority wastes prescribed. It is recognised that the priority waste duties are currently practiced to a certain degree and that practice would continue in the absence of regulation – i.e. the current level of isolation of waste types, the current level of business effort to investigate options for resource recovery and the current level of containment during transport – would continue under the Base Case.</w:t>
      </w:r>
      <w:r w:rsidR="00E31E0E">
        <w:t xml:space="preserve"> It is likely that the ‘state of knowledge’ and compliance levels would deteriorate over time, however this has not been factored in to the analysis. </w:t>
      </w:r>
    </w:p>
    <w:p w14:paraId="656B0641" w14:textId="77777777" w:rsidR="00213E13" w:rsidRDefault="00213E13" w:rsidP="00213E13">
      <w:pPr>
        <w:pStyle w:val="ListParagraph"/>
        <w:numPr>
          <w:ilvl w:val="0"/>
          <w:numId w:val="97"/>
        </w:numPr>
        <w:spacing w:after="170"/>
      </w:pPr>
      <w:r w:rsidRPr="00BF2C24">
        <w:rPr>
          <w:b/>
          <w:i/>
        </w:rPr>
        <w:t>Option 1a</w:t>
      </w:r>
      <w:r>
        <w:rPr>
          <w:i/>
        </w:rPr>
        <w:t xml:space="preserve">: </w:t>
      </w:r>
      <w:r>
        <w:t xml:space="preserve">Waste types </w:t>
      </w:r>
      <w:r w:rsidRPr="00111B6C">
        <w:t xml:space="preserve">meeting hazard criteria of very high, high and moderate and those at risk of mismanagement. This option includes tyres and e-waste on mismanagement grounds. There would be no waste types included </w:t>
      </w:r>
      <w:r w:rsidR="00C703A1">
        <w:t xml:space="preserve">purely </w:t>
      </w:r>
      <w:r w:rsidRPr="00111B6C">
        <w:t>from a resource recovery perspective.</w:t>
      </w:r>
    </w:p>
    <w:p w14:paraId="656B0642" w14:textId="77777777" w:rsidR="00213E13" w:rsidRPr="00111B6C" w:rsidRDefault="00213E13" w:rsidP="00213E13">
      <w:pPr>
        <w:pStyle w:val="ListParagraph"/>
        <w:numPr>
          <w:ilvl w:val="0"/>
          <w:numId w:val="97"/>
        </w:numPr>
        <w:spacing w:after="170"/>
      </w:pPr>
      <w:r w:rsidRPr="00BF2C24">
        <w:rPr>
          <w:b/>
          <w:i/>
        </w:rPr>
        <w:t>Option 1b</w:t>
      </w:r>
      <w:r>
        <w:rPr>
          <w:i/>
        </w:rPr>
        <w:t xml:space="preserve">: </w:t>
      </w:r>
      <w:r>
        <w:t xml:space="preserve">Same as Option 1a but excluding e-waste. </w:t>
      </w:r>
      <w:r w:rsidR="00E31E0E">
        <w:t>E</w:t>
      </w:r>
      <w:r w:rsidR="00E31E0E" w:rsidRPr="006A09FA">
        <w:t xml:space="preserve">-waste was excluded because it has a lower risk of mismanagement than tyres. </w:t>
      </w:r>
      <w:r w:rsidR="00375D81">
        <w:t>Many p</w:t>
      </w:r>
      <w:r w:rsidR="00E31E0E">
        <w:t xml:space="preserve">arts from </w:t>
      </w:r>
      <w:r w:rsidR="00E31E0E" w:rsidRPr="006A09FA">
        <w:t>e-waste (such as metals)</w:t>
      </w:r>
      <w:r w:rsidR="00E31E0E">
        <w:t xml:space="preserve"> hold market </w:t>
      </w:r>
      <w:r w:rsidR="00E31E0E" w:rsidRPr="006A09FA">
        <w:t xml:space="preserve">value, </w:t>
      </w:r>
      <w:r w:rsidR="00E31E0E">
        <w:t xml:space="preserve">meaning that </w:t>
      </w:r>
      <w:r w:rsidR="00E31E0E" w:rsidRPr="006A09FA">
        <w:t>the market still supports some effective recycling</w:t>
      </w:r>
      <w:r w:rsidR="00E31E0E">
        <w:t>.</w:t>
      </w:r>
    </w:p>
    <w:p w14:paraId="656B0643" w14:textId="77777777" w:rsidR="00213E13" w:rsidRPr="00AF2020" w:rsidRDefault="00213E13" w:rsidP="00213E13">
      <w:pPr>
        <w:pStyle w:val="ListParagraph"/>
        <w:numPr>
          <w:ilvl w:val="0"/>
          <w:numId w:val="97"/>
        </w:numPr>
        <w:spacing w:after="170"/>
      </w:pPr>
      <w:r w:rsidRPr="00BF2C24">
        <w:rPr>
          <w:b/>
          <w:i/>
        </w:rPr>
        <w:t>Option 2</w:t>
      </w:r>
      <w:r>
        <w:rPr>
          <w:i/>
        </w:rPr>
        <w:t xml:space="preserve">: </w:t>
      </w:r>
      <w:r>
        <w:t>Waste types</w:t>
      </w:r>
      <w:r w:rsidRPr="00111B6C">
        <w:t xml:space="preserve"> meeting the hazard criteria of very high and high, but no waste types would be included from a mismanagement or</w:t>
      </w:r>
      <w:r>
        <w:t xml:space="preserve"> resource recovery perspective.</w:t>
      </w:r>
    </w:p>
    <w:p w14:paraId="656B0644" w14:textId="77777777" w:rsidR="003173D1" w:rsidRDefault="00213E13" w:rsidP="001D4AFF">
      <w:pPr>
        <w:pStyle w:val="ListParagraph"/>
      </w:pPr>
      <w:r w:rsidRPr="00BF2C24">
        <w:rPr>
          <w:b/>
          <w:i/>
        </w:rPr>
        <w:t>Option 3</w:t>
      </w:r>
      <w:r>
        <w:rPr>
          <w:i/>
        </w:rPr>
        <w:t xml:space="preserve">: </w:t>
      </w:r>
      <w:r w:rsidRPr="00111B6C">
        <w:t xml:space="preserve">Wastes meeting the hazard criteria of very high, high and moderate. In addition, masonry, aggregates and fill material would be included from a mismanagement perspective, and </w:t>
      </w:r>
      <w:r>
        <w:t xml:space="preserve">tyres, e-waste and </w:t>
      </w:r>
      <w:r w:rsidRPr="00111B6C">
        <w:t>plastics would be included from a</w:t>
      </w:r>
      <w:r>
        <w:t xml:space="preserve"> resource recovery perspective.</w:t>
      </w:r>
    </w:p>
    <w:p w14:paraId="656B0645" w14:textId="77777777" w:rsidR="003173D1" w:rsidRDefault="003173D1" w:rsidP="001D4AFF">
      <w:pPr>
        <w:pStyle w:val="2Source"/>
        <w:spacing w:after="120"/>
      </w:pPr>
    </w:p>
    <w:p w14:paraId="656B0646" w14:textId="77777777" w:rsidR="00213E13" w:rsidRPr="00386E87" w:rsidRDefault="00213E13" w:rsidP="00213E13">
      <w:pPr>
        <w:pStyle w:val="2Source"/>
        <w:spacing w:after="120"/>
        <w:rPr>
          <w:szCs w:val="20"/>
        </w:rPr>
      </w:pPr>
      <w:r w:rsidRPr="00827D05">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6</w:t>
      </w:r>
      <w:r w:rsidR="00997CFA">
        <w:rPr>
          <w:color w:val="2B579A"/>
          <w:shd w:val="clear" w:color="auto" w:fill="E6E6E6"/>
        </w:rPr>
        <w:fldChar w:fldCharType="end"/>
      </w:r>
      <w:r w:rsidRPr="00827D05">
        <w:rPr>
          <w:szCs w:val="20"/>
        </w:rPr>
        <w:t xml:space="preserve"> </w:t>
      </w:r>
      <w:r>
        <w:rPr>
          <w:szCs w:val="20"/>
        </w:rPr>
        <w:t>Summary of reportable priority waste cohort options</w:t>
      </w:r>
      <w:r w:rsidRPr="00827D05">
        <w:rPr>
          <w:szCs w:val="20"/>
        </w:rPr>
        <w:t xml:space="preserve"> </w:t>
      </w:r>
    </w:p>
    <w:tbl>
      <w:tblPr>
        <w:tblStyle w:val="Deloittetable"/>
        <w:tblW w:w="5000" w:type="pct"/>
        <w:tblLook w:val="04A0" w:firstRow="1" w:lastRow="0" w:firstColumn="1" w:lastColumn="0" w:noHBand="0" w:noVBand="1"/>
      </w:tblPr>
      <w:tblGrid>
        <w:gridCol w:w="1871"/>
        <w:gridCol w:w="1871"/>
        <w:gridCol w:w="1871"/>
        <w:gridCol w:w="1871"/>
        <w:gridCol w:w="1871"/>
      </w:tblGrid>
      <w:tr w:rsidR="00213E13" w:rsidRPr="007E1BBC" w14:paraId="656B064C" w14:textId="77777777" w:rsidTr="00F34DF6">
        <w:trPr>
          <w:cnfStyle w:val="100000000000" w:firstRow="1" w:lastRow="0" w:firstColumn="0" w:lastColumn="0" w:oddVBand="0" w:evenVBand="0" w:oddHBand="0" w:evenHBand="0" w:firstRowFirstColumn="0" w:firstRowLastColumn="0" w:lastRowFirstColumn="0" w:lastRowLastColumn="0"/>
        </w:trPr>
        <w:tc>
          <w:tcPr>
            <w:tcW w:w="1000" w:type="pct"/>
          </w:tcPr>
          <w:p w14:paraId="656B0647" w14:textId="77777777" w:rsidR="00213E13" w:rsidRPr="00A27A5A" w:rsidRDefault="00213E13" w:rsidP="00F34DF6">
            <w:pPr>
              <w:keepNext/>
              <w:spacing w:after="0"/>
              <w:rPr>
                <w:b/>
                <w:sz w:val="18"/>
                <w:lang w:val="en-US" w:eastAsia="ja-JP"/>
              </w:rPr>
            </w:pPr>
            <w:r w:rsidRPr="00A27A5A">
              <w:rPr>
                <w:b/>
                <w:sz w:val="18"/>
                <w:lang w:val="en-US" w:eastAsia="ja-JP"/>
              </w:rPr>
              <w:t>Hazard type</w:t>
            </w:r>
          </w:p>
        </w:tc>
        <w:tc>
          <w:tcPr>
            <w:tcW w:w="1000" w:type="pct"/>
          </w:tcPr>
          <w:p w14:paraId="656B0648" w14:textId="77777777" w:rsidR="00213E13" w:rsidRPr="00A27A5A" w:rsidRDefault="00213E13" w:rsidP="00F34DF6">
            <w:pPr>
              <w:keepNext/>
              <w:spacing w:after="0"/>
              <w:rPr>
                <w:b/>
                <w:sz w:val="18"/>
                <w:lang w:val="en-US" w:eastAsia="ja-JP"/>
              </w:rPr>
            </w:pPr>
            <w:r w:rsidRPr="00A27A5A">
              <w:rPr>
                <w:b/>
                <w:sz w:val="18"/>
                <w:lang w:val="en-US" w:eastAsia="ja-JP"/>
              </w:rPr>
              <w:t>Option 1a</w:t>
            </w:r>
          </w:p>
        </w:tc>
        <w:tc>
          <w:tcPr>
            <w:tcW w:w="1000" w:type="pct"/>
          </w:tcPr>
          <w:p w14:paraId="656B0649" w14:textId="77777777" w:rsidR="00213E13" w:rsidRPr="00A27A5A" w:rsidRDefault="00213E13" w:rsidP="00F34DF6">
            <w:pPr>
              <w:keepNext/>
              <w:spacing w:after="0"/>
              <w:rPr>
                <w:b/>
                <w:sz w:val="18"/>
                <w:lang w:val="en-US" w:eastAsia="ja-JP"/>
              </w:rPr>
            </w:pPr>
            <w:r w:rsidRPr="00A27A5A">
              <w:rPr>
                <w:b/>
                <w:sz w:val="18"/>
                <w:lang w:val="en-US" w:eastAsia="ja-JP"/>
              </w:rPr>
              <w:t>Option 1b</w:t>
            </w:r>
          </w:p>
        </w:tc>
        <w:tc>
          <w:tcPr>
            <w:tcW w:w="1000" w:type="pct"/>
          </w:tcPr>
          <w:p w14:paraId="656B064A" w14:textId="77777777" w:rsidR="00213E13" w:rsidRPr="00A27A5A" w:rsidRDefault="00213E13" w:rsidP="00F34DF6">
            <w:pPr>
              <w:keepNext/>
              <w:spacing w:after="0"/>
              <w:rPr>
                <w:b/>
                <w:sz w:val="18"/>
                <w:lang w:val="en-US" w:eastAsia="ja-JP"/>
              </w:rPr>
            </w:pPr>
            <w:r w:rsidRPr="00A27A5A">
              <w:rPr>
                <w:b/>
                <w:sz w:val="18"/>
                <w:lang w:val="en-US" w:eastAsia="ja-JP"/>
              </w:rPr>
              <w:t>Option 2</w:t>
            </w:r>
          </w:p>
        </w:tc>
        <w:tc>
          <w:tcPr>
            <w:tcW w:w="1000" w:type="pct"/>
          </w:tcPr>
          <w:p w14:paraId="656B064B" w14:textId="77777777" w:rsidR="00213E13" w:rsidRPr="00A27A5A" w:rsidRDefault="00213E13" w:rsidP="00F34DF6">
            <w:pPr>
              <w:keepNext/>
              <w:spacing w:after="0"/>
              <w:rPr>
                <w:b/>
                <w:sz w:val="18"/>
                <w:lang w:val="en-US" w:eastAsia="ja-JP"/>
              </w:rPr>
            </w:pPr>
            <w:r w:rsidRPr="00A27A5A">
              <w:rPr>
                <w:b/>
                <w:sz w:val="18"/>
                <w:lang w:val="en-US" w:eastAsia="ja-JP"/>
              </w:rPr>
              <w:t>Option 3</w:t>
            </w:r>
          </w:p>
        </w:tc>
      </w:tr>
      <w:tr w:rsidR="00213E13" w:rsidRPr="007E1BBC" w14:paraId="656B0652" w14:textId="77777777" w:rsidTr="00F34DF6">
        <w:tc>
          <w:tcPr>
            <w:tcW w:w="1000" w:type="pct"/>
          </w:tcPr>
          <w:p w14:paraId="656B064D" w14:textId="77777777" w:rsidR="00213E13" w:rsidRPr="00A27A5A" w:rsidRDefault="00213E13" w:rsidP="00F34DF6">
            <w:pPr>
              <w:keepNext/>
              <w:spacing w:after="0"/>
              <w:rPr>
                <w:b/>
                <w:sz w:val="18"/>
                <w:lang w:val="en-US" w:eastAsia="ja-JP"/>
              </w:rPr>
            </w:pPr>
            <w:r w:rsidRPr="00A27A5A">
              <w:rPr>
                <w:b/>
                <w:sz w:val="18"/>
                <w:lang w:val="en-US" w:eastAsia="ja-JP"/>
              </w:rPr>
              <w:t>Very High Hazard</w:t>
            </w:r>
          </w:p>
        </w:tc>
        <w:tc>
          <w:tcPr>
            <w:tcW w:w="1000" w:type="pct"/>
          </w:tcPr>
          <w:p w14:paraId="656B064E" w14:textId="77777777" w:rsidR="00213E13" w:rsidRPr="007E1BBC" w:rsidRDefault="00213E13" w:rsidP="00F34DF6">
            <w:pPr>
              <w:keepNext/>
              <w:spacing w:after="0"/>
              <w:rPr>
                <w:sz w:val="18"/>
                <w:lang w:val="en-US" w:eastAsia="ja-JP"/>
              </w:rPr>
            </w:pPr>
            <w:r>
              <w:rPr>
                <w:sz w:val="18"/>
                <w:lang w:val="en-US" w:eastAsia="ja-JP"/>
              </w:rPr>
              <w:t>Yes</w:t>
            </w:r>
          </w:p>
        </w:tc>
        <w:tc>
          <w:tcPr>
            <w:tcW w:w="1000" w:type="pct"/>
          </w:tcPr>
          <w:p w14:paraId="656B064F" w14:textId="77777777" w:rsidR="00213E13" w:rsidRPr="007E1BBC" w:rsidRDefault="00213E13" w:rsidP="00F34DF6">
            <w:pPr>
              <w:keepNext/>
              <w:spacing w:after="0"/>
              <w:rPr>
                <w:sz w:val="18"/>
                <w:lang w:val="en-US" w:eastAsia="ja-JP"/>
              </w:rPr>
            </w:pPr>
            <w:r>
              <w:rPr>
                <w:sz w:val="18"/>
                <w:lang w:val="en-US" w:eastAsia="ja-JP"/>
              </w:rPr>
              <w:t>Yes</w:t>
            </w:r>
          </w:p>
        </w:tc>
        <w:tc>
          <w:tcPr>
            <w:tcW w:w="1000" w:type="pct"/>
          </w:tcPr>
          <w:p w14:paraId="656B0650" w14:textId="77777777" w:rsidR="00213E13" w:rsidRPr="007E1BBC" w:rsidRDefault="00213E13" w:rsidP="00F34DF6">
            <w:pPr>
              <w:keepNext/>
              <w:spacing w:after="0"/>
              <w:rPr>
                <w:sz w:val="18"/>
                <w:lang w:val="en-US" w:eastAsia="ja-JP"/>
              </w:rPr>
            </w:pPr>
            <w:r>
              <w:rPr>
                <w:sz w:val="18"/>
                <w:lang w:val="en-US" w:eastAsia="ja-JP"/>
              </w:rPr>
              <w:t>Yes</w:t>
            </w:r>
          </w:p>
        </w:tc>
        <w:tc>
          <w:tcPr>
            <w:tcW w:w="1000" w:type="pct"/>
          </w:tcPr>
          <w:p w14:paraId="656B0651" w14:textId="77777777" w:rsidR="00213E13" w:rsidRPr="007E1BBC" w:rsidRDefault="00213E13" w:rsidP="00F34DF6">
            <w:pPr>
              <w:keepNext/>
              <w:spacing w:after="0"/>
              <w:rPr>
                <w:sz w:val="18"/>
                <w:lang w:val="en-US" w:eastAsia="ja-JP"/>
              </w:rPr>
            </w:pPr>
            <w:r>
              <w:rPr>
                <w:sz w:val="18"/>
                <w:lang w:val="en-US" w:eastAsia="ja-JP"/>
              </w:rPr>
              <w:t>Yes</w:t>
            </w:r>
          </w:p>
        </w:tc>
      </w:tr>
      <w:tr w:rsidR="00213E13" w:rsidRPr="007E1BBC" w14:paraId="656B0658" w14:textId="77777777" w:rsidTr="00F34DF6">
        <w:tc>
          <w:tcPr>
            <w:tcW w:w="1000" w:type="pct"/>
          </w:tcPr>
          <w:p w14:paraId="656B0653" w14:textId="77777777" w:rsidR="00213E13" w:rsidRPr="00A27A5A" w:rsidRDefault="00213E13" w:rsidP="00F34DF6">
            <w:pPr>
              <w:keepNext/>
              <w:spacing w:after="0"/>
              <w:rPr>
                <w:b/>
                <w:sz w:val="18"/>
                <w:lang w:val="en-US" w:eastAsia="ja-JP"/>
              </w:rPr>
            </w:pPr>
            <w:r w:rsidRPr="00A27A5A">
              <w:rPr>
                <w:b/>
                <w:sz w:val="18"/>
                <w:lang w:val="en-US" w:eastAsia="ja-JP"/>
              </w:rPr>
              <w:t>High Hazard</w:t>
            </w:r>
          </w:p>
        </w:tc>
        <w:tc>
          <w:tcPr>
            <w:tcW w:w="1000" w:type="pct"/>
          </w:tcPr>
          <w:p w14:paraId="656B0654" w14:textId="77777777" w:rsidR="00213E13" w:rsidRPr="007E1BBC" w:rsidRDefault="00213E13" w:rsidP="00F34DF6">
            <w:pPr>
              <w:keepNext/>
              <w:spacing w:after="0"/>
              <w:rPr>
                <w:sz w:val="18"/>
                <w:lang w:val="en-US" w:eastAsia="ja-JP"/>
              </w:rPr>
            </w:pPr>
            <w:r>
              <w:rPr>
                <w:sz w:val="18"/>
                <w:lang w:val="en-US" w:eastAsia="ja-JP"/>
              </w:rPr>
              <w:t>Yes</w:t>
            </w:r>
          </w:p>
        </w:tc>
        <w:tc>
          <w:tcPr>
            <w:tcW w:w="1000" w:type="pct"/>
          </w:tcPr>
          <w:p w14:paraId="656B0655" w14:textId="77777777" w:rsidR="00213E13" w:rsidRPr="007E1BBC" w:rsidRDefault="00213E13" w:rsidP="00F34DF6">
            <w:pPr>
              <w:keepNext/>
              <w:spacing w:after="0"/>
              <w:rPr>
                <w:sz w:val="18"/>
                <w:lang w:val="en-US" w:eastAsia="ja-JP"/>
              </w:rPr>
            </w:pPr>
            <w:r>
              <w:rPr>
                <w:sz w:val="18"/>
                <w:lang w:val="en-US" w:eastAsia="ja-JP"/>
              </w:rPr>
              <w:t>Yes</w:t>
            </w:r>
          </w:p>
        </w:tc>
        <w:tc>
          <w:tcPr>
            <w:tcW w:w="1000" w:type="pct"/>
          </w:tcPr>
          <w:p w14:paraId="656B0656" w14:textId="77777777" w:rsidR="00213E13" w:rsidRPr="007E1BBC" w:rsidRDefault="00213E13" w:rsidP="00F34DF6">
            <w:pPr>
              <w:keepNext/>
              <w:spacing w:after="0"/>
              <w:rPr>
                <w:sz w:val="18"/>
                <w:lang w:val="en-US" w:eastAsia="ja-JP"/>
              </w:rPr>
            </w:pPr>
            <w:r>
              <w:rPr>
                <w:sz w:val="18"/>
                <w:lang w:val="en-US" w:eastAsia="ja-JP"/>
              </w:rPr>
              <w:t>Yes</w:t>
            </w:r>
          </w:p>
        </w:tc>
        <w:tc>
          <w:tcPr>
            <w:tcW w:w="1000" w:type="pct"/>
          </w:tcPr>
          <w:p w14:paraId="656B0657" w14:textId="77777777" w:rsidR="00213E13" w:rsidRPr="007E1BBC" w:rsidRDefault="00213E13" w:rsidP="00F34DF6">
            <w:pPr>
              <w:keepNext/>
              <w:spacing w:after="0"/>
              <w:rPr>
                <w:sz w:val="18"/>
                <w:lang w:val="en-US" w:eastAsia="ja-JP"/>
              </w:rPr>
            </w:pPr>
            <w:r>
              <w:rPr>
                <w:sz w:val="18"/>
                <w:lang w:val="en-US" w:eastAsia="ja-JP"/>
              </w:rPr>
              <w:t>Yes</w:t>
            </w:r>
          </w:p>
        </w:tc>
      </w:tr>
      <w:tr w:rsidR="00213E13" w:rsidRPr="007E1BBC" w14:paraId="656B065E" w14:textId="77777777" w:rsidTr="00F34DF6">
        <w:tc>
          <w:tcPr>
            <w:tcW w:w="1000" w:type="pct"/>
          </w:tcPr>
          <w:p w14:paraId="656B0659" w14:textId="77777777" w:rsidR="00213E13" w:rsidRPr="00A27A5A" w:rsidRDefault="00213E13" w:rsidP="00F34DF6">
            <w:pPr>
              <w:keepNext/>
              <w:spacing w:after="0"/>
              <w:rPr>
                <w:b/>
                <w:sz w:val="18"/>
                <w:lang w:val="en-US" w:eastAsia="ja-JP"/>
              </w:rPr>
            </w:pPr>
            <w:r w:rsidRPr="00A27A5A">
              <w:rPr>
                <w:b/>
                <w:sz w:val="18"/>
                <w:lang w:val="en-US" w:eastAsia="ja-JP"/>
              </w:rPr>
              <w:t>Moderate</w:t>
            </w:r>
          </w:p>
        </w:tc>
        <w:tc>
          <w:tcPr>
            <w:tcW w:w="1000" w:type="pct"/>
          </w:tcPr>
          <w:p w14:paraId="656B065A" w14:textId="77777777" w:rsidR="00213E13" w:rsidRPr="007E1BBC" w:rsidRDefault="00213E13" w:rsidP="00F34DF6">
            <w:pPr>
              <w:keepNext/>
              <w:spacing w:after="0"/>
              <w:rPr>
                <w:sz w:val="18"/>
                <w:lang w:val="en-US" w:eastAsia="ja-JP"/>
              </w:rPr>
            </w:pPr>
            <w:r>
              <w:rPr>
                <w:sz w:val="18"/>
                <w:lang w:val="en-US" w:eastAsia="ja-JP"/>
              </w:rPr>
              <w:t>Yes</w:t>
            </w:r>
          </w:p>
        </w:tc>
        <w:tc>
          <w:tcPr>
            <w:tcW w:w="1000" w:type="pct"/>
          </w:tcPr>
          <w:p w14:paraId="656B065B" w14:textId="77777777" w:rsidR="00213E13" w:rsidRPr="007E1BBC" w:rsidRDefault="00213E13" w:rsidP="00F34DF6">
            <w:pPr>
              <w:keepNext/>
              <w:spacing w:after="0"/>
              <w:rPr>
                <w:sz w:val="18"/>
                <w:lang w:val="en-US" w:eastAsia="ja-JP"/>
              </w:rPr>
            </w:pPr>
            <w:r>
              <w:rPr>
                <w:sz w:val="18"/>
                <w:lang w:val="en-US" w:eastAsia="ja-JP"/>
              </w:rPr>
              <w:t>Yes</w:t>
            </w:r>
          </w:p>
        </w:tc>
        <w:tc>
          <w:tcPr>
            <w:tcW w:w="1000" w:type="pct"/>
          </w:tcPr>
          <w:p w14:paraId="656B065C" w14:textId="77777777" w:rsidR="00213E13" w:rsidRPr="007E1BBC" w:rsidRDefault="00213E13" w:rsidP="00F34DF6">
            <w:pPr>
              <w:keepNext/>
              <w:spacing w:after="0"/>
              <w:rPr>
                <w:sz w:val="18"/>
                <w:lang w:val="en-US" w:eastAsia="ja-JP"/>
              </w:rPr>
            </w:pPr>
          </w:p>
        </w:tc>
        <w:tc>
          <w:tcPr>
            <w:tcW w:w="1000" w:type="pct"/>
          </w:tcPr>
          <w:p w14:paraId="656B065D" w14:textId="77777777" w:rsidR="00213E13" w:rsidRPr="007E1BBC" w:rsidRDefault="00213E13" w:rsidP="00F34DF6">
            <w:pPr>
              <w:keepNext/>
              <w:spacing w:after="0"/>
              <w:rPr>
                <w:sz w:val="18"/>
                <w:lang w:val="en-US" w:eastAsia="ja-JP"/>
              </w:rPr>
            </w:pPr>
            <w:r>
              <w:rPr>
                <w:sz w:val="18"/>
                <w:lang w:val="en-US" w:eastAsia="ja-JP"/>
              </w:rPr>
              <w:t>Yes</w:t>
            </w:r>
          </w:p>
        </w:tc>
      </w:tr>
      <w:tr w:rsidR="00213E13" w:rsidRPr="007E1BBC" w14:paraId="656B0669" w14:textId="77777777" w:rsidTr="00F34DF6">
        <w:tc>
          <w:tcPr>
            <w:tcW w:w="1000" w:type="pct"/>
          </w:tcPr>
          <w:p w14:paraId="656B065F" w14:textId="77777777" w:rsidR="00213E13" w:rsidRPr="00A27A5A" w:rsidRDefault="00213E13" w:rsidP="00F34DF6">
            <w:pPr>
              <w:keepNext/>
              <w:spacing w:after="0"/>
              <w:rPr>
                <w:b/>
                <w:sz w:val="18"/>
                <w:lang w:val="en-US" w:eastAsia="ja-JP"/>
              </w:rPr>
            </w:pPr>
            <w:r>
              <w:rPr>
                <w:b/>
                <w:sz w:val="18"/>
                <w:lang w:val="en-US" w:eastAsia="ja-JP"/>
              </w:rPr>
              <w:t>Other</w:t>
            </w:r>
          </w:p>
        </w:tc>
        <w:tc>
          <w:tcPr>
            <w:tcW w:w="1000" w:type="pct"/>
          </w:tcPr>
          <w:p w14:paraId="656B0660" w14:textId="77777777" w:rsidR="00213E13" w:rsidRDefault="00213E13" w:rsidP="00F34DF6">
            <w:pPr>
              <w:keepNext/>
              <w:spacing w:after="0"/>
              <w:rPr>
                <w:sz w:val="18"/>
                <w:lang w:val="en-US" w:eastAsia="ja-JP"/>
              </w:rPr>
            </w:pPr>
            <w:r>
              <w:rPr>
                <w:sz w:val="18"/>
                <w:lang w:val="en-US" w:eastAsia="ja-JP"/>
              </w:rPr>
              <w:t>Tyres</w:t>
            </w:r>
          </w:p>
          <w:p w14:paraId="656B0661" w14:textId="77777777" w:rsidR="00213E13" w:rsidRPr="007E1BBC" w:rsidRDefault="00213E13" w:rsidP="00F34DF6">
            <w:pPr>
              <w:keepNext/>
              <w:spacing w:after="0"/>
              <w:rPr>
                <w:sz w:val="18"/>
                <w:lang w:val="en-US" w:eastAsia="ja-JP"/>
              </w:rPr>
            </w:pPr>
            <w:r>
              <w:rPr>
                <w:sz w:val="18"/>
                <w:lang w:val="en-US" w:eastAsia="ja-JP"/>
              </w:rPr>
              <w:t>E-waste</w:t>
            </w:r>
          </w:p>
        </w:tc>
        <w:tc>
          <w:tcPr>
            <w:tcW w:w="1000" w:type="pct"/>
          </w:tcPr>
          <w:p w14:paraId="656B0662" w14:textId="77777777" w:rsidR="00213E13" w:rsidRPr="007E1BBC" w:rsidRDefault="00213E13" w:rsidP="00F34DF6">
            <w:pPr>
              <w:keepNext/>
              <w:spacing w:after="0"/>
              <w:rPr>
                <w:sz w:val="18"/>
                <w:lang w:val="en-US" w:eastAsia="ja-JP"/>
              </w:rPr>
            </w:pPr>
            <w:r>
              <w:rPr>
                <w:sz w:val="18"/>
                <w:lang w:val="en-US" w:eastAsia="ja-JP"/>
              </w:rPr>
              <w:t>Tyres</w:t>
            </w:r>
          </w:p>
        </w:tc>
        <w:tc>
          <w:tcPr>
            <w:tcW w:w="1000" w:type="pct"/>
          </w:tcPr>
          <w:p w14:paraId="656B0663" w14:textId="77777777" w:rsidR="00213E13" w:rsidRPr="007E1BBC" w:rsidRDefault="00213E13" w:rsidP="00F34DF6">
            <w:pPr>
              <w:keepNext/>
              <w:spacing w:after="0"/>
              <w:rPr>
                <w:sz w:val="18"/>
                <w:lang w:val="en-US" w:eastAsia="ja-JP"/>
              </w:rPr>
            </w:pPr>
          </w:p>
        </w:tc>
        <w:tc>
          <w:tcPr>
            <w:tcW w:w="1000" w:type="pct"/>
          </w:tcPr>
          <w:p w14:paraId="656B0664" w14:textId="77777777" w:rsidR="00213E13" w:rsidRDefault="00213E13" w:rsidP="00F34DF6">
            <w:pPr>
              <w:keepNext/>
              <w:spacing w:after="0"/>
              <w:rPr>
                <w:sz w:val="18"/>
                <w:lang w:val="en-US" w:eastAsia="ja-JP"/>
              </w:rPr>
            </w:pPr>
            <w:r>
              <w:rPr>
                <w:sz w:val="18"/>
                <w:lang w:val="en-US" w:eastAsia="ja-JP"/>
              </w:rPr>
              <w:t>Tyres</w:t>
            </w:r>
          </w:p>
          <w:p w14:paraId="656B0665" w14:textId="77777777" w:rsidR="00213E13" w:rsidRDefault="00213E13" w:rsidP="00F34DF6">
            <w:pPr>
              <w:keepNext/>
              <w:spacing w:after="0"/>
              <w:rPr>
                <w:sz w:val="18"/>
                <w:lang w:val="en-US" w:eastAsia="ja-JP"/>
              </w:rPr>
            </w:pPr>
            <w:r>
              <w:rPr>
                <w:sz w:val="18"/>
                <w:lang w:val="en-US" w:eastAsia="ja-JP"/>
              </w:rPr>
              <w:t>E-waste</w:t>
            </w:r>
          </w:p>
          <w:p w14:paraId="656B0666" w14:textId="77777777" w:rsidR="00213E13" w:rsidRDefault="00213E13" w:rsidP="00F34DF6">
            <w:pPr>
              <w:keepNext/>
              <w:spacing w:after="0"/>
              <w:rPr>
                <w:sz w:val="18"/>
                <w:lang w:val="en-US" w:eastAsia="ja-JP"/>
              </w:rPr>
            </w:pPr>
            <w:r>
              <w:rPr>
                <w:sz w:val="18"/>
                <w:lang w:val="en-US" w:eastAsia="ja-JP"/>
              </w:rPr>
              <w:t>Plastic</w:t>
            </w:r>
          </w:p>
          <w:p w14:paraId="656B0667" w14:textId="77777777" w:rsidR="00213E13" w:rsidRDefault="00213E13" w:rsidP="00F34DF6">
            <w:pPr>
              <w:keepNext/>
              <w:spacing w:after="0"/>
              <w:rPr>
                <w:sz w:val="18"/>
                <w:lang w:val="en-US" w:eastAsia="ja-JP"/>
              </w:rPr>
            </w:pPr>
            <w:r>
              <w:rPr>
                <w:sz w:val="18"/>
                <w:lang w:val="en-US" w:eastAsia="ja-JP"/>
              </w:rPr>
              <w:t>Masonry/aggregates</w:t>
            </w:r>
          </w:p>
          <w:p w14:paraId="656B0668" w14:textId="77777777" w:rsidR="00213E13" w:rsidRPr="007E1BBC" w:rsidRDefault="00213E13" w:rsidP="00F34DF6">
            <w:pPr>
              <w:keepNext/>
              <w:spacing w:after="0"/>
              <w:rPr>
                <w:sz w:val="18"/>
                <w:lang w:val="en-US" w:eastAsia="ja-JP"/>
              </w:rPr>
            </w:pPr>
            <w:r>
              <w:rPr>
                <w:sz w:val="18"/>
                <w:lang w:val="en-US" w:eastAsia="ja-JP"/>
              </w:rPr>
              <w:t>Fill material</w:t>
            </w:r>
          </w:p>
        </w:tc>
      </w:tr>
    </w:tbl>
    <w:p w14:paraId="656B066A" w14:textId="77777777" w:rsidR="00213E13" w:rsidRPr="00AF2020" w:rsidRDefault="00213E13" w:rsidP="00213E13"/>
    <w:p w14:paraId="656B066B" w14:textId="77777777" w:rsidR="00213E13" w:rsidRDefault="00A159B0" w:rsidP="001D4AFF">
      <w:pPr>
        <w:pStyle w:val="Heading3"/>
        <w:ind w:left="720"/>
      </w:pPr>
      <w:r>
        <w:t>Detailed assessment</w:t>
      </w:r>
    </w:p>
    <w:p w14:paraId="656B066C" w14:textId="77777777" w:rsidR="00213E13" w:rsidRDefault="00A159B0" w:rsidP="00A159B0">
      <w:pPr>
        <w:pStyle w:val="Heading4"/>
      </w:pPr>
      <w:r>
        <w:t>Assumptions</w:t>
      </w:r>
    </w:p>
    <w:p w14:paraId="656B066D" w14:textId="77777777" w:rsidR="00A159B0" w:rsidRPr="00A159B0" w:rsidRDefault="00A159B0" w:rsidP="00A159B0">
      <w:pPr>
        <w:spacing w:after="0"/>
      </w:pPr>
      <w:r w:rsidRPr="00BF51BD">
        <w:rPr>
          <w:i/>
        </w:rPr>
        <w:t xml:space="preserve">Costs to </w:t>
      </w:r>
      <w:r>
        <w:rPr>
          <w:i/>
        </w:rPr>
        <w:t>business</w:t>
      </w:r>
    </w:p>
    <w:p w14:paraId="656B066E" w14:textId="77777777" w:rsidR="00213E13" w:rsidRDefault="00213E13" w:rsidP="000E7C5E">
      <w:pPr>
        <w:ind w:right="565"/>
      </w:pPr>
      <w:r>
        <w:t xml:space="preserve">Additional costs </w:t>
      </w:r>
      <w:r w:rsidR="00DE7273">
        <w:t xml:space="preserve">to </w:t>
      </w:r>
      <w:r>
        <w:t xml:space="preserve">businesses for priority waste options include </w:t>
      </w:r>
      <w:r w:rsidRPr="007E1BBC">
        <w:t>isolation</w:t>
      </w:r>
      <w:r>
        <w:t xml:space="preserve"> of wastes that were not previously isolated, costs of containment of wastes (such as any vehicle modifications), and time to </w:t>
      </w:r>
      <w:r w:rsidRPr="007E1BBC">
        <w:t>inves</w:t>
      </w:r>
      <w:r>
        <w:t>tigate alternatives to disposal. The priority waste options share some common assumptions including:</w:t>
      </w:r>
    </w:p>
    <w:p w14:paraId="656B066F" w14:textId="77777777" w:rsidR="00213E13" w:rsidRDefault="00213E13" w:rsidP="000E7C5E">
      <w:pPr>
        <w:pStyle w:val="Bullet1"/>
        <w:numPr>
          <w:ilvl w:val="0"/>
          <w:numId w:val="16"/>
        </w:numPr>
        <w:spacing w:after="0"/>
        <w:ind w:left="709" w:hanging="425"/>
      </w:pPr>
      <w:r>
        <w:t xml:space="preserve">Total </w:t>
      </w:r>
      <w:r w:rsidRPr="00A4187D">
        <w:t xml:space="preserve">businesses </w:t>
      </w:r>
      <w:r>
        <w:t xml:space="preserve">dealing with very high-high hazard wastes </w:t>
      </w:r>
      <w:r w:rsidRPr="00A4187D">
        <w:t xml:space="preserve">– </w:t>
      </w:r>
      <w:r w:rsidRPr="00D96322">
        <w:rPr>
          <w:b/>
        </w:rPr>
        <w:t>1,710</w:t>
      </w:r>
      <w:r w:rsidRPr="00D96322">
        <w:t xml:space="preserve"> (Source: Deloitte analysis, sum of industrial waste transporters</w:t>
      </w:r>
      <w:r>
        <w:t xml:space="preserve"> 748;</w:t>
      </w:r>
      <w:r w:rsidRPr="00D96322">
        <w:t xml:space="preserve"> waste </w:t>
      </w:r>
      <w:r>
        <w:t>management facilities</w:t>
      </w:r>
      <w:r w:rsidRPr="00D96322">
        <w:t xml:space="preserve"> </w:t>
      </w:r>
      <w:r>
        <w:t xml:space="preserve">185; </w:t>
      </w:r>
      <w:r w:rsidRPr="00D96322">
        <w:t>and priority waste businesses</w:t>
      </w:r>
      <w:r>
        <w:t xml:space="preserve"> 777</w:t>
      </w:r>
      <w:r w:rsidRPr="00D96322">
        <w:t>)</w:t>
      </w:r>
    </w:p>
    <w:p w14:paraId="656B0670" w14:textId="77777777" w:rsidR="00213E13" w:rsidRDefault="00213E13" w:rsidP="000E7C5E">
      <w:pPr>
        <w:pStyle w:val="Bullet1"/>
        <w:numPr>
          <w:ilvl w:val="0"/>
          <w:numId w:val="16"/>
        </w:numPr>
        <w:spacing w:after="0"/>
        <w:ind w:left="709" w:hanging="425"/>
      </w:pPr>
      <w:r>
        <w:t xml:space="preserve">Total very high - high </w:t>
      </w:r>
      <w:r w:rsidRPr="00A4187D">
        <w:t>hazard waste volumes</w:t>
      </w:r>
      <w:r>
        <w:t xml:space="preserve"> </w:t>
      </w:r>
      <w:r w:rsidRPr="00A4187D">
        <w:t xml:space="preserve">– </w:t>
      </w:r>
      <w:r w:rsidRPr="00D96322">
        <w:rPr>
          <w:b/>
        </w:rPr>
        <w:t>165,000</w:t>
      </w:r>
      <w:r w:rsidRPr="00D96322">
        <w:t xml:space="preserve"> </w:t>
      </w:r>
      <w:r>
        <w:t xml:space="preserve">cubic metres </w:t>
      </w:r>
      <w:r w:rsidRPr="00D96322">
        <w:t>(Source: EPA Waste Trans</w:t>
      </w:r>
      <w:r w:rsidR="001B0AF8">
        <w:t>port</w:t>
      </w:r>
      <w:r w:rsidRPr="00D96322">
        <w:t xml:space="preserve"> Certificates –TML, Total Volume)</w:t>
      </w:r>
    </w:p>
    <w:p w14:paraId="656B0671" w14:textId="77777777" w:rsidR="00213E13" w:rsidRDefault="00213E13" w:rsidP="000E7C5E">
      <w:pPr>
        <w:pStyle w:val="Bullet1"/>
        <w:numPr>
          <w:ilvl w:val="0"/>
          <w:numId w:val="16"/>
        </w:numPr>
        <w:spacing w:after="0"/>
        <w:ind w:left="709" w:hanging="425"/>
      </w:pPr>
      <w:r>
        <w:t xml:space="preserve">Total very high - high </w:t>
      </w:r>
      <w:r w:rsidRPr="007E1BBC">
        <w:t>hazard waste</w:t>
      </w:r>
      <w:r>
        <w:t xml:space="preserve"> consignments </w:t>
      </w:r>
      <w:r w:rsidRPr="007E1BBC">
        <w:t xml:space="preserve">– </w:t>
      </w:r>
      <w:r>
        <w:rPr>
          <w:b/>
        </w:rPr>
        <w:t>33</w:t>
      </w:r>
      <w:r w:rsidRPr="007E1BBC">
        <w:rPr>
          <w:b/>
        </w:rPr>
        <w:t>,000</w:t>
      </w:r>
      <w:r w:rsidRPr="007E1BBC">
        <w:t xml:space="preserve"> (Source: Deloitte estimate</w:t>
      </w:r>
      <w:r>
        <w:t xml:space="preserve"> based on estimate 5 </w:t>
      </w:r>
      <w:r w:rsidRPr="00045BCE">
        <w:t>cubic metres per consignment)</w:t>
      </w:r>
    </w:p>
    <w:p w14:paraId="656B0672" w14:textId="77777777" w:rsidR="00213E13" w:rsidRDefault="00213E13" w:rsidP="000E7C5E">
      <w:pPr>
        <w:pStyle w:val="Bullet1"/>
        <w:numPr>
          <w:ilvl w:val="0"/>
          <w:numId w:val="16"/>
        </w:numPr>
        <w:spacing w:after="0"/>
        <w:ind w:left="709" w:hanging="425"/>
      </w:pPr>
      <w:r>
        <w:t xml:space="preserve">Total waste tyre consignments – </w:t>
      </w:r>
      <w:r w:rsidRPr="001B3151">
        <w:rPr>
          <w:b/>
        </w:rPr>
        <w:t>18,806</w:t>
      </w:r>
      <w:r>
        <w:t xml:space="preserve"> </w:t>
      </w:r>
      <w:r w:rsidRPr="007E1BBC">
        <w:t xml:space="preserve">(Source: </w:t>
      </w:r>
      <w:r>
        <w:t xml:space="preserve">Deloitte analysis - </w:t>
      </w:r>
      <w:r w:rsidRPr="001B3151">
        <w:t>94,032</w:t>
      </w:r>
      <w:r>
        <w:rPr>
          <w:b/>
        </w:rPr>
        <w:t xml:space="preserve"> </w:t>
      </w:r>
      <w:r>
        <w:t xml:space="preserve">tonnes in 2017 and 5 tonnes </w:t>
      </w:r>
      <w:r w:rsidRPr="00413291">
        <w:t>per consignment)</w:t>
      </w:r>
    </w:p>
    <w:p w14:paraId="656B0673" w14:textId="77777777" w:rsidR="00213E13" w:rsidRDefault="00213E13" w:rsidP="000E7C5E">
      <w:pPr>
        <w:pStyle w:val="Bullet1"/>
        <w:numPr>
          <w:ilvl w:val="0"/>
          <w:numId w:val="16"/>
        </w:numPr>
        <w:spacing w:after="0"/>
        <w:ind w:left="709" w:hanging="425"/>
      </w:pPr>
      <w:r>
        <w:t xml:space="preserve">Total e-waste consignments – </w:t>
      </w:r>
      <w:r w:rsidRPr="001B3151">
        <w:rPr>
          <w:b/>
        </w:rPr>
        <w:t>21,200</w:t>
      </w:r>
      <w:r>
        <w:t xml:space="preserve"> (</w:t>
      </w:r>
      <w:r w:rsidRPr="007E1BBC">
        <w:t xml:space="preserve">Source: </w:t>
      </w:r>
      <w:r>
        <w:t>Deloitte analysis – 106,000</w:t>
      </w:r>
      <w:r>
        <w:rPr>
          <w:b/>
        </w:rPr>
        <w:t xml:space="preserve"> </w:t>
      </w:r>
      <w:r>
        <w:t xml:space="preserve">tonnes in 2017 and 5 tonnes </w:t>
      </w:r>
      <w:r w:rsidRPr="00413291">
        <w:t>per consignment)</w:t>
      </w:r>
    </w:p>
    <w:p w14:paraId="656B0674" w14:textId="77777777" w:rsidR="00213E13" w:rsidRDefault="00213E13" w:rsidP="000E7C5E">
      <w:pPr>
        <w:pStyle w:val="Bullet1"/>
        <w:numPr>
          <w:ilvl w:val="0"/>
          <w:numId w:val="16"/>
        </w:numPr>
        <w:spacing w:after="0"/>
        <w:ind w:left="709" w:hanging="425"/>
      </w:pPr>
      <w:r>
        <w:t xml:space="preserve">Total plastic consignments – </w:t>
      </w:r>
      <w:r w:rsidRPr="001B3151">
        <w:rPr>
          <w:b/>
        </w:rPr>
        <w:t>44,996</w:t>
      </w:r>
      <w:r>
        <w:t xml:space="preserve"> (</w:t>
      </w:r>
      <w:r w:rsidRPr="007E1BBC">
        <w:t xml:space="preserve">Source: </w:t>
      </w:r>
      <w:r>
        <w:t>Deloitte analysis – 224,979</w:t>
      </w:r>
      <w:r>
        <w:rPr>
          <w:b/>
        </w:rPr>
        <w:t xml:space="preserve"> </w:t>
      </w:r>
      <w:r>
        <w:t xml:space="preserve">tonnes in 2017 and 5 tonnes </w:t>
      </w:r>
      <w:r w:rsidRPr="00413291">
        <w:t>per consignment)</w:t>
      </w:r>
    </w:p>
    <w:p w14:paraId="656B0675" w14:textId="77777777" w:rsidR="00213E13" w:rsidRDefault="00213E13" w:rsidP="000E7C5E">
      <w:pPr>
        <w:pStyle w:val="Bullet1"/>
        <w:numPr>
          <w:ilvl w:val="0"/>
          <w:numId w:val="16"/>
        </w:numPr>
        <w:spacing w:after="0"/>
        <w:ind w:left="709" w:hanging="425"/>
      </w:pPr>
      <w:r>
        <w:t xml:space="preserve">Total masonry consignments – </w:t>
      </w:r>
      <w:r>
        <w:rPr>
          <w:b/>
        </w:rPr>
        <w:t>508,915</w:t>
      </w:r>
      <w:r>
        <w:t xml:space="preserve"> (</w:t>
      </w:r>
      <w:r w:rsidRPr="007E1BBC">
        <w:t xml:space="preserve">Source: </w:t>
      </w:r>
      <w:r>
        <w:t>Deloitte analysis – 2,544,574</w:t>
      </w:r>
      <w:r>
        <w:rPr>
          <w:b/>
        </w:rPr>
        <w:t xml:space="preserve"> </w:t>
      </w:r>
      <w:r>
        <w:t xml:space="preserve">tonnes in 2017 and 5 tonnes </w:t>
      </w:r>
      <w:r w:rsidRPr="00413291">
        <w:t>per consignment</w:t>
      </w:r>
      <w:r w:rsidR="00BB66E6">
        <w:t>. Note a factor of 50% of C&amp;D masonry/aggregates tonnes was used to estimate masonry versus fill material</w:t>
      </w:r>
      <w:r w:rsidRPr="00413291">
        <w:t>)</w:t>
      </w:r>
    </w:p>
    <w:p w14:paraId="656B0676" w14:textId="77777777" w:rsidR="00213E13" w:rsidRPr="00045BCE" w:rsidRDefault="00213E13" w:rsidP="000E7C5E">
      <w:pPr>
        <w:pStyle w:val="Bullet1"/>
        <w:numPr>
          <w:ilvl w:val="0"/>
          <w:numId w:val="16"/>
        </w:numPr>
        <w:spacing w:after="0"/>
        <w:ind w:left="709" w:hanging="425"/>
      </w:pPr>
      <w:r>
        <w:t xml:space="preserve">Total fill material consignments – </w:t>
      </w:r>
      <w:r>
        <w:rPr>
          <w:b/>
        </w:rPr>
        <w:t>508,915</w:t>
      </w:r>
      <w:r>
        <w:t xml:space="preserve"> (</w:t>
      </w:r>
      <w:r w:rsidRPr="007E1BBC">
        <w:t xml:space="preserve">Source: </w:t>
      </w:r>
      <w:r>
        <w:t>Deloitte analysis – 2,544,574</w:t>
      </w:r>
      <w:r>
        <w:rPr>
          <w:b/>
        </w:rPr>
        <w:t xml:space="preserve"> </w:t>
      </w:r>
      <w:r>
        <w:t xml:space="preserve">tonnes in 2017 and 5 tonnes </w:t>
      </w:r>
      <w:r w:rsidRPr="00413291">
        <w:t>per consignment</w:t>
      </w:r>
      <w:r>
        <w:t>. Note 50% of category split to estimate masonry versus fill material</w:t>
      </w:r>
      <w:r w:rsidRPr="00413291">
        <w:t>)</w:t>
      </w:r>
    </w:p>
    <w:p w14:paraId="656B0677" w14:textId="77777777" w:rsidR="00213E13" w:rsidRPr="00CA3DBD" w:rsidRDefault="00213E13" w:rsidP="000E7C5E">
      <w:pPr>
        <w:pStyle w:val="Bullet1"/>
        <w:numPr>
          <w:ilvl w:val="0"/>
          <w:numId w:val="16"/>
        </w:numPr>
        <w:spacing w:after="0"/>
        <w:ind w:left="709" w:hanging="425"/>
      </w:pPr>
      <w:r w:rsidRPr="000F2C86">
        <w:t xml:space="preserve">Costs of physical isolation per consignment - </w:t>
      </w:r>
      <w:r w:rsidRPr="000F2C86">
        <w:rPr>
          <w:b/>
        </w:rPr>
        <w:t xml:space="preserve">$1,200 </w:t>
      </w:r>
      <w:r w:rsidRPr="00CA3DBD">
        <w:t>(Source: Deloitte survey)</w:t>
      </w:r>
    </w:p>
    <w:p w14:paraId="656B0678" w14:textId="77777777" w:rsidR="00213E13" w:rsidRPr="00045BCE" w:rsidRDefault="00213E13" w:rsidP="000E7C5E">
      <w:pPr>
        <w:pStyle w:val="Bullet1"/>
        <w:numPr>
          <w:ilvl w:val="0"/>
          <w:numId w:val="16"/>
        </w:numPr>
        <w:spacing w:after="0"/>
        <w:ind w:left="709" w:hanging="425"/>
      </w:pPr>
      <w:r w:rsidRPr="001B3151">
        <w:t xml:space="preserve">% of priority wastes not currently isolated and are feasible to isolate – </w:t>
      </w:r>
      <w:r w:rsidRPr="001B3151">
        <w:rPr>
          <w:b/>
        </w:rPr>
        <w:t>15</w:t>
      </w:r>
      <w:r w:rsidRPr="00045BCE">
        <w:rPr>
          <w:b/>
        </w:rPr>
        <w:t>%</w:t>
      </w:r>
      <w:r w:rsidRPr="00045BCE">
        <w:t xml:space="preserve"> (Source: Deloitte </w:t>
      </w:r>
      <w:r w:rsidR="009D1151">
        <w:t xml:space="preserve">analysis </w:t>
      </w:r>
      <w:r w:rsidRPr="001B3151">
        <w:t xml:space="preserve">based on </w:t>
      </w:r>
      <w:r w:rsidRPr="00045BCE">
        <w:t>survey)</w:t>
      </w:r>
    </w:p>
    <w:p w14:paraId="656B0679" w14:textId="77777777" w:rsidR="00213E13" w:rsidRPr="00A4187D" w:rsidRDefault="00213E13" w:rsidP="000E7C5E">
      <w:pPr>
        <w:pStyle w:val="Bullet1"/>
        <w:numPr>
          <w:ilvl w:val="0"/>
          <w:numId w:val="16"/>
        </w:numPr>
        <w:spacing w:after="0"/>
        <w:ind w:left="709" w:hanging="425"/>
      </w:pPr>
      <w:r w:rsidRPr="00A4187D">
        <w:t xml:space="preserve">No. of industrial waste vehicles – </w:t>
      </w:r>
      <w:r w:rsidRPr="00D96322">
        <w:rPr>
          <w:b/>
        </w:rPr>
        <w:t>3,000</w:t>
      </w:r>
      <w:r w:rsidRPr="00D96322">
        <w:t xml:space="preserve"> (Source:</w:t>
      </w:r>
      <w:r>
        <w:t xml:space="preserve"> EPA permissioning cohort poster</w:t>
      </w:r>
      <w:r w:rsidRPr="00A4187D">
        <w:t>)</w:t>
      </w:r>
    </w:p>
    <w:p w14:paraId="656B067A" w14:textId="77777777" w:rsidR="00213E13" w:rsidRDefault="00213E13" w:rsidP="000E7C5E">
      <w:pPr>
        <w:pStyle w:val="Bullet1"/>
        <w:numPr>
          <w:ilvl w:val="0"/>
          <w:numId w:val="16"/>
        </w:numPr>
        <w:spacing w:after="0"/>
        <w:ind w:left="709" w:hanging="425"/>
      </w:pPr>
      <w:r>
        <w:t>% of industrial waste v</w:t>
      </w:r>
      <w:r w:rsidRPr="00A4187D">
        <w:t xml:space="preserve">ehicles that would require modification to meet containment duty – </w:t>
      </w:r>
      <w:r w:rsidRPr="00D96322">
        <w:rPr>
          <w:b/>
        </w:rPr>
        <w:t>10%</w:t>
      </w:r>
      <w:r w:rsidRPr="00A4187D">
        <w:t xml:space="preserve"> </w:t>
      </w:r>
      <w:r w:rsidRPr="00D96322">
        <w:t>(Source: Deloitte</w:t>
      </w:r>
      <w:r>
        <w:t xml:space="preserve"> estimate</w:t>
      </w:r>
      <w:r w:rsidR="009D1151">
        <w:t xml:space="preserve"> based on discussion with </w:t>
      </w:r>
      <w:r w:rsidR="00577F60">
        <w:t xml:space="preserve">DELWP and </w:t>
      </w:r>
      <w:r w:rsidR="009D1151">
        <w:t>EPA</w:t>
      </w:r>
      <w:r w:rsidRPr="00D96322">
        <w:t>)</w:t>
      </w:r>
    </w:p>
    <w:p w14:paraId="656B067B" w14:textId="77777777" w:rsidR="00213E13" w:rsidRPr="00A4187D" w:rsidRDefault="00213E13" w:rsidP="000E7C5E">
      <w:pPr>
        <w:pStyle w:val="Bullet1"/>
        <w:numPr>
          <w:ilvl w:val="0"/>
          <w:numId w:val="16"/>
        </w:numPr>
        <w:spacing w:after="0"/>
        <w:ind w:left="709" w:hanging="425"/>
      </w:pPr>
      <w:r>
        <w:t xml:space="preserve">Cost per vehicle of modification </w:t>
      </w:r>
      <w:r w:rsidRPr="00A4187D">
        <w:t xml:space="preserve">for containment </w:t>
      </w:r>
      <w:r w:rsidRPr="00D96322">
        <w:t xml:space="preserve">- </w:t>
      </w:r>
      <w:r w:rsidRPr="00D96322">
        <w:rPr>
          <w:b/>
        </w:rPr>
        <w:t>$5,000</w:t>
      </w:r>
      <w:r w:rsidRPr="00D96322">
        <w:t xml:space="preserve"> (Source: Deloitte</w:t>
      </w:r>
      <w:r>
        <w:t xml:space="preserve"> estimate</w:t>
      </w:r>
      <w:r w:rsidR="009D1151">
        <w:t xml:space="preserve"> based on discussion with</w:t>
      </w:r>
      <w:r w:rsidR="00577F60">
        <w:t xml:space="preserve"> DELWP and</w:t>
      </w:r>
      <w:r w:rsidR="009D1151">
        <w:t xml:space="preserve"> EPA</w:t>
      </w:r>
      <w:r w:rsidRPr="00D96322">
        <w:t>).</w:t>
      </w:r>
    </w:p>
    <w:p w14:paraId="656B067C" w14:textId="77777777" w:rsidR="00213E13" w:rsidRDefault="00213E13" w:rsidP="000E7C5E">
      <w:pPr>
        <w:pStyle w:val="Bullet1"/>
        <w:numPr>
          <w:ilvl w:val="0"/>
          <w:numId w:val="16"/>
        </w:numPr>
        <w:ind w:left="709" w:hanging="425"/>
      </w:pPr>
      <w:r w:rsidRPr="00A4187D">
        <w:t xml:space="preserve">Annual cost per priority waste business of investigating alternatives to disposal - </w:t>
      </w:r>
      <w:r w:rsidRPr="00D96322">
        <w:rPr>
          <w:b/>
        </w:rPr>
        <w:t>$275</w:t>
      </w:r>
      <w:r w:rsidRPr="00D96322">
        <w:t xml:space="preserve"> (Source: Deloitte</w:t>
      </w:r>
      <w:r>
        <w:t xml:space="preserve"> analysis based on estimate of 5 hours </w:t>
      </w:r>
      <w:r w:rsidR="00C84017">
        <w:t xml:space="preserve">at </w:t>
      </w:r>
      <w:r>
        <w:t>$55 per hour average environmental advisor wage. Informed by Deloitte survey</w:t>
      </w:r>
      <w:r w:rsidRPr="00D96322">
        <w:t>).</w:t>
      </w:r>
    </w:p>
    <w:p w14:paraId="603646AA" w14:textId="77777777" w:rsidR="00AB166C" w:rsidRDefault="00AB166C" w:rsidP="00A159B0">
      <w:pPr>
        <w:spacing w:after="0"/>
        <w:rPr>
          <w:i/>
        </w:rPr>
      </w:pPr>
    </w:p>
    <w:p w14:paraId="656B067D" w14:textId="4F3C87E5" w:rsidR="00213E13" w:rsidRPr="00A159B0" w:rsidRDefault="00213E13" w:rsidP="00A159B0">
      <w:pPr>
        <w:spacing w:after="0"/>
        <w:rPr>
          <w:i/>
        </w:rPr>
      </w:pPr>
      <w:r w:rsidRPr="00A159B0">
        <w:rPr>
          <w:i/>
        </w:rPr>
        <w:t>Benefits</w:t>
      </w:r>
    </w:p>
    <w:p w14:paraId="656B067E" w14:textId="77777777" w:rsidR="00213E13" w:rsidRDefault="00213E13" w:rsidP="000E7C5E">
      <w:pPr>
        <w:ind w:right="565"/>
      </w:pPr>
      <w:r>
        <w:t>The priority waste duties will encourage resource recovery, isolation of recoverable wastes and adequate containment. These controls will contribute to improving waste management in Victoria, particularly the benefits of increased recycling (including waste not entering the environment or landfill and reducing stockpiles) and preventing hazardous wastes from polluting the environment. Quantification of benefits is difficult as well as attribution of these benefits to priority waste options. The following base costs of waste mismanagement in Victoria do provide some level of comparison in the analysis.</w:t>
      </w:r>
    </w:p>
    <w:p w14:paraId="656B067F" w14:textId="77777777" w:rsidR="00213E13" w:rsidRDefault="00213E13" w:rsidP="000E7C5E">
      <w:pPr>
        <w:pStyle w:val="Bullet1"/>
        <w:numPr>
          <w:ilvl w:val="0"/>
          <w:numId w:val="16"/>
        </w:numPr>
        <w:spacing w:after="0"/>
        <w:ind w:left="709" w:hanging="425"/>
      </w:pPr>
      <w:r w:rsidRPr="00D8221A">
        <w:t xml:space="preserve">$105 million per </w:t>
      </w:r>
      <w:r>
        <w:t>year from stockpile fires.</w:t>
      </w:r>
    </w:p>
    <w:p w14:paraId="656B0680" w14:textId="77777777" w:rsidR="00213E13" w:rsidRDefault="00213E13" w:rsidP="000E7C5E">
      <w:pPr>
        <w:pStyle w:val="Bullet1"/>
        <w:numPr>
          <w:ilvl w:val="0"/>
          <w:numId w:val="16"/>
        </w:numPr>
        <w:spacing w:after="0"/>
        <w:ind w:left="709" w:hanging="425"/>
      </w:pPr>
      <w:r>
        <w:t>$58</w:t>
      </w:r>
      <w:r w:rsidRPr="007947E4">
        <w:t xml:space="preserve"> million per year</w:t>
      </w:r>
      <w:r>
        <w:t xml:space="preserve"> in annual clean-up costs of abandoned waste sites.</w:t>
      </w:r>
    </w:p>
    <w:p w14:paraId="656B0681" w14:textId="77777777" w:rsidR="00213E13" w:rsidRPr="00A4187D" w:rsidRDefault="00213E13" w:rsidP="000E7C5E">
      <w:pPr>
        <w:pStyle w:val="Bullet1"/>
        <w:numPr>
          <w:ilvl w:val="0"/>
          <w:numId w:val="16"/>
        </w:numPr>
        <w:ind w:left="709" w:hanging="425"/>
      </w:pPr>
      <w:r w:rsidRPr="00D96322">
        <w:t>$30 million per year</w:t>
      </w:r>
      <w:r w:rsidRPr="000E7C5E">
        <w:t xml:space="preserve"> </w:t>
      </w:r>
      <w:r>
        <w:t>on clean-up costs and lost landfills levy revenue due to illegal dumping.</w:t>
      </w:r>
    </w:p>
    <w:p w14:paraId="656B0682" w14:textId="77777777" w:rsidR="00213E13" w:rsidRDefault="00A159B0" w:rsidP="00213E13">
      <w:pPr>
        <w:pStyle w:val="Heading4"/>
      </w:pPr>
      <w:r>
        <w:t>Effectiveness</w:t>
      </w:r>
    </w:p>
    <w:p w14:paraId="656B0683" w14:textId="77777777" w:rsidR="00A159B0" w:rsidRDefault="00213E13" w:rsidP="00A159B0">
      <w:r>
        <w:t>Option 1a and 1b score highly</w:t>
      </w:r>
      <w:r w:rsidR="000E5770">
        <w:t xml:space="preserve"> for effectiveness</w:t>
      </w:r>
      <w:r>
        <w:t xml:space="preserve"> as both options include </w:t>
      </w:r>
      <w:r w:rsidRPr="00094A1F">
        <w:t>wastes that are prone to mismanagement</w:t>
      </w:r>
      <w:r>
        <w:t xml:space="preserve"> and with high resource recovery potential. Option 1a</w:t>
      </w:r>
      <w:r w:rsidR="001B7A2E">
        <w:t xml:space="preserve"> scores higher </w:t>
      </w:r>
      <w:r w:rsidR="007004B9">
        <w:t xml:space="preserve">due </w:t>
      </w:r>
      <w:r>
        <w:t xml:space="preserve">to the inclusion of e-waste in scope. </w:t>
      </w:r>
      <w:r w:rsidR="000E5770">
        <w:t xml:space="preserve">Options 1a and 1b are given scores of +6 and +4, respectively. </w:t>
      </w:r>
    </w:p>
    <w:p w14:paraId="656B0684" w14:textId="77777777" w:rsidR="000E5770" w:rsidRDefault="00213E13" w:rsidP="00A159B0">
      <w:r>
        <w:t xml:space="preserve">Option 2 </w:t>
      </w:r>
      <w:r w:rsidR="000E5770">
        <w:t xml:space="preserve">is given a score of +1 relative to the </w:t>
      </w:r>
      <w:r w:rsidR="00E93EEB">
        <w:t>Base Case</w:t>
      </w:r>
      <w:r w:rsidR="000E5770">
        <w:t xml:space="preserve">, </w:t>
      </w:r>
      <w:r>
        <w:t>as it does not deal with mismanagemen</w:t>
      </w:r>
      <w:r w:rsidR="000E5770">
        <w:t>t or loss of resource recovery</w:t>
      </w:r>
    </w:p>
    <w:p w14:paraId="656B0685" w14:textId="77777777" w:rsidR="00213E13" w:rsidRDefault="00213E13" w:rsidP="00A159B0">
      <w:r>
        <w:t xml:space="preserve">Option 3 has the highest effectiveness score due to its wider scope of wastes and potential contribution to reducing other issues including stockpiling – in particular from masonry/fill material and plastics. </w:t>
      </w:r>
      <w:r w:rsidR="000E5770">
        <w:t xml:space="preserve">A score of +7 is given relative to the </w:t>
      </w:r>
      <w:r w:rsidR="00E93EEB">
        <w:t>Base Case</w:t>
      </w:r>
      <w:r w:rsidR="000E5770">
        <w:t xml:space="preserve">. </w:t>
      </w:r>
    </w:p>
    <w:p w14:paraId="656B0686" w14:textId="77777777" w:rsidR="00A159B0" w:rsidRDefault="00A159B0" w:rsidP="00A159B0">
      <w:pPr>
        <w:pStyle w:val="Heading4"/>
      </w:pPr>
      <w:r>
        <w:t>Cost</w:t>
      </w:r>
    </w:p>
    <w:p w14:paraId="656B0687" w14:textId="77777777" w:rsidR="000E5770" w:rsidRDefault="00BD218F" w:rsidP="000E5770">
      <w:r w:rsidRPr="00F958E5">
        <w:fldChar w:fldCharType="begin"/>
      </w:r>
      <w:r>
        <w:instrText xml:space="preserve"> REF _Ref8025139 \h </w:instrText>
      </w:r>
      <w:r w:rsidRPr="00F958E5">
        <w:rPr>
          <w:color w:val="2B579A"/>
          <w:shd w:val="clear" w:color="auto" w:fill="E6E6E6"/>
        </w:rPr>
        <w:fldChar w:fldCharType="separate"/>
      </w:r>
      <w:r w:rsidR="00B51904" w:rsidRPr="00827D05">
        <w:t xml:space="preserve">Table </w:t>
      </w:r>
      <w:r w:rsidR="00B51904">
        <w:rPr>
          <w:noProof/>
        </w:rPr>
        <w:t>9</w:t>
      </w:r>
      <w:r w:rsidR="00B51904">
        <w:noBreakHyphen/>
      </w:r>
      <w:r w:rsidR="00B51904">
        <w:rPr>
          <w:noProof/>
        </w:rPr>
        <w:t>7</w:t>
      </w:r>
      <w:r w:rsidRPr="00F958E5">
        <w:fldChar w:fldCharType="end"/>
      </w:r>
      <w:r w:rsidR="00213E13">
        <w:t xml:space="preserve"> shows that Option 3 would have the highest regulatory cost burden on businesses and Option 2 the least. </w:t>
      </w:r>
      <w:r w:rsidR="000E5770">
        <w:t xml:space="preserve">Costs are driven by the type of materials included in scope. </w:t>
      </w:r>
    </w:p>
    <w:p w14:paraId="656B0688" w14:textId="77777777" w:rsidR="000E5770" w:rsidRDefault="000E5770" w:rsidP="000E5770">
      <w:r>
        <w:t xml:space="preserve">Option 1a and 1b are again differentiated by scope of materials covered. </w:t>
      </w:r>
    </w:p>
    <w:p w14:paraId="656B0689" w14:textId="77777777" w:rsidR="000E5770" w:rsidRDefault="000E5770" w:rsidP="000E5770">
      <w:r>
        <w:t xml:space="preserve">Option 2 represents the smallest scope of materials, and therefore represents the lowest cost to business of all the options. It would also be the simplest to implement given this is the scope under current regulations, and current practices would largely continue. </w:t>
      </w:r>
    </w:p>
    <w:p w14:paraId="656B068A" w14:textId="77777777" w:rsidR="000E5770" w:rsidRDefault="000E5770" w:rsidP="000E5770">
      <w:r>
        <w:t xml:space="preserve">Option 3 would be highly costly for business, and may put </w:t>
      </w:r>
      <w:r w:rsidRPr="00C40596">
        <w:t>undue pressure on the waste industry for dealing with plastics, which is a commodity waste that is heavily influenced by external markets</w:t>
      </w:r>
      <w:r>
        <w:t>, and covers numerable businesses, making compliance and enforcement complex.</w:t>
      </w:r>
    </w:p>
    <w:p w14:paraId="656B068B" w14:textId="77777777" w:rsidR="00213E13" w:rsidRDefault="00213E13" w:rsidP="00213E13">
      <w:pPr>
        <w:pStyle w:val="2Source"/>
        <w:spacing w:after="120"/>
        <w:rPr>
          <w:szCs w:val="20"/>
        </w:rPr>
      </w:pPr>
      <w:bookmarkStart w:id="643" w:name="_Ref8025139"/>
      <w:r w:rsidRPr="00827D05">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7</w:t>
      </w:r>
      <w:r w:rsidR="00997CFA">
        <w:rPr>
          <w:color w:val="2B579A"/>
          <w:shd w:val="clear" w:color="auto" w:fill="E6E6E6"/>
        </w:rPr>
        <w:fldChar w:fldCharType="end"/>
      </w:r>
      <w:bookmarkEnd w:id="643"/>
      <w:r w:rsidRPr="00827D05">
        <w:rPr>
          <w:szCs w:val="20"/>
        </w:rPr>
        <w:t xml:space="preserve"> </w:t>
      </w:r>
      <w:r>
        <w:rPr>
          <w:szCs w:val="20"/>
        </w:rPr>
        <w:t>Present value of costs</w:t>
      </w:r>
      <w:r w:rsidRPr="00827D05">
        <w:rPr>
          <w:szCs w:val="20"/>
        </w:rPr>
        <w:t xml:space="preserve"> </w:t>
      </w:r>
      <w:r>
        <w:rPr>
          <w:szCs w:val="20"/>
        </w:rPr>
        <w:t>(2018/19 $)</w:t>
      </w:r>
    </w:p>
    <w:tbl>
      <w:tblPr>
        <w:tblStyle w:val="Deloittetable"/>
        <w:tblW w:w="5000" w:type="pct"/>
        <w:tblLook w:val="04A0" w:firstRow="1" w:lastRow="0" w:firstColumn="1" w:lastColumn="0" w:noHBand="0" w:noVBand="1"/>
      </w:tblPr>
      <w:tblGrid>
        <w:gridCol w:w="1809"/>
        <w:gridCol w:w="1452"/>
        <w:gridCol w:w="1841"/>
        <w:gridCol w:w="1845"/>
        <w:gridCol w:w="2408"/>
      </w:tblGrid>
      <w:tr w:rsidR="00213E13" w:rsidRPr="00A07310" w14:paraId="656B0691" w14:textId="77777777" w:rsidTr="00494A7B">
        <w:trPr>
          <w:cnfStyle w:val="100000000000" w:firstRow="1" w:lastRow="0" w:firstColumn="0" w:lastColumn="0" w:oddVBand="0" w:evenVBand="0" w:oddHBand="0" w:evenHBand="0" w:firstRowFirstColumn="0" w:firstRowLastColumn="0" w:lastRowFirstColumn="0" w:lastRowLastColumn="0"/>
          <w:trHeight w:val="270"/>
        </w:trPr>
        <w:tc>
          <w:tcPr>
            <w:tcW w:w="967" w:type="pct"/>
            <w:tcBorders>
              <w:bottom w:val="nil"/>
            </w:tcBorders>
            <w:hideMark/>
          </w:tcPr>
          <w:p w14:paraId="656B068C" w14:textId="77777777" w:rsidR="00213E13" w:rsidRPr="00A07310" w:rsidRDefault="00213E13" w:rsidP="00F34DF6">
            <w:pPr>
              <w:spacing w:after="0" w:line="240" w:lineRule="auto"/>
              <w:rPr>
                <w:rFonts w:eastAsia="Times New Roman" w:cs="Segoe UI Light"/>
                <w:sz w:val="18"/>
                <w:lang w:eastAsia="en-AU"/>
              </w:rPr>
            </w:pPr>
          </w:p>
        </w:tc>
        <w:tc>
          <w:tcPr>
            <w:tcW w:w="776" w:type="pct"/>
            <w:tcBorders>
              <w:bottom w:val="nil"/>
            </w:tcBorders>
            <w:hideMark/>
          </w:tcPr>
          <w:p w14:paraId="656B068D" w14:textId="77777777" w:rsidR="00213E13" w:rsidRPr="00A07310" w:rsidRDefault="00213E13" w:rsidP="00AB166C">
            <w:pPr>
              <w:spacing w:after="0" w:line="240" w:lineRule="auto"/>
              <w:ind w:right="57"/>
              <w:jc w:val="right"/>
              <w:rPr>
                <w:rFonts w:eastAsia="Times New Roman" w:cs="Segoe UI Light"/>
                <w:b/>
                <w:bCs/>
                <w:color w:val="000000"/>
                <w:sz w:val="18"/>
                <w:lang w:eastAsia="en-AU"/>
              </w:rPr>
            </w:pPr>
            <w:r w:rsidRPr="00A07310">
              <w:rPr>
                <w:rFonts w:eastAsia="Times New Roman" w:cs="Segoe UI Light"/>
                <w:b/>
                <w:bCs/>
                <w:color w:val="000000"/>
                <w:sz w:val="18"/>
                <w:lang w:eastAsia="en-AU"/>
              </w:rPr>
              <w:t>Option 1a</w:t>
            </w:r>
          </w:p>
        </w:tc>
        <w:tc>
          <w:tcPr>
            <w:tcW w:w="984" w:type="pct"/>
            <w:tcBorders>
              <w:bottom w:val="nil"/>
            </w:tcBorders>
            <w:hideMark/>
          </w:tcPr>
          <w:p w14:paraId="656B068E" w14:textId="77777777" w:rsidR="00213E13" w:rsidRPr="00A07310" w:rsidRDefault="00213E13" w:rsidP="00AB166C">
            <w:pPr>
              <w:spacing w:after="0" w:line="240" w:lineRule="auto"/>
              <w:ind w:right="57"/>
              <w:jc w:val="right"/>
              <w:rPr>
                <w:rFonts w:eastAsia="Times New Roman" w:cs="Segoe UI Light"/>
                <w:b/>
                <w:bCs/>
                <w:color w:val="000000"/>
                <w:sz w:val="18"/>
                <w:lang w:eastAsia="en-AU"/>
              </w:rPr>
            </w:pPr>
            <w:r w:rsidRPr="00A07310">
              <w:rPr>
                <w:rFonts w:eastAsia="Times New Roman" w:cs="Segoe UI Light"/>
                <w:b/>
                <w:bCs/>
                <w:color w:val="000000"/>
                <w:sz w:val="18"/>
                <w:lang w:eastAsia="en-AU"/>
              </w:rPr>
              <w:t>Option 1b</w:t>
            </w:r>
          </w:p>
        </w:tc>
        <w:tc>
          <w:tcPr>
            <w:tcW w:w="986" w:type="pct"/>
            <w:tcBorders>
              <w:bottom w:val="nil"/>
            </w:tcBorders>
            <w:hideMark/>
          </w:tcPr>
          <w:p w14:paraId="656B068F" w14:textId="77777777" w:rsidR="00213E13" w:rsidRPr="00A07310" w:rsidRDefault="00213E13" w:rsidP="00AB166C">
            <w:pPr>
              <w:spacing w:after="0" w:line="240" w:lineRule="auto"/>
              <w:ind w:right="57"/>
              <w:jc w:val="right"/>
              <w:rPr>
                <w:rFonts w:eastAsia="Times New Roman" w:cs="Segoe UI Light"/>
                <w:b/>
                <w:bCs/>
                <w:color w:val="000000"/>
                <w:sz w:val="18"/>
                <w:lang w:eastAsia="en-AU"/>
              </w:rPr>
            </w:pPr>
            <w:r w:rsidRPr="00A07310">
              <w:rPr>
                <w:rFonts w:eastAsia="Times New Roman" w:cs="Segoe UI Light"/>
                <w:b/>
                <w:bCs/>
                <w:color w:val="000000"/>
                <w:sz w:val="18"/>
                <w:lang w:eastAsia="en-AU"/>
              </w:rPr>
              <w:t>Option 2</w:t>
            </w:r>
          </w:p>
        </w:tc>
        <w:tc>
          <w:tcPr>
            <w:tcW w:w="1288" w:type="pct"/>
            <w:tcBorders>
              <w:bottom w:val="nil"/>
            </w:tcBorders>
            <w:hideMark/>
          </w:tcPr>
          <w:p w14:paraId="656B0690" w14:textId="77777777" w:rsidR="00213E13" w:rsidRPr="00A07310" w:rsidRDefault="00213E13" w:rsidP="00AB166C">
            <w:pPr>
              <w:spacing w:after="0" w:line="240" w:lineRule="auto"/>
              <w:ind w:right="57"/>
              <w:jc w:val="right"/>
              <w:rPr>
                <w:rFonts w:eastAsia="Times New Roman" w:cs="Segoe UI Light"/>
                <w:b/>
                <w:bCs/>
                <w:color w:val="000000"/>
                <w:sz w:val="18"/>
                <w:lang w:eastAsia="en-AU"/>
              </w:rPr>
            </w:pPr>
            <w:r w:rsidRPr="00A07310">
              <w:rPr>
                <w:rFonts w:eastAsia="Times New Roman" w:cs="Segoe UI Light"/>
                <w:b/>
                <w:bCs/>
                <w:color w:val="000000"/>
                <w:sz w:val="18"/>
                <w:lang w:eastAsia="en-AU"/>
              </w:rPr>
              <w:t>Option 3</w:t>
            </w:r>
          </w:p>
        </w:tc>
      </w:tr>
      <w:tr w:rsidR="00213E13" w:rsidRPr="00A07310" w14:paraId="656B0699" w14:textId="77777777" w:rsidTr="00494A7B">
        <w:trPr>
          <w:trHeight w:val="810"/>
        </w:trPr>
        <w:tc>
          <w:tcPr>
            <w:tcW w:w="967" w:type="pct"/>
            <w:tcBorders>
              <w:top w:val="nil"/>
            </w:tcBorders>
            <w:hideMark/>
          </w:tcPr>
          <w:p w14:paraId="656B0692" w14:textId="77777777" w:rsidR="00213E13" w:rsidRPr="00A07310" w:rsidRDefault="00213E13" w:rsidP="00F34DF6">
            <w:pPr>
              <w:spacing w:after="0" w:line="240" w:lineRule="auto"/>
              <w:rPr>
                <w:rFonts w:eastAsia="Times New Roman" w:cs="Segoe UI Light"/>
                <w:b/>
                <w:bCs/>
                <w:color w:val="000000"/>
                <w:sz w:val="18"/>
                <w:lang w:eastAsia="en-AU"/>
              </w:rPr>
            </w:pPr>
            <w:r w:rsidRPr="00A07310">
              <w:rPr>
                <w:rFonts w:eastAsia="Times New Roman" w:cs="Segoe UI Light"/>
                <w:b/>
                <w:bCs/>
                <w:color w:val="000000"/>
                <w:sz w:val="18"/>
                <w:lang w:eastAsia="en-AU"/>
              </w:rPr>
              <w:t> </w:t>
            </w:r>
          </w:p>
        </w:tc>
        <w:tc>
          <w:tcPr>
            <w:tcW w:w="776" w:type="pct"/>
            <w:tcBorders>
              <w:top w:val="nil"/>
            </w:tcBorders>
            <w:hideMark/>
          </w:tcPr>
          <w:p w14:paraId="656B0693" w14:textId="77777777" w:rsidR="00822B51" w:rsidRDefault="00213E13"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 xml:space="preserve">Very high, high, moderate hazard, </w:t>
            </w:r>
          </w:p>
          <w:p w14:paraId="656B0694" w14:textId="77777777" w:rsidR="00213E13" w:rsidRPr="00A07310" w:rsidRDefault="00213E13"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tyres, e-waste</w:t>
            </w:r>
          </w:p>
        </w:tc>
        <w:tc>
          <w:tcPr>
            <w:tcW w:w="984" w:type="pct"/>
            <w:tcBorders>
              <w:top w:val="nil"/>
            </w:tcBorders>
            <w:hideMark/>
          </w:tcPr>
          <w:p w14:paraId="656B0695" w14:textId="77777777" w:rsidR="00BC1A0C" w:rsidRDefault="00213E13"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 xml:space="preserve">Very high, high, moderate hazard, </w:t>
            </w:r>
          </w:p>
          <w:p w14:paraId="656B0696" w14:textId="77777777" w:rsidR="00213E13" w:rsidRPr="00A07310" w:rsidRDefault="00213E13"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tyres</w:t>
            </w:r>
          </w:p>
        </w:tc>
        <w:tc>
          <w:tcPr>
            <w:tcW w:w="986" w:type="pct"/>
            <w:tcBorders>
              <w:top w:val="nil"/>
            </w:tcBorders>
            <w:hideMark/>
          </w:tcPr>
          <w:p w14:paraId="656B0697" w14:textId="77777777" w:rsidR="00213E13" w:rsidRPr="00A07310" w:rsidRDefault="00213E13"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Very high and high hazard</w:t>
            </w:r>
          </w:p>
        </w:tc>
        <w:tc>
          <w:tcPr>
            <w:tcW w:w="1288" w:type="pct"/>
            <w:tcBorders>
              <w:top w:val="nil"/>
            </w:tcBorders>
            <w:hideMark/>
          </w:tcPr>
          <w:p w14:paraId="656B0698" w14:textId="77777777" w:rsidR="00213E13" w:rsidRPr="00A07310" w:rsidRDefault="00213E13"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Very high, high, moderate hazard, tyres, e-waste, masonry/fill, plastics</w:t>
            </w:r>
          </w:p>
        </w:tc>
      </w:tr>
      <w:tr w:rsidR="00213E13" w:rsidRPr="00A07310" w14:paraId="656B069F" w14:textId="77777777" w:rsidTr="00494A7B">
        <w:trPr>
          <w:trHeight w:val="270"/>
        </w:trPr>
        <w:tc>
          <w:tcPr>
            <w:tcW w:w="967" w:type="pct"/>
            <w:hideMark/>
          </w:tcPr>
          <w:p w14:paraId="656B069A" w14:textId="77777777" w:rsidR="00213E13" w:rsidRPr="00A07310" w:rsidRDefault="00213E13" w:rsidP="00F34DF6">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 xml:space="preserve">PV costs to business relative to </w:t>
            </w:r>
            <w:r>
              <w:rPr>
                <w:rFonts w:eastAsia="Times New Roman" w:cs="Segoe UI Light"/>
                <w:color w:val="000000"/>
                <w:sz w:val="18"/>
                <w:lang w:eastAsia="en-AU"/>
              </w:rPr>
              <w:t>Base Case</w:t>
            </w:r>
          </w:p>
        </w:tc>
        <w:tc>
          <w:tcPr>
            <w:tcW w:w="776" w:type="pct"/>
            <w:tcBorders>
              <w:top w:val="nil"/>
              <w:left w:val="nil"/>
              <w:bottom w:val="nil"/>
              <w:right w:val="nil"/>
            </w:tcBorders>
            <w:shd w:val="clear" w:color="auto" w:fill="auto"/>
            <w:hideMark/>
          </w:tcPr>
          <w:p w14:paraId="656B069B" w14:textId="77777777" w:rsidR="00213E13" w:rsidRPr="001B3151" w:rsidRDefault="00A55B7C" w:rsidP="00AB166C">
            <w:pPr>
              <w:spacing w:after="0" w:line="240" w:lineRule="auto"/>
              <w:ind w:right="57"/>
              <w:jc w:val="right"/>
              <w:rPr>
                <w:rFonts w:cs="Segoe UI Light"/>
                <w:color w:val="000000"/>
                <w:sz w:val="18"/>
              </w:rPr>
            </w:pPr>
            <w:r w:rsidRPr="001D4AFF">
              <w:rPr>
                <w:rFonts w:cs="Segoe UI Light"/>
                <w:color w:val="000000"/>
                <w:sz w:val="18"/>
              </w:rPr>
              <w:t>$202,627,773</w:t>
            </w:r>
          </w:p>
        </w:tc>
        <w:tc>
          <w:tcPr>
            <w:tcW w:w="984" w:type="pct"/>
            <w:tcBorders>
              <w:top w:val="nil"/>
              <w:left w:val="nil"/>
              <w:bottom w:val="nil"/>
              <w:right w:val="nil"/>
            </w:tcBorders>
            <w:shd w:val="clear" w:color="auto" w:fill="auto"/>
            <w:hideMark/>
          </w:tcPr>
          <w:p w14:paraId="656B069C" w14:textId="77777777" w:rsidR="00213E13" w:rsidRPr="001B3151" w:rsidRDefault="00A55B7C" w:rsidP="00AB166C">
            <w:pPr>
              <w:spacing w:after="0" w:line="240" w:lineRule="auto"/>
              <w:ind w:right="57"/>
              <w:jc w:val="right"/>
              <w:rPr>
                <w:rFonts w:cs="Segoe UI Light"/>
                <w:color w:val="000000"/>
                <w:sz w:val="18"/>
              </w:rPr>
            </w:pPr>
            <w:r w:rsidRPr="001D4AFF">
              <w:rPr>
                <w:rFonts w:cs="Segoe UI Light"/>
                <w:color w:val="000000"/>
                <w:sz w:val="18"/>
              </w:rPr>
              <w:t>$147,548,155</w:t>
            </w:r>
          </w:p>
        </w:tc>
        <w:tc>
          <w:tcPr>
            <w:tcW w:w="986" w:type="pct"/>
            <w:tcBorders>
              <w:top w:val="nil"/>
              <w:left w:val="nil"/>
              <w:bottom w:val="nil"/>
              <w:right w:val="nil"/>
            </w:tcBorders>
            <w:shd w:val="clear" w:color="auto" w:fill="auto"/>
            <w:hideMark/>
          </w:tcPr>
          <w:p w14:paraId="656B069D" w14:textId="77777777" w:rsidR="00213E13" w:rsidRPr="001B3151" w:rsidRDefault="00A55B7C" w:rsidP="00AB166C">
            <w:pPr>
              <w:spacing w:after="0" w:line="240" w:lineRule="auto"/>
              <w:ind w:right="57"/>
              <w:jc w:val="right"/>
              <w:rPr>
                <w:rFonts w:cs="Segoe UI Light"/>
                <w:color w:val="000000"/>
                <w:sz w:val="18"/>
              </w:rPr>
            </w:pPr>
            <w:r w:rsidRPr="001D4AFF">
              <w:rPr>
                <w:rFonts w:cs="Segoe UI Light"/>
                <w:color w:val="000000"/>
                <w:sz w:val="18"/>
              </w:rPr>
              <w:t>$98,535,249</w:t>
            </w:r>
          </w:p>
        </w:tc>
        <w:tc>
          <w:tcPr>
            <w:tcW w:w="1288" w:type="pct"/>
            <w:tcBorders>
              <w:top w:val="nil"/>
              <w:left w:val="nil"/>
              <w:bottom w:val="nil"/>
              <w:right w:val="nil"/>
            </w:tcBorders>
            <w:shd w:val="clear" w:color="auto" w:fill="auto"/>
            <w:hideMark/>
          </w:tcPr>
          <w:p w14:paraId="656B069E" w14:textId="77777777" w:rsidR="00213E13" w:rsidRPr="001B3151" w:rsidRDefault="00A55B7C" w:rsidP="00AB166C">
            <w:pPr>
              <w:spacing w:after="0" w:line="240" w:lineRule="auto"/>
              <w:ind w:right="57"/>
              <w:jc w:val="right"/>
              <w:rPr>
                <w:rFonts w:cs="Segoe UI Light"/>
                <w:color w:val="000000"/>
                <w:sz w:val="18"/>
              </w:rPr>
            </w:pPr>
            <w:r w:rsidRPr="001D4AFF">
              <w:rPr>
                <w:rFonts w:cs="Segoe UI Light"/>
                <w:color w:val="000000"/>
                <w:sz w:val="18"/>
              </w:rPr>
              <w:t>$2,907,282,921</w:t>
            </w:r>
          </w:p>
        </w:tc>
      </w:tr>
      <w:tr w:rsidR="00213E13" w:rsidRPr="00A07310" w14:paraId="656B06A5" w14:textId="77777777" w:rsidTr="00494A7B">
        <w:trPr>
          <w:trHeight w:val="270"/>
        </w:trPr>
        <w:tc>
          <w:tcPr>
            <w:tcW w:w="967" w:type="pct"/>
            <w:hideMark/>
          </w:tcPr>
          <w:p w14:paraId="656B06A0" w14:textId="77777777" w:rsidR="00213E13" w:rsidRPr="00A07310" w:rsidRDefault="00213E13" w:rsidP="00F34DF6">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 xml:space="preserve">PV costs to government relative to </w:t>
            </w:r>
            <w:r>
              <w:rPr>
                <w:rFonts w:eastAsia="Times New Roman" w:cs="Segoe UI Light"/>
                <w:color w:val="000000"/>
                <w:sz w:val="18"/>
                <w:lang w:eastAsia="en-AU"/>
              </w:rPr>
              <w:t>Base Case</w:t>
            </w:r>
          </w:p>
        </w:tc>
        <w:tc>
          <w:tcPr>
            <w:tcW w:w="776" w:type="pct"/>
            <w:hideMark/>
          </w:tcPr>
          <w:p w14:paraId="656B06A1" w14:textId="77777777" w:rsidR="00213E13" w:rsidRPr="001B3151" w:rsidRDefault="00A55B7C" w:rsidP="00AB166C">
            <w:pPr>
              <w:spacing w:after="0" w:line="240" w:lineRule="auto"/>
              <w:ind w:right="57"/>
              <w:jc w:val="right"/>
              <w:rPr>
                <w:rFonts w:cs="Segoe UI Light"/>
                <w:color w:val="000000"/>
                <w:sz w:val="18"/>
              </w:rPr>
            </w:pPr>
            <w:r w:rsidRPr="001D4AFF">
              <w:rPr>
                <w:rFonts w:cs="Segoe UI Light"/>
                <w:color w:val="000000"/>
                <w:sz w:val="18"/>
              </w:rPr>
              <w:t>$0</w:t>
            </w:r>
          </w:p>
        </w:tc>
        <w:tc>
          <w:tcPr>
            <w:tcW w:w="984" w:type="pct"/>
            <w:hideMark/>
          </w:tcPr>
          <w:p w14:paraId="656B06A2" w14:textId="77777777" w:rsidR="00213E13" w:rsidRPr="001B3151" w:rsidRDefault="00A55B7C" w:rsidP="00AB166C">
            <w:pPr>
              <w:spacing w:after="0" w:line="240" w:lineRule="auto"/>
              <w:ind w:right="57"/>
              <w:jc w:val="right"/>
              <w:rPr>
                <w:rFonts w:cs="Segoe UI Light"/>
                <w:color w:val="000000"/>
                <w:sz w:val="18"/>
              </w:rPr>
            </w:pPr>
            <w:r w:rsidRPr="001D4AFF">
              <w:rPr>
                <w:rFonts w:cs="Segoe UI Light"/>
                <w:color w:val="000000"/>
                <w:sz w:val="18"/>
              </w:rPr>
              <w:t>$0</w:t>
            </w:r>
          </w:p>
        </w:tc>
        <w:tc>
          <w:tcPr>
            <w:tcW w:w="986" w:type="pct"/>
            <w:hideMark/>
          </w:tcPr>
          <w:p w14:paraId="656B06A3" w14:textId="77777777" w:rsidR="00213E13" w:rsidRPr="001B3151" w:rsidRDefault="00A55B7C" w:rsidP="00AB166C">
            <w:pPr>
              <w:spacing w:after="0" w:line="240" w:lineRule="auto"/>
              <w:ind w:right="57"/>
              <w:jc w:val="right"/>
              <w:rPr>
                <w:rFonts w:cs="Segoe UI Light"/>
                <w:color w:val="000000"/>
                <w:sz w:val="18"/>
              </w:rPr>
            </w:pPr>
            <w:r w:rsidRPr="001D4AFF">
              <w:rPr>
                <w:rFonts w:cs="Segoe UI Light"/>
                <w:color w:val="000000"/>
                <w:sz w:val="18"/>
              </w:rPr>
              <w:t>$0</w:t>
            </w:r>
          </w:p>
        </w:tc>
        <w:tc>
          <w:tcPr>
            <w:tcW w:w="1288" w:type="pct"/>
            <w:hideMark/>
          </w:tcPr>
          <w:p w14:paraId="656B06A4" w14:textId="77777777" w:rsidR="00213E13" w:rsidRPr="001B3151" w:rsidRDefault="00A55B7C" w:rsidP="00AB166C">
            <w:pPr>
              <w:spacing w:after="0" w:line="240" w:lineRule="auto"/>
              <w:ind w:right="57"/>
              <w:jc w:val="right"/>
              <w:rPr>
                <w:rFonts w:cs="Segoe UI Light"/>
                <w:color w:val="000000"/>
                <w:sz w:val="18"/>
              </w:rPr>
            </w:pPr>
            <w:r w:rsidRPr="001D4AFF">
              <w:rPr>
                <w:rFonts w:cs="Segoe UI Light"/>
                <w:color w:val="000000"/>
                <w:sz w:val="18"/>
              </w:rPr>
              <w:t>$0</w:t>
            </w:r>
          </w:p>
        </w:tc>
      </w:tr>
      <w:tr w:rsidR="00213E13" w:rsidRPr="00A07310" w14:paraId="656B06AB" w14:textId="77777777" w:rsidTr="00494A7B">
        <w:trPr>
          <w:trHeight w:val="270"/>
        </w:trPr>
        <w:tc>
          <w:tcPr>
            <w:tcW w:w="967" w:type="pct"/>
            <w:hideMark/>
          </w:tcPr>
          <w:p w14:paraId="656B06A6" w14:textId="77777777" w:rsidR="00213E13" w:rsidRPr="00A07310" w:rsidRDefault="00213E13" w:rsidP="00F34DF6">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 xml:space="preserve">PV costs to community relative to </w:t>
            </w:r>
            <w:r>
              <w:rPr>
                <w:rFonts w:eastAsia="Times New Roman" w:cs="Segoe UI Light"/>
                <w:color w:val="000000"/>
                <w:sz w:val="18"/>
                <w:lang w:eastAsia="en-AU"/>
              </w:rPr>
              <w:t>Base Case</w:t>
            </w:r>
          </w:p>
        </w:tc>
        <w:tc>
          <w:tcPr>
            <w:tcW w:w="776" w:type="pct"/>
            <w:hideMark/>
          </w:tcPr>
          <w:p w14:paraId="656B06A7" w14:textId="77777777" w:rsidR="00213E13" w:rsidRPr="001B3151" w:rsidRDefault="00A55B7C" w:rsidP="00AB166C">
            <w:pPr>
              <w:spacing w:after="0" w:line="240" w:lineRule="auto"/>
              <w:ind w:right="57"/>
              <w:jc w:val="right"/>
              <w:rPr>
                <w:rFonts w:cs="Segoe UI Light"/>
                <w:color w:val="000000"/>
                <w:sz w:val="18"/>
              </w:rPr>
            </w:pPr>
            <w:r w:rsidRPr="001D4AFF">
              <w:rPr>
                <w:rFonts w:cs="Segoe UI Light"/>
                <w:color w:val="000000"/>
                <w:sz w:val="18"/>
              </w:rPr>
              <w:t>$0</w:t>
            </w:r>
          </w:p>
        </w:tc>
        <w:tc>
          <w:tcPr>
            <w:tcW w:w="984" w:type="pct"/>
            <w:hideMark/>
          </w:tcPr>
          <w:p w14:paraId="656B06A8" w14:textId="77777777" w:rsidR="00213E13" w:rsidRPr="001B3151" w:rsidRDefault="00A55B7C" w:rsidP="00AB166C">
            <w:pPr>
              <w:spacing w:after="0" w:line="240" w:lineRule="auto"/>
              <w:ind w:right="57"/>
              <w:jc w:val="right"/>
              <w:rPr>
                <w:rFonts w:cs="Segoe UI Light"/>
                <w:color w:val="000000"/>
                <w:sz w:val="18"/>
              </w:rPr>
            </w:pPr>
            <w:r w:rsidRPr="001D4AFF">
              <w:rPr>
                <w:rFonts w:cs="Segoe UI Light"/>
                <w:color w:val="000000"/>
                <w:sz w:val="18"/>
              </w:rPr>
              <w:t>$0</w:t>
            </w:r>
          </w:p>
        </w:tc>
        <w:tc>
          <w:tcPr>
            <w:tcW w:w="986" w:type="pct"/>
            <w:hideMark/>
          </w:tcPr>
          <w:p w14:paraId="656B06A9" w14:textId="77777777" w:rsidR="00213E13" w:rsidRPr="001B3151" w:rsidRDefault="00A55B7C" w:rsidP="00AB166C">
            <w:pPr>
              <w:spacing w:after="0" w:line="240" w:lineRule="auto"/>
              <w:ind w:right="57"/>
              <w:jc w:val="right"/>
              <w:rPr>
                <w:rFonts w:cs="Segoe UI Light"/>
                <w:color w:val="000000"/>
                <w:sz w:val="18"/>
              </w:rPr>
            </w:pPr>
            <w:r w:rsidRPr="001D4AFF">
              <w:rPr>
                <w:rFonts w:cs="Segoe UI Light"/>
                <w:color w:val="000000"/>
                <w:sz w:val="18"/>
              </w:rPr>
              <w:t>$0</w:t>
            </w:r>
          </w:p>
        </w:tc>
        <w:tc>
          <w:tcPr>
            <w:tcW w:w="1288" w:type="pct"/>
            <w:hideMark/>
          </w:tcPr>
          <w:p w14:paraId="656B06AA" w14:textId="77777777" w:rsidR="00213E13" w:rsidRPr="001B3151" w:rsidRDefault="00A55B7C" w:rsidP="00AB166C">
            <w:pPr>
              <w:spacing w:after="0" w:line="240" w:lineRule="auto"/>
              <w:ind w:right="57"/>
              <w:jc w:val="right"/>
              <w:rPr>
                <w:rFonts w:cs="Segoe UI Light"/>
                <w:color w:val="000000"/>
                <w:sz w:val="18"/>
              </w:rPr>
            </w:pPr>
            <w:r w:rsidRPr="001D4AFF">
              <w:rPr>
                <w:rFonts w:cs="Segoe UI Light"/>
                <w:color w:val="000000"/>
                <w:sz w:val="18"/>
              </w:rPr>
              <w:t>$0</w:t>
            </w:r>
          </w:p>
        </w:tc>
      </w:tr>
      <w:tr w:rsidR="00213E13" w:rsidRPr="00A07310" w14:paraId="656B06B1" w14:textId="77777777" w:rsidTr="00494A7B">
        <w:trPr>
          <w:trHeight w:val="280"/>
        </w:trPr>
        <w:tc>
          <w:tcPr>
            <w:tcW w:w="967" w:type="pct"/>
            <w:hideMark/>
          </w:tcPr>
          <w:p w14:paraId="656B06AC" w14:textId="77777777" w:rsidR="00213E13" w:rsidRPr="00A07310" w:rsidRDefault="00213E13" w:rsidP="00F34DF6">
            <w:pPr>
              <w:spacing w:after="0" w:line="240" w:lineRule="auto"/>
              <w:rPr>
                <w:rFonts w:eastAsia="Times New Roman" w:cs="Segoe UI Light"/>
                <w:b/>
                <w:bCs/>
                <w:color w:val="000000"/>
                <w:sz w:val="18"/>
                <w:lang w:eastAsia="en-AU"/>
              </w:rPr>
            </w:pPr>
            <w:r w:rsidRPr="00A07310">
              <w:rPr>
                <w:rFonts w:eastAsia="Times New Roman" w:cs="Segoe UI Light"/>
                <w:b/>
                <w:bCs/>
                <w:color w:val="000000"/>
                <w:sz w:val="18"/>
                <w:lang w:eastAsia="en-AU"/>
              </w:rPr>
              <w:t xml:space="preserve">Present value total costs relative to </w:t>
            </w:r>
            <w:r>
              <w:rPr>
                <w:rFonts w:eastAsia="Times New Roman" w:cs="Segoe UI Light"/>
                <w:b/>
                <w:bCs/>
                <w:color w:val="000000"/>
                <w:sz w:val="18"/>
                <w:lang w:eastAsia="en-AU"/>
              </w:rPr>
              <w:t>Base Case</w:t>
            </w:r>
          </w:p>
        </w:tc>
        <w:tc>
          <w:tcPr>
            <w:tcW w:w="776" w:type="pct"/>
            <w:hideMark/>
          </w:tcPr>
          <w:p w14:paraId="656B06AD" w14:textId="77777777" w:rsidR="00213E13" w:rsidRPr="00281F82" w:rsidRDefault="00A55B7C" w:rsidP="00AB166C">
            <w:pPr>
              <w:spacing w:after="0" w:line="240" w:lineRule="auto"/>
              <w:ind w:right="57"/>
              <w:jc w:val="right"/>
              <w:rPr>
                <w:rFonts w:cs="Segoe UI Light"/>
                <w:b/>
                <w:color w:val="000000"/>
                <w:sz w:val="18"/>
              </w:rPr>
            </w:pPr>
            <w:r w:rsidRPr="001D4AFF">
              <w:rPr>
                <w:rFonts w:cs="Segoe UI Light"/>
                <w:b/>
                <w:color w:val="000000"/>
                <w:sz w:val="18"/>
              </w:rPr>
              <w:t>$202,627,773</w:t>
            </w:r>
          </w:p>
        </w:tc>
        <w:tc>
          <w:tcPr>
            <w:tcW w:w="984" w:type="pct"/>
            <w:hideMark/>
          </w:tcPr>
          <w:p w14:paraId="656B06AE" w14:textId="77777777" w:rsidR="00213E13" w:rsidRPr="00281F82" w:rsidRDefault="00A55B7C" w:rsidP="00AB166C">
            <w:pPr>
              <w:spacing w:after="0" w:line="240" w:lineRule="auto"/>
              <w:ind w:right="57"/>
              <w:jc w:val="right"/>
              <w:rPr>
                <w:rFonts w:cs="Segoe UI Light"/>
                <w:b/>
                <w:color w:val="000000"/>
                <w:sz w:val="18"/>
              </w:rPr>
            </w:pPr>
            <w:r w:rsidRPr="001D4AFF">
              <w:rPr>
                <w:rFonts w:cs="Segoe UI Light"/>
                <w:b/>
                <w:color w:val="000000"/>
                <w:sz w:val="18"/>
              </w:rPr>
              <w:t>$147,548,155</w:t>
            </w:r>
          </w:p>
        </w:tc>
        <w:tc>
          <w:tcPr>
            <w:tcW w:w="986" w:type="pct"/>
            <w:hideMark/>
          </w:tcPr>
          <w:p w14:paraId="656B06AF" w14:textId="77777777" w:rsidR="00213E13" w:rsidRPr="00281F82" w:rsidRDefault="00A55B7C" w:rsidP="00AB166C">
            <w:pPr>
              <w:spacing w:after="0" w:line="240" w:lineRule="auto"/>
              <w:ind w:right="57"/>
              <w:jc w:val="right"/>
              <w:rPr>
                <w:rFonts w:cs="Segoe UI Light"/>
                <w:b/>
                <w:color w:val="000000"/>
                <w:sz w:val="18"/>
              </w:rPr>
            </w:pPr>
            <w:r w:rsidRPr="001D4AFF">
              <w:rPr>
                <w:rFonts w:cs="Segoe UI Light"/>
                <w:b/>
                <w:color w:val="000000"/>
                <w:sz w:val="18"/>
              </w:rPr>
              <w:t>$98,535,249</w:t>
            </w:r>
          </w:p>
        </w:tc>
        <w:tc>
          <w:tcPr>
            <w:tcW w:w="1288" w:type="pct"/>
            <w:hideMark/>
          </w:tcPr>
          <w:p w14:paraId="656B06B0" w14:textId="77777777" w:rsidR="00213E13" w:rsidRPr="00281F82" w:rsidRDefault="00A55B7C" w:rsidP="00AB166C">
            <w:pPr>
              <w:spacing w:after="0" w:line="240" w:lineRule="auto"/>
              <w:ind w:right="57"/>
              <w:jc w:val="right"/>
              <w:rPr>
                <w:rFonts w:cs="Segoe UI Light"/>
                <w:b/>
                <w:color w:val="000000"/>
                <w:sz w:val="18"/>
              </w:rPr>
            </w:pPr>
            <w:r w:rsidRPr="001D4AFF">
              <w:rPr>
                <w:rFonts w:cs="Segoe UI Light"/>
                <w:b/>
                <w:color w:val="000000"/>
                <w:sz w:val="18"/>
              </w:rPr>
              <w:t>$2,907,282,921</w:t>
            </w:r>
          </w:p>
        </w:tc>
      </w:tr>
    </w:tbl>
    <w:p w14:paraId="656B06B2" w14:textId="77777777" w:rsidR="00213E13" w:rsidRDefault="00213E13" w:rsidP="00213E13"/>
    <w:p w14:paraId="656B06B3" w14:textId="77777777" w:rsidR="000E5770" w:rsidRDefault="000E5770" w:rsidP="001D4AFF">
      <w:pPr>
        <w:pStyle w:val="Heading3"/>
        <w:ind w:left="720"/>
      </w:pPr>
      <w:r>
        <w:t>MCA summary and preferred option</w:t>
      </w:r>
    </w:p>
    <w:p w14:paraId="656B06B4" w14:textId="77777777" w:rsidR="00A159B0" w:rsidRDefault="00A159B0" w:rsidP="00A159B0">
      <w:pPr>
        <w:ind w:right="565"/>
      </w:pPr>
      <w:r>
        <w:t>The MCA results (</w:t>
      </w:r>
      <w:r>
        <w:rPr>
          <w:color w:val="2B579A"/>
          <w:shd w:val="clear" w:color="auto" w:fill="E6E6E6"/>
        </w:rPr>
        <w:fldChar w:fldCharType="begin"/>
      </w:r>
      <w:r>
        <w:instrText xml:space="preserve"> REF _Ref8025106 \h </w:instrText>
      </w:r>
      <w:r>
        <w:rPr>
          <w:color w:val="2B579A"/>
          <w:shd w:val="clear" w:color="auto" w:fill="E6E6E6"/>
        </w:rPr>
      </w:r>
      <w:r>
        <w:rPr>
          <w:color w:val="2B579A"/>
          <w:shd w:val="clear" w:color="auto" w:fill="E6E6E6"/>
        </w:rPr>
        <w:fldChar w:fldCharType="separate"/>
      </w:r>
      <w:r w:rsidR="00B51904" w:rsidRPr="00827D05">
        <w:t xml:space="preserve">Table </w:t>
      </w:r>
      <w:r w:rsidR="00B51904">
        <w:rPr>
          <w:noProof/>
        </w:rPr>
        <w:t>9</w:t>
      </w:r>
      <w:r w:rsidR="00B51904">
        <w:noBreakHyphen/>
      </w:r>
      <w:r w:rsidR="00B51904">
        <w:rPr>
          <w:noProof/>
        </w:rPr>
        <w:t>8</w:t>
      </w:r>
      <w:r>
        <w:rPr>
          <w:color w:val="2B579A"/>
          <w:shd w:val="clear" w:color="auto" w:fill="E6E6E6"/>
        </w:rPr>
        <w:fldChar w:fldCharType="end"/>
      </w:r>
      <w:r>
        <w:t xml:space="preserve">) show that Option 1a has the highest overall score and is therefore the preferred </w:t>
      </w:r>
      <w:r w:rsidRPr="00A4187D">
        <w:t xml:space="preserve">option. </w:t>
      </w:r>
    </w:p>
    <w:p w14:paraId="656B06B5" w14:textId="77777777" w:rsidR="00A159B0" w:rsidRPr="007E1BBC" w:rsidRDefault="00A159B0" w:rsidP="00A159B0">
      <w:pPr>
        <w:pStyle w:val="2Source"/>
        <w:spacing w:after="120"/>
        <w:rPr>
          <w:szCs w:val="20"/>
        </w:rPr>
      </w:pPr>
      <w:bookmarkStart w:id="644" w:name="_Ref8025106"/>
      <w:r w:rsidRPr="00827D05">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8</w:t>
      </w:r>
      <w:r w:rsidR="00997CFA">
        <w:rPr>
          <w:color w:val="2B579A"/>
          <w:shd w:val="clear" w:color="auto" w:fill="E6E6E6"/>
        </w:rPr>
        <w:fldChar w:fldCharType="end"/>
      </w:r>
      <w:bookmarkEnd w:id="644"/>
      <w:r w:rsidRPr="00827D05">
        <w:rPr>
          <w:szCs w:val="20"/>
        </w:rPr>
        <w:t xml:space="preserve"> </w:t>
      </w:r>
      <w:r>
        <w:rPr>
          <w:szCs w:val="20"/>
        </w:rPr>
        <w:t>Multi-criteria analysis</w:t>
      </w:r>
      <w:r w:rsidRPr="00827D05">
        <w:rPr>
          <w:szCs w:val="20"/>
        </w:rPr>
        <w:t xml:space="preserve"> </w:t>
      </w:r>
    </w:p>
    <w:tbl>
      <w:tblPr>
        <w:tblStyle w:val="Deloittetable"/>
        <w:tblW w:w="5000" w:type="pct"/>
        <w:tblLook w:val="04A0" w:firstRow="1" w:lastRow="0" w:firstColumn="1" w:lastColumn="0" w:noHBand="0" w:noVBand="1"/>
      </w:tblPr>
      <w:tblGrid>
        <w:gridCol w:w="2228"/>
        <w:gridCol w:w="1854"/>
        <w:gridCol w:w="1852"/>
        <w:gridCol w:w="1645"/>
        <w:gridCol w:w="1776"/>
      </w:tblGrid>
      <w:tr w:rsidR="00A159B0" w:rsidRPr="00A07310" w14:paraId="656B06BB" w14:textId="77777777" w:rsidTr="00577F60">
        <w:trPr>
          <w:cnfStyle w:val="100000000000" w:firstRow="1" w:lastRow="0" w:firstColumn="0" w:lastColumn="0" w:oddVBand="0" w:evenVBand="0" w:oddHBand="0" w:evenHBand="0" w:firstRowFirstColumn="0" w:firstRowLastColumn="0" w:lastRowFirstColumn="0" w:lastRowLastColumn="0"/>
          <w:trHeight w:val="270"/>
          <w:tblHeader/>
        </w:trPr>
        <w:tc>
          <w:tcPr>
            <w:tcW w:w="0" w:type="pct"/>
            <w:tcBorders>
              <w:bottom w:val="nil"/>
            </w:tcBorders>
            <w:noWrap/>
            <w:hideMark/>
          </w:tcPr>
          <w:p w14:paraId="656B06B6" w14:textId="77777777" w:rsidR="00A159B0" w:rsidRPr="00A07310" w:rsidRDefault="00A159B0" w:rsidP="004B63C1">
            <w:pPr>
              <w:spacing w:after="0" w:line="240" w:lineRule="auto"/>
              <w:rPr>
                <w:rFonts w:eastAsia="Times New Roman" w:cs="Segoe UI Light"/>
                <w:sz w:val="18"/>
                <w:lang w:eastAsia="en-AU"/>
              </w:rPr>
            </w:pPr>
            <w:r w:rsidRPr="00A07310">
              <w:rPr>
                <w:rFonts w:eastAsia="Times New Roman" w:cs="Segoe UI Light"/>
                <w:b/>
                <w:bCs/>
                <w:color w:val="000000"/>
                <w:sz w:val="18"/>
                <w:lang w:eastAsia="en-AU"/>
              </w:rPr>
              <w:t>Criteria</w:t>
            </w:r>
            <w:r w:rsidR="00577F60">
              <w:rPr>
                <w:rFonts w:eastAsia="Times New Roman" w:cs="Segoe UI Light"/>
                <w:b/>
                <w:bCs/>
                <w:color w:val="000000"/>
                <w:sz w:val="18"/>
                <w:lang w:eastAsia="en-AU"/>
              </w:rPr>
              <w:t xml:space="preserve"> (and weight)</w:t>
            </w:r>
          </w:p>
        </w:tc>
        <w:tc>
          <w:tcPr>
            <w:tcW w:w="0" w:type="pct"/>
            <w:tcBorders>
              <w:bottom w:val="nil"/>
            </w:tcBorders>
            <w:hideMark/>
          </w:tcPr>
          <w:p w14:paraId="656B06B7" w14:textId="77777777" w:rsidR="00A159B0" w:rsidRPr="00A07310" w:rsidRDefault="00A159B0" w:rsidP="00AB166C">
            <w:pPr>
              <w:spacing w:after="0" w:line="240" w:lineRule="auto"/>
              <w:ind w:right="57"/>
              <w:jc w:val="right"/>
              <w:rPr>
                <w:rFonts w:eastAsia="Times New Roman" w:cs="Segoe UI Light"/>
                <w:b/>
                <w:bCs/>
                <w:color w:val="000000"/>
                <w:sz w:val="18"/>
                <w:lang w:eastAsia="en-AU"/>
              </w:rPr>
            </w:pPr>
            <w:r w:rsidRPr="00A07310">
              <w:rPr>
                <w:rFonts w:eastAsia="Times New Roman" w:cs="Segoe UI Light"/>
                <w:b/>
                <w:bCs/>
                <w:color w:val="000000"/>
                <w:sz w:val="18"/>
                <w:lang w:eastAsia="en-AU"/>
              </w:rPr>
              <w:t>Option 1a</w:t>
            </w:r>
          </w:p>
        </w:tc>
        <w:tc>
          <w:tcPr>
            <w:tcW w:w="0" w:type="pct"/>
            <w:tcBorders>
              <w:bottom w:val="nil"/>
            </w:tcBorders>
            <w:hideMark/>
          </w:tcPr>
          <w:p w14:paraId="656B06B8" w14:textId="77777777" w:rsidR="00A159B0" w:rsidRPr="00A07310" w:rsidRDefault="00A159B0" w:rsidP="00AB166C">
            <w:pPr>
              <w:spacing w:after="0" w:line="240" w:lineRule="auto"/>
              <w:ind w:right="57"/>
              <w:jc w:val="right"/>
              <w:rPr>
                <w:rFonts w:eastAsia="Times New Roman" w:cs="Segoe UI Light"/>
                <w:b/>
                <w:bCs/>
                <w:color w:val="000000"/>
                <w:sz w:val="18"/>
                <w:lang w:eastAsia="en-AU"/>
              </w:rPr>
            </w:pPr>
            <w:r w:rsidRPr="00A07310">
              <w:rPr>
                <w:rFonts w:eastAsia="Times New Roman" w:cs="Segoe UI Light"/>
                <w:b/>
                <w:bCs/>
                <w:color w:val="000000"/>
                <w:sz w:val="18"/>
                <w:lang w:eastAsia="en-AU"/>
              </w:rPr>
              <w:t>Option 1b</w:t>
            </w:r>
          </w:p>
        </w:tc>
        <w:tc>
          <w:tcPr>
            <w:tcW w:w="0" w:type="pct"/>
            <w:tcBorders>
              <w:bottom w:val="nil"/>
            </w:tcBorders>
            <w:hideMark/>
          </w:tcPr>
          <w:p w14:paraId="656B06B9" w14:textId="77777777" w:rsidR="00A159B0" w:rsidRPr="00A07310" w:rsidRDefault="00A159B0" w:rsidP="00AB166C">
            <w:pPr>
              <w:spacing w:after="0" w:line="240" w:lineRule="auto"/>
              <w:ind w:right="57"/>
              <w:jc w:val="right"/>
              <w:rPr>
                <w:rFonts w:eastAsia="Times New Roman" w:cs="Segoe UI Light"/>
                <w:b/>
                <w:bCs/>
                <w:color w:val="000000"/>
                <w:sz w:val="18"/>
                <w:lang w:eastAsia="en-AU"/>
              </w:rPr>
            </w:pPr>
            <w:r w:rsidRPr="00A07310">
              <w:rPr>
                <w:rFonts w:eastAsia="Times New Roman" w:cs="Segoe UI Light"/>
                <w:b/>
                <w:bCs/>
                <w:color w:val="000000"/>
                <w:sz w:val="18"/>
                <w:lang w:eastAsia="en-AU"/>
              </w:rPr>
              <w:t>Option 2</w:t>
            </w:r>
          </w:p>
        </w:tc>
        <w:tc>
          <w:tcPr>
            <w:tcW w:w="0" w:type="pct"/>
            <w:tcBorders>
              <w:bottom w:val="nil"/>
            </w:tcBorders>
            <w:hideMark/>
          </w:tcPr>
          <w:p w14:paraId="656B06BA" w14:textId="77777777" w:rsidR="00A159B0" w:rsidRPr="00A07310" w:rsidRDefault="00A159B0" w:rsidP="00AB166C">
            <w:pPr>
              <w:spacing w:after="0" w:line="240" w:lineRule="auto"/>
              <w:ind w:right="57"/>
              <w:jc w:val="right"/>
              <w:rPr>
                <w:rFonts w:eastAsia="Times New Roman" w:cs="Segoe UI Light"/>
                <w:b/>
                <w:bCs/>
                <w:color w:val="000000"/>
                <w:sz w:val="18"/>
                <w:lang w:eastAsia="en-AU"/>
              </w:rPr>
            </w:pPr>
            <w:r w:rsidRPr="00A07310">
              <w:rPr>
                <w:rFonts w:eastAsia="Times New Roman" w:cs="Segoe UI Light"/>
                <w:b/>
                <w:bCs/>
                <w:color w:val="000000"/>
                <w:sz w:val="18"/>
                <w:lang w:eastAsia="en-AU"/>
              </w:rPr>
              <w:t>Option 3</w:t>
            </w:r>
          </w:p>
        </w:tc>
      </w:tr>
      <w:tr w:rsidR="00A159B0" w:rsidRPr="00A07310" w14:paraId="656B06C1" w14:textId="77777777" w:rsidTr="00577F60">
        <w:trPr>
          <w:trHeight w:val="810"/>
        </w:trPr>
        <w:tc>
          <w:tcPr>
            <w:tcW w:w="0" w:type="pct"/>
            <w:tcBorders>
              <w:top w:val="nil"/>
            </w:tcBorders>
            <w:noWrap/>
            <w:hideMark/>
          </w:tcPr>
          <w:p w14:paraId="656B06BC" w14:textId="77777777" w:rsidR="00A159B0" w:rsidRPr="00A07310" w:rsidRDefault="00A159B0" w:rsidP="004B63C1">
            <w:pPr>
              <w:spacing w:after="0" w:line="240" w:lineRule="auto"/>
              <w:rPr>
                <w:rFonts w:eastAsia="Times New Roman" w:cs="Segoe UI Light"/>
                <w:b/>
                <w:bCs/>
                <w:color w:val="000000"/>
                <w:sz w:val="18"/>
                <w:lang w:eastAsia="en-AU"/>
              </w:rPr>
            </w:pPr>
          </w:p>
        </w:tc>
        <w:tc>
          <w:tcPr>
            <w:tcW w:w="0" w:type="pct"/>
            <w:tcBorders>
              <w:top w:val="nil"/>
            </w:tcBorders>
            <w:hideMark/>
          </w:tcPr>
          <w:p w14:paraId="656B06BD" w14:textId="77777777" w:rsidR="00A159B0" w:rsidRPr="00A07310" w:rsidRDefault="00A159B0"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Very high, high, moderate hazard, tyres, e-waste</w:t>
            </w:r>
          </w:p>
        </w:tc>
        <w:tc>
          <w:tcPr>
            <w:tcW w:w="0" w:type="pct"/>
            <w:tcBorders>
              <w:top w:val="nil"/>
            </w:tcBorders>
            <w:hideMark/>
          </w:tcPr>
          <w:p w14:paraId="656B06BE" w14:textId="77777777" w:rsidR="00A159B0" w:rsidRPr="00A07310" w:rsidRDefault="00A159B0"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Very high, high, moderate hazard, tyres</w:t>
            </w:r>
          </w:p>
        </w:tc>
        <w:tc>
          <w:tcPr>
            <w:tcW w:w="0" w:type="pct"/>
            <w:tcBorders>
              <w:top w:val="nil"/>
            </w:tcBorders>
            <w:hideMark/>
          </w:tcPr>
          <w:p w14:paraId="656B06BF" w14:textId="77777777" w:rsidR="00A159B0" w:rsidRPr="00A07310" w:rsidRDefault="00A159B0"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Very high and high hazard</w:t>
            </w:r>
          </w:p>
        </w:tc>
        <w:tc>
          <w:tcPr>
            <w:tcW w:w="0" w:type="pct"/>
            <w:tcBorders>
              <w:top w:val="nil"/>
            </w:tcBorders>
            <w:hideMark/>
          </w:tcPr>
          <w:p w14:paraId="656B06C0" w14:textId="77777777" w:rsidR="00A159B0" w:rsidRPr="00A07310" w:rsidRDefault="00A159B0"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Very high, high, moderate hazard, tyres, e-waste, masonry/fill, plastics</w:t>
            </w:r>
          </w:p>
        </w:tc>
      </w:tr>
      <w:tr w:rsidR="00A159B0" w:rsidRPr="00A07310" w14:paraId="656B06C7" w14:textId="77777777" w:rsidTr="004B63C1">
        <w:trPr>
          <w:trHeight w:val="270"/>
        </w:trPr>
        <w:tc>
          <w:tcPr>
            <w:tcW w:w="1191" w:type="pct"/>
            <w:noWrap/>
            <w:hideMark/>
          </w:tcPr>
          <w:p w14:paraId="656B06C2" w14:textId="77777777" w:rsidR="00A159B0" w:rsidRPr="00A07310" w:rsidRDefault="00A159B0" w:rsidP="004B63C1">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Effectiveness</w:t>
            </w:r>
            <w:r w:rsidR="00577F60">
              <w:rPr>
                <w:rFonts w:eastAsia="Times New Roman" w:cs="Segoe UI Light"/>
                <w:color w:val="000000"/>
                <w:sz w:val="18"/>
                <w:lang w:eastAsia="en-AU"/>
              </w:rPr>
              <w:t xml:space="preserve"> (50%)</w:t>
            </w:r>
          </w:p>
        </w:tc>
        <w:tc>
          <w:tcPr>
            <w:tcW w:w="991" w:type="pct"/>
            <w:noWrap/>
            <w:hideMark/>
          </w:tcPr>
          <w:p w14:paraId="656B06C3" w14:textId="77777777" w:rsidR="00A159B0" w:rsidRPr="00A07310" w:rsidRDefault="00A159B0" w:rsidP="00AB166C">
            <w:pPr>
              <w:spacing w:after="0" w:line="240" w:lineRule="auto"/>
              <w:ind w:right="57"/>
              <w:jc w:val="right"/>
              <w:rPr>
                <w:rFonts w:eastAsia="Times New Roman" w:cs="Segoe UI Light"/>
                <w:color w:val="000000"/>
                <w:sz w:val="18"/>
                <w:lang w:eastAsia="en-AU"/>
              </w:rPr>
            </w:pPr>
            <w:r>
              <w:rPr>
                <w:rFonts w:cs="Segoe UI Light"/>
                <w:color w:val="000000"/>
                <w:sz w:val="18"/>
              </w:rPr>
              <w:t>6</w:t>
            </w:r>
          </w:p>
        </w:tc>
        <w:tc>
          <w:tcPr>
            <w:tcW w:w="990" w:type="pct"/>
            <w:noWrap/>
            <w:hideMark/>
          </w:tcPr>
          <w:p w14:paraId="656B06C4" w14:textId="77777777" w:rsidR="00A159B0" w:rsidRPr="00A07310" w:rsidRDefault="00A159B0" w:rsidP="00AB166C">
            <w:pPr>
              <w:spacing w:after="0" w:line="240" w:lineRule="auto"/>
              <w:ind w:right="57"/>
              <w:jc w:val="right"/>
              <w:rPr>
                <w:rFonts w:eastAsia="Times New Roman" w:cs="Segoe UI Light"/>
                <w:color w:val="000000"/>
                <w:sz w:val="18"/>
                <w:lang w:eastAsia="en-AU"/>
              </w:rPr>
            </w:pPr>
            <w:r>
              <w:rPr>
                <w:rFonts w:cs="Segoe UI Light"/>
                <w:color w:val="000000"/>
                <w:sz w:val="18"/>
              </w:rPr>
              <w:t>4</w:t>
            </w:r>
          </w:p>
        </w:tc>
        <w:tc>
          <w:tcPr>
            <w:tcW w:w="879" w:type="pct"/>
            <w:noWrap/>
            <w:hideMark/>
          </w:tcPr>
          <w:p w14:paraId="656B06C5" w14:textId="77777777" w:rsidR="00A159B0" w:rsidRPr="00A07310" w:rsidRDefault="00A159B0" w:rsidP="00AB166C">
            <w:pPr>
              <w:spacing w:after="0" w:line="240" w:lineRule="auto"/>
              <w:ind w:right="57"/>
              <w:jc w:val="right"/>
              <w:rPr>
                <w:rFonts w:eastAsia="Times New Roman" w:cs="Segoe UI Light"/>
                <w:color w:val="000000"/>
                <w:sz w:val="18"/>
                <w:lang w:eastAsia="en-AU"/>
              </w:rPr>
            </w:pPr>
            <w:r w:rsidRPr="00A07310">
              <w:rPr>
                <w:rFonts w:cs="Segoe UI Light"/>
                <w:color w:val="000000"/>
                <w:sz w:val="18"/>
              </w:rPr>
              <w:t>1</w:t>
            </w:r>
          </w:p>
        </w:tc>
        <w:tc>
          <w:tcPr>
            <w:tcW w:w="950" w:type="pct"/>
            <w:noWrap/>
            <w:hideMark/>
          </w:tcPr>
          <w:p w14:paraId="656B06C6" w14:textId="77777777" w:rsidR="00A159B0" w:rsidRPr="00A07310" w:rsidRDefault="00A159B0" w:rsidP="00AB166C">
            <w:pPr>
              <w:spacing w:after="0" w:line="240" w:lineRule="auto"/>
              <w:ind w:right="57"/>
              <w:jc w:val="right"/>
              <w:rPr>
                <w:rFonts w:eastAsia="Times New Roman" w:cs="Segoe UI Light"/>
                <w:color w:val="000000"/>
                <w:sz w:val="18"/>
                <w:lang w:eastAsia="en-AU"/>
              </w:rPr>
            </w:pPr>
            <w:r w:rsidRPr="00A07310">
              <w:rPr>
                <w:rFonts w:cs="Segoe UI Light"/>
                <w:color w:val="000000"/>
                <w:sz w:val="18"/>
              </w:rPr>
              <w:t>7</w:t>
            </w:r>
          </w:p>
        </w:tc>
      </w:tr>
      <w:tr w:rsidR="00A159B0" w:rsidRPr="00A07310" w14:paraId="656B06CD" w14:textId="77777777" w:rsidTr="004B63C1">
        <w:trPr>
          <w:trHeight w:val="270"/>
        </w:trPr>
        <w:tc>
          <w:tcPr>
            <w:tcW w:w="1191" w:type="pct"/>
            <w:noWrap/>
            <w:hideMark/>
          </w:tcPr>
          <w:p w14:paraId="656B06C8" w14:textId="77777777" w:rsidR="00A159B0" w:rsidRPr="00A07310" w:rsidRDefault="00A159B0" w:rsidP="004B63C1">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Cost</w:t>
            </w:r>
            <w:r w:rsidR="00577F60">
              <w:rPr>
                <w:rFonts w:eastAsia="Times New Roman" w:cs="Segoe UI Light"/>
                <w:color w:val="000000"/>
                <w:sz w:val="18"/>
                <w:lang w:eastAsia="en-AU"/>
              </w:rPr>
              <w:t xml:space="preserve"> (50%)</w:t>
            </w:r>
          </w:p>
        </w:tc>
        <w:tc>
          <w:tcPr>
            <w:tcW w:w="991" w:type="pct"/>
            <w:noWrap/>
            <w:hideMark/>
          </w:tcPr>
          <w:p w14:paraId="656B06C9" w14:textId="77777777" w:rsidR="00A159B0" w:rsidRPr="00A07310" w:rsidRDefault="00A159B0" w:rsidP="00AB166C">
            <w:pPr>
              <w:spacing w:after="0" w:line="240" w:lineRule="auto"/>
              <w:ind w:right="57"/>
              <w:jc w:val="right"/>
              <w:rPr>
                <w:rFonts w:eastAsia="Times New Roman" w:cs="Segoe UI Light"/>
                <w:color w:val="000000"/>
                <w:sz w:val="18"/>
                <w:lang w:eastAsia="en-AU"/>
              </w:rPr>
            </w:pPr>
            <w:r w:rsidRPr="00A07310">
              <w:rPr>
                <w:rFonts w:cs="Segoe UI Light"/>
                <w:color w:val="000000"/>
                <w:sz w:val="18"/>
              </w:rPr>
              <w:t>-</w:t>
            </w:r>
            <w:r w:rsidR="00A55B7C">
              <w:rPr>
                <w:rFonts w:cs="Segoe UI Light"/>
                <w:color w:val="000000"/>
                <w:sz w:val="18"/>
              </w:rPr>
              <w:t>3</w:t>
            </w:r>
          </w:p>
        </w:tc>
        <w:tc>
          <w:tcPr>
            <w:tcW w:w="990" w:type="pct"/>
            <w:noWrap/>
            <w:hideMark/>
          </w:tcPr>
          <w:p w14:paraId="656B06CA" w14:textId="77777777" w:rsidR="00A159B0" w:rsidRPr="00A07310" w:rsidRDefault="00A159B0" w:rsidP="00AB166C">
            <w:pPr>
              <w:spacing w:after="0" w:line="240" w:lineRule="auto"/>
              <w:ind w:right="57"/>
              <w:jc w:val="right"/>
              <w:rPr>
                <w:rFonts w:eastAsia="Times New Roman" w:cs="Segoe UI Light"/>
                <w:color w:val="000000"/>
                <w:sz w:val="18"/>
                <w:lang w:eastAsia="en-AU"/>
              </w:rPr>
            </w:pPr>
            <w:r w:rsidRPr="00A07310">
              <w:rPr>
                <w:rFonts w:cs="Segoe UI Light"/>
                <w:color w:val="000000"/>
                <w:sz w:val="18"/>
              </w:rPr>
              <w:t>-</w:t>
            </w:r>
            <w:r w:rsidR="00A55B7C">
              <w:rPr>
                <w:rFonts w:cs="Segoe UI Light"/>
                <w:color w:val="000000"/>
                <w:sz w:val="18"/>
              </w:rPr>
              <w:t>2</w:t>
            </w:r>
          </w:p>
        </w:tc>
        <w:tc>
          <w:tcPr>
            <w:tcW w:w="879" w:type="pct"/>
            <w:noWrap/>
            <w:hideMark/>
          </w:tcPr>
          <w:p w14:paraId="656B06CB" w14:textId="77777777" w:rsidR="00A159B0" w:rsidRPr="00A07310" w:rsidRDefault="00A159B0" w:rsidP="00AB166C">
            <w:pPr>
              <w:spacing w:after="0" w:line="240" w:lineRule="auto"/>
              <w:ind w:right="57"/>
              <w:jc w:val="right"/>
              <w:rPr>
                <w:rFonts w:eastAsia="Times New Roman" w:cs="Segoe UI Light"/>
                <w:color w:val="000000"/>
                <w:sz w:val="18"/>
                <w:lang w:eastAsia="en-AU"/>
              </w:rPr>
            </w:pPr>
            <w:r w:rsidRPr="00A07310">
              <w:rPr>
                <w:rFonts w:cs="Segoe UI Light"/>
                <w:color w:val="000000"/>
                <w:sz w:val="18"/>
              </w:rPr>
              <w:t>-</w:t>
            </w:r>
            <w:r w:rsidR="00A55B7C">
              <w:rPr>
                <w:rFonts w:cs="Segoe UI Light"/>
                <w:color w:val="000000"/>
                <w:sz w:val="18"/>
              </w:rPr>
              <w:t>1</w:t>
            </w:r>
          </w:p>
        </w:tc>
        <w:tc>
          <w:tcPr>
            <w:tcW w:w="950" w:type="pct"/>
            <w:noWrap/>
            <w:hideMark/>
          </w:tcPr>
          <w:p w14:paraId="656B06CC" w14:textId="77777777" w:rsidR="00A159B0" w:rsidRPr="00A07310" w:rsidRDefault="00A159B0" w:rsidP="00AB166C">
            <w:pPr>
              <w:spacing w:after="0" w:line="240" w:lineRule="auto"/>
              <w:ind w:right="57"/>
              <w:jc w:val="right"/>
              <w:rPr>
                <w:rFonts w:eastAsia="Times New Roman" w:cs="Segoe UI Light"/>
                <w:color w:val="000000"/>
                <w:sz w:val="18"/>
                <w:lang w:eastAsia="en-AU"/>
              </w:rPr>
            </w:pPr>
            <w:r w:rsidRPr="00A07310">
              <w:rPr>
                <w:rFonts w:cs="Segoe UI Light"/>
                <w:color w:val="000000"/>
                <w:sz w:val="18"/>
              </w:rPr>
              <w:t>-</w:t>
            </w:r>
            <w:r w:rsidR="00A55B7C">
              <w:rPr>
                <w:rFonts w:cs="Segoe UI Light"/>
                <w:color w:val="000000"/>
                <w:sz w:val="18"/>
              </w:rPr>
              <w:t>10</w:t>
            </w:r>
          </w:p>
        </w:tc>
      </w:tr>
      <w:tr w:rsidR="00A159B0" w:rsidRPr="00A07310" w14:paraId="656B06D3" w14:textId="77777777" w:rsidTr="004B63C1">
        <w:trPr>
          <w:trHeight w:val="270"/>
        </w:trPr>
        <w:tc>
          <w:tcPr>
            <w:tcW w:w="1191" w:type="pct"/>
            <w:noWrap/>
            <w:hideMark/>
          </w:tcPr>
          <w:p w14:paraId="656B06CE" w14:textId="77777777" w:rsidR="00A159B0" w:rsidRPr="00A07310" w:rsidRDefault="00A159B0" w:rsidP="004B63C1">
            <w:pPr>
              <w:spacing w:after="0" w:line="240" w:lineRule="auto"/>
              <w:rPr>
                <w:rFonts w:eastAsia="Times New Roman" w:cs="Segoe UI Light"/>
                <w:b/>
                <w:bCs/>
                <w:color w:val="000000"/>
                <w:sz w:val="18"/>
                <w:lang w:eastAsia="en-AU"/>
              </w:rPr>
            </w:pPr>
            <w:r w:rsidRPr="00A07310">
              <w:rPr>
                <w:rFonts w:eastAsia="Times New Roman" w:cs="Segoe UI Light"/>
                <w:b/>
                <w:bCs/>
                <w:color w:val="000000"/>
                <w:sz w:val="18"/>
                <w:lang w:eastAsia="en-AU"/>
              </w:rPr>
              <w:t xml:space="preserve">Total </w:t>
            </w:r>
            <w:r w:rsidR="00577F60">
              <w:rPr>
                <w:rFonts w:eastAsia="Times New Roman" w:cs="Segoe UI Light"/>
                <w:b/>
                <w:bCs/>
                <w:color w:val="000000"/>
                <w:sz w:val="18"/>
                <w:lang w:eastAsia="en-AU"/>
              </w:rPr>
              <w:t xml:space="preserve">weighted </w:t>
            </w:r>
            <w:r w:rsidRPr="00A07310">
              <w:rPr>
                <w:rFonts w:eastAsia="Times New Roman" w:cs="Segoe UI Light"/>
                <w:b/>
                <w:bCs/>
                <w:color w:val="000000"/>
                <w:sz w:val="18"/>
                <w:lang w:eastAsia="en-AU"/>
              </w:rPr>
              <w:t>score</w:t>
            </w:r>
          </w:p>
        </w:tc>
        <w:tc>
          <w:tcPr>
            <w:tcW w:w="991" w:type="pct"/>
            <w:noWrap/>
            <w:hideMark/>
          </w:tcPr>
          <w:p w14:paraId="656B06CF" w14:textId="77777777" w:rsidR="00A159B0" w:rsidRPr="00A07310" w:rsidRDefault="00577F60" w:rsidP="00AB166C">
            <w:pPr>
              <w:spacing w:after="0" w:line="240" w:lineRule="auto"/>
              <w:ind w:right="57"/>
              <w:jc w:val="right"/>
              <w:rPr>
                <w:rFonts w:eastAsia="Times New Roman" w:cs="Segoe UI Light"/>
                <w:b/>
                <w:bCs/>
                <w:color w:val="000000"/>
                <w:sz w:val="18"/>
                <w:lang w:eastAsia="en-AU"/>
              </w:rPr>
            </w:pPr>
            <w:r>
              <w:rPr>
                <w:rFonts w:cs="Segoe UI Light"/>
                <w:b/>
                <w:bCs/>
                <w:color w:val="000000"/>
                <w:sz w:val="18"/>
              </w:rPr>
              <w:t>1.5</w:t>
            </w:r>
          </w:p>
        </w:tc>
        <w:tc>
          <w:tcPr>
            <w:tcW w:w="990" w:type="pct"/>
            <w:noWrap/>
            <w:hideMark/>
          </w:tcPr>
          <w:p w14:paraId="656B06D0" w14:textId="77777777" w:rsidR="00A159B0" w:rsidRPr="00A07310" w:rsidRDefault="00577F60" w:rsidP="00AB166C">
            <w:pPr>
              <w:spacing w:after="0" w:line="240" w:lineRule="auto"/>
              <w:ind w:right="57"/>
              <w:jc w:val="right"/>
              <w:rPr>
                <w:rFonts w:eastAsia="Times New Roman" w:cs="Segoe UI Light"/>
                <w:b/>
                <w:bCs/>
                <w:color w:val="000000"/>
                <w:sz w:val="18"/>
                <w:lang w:eastAsia="en-AU"/>
              </w:rPr>
            </w:pPr>
            <w:r>
              <w:rPr>
                <w:rFonts w:cs="Segoe UI Light"/>
                <w:b/>
                <w:bCs/>
                <w:color w:val="000000"/>
                <w:sz w:val="18"/>
              </w:rPr>
              <w:t>1</w:t>
            </w:r>
          </w:p>
        </w:tc>
        <w:tc>
          <w:tcPr>
            <w:tcW w:w="879" w:type="pct"/>
            <w:noWrap/>
            <w:hideMark/>
          </w:tcPr>
          <w:p w14:paraId="656B06D1" w14:textId="77777777" w:rsidR="00A159B0" w:rsidRPr="00A07310" w:rsidRDefault="00A55B7C" w:rsidP="00AB166C">
            <w:pPr>
              <w:spacing w:after="0" w:line="240" w:lineRule="auto"/>
              <w:ind w:right="57"/>
              <w:jc w:val="right"/>
              <w:rPr>
                <w:rFonts w:eastAsia="Times New Roman" w:cs="Segoe UI Light"/>
                <w:b/>
                <w:bCs/>
                <w:color w:val="000000"/>
                <w:sz w:val="18"/>
                <w:lang w:eastAsia="en-AU"/>
              </w:rPr>
            </w:pPr>
            <w:r>
              <w:rPr>
                <w:rFonts w:cs="Segoe UI Light"/>
                <w:b/>
                <w:bCs/>
                <w:color w:val="000000"/>
                <w:sz w:val="18"/>
              </w:rPr>
              <w:t>0</w:t>
            </w:r>
          </w:p>
        </w:tc>
        <w:tc>
          <w:tcPr>
            <w:tcW w:w="950" w:type="pct"/>
            <w:noWrap/>
            <w:hideMark/>
          </w:tcPr>
          <w:p w14:paraId="656B06D2" w14:textId="77777777" w:rsidR="00A159B0" w:rsidRPr="00A07310" w:rsidRDefault="00A55B7C" w:rsidP="00AB166C">
            <w:pPr>
              <w:spacing w:after="0" w:line="240" w:lineRule="auto"/>
              <w:ind w:right="57"/>
              <w:jc w:val="right"/>
              <w:rPr>
                <w:rFonts w:eastAsia="Times New Roman" w:cs="Segoe UI Light"/>
                <w:b/>
                <w:bCs/>
                <w:color w:val="000000"/>
                <w:sz w:val="18"/>
                <w:lang w:eastAsia="en-AU"/>
              </w:rPr>
            </w:pPr>
            <w:r>
              <w:rPr>
                <w:rFonts w:cs="Segoe UI Light"/>
                <w:b/>
                <w:bCs/>
                <w:color w:val="000000"/>
                <w:sz w:val="18"/>
              </w:rPr>
              <w:t>-</w:t>
            </w:r>
            <w:r w:rsidR="00577F60">
              <w:rPr>
                <w:rFonts w:cs="Segoe UI Light"/>
                <w:b/>
                <w:bCs/>
                <w:color w:val="000000"/>
                <w:sz w:val="18"/>
              </w:rPr>
              <w:t>1.5</w:t>
            </w:r>
          </w:p>
        </w:tc>
      </w:tr>
    </w:tbl>
    <w:p w14:paraId="656B06D4" w14:textId="77777777" w:rsidR="00A159B0" w:rsidRPr="00AE3B46" w:rsidRDefault="00A159B0" w:rsidP="00A159B0"/>
    <w:p w14:paraId="656B06D5" w14:textId="77777777" w:rsidR="00213E13" w:rsidRDefault="00213E13" w:rsidP="00982D63">
      <w:pPr>
        <w:pStyle w:val="Heading2"/>
      </w:pPr>
      <w:r>
        <w:t>Reportable priority waste</w:t>
      </w:r>
    </w:p>
    <w:p w14:paraId="656B06D6" w14:textId="77777777" w:rsidR="00ED040F" w:rsidRDefault="00ED040F" w:rsidP="001D4AFF">
      <w:pPr>
        <w:pStyle w:val="Heading3"/>
        <w:ind w:left="720"/>
      </w:pPr>
      <w:r>
        <w:t>Options</w:t>
      </w:r>
    </w:p>
    <w:p w14:paraId="656B06D7" w14:textId="77777777" w:rsidR="00213E13" w:rsidRDefault="00213E13" w:rsidP="00213E13">
      <w:r>
        <w:t xml:space="preserve">The regulatory options for reportable priority waste take two forms: </w:t>
      </w:r>
    </w:p>
    <w:p w14:paraId="656B06D8" w14:textId="77777777" w:rsidR="00213E13" w:rsidRDefault="00213E13" w:rsidP="00213E13">
      <w:pPr>
        <w:pStyle w:val="ListParagraph"/>
        <w:numPr>
          <w:ilvl w:val="0"/>
          <w:numId w:val="91"/>
        </w:numPr>
      </w:pPr>
      <w:r w:rsidRPr="000E7C5E">
        <w:rPr>
          <w:b/>
        </w:rPr>
        <w:t>Cohort options</w:t>
      </w:r>
      <w:r>
        <w:t xml:space="preserve"> –deciding which waste types will be considered as reportable priority waste</w:t>
      </w:r>
      <w:r w:rsidR="00DE7273">
        <w:t>.</w:t>
      </w:r>
    </w:p>
    <w:p w14:paraId="656B06D9" w14:textId="77777777" w:rsidR="00213E13" w:rsidRPr="0084422E" w:rsidRDefault="00213E13" w:rsidP="00213E13">
      <w:pPr>
        <w:pStyle w:val="ListParagraph"/>
        <w:numPr>
          <w:ilvl w:val="0"/>
          <w:numId w:val="91"/>
        </w:numPr>
      </w:pPr>
      <w:r w:rsidRPr="000E7C5E">
        <w:rPr>
          <w:b/>
        </w:rPr>
        <w:t>Transport options</w:t>
      </w:r>
      <w:r>
        <w:t xml:space="preserve"> –giving specific form and application to reportable priority waste duties (namely transaction and transport duties)</w:t>
      </w:r>
      <w:r w:rsidR="00DE7273">
        <w:t>.</w:t>
      </w:r>
    </w:p>
    <w:p w14:paraId="656B06DA" w14:textId="77777777" w:rsidR="003173D1" w:rsidRDefault="003173D1" w:rsidP="004E20F3">
      <w:pPr>
        <w:spacing w:after="60"/>
        <w:jc w:val="both"/>
        <w:rPr>
          <w:lang w:eastAsia="en-AU"/>
        </w:rPr>
      </w:pPr>
      <w:r>
        <w:rPr>
          <w:lang w:eastAsia="en-AU"/>
        </w:rPr>
        <w:t xml:space="preserve">In developing options, DELWP and EPA considered </w:t>
      </w:r>
      <w:r w:rsidRPr="00EC5C30">
        <w:rPr>
          <w:lang w:eastAsia="en-AU"/>
        </w:rPr>
        <w:t xml:space="preserve">which wastes </w:t>
      </w:r>
      <w:r>
        <w:rPr>
          <w:lang w:eastAsia="en-AU"/>
        </w:rPr>
        <w:t xml:space="preserve">would </w:t>
      </w:r>
      <w:r w:rsidRPr="00EC5C30">
        <w:rPr>
          <w:lang w:eastAsia="en-AU"/>
        </w:rPr>
        <w:t xml:space="preserve">warrant the additional controls beyond those already in the </w:t>
      </w:r>
      <w:r w:rsidR="00375D81">
        <w:rPr>
          <w:lang w:eastAsia="en-AU"/>
        </w:rPr>
        <w:t>GED</w:t>
      </w:r>
      <w:r w:rsidRPr="00EC5C30">
        <w:rPr>
          <w:lang w:eastAsia="en-AU"/>
        </w:rPr>
        <w:t xml:space="preserve">, industrial waste, lawful </w:t>
      </w:r>
      <w:r>
        <w:rPr>
          <w:lang w:eastAsia="en-AU"/>
        </w:rPr>
        <w:t xml:space="preserve">place and priority waste duties. </w:t>
      </w:r>
    </w:p>
    <w:p w14:paraId="656B06DB" w14:textId="77777777" w:rsidR="005D3927" w:rsidRPr="005D3927" w:rsidRDefault="001A27C6" w:rsidP="005D3927">
      <w:pPr>
        <w:rPr>
          <w:lang w:eastAsia="en-AU"/>
        </w:rPr>
      </w:pPr>
      <w:r>
        <w:rPr>
          <w:lang w:eastAsia="en-AU"/>
        </w:rPr>
        <w:t xml:space="preserve">Since the cohort options and transport options interact, cost estimates </w:t>
      </w:r>
      <w:r w:rsidR="00DE7273">
        <w:rPr>
          <w:lang w:eastAsia="en-AU"/>
        </w:rPr>
        <w:t>have been</w:t>
      </w:r>
      <w:r>
        <w:rPr>
          <w:lang w:eastAsia="en-AU"/>
        </w:rPr>
        <w:t xml:space="preserve"> developed for combinations of four cohort options and three transport options, to produce </w:t>
      </w:r>
      <w:r w:rsidR="005D3927">
        <w:rPr>
          <w:lang w:eastAsia="en-AU"/>
        </w:rPr>
        <w:t>12</w:t>
      </w:r>
      <w:r>
        <w:rPr>
          <w:lang w:eastAsia="en-AU"/>
        </w:rPr>
        <w:t xml:space="preserve"> cost estimates. Costs scale proportionally and in the same direction for transport options across cohort options, and for cohort options across transport options, so separate MCAs were used for cohort and transport options for simplicity</w:t>
      </w:r>
      <w:r w:rsidR="00DC7A63">
        <w:rPr>
          <w:lang w:eastAsia="en-AU"/>
        </w:rPr>
        <w:t xml:space="preserve">. </w:t>
      </w:r>
      <w:r>
        <w:rPr>
          <w:lang w:eastAsia="en-AU"/>
        </w:rPr>
        <w:t xml:space="preserve"> </w:t>
      </w:r>
    </w:p>
    <w:p w14:paraId="656B06DC" w14:textId="77777777" w:rsidR="00213E13" w:rsidRDefault="00ED040F" w:rsidP="00213E13">
      <w:pPr>
        <w:pStyle w:val="Heading4"/>
      </w:pPr>
      <w:r>
        <w:t>C</w:t>
      </w:r>
      <w:r w:rsidR="00213E13">
        <w:t>ohort options</w:t>
      </w:r>
    </w:p>
    <w:p w14:paraId="656B06DD" w14:textId="77777777" w:rsidR="00213E13" w:rsidRDefault="00213E13" w:rsidP="00213E13">
      <w:r>
        <w:t xml:space="preserve">Similar to priority waste, </w:t>
      </w:r>
      <w:r w:rsidR="0024182C">
        <w:t>two</w:t>
      </w:r>
      <w:r w:rsidR="0024182C" w:rsidRPr="00D44D27">
        <w:t xml:space="preserve"> </w:t>
      </w:r>
      <w:r w:rsidRPr="00D44D27">
        <w:t xml:space="preserve">key criteria </w:t>
      </w:r>
      <w:r>
        <w:t xml:space="preserve">are being considered to determine what should be reportable priority waste </w:t>
      </w:r>
      <w:r w:rsidRPr="00D44D27">
        <w:t>– namely hazard</w:t>
      </w:r>
      <w:r w:rsidR="0024182C">
        <w:t xml:space="preserve"> and</w:t>
      </w:r>
      <w:r w:rsidRPr="00D44D27">
        <w:t xml:space="preserve"> mismanagement potential. </w:t>
      </w:r>
      <w:r>
        <w:t>The options for what is considered reportable priority waste are:</w:t>
      </w:r>
    </w:p>
    <w:p w14:paraId="656B06DE" w14:textId="77777777" w:rsidR="00213E13" w:rsidRPr="00EA511E" w:rsidRDefault="00213E13" w:rsidP="00213E13">
      <w:pPr>
        <w:pStyle w:val="ListParagraph"/>
        <w:numPr>
          <w:ilvl w:val="0"/>
          <w:numId w:val="98"/>
        </w:numPr>
        <w:spacing w:after="170"/>
      </w:pPr>
      <w:r w:rsidRPr="00EA511E">
        <w:rPr>
          <w:b/>
          <w:i/>
        </w:rPr>
        <w:t>Base case.</w:t>
      </w:r>
      <w:r>
        <w:t xml:space="preserve"> The Base Case would have no reportable priority wastes prescribed. It is recognised that waste tracking for hazardous wastes is currently practiced, however due to cost</w:t>
      </w:r>
      <w:r w:rsidR="00DE7273">
        <w:t>s to</w:t>
      </w:r>
      <w:r>
        <w:t xml:space="preserve"> businesses, this tracking would be unlikely to continue under the </w:t>
      </w:r>
      <w:r w:rsidR="00676531">
        <w:t>new EP legislation (in the absence of any further regulations</w:t>
      </w:r>
      <w:r w:rsidR="00E152F4">
        <w:t>)</w:t>
      </w:r>
      <w:r>
        <w:t>.</w:t>
      </w:r>
    </w:p>
    <w:p w14:paraId="656B06DF" w14:textId="77777777" w:rsidR="00213E13" w:rsidRDefault="00213E13" w:rsidP="00213E13">
      <w:pPr>
        <w:pStyle w:val="ListParagraph"/>
        <w:numPr>
          <w:ilvl w:val="0"/>
          <w:numId w:val="98"/>
        </w:numPr>
        <w:spacing w:after="170"/>
      </w:pPr>
      <w:r w:rsidRPr="003225A3">
        <w:rPr>
          <w:b/>
          <w:i/>
        </w:rPr>
        <w:t>Option 1: Balancing risk</w:t>
      </w:r>
      <w:r>
        <w:rPr>
          <w:i/>
        </w:rPr>
        <w:t>.</w:t>
      </w:r>
      <w:r>
        <w:t xml:space="preserve"> </w:t>
      </w:r>
      <w:r w:rsidRPr="003D7CAC">
        <w:t>Transport permission</w:t>
      </w:r>
      <w:r>
        <w:t>s</w:t>
      </w:r>
      <w:r w:rsidRPr="003D7CAC" w:rsidDel="003D7CAC">
        <w:t xml:space="preserve"> </w:t>
      </w:r>
      <w:r>
        <w:t>would apply to very high – moderate hazard wastes. Transaction tracking would apply to all very high and high hazard wastes (e.g. asbestos, hazardous liquids, contaminated soils)</w:t>
      </w:r>
      <w:r w:rsidR="00E152F4">
        <w:t>, tyres and</w:t>
      </w:r>
      <w:r>
        <w:t xml:space="preserve"> moderate hazard wastes that are being dumped or disappearing or there is an opportunity for concealment. </w:t>
      </w:r>
    </w:p>
    <w:p w14:paraId="656B06E0" w14:textId="77777777" w:rsidR="00213E13" w:rsidRDefault="00213E13" w:rsidP="00213E13">
      <w:pPr>
        <w:pStyle w:val="ListParagraph"/>
        <w:numPr>
          <w:ilvl w:val="0"/>
          <w:numId w:val="98"/>
        </w:numPr>
        <w:spacing w:after="170"/>
      </w:pPr>
      <w:r w:rsidRPr="003225A3">
        <w:rPr>
          <w:b/>
          <w:i/>
        </w:rPr>
        <w:t>Option 2a: High hazard only (partial).</w:t>
      </w:r>
      <w:r>
        <w:t xml:space="preserve"> </w:t>
      </w:r>
      <w:r w:rsidRPr="003D7CAC">
        <w:t>Transport permission</w:t>
      </w:r>
      <w:r>
        <w:t>s</w:t>
      </w:r>
      <w:r w:rsidRPr="003D7CAC" w:rsidDel="003D7CAC">
        <w:t xml:space="preserve"> </w:t>
      </w:r>
      <w:r>
        <w:t>would apply to very high – high hazard wastes. Transaction tracking would apply to those very high and high hazard wastes that are being dumped or disappearing (e.g. asbestos, contaminated soils).</w:t>
      </w:r>
    </w:p>
    <w:p w14:paraId="656B06E1" w14:textId="77777777" w:rsidR="00213E13" w:rsidRDefault="00213E13" w:rsidP="00213E13">
      <w:pPr>
        <w:pStyle w:val="ListParagraph"/>
        <w:numPr>
          <w:ilvl w:val="0"/>
          <w:numId w:val="98"/>
        </w:numPr>
        <w:spacing w:after="170"/>
      </w:pPr>
      <w:r w:rsidRPr="003225A3">
        <w:rPr>
          <w:b/>
          <w:i/>
        </w:rPr>
        <w:t>Option 2b: High hazard only (all).</w:t>
      </w:r>
      <w:r>
        <w:t xml:space="preserve"> </w:t>
      </w:r>
      <w:r w:rsidRPr="003D7CAC">
        <w:t>Transport permission</w:t>
      </w:r>
      <w:r>
        <w:t>s</w:t>
      </w:r>
      <w:r w:rsidRPr="003D7CAC" w:rsidDel="003D7CAC">
        <w:t xml:space="preserve"> </w:t>
      </w:r>
      <w:r>
        <w:t>would apply to all very high – high hazard wastes. Transaction tracking would apply to all very high – high hazard wastes (not just those that are being dumped or disappearing as per Option 2a).</w:t>
      </w:r>
    </w:p>
    <w:p w14:paraId="656B06E2" w14:textId="77777777" w:rsidR="00213E13" w:rsidRDefault="00213E13" w:rsidP="00213E13">
      <w:pPr>
        <w:pStyle w:val="ListParagraph"/>
        <w:numPr>
          <w:ilvl w:val="0"/>
          <w:numId w:val="98"/>
        </w:numPr>
        <w:spacing w:after="170"/>
      </w:pPr>
      <w:r w:rsidRPr="003225A3">
        <w:rPr>
          <w:b/>
          <w:i/>
        </w:rPr>
        <w:t>Option 3: Balancing risk and encouraging recovery.</w:t>
      </w:r>
      <w:r w:rsidRPr="003225A3">
        <w:rPr>
          <w:b/>
        </w:rPr>
        <w:t xml:space="preserve"> </w:t>
      </w:r>
      <w:r w:rsidRPr="003D7CAC">
        <w:t>Transport permission</w:t>
      </w:r>
      <w:r>
        <w:t>s</w:t>
      </w:r>
      <w:r w:rsidRPr="003D7CAC" w:rsidDel="003D7CAC">
        <w:t xml:space="preserve"> </w:t>
      </w:r>
      <w:r>
        <w:t xml:space="preserve">would apply to very high – moderate hazards. Transaction tracking would apply to all very high and high hazard wastes as well as moderate hazard wastes that are dumped, disappearing or </w:t>
      </w:r>
      <w:r w:rsidR="00853F1D">
        <w:t xml:space="preserve">where </w:t>
      </w:r>
      <w:r>
        <w:t>there is an opportunity for concealment (e.g. asbestos, hazardous liquids, contaminated soils) and plastics and e-waste.</w:t>
      </w:r>
    </w:p>
    <w:p w14:paraId="656B06E3" w14:textId="77777777" w:rsidR="00213E13" w:rsidRPr="00386E87" w:rsidRDefault="00213E13" w:rsidP="000E7C5E">
      <w:pPr>
        <w:pStyle w:val="2Source"/>
        <w:spacing w:after="120"/>
        <w:rPr>
          <w:szCs w:val="20"/>
        </w:rPr>
      </w:pPr>
      <w:r w:rsidRPr="00827D05">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9</w:t>
      </w:r>
      <w:r w:rsidR="00997CFA">
        <w:rPr>
          <w:color w:val="2B579A"/>
          <w:shd w:val="clear" w:color="auto" w:fill="E6E6E6"/>
        </w:rPr>
        <w:fldChar w:fldCharType="end"/>
      </w:r>
      <w:r w:rsidRPr="00827D05">
        <w:rPr>
          <w:szCs w:val="20"/>
        </w:rPr>
        <w:t xml:space="preserve"> </w:t>
      </w:r>
      <w:r>
        <w:rPr>
          <w:szCs w:val="20"/>
        </w:rPr>
        <w:t>Summary of reportable priority waste cohort options</w:t>
      </w:r>
    </w:p>
    <w:tbl>
      <w:tblPr>
        <w:tblStyle w:val="Deloittetable"/>
        <w:tblW w:w="5000" w:type="pct"/>
        <w:tblLook w:val="04A0" w:firstRow="1" w:lastRow="0" w:firstColumn="1" w:lastColumn="0" w:noHBand="0" w:noVBand="1"/>
      </w:tblPr>
      <w:tblGrid>
        <w:gridCol w:w="2681"/>
        <w:gridCol w:w="2541"/>
        <w:gridCol w:w="1467"/>
        <w:gridCol w:w="2666"/>
      </w:tblGrid>
      <w:tr w:rsidR="00DF0C59" w:rsidRPr="009D2887" w14:paraId="656B06E8" w14:textId="77777777" w:rsidTr="001D4AFF">
        <w:trPr>
          <w:cnfStyle w:val="100000000000" w:firstRow="1" w:lastRow="0" w:firstColumn="0" w:lastColumn="0" w:oddVBand="0" w:evenVBand="0" w:oddHBand="0" w:evenHBand="0" w:firstRowFirstColumn="0" w:firstRowLastColumn="0" w:lastRowFirstColumn="0" w:lastRowLastColumn="0"/>
        </w:trPr>
        <w:tc>
          <w:tcPr>
            <w:tcW w:w="1433" w:type="pct"/>
          </w:tcPr>
          <w:p w14:paraId="656B06E4" w14:textId="77777777" w:rsidR="00213E13" w:rsidRPr="00A07310" w:rsidRDefault="00213E13" w:rsidP="00F34DF6">
            <w:pPr>
              <w:keepNext/>
              <w:spacing w:after="0"/>
              <w:rPr>
                <w:b/>
                <w:sz w:val="18"/>
                <w:lang w:val="en-US" w:eastAsia="ja-JP"/>
              </w:rPr>
            </w:pPr>
            <w:r w:rsidRPr="00A07310">
              <w:rPr>
                <w:b/>
                <w:sz w:val="18"/>
                <w:lang w:val="en-US" w:eastAsia="ja-JP"/>
              </w:rPr>
              <w:t>Option 1 – balancing risk</w:t>
            </w:r>
          </w:p>
        </w:tc>
        <w:tc>
          <w:tcPr>
            <w:tcW w:w="1358" w:type="pct"/>
          </w:tcPr>
          <w:p w14:paraId="656B06E5" w14:textId="77777777" w:rsidR="00213E13" w:rsidRPr="00A07310" w:rsidRDefault="00213E13" w:rsidP="00F34DF6">
            <w:pPr>
              <w:keepNext/>
              <w:spacing w:after="0"/>
              <w:rPr>
                <w:b/>
                <w:sz w:val="18"/>
                <w:lang w:val="en-US" w:eastAsia="ja-JP"/>
              </w:rPr>
            </w:pPr>
            <w:r w:rsidRPr="00A07310">
              <w:rPr>
                <w:b/>
                <w:sz w:val="18"/>
                <w:lang w:val="en-US" w:eastAsia="ja-JP"/>
              </w:rPr>
              <w:t xml:space="preserve">Option </w:t>
            </w:r>
            <w:r>
              <w:rPr>
                <w:b/>
                <w:sz w:val="18"/>
                <w:lang w:val="en-US" w:eastAsia="ja-JP"/>
              </w:rPr>
              <w:t>2a</w:t>
            </w:r>
            <w:r w:rsidRPr="00A07310">
              <w:rPr>
                <w:b/>
                <w:sz w:val="18"/>
                <w:lang w:val="en-US" w:eastAsia="ja-JP"/>
              </w:rPr>
              <w:t xml:space="preserve"> – high hazard only (partial)</w:t>
            </w:r>
          </w:p>
        </w:tc>
        <w:tc>
          <w:tcPr>
            <w:tcW w:w="784" w:type="pct"/>
          </w:tcPr>
          <w:p w14:paraId="656B06E6" w14:textId="77777777" w:rsidR="00E152F4" w:rsidRPr="00E53FC6" w:rsidRDefault="00E152F4" w:rsidP="00E152F4">
            <w:pPr>
              <w:keepNext/>
              <w:spacing w:after="0"/>
              <w:rPr>
                <w:b/>
                <w:sz w:val="18"/>
                <w:lang w:val="en-US" w:eastAsia="ja-JP"/>
              </w:rPr>
            </w:pPr>
            <w:r w:rsidRPr="00E53FC6">
              <w:rPr>
                <w:b/>
                <w:sz w:val="18"/>
                <w:lang w:val="en-US" w:eastAsia="ja-JP"/>
              </w:rPr>
              <w:t>Option 2B - high hazard only (all)</w:t>
            </w:r>
          </w:p>
        </w:tc>
        <w:tc>
          <w:tcPr>
            <w:tcW w:w="1425" w:type="pct"/>
          </w:tcPr>
          <w:p w14:paraId="656B06E7" w14:textId="77777777" w:rsidR="00213E13" w:rsidRPr="00A07310" w:rsidRDefault="00213E13" w:rsidP="00F34DF6">
            <w:pPr>
              <w:keepNext/>
              <w:spacing w:after="0"/>
              <w:rPr>
                <w:b/>
                <w:sz w:val="18"/>
                <w:lang w:val="en-US" w:eastAsia="ja-JP"/>
              </w:rPr>
            </w:pPr>
            <w:r w:rsidRPr="00A07310">
              <w:rPr>
                <w:b/>
                <w:sz w:val="18"/>
                <w:lang w:val="en-US" w:eastAsia="ja-JP"/>
              </w:rPr>
              <w:t>Option 3 – balancing risk and encouraging recovery</w:t>
            </w:r>
          </w:p>
        </w:tc>
      </w:tr>
      <w:tr w:rsidR="00DF0C59" w:rsidRPr="009D2887" w14:paraId="656B06EF" w14:textId="77777777" w:rsidTr="001D4AFF">
        <w:tc>
          <w:tcPr>
            <w:tcW w:w="1433" w:type="pct"/>
          </w:tcPr>
          <w:p w14:paraId="656B06E9" w14:textId="77777777" w:rsidR="00213E13" w:rsidRPr="00D96322" w:rsidRDefault="00213E13" w:rsidP="00F34DF6">
            <w:pPr>
              <w:keepNext/>
              <w:spacing w:after="0"/>
              <w:rPr>
                <w:sz w:val="18"/>
                <w:lang w:val="en-US" w:eastAsia="ja-JP"/>
              </w:rPr>
            </w:pPr>
            <w:r w:rsidRPr="001B3151">
              <w:rPr>
                <w:b/>
                <w:sz w:val="18"/>
                <w:lang w:val="en-US" w:eastAsia="ja-JP"/>
              </w:rPr>
              <w:t>Transport permission</w:t>
            </w:r>
          </w:p>
          <w:p w14:paraId="656B06EA" w14:textId="77777777" w:rsidR="00213E13" w:rsidRPr="00D96322" w:rsidRDefault="00213E13" w:rsidP="00F34DF6">
            <w:pPr>
              <w:keepNext/>
              <w:spacing w:after="0"/>
              <w:rPr>
                <w:sz w:val="18"/>
                <w:lang w:val="en-US" w:eastAsia="ja-JP"/>
              </w:rPr>
            </w:pPr>
            <w:r w:rsidRPr="00D96322">
              <w:rPr>
                <w:sz w:val="18"/>
                <w:lang w:val="en-US" w:eastAsia="ja-JP"/>
              </w:rPr>
              <w:t>very high – moderate hazards</w:t>
            </w:r>
          </w:p>
        </w:tc>
        <w:tc>
          <w:tcPr>
            <w:tcW w:w="1358" w:type="pct"/>
          </w:tcPr>
          <w:p w14:paraId="656B06EB" w14:textId="77777777" w:rsidR="00213E13" w:rsidRPr="00D96322" w:rsidRDefault="00213E13" w:rsidP="00F34DF6">
            <w:pPr>
              <w:keepNext/>
              <w:spacing w:after="0"/>
              <w:rPr>
                <w:sz w:val="18"/>
                <w:lang w:val="en-US" w:eastAsia="ja-JP"/>
              </w:rPr>
            </w:pPr>
            <w:r w:rsidRPr="001B3151">
              <w:rPr>
                <w:b/>
                <w:sz w:val="18"/>
                <w:lang w:val="en-US" w:eastAsia="ja-JP"/>
              </w:rPr>
              <w:t>Transport permission</w:t>
            </w:r>
            <w:r w:rsidRPr="00D96322" w:rsidDel="003D7CAC">
              <w:rPr>
                <w:b/>
                <w:sz w:val="18"/>
                <w:lang w:val="en-US" w:eastAsia="ja-JP"/>
              </w:rPr>
              <w:t xml:space="preserve"> </w:t>
            </w:r>
            <w:r w:rsidRPr="00D96322">
              <w:rPr>
                <w:sz w:val="18"/>
                <w:lang w:val="en-US" w:eastAsia="ja-JP"/>
              </w:rPr>
              <w:t>very high – high hazards</w:t>
            </w:r>
          </w:p>
        </w:tc>
        <w:tc>
          <w:tcPr>
            <w:tcW w:w="784" w:type="pct"/>
          </w:tcPr>
          <w:p w14:paraId="656B06EC" w14:textId="77777777" w:rsidR="00E152F4" w:rsidRPr="00D96322" w:rsidRDefault="00E152F4" w:rsidP="00E152F4">
            <w:pPr>
              <w:spacing w:after="0"/>
              <w:rPr>
                <w:b/>
                <w:bCs/>
                <w:sz w:val="18"/>
                <w:lang w:val="en-US" w:eastAsia="ja-JP"/>
              </w:rPr>
            </w:pPr>
            <w:r>
              <w:rPr>
                <w:b/>
                <w:sz w:val="18"/>
                <w:lang w:val="en-US" w:eastAsia="ja-JP"/>
              </w:rPr>
              <w:t xml:space="preserve">Transport </w:t>
            </w:r>
            <w:r w:rsidRPr="00D96322">
              <w:rPr>
                <w:b/>
                <w:sz w:val="18"/>
                <w:lang w:val="en-US" w:eastAsia="ja-JP"/>
              </w:rPr>
              <w:t>permi</w:t>
            </w:r>
            <w:r>
              <w:rPr>
                <w:b/>
                <w:sz w:val="18"/>
                <w:lang w:val="en-US" w:eastAsia="ja-JP"/>
              </w:rPr>
              <w:t>ssion</w:t>
            </w:r>
            <w:r w:rsidRPr="00D96322">
              <w:rPr>
                <w:b/>
                <w:sz w:val="18"/>
                <w:lang w:val="en-US" w:eastAsia="ja-JP"/>
              </w:rPr>
              <w:t xml:space="preserve"> </w:t>
            </w:r>
          </w:p>
          <w:p w14:paraId="656B06ED" w14:textId="77777777" w:rsidR="00E152F4" w:rsidRDefault="00E152F4" w:rsidP="00E152F4">
            <w:pPr>
              <w:spacing w:after="0"/>
              <w:rPr>
                <w:b/>
                <w:sz w:val="18"/>
                <w:lang w:val="en-US" w:eastAsia="ja-JP"/>
              </w:rPr>
            </w:pPr>
            <w:r w:rsidRPr="00D96322">
              <w:rPr>
                <w:sz w:val="18"/>
                <w:lang w:val="en-US" w:eastAsia="ja-JP"/>
              </w:rPr>
              <w:t>very high – high hazards</w:t>
            </w:r>
          </w:p>
        </w:tc>
        <w:tc>
          <w:tcPr>
            <w:tcW w:w="1425" w:type="pct"/>
          </w:tcPr>
          <w:p w14:paraId="656B06EE" w14:textId="77777777" w:rsidR="00213E13" w:rsidRPr="00D96322" w:rsidRDefault="00213E13" w:rsidP="00F34DF6">
            <w:pPr>
              <w:keepNext/>
              <w:spacing w:after="0"/>
              <w:rPr>
                <w:sz w:val="18"/>
                <w:lang w:val="en-US" w:eastAsia="ja-JP"/>
              </w:rPr>
            </w:pPr>
            <w:r w:rsidRPr="001B3151">
              <w:rPr>
                <w:b/>
                <w:sz w:val="18"/>
                <w:lang w:val="en-US" w:eastAsia="ja-JP"/>
              </w:rPr>
              <w:t>Transport permission</w:t>
            </w:r>
            <w:r w:rsidRPr="00D96322" w:rsidDel="003D7CAC">
              <w:rPr>
                <w:b/>
                <w:sz w:val="18"/>
                <w:lang w:val="en-US" w:eastAsia="ja-JP"/>
              </w:rPr>
              <w:t xml:space="preserve"> </w:t>
            </w:r>
            <w:r w:rsidRPr="00D96322">
              <w:rPr>
                <w:sz w:val="18"/>
                <w:lang w:val="en-US" w:eastAsia="ja-JP"/>
              </w:rPr>
              <w:t>very high – moderate hazards</w:t>
            </w:r>
          </w:p>
        </w:tc>
      </w:tr>
      <w:tr w:rsidR="00DF0C59" w:rsidRPr="009D2887" w14:paraId="656B0702" w14:textId="77777777" w:rsidTr="001D4AFF">
        <w:tc>
          <w:tcPr>
            <w:tcW w:w="1433" w:type="pct"/>
          </w:tcPr>
          <w:p w14:paraId="656B06F0" w14:textId="77777777" w:rsidR="00213E13" w:rsidRPr="001B3151" w:rsidRDefault="00213E13" w:rsidP="00F34DF6">
            <w:pPr>
              <w:keepNext/>
              <w:spacing w:after="0"/>
              <w:rPr>
                <w:b/>
                <w:sz w:val="18"/>
                <w:lang w:val="en-US" w:eastAsia="ja-JP"/>
              </w:rPr>
            </w:pPr>
            <w:r w:rsidRPr="001B3151">
              <w:rPr>
                <w:b/>
                <w:sz w:val="18"/>
                <w:lang w:val="en-US" w:eastAsia="ja-JP"/>
              </w:rPr>
              <w:t xml:space="preserve">Transaction tracking </w:t>
            </w:r>
          </w:p>
          <w:p w14:paraId="656B06F1" w14:textId="77777777" w:rsidR="00213E13" w:rsidRPr="00D96322" w:rsidRDefault="00213E13" w:rsidP="00F34DF6">
            <w:pPr>
              <w:keepNext/>
              <w:spacing w:after="0"/>
              <w:rPr>
                <w:sz w:val="18"/>
                <w:lang w:val="en-US" w:eastAsia="ja-JP"/>
              </w:rPr>
            </w:pPr>
            <w:r w:rsidRPr="00D96322">
              <w:rPr>
                <w:sz w:val="18"/>
                <w:lang w:val="en-US" w:eastAsia="ja-JP"/>
              </w:rPr>
              <w:t xml:space="preserve">All very high </w:t>
            </w:r>
            <w:r>
              <w:rPr>
                <w:sz w:val="18"/>
                <w:lang w:val="en-US" w:eastAsia="ja-JP"/>
              </w:rPr>
              <w:t>–</w:t>
            </w:r>
            <w:r w:rsidRPr="00D96322">
              <w:rPr>
                <w:sz w:val="18"/>
                <w:lang w:val="en-US" w:eastAsia="ja-JP"/>
              </w:rPr>
              <w:t xml:space="preserve"> high hazard wastes. </w:t>
            </w:r>
          </w:p>
          <w:p w14:paraId="656B06F2" w14:textId="77777777" w:rsidR="00213E13" w:rsidRPr="00D96322" w:rsidRDefault="00213E13" w:rsidP="00F34DF6">
            <w:pPr>
              <w:keepNext/>
              <w:spacing w:after="0"/>
              <w:rPr>
                <w:sz w:val="18"/>
                <w:lang w:val="en-US" w:eastAsia="ja-JP"/>
              </w:rPr>
            </w:pPr>
            <w:r w:rsidRPr="00D96322">
              <w:rPr>
                <w:sz w:val="18"/>
                <w:lang w:val="en-US" w:eastAsia="ja-JP"/>
              </w:rPr>
              <w:t>+</w:t>
            </w:r>
          </w:p>
          <w:p w14:paraId="656B06F3" w14:textId="77777777" w:rsidR="00213E13" w:rsidRDefault="00213E13" w:rsidP="00F34DF6">
            <w:pPr>
              <w:keepNext/>
              <w:spacing w:after="0"/>
              <w:rPr>
                <w:sz w:val="18"/>
                <w:lang w:val="en-US" w:eastAsia="ja-JP"/>
              </w:rPr>
            </w:pPr>
            <w:r w:rsidRPr="00D96322">
              <w:rPr>
                <w:sz w:val="18"/>
                <w:lang w:val="en-US" w:eastAsia="ja-JP"/>
              </w:rPr>
              <w:t>Moderate hazard wastes that are dumped, disappearing or there is an opportunity for concealment</w:t>
            </w:r>
          </w:p>
          <w:p w14:paraId="656B06F4" w14:textId="77777777" w:rsidR="00213E13" w:rsidRDefault="00213E13" w:rsidP="00F34DF6">
            <w:pPr>
              <w:keepNext/>
              <w:spacing w:after="0"/>
              <w:rPr>
                <w:sz w:val="18"/>
                <w:lang w:val="en-US" w:eastAsia="ja-JP"/>
              </w:rPr>
            </w:pPr>
            <w:r>
              <w:rPr>
                <w:sz w:val="18"/>
                <w:lang w:val="en-US" w:eastAsia="ja-JP"/>
              </w:rPr>
              <w:t>+</w:t>
            </w:r>
          </w:p>
          <w:p w14:paraId="656B06F5" w14:textId="77777777" w:rsidR="00213E13" w:rsidRPr="00D96322" w:rsidRDefault="00213E13" w:rsidP="00F34DF6">
            <w:pPr>
              <w:keepNext/>
              <w:spacing w:after="0"/>
              <w:rPr>
                <w:sz w:val="18"/>
                <w:lang w:val="en-US" w:eastAsia="ja-JP"/>
              </w:rPr>
            </w:pPr>
            <w:r>
              <w:rPr>
                <w:sz w:val="18"/>
                <w:lang w:val="en-US" w:eastAsia="ja-JP"/>
              </w:rPr>
              <w:t>Tyres</w:t>
            </w:r>
          </w:p>
          <w:p w14:paraId="656B06F6" w14:textId="77777777" w:rsidR="00213E13" w:rsidRPr="00D96322" w:rsidRDefault="00213E13" w:rsidP="00F34DF6">
            <w:pPr>
              <w:keepNext/>
              <w:spacing w:after="0"/>
              <w:rPr>
                <w:sz w:val="18"/>
                <w:lang w:val="en-US" w:eastAsia="ja-JP"/>
              </w:rPr>
            </w:pPr>
          </w:p>
        </w:tc>
        <w:tc>
          <w:tcPr>
            <w:tcW w:w="1358" w:type="pct"/>
          </w:tcPr>
          <w:p w14:paraId="656B06F7" w14:textId="77777777" w:rsidR="00213E13" w:rsidRPr="00D96322" w:rsidRDefault="00213E13" w:rsidP="00F34DF6">
            <w:pPr>
              <w:keepNext/>
              <w:spacing w:after="0"/>
              <w:rPr>
                <w:b/>
                <w:sz w:val="18"/>
                <w:lang w:val="en-US" w:eastAsia="ja-JP"/>
              </w:rPr>
            </w:pPr>
            <w:r w:rsidRPr="00D96322">
              <w:rPr>
                <w:b/>
                <w:sz w:val="18"/>
                <w:lang w:val="en-US" w:eastAsia="ja-JP"/>
              </w:rPr>
              <w:t xml:space="preserve">Transaction tracking </w:t>
            </w:r>
          </w:p>
          <w:p w14:paraId="656B06F8" w14:textId="77777777" w:rsidR="00213E13" w:rsidRDefault="00213E13" w:rsidP="00F34DF6">
            <w:pPr>
              <w:keepNext/>
              <w:spacing w:after="0"/>
              <w:ind w:right="425"/>
              <w:rPr>
                <w:sz w:val="18"/>
                <w:lang w:val="en-US" w:eastAsia="ja-JP"/>
              </w:rPr>
            </w:pPr>
            <w:r w:rsidRPr="00D96322">
              <w:rPr>
                <w:sz w:val="18"/>
                <w:lang w:val="en-US" w:eastAsia="ja-JP"/>
              </w:rPr>
              <w:t xml:space="preserve">All very high </w:t>
            </w:r>
            <w:r>
              <w:rPr>
                <w:sz w:val="18"/>
                <w:lang w:val="en-US" w:eastAsia="ja-JP"/>
              </w:rPr>
              <w:t>–</w:t>
            </w:r>
            <w:r w:rsidRPr="00D96322">
              <w:rPr>
                <w:sz w:val="18"/>
                <w:lang w:val="en-US" w:eastAsia="ja-JP"/>
              </w:rPr>
              <w:t xml:space="preserve"> high hazard wastes </w:t>
            </w:r>
          </w:p>
          <w:p w14:paraId="656B06F9" w14:textId="77777777" w:rsidR="00213E13" w:rsidRPr="00D96322" w:rsidRDefault="00213E13" w:rsidP="00F34DF6">
            <w:pPr>
              <w:keepNext/>
              <w:spacing w:after="0"/>
              <w:ind w:right="425"/>
              <w:rPr>
                <w:sz w:val="18"/>
                <w:lang w:val="en-US" w:eastAsia="ja-JP"/>
              </w:rPr>
            </w:pPr>
            <w:r w:rsidRPr="00D96322">
              <w:rPr>
                <w:sz w:val="18"/>
                <w:lang w:val="en-US" w:eastAsia="ja-JP"/>
              </w:rPr>
              <w:t>that are being dumped or disappearing</w:t>
            </w:r>
          </w:p>
        </w:tc>
        <w:tc>
          <w:tcPr>
            <w:tcW w:w="784" w:type="pct"/>
          </w:tcPr>
          <w:p w14:paraId="656B06FA" w14:textId="77777777" w:rsidR="00E152F4" w:rsidRPr="00D96322" w:rsidRDefault="00E152F4" w:rsidP="00E152F4">
            <w:pPr>
              <w:spacing w:after="0"/>
              <w:rPr>
                <w:b/>
                <w:bCs/>
                <w:sz w:val="18"/>
                <w:lang w:val="en-US" w:eastAsia="ja-JP"/>
              </w:rPr>
            </w:pPr>
            <w:r w:rsidRPr="00D96322">
              <w:rPr>
                <w:b/>
                <w:sz w:val="18"/>
                <w:lang w:val="en-US" w:eastAsia="ja-JP"/>
              </w:rPr>
              <w:t xml:space="preserve">Transaction tracking </w:t>
            </w:r>
          </w:p>
          <w:p w14:paraId="656B06FB" w14:textId="77777777" w:rsidR="00E152F4" w:rsidRPr="00D96322" w:rsidRDefault="00E152F4" w:rsidP="00E152F4">
            <w:pPr>
              <w:spacing w:after="0"/>
              <w:rPr>
                <w:b/>
                <w:sz w:val="18"/>
                <w:lang w:val="en-US" w:eastAsia="ja-JP"/>
              </w:rPr>
            </w:pPr>
            <w:r w:rsidRPr="00D96322">
              <w:rPr>
                <w:sz w:val="18"/>
                <w:lang w:val="en-US" w:eastAsia="ja-JP"/>
              </w:rPr>
              <w:t>very high – high hazards</w:t>
            </w:r>
          </w:p>
        </w:tc>
        <w:tc>
          <w:tcPr>
            <w:tcW w:w="1425" w:type="pct"/>
          </w:tcPr>
          <w:p w14:paraId="656B06FC" w14:textId="77777777" w:rsidR="00213E13" w:rsidRPr="00D96322" w:rsidRDefault="00213E13" w:rsidP="00F34DF6">
            <w:pPr>
              <w:keepNext/>
              <w:spacing w:after="0"/>
              <w:rPr>
                <w:b/>
                <w:sz w:val="18"/>
                <w:lang w:val="en-US" w:eastAsia="ja-JP"/>
              </w:rPr>
            </w:pPr>
            <w:r w:rsidRPr="00D96322">
              <w:rPr>
                <w:b/>
                <w:sz w:val="18"/>
                <w:lang w:val="en-US" w:eastAsia="ja-JP"/>
              </w:rPr>
              <w:t xml:space="preserve">Transaction tracking </w:t>
            </w:r>
          </w:p>
          <w:p w14:paraId="656B06FD" w14:textId="77777777" w:rsidR="00213E13" w:rsidRPr="00D96322" w:rsidRDefault="00213E13" w:rsidP="00F34DF6">
            <w:pPr>
              <w:keepNext/>
              <w:spacing w:after="0"/>
              <w:rPr>
                <w:sz w:val="18"/>
                <w:lang w:val="en-US" w:eastAsia="ja-JP"/>
              </w:rPr>
            </w:pPr>
            <w:r w:rsidRPr="00D96322">
              <w:rPr>
                <w:sz w:val="18"/>
                <w:lang w:val="en-US" w:eastAsia="ja-JP"/>
              </w:rPr>
              <w:t xml:space="preserve">All very high and high hazard wastes. </w:t>
            </w:r>
          </w:p>
          <w:p w14:paraId="656B06FE" w14:textId="77777777" w:rsidR="00213E13" w:rsidRPr="00D96322" w:rsidRDefault="00213E13" w:rsidP="00F34DF6">
            <w:pPr>
              <w:keepNext/>
              <w:spacing w:after="0"/>
              <w:rPr>
                <w:sz w:val="18"/>
                <w:lang w:val="en-US" w:eastAsia="ja-JP"/>
              </w:rPr>
            </w:pPr>
            <w:r w:rsidRPr="00D96322">
              <w:rPr>
                <w:sz w:val="18"/>
                <w:lang w:val="en-US" w:eastAsia="ja-JP"/>
              </w:rPr>
              <w:t>+</w:t>
            </w:r>
          </w:p>
          <w:p w14:paraId="656B06FF" w14:textId="77777777" w:rsidR="00213E13" w:rsidRPr="00D96322" w:rsidRDefault="00213E13" w:rsidP="00F34DF6">
            <w:pPr>
              <w:keepNext/>
              <w:spacing w:after="0"/>
              <w:rPr>
                <w:sz w:val="18"/>
                <w:lang w:val="en-US" w:eastAsia="ja-JP"/>
              </w:rPr>
            </w:pPr>
            <w:r w:rsidRPr="00D96322">
              <w:rPr>
                <w:sz w:val="18"/>
                <w:lang w:val="en-US" w:eastAsia="ja-JP"/>
              </w:rPr>
              <w:t>Moderate hazard wastes that are dumped, disappearing or there is an opportunity for concealment</w:t>
            </w:r>
          </w:p>
          <w:p w14:paraId="656B0700" w14:textId="77777777" w:rsidR="00213E13" w:rsidRPr="00D96322" w:rsidRDefault="00213E13" w:rsidP="00F34DF6">
            <w:pPr>
              <w:keepNext/>
              <w:spacing w:after="0"/>
              <w:rPr>
                <w:sz w:val="18"/>
                <w:lang w:val="en-US" w:eastAsia="ja-JP"/>
              </w:rPr>
            </w:pPr>
            <w:r w:rsidRPr="00D96322">
              <w:rPr>
                <w:sz w:val="18"/>
                <w:lang w:val="en-US" w:eastAsia="ja-JP"/>
              </w:rPr>
              <w:t>+</w:t>
            </w:r>
          </w:p>
          <w:p w14:paraId="656B0701" w14:textId="77777777" w:rsidR="00213E13" w:rsidRPr="00D96322" w:rsidRDefault="00213E13" w:rsidP="00F34DF6">
            <w:pPr>
              <w:keepNext/>
              <w:spacing w:after="0"/>
              <w:rPr>
                <w:sz w:val="18"/>
                <w:lang w:val="en-US" w:eastAsia="ja-JP"/>
              </w:rPr>
            </w:pPr>
            <w:r w:rsidRPr="00D96322">
              <w:rPr>
                <w:sz w:val="18"/>
                <w:lang w:val="en-US" w:eastAsia="ja-JP"/>
              </w:rPr>
              <w:t>Plastics and e-waste</w:t>
            </w:r>
          </w:p>
        </w:tc>
      </w:tr>
    </w:tbl>
    <w:p w14:paraId="656B0703" w14:textId="77777777" w:rsidR="00213E13" w:rsidRDefault="00213E13" w:rsidP="00213E13">
      <w:pPr>
        <w:spacing w:after="170"/>
        <w:rPr>
          <w:sz w:val="16"/>
          <w:szCs w:val="16"/>
        </w:rPr>
      </w:pPr>
      <w:r w:rsidRPr="000E7C5E">
        <w:rPr>
          <w:sz w:val="16"/>
          <w:szCs w:val="16"/>
        </w:rPr>
        <w:t xml:space="preserve">Source: EPA </w:t>
      </w:r>
    </w:p>
    <w:p w14:paraId="656B0704" w14:textId="77777777" w:rsidR="00ED040F" w:rsidRDefault="00ED040F" w:rsidP="00ED040F">
      <w:pPr>
        <w:pStyle w:val="Heading4"/>
      </w:pPr>
      <w:r>
        <w:t>Transport options</w:t>
      </w:r>
    </w:p>
    <w:p w14:paraId="656B0705" w14:textId="77777777" w:rsidR="00ED040F" w:rsidRDefault="00ED040F" w:rsidP="00ED040F">
      <w:pPr>
        <w:pStyle w:val="CommentText"/>
      </w:pPr>
      <w:r>
        <w:t>Five options are being considered</w:t>
      </w:r>
      <w:r w:rsidRPr="00F556F7">
        <w:t xml:space="preserve"> </w:t>
      </w:r>
      <w:r>
        <w:t>for prescribing transaction control and transport permissions. With respect to transaction controls, the intent of the options is to minimise waste mismanagement by ensuring effective controls are implemented at the source and that information flows through the waste chain of custody. This effectively places more responsibility on the waste producer. Specifically, the transaction activities would include (but not be limited to) the following:</w:t>
      </w:r>
    </w:p>
    <w:p w14:paraId="656B0706" w14:textId="77777777" w:rsidR="00ED040F" w:rsidRDefault="00ED040F" w:rsidP="00ED040F">
      <w:pPr>
        <w:pStyle w:val="ListParagraph"/>
        <w:numPr>
          <w:ilvl w:val="0"/>
          <w:numId w:val="99"/>
        </w:numPr>
      </w:pPr>
      <w:r>
        <w:t xml:space="preserve">Classifying wastes (options covered in waste classification) and/or </w:t>
      </w:r>
      <w:r w:rsidR="00853F1D">
        <w:t>co</w:t>
      </w:r>
      <w:r w:rsidR="00853F1D" w:rsidRPr="005862A6">
        <w:t>llection</w:t>
      </w:r>
      <w:r w:rsidRPr="005862A6">
        <w:t>/confirming information on the waste consignment hazard properties</w:t>
      </w:r>
      <w:r>
        <w:t>.</w:t>
      </w:r>
    </w:p>
    <w:p w14:paraId="656B0707" w14:textId="77777777" w:rsidR="00ED040F" w:rsidRDefault="00ED040F" w:rsidP="00ED040F">
      <w:pPr>
        <w:pStyle w:val="ListParagraph"/>
        <w:numPr>
          <w:ilvl w:val="0"/>
          <w:numId w:val="99"/>
        </w:numPr>
      </w:pPr>
      <w:r>
        <w:t>L</w:t>
      </w:r>
      <w:r w:rsidRPr="005862A6">
        <w:t>ocating and confirming a lawful place for disposal/treatment</w:t>
      </w:r>
      <w:r>
        <w:t>.</w:t>
      </w:r>
    </w:p>
    <w:p w14:paraId="656B0708" w14:textId="77777777" w:rsidR="00ED040F" w:rsidRDefault="00ED040F" w:rsidP="00ED040F">
      <w:pPr>
        <w:pStyle w:val="ListParagraph"/>
        <w:numPr>
          <w:ilvl w:val="0"/>
          <w:numId w:val="99"/>
        </w:numPr>
      </w:pPr>
      <w:r>
        <w:t>E</w:t>
      </w:r>
      <w:r w:rsidRPr="005862A6">
        <w:t>nsuring transporters have appropriate permissions</w:t>
      </w:r>
      <w:r>
        <w:t>.</w:t>
      </w:r>
    </w:p>
    <w:p w14:paraId="656B0709" w14:textId="77777777" w:rsidR="00ED040F" w:rsidRDefault="00ED040F" w:rsidP="00ED040F">
      <w:pPr>
        <w:pStyle w:val="ListParagraph"/>
        <w:numPr>
          <w:ilvl w:val="0"/>
          <w:numId w:val="99"/>
        </w:numPr>
      </w:pPr>
      <w:r>
        <w:t>A</w:t>
      </w:r>
      <w:r w:rsidRPr="005862A6">
        <w:t>ligning consignment with regul</w:t>
      </w:r>
      <w:r>
        <w:t>atory requirements.</w:t>
      </w:r>
    </w:p>
    <w:p w14:paraId="656B070A" w14:textId="77777777" w:rsidR="00ED040F" w:rsidRDefault="00ED040F" w:rsidP="00ED040F">
      <w:pPr>
        <w:pStyle w:val="ListParagraph"/>
        <w:numPr>
          <w:ilvl w:val="0"/>
          <w:numId w:val="99"/>
        </w:numPr>
      </w:pPr>
      <w:r>
        <w:t>P</w:t>
      </w:r>
      <w:r w:rsidRPr="005862A6">
        <w:t xml:space="preserve">roviding information on the </w:t>
      </w:r>
      <w:r>
        <w:t xml:space="preserve">waste </w:t>
      </w:r>
      <w:r w:rsidRPr="005862A6">
        <w:t>consignment to those along the chain of custody</w:t>
      </w:r>
      <w:r>
        <w:t xml:space="preserve">, through the EPA waste tracking system. </w:t>
      </w:r>
    </w:p>
    <w:p w14:paraId="656B070B" w14:textId="15C34DBF" w:rsidR="004372E5" w:rsidRDefault="00ED040F" w:rsidP="001D4AFF">
      <w:pPr>
        <w:tabs>
          <w:tab w:val="left" w:pos="1276"/>
        </w:tabs>
        <w:rPr>
          <w:lang w:eastAsia="ja-JP"/>
        </w:rPr>
      </w:pPr>
      <w:r>
        <w:rPr>
          <w:lang w:eastAsia="ja-JP"/>
        </w:rPr>
        <w:t>The options outlined below propose</w:t>
      </w:r>
      <w:r w:rsidRPr="00F6415D">
        <w:rPr>
          <w:lang w:eastAsia="ja-JP"/>
        </w:rPr>
        <w:t xml:space="preserve"> that a new ‘</w:t>
      </w:r>
      <w:r>
        <w:rPr>
          <w:lang w:eastAsia="ja-JP"/>
        </w:rPr>
        <w:t>a</w:t>
      </w:r>
      <w:r w:rsidRPr="00F6415D">
        <w:rPr>
          <w:lang w:eastAsia="ja-JP"/>
        </w:rPr>
        <w:t xml:space="preserve">ccredited </w:t>
      </w:r>
      <w:r>
        <w:rPr>
          <w:lang w:eastAsia="ja-JP"/>
        </w:rPr>
        <w:t>consigner</w:t>
      </w:r>
      <w:r w:rsidRPr="00F6415D">
        <w:rPr>
          <w:lang w:eastAsia="ja-JP"/>
        </w:rPr>
        <w:t xml:space="preserve">’ role be created </w:t>
      </w:r>
      <w:r>
        <w:rPr>
          <w:lang w:eastAsia="ja-JP"/>
        </w:rPr>
        <w:t xml:space="preserve">to </w:t>
      </w:r>
      <w:r w:rsidRPr="00F6415D">
        <w:rPr>
          <w:lang w:eastAsia="ja-JP"/>
        </w:rPr>
        <w:t xml:space="preserve">address some of the problems with waste transport. Accredited </w:t>
      </w:r>
      <w:r>
        <w:rPr>
          <w:lang w:eastAsia="ja-JP"/>
        </w:rPr>
        <w:t>consigner</w:t>
      </w:r>
      <w:r w:rsidRPr="00F6415D">
        <w:rPr>
          <w:lang w:eastAsia="ja-JP"/>
        </w:rPr>
        <w:t xml:space="preserve">s will be approved professionals with knowledge of how to lawfully manage specific types of waste. </w:t>
      </w:r>
      <w:r w:rsidR="004372E5" w:rsidRPr="004372E5">
        <w:rPr>
          <w:lang w:eastAsia="ja-JP"/>
        </w:rPr>
        <w:t xml:space="preserve">An </w:t>
      </w:r>
      <w:r w:rsidR="00853F1D">
        <w:rPr>
          <w:lang w:eastAsia="ja-JP"/>
        </w:rPr>
        <w:t>a</w:t>
      </w:r>
      <w:r w:rsidR="004372E5" w:rsidRPr="004372E5">
        <w:rPr>
          <w:lang w:eastAsia="ja-JP"/>
        </w:rPr>
        <w:t xml:space="preserve">ccredited consigner would be a person authorised by the EPA to accept management or control of waste on behalf of the waste producer; </w:t>
      </w:r>
      <w:r w:rsidR="009554A5">
        <w:rPr>
          <w:lang w:eastAsia="ja-JP"/>
        </w:rPr>
        <w:t xml:space="preserve">by </w:t>
      </w:r>
      <w:r w:rsidR="004372E5" w:rsidRPr="004372E5">
        <w:rPr>
          <w:lang w:eastAsia="ja-JP"/>
        </w:rPr>
        <w:t>undertaking waste consignment duties on the waste producers’ behalf.</w:t>
      </w:r>
      <w:r w:rsidR="004372E5" w:rsidDel="004372E5">
        <w:rPr>
          <w:lang w:eastAsia="ja-JP"/>
        </w:rPr>
        <w:t xml:space="preserve"> </w:t>
      </w:r>
      <w:r>
        <w:rPr>
          <w:lang w:eastAsia="ja-JP"/>
        </w:rPr>
        <w:t xml:space="preserve">A waste generator would </w:t>
      </w:r>
      <w:r w:rsidRPr="00F6415D">
        <w:rPr>
          <w:lang w:eastAsia="ja-JP"/>
        </w:rPr>
        <w:t xml:space="preserve">be able to transfer </w:t>
      </w:r>
      <w:r w:rsidR="009554A5">
        <w:rPr>
          <w:lang w:eastAsia="ja-JP"/>
        </w:rPr>
        <w:t xml:space="preserve">consignment duties </w:t>
      </w:r>
      <w:r>
        <w:rPr>
          <w:lang w:eastAsia="ja-JP"/>
        </w:rPr>
        <w:t>to an a</w:t>
      </w:r>
      <w:r w:rsidRPr="00F6415D">
        <w:rPr>
          <w:lang w:eastAsia="ja-JP"/>
        </w:rPr>
        <w:t xml:space="preserve">ccredited </w:t>
      </w:r>
      <w:r>
        <w:rPr>
          <w:lang w:eastAsia="ja-JP"/>
        </w:rPr>
        <w:t>consigner</w:t>
      </w:r>
      <w:r w:rsidRPr="00F6415D">
        <w:rPr>
          <w:lang w:eastAsia="ja-JP"/>
        </w:rPr>
        <w:t xml:space="preserve"> while maintaining responsibility and ownership of the waste until it reaches a lawful place. </w:t>
      </w:r>
      <w:r>
        <w:rPr>
          <w:lang w:eastAsia="ja-JP"/>
        </w:rPr>
        <w:t>Certain</w:t>
      </w:r>
      <w:r w:rsidRPr="00F6415D">
        <w:rPr>
          <w:lang w:eastAsia="ja-JP"/>
        </w:rPr>
        <w:t xml:space="preserve"> duties under the </w:t>
      </w:r>
      <w:r w:rsidR="0062557A">
        <w:rPr>
          <w:lang w:eastAsia="ja-JP"/>
        </w:rPr>
        <w:t xml:space="preserve">new EP legislation </w:t>
      </w:r>
      <w:r w:rsidRPr="00F6415D">
        <w:rPr>
          <w:lang w:eastAsia="ja-JP"/>
        </w:rPr>
        <w:t xml:space="preserve">in relation to the person with management or control of waste </w:t>
      </w:r>
      <w:r>
        <w:rPr>
          <w:lang w:eastAsia="ja-JP"/>
        </w:rPr>
        <w:t>could</w:t>
      </w:r>
      <w:r w:rsidRPr="00F6415D">
        <w:rPr>
          <w:lang w:eastAsia="ja-JP"/>
        </w:rPr>
        <w:t xml:space="preserve"> then fall to the </w:t>
      </w:r>
      <w:r>
        <w:rPr>
          <w:lang w:eastAsia="ja-JP"/>
        </w:rPr>
        <w:t>a</w:t>
      </w:r>
      <w:r w:rsidRPr="00F6415D">
        <w:rPr>
          <w:lang w:eastAsia="ja-JP"/>
        </w:rPr>
        <w:t xml:space="preserve">ccredited </w:t>
      </w:r>
      <w:r>
        <w:rPr>
          <w:lang w:eastAsia="ja-JP"/>
        </w:rPr>
        <w:t>consigner</w:t>
      </w:r>
      <w:r w:rsidRPr="00F6415D">
        <w:rPr>
          <w:lang w:eastAsia="ja-JP"/>
        </w:rPr>
        <w:t>.</w:t>
      </w:r>
      <w:r>
        <w:rPr>
          <w:lang w:eastAsia="ja-JP"/>
        </w:rPr>
        <w:t xml:space="preserve"> </w:t>
      </w:r>
      <w:r w:rsidR="004372E5" w:rsidRPr="004372E5">
        <w:rPr>
          <w:lang w:eastAsia="ja-JP"/>
        </w:rPr>
        <w:t xml:space="preserve">As the duty holder, if an </w:t>
      </w:r>
      <w:r w:rsidR="00853F1D">
        <w:rPr>
          <w:lang w:eastAsia="ja-JP"/>
        </w:rPr>
        <w:t>a</w:t>
      </w:r>
      <w:r w:rsidR="00853F1D" w:rsidRPr="004372E5">
        <w:rPr>
          <w:lang w:eastAsia="ja-JP"/>
        </w:rPr>
        <w:t xml:space="preserve">ccredited </w:t>
      </w:r>
      <w:r w:rsidR="004372E5" w:rsidRPr="004372E5">
        <w:rPr>
          <w:lang w:eastAsia="ja-JP"/>
        </w:rPr>
        <w:t xml:space="preserve">consigner is found to have contravened any sections of the Act or regulations while in management or control of waste on behalf of a producer, they </w:t>
      </w:r>
      <w:r w:rsidR="009554A5">
        <w:rPr>
          <w:lang w:eastAsia="ja-JP"/>
        </w:rPr>
        <w:t>could</w:t>
      </w:r>
      <w:r w:rsidR="009554A5" w:rsidRPr="004372E5">
        <w:rPr>
          <w:lang w:eastAsia="ja-JP"/>
        </w:rPr>
        <w:t xml:space="preserve"> </w:t>
      </w:r>
      <w:r w:rsidR="004372E5" w:rsidRPr="004372E5">
        <w:rPr>
          <w:lang w:eastAsia="ja-JP"/>
        </w:rPr>
        <w:t>also be liable for any applicable penalties.</w:t>
      </w:r>
      <w:r w:rsidR="004372E5">
        <w:rPr>
          <w:lang w:eastAsia="ja-JP"/>
        </w:rPr>
        <w:t xml:space="preserve"> </w:t>
      </w:r>
      <w:r w:rsidRPr="00F6415D">
        <w:rPr>
          <w:lang w:eastAsia="ja-JP"/>
        </w:rPr>
        <w:t xml:space="preserve">By engaging an </w:t>
      </w:r>
      <w:r>
        <w:rPr>
          <w:lang w:eastAsia="ja-JP"/>
        </w:rPr>
        <w:t>a</w:t>
      </w:r>
      <w:r w:rsidRPr="00F6415D">
        <w:rPr>
          <w:lang w:eastAsia="ja-JP"/>
        </w:rPr>
        <w:t xml:space="preserve">ccredited </w:t>
      </w:r>
      <w:r>
        <w:rPr>
          <w:lang w:eastAsia="ja-JP"/>
        </w:rPr>
        <w:t>consigner</w:t>
      </w:r>
      <w:r w:rsidRPr="00F6415D">
        <w:rPr>
          <w:lang w:eastAsia="ja-JP"/>
        </w:rPr>
        <w:t xml:space="preserve">, the producer would be considered to have taken </w:t>
      </w:r>
      <w:r w:rsidR="00BC0515">
        <w:rPr>
          <w:lang w:eastAsia="ja-JP"/>
        </w:rPr>
        <w:t xml:space="preserve">some </w:t>
      </w:r>
      <w:r w:rsidRPr="00F6415D">
        <w:rPr>
          <w:lang w:eastAsia="ja-JP"/>
        </w:rPr>
        <w:t xml:space="preserve">reasonable steps </w:t>
      </w:r>
      <w:r w:rsidR="00221676">
        <w:rPr>
          <w:lang w:eastAsia="ja-JP"/>
        </w:rPr>
        <w:t xml:space="preserve">toward </w:t>
      </w:r>
      <w:r w:rsidRPr="00F6415D">
        <w:rPr>
          <w:lang w:eastAsia="ja-JP"/>
        </w:rPr>
        <w:t xml:space="preserve">satisfying their duties under the </w:t>
      </w:r>
      <w:r w:rsidR="0062557A">
        <w:rPr>
          <w:lang w:eastAsia="ja-JP"/>
        </w:rPr>
        <w:t>new EP legislation</w:t>
      </w:r>
      <w:r w:rsidR="00252966">
        <w:rPr>
          <w:lang w:eastAsia="ja-JP"/>
        </w:rPr>
        <w:t xml:space="preserve">, but would </w:t>
      </w:r>
      <w:r w:rsidR="005041CF">
        <w:rPr>
          <w:lang w:eastAsia="ja-JP"/>
        </w:rPr>
        <w:t xml:space="preserve">not have </w:t>
      </w:r>
      <w:r w:rsidR="00BD3FA3">
        <w:rPr>
          <w:lang w:eastAsia="ja-JP"/>
        </w:rPr>
        <w:t xml:space="preserve">fully </w:t>
      </w:r>
      <w:r w:rsidR="005041CF">
        <w:rPr>
          <w:lang w:eastAsia="ja-JP"/>
        </w:rPr>
        <w:t xml:space="preserve">acquitted their </w:t>
      </w:r>
      <w:r w:rsidR="00BD3FA3">
        <w:rPr>
          <w:lang w:eastAsia="ja-JP"/>
        </w:rPr>
        <w:t>industrial waste duties</w:t>
      </w:r>
      <w:r w:rsidR="0062557A">
        <w:rPr>
          <w:lang w:eastAsia="ja-JP"/>
        </w:rPr>
        <w:t>.</w:t>
      </w:r>
      <w:r w:rsidR="006C3FC0">
        <w:rPr>
          <w:lang w:eastAsia="ja-JP"/>
        </w:rPr>
        <w:t xml:space="preserve"> </w:t>
      </w:r>
    </w:p>
    <w:p w14:paraId="656B070C" w14:textId="77777777" w:rsidR="00ED040F" w:rsidRDefault="004372E5" w:rsidP="001D4AFF">
      <w:pPr>
        <w:tabs>
          <w:tab w:val="left" w:pos="1276"/>
        </w:tabs>
      </w:pPr>
      <w:r>
        <w:t xml:space="preserve">The Act gives EPA the power to appoint a prescribed role to a person or class of persons. Requirements to be appointed by EPA as an </w:t>
      </w:r>
      <w:r w:rsidR="00853F1D">
        <w:t xml:space="preserve">accredited </w:t>
      </w:r>
      <w:r>
        <w:t xml:space="preserve">consigner will include being a fit and proper person, with proven knowledge of how to lawfully manage specific types of waste; i.e. through the completion of approved training. Given the complex and varied nature of waste, </w:t>
      </w:r>
      <w:r w:rsidR="00853F1D">
        <w:t>accredited consigner</w:t>
      </w:r>
      <w:r>
        <w:t xml:space="preserve">s would only be appointed to deal with wastes </w:t>
      </w:r>
      <w:r w:rsidR="00853F1D">
        <w:t xml:space="preserve">in areas where </w:t>
      </w:r>
      <w:r>
        <w:t>they have proven competency to EPA.</w:t>
      </w:r>
    </w:p>
    <w:p w14:paraId="656B070D" w14:textId="77777777" w:rsidR="00ED040F" w:rsidRDefault="00ED040F" w:rsidP="00ED040F">
      <w:r w:rsidRPr="005862A6">
        <w:t xml:space="preserve">The </w:t>
      </w:r>
      <w:r>
        <w:t xml:space="preserve">accredited </w:t>
      </w:r>
      <w:r w:rsidRPr="005862A6">
        <w:t xml:space="preserve">waste consigner </w:t>
      </w:r>
      <w:r>
        <w:t xml:space="preserve">role would need to be defined in the proposed Regulations. </w:t>
      </w:r>
      <w:r w:rsidR="00A75E94" w:rsidRPr="00A75E94">
        <w:t>The options discussed below consider whether it should be mandatory or voluntary for all consignments of reportable priority waste to be completed by someone who is appointed as an accredited consigner.</w:t>
      </w:r>
      <w:r>
        <w:t xml:space="preserve"> </w:t>
      </w:r>
      <w:r w:rsidR="0016703A">
        <w:t xml:space="preserve">Accredited </w:t>
      </w:r>
      <w:r w:rsidR="00853F1D">
        <w:t xml:space="preserve">consigners </w:t>
      </w:r>
      <w:r w:rsidR="0016703A">
        <w:t xml:space="preserve">replace the current role of </w:t>
      </w:r>
      <w:r w:rsidR="00853F1D">
        <w:t>accredited agents</w:t>
      </w:r>
      <w:r w:rsidR="0016703A">
        <w:t xml:space="preserve">, who are currently limited to acting as a transporter picking up multiple loads in a “milk-run” operation. Accredited </w:t>
      </w:r>
      <w:r w:rsidR="00853F1D">
        <w:t xml:space="preserve">consigners </w:t>
      </w:r>
      <w:r w:rsidR="0016703A">
        <w:t>have an expanded role in assisting generators to correctly classify the waste and navigate a legitimate lawful place for the waste. The expanded role is intended to leverage on-ground industry knowledge of how to manage specific types of waste, which currently occurs in a less formal way</w:t>
      </w:r>
      <w:r w:rsidR="003D6AF8">
        <w:t>.</w:t>
      </w:r>
    </w:p>
    <w:p w14:paraId="656B070E" w14:textId="77777777" w:rsidR="00ED040F" w:rsidRDefault="00ED040F" w:rsidP="00ED040F">
      <w:r>
        <w:t>Under the new EP legislation, transaction tracking is required for any reportable priority waste</w:t>
      </w:r>
      <w:r w:rsidR="00B54AE3">
        <w:t xml:space="preserve"> (s142 of the Act)</w:t>
      </w:r>
      <w:r>
        <w:t xml:space="preserve">. Duty holders are required to record prescribed transaction details in the prescribed manner and form, and to provide these details to a prescribed person. To assist duty holders to meet this obligation, EPA will introduce a new waste tracking system. This system would enable duty holders to understand and characterise their waste, identify authorised transporters and receivers, and track transactions and the characteristics of the waste across the chain of custody. The new waste tracking system is being designed to: </w:t>
      </w:r>
    </w:p>
    <w:p w14:paraId="656B070F" w14:textId="77777777" w:rsidR="00ED040F" w:rsidRDefault="00ED040F" w:rsidP="0062557A">
      <w:pPr>
        <w:pStyle w:val="ListParagraph"/>
        <w:numPr>
          <w:ilvl w:val="0"/>
          <w:numId w:val="99"/>
        </w:numPr>
      </w:pPr>
      <w:r>
        <w:t>Enable up-to-date intelligence of hazardous waste movements in the state</w:t>
      </w:r>
    </w:p>
    <w:p w14:paraId="656B0710" w14:textId="77777777" w:rsidR="00ED040F" w:rsidRDefault="00ED040F" w:rsidP="0062557A">
      <w:pPr>
        <w:pStyle w:val="ListParagraph"/>
        <w:numPr>
          <w:ilvl w:val="0"/>
          <w:numId w:val="99"/>
        </w:numPr>
      </w:pPr>
      <w:r>
        <w:t>Improve support and encourage compliance</w:t>
      </w:r>
    </w:p>
    <w:p w14:paraId="656B0711" w14:textId="77777777" w:rsidR="00ED040F" w:rsidRDefault="00ED040F" w:rsidP="0062557A">
      <w:pPr>
        <w:pStyle w:val="ListParagraph"/>
        <w:numPr>
          <w:ilvl w:val="0"/>
          <w:numId w:val="99"/>
        </w:numPr>
      </w:pPr>
      <w:r>
        <w:t>Facilitate evidence collection to expose illegal operators</w:t>
      </w:r>
    </w:p>
    <w:p w14:paraId="656B0712" w14:textId="77777777" w:rsidR="00ED040F" w:rsidRDefault="00ED040F" w:rsidP="0062557A">
      <w:pPr>
        <w:pStyle w:val="ListParagraph"/>
        <w:numPr>
          <w:ilvl w:val="0"/>
          <w:numId w:val="99"/>
        </w:numPr>
      </w:pPr>
      <w:r>
        <w:t xml:space="preserve">Be easy to use and navigate. </w:t>
      </w:r>
    </w:p>
    <w:p w14:paraId="656B0713" w14:textId="77777777" w:rsidR="00ED040F" w:rsidRDefault="00ED040F" w:rsidP="00ED040F">
      <w:r>
        <w:t xml:space="preserve">For </w:t>
      </w:r>
      <w:r w:rsidRPr="000D1529">
        <w:t xml:space="preserve">all </w:t>
      </w:r>
      <w:r>
        <w:t xml:space="preserve">of the </w:t>
      </w:r>
      <w:r w:rsidRPr="000D1529">
        <w:t>options</w:t>
      </w:r>
      <w:r>
        <w:t xml:space="preserve"> described below, the new waste tracking system would allow duty holders to provide details in the prescribed manner and form of recording transaction details. However, there would also be an option to send data directly to EPA (</w:t>
      </w:r>
      <w:r w:rsidR="005F7C6F">
        <w:t>businesses may use their own tracking systems rather than the EPA waste tracking system if the data can be provided in the approved manner</w:t>
      </w:r>
      <w:r>
        <w:t xml:space="preserve">). It can also be used voluntarily by duty holders who want to demonstrate that all reasonable steps have been taken to transport their </w:t>
      </w:r>
      <w:r w:rsidR="000777FB">
        <w:t>non-reportable</w:t>
      </w:r>
      <w:r>
        <w:t xml:space="preserve"> priority and industrial wastes to a lawful place. The options below vary only with respect to which parties are able to initiate tracking. The EPA tracking system will replace the current system which has more manual processes.</w:t>
      </w:r>
    </w:p>
    <w:p w14:paraId="656B0714" w14:textId="77777777" w:rsidR="00ED040F" w:rsidRDefault="00ED040F" w:rsidP="00ED040F">
      <w:r>
        <w:t>The transport options being considered are:</w:t>
      </w:r>
    </w:p>
    <w:p w14:paraId="656B0715" w14:textId="77777777" w:rsidR="00ED040F" w:rsidRDefault="00ED040F" w:rsidP="00ED040F">
      <w:pPr>
        <w:pStyle w:val="ListParagraph"/>
        <w:numPr>
          <w:ilvl w:val="0"/>
          <w:numId w:val="100"/>
        </w:numPr>
        <w:spacing w:after="170"/>
      </w:pPr>
      <w:r w:rsidRPr="00E53FC6">
        <w:rPr>
          <w:b/>
          <w:i/>
        </w:rPr>
        <w:t>Option 1a. Mandatory accredited consigners</w:t>
      </w:r>
      <w:r w:rsidRPr="00356C37">
        <w:rPr>
          <w:i/>
        </w:rPr>
        <w:t>.</w:t>
      </w:r>
      <w:r>
        <w:t xml:space="preserve"> Accredited consigners to manage reportable priority waste transactions would be mandatory. This would mean that all reportable priority waste consignments must be managed by an accredited consigner including managing waste tracking in a manner prescribed by EPA. Only accredited consigners would be able to initiate tracking. Reportable priority waste generators would therefore be required to engage a third party accredited consigner or be accredited themselves. This option would have no specified vehicle permissions for transporting this waste.</w:t>
      </w:r>
    </w:p>
    <w:p w14:paraId="656B0716" w14:textId="77777777" w:rsidR="00ED040F" w:rsidRDefault="00ED040F" w:rsidP="00ED040F">
      <w:pPr>
        <w:pStyle w:val="ListParagraph"/>
        <w:numPr>
          <w:ilvl w:val="0"/>
          <w:numId w:val="100"/>
        </w:numPr>
      </w:pPr>
      <w:r w:rsidRPr="00E53FC6">
        <w:rPr>
          <w:b/>
          <w:i/>
        </w:rPr>
        <w:t>Option 1b. Mandatory accredited consigners with EPA permissioning</w:t>
      </w:r>
      <w:r w:rsidRPr="00356C37">
        <w:rPr>
          <w:i/>
        </w:rPr>
        <w:t>.</w:t>
      </w:r>
      <w:r>
        <w:t xml:space="preserve"> Requiring mandatory third party accredited consigners to manage reportable priority waste transactions, including managing waste tracking information in a manner prescribed by EPA. Vehicles would be required to be registered to transport reportable priority waste and permits would be required for any vehicles intending to transport higher risk waste types (managed under the permissions framework).</w:t>
      </w:r>
    </w:p>
    <w:p w14:paraId="656B0717" w14:textId="77777777" w:rsidR="00ED040F" w:rsidRPr="00494A7B" w:rsidRDefault="00ED040F" w:rsidP="00ED040F">
      <w:pPr>
        <w:ind w:left="284"/>
      </w:pPr>
      <w:r w:rsidRPr="00494A7B">
        <w:t xml:space="preserve">Note </w:t>
      </w:r>
      <w:r w:rsidR="00853F1D" w:rsidRPr="00494A7B">
        <w:t xml:space="preserve">that </w:t>
      </w:r>
      <w:r w:rsidRPr="00494A7B">
        <w:t xml:space="preserve">options 1a and 1b have not been costed as they are considered by EPA to be impractical for implementation on day one. </w:t>
      </w:r>
      <w:r w:rsidR="006D5B85" w:rsidRPr="00494A7B">
        <w:t xml:space="preserve">This is due to the lead time required to </w:t>
      </w:r>
      <w:r w:rsidR="00633571" w:rsidRPr="00494A7B">
        <w:t>appoint</w:t>
      </w:r>
      <w:r w:rsidR="514544AB" w:rsidRPr="00494A7B">
        <w:t xml:space="preserve"> a sufficient number of consigners</w:t>
      </w:r>
      <w:r w:rsidRPr="00494A7B">
        <w:t xml:space="preserve">. </w:t>
      </w:r>
      <w:r w:rsidR="006D5B85" w:rsidRPr="00494A7B">
        <w:t xml:space="preserve">It could be considered an option in conjunction with Option 2, whereby accredited consigners are optional initially and made mandatory after a number of years. For the purposes of this RIS, however, </w:t>
      </w:r>
      <w:r w:rsidRPr="00494A7B">
        <w:t>only a qualitative MCA assessment has been undertaken</w:t>
      </w:r>
      <w:r w:rsidR="006D5B85" w:rsidRPr="00494A7B">
        <w:t xml:space="preserve"> on options 1a and 1b</w:t>
      </w:r>
      <w:r w:rsidRPr="00494A7B">
        <w:t>.</w:t>
      </w:r>
    </w:p>
    <w:p w14:paraId="656B0718" w14:textId="77777777" w:rsidR="00ED040F" w:rsidRDefault="00ED040F" w:rsidP="00ED040F">
      <w:pPr>
        <w:pStyle w:val="ListParagraph"/>
        <w:numPr>
          <w:ilvl w:val="0"/>
          <w:numId w:val="100"/>
        </w:numPr>
        <w:spacing w:after="170"/>
      </w:pPr>
      <w:r w:rsidRPr="000E7C5E">
        <w:rPr>
          <w:b/>
        </w:rPr>
        <w:t>Option 2. Balanced – Optional accredited consigners</w:t>
      </w:r>
      <w:r w:rsidRPr="000E7C5E">
        <w:t>.</w:t>
      </w:r>
      <w:r>
        <w:t xml:space="preserve"> The waste generator has the option to either undertake transaction duties and waste tracking responsibilities themselves or engage an accredited third party consigner to manage this on their behalf. Both the producer of waste and the accredited consigner can initiate waste tracking, however the use of accredited consigners would be optional. Vehicles would be required to be registered (under the permissions framework) to transport reportable priority waste and permits would be required for any vehicles intending to transport higher risk waste types (managed under the permissions framework).</w:t>
      </w:r>
    </w:p>
    <w:p w14:paraId="656B0719" w14:textId="77777777" w:rsidR="00ED040F" w:rsidRDefault="00ED040F" w:rsidP="00ED040F">
      <w:pPr>
        <w:pStyle w:val="ListParagraph"/>
        <w:numPr>
          <w:ilvl w:val="0"/>
          <w:numId w:val="100"/>
        </w:numPr>
        <w:spacing w:after="170"/>
      </w:pPr>
      <w:r w:rsidRPr="000E7C5E">
        <w:rPr>
          <w:b/>
        </w:rPr>
        <w:t>Option 3. Optional accredited consigners with introduction of a driver permission</w:t>
      </w:r>
      <w:r w:rsidRPr="000E7C5E">
        <w:t>.</w:t>
      </w:r>
      <w:r>
        <w:t xml:space="preserve"> The waste generator has the option to either undertake transaction duties and waste tracking responsibilities themselves or engage an accredited third party consigner to manage this on their behalf. Both the producer of waste and the accredited consigner can initiate waste tracking, however the use of accredited consigners would be optional. For transport permissions, drivers would be required to obtain a permission (instead of the vehicle) to both transport waste and undertake modifications. </w:t>
      </w:r>
      <w:r w:rsidR="00B2122D">
        <w:t>Additional permits will be required</w:t>
      </w:r>
      <w:r>
        <w:t xml:space="preserve"> for vehicles intending to transport higher risk waste types (managed under the permissions framework).</w:t>
      </w:r>
    </w:p>
    <w:p w14:paraId="656B071A" w14:textId="77777777" w:rsidR="00ED040F" w:rsidRDefault="00ED040F" w:rsidP="00ED040F">
      <w:pPr>
        <w:pStyle w:val="ListParagraph"/>
        <w:numPr>
          <w:ilvl w:val="0"/>
          <w:numId w:val="100"/>
        </w:numPr>
      </w:pPr>
      <w:r w:rsidRPr="000E7C5E">
        <w:rPr>
          <w:b/>
        </w:rPr>
        <w:t>Option 4. EPA control</w:t>
      </w:r>
      <w:r w:rsidRPr="000E7C5E">
        <w:t>.</w:t>
      </w:r>
      <w:r>
        <w:t xml:space="preserve"> For this option, there is no formal consigner role for transactions. Tracking would still be required in a manner and form required by EPA. Permits would be required for </w:t>
      </w:r>
      <w:r w:rsidR="00DE715A">
        <w:t>any vehicles transporting reportable priority wastes prescribed as requiring a permission</w:t>
      </w:r>
      <w:r w:rsidR="0062557A">
        <w:t xml:space="preserve"> </w:t>
      </w:r>
      <w:r>
        <w:t>and any modifications for vehicles intending to transport higher risk waste types (managed under the permissions framework).</w:t>
      </w:r>
    </w:p>
    <w:p w14:paraId="656B071B" w14:textId="77777777" w:rsidR="00ED040F" w:rsidRDefault="00ED040F" w:rsidP="00ED040F">
      <w:pPr>
        <w:pStyle w:val="2Source"/>
        <w:rPr>
          <w:szCs w:val="20"/>
        </w:rPr>
      </w:pPr>
      <w:r w:rsidRPr="00827D05">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10</w:t>
      </w:r>
      <w:r w:rsidR="00997CFA">
        <w:rPr>
          <w:color w:val="2B579A"/>
          <w:shd w:val="clear" w:color="auto" w:fill="E6E6E6"/>
        </w:rPr>
        <w:fldChar w:fldCharType="end"/>
      </w:r>
      <w:r w:rsidRPr="00827D05">
        <w:rPr>
          <w:szCs w:val="20"/>
        </w:rPr>
        <w:t xml:space="preserve"> </w:t>
      </w:r>
      <w:r>
        <w:rPr>
          <w:szCs w:val="20"/>
        </w:rPr>
        <w:t>Summary of reportable priority waste transport options</w:t>
      </w:r>
      <w:r w:rsidRPr="00827D05">
        <w:rPr>
          <w:szCs w:val="20"/>
        </w:rPr>
        <w:t xml:space="preserve"> </w:t>
      </w:r>
    </w:p>
    <w:tbl>
      <w:tblPr>
        <w:tblStyle w:val="Deloittetable"/>
        <w:tblW w:w="5000" w:type="pct"/>
        <w:tblLook w:val="0420" w:firstRow="1" w:lastRow="0" w:firstColumn="0" w:lastColumn="0" w:noHBand="0" w:noVBand="1"/>
      </w:tblPr>
      <w:tblGrid>
        <w:gridCol w:w="1516"/>
        <w:gridCol w:w="1810"/>
        <w:gridCol w:w="2272"/>
        <w:gridCol w:w="1799"/>
        <w:gridCol w:w="1958"/>
      </w:tblGrid>
      <w:tr w:rsidR="005644C6" w:rsidRPr="00A07310" w14:paraId="656B0721" w14:textId="77777777" w:rsidTr="776A73E0">
        <w:trPr>
          <w:cnfStyle w:val="100000000000" w:firstRow="1" w:lastRow="0" w:firstColumn="0" w:lastColumn="0" w:oddVBand="0" w:evenVBand="0" w:oddHBand="0" w:evenHBand="0" w:firstRowFirstColumn="0" w:firstRowLastColumn="0" w:lastRowFirstColumn="0" w:lastRowLastColumn="0"/>
          <w:trHeight w:val="504"/>
        </w:trPr>
        <w:tc>
          <w:tcPr>
            <w:tcW w:w="0" w:type="pct"/>
          </w:tcPr>
          <w:p w14:paraId="656B071C" w14:textId="77777777" w:rsidR="00ED040F" w:rsidRPr="00A07310" w:rsidRDefault="00ED040F" w:rsidP="004B63C1">
            <w:pPr>
              <w:spacing w:before="100" w:beforeAutospacing="1" w:after="100" w:afterAutospacing="1"/>
              <w:rPr>
                <w:rFonts w:eastAsia="Times New Roman" w:cs="Arial"/>
                <w:b/>
                <w:color w:val="63666A"/>
                <w:kern w:val="24"/>
                <w:sz w:val="18"/>
                <w:lang w:eastAsia="zh-CN"/>
              </w:rPr>
            </w:pPr>
          </w:p>
        </w:tc>
        <w:tc>
          <w:tcPr>
            <w:tcW w:w="0" w:type="pct"/>
            <w:hideMark/>
          </w:tcPr>
          <w:p w14:paraId="656B071D" w14:textId="77777777" w:rsidR="00ED040F" w:rsidRPr="000E7C5E" w:rsidRDefault="00ED040F" w:rsidP="004B63C1">
            <w:pPr>
              <w:spacing w:before="100" w:beforeAutospacing="1" w:after="100" w:afterAutospacing="1"/>
              <w:rPr>
                <w:rFonts w:eastAsia="Times New Roman" w:cs="Arial"/>
                <w:b/>
                <w:color w:val="000000" w:themeColor="text1"/>
                <w:kern w:val="24"/>
                <w:sz w:val="18"/>
                <w:lang w:eastAsia="zh-CN"/>
              </w:rPr>
            </w:pPr>
            <w:r w:rsidRPr="000E7C5E">
              <w:rPr>
                <w:rFonts w:eastAsia="Times New Roman" w:cs="Arial"/>
                <w:b/>
                <w:color w:val="000000" w:themeColor="text1"/>
                <w:kern w:val="24"/>
                <w:sz w:val="18"/>
                <w:lang w:eastAsia="zh-CN"/>
              </w:rPr>
              <w:t>Accredited Consigner</w:t>
            </w:r>
          </w:p>
        </w:tc>
        <w:tc>
          <w:tcPr>
            <w:tcW w:w="0" w:type="pct"/>
            <w:hideMark/>
          </w:tcPr>
          <w:p w14:paraId="656B071E" w14:textId="77777777" w:rsidR="00ED040F" w:rsidRPr="000E7C5E" w:rsidRDefault="00ED040F" w:rsidP="004B63C1">
            <w:pPr>
              <w:spacing w:before="100" w:beforeAutospacing="1" w:after="100" w:afterAutospacing="1"/>
              <w:rPr>
                <w:rFonts w:eastAsia="Times New Roman" w:cs="Arial"/>
                <w:b/>
                <w:color w:val="000000" w:themeColor="text1"/>
                <w:kern w:val="24"/>
                <w:sz w:val="18"/>
                <w:lang w:eastAsia="zh-CN"/>
              </w:rPr>
            </w:pPr>
            <w:r w:rsidRPr="000E7C5E">
              <w:rPr>
                <w:rFonts w:eastAsia="Times New Roman" w:cs="Arial"/>
                <w:b/>
                <w:color w:val="000000" w:themeColor="text1"/>
                <w:kern w:val="24"/>
                <w:sz w:val="18"/>
                <w:lang w:eastAsia="zh-CN"/>
              </w:rPr>
              <w:t>Vehicle       permission</w:t>
            </w:r>
          </w:p>
        </w:tc>
        <w:tc>
          <w:tcPr>
            <w:tcW w:w="0" w:type="pct"/>
            <w:hideMark/>
          </w:tcPr>
          <w:p w14:paraId="656B071F" w14:textId="77777777" w:rsidR="00ED040F" w:rsidRPr="000E7C5E" w:rsidRDefault="00ED040F" w:rsidP="004B63C1">
            <w:pPr>
              <w:spacing w:before="100" w:beforeAutospacing="1" w:after="100" w:afterAutospacing="1"/>
              <w:rPr>
                <w:rFonts w:eastAsia="Times New Roman" w:cs="Arial"/>
                <w:b/>
                <w:color w:val="000000" w:themeColor="text1"/>
                <w:sz w:val="18"/>
                <w:lang w:eastAsia="zh-CN"/>
              </w:rPr>
            </w:pPr>
            <w:r w:rsidRPr="000E7C5E">
              <w:rPr>
                <w:rFonts w:eastAsia="Times New Roman" w:cs="Arial"/>
                <w:b/>
                <w:color w:val="000000" w:themeColor="text1"/>
                <w:kern w:val="24"/>
                <w:sz w:val="18"/>
                <w:lang w:eastAsia="zh-CN"/>
              </w:rPr>
              <w:t>Modified vehicle permission for higher risk waste types</w:t>
            </w:r>
          </w:p>
        </w:tc>
        <w:tc>
          <w:tcPr>
            <w:tcW w:w="0" w:type="pct"/>
            <w:hideMark/>
          </w:tcPr>
          <w:p w14:paraId="656B0720" w14:textId="77777777" w:rsidR="00ED040F" w:rsidRPr="000E7C5E" w:rsidRDefault="00ED040F" w:rsidP="004B63C1">
            <w:pPr>
              <w:spacing w:before="100" w:beforeAutospacing="1" w:after="100" w:afterAutospacing="1"/>
              <w:rPr>
                <w:rFonts w:eastAsia="Times New Roman" w:cs="Arial"/>
                <w:b/>
                <w:color w:val="000000" w:themeColor="text1"/>
                <w:sz w:val="18"/>
                <w:lang w:eastAsia="zh-CN"/>
              </w:rPr>
            </w:pPr>
            <w:r w:rsidRPr="000E7C5E">
              <w:rPr>
                <w:rFonts w:eastAsia="Times New Roman" w:cs="Arial"/>
                <w:b/>
                <w:color w:val="000000" w:themeColor="text1"/>
                <w:kern w:val="24"/>
                <w:sz w:val="18"/>
                <w:lang w:eastAsia="zh-CN"/>
              </w:rPr>
              <w:t>Tracking</w:t>
            </w:r>
          </w:p>
        </w:tc>
      </w:tr>
      <w:tr w:rsidR="005644C6" w:rsidRPr="00A07310" w14:paraId="656B0727" w14:textId="77777777" w:rsidTr="776A73E0">
        <w:trPr>
          <w:trHeight w:val="686"/>
        </w:trPr>
        <w:tc>
          <w:tcPr>
            <w:tcW w:w="0" w:type="pct"/>
          </w:tcPr>
          <w:p w14:paraId="656B0722" w14:textId="77777777" w:rsidR="00ED040F" w:rsidRPr="00A07310" w:rsidRDefault="00ED040F" w:rsidP="004B63C1">
            <w:pPr>
              <w:spacing w:before="100" w:beforeAutospacing="1" w:after="100" w:afterAutospacing="1"/>
              <w:rPr>
                <w:rFonts w:eastAsia="Times New Roman" w:cs="Arial"/>
                <w:b/>
                <w:color w:val="000000" w:themeColor="dark1"/>
                <w:kern w:val="24"/>
                <w:sz w:val="18"/>
                <w:lang w:eastAsia="zh-CN"/>
              </w:rPr>
            </w:pPr>
            <w:r w:rsidRPr="00A07310">
              <w:rPr>
                <w:rFonts w:eastAsia="Times New Roman" w:cs="Arial"/>
                <w:b/>
                <w:color w:val="000000" w:themeColor="dark1"/>
                <w:kern w:val="24"/>
                <w:sz w:val="18"/>
                <w:lang w:eastAsia="zh-CN"/>
              </w:rPr>
              <w:t xml:space="preserve">Option 1a </w:t>
            </w:r>
          </w:p>
        </w:tc>
        <w:tc>
          <w:tcPr>
            <w:tcW w:w="0" w:type="pct"/>
            <w:hideMark/>
          </w:tcPr>
          <w:p w14:paraId="656B0723" w14:textId="77777777" w:rsidR="00ED040F" w:rsidRPr="00A07310" w:rsidRDefault="00ED040F" w:rsidP="004B63C1">
            <w:pPr>
              <w:spacing w:before="100" w:beforeAutospacing="1" w:after="100" w:afterAutospacing="1"/>
              <w:rPr>
                <w:rFonts w:eastAsia="Times New Roman" w:cs="Arial"/>
                <w:sz w:val="18"/>
                <w:lang w:eastAsia="zh-CN"/>
              </w:rPr>
            </w:pPr>
            <w:r w:rsidRPr="00A07310">
              <w:rPr>
                <w:rFonts w:eastAsia="Times New Roman" w:cs="Arial"/>
                <w:color w:val="000000" w:themeColor="dark1"/>
                <w:kern w:val="24"/>
                <w:sz w:val="18"/>
                <w:lang w:eastAsia="zh-CN"/>
              </w:rPr>
              <w:t xml:space="preserve">Mandatory for </w:t>
            </w:r>
            <w:r>
              <w:rPr>
                <w:rFonts w:eastAsia="Times New Roman" w:cs="Arial"/>
                <w:color w:val="000000" w:themeColor="dark1"/>
                <w:kern w:val="24"/>
                <w:sz w:val="18"/>
                <w:lang w:eastAsia="zh-CN"/>
              </w:rPr>
              <w:t xml:space="preserve"> </w:t>
            </w:r>
            <w:r w:rsidRPr="00A07310">
              <w:rPr>
                <w:rFonts w:eastAsia="Times New Roman" w:cs="Arial"/>
                <w:color w:val="000000" w:themeColor="dark1"/>
                <w:kern w:val="24"/>
                <w:sz w:val="18"/>
                <w:lang w:eastAsia="zh-CN"/>
              </w:rPr>
              <w:t xml:space="preserve">reportable priority </w:t>
            </w:r>
            <w:r>
              <w:rPr>
                <w:rFonts w:eastAsia="Times New Roman" w:cs="Arial"/>
                <w:color w:val="000000" w:themeColor="dark1"/>
                <w:kern w:val="24"/>
                <w:sz w:val="18"/>
                <w:lang w:eastAsia="zh-CN"/>
              </w:rPr>
              <w:t xml:space="preserve"> </w:t>
            </w:r>
            <w:r w:rsidRPr="00A07310">
              <w:rPr>
                <w:rFonts w:eastAsia="Times New Roman" w:cs="Arial"/>
                <w:color w:val="000000" w:themeColor="dark1"/>
                <w:kern w:val="24"/>
                <w:sz w:val="18"/>
                <w:lang w:eastAsia="zh-CN"/>
              </w:rPr>
              <w:t>wastes</w:t>
            </w:r>
          </w:p>
        </w:tc>
        <w:tc>
          <w:tcPr>
            <w:tcW w:w="0" w:type="pct"/>
            <w:hideMark/>
          </w:tcPr>
          <w:p w14:paraId="656B0724" w14:textId="77777777" w:rsidR="00ED040F" w:rsidRPr="00A07310" w:rsidRDefault="00ED040F" w:rsidP="004B63C1">
            <w:pPr>
              <w:spacing w:before="100" w:beforeAutospacing="1" w:after="100" w:afterAutospacing="1"/>
              <w:rPr>
                <w:rFonts w:eastAsia="Times New Roman" w:cs="Arial"/>
                <w:sz w:val="18"/>
                <w:lang w:eastAsia="zh-CN"/>
              </w:rPr>
            </w:pPr>
            <w:r w:rsidRPr="00A07310">
              <w:rPr>
                <w:rFonts w:eastAsia="Times New Roman" w:cs="Arial"/>
                <w:color w:val="000000" w:themeColor="dark1"/>
                <w:kern w:val="24"/>
                <w:sz w:val="18"/>
                <w:lang w:eastAsia="zh-CN"/>
              </w:rPr>
              <w:t>None</w:t>
            </w:r>
          </w:p>
        </w:tc>
        <w:tc>
          <w:tcPr>
            <w:tcW w:w="0" w:type="pct"/>
            <w:hideMark/>
          </w:tcPr>
          <w:p w14:paraId="656B0725" w14:textId="77777777" w:rsidR="00ED040F" w:rsidRPr="00A07310" w:rsidRDefault="00ED040F" w:rsidP="004B63C1">
            <w:pPr>
              <w:spacing w:before="100" w:beforeAutospacing="1" w:after="100" w:afterAutospacing="1"/>
              <w:rPr>
                <w:rFonts w:eastAsia="Times New Roman" w:cs="Arial"/>
                <w:sz w:val="18"/>
                <w:lang w:eastAsia="zh-CN"/>
              </w:rPr>
            </w:pPr>
            <w:r w:rsidRPr="00A07310">
              <w:rPr>
                <w:rFonts w:eastAsia="Times New Roman" w:cs="Arial"/>
                <w:color w:val="000000" w:themeColor="dark1"/>
                <w:kern w:val="24"/>
                <w:sz w:val="18"/>
                <w:lang w:eastAsia="zh-CN"/>
              </w:rPr>
              <w:t>None</w:t>
            </w:r>
          </w:p>
        </w:tc>
        <w:tc>
          <w:tcPr>
            <w:tcW w:w="0" w:type="pct"/>
            <w:hideMark/>
          </w:tcPr>
          <w:p w14:paraId="656B0726" w14:textId="77777777" w:rsidR="00ED040F" w:rsidRPr="00A07310" w:rsidRDefault="00ED040F" w:rsidP="00853F1D">
            <w:pPr>
              <w:spacing w:before="100" w:beforeAutospacing="1" w:after="100" w:afterAutospacing="1"/>
              <w:rPr>
                <w:rFonts w:eastAsia="Times New Roman" w:cs="Arial"/>
                <w:sz w:val="18"/>
                <w:lang w:eastAsia="zh-CN"/>
              </w:rPr>
            </w:pPr>
            <w:r w:rsidRPr="00A07310">
              <w:rPr>
                <w:rFonts w:eastAsia="Times New Roman" w:cs="Arial"/>
                <w:color w:val="000000" w:themeColor="dark1"/>
                <w:kern w:val="24"/>
                <w:sz w:val="18"/>
                <w:lang w:eastAsia="zh-CN"/>
              </w:rPr>
              <w:t xml:space="preserve">In a manner and form prescribed by </w:t>
            </w:r>
            <w:r>
              <w:rPr>
                <w:rFonts w:eastAsia="Times New Roman" w:cs="Arial"/>
                <w:color w:val="000000" w:themeColor="dark1"/>
                <w:kern w:val="24"/>
                <w:sz w:val="18"/>
                <w:lang w:eastAsia="zh-CN"/>
              </w:rPr>
              <w:t xml:space="preserve">EPA </w:t>
            </w:r>
            <w:r w:rsidRPr="00A07310">
              <w:rPr>
                <w:rFonts w:eastAsia="Times New Roman" w:cs="Arial"/>
                <w:color w:val="000000" w:themeColor="dark1"/>
                <w:kern w:val="24"/>
                <w:sz w:val="18"/>
                <w:lang w:eastAsia="zh-CN"/>
              </w:rPr>
              <w:t xml:space="preserve">and </w:t>
            </w:r>
            <w:r w:rsidRPr="00A07310">
              <w:rPr>
                <w:rFonts w:eastAsia="Times New Roman"/>
                <w:color w:val="000000" w:themeColor="dark1"/>
                <w:kern w:val="24"/>
                <w:sz w:val="18"/>
                <w:lang w:eastAsia="zh-CN"/>
              </w:rPr>
              <w:t>the consignment tracked</w:t>
            </w:r>
            <w:r w:rsidRPr="00A07310">
              <w:rPr>
                <w:rFonts w:eastAsia="Times New Roman" w:cs="Arial"/>
                <w:color w:val="000000" w:themeColor="dark1"/>
                <w:kern w:val="24"/>
                <w:sz w:val="18"/>
                <w:lang w:eastAsia="zh-CN"/>
              </w:rPr>
              <w:t xml:space="preserve"> by the </w:t>
            </w:r>
            <w:r w:rsidR="00853F1D">
              <w:rPr>
                <w:rFonts w:eastAsia="Times New Roman" w:cs="Arial"/>
                <w:color w:val="000000" w:themeColor="dark1"/>
                <w:kern w:val="24"/>
                <w:sz w:val="18"/>
                <w:lang w:eastAsia="zh-CN"/>
              </w:rPr>
              <w:t>a</w:t>
            </w:r>
            <w:r w:rsidR="00853F1D" w:rsidRPr="00A07310">
              <w:rPr>
                <w:rFonts w:eastAsia="Times New Roman" w:cs="Arial"/>
                <w:color w:val="000000" w:themeColor="dark1"/>
                <w:kern w:val="24"/>
                <w:sz w:val="18"/>
                <w:lang w:eastAsia="zh-CN"/>
              </w:rPr>
              <w:t xml:space="preserve">ccredited </w:t>
            </w:r>
            <w:r w:rsidR="00853F1D">
              <w:rPr>
                <w:rFonts w:eastAsia="Times New Roman" w:cs="Arial"/>
                <w:color w:val="000000" w:themeColor="dark1"/>
                <w:kern w:val="24"/>
                <w:sz w:val="18"/>
                <w:lang w:eastAsia="zh-CN"/>
              </w:rPr>
              <w:t>c</w:t>
            </w:r>
            <w:r w:rsidR="00853F1D" w:rsidRPr="00A07310">
              <w:rPr>
                <w:rFonts w:eastAsia="Times New Roman" w:cs="Arial"/>
                <w:color w:val="000000" w:themeColor="dark1"/>
                <w:kern w:val="24"/>
                <w:sz w:val="18"/>
                <w:lang w:eastAsia="zh-CN"/>
              </w:rPr>
              <w:t>onsigner</w:t>
            </w:r>
            <w:r w:rsidRPr="00A07310">
              <w:rPr>
                <w:rFonts w:eastAsia="Times New Roman"/>
                <w:color w:val="000000" w:themeColor="dark1"/>
                <w:kern w:val="24"/>
                <w:sz w:val="18"/>
                <w:lang w:eastAsia="zh-CN"/>
              </w:rPr>
              <w:t xml:space="preserve">. </w:t>
            </w:r>
          </w:p>
        </w:tc>
      </w:tr>
      <w:tr w:rsidR="005644C6" w:rsidRPr="00A07310" w14:paraId="656B072D" w14:textId="77777777" w:rsidTr="776A73E0">
        <w:trPr>
          <w:trHeight w:val="548"/>
        </w:trPr>
        <w:tc>
          <w:tcPr>
            <w:tcW w:w="0" w:type="pct"/>
          </w:tcPr>
          <w:p w14:paraId="656B0728" w14:textId="77777777" w:rsidR="00ED040F" w:rsidRPr="00A07310" w:rsidRDefault="00ED040F" w:rsidP="004B63C1">
            <w:pPr>
              <w:spacing w:before="100" w:beforeAutospacing="1" w:after="100" w:afterAutospacing="1"/>
              <w:rPr>
                <w:rFonts w:eastAsia="Times New Roman" w:cs="Arial"/>
                <w:b/>
                <w:bCs/>
                <w:color w:val="000000" w:themeColor="dark1"/>
                <w:kern w:val="24"/>
                <w:sz w:val="18"/>
                <w:lang w:eastAsia="zh-CN"/>
              </w:rPr>
            </w:pPr>
            <w:r w:rsidRPr="00A07310">
              <w:rPr>
                <w:rFonts w:eastAsia="Times New Roman" w:cs="Arial"/>
                <w:b/>
                <w:bCs/>
                <w:color w:val="000000" w:themeColor="dark1"/>
                <w:kern w:val="24"/>
                <w:sz w:val="18"/>
                <w:lang w:eastAsia="zh-CN"/>
              </w:rPr>
              <w:t>Option 1b</w:t>
            </w:r>
            <w:r w:rsidRPr="00A07310">
              <w:rPr>
                <w:rFonts w:eastAsia="Times New Roman" w:cs="Arial"/>
                <w:b/>
                <w:bCs/>
                <w:color w:val="000000" w:themeColor="dark1"/>
                <w:kern w:val="24"/>
                <w:sz w:val="18"/>
                <w:lang w:eastAsia="zh-CN"/>
              </w:rPr>
              <w:br/>
            </w:r>
          </w:p>
        </w:tc>
        <w:tc>
          <w:tcPr>
            <w:tcW w:w="0" w:type="pct"/>
            <w:hideMark/>
          </w:tcPr>
          <w:p w14:paraId="656B0729" w14:textId="77777777" w:rsidR="00ED040F" w:rsidRPr="00A07310" w:rsidRDefault="00ED040F" w:rsidP="004B63C1">
            <w:pPr>
              <w:spacing w:before="100" w:beforeAutospacing="1" w:after="100" w:afterAutospacing="1"/>
              <w:rPr>
                <w:rFonts w:eastAsia="Times New Roman" w:cs="Arial"/>
                <w:sz w:val="18"/>
                <w:lang w:eastAsia="zh-CN"/>
              </w:rPr>
            </w:pPr>
            <w:r w:rsidRPr="00A07310">
              <w:rPr>
                <w:rFonts w:eastAsia="Times New Roman" w:cs="Arial"/>
                <w:color w:val="000000" w:themeColor="dark1"/>
                <w:kern w:val="24"/>
                <w:sz w:val="18"/>
                <w:lang w:eastAsia="zh-CN"/>
              </w:rPr>
              <w:t xml:space="preserve">Mandatory for </w:t>
            </w:r>
            <w:r>
              <w:rPr>
                <w:rFonts w:eastAsia="Times New Roman" w:cs="Arial"/>
                <w:color w:val="000000" w:themeColor="dark1"/>
                <w:kern w:val="24"/>
                <w:sz w:val="18"/>
                <w:lang w:eastAsia="zh-CN"/>
              </w:rPr>
              <w:t xml:space="preserve"> </w:t>
            </w:r>
            <w:r w:rsidRPr="00A07310">
              <w:rPr>
                <w:rFonts w:eastAsia="Times New Roman" w:cs="Arial"/>
                <w:color w:val="000000" w:themeColor="dark1"/>
                <w:kern w:val="24"/>
                <w:sz w:val="18"/>
                <w:lang w:eastAsia="zh-CN"/>
              </w:rPr>
              <w:t xml:space="preserve">reportable priority </w:t>
            </w:r>
            <w:r>
              <w:rPr>
                <w:rFonts w:eastAsia="Times New Roman" w:cs="Arial"/>
                <w:color w:val="000000" w:themeColor="dark1"/>
                <w:kern w:val="24"/>
                <w:sz w:val="18"/>
                <w:lang w:eastAsia="zh-CN"/>
              </w:rPr>
              <w:t xml:space="preserve"> </w:t>
            </w:r>
            <w:r w:rsidRPr="00A07310">
              <w:rPr>
                <w:rFonts w:eastAsia="Times New Roman" w:cs="Arial"/>
                <w:color w:val="000000" w:themeColor="dark1"/>
                <w:kern w:val="24"/>
                <w:sz w:val="18"/>
                <w:lang w:eastAsia="zh-CN"/>
              </w:rPr>
              <w:t>wastes</w:t>
            </w:r>
          </w:p>
        </w:tc>
        <w:tc>
          <w:tcPr>
            <w:tcW w:w="0" w:type="pct"/>
            <w:hideMark/>
          </w:tcPr>
          <w:p w14:paraId="656B072A" w14:textId="77777777" w:rsidR="00ED040F" w:rsidRPr="00A07310" w:rsidRDefault="00ED040F" w:rsidP="004B63C1">
            <w:pPr>
              <w:spacing w:before="100" w:beforeAutospacing="1" w:after="100" w:afterAutospacing="1"/>
              <w:rPr>
                <w:rFonts w:eastAsia="Times New Roman" w:cs="Arial"/>
                <w:sz w:val="18"/>
                <w:lang w:eastAsia="zh-CN"/>
              </w:rPr>
            </w:pPr>
            <w:r w:rsidRPr="00A07310">
              <w:rPr>
                <w:rFonts w:eastAsia="Times New Roman" w:cs="Arial"/>
                <w:color w:val="000000" w:themeColor="dark1"/>
                <w:kern w:val="24"/>
                <w:sz w:val="18"/>
                <w:lang w:eastAsia="zh-CN"/>
              </w:rPr>
              <w:t>Registration</w:t>
            </w:r>
          </w:p>
        </w:tc>
        <w:tc>
          <w:tcPr>
            <w:tcW w:w="0" w:type="pct"/>
            <w:hideMark/>
          </w:tcPr>
          <w:p w14:paraId="656B072B" w14:textId="77777777" w:rsidR="00ED040F" w:rsidRPr="00A07310" w:rsidRDefault="00ED040F" w:rsidP="004B63C1">
            <w:pPr>
              <w:spacing w:before="100" w:beforeAutospacing="1" w:after="100" w:afterAutospacing="1"/>
              <w:rPr>
                <w:rFonts w:eastAsia="Times New Roman" w:cs="Arial"/>
                <w:sz w:val="18"/>
                <w:lang w:eastAsia="zh-CN"/>
              </w:rPr>
            </w:pPr>
            <w:r w:rsidRPr="00A07310">
              <w:rPr>
                <w:rFonts w:eastAsia="Times New Roman" w:cs="Arial"/>
                <w:color w:val="000000" w:themeColor="dark1"/>
                <w:kern w:val="24"/>
                <w:sz w:val="18"/>
                <w:lang w:eastAsia="zh-CN"/>
              </w:rPr>
              <w:t>Permit</w:t>
            </w:r>
          </w:p>
        </w:tc>
        <w:tc>
          <w:tcPr>
            <w:tcW w:w="0" w:type="pct"/>
            <w:hideMark/>
          </w:tcPr>
          <w:p w14:paraId="656B072C" w14:textId="77777777" w:rsidR="00ED040F" w:rsidRPr="00A07310" w:rsidRDefault="00ED040F" w:rsidP="00853F1D">
            <w:pPr>
              <w:spacing w:before="100" w:beforeAutospacing="1" w:after="100" w:afterAutospacing="1"/>
              <w:rPr>
                <w:rFonts w:eastAsia="Times New Roman" w:cs="Arial"/>
                <w:sz w:val="18"/>
                <w:lang w:eastAsia="zh-CN"/>
              </w:rPr>
            </w:pPr>
            <w:r w:rsidRPr="00A07310">
              <w:rPr>
                <w:rFonts w:eastAsia="Times New Roman" w:cs="Arial"/>
                <w:color w:val="000000" w:themeColor="dark1"/>
                <w:kern w:val="24"/>
                <w:sz w:val="18"/>
                <w:lang w:eastAsia="zh-CN"/>
              </w:rPr>
              <w:t xml:space="preserve">In a manner and form prescribed by </w:t>
            </w:r>
            <w:r>
              <w:rPr>
                <w:rFonts w:eastAsia="Times New Roman" w:cs="Arial"/>
                <w:color w:val="000000" w:themeColor="dark1"/>
                <w:kern w:val="24"/>
                <w:sz w:val="18"/>
                <w:lang w:eastAsia="zh-CN"/>
              </w:rPr>
              <w:t xml:space="preserve">EPA </w:t>
            </w:r>
            <w:r w:rsidRPr="00A07310">
              <w:rPr>
                <w:rFonts w:eastAsia="Times New Roman" w:cs="Arial"/>
                <w:color w:val="000000" w:themeColor="dark1"/>
                <w:kern w:val="24"/>
                <w:sz w:val="18"/>
                <w:lang w:eastAsia="zh-CN"/>
              </w:rPr>
              <w:t xml:space="preserve">and </w:t>
            </w:r>
            <w:r w:rsidRPr="00A07310">
              <w:rPr>
                <w:rFonts w:eastAsia="Times New Roman"/>
                <w:color w:val="000000" w:themeColor="dark1"/>
                <w:kern w:val="24"/>
                <w:sz w:val="18"/>
                <w:lang w:eastAsia="zh-CN"/>
              </w:rPr>
              <w:t>the consignment tracked</w:t>
            </w:r>
            <w:r w:rsidRPr="00A07310">
              <w:rPr>
                <w:rFonts w:eastAsia="Times New Roman" w:cs="Arial"/>
                <w:color w:val="000000" w:themeColor="dark1"/>
                <w:kern w:val="24"/>
                <w:sz w:val="18"/>
                <w:lang w:eastAsia="zh-CN"/>
              </w:rPr>
              <w:t xml:space="preserve"> by the </w:t>
            </w:r>
            <w:r w:rsidR="00853F1D">
              <w:rPr>
                <w:rFonts w:eastAsia="Times New Roman" w:cs="Arial"/>
                <w:color w:val="000000" w:themeColor="dark1"/>
                <w:kern w:val="24"/>
                <w:sz w:val="18"/>
                <w:lang w:eastAsia="zh-CN"/>
              </w:rPr>
              <w:t>a</w:t>
            </w:r>
            <w:r w:rsidR="00853F1D" w:rsidRPr="00A07310">
              <w:rPr>
                <w:rFonts w:eastAsia="Times New Roman" w:cs="Arial"/>
                <w:color w:val="000000" w:themeColor="dark1"/>
                <w:kern w:val="24"/>
                <w:sz w:val="18"/>
                <w:lang w:eastAsia="zh-CN"/>
              </w:rPr>
              <w:t xml:space="preserve">ccredited </w:t>
            </w:r>
            <w:r w:rsidR="00853F1D">
              <w:rPr>
                <w:rFonts w:eastAsia="Times New Roman" w:cs="Arial"/>
                <w:color w:val="000000" w:themeColor="dark1"/>
                <w:kern w:val="24"/>
                <w:sz w:val="18"/>
                <w:lang w:eastAsia="zh-CN"/>
              </w:rPr>
              <w:t>c</w:t>
            </w:r>
            <w:r w:rsidR="00853F1D" w:rsidRPr="00A07310">
              <w:rPr>
                <w:rFonts w:eastAsia="Times New Roman" w:cs="Arial"/>
                <w:color w:val="000000" w:themeColor="dark1"/>
                <w:kern w:val="24"/>
                <w:sz w:val="18"/>
                <w:lang w:eastAsia="zh-CN"/>
              </w:rPr>
              <w:t>onsigner</w:t>
            </w:r>
            <w:r w:rsidRPr="00A07310">
              <w:rPr>
                <w:rFonts w:eastAsia="Times New Roman"/>
                <w:color w:val="000000" w:themeColor="dark1"/>
                <w:kern w:val="24"/>
                <w:sz w:val="18"/>
                <w:lang w:eastAsia="zh-CN"/>
              </w:rPr>
              <w:t xml:space="preserve">. </w:t>
            </w:r>
          </w:p>
        </w:tc>
      </w:tr>
      <w:tr w:rsidR="005644C6" w:rsidRPr="00A07310" w14:paraId="656B0733" w14:textId="77777777" w:rsidTr="776A73E0">
        <w:trPr>
          <w:trHeight w:val="532"/>
        </w:trPr>
        <w:tc>
          <w:tcPr>
            <w:tcW w:w="0" w:type="pct"/>
          </w:tcPr>
          <w:p w14:paraId="656B072E" w14:textId="77777777" w:rsidR="00ED040F" w:rsidRPr="00A07310" w:rsidRDefault="00ED040F" w:rsidP="004B63C1">
            <w:pPr>
              <w:spacing w:before="100" w:beforeAutospacing="1" w:after="100" w:afterAutospacing="1"/>
              <w:rPr>
                <w:rFonts w:eastAsia="Times New Roman" w:cs="Arial"/>
                <w:b/>
                <w:bCs/>
                <w:color w:val="000000" w:themeColor="dark1"/>
                <w:kern w:val="24"/>
                <w:sz w:val="18"/>
                <w:lang w:eastAsia="zh-CN"/>
              </w:rPr>
            </w:pPr>
            <w:r w:rsidRPr="00A07310">
              <w:rPr>
                <w:rFonts w:eastAsia="Times New Roman" w:cs="Arial"/>
                <w:b/>
                <w:bCs/>
                <w:color w:val="000000" w:themeColor="dark1"/>
                <w:kern w:val="24"/>
                <w:sz w:val="18"/>
                <w:lang w:eastAsia="zh-CN"/>
              </w:rPr>
              <w:t xml:space="preserve">Option 2 </w:t>
            </w:r>
            <w:r w:rsidRPr="00A07310">
              <w:rPr>
                <w:rFonts w:eastAsia="Times New Roman" w:cs="Arial"/>
                <w:b/>
                <w:bCs/>
                <w:color w:val="000000" w:themeColor="dark1"/>
                <w:kern w:val="24"/>
                <w:sz w:val="18"/>
                <w:lang w:eastAsia="zh-CN"/>
              </w:rPr>
              <w:br/>
            </w:r>
          </w:p>
        </w:tc>
        <w:tc>
          <w:tcPr>
            <w:tcW w:w="0" w:type="pct"/>
            <w:hideMark/>
          </w:tcPr>
          <w:p w14:paraId="656B072F" w14:textId="77777777" w:rsidR="00ED040F" w:rsidRPr="00A07310" w:rsidRDefault="00ED040F" w:rsidP="004B63C1">
            <w:pPr>
              <w:spacing w:before="100" w:beforeAutospacing="1" w:after="100" w:afterAutospacing="1"/>
              <w:rPr>
                <w:rFonts w:eastAsia="Times New Roman" w:cs="Arial"/>
                <w:b/>
                <w:bCs/>
                <w:color w:val="000000" w:themeColor="dark1"/>
                <w:kern w:val="24"/>
                <w:sz w:val="18"/>
                <w:lang w:eastAsia="zh-CN"/>
              </w:rPr>
            </w:pPr>
            <w:r w:rsidRPr="00A07310">
              <w:rPr>
                <w:rFonts w:eastAsia="Times New Roman" w:cs="Arial"/>
                <w:color w:val="000000" w:themeColor="dark1"/>
                <w:kern w:val="24"/>
                <w:sz w:val="18"/>
                <w:lang w:eastAsia="zh-CN"/>
              </w:rPr>
              <w:t>Optional</w:t>
            </w:r>
          </w:p>
        </w:tc>
        <w:tc>
          <w:tcPr>
            <w:tcW w:w="0" w:type="pct"/>
            <w:hideMark/>
          </w:tcPr>
          <w:p w14:paraId="656B0730" w14:textId="77777777" w:rsidR="00ED040F" w:rsidRPr="00A07310" w:rsidRDefault="00ED040F" w:rsidP="004B63C1">
            <w:pPr>
              <w:spacing w:before="100" w:beforeAutospacing="1" w:after="100" w:afterAutospacing="1"/>
              <w:rPr>
                <w:rFonts w:eastAsia="Times New Roman" w:cs="Arial"/>
                <w:sz w:val="18"/>
                <w:lang w:eastAsia="zh-CN"/>
              </w:rPr>
            </w:pPr>
            <w:r w:rsidRPr="00A07310">
              <w:rPr>
                <w:rFonts w:eastAsia="Times New Roman" w:cs="Arial"/>
                <w:color w:val="000000" w:themeColor="dark1"/>
                <w:kern w:val="24"/>
                <w:sz w:val="18"/>
                <w:lang w:eastAsia="zh-CN"/>
              </w:rPr>
              <w:t>Registration</w:t>
            </w:r>
          </w:p>
        </w:tc>
        <w:tc>
          <w:tcPr>
            <w:tcW w:w="0" w:type="pct"/>
            <w:hideMark/>
          </w:tcPr>
          <w:p w14:paraId="656B0731" w14:textId="77777777" w:rsidR="00ED040F" w:rsidRPr="00A07310" w:rsidRDefault="00ED040F" w:rsidP="004B63C1">
            <w:pPr>
              <w:spacing w:before="100" w:beforeAutospacing="1" w:after="100" w:afterAutospacing="1"/>
              <w:rPr>
                <w:rFonts w:eastAsia="Times New Roman" w:cs="Arial"/>
                <w:sz w:val="18"/>
                <w:lang w:eastAsia="zh-CN"/>
              </w:rPr>
            </w:pPr>
            <w:r w:rsidRPr="00A07310">
              <w:rPr>
                <w:rFonts w:eastAsia="Times New Roman" w:cs="Arial"/>
                <w:color w:val="000000" w:themeColor="dark1"/>
                <w:kern w:val="24"/>
                <w:sz w:val="18"/>
                <w:lang w:eastAsia="zh-CN"/>
              </w:rPr>
              <w:t>Permit</w:t>
            </w:r>
          </w:p>
        </w:tc>
        <w:tc>
          <w:tcPr>
            <w:tcW w:w="0" w:type="pct"/>
            <w:hideMark/>
          </w:tcPr>
          <w:p w14:paraId="656B0732" w14:textId="77777777" w:rsidR="00ED040F" w:rsidRPr="00A07310" w:rsidRDefault="00ED040F" w:rsidP="00853F1D">
            <w:pPr>
              <w:spacing w:before="100" w:beforeAutospacing="1" w:after="100" w:afterAutospacing="1"/>
              <w:rPr>
                <w:rFonts w:eastAsia="Times New Roman" w:cs="Arial"/>
                <w:sz w:val="18"/>
                <w:lang w:eastAsia="zh-CN"/>
              </w:rPr>
            </w:pPr>
            <w:r w:rsidRPr="00A07310">
              <w:rPr>
                <w:rFonts w:eastAsia="Times New Roman" w:cs="Arial"/>
                <w:color w:val="000000" w:themeColor="dark1"/>
                <w:kern w:val="24"/>
                <w:sz w:val="18"/>
                <w:lang w:eastAsia="zh-CN"/>
              </w:rPr>
              <w:t xml:space="preserve">In a manner and form prescribed by </w:t>
            </w:r>
            <w:r>
              <w:rPr>
                <w:rFonts w:eastAsia="Times New Roman" w:cs="Arial"/>
                <w:color w:val="000000" w:themeColor="dark1"/>
                <w:kern w:val="24"/>
                <w:sz w:val="18"/>
                <w:lang w:eastAsia="zh-CN"/>
              </w:rPr>
              <w:t>EPA</w:t>
            </w:r>
            <w:r w:rsidRPr="00A07310">
              <w:rPr>
                <w:rFonts w:eastAsia="Times New Roman" w:cs="Arial"/>
                <w:color w:val="000000" w:themeColor="dark1"/>
                <w:kern w:val="24"/>
                <w:sz w:val="18"/>
                <w:lang w:eastAsia="zh-CN"/>
              </w:rPr>
              <w:t xml:space="preserve"> and </w:t>
            </w:r>
            <w:r w:rsidRPr="00A07310">
              <w:rPr>
                <w:rFonts w:eastAsia="Times New Roman"/>
                <w:color w:val="000000" w:themeColor="dark1"/>
                <w:kern w:val="24"/>
                <w:sz w:val="18"/>
                <w:lang w:eastAsia="zh-CN"/>
              </w:rPr>
              <w:t>the consignment tracked</w:t>
            </w:r>
            <w:r w:rsidRPr="00A07310">
              <w:rPr>
                <w:rFonts w:eastAsia="Times New Roman" w:cs="Arial"/>
                <w:color w:val="000000" w:themeColor="dark1"/>
                <w:kern w:val="24"/>
                <w:sz w:val="18"/>
                <w:lang w:eastAsia="zh-CN"/>
              </w:rPr>
              <w:t xml:space="preserve"> by either </w:t>
            </w:r>
            <w:r w:rsidR="00853F1D">
              <w:rPr>
                <w:rFonts w:eastAsia="Times New Roman" w:cs="Arial"/>
                <w:color w:val="000000" w:themeColor="dark1"/>
                <w:kern w:val="24"/>
                <w:sz w:val="18"/>
                <w:lang w:eastAsia="zh-CN"/>
              </w:rPr>
              <w:t>a</w:t>
            </w:r>
            <w:r w:rsidR="00853F1D" w:rsidRPr="00A07310">
              <w:rPr>
                <w:rFonts w:eastAsia="Times New Roman" w:cs="Arial"/>
                <w:color w:val="000000" w:themeColor="dark1"/>
                <w:kern w:val="24"/>
                <w:sz w:val="18"/>
                <w:lang w:eastAsia="zh-CN"/>
              </w:rPr>
              <w:t xml:space="preserve">ccredited </w:t>
            </w:r>
            <w:r w:rsidR="00853F1D">
              <w:rPr>
                <w:rFonts w:eastAsia="Times New Roman" w:cs="Arial"/>
                <w:color w:val="000000" w:themeColor="dark1"/>
                <w:kern w:val="24"/>
                <w:sz w:val="18"/>
                <w:lang w:eastAsia="zh-CN"/>
              </w:rPr>
              <w:t>c</w:t>
            </w:r>
            <w:r w:rsidR="00853F1D" w:rsidRPr="00A07310">
              <w:rPr>
                <w:rFonts w:eastAsia="Times New Roman" w:cs="Arial"/>
                <w:color w:val="000000" w:themeColor="dark1"/>
                <w:kern w:val="24"/>
                <w:sz w:val="18"/>
                <w:lang w:eastAsia="zh-CN"/>
              </w:rPr>
              <w:t xml:space="preserve">onsigner </w:t>
            </w:r>
            <w:r w:rsidRPr="00A07310">
              <w:rPr>
                <w:rFonts w:eastAsia="Times New Roman" w:cs="Arial"/>
                <w:color w:val="000000" w:themeColor="dark1"/>
                <w:kern w:val="24"/>
                <w:sz w:val="18"/>
                <w:lang w:eastAsia="zh-CN"/>
              </w:rPr>
              <w:t xml:space="preserve">or </w:t>
            </w:r>
            <w:r w:rsidR="00853F1D">
              <w:rPr>
                <w:rFonts w:eastAsia="Times New Roman"/>
                <w:color w:val="000000" w:themeColor="dark1"/>
                <w:kern w:val="24"/>
                <w:sz w:val="18"/>
                <w:lang w:eastAsia="zh-CN"/>
              </w:rPr>
              <w:t>p</w:t>
            </w:r>
            <w:r w:rsidR="00853F1D" w:rsidRPr="00A07310">
              <w:rPr>
                <w:rFonts w:eastAsia="Times New Roman"/>
                <w:color w:val="000000" w:themeColor="dark1"/>
                <w:kern w:val="24"/>
                <w:sz w:val="18"/>
                <w:lang w:eastAsia="zh-CN"/>
              </w:rPr>
              <w:t>roducer</w:t>
            </w:r>
            <w:r w:rsidRPr="00A07310">
              <w:rPr>
                <w:rFonts w:eastAsia="Times New Roman" w:cs="Arial"/>
                <w:color w:val="000000" w:themeColor="dark1"/>
                <w:kern w:val="24"/>
                <w:sz w:val="18"/>
                <w:lang w:eastAsia="zh-CN"/>
              </w:rPr>
              <w:t>.</w:t>
            </w:r>
            <w:r w:rsidRPr="00A07310">
              <w:rPr>
                <w:rFonts w:eastAsia="Times New Roman"/>
                <w:color w:val="000000" w:themeColor="dark1"/>
                <w:kern w:val="24"/>
                <w:sz w:val="18"/>
                <w:lang w:eastAsia="zh-CN"/>
              </w:rPr>
              <w:t xml:space="preserve"> </w:t>
            </w:r>
          </w:p>
        </w:tc>
      </w:tr>
      <w:tr w:rsidR="005644C6" w:rsidRPr="00A07310" w14:paraId="656B0739" w14:textId="77777777" w:rsidTr="776A73E0">
        <w:trPr>
          <w:trHeight w:val="396"/>
        </w:trPr>
        <w:tc>
          <w:tcPr>
            <w:tcW w:w="0" w:type="pct"/>
          </w:tcPr>
          <w:p w14:paraId="656B0734" w14:textId="77777777" w:rsidR="00ED040F" w:rsidRPr="00A07310" w:rsidRDefault="00ED040F" w:rsidP="004B63C1">
            <w:pPr>
              <w:spacing w:before="100" w:beforeAutospacing="1" w:after="100" w:afterAutospacing="1"/>
              <w:rPr>
                <w:rFonts w:eastAsia="Times New Roman" w:cs="Arial"/>
                <w:b/>
                <w:bCs/>
                <w:color w:val="000000" w:themeColor="dark1"/>
                <w:kern w:val="24"/>
                <w:sz w:val="18"/>
                <w:lang w:eastAsia="zh-CN"/>
              </w:rPr>
            </w:pPr>
            <w:r w:rsidRPr="00A07310">
              <w:rPr>
                <w:rFonts w:eastAsia="Times New Roman" w:cs="Arial"/>
                <w:b/>
                <w:bCs/>
                <w:color w:val="000000" w:themeColor="dark1"/>
                <w:kern w:val="24"/>
                <w:sz w:val="18"/>
                <w:lang w:eastAsia="zh-CN"/>
              </w:rPr>
              <w:t>Option 3</w:t>
            </w:r>
            <w:r w:rsidRPr="00A07310">
              <w:rPr>
                <w:rFonts w:eastAsia="Times New Roman" w:cs="Arial"/>
                <w:b/>
                <w:color w:val="000000" w:themeColor="dark1"/>
                <w:kern w:val="24"/>
                <w:sz w:val="18"/>
                <w:lang w:eastAsia="zh-CN"/>
              </w:rPr>
              <w:br/>
            </w:r>
          </w:p>
        </w:tc>
        <w:tc>
          <w:tcPr>
            <w:tcW w:w="0" w:type="pct"/>
            <w:hideMark/>
          </w:tcPr>
          <w:p w14:paraId="656B0735" w14:textId="77777777" w:rsidR="00ED040F" w:rsidRPr="00A07310" w:rsidRDefault="00ED040F" w:rsidP="004B63C1">
            <w:pPr>
              <w:spacing w:before="100" w:beforeAutospacing="1" w:after="100" w:afterAutospacing="1"/>
              <w:rPr>
                <w:rFonts w:eastAsia="Times New Roman" w:cs="Arial"/>
                <w:b/>
                <w:color w:val="000000" w:themeColor="dark1"/>
                <w:kern w:val="24"/>
                <w:sz w:val="18"/>
                <w:lang w:eastAsia="zh-CN"/>
              </w:rPr>
            </w:pPr>
            <w:r w:rsidRPr="00A07310">
              <w:rPr>
                <w:rFonts w:eastAsia="Times New Roman" w:cs="Arial"/>
                <w:color w:val="000000" w:themeColor="dark1"/>
                <w:kern w:val="24"/>
                <w:sz w:val="18"/>
                <w:lang w:eastAsia="zh-CN"/>
              </w:rPr>
              <w:t>Optional</w:t>
            </w:r>
          </w:p>
        </w:tc>
        <w:tc>
          <w:tcPr>
            <w:tcW w:w="0" w:type="pct"/>
            <w:hideMark/>
          </w:tcPr>
          <w:p w14:paraId="656B0736" w14:textId="77777777" w:rsidR="00ED040F" w:rsidRPr="00A07310" w:rsidRDefault="00ED040F" w:rsidP="004B63C1">
            <w:pPr>
              <w:spacing w:before="100" w:beforeAutospacing="1" w:after="100" w:afterAutospacing="1"/>
              <w:rPr>
                <w:rFonts w:eastAsia="Times New Roman" w:cs="Arial"/>
                <w:color w:val="000000" w:themeColor="dark1"/>
                <w:kern w:val="24"/>
                <w:sz w:val="18"/>
                <w:lang w:eastAsia="zh-CN"/>
              </w:rPr>
            </w:pPr>
            <w:r w:rsidRPr="00A07310">
              <w:rPr>
                <w:rFonts w:eastAsia="Times New Roman" w:cs="Arial"/>
                <w:color w:val="000000" w:themeColor="dark1"/>
                <w:kern w:val="24"/>
                <w:sz w:val="18"/>
                <w:lang w:eastAsia="zh-CN"/>
              </w:rPr>
              <w:t>Driver Permission (no registration for vehicle)</w:t>
            </w:r>
          </w:p>
        </w:tc>
        <w:tc>
          <w:tcPr>
            <w:tcW w:w="0" w:type="pct"/>
            <w:hideMark/>
          </w:tcPr>
          <w:p w14:paraId="656B0737" w14:textId="77777777" w:rsidR="00ED040F" w:rsidRPr="00A07310" w:rsidRDefault="005644C6" w:rsidP="004B63C1">
            <w:pPr>
              <w:spacing w:before="100" w:beforeAutospacing="1" w:after="100" w:afterAutospacing="1"/>
              <w:rPr>
                <w:rFonts w:eastAsia="Times New Roman" w:cs="Arial"/>
                <w:color w:val="000000" w:themeColor="dark1"/>
                <w:kern w:val="24"/>
                <w:sz w:val="18"/>
                <w:lang w:eastAsia="zh-CN"/>
              </w:rPr>
            </w:pPr>
            <w:r>
              <w:rPr>
                <w:rFonts w:eastAsia="Times New Roman" w:cs="Arial"/>
                <w:color w:val="000000" w:themeColor="dark1"/>
                <w:kern w:val="24"/>
                <w:sz w:val="18"/>
                <w:lang w:eastAsia="zh-CN"/>
              </w:rPr>
              <w:t>Driver permit and vehicle p</w:t>
            </w:r>
            <w:r w:rsidR="00ED040F" w:rsidRPr="00A07310">
              <w:rPr>
                <w:rFonts w:eastAsia="Times New Roman" w:cs="Arial"/>
                <w:color w:val="000000" w:themeColor="dark1"/>
                <w:kern w:val="24"/>
                <w:sz w:val="18"/>
                <w:lang w:eastAsia="zh-CN"/>
              </w:rPr>
              <w:t>ermit</w:t>
            </w:r>
          </w:p>
        </w:tc>
        <w:tc>
          <w:tcPr>
            <w:tcW w:w="0" w:type="pct"/>
            <w:hideMark/>
          </w:tcPr>
          <w:p w14:paraId="656B0738" w14:textId="77777777" w:rsidR="00ED040F" w:rsidRPr="00A07310" w:rsidRDefault="00ED040F" w:rsidP="00853F1D">
            <w:pPr>
              <w:spacing w:before="100" w:beforeAutospacing="1" w:after="100" w:afterAutospacing="1"/>
              <w:rPr>
                <w:rFonts w:eastAsia="Times New Roman" w:cs="Arial"/>
                <w:color w:val="000000" w:themeColor="dark1"/>
                <w:kern w:val="24"/>
                <w:sz w:val="18"/>
                <w:lang w:eastAsia="zh-CN"/>
              </w:rPr>
            </w:pPr>
            <w:r w:rsidRPr="00A07310">
              <w:rPr>
                <w:rFonts w:eastAsia="Times New Roman" w:cs="Arial"/>
                <w:color w:val="000000" w:themeColor="dark1"/>
                <w:kern w:val="24"/>
                <w:sz w:val="18"/>
                <w:lang w:eastAsia="zh-CN"/>
              </w:rPr>
              <w:t xml:space="preserve">In a manner and form prescribed by </w:t>
            </w:r>
            <w:r>
              <w:rPr>
                <w:rFonts w:eastAsia="Times New Roman" w:cs="Arial"/>
                <w:color w:val="000000" w:themeColor="dark1"/>
                <w:kern w:val="24"/>
                <w:sz w:val="18"/>
                <w:lang w:eastAsia="zh-CN"/>
              </w:rPr>
              <w:t>EPA</w:t>
            </w:r>
            <w:r w:rsidRPr="00A07310">
              <w:rPr>
                <w:rFonts w:eastAsia="Times New Roman" w:cs="Arial"/>
                <w:color w:val="000000" w:themeColor="dark1"/>
                <w:kern w:val="24"/>
                <w:sz w:val="18"/>
                <w:lang w:eastAsia="zh-CN"/>
              </w:rPr>
              <w:t xml:space="preserve"> and </w:t>
            </w:r>
            <w:r w:rsidRPr="00A07310">
              <w:rPr>
                <w:rFonts w:eastAsia="Times New Roman"/>
                <w:color w:val="000000" w:themeColor="dark1"/>
                <w:kern w:val="24"/>
                <w:sz w:val="18"/>
                <w:lang w:eastAsia="zh-CN"/>
              </w:rPr>
              <w:t>the consignment tracked</w:t>
            </w:r>
            <w:r w:rsidRPr="00A07310">
              <w:rPr>
                <w:rFonts w:eastAsia="Times New Roman" w:cs="Arial"/>
                <w:color w:val="000000" w:themeColor="dark1"/>
                <w:kern w:val="24"/>
                <w:sz w:val="18"/>
                <w:lang w:eastAsia="zh-CN"/>
              </w:rPr>
              <w:t xml:space="preserve"> by either </w:t>
            </w:r>
            <w:r w:rsidR="00853F1D">
              <w:rPr>
                <w:rFonts w:eastAsia="Times New Roman" w:cs="Arial"/>
                <w:color w:val="000000" w:themeColor="dark1"/>
                <w:kern w:val="24"/>
                <w:sz w:val="18"/>
                <w:lang w:eastAsia="zh-CN"/>
              </w:rPr>
              <w:t>a</w:t>
            </w:r>
            <w:r w:rsidR="00853F1D" w:rsidRPr="00A07310">
              <w:rPr>
                <w:rFonts w:eastAsia="Times New Roman" w:cs="Arial"/>
                <w:color w:val="000000" w:themeColor="dark1"/>
                <w:kern w:val="24"/>
                <w:sz w:val="18"/>
                <w:lang w:eastAsia="zh-CN"/>
              </w:rPr>
              <w:t xml:space="preserve">ccredited </w:t>
            </w:r>
            <w:r w:rsidR="00853F1D">
              <w:rPr>
                <w:rFonts w:eastAsia="Times New Roman" w:cs="Arial"/>
                <w:color w:val="000000" w:themeColor="dark1"/>
                <w:kern w:val="24"/>
                <w:sz w:val="18"/>
                <w:lang w:eastAsia="zh-CN"/>
              </w:rPr>
              <w:t>c</w:t>
            </w:r>
            <w:r w:rsidR="00853F1D" w:rsidRPr="00A07310">
              <w:rPr>
                <w:rFonts w:eastAsia="Times New Roman" w:cs="Arial"/>
                <w:color w:val="000000" w:themeColor="dark1"/>
                <w:kern w:val="24"/>
                <w:sz w:val="18"/>
                <w:lang w:eastAsia="zh-CN"/>
              </w:rPr>
              <w:t xml:space="preserve">onsigner </w:t>
            </w:r>
            <w:r w:rsidRPr="00A07310">
              <w:rPr>
                <w:rFonts w:eastAsia="Times New Roman" w:cs="Arial"/>
                <w:color w:val="000000" w:themeColor="dark1"/>
                <w:kern w:val="24"/>
                <w:sz w:val="18"/>
                <w:lang w:eastAsia="zh-CN"/>
              </w:rPr>
              <w:t xml:space="preserve">or </w:t>
            </w:r>
            <w:r w:rsidR="00853F1D">
              <w:rPr>
                <w:rFonts w:eastAsia="Times New Roman"/>
                <w:color w:val="000000" w:themeColor="dark1"/>
                <w:kern w:val="24"/>
                <w:sz w:val="18"/>
                <w:lang w:eastAsia="zh-CN"/>
              </w:rPr>
              <w:t>p</w:t>
            </w:r>
            <w:r w:rsidR="00853F1D" w:rsidRPr="00A07310">
              <w:rPr>
                <w:rFonts w:eastAsia="Times New Roman"/>
                <w:color w:val="000000" w:themeColor="dark1"/>
                <w:kern w:val="24"/>
                <w:sz w:val="18"/>
                <w:lang w:eastAsia="zh-CN"/>
              </w:rPr>
              <w:t>roducer</w:t>
            </w:r>
            <w:r w:rsidRPr="00A07310">
              <w:rPr>
                <w:rFonts w:eastAsia="Times New Roman" w:cs="Arial"/>
                <w:color w:val="000000" w:themeColor="dark1"/>
                <w:kern w:val="24"/>
                <w:sz w:val="18"/>
                <w:lang w:eastAsia="zh-CN"/>
              </w:rPr>
              <w:t>.</w:t>
            </w:r>
            <w:r w:rsidRPr="00A07310">
              <w:rPr>
                <w:rFonts w:eastAsia="Times New Roman"/>
                <w:color w:val="000000" w:themeColor="dark1"/>
                <w:kern w:val="24"/>
                <w:sz w:val="18"/>
                <w:lang w:eastAsia="zh-CN"/>
              </w:rPr>
              <w:t xml:space="preserve"> </w:t>
            </w:r>
          </w:p>
        </w:tc>
      </w:tr>
      <w:tr w:rsidR="005644C6" w:rsidRPr="00A07310" w14:paraId="656B073F" w14:textId="77777777" w:rsidTr="776A73E0">
        <w:trPr>
          <w:trHeight w:val="578"/>
        </w:trPr>
        <w:tc>
          <w:tcPr>
            <w:tcW w:w="0" w:type="pct"/>
          </w:tcPr>
          <w:p w14:paraId="656B073A" w14:textId="77777777" w:rsidR="00ED040F" w:rsidRPr="00A07310" w:rsidRDefault="00ED040F" w:rsidP="004B63C1">
            <w:pPr>
              <w:spacing w:before="100" w:beforeAutospacing="1" w:after="100" w:afterAutospacing="1"/>
              <w:rPr>
                <w:rFonts w:eastAsia="Times New Roman" w:cs="Arial"/>
                <w:b/>
                <w:bCs/>
                <w:color w:val="000000"/>
                <w:kern w:val="24"/>
                <w:sz w:val="18"/>
                <w:lang w:eastAsia="zh-CN"/>
              </w:rPr>
            </w:pPr>
            <w:r w:rsidRPr="00A07310">
              <w:rPr>
                <w:rFonts w:eastAsia="Times New Roman" w:cs="Arial"/>
                <w:b/>
                <w:bCs/>
                <w:color w:val="000000"/>
                <w:kern w:val="24"/>
                <w:sz w:val="18"/>
                <w:lang w:eastAsia="zh-CN"/>
              </w:rPr>
              <w:t>Option 4</w:t>
            </w:r>
            <w:r w:rsidRPr="00A07310">
              <w:rPr>
                <w:rFonts w:eastAsia="Times New Roman" w:cs="Arial"/>
                <w:sz w:val="18"/>
                <w:lang w:eastAsia="zh-CN"/>
              </w:rPr>
              <w:br/>
            </w:r>
          </w:p>
        </w:tc>
        <w:tc>
          <w:tcPr>
            <w:tcW w:w="0" w:type="pct"/>
            <w:hideMark/>
          </w:tcPr>
          <w:p w14:paraId="656B073B" w14:textId="77777777" w:rsidR="00ED040F" w:rsidRPr="00A07310" w:rsidRDefault="00ED040F" w:rsidP="004B63C1">
            <w:pPr>
              <w:spacing w:before="100" w:beforeAutospacing="1" w:after="100" w:afterAutospacing="1"/>
              <w:rPr>
                <w:rFonts w:eastAsia="Times New Roman" w:cs="Arial"/>
                <w:sz w:val="18"/>
                <w:lang w:eastAsia="zh-CN"/>
              </w:rPr>
            </w:pPr>
            <w:r w:rsidRPr="00A07310">
              <w:rPr>
                <w:rFonts w:eastAsia="Times New Roman" w:cs="Arial"/>
                <w:color w:val="000000"/>
                <w:kern w:val="24"/>
                <w:sz w:val="18"/>
                <w:lang w:eastAsia="zh-CN"/>
              </w:rPr>
              <w:t xml:space="preserve">Not </w:t>
            </w:r>
            <w:r w:rsidR="006D5B85">
              <w:rPr>
                <w:rFonts w:eastAsia="Times New Roman" w:cs="Arial"/>
                <w:color w:val="000000"/>
                <w:kern w:val="24"/>
                <w:sz w:val="18"/>
                <w:lang w:eastAsia="zh-CN"/>
              </w:rPr>
              <w:t>applicable</w:t>
            </w:r>
          </w:p>
        </w:tc>
        <w:tc>
          <w:tcPr>
            <w:tcW w:w="0" w:type="pct"/>
            <w:hideMark/>
          </w:tcPr>
          <w:p w14:paraId="656B073C" w14:textId="77777777" w:rsidR="00ED040F" w:rsidRPr="00A07310" w:rsidRDefault="00ED040F" w:rsidP="004B63C1">
            <w:pPr>
              <w:spacing w:before="100" w:beforeAutospacing="1" w:after="100" w:afterAutospacing="1"/>
              <w:ind w:right="797"/>
              <w:rPr>
                <w:rFonts w:eastAsia="Times New Roman" w:cs="Arial"/>
                <w:sz w:val="18"/>
                <w:lang w:eastAsia="zh-CN"/>
              </w:rPr>
            </w:pPr>
            <w:r w:rsidRPr="00A07310">
              <w:rPr>
                <w:rFonts w:eastAsia="Times New Roman" w:cs="Arial"/>
                <w:color w:val="000000"/>
                <w:kern w:val="24"/>
                <w:sz w:val="18"/>
                <w:lang w:eastAsia="zh-CN"/>
              </w:rPr>
              <w:t>Permit</w:t>
            </w:r>
          </w:p>
        </w:tc>
        <w:tc>
          <w:tcPr>
            <w:tcW w:w="0" w:type="pct"/>
            <w:hideMark/>
          </w:tcPr>
          <w:p w14:paraId="656B073D" w14:textId="77777777" w:rsidR="00ED040F" w:rsidRPr="00A07310" w:rsidRDefault="00ED040F" w:rsidP="004B63C1">
            <w:pPr>
              <w:spacing w:before="100" w:beforeAutospacing="1" w:after="100" w:afterAutospacing="1"/>
              <w:rPr>
                <w:rFonts w:eastAsia="Times New Roman" w:cs="Arial"/>
                <w:sz w:val="18"/>
                <w:lang w:eastAsia="zh-CN"/>
              </w:rPr>
            </w:pPr>
            <w:r w:rsidRPr="00A07310">
              <w:rPr>
                <w:rFonts w:eastAsia="Times New Roman" w:cs="Arial"/>
                <w:color w:val="000000"/>
                <w:kern w:val="24"/>
                <w:sz w:val="18"/>
                <w:lang w:eastAsia="zh-CN"/>
              </w:rPr>
              <w:t>Permit</w:t>
            </w:r>
          </w:p>
        </w:tc>
        <w:tc>
          <w:tcPr>
            <w:tcW w:w="0" w:type="pct"/>
            <w:hideMark/>
          </w:tcPr>
          <w:p w14:paraId="656B073E" w14:textId="77777777" w:rsidR="00ED040F" w:rsidRPr="00A07310" w:rsidRDefault="00ED040F" w:rsidP="00853F1D">
            <w:pPr>
              <w:spacing w:before="100" w:beforeAutospacing="1" w:after="100" w:afterAutospacing="1"/>
              <w:rPr>
                <w:rFonts w:eastAsia="Times New Roman" w:cs="Arial"/>
                <w:sz w:val="18"/>
                <w:lang w:eastAsia="zh-CN"/>
              </w:rPr>
            </w:pPr>
            <w:r w:rsidRPr="00A07310">
              <w:rPr>
                <w:rFonts w:eastAsia="Times New Roman" w:cs="Arial"/>
                <w:color w:val="000000"/>
                <w:kern w:val="24"/>
                <w:sz w:val="18"/>
                <w:lang w:eastAsia="zh-CN"/>
              </w:rPr>
              <w:t xml:space="preserve">Comply and enter data in EPA system </w:t>
            </w:r>
            <w:r w:rsidRPr="00A07310">
              <w:rPr>
                <w:rFonts w:eastAsia="Times New Roman"/>
                <w:color w:val="000000"/>
                <w:kern w:val="24"/>
                <w:sz w:val="18"/>
                <w:lang w:eastAsia="zh-CN"/>
              </w:rPr>
              <w:t xml:space="preserve">in manner prescribed and the consignment tracked by the </w:t>
            </w:r>
            <w:r w:rsidR="00853F1D">
              <w:rPr>
                <w:rFonts w:eastAsia="Times New Roman"/>
                <w:color w:val="000000"/>
                <w:kern w:val="24"/>
                <w:sz w:val="18"/>
                <w:lang w:eastAsia="zh-CN"/>
              </w:rPr>
              <w:t>p</w:t>
            </w:r>
            <w:r w:rsidR="00853F1D" w:rsidRPr="00A07310">
              <w:rPr>
                <w:rFonts w:eastAsia="Times New Roman"/>
                <w:color w:val="000000"/>
                <w:kern w:val="24"/>
                <w:sz w:val="18"/>
                <w:lang w:eastAsia="zh-CN"/>
              </w:rPr>
              <w:t>roducer</w:t>
            </w:r>
            <w:r w:rsidRPr="00A07310">
              <w:rPr>
                <w:rFonts w:eastAsia="Times New Roman"/>
                <w:color w:val="000000"/>
                <w:kern w:val="24"/>
                <w:sz w:val="18"/>
                <w:lang w:eastAsia="zh-CN"/>
              </w:rPr>
              <w:t xml:space="preserve">. </w:t>
            </w:r>
          </w:p>
        </w:tc>
      </w:tr>
    </w:tbl>
    <w:p w14:paraId="656B0740" w14:textId="77777777" w:rsidR="00ED040F" w:rsidRPr="00D96322" w:rsidRDefault="00ED040F" w:rsidP="00ED040F">
      <w:pPr>
        <w:pStyle w:val="FootnoteText"/>
      </w:pPr>
      <w:r w:rsidRPr="00D96322" w:rsidDel="007E4545">
        <w:t xml:space="preserve"> </w:t>
      </w:r>
      <w:r w:rsidRPr="00D96322">
        <w:t xml:space="preserve">Source: EPA </w:t>
      </w:r>
    </w:p>
    <w:p w14:paraId="656B0741" w14:textId="77777777" w:rsidR="00ED040F" w:rsidRDefault="00ED040F" w:rsidP="00ED040F"/>
    <w:p w14:paraId="656B0742" w14:textId="77777777" w:rsidR="00ED040F" w:rsidRDefault="00ED040F" w:rsidP="000D1529">
      <w:pPr>
        <w:pStyle w:val="Heading3"/>
        <w:ind w:left="720"/>
      </w:pPr>
      <w:r>
        <w:t>Detailed assessment</w:t>
      </w:r>
    </w:p>
    <w:p w14:paraId="656B0743" w14:textId="77777777" w:rsidR="00ED040F" w:rsidRDefault="00ED040F" w:rsidP="00ED040F">
      <w:pPr>
        <w:pStyle w:val="Heading4"/>
        <w:rPr>
          <w:rStyle w:val="Heading3Char"/>
          <w:b/>
          <w:bCs/>
        </w:rPr>
      </w:pPr>
      <w:r w:rsidRPr="00ED040F">
        <w:rPr>
          <w:rStyle w:val="Heading3Char"/>
          <w:b/>
          <w:bCs/>
        </w:rPr>
        <w:t xml:space="preserve">Assumptions </w:t>
      </w:r>
    </w:p>
    <w:p w14:paraId="656B0744" w14:textId="77777777" w:rsidR="00213E13" w:rsidRPr="00ED040F" w:rsidRDefault="00ED040F" w:rsidP="00ED040F">
      <w:pPr>
        <w:rPr>
          <w:i/>
        </w:rPr>
      </w:pPr>
      <w:r>
        <w:rPr>
          <w:i/>
        </w:rPr>
        <w:t>C</w:t>
      </w:r>
      <w:r w:rsidR="00213E13" w:rsidRPr="00ED040F">
        <w:rPr>
          <w:i/>
        </w:rPr>
        <w:t>ohort options</w:t>
      </w:r>
    </w:p>
    <w:p w14:paraId="656B0745" w14:textId="77777777" w:rsidR="00213E13" w:rsidRDefault="00213E13" w:rsidP="00213E13">
      <w:r>
        <w:t>The cohort options share some common assumptions including:</w:t>
      </w:r>
    </w:p>
    <w:p w14:paraId="656B0746" w14:textId="77777777" w:rsidR="00213E13" w:rsidRPr="00A4187D" w:rsidRDefault="00213E13" w:rsidP="00F556F7">
      <w:pPr>
        <w:pStyle w:val="Bullet1"/>
        <w:numPr>
          <w:ilvl w:val="0"/>
          <w:numId w:val="16"/>
        </w:numPr>
        <w:ind w:left="709" w:hanging="425"/>
      </w:pPr>
      <w:r w:rsidRPr="00A4187D">
        <w:t xml:space="preserve">Total reportable priority waste businesses – </w:t>
      </w:r>
      <w:r w:rsidRPr="00D96322">
        <w:rPr>
          <w:b/>
        </w:rPr>
        <w:t>760</w:t>
      </w:r>
      <w:r w:rsidRPr="00A4187D">
        <w:t xml:space="preserve"> </w:t>
      </w:r>
      <w:r w:rsidRPr="00D96322">
        <w:t>(Source: EPA Waste Trans</w:t>
      </w:r>
      <w:r w:rsidR="00B2122D">
        <w:t>port</w:t>
      </w:r>
      <w:r w:rsidRPr="00D96322">
        <w:t xml:space="preserve"> Certificates – RPW mapping from RPU-provided spreadsheet.)</w:t>
      </w:r>
    </w:p>
    <w:p w14:paraId="656B0747" w14:textId="77777777" w:rsidR="00213E13" w:rsidRPr="00A4187D" w:rsidRDefault="00213E13" w:rsidP="00F556F7">
      <w:pPr>
        <w:pStyle w:val="Bullet1"/>
        <w:numPr>
          <w:ilvl w:val="0"/>
          <w:numId w:val="16"/>
        </w:numPr>
        <w:ind w:left="709" w:hanging="425"/>
      </w:pPr>
      <w:r w:rsidRPr="00A4187D">
        <w:t xml:space="preserve">Total reportable priority waste transporters – </w:t>
      </w:r>
      <w:r w:rsidRPr="00D96322">
        <w:rPr>
          <w:b/>
        </w:rPr>
        <w:t>740</w:t>
      </w:r>
      <w:r w:rsidRPr="00A4187D">
        <w:t xml:space="preserve"> (</w:t>
      </w:r>
      <w:r w:rsidRPr="00D96322">
        <w:t xml:space="preserve">Source: EPA Waste </w:t>
      </w:r>
      <w:r w:rsidR="0062557A">
        <w:t xml:space="preserve">Transport </w:t>
      </w:r>
      <w:r w:rsidRPr="00D96322">
        <w:t>Certificates Unique List of Waste Transporters who have logged transport of RPW).</w:t>
      </w:r>
    </w:p>
    <w:p w14:paraId="656B0748" w14:textId="77777777" w:rsidR="00213E13" w:rsidRDefault="00213E13" w:rsidP="00F556F7">
      <w:pPr>
        <w:pStyle w:val="Bullet1"/>
        <w:numPr>
          <w:ilvl w:val="0"/>
          <w:numId w:val="16"/>
        </w:numPr>
        <w:ind w:left="709" w:hanging="425"/>
      </w:pPr>
      <w:r w:rsidRPr="007E1BBC">
        <w:t xml:space="preserve">No. of industrial waste vehicles – </w:t>
      </w:r>
      <w:r w:rsidRPr="007E1BBC">
        <w:rPr>
          <w:b/>
        </w:rPr>
        <w:t>3,000</w:t>
      </w:r>
      <w:r w:rsidRPr="007E1BBC">
        <w:t xml:space="preserve"> (Source:</w:t>
      </w:r>
      <w:r>
        <w:t xml:space="preserve"> EPA permissioning cohort poster</w:t>
      </w:r>
      <w:r w:rsidRPr="007E1BBC">
        <w:t>)</w:t>
      </w:r>
    </w:p>
    <w:p w14:paraId="656B0749" w14:textId="77777777" w:rsidR="00213E13" w:rsidRDefault="00213E13" w:rsidP="00F556F7">
      <w:pPr>
        <w:pStyle w:val="Bullet1"/>
        <w:numPr>
          <w:ilvl w:val="0"/>
          <w:numId w:val="16"/>
        </w:numPr>
        <w:ind w:left="709" w:hanging="425"/>
      </w:pPr>
      <w:r>
        <w:t xml:space="preserve">Total very high - high </w:t>
      </w:r>
      <w:r w:rsidRPr="007E1BBC">
        <w:t>hazard waste volumes</w:t>
      </w:r>
      <w:r>
        <w:t xml:space="preserve"> </w:t>
      </w:r>
      <w:r w:rsidRPr="007E1BBC">
        <w:t xml:space="preserve">– </w:t>
      </w:r>
      <w:r w:rsidRPr="007E1BBC">
        <w:rPr>
          <w:b/>
        </w:rPr>
        <w:t>165,000</w:t>
      </w:r>
      <w:r w:rsidRPr="007E1BBC">
        <w:t xml:space="preserve"> </w:t>
      </w:r>
      <w:r>
        <w:t xml:space="preserve">cubic metres </w:t>
      </w:r>
      <w:r w:rsidRPr="007E1BBC">
        <w:t xml:space="preserve">(Source: EPA Waste </w:t>
      </w:r>
      <w:r w:rsidR="0062557A" w:rsidRPr="007E1BBC">
        <w:t>Trans</w:t>
      </w:r>
      <w:r w:rsidR="0062557A">
        <w:t>port</w:t>
      </w:r>
      <w:r w:rsidR="0062557A" w:rsidRPr="007E1BBC">
        <w:t xml:space="preserve"> </w:t>
      </w:r>
      <w:r w:rsidRPr="007E1BBC">
        <w:t>Certificates –TML, Total Volume)</w:t>
      </w:r>
    </w:p>
    <w:p w14:paraId="656B074A" w14:textId="77777777" w:rsidR="00213E13" w:rsidRDefault="00213E13" w:rsidP="00F556F7">
      <w:pPr>
        <w:pStyle w:val="Bullet1"/>
        <w:numPr>
          <w:ilvl w:val="0"/>
          <w:numId w:val="16"/>
        </w:numPr>
        <w:ind w:left="709" w:hanging="425"/>
      </w:pPr>
      <w:r>
        <w:t xml:space="preserve">Total very high - high </w:t>
      </w:r>
      <w:r w:rsidRPr="007E1BBC">
        <w:t xml:space="preserve">hazard waste </w:t>
      </w:r>
      <w:r>
        <w:t xml:space="preserve">consignments (no. of transactions) </w:t>
      </w:r>
      <w:r w:rsidRPr="007E1BBC">
        <w:t xml:space="preserve">– </w:t>
      </w:r>
      <w:r>
        <w:rPr>
          <w:b/>
        </w:rPr>
        <w:t>33</w:t>
      </w:r>
      <w:r w:rsidRPr="007E1BBC">
        <w:rPr>
          <w:b/>
        </w:rPr>
        <w:t>,000</w:t>
      </w:r>
      <w:r w:rsidRPr="007E1BBC">
        <w:t xml:space="preserve"> (Source: Deloitte estimate</w:t>
      </w:r>
      <w:r>
        <w:t xml:space="preserve"> based on estimate 5 cubic </w:t>
      </w:r>
      <w:r w:rsidRPr="007E1BBC">
        <w:t>metres per consignment)</w:t>
      </w:r>
    </w:p>
    <w:p w14:paraId="656B074B" w14:textId="77777777" w:rsidR="00213E13" w:rsidRDefault="00213E13" w:rsidP="00F556F7">
      <w:pPr>
        <w:pStyle w:val="Bullet1"/>
        <w:numPr>
          <w:ilvl w:val="0"/>
          <w:numId w:val="16"/>
        </w:numPr>
        <w:ind w:left="709" w:hanging="425"/>
      </w:pPr>
      <w:r>
        <w:t xml:space="preserve">Total waste tyre consignments – </w:t>
      </w:r>
      <w:r w:rsidRPr="00413291">
        <w:rPr>
          <w:b/>
        </w:rPr>
        <w:t>18,806</w:t>
      </w:r>
      <w:r>
        <w:t xml:space="preserve"> </w:t>
      </w:r>
      <w:r w:rsidRPr="007E1BBC">
        <w:t xml:space="preserve">(Source: </w:t>
      </w:r>
      <w:r>
        <w:t xml:space="preserve">Deloitte analysis - </w:t>
      </w:r>
      <w:r w:rsidRPr="00413291">
        <w:t>94,032</w:t>
      </w:r>
      <w:r>
        <w:rPr>
          <w:b/>
        </w:rPr>
        <w:t xml:space="preserve"> </w:t>
      </w:r>
      <w:r>
        <w:t xml:space="preserve">tonnes in 2017 and 5 tonnes </w:t>
      </w:r>
      <w:r w:rsidRPr="00413291">
        <w:t>per consignment)</w:t>
      </w:r>
    </w:p>
    <w:p w14:paraId="656B074C" w14:textId="77777777" w:rsidR="00213E13" w:rsidRDefault="00213E13" w:rsidP="00F556F7">
      <w:pPr>
        <w:pStyle w:val="Bullet1"/>
        <w:numPr>
          <w:ilvl w:val="0"/>
          <w:numId w:val="16"/>
        </w:numPr>
        <w:ind w:left="709" w:hanging="425"/>
      </w:pPr>
      <w:r>
        <w:t xml:space="preserve">Total e-waste consignments – </w:t>
      </w:r>
      <w:r w:rsidRPr="00413291">
        <w:rPr>
          <w:b/>
        </w:rPr>
        <w:t>21,200</w:t>
      </w:r>
      <w:r>
        <w:t xml:space="preserve"> (</w:t>
      </w:r>
      <w:r w:rsidRPr="007E1BBC">
        <w:t xml:space="preserve">Source: </w:t>
      </w:r>
      <w:r>
        <w:t>Deloitte analysis – 106,000</w:t>
      </w:r>
      <w:r>
        <w:rPr>
          <w:b/>
        </w:rPr>
        <w:t xml:space="preserve"> </w:t>
      </w:r>
      <w:r>
        <w:t xml:space="preserve">tonnes in 2017 and 5 tonnes </w:t>
      </w:r>
      <w:r w:rsidRPr="00413291">
        <w:t>per consignment)</w:t>
      </w:r>
    </w:p>
    <w:p w14:paraId="656B074D" w14:textId="77777777" w:rsidR="00ED040F" w:rsidRDefault="00213E13" w:rsidP="008D0136">
      <w:pPr>
        <w:pStyle w:val="Bullet1"/>
        <w:numPr>
          <w:ilvl w:val="0"/>
          <w:numId w:val="16"/>
        </w:numPr>
        <w:ind w:left="709" w:hanging="425"/>
      </w:pPr>
      <w:r>
        <w:t xml:space="preserve">Total plastic consignments – </w:t>
      </w:r>
      <w:r w:rsidRPr="00413291">
        <w:rPr>
          <w:b/>
        </w:rPr>
        <w:t>44,996</w:t>
      </w:r>
      <w:r>
        <w:t xml:space="preserve"> (</w:t>
      </w:r>
      <w:r w:rsidRPr="007E1BBC">
        <w:t xml:space="preserve">Source: </w:t>
      </w:r>
      <w:r>
        <w:t>Deloitte analysis – 224,979</w:t>
      </w:r>
      <w:r>
        <w:rPr>
          <w:b/>
        </w:rPr>
        <w:t xml:space="preserve"> </w:t>
      </w:r>
      <w:r>
        <w:t xml:space="preserve">tonnes in 2017 and 5 tonnes </w:t>
      </w:r>
      <w:r w:rsidRPr="00413291">
        <w:t>per consignment)</w:t>
      </w:r>
    </w:p>
    <w:p w14:paraId="656B074E" w14:textId="77777777" w:rsidR="00ED040F" w:rsidRDefault="00ED040F" w:rsidP="00ED040F">
      <w:pPr>
        <w:pStyle w:val="Bullet1"/>
        <w:ind w:left="0" w:firstLine="0"/>
      </w:pPr>
    </w:p>
    <w:p w14:paraId="656B074F" w14:textId="77777777" w:rsidR="008D0136" w:rsidRPr="00ED040F" w:rsidRDefault="008D0136" w:rsidP="008D0136">
      <w:pPr>
        <w:rPr>
          <w:i/>
        </w:rPr>
      </w:pPr>
      <w:r>
        <w:rPr>
          <w:i/>
        </w:rPr>
        <w:t xml:space="preserve">Transport </w:t>
      </w:r>
      <w:r w:rsidRPr="00ED040F">
        <w:rPr>
          <w:i/>
        </w:rPr>
        <w:t>options</w:t>
      </w:r>
    </w:p>
    <w:p w14:paraId="656B0750" w14:textId="77777777" w:rsidR="008D0136" w:rsidRPr="0062557A" w:rsidRDefault="008D0136" w:rsidP="0062557A">
      <w:pPr>
        <w:pStyle w:val="ListParagraph"/>
        <w:numPr>
          <w:ilvl w:val="0"/>
          <w:numId w:val="16"/>
        </w:numPr>
        <w:rPr>
          <w:b/>
        </w:rPr>
      </w:pPr>
      <w:r w:rsidRPr="000D1529">
        <w:rPr>
          <w:b/>
        </w:rPr>
        <w:t>General cost assumptions</w:t>
      </w:r>
    </w:p>
    <w:p w14:paraId="656B0751" w14:textId="77777777" w:rsidR="008D0136" w:rsidRDefault="008D0136" w:rsidP="0062557A">
      <w:pPr>
        <w:pStyle w:val="ListParagraph"/>
        <w:numPr>
          <w:ilvl w:val="1"/>
          <w:numId w:val="16"/>
        </w:numPr>
      </w:pPr>
      <w:r w:rsidRPr="007E1BBC">
        <w:t xml:space="preserve">Total reportable priority waste </w:t>
      </w:r>
      <w:r>
        <w:t xml:space="preserve">generators </w:t>
      </w:r>
      <w:r w:rsidRPr="007E1BBC">
        <w:t xml:space="preserve">– </w:t>
      </w:r>
      <w:r w:rsidRPr="008D0136">
        <w:rPr>
          <w:b/>
        </w:rPr>
        <w:t>760</w:t>
      </w:r>
      <w:r w:rsidRPr="007E1BBC">
        <w:t xml:space="preserve"> (Source: EPA Waste </w:t>
      </w:r>
      <w:r w:rsidR="0062557A" w:rsidRPr="007E1BBC">
        <w:t>Trans</w:t>
      </w:r>
      <w:r w:rsidR="0062557A">
        <w:t>port</w:t>
      </w:r>
      <w:r w:rsidR="0062557A" w:rsidRPr="007E1BBC">
        <w:t xml:space="preserve"> </w:t>
      </w:r>
      <w:r w:rsidRPr="007E1BBC">
        <w:t>Certificates – RPW mapping from RPU-provided spreadsheet)</w:t>
      </w:r>
      <w:r>
        <w:t>.</w:t>
      </w:r>
    </w:p>
    <w:p w14:paraId="656B0752" w14:textId="77777777" w:rsidR="008D0136" w:rsidRDefault="008D0136" w:rsidP="0062557A">
      <w:pPr>
        <w:pStyle w:val="ListParagraph"/>
        <w:numPr>
          <w:ilvl w:val="1"/>
          <w:numId w:val="16"/>
        </w:numPr>
      </w:pPr>
      <w:r w:rsidRPr="007E1BBC">
        <w:t>Total reportable priority waste transporter</w:t>
      </w:r>
      <w:r>
        <w:t xml:space="preserve"> businesses</w:t>
      </w:r>
      <w:r w:rsidRPr="007E1BBC">
        <w:t xml:space="preserve"> – </w:t>
      </w:r>
      <w:r w:rsidRPr="008D0136">
        <w:rPr>
          <w:b/>
        </w:rPr>
        <w:t>740</w:t>
      </w:r>
      <w:r w:rsidRPr="007E1BBC">
        <w:t xml:space="preserve"> (Source: EPA Waste </w:t>
      </w:r>
      <w:r w:rsidR="0062557A" w:rsidRPr="007E1BBC">
        <w:t>Trans</w:t>
      </w:r>
      <w:r w:rsidR="0062557A">
        <w:t>port</w:t>
      </w:r>
      <w:r w:rsidR="0062557A" w:rsidRPr="007E1BBC">
        <w:t xml:space="preserve"> </w:t>
      </w:r>
      <w:r w:rsidRPr="007E1BBC">
        <w:t>Certificates Unique List of Waste Transporters who have logged transport of RPW)</w:t>
      </w:r>
      <w:r>
        <w:t>.</w:t>
      </w:r>
    </w:p>
    <w:p w14:paraId="656B0753" w14:textId="77777777" w:rsidR="008D0136" w:rsidRDefault="008D0136" w:rsidP="0062557A">
      <w:pPr>
        <w:pStyle w:val="ListParagraph"/>
        <w:numPr>
          <w:ilvl w:val="1"/>
          <w:numId w:val="16"/>
        </w:numPr>
      </w:pPr>
      <w:r>
        <w:t xml:space="preserve">Total very high - high </w:t>
      </w:r>
      <w:r w:rsidRPr="007E1BBC">
        <w:t>hazard waste volumes</w:t>
      </w:r>
      <w:r>
        <w:t xml:space="preserve"> </w:t>
      </w:r>
      <w:r w:rsidRPr="007E1BBC">
        <w:t xml:space="preserve">– </w:t>
      </w:r>
      <w:r w:rsidRPr="008D0136">
        <w:rPr>
          <w:b/>
        </w:rPr>
        <w:t>165,</w:t>
      </w:r>
      <w:r w:rsidRPr="0062557A">
        <w:rPr>
          <w:b/>
        </w:rPr>
        <w:t>000 cubic metres</w:t>
      </w:r>
      <w:r>
        <w:t xml:space="preserve"> </w:t>
      </w:r>
      <w:r w:rsidRPr="007E1BBC">
        <w:t xml:space="preserve">(Source: EPA Waste </w:t>
      </w:r>
      <w:r w:rsidR="0062557A" w:rsidRPr="007E1BBC">
        <w:t>Trans</w:t>
      </w:r>
      <w:r w:rsidR="0062557A">
        <w:t>port</w:t>
      </w:r>
      <w:r w:rsidR="0062557A" w:rsidRPr="007E1BBC">
        <w:t xml:space="preserve"> </w:t>
      </w:r>
      <w:r w:rsidRPr="007E1BBC">
        <w:t>Certificates –TML, Total Volume)</w:t>
      </w:r>
      <w:r>
        <w:t>.</w:t>
      </w:r>
    </w:p>
    <w:p w14:paraId="656B0754" w14:textId="77777777" w:rsidR="008D0136" w:rsidRDefault="008D0136" w:rsidP="0062557A">
      <w:pPr>
        <w:pStyle w:val="ListParagraph"/>
        <w:numPr>
          <w:ilvl w:val="1"/>
          <w:numId w:val="16"/>
        </w:numPr>
      </w:pPr>
      <w:r>
        <w:t xml:space="preserve">Total very high - high </w:t>
      </w:r>
      <w:r w:rsidRPr="007E1BBC">
        <w:t xml:space="preserve">hazard waste </w:t>
      </w:r>
      <w:r>
        <w:t xml:space="preserve">consignments (no. of transactions) </w:t>
      </w:r>
      <w:r w:rsidRPr="007E1BBC">
        <w:t xml:space="preserve">– </w:t>
      </w:r>
      <w:r w:rsidRPr="008D0136">
        <w:rPr>
          <w:b/>
        </w:rPr>
        <w:t>33,000</w:t>
      </w:r>
      <w:r w:rsidRPr="007E1BBC">
        <w:t xml:space="preserve"> (Source: Deloitte estimate</w:t>
      </w:r>
      <w:r>
        <w:t xml:space="preserve"> based on estimate 5 cubic </w:t>
      </w:r>
      <w:r w:rsidRPr="007E1BBC">
        <w:t>metres per consignment)</w:t>
      </w:r>
      <w:r>
        <w:t>.</w:t>
      </w:r>
    </w:p>
    <w:p w14:paraId="656B0755" w14:textId="77777777" w:rsidR="008D0136" w:rsidRPr="0062557A" w:rsidRDefault="008D0136" w:rsidP="0062557A">
      <w:pPr>
        <w:pStyle w:val="ListParagraph"/>
        <w:numPr>
          <w:ilvl w:val="0"/>
          <w:numId w:val="16"/>
        </w:numPr>
        <w:rPr>
          <w:b/>
        </w:rPr>
      </w:pPr>
      <w:r w:rsidRPr="000D1529">
        <w:rPr>
          <w:b/>
        </w:rPr>
        <w:t>Consigner (transaction) cost assumptions</w:t>
      </w:r>
    </w:p>
    <w:p w14:paraId="656B0756" w14:textId="77777777" w:rsidR="008D0136" w:rsidRDefault="008D0136" w:rsidP="008D0136">
      <w:pPr>
        <w:pStyle w:val="ListParagraph"/>
        <w:numPr>
          <w:ilvl w:val="1"/>
          <w:numId w:val="16"/>
        </w:numPr>
      </w:pPr>
      <w:r w:rsidRPr="00A51DD5">
        <w:t xml:space="preserve">% waste </w:t>
      </w:r>
      <w:r>
        <w:t>businesse</w:t>
      </w:r>
      <w:r w:rsidRPr="00A4187D">
        <w:t>s that choose</w:t>
      </w:r>
      <w:r w:rsidRPr="003E39B7">
        <w:t xml:space="preserve"> become accredited consigners (i.e. self-consigners) –</w:t>
      </w:r>
      <w:r w:rsidRPr="008803B3">
        <w:rPr>
          <w:b/>
        </w:rPr>
        <w:t xml:space="preserve"> 38%</w:t>
      </w:r>
      <w:r w:rsidRPr="00A4187D">
        <w:t xml:space="preserve"> </w:t>
      </w:r>
      <w:r w:rsidRPr="00D96322">
        <w:t>(Source: Deloitte survey)</w:t>
      </w:r>
      <w:r>
        <w:t>.</w:t>
      </w:r>
    </w:p>
    <w:p w14:paraId="656B0757" w14:textId="77777777" w:rsidR="006D5B85" w:rsidRDefault="006D5B85" w:rsidP="008D0136">
      <w:pPr>
        <w:pStyle w:val="ListParagraph"/>
        <w:numPr>
          <w:ilvl w:val="1"/>
          <w:numId w:val="16"/>
        </w:numPr>
      </w:pPr>
      <w:r>
        <w:t xml:space="preserve">% of waste businesses that would use accredited consigners – 62% </w:t>
      </w:r>
      <w:r w:rsidRPr="00D96322">
        <w:t>(Source: Deloitte survey)</w:t>
      </w:r>
      <w:r>
        <w:t>.</w:t>
      </w:r>
    </w:p>
    <w:p w14:paraId="656B0758" w14:textId="77777777" w:rsidR="008D0136" w:rsidRPr="00A4187D" w:rsidRDefault="008D0136" w:rsidP="004E20F3">
      <w:pPr>
        <w:pStyle w:val="ListParagraph"/>
        <w:numPr>
          <w:ilvl w:val="1"/>
          <w:numId w:val="16"/>
        </w:numPr>
      </w:pPr>
      <w:r>
        <w:t>Cost of t</w:t>
      </w:r>
      <w:r w:rsidRPr="00A51DD5">
        <w:t>ransaction and tracking controls (third party consigner)</w:t>
      </w:r>
      <w:r>
        <w:t xml:space="preserve"> per consignment - </w:t>
      </w:r>
      <w:r w:rsidRPr="009F12CD">
        <w:rPr>
          <w:b/>
        </w:rPr>
        <w:t>$300</w:t>
      </w:r>
      <w:r w:rsidRPr="00A4187D">
        <w:t xml:space="preserve"> </w:t>
      </w:r>
      <w:r w:rsidRPr="00D96322">
        <w:t>(Source: Deloitte survey)</w:t>
      </w:r>
      <w:r>
        <w:t>.</w:t>
      </w:r>
      <w:r w:rsidR="003F1D7D">
        <w:t xml:space="preserve"> W</w:t>
      </w:r>
      <w:r w:rsidR="004E20F3">
        <w:t xml:space="preserve">astes </w:t>
      </w:r>
      <w:r w:rsidR="003F1D7D">
        <w:t xml:space="preserve">handled by an accredited consigner </w:t>
      </w:r>
      <w:r w:rsidR="004E20F3">
        <w:t xml:space="preserve">are assumed to be relatively </w:t>
      </w:r>
      <w:r w:rsidR="003F1D7D">
        <w:t xml:space="preserve">more complex, leading to higher average costs (per consignment). </w:t>
      </w:r>
    </w:p>
    <w:p w14:paraId="656B0759" w14:textId="77777777" w:rsidR="008D0136" w:rsidRPr="00A4187D" w:rsidRDefault="008D0136" w:rsidP="004E20F3">
      <w:pPr>
        <w:pStyle w:val="ListParagraph"/>
        <w:numPr>
          <w:ilvl w:val="1"/>
          <w:numId w:val="16"/>
        </w:numPr>
      </w:pPr>
      <w:r w:rsidRPr="00A4187D">
        <w:t>Cost of transaction and tracking controls (</w:t>
      </w:r>
      <w:r w:rsidRPr="003E39B7">
        <w:t xml:space="preserve">self-consigner) per consignment - </w:t>
      </w:r>
      <w:r w:rsidRPr="009F12CD">
        <w:rPr>
          <w:b/>
        </w:rPr>
        <w:t>$100</w:t>
      </w:r>
      <w:r w:rsidRPr="00A4187D">
        <w:t xml:space="preserve"> </w:t>
      </w:r>
      <w:r w:rsidRPr="00D96322">
        <w:t>(Source: Deloitte estimate</w:t>
      </w:r>
      <w:r w:rsidR="00427875">
        <w:t xml:space="preserve"> based on discussion with </w:t>
      </w:r>
      <w:r w:rsidR="0062557A">
        <w:t xml:space="preserve">DELWP </w:t>
      </w:r>
      <w:r w:rsidR="000D1529">
        <w:t xml:space="preserve">and </w:t>
      </w:r>
      <w:r w:rsidR="00427875">
        <w:t>EPA</w:t>
      </w:r>
      <w:r w:rsidRPr="00D96322">
        <w:t>)</w:t>
      </w:r>
      <w:r>
        <w:t>.</w:t>
      </w:r>
      <w:r w:rsidR="004E20F3">
        <w:t xml:space="preserve"> Self-consigned wastes are assumed to be relatively simpler to consign</w:t>
      </w:r>
      <w:r w:rsidR="003F1D7D">
        <w:t>, leading to lower average costs (per consignment)</w:t>
      </w:r>
      <w:r w:rsidR="004E20F3">
        <w:t>.</w:t>
      </w:r>
    </w:p>
    <w:p w14:paraId="656B075A" w14:textId="77777777" w:rsidR="008D0136" w:rsidRDefault="008D0136" w:rsidP="008D0136">
      <w:pPr>
        <w:pStyle w:val="ListParagraph"/>
        <w:numPr>
          <w:ilvl w:val="1"/>
          <w:numId w:val="16"/>
        </w:numPr>
      </w:pPr>
      <w:r w:rsidRPr="00A4187D">
        <w:t xml:space="preserve">Costs of becoming an accredited consigner per business </w:t>
      </w:r>
      <w:r w:rsidRPr="003E39B7">
        <w:t xml:space="preserve">(self-consigner) - </w:t>
      </w:r>
      <w:r w:rsidRPr="008D0136">
        <w:rPr>
          <w:b/>
        </w:rPr>
        <w:t>$20,000</w:t>
      </w:r>
      <w:r w:rsidRPr="00A4187D">
        <w:t xml:space="preserve"> </w:t>
      </w:r>
      <w:r w:rsidRPr="00D96322">
        <w:t>(Source: Deloitte survey)</w:t>
      </w:r>
      <w:r>
        <w:t>.</w:t>
      </w:r>
    </w:p>
    <w:p w14:paraId="656B075B" w14:textId="77777777" w:rsidR="008D0136" w:rsidRPr="008D0136" w:rsidRDefault="008D0136" w:rsidP="008D0136">
      <w:pPr>
        <w:pStyle w:val="ListParagraph"/>
        <w:numPr>
          <w:ilvl w:val="0"/>
          <w:numId w:val="16"/>
        </w:numPr>
        <w:rPr>
          <w:b/>
        </w:rPr>
      </w:pPr>
      <w:r w:rsidRPr="008D0136">
        <w:rPr>
          <w:b/>
        </w:rPr>
        <w:t>Transport cost assumptions</w:t>
      </w:r>
    </w:p>
    <w:p w14:paraId="656B075C" w14:textId="77777777" w:rsidR="008D0136" w:rsidRDefault="008D0136" w:rsidP="008D0136">
      <w:pPr>
        <w:pStyle w:val="ListParagraph"/>
        <w:numPr>
          <w:ilvl w:val="1"/>
          <w:numId w:val="16"/>
        </w:numPr>
      </w:pPr>
      <w:r w:rsidRPr="007E1BBC">
        <w:t xml:space="preserve">No. of industrial waste vehicles – </w:t>
      </w:r>
      <w:r w:rsidRPr="008D0136">
        <w:rPr>
          <w:b/>
        </w:rPr>
        <w:t>3,000</w:t>
      </w:r>
      <w:r w:rsidRPr="007E1BBC">
        <w:t xml:space="preserve"> (Source:</w:t>
      </w:r>
      <w:r>
        <w:t xml:space="preserve"> EPA permissioning cohort poster</w:t>
      </w:r>
      <w:r w:rsidRPr="007E1BBC">
        <w:t>)</w:t>
      </w:r>
      <w:r>
        <w:t>.</w:t>
      </w:r>
    </w:p>
    <w:p w14:paraId="656B075D" w14:textId="77777777" w:rsidR="008D0136" w:rsidRDefault="008D0136" w:rsidP="008D0136">
      <w:pPr>
        <w:pStyle w:val="ListParagraph"/>
        <w:numPr>
          <w:ilvl w:val="1"/>
          <w:numId w:val="16"/>
        </w:numPr>
      </w:pPr>
      <w:r>
        <w:t xml:space="preserve">No. of industrial waste drivers – </w:t>
      </w:r>
      <w:r w:rsidRPr="008D0136">
        <w:rPr>
          <w:b/>
        </w:rPr>
        <w:t>4,500</w:t>
      </w:r>
      <w:r>
        <w:t xml:space="preserve"> </w:t>
      </w:r>
      <w:r w:rsidRPr="007E1BBC">
        <w:t>(Source: Deloitte</w:t>
      </w:r>
      <w:r>
        <w:t xml:space="preserve"> estimate</w:t>
      </w:r>
      <w:r w:rsidR="00427875">
        <w:t xml:space="preserve"> based on discussion with EPA</w:t>
      </w:r>
      <w:r w:rsidRPr="007E1BBC">
        <w:t>)</w:t>
      </w:r>
      <w:r>
        <w:t>.</w:t>
      </w:r>
    </w:p>
    <w:p w14:paraId="656B075E" w14:textId="77777777" w:rsidR="008D0136" w:rsidRDefault="008D0136" w:rsidP="008D0136">
      <w:pPr>
        <w:pStyle w:val="ListParagraph"/>
        <w:numPr>
          <w:ilvl w:val="1"/>
          <w:numId w:val="16"/>
        </w:numPr>
      </w:pPr>
      <w:r>
        <w:t xml:space="preserve">% of vehicles requiring modification permits – </w:t>
      </w:r>
      <w:r w:rsidR="007D2033" w:rsidRPr="009F12CD">
        <w:rPr>
          <w:b/>
        </w:rPr>
        <w:t>1</w:t>
      </w:r>
      <w:r w:rsidR="003F1D7D" w:rsidRPr="000D1529">
        <w:rPr>
          <w:b/>
        </w:rPr>
        <w:t>2</w:t>
      </w:r>
      <w:r w:rsidR="007D2033" w:rsidRPr="009F12CD">
        <w:rPr>
          <w:b/>
        </w:rPr>
        <w:t>.5</w:t>
      </w:r>
      <w:r w:rsidRPr="009F12CD">
        <w:rPr>
          <w:b/>
        </w:rPr>
        <w:t>%</w:t>
      </w:r>
      <w:r w:rsidRPr="007E1BBC">
        <w:t xml:space="preserve"> (Source: </w:t>
      </w:r>
      <w:r w:rsidR="007D2033">
        <w:t>EPA based on current PIW waste codes that would likely require a permit (b100, e100, g100, r100</w:t>
      </w:r>
      <w:r w:rsidRPr="007E1BBC">
        <w:t>)</w:t>
      </w:r>
      <w:r>
        <w:t>.</w:t>
      </w:r>
    </w:p>
    <w:p w14:paraId="656B075F" w14:textId="77777777" w:rsidR="008D0136" w:rsidRDefault="008D0136" w:rsidP="008D0136">
      <w:pPr>
        <w:pStyle w:val="ListParagraph"/>
        <w:numPr>
          <w:ilvl w:val="1"/>
          <w:numId w:val="16"/>
        </w:numPr>
      </w:pPr>
      <w:r>
        <w:t xml:space="preserve">Costs of a modification </w:t>
      </w:r>
      <w:r w:rsidRPr="007E1BBC">
        <w:t xml:space="preserve">vehicle permit (including time costs to obtain permit) - </w:t>
      </w:r>
      <w:r w:rsidRPr="008D0136">
        <w:rPr>
          <w:b/>
        </w:rPr>
        <w:t>$200</w:t>
      </w:r>
      <w:r w:rsidRPr="007E1BBC">
        <w:t xml:space="preserve"> (Source: Deloitte</w:t>
      </w:r>
      <w:r>
        <w:t xml:space="preserve"> estimate</w:t>
      </w:r>
      <w:r w:rsidR="00427875">
        <w:t xml:space="preserve"> based on discussion with EPA</w:t>
      </w:r>
      <w:r w:rsidRPr="007E1BBC">
        <w:t>)</w:t>
      </w:r>
      <w:r>
        <w:t>.</w:t>
      </w:r>
    </w:p>
    <w:p w14:paraId="656B0760" w14:textId="77777777" w:rsidR="008D0136" w:rsidRDefault="008D0136" w:rsidP="008D0136">
      <w:pPr>
        <w:pStyle w:val="ListParagraph"/>
        <w:numPr>
          <w:ilvl w:val="1"/>
          <w:numId w:val="16"/>
        </w:numPr>
      </w:pPr>
      <w:r>
        <w:t xml:space="preserve">Costs of obtaining a </w:t>
      </w:r>
      <w:r w:rsidRPr="00A4187D">
        <w:t xml:space="preserve">vehicle registration - </w:t>
      </w:r>
      <w:r w:rsidRPr="008D0136">
        <w:rPr>
          <w:b/>
        </w:rPr>
        <w:t>$</w:t>
      </w:r>
      <w:r w:rsidR="00FF679F">
        <w:rPr>
          <w:b/>
        </w:rPr>
        <w:t>50</w:t>
      </w:r>
      <w:r w:rsidR="00FF679F" w:rsidRPr="00A4187D">
        <w:t xml:space="preserve"> </w:t>
      </w:r>
      <w:r w:rsidRPr="00A4187D">
        <w:t>(</w:t>
      </w:r>
      <w:r w:rsidRPr="00D96322">
        <w:t xml:space="preserve">Source: </w:t>
      </w:r>
      <w:r>
        <w:t xml:space="preserve">Deloitte estimate, </w:t>
      </w:r>
      <w:r w:rsidRPr="00D96322">
        <w:t>1 hour per registration</w:t>
      </w:r>
      <w:r>
        <w:t xml:space="preserve"> </w:t>
      </w:r>
      <w:r w:rsidR="00C84017">
        <w:t xml:space="preserve">at </w:t>
      </w:r>
      <w:r>
        <w:t>$</w:t>
      </w:r>
      <w:r w:rsidR="00427875">
        <w:t xml:space="preserve">50 </w:t>
      </w:r>
      <w:r>
        <w:t>per hour average Victorian hourly wage</w:t>
      </w:r>
      <w:r w:rsidR="00427875">
        <w:t xml:space="preserve"> plus on-costs</w:t>
      </w:r>
      <w:r w:rsidRPr="00D96322">
        <w:t>)</w:t>
      </w:r>
      <w:r>
        <w:t>.</w:t>
      </w:r>
    </w:p>
    <w:p w14:paraId="656B0761" w14:textId="77777777" w:rsidR="008D0136" w:rsidRDefault="008D0136" w:rsidP="008D0136">
      <w:pPr>
        <w:pStyle w:val="ListParagraph"/>
        <w:numPr>
          <w:ilvl w:val="1"/>
          <w:numId w:val="16"/>
        </w:numPr>
      </w:pPr>
      <w:r>
        <w:t xml:space="preserve">Costs of obtaining a driver permission (Option 3 only) </w:t>
      </w:r>
      <w:r w:rsidRPr="00A4187D">
        <w:t xml:space="preserve">- </w:t>
      </w:r>
      <w:r w:rsidRPr="008D0136">
        <w:rPr>
          <w:b/>
        </w:rPr>
        <w:t>$800</w:t>
      </w:r>
      <w:r w:rsidRPr="00A4187D">
        <w:t xml:space="preserve"> (</w:t>
      </w:r>
      <w:r w:rsidRPr="00D96322">
        <w:t>Source: Deloitte estimate</w:t>
      </w:r>
      <w:r w:rsidR="00427875">
        <w:t xml:space="preserve"> based on discussion with EPA</w:t>
      </w:r>
      <w:r w:rsidRPr="00D96322">
        <w:t>)</w:t>
      </w:r>
      <w:r>
        <w:t>.</w:t>
      </w:r>
    </w:p>
    <w:p w14:paraId="656B0762" w14:textId="77777777" w:rsidR="008D0136" w:rsidRPr="008D0136" w:rsidRDefault="008D0136" w:rsidP="008D0136">
      <w:pPr>
        <w:pStyle w:val="ListParagraph"/>
        <w:numPr>
          <w:ilvl w:val="0"/>
          <w:numId w:val="16"/>
        </w:numPr>
        <w:rPr>
          <w:b/>
        </w:rPr>
      </w:pPr>
      <w:r w:rsidRPr="008D0136">
        <w:rPr>
          <w:b/>
        </w:rPr>
        <w:t>Costs to government</w:t>
      </w:r>
    </w:p>
    <w:p w14:paraId="656B0763" w14:textId="77777777" w:rsidR="008D0136" w:rsidRDefault="008D0136" w:rsidP="008D0136">
      <w:pPr>
        <w:pStyle w:val="ListParagraph"/>
        <w:numPr>
          <w:ilvl w:val="1"/>
          <w:numId w:val="16"/>
        </w:numPr>
      </w:pPr>
      <w:r>
        <w:t xml:space="preserve">EPA cost in accrediting consigners per accreditation - </w:t>
      </w:r>
      <w:r w:rsidRPr="008D0136">
        <w:rPr>
          <w:b/>
        </w:rPr>
        <w:t>$1,000</w:t>
      </w:r>
      <w:r w:rsidRPr="00A4187D">
        <w:t xml:space="preserve"> (</w:t>
      </w:r>
      <w:r w:rsidRPr="00D96322">
        <w:t xml:space="preserve">Source: Deloitte </w:t>
      </w:r>
      <w:r>
        <w:t>estimate</w:t>
      </w:r>
      <w:r w:rsidR="00427875">
        <w:t xml:space="preserve"> based on discussion with EPA</w:t>
      </w:r>
      <w:r w:rsidRPr="00D96322">
        <w:t>)</w:t>
      </w:r>
    </w:p>
    <w:p w14:paraId="656B0764" w14:textId="77777777" w:rsidR="008C262D" w:rsidRPr="008C262D" w:rsidRDefault="008C262D" w:rsidP="008C262D">
      <w:pPr>
        <w:rPr>
          <w:i/>
        </w:rPr>
      </w:pPr>
      <w:r w:rsidRPr="008C262D">
        <w:rPr>
          <w:i/>
        </w:rPr>
        <w:t>Benefits</w:t>
      </w:r>
    </w:p>
    <w:p w14:paraId="656B0765" w14:textId="77777777" w:rsidR="003F1D7D" w:rsidRDefault="008C262D" w:rsidP="000D1529">
      <w:pPr>
        <w:pStyle w:val="CommentText"/>
      </w:pPr>
      <w:r>
        <w:t xml:space="preserve">The reportable priority waste duties will encourage adequate information on waste properties and management requirements to be collected and passed down the chain of custody. These controls contribute to improving waste management in Victoria, particularly addressing the issues of misinformation which leads to waste mismanagement. </w:t>
      </w:r>
      <w:r w:rsidR="003F1D7D">
        <w:t xml:space="preserve">This proposed </w:t>
      </w:r>
      <w:r w:rsidR="00853F1D">
        <w:t xml:space="preserve">accredited </w:t>
      </w:r>
      <w:r w:rsidR="003F1D7D">
        <w:t xml:space="preserve">consigner role will reduce administrative burden on waste producers as </w:t>
      </w:r>
      <w:r w:rsidR="00C753E0">
        <w:t xml:space="preserve">accredited </w:t>
      </w:r>
      <w:r w:rsidR="003F1D7D">
        <w:t xml:space="preserve">consigners can take on much of this burden on behalf of those unfamiliar with the regulatory process. The provision of this role will also encourage compliance where mismanagement of waste is due to a lack of knowledge of the wastes and/or proper waste management process by the producer. The proposed prescribed role legitimises what is already happening in practice within the waste industry but gives EPA oversight on who is providing this service. </w:t>
      </w:r>
    </w:p>
    <w:p w14:paraId="656B0766" w14:textId="77777777" w:rsidR="008C262D" w:rsidRDefault="008C262D" w:rsidP="000D1529">
      <w:pPr>
        <w:pStyle w:val="CommentText"/>
      </w:pPr>
      <w:r>
        <w:t>Quantification of benefits is difficult as well as attribution of these benefits to reportable priority waste cohort and transport options. The following base costs of waste mismanagement in Victoria do provide some level of comparison in the analysis.</w:t>
      </w:r>
    </w:p>
    <w:p w14:paraId="656B0767" w14:textId="77777777" w:rsidR="008C262D" w:rsidRDefault="008C262D" w:rsidP="008C262D">
      <w:pPr>
        <w:pStyle w:val="Bullet1"/>
        <w:numPr>
          <w:ilvl w:val="0"/>
          <w:numId w:val="16"/>
        </w:numPr>
        <w:ind w:left="567" w:hanging="359"/>
      </w:pPr>
      <w:r w:rsidRPr="00D8221A">
        <w:t xml:space="preserve">$105 million per </w:t>
      </w:r>
      <w:r>
        <w:t>year from stockpile fires.</w:t>
      </w:r>
    </w:p>
    <w:p w14:paraId="656B0768" w14:textId="77777777" w:rsidR="008C262D" w:rsidRDefault="008C262D" w:rsidP="008C262D">
      <w:pPr>
        <w:pStyle w:val="Bullet1"/>
        <w:numPr>
          <w:ilvl w:val="0"/>
          <w:numId w:val="16"/>
        </w:numPr>
        <w:ind w:left="567" w:hanging="359"/>
      </w:pPr>
      <w:r>
        <w:t>$58</w:t>
      </w:r>
      <w:r w:rsidRPr="007947E4">
        <w:t xml:space="preserve"> million per year</w:t>
      </w:r>
      <w:r>
        <w:t xml:space="preserve"> in annual clean-up costs of abandoned waste sites.</w:t>
      </w:r>
    </w:p>
    <w:p w14:paraId="656B0769" w14:textId="77777777" w:rsidR="008C262D" w:rsidRDefault="008C262D" w:rsidP="008C262D">
      <w:pPr>
        <w:pStyle w:val="Bullet1"/>
        <w:numPr>
          <w:ilvl w:val="0"/>
          <w:numId w:val="16"/>
        </w:numPr>
        <w:ind w:left="567" w:hanging="359"/>
      </w:pPr>
      <w:r w:rsidRPr="00D96322">
        <w:t>$30 million per year</w:t>
      </w:r>
      <w:r w:rsidRPr="000E7C5E">
        <w:t xml:space="preserve"> </w:t>
      </w:r>
      <w:r>
        <w:t>on clean-up costs and lost landfills levy revenue due to illegal dumping.</w:t>
      </w:r>
    </w:p>
    <w:p w14:paraId="656B076A" w14:textId="77777777" w:rsidR="00ED040F" w:rsidRDefault="008D0136" w:rsidP="008D0136">
      <w:pPr>
        <w:pStyle w:val="Heading4"/>
      </w:pPr>
      <w:r>
        <w:t>Effectiveness</w:t>
      </w:r>
    </w:p>
    <w:p w14:paraId="656B076B" w14:textId="77777777" w:rsidR="008D0136" w:rsidRPr="00ED040F" w:rsidRDefault="008D0136" w:rsidP="008D0136">
      <w:pPr>
        <w:rPr>
          <w:i/>
        </w:rPr>
      </w:pPr>
      <w:r>
        <w:rPr>
          <w:i/>
        </w:rPr>
        <w:t>Cohort options</w:t>
      </w:r>
    </w:p>
    <w:p w14:paraId="656B076C" w14:textId="77777777" w:rsidR="008D0136" w:rsidRDefault="008D0136" w:rsidP="008D0136">
      <w:r>
        <w:t xml:space="preserve">Option 3 has the highest effectiveness score due to its wider scope of wastes and potential contribution to reducing other issues including stockpiling and illegal dumping – in particular from contaminated soils material and plastics. </w:t>
      </w:r>
      <w:r w:rsidR="00C160D9">
        <w:t xml:space="preserve">Option 3 is given a score of +6 relative to the </w:t>
      </w:r>
      <w:r w:rsidR="00E93EEB">
        <w:t>Base Case</w:t>
      </w:r>
      <w:r w:rsidR="00C160D9">
        <w:t xml:space="preserve">. </w:t>
      </w:r>
    </w:p>
    <w:p w14:paraId="656B076D" w14:textId="77777777" w:rsidR="00C160D9" w:rsidRDefault="008D0136" w:rsidP="008D0136">
      <w:r>
        <w:t xml:space="preserve">Option 2a and 2b score the lowest on this criteria due to smaller coverage of waste types prone to mismanagement, and relies more heavily on the GED for waste types outside of those that are most hazardous. </w:t>
      </w:r>
      <w:r w:rsidR="00C160D9">
        <w:t xml:space="preserve">Options 2a and 2b are given scores of +1 and +2, respectively. </w:t>
      </w:r>
    </w:p>
    <w:p w14:paraId="656B076E" w14:textId="77777777" w:rsidR="008D0136" w:rsidRDefault="00C160D9" w:rsidP="008D0136">
      <w:r>
        <w:t xml:space="preserve">In terms of coverage of wastes, </w:t>
      </w:r>
      <w:r w:rsidR="008D0136">
        <w:t xml:space="preserve">Option 1 </w:t>
      </w:r>
      <w:r>
        <w:t>has a moderate coverage of wastes (relative to the other options)</w:t>
      </w:r>
      <w:r w:rsidR="008D0136">
        <w:t xml:space="preserve">. </w:t>
      </w:r>
      <w:r>
        <w:t xml:space="preserve">Option 1 is given a score of +4 relative to the </w:t>
      </w:r>
      <w:r w:rsidR="00E93EEB">
        <w:t>Base Case</w:t>
      </w:r>
      <w:r>
        <w:t xml:space="preserve">. </w:t>
      </w:r>
    </w:p>
    <w:p w14:paraId="656B076F" w14:textId="77777777" w:rsidR="008D0136" w:rsidRDefault="008D0136" w:rsidP="008D0136">
      <w:pPr>
        <w:rPr>
          <w:i/>
        </w:rPr>
      </w:pPr>
      <w:r>
        <w:rPr>
          <w:i/>
        </w:rPr>
        <w:t xml:space="preserve">Transport </w:t>
      </w:r>
      <w:r w:rsidRPr="00ED040F">
        <w:rPr>
          <w:i/>
        </w:rPr>
        <w:t>options</w:t>
      </w:r>
    </w:p>
    <w:p w14:paraId="656B0770" w14:textId="77777777" w:rsidR="008C262D" w:rsidRDefault="008C262D" w:rsidP="008C262D">
      <w:r>
        <w:t xml:space="preserve">The use of accredited consigners is considered to be the most effective instrument in meeting the objectives of priority waste controls. </w:t>
      </w:r>
    </w:p>
    <w:p w14:paraId="656B0771" w14:textId="77777777" w:rsidR="008C262D" w:rsidRDefault="008C262D" w:rsidP="00457DB8">
      <w:pPr>
        <w:tabs>
          <w:tab w:val="left" w:pos="4536"/>
        </w:tabs>
        <w:rPr>
          <w:lang w:val="en-US" w:eastAsia="ja-JP"/>
        </w:rPr>
      </w:pPr>
      <w:r w:rsidRPr="005A4105">
        <w:rPr>
          <w:lang w:val="en-US" w:eastAsia="ja-JP"/>
        </w:rPr>
        <w:t>Option 1 provides the most incentiv</w:t>
      </w:r>
      <w:r>
        <w:rPr>
          <w:lang w:val="en-US" w:eastAsia="ja-JP"/>
        </w:rPr>
        <w:t xml:space="preserve">e to use accredited consigners given it is mandatory and therefore scores well on effectiveness. </w:t>
      </w:r>
      <w:r w:rsidR="00457DB8">
        <w:rPr>
          <w:lang w:val="en-US" w:eastAsia="ja-JP"/>
        </w:rPr>
        <w:t xml:space="preserve">A score of +3 is given relative to the </w:t>
      </w:r>
      <w:r w:rsidR="00E93EEB">
        <w:rPr>
          <w:lang w:val="en-US" w:eastAsia="ja-JP"/>
        </w:rPr>
        <w:t>Base Case</w:t>
      </w:r>
      <w:r w:rsidR="00457DB8">
        <w:rPr>
          <w:lang w:val="en-US" w:eastAsia="ja-JP"/>
        </w:rPr>
        <w:t>.</w:t>
      </w:r>
    </w:p>
    <w:p w14:paraId="656B0772" w14:textId="77777777" w:rsidR="008C262D" w:rsidRDefault="008C262D" w:rsidP="00457DB8">
      <w:pPr>
        <w:tabs>
          <w:tab w:val="left" w:pos="4536"/>
        </w:tabs>
        <w:rPr>
          <w:lang w:val="en-US" w:eastAsia="ja-JP"/>
        </w:rPr>
      </w:pPr>
      <w:r>
        <w:rPr>
          <w:lang w:val="en-US" w:eastAsia="ja-JP"/>
        </w:rPr>
        <w:t xml:space="preserve">Option 2 and 3, however, also give waste generators the option to use an accredited consigner or undertake transaction duties themselves. Option 3 is considered more effective than Option 2 as it establishes permissions on the driver rather than the vehicle, recognising that a </w:t>
      </w:r>
      <w:r w:rsidRPr="005A4105">
        <w:t xml:space="preserve">large part of the responsibility for </w:t>
      </w:r>
      <w:r>
        <w:t xml:space="preserve">appropriate waste </w:t>
      </w:r>
      <w:r w:rsidRPr="005A4105">
        <w:t>transport belong</w:t>
      </w:r>
      <w:r>
        <w:t>s</w:t>
      </w:r>
      <w:r w:rsidRPr="005A4105">
        <w:t xml:space="preserve"> to the driver of the vehicle</w:t>
      </w:r>
      <w:r>
        <w:rPr>
          <w:lang w:val="en-US" w:eastAsia="ja-JP"/>
        </w:rPr>
        <w:t xml:space="preserve">. The driver permission would likely result in increased driver awareness of duties and skill in waste management. </w:t>
      </w:r>
      <w:r w:rsidR="005D3927">
        <w:rPr>
          <w:lang w:val="en-US" w:eastAsia="ja-JP"/>
        </w:rPr>
        <w:t xml:space="preserve">Option 2, however, is a much more practical option than Option 3, as it establishes the control on the vehicle rather than the driver. Driver permissions are considered more difficult to implement or enforce and therefore this moderates its effectiveness score. On balance, Option 2 and </w:t>
      </w:r>
      <w:r w:rsidR="00E77408">
        <w:rPr>
          <w:lang w:val="en-US" w:eastAsia="ja-JP"/>
        </w:rPr>
        <w:t xml:space="preserve">Option </w:t>
      </w:r>
      <w:r w:rsidR="005D3927">
        <w:rPr>
          <w:lang w:val="en-US" w:eastAsia="ja-JP"/>
        </w:rPr>
        <w:t xml:space="preserve">3 are considered to be similarly effective and are given an equal score of +6 for effectiveness. From a cost perspective, Option 2 and Option 3 are also similar and therefore given an equal score of -4. It is noted, however, that Option 2 is a slightly less costly option. </w:t>
      </w:r>
    </w:p>
    <w:p w14:paraId="656B0773" w14:textId="77777777" w:rsidR="008C262D" w:rsidRDefault="008C262D" w:rsidP="008C262D">
      <w:pPr>
        <w:tabs>
          <w:tab w:val="left" w:pos="4536"/>
        </w:tabs>
      </w:pPr>
      <w:r>
        <w:rPr>
          <w:lang w:val="en-US" w:eastAsia="ja-JP"/>
        </w:rPr>
        <w:t xml:space="preserve">Option 4 is the least effective option as it does not propose a dedicated consigner role. It is most akin to the current controls, therefore current mismanagement is likely to continue. </w:t>
      </w:r>
      <w:r w:rsidR="00457DB8">
        <w:rPr>
          <w:lang w:val="en-US" w:eastAsia="ja-JP"/>
        </w:rPr>
        <w:t xml:space="preserve">A score of +2 is given relative to the </w:t>
      </w:r>
      <w:r w:rsidR="00E93EEB">
        <w:rPr>
          <w:lang w:val="en-US" w:eastAsia="ja-JP"/>
        </w:rPr>
        <w:t>Base Case</w:t>
      </w:r>
      <w:r w:rsidR="00457DB8">
        <w:rPr>
          <w:lang w:val="en-US" w:eastAsia="ja-JP"/>
        </w:rPr>
        <w:t xml:space="preserve">. </w:t>
      </w:r>
    </w:p>
    <w:p w14:paraId="656B0774" w14:textId="77777777" w:rsidR="00C160D9" w:rsidRDefault="00C160D9" w:rsidP="00C160D9">
      <w:pPr>
        <w:pStyle w:val="Heading4"/>
      </w:pPr>
      <w:r>
        <w:t>Cost</w:t>
      </w:r>
    </w:p>
    <w:p w14:paraId="656B0775" w14:textId="77777777" w:rsidR="00C160D9" w:rsidRDefault="00C160D9" w:rsidP="00C160D9">
      <w:pPr>
        <w:spacing w:after="170"/>
      </w:pPr>
      <w:r>
        <w:t xml:space="preserve">The present values of costs of the combined cohort and transport options are provided in the table below. </w:t>
      </w:r>
    </w:p>
    <w:p w14:paraId="656B0776" w14:textId="77777777" w:rsidR="008C262D" w:rsidRDefault="008C262D" w:rsidP="008C262D">
      <w:pPr>
        <w:rPr>
          <w:lang w:val="en-US" w:eastAsia="ja-JP"/>
        </w:rPr>
      </w:pPr>
      <w:r>
        <w:t xml:space="preserve">Of the cohort options, Option 3 would have the highest regulatory cost burden on businesses and Option 2 the least. This is driven by the type of materials included in scope. </w:t>
      </w:r>
      <w:r>
        <w:rPr>
          <w:lang w:val="en-US" w:eastAsia="ja-JP"/>
        </w:rPr>
        <w:t>T</w:t>
      </w:r>
      <w:r w:rsidRPr="00B90430">
        <w:rPr>
          <w:lang w:val="en-US" w:eastAsia="ja-JP"/>
        </w:rPr>
        <w:t xml:space="preserve">he addition of plastic waste and e-waste </w:t>
      </w:r>
      <w:r>
        <w:rPr>
          <w:lang w:val="en-US" w:eastAsia="ja-JP"/>
        </w:rPr>
        <w:t>in Option 3 considerably extends</w:t>
      </w:r>
      <w:r w:rsidRPr="00B90430">
        <w:rPr>
          <w:lang w:val="en-US" w:eastAsia="ja-JP"/>
        </w:rPr>
        <w:t xml:space="preserve"> the volumes of waste captured</w:t>
      </w:r>
      <w:r>
        <w:rPr>
          <w:lang w:val="en-US" w:eastAsia="ja-JP"/>
        </w:rPr>
        <w:t xml:space="preserve">. Again, Option 1 represents a balance between these options. </w:t>
      </w:r>
    </w:p>
    <w:p w14:paraId="656B0777" w14:textId="77777777" w:rsidR="008C262D" w:rsidRPr="008D0136" w:rsidRDefault="008C262D" w:rsidP="008C262D">
      <w:r>
        <w:t xml:space="preserve">Of the transport options, Option 1 is likely to have the highest cost burden on businesses </w:t>
      </w:r>
      <w:r w:rsidR="006C3FC0">
        <w:t>and government</w:t>
      </w:r>
      <w:r>
        <w:t xml:space="preserve"> given the mandatory requirement for accredited consigners (although it is not costed). Option 2 and 3 would also carry a regulatory cost burden on businesses</w:t>
      </w:r>
      <w:r w:rsidR="006C3FC0">
        <w:t xml:space="preserve"> and cost on government</w:t>
      </w:r>
      <w:r>
        <w:t xml:space="preserve">, although the optional use of accredited consigners would mean the burden would be less than Option 1 as businesses decide what is most cost-effective. Option 3 is considered </w:t>
      </w:r>
      <w:r w:rsidR="00A30553">
        <w:t xml:space="preserve">slightly </w:t>
      </w:r>
      <w:r>
        <w:t>more burdensome than Option 2 with the introduction of driver permissions which is more costly than vehicle permissions. Option 4 would have the least cost burden.</w:t>
      </w:r>
    </w:p>
    <w:p w14:paraId="656B0778" w14:textId="77777777" w:rsidR="00C160D9" w:rsidRDefault="00C160D9" w:rsidP="00C160D9">
      <w:pPr>
        <w:pStyle w:val="2Source"/>
        <w:rPr>
          <w:szCs w:val="20"/>
        </w:rPr>
      </w:pPr>
      <w:bookmarkStart w:id="645" w:name="_Ref8025278"/>
      <w:r w:rsidRPr="00827D05">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11</w:t>
      </w:r>
      <w:r w:rsidR="00997CFA">
        <w:rPr>
          <w:color w:val="2B579A"/>
          <w:shd w:val="clear" w:color="auto" w:fill="E6E6E6"/>
        </w:rPr>
        <w:fldChar w:fldCharType="end"/>
      </w:r>
      <w:bookmarkEnd w:id="645"/>
      <w:r>
        <w:t xml:space="preserve"> Present </w:t>
      </w:r>
      <w:r>
        <w:rPr>
          <w:szCs w:val="20"/>
        </w:rPr>
        <w:t>value costs ($2018/19) of reportable priority waste combined cohort and transport options</w:t>
      </w:r>
    </w:p>
    <w:tbl>
      <w:tblPr>
        <w:tblStyle w:val="Deloittetable"/>
        <w:tblW w:w="5000" w:type="pct"/>
        <w:tblLook w:val="04A0" w:firstRow="1" w:lastRow="0" w:firstColumn="1" w:lastColumn="0" w:noHBand="0" w:noVBand="1"/>
      </w:tblPr>
      <w:tblGrid>
        <w:gridCol w:w="1437"/>
        <w:gridCol w:w="2243"/>
        <w:gridCol w:w="1820"/>
        <w:gridCol w:w="1980"/>
        <w:gridCol w:w="1875"/>
      </w:tblGrid>
      <w:tr w:rsidR="00B91282" w:rsidRPr="00A07310" w14:paraId="656B077F" w14:textId="77777777" w:rsidTr="00100AE6">
        <w:trPr>
          <w:cnfStyle w:val="100000000000" w:firstRow="1" w:lastRow="0" w:firstColumn="0" w:lastColumn="0" w:oddVBand="0" w:evenVBand="0" w:oddHBand="0" w:evenHBand="0" w:firstRowFirstColumn="0" w:firstRowLastColumn="0" w:lastRowFirstColumn="0" w:lastRowLastColumn="0"/>
          <w:trHeight w:val="270"/>
          <w:tblHeader/>
        </w:trPr>
        <w:tc>
          <w:tcPr>
            <w:tcW w:w="768" w:type="pct"/>
            <w:tcBorders>
              <w:bottom w:val="single" w:sz="4" w:space="0" w:color="000000" w:themeColor="text1"/>
            </w:tcBorders>
            <w:hideMark/>
          </w:tcPr>
          <w:p w14:paraId="656B0779" w14:textId="77777777" w:rsidR="00C160D9" w:rsidRPr="00A07310" w:rsidRDefault="00C160D9" w:rsidP="004B63C1">
            <w:pPr>
              <w:spacing w:after="0" w:line="240" w:lineRule="auto"/>
              <w:rPr>
                <w:rFonts w:eastAsia="Times New Roman" w:cs="Segoe UI Light"/>
                <w:sz w:val="18"/>
                <w:lang w:eastAsia="en-AU"/>
              </w:rPr>
            </w:pPr>
          </w:p>
        </w:tc>
        <w:tc>
          <w:tcPr>
            <w:tcW w:w="1199" w:type="pct"/>
            <w:tcBorders>
              <w:bottom w:val="single" w:sz="4" w:space="0" w:color="000000" w:themeColor="text1"/>
            </w:tcBorders>
            <w:hideMark/>
          </w:tcPr>
          <w:p w14:paraId="656B077A" w14:textId="77777777" w:rsidR="00C160D9" w:rsidRDefault="00C160D9" w:rsidP="00982D63">
            <w:pPr>
              <w:spacing w:after="0" w:line="240" w:lineRule="auto"/>
              <w:ind w:right="57"/>
              <w:jc w:val="right"/>
              <w:rPr>
                <w:rFonts w:eastAsia="Times New Roman" w:cs="Segoe UI Light"/>
                <w:b/>
                <w:bCs/>
                <w:color w:val="000000"/>
                <w:sz w:val="18"/>
                <w:lang w:eastAsia="en-AU"/>
              </w:rPr>
            </w:pPr>
            <w:r w:rsidRPr="000D1529">
              <w:rPr>
                <w:rFonts w:eastAsia="Times New Roman" w:cs="Segoe UI Light"/>
                <w:b/>
                <w:bCs/>
                <w:color w:val="000000"/>
                <w:sz w:val="18"/>
                <w:lang w:eastAsia="en-AU"/>
              </w:rPr>
              <w:t xml:space="preserve">Transport Option 1 </w:t>
            </w:r>
          </w:p>
          <w:p w14:paraId="656B077B" w14:textId="77777777" w:rsidR="00C160D9" w:rsidRPr="00A07310" w:rsidRDefault="00C160D9" w:rsidP="00982D63">
            <w:pPr>
              <w:spacing w:after="0" w:line="240" w:lineRule="auto"/>
              <w:ind w:right="57"/>
              <w:jc w:val="right"/>
              <w:rPr>
                <w:rFonts w:eastAsia="Times New Roman" w:cs="Segoe UI Light"/>
                <w:b/>
                <w:bCs/>
                <w:color w:val="000000"/>
                <w:sz w:val="18"/>
                <w:lang w:eastAsia="en-AU"/>
              </w:rPr>
            </w:pPr>
            <w:r w:rsidRPr="000D1529">
              <w:rPr>
                <w:rFonts w:eastAsia="Times New Roman" w:cs="Segoe UI Light"/>
                <w:b/>
                <w:bCs/>
                <w:color w:val="000000"/>
                <w:sz w:val="18"/>
                <w:lang w:eastAsia="en-AU"/>
              </w:rPr>
              <w:t>&amp; 1a</w:t>
            </w:r>
          </w:p>
        </w:tc>
        <w:tc>
          <w:tcPr>
            <w:tcW w:w="973" w:type="pct"/>
            <w:tcBorders>
              <w:bottom w:val="single" w:sz="4" w:space="0" w:color="000000" w:themeColor="text1"/>
            </w:tcBorders>
            <w:hideMark/>
          </w:tcPr>
          <w:p w14:paraId="656B077C" w14:textId="77777777" w:rsidR="00C160D9" w:rsidRPr="00A07310" w:rsidRDefault="00C160D9" w:rsidP="00982D63">
            <w:pPr>
              <w:spacing w:after="0" w:line="240" w:lineRule="auto"/>
              <w:ind w:right="57"/>
              <w:jc w:val="right"/>
              <w:rPr>
                <w:rFonts w:eastAsia="Times New Roman" w:cs="Segoe UI Light"/>
                <w:b/>
                <w:bCs/>
                <w:color w:val="000000"/>
                <w:sz w:val="18"/>
                <w:lang w:eastAsia="en-AU"/>
              </w:rPr>
            </w:pPr>
            <w:r>
              <w:rPr>
                <w:rFonts w:eastAsia="Times New Roman" w:cs="Segoe UI Light"/>
                <w:b/>
                <w:bCs/>
                <w:color w:val="000000"/>
                <w:sz w:val="18"/>
                <w:lang w:eastAsia="en-AU"/>
              </w:rPr>
              <w:t xml:space="preserve">Transport </w:t>
            </w:r>
            <w:r w:rsidRPr="00A07310">
              <w:rPr>
                <w:rFonts w:eastAsia="Times New Roman" w:cs="Segoe UI Light"/>
                <w:b/>
                <w:bCs/>
                <w:color w:val="000000"/>
                <w:sz w:val="18"/>
                <w:lang w:eastAsia="en-AU"/>
              </w:rPr>
              <w:t>Option 2</w:t>
            </w:r>
          </w:p>
        </w:tc>
        <w:tc>
          <w:tcPr>
            <w:tcW w:w="1058" w:type="pct"/>
            <w:tcBorders>
              <w:bottom w:val="single" w:sz="4" w:space="0" w:color="000000" w:themeColor="text1"/>
            </w:tcBorders>
            <w:hideMark/>
          </w:tcPr>
          <w:p w14:paraId="656B077D" w14:textId="77777777" w:rsidR="00C160D9" w:rsidRPr="00A07310" w:rsidRDefault="00C160D9" w:rsidP="00982D63">
            <w:pPr>
              <w:spacing w:after="0" w:line="240" w:lineRule="auto"/>
              <w:ind w:right="57"/>
              <w:jc w:val="right"/>
              <w:rPr>
                <w:rFonts w:eastAsia="Times New Roman" w:cs="Segoe UI Light"/>
                <w:b/>
                <w:bCs/>
                <w:color w:val="000000"/>
                <w:sz w:val="18"/>
                <w:lang w:eastAsia="en-AU"/>
              </w:rPr>
            </w:pPr>
            <w:r>
              <w:rPr>
                <w:rFonts w:eastAsia="Times New Roman" w:cs="Segoe UI Light"/>
                <w:b/>
                <w:bCs/>
                <w:color w:val="000000"/>
                <w:sz w:val="18"/>
                <w:lang w:eastAsia="en-AU"/>
              </w:rPr>
              <w:t xml:space="preserve">Transport </w:t>
            </w:r>
            <w:r w:rsidRPr="00A07310">
              <w:rPr>
                <w:rFonts w:eastAsia="Times New Roman" w:cs="Segoe UI Light"/>
                <w:b/>
                <w:bCs/>
                <w:color w:val="000000"/>
                <w:sz w:val="18"/>
                <w:lang w:eastAsia="en-AU"/>
              </w:rPr>
              <w:t>Option 3</w:t>
            </w:r>
          </w:p>
        </w:tc>
        <w:tc>
          <w:tcPr>
            <w:tcW w:w="1002" w:type="pct"/>
            <w:tcBorders>
              <w:bottom w:val="single" w:sz="4" w:space="0" w:color="000000" w:themeColor="text1"/>
            </w:tcBorders>
            <w:hideMark/>
          </w:tcPr>
          <w:p w14:paraId="656B077E" w14:textId="77777777" w:rsidR="00C160D9" w:rsidRPr="00A07310" w:rsidRDefault="00C160D9" w:rsidP="00982D63">
            <w:pPr>
              <w:spacing w:after="0" w:line="240" w:lineRule="auto"/>
              <w:ind w:right="57"/>
              <w:jc w:val="right"/>
              <w:rPr>
                <w:rFonts w:eastAsia="Times New Roman" w:cs="Segoe UI Light"/>
                <w:b/>
                <w:bCs/>
                <w:color w:val="000000"/>
                <w:sz w:val="18"/>
                <w:lang w:eastAsia="en-AU"/>
              </w:rPr>
            </w:pPr>
            <w:r>
              <w:rPr>
                <w:rFonts w:eastAsia="Times New Roman" w:cs="Segoe UI Light"/>
                <w:b/>
                <w:bCs/>
                <w:color w:val="000000"/>
                <w:sz w:val="18"/>
                <w:lang w:eastAsia="en-AU"/>
              </w:rPr>
              <w:t xml:space="preserve">Transport </w:t>
            </w:r>
            <w:r w:rsidRPr="00A07310">
              <w:rPr>
                <w:rFonts w:eastAsia="Times New Roman" w:cs="Segoe UI Light"/>
                <w:b/>
                <w:bCs/>
                <w:color w:val="000000"/>
                <w:sz w:val="18"/>
                <w:lang w:eastAsia="en-AU"/>
              </w:rPr>
              <w:t>Option 4</w:t>
            </w:r>
          </w:p>
        </w:tc>
      </w:tr>
      <w:tr w:rsidR="00B91282" w:rsidRPr="00A07310" w14:paraId="656B0785" w14:textId="77777777" w:rsidTr="00100AE6">
        <w:trPr>
          <w:trHeight w:val="810"/>
        </w:trPr>
        <w:tc>
          <w:tcPr>
            <w:tcW w:w="768" w:type="pct"/>
            <w:tcBorders>
              <w:top w:val="single" w:sz="4" w:space="0" w:color="000000" w:themeColor="text1"/>
              <w:bottom w:val="single" w:sz="18" w:space="0" w:color="000000" w:themeColor="text1"/>
            </w:tcBorders>
            <w:hideMark/>
          </w:tcPr>
          <w:p w14:paraId="656B0780" w14:textId="77777777" w:rsidR="00C160D9" w:rsidRPr="00A07310" w:rsidRDefault="00C160D9" w:rsidP="004B63C1">
            <w:pPr>
              <w:spacing w:after="0" w:line="240" w:lineRule="auto"/>
              <w:rPr>
                <w:rFonts w:eastAsia="Times New Roman" w:cs="Segoe UI Light"/>
                <w:b/>
                <w:bCs/>
                <w:color w:val="000000"/>
                <w:sz w:val="18"/>
                <w:lang w:eastAsia="en-AU"/>
              </w:rPr>
            </w:pPr>
            <w:r w:rsidRPr="00A07310">
              <w:rPr>
                <w:rFonts w:eastAsia="Times New Roman" w:cs="Segoe UI Light"/>
                <w:b/>
                <w:bCs/>
                <w:color w:val="000000"/>
                <w:sz w:val="18"/>
                <w:lang w:eastAsia="en-AU"/>
              </w:rPr>
              <w:t> </w:t>
            </w:r>
          </w:p>
        </w:tc>
        <w:tc>
          <w:tcPr>
            <w:tcW w:w="1199" w:type="pct"/>
            <w:tcBorders>
              <w:top w:val="single" w:sz="4" w:space="0" w:color="000000" w:themeColor="text1"/>
              <w:bottom w:val="single" w:sz="18" w:space="0" w:color="000000" w:themeColor="text1"/>
            </w:tcBorders>
            <w:hideMark/>
          </w:tcPr>
          <w:p w14:paraId="656B0781" w14:textId="77777777" w:rsidR="00C160D9" w:rsidRPr="00A07310" w:rsidRDefault="00C160D9" w:rsidP="00982D63">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 xml:space="preserve">Mandatory accredited consigners + vehicle permissions </w:t>
            </w:r>
          </w:p>
        </w:tc>
        <w:tc>
          <w:tcPr>
            <w:tcW w:w="973" w:type="pct"/>
            <w:tcBorders>
              <w:top w:val="single" w:sz="4" w:space="0" w:color="000000" w:themeColor="text1"/>
              <w:bottom w:val="single" w:sz="18" w:space="0" w:color="000000" w:themeColor="text1"/>
            </w:tcBorders>
            <w:hideMark/>
          </w:tcPr>
          <w:p w14:paraId="656B0782" w14:textId="77777777" w:rsidR="00C160D9" w:rsidRPr="00A07310" w:rsidRDefault="00C160D9" w:rsidP="00982D63">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Balanced - Optional accredited consigners &amp; vehicle permission</w:t>
            </w:r>
          </w:p>
        </w:tc>
        <w:tc>
          <w:tcPr>
            <w:tcW w:w="1058" w:type="pct"/>
            <w:tcBorders>
              <w:top w:val="single" w:sz="4" w:space="0" w:color="000000" w:themeColor="text1"/>
              <w:bottom w:val="single" w:sz="18" w:space="0" w:color="000000" w:themeColor="text1"/>
            </w:tcBorders>
            <w:hideMark/>
          </w:tcPr>
          <w:p w14:paraId="656B0783" w14:textId="77777777" w:rsidR="00C160D9" w:rsidRPr="00A07310" w:rsidRDefault="00C160D9" w:rsidP="00982D63">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Optional accredited consigners with introduction of a driver permission</w:t>
            </w:r>
          </w:p>
        </w:tc>
        <w:tc>
          <w:tcPr>
            <w:tcW w:w="1002" w:type="pct"/>
            <w:tcBorders>
              <w:top w:val="single" w:sz="4" w:space="0" w:color="000000" w:themeColor="text1"/>
              <w:bottom w:val="single" w:sz="18" w:space="0" w:color="000000" w:themeColor="text1"/>
            </w:tcBorders>
            <w:hideMark/>
          </w:tcPr>
          <w:p w14:paraId="656B0784" w14:textId="77777777" w:rsidR="00C160D9" w:rsidRPr="00A07310" w:rsidRDefault="00C160D9" w:rsidP="00982D63">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EPA control</w:t>
            </w:r>
          </w:p>
        </w:tc>
      </w:tr>
      <w:tr w:rsidR="00C160D9" w:rsidRPr="00A07310" w14:paraId="656B0787" w14:textId="77777777" w:rsidTr="000D1529">
        <w:trPr>
          <w:trHeight w:val="270"/>
        </w:trPr>
        <w:tc>
          <w:tcPr>
            <w:tcW w:w="5000" w:type="pct"/>
            <w:gridSpan w:val="5"/>
            <w:tcBorders>
              <w:top w:val="single" w:sz="18" w:space="0" w:color="000000" w:themeColor="text1"/>
            </w:tcBorders>
            <w:hideMark/>
          </w:tcPr>
          <w:p w14:paraId="656B0786" w14:textId="77777777" w:rsidR="00C160D9" w:rsidRPr="000D1529" w:rsidRDefault="00C160D9" w:rsidP="00982D63">
            <w:pPr>
              <w:spacing w:after="0" w:line="240" w:lineRule="auto"/>
              <w:ind w:right="57"/>
              <w:rPr>
                <w:rFonts w:eastAsia="Times New Roman" w:cs="Segoe UI Light"/>
                <w:color w:val="000000"/>
                <w:sz w:val="18"/>
                <w:lang w:eastAsia="en-AU"/>
              </w:rPr>
            </w:pPr>
            <w:r w:rsidRPr="000D1529">
              <w:rPr>
                <w:rFonts w:eastAsia="Times New Roman" w:cs="Segoe UI Light"/>
                <w:b/>
                <w:bCs/>
                <w:color w:val="000000"/>
                <w:sz w:val="18"/>
                <w:lang w:eastAsia="en-AU"/>
              </w:rPr>
              <w:t xml:space="preserve">Cohort option 1 - </w:t>
            </w:r>
            <w:r w:rsidRPr="000D1529">
              <w:rPr>
                <w:rFonts w:eastAsia="Times New Roman" w:cs="Segoe UI Light"/>
                <w:i/>
                <w:iCs/>
                <w:color w:val="000000"/>
                <w:sz w:val="18"/>
                <w:lang w:eastAsia="en-AU"/>
              </w:rPr>
              <w:t>Balancing risk - vehicle permits (very high - mod), transaction tracking (very high &amp; high)</w:t>
            </w:r>
          </w:p>
        </w:tc>
      </w:tr>
      <w:tr w:rsidR="003E6970" w:rsidRPr="00A07310" w14:paraId="656B078E" w14:textId="77777777" w:rsidTr="00100AE6">
        <w:trPr>
          <w:trHeight w:val="270"/>
        </w:trPr>
        <w:tc>
          <w:tcPr>
            <w:tcW w:w="768" w:type="pct"/>
            <w:hideMark/>
          </w:tcPr>
          <w:p w14:paraId="656B0788" w14:textId="77777777" w:rsidR="00C160D9" w:rsidRPr="00A07310" w:rsidRDefault="00C160D9" w:rsidP="004B63C1">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 xml:space="preserve">PV costs to business relative to </w:t>
            </w:r>
            <w:r>
              <w:rPr>
                <w:rFonts w:eastAsia="Times New Roman" w:cs="Segoe UI Light"/>
                <w:color w:val="000000"/>
                <w:sz w:val="18"/>
                <w:lang w:eastAsia="en-AU"/>
              </w:rPr>
              <w:t>Base Case</w:t>
            </w:r>
          </w:p>
        </w:tc>
        <w:tc>
          <w:tcPr>
            <w:tcW w:w="1199" w:type="pct"/>
            <w:vAlign w:val="center"/>
            <w:hideMark/>
          </w:tcPr>
          <w:p w14:paraId="656B0789" w14:textId="77777777" w:rsidR="00B91282" w:rsidRDefault="00C160D9" w:rsidP="00982D63">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 xml:space="preserve">See qualitative </w:t>
            </w:r>
          </w:p>
          <w:p w14:paraId="656B078A" w14:textId="77777777" w:rsidR="00C160D9" w:rsidRPr="00A07310" w:rsidRDefault="00C160D9" w:rsidP="00982D63">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assessment</w:t>
            </w:r>
          </w:p>
        </w:tc>
        <w:tc>
          <w:tcPr>
            <w:tcW w:w="973" w:type="pct"/>
            <w:vAlign w:val="center"/>
            <w:hideMark/>
          </w:tcPr>
          <w:p w14:paraId="656B078B"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$120,699,128</w:t>
            </w:r>
          </w:p>
        </w:tc>
        <w:tc>
          <w:tcPr>
            <w:tcW w:w="1058" w:type="pct"/>
            <w:vAlign w:val="center"/>
            <w:hideMark/>
          </w:tcPr>
          <w:p w14:paraId="656B078C"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$124,649,583</w:t>
            </w:r>
          </w:p>
        </w:tc>
        <w:tc>
          <w:tcPr>
            <w:tcW w:w="1002" w:type="pct"/>
            <w:vAlign w:val="center"/>
            <w:hideMark/>
          </w:tcPr>
          <w:p w14:paraId="656B078D"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$53,258,346</w:t>
            </w:r>
          </w:p>
        </w:tc>
      </w:tr>
      <w:tr w:rsidR="003E6970" w:rsidRPr="00A07310" w14:paraId="656B0794" w14:textId="77777777" w:rsidTr="00100AE6">
        <w:trPr>
          <w:trHeight w:val="270"/>
        </w:trPr>
        <w:tc>
          <w:tcPr>
            <w:tcW w:w="768" w:type="pct"/>
            <w:tcBorders>
              <w:bottom w:val="single" w:sz="4" w:space="0" w:color="000000" w:themeColor="text1"/>
            </w:tcBorders>
            <w:hideMark/>
          </w:tcPr>
          <w:p w14:paraId="656B078F" w14:textId="77777777" w:rsidR="00C160D9" w:rsidRPr="00A07310" w:rsidRDefault="00C160D9" w:rsidP="004B63C1">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 xml:space="preserve">PV costs to government relative to </w:t>
            </w:r>
            <w:r>
              <w:rPr>
                <w:rFonts w:eastAsia="Times New Roman" w:cs="Segoe UI Light"/>
                <w:color w:val="000000"/>
                <w:sz w:val="18"/>
                <w:lang w:eastAsia="en-AU"/>
              </w:rPr>
              <w:t>Base Case</w:t>
            </w:r>
          </w:p>
        </w:tc>
        <w:tc>
          <w:tcPr>
            <w:tcW w:w="1199" w:type="pct"/>
            <w:hideMark/>
          </w:tcPr>
          <w:p w14:paraId="656B0790" w14:textId="77777777" w:rsidR="00C160D9" w:rsidRPr="00A07310" w:rsidRDefault="00C160D9" w:rsidP="00982D63">
            <w:pPr>
              <w:spacing w:after="0" w:line="240" w:lineRule="auto"/>
              <w:ind w:right="57"/>
              <w:jc w:val="right"/>
              <w:rPr>
                <w:rFonts w:eastAsia="Times New Roman" w:cs="Segoe UI Light"/>
                <w:color w:val="000000"/>
                <w:sz w:val="18"/>
                <w:lang w:eastAsia="en-AU"/>
              </w:rPr>
            </w:pPr>
          </w:p>
        </w:tc>
        <w:tc>
          <w:tcPr>
            <w:tcW w:w="973" w:type="pct"/>
            <w:tcBorders>
              <w:bottom w:val="single" w:sz="4" w:space="0" w:color="000000" w:themeColor="text1"/>
            </w:tcBorders>
            <w:vAlign w:val="center"/>
            <w:hideMark/>
          </w:tcPr>
          <w:p w14:paraId="656B0791"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$499,846</w:t>
            </w:r>
          </w:p>
        </w:tc>
        <w:tc>
          <w:tcPr>
            <w:tcW w:w="1058" w:type="pct"/>
            <w:tcBorders>
              <w:bottom w:val="single" w:sz="4" w:space="0" w:color="000000" w:themeColor="text1"/>
            </w:tcBorders>
            <w:vAlign w:val="center"/>
            <w:hideMark/>
          </w:tcPr>
          <w:p w14:paraId="656B0792"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$499,846</w:t>
            </w:r>
          </w:p>
        </w:tc>
        <w:tc>
          <w:tcPr>
            <w:tcW w:w="1002" w:type="pct"/>
            <w:tcBorders>
              <w:bottom w:val="single" w:sz="4" w:space="0" w:color="000000" w:themeColor="text1"/>
            </w:tcBorders>
            <w:vAlign w:val="center"/>
            <w:hideMark/>
          </w:tcPr>
          <w:p w14:paraId="656B0793"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$0</w:t>
            </w:r>
          </w:p>
        </w:tc>
      </w:tr>
      <w:tr w:rsidR="003E6970" w:rsidRPr="00A07310" w14:paraId="656B079A" w14:textId="77777777" w:rsidTr="00982D63">
        <w:trPr>
          <w:trHeight w:val="280"/>
        </w:trPr>
        <w:tc>
          <w:tcPr>
            <w:tcW w:w="768" w:type="pct"/>
            <w:tcBorders>
              <w:top w:val="single" w:sz="4" w:space="0" w:color="000000" w:themeColor="text1"/>
              <w:bottom w:val="single" w:sz="18" w:space="0" w:color="000000" w:themeColor="text1"/>
            </w:tcBorders>
            <w:hideMark/>
          </w:tcPr>
          <w:p w14:paraId="656B0795" w14:textId="77777777" w:rsidR="00C160D9" w:rsidRPr="00A07310" w:rsidRDefault="00C160D9" w:rsidP="004B63C1">
            <w:pPr>
              <w:spacing w:after="0" w:line="240" w:lineRule="auto"/>
              <w:rPr>
                <w:rFonts w:eastAsia="Times New Roman" w:cs="Segoe UI Light"/>
                <w:b/>
                <w:bCs/>
                <w:color w:val="000000"/>
                <w:sz w:val="18"/>
                <w:lang w:eastAsia="en-AU"/>
              </w:rPr>
            </w:pPr>
            <w:r w:rsidRPr="00A07310">
              <w:rPr>
                <w:rFonts w:eastAsia="Times New Roman" w:cs="Segoe UI Light"/>
                <w:b/>
                <w:bCs/>
                <w:color w:val="000000"/>
                <w:sz w:val="18"/>
                <w:lang w:eastAsia="en-AU"/>
              </w:rPr>
              <w:t xml:space="preserve">Present value total costs relative to </w:t>
            </w:r>
            <w:r>
              <w:rPr>
                <w:rFonts w:eastAsia="Times New Roman" w:cs="Segoe UI Light"/>
                <w:b/>
                <w:bCs/>
                <w:color w:val="000000"/>
                <w:sz w:val="18"/>
                <w:lang w:eastAsia="en-AU"/>
              </w:rPr>
              <w:t>Base Case</w:t>
            </w:r>
          </w:p>
        </w:tc>
        <w:tc>
          <w:tcPr>
            <w:tcW w:w="1199" w:type="pct"/>
            <w:hideMark/>
          </w:tcPr>
          <w:p w14:paraId="656B0796" w14:textId="77777777" w:rsidR="00C160D9" w:rsidRPr="00A07310" w:rsidRDefault="00C160D9" w:rsidP="00982D63">
            <w:pPr>
              <w:spacing w:after="0" w:line="240" w:lineRule="auto"/>
              <w:ind w:right="57"/>
              <w:rPr>
                <w:rFonts w:eastAsia="Times New Roman" w:cs="Segoe UI Light"/>
                <w:color w:val="000000"/>
                <w:sz w:val="18"/>
                <w:lang w:eastAsia="en-AU"/>
              </w:rPr>
            </w:pPr>
          </w:p>
        </w:tc>
        <w:tc>
          <w:tcPr>
            <w:tcW w:w="973" w:type="pct"/>
            <w:tcBorders>
              <w:top w:val="single" w:sz="4" w:space="0" w:color="000000" w:themeColor="text1"/>
              <w:bottom w:val="single" w:sz="18" w:space="0" w:color="000000" w:themeColor="text1"/>
            </w:tcBorders>
            <w:vAlign w:val="center"/>
            <w:hideMark/>
          </w:tcPr>
          <w:p w14:paraId="656B0797" w14:textId="77777777" w:rsidR="00C160D9" w:rsidRPr="000D1529" w:rsidRDefault="007D2033" w:rsidP="00982D63">
            <w:pPr>
              <w:spacing w:after="0" w:line="240" w:lineRule="auto"/>
              <w:ind w:right="57"/>
              <w:jc w:val="right"/>
              <w:rPr>
                <w:b/>
                <w:sz w:val="18"/>
              </w:rPr>
            </w:pPr>
            <w:r w:rsidRPr="000D1529">
              <w:rPr>
                <w:b/>
                <w:sz w:val="18"/>
              </w:rPr>
              <w:t>$121,198,975</w:t>
            </w:r>
          </w:p>
        </w:tc>
        <w:tc>
          <w:tcPr>
            <w:tcW w:w="1058" w:type="pct"/>
            <w:tcBorders>
              <w:top w:val="single" w:sz="4" w:space="0" w:color="000000" w:themeColor="text1"/>
              <w:bottom w:val="single" w:sz="18" w:space="0" w:color="000000" w:themeColor="text1"/>
            </w:tcBorders>
            <w:vAlign w:val="center"/>
            <w:hideMark/>
          </w:tcPr>
          <w:p w14:paraId="656B0798" w14:textId="77777777" w:rsidR="00C160D9" w:rsidRPr="000D1529" w:rsidRDefault="007D2033" w:rsidP="00982D63">
            <w:pPr>
              <w:spacing w:after="0" w:line="240" w:lineRule="auto"/>
              <w:ind w:right="57"/>
              <w:jc w:val="right"/>
              <w:rPr>
                <w:b/>
                <w:sz w:val="18"/>
              </w:rPr>
            </w:pPr>
            <w:r w:rsidRPr="000D1529">
              <w:rPr>
                <w:b/>
                <w:sz w:val="18"/>
              </w:rPr>
              <w:t>$125,149,429</w:t>
            </w:r>
          </w:p>
        </w:tc>
        <w:tc>
          <w:tcPr>
            <w:tcW w:w="1002" w:type="pct"/>
            <w:tcBorders>
              <w:top w:val="single" w:sz="4" w:space="0" w:color="000000" w:themeColor="text1"/>
              <w:bottom w:val="single" w:sz="18" w:space="0" w:color="000000" w:themeColor="text1"/>
            </w:tcBorders>
            <w:vAlign w:val="center"/>
            <w:hideMark/>
          </w:tcPr>
          <w:p w14:paraId="656B0799" w14:textId="77777777" w:rsidR="00C160D9" w:rsidRPr="000D1529" w:rsidRDefault="007D2033" w:rsidP="00982D63">
            <w:pPr>
              <w:spacing w:after="0" w:line="240" w:lineRule="auto"/>
              <w:ind w:right="57"/>
              <w:jc w:val="right"/>
              <w:rPr>
                <w:b/>
                <w:sz w:val="18"/>
              </w:rPr>
            </w:pPr>
            <w:r w:rsidRPr="000D1529">
              <w:rPr>
                <w:b/>
                <w:sz w:val="18"/>
              </w:rPr>
              <w:t>$53,258,346</w:t>
            </w:r>
          </w:p>
        </w:tc>
      </w:tr>
      <w:tr w:rsidR="00C160D9" w:rsidRPr="00A07310" w14:paraId="656B079C" w14:textId="77777777" w:rsidTr="000D1529">
        <w:trPr>
          <w:trHeight w:val="270"/>
        </w:trPr>
        <w:tc>
          <w:tcPr>
            <w:tcW w:w="5000" w:type="pct"/>
            <w:gridSpan w:val="5"/>
            <w:tcBorders>
              <w:top w:val="single" w:sz="18" w:space="0" w:color="000000" w:themeColor="text1"/>
            </w:tcBorders>
            <w:hideMark/>
          </w:tcPr>
          <w:p w14:paraId="656B079B" w14:textId="77777777" w:rsidR="00C160D9" w:rsidRPr="00A07310" w:rsidRDefault="00C160D9" w:rsidP="00982D63">
            <w:pPr>
              <w:spacing w:after="0" w:line="240" w:lineRule="auto"/>
              <w:ind w:right="57"/>
              <w:rPr>
                <w:rFonts w:eastAsia="Times New Roman" w:cs="Segoe UI Light"/>
                <w:sz w:val="18"/>
                <w:lang w:eastAsia="en-AU"/>
              </w:rPr>
            </w:pPr>
            <w:r w:rsidRPr="00A07310">
              <w:rPr>
                <w:rFonts w:eastAsia="Times New Roman" w:cs="Segoe UI Light"/>
                <w:b/>
                <w:bCs/>
                <w:color w:val="000000"/>
                <w:sz w:val="18"/>
                <w:lang w:eastAsia="en-AU"/>
              </w:rPr>
              <w:t>Cohort option 2a</w:t>
            </w:r>
            <w:r>
              <w:rPr>
                <w:rFonts w:eastAsia="Times New Roman" w:cs="Segoe UI Light"/>
                <w:b/>
                <w:bCs/>
                <w:color w:val="000000"/>
                <w:sz w:val="18"/>
                <w:lang w:eastAsia="en-AU"/>
              </w:rPr>
              <w:t xml:space="preserve">: </w:t>
            </w:r>
            <w:r w:rsidRPr="00A07310">
              <w:rPr>
                <w:rFonts w:eastAsia="Times New Roman" w:cs="Segoe UI Light"/>
                <w:i/>
                <w:iCs/>
                <w:color w:val="000000"/>
                <w:sz w:val="18"/>
                <w:lang w:eastAsia="en-AU"/>
              </w:rPr>
              <w:t>High hazard only - vehicle permits (very high - high), transaction tracking (very high &amp; high dumped/disappearing)</w:t>
            </w:r>
          </w:p>
        </w:tc>
      </w:tr>
      <w:tr w:rsidR="003E6970" w:rsidRPr="00A07310" w14:paraId="656B07A3" w14:textId="77777777" w:rsidTr="00330499">
        <w:trPr>
          <w:trHeight w:val="270"/>
        </w:trPr>
        <w:tc>
          <w:tcPr>
            <w:tcW w:w="768" w:type="pct"/>
            <w:hideMark/>
          </w:tcPr>
          <w:p w14:paraId="656B079D" w14:textId="77777777" w:rsidR="00C160D9" w:rsidRPr="00A07310" w:rsidRDefault="00C160D9" w:rsidP="004B63C1">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 xml:space="preserve">PV costs to business relative to </w:t>
            </w:r>
            <w:r>
              <w:rPr>
                <w:rFonts w:eastAsia="Times New Roman" w:cs="Segoe UI Light"/>
                <w:color w:val="000000"/>
                <w:sz w:val="18"/>
                <w:lang w:eastAsia="en-AU"/>
              </w:rPr>
              <w:t>Base Case</w:t>
            </w:r>
          </w:p>
        </w:tc>
        <w:tc>
          <w:tcPr>
            <w:tcW w:w="1199" w:type="pct"/>
            <w:vAlign w:val="center"/>
            <w:hideMark/>
          </w:tcPr>
          <w:p w14:paraId="656B079E" w14:textId="77777777" w:rsidR="00B91282" w:rsidRDefault="00C160D9" w:rsidP="00982D63">
            <w:pPr>
              <w:spacing w:after="0" w:line="240" w:lineRule="auto"/>
              <w:ind w:right="57"/>
              <w:jc w:val="center"/>
              <w:rPr>
                <w:rFonts w:eastAsia="Times New Roman" w:cs="Segoe UI Light"/>
                <w:color w:val="000000"/>
                <w:sz w:val="18"/>
                <w:lang w:eastAsia="en-AU"/>
              </w:rPr>
            </w:pPr>
            <w:r w:rsidRPr="00A07310">
              <w:rPr>
                <w:rFonts w:eastAsia="Times New Roman" w:cs="Segoe UI Light"/>
                <w:color w:val="000000"/>
                <w:sz w:val="18"/>
                <w:lang w:eastAsia="en-AU"/>
              </w:rPr>
              <w:t xml:space="preserve">See qualitative </w:t>
            </w:r>
          </w:p>
          <w:p w14:paraId="656B079F" w14:textId="77777777" w:rsidR="00C160D9" w:rsidRPr="00A07310" w:rsidRDefault="00C160D9" w:rsidP="00982D63">
            <w:pPr>
              <w:spacing w:after="0" w:line="240" w:lineRule="auto"/>
              <w:ind w:right="57"/>
              <w:jc w:val="center"/>
              <w:rPr>
                <w:rFonts w:eastAsia="Times New Roman" w:cs="Segoe UI Light"/>
                <w:color w:val="000000"/>
                <w:sz w:val="18"/>
                <w:lang w:eastAsia="en-AU"/>
              </w:rPr>
            </w:pPr>
            <w:r w:rsidRPr="00A07310">
              <w:rPr>
                <w:rFonts w:eastAsia="Times New Roman" w:cs="Segoe UI Light"/>
                <w:color w:val="000000"/>
                <w:sz w:val="18"/>
                <w:lang w:eastAsia="en-AU"/>
              </w:rPr>
              <w:t>assessment</w:t>
            </w:r>
          </w:p>
        </w:tc>
        <w:tc>
          <w:tcPr>
            <w:tcW w:w="973" w:type="pct"/>
            <w:vAlign w:val="center"/>
            <w:hideMark/>
          </w:tcPr>
          <w:p w14:paraId="656B07A0"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$46,424,435</w:t>
            </w:r>
          </w:p>
        </w:tc>
        <w:tc>
          <w:tcPr>
            <w:tcW w:w="1058" w:type="pct"/>
            <w:vAlign w:val="center"/>
            <w:hideMark/>
          </w:tcPr>
          <w:p w14:paraId="656B07A1"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$49,018,717</w:t>
            </w:r>
          </w:p>
        </w:tc>
        <w:tc>
          <w:tcPr>
            <w:tcW w:w="1002" w:type="pct"/>
            <w:vAlign w:val="center"/>
            <w:hideMark/>
          </w:tcPr>
          <w:p w14:paraId="656B07A2"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$20,304,944</w:t>
            </w:r>
          </w:p>
        </w:tc>
      </w:tr>
      <w:tr w:rsidR="003E6970" w:rsidRPr="00A07310" w14:paraId="656B07A9" w14:textId="77777777" w:rsidTr="00330499">
        <w:trPr>
          <w:trHeight w:val="270"/>
        </w:trPr>
        <w:tc>
          <w:tcPr>
            <w:tcW w:w="768" w:type="pct"/>
            <w:tcBorders>
              <w:bottom w:val="single" w:sz="4" w:space="0" w:color="000000" w:themeColor="text1"/>
            </w:tcBorders>
            <w:hideMark/>
          </w:tcPr>
          <w:p w14:paraId="656B07A4" w14:textId="77777777" w:rsidR="00C160D9" w:rsidRPr="00A07310" w:rsidRDefault="00C160D9" w:rsidP="004B63C1">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 xml:space="preserve">PV costs to government relative to </w:t>
            </w:r>
            <w:r>
              <w:rPr>
                <w:rFonts w:eastAsia="Times New Roman" w:cs="Segoe UI Light"/>
                <w:color w:val="000000"/>
                <w:sz w:val="18"/>
                <w:lang w:eastAsia="en-AU"/>
              </w:rPr>
              <w:t>Base Case</w:t>
            </w:r>
          </w:p>
        </w:tc>
        <w:tc>
          <w:tcPr>
            <w:tcW w:w="1199" w:type="pct"/>
            <w:hideMark/>
          </w:tcPr>
          <w:p w14:paraId="656B07A5" w14:textId="77777777" w:rsidR="00C160D9" w:rsidRPr="00A07310" w:rsidRDefault="00C160D9" w:rsidP="00982D63">
            <w:pPr>
              <w:spacing w:after="0" w:line="240" w:lineRule="auto"/>
              <w:ind w:right="57"/>
              <w:rPr>
                <w:rFonts w:eastAsia="Times New Roman" w:cs="Segoe UI Light"/>
                <w:color w:val="000000"/>
                <w:sz w:val="18"/>
                <w:lang w:eastAsia="en-AU"/>
              </w:rPr>
            </w:pPr>
          </w:p>
        </w:tc>
        <w:tc>
          <w:tcPr>
            <w:tcW w:w="973" w:type="pct"/>
            <w:tcBorders>
              <w:bottom w:val="single" w:sz="4" w:space="0" w:color="000000" w:themeColor="text1"/>
            </w:tcBorders>
            <w:vAlign w:val="center"/>
            <w:hideMark/>
          </w:tcPr>
          <w:p w14:paraId="656B07A6"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$348,577</w:t>
            </w:r>
          </w:p>
        </w:tc>
        <w:tc>
          <w:tcPr>
            <w:tcW w:w="1058" w:type="pct"/>
            <w:tcBorders>
              <w:bottom w:val="single" w:sz="4" w:space="0" w:color="000000" w:themeColor="text1"/>
            </w:tcBorders>
            <w:vAlign w:val="center"/>
            <w:hideMark/>
          </w:tcPr>
          <w:p w14:paraId="656B07A7"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$348,577</w:t>
            </w:r>
          </w:p>
        </w:tc>
        <w:tc>
          <w:tcPr>
            <w:tcW w:w="1002" w:type="pct"/>
            <w:tcBorders>
              <w:bottom w:val="single" w:sz="4" w:space="0" w:color="000000" w:themeColor="text1"/>
            </w:tcBorders>
            <w:vAlign w:val="center"/>
            <w:hideMark/>
          </w:tcPr>
          <w:p w14:paraId="656B07A8"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$0</w:t>
            </w:r>
          </w:p>
        </w:tc>
      </w:tr>
      <w:tr w:rsidR="003E6970" w:rsidRPr="00A07310" w14:paraId="656B07AF" w14:textId="77777777" w:rsidTr="00330499">
        <w:trPr>
          <w:trHeight w:val="280"/>
        </w:trPr>
        <w:tc>
          <w:tcPr>
            <w:tcW w:w="768" w:type="pct"/>
            <w:tcBorders>
              <w:top w:val="single" w:sz="4" w:space="0" w:color="000000" w:themeColor="text1"/>
              <w:bottom w:val="single" w:sz="18" w:space="0" w:color="000000" w:themeColor="text1"/>
            </w:tcBorders>
            <w:hideMark/>
          </w:tcPr>
          <w:p w14:paraId="656B07AA" w14:textId="77777777" w:rsidR="00C160D9" w:rsidRPr="00A07310" w:rsidRDefault="00C160D9" w:rsidP="004B63C1">
            <w:pPr>
              <w:spacing w:after="0" w:line="240" w:lineRule="auto"/>
              <w:rPr>
                <w:rFonts w:eastAsia="Times New Roman" w:cs="Segoe UI Light"/>
                <w:b/>
                <w:bCs/>
                <w:color w:val="000000"/>
                <w:sz w:val="18"/>
                <w:lang w:eastAsia="en-AU"/>
              </w:rPr>
            </w:pPr>
            <w:r w:rsidRPr="00A07310">
              <w:rPr>
                <w:rFonts w:eastAsia="Times New Roman" w:cs="Segoe UI Light"/>
                <w:b/>
                <w:bCs/>
                <w:color w:val="000000"/>
                <w:sz w:val="18"/>
                <w:lang w:eastAsia="en-AU"/>
              </w:rPr>
              <w:t xml:space="preserve">Present value total costs relative to </w:t>
            </w:r>
            <w:r>
              <w:rPr>
                <w:rFonts w:eastAsia="Times New Roman" w:cs="Segoe UI Light"/>
                <w:b/>
                <w:bCs/>
                <w:color w:val="000000"/>
                <w:sz w:val="18"/>
                <w:lang w:eastAsia="en-AU"/>
              </w:rPr>
              <w:t>Base Case</w:t>
            </w:r>
          </w:p>
        </w:tc>
        <w:tc>
          <w:tcPr>
            <w:tcW w:w="1199" w:type="pct"/>
            <w:hideMark/>
          </w:tcPr>
          <w:p w14:paraId="656B07AB" w14:textId="77777777" w:rsidR="00C160D9" w:rsidRPr="00A07310" w:rsidRDefault="00C160D9" w:rsidP="00982D63">
            <w:pPr>
              <w:spacing w:after="0" w:line="240" w:lineRule="auto"/>
              <w:ind w:right="57"/>
              <w:rPr>
                <w:rFonts w:eastAsia="Times New Roman" w:cs="Segoe UI Light"/>
                <w:color w:val="000000"/>
                <w:sz w:val="18"/>
                <w:lang w:eastAsia="en-AU"/>
              </w:rPr>
            </w:pPr>
          </w:p>
        </w:tc>
        <w:tc>
          <w:tcPr>
            <w:tcW w:w="973" w:type="pct"/>
            <w:tcBorders>
              <w:top w:val="single" w:sz="4" w:space="0" w:color="000000" w:themeColor="text1"/>
              <w:bottom w:val="single" w:sz="18" w:space="0" w:color="000000" w:themeColor="text1"/>
            </w:tcBorders>
            <w:vAlign w:val="center"/>
            <w:hideMark/>
          </w:tcPr>
          <w:p w14:paraId="656B07AC" w14:textId="77777777" w:rsidR="00C160D9" w:rsidRPr="000D1529" w:rsidRDefault="007D2033" w:rsidP="00982D63">
            <w:pPr>
              <w:spacing w:after="0" w:line="240" w:lineRule="auto"/>
              <w:ind w:right="57"/>
              <w:jc w:val="right"/>
              <w:rPr>
                <w:b/>
                <w:sz w:val="18"/>
              </w:rPr>
            </w:pPr>
            <w:r w:rsidRPr="000D1529">
              <w:rPr>
                <w:b/>
                <w:sz w:val="18"/>
              </w:rPr>
              <w:t>$46,773,012</w:t>
            </w:r>
          </w:p>
        </w:tc>
        <w:tc>
          <w:tcPr>
            <w:tcW w:w="1058" w:type="pct"/>
            <w:tcBorders>
              <w:top w:val="single" w:sz="4" w:space="0" w:color="000000" w:themeColor="text1"/>
              <w:bottom w:val="single" w:sz="18" w:space="0" w:color="000000" w:themeColor="text1"/>
            </w:tcBorders>
            <w:vAlign w:val="center"/>
            <w:hideMark/>
          </w:tcPr>
          <w:p w14:paraId="656B07AD" w14:textId="77777777" w:rsidR="00C160D9" w:rsidRPr="000D1529" w:rsidRDefault="007D2033" w:rsidP="00982D63">
            <w:pPr>
              <w:spacing w:after="0" w:line="240" w:lineRule="auto"/>
              <w:ind w:right="57"/>
              <w:jc w:val="right"/>
              <w:rPr>
                <w:b/>
                <w:sz w:val="18"/>
              </w:rPr>
            </w:pPr>
            <w:r w:rsidRPr="000D1529">
              <w:rPr>
                <w:b/>
                <w:sz w:val="18"/>
              </w:rPr>
              <w:t>$49,367,294</w:t>
            </w:r>
          </w:p>
        </w:tc>
        <w:tc>
          <w:tcPr>
            <w:tcW w:w="1002" w:type="pct"/>
            <w:tcBorders>
              <w:top w:val="single" w:sz="4" w:space="0" w:color="000000" w:themeColor="text1"/>
              <w:bottom w:val="single" w:sz="18" w:space="0" w:color="000000" w:themeColor="text1"/>
            </w:tcBorders>
            <w:vAlign w:val="center"/>
            <w:hideMark/>
          </w:tcPr>
          <w:p w14:paraId="656B07AE" w14:textId="77777777" w:rsidR="00C160D9" w:rsidRPr="000D1529" w:rsidRDefault="007D2033" w:rsidP="00982D63">
            <w:pPr>
              <w:spacing w:after="0" w:line="240" w:lineRule="auto"/>
              <w:ind w:right="57"/>
              <w:jc w:val="right"/>
              <w:rPr>
                <w:b/>
                <w:sz w:val="18"/>
              </w:rPr>
            </w:pPr>
            <w:r w:rsidRPr="000D1529">
              <w:rPr>
                <w:b/>
                <w:sz w:val="18"/>
              </w:rPr>
              <w:t>$20,304,944</w:t>
            </w:r>
          </w:p>
        </w:tc>
      </w:tr>
      <w:tr w:rsidR="00C160D9" w:rsidRPr="00A07310" w14:paraId="656B07B1" w14:textId="77777777" w:rsidTr="000D1529">
        <w:trPr>
          <w:trHeight w:val="270"/>
        </w:trPr>
        <w:tc>
          <w:tcPr>
            <w:tcW w:w="5000" w:type="pct"/>
            <w:gridSpan w:val="5"/>
            <w:tcBorders>
              <w:top w:val="single" w:sz="18" w:space="0" w:color="000000" w:themeColor="text1"/>
            </w:tcBorders>
            <w:hideMark/>
          </w:tcPr>
          <w:p w14:paraId="656B07B0" w14:textId="77777777" w:rsidR="00C160D9" w:rsidRPr="00A07310" w:rsidRDefault="00C160D9" w:rsidP="00982D63">
            <w:pPr>
              <w:spacing w:after="0" w:line="240" w:lineRule="auto"/>
              <w:ind w:right="57"/>
              <w:rPr>
                <w:rFonts w:eastAsia="Times New Roman" w:cs="Segoe UI Light"/>
                <w:sz w:val="18"/>
                <w:lang w:eastAsia="en-AU"/>
              </w:rPr>
            </w:pPr>
            <w:r w:rsidRPr="00A07310">
              <w:rPr>
                <w:rFonts w:eastAsia="Times New Roman" w:cs="Segoe UI Light"/>
                <w:b/>
                <w:bCs/>
                <w:color w:val="000000"/>
                <w:sz w:val="18"/>
                <w:lang w:eastAsia="en-AU"/>
              </w:rPr>
              <w:t>Cohort option 2b</w:t>
            </w:r>
            <w:r>
              <w:rPr>
                <w:rFonts w:eastAsia="Times New Roman" w:cs="Segoe UI Light"/>
                <w:b/>
                <w:bCs/>
                <w:color w:val="000000"/>
                <w:sz w:val="18"/>
                <w:lang w:eastAsia="en-AU"/>
              </w:rPr>
              <w:t xml:space="preserve">: </w:t>
            </w:r>
            <w:r w:rsidRPr="00A07310">
              <w:rPr>
                <w:rFonts w:eastAsia="Times New Roman" w:cs="Segoe UI Light"/>
                <w:i/>
                <w:iCs/>
                <w:color w:val="000000"/>
                <w:sz w:val="18"/>
                <w:lang w:eastAsia="en-AU"/>
              </w:rPr>
              <w:t>High hazard only - vehicle permits and transaction controls (very high - high)</w:t>
            </w:r>
          </w:p>
        </w:tc>
      </w:tr>
      <w:tr w:rsidR="003E6970" w:rsidRPr="00A07310" w14:paraId="656B07B7" w14:textId="77777777" w:rsidTr="00330499">
        <w:trPr>
          <w:trHeight w:val="270"/>
        </w:trPr>
        <w:tc>
          <w:tcPr>
            <w:tcW w:w="768" w:type="pct"/>
            <w:hideMark/>
          </w:tcPr>
          <w:p w14:paraId="656B07B2" w14:textId="77777777" w:rsidR="00C160D9" w:rsidRPr="00A07310" w:rsidRDefault="00C160D9" w:rsidP="004B63C1">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 xml:space="preserve">PV costs to business relative to </w:t>
            </w:r>
            <w:r>
              <w:rPr>
                <w:rFonts w:eastAsia="Times New Roman" w:cs="Segoe UI Light"/>
                <w:color w:val="000000"/>
                <w:sz w:val="18"/>
                <w:lang w:eastAsia="en-AU"/>
              </w:rPr>
              <w:t>Base Case</w:t>
            </w:r>
          </w:p>
        </w:tc>
        <w:tc>
          <w:tcPr>
            <w:tcW w:w="1199" w:type="pct"/>
            <w:vAlign w:val="center"/>
            <w:hideMark/>
          </w:tcPr>
          <w:p w14:paraId="656B07B3" w14:textId="77777777" w:rsidR="00C160D9" w:rsidRPr="00A07310" w:rsidRDefault="00C160D9" w:rsidP="00982D63">
            <w:pPr>
              <w:spacing w:after="0" w:line="240" w:lineRule="auto"/>
              <w:ind w:right="57"/>
              <w:jc w:val="center"/>
              <w:rPr>
                <w:rFonts w:eastAsia="Times New Roman" w:cs="Segoe UI Light"/>
                <w:color w:val="000000"/>
                <w:sz w:val="18"/>
                <w:lang w:eastAsia="en-AU"/>
              </w:rPr>
            </w:pPr>
            <w:r w:rsidRPr="00A07310">
              <w:rPr>
                <w:rFonts w:eastAsia="Times New Roman" w:cs="Segoe UI Light"/>
                <w:color w:val="000000"/>
                <w:sz w:val="18"/>
                <w:lang w:eastAsia="en-AU"/>
              </w:rPr>
              <w:t>See qualitative assessment</w:t>
            </w:r>
          </w:p>
        </w:tc>
        <w:tc>
          <w:tcPr>
            <w:tcW w:w="973" w:type="pct"/>
            <w:vAlign w:val="center"/>
            <w:hideMark/>
          </w:tcPr>
          <w:p w14:paraId="656B07B4"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$80,365,923</w:t>
            </w:r>
          </w:p>
        </w:tc>
        <w:tc>
          <w:tcPr>
            <w:tcW w:w="1058" w:type="pct"/>
            <w:vAlign w:val="center"/>
            <w:hideMark/>
          </w:tcPr>
          <w:p w14:paraId="656B07B5"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$82,960,205</w:t>
            </w:r>
          </w:p>
        </w:tc>
        <w:tc>
          <w:tcPr>
            <w:tcW w:w="1002" w:type="pct"/>
            <w:vAlign w:val="center"/>
            <w:hideMark/>
          </w:tcPr>
          <w:p w14:paraId="656B07B6"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$33,657,235</w:t>
            </w:r>
          </w:p>
        </w:tc>
      </w:tr>
      <w:tr w:rsidR="003E6970" w:rsidRPr="00A07310" w14:paraId="656B07BD" w14:textId="77777777" w:rsidTr="00330499">
        <w:trPr>
          <w:trHeight w:val="270"/>
        </w:trPr>
        <w:tc>
          <w:tcPr>
            <w:tcW w:w="768" w:type="pct"/>
            <w:tcBorders>
              <w:bottom w:val="single" w:sz="4" w:space="0" w:color="000000" w:themeColor="text1"/>
            </w:tcBorders>
            <w:hideMark/>
          </w:tcPr>
          <w:p w14:paraId="656B07B8" w14:textId="77777777" w:rsidR="00C160D9" w:rsidRPr="00A07310" w:rsidRDefault="00C160D9" w:rsidP="004B63C1">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 xml:space="preserve">PV costs to government relative to </w:t>
            </w:r>
            <w:r>
              <w:rPr>
                <w:rFonts w:eastAsia="Times New Roman" w:cs="Segoe UI Light"/>
                <w:color w:val="000000"/>
                <w:sz w:val="18"/>
                <w:lang w:eastAsia="en-AU"/>
              </w:rPr>
              <w:t>Base Case</w:t>
            </w:r>
          </w:p>
        </w:tc>
        <w:tc>
          <w:tcPr>
            <w:tcW w:w="1199" w:type="pct"/>
            <w:hideMark/>
          </w:tcPr>
          <w:p w14:paraId="656B07B9" w14:textId="77777777" w:rsidR="00C160D9" w:rsidRPr="00A07310" w:rsidRDefault="00C160D9" w:rsidP="00982D63">
            <w:pPr>
              <w:spacing w:after="0" w:line="240" w:lineRule="auto"/>
              <w:ind w:right="57"/>
              <w:rPr>
                <w:rFonts w:eastAsia="Times New Roman" w:cs="Segoe UI Light"/>
                <w:color w:val="000000"/>
                <w:sz w:val="18"/>
                <w:lang w:eastAsia="en-AU"/>
              </w:rPr>
            </w:pPr>
          </w:p>
        </w:tc>
        <w:tc>
          <w:tcPr>
            <w:tcW w:w="973" w:type="pct"/>
            <w:tcBorders>
              <w:bottom w:val="single" w:sz="4" w:space="0" w:color="000000" w:themeColor="text1"/>
            </w:tcBorders>
            <w:vAlign w:val="center"/>
            <w:hideMark/>
          </w:tcPr>
          <w:p w14:paraId="656B07BA"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$348,577</w:t>
            </w:r>
          </w:p>
        </w:tc>
        <w:tc>
          <w:tcPr>
            <w:tcW w:w="1058" w:type="pct"/>
            <w:tcBorders>
              <w:bottom w:val="single" w:sz="4" w:space="0" w:color="000000" w:themeColor="text1"/>
            </w:tcBorders>
            <w:vAlign w:val="center"/>
            <w:hideMark/>
          </w:tcPr>
          <w:p w14:paraId="656B07BB"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$348,577</w:t>
            </w:r>
          </w:p>
        </w:tc>
        <w:tc>
          <w:tcPr>
            <w:tcW w:w="1002" w:type="pct"/>
            <w:tcBorders>
              <w:bottom w:val="single" w:sz="4" w:space="0" w:color="000000" w:themeColor="text1"/>
            </w:tcBorders>
            <w:vAlign w:val="center"/>
            <w:hideMark/>
          </w:tcPr>
          <w:p w14:paraId="656B07BC"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$0</w:t>
            </w:r>
          </w:p>
        </w:tc>
      </w:tr>
      <w:tr w:rsidR="003E6970" w:rsidRPr="00A07310" w14:paraId="656B07C3" w14:textId="77777777" w:rsidTr="00330499">
        <w:trPr>
          <w:trHeight w:val="280"/>
        </w:trPr>
        <w:tc>
          <w:tcPr>
            <w:tcW w:w="768" w:type="pct"/>
            <w:tcBorders>
              <w:top w:val="single" w:sz="4" w:space="0" w:color="000000" w:themeColor="text1"/>
              <w:bottom w:val="single" w:sz="18" w:space="0" w:color="000000" w:themeColor="text1"/>
            </w:tcBorders>
            <w:hideMark/>
          </w:tcPr>
          <w:p w14:paraId="656B07BE" w14:textId="77777777" w:rsidR="00C160D9" w:rsidRPr="00A07310" w:rsidRDefault="00C160D9" w:rsidP="004B63C1">
            <w:pPr>
              <w:spacing w:after="0" w:line="240" w:lineRule="auto"/>
              <w:rPr>
                <w:rFonts w:eastAsia="Times New Roman" w:cs="Segoe UI Light"/>
                <w:b/>
                <w:bCs/>
                <w:color w:val="000000"/>
                <w:sz w:val="18"/>
                <w:lang w:eastAsia="en-AU"/>
              </w:rPr>
            </w:pPr>
            <w:r w:rsidRPr="00A07310">
              <w:rPr>
                <w:rFonts w:eastAsia="Times New Roman" w:cs="Segoe UI Light"/>
                <w:b/>
                <w:bCs/>
                <w:color w:val="000000"/>
                <w:sz w:val="18"/>
                <w:lang w:eastAsia="en-AU"/>
              </w:rPr>
              <w:t xml:space="preserve">Present value total costs relative to </w:t>
            </w:r>
            <w:r>
              <w:rPr>
                <w:rFonts w:eastAsia="Times New Roman" w:cs="Segoe UI Light"/>
                <w:b/>
                <w:bCs/>
                <w:color w:val="000000"/>
                <w:sz w:val="18"/>
                <w:lang w:eastAsia="en-AU"/>
              </w:rPr>
              <w:t>Base Case</w:t>
            </w:r>
          </w:p>
        </w:tc>
        <w:tc>
          <w:tcPr>
            <w:tcW w:w="1199" w:type="pct"/>
            <w:hideMark/>
          </w:tcPr>
          <w:p w14:paraId="656B07BF" w14:textId="77777777" w:rsidR="00C160D9" w:rsidRPr="00A07310" w:rsidRDefault="00C160D9" w:rsidP="00982D63">
            <w:pPr>
              <w:spacing w:after="0" w:line="240" w:lineRule="auto"/>
              <w:ind w:right="57"/>
              <w:rPr>
                <w:rFonts w:eastAsia="Times New Roman" w:cs="Segoe UI Light"/>
                <w:color w:val="000000"/>
                <w:sz w:val="18"/>
                <w:lang w:eastAsia="en-AU"/>
              </w:rPr>
            </w:pPr>
          </w:p>
        </w:tc>
        <w:tc>
          <w:tcPr>
            <w:tcW w:w="973" w:type="pct"/>
            <w:tcBorders>
              <w:top w:val="single" w:sz="4" w:space="0" w:color="000000" w:themeColor="text1"/>
              <w:bottom w:val="single" w:sz="18" w:space="0" w:color="000000" w:themeColor="text1"/>
            </w:tcBorders>
            <w:vAlign w:val="center"/>
            <w:hideMark/>
          </w:tcPr>
          <w:p w14:paraId="656B07C0" w14:textId="77777777" w:rsidR="00C160D9" w:rsidRPr="000D1529" w:rsidRDefault="007D2033" w:rsidP="00982D63">
            <w:pPr>
              <w:spacing w:after="0" w:line="240" w:lineRule="auto"/>
              <w:ind w:right="57"/>
              <w:jc w:val="right"/>
              <w:rPr>
                <w:b/>
                <w:sz w:val="18"/>
              </w:rPr>
            </w:pPr>
            <w:r w:rsidRPr="000D1529">
              <w:rPr>
                <w:b/>
                <w:sz w:val="18"/>
              </w:rPr>
              <w:t>$80,714,500</w:t>
            </w:r>
          </w:p>
        </w:tc>
        <w:tc>
          <w:tcPr>
            <w:tcW w:w="1058" w:type="pct"/>
            <w:tcBorders>
              <w:top w:val="single" w:sz="4" w:space="0" w:color="000000" w:themeColor="text1"/>
              <w:bottom w:val="single" w:sz="18" w:space="0" w:color="000000" w:themeColor="text1"/>
            </w:tcBorders>
            <w:vAlign w:val="center"/>
            <w:hideMark/>
          </w:tcPr>
          <w:p w14:paraId="656B07C1" w14:textId="77777777" w:rsidR="00C160D9" w:rsidRPr="000D1529" w:rsidRDefault="007D2033" w:rsidP="00982D63">
            <w:pPr>
              <w:spacing w:after="0" w:line="240" w:lineRule="auto"/>
              <w:ind w:right="57"/>
              <w:jc w:val="right"/>
              <w:rPr>
                <w:b/>
                <w:sz w:val="18"/>
              </w:rPr>
            </w:pPr>
            <w:r w:rsidRPr="000D1529">
              <w:rPr>
                <w:b/>
                <w:sz w:val="18"/>
              </w:rPr>
              <w:t>$83,308,782</w:t>
            </w:r>
          </w:p>
        </w:tc>
        <w:tc>
          <w:tcPr>
            <w:tcW w:w="1002" w:type="pct"/>
            <w:tcBorders>
              <w:top w:val="single" w:sz="4" w:space="0" w:color="000000" w:themeColor="text1"/>
              <w:bottom w:val="single" w:sz="18" w:space="0" w:color="000000" w:themeColor="text1"/>
            </w:tcBorders>
            <w:vAlign w:val="center"/>
            <w:hideMark/>
          </w:tcPr>
          <w:p w14:paraId="656B07C2" w14:textId="77777777" w:rsidR="00C160D9" w:rsidRPr="000D1529" w:rsidRDefault="007D2033" w:rsidP="00982D63">
            <w:pPr>
              <w:spacing w:after="0" w:line="240" w:lineRule="auto"/>
              <w:ind w:right="57"/>
              <w:jc w:val="right"/>
              <w:rPr>
                <w:b/>
                <w:sz w:val="18"/>
              </w:rPr>
            </w:pPr>
            <w:r w:rsidRPr="000D1529">
              <w:rPr>
                <w:b/>
                <w:sz w:val="18"/>
              </w:rPr>
              <w:t>$33,657,235</w:t>
            </w:r>
          </w:p>
        </w:tc>
      </w:tr>
      <w:tr w:rsidR="00C160D9" w:rsidRPr="00A07310" w14:paraId="656B07C5" w14:textId="77777777" w:rsidTr="000D1529">
        <w:trPr>
          <w:trHeight w:val="270"/>
        </w:trPr>
        <w:tc>
          <w:tcPr>
            <w:tcW w:w="5000" w:type="pct"/>
            <w:gridSpan w:val="5"/>
            <w:tcBorders>
              <w:top w:val="single" w:sz="18" w:space="0" w:color="000000" w:themeColor="text1"/>
            </w:tcBorders>
            <w:hideMark/>
          </w:tcPr>
          <w:p w14:paraId="656B07C4" w14:textId="77777777" w:rsidR="00C160D9" w:rsidRPr="00A07310" w:rsidRDefault="00C160D9" w:rsidP="00982D63">
            <w:pPr>
              <w:spacing w:after="0" w:line="240" w:lineRule="auto"/>
              <w:ind w:right="57"/>
              <w:rPr>
                <w:rFonts w:eastAsia="Times New Roman" w:cs="Segoe UI Light"/>
                <w:sz w:val="18"/>
                <w:lang w:eastAsia="en-AU"/>
              </w:rPr>
            </w:pPr>
            <w:r w:rsidRPr="00A07310">
              <w:rPr>
                <w:rFonts w:eastAsia="Times New Roman" w:cs="Segoe UI Light"/>
                <w:b/>
                <w:bCs/>
                <w:color w:val="000000"/>
                <w:sz w:val="18"/>
                <w:lang w:eastAsia="en-AU"/>
              </w:rPr>
              <w:t>Cohort option 3</w:t>
            </w:r>
            <w:r>
              <w:rPr>
                <w:rFonts w:eastAsia="Times New Roman" w:cs="Segoe UI Light"/>
                <w:b/>
                <w:bCs/>
                <w:color w:val="000000"/>
                <w:sz w:val="18"/>
                <w:lang w:eastAsia="en-AU"/>
              </w:rPr>
              <w:t xml:space="preserve">: </w:t>
            </w:r>
            <w:r w:rsidRPr="00A07310">
              <w:rPr>
                <w:rFonts w:eastAsia="Times New Roman" w:cs="Segoe UI Light"/>
                <w:i/>
                <w:iCs/>
                <w:color w:val="000000"/>
                <w:sz w:val="18"/>
                <w:lang w:eastAsia="en-AU"/>
              </w:rPr>
              <w:t>Balancing risk and encouraging recovery - vehicle permits (very high - mod), transaction tracking (very high &amp; high, some mod, plastics &amp; e-waste)</w:t>
            </w:r>
          </w:p>
        </w:tc>
      </w:tr>
      <w:tr w:rsidR="003E6970" w:rsidRPr="00A07310" w14:paraId="656B07CB" w14:textId="77777777" w:rsidTr="00330499">
        <w:trPr>
          <w:trHeight w:val="270"/>
        </w:trPr>
        <w:tc>
          <w:tcPr>
            <w:tcW w:w="768" w:type="pct"/>
            <w:hideMark/>
          </w:tcPr>
          <w:p w14:paraId="656B07C6" w14:textId="77777777" w:rsidR="00C160D9" w:rsidRPr="00A07310" w:rsidRDefault="00C160D9" w:rsidP="004B63C1">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 xml:space="preserve">PV costs to business relative to </w:t>
            </w:r>
            <w:r>
              <w:rPr>
                <w:rFonts w:eastAsia="Times New Roman" w:cs="Segoe UI Light"/>
                <w:color w:val="000000"/>
                <w:sz w:val="18"/>
                <w:lang w:eastAsia="en-AU"/>
              </w:rPr>
              <w:t>Base Case</w:t>
            </w:r>
          </w:p>
        </w:tc>
        <w:tc>
          <w:tcPr>
            <w:tcW w:w="1199" w:type="pct"/>
            <w:hideMark/>
          </w:tcPr>
          <w:p w14:paraId="656B07C7" w14:textId="77777777" w:rsidR="00C160D9" w:rsidRPr="00A07310" w:rsidRDefault="00C160D9" w:rsidP="00982D63">
            <w:pPr>
              <w:spacing w:after="0" w:line="240" w:lineRule="auto"/>
              <w:ind w:right="57"/>
              <w:rPr>
                <w:rFonts w:eastAsia="Times New Roman" w:cs="Segoe UI Light"/>
                <w:color w:val="000000"/>
                <w:sz w:val="18"/>
                <w:lang w:eastAsia="en-AU"/>
              </w:rPr>
            </w:pPr>
          </w:p>
        </w:tc>
        <w:tc>
          <w:tcPr>
            <w:tcW w:w="973" w:type="pct"/>
            <w:hideMark/>
          </w:tcPr>
          <w:p w14:paraId="656B07C8"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$246,478,011</w:t>
            </w:r>
          </w:p>
        </w:tc>
        <w:tc>
          <w:tcPr>
            <w:tcW w:w="1058" w:type="pct"/>
            <w:hideMark/>
          </w:tcPr>
          <w:p w14:paraId="656B07C9"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$250,428,466</w:t>
            </w:r>
          </w:p>
        </w:tc>
        <w:tc>
          <w:tcPr>
            <w:tcW w:w="1002" w:type="pct"/>
            <w:hideMark/>
          </w:tcPr>
          <w:p w14:paraId="656B07CA"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$107,174,056</w:t>
            </w:r>
          </w:p>
        </w:tc>
      </w:tr>
      <w:tr w:rsidR="003E6970" w:rsidRPr="00A07310" w14:paraId="656B07D1" w14:textId="77777777" w:rsidTr="00330499">
        <w:trPr>
          <w:trHeight w:val="270"/>
        </w:trPr>
        <w:tc>
          <w:tcPr>
            <w:tcW w:w="768" w:type="pct"/>
            <w:tcBorders>
              <w:bottom w:val="single" w:sz="4" w:space="0" w:color="000000" w:themeColor="text1"/>
            </w:tcBorders>
            <w:hideMark/>
          </w:tcPr>
          <w:p w14:paraId="656B07CC" w14:textId="77777777" w:rsidR="00C160D9" w:rsidRPr="00A07310" w:rsidRDefault="00C160D9" w:rsidP="004B63C1">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 xml:space="preserve">PV costs to government relative to </w:t>
            </w:r>
            <w:r>
              <w:rPr>
                <w:rFonts w:eastAsia="Times New Roman" w:cs="Segoe UI Light"/>
                <w:color w:val="000000"/>
                <w:sz w:val="18"/>
                <w:lang w:eastAsia="en-AU"/>
              </w:rPr>
              <w:t>Base Case</w:t>
            </w:r>
          </w:p>
        </w:tc>
        <w:tc>
          <w:tcPr>
            <w:tcW w:w="1199" w:type="pct"/>
            <w:tcBorders>
              <w:bottom w:val="single" w:sz="4" w:space="0" w:color="000000" w:themeColor="text1"/>
            </w:tcBorders>
            <w:hideMark/>
          </w:tcPr>
          <w:p w14:paraId="656B07CD" w14:textId="77777777" w:rsidR="00C160D9" w:rsidRPr="000D1529" w:rsidRDefault="00C160D9" w:rsidP="00982D63">
            <w:pPr>
              <w:spacing w:after="0" w:line="240" w:lineRule="auto"/>
              <w:ind w:right="57"/>
              <w:jc w:val="right"/>
              <w:rPr>
                <w:rFonts w:eastAsia="Times New Roman" w:cs="Segoe UI Light"/>
                <w:color w:val="000000"/>
                <w:sz w:val="18"/>
                <w:lang w:eastAsia="en-AU"/>
              </w:rPr>
            </w:pPr>
          </w:p>
        </w:tc>
        <w:tc>
          <w:tcPr>
            <w:tcW w:w="973" w:type="pct"/>
            <w:tcBorders>
              <w:bottom w:val="single" w:sz="4" w:space="0" w:color="000000" w:themeColor="text1"/>
            </w:tcBorders>
            <w:vAlign w:val="center"/>
            <w:hideMark/>
          </w:tcPr>
          <w:p w14:paraId="656B07CE"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$1,859,077</w:t>
            </w:r>
          </w:p>
        </w:tc>
        <w:tc>
          <w:tcPr>
            <w:tcW w:w="1058" w:type="pct"/>
            <w:tcBorders>
              <w:bottom w:val="single" w:sz="4" w:space="0" w:color="000000" w:themeColor="text1"/>
            </w:tcBorders>
            <w:vAlign w:val="center"/>
            <w:hideMark/>
          </w:tcPr>
          <w:p w14:paraId="656B07CF"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$1,859,077</w:t>
            </w:r>
          </w:p>
        </w:tc>
        <w:tc>
          <w:tcPr>
            <w:tcW w:w="1002" w:type="pct"/>
            <w:tcBorders>
              <w:bottom w:val="single" w:sz="4" w:space="0" w:color="000000" w:themeColor="text1"/>
            </w:tcBorders>
            <w:vAlign w:val="center"/>
            <w:hideMark/>
          </w:tcPr>
          <w:p w14:paraId="656B07D0" w14:textId="77777777" w:rsidR="00C160D9" w:rsidRPr="000D1529" w:rsidRDefault="007D2033" w:rsidP="00982D63">
            <w:pPr>
              <w:spacing w:after="0" w:line="240" w:lineRule="auto"/>
              <w:ind w:right="57"/>
              <w:jc w:val="right"/>
              <w:rPr>
                <w:rFonts w:eastAsia="Times New Roman" w:cs="Segoe UI Light"/>
                <w:color w:val="000000"/>
                <w:sz w:val="18"/>
                <w:lang w:eastAsia="en-AU"/>
              </w:rPr>
            </w:pPr>
            <w:r w:rsidRPr="000D1529">
              <w:rPr>
                <w:sz w:val="18"/>
              </w:rPr>
              <w:t>$0</w:t>
            </w:r>
          </w:p>
        </w:tc>
      </w:tr>
      <w:tr w:rsidR="003E6970" w:rsidRPr="00A07310" w14:paraId="656B07D7" w14:textId="77777777" w:rsidTr="00330499">
        <w:trPr>
          <w:trHeight w:val="280"/>
        </w:trPr>
        <w:tc>
          <w:tcPr>
            <w:tcW w:w="768" w:type="pct"/>
            <w:tcBorders>
              <w:top w:val="single" w:sz="4" w:space="0" w:color="000000" w:themeColor="text1"/>
              <w:bottom w:val="single" w:sz="18" w:space="0" w:color="000000" w:themeColor="text1"/>
            </w:tcBorders>
            <w:hideMark/>
          </w:tcPr>
          <w:p w14:paraId="656B07D2" w14:textId="77777777" w:rsidR="00C160D9" w:rsidRPr="00A07310" w:rsidRDefault="00C160D9" w:rsidP="004B63C1">
            <w:pPr>
              <w:spacing w:after="0" w:line="240" w:lineRule="auto"/>
              <w:rPr>
                <w:rFonts w:eastAsia="Times New Roman" w:cs="Segoe UI Light"/>
                <w:b/>
                <w:bCs/>
                <w:color w:val="000000"/>
                <w:sz w:val="18"/>
                <w:lang w:eastAsia="en-AU"/>
              </w:rPr>
            </w:pPr>
            <w:r w:rsidRPr="00A07310">
              <w:rPr>
                <w:rFonts w:eastAsia="Times New Roman" w:cs="Segoe UI Light"/>
                <w:b/>
                <w:bCs/>
                <w:color w:val="000000"/>
                <w:sz w:val="18"/>
                <w:lang w:eastAsia="en-AU"/>
              </w:rPr>
              <w:t xml:space="preserve">Present value total costs relative to </w:t>
            </w:r>
            <w:r>
              <w:rPr>
                <w:rFonts w:eastAsia="Times New Roman" w:cs="Segoe UI Light"/>
                <w:b/>
                <w:bCs/>
                <w:color w:val="000000"/>
                <w:sz w:val="18"/>
                <w:lang w:eastAsia="en-AU"/>
              </w:rPr>
              <w:t>Base Case</w:t>
            </w:r>
          </w:p>
        </w:tc>
        <w:tc>
          <w:tcPr>
            <w:tcW w:w="1199" w:type="pct"/>
            <w:tcBorders>
              <w:top w:val="single" w:sz="4" w:space="0" w:color="000000" w:themeColor="text1"/>
              <w:bottom w:val="single" w:sz="18" w:space="0" w:color="000000" w:themeColor="text1"/>
            </w:tcBorders>
            <w:hideMark/>
          </w:tcPr>
          <w:p w14:paraId="656B07D3" w14:textId="77777777" w:rsidR="00C160D9" w:rsidRPr="000D1529" w:rsidRDefault="00C160D9" w:rsidP="000D1529">
            <w:pPr>
              <w:spacing w:after="0" w:line="240" w:lineRule="auto"/>
              <w:jc w:val="right"/>
              <w:rPr>
                <w:rFonts w:eastAsia="Times New Roman" w:cs="Segoe UI Light"/>
                <w:color w:val="000000"/>
                <w:sz w:val="18"/>
                <w:lang w:eastAsia="en-AU"/>
              </w:rPr>
            </w:pPr>
          </w:p>
        </w:tc>
        <w:tc>
          <w:tcPr>
            <w:tcW w:w="973" w:type="pct"/>
            <w:tcBorders>
              <w:top w:val="single" w:sz="4" w:space="0" w:color="000000" w:themeColor="text1"/>
              <w:bottom w:val="single" w:sz="18" w:space="0" w:color="000000" w:themeColor="text1"/>
            </w:tcBorders>
            <w:vAlign w:val="center"/>
            <w:hideMark/>
          </w:tcPr>
          <w:p w14:paraId="656B07D4" w14:textId="77777777" w:rsidR="00C160D9" w:rsidRPr="000D1529" w:rsidRDefault="007D2033" w:rsidP="00982D63">
            <w:pPr>
              <w:spacing w:after="0" w:line="240" w:lineRule="auto"/>
              <w:ind w:right="57"/>
              <w:jc w:val="right"/>
              <w:rPr>
                <w:b/>
                <w:sz w:val="18"/>
              </w:rPr>
            </w:pPr>
            <w:r w:rsidRPr="000D1529">
              <w:rPr>
                <w:b/>
                <w:sz w:val="18"/>
              </w:rPr>
              <w:t>$248,337,088</w:t>
            </w:r>
          </w:p>
        </w:tc>
        <w:tc>
          <w:tcPr>
            <w:tcW w:w="1058" w:type="pct"/>
            <w:tcBorders>
              <w:top w:val="single" w:sz="4" w:space="0" w:color="000000" w:themeColor="text1"/>
              <w:bottom w:val="single" w:sz="18" w:space="0" w:color="000000" w:themeColor="text1"/>
            </w:tcBorders>
            <w:vAlign w:val="center"/>
            <w:hideMark/>
          </w:tcPr>
          <w:p w14:paraId="656B07D5" w14:textId="77777777" w:rsidR="00C160D9" w:rsidRPr="000D1529" w:rsidRDefault="007D2033" w:rsidP="00982D63">
            <w:pPr>
              <w:spacing w:after="0" w:line="240" w:lineRule="auto"/>
              <w:ind w:right="57"/>
              <w:jc w:val="right"/>
              <w:rPr>
                <w:b/>
                <w:sz w:val="18"/>
              </w:rPr>
            </w:pPr>
            <w:r w:rsidRPr="000D1529">
              <w:rPr>
                <w:b/>
                <w:sz w:val="18"/>
              </w:rPr>
              <w:t>$252,287,543</w:t>
            </w:r>
          </w:p>
        </w:tc>
        <w:tc>
          <w:tcPr>
            <w:tcW w:w="1002" w:type="pct"/>
            <w:tcBorders>
              <w:top w:val="single" w:sz="4" w:space="0" w:color="000000" w:themeColor="text1"/>
              <w:bottom w:val="single" w:sz="18" w:space="0" w:color="000000" w:themeColor="text1"/>
            </w:tcBorders>
            <w:vAlign w:val="center"/>
            <w:hideMark/>
          </w:tcPr>
          <w:p w14:paraId="656B07D6" w14:textId="77777777" w:rsidR="00C160D9" w:rsidRPr="000D1529" w:rsidRDefault="007D2033" w:rsidP="00982D63">
            <w:pPr>
              <w:spacing w:after="0" w:line="240" w:lineRule="auto"/>
              <w:ind w:right="57"/>
              <w:jc w:val="right"/>
              <w:rPr>
                <w:b/>
                <w:sz w:val="18"/>
              </w:rPr>
            </w:pPr>
            <w:r w:rsidRPr="000D1529">
              <w:rPr>
                <w:b/>
                <w:sz w:val="18"/>
              </w:rPr>
              <w:t>$107,174,056</w:t>
            </w:r>
          </w:p>
        </w:tc>
      </w:tr>
    </w:tbl>
    <w:p w14:paraId="656B07D8" w14:textId="77777777" w:rsidR="00C160D9" w:rsidRDefault="00C160D9" w:rsidP="00C160D9"/>
    <w:p w14:paraId="656B07D9" w14:textId="77777777" w:rsidR="00213E13" w:rsidRDefault="00213E13" w:rsidP="000D1529">
      <w:pPr>
        <w:pStyle w:val="Heading3"/>
        <w:ind w:left="720"/>
      </w:pPr>
      <w:r>
        <w:t xml:space="preserve">MCA summary </w:t>
      </w:r>
      <w:r w:rsidR="00457DB8">
        <w:t xml:space="preserve">and </w:t>
      </w:r>
      <w:r>
        <w:t>preferred option</w:t>
      </w:r>
    </w:p>
    <w:p w14:paraId="656B07DA" w14:textId="77777777" w:rsidR="00457DB8" w:rsidRPr="00457DB8" w:rsidRDefault="00457DB8" w:rsidP="00457DB8">
      <w:r>
        <w:rPr>
          <w:i/>
        </w:rPr>
        <w:t>Cohort options</w:t>
      </w:r>
    </w:p>
    <w:p w14:paraId="656B07DB" w14:textId="77777777" w:rsidR="00213E13" w:rsidRDefault="00213E13" w:rsidP="000E7C5E">
      <w:pPr>
        <w:pStyle w:val="Bullet1"/>
        <w:spacing w:after="240"/>
        <w:ind w:left="0" w:firstLine="0"/>
      </w:pPr>
      <w:r>
        <w:t>The MCA results</w:t>
      </w:r>
      <w:r w:rsidR="006F071A">
        <w:t xml:space="preserve"> below</w:t>
      </w:r>
      <w:r>
        <w:t xml:space="preserve"> </w:t>
      </w:r>
      <w:r w:rsidR="00676531">
        <w:t xml:space="preserve">demonstrate </w:t>
      </w:r>
      <w:r>
        <w:t xml:space="preserve">that </w:t>
      </w:r>
      <w:r w:rsidR="00676531">
        <w:t>O</w:t>
      </w:r>
      <w:r>
        <w:t>ption 1 has the highest overall score and is therefore the preferred option.</w:t>
      </w:r>
    </w:p>
    <w:p w14:paraId="656B07DC" w14:textId="77777777" w:rsidR="00213E13" w:rsidRPr="007E1BBC" w:rsidRDefault="00213E13" w:rsidP="000E7C5E">
      <w:pPr>
        <w:pStyle w:val="2Source"/>
        <w:spacing w:after="120"/>
        <w:rPr>
          <w:szCs w:val="20"/>
        </w:rPr>
      </w:pPr>
      <w:r w:rsidRPr="00827D05">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12</w:t>
      </w:r>
      <w:r w:rsidR="00997CFA">
        <w:rPr>
          <w:color w:val="2B579A"/>
          <w:shd w:val="clear" w:color="auto" w:fill="E6E6E6"/>
        </w:rPr>
        <w:fldChar w:fldCharType="end"/>
      </w:r>
      <w:r w:rsidRPr="00827D05">
        <w:rPr>
          <w:szCs w:val="20"/>
        </w:rPr>
        <w:t xml:space="preserve"> </w:t>
      </w:r>
      <w:r>
        <w:rPr>
          <w:szCs w:val="20"/>
        </w:rPr>
        <w:t>Multi-criteria analysis</w:t>
      </w:r>
      <w:r w:rsidRPr="00827D05">
        <w:rPr>
          <w:szCs w:val="20"/>
        </w:rPr>
        <w:t xml:space="preserve"> </w:t>
      </w:r>
      <w:r>
        <w:rPr>
          <w:szCs w:val="20"/>
        </w:rPr>
        <w:t>for reportable priority waste cohort options</w:t>
      </w:r>
    </w:p>
    <w:tbl>
      <w:tblPr>
        <w:tblStyle w:val="Deloittetable"/>
        <w:tblW w:w="5000" w:type="pct"/>
        <w:tblLook w:val="04A0" w:firstRow="1" w:lastRow="0" w:firstColumn="1" w:lastColumn="0" w:noHBand="0" w:noVBand="1"/>
      </w:tblPr>
      <w:tblGrid>
        <w:gridCol w:w="2128"/>
        <w:gridCol w:w="1661"/>
        <w:gridCol w:w="2129"/>
        <w:gridCol w:w="1777"/>
        <w:gridCol w:w="1660"/>
      </w:tblGrid>
      <w:tr w:rsidR="00213E13" w:rsidRPr="00A07310" w14:paraId="656B07E2" w14:textId="77777777" w:rsidTr="000D1529">
        <w:trPr>
          <w:cnfStyle w:val="100000000000" w:firstRow="1" w:lastRow="0" w:firstColumn="0" w:lastColumn="0" w:oddVBand="0" w:evenVBand="0" w:oddHBand="0" w:evenHBand="0" w:firstRowFirstColumn="0" w:firstRowLastColumn="0" w:lastRowFirstColumn="0" w:lastRowLastColumn="0"/>
          <w:trHeight w:val="270"/>
          <w:tblHeader/>
        </w:trPr>
        <w:tc>
          <w:tcPr>
            <w:tcW w:w="0" w:type="pct"/>
            <w:tcBorders>
              <w:bottom w:val="nil"/>
            </w:tcBorders>
            <w:noWrap/>
            <w:hideMark/>
          </w:tcPr>
          <w:p w14:paraId="656B07DD" w14:textId="77777777" w:rsidR="00213E13" w:rsidRPr="000D1529" w:rsidRDefault="00CC55BE" w:rsidP="00F34DF6">
            <w:pPr>
              <w:spacing w:after="0" w:line="240" w:lineRule="auto"/>
              <w:rPr>
                <w:rFonts w:eastAsia="Times New Roman" w:cs="Segoe UI Light"/>
                <w:sz w:val="18"/>
                <w:szCs w:val="24"/>
                <w:lang w:eastAsia="en-AU"/>
              </w:rPr>
            </w:pPr>
            <w:r w:rsidRPr="000D1529">
              <w:rPr>
                <w:rFonts w:eastAsia="Times New Roman" w:cs="Segoe UI Light"/>
                <w:b/>
                <w:bCs/>
                <w:color w:val="000000"/>
                <w:sz w:val="18"/>
                <w:szCs w:val="16"/>
                <w:lang w:eastAsia="en-AU"/>
              </w:rPr>
              <w:t>Criteria</w:t>
            </w:r>
            <w:r w:rsidR="00467705" w:rsidRPr="000D1529">
              <w:rPr>
                <w:rFonts w:eastAsia="Times New Roman" w:cs="Segoe UI Light"/>
                <w:b/>
                <w:bCs/>
                <w:color w:val="000000"/>
                <w:sz w:val="18"/>
                <w:szCs w:val="16"/>
                <w:lang w:eastAsia="en-AU"/>
              </w:rPr>
              <w:t xml:space="preserve"> (and weight)</w:t>
            </w:r>
          </w:p>
        </w:tc>
        <w:tc>
          <w:tcPr>
            <w:tcW w:w="0" w:type="pct"/>
            <w:tcBorders>
              <w:bottom w:val="nil"/>
            </w:tcBorders>
            <w:noWrap/>
            <w:hideMark/>
          </w:tcPr>
          <w:p w14:paraId="656B07DE" w14:textId="77777777" w:rsidR="00213E13" w:rsidRPr="000D1529" w:rsidRDefault="00213E13" w:rsidP="00AB166C">
            <w:pPr>
              <w:spacing w:after="0" w:line="240" w:lineRule="auto"/>
              <w:ind w:right="57"/>
              <w:jc w:val="right"/>
              <w:rPr>
                <w:rFonts w:eastAsia="Times New Roman" w:cs="Segoe UI Light"/>
                <w:b/>
                <w:bCs/>
                <w:color w:val="000000"/>
                <w:sz w:val="18"/>
                <w:szCs w:val="16"/>
                <w:lang w:eastAsia="en-AU"/>
              </w:rPr>
            </w:pPr>
            <w:r w:rsidRPr="000D1529">
              <w:rPr>
                <w:rFonts w:eastAsia="Times New Roman" w:cs="Segoe UI Light"/>
                <w:b/>
                <w:bCs/>
                <w:color w:val="000000"/>
                <w:sz w:val="18"/>
                <w:szCs w:val="16"/>
                <w:lang w:eastAsia="en-AU"/>
              </w:rPr>
              <w:t>Cohort option 1</w:t>
            </w:r>
          </w:p>
        </w:tc>
        <w:tc>
          <w:tcPr>
            <w:tcW w:w="0" w:type="pct"/>
            <w:tcBorders>
              <w:bottom w:val="nil"/>
            </w:tcBorders>
            <w:noWrap/>
            <w:hideMark/>
          </w:tcPr>
          <w:p w14:paraId="656B07DF" w14:textId="77777777" w:rsidR="00213E13" w:rsidRPr="000D1529" w:rsidRDefault="00213E13" w:rsidP="00AB166C">
            <w:pPr>
              <w:spacing w:after="0" w:line="240" w:lineRule="auto"/>
              <w:ind w:right="57"/>
              <w:jc w:val="right"/>
              <w:rPr>
                <w:rFonts w:eastAsia="Times New Roman" w:cs="Segoe UI Light"/>
                <w:b/>
                <w:bCs/>
                <w:color w:val="000000"/>
                <w:sz w:val="18"/>
                <w:szCs w:val="16"/>
                <w:lang w:eastAsia="en-AU"/>
              </w:rPr>
            </w:pPr>
            <w:r w:rsidRPr="000D1529">
              <w:rPr>
                <w:rFonts w:eastAsia="Times New Roman" w:cs="Segoe UI Light"/>
                <w:b/>
                <w:bCs/>
                <w:color w:val="000000"/>
                <w:sz w:val="18"/>
                <w:szCs w:val="16"/>
                <w:lang w:eastAsia="en-AU"/>
              </w:rPr>
              <w:t>Cohort option 2a</w:t>
            </w:r>
          </w:p>
        </w:tc>
        <w:tc>
          <w:tcPr>
            <w:tcW w:w="0" w:type="pct"/>
            <w:tcBorders>
              <w:bottom w:val="nil"/>
            </w:tcBorders>
            <w:noWrap/>
            <w:hideMark/>
          </w:tcPr>
          <w:p w14:paraId="656B07E0" w14:textId="77777777" w:rsidR="00213E13" w:rsidRPr="000D1529" w:rsidRDefault="00213E13" w:rsidP="00AB166C">
            <w:pPr>
              <w:spacing w:after="0" w:line="240" w:lineRule="auto"/>
              <w:ind w:right="57"/>
              <w:jc w:val="right"/>
              <w:rPr>
                <w:rFonts w:eastAsia="Times New Roman" w:cs="Segoe UI Light"/>
                <w:b/>
                <w:bCs/>
                <w:color w:val="000000"/>
                <w:sz w:val="18"/>
                <w:szCs w:val="16"/>
                <w:lang w:eastAsia="en-AU"/>
              </w:rPr>
            </w:pPr>
            <w:r w:rsidRPr="000D1529">
              <w:rPr>
                <w:rFonts w:eastAsia="Times New Roman" w:cs="Segoe UI Light"/>
                <w:b/>
                <w:bCs/>
                <w:color w:val="000000"/>
                <w:sz w:val="18"/>
                <w:szCs w:val="16"/>
                <w:lang w:eastAsia="en-AU"/>
              </w:rPr>
              <w:t>Cohort option 2b</w:t>
            </w:r>
          </w:p>
        </w:tc>
        <w:tc>
          <w:tcPr>
            <w:tcW w:w="0" w:type="pct"/>
            <w:tcBorders>
              <w:bottom w:val="nil"/>
            </w:tcBorders>
            <w:noWrap/>
            <w:hideMark/>
          </w:tcPr>
          <w:p w14:paraId="656B07E1" w14:textId="77777777" w:rsidR="00213E13" w:rsidRPr="000D1529" w:rsidRDefault="00213E13" w:rsidP="00AB166C">
            <w:pPr>
              <w:spacing w:after="0" w:line="240" w:lineRule="auto"/>
              <w:ind w:right="57"/>
              <w:jc w:val="right"/>
              <w:rPr>
                <w:rFonts w:eastAsia="Times New Roman" w:cs="Segoe UI Light"/>
                <w:b/>
                <w:bCs/>
                <w:color w:val="000000"/>
                <w:sz w:val="18"/>
                <w:szCs w:val="16"/>
                <w:lang w:eastAsia="en-AU"/>
              </w:rPr>
            </w:pPr>
            <w:r w:rsidRPr="000D1529">
              <w:rPr>
                <w:rFonts w:eastAsia="Times New Roman" w:cs="Segoe UI Light"/>
                <w:b/>
                <w:bCs/>
                <w:color w:val="000000"/>
                <w:sz w:val="18"/>
                <w:szCs w:val="16"/>
                <w:lang w:eastAsia="en-AU"/>
              </w:rPr>
              <w:t>Cohort option 3</w:t>
            </w:r>
          </w:p>
        </w:tc>
      </w:tr>
      <w:tr w:rsidR="00213E13" w:rsidRPr="00A07310" w14:paraId="656B07E8" w14:textId="77777777" w:rsidTr="000D1529">
        <w:trPr>
          <w:trHeight w:val="1410"/>
        </w:trPr>
        <w:tc>
          <w:tcPr>
            <w:tcW w:w="0" w:type="pct"/>
            <w:tcBorders>
              <w:top w:val="nil"/>
            </w:tcBorders>
            <w:noWrap/>
            <w:hideMark/>
          </w:tcPr>
          <w:p w14:paraId="656B07E3" w14:textId="77777777" w:rsidR="00213E13" w:rsidRPr="000D1529" w:rsidRDefault="00213E13" w:rsidP="00F34DF6">
            <w:pPr>
              <w:spacing w:after="0" w:line="240" w:lineRule="auto"/>
              <w:rPr>
                <w:rFonts w:eastAsia="Times New Roman" w:cs="Segoe UI Light"/>
                <w:b/>
                <w:bCs/>
                <w:color w:val="000000"/>
                <w:sz w:val="18"/>
                <w:szCs w:val="16"/>
                <w:lang w:eastAsia="en-AU"/>
              </w:rPr>
            </w:pPr>
          </w:p>
        </w:tc>
        <w:tc>
          <w:tcPr>
            <w:tcW w:w="0" w:type="pct"/>
            <w:tcBorders>
              <w:top w:val="nil"/>
            </w:tcBorders>
            <w:hideMark/>
          </w:tcPr>
          <w:p w14:paraId="656B07E4" w14:textId="77777777" w:rsidR="00213E13" w:rsidRPr="00A07310" w:rsidRDefault="00213E13" w:rsidP="00AB166C">
            <w:pPr>
              <w:spacing w:after="0" w:line="240" w:lineRule="auto"/>
              <w:ind w:right="57"/>
              <w:jc w:val="right"/>
              <w:rPr>
                <w:rFonts w:eastAsia="Times New Roman" w:cs="Segoe UI Light"/>
                <w:color w:val="000000"/>
                <w:sz w:val="16"/>
                <w:szCs w:val="16"/>
                <w:lang w:eastAsia="en-AU"/>
              </w:rPr>
            </w:pPr>
            <w:r w:rsidRPr="00A07310">
              <w:rPr>
                <w:rFonts w:eastAsia="Times New Roman" w:cs="Segoe UI Light"/>
                <w:color w:val="000000"/>
                <w:sz w:val="16"/>
                <w:szCs w:val="16"/>
                <w:lang w:eastAsia="en-AU"/>
              </w:rPr>
              <w:t>Balancing risk - vehicle permits (very high - mod), transaction tracking (very high &amp; high)</w:t>
            </w:r>
          </w:p>
        </w:tc>
        <w:tc>
          <w:tcPr>
            <w:tcW w:w="0" w:type="pct"/>
            <w:tcBorders>
              <w:top w:val="nil"/>
            </w:tcBorders>
            <w:hideMark/>
          </w:tcPr>
          <w:p w14:paraId="656B07E5" w14:textId="77777777" w:rsidR="00213E13" w:rsidRPr="00A07310" w:rsidRDefault="00213E13" w:rsidP="00AB166C">
            <w:pPr>
              <w:spacing w:after="0" w:line="240" w:lineRule="auto"/>
              <w:ind w:right="57"/>
              <w:jc w:val="right"/>
              <w:rPr>
                <w:rFonts w:eastAsia="Times New Roman" w:cs="Segoe UI Light"/>
                <w:color w:val="000000"/>
                <w:sz w:val="16"/>
                <w:szCs w:val="16"/>
                <w:lang w:eastAsia="en-AU"/>
              </w:rPr>
            </w:pPr>
            <w:r w:rsidRPr="00A07310">
              <w:rPr>
                <w:rFonts w:eastAsia="Times New Roman" w:cs="Segoe UI Light"/>
                <w:color w:val="000000"/>
                <w:sz w:val="16"/>
                <w:szCs w:val="16"/>
                <w:lang w:eastAsia="en-AU"/>
              </w:rPr>
              <w:t xml:space="preserve">High hazard only - </w:t>
            </w:r>
            <w:r w:rsidR="002C669A">
              <w:rPr>
                <w:rFonts w:eastAsia="Times New Roman" w:cs="Segoe UI Light"/>
                <w:color w:val="000000"/>
                <w:sz w:val="16"/>
                <w:szCs w:val="16"/>
                <w:lang w:eastAsia="en-AU"/>
              </w:rPr>
              <w:t xml:space="preserve">  </w:t>
            </w:r>
            <w:r w:rsidRPr="00A07310">
              <w:rPr>
                <w:rFonts w:eastAsia="Times New Roman" w:cs="Segoe UI Light"/>
                <w:color w:val="000000"/>
                <w:sz w:val="16"/>
                <w:szCs w:val="16"/>
                <w:lang w:eastAsia="en-AU"/>
              </w:rPr>
              <w:t>vehicle permits (very high - high), transaction tracking (very high &amp; high that are dumped/</w:t>
            </w:r>
            <w:r>
              <w:rPr>
                <w:rFonts w:eastAsia="Times New Roman" w:cs="Segoe UI Light"/>
                <w:color w:val="000000"/>
                <w:sz w:val="16"/>
                <w:szCs w:val="16"/>
                <w:lang w:eastAsia="en-AU"/>
              </w:rPr>
              <w:t xml:space="preserve"> </w:t>
            </w:r>
            <w:r w:rsidRPr="00A07310">
              <w:rPr>
                <w:rFonts w:eastAsia="Times New Roman" w:cs="Segoe UI Light"/>
                <w:color w:val="000000"/>
                <w:sz w:val="16"/>
                <w:szCs w:val="16"/>
                <w:lang w:eastAsia="en-AU"/>
              </w:rPr>
              <w:t>disappearing)</w:t>
            </w:r>
          </w:p>
        </w:tc>
        <w:tc>
          <w:tcPr>
            <w:tcW w:w="0" w:type="pct"/>
            <w:tcBorders>
              <w:top w:val="nil"/>
            </w:tcBorders>
            <w:hideMark/>
          </w:tcPr>
          <w:p w14:paraId="656B07E6" w14:textId="77777777" w:rsidR="00213E13" w:rsidRPr="00A07310" w:rsidRDefault="00213E13" w:rsidP="00AB166C">
            <w:pPr>
              <w:spacing w:after="0" w:line="240" w:lineRule="auto"/>
              <w:ind w:right="57"/>
              <w:jc w:val="right"/>
              <w:rPr>
                <w:rFonts w:eastAsia="Times New Roman" w:cs="Segoe UI Light"/>
                <w:color w:val="000000"/>
                <w:sz w:val="16"/>
                <w:szCs w:val="16"/>
                <w:lang w:eastAsia="en-AU"/>
              </w:rPr>
            </w:pPr>
            <w:r w:rsidRPr="00A07310">
              <w:rPr>
                <w:rFonts w:eastAsia="Times New Roman" w:cs="Segoe UI Light"/>
                <w:color w:val="000000"/>
                <w:sz w:val="16"/>
                <w:szCs w:val="16"/>
                <w:lang w:eastAsia="en-AU"/>
              </w:rPr>
              <w:t xml:space="preserve">High hazard only - </w:t>
            </w:r>
            <w:r w:rsidR="002C669A">
              <w:rPr>
                <w:rFonts w:eastAsia="Times New Roman" w:cs="Segoe UI Light"/>
                <w:color w:val="000000"/>
                <w:sz w:val="16"/>
                <w:szCs w:val="16"/>
                <w:lang w:eastAsia="en-AU"/>
              </w:rPr>
              <w:t xml:space="preserve"> </w:t>
            </w:r>
            <w:r w:rsidRPr="00A07310">
              <w:rPr>
                <w:rFonts w:eastAsia="Times New Roman" w:cs="Segoe UI Light"/>
                <w:color w:val="000000"/>
                <w:sz w:val="16"/>
                <w:szCs w:val="16"/>
                <w:lang w:eastAsia="en-AU"/>
              </w:rPr>
              <w:t xml:space="preserve">vehicle permits and transaction controls </w:t>
            </w:r>
            <w:r w:rsidR="002C669A">
              <w:rPr>
                <w:rFonts w:eastAsia="Times New Roman" w:cs="Segoe UI Light"/>
                <w:color w:val="000000"/>
                <w:sz w:val="16"/>
                <w:szCs w:val="16"/>
                <w:lang w:eastAsia="en-AU"/>
              </w:rPr>
              <w:t xml:space="preserve">   </w:t>
            </w:r>
            <w:r w:rsidRPr="00A07310">
              <w:rPr>
                <w:rFonts w:eastAsia="Times New Roman" w:cs="Segoe UI Light"/>
                <w:color w:val="000000"/>
                <w:sz w:val="16"/>
                <w:szCs w:val="16"/>
                <w:lang w:eastAsia="en-AU"/>
              </w:rPr>
              <w:t xml:space="preserve">(very high - high) </w:t>
            </w:r>
          </w:p>
        </w:tc>
        <w:tc>
          <w:tcPr>
            <w:tcW w:w="0" w:type="pct"/>
            <w:tcBorders>
              <w:top w:val="nil"/>
            </w:tcBorders>
            <w:hideMark/>
          </w:tcPr>
          <w:p w14:paraId="656B07E7" w14:textId="77777777" w:rsidR="00213E13" w:rsidRPr="00A07310" w:rsidRDefault="00213E13" w:rsidP="00AB166C">
            <w:pPr>
              <w:spacing w:after="0" w:line="240" w:lineRule="auto"/>
              <w:ind w:right="57"/>
              <w:jc w:val="right"/>
              <w:rPr>
                <w:rFonts w:eastAsia="Times New Roman" w:cs="Segoe UI Light"/>
                <w:color w:val="000000"/>
                <w:sz w:val="16"/>
                <w:szCs w:val="16"/>
                <w:lang w:eastAsia="en-AU"/>
              </w:rPr>
            </w:pPr>
            <w:r w:rsidRPr="00A07310">
              <w:rPr>
                <w:rFonts w:eastAsia="Times New Roman" w:cs="Segoe UI Light"/>
                <w:color w:val="000000"/>
                <w:sz w:val="16"/>
                <w:szCs w:val="16"/>
                <w:lang w:eastAsia="en-AU"/>
              </w:rPr>
              <w:t xml:space="preserve">Balancing risk and encouraging recovery - vehicle permits (very high - mod), </w:t>
            </w:r>
            <w:r w:rsidR="002C669A">
              <w:rPr>
                <w:rFonts w:eastAsia="Times New Roman" w:cs="Segoe UI Light"/>
                <w:color w:val="000000"/>
                <w:sz w:val="16"/>
                <w:szCs w:val="16"/>
                <w:lang w:eastAsia="en-AU"/>
              </w:rPr>
              <w:t xml:space="preserve">  </w:t>
            </w:r>
            <w:r w:rsidRPr="00A07310">
              <w:rPr>
                <w:rFonts w:eastAsia="Times New Roman" w:cs="Segoe UI Light"/>
                <w:color w:val="000000"/>
                <w:sz w:val="16"/>
                <w:szCs w:val="16"/>
                <w:lang w:eastAsia="en-AU"/>
              </w:rPr>
              <w:t>transaction tracking (very high &amp; high, some mod, plastics &amp; e-waste)</w:t>
            </w:r>
          </w:p>
        </w:tc>
      </w:tr>
      <w:tr w:rsidR="00213E13" w:rsidRPr="00A07310" w14:paraId="656B07EE" w14:textId="77777777" w:rsidTr="000E7C5E">
        <w:trPr>
          <w:trHeight w:val="270"/>
        </w:trPr>
        <w:tc>
          <w:tcPr>
            <w:tcW w:w="1137" w:type="pct"/>
            <w:noWrap/>
            <w:hideMark/>
          </w:tcPr>
          <w:p w14:paraId="656B07E9" w14:textId="77777777" w:rsidR="00213E13" w:rsidRPr="000D1529" w:rsidRDefault="00213E13" w:rsidP="00F34DF6">
            <w:pPr>
              <w:spacing w:after="0" w:line="240" w:lineRule="auto"/>
              <w:rPr>
                <w:rFonts w:eastAsia="Times New Roman" w:cs="Segoe UI Light"/>
                <w:color w:val="000000"/>
                <w:sz w:val="18"/>
                <w:szCs w:val="16"/>
                <w:lang w:eastAsia="en-AU"/>
              </w:rPr>
            </w:pPr>
            <w:r w:rsidRPr="000D1529">
              <w:rPr>
                <w:rFonts w:eastAsia="Times New Roman" w:cs="Segoe UI Light"/>
                <w:color w:val="000000"/>
                <w:sz w:val="18"/>
                <w:szCs w:val="16"/>
                <w:lang w:eastAsia="en-AU"/>
              </w:rPr>
              <w:t>Effectiveness</w:t>
            </w:r>
            <w:r w:rsidR="00467705" w:rsidRPr="000D1529">
              <w:rPr>
                <w:rFonts w:eastAsia="Times New Roman" w:cs="Segoe UI Light"/>
                <w:color w:val="000000"/>
                <w:sz w:val="18"/>
                <w:szCs w:val="16"/>
                <w:lang w:eastAsia="en-AU"/>
              </w:rPr>
              <w:t xml:space="preserve"> (50%)</w:t>
            </w:r>
          </w:p>
        </w:tc>
        <w:tc>
          <w:tcPr>
            <w:tcW w:w="888" w:type="pct"/>
            <w:noWrap/>
            <w:hideMark/>
          </w:tcPr>
          <w:p w14:paraId="656B07EA" w14:textId="77777777" w:rsidR="00213E13" w:rsidRPr="000D1529" w:rsidRDefault="00213E13" w:rsidP="00982D63">
            <w:pPr>
              <w:spacing w:after="0" w:line="240" w:lineRule="auto"/>
              <w:ind w:right="57"/>
              <w:jc w:val="right"/>
              <w:rPr>
                <w:rFonts w:eastAsia="Times New Roman" w:cs="Segoe UI Light"/>
                <w:color w:val="000000"/>
                <w:sz w:val="18"/>
                <w:szCs w:val="16"/>
                <w:lang w:eastAsia="en-AU"/>
              </w:rPr>
            </w:pPr>
            <w:r w:rsidRPr="000D1529">
              <w:rPr>
                <w:rFonts w:cs="Segoe UI Light"/>
                <w:color w:val="000000"/>
                <w:sz w:val="18"/>
                <w:szCs w:val="16"/>
              </w:rPr>
              <w:t>4</w:t>
            </w:r>
          </w:p>
        </w:tc>
        <w:tc>
          <w:tcPr>
            <w:tcW w:w="1138" w:type="pct"/>
            <w:noWrap/>
            <w:hideMark/>
          </w:tcPr>
          <w:p w14:paraId="656B07EB" w14:textId="77777777" w:rsidR="00213E13" w:rsidRPr="000D1529" w:rsidRDefault="00213E13" w:rsidP="00982D63">
            <w:pPr>
              <w:spacing w:after="0" w:line="240" w:lineRule="auto"/>
              <w:ind w:right="57"/>
              <w:jc w:val="right"/>
              <w:rPr>
                <w:rFonts w:eastAsia="Times New Roman" w:cs="Segoe UI Light"/>
                <w:color w:val="000000"/>
                <w:sz w:val="18"/>
                <w:szCs w:val="16"/>
                <w:lang w:eastAsia="en-AU"/>
              </w:rPr>
            </w:pPr>
            <w:r w:rsidRPr="000D1529">
              <w:rPr>
                <w:rFonts w:cs="Segoe UI Light"/>
                <w:color w:val="000000"/>
                <w:sz w:val="18"/>
                <w:szCs w:val="16"/>
              </w:rPr>
              <w:t>1</w:t>
            </w:r>
          </w:p>
        </w:tc>
        <w:tc>
          <w:tcPr>
            <w:tcW w:w="950" w:type="pct"/>
            <w:noWrap/>
            <w:hideMark/>
          </w:tcPr>
          <w:p w14:paraId="656B07EC" w14:textId="77777777" w:rsidR="00213E13" w:rsidRPr="000D1529" w:rsidRDefault="00213E13" w:rsidP="00982D63">
            <w:pPr>
              <w:spacing w:after="0" w:line="240" w:lineRule="auto"/>
              <w:ind w:right="57"/>
              <w:jc w:val="right"/>
              <w:rPr>
                <w:rFonts w:eastAsia="Times New Roman" w:cs="Segoe UI Light"/>
                <w:color w:val="000000"/>
                <w:sz w:val="18"/>
                <w:szCs w:val="16"/>
                <w:lang w:eastAsia="en-AU"/>
              </w:rPr>
            </w:pPr>
            <w:r w:rsidRPr="000D1529">
              <w:rPr>
                <w:rFonts w:cs="Segoe UI Light"/>
                <w:color w:val="000000"/>
                <w:sz w:val="18"/>
                <w:szCs w:val="16"/>
              </w:rPr>
              <w:t>2</w:t>
            </w:r>
          </w:p>
        </w:tc>
        <w:tc>
          <w:tcPr>
            <w:tcW w:w="887" w:type="pct"/>
            <w:noWrap/>
            <w:hideMark/>
          </w:tcPr>
          <w:p w14:paraId="656B07ED" w14:textId="77777777" w:rsidR="00213E13" w:rsidRPr="000D1529" w:rsidRDefault="00213E13" w:rsidP="00982D63">
            <w:pPr>
              <w:spacing w:after="0" w:line="240" w:lineRule="auto"/>
              <w:ind w:right="57"/>
              <w:jc w:val="right"/>
              <w:rPr>
                <w:rFonts w:eastAsia="Times New Roman" w:cs="Segoe UI Light"/>
                <w:color w:val="000000"/>
                <w:sz w:val="18"/>
                <w:szCs w:val="16"/>
                <w:lang w:eastAsia="en-AU"/>
              </w:rPr>
            </w:pPr>
            <w:r w:rsidRPr="000D1529">
              <w:rPr>
                <w:rFonts w:cs="Segoe UI Light"/>
                <w:color w:val="000000"/>
                <w:sz w:val="18"/>
                <w:szCs w:val="16"/>
              </w:rPr>
              <w:t>6</w:t>
            </w:r>
          </w:p>
        </w:tc>
      </w:tr>
      <w:tr w:rsidR="00213E13" w:rsidRPr="00A07310" w14:paraId="656B07F4" w14:textId="77777777" w:rsidTr="000E7C5E">
        <w:trPr>
          <w:trHeight w:val="270"/>
        </w:trPr>
        <w:tc>
          <w:tcPr>
            <w:tcW w:w="1137" w:type="pct"/>
            <w:noWrap/>
            <w:hideMark/>
          </w:tcPr>
          <w:p w14:paraId="656B07EF" w14:textId="77777777" w:rsidR="00213E13" w:rsidRPr="000D1529" w:rsidRDefault="00213E13" w:rsidP="00F34DF6">
            <w:pPr>
              <w:spacing w:after="0" w:line="240" w:lineRule="auto"/>
              <w:rPr>
                <w:rFonts w:eastAsia="Times New Roman" w:cs="Segoe UI Light"/>
                <w:color w:val="000000"/>
                <w:sz w:val="18"/>
                <w:szCs w:val="16"/>
                <w:lang w:eastAsia="en-AU"/>
              </w:rPr>
            </w:pPr>
            <w:r w:rsidRPr="000D1529">
              <w:rPr>
                <w:rFonts w:eastAsia="Times New Roman" w:cs="Segoe UI Light"/>
                <w:color w:val="000000"/>
                <w:sz w:val="18"/>
                <w:szCs w:val="16"/>
                <w:lang w:eastAsia="en-AU"/>
              </w:rPr>
              <w:t>Cost</w:t>
            </w:r>
            <w:r w:rsidR="00467705" w:rsidRPr="000D1529">
              <w:rPr>
                <w:rFonts w:eastAsia="Times New Roman" w:cs="Segoe UI Light"/>
                <w:color w:val="000000"/>
                <w:sz w:val="18"/>
                <w:szCs w:val="16"/>
                <w:lang w:eastAsia="en-AU"/>
              </w:rPr>
              <w:t xml:space="preserve"> (50%)</w:t>
            </w:r>
          </w:p>
        </w:tc>
        <w:tc>
          <w:tcPr>
            <w:tcW w:w="888" w:type="pct"/>
            <w:noWrap/>
            <w:hideMark/>
          </w:tcPr>
          <w:p w14:paraId="656B07F0" w14:textId="77777777" w:rsidR="00213E13" w:rsidRPr="000D1529" w:rsidRDefault="00213E13" w:rsidP="00982D63">
            <w:pPr>
              <w:spacing w:after="0" w:line="240" w:lineRule="auto"/>
              <w:ind w:right="57"/>
              <w:jc w:val="right"/>
              <w:rPr>
                <w:rFonts w:eastAsia="Times New Roman" w:cs="Segoe UI Light"/>
                <w:color w:val="000000"/>
                <w:sz w:val="18"/>
                <w:szCs w:val="16"/>
                <w:lang w:eastAsia="en-AU"/>
              </w:rPr>
            </w:pPr>
            <w:r w:rsidRPr="000D1529">
              <w:rPr>
                <w:rFonts w:cs="Segoe UI Light"/>
                <w:color w:val="000000"/>
                <w:sz w:val="18"/>
                <w:szCs w:val="16"/>
              </w:rPr>
              <w:t>-3</w:t>
            </w:r>
          </w:p>
        </w:tc>
        <w:tc>
          <w:tcPr>
            <w:tcW w:w="1138" w:type="pct"/>
            <w:noWrap/>
            <w:hideMark/>
          </w:tcPr>
          <w:p w14:paraId="656B07F1" w14:textId="77777777" w:rsidR="00213E13" w:rsidRPr="000D1529" w:rsidRDefault="00213E13" w:rsidP="00982D63">
            <w:pPr>
              <w:spacing w:after="0" w:line="240" w:lineRule="auto"/>
              <w:ind w:right="57"/>
              <w:jc w:val="right"/>
              <w:rPr>
                <w:rFonts w:eastAsia="Times New Roman" w:cs="Segoe UI Light"/>
                <w:color w:val="000000"/>
                <w:sz w:val="18"/>
                <w:szCs w:val="16"/>
                <w:lang w:eastAsia="en-AU"/>
              </w:rPr>
            </w:pPr>
            <w:r w:rsidRPr="000D1529">
              <w:rPr>
                <w:rFonts w:cs="Segoe UI Light"/>
                <w:color w:val="000000"/>
                <w:sz w:val="18"/>
                <w:szCs w:val="16"/>
              </w:rPr>
              <w:t>-1</w:t>
            </w:r>
          </w:p>
        </w:tc>
        <w:tc>
          <w:tcPr>
            <w:tcW w:w="950" w:type="pct"/>
            <w:noWrap/>
            <w:hideMark/>
          </w:tcPr>
          <w:p w14:paraId="656B07F2" w14:textId="77777777" w:rsidR="00213E13" w:rsidRPr="000D1529" w:rsidRDefault="00213E13" w:rsidP="00982D63">
            <w:pPr>
              <w:spacing w:after="0" w:line="240" w:lineRule="auto"/>
              <w:ind w:right="57"/>
              <w:jc w:val="right"/>
              <w:rPr>
                <w:rFonts w:eastAsia="Times New Roman" w:cs="Segoe UI Light"/>
                <w:color w:val="000000"/>
                <w:sz w:val="18"/>
                <w:szCs w:val="16"/>
                <w:lang w:eastAsia="en-AU"/>
              </w:rPr>
            </w:pPr>
            <w:r w:rsidRPr="000D1529">
              <w:rPr>
                <w:rFonts w:cs="Segoe UI Light"/>
                <w:color w:val="000000"/>
                <w:sz w:val="18"/>
                <w:szCs w:val="16"/>
              </w:rPr>
              <w:t>-2</w:t>
            </w:r>
          </w:p>
        </w:tc>
        <w:tc>
          <w:tcPr>
            <w:tcW w:w="887" w:type="pct"/>
            <w:noWrap/>
            <w:hideMark/>
          </w:tcPr>
          <w:p w14:paraId="656B07F3" w14:textId="77777777" w:rsidR="00213E13" w:rsidRPr="000D1529" w:rsidRDefault="00213E13" w:rsidP="00982D63">
            <w:pPr>
              <w:spacing w:after="0" w:line="240" w:lineRule="auto"/>
              <w:ind w:right="57"/>
              <w:jc w:val="right"/>
              <w:rPr>
                <w:rFonts w:eastAsia="Times New Roman" w:cs="Segoe UI Light"/>
                <w:color w:val="000000"/>
                <w:sz w:val="18"/>
                <w:szCs w:val="16"/>
                <w:lang w:eastAsia="en-AU"/>
              </w:rPr>
            </w:pPr>
            <w:r w:rsidRPr="000D1529">
              <w:rPr>
                <w:rFonts w:cs="Segoe UI Light"/>
                <w:color w:val="000000"/>
                <w:sz w:val="18"/>
                <w:szCs w:val="16"/>
              </w:rPr>
              <w:t>-</w:t>
            </w:r>
            <w:r w:rsidR="006B41DE" w:rsidRPr="000D1529">
              <w:rPr>
                <w:rFonts w:cs="Segoe UI Light"/>
                <w:color w:val="000000"/>
                <w:sz w:val="18"/>
                <w:szCs w:val="16"/>
              </w:rPr>
              <w:t>6</w:t>
            </w:r>
          </w:p>
        </w:tc>
      </w:tr>
      <w:tr w:rsidR="00213E13" w:rsidRPr="00A07310" w14:paraId="656B07FA" w14:textId="77777777" w:rsidTr="000E7C5E">
        <w:trPr>
          <w:trHeight w:val="270"/>
        </w:trPr>
        <w:tc>
          <w:tcPr>
            <w:tcW w:w="1137" w:type="pct"/>
            <w:noWrap/>
            <w:hideMark/>
          </w:tcPr>
          <w:p w14:paraId="656B07F5" w14:textId="77777777" w:rsidR="00213E13" w:rsidRPr="000D1529" w:rsidRDefault="00213E13" w:rsidP="00F34DF6">
            <w:pPr>
              <w:spacing w:after="0" w:line="240" w:lineRule="auto"/>
              <w:rPr>
                <w:rFonts w:eastAsia="Times New Roman" w:cs="Segoe UI Light"/>
                <w:b/>
                <w:bCs/>
                <w:color w:val="000000"/>
                <w:sz w:val="18"/>
                <w:szCs w:val="16"/>
                <w:lang w:eastAsia="en-AU"/>
              </w:rPr>
            </w:pPr>
            <w:r w:rsidRPr="000D1529">
              <w:rPr>
                <w:rFonts w:eastAsia="Times New Roman" w:cs="Segoe UI Light"/>
                <w:b/>
                <w:bCs/>
                <w:color w:val="000000"/>
                <w:sz w:val="18"/>
                <w:szCs w:val="16"/>
                <w:lang w:eastAsia="en-AU"/>
              </w:rPr>
              <w:t xml:space="preserve">Total </w:t>
            </w:r>
            <w:r w:rsidR="00467705" w:rsidRPr="000D1529">
              <w:rPr>
                <w:rFonts w:eastAsia="Times New Roman" w:cs="Segoe UI Light"/>
                <w:b/>
                <w:bCs/>
                <w:color w:val="000000"/>
                <w:sz w:val="18"/>
                <w:szCs w:val="16"/>
                <w:lang w:eastAsia="en-AU"/>
              </w:rPr>
              <w:t xml:space="preserve">weighted </w:t>
            </w:r>
            <w:r w:rsidRPr="000D1529">
              <w:rPr>
                <w:rFonts w:eastAsia="Times New Roman" w:cs="Segoe UI Light"/>
                <w:b/>
                <w:bCs/>
                <w:color w:val="000000"/>
                <w:sz w:val="18"/>
                <w:szCs w:val="16"/>
                <w:lang w:eastAsia="en-AU"/>
              </w:rPr>
              <w:t>score</w:t>
            </w:r>
          </w:p>
        </w:tc>
        <w:tc>
          <w:tcPr>
            <w:tcW w:w="888" w:type="pct"/>
            <w:noWrap/>
            <w:hideMark/>
          </w:tcPr>
          <w:p w14:paraId="656B07F6" w14:textId="77777777" w:rsidR="00213E13" w:rsidRPr="000D1529" w:rsidRDefault="00467705" w:rsidP="00982D63">
            <w:pPr>
              <w:spacing w:after="0" w:line="240" w:lineRule="auto"/>
              <w:ind w:right="57"/>
              <w:jc w:val="right"/>
              <w:rPr>
                <w:rFonts w:eastAsia="Times New Roman" w:cs="Segoe UI Light"/>
                <w:b/>
                <w:bCs/>
                <w:color w:val="000000"/>
                <w:sz w:val="18"/>
                <w:szCs w:val="16"/>
                <w:lang w:eastAsia="en-AU"/>
              </w:rPr>
            </w:pPr>
            <w:r w:rsidRPr="000D1529">
              <w:rPr>
                <w:rFonts w:cs="Segoe UI Light"/>
                <w:b/>
                <w:bCs/>
                <w:color w:val="000000"/>
                <w:sz w:val="18"/>
                <w:szCs w:val="16"/>
              </w:rPr>
              <w:t>0.5</w:t>
            </w:r>
          </w:p>
        </w:tc>
        <w:tc>
          <w:tcPr>
            <w:tcW w:w="1138" w:type="pct"/>
            <w:noWrap/>
            <w:hideMark/>
          </w:tcPr>
          <w:p w14:paraId="656B07F7" w14:textId="77777777" w:rsidR="00213E13" w:rsidRPr="000D1529" w:rsidRDefault="00213E13" w:rsidP="00982D63">
            <w:pPr>
              <w:spacing w:after="0" w:line="240" w:lineRule="auto"/>
              <w:ind w:right="57"/>
              <w:jc w:val="right"/>
              <w:rPr>
                <w:rFonts w:eastAsia="Times New Roman" w:cs="Segoe UI Light"/>
                <w:b/>
                <w:bCs/>
                <w:color w:val="000000"/>
                <w:sz w:val="18"/>
                <w:szCs w:val="16"/>
                <w:lang w:eastAsia="en-AU"/>
              </w:rPr>
            </w:pPr>
            <w:r w:rsidRPr="000D1529">
              <w:rPr>
                <w:rFonts w:cs="Segoe UI Light"/>
                <w:b/>
                <w:bCs/>
                <w:color w:val="000000"/>
                <w:sz w:val="18"/>
                <w:szCs w:val="16"/>
              </w:rPr>
              <w:t>0</w:t>
            </w:r>
          </w:p>
        </w:tc>
        <w:tc>
          <w:tcPr>
            <w:tcW w:w="950" w:type="pct"/>
            <w:noWrap/>
            <w:hideMark/>
          </w:tcPr>
          <w:p w14:paraId="656B07F8" w14:textId="77777777" w:rsidR="00213E13" w:rsidRPr="000D1529" w:rsidRDefault="00213E13" w:rsidP="00982D63">
            <w:pPr>
              <w:spacing w:after="0" w:line="240" w:lineRule="auto"/>
              <w:ind w:right="57"/>
              <w:jc w:val="right"/>
              <w:rPr>
                <w:rFonts w:eastAsia="Times New Roman" w:cs="Segoe UI Light"/>
                <w:b/>
                <w:bCs/>
                <w:color w:val="000000"/>
                <w:sz w:val="18"/>
                <w:szCs w:val="16"/>
                <w:lang w:eastAsia="en-AU"/>
              </w:rPr>
            </w:pPr>
            <w:r w:rsidRPr="000D1529">
              <w:rPr>
                <w:rFonts w:cs="Segoe UI Light"/>
                <w:b/>
                <w:bCs/>
                <w:color w:val="000000"/>
                <w:sz w:val="18"/>
                <w:szCs w:val="16"/>
              </w:rPr>
              <w:t>0</w:t>
            </w:r>
          </w:p>
        </w:tc>
        <w:tc>
          <w:tcPr>
            <w:tcW w:w="887" w:type="pct"/>
            <w:noWrap/>
            <w:hideMark/>
          </w:tcPr>
          <w:p w14:paraId="656B07F9" w14:textId="77777777" w:rsidR="00213E13" w:rsidRPr="000D1529" w:rsidRDefault="006B41DE" w:rsidP="00982D63">
            <w:pPr>
              <w:spacing w:after="0" w:line="240" w:lineRule="auto"/>
              <w:ind w:right="57"/>
              <w:jc w:val="right"/>
              <w:rPr>
                <w:rFonts w:eastAsia="Times New Roman" w:cs="Segoe UI Light"/>
                <w:b/>
                <w:bCs/>
                <w:color w:val="000000"/>
                <w:sz w:val="18"/>
                <w:szCs w:val="16"/>
                <w:lang w:eastAsia="en-AU"/>
              </w:rPr>
            </w:pPr>
            <w:r w:rsidRPr="000D1529">
              <w:rPr>
                <w:rFonts w:cs="Segoe UI Light"/>
                <w:b/>
                <w:bCs/>
                <w:color w:val="000000"/>
                <w:sz w:val="18"/>
                <w:szCs w:val="16"/>
              </w:rPr>
              <w:t>0</w:t>
            </w:r>
          </w:p>
        </w:tc>
      </w:tr>
    </w:tbl>
    <w:p w14:paraId="656B07FB" w14:textId="77777777" w:rsidR="00213E13" w:rsidRDefault="00213E13" w:rsidP="00213E13">
      <w:pPr>
        <w:pStyle w:val="Bullet1"/>
        <w:ind w:left="0" w:firstLine="0"/>
      </w:pPr>
    </w:p>
    <w:p w14:paraId="656B07FC" w14:textId="77777777" w:rsidR="00457DB8" w:rsidRDefault="00457DB8" w:rsidP="00213E13">
      <w:pPr>
        <w:pStyle w:val="Bullet1"/>
        <w:ind w:left="0" w:firstLine="0"/>
      </w:pPr>
      <w:r>
        <w:rPr>
          <w:i/>
        </w:rPr>
        <w:t>Transport options</w:t>
      </w:r>
    </w:p>
    <w:p w14:paraId="656B07FD" w14:textId="77777777" w:rsidR="00213E13" w:rsidRDefault="00213E13" w:rsidP="00213E13">
      <w:pPr>
        <w:pStyle w:val="Bullet1"/>
        <w:ind w:left="0" w:firstLine="0"/>
      </w:pPr>
      <w:r>
        <w:t xml:space="preserve">The MCA results show that transport </w:t>
      </w:r>
      <w:r w:rsidR="00457DB8">
        <w:t>O</w:t>
      </w:r>
      <w:r>
        <w:t>ption</w:t>
      </w:r>
      <w:r w:rsidR="00375D81">
        <w:t>s</w:t>
      </w:r>
      <w:r>
        <w:t xml:space="preserve"> 2 </w:t>
      </w:r>
      <w:r w:rsidR="006B41DE">
        <w:t xml:space="preserve">and 3 </w:t>
      </w:r>
      <w:r w:rsidR="00B90D7A">
        <w:t xml:space="preserve">have </w:t>
      </w:r>
      <w:r w:rsidR="006B41DE">
        <w:t xml:space="preserve">equal </w:t>
      </w:r>
      <w:r>
        <w:t>highest overall score</w:t>
      </w:r>
      <w:r w:rsidR="006B41DE">
        <w:t>.</w:t>
      </w:r>
      <w:r>
        <w:t xml:space="preserve"> </w:t>
      </w:r>
      <w:r w:rsidR="006B41DE">
        <w:t>The preferred option is Option 2 based on practicality of implementation.</w:t>
      </w:r>
    </w:p>
    <w:p w14:paraId="656B07FE" w14:textId="77777777" w:rsidR="00213E13" w:rsidRPr="007E1BBC" w:rsidRDefault="00213E13" w:rsidP="00213E13">
      <w:pPr>
        <w:pStyle w:val="2Source"/>
        <w:rPr>
          <w:szCs w:val="20"/>
        </w:rPr>
      </w:pPr>
      <w:r w:rsidRPr="00827D05">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9</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13</w:t>
      </w:r>
      <w:r w:rsidR="00997CFA">
        <w:rPr>
          <w:color w:val="2B579A"/>
          <w:shd w:val="clear" w:color="auto" w:fill="E6E6E6"/>
        </w:rPr>
        <w:fldChar w:fldCharType="end"/>
      </w:r>
      <w:r w:rsidRPr="00827D05">
        <w:rPr>
          <w:szCs w:val="20"/>
        </w:rPr>
        <w:t xml:space="preserve"> </w:t>
      </w:r>
      <w:r>
        <w:rPr>
          <w:szCs w:val="20"/>
        </w:rPr>
        <w:t>Multi-criteria analysis</w:t>
      </w:r>
      <w:r w:rsidRPr="00827D05">
        <w:rPr>
          <w:szCs w:val="20"/>
        </w:rPr>
        <w:t xml:space="preserve"> </w:t>
      </w:r>
      <w:r>
        <w:rPr>
          <w:szCs w:val="20"/>
        </w:rPr>
        <w:t>for reportable priority waste transport options</w:t>
      </w:r>
    </w:p>
    <w:tbl>
      <w:tblPr>
        <w:tblStyle w:val="Deloittetable"/>
        <w:tblW w:w="5000" w:type="pct"/>
        <w:tblLook w:val="04A0" w:firstRow="1" w:lastRow="0" w:firstColumn="1" w:lastColumn="0" w:noHBand="0" w:noVBand="1"/>
      </w:tblPr>
      <w:tblGrid>
        <w:gridCol w:w="3538"/>
        <w:gridCol w:w="1510"/>
        <w:gridCol w:w="1510"/>
        <w:gridCol w:w="1349"/>
        <w:gridCol w:w="1448"/>
      </w:tblGrid>
      <w:tr w:rsidR="00213E13" w:rsidRPr="00A07310" w14:paraId="656B0804" w14:textId="77777777" w:rsidTr="000D1529">
        <w:trPr>
          <w:cnfStyle w:val="100000000000" w:firstRow="1" w:lastRow="0" w:firstColumn="0" w:lastColumn="0" w:oddVBand="0" w:evenVBand="0" w:oddHBand="0" w:evenHBand="0" w:firstRowFirstColumn="0" w:firstRowLastColumn="0" w:lastRowFirstColumn="0" w:lastRowLastColumn="0"/>
          <w:trHeight w:val="270"/>
          <w:tblHeader/>
        </w:trPr>
        <w:tc>
          <w:tcPr>
            <w:tcW w:w="1891" w:type="pct"/>
            <w:tcBorders>
              <w:bottom w:val="nil"/>
            </w:tcBorders>
            <w:noWrap/>
            <w:hideMark/>
          </w:tcPr>
          <w:p w14:paraId="656B07FF" w14:textId="77777777" w:rsidR="00213E13" w:rsidRPr="00A07310" w:rsidRDefault="00213E13" w:rsidP="00F34DF6">
            <w:pPr>
              <w:spacing w:after="0" w:line="240" w:lineRule="auto"/>
              <w:rPr>
                <w:rFonts w:eastAsia="Times New Roman" w:cs="Segoe UI Light"/>
                <w:sz w:val="18"/>
                <w:lang w:eastAsia="en-AU"/>
              </w:rPr>
            </w:pPr>
          </w:p>
        </w:tc>
        <w:tc>
          <w:tcPr>
            <w:tcW w:w="807" w:type="pct"/>
            <w:tcBorders>
              <w:bottom w:val="nil"/>
            </w:tcBorders>
            <w:hideMark/>
          </w:tcPr>
          <w:p w14:paraId="656B0800" w14:textId="77777777" w:rsidR="00213E13" w:rsidRPr="00A07310" w:rsidRDefault="00213E13" w:rsidP="00AB166C">
            <w:pPr>
              <w:spacing w:after="0" w:line="240" w:lineRule="auto"/>
              <w:ind w:right="57"/>
              <w:jc w:val="right"/>
              <w:rPr>
                <w:rFonts w:eastAsia="Times New Roman" w:cs="Segoe UI Light"/>
                <w:b/>
                <w:bCs/>
                <w:color w:val="000000"/>
                <w:sz w:val="18"/>
                <w:lang w:eastAsia="en-AU"/>
              </w:rPr>
            </w:pPr>
            <w:r w:rsidRPr="00A07310">
              <w:rPr>
                <w:rFonts w:eastAsia="Times New Roman" w:cs="Segoe UI Light"/>
                <w:b/>
                <w:bCs/>
                <w:color w:val="000000"/>
                <w:sz w:val="18"/>
                <w:lang w:eastAsia="en-AU"/>
              </w:rPr>
              <w:t>Option 1 &amp; 1a</w:t>
            </w:r>
          </w:p>
        </w:tc>
        <w:tc>
          <w:tcPr>
            <w:tcW w:w="807" w:type="pct"/>
            <w:tcBorders>
              <w:bottom w:val="nil"/>
            </w:tcBorders>
            <w:hideMark/>
          </w:tcPr>
          <w:p w14:paraId="656B0801" w14:textId="77777777" w:rsidR="00213E13" w:rsidRPr="00A07310" w:rsidRDefault="00213E13" w:rsidP="00AB166C">
            <w:pPr>
              <w:spacing w:after="0" w:line="240" w:lineRule="auto"/>
              <w:ind w:right="57"/>
              <w:jc w:val="right"/>
              <w:rPr>
                <w:rFonts w:eastAsia="Times New Roman" w:cs="Segoe UI Light"/>
                <w:b/>
                <w:bCs/>
                <w:color w:val="000000"/>
                <w:sz w:val="18"/>
                <w:lang w:eastAsia="en-AU"/>
              </w:rPr>
            </w:pPr>
            <w:r w:rsidRPr="00A07310">
              <w:rPr>
                <w:rFonts w:eastAsia="Times New Roman" w:cs="Segoe UI Light"/>
                <w:b/>
                <w:bCs/>
                <w:color w:val="000000"/>
                <w:sz w:val="18"/>
                <w:lang w:eastAsia="en-AU"/>
              </w:rPr>
              <w:t>Option 2</w:t>
            </w:r>
          </w:p>
        </w:tc>
        <w:tc>
          <w:tcPr>
            <w:tcW w:w="721" w:type="pct"/>
            <w:tcBorders>
              <w:bottom w:val="nil"/>
            </w:tcBorders>
            <w:hideMark/>
          </w:tcPr>
          <w:p w14:paraId="656B0802" w14:textId="77777777" w:rsidR="00213E13" w:rsidRPr="00A07310" w:rsidRDefault="00213E13" w:rsidP="00AB166C">
            <w:pPr>
              <w:spacing w:after="0" w:line="240" w:lineRule="auto"/>
              <w:ind w:right="57"/>
              <w:jc w:val="right"/>
              <w:rPr>
                <w:rFonts w:eastAsia="Times New Roman" w:cs="Segoe UI Light"/>
                <w:b/>
                <w:bCs/>
                <w:color w:val="000000"/>
                <w:sz w:val="18"/>
                <w:lang w:eastAsia="en-AU"/>
              </w:rPr>
            </w:pPr>
            <w:r w:rsidRPr="00A07310">
              <w:rPr>
                <w:rFonts w:eastAsia="Times New Roman" w:cs="Segoe UI Light"/>
                <w:b/>
                <w:bCs/>
                <w:color w:val="000000"/>
                <w:sz w:val="18"/>
                <w:lang w:eastAsia="en-AU"/>
              </w:rPr>
              <w:t>Option 3</w:t>
            </w:r>
          </w:p>
        </w:tc>
        <w:tc>
          <w:tcPr>
            <w:tcW w:w="774" w:type="pct"/>
            <w:tcBorders>
              <w:bottom w:val="nil"/>
            </w:tcBorders>
            <w:hideMark/>
          </w:tcPr>
          <w:p w14:paraId="656B0803" w14:textId="77777777" w:rsidR="00213E13" w:rsidRPr="00A07310" w:rsidRDefault="00213E13" w:rsidP="00AB166C">
            <w:pPr>
              <w:spacing w:after="0" w:line="240" w:lineRule="auto"/>
              <w:ind w:right="57"/>
              <w:jc w:val="right"/>
              <w:rPr>
                <w:rFonts w:eastAsia="Times New Roman" w:cs="Segoe UI Light"/>
                <w:b/>
                <w:bCs/>
                <w:color w:val="000000"/>
                <w:sz w:val="18"/>
                <w:lang w:eastAsia="en-AU"/>
              </w:rPr>
            </w:pPr>
            <w:r w:rsidRPr="00A07310">
              <w:rPr>
                <w:rFonts w:eastAsia="Times New Roman" w:cs="Segoe UI Light"/>
                <w:b/>
                <w:bCs/>
                <w:color w:val="000000"/>
                <w:sz w:val="18"/>
                <w:lang w:eastAsia="en-AU"/>
              </w:rPr>
              <w:t>Option 4</w:t>
            </w:r>
          </w:p>
        </w:tc>
      </w:tr>
      <w:tr w:rsidR="00213E13" w:rsidRPr="00A07310" w14:paraId="656B080A" w14:textId="77777777" w:rsidTr="000D1529">
        <w:trPr>
          <w:trHeight w:val="810"/>
        </w:trPr>
        <w:tc>
          <w:tcPr>
            <w:tcW w:w="1891" w:type="pct"/>
            <w:tcBorders>
              <w:top w:val="nil"/>
            </w:tcBorders>
            <w:noWrap/>
            <w:hideMark/>
          </w:tcPr>
          <w:p w14:paraId="656B0805" w14:textId="77777777" w:rsidR="00213E13" w:rsidRPr="00A07310" w:rsidRDefault="00213E13" w:rsidP="00F34DF6">
            <w:pPr>
              <w:spacing w:after="0" w:line="240" w:lineRule="auto"/>
              <w:rPr>
                <w:rFonts w:eastAsia="Times New Roman" w:cs="Segoe UI Light"/>
                <w:b/>
                <w:bCs/>
                <w:color w:val="000000"/>
                <w:sz w:val="18"/>
                <w:lang w:eastAsia="en-AU"/>
              </w:rPr>
            </w:pPr>
            <w:r w:rsidRPr="00A07310">
              <w:rPr>
                <w:rFonts w:eastAsia="Times New Roman" w:cs="Segoe UI Light"/>
                <w:b/>
                <w:bCs/>
                <w:color w:val="000000"/>
                <w:sz w:val="18"/>
                <w:lang w:eastAsia="en-AU"/>
              </w:rPr>
              <w:t>Criteria</w:t>
            </w:r>
            <w:r w:rsidR="006F071A">
              <w:rPr>
                <w:rFonts w:eastAsia="Times New Roman" w:cs="Segoe UI Light"/>
                <w:b/>
                <w:bCs/>
                <w:color w:val="000000"/>
                <w:sz w:val="18"/>
                <w:lang w:eastAsia="en-AU"/>
              </w:rPr>
              <w:t xml:space="preserve"> (and weight)</w:t>
            </w:r>
          </w:p>
        </w:tc>
        <w:tc>
          <w:tcPr>
            <w:tcW w:w="807" w:type="pct"/>
            <w:tcBorders>
              <w:top w:val="nil"/>
            </w:tcBorders>
            <w:hideMark/>
          </w:tcPr>
          <w:p w14:paraId="656B0806" w14:textId="77777777" w:rsidR="00213E13" w:rsidRPr="00A07310" w:rsidRDefault="00213E13"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 xml:space="preserve">Mandatory accredited consigners (option 1) + vehicle permissions </w:t>
            </w:r>
            <w:r w:rsidR="00457DB8">
              <w:rPr>
                <w:rFonts w:eastAsia="Times New Roman" w:cs="Segoe UI Light"/>
                <w:color w:val="000000"/>
                <w:sz w:val="18"/>
                <w:lang w:eastAsia="en-AU"/>
              </w:rPr>
              <w:t xml:space="preserve"> </w:t>
            </w:r>
            <w:r w:rsidRPr="00A07310">
              <w:rPr>
                <w:rFonts w:eastAsia="Times New Roman" w:cs="Segoe UI Light"/>
                <w:color w:val="000000"/>
                <w:sz w:val="18"/>
                <w:lang w:eastAsia="en-AU"/>
              </w:rPr>
              <w:t>(Option 1a)</w:t>
            </w:r>
          </w:p>
        </w:tc>
        <w:tc>
          <w:tcPr>
            <w:tcW w:w="807" w:type="pct"/>
            <w:tcBorders>
              <w:top w:val="nil"/>
            </w:tcBorders>
            <w:hideMark/>
          </w:tcPr>
          <w:p w14:paraId="656B0807" w14:textId="77777777" w:rsidR="00213E13" w:rsidRPr="00A07310" w:rsidRDefault="00213E13"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 xml:space="preserve">Balanced - </w:t>
            </w:r>
            <w:r w:rsidR="00457DB8">
              <w:rPr>
                <w:rFonts w:eastAsia="Times New Roman" w:cs="Segoe UI Light"/>
                <w:color w:val="000000"/>
                <w:sz w:val="18"/>
                <w:lang w:eastAsia="en-AU"/>
              </w:rPr>
              <w:t xml:space="preserve"> </w:t>
            </w:r>
            <w:r w:rsidRPr="00A07310">
              <w:rPr>
                <w:rFonts w:eastAsia="Times New Roman" w:cs="Segoe UI Light"/>
                <w:color w:val="000000"/>
                <w:sz w:val="18"/>
                <w:lang w:eastAsia="en-AU"/>
              </w:rPr>
              <w:t xml:space="preserve">Optional </w:t>
            </w:r>
            <w:r w:rsidR="00457DB8">
              <w:rPr>
                <w:rFonts w:eastAsia="Times New Roman" w:cs="Segoe UI Light"/>
                <w:color w:val="000000"/>
                <w:sz w:val="18"/>
                <w:lang w:eastAsia="en-AU"/>
              </w:rPr>
              <w:t xml:space="preserve"> </w:t>
            </w:r>
            <w:r w:rsidRPr="00A07310">
              <w:rPr>
                <w:rFonts w:eastAsia="Times New Roman" w:cs="Segoe UI Light"/>
                <w:color w:val="000000"/>
                <w:sz w:val="18"/>
                <w:lang w:eastAsia="en-AU"/>
              </w:rPr>
              <w:t>accredited consigners &amp; vehicle permission</w:t>
            </w:r>
          </w:p>
        </w:tc>
        <w:tc>
          <w:tcPr>
            <w:tcW w:w="721" w:type="pct"/>
            <w:tcBorders>
              <w:top w:val="nil"/>
            </w:tcBorders>
            <w:hideMark/>
          </w:tcPr>
          <w:p w14:paraId="656B0808" w14:textId="77777777" w:rsidR="00213E13" w:rsidRPr="00A07310" w:rsidRDefault="00213E13"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Optional accredited consigners with introduction of a driver permission</w:t>
            </w:r>
          </w:p>
        </w:tc>
        <w:tc>
          <w:tcPr>
            <w:tcW w:w="774" w:type="pct"/>
            <w:tcBorders>
              <w:top w:val="nil"/>
            </w:tcBorders>
            <w:hideMark/>
          </w:tcPr>
          <w:p w14:paraId="656B0809" w14:textId="77777777" w:rsidR="00213E13" w:rsidRPr="00A07310" w:rsidRDefault="00213E13" w:rsidP="00AB166C">
            <w:pPr>
              <w:spacing w:after="0" w:line="240" w:lineRule="auto"/>
              <w:ind w:right="57"/>
              <w:jc w:val="right"/>
              <w:rPr>
                <w:rFonts w:eastAsia="Times New Roman" w:cs="Segoe UI Light"/>
                <w:color w:val="000000"/>
                <w:sz w:val="18"/>
                <w:lang w:eastAsia="en-AU"/>
              </w:rPr>
            </w:pPr>
            <w:r w:rsidRPr="00A07310">
              <w:rPr>
                <w:rFonts w:eastAsia="Times New Roman" w:cs="Segoe UI Light"/>
                <w:color w:val="000000"/>
                <w:sz w:val="18"/>
                <w:lang w:eastAsia="en-AU"/>
              </w:rPr>
              <w:t>EPA control</w:t>
            </w:r>
          </w:p>
        </w:tc>
      </w:tr>
      <w:tr w:rsidR="00213E13" w:rsidRPr="00A07310" w14:paraId="656B0810" w14:textId="77777777" w:rsidTr="000E7C5E">
        <w:trPr>
          <w:trHeight w:val="270"/>
        </w:trPr>
        <w:tc>
          <w:tcPr>
            <w:tcW w:w="1891" w:type="pct"/>
            <w:noWrap/>
            <w:hideMark/>
          </w:tcPr>
          <w:p w14:paraId="656B080B" w14:textId="77777777" w:rsidR="00213E13" w:rsidRPr="00A07310" w:rsidRDefault="00213E13" w:rsidP="00F34DF6">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Effectiveness</w:t>
            </w:r>
            <w:r w:rsidR="006F071A">
              <w:rPr>
                <w:rFonts w:eastAsia="Times New Roman" w:cs="Segoe UI Light"/>
                <w:color w:val="000000"/>
                <w:sz w:val="18"/>
                <w:lang w:eastAsia="en-AU"/>
              </w:rPr>
              <w:t xml:space="preserve"> (50%)</w:t>
            </w:r>
          </w:p>
        </w:tc>
        <w:tc>
          <w:tcPr>
            <w:tcW w:w="807" w:type="pct"/>
            <w:noWrap/>
            <w:hideMark/>
          </w:tcPr>
          <w:p w14:paraId="656B080C" w14:textId="77777777" w:rsidR="00213E13" w:rsidRPr="00A07310" w:rsidRDefault="00213E13" w:rsidP="00982D63">
            <w:pPr>
              <w:spacing w:after="0" w:line="240" w:lineRule="auto"/>
              <w:ind w:right="57"/>
              <w:jc w:val="right"/>
              <w:rPr>
                <w:rFonts w:eastAsia="Times New Roman" w:cs="Segoe UI Light"/>
                <w:color w:val="000000"/>
                <w:sz w:val="18"/>
                <w:lang w:eastAsia="en-AU"/>
              </w:rPr>
            </w:pPr>
            <w:r>
              <w:rPr>
                <w:rFonts w:cs="Segoe UI Light"/>
                <w:color w:val="000000"/>
                <w:sz w:val="18"/>
              </w:rPr>
              <w:t>3</w:t>
            </w:r>
          </w:p>
        </w:tc>
        <w:tc>
          <w:tcPr>
            <w:tcW w:w="807" w:type="pct"/>
            <w:noWrap/>
            <w:hideMark/>
          </w:tcPr>
          <w:p w14:paraId="656B080D" w14:textId="77777777" w:rsidR="00213E13" w:rsidRPr="00A07310" w:rsidRDefault="00213E13" w:rsidP="00982D63">
            <w:pPr>
              <w:spacing w:after="0" w:line="240" w:lineRule="auto"/>
              <w:ind w:right="57"/>
              <w:jc w:val="right"/>
              <w:rPr>
                <w:rFonts w:eastAsia="Times New Roman" w:cs="Segoe UI Light"/>
                <w:color w:val="000000"/>
                <w:sz w:val="18"/>
                <w:lang w:eastAsia="en-AU"/>
              </w:rPr>
            </w:pPr>
            <w:r>
              <w:rPr>
                <w:rFonts w:cs="Segoe UI Light"/>
                <w:color w:val="000000"/>
                <w:sz w:val="18"/>
              </w:rPr>
              <w:t>6</w:t>
            </w:r>
          </w:p>
        </w:tc>
        <w:tc>
          <w:tcPr>
            <w:tcW w:w="721" w:type="pct"/>
            <w:noWrap/>
            <w:hideMark/>
          </w:tcPr>
          <w:p w14:paraId="656B080E" w14:textId="77777777" w:rsidR="00213E13" w:rsidRPr="00A07310" w:rsidRDefault="00A30553" w:rsidP="00982D63">
            <w:pPr>
              <w:spacing w:after="0" w:line="240" w:lineRule="auto"/>
              <w:ind w:right="57"/>
              <w:jc w:val="right"/>
              <w:rPr>
                <w:rFonts w:eastAsia="Times New Roman" w:cs="Segoe UI Light"/>
                <w:color w:val="000000"/>
                <w:sz w:val="18"/>
                <w:lang w:eastAsia="en-AU"/>
              </w:rPr>
            </w:pPr>
            <w:r>
              <w:rPr>
                <w:rFonts w:cs="Segoe UI Light"/>
                <w:color w:val="000000"/>
                <w:sz w:val="18"/>
              </w:rPr>
              <w:t>6</w:t>
            </w:r>
          </w:p>
        </w:tc>
        <w:tc>
          <w:tcPr>
            <w:tcW w:w="774" w:type="pct"/>
            <w:noWrap/>
            <w:hideMark/>
          </w:tcPr>
          <w:p w14:paraId="656B080F" w14:textId="77777777" w:rsidR="00213E13" w:rsidRPr="00A07310" w:rsidRDefault="00213E13" w:rsidP="00982D63">
            <w:pPr>
              <w:spacing w:after="0" w:line="240" w:lineRule="auto"/>
              <w:ind w:right="57"/>
              <w:jc w:val="right"/>
              <w:rPr>
                <w:rFonts w:eastAsia="Times New Roman" w:cs="Segoe UI Light"/>
                <w:color w:val="000000"/>
                <w:sz w:val="18"/>
                <w:lang w:eastAsia="en-AU"/>
              </w:rPr>
            </w:pPr>
            <w:r>
              <w:rPr>
                <w:rFonts w:cs="Segoe UI Light"/>
                <w:color w:val="000000"/>
                <w:sz w:val="18"/>
              </w:rPr>
              <w:t>2</w:t>
            </w:r>
          </w:p>
        </w:tc>
      </w:tr>
      <w:tr w:rsidR="00213E13" w:rsidRPr="00A07310" w14:paraId="656B0816" w14:textId="77777777" w:rsidTr="000E7C5E">
        <w:trPr>
          <w:trHeight w:val="270"/>
        </w:trPr>
        <w:tc>
          <w:tcPr>
            <w:tcW w:w="1891" w:type="pct"/>
            <w:noWrap/>
            <w:hideMark/>
          </w:tcPr>
          <w:p w14:paraId="656B0811" w14:textId="77777777" w:rsidR="00213E13" w:rsidRPr="00A07310" w:rsidRDefault="00213E13" w:rsidP="00F34DF6">
            <w:pPr>
              <w:spacing w:after="0" w:line="240" w:lineRule="auto"/>
              <w:rPr>
                <w:rFonts w:eastAsia="Times New Roman" w:cs="Segoe UI Light"/>
                <w:color w:val="000000"/>
                <w:sz w:val="18"/>
                <w:lang w:eastAsia="en-AU"/>
              </w:rPr>
            </w:pPr>
            <w:r w:rsidRPr="00A07310">
              <w:rPr>
                <w:rFonts w:eastAsia="Times New Roman" w:cs="Segoe UI Light"/>
                <w:color w:val="000000"/>
                <w:sz w:val="18"/>
                <w:lang w:eastAsia="en-AU"/>
              </w:rPr>
              <w:t>Cost</w:t>
            </w:r>
            <w:r w:rsidR="006F071A">
              <w:rPr>
                <w:rFonts w:eastAsia="Times New Roman" w:cs="Segoe UI Light"/>
                <w:color w:val="000000"/>
                <w:sz w:val="18"/>
                <w:lang w:eastAsia="en-AU"/>
              </w:rPr>
              <w:t xml:space="preserve"> (50%)</w:t>
            </w:r>
          </w:p>
        </w:tc>
        <w:tc>
          <w:tcPr>
            <w:tcW w:w="807" w:type="pct"/>
            <w:noWrap/>
            <w:hideMark/>
          </w:tcPr>
          <w:p w14:paraId="656B0812" w14:textId="77777777" w:rsidR="00213E13" w:rsidRPr="00A07310" w:rsidRDefault="00213E13" w:rsidP="00982D63">
            <w:pPr>
              <w:spacing w:after="0" w:line="240" w:lineRule="auto"/>
              <w:ind w:right="57"/>
              <w:jc w:val="right"/>
              <w:rPr>
                <w:rFonts w:eastAsia="Times New Roman" w:cs="Segoe UI Light"/>
                <w:color w:val="000000"/>
                <w:sz w:val="18"/>
                <w:lang w:eastAsia="en-AU"/>
              </w:rPr>
            </w:pPr>
            <w:r w:rsidRPr="00A07310">
              <w:rPr>
                <w:rFonts w:cs="Segoe UI Light"/>
                <w:color w:val="000000"/>
                <w:sz w:val="18"/>
              </w:rPr>
              <w:t>-5</w:t>
            </w:r>
          </w:p>
        </w:tc>
        <w:tc>
          <w:tcPr>
            <w:tcW w:w="807" w:type="pct"/>
            <w:noWrap/>
            <w:hideMark/>
          </w:tcPr>
          <w:p w14:paraId="656B0813" w14:textId="77777777" w:rsidR="00213E13" w:rsidRPr="00A07310" w:rsidRDefault="00213E13" w:rsidP="00982D63">
            <w:pPr>
              <w:spacing w:after="0" w:line="240" w:lineRule="auto"/>
              <w:ind w:right="57"/>
              <w:jc w:val="right"/>
              <w:rPr>
                <w:rFonts w:eastAsia="Times New Roman" w:cs="Segoe UI Light"/>
                <w:color w:val="000000"/>
                <w:sz w:val="18"/>
                <w:lang w:eastAsia="en-AU"/>
              </w:rPr>
            </w:pPr>
            <w:r w:rsidRPr="00A07310">
              <w:rPr>
                <w:rFonts w:cs="Segoe UI Light"/>
                <w:color w:val="000000"/>
                <w:sz w:val="18"/>
              </w:rPr>
              <w:t>-</w:t>
            </w:r>
            <w:r w:rsidR="006B41DE">
              <w:rPr>
                <w:rFonts w:cs="Segoe UI Light"/>
                <w:color w:val="000000"/>
                <w:sz w:val="18"/>
              </w:rPr>
              <w:t>4</w:t>
            </w:r>
          </w:p>
        </w:tc>
        <w:tc>
          <w:tcPr>
            <w:tcW w:w="721" w:type="pct"/>
            <w:noWrap/>
            <w:hideMark/>
          </w:tcPr>
          <w:p w14:paraId="656B0814" w14:textId="77777777" w:rsidR="00213E13" w:rsidRPr="00A07310" w:rsidRDefault="00213E13" w:rsidP="00982D63">
            <w:pPr>
              <w:spacing w:after="0" w:line="240" w:lineRule="auto"/>
              <w:ind w:right="57"/>
              <w:jc w:val="right"/>
              <w:rPr>
                <w:rFonts w:eastAsia="Times New Roman" w:cs="Segoe UI Light"/>
                <w:color w:val="000000"/>
                <w:sz w:val="18"/>
                <w:lang w:eastAsia="en-AU"/>
              </w:rPr>
            </w:pPr>
            <w:r w:rsidRPr="00A07310">
              <w:rPr>
                <w:rFonts w:cs="Segoe UI Light"/>
                <w:color w:val="000000"/>
                <w:sz w:val="18"/>
              </w:rPr>
              <w:t>-</w:t>
            </w:r>
            <w:r w:rsidR="00A30553">
              <w:rPr>
                <w:rFonts w:cs="Segoe UI Light"/>
                <w:color w:val="000000"/>
                <w:sz w:val="18"/>
              </w:rPr>
              <w:t>4</w:t>
            </w:r>
          </w:p>
        </w:tc>
        <w:tc>
          <w:tcPr>
            <w:tcW w:w="774" w:type="pct"/>
            <w:noWrap/>
            <w:hideMark/>
          </w:tcPr>
          <w:p w14:paraId="656B0815" w14:textId="77777777" w:rsidR="00213E13" w:rsidRPr="00A07310" w:rsidRDefault="00213E13" w:rsidP="00982D63">
            <w:pPr>
              <w:spacing w:after="0" w:line="240" w:lineRule="auto"/>
              <w:ind w:right="57"/>
              <w:jc w:val="right"/>
              <w:rPr>
                <w:rFonts w:eastAsia="Times New Roman" w:cs="Segoe UI Light"/>
                <w:color w:val="000000"/>
                <w:sz w:val="18"/>
                <w:lang w:eastAsia="en-AU"/>
              </w:rPr>
            </w:pPr>
            <w:r w:rsidRPr="00A07310">
              <w:rPr>
                <w:rFonts w:cs="Segoe UI Light"/>
                <w:color w:val="000000"/>
                <w:sz w:val="18"/>
              </w:rPr>
              <w:t>-</w:t>
            </w:r>
            <w:r w:rsidR="006B41DE">
              <w:rPr>
                <w:rFonts w:cs="Segoe UI Light"/>
                <w:color w:val="000000"/>
                <w:sz w:val="18"/>
              </w:rPr>
              <w:t>2</w:t>
            </w:r>
          </w:p>
        </w:tc>
      </w:tr>
      <w:tr w:rsidR="00213E13" w:rsidRPr="00A07310" w14:paraId="656B081C" w14:textId="77777777" w:rsidTr="000E7C5E">
        <w:trPr>
          <w:trHeight w:val="270"/>
        </w:trPr>
        <w:tc>
          <w:tcPr>
            <w:tcW w:w="1891" w:type="pct"/>
            <w:noWrap/>
            <w:hideMark/>
          </w:tcPr>
          <w:p w14:paraId="656B0817" w14:textId="77777777" w:rsidR="00213E13" w:rsidRPr="00A07310" w:rsidRDefault="00213E13" w:rsidP="00F34DF6">
            <w:pPr>
              <w:spacing w:after="0" w:line="240" w:lineRule="auto"/>
              <w:rPr>
                <w:rFonts w:eastAsia="Times New Roman" w:cs="Segoe UI Light"/>
                <w:b/>
                <w:bCs/>
                <w:color w:val="000000"/>
                <w:sz w:val="18"/>
                <w:lang w:eastAsia="en-AU"/>
              </w:rPr>
            </w:pPr>
            <w:r w:rsidRPr="00A07310">
              <w:rPr>
                <w:rFonts w:eastAsia="Times New Roman" w:cs="Segoe UI Light"/>
                <w:b/>
                <w:bCs/>
                <w:color w:val="000000"/>
                <w:sz w:val="18"/>
                <w:lang w:eastAsia="en-AU"/>
              </w:rPr>
              <w:t xml:space="preserve">Total </w:t>
            </w:r>
            <w:r w:rsidR="006F071A">
              <w:rPr>
                <w:rFonts w:eastAsia="Times New Roman" w:cs="Segoe UI Light"/>
                <w:b/>
                <w:bCs/>
                <w:color w:val="000000"/>
                <w:sz w:val="18"/>
                <w:lang w:eastAsia="en-AU"/>
              </w:rPr>
              <w:t xml:space="preserve">weighted </w:t>
            </w:r>
            <w:r w:rsidRPr="00A07310">
              <w:rPr>
                <w:rFonts w:eastAsia="Times New Roman" w:cs="Segoe UI Light"/>
                <w:b/>
                <w:bCs/>
                <w:color w:val="000000"/>
                <w:sz w:val="18"/>
                <w:lang w:eastAsia="en-AU"/>
              </w:rPr>
              <w:t>score</w:t>
            </w:r>
          </w:p>
        </w:tc>
        <w:tc>
          <w:tcPr>
            <w:tcW w:w="807" w:type="pct"/>
            <w:noWrap/>
            <w:hideMark/>
          </w:tcPr>
          <w:p w14:paraId="656B0818" w14:textId="77777777" w:rsidR="00213E13" w:rsidRPr="00A07310" w:rsidRDefault="00213E13" w:rsidP="00982D63">
            <w:pPr>
              <w:spacing w:after="0" w:line="240" w:lineRule="auto"/>
              <w:ind w:right="57"/>
              <w:jc w:val="right"/>
              <w:rPr>
                <w:rFonts w:eastAsia="Times New Roman" w:cs="Segoe UI Light"/>
                <w:b/>
                <w:bCs/>
                <w:color w:val="000000"/>
                <w:sz w:val="18"/>
                <w:lang w:eastAsia="en-AU"/>
              </w:rPr>
            </w:pPr>
            <w:r w:rsidRPr="00A07310">
              <w:rPr>
                <w:rFonts w:cs="Segoe UI Light"/>
                <w:b/>
                <w:bCs/>
                <w:color w:val="000000"/>
                <w:sz w:val="18"/>
              </w:rPr>
              <w:t>-</w:t>
            </w:r>
            <w:r w:rsidR="006F071A">
              <w:rPr>
                <w:rFonts w:cs="Segoe UI Light"/>
                <w:b/>
                <w:bCs/>
                <w:color w:val="000000"/>
                <w:sz w:val="18"/>
              </w:rPr>
              <w:t>1</w:t>
            </w:r>
          </w:p>
        </w:tc>
        <w:tc>
          <w:tcPr>
            <w:tcW w:w="807" w:type="pct"/>
            <w:noWrap/>
            <w:hideMark/>
          </w:tcPr>
          <w:p w14:paraId="656B0819" w14:textId="77777777" w:rsidR="00213E13" w:rsidRPr="00A07310" w:rsidRDefault="006F071A" w:rsidP="00982D63">
            <w:pPr>
              <w:spacing w:after="0" w:line="240" w:lineRule="auto"/>
              <w:ind w:right="57"/>
              <w:jc w:val="right"/>
              <w:rPr>
                <w:rFonts w:eastAsia="Times New Roman" w:cs="Segoe UI Light"/>
                <w:b/>
                <w:bCs/>
                <w:color w:val="000000"/>
                <w:sz w:val="18"/>
                <w:lang w:eastAsia="en-AU"/>
              </w:rPr>
            </w:pPr>
            <w:r>
              <w:rPr>
                <w:rFonts w:cs="Segoe UI Light"/>
                <w:b/>
                <w:bCs/>
                <w:color w:val="000000"/>
                <w:sz w:val="18"/>
              </w:rPr>
              <w:t>1</w:t>
            </w:r>
          </w:p>
        </w:tc>
        <w:tc>
          <w:tcPr>
            <w:tcW w:w="721" w:type="pct"/>
            <w:noWrap/>
            <w:hideMark/>
          </w:tcPr>
          <w:p w14:paraId="656B081A" w14:textId="77777777" w:rsidR="00213E13" w:rsidRPr="00A07310" w:rsidRDefault="006F071A" w:rsidP="00982D63">
            <w:pPr>
              <w:spacing w:after="0" w:line="240" w:lineRule="auto"/>
              <w:ind w:right="57"/>
              <w:jc w:val="right"/>
              <w:rPr>
                <w:rFonts w:eastAsia="Times New Roman" w:cs="Segoe UI Light"/>
                <w:b/>
                <w:bCs/>
                <w:color w:val="000000"/>
                <w:sz w:val="18"/>
                <w:lang w:eastAsia="en-AU"/>
              </w:rPr>
            </w:pPr>
            <w:r>
              <w:rPr>
                <w:rFonts w:cs="Segoe UI Light"/>
                <w:b/>
                <w:bCs/>
                <w:color w:val="000000"/>
                <w:sz w:val="18"/>
              </w:rPr>
              <w:t>1</w:t>
            </w:r>
          </w:p>
        </w:tc>
        <w:tc>
          <w:tcPr>
            <w:tcW w:w="774" w:type="pct"/>
            <w:noWrap/>
            <w:hideMark/>
          </w:tcPr>
          <w:p w14:paraId="656B081B" w14:textId="77777777" w:rsidR="00213E13" w:rsidRPr="00A07310" w:rsidRDefault="006B41DE" w:rsidP="00982D63">
            <w:pPr>
              <w:spacing w:after="0" w:line="240" w:lineRule="auto"/>
              <w:ind w:right="57"/>
              <w:jc w:val="right"/>
              <w:rPr>
                <w:rFonts w:eastAsia="Times New Roman" w:cs="Segoe UI Light"/>
                <w:b/>
                <w:bCs/>
                <w:color w:val="000000"/>
                <w:sz w:val="18"/>
                <w:lang w:eastAsia="en-AU"/>
              </w:rPr>
            </w:pPr>
            <w:r>
              <w:rPr>
                <w:rFonts w:cs="Segoe UI Light"/>
                <w:b/>
                <w:bCs/>
                <w:color w:val="000000"/>
                <w:sz w:val="18"/>
              </w:rPr>
              <w:t>0</w:t>
            </w:r>
          </w:p>
        </w:tc>
      </w:tr>
    </w:tbl>
    <w:p w14:paraId="656B081D" w14:textId="77777777" w:rsidR="00213E13" w:rsidRDefault="00213E13" w:rsidP="00213E13">
      <w:pPr>
        <w:pStyle w:val="Bullet1"/>
        <w:ind w:left="0" w:firstLine="0"/>
      </w:pPr>
    </w:p>
    <w:p w14:paraId="656B081E" w14:textId="77777777" w:rsidR="00EA09FA" w:rsidRPr="00D96322" w:rsidRDefault="00EA09FA" w:rsidP="00982D63">
      <w:pPr>
        <w:pStyle w:val="Heading2"/>
      </w:pPr>
      <w:r>
        <w:t>Break-even analysis for preferred options</w:t>
      </w:r>
    </w:p>
    <w:p w14:paraId="656B081F" w14:textId="77777777" w:rsidR="00EA09FA" w:rsidRDefault="00EA09FA" w:rsidP="00EA09FA">
      <w:r>
        <w:t xml:space="preserve">The costs of the preferred options for each of the above four areas of waste regulation (industrial waste </w:t>
      </w:r>
      <w:r w:rsidRPr="00897B14">
        <w:t xml:space="preserve">classification, lawful place, priority waste and reportable priority waste) are compared in this section to </w:t>
      </w:r>
      <w:r>
        <w:t xml:space="preserve">the costs of waste mismanagement. This analysis is </w:t>
      </w:r>
      <w:r w:rsidR="005D3927">
        <w:t xml:space="preserve">combined </w:t>
      </w:r>
      <w:r w:rsidRPr="00897B14">
        <w:t xml:space="preserve">because these </w:t>
      </w:r>
      <w:r w:rsidR="005D3927">
        <w:t xml:space="preserve">areas of proposed </w:t>
      </w:r>
      <w:r w:rsidRPr="00775C9B">
        <w:t>waste regulation work together and interact as a holistic piece of regulation</w:t>
      </w:r>
      <w:r>
        <w:t xml:space="preserve"> to achieve the benefits of improved waste management (i.e. to avoid waste mismanagement costs)</w:t>
      </w:r>
      <w:r w:rsidRPr="00775C9B">
        <w:t xml:space="preserve">. </w:t>
      </w:r>
    </w:p>
    <w:p w14:paraId="656B0820" w14:textId="77777777" w:rsidR="00EA09FA" w:rsidRDefault="00EA09FA" w:rsidP="00EA09FA">
      <w:r>
        <w:t xml:space="preserve">The costs of the preferred options total $805 million over 10 years in present value terms. To generate a positive NPV, the four waste options would collectively need to achieve a 47.3% avoidance in waste mismanagement costs (i.e. stockpile fires, waste abandonment and illegal dumping calculated in </w:t>
      </w:r>
      <w:r w:rsidRPr="00C71FFA">
        <w:t>Section 9.4.4</w:t>
      </w:r>
      <w:r>
        <w:t>). Individually this means:</w:t>
      </w:r>
    </w:p>
    <w:p w14:paraId="656B0821" w14:textId="77777777" w:rsidR="00EA09FA" w:rsidRDefault="00EA09FA" w:rsidP="00EA09FA">
      <w:pPr>
        <w:pStyle w:val="ListParagraph"/>
        <w:numPr>
          <w:ilvl w:val="0"/>
          <w:numId w:val="388"/>
        </w:numPr>
      </w:pPr>
      <w:r>
        <w:t>Industrial waste classification (Option 2) would need to contribute a 27% avoidance in waste mismanagement costs to generate a positive NPV</w:t>
      </w:r>
    </w:p>
    <w:p w14:paraId="656B0822" w14:textId="77777777" w:rsidR="00EA09FA" w:rsidRDefault="00EA09FA" w:rsidP="00EA09FA">
      <w:pPr>
        <w:pStyle w:val="ListParagraph"/>
        <w:numPr>
          <w:ilvl w:val="0"/>
          <w:numId w:val="388"/>
        </w:numPr>
      </w:pPr>
      <w:r>
        <w:t>Lawful place (Option 2) would need to contribute to 1.3% avoidance</w:t>
      </w:r>
    </w:p>
    <w:p w14:paraId="656B0823" w14:textId="77777777" w:rsidR="00EA09FA" w:rsidRDefault="00EA09FA" w:rsidP="00EA09FA">
      <w:pPr>
        <w:pStyle w:val="ListParagraph"/>
        <w:numPr>
          <w:ilvl w:val="0"/>
          <w:numId w:val="388"/>
        </w:numPr>
      </w:pPr>
      <w:r>
        <w:t>Priority waste (Option 1a) would need to contribute to 12% avoidance</w:t>
      </w:r>
    </w:p>
    <w:p w14:paraId="656B0824" w14:textId="15AEF1CD" w:rsidR="00EA09FA" w:rsidRDefault="00EA09FA" w:rsidP="00EA09FA">
      <w:pPr>
        <w:pStyle w:val="ListParagraph"/>
        <w:numPr>
          <w:ilvl w:val="0"/>
          <w:numId w:val="388"/>
        </w:numPr>
      </w:pPr>
      <w:r>
        <w:t xml:space="preserve">Reportable priority waste (cohort </w:t>
      </w:r>
      <w:r w:rsidR="00934E67">
        <w:t xml:space="preserve">Option </w:t>
      </w:r>
      <w:r>
        <w:t xml:space="preserve">1 and transport </w:t>
      </w:r>
      <w:r w:rsidR="00934E67">
        <w:t xml:space="preserve">Option </w:t>
      </w:r>
      <w:r>
        <w:t>2) would need to contribute to 7% avoidance.</w:t>
      </w:r>
    </w:p>
    <w:p w14:paraId="656B0825" w14:textId="4883C9ED" w:rsidR="00EA09FA" w:rsidRDefault="00EA09FA" w:rsidP="000D1529">
      <w:r>
        <w:t xml:space="preserve">Note that this estimate is based on recent mismanagement costs observed in Victoria, which may differ from waste mismanagement costs in the Base Case. These waste mismanagement costs also represent a partial picture of the true cost of waste mismanagement in Victoria, with many other mismanagement costs not able to be quantified. </w:t>
      </w:r>
      <w:r w:rsidR="000603F4">
        <w:t>Therefore</w:t>
      </w:r>
      <w:r w:rsidR="00C91C41">
        <w:t>,</w:t>
      </w:r>
      <w:r w:rsidR="000603F4">
        <w:t xml:space="preserve"> EPA considers it is likely that the benefits from improved waste management will outweigh the costs of regulation</w:t>
      </w:r>
      <w:r>
        <w:t>.</w:t>
      </w:r>
    </w:p>
    <w:p w14:paraId="656B0826" w14:textId="77777777" w:rsidR="00213E13" w:rsidRDefault="00213E13" w:rsidP="00982D63">
      <w:pPr>
        <w:pStyle w:val="Heading2"/>
      </w:pPr>
      <w:r>
        <w:t xml:space="preserve">Landfill </w:t>
      </w:r>
    </w:p>
    <w:p w14:paraId="656B0827" w14:textId="60CF8D20" w:rsidR="00213E13" w:rsidRDefault="00895DE4" w:rsidP="00494A7B">
      <w:pPr>
        <w:spacing w:after="160" w:line="259" w:lineRule="auto"/>
      </w:pPr>
      <w:r>
        <w:t>L</w:t>
      </w:r>
      <w:r w:rsidR="00213E13">
        <w:t xml:space="preserve">andfills will continue to be part of Victoria’s approach to waste management, but the </w:t>
      </w:r>
      <w:r w:rsidR="00EC1446">
        <w:t xml:space="preserve">potentially significant </w:t>
      </w:r>
      <w:r w:rsidR="00213E13">
        <w:t xml:space="preserve">risk of harm to human health and the environment posed from landfills </w:t>
      </w:r>
      <w:r w:rsidR="00EC1446">
        <w:t xml:space="preserve">needs to be </w:t>
      </w:r>
      <w:r w:rsidR="00213E13">
        <w:t xml:space="preserve">minimised. </w:t>
      </w:r>
      <w:r w:rsidR="00B10622">
        <w:t xml:space="preserve">According to EPA’s landfill register, there are </w:t>
      </w:r>
      <w:r w:rsidR="009554A5">
        <w:t xml:space="preserve">currently 82 operating landfills in Victoria and over 515 </w:t>
      </w:r>
      <w:r w:rsidR="00B10622">
        <w:t>that are closed, many of which require ongoing management.</w:t>
      </w:r>
      <w:r w:rsidR="0095308C" w:rsidRPr="0095308C">
        <w:rPr>
          <w:rFonts w:asciiTheme="majorHAnsi" w:eastAsiaTheme="majorEastAsia" w:hAnsiTheme="majorHAnsi" w:cstheme="majorBidi"/>
          <w:color w:val="000000" w:themeColor="text1"/>
          <w:szCs w:val="20"/>
        </w:rPr>
        <w:t xml:space="preserve"> </w:t>
      </w:r>
    </w:p>
    <w:p w14:paraId="656B0828" w14:textId="77777777" w:rsidR="00213E13" w:rsidRDefault="00213E13" w:rsidP="00213E13">
      <w:r w:rsidRPr="00807705">
        <w:t xml:space="preserve">Landfill </w:t>
      </w:r>
      <w:r w:rsidRPr="00AD136A">
        <w:t>planning</w:t>
      </w:r>
      <w:r w:rsidRPr="00807705">
        <w:t xml:space="preserve"> </w:t>
      </w:r>
      <w:r w:rsidRPr="00AD136A">
        <w:t>includes</w:t>
      </w:r>
      <w:r w:rsidRPr="00807705">
        <w:t xml:space="preserve"> selecting the most</w:t>
      </w:r>
      <w:r w:rsidRPr="00AD136A">
        <w:t xml:space="preserve"> </w:t>
      </w:r>
      <w:r w:rsidRPr="00807705">
        <w:t xml:space="preserve">appropriate site </w:t>
      </w:r>
      <w:r w:rsidRPr="00AD136A">
        <w:t>that minimises the risks to human health and the environment</w:t>
      </w:r>
      <w:r w:rsidRPr="00807705">
        <w:t>. The design of a landfill must be able to</w:t>
      </w:r>
      <w:r w:rsidRPr="00AD136A">
        <w:t xml:space="preserve"> </w:t>
      </w:r>
      <w:r w:rsidRPr="00807705">
        <w:t>ensure the protection of the environment, for</w:t>
      </w:r>
      <w:r w:rsidRPr="00AD136A">
        <w:t xml:space="preserve"> </w:t>
      </w:r>
      <w:r w:rsidRPr="00807705">
        <w:t>example preventing contamination of groundwater</w:t>
      </w:r>
      <w:r w:rsidRPr="00AD136A">
        <w:t xml:space="preserve"> </w:t>
      </w:r>
      <w:r w:rsidRPr="00807705">
        <w:t>by leachate</w:t>
      </w:r>
      <w:r>
        <w:t xml:space="preserve"> as well as protect amenity by containing waste on</w:t>
      </w:r>
      <w:r w:rsidR="00DD5CE9">
        <w:t>-</w:t>
      </w:r>
      <w:r>
        <w:t>site and minimising odour</w:t>
      </w:r>
      <w:r w:rsidRPr="00807705">
        <w:t xml:space="preserve">. The </w:t>
      </w:r>
      <w:r w:rsidRPr="00AD136A">
        <w:t xml:space="preserve">operation </w:t>
      </w:r>
      <w:r w:rsidRPr="00807705">
        <w:t>of a landfill includes</w:t>
      </w:r>
      <w:r w:rsidRPr="00AD136A">
        <w:t xml:space="preserve"> a </w:t>
      </w:r>
      <w:r>
        <w:t xml:space="preserve">landfill’s construction and </w:t>
      </w:r>
      <w:r w:rsidRPr="00807705">
        <w:t>operation</w:t>
      </w:r>
      <w:r>
        <w:t>, including collection and management of leachate and landfill gas and ensuring adequate cover material</w:t>
      </w:r>
      <w:r w:rsidRPr="00AD136A">
        <w:t xml:space="preserve">. </w:t>
      </w:r>
    </w:p>
    <w:p w14:paraId="656B0829" w14:textId="77777777" w:rsidR="00213E13" w:rsidRDefault="00213E13" w:rsidP="00213E13">
      <w:r>
        <w:t xml:space="preserve">This RIS considers regulatory options for landfill siting, and for clarifying technical landfill requirements related to design, construction and operation of landfills. </w:t>
      </w:r>
    </w:p>
    <w:p w14:paraId="656B082A" w14:textId="77777777" w:rsidR="00355E4A" w:rsidRPr="00196449" w:rsidRDefault="00355E4A" w:rsidP="00355E4A">
      <w:r>
        <w:t xml:space="preserve">In </w:t>
      </w:r>
      <w:r w:rsidR="00B90D7A">
        <w:t>identifying</w:t>
      </w:r>
      <w:r>
        <w:t xml:space="preserve"> the areas that may require regulations, and options to address these requirements, DELWP and EPA </w:t>
      </w:r>
      <w:r w:rsidRPr="00196449">
        <w:t xml:space="preserve">evaluated existing landfill legislation and guidance on a clause-by-clause basis to establish their </w:t>
      </w:r>
      <w:r w:rsidR="00B90D7A">
        <w:t>need and value</w:t>
      </w:r>
      <w:r w:rsidRPr="00196449">
        <w:t xml:space="preserve"> under the new </w:t>
      </w:r>
      <w:r w:rsidR="00B90D7A">
        <w:t>EP legislation</w:t>
      </w:r>
      <w:r w:rsidRPr="00196449">
        <w:t xml:space="preserve">. </w:t>
      </w:r>
      <w:r w:rsidR="0063296B">
        <w:t xml:space="preserve">This was also informed by information collected through regular audits. The areas being considered for regulations </w:t>
      </w:r>
      <w:r w:rsidR="00C753E0">
        <w:t>cover the key matters</w:t>
      </w:r>
      <w:r w:rsidR="0063296B">
        <w:t xml:space="preserve"> a landfill operator must consider to avoid damage to the environment. </w:t>
      </w:r>
      <w:r w:rsidRPr="00196449">
        <w:t>These areas are:</w:t>
      </w:r>
    </w:p>
    <w:p w14:paraId="656B082B" w14:textId="77777777" w:rsidR="00355E4A" w:rsidRPr="00196449" w:rsidRDefault="00355E4A" w:rsidP="00355E4A">
      <w:pPr>
        <w:numPr>
          <w:ilvl w:val="0"/>
          <w:numId w:val="195"/>
        </w:numPr>
        <w:spacing w:after="0" w:line="240" w:lineRule="auto"/>
      </w:pPr>
      <w:r w:rsidRPr="00196449">
        <w:t>Landfill siting prohibitions, high hazard waste and other existing bans</w:t>
      </w:r>
      <w:r w:rsidR="00C753E0">
        <w:t>.</w:t>
      </w:r>
    </w:p>
    <w:p w14:paraId="656B082C" w14:textId="77777777" w:rsidR="00355E4A" w:rsidRPr="00196449" w:rsidRDefault="00355E4A" w:rsidP="00355E4A">
      <w:pPr>
        <w:numPr>
          <w:ilvl w:val="0"/>
          <w:numId w:val="195"/>
        </w:numPr>
        <w:spacing w:after="0" w:line="240" w:lineRule="auto"/>
      </w:pPr>
      <w:r w:rsidRPr="00196449">
        <w:t>Landfill operational controls</w:t>
      </w:r>
      <w:r w:rsidR="00C753E0">
        <w:t>.</w:t>
      </w:r>
    </w:p>
    <w:p w14:paraId="656B082D" w14:textId="77777777" w:rsidR="00355E4A" w:rsidRPr="00196449" w:rsidRDefault="00355E4A" w:rsidP="00355E4A">
      <w:pPr>
        <w:numPr>
          <w:ilvl w:val="0"/>
          <w:numId w:val="195"/>
        </w:numPr>
        <w:spacing w:after="160" w:line="252" w:lineRule="auto"/>
        <w:contextualSpacing/>
      </w:pPr>
      <w:r w:rsidRPr="00196449">
        <w:t>Landfill infrastructure scheduling</w:t>
      </w:r>
      <w:r w:rsidR="00C753E0">
        <w:t>.</w:t>
      </w:r>
    </w:p>
    <w:p w14:paraId="656B082E" w14:textId="77777777" w:rsidR="00355E4A" w:rsidRDefault="00355E4A" w:rsidP="00196449">
      <w:pPr>
        <w:numPr>
          <w:ilvl w:val="0"/>
          <w:numId w:val="195"/>
        </w:numPr>
        <w:spacing w:after="160" w:line="252" w:lineRule="auto"/>
        <w:contextualSpacing/>
      </w:pPr>
      <w:r w:rsidRPr="00196449">
        <w:t xml:space="preserve">Defining categories of priority wastes for disposal and waste levy calculations. </w:t>
      </w:r>
      <w:bookmarkStart w:id="646" w:name="_Hlk9856229"/>
    </w:p>
    <w:p w14:paraId="656B082F" w14:textId="77777777" w:rsidR="00355E4A" w:rsidRDefault="00355E4A" w:rsidP="00196449">
      <w:pPr>
        <w:spacing w:after="160" w:line="252" w:lineRule="auto"/>
        <w:ind w:left="720"/>
        <w:contextualSpacing/>
      </w:pPr>
    </w:p>
    <w:p w14:paraId="656B0830" w14:textId="77777777" w:rsidR="00355E4A" w:rsidRPr="00AD136A" w:rsidRDefault="00355E4A" w:rsidP="00213E13">
      <w:r>
        <w:t xml:space="preserve">The common </w:t>
      </w:r>
      <w:r w:rsidRPr="00196449">
        <w:t xml:space="preserve">criteria applied </w:t>
      </w:r>
      <w:r>
        <w:t xml:space="preserve">in developing options </w:t>
      </w:r>
      <w:r w:rsidRPr="00196449">
        <w:t xml:space="preserve">are a preference for administrative certainty, technical accuracy and enforceability. </w:t>
      </w:r>
      <w:bookmarkEnd w:id="646"/>
    </w:p>
    <w:p w14:paraId="656B0831" w14:textId="77777777" w:rsidR="00213E13" w:rsidRPr="00B27C4A" w:rsidRDefault="00213E13" w:rsidP="00196449">
      <w:pPr>
        <w:pStyle w:val="Heading3"/>
        <w:ind w:left="720"/>
      </w:pPr>
      <w:r w:rsidRPr="00B27C4A">
        <w:t xml:space="preserve">Landfill </w:t>
      </w:r>
      <w:r w:rsidRPr="00A070FA">
        <w:t xml:space="preserve">siting </w:t>
      </w:r>
    </w:p>
    <w:p w14:paraId="656B0832" w14:textId="77777777" w:rsidR="00213E13" w:rsidRDefault="00213E13" w:rsidP="00457DB8">
      <w:pPr>
        <w:pStyle w:val="Heading4"/>
      </w:pPr>
      <w:r w:rsidRPr="00A070FA">
        <w:t xml:space="preserve">Options </w:t>
      </w:r>
    </w:p>
    <w:p w14:paraId="656B0833" w14:textId="77777777" w:rsidR="00213E13" w:rsidRPr="00B27C4A" w:rsidRDefault="00213E13" w:rsidP="00213E13">
      <w:r w:rsidRPr="00A070FA">
        <w:t>The following options are considered in this RIS:</w:t>
      </w:r>
    </w:p>
    <w:p w14:paraId="656B0834" w14:textId="77777777" w:rsidR="00213E13" w:rsidRPr="003318AB" w:rsidRDefault="00213E13" w:rsidP="00213E13">
      <w:pPr>
        <w:pStyle w:val="Bullet1"/>
        <w:numPr>
          <w:ilvl w:val="0"/>
          <w:numId w:val="42"/>
        </w:numPr>
      </w:pPr>
      <w:r w:rsidRPr="003318AB">
        <w:rPr>
          <w:b/>
        </w:rPr>
        <w:t>Base case:</w:t>
      </w:r>
      <w:r w:rsidRPr="003318AB">
        <w:t xml:space="preserve"> </w:t>
      </w:r>
      <w:r>
        <w:t>No</w:t>
      </w:r>
      <w:r w:rsidRPr="003318AB">
        <w:t xml:space="preserve"> specific landfill requirements are prescribed</w:t>
      </w:r>
      <w:r w:rsidR="00DC7A63">
        <w:t xml:space="preserve">. </w:t>
      </w:r>
    </w:p>
    <w:p w14:paraId="656B0835" w14:textId="77777777" w:rsidR="00213E13" w:rsidRDefault="00213E13" w:rsidP="00213E13">
      <w:pPr>
        <w:pStyle w:val="Bullet1"/>
        <w:numPr>
          <w:ilvl w:val="0"/>
          <w:numId w:val="42"/>
        </w:numPr>
      </w:pPr>
      <w:r w:rsidRPr="003318AB">
        <w:rPr>
          <w:b/>
        </w:rPr>
        <w:t>Option 1:</w:t>
      </w:r>
      <w:r w:rsidRPr="003318AB">
        <w:t xml:space="preserve"> Guidance issued under section 42</w:t>
      </w:r>
      <w:r w:rsidR="00692B80">
        <w:t>7</w:t>
      </w:r>
      <w:r w:rsidRPr="003318AB">
        <w:t xml:space="preserve"> of </w:t>
      </w:r>
      <w:r w:rsidR="00CE519E">
        <w:t>the new EP legislation.</w:t>
      </w:r>
      <w:r w:rsidR="00676531">
        <w:rPr>
          <w:rStyle w:val="FootnoteReference"/>
        </w:rPr>
        <w:footnoteReference w:id="168"/>
      </w:r>
    </w:p>
    <w:p w14:paraId="656B0836" w14:textId="77777777" w:rsidR="00213E13" w:rsidRDefault="00213E13" w:rsidP="00213E13">
      <w:pPr>
        <w:pStyle w:val="Bullet1"/>
        <w:numPr>
          <w:ilvl w:val="0"/>
          <w:numId w:val="42"/>
        </w:numPr>
      </w:pPr>
      <w:r w:rsidRPr="004844AE">
        <w:rPr>
          <w:b/>
        </w:rPr>
        <w:t>Option 2</w:t>
      </w:r>
      <w:r w:rsidRPr="00C32604">
        <w:t>: Regulation prescribes</w:t>
      </w:r>
      <w:r>
        <w:t xml:space="preserve"> that </w:t>
      </w:r>
      <w:r w:rsidRPr="00C32604">
        <w:t xml:space="preserve">sensitive environmental areas </w:t>
      </w:r>
      <w:r>
        <w:t>must not be impacted by a landfill</w:t>
      </w:r>
      <w:r w:rsidR="00D23978">
        <w:t>.</w:t>
      </w:r>
    </w:p>
    <w:p w14:paraId="656B0837" w14:textId="77777777" w:rsidR="0063296B" w:rsidRDefault="0063296B" w:rsidP="00494A7B">
      <w:pPr>
        <w:pStyle w:val="Bullet1"/>
        <w:ind w:firstLine="0"/>
      </w:pPr>
    </w:p>
    <w:p w14:paraId="656B0838" w14:textId="77777777" w:rsidR="0063296B" w:rsidRDefault="0063296B" w:rsidP="00494A7B">
      <w:pPr>
        <w:pStyle w:val="Bullet1"/>
        <w:spacing w:before="120"/>
        <w:ind w:hanging="720"/>
      </w:pPr>
      <w:r>
        <w:t>Due to lack of quantifiable data, a largely qualitative analysis is undertaken.</w:t>
      </w:r>
    </w:p>
    <w:p w14:paraId="656B0839" w14:textId="77777777" w:rsidR="00213E13" w:rsidRDefault="00213E13" w:rsidP="00457DB8">
      <w:pPr>
        <w:pStyle w:val="Heading4"/>
      </w:pPr>
      <w:r w:rsidRPr="00FF2BFD">
        <w:t>Analysis</w:t>
      </w:r>
    </w:p>
    <w:p w14:paraId="656B083A" w14:textId="77777777" w:rsidR="00213E13" w:rsidRDefault="00213E13" w:rsidP="00213E13">
      <w:r>
        <w:t xml:space="preserve">Under the Base Case, there are no prescribed requirements for where a landfill might be sited. As noted </w:t>
      </w:r>
      <w:r w:rsidR="00C753E0">
        <w:t>elsewhere</w:t>
      </w:r>
      <w:r>
        <w:t>, harms from poor landfill management can include the following:</w:t>
      </w:r>
    </w:p>
    <w:p w14:paraId="656B083B" w14:textId="77777777" w:rsidR="00213E13" w:rsidRDefault="00213E13" w:rsidP="00213E13">
      <w:pPr>
        <w:pStyle w:val="ListParagraph"/>
        <w:numPr>
          <w:ilvl w:val="0"/>
          <w:numId w:val="133"/>
        </w:numPr>
      </w:pPr>
      <w:r>
        <w:t>Leaching of stored materials, leading to contamination of soils, surface water and groundwater</w:t>
      </w:r>
      <w:r w:rsidR="00C753E0">
        <w:t>.</w:t>
      </w:r>
    </w:p>
    <w:p w14:paraId="656B083C" w14:textId="77777777" w:rsidR="00213E13" w:rsidRDefault="00213E13" w:rsidP="00213E13">
      <w:pPr>
        <w:pStyle w:val="ListParagraph"/>
        <w:numPr>
          <w:ilvl w:val="0"/>
          <w:numId w:val="133"/>
        </w:numPr>
      </w:pPr>
      <w:r>
        <w:t xml:space="preserve">Landfill without appropriate engineering containment or acceptance criteria </w:t>
      </w:r>
      <w:r w:rsidR="00C753E0">
        <w:t xml:space="preserve">is </w:t>
      </w:r>
      <w:r>
        <w:t>likely to allow contaminants, such as heavy metals and persistent chemical compounds, to enter ground or surface waters</w:t>
      </w:r>
      <w:r w:rsidR="00C753E0">
        <w:t>.</w:t>
      </w:r>
    </w:p>
    <w:p w14:paraId="656B083D" w14:textId="77777777" w:rsidR="00213E13" w:rsidRDefault="00213E13" w:rsidP="00213E13">
      <w:pPr>
        <w:pStyle w:val="ListParagraph"/>
        <w:numPr>
          <w:ilvl w:val="0"/>
          <w:numId w:val="133"/>
        </w:numPr>
      </w:pPr>
      <w:r>
        <w:t>Odour from activities such as landfilling and open windrow composting can cause substantial distress to residents, resulting in a significant number of complaints to the EPA</w:t>
      </w:r>
      <w:r w:rsidR="00C753E0">
        <w:t>.</w:t>
      </w:r>
    </w:p>
    <w:p w14:paraId="656B083E" w14:textId="77777777" w:rsidR="00213E13" w:rsidRDefault="00213E13" w:rsidP="00213E13">
      <w:pPr>
        <w:pStyle w:val="ListParagraph"/>
        <w:numPr>
          <w:ilvl w:val="0"/>
          <w:numId w:val="133"/>
        </w:numPr>
      </w:pPr>
      <w:r>
        <w:t xml:space="preserve">Landfill gas that migrates into the surrounding ground and atmosphere, creating an environmental hazard and causing odours. </w:t>
      </w:r>
    </w:p>
    <w:p w14:paraId="656B083F" w14:textId="77777777" w:rsidR="00213E13" w:rsidRDefault="00213E13" w:rsidP="00213E13">
      <w:pPr>
        <w:pStyle w:val="ListParagraph"/>
        <w:numPr>
          <w:ilvl w:val="0"/>
          <w:numId w:val="133"/>
        </w:numPr>
      </w:pPr>
      <w:r>
        <w:t>Landfill gas contains other gases at low concentrations, many of which are odorous at extremely low concentrations in air and give landfill gas its characteristic smell. Many of these gases are also toxic or otherwise hazardous to health.</w:t>
      </w:r>
    </w:p>
    <w:p w14:paraId="656B0840" w14:textId="77777777" w:rsidR="00213E13" w:rsidRDefault="00213E13" w:rsidP="00213E13">
      <w:r>
        <w:t>By prescribing restricted areas, relative to the Base Case</w:t>
      </w:r>
      <w:r w:rsidR="00262121">
        <w:t xml:space="preserve"> and Option 1</w:t>
      </w:r>
      <w:r>
        <w:t xml:space="preserve">, Option 2 lowers the risk that a landfill </w:t>
      </w:r>
      <w:r w:rsidR="00262121">
        <w:t>will be</w:t>
      </w:r>
      <w:r>
        <w:t xml:space="preserve"> approved in a</w:t>
      </w:r>
      <w:r w:rsidR="00262121">
        <w:t>n environmentally</w:t>
      </w:r>
      <w:r>
        <w:t xml:space="preserve"> sensitive area, which is important because of the significant harms that can be caused by poorly managed landfill sites. </w:t>
      </w:r>
    </w:p>
    <w:p w14:paraId="656B0841" w14:textId="77777777" w:rsidR="00213E13" w:rsidRDefault="00213E13" w:rsidP="00213E13">
      <w:r>
        <w:t xml:space="preserve">Government costs associated with landfill planning will be those borne by </w:t>
      </w:r>
      <w:r w:rsidRPr="00A070FA">
        <w:t>Victoria’s seven Waste and Resource Recovery Groups</w:t>
      </w:r>
      <w:r>
        <w:t xml:space="preserve"> along</w:t>
      </w:r>
      <w:r w:rsidRPr="00A070FA">
        <w:t xml:space="preserve"> with othe</w:t>
      </w:r>
      <w:r>
        <w:t>r Victorian government agencies and</w:t>
      </w:r>
      <w:r w:rsidRPr="00A070FA">
        <w:t xml:space="preserve"> local governments</w:t>
      </w:r>
      <w:r>
        <w:t xml:space="preserve"> that are involved in infrastructure planning. By specifying the restricted areas, and thus reducing the need for these entities to examine whether areas are environmenta</w:t>
      </w:r>
      <w:r w:rsidR="0063296B">
        <w:t>l</w:t>
      </w:r>
      <w:r>
        <w:t>l</w:t>
      </w:r>
      <w:r w:rsidR="0063296B">
        <w:t>y</w:t>
      </w:r>
      <w:r>
        <w:t xml:space="preserve"> sensitive, Option 2 is likely to reduce the costs of making and contributing to landfill planning decisions.</w:t>
      </w:r>
    </w:p>
    <w:p w14:paraId="656B0842" w14:textId="77777777" w:rsidR="00A673DF" w:rsidRDefault="00213E13" w:rsidP="00A673DF">
      <w:r>
        <w:t>Industry is also likely to benefit in terms of clarifying the areas that landfills can be built, therefore reducing costs of developing applications for new landfills e.g. developing applications for areas that might be assessed as unsuitable for landfill development, or reducing the need for engaging expert advice on environment assessment.</w:t>
      </w:r>
    </w:p>
    <w:p w14:paraId="656B0843" w14:textId="77777777" w:rsidR="00A673DF" w:rsidRDefault="00A673DF" w:rsidP="00213E13"/>
    <w:p w14:paraId="656B0844" w14:textId="77777777" w:rsidR="00213E13" w:rsidRPr="00A070FA" w:rsidRDefault="00213E13" w:rsidP="00457DB8">
      <w:pPr>
        <w:pStyle w:val="Heading4"/>
      </w:pPr>
      <w:r w:rsidRPr="00A070FA">
        <w:t xml:space="preserve">Summary – preferred option </w:t>
      </w:r>
    </w:p>
    <w:p w14:paraId="656B0845" w14:textId="77777777" w:rsidR="00A673DF" w:rsidRPr="00A673DF" w:rsidRDefault="00A673DF" w:rsidP="00CB1191">
      <w:pPr>
        <w:pStyle w:val="Heading3un-numbered"/>
        <w:spacing w:after="100" w:afterAutospacing="1"/>
      </w:pPr>
      <w:r w:rsidRPr="00CB1191">
        <w:rPr>
          <w:b w:val="0"/>
        </w:rPr>
        <w:t>Option 1 has some of the same benefits as Option 2 of avoiding siting landfills in potentially environmentally sensitive areas, but with less certainty as it is non-mandatory. On the other hand, this means Option 1 provides more flexibility in the siting of landfills, potentially reducing the costs of opening a landfill or transporting to landfill. On balance, it is expected the environmental risks of siting a landfill in an environmentally sensitive area clearly outweigh the greater flexibility provided by Option 1. Therefore Option 2 is pref</w:t>
      </w:r>
      <w:r>
        <w:rPr>
          <w:b w:val="0"/>
        </w:rPr>
        <w:t>erred to both Option 1 and the Base c</w:t>
      </w:r>
      <w:r w:rsidRPr="00CB1191">
        <w:rPr>
          <w:b w:val="0"/>
        </w:rPr>
        <w:t>ase.</w:t>
      </w:r>
    </w:p>
    <w:p w14:paraId="656B0846" w14:textId="77777777" w:rsidR="00213E13" w:rsidRDefault="00213E13" w:rsidP="00196449">
      <w:pPr>
        <w:pStyle w:val="Heading3"/>
        <w:ind w:left="720"/>
      </w:pPr>
      <w:r>
        <w:t>Clarifying technical landfill requirements – design, construction and operation</w:t>
      </w:r>
    </w:p>
    <w:p w14:paraId="656B0847" w14:textId="77777777" w:rsidR="00213E13" w:rsidRPr="00A070FA" w:rsidRDefault="00213E13" w:rsidP="00213E13">
      <w:pPr>
        <w:pStyle w:val="Heading3un-numbered"/>
        <w:spacing w:after="0"/>
        <w:rPr>
          <w:b w:val="0"/>
        </w:rPr>
      </w:pPr>
      <w:r w:rsidRPr="00A070FA">
        <w:rPr>
          <w:b w:val="0"/>
        </w:rPr>
        <w:t xml:space="preserve">This section address the following issues: </w:t>
      </w:r>
    </w:p>
    <w:p w14:paraId="656B0848" w14:textId="77777777" w:rsidR="00213E13" w:rsidRDefault="00213E13" w:rsidP="00213E13">
      <w:pPr>
        <w:pStyle w:val="ListNumber"/>
        <w:numPr>
          <w:ilvl w:val="0"/>
          <w:numId w:val="120"/>
        </w:numPr>
        <w:spacing w:after="120"/>
        <w:rPr>
          <w:b/>
        </w:rPr>
      </w:pPr>
      <w:r w:rsidRPr="00196449">
        <w:rPr>
          <w:b/>
        </w:rPr>
        <w:t xml:space="preserve">Acceptance of </w:t>
      </w:r>
      <w:r w:rsidR="0059551D" w:rsidRPr="003D6AF8">
        <w:rPr>
          <w:b/>
        </w:rPr>
        <w:t xml:space="preserve">the </w:t>
      </w:r>
      <w:r w:rsidRPr="00196449">
        <w:rPr>
          <w:b/>
        </w:rPr>
        <w:t>waste</w:t>
      </w:r>
      <w:r w:rsidR="0059551D" w:rsidRPr="003D6AF8">
        <w:rPr>
          <w:b/>
        </w:rPr>
        <w:t>s</w:t>
      </w:r>
      <w:r w:rsidRPr="00196449">
        <w:rPr>
          <w:b/>
        </w:rPr>
        <w:t xml:space="preserve"> to landfill</w:t>
      </w:r>
      <w:r w:rsidRPr="003D6AF8">
        <w:t>.</w:t>
      </w:r>
      <w:r w:rsidR="0059551D" w:rsidRPr="0059551D">
        <w:t xml:space="preserve"> </w:t>
      </w:r>
      <w:r w:rsidR="00EB1B44">
        <w:t>Selected waste</w:t>
      </w:r>
      <w:r w:rsidR="00262121">
        <w:t>s</w:t>
      </w:r>
      <w:r w:rsidR="00EB1B44">
        <w:t>, (outlined below) represent a greater</w:t>
      </w:r>
      <w:r w:rsidR="0059551D" w:rsidRPr="00A070FA">
        <w:t>-risk</w:t>
      </w:r>
      <w:r w:rsidR="00EB1B44">
        <w:t xml:space="preserve"> when taken to landfills:</w:t>
      </w:r>
    </w:p>
    <w:p w14:paraId="656B0849" w14:textId="77777777" w:rsidR="0059551D" w:rsidRPr="00A070FA" w:rsidRDefault="0059551D" w:rsidP="0059551D">
      <w:pPr>
        <w:pStyle w:val="Bullet1"/>
        <w:numPr>
          <w:ilvl w:val="1"/>
          <w:numId w:val="120"/>
        </w:numPr>
      </w:pPr>
      <w:r w:rsidRPr="00A070FA">
        <w:rPr>
          <w:b/>
        </w:rPr>
        <w:t xml:space="preserve">Liquid waste: </w:t>
      </w:r>
      <w:r w:rsidRPr="00A070FA">
        <w:t>Dis</w:t>
      </w:r>
      <w:r>
        <w:t>posal</w:t>
      </w:r>
      <w:r w:rsidRPr="00A070FA">
        <w:t xml:space="preserve"> of liquid waste into landfill can </w:t>
      </w:r>
      <w:r>
        <w:t xml:space="preserve">exacerbate </w:t>
      </w:r>
      <w:r w:rsidRPr="00A070FA">
        <w:t xml:space="preserve">leaching of substances </w:t>
      </w:r>
      <w:r>
        <w:t xml:space="preserve">in </w:t>
      </w:r>
      <w:r w:rsidRPr="00A070FA">
        <w:t>landfill</w:t>
      </w:r>
      <w:r>
        <w:t xml:space="preserve"> as it percolates through the waste. Liquid waste is also more difficult to contain than solid waste and ultimately will collect as leachate in the bottom of landfills and need to be collected and managed.</w:t>
      </w:r>
      <w:r w:rsidRPr="00A070FA">
        <w:t xml:space="preserve"> </w:t>
      </w:r>
    </w:p>
    <w:p w14:paraId="656B084A" w14:textId="77777777" w:rsidR="0059551D" w:rsidRPr="00AD136A" w:rsidRDefault="0059551D" w:rsidP="0059551D">
      <w:pPr>
        <w:pStyle w:val="Bullet1"/>
        <w:numPr>
          <w:ilvl w:val="1"/>
          <w:numId w:val="120"/>
        </w:numPr>
      </w:pPr>
      <w:r w:rsidRPr="00A070FA">
        <w:rPr>
          <w:b/>
        </w:rPr>
        <w:t>Pneumatic automotive tyres</w:t>
      </w:r>
      <w:r w:rsidRPr="00AD136A">
        <w:t xml:space="preserve"> </w:t>
      </w:r>
      <w:r>
        <w:t>(</w:t>
      </w:r>
      <w:r w:rsidRPr="00AD136A">
        <w:t>unless the tyres have been shredded into pieces not exceeding 250 millimetres in size measured</w:t>
      </w:r>
      <w:r>
        <w:t xml:space="preserve"> in any dimension): Tyre stockpiles are a hazard to the Victorian community and environment, predominantly due to the risk of fire. Waste tyres are sometimes collected and stored indefinitely in large quantities as a means of avoiding the costs of proper management. The low cost of stockpiling also undercuts legitimate tyre-processing and recycling businesses, and reduces resource recovery. A number of tyre fires – in Australia and around the world – have demonstrated the risk posed by tyre stockpiles. Tyre fires are very difficult to control and generate hazardous smoke, which can cause a health risk through the inhalation of particles and chemicals.</w:t>
      </w:r>
    </w:p>
    <w:p w14:paraId="656B084B" w14:textId="77777777" w:rsidR="0059551D" w:rsidRDefault="0059551D" w:rsidP="0059551D">
      <w:pPr>
        <w:pStyle w:val="Bullet1"/>
        <w:numPr>
          <w:ilvl w:val="1"/>
          <w:numId w:val="120"/>
        </w:numPr>
      </w:pPr>
      <w:r w:rsidRPr="00A070FA">
        <w:rPr>
          <w:b/>
        </w:rPr>
        <w:t>E-waste</w:t>
      </w:r>
      <w:r>
        <w:t xml:space="preserve">: As discussed in DELWP’s PIA for managing e-waste in Victoria, electronic and electrical waste, or ‘e-waste’, covers a range of items </w:t>
      </w:r>
      <w:r w:rsidR="00B90D7A">
        <w:t>that are</w:t>
      </w:r>
      <w:r>
        <w:t xml:space="preserve"> use</w:t>
      </w:r>
      <w:r w:rsidR="00B90D7A">
        <w:t>d</w:t>
      </w:r>
      <w:r>
        <w:t xml:space="preserve"> and discard</w:t>
      </w:r>
      <w:r w:rsidR="00B90D7A">
        <w:t>ed</w:t>
      </w:r>
      <w:r>
        <w:t xml:space="preserve"> at work and at home. It includes, but is not limited to, televisions, computers, mobile phones, kitchen appliances and white goods. These items can contain both hazardous and/or valuable materials, many of which can be recovered when they reach the end of their working life. It is estimated that e-waste from televisions and computers alone will grow by over 60 per cent or 85,000 tonnes over the decade to 2024. While e-waste is not one of the main waste streams generated in Australia, comprising approximately 1 per cent of the waste currently going to landfill, it is one of the fastest growing. These items contain both hazardous and valuable materials that can be recovered when they reach the end of their working life.</w:t>
      </w:r>
      <w:r>
        <w:rPr>
          <w:rStyle w:val="FootnoteReference"/>
        </w:rPr>
        <w:footnoteReference w:id="169"/>
      </w:r>
    </w:p>
    <w:p w14:paraId="656B084C" w14:textId="77777777" w:rsidR="0059551D" w:rsidRDefault="0059551D" w:rsidP="0059551D">
      <w:pPr>
        <w:pStyle w:val="Bullet1"/>
        <w:numPr>
          <w:ilvl w:val="1"/>
          <w:numId w:val="120"/>
        </w:numPr>
      </w:pPr>
      <w:r>
        <w:rPr>
          <w:b/>
        </w:rPr>
        <w:t>Used oil filters</w:t>
      </w:r>
      <w:r>
        <w:t>: Given the significant amount of waste oil remaining in a drained filter (around 30 per cent by weight), used oil filters are not permitted to be disposed to any landfill. Waste oil filters have been prohibited from landfill under a general classification since 2007.</w:t>
      </w:r>
      <w:r>
        <w:rPr>
          <w:rStyle w:val="FootnoteReference"/>
        </w:rPr>
        <w:footnoteReference w:id="170"/>
      </w:r>
      <w:r>
        <w:t xml:space="preserve"> In Victoria, oil filters can be recycled by separating the oil from the metal casing and sending both the metal and oil to recyclers to be made into new products.</w:t>
      </w:r>
    </w:p>
    <w:p w14:paraId="656B084D" w14:textId="77777777" w:rsidR="0059551D" w:rsidRDefault="0059551D" w:rsidP="0059551D">
      <w:pPr>
        <w:pStyle w:val="Bullet1"/>
        <w:numPr>
          <w:ilvl w:val="1"/>
          <w:numId w:val="120"/>
        </w:numPr>
      </w:pPr>
      <w:r>
        <w:rPr>
          <w:b/>
        </w:rPr>
        <w:t>Large containers (&gt;200 Litres) contaminated with hazardous residues</w:t>
      </w:r>
      <w:r w:rsidRPr="00A27EA9">
        <w:t>:</w:t>
      </w:r>
      <w:r>
        <w:t xml:space="preserve"> The residues in these containers have a potential risk of contamination through leachate and groundwater. Large containers have been prohibited from landfill under a general classification since 2007. There is a well-established industry in Victoria that currently offers reconditioning of containers for reuse, and recycling of plastics and steel materials from clean containers that are not suitable for reconditioning.</w:t>
      </w:r>
      <w:r>
        <w:rPr>
          <w:rStyle w:val="FootnoteReference"/>
        </w:rPr>
        <w:footnoteReference w:id="171"/>
      </w:r>
    </w:p>
    <w:p w14:paraId="656B084E" w14:textId="77777777" w:rsidR="00213E13" w:rsidRDefault="00213E13" w:rsidP="00213E13">
      <w:pPr>
        <w:pStyle w:val="ListNumber"/>
        <w:numPr>
          <w:ilvl w:val="0"/>
          <w:numId w:val="120"/>
        </w:numPr>
        <w:spacing w:after="120"/>
      </w:pPr>
      <w:r w:rsidRPr="00196449">
        <w:rPr>
          <w:b/>
        </w:rPr>
        <w:t>Acceptance of radioactive wastes to landfill</w:t>
      </w:r>
      <w:r w:rsidR="0059551D">
        <w:rPr>
          <w:b/>
        </w:rPr>
        <w:t>:</w:t>
      </w:r>
      <w:r w:rsidR="0059551D">
        <w:t xml:space="preserve"> </w:t>
      </w:r>
      <w:r w:rsidR="0059551D" w:rsidRPr="00A070FA">
        <w:t>Radioactive waste is waste that generates radioactivity and does so for significant periods of time. This can result in cancer, inheritable genetic disease, ageing, loss of hair, lesions and nausea. Radioactive wastes need to be kept separate from other wastes to avoid any chance of radiation exposure to people, or any pollution of the environment. Radioactive waste needs to be stored safely and securely until it can be disposed of permanently.</w:t>
      </w:r>
    </w:p>
    <w:p w14:paraId="656B084F" w14:textId="77777777" w:rsidR="00213E13" w:rsidRDefault="00213E13" w:rsidP="00213E13">
      <w:pPr>
        <w:pStyle w:val="ListNumber"/>
        <w:numPr>
          <w:ilvl w:val="0"/>
          <w:numId w:val="120"/>
        </w:numPr>
        <w:spacing w:after="120"/>
      </w:pPr>
      <w:r w:rsidRPr="00196449">
        <w:rPr>
          <w:b/>
        </w:rPr>
        <w:t>Setting action levels for the management of landfill gas</w:t>
      </w:r>
      <w:r w:rsidR="0059551D" w:rsidRPr="00196449">
        <w:rPr>
          <w:b/>
        </w:rPr>
        <w:t>:</w:t>
      </w:r>
      <w:r w:rsidR="0059551D" w:rsidRPr="00196449">
        <w:rPr>
          <w:b/>
          <w:color w:val="2B579A"/>
          <w:shd w:val="clear" w:color="auto" w:fill="E6E6E6"/>
        </w:rPr>
        <w:t xml:space="preserve"> </w:t>
      </w:r>
      <w:r w:rsidR="0059551D" w:rsidRPr="00A070FA">
        <w:t>Landfill gas is produced in landfills as waste decomposes, and predominantly consists of methane and carbon dioxide, as well as containing a range of trace gases. If not managed correctly, landfill gas can migrate from the landfill, causing odours, contributing to climate change, and potentially posing explosion and/or asphyxiation risks if concentrations of methane or carbon dioxide build up in enclosed spaces.</w:t>
      </w:r>
      <w:r w:rsidR="0059551D" w:rsidRPr="00A070FA">
        <w:rPr>
          <w:vertAlign w:val="superscript"/>
        </w:rPr>
        <w:footnoteReference w:id="172"/>
      </w:r>
      <w:r w:rsidR="0059551D" w:rsidRPr="00A070FA">
        <w:t xml:space="preserve"> </w:t>
      </w:r>
      <w:r w:rsidR="0059551D">
        <w:t>In 2008, the discovery of dangerous levels of landfill gas (mostly methane and carbon dioxide) in Brookland Greens estate in the south-east of Melbourne led to the evacuation of some households in the area. Initial evidence on the effect on property values of the gas leak suggests that the value of homes within the estate would drop by 50 to 60 per cent.</w:t>
      </w:r>
      <w:r w:rsidR="0059551D">
        <w:rPr>
          <w:rStyle w:val="FootnoteReference"/>
        </w:rPr>
        <w:footnoteReference w:id="173"/>
      </w:r>
    </w:p>
    <w:p w14:paraId="656B0850" w14:textId="77777777" w:rsidR="00213E13" w:rsidRDefault="0059551D" w:rsidP="00213E13">
      <w:pPr>
        <w:pStyle w:val="ListNumber"/>
        <w:numPr>
          <w:ilvl w:val="0"/>
          <w:numId w:val="120"/>
        </w:numPr>
        <w:spacing w:after="120"/>
      </w:pPr>
      <w:r>
        <w:rPr>
          <w:b/>
        </w:rPr>
        <w:t>The use of l</w:t>
      </w:r>
      <w:r w:rsidR="00213E13" w:rsidRPr="00196449">
        <w:rPr>
          <w:b/>
        </w:rPr>
        <w:t xml:space="preserve">andfill gas </w:t>
      </w:r>
      <w:r>
        <w:rPr>
          <w:b/>
        </w:rPr>
        <w:t xml:space="preserve">flares: </w:t>
      </w:r>
      <w:r w:rsidRPr="0059551D">
        <w:t>Full</w:t>
      </w:r>
      <w:r w:rsidRPr="00A070FA">
        <w:t xml:space="preserve"> combustion landfill gas flaring “dispose[s] of flammable constituents safely and control[s] odour nuisance, health risks and adverse environmental impacts.”</w:t>
      </w:r>
      <w:r w:rsidRPr="00A070FA">
        <w:rPr>
          <w:rStyle w:val="FootnoteReference"/>
        </w:rPr>
        <w:footnoteReference w:id="174"/>
      </w:r>
      <w:r w:rsidRPr="00A070FA">
        <w:t xml:space="preserve"> Notably, combustion of landfill gas converts methane into carbon dioxide and water. Given landfill gas comprises approximately 50 percent methane</w:t>
      </w:r>
      <w:r>
        <w:t>, a greenhouse gas that is 25 times more potent than carbon dioxide, combustion is the preferred method to manage landfill emissions.</w:t>
      </w:r>
      <w:r>
        <w:rPr>
          <w:rStyle w:val="FootnoteReference"/>
        </w:rPr>
        <w:footnoteReference w:id="175"/>
      </w:r>
    </w:p>
    <w:p w14:paraId="656B0851" w14:textId="77777777" w:rsidR="00213E13" w:rsidRDefault="00213E13" w:rsidP="00213E13">
      <w:pPr>
        <w:pStyle w:val="ListNumber"/>
        <w:numPr>
          <w:ilvl w:val="0"/>
          <w:numId w:val="120"/>
        </w:numPr>
        <w:spacing w:after="120"/>
      </w:pPr>
      <w:r w:rsidRPr="00196449">
        <w:rPr>
          <w:b/>
        </w:rPr>
        <w:t>Setting the maximum level for the management of leachate</w:t>
      </w:r>
      <w:r w:rsidR="0059551D" w:rsidRPr="00196449">
        <w:rPr>
          <w:b/>
        </w:rPr>
        <w:t>:</w:t>
      </w:r>
      <w:r w:rsidR="0059551D">
        <w:t xml:space="preserve"> </w:t>
      </w:r>
      <w:r w:rsidR="0059551D" w:rsidRPr="00A070FA">
        <w:t>Leachate is a liquid that forms when waste decomposes. If leachate is not adequately contained and removed from the landfill, it can leak into the groundwater, causing contamination.</w:t>
      </w:r>
      <w:r w:rsidR="0059551D" w:rsidRPr="009B5866">
        <w:t xml:space="preserve"> </w:t>
      </w:r>
      <w:r w:rsidR="0059551D" w:rsidRPr="00A070FA">
        <w:t>There can also be odour issues from leachate if not managed properly.</w:t>
      </w:r>
      <w:r w:rsidR="0059551D" w:rsidRPr="00AC4F92">
        <w:rPr>
          <w:vertAlign w:val="superscript"/>
        </w:rPr>
        <w:footnoteReference w:id="176"/>
      </w:r>
      <w:r w:rsidR="0059551D" w:rsidRPr="00A070FA">
        <w:t xml:space="preserve"> </w:t>
      </w:r>
      <w:r w:rsidR="0059551D" w:rsidRPr="00AD136A">
        <w:t xml:space="preserve">The cost of leachate to the community from well managed landfills has been estimated at </w:t>
      </w:r>
      <w:r w:rsidR="0059551D" w:rsidRPr="00845E43">
        <w:t>less than $1 per tonne of waste deposited.</w:t>
      </w:r>
      <w:r w:rsidR="0059551D">
        <w:rPr>
          <w:rStyle w:val="FootnoteReference"/>
        </w:rPr>
        <w:footnoteReference w:id="177"/>
      </w:r>
      <w:r w:rsidR="0059551D">
        <w:t xml:space="preserve"> Levels of leachate greater than 300mm risk damaging the landfill liner, which may fail to prevent leachate from entering the environment when broken. Once in the environment, leachate can cause significant and irreparable damage due to its toxicity and it is very costly to remediate contaminated soil and groundwater.</w:t>
      </w:r>
    </w:p>
    <w:p w14:paraId="656B0852" w14:textId="77777777" w:rsidR="0015334C" w:rsidRDefault="0015334C" w:rsidP="0015334C">
      <w:pPr>
        <w:pStyle w:val="ListNumber"/>
        <w:numPr>
          <w:ilvl w:val="0"/>
          <w:numId w:val="120"/>
        </w:numPr>
        <w:spacing w:after="120"/>
      </w:pPr>
      <w:r w:rsidRPr="00196449">
        <w:rPr>
          <w:b/>
        </w:rPr>
        <w:t>The requirement to use a weighbridge</w:t>
      </w:r>
      <w:r w:rsidR="00467705">
        <w:rPr>
          <w:b/>
        </w:rPr>
        <w:t xml:space="preserve">: </w:t>
      </w:r>
      <w:r w:rsidR="0059551D">
        <w:t>The benefits of requiring a weighbridge arises from the detailed waste data that is produced and reported. Weighbridges provide EPA with accurate information on waste to help it monitor and enforce waste tracking, levy and licence compliance. This information also supports other portfolio activities such as waste infrastructure planning.</w:t>
      </w:r>
    </w:p>
    <w:p w14:paraId="656B0853" w14:textId="77777777" w:rsidR="00213E13" w:rsidRDefault="00213E13" w:rsidP="00457DB8">
      <w:pPr>
        <w:pStyle w:val="Heading4"/>
      </w:pPr>
      <w:r w:rsidRPr="00AD136A">
        <w:t xml:space="preserve">Options </w:t>
      </w:r>
    </w:p>
    <w:p w14:paraId="656B0854" w14:textId="77777777" w:rsidR="00213E13" w:rsidRPr="00AD136A" w:rsidRDefault="00213E13" w:rsidP="00213E13">
      <w:r w:rsidRPr="00AD136A">
        <w:t>The following options are considered in this RIS:</w:t>
      </w:r>
    </w:p>
    <w:p w14:paraId="656B0855" w14:textId="77777777" w:rsidR="00213E13" w:rsidRPr="00AD136A" w:rsidRDefault="00213E13" w:rsidP="00213E13">
      <w:pPr>
        <w:pStyle w:val="Bullet1"/>
        <w:numPr>
          <w:ilvl w:val="0"/>
          <w:numId w:val="42"/>
        </w:numPr>
      </w:pPr>
      <w:r w:rsidRPr="00AD136A">
        <w:rPr>
          <w:b/>
        </w:rPr>
        <w:t>Base case:</w:t>
      </w:r>
      <w:r w:rsidRPr="00AD136A">
        <w:t xml:space="preserve"> </w:t>
      </w:r>
      <w:r>
        <w:t>No</w:t>
      </w:r>
      <w:r w:rsidRPr="00AD136A">
        <w:t xml:space="preserve"> specific landfill requirements are prescribed</w:t>
      </w:r>
      <w:r w:rsidR="00DC7A63">
        <w:t xml:space="preserve">. </w:t>
      </w:r>
    </w:p>
    <w:p w14:paraId="656B0856" w14:textId="77777777" w:rsidR="00213E13" w:rsidRDefault="00213E13" w:rsidP="00213E13">
      <w:pPr>
        <w:pStyle w:val="Bullet1"/>
        <w:numPr>
          <w:ilvl w:val="0"/>
          <w:numId w:val="42"/>
        </w:numPr>
      </w:pPr>
      <w:r>
        <w:rPr>
          <w:b/>
        </w:rPr>
        <w:t>Option 1</w:t>
      </w:r>
      <w:r w:rsidRPr="00C32604">
        <w:t>: Regulation prescribes</w:t>
      </w:r>
      <w:r>
        <w:t xml:space="preserve"> landfill permissions conditions as follows:</w:t>
      </w:r>
    </w:p>
    <w:p w14:paraId="656B0857" w14:textId="77777777" w:rsidR="00213E13" w:rsidRPr="00A070FA" w:rsidRDefault="00213E13" w:rsidP="004F6EF1">
      <w:pPr>
        <w:pStyle w:val="Bullet1"/>
        <w:numPr>
          <w:ilvl w:val="1"/>
          <w:numId w:val="42"/>
        </w:numPr>
        <w:ind w:left="1134" w:hanging="425"/>
      </w:pPr>
      <w:r w:rsidRPr="00A070FA">
        <w:t>Radioactive substances must not be accepted for deposit at the landfill site unless—</w:t>
      </w:r>
    </w:p>
    <w:p w14:paraId="656B0858" w14:textId="77777777" w:rsidR="00213E13" w:rsidRPr="00A070FA" w:rsidRDefault="00213E13" w:rsidP="00271271">
      <w:pPr>
        <w:pStyle w:val="Bullet1"/>
        <w:numPr>
          <w:ilvl w:val="2"/>
          <w:numId w:val="42"/>
        </w:numPr>
        <w:ind w:left="1560" w:hanging="426"/>
      </w:pPr>
      <w:r w:rsidRPr="00A070FA">
        <w:t>the permission otherwise allows radioactive substances to be deposited at the landfill site; or</w:t>
      </w:r>
    </w:p>
    <w:p w14:paraId="656B0859" w14:textId="77777777" w:rsidR="00213E13" w:rsidRPr="00B27C4A" w:rsidRDefault="00213E13" w:rsidP="00271271">
      <w:pPr>
        <w:pStyle w:val="Bullet1"/>
        <w:numPr>
          <w:ilvl w:val="2"/>
          <w:numId w:val="42"/>
        </w:numPr>
        <w:ind w:left="1560" w:hanging="426"/>
      </w:pPr>
      <w:r w:rsidRPr="00A070FA">
        <w:t xml:space="preserve">the substance been declared to not be radioactive material under section 4 of the </w:t>
      </w:r>
      <w:r w:rsidRPr="00494A7B">
        <w:rPr>
          <w:i/>
        </w:rPr>
        <w:t>Radiation Act 2005</w:t>
      </w:r>
      <w:r w:rsidRPr="00A070FA">
        <w:t xml:space="preserve"> for the purposes of that Act;</w:t>
      </w:r>
    </w:p>
    <w:p w14:paraId="656B085A" w14:textId="77777777" w:rsidR="00213E13" w:rsidRPr="00A070FA" w:rsidRDefault="00213E13" w:rsidP="000E7C5E">
      <w:pPr>
        <w:pStyle w:val="Bullet1"/>
        <w:numPr>
          <w:ilvl w:val="1"/>
          <w:numId w:val="42"/>
        </w:numPr>
        <w:ind w:left="1134" w:hanging="425"/>
      </w:pPr>
      <w:r w:rsidRPr="00A070FA">
        <w:t>All reasonable steps must be taken to avoid exceeding the landfill gas emissions levels set out in column 3 of Schedule 6 when assessed at the location corresponding to that emission level in column 2 of Schedule 6</w:t>
      </w:r>
    </w:p>
    <w:p w14:paraId="656B085B" w14:textId="77777777" w:rsidR="00213E13" w:rsidRPr="00A070FA" w:rsidRDefault="00213E13" w:rsidP="000E7C5E">
      <w:pPr>
        <w:pStyle w:val="Bullet1"/>
        <w:numPr>
          <w:ilvl w:val="1"/>
          <w:numId w:val="42"/>
        </w:numPr>
        <w:ind w:left="1134" w:hanging="425"/>
      </w:pPr>
      <w:r w:rsidRPr="00A070FA">
        <w:t>The use of any landfill gas flare</w:t>
      </w:r>
      <w:r w:rsidR="0015334C">
        <w:t xml:space="preserve"> or thermal oxidising unit</w:t>
      </w:r>
      <w:r w:rsidRPr="00A070FA">
        <w:t xml:space="preserve"> operating at the landfill site must result in the complete combustion of the landfill gas </w:t>
      </w:r>
      <w:r w:rsidR="0015334C">
        <w:t xml:space="preserve">by holding the landfill gas at </w:t>
      </w:r>
      <w:r w:rsidRPr="00A070FA">
        <w:t>a temperature of at least 1000</w:t>
      </w:r>
      <w:r w:rsidR="0015334C">
        <w:rPr>
          <w:rFonts w:cs="Segoe UI Light"/>
        </w:rPr>
        <w:t>°</w:t>
      </w:r>
      <w:r w:rsidRPr="00A070FA">
        <w:t>C</w:t>
      </w:r>
      <w:r w:rsidRPr="00A070FA" w:rsidDel="004717F3">
        <w:t xml:space="preserve"> </w:t>
      </w:r>
      <w:r w:rsidRPr="00A070FA">
        <w:t>for a minimum of 0.3 seconds each time a flare is used</w:t>
      </w:r>
    </w:p>
    <w:p w14:paraId="656B085C" w14:textId="77777777" w:rsidR="00213E13" w:rsidRPr="00A070FA" w:rsidRDefault="00213E13" w:rsidP="000E7C5E">
      <w:pPr>
        <w:pStyle w:val="Bullet1"/>
        <w:numPr>
          <w:ilvl w:val="1"/>
          <w:numId w:val="42"/>
        </w:numPr>
        <w:ind w:left="1134" w:hanging="425"/>
      </w:pPr>
      <w:r w:rsidRPr="00A070FA">
        <w:t>All reasonable steps must be taken to ensure that the depth of the leachate in a cell does not exceed 300mm above the surface of the liner unless the permission otherwise allows a higher level of leachate for the landfill cell</w:t>
      </w:r>
    </w:p>
    <w:p w14:paraId="656B085D" w14:textId="77777777" w:rsidR="00213E13" w:rsidRPr="00A070FA" w:rsidRDefault="00213E13" w:rsidP="000E7C5E">
      <w:pPr>
        <w:pStyle w:val="Bullet1"/>
        <w:numPr>
          <w:ilvl w:val="1"/>
          <w:numId w:val="42"/>
        </w:numPr>
        <w:ind w:left="1134" w:hanging="425"/>
      </w:pPr>
      <w:r w:rsidRPr="00A070FA">
        <w:t xml:space="preserve">Use a weighbridge to measure the quantity of waste accepted for deposit at the </w:t>
      </w:r>
      <w:r w:rsidR="0015334C">
        <w:t xml:space="preserve">licenced </w:t>
      </w:r>
      <w:r w:rsidRPr="00A070FA">
        <w:t>landfill site.</w:t>
      </w:r>
    </w:p>
    <w:p w14:paraId="656B085E" w14:textId="77777777" w:rsidR="00213E13" w:rsidRPr="00A070FA" w:rsidRDefault="00213E13" w:rsidP="00213E13">
      <w:pPr>
        <w:pStyle w:val="Bullet1"/>
        <w:numPr>
          <w:ilvl w:val="0"/>
          <w:numId w:val="42"/>
        </w:numPr>
        <w:rPr>
          <w:b/>
        </w:rPr>
      </w:pPr>
      <w:r w:rsidRPr="00A070FA">
        <w:rPr>
          <w:b/>
        </w:rPr>
        <w:t>Option 2</w:t>
      </w:r>
      <w:r>
        <w:rPr>
          <w:b/>
        </w:rPr>
        <w:t xml:space="preserve">: </w:t>
      </w:r>
      <w:r w:rsidRPr="00A070FA">
        <w:t>Option 1 plus additional regulation prevents EPA from issuing or granting a permission in relation to a landfill site for deposit of the following wastes:</w:t>
      </w:r>
    </w:p>
    <w:p w14:paraId="656B085F" w14:textId="77777777" w:rsidR="00213E13" w:rsidRPr="00A070FA" w:rsidRDefault="00213E13" w:rsidP="000E7C5E">
      <w:pPr>
        <w:pStyle w:val="Bullet1"/>
        <w:numPr>
          <w:ilvl w:val="1"/>
          <w:numId w:val="42"/>
        </w:numPr>
        <w:ind w:left="1134" w:hanging="425"/>
      </w:pPr>
      <w:r w:rsidRPr="00A070FA">
        <w:t>Liquid waste</w:t>
      </w:r>
    </w:p>
    <w:p w14:paraId="656B0860" w14:textId="77777777" w:rsidR="00213E13" w:rsidRPr="00A070FA" w:rsidRDefault="00213E13" w:rsidP="000E7C5E">
      <w:pPr>
        <w:pStyle w:val="Bullet1"/>
        <w:numPr>
          <w:ilvl w:val="1"/>
          <w:numId w:val="42"/>
        </w:numPr>
        <w:ind w:left="1134" w:hanging="425"/>
      </w:pPr>
      <w:r w:rsidRPr="00A070FA">
        <w:t>Pneumatic automotive tyres unless the tyres have been shredded into pieces not exceeding 250 millimetres in size measured in any dimension</w:t>
      </w:r>
    </w:p>
    <w:p w14:paraId="656B0861" w14:textId="77777777" w:rsidR="00213E13" w:rsidRDefault="00213E13" w:rsidP="000E7C5E">
      <w:pPr>
        <w:pStyle w:val="Bullet1"/>
        <w:numPr>
          <w:ilvl w:val="1"/>
          <w:numId w:val="42"/>
        </w:numPr>
        <w:ind w:left="1134" w:hanging="425"/>
      </w:pPr>
      <w:r w:rsidRPr="00A070FA">
        <w:t>E-waste, other than e-waste that is dispersed in negligible quantities in wastes not otherwise prohibited from deposit to landfill</w:t>
      </w:r>
    </w:p>
    <w:p w14:paraId="656B0862" w14:textId="77777777" w:rsidR="00213E13" w:rsidRDefault="00213E13" w:rsidP="000E7C5E">
      <w:pPr>
        <w:pStyle w:val="Bullet1"/>
        <w:numPr>
          <w:ilvl w:val="1"/>
          <w:numId w:val="42"/>
        </w:numPr>
        <w:ind w:left="1134" w:hanging="425"/>
      </w:pPr>
      <w:r w:rsidRPr="000322BE">
        <w:t>Used oil filters: and Large containers (&gt;200 Litres) contaminated with hazardous residues</w:t>
      </w:r>
    </w:p>
    <w:p w14:paraId="656B0863" w14:textId="77777777" w:rsidR="00213E13" w:rsidRPr="00A070FA" w:rsidRDefault="00213E13" w:rsidP="000E7C5E">
      <w:pPr>
        <w:pStyle w:val="Bullet1"/>
        <w:numPr>
          <w:ilvl w:val="1"/>
          <w:numId w:val="42"/>
        </w:numPr>
        <w:ind w:left="1134" w:hanging="425"/>
      </w:pPr>
      <w:r w:rsidRPr="00A070FA">
        <w:t>Wastes prohibited for disposal to landfill by a national environment protection measure</w:t>
      </w:r>
      <w:r>
        <w:t>.</w:t>
      </w:r>
    </w:p>
    <w:p w14:paraId="656B0864" w14:textId="77777777" w:rsidR="00213E13" w:rsidRDefault="00213E13" w:rsidP="00213E13">
      <w:r w:rsidRPr="00A070FA">
        <w:t xml:space="preserve">Guidance was considered </w:t>
      </w:r>
      <w:r>
        <w:t>as a potential</w:t>
      </w:r>
      <w:r w:rsidR="005866D9">
        <w:t>ly</w:t>
      </w:r>
      <w:r>
        <w:t xml:space="preserve"> </w:t>
      </w:r>
      <w:r w:rsidRPr="00A070FA">
        <w:t xml:space="preserve">feasible option, however </w:t>
      </w:r>
      <w:r w:rsidR="00EB1B44">
        <w:t xml:space="preserve">DELWP and EPA consider that </w:t>
      </w:r>
      <w:r w:rsidRPr="00A070FA">
        <w:t>the characteristics of this problem (e.g. high consequences, non-compliant industry) mean a non-mandatory option is not likely to be effective in addressing the risk.</w:t>
      </w:r>
    </w:p>
    <w:p w14:paraId="656B0865" w14:textId="77777777" w:rsidR="00EB1B44" w:rsidRDefault="00EB1B44" w:rsidP="00213E13">
      <w:bookmarkStart w:id="647" w:name="_Hlk10543732"/>
      <w:r>
        <w:t>EPA and DELWP considered alternative thresholds for leachate depth, however current thresholds (</w:t>
      </w:r>
      <w:r w:rsidRPr="00A070FA">
        <w:t>300mm above the surface of the liner</w:t>
      </w:r>
      <w:r>
        <w:t xml:space="preserve">) were considered appropriate </w:t>
      </w:r>
      <w:bookmarkEnd w:id="647"/>
      <w:r w:rsidR="00912BC9">
        <w:t xml:space="preserve">for any landfill </w:t>
      </w:r>
      <w:r w:rsidR="00FA25BC">
        <w:t xml:space="preserve">that is engineered to the current </w:t>
      </w:r>
      <w:r w:rsidR="00D97B1B">
        <w:t xml:space="preserve">standard for the Landfill BPEM. </w:t>
      </w:r>
      <w:r w:rsidR="007D66E4">
        <w:t>Alterative conditions for leachate man</w:t>
      </w:r>
      <w:r w:rsidR="00036F66">
        <w:t>a</w:t>
      </w:r>
      <w:r w:rsidR="007D66E4">
        <w:t>g</w:t>
      </w:r>
      <w:r w:rsidR="00036F66">
        <w:t>e</w:t>
      </w:r>
      <w:r w:rsidR="007D66E4">
        <w:t xml:space="preserve">ment </w:t>
      </w:r>
      <w:r w:rsidR="008F163B">
        <w:t>would be considered in p</w:t>
      </w:r>
      <w:r w:rsidR="00D97B1B">
        <w:t xml:space="preserve">ermissions for </w:t>
      </w:r>
      <w:r w:rsidR="008F163B">
        <w:t>landfill cells</w:t>
      </w:r>
      <w:r w:rsidR="00D97B1B">
        <w:t xml:space="preserve"> </w:t>
      </w:r>
      <w:r w:rsidR="009E43E3">
        <w:t xml:space="preserve">with engineering </w:t>
      </w:r>
      <w:r w:rsidR="008F163B">
        <w:t>and construction that is inconsistent with the Landfill BPEM.</w:t>
      </w:r>
    </w:p>
    <w:p w14:paraId="656B0866" w14:textId="77777777" w:rsidR="00213E13" w:rsidRDefault="004B63C1" w:rsidP="00457DB8">
      <w:pPr>
        <w:pStyle w:val="Heading4"/>
      </w:pPr>
      <w:r>
        <w:t>Analysis</w:t>
      </w:r>
    </w:p>
    <w:p w14:paraId="656B0867" w14:textId="77777777" w:rsidR="00213E13" w:rsidRPr="00A070FA" w:rsidRDefault="00457DB8" w:rsidP="00213E13">
      <w:pPr>
        <w:rPr>
          <w:i/>
        </w:rPr>
      </w:pPr>
      <w:r>
        <w:rPr>
          <w:i/>
        </w:rPr>
        <w:t>Benefit</w:t>
      </w:r>
      <w:r w:rsidR="004B63C1">
        <w:rPr>
          <w:i/>
        </w:rPr>
        <w:t>s</w:t>
      </w:r>
    </w:p>
    <w:p w14:paraId="656B0868" w14:textId="77777777" w:rsidR="00213E13" w:rsidRDefault="00213E13" w:rsidP="00213E13">
      <w:pPr>
        <w:rPr>
          <w:rFonts w:cs="Segoe UI Light"/>
          <w:szCs w:val="20"/>
        </w:rPr>
      </w:pPr>
      <w:r>
        <w:t xml:space="preserve">Under the Base Case, there is no regulation of landfill. As such, businesses disposing of waste and landfill operators accepting waste will not need to comply with specific controls. They will however need to comply with the GED, which means some businesses might take action to manage the risks of activities that are the subject of proposed Regulations. Some businesses already in the industry, particularly landfill operators who have deep knowledge and experience complying with the current legislative framework, might also have existing “state of knowledge” </w:t>
      </w:r>
      <w:r>
        <w:rPr>
          <w:rFonts w:cs="Segoe UI Light"/>
          <w:szCs w:val="20"/>
        </w:rPr>
        <w:t xml:space="preserve">which means that they may continue to operate with existing business practices and processes in place. </w:t>
      </w:r>
      <w:r w:rsidRPr="00827D05">
        <w:rPr>
          <w:rFonts w:cs="Segoe UI Light"/>
          <w:szCs w:val="20"/>
        </w:rPr>
        <w:t xml:space="preserve">However, </w:t>
      </w:r>
      <w:r>
        <w:rPr>
          <w:rFonts w:cs="Segoe UI Light"/>
          <w:szCs w:val="20"/>
        </w:rPr>
        <w:t>not</w:t>
      </w:r>
      <w:r w:rsidRPr="00827D05">
        <w:rPr>
          <w:rFonts w:cs="Segoe UI Light"/>
          <w:szCs w:val="20"/>
        </w:rPr>
        <w:t xml:space="preserve"> all duty holders </w:t>
      </w:r>
      <w:r>
        <w:rPr>
          <w:rFonts w:cs="Segoe UI Light"/>
          <w:szCs w:val="20"/>
        </w:rPr>
        <w:t>would</w:t>
      </w:r>
      <w:r w:rsidRPr="00827D05">
        <w:rPr>
          <w:rFonts w:cs="Segoe UI Light"/>
          <w:szCs w:val="20"/>
        </w:rPr>
        <w:t xml:space="preserve"> act in the same manner in response to this understanding, and new entrants to the industry may not be aware of this existing knowledge at all.</w:t>
      </w:r>
      <w:r>
        <w:rPr>
          <w:rFonts w:cs="Segoe UI Light"/>
          <w:szCs w:val="20"/>
        </w:rPr>
        <w:t xml:space="preserve"> The impact of this existing state of knowledge would therefore decline over time.</w:t>
      </w:r>
    </w:p>
    <w:p w14:paraId="656B0869" w14:textId="77777777" w:rsidR="00213E13" w:rsidRDefault="00213E13" w:rsidP="00213E13">
      <w:r>
        <w:t>Given that the impacts of poor landfill management are high and long lasting, and that there is a history of non-compliance in the waste sector and poor landfill practices, it is therefore unlikely that the GED will be sufficient to minimise risk to an acceptable level.</w:t>
      </w:r>
    </w:p>
    <w:p w14:paraId="656B086A" w14:textId="77777777" w:rsidR="00213E13" w:rsidRDefault="00213E13" w:rsidP="00213E13">
      <w:r w:rsidRPr="00A070FA">
        <w:rPr>
          <w:b/>
        </w:rPr>
        <w:t>Option 1</w:t>
      </w:r>
      <w:r>
        <w:t xml:space="preserve"> specifically addresses the following problems:</w:t>
      </w:r>
    </w:p>
    <w:p w14:paraId="656B086B" w14:textId="77777777" w:rsidR="00213E13" w:rsidRDefault="00213E13" w:rsidP="000E7C5E">
      <w:pPr>
        <w:pStyle w:val="Bullet1"/>
        <w:numPr>
          <w:ilvl w:val="1"/>
          <w:numId w:val="170"/>
        </w:numPr>
        <w:ind w:left="709" w:hanging="283"/>
      </w:pPr>
      <w:r w:rsidRPr="00A070FA">
        <w:rPr>
          <w:b/>
        </w:rPr>
        <w:t>Radioactive substances</w:t>
      </w:r>
      <w:r>
        <w:t>: Option 1 prohibits (or limits in some circumstances) the acceptance of radioactive substances at landfills, meaning this waste will be directed to a suitable waste management facility for treatment and storage.</w:t>
      </w:r>
    </w:p>
    <w:p w14:paraId="656B086C" w14:textId="77777777" w:rsidR="00213E13" w:rsidRDefault="00213E13" w:rsidP="000E7C5E">
      <w:pPr>
        <w:pStyle w:val="Bullet1"/>
        <w:numPr>
          <w:ilvl w:val="1"/>
          <w:numId w:val="170"/>
        </w:numPr>
        <w:ind w:left="709" w:hanging="283"/>
      </w:pPr>
      <w:r w:rsidRPr="00A070FA">
        <w:rPr>
          <w:b/>
        </w:rPr>
        <w:t>Landfill gas emissions</w:t>
      </w:r>
      <w:r w:rsidRPr="00A070FA">
        <w:t>:</w:t>
      </w:r>
      <w:r>
        <w:t xml:space="preserve"> Option 1 expressly states limits on landfill gas emissions. In conjunction with landfill gas flares (below), Option 1 minimises greenhouse gases entering the atmosphere.</w:t>
      </w:r>
    </w:p>
    <w:p w14:paraId="656B086D" w14:textId="77777777" w:rsidR="00213E13" w:rsidRPr="00A070FA" w:rsidRDefault="00213E13" w:rsidP="000E7C5E">
      <w:pPr>
        <w:pStyle w:val="Bullet1"/>
        <w:numPr>
          <w:ilvl w:val="1"/>
          <w:numId w:val="170"/>
        </w:numPr>
        <w:ind w:left="709" w:hanging="283"/>
      </w:pPr>
      <w:r w:rsidRPr="00A070FA">
        <w:rPr>
          <w:b/>
        </w:rPr>
        <w:t>Landfill gas flares</w:t>
      </w:r>
      <w:r>
        <w:t xml:space="preserve">: Option 1 is expected to reduce the risk of harm to the environment from incomplete combustion of landfill gas. This will </w:t>
      </w:r>
      <w:r w:rsidRPr="00A070FA">
        <w:t xml:space="preserve">prevent potentially explosive situations associated with subsurface gas migration. </w:t>
      </w:r>
      <w:r>
        <w:t>However, the dispersed nature of these benefits under Option 1 makes it incredibly difficult to quantify the benefits to the Victorian community.</w:t>
      </w:r>
    </w:p>
    <w:p w14:paraId="656B086E" w14:textId="77777777" w:rsidR="00213E13" w:rsidRDefault="00213E13" w:rsidP="000E7C5E">
      <w:pPr>
        <w:pStyle w:val="Bullet1"/>
        <w:numPr>
          <w:ilvl w:val="1"/>
          <w:numId w:val="170"/>
        </w:numPr>
        <w:spacing w:after="0"/>
        <w:ind w:left="709" w:hanging="283"/>
      </w:pPr>
      <w:r w:rsidRPr="00A070FA">
        <w:rPr>
          <w:b/>
        </w:rPr>
        <w:t>Leachate</w:t>
      </w:r>
      <w:r>
        <w:t>: Option 1 specifies limits on leachate depth, requiring landfill operators to actively manage (pump out) and reduce leachate build up and therefore lessens the risk of its escape to the environment.</w:t>
      </w:r>
    </w:p>
    <w:p w14:paraId="656B086F" w14:textId="77777777" w:rsidR="00213E13" w:rsidRPr="00A070FA" w:rsidRDefault="00213E13" w:rsidP="000E7C5E">
      <w:pPr>
        <w:pStyle w:val="Bullet1"/>
        <w:numPr>
          <w:ilvl w:val="1"/>
          <w:numId w:val="170"/>
        </w:numPr>
        <w:spacing w:before="120" w:after="0"/>
        <w:ind w:left="709" w:hanging="283"/>
        <w:rPr>
          <w:i/>
        </w:rPr>
      </w:pPr>
      <w:r w:rsidRPr="00A070FA">
        <w:rPr>
          <w:b/>
        </w:rPr>
        <w:t xml:space="preserve">Weighbridge: </w:t>
      </w:r>
      <w:r>
        <w:t xml:space="preserve">Benefits of </w:t>
      </w:r>
      <w:r w:rsidR="0059551D">
        <w:t>having a weighbridge</w:t>
      </w:r>
      <w:r>
        <w:t xml:space="preserve"> include better management of waste</w:t>
      </w:r>
      <w:r w:rsidR="005866D9">
        <w:t xml:space="preserve">, </w:t>
      </w:r>
      <w:r>
        <w:t>more waste diverted from landfill, and more efficient infrastructure investment.</w:t>
      </w:r>
    </w:p>
    <w:p w14:paraId="656B0870" w14:textId="77777777" w:rsidR="00213E13" w:rsidRDefault="00213E13" w:rsidP="00213E13">
      <w:pPr>
        <w:spacing w:after="0"/>
      </w:pPr>
    </w:p>
    <w:p w14:paraId="656B0871" w14:textId="77777777" w:rsidR="00213E13" w:rsidRDefault="00213E13" w:rsidP="00213E13">
      <w:r w:rsidRPr="00A070FA">
        <w:rPr>
          <w:b/>
        </w:rPr>
        <w:t>Option 2</w:t>
      </w:r>
      <w:r w:rsidRPr="00AD136A">
        <w:t xml:space="preserve"> includes all the benefits of Option 1, but also prohibits </w:t>
      </w:r>
      <w:r>
        <w:t xml:space="preserve">certain prescribed </w:t>
      </w:r>
      <w:r w:rsidRPr="00AD136A">
        <w:t>wastes going to landfill</w:t>
      </w:r>
      <w:r>
        <w:t>.</w:t>
      </w:r>
    </w:p>
    <w:p w14:paraId="656B0872" w14:textId="77777777" w:rsidR="00213E13" w:rsidRPr="00A070FA" w:rsidRDefault="00213E13" w:rsidP="00213E13">
      <w:r>
        <w:t xml:space="preserve">Landfills are designed and constructed to meet technical standards proportional to the waste’s hazard and potential </w:t>
      </w:r>
      <w:r w:rsidRPr="00A070FA">
        <w:t xml:space="preserve">to leach into the surrounding environment. Wastes that are accepted need to be monitored and controlled to ensure the design of the landfill is able to minimise the risk to the environment. </w:t>
      </w:r>
    </w:p>
    <w:p w14:paraId="656B0873" w14:textId="77777777" w:rsidR="00213E13" w:rsidRPr="00A070FA" w:rsidRDefault="00213E13" w:rsidP="00494A7B">
      <w:pPr>
        <w:autoSpaceDE w:val="0"/>
        <w:autoSpaceDN w:val="0"/>
        <w:adjustRightInd w:val="0"/>
        <w:spacing w:line="240" w:lineRule="auto"/>
      </w:pPr>
      <w:r w:rsidRPr="00A070FA">
        <w:t xml:space="preserve">The prescribed activities under Option 2 are high-risk and require greater control than low-risk activities. Specifically, banning these wastes going to landfill will reduce the risk of harms </w:t>
      </w:r>
      <w:r w:rsidR="00EB1B44">
        <w:t>(as already described)</w:t>
      </w:r>
      <w:r w:rsidRPr="00A070FA">
        <w:t xml:space="preserve"> caused by these wastes:</w:t>
      </w:r>
    </w:p>
    <w:p w14:paraId="656B0874" w14:textId="77777777" w:rsidR="00213E13" w:rsidRPr="00A070FA" w:rsidRDefault="00213E13" w:rsidP="000E7C5E">
      <w:pPr>
        <w:pStyle w:val="Bullet1"/>
        <w:numPr>
          <w:ilvl w:val="1"/>
          <w:numId w:val="169"/>
        </w:numPr>
        <w:ind w:left="709" w:hanging="283"/>
      </w:pPr>
      <w:r w:rsidRPr="00656F10">
        <w:t xml:space="preserve">Liquid waste </w:t>
      </w:r>
    </w:p>
    <w:p w14:paraId="656B0875" w14:textId="77777777" w:rsidR="00213E13" w:rsidRPr="00AD136A" w:rsidRDefault="00213E13" w:rsidP="000E7C5E">
      <w:pPr>
        <w:pStyle w:val="Bullet1"/>
        <w:numPr>
          <w:ilvl w:val="1"/>
          <w:numId w:val="169"/>
        </w:numPr>
        <w:ind w:left="709" w:hanging="283"/>
      </w:pPr>
      <w:r w:rsidRPr="00656F10">
        <w:t>Pneumatic automotive tyres</w:t>
      </w:r>
      <w:r w:rsidRPr="00AD136A">
        <w:t xml:space="preserve"> </w:t>
      </w:r>
    </w:p>
    <w:p w14:paraId="656B0876" w14:textId="77777777" w:rsidR="00213E13" w:rsidRDefault="00213E13" w:rsidP="000E7C5E">
      <w:pPr>
        <w:pStyle w:val="Bullet1"/>
        <w:numPr>
          <w:ilvl w:val="1"/>
          <w:numId w:val="169"/>
        </w:numPr>
        <w:ind w:left="709" w:hanging="283"/>
      </w:pPr>
      <w:r w:rsidRPr="00656F10">
        <w:t>E-waste</w:t>
      </w:r>
      <w:r>
        <w:t xml:space="preserve"> </w:t>
      </w:r>
    </w:p>
    <w:p w14:paraId="656B0877" w14:textId="77777777" w:rsidR="00213E13" w:rsidRDefault="00213E13" w:rsidP="000E7C5E">
      <w:pPr>
        <w:pStyle w:val="Bullet1"/>
        <w:numPr>
          <w:ilvl w:val="1"/>
          <w:numId w:val="169"/>
        </w:numPr>
        <w:ind w:left="709" w:hanging="283"/>
      </w:pPr>
      <w:r w:rsidRPr="00656F10">
        <w:t>Used oil filters</w:t>
      </w:r>
      <w:r>
        <w:t xml:space="preserve"> </w:t>
      </w:r>
    </w:p>
    <w:p w14:paraId="656B0878" w14:textId="77777777" w:rsidR="00213E13" w:rsidRDefault="00213E13" w:rsidP="000E7C5E">
      <w:pPr>
        <w:pStyle w:val="Bullet1"/>
        <w:numPr>
          <w:ilvl w:val="1"/>
          <w:numId w:val="169"/>
        </w:numPr>
        <w:ind w:left="709" w:hanging="283"/>
      </w:pPr>
      <w:r w:rsidRPr="00656F10">
        <w:t xml:space="preserve">Large containers (&gt;200 </w:t>
      </w:r>
      <w:r w:rsidR="005866D9">
        <w:t>l</w:t>
      </w:r>
      <w:r w:rsidR="005866D9" w:rsidRPr="00656F10">
        <w:t>itres</w:t>
      </w:r>
      <w:r w:rsidRPr="00656F10">
        <w:t>) contaminated with hazardous residues</w:t>
      </w:r>
      <w:r>
        <w:t xml:space="preserve"> </w:t>
      </w:r>
    </w:p>
    <w:p w14:paraId="656B0879" w14:textId="77777777" w:rsidR="00213E13" w:rsidRDefault="00213E13" w:rsidP="000E7C5E">
      <w:pPr>
        <w:pStyle w:val="Bullet1"/>
        <w:numPr>
          <w:ilvl w:val="1"/>
          <w:numId w:val="169"/>
        </w:numPr>
        <w:ind w:left="709" w:hanging="283"/>
      </w:pPr>
      <w:r w:rsidRPr="00AD136A">
        <w:t xml:space="preserve">Wastes prohibited for disposal to landfill by a </w:t>
      </w:r>
      <w:r w:rsidRPr="00656F10">
        <w:t>national environment protection measure</w:t>
      </w:r>
      <w:r>
        <w:t xml:space="preserve"> simply aligns state regulation to any national measures for specific waste types.</w:t>
      </w:r>
    </w:p>
    <w:p w14:paraId="656B087A" w14:textId="77777777" w:rsidR="00213E13" w:rsidRPr="00A070FA" w:rsidRDefault="00457DB8" w:rsidP="00213E13">
      <w:pPr>
        <w:spacing w:after="0"/>
        <w:rPr>
          <w:i/>
        </w:rPr>
      </w:pPr>
      <w:r>
        <w:rPr>
          <w:i/>
        </w:rPr>
        <w:t>Cost</w:t>
      </w:r>
      <w:r w:rsidR="004B63C1">
        <w:rPr>
          <w:i/>
        </w:rPr>
        <w:t>s</w:t>
      </w:r>
    </w:p>
    <w:p w14:paraId="656B087B" w14:textId="77777777" w:rsidR="00213E13" w:rsidRDefault="00213E13" w:rsidP="00213E13">
      <w:r>
        <w:t>Under the Base Case, as noted above, some businesses might have landfill management processes in place to meet the GED, regardless of whether additional regulations are established (e.g. due to existing state of knowledge). However as this is expected to decline over time, processes and practices put in place by businesses are also expected to decline; therefore costs on landfill operators, with just the GED in place, will also decline over time.</w:t>
      </w:r>
    </w:p>
    <w:p w14:paraId="656B087C" w14:textId="77777777" w:rsidR="00213E13" w:rsidRDefault="00213E13" w:rsidP="00213E13">
      <w:r>
        <w:t>Under Option 1, a range of controls are proposed. Some will impose costs on businesses, while some provide prescription in the regulation that may reduce business costs by reducing uncertainty about how to comply with the GED. However, this can also mean that landfills face higher costs because operators cannot choose an alternate method to comply with the GED. All are expected to assist EPA monitor compliance against the GED, thus reducing EPA’s costs. Specifically:</w:t>
      </w:r>
    </w:p>
    <w:p w14:paraId="656B087D" w14:textId="77777777" w:rsidR="00213E13" w:rsidRDefault="00213E13" w:rsidP="000E7C5E">
      <w:pPr>
        <w:pStyle w:val="Bullet1"/>
        <w:numPr>
          <w:ilvl w:val="1"/>
          <w:numId w:val="168"/>
        </w:numPr>
        <w:ind w:left="567" w:hanging="283"/>
      </w:pPr>
      <w:r w:rsidRPr="00AD136A">
        <w:rPr>
          <w:b/>
        </w:rPr>
        <w:t>Radioactive substances</w:t>
      </w:r>
      <w:r>
        <w:t>: Businesses will face higher costs because they cannot dispose to landfill.</w:t>
      </w:r>
    </w:p>
    <w:p w14:paraId="656B087E" w14:textId="77777777" w:rsidR="00213E13" w:rsidRDefault="00213E13" w:rsidP="000E7C5E">
      <w:pPr>
        <w:pStyle w:val="Bullet1"/>
        <w:numPr>
          <w:ilvl w:val="1"/>
          <w:numId w:val="168"/>
        </w:numPr>
        <w:ind w:left="567" w:hanging="283"/>
      </w:pPr>
      <w:r w:rsidRPr="00AD136A">
        <w:rPr>
          <w:b/>
        </w:rPr>
        <w:t>Landfill gas emissions</w:t>
      </w:r>
      <w:r w:rsidRPr="00AD136A">
        <w:t>:</w:t>
      </w:r>
      <w:r>
        <w:t xml:space="preserve"> For businesses, specifying that reasonable steps must be undertaken to meet emission levels may increase their costs as they need to make sure that their landfill management is adequate. However, to some degree they already have to do this to comply with the GED. Prescription of emission levels might also reduce their costs by reducing uncertainty of what action they need to take to meet the GED.</w:t>
      </w:r>
    </w:p>
    <w:p w14:paraId="656B087F" w14:textId="77777777" w:rsidR="00213E13" w:rsidRPr="007B198D" w:rsidRDefault="00213E13" w:rsidP="000E7C5E">
      <w:pPr>
        <w:pStyle w:val="Bullet1"/>
        <w:numPr>
          <w:ilvl w:val="1"/>
          <w:numId w:val="168"/>
        </w:numPr>
        <w:ind w:left="567" w:hanging="283"/>
      </w:pPr>
      <w:r w:rsidRPr="00AD136A">
        <w:rPr>
          <w:b/>
        </w:rPr>
        <w:t>Landfill gas flares</w:t>
      </w:r>
      <w:r>
        <w:t xml:space="preserve">: While the </w:t>
      </w:r>
      <w:r w:rsidRPr="00A070FA">
        <w:t>cost to businesses of buying and installing</w:t>
      </w:r>
      <w:r>
        <w:t xml:space="preserve"> a gas flare are substantial (between $240,000 to $280,000, and a further $30,000 for installation), these are not costs of the regulations as the regulation does not require the operation of a landfill gas flare to manage landfill gas. It only specifies the temperature that the</w:t>
      </w:r>
      <w:r w:rsidRPr="00AD136A">
        <w:t xml:space="preserve"> use of any landfill gas flares operating a</w:t>
      </w:r>
      <w:r>
        <w:t>t a</w:t>
      </w:r>
      <w:r w:rsidRPr="00AD136A">
        <w:t xml:space="preserve"> landfill site must result</w:t>
      </w:r>
      <w:r>
        <w:t xml:space="preserve"> in. For businesses, specifying temperature requirements for gas flares may increase their costs as they need to make sure that their gas flares are meeting the standard. This may be offset by a cost reduction</w:t>
      </w:r>
      <w:r w:rsidRPr="007B198D">
        <w:t xml:space="preserve"> associated with </w:t>
      </w:r>
      <w:r>
        <w:t>not having to investigate and determine</w:t>
      </w:r>
      <w:r w:rsidRPr="007B198D">
        <w:t xml:space="preserve"> the specification at which to operate a gas flare.</w:t>
      </w:r>
      <w:r>
        <w:t xml:space="preserve"> It is difficult to determine the relative size of these impacts due to lack of data.</w:t>
      </w:r>
    </w:p>
    <w:p w14:paraId="656B0880" w14:textId="77777777" w:rsidR="00213E13" w:rsidRPr="00845E43" w:rsidRDefault="00213E13" w:rsidP="000E7C5E">
      <w:pPr>
        <w:pStyle w:val="Bullet1"/>
        <w:numPr>
          <w:ilvl w:val="1"/>
          <w:numId w:val="168"/>
        </w:numPr>
        <w:ind w:left="567" w:hanging="283"/>
      </w:pPr>
      <w:r w:rsidRPr="00AD136A">
        <w:rPr>
          <w:b/>
        </w:rPr>
        <w:t>Leachate</w:t>
      </w:r>
      <w:r w:rsidRPr="00A070FA">
        <w:rPr>
          <w:b/>
        </w:rPr>
        <w:t xml:space="preserve">: </w:t>
      </w:r>
      <w:r>
        <w:t xml:space="preserve">Option 1 is expected </w:t>
      </w:r>
      <w:r w:rsidRPr="00A070FA">
        <w:t>to reduce costs for businesses associated with investigating and evaluating the most appropriate leachate</w:t>
      </w:r>
      <w:r>
        <w:t xml:space="preserve"> level i.e. in order to comply with the GED or good business practice for operating a landfill. </w:t>
      </w:r>
    </w:p>
    <w:p w14:paraId="656B0881" w14:textId="77777777" w:rsidR="00213E13" w:rsidRDefault="00213E13" w:rsidP="000E7C5E">
      <w:pPr>
        <w:pStyle w:val="Bullet1"/>
        <w:numPr>
          <w:ilvl w:val="1"/>
          <w:numId w:val="168"/>
        </w:numPr>
        <w:spacing w:after="0"/>
        <w:ind w:left="567" w:hanging="283"/>
      </w:pPr>
      <w:r w:rsidRPr="00AD136A">
        <w:rPr>
          <w:b/>
        </w:rPr>
        <w:t xml:space="preserve">Weighbridge: </w:t>
      </w:r>
      <w:r w:rsidRPr="00A070FA">
        <w:t xml:space="preserve">The </w:t>
      </w:r>
      <w:r w:rsidR="0093166D">
        <w:t xml:space="preserve">total </w:t>
      </w:r>
      <w:r w:rsidRPr="00A070FA">
        <w:t>cost to landfill operators to use a weighbridge is expected to be minor, as all licensed landfills in Victoria, except one, currently operate a weighbridge. This cost might increase over time as the condition of weighbridges deteriorates and landfill operators have to invest or undertake maintenance, or where there is a new landfill site.</w:t>
      </w:r>
      <w:r w:rsidR="0093166D" w:rsidRPr="0093166D">
        <w:t xml:space="preserve"> </w:t>
      </w:r>
      <w:r w:rsidR="0093166D">
        <w:t>A report on waste regulation by the Centre for International Economics prepared for the NSW Environment Protection Authority (April 2014) estimated the cost of a weighbridge between</w:t>
      </w:r>
      <w:r w:rsidR="0093166D" w:rsidRPr="00DB768F">
        <w:t xml:space="preserve"> $81,000 and $150,000. The report noted that the costs to industry will differ by the type of operation, type of waste and scale of operation.</w:t>
      </w:r>
      <w:r w:rsidR="0093166D">
        <w:rPr>
          <w:rStyle w:val="FootnoteReference"/>
        </w:rPr>
        <w:footnoteReference w:id="178"/>
      </w:r>
    </w:p>
    <w:p w14:paraId="656B0882" w14:textId="77777777" w:rsidR="00457DB8" w:rsidRDefault="00457DB8" w:rsidP="00213E13">
      <w:pPr>
        <w:pStyle w:val="Bullet1"/>
        <w:ind w:left="0" w:firstLine="0"/>
        <w:rPr>
          <w:b/>
        </w:rPr>
      </w:pPr>
    </w:p>
    <w:p w14:paraId="656B0883" w14:textId="77777777" w:rsidR="00213E13" w:rsidRDefault="00213E13" w:rsidP="00213E13">
      <w:pPr>
        <w:pStyle w:val="Bullet1"/>
        <w:ind w:left="0" w:firstLine="0"/>
      </w:pPr>
      <w:r>
        <w:rPr>
          <w:b/>
        </w:rPr>
        <w:t xml:space="preserve">Option 2 </w:t>
      </w:r>
      <w:r w:rsidRPr="00A070FA">
        <w:t xml:space="preserve">will increase costs for businesses disposing of the prohibited waste </w:t>
      </w:r>
      <w:r>
        <w:t xml:space="preserve">(relative to Option 1) </w:t>
      </w:r>
      <w:r w:rsidRPr="00A070FA">
        <w:t>because they cannot dispose to landfill and will need to find</w:t>
      </w:r>
      <w:r>
        <w:t xml:space="preserve"> alternative waste disposal or storage options. Landfill operators may benefit from Option 2 as it reduces the risk of highly dangerous waste being disposed of at their landfill, for example mixed in with other waste so it is difficult to identify. Overall though, the costs to businesses are expected to be high. Option 2 is expected to assist EPA monitor compliance against the GED, thus reducing its costs</w:t>
      </w:r>
      <w:r w:rsidR="003D6AF8">
        <w:t>.</w:t>
      </w:r>
    </w:p>
    <w:p w14:paraId="656B0884" w14:textId="77777777" w:rsidR="00213E13" w:rsidRPr="00A070FA" w:rsidRDefault="00213E13" w:rsidP="00457DB8">
      <w:pPr>
        <w:pStyle w:val="Heading4"/>
      </w:pPr>
      <w:r w:rsidRPr="00A070FA">
        <w:t xml:space="preserve">Summary – preferred option </w:t>
      </w:r>
    </w:p>
    <w:p w14:paraId="656B0885" w14:textId="77777777" w:rsidR="00213E13" w:rsidRDefault="00213E13" w:rsidP="00213E13">
      <w:r>
        <w:t xml:space="preserve">Option 1 is expected to provide a net benefit compared to the Base Case, because it will significantly reduce risks of harm to human health and the environment, without imposing significant costs on businesses. Option 1 is expected to reduce EPA’s costs of compliance and enforcement. </w:t>
      </w:r>
    </w:p>
    <w:p w14:paraId="656B0886" w14:textId="77777777" w:rsidR="00213E13" w:rsidRDefault="00213E13" w:rsidP="00457DB8">
      <w:r>
        <w:t xml:space="preserve">Option 2 is preferred, however, because it includes Option 1 </w:t>
      </w:r>
      <w:r w:rsidR="005866D9">
        <w:t>and</w:t>
      </w:r>
      <w:r>
        <w:t xml:space="preserve"> by reducing the risk of high consequence wastes going to landfill</w:t>
      </w:r>
      <w:r w:rsidR="005866D9">
        <w:t xml:space="preserve"> it</w:t>
      </w:r>
      <w:r>
        <w:t xml:space="preserve"> will provide for additional benefits. The costs of this option are expected to be significant but not greater than the benefits. However, the lack of quantifiable data on these problems and options means it is difficult to demonstrate the size of the</w:t>
      </w:r>
      <w:r w:rsidR="00457DB8">
        <w:t xml:space="preserve"> net benefit.</w:t>
      </w:r>
    </w:p>
    <w:p w14:paraId="656B0887" w14:textId="77777777" w:rsidR="00213E13" w:rsidRDefault="00213E13" w:rsidP="00982D63">
      <w:pPr>
        <w:pStyle w:val="Heading2"/>
      </w:pPr>
      <w:r>
        <w:t xml:space="preserve">Waste levy </w:t>
      </w:r>
    </w:p>
    <w:p w14:paraId="656B0888" w14:textId="77777777" w:rsidR="004F6EF1" w:rsidRPr="004F6EF1" w:rsidRDefault="004F6EF1" w:rsidP="004F6EF1">
      <w:r w:rsidRPr="004F6EF1">
        <w:t>The new EP legislation creates a waste levy scheme for all waste deposited at prescribed scheduled premises in Victoria and sets out the rates, rebates, exemptions and obligations relating to paying the levy. An allowable rebate may be claimed on waste, or a component of waste:</w:t>
      </w:r>
    </w:p>
    <w:p w14:paraId="656B0889" w14:textId="77777777" w:rsidR="004F6EF1" w:rsidRPr="004F6EF1" w:rsidRDefault="004F6EF1" w:rsidP="000E7C5E">
      <w:pPr>
        <w:pStyle w:val="ListParagraph"/>
        <w:numPr>
          <w:ilvl w:val="1"/>
          <w:numId w:val="109"/>
        </w:numPr>
        <w:ind w:left="709" w:hanging="425"/>
      </w:pPr>
      <w:r w:rsidRPr="004F6EF1">
        <w:t>That the liable person was permitted or authorised to receive.</w:t>
      </w:r>
    </w:p>
    <w:p w14:paraId="656B088A" w14:textId="77777777" w:rsidR="004F6EF1" w:rsidRPr="004F6EF1" w:rsidRDefault="004F6EF1" w:rsidP="000E7C5E">
      <w:pPr>
        <w:pStyle w:val="ListParagraph"/>
        <w:numPr>
          <w:ilvl w:val="1"/>
          <w:numId w:val="109"/>
        </w:numPr>
        <w:ind w:left="709" w:hanging="425"/>
      </w:pPr>
      <w:r w:rsidRPr="004F6EF1">
        <w:t>That is capable of resource recovery.</w:t>
      </w:r>
    </w:p>
    <w:p w14:paraId="656B088B" w14:textId="77777777" w:rsidR="004F6EF1" w:rsidRPr="004F6EF1" w:rsidRDefault="004F6EF1" w:rsidP="000E7C5E">
      <w:pPr>
        <w:pStyle w:val="ListParagraph"/>
        <w:numPr>
          <w:ilvl w:val="1"/>
          <w:numId w:val="109"/>
        </w:numPr>
        <w:ind w:left="709" w:hanging="425"/>
      </w:pPr>
      <w:r w:rsidRPr="004F6EF1">
        <w:t>Where the liable person can demonstrate that the waste has gone to, or will go to, a person permitted or authorised to receive that waste for the purpose of recovery to the satisfaction of EPA.</w:t>
      </w:r>
    </w:p>
    <w:p w14:paraId="656B088C" w14:textId="77777777" w:rsidR="004F6EF1" w:rsidRPr="004F6EF1" w:rsidRDefault="004F6EF1" w:rsidP="000E7C5E">
      <w:pPr>
        <w:pStyle w:val="ListParagraph"/>
        <w:numPr>
          <w:ilvl w:val="1"/>
          <w:numId w:val="109"/>
        </w:numPr>
        <w:ind w:left="709" w:hanging="425"/>
      </w:pPr>
      <w:r w:rsidRPr="004F6EF1">
        <w:t>That is not a waste prescribed as being ineligible for the purposes of claiming an allowable rebate.</w:t>
      </w:r>
    </w:p>
    <w:p w14:paraId="656B088D" w14:textId="77777777" w:rsidR="004F6EF1" w:rsidRPr="004F6EF1" w:rsidRDefault="004F6EF1" w:rsidP="004F6EF1">
      <w:r w:rsidRPr="004F6EF1">
        <w:t xml:space="preserve">Contaminated soil cannot be the subject of a claim </w:t>
      </w:r>
      <w:r w:rsidR="00CE3CA6">
        <w:t xml:space="preserve">for </w:t>
      </w:r>
      <w:r w:rsidRPr="004F6EF1">
        <w:t xml:space="preserve">an allowable rebate. </w:t>
      </w:r>
    </w:p>
    <w:p w14:paraId="656B088E" w14:textId="77777777" w:rsidR="004F6EF1" w:rsidRPr="004F6EF1" w:rsidRDefault="004F6EF1" w:rsidP="004F6EF1">
      <w:r w:rsidRPr="004F6EF1">
        <w:t>The new EP legislation requires certain factors to be prescribed in order to operate the waste levy scheme. Without further prescription, the waste levy cannot operate effectively:</w:t>
      </w:r>
    </w:p>
    <w:p w14:paraId="656B088F" w14:textId="77777777" w:rsidR="004F6EF1" w:rsidRPr="004F6EF1" w:rsidRDefault="004F6EF1" w:rsidP="000E7C5E">
      <w:pPr>
        <w:pStyle w:val="ListParagraph"/>
        <w:numPr>
          <w:ilvl w:val="1"/>
          <w:numId w:val="109"/>
        </w:numPr>
        <w:ind w:left="709" w:hanging="425"/>
      </w:pPr>
      <w:r w:rsidRPr="004F6EF1">
        <w:t>What recoverable waste</w:t>
      </w:r>
      <w:r w:rsidR="00CE3CA6">
        <w:t xml:space="preserve"> will be prescribed as attracting an allowable rebate</w:t>
      </w:r>
      <w:r w:rsidRPr="004F6EF1">
        <w:t>.</w:t>
      </w:r>
    </w:p>
    <w:p w14:paraId="656B0890" w14:textId="77777777" w:rsidR="004F6EF1" w:rsidRPr="004F6EF1" w:rsidRDefault="004F6EF1" w:rsidP="000E7C5E">
      <w:pPr>
        <w:pStyle w:val="ListParagraph"/>
        <w:numPr>
          <w:ilvl w:val="1"/>
          <w:numId w:val="109"/>
        </w:numPr>
        <w:ind w:left="709" w:hanging="425"/>
      </w:pPr>
      <w:r w:rsidRPr="004F6EF1">
        <w:t>The timing and intervals at which the waste levy must be remitted, and the timing in claiming any prescribed allowable rebates.</w:t>
      </w:r>
    </w:p>
    <w:p w14:paraId="656B0891" w14:textId="77777777" w:rsidR="004F6EF1" w:rsidRPr="004F6EF1" w:rsidRDefault="004F6EF1" w:rsidP="000E7C5E">
      <w:pPr>
        <w:pStyle w:val="ListParagraph"/>
        <w:numPr>
          <w:ilvl w:val="1"/>
          <w:numId w:val="109"/>
        </w:numPr>
        <w:ind w:left="709" w:hanging="425"/>
      </w:pPr>
      <w:r w:rsidRPr="004F6EF1">
        <w:t xml:space="preserve">Information required when making a claim for allowable rebates. </w:t>
      </w:r>
    </w:p>
    <w:p w14:paraId="656B0892" w14:textId="77777777" w:rsidR="004F6EF1" w:rsidRPr="004F6EF1" w:rsidRDefault="004F6EF1" w:rsidP="004F6EF1">
      <w:r w:rsidRPr="004F6EF1">
        <w:t xml:space="preserve">Given the financial nature of the waste levy, any ambiguity on how the scheme </w:t>
      </w:r>
      <w:r w:rsidR="00CE3CA6">
        <w:t xml:space="preserve">could </w:t>
      </w:r>
      <w:r w:rsidRPr="004F6EF1">
        <w:t>incentivise undesirable behaviour from licenced waste receivers such as avoiding or delaying payment.</w:t>
      </w:r>
    </w:p>
    <w:p w14:paraId="656B0893" w14:textId="77777777" w:rsidR="003173D1" w:rsidRDefault="003173D1" w:rsidP="003173D1">
      <w:r>
        <w:t xml:space="preserve">In developing options to enable the waste levy scheme to operate effectively, EPA and DELWP considered which elements of the waste levy scheme would require further prescription in regulation, and with a high level of certainty for duty holders. Non-regulatory options were not considered, since these elements of the waste levy scheme can only be triggered through regulations. </w:t>
      </w:r>
    </w:p>
    <w:p w14:paraId="656B0894" w14:textId="77777777" w:rsidR="004F6EF1" w:rsidRPr="004F6EF1" w:rsidRDefault="004F6EF1" w:rsidP="004F6EF1">
      <w:r w:rsidRPr="004F6EF1">
        <w:t>The four matters being considered for regulation are assessed in the following sections.</w:t>
      </w:r>
    </w:p>
    <w:p w14:paraId="656B0895" w14:textId="77777777" w:rsidR="004F6EF1" w:rsidRPr="004F6EF1" w:rsidRDefault="004F6EF1" w:rsidP="00656F10">
      <w:pPr>
        <w:pStyle w:val="Heading3"/>
        <w:ind w:left="720"/>
      </w:pPr>
      <w:r w:rsidRPr="004F6EF1">
        <w:t>Definition of allowable rebate</w:t>
      </w:r>
    </w:p>
    <w:p w14:paraId="656B0896" w14:textId="77777777" w:rsidR="004F6EF1" w:rsidRPr="004F6EF1" w:rsidRDefault="004F6EF1" w:rsidP="00656F10">
      <w:pPr>
        <w:pStyle w:val="Heading4"/>
      </w:pPr>
      <w:r w:rsidRPr="004F6EF1">
        <w:t>Options</w:t>
      </w:r>
    </w:p>
    <w:p w14:paraId="656B0897" w14:textId="77777777" w:rsidR="004F6EF1" w:rsidRPr="004F6EF1" w:rsidRDefault="004F6EF1" w:rsidP="004F6EF1">
      <w:r w:rsidRPr="004F6EF1">
        <w:t xml:space="preserve">Three options plus the Base Case are being considered to determine the criteria for prescribing conditions for waste to attract a rebate. These options are: </w:t>
      </w:r>
    </w:p>
    <w:p w14:paraId="656B0898" w14:textId="77777777" w:rsidR="004F6EF1" w:rsidRPr="004F6EF1" w:rsidRDefault="004F6EF1" w:rsidP="004F6EF1">
      <w:pPr>
        <w:numPr>
          <w:ilvl w:val="0"/>
          <w:numId w:val="109"/>
        </w:numPr>
        <w:spacing w:after="0"/>
        <w:contextualSpacing/>
        <w:rPr>
          <w:szCs w:val="17"/>
        </w:rPr>
      </w:pPr>
      <w:r w:rsidRPr="004F6EF1">
        <w:rPr>
          <w:b/>
          <w:szCs w:val="17"/>
        </w:rPr>
        <w:t>Base Case</w:t>
      </w:r>
      <w:r w:rsidRPr="004F6EF1">
        <w:rPr>
          <w:szCs w:val="17"/>
        </w:rPr>
        <w:t>: No regulations, which means the prescribed allowable rebate under the legislation would not come into effect.</w:t>
      </w:r>
    </w:p>
    <w:p w14:paraId="656B0899" w14:textId="77777777" w:rsidR="004F6EF1" w:rsidRPr="004F6EF1" w:rsidRDefault="004F6EF1" w:rsidP="004F6EF1">
      <w:pPr>
        <w:numPr>
          <w:ilvl w:val="0"/>
          <w:numId w:val="109"/>
        </w:numPr>
        <w:spacing w:after="0"/>
        <w:contextualSpacing/>
        <w:rPr>
          <w:szCs w:val="17"/>
        </w:rPr>
      </w:pPr>
      <w:r w:rsidRPr="004F6EF1">
        <w:rPr>
          <w:b/>
          <w:szCs w:val="17"/>
        </w:rPr>
        <w:t>Option 1</w:t>
      </w:r>
      <w:r w:rsidRPr="004F6EF1">
        <w:rPr>
          <w:szCs w:val="17"/>
        </w:rPr>
        <w:t xml:space="preserve">: Relying </w:t>
      </w:r>
      <w:r w:rsidR="00CE3CA6">
        <w:rPr>
          <w:szCs w:val="17"/>
        </w:rPr>
        <w:t xml:space="preserve">solely </w:t>
      </w:r>
      <w:r w:rsidRPr="004F6EF1">
        <w:rPr>
          <w:szCs w:val="17"/>
        </w:rPr>
        <w:t>on the definition of “resource recovery” under the new EP legislation to determine what will attract a rebate. Resource recovery (excluding preparation for reuse) in relation to waste means:</w:t>
      </w:r>
    </w:p>
    <w:p w14:paraId="656B089A" w14:textId="77777777" w:rsidR="004F6EF1" w:rsidRPr="000C445F" w:rsidRDefault="004F6EF1" w:rsidP="000E7C5E">
      <w:pPr>
        <w:numPr>
          <w:ilvl w:val="1"/>
          <w:numId w:val="70"/>
        </w:numPr>
        <w:ind w:left="1134" w:hanging="425"/>
        <w:contextualSpacing/>
        <w:textboxTightWrap w:val="allLines"/>
      </w:pPr>
      <w:r w:rsidRPr="000C445F">
        <w:t>Recycling the waste.</w:t>
      </w:r>
    </w:p>
    <w:p w14:paraId="656B089B" w14:textId="77777777" w:rsidR="004F6EF1" w:rsidRPr="000C445F" w:rsidRDefault="004F6EF1" w:rsidP="000E7C5E">
      <w:pPr>
        <w:numPr>
          <w:ilvl w:val="1"/>
          <w:numId w:val="70"/>
        </w:numPr>
        <w:ind w:left="1134" w:hanging="425"/>
        <w:contextualSpacing/>
        <w:textboxTightWrap w:val="allLines"/>
      </w:pPr>
      <w:r w:rsidRPr="000C445F">
        <w:t xml:space="preserve">Reprocessing the waste. </w:t>
      </w:r>
    </w:p>
    <w:p w14:paraId="656B089C" w14:textId="77777777" w:rsidR="004F6EF1" w:rsidRPr="000C445F" w:rsidRDefault="004F6EF1" w:rsidP="000E7C5E">
      <w:pPr>
        <w:numPr>
          <w:ilvl w:val="1"/>
          <w:numId w:val="70"/>
        </w:numPr>
        <w:ind w:left="1134" w:hanging="425"/>
        <w:contextualSpacing/>
        <w:textboxTightWrap w:val="allLines"/>
      </w:pPr>
      <w:r w:rsidRPr="000C445F">
        <w:t>Recovering energy or other resources from the waste.</w:t>
      </w:r>
    </w:p>
    <w:p w14:paraId="656B089D" w14:textId="77777777" w:rsidR="004F6EF1" w:rsidRPr="000C445F" w:rsidRDefault="004F6EF1" w:rsidP="000E7C5E">
      <w:pPr>
        <w:numPr>
          <w:ilvl w:val="1"/>
          <w:numId w:val="70"/>
        </w:numPr>
        <w:ind w:left="1134" w:hanging="425"/>
        <w:contextualSpacing/>
        <w:textboxTightWrap w:val="allLines"/>
      </w:pPr>
      <w:r w:rsidRPr="000C445F">
        <w:t xml:space="preserve">Anything prescribed to be resource recovery in relation to waste - but does not include anything prescribed not to be resource recovery in relation to waste. </w:t>
      </w:r>
    </w:p>
    <w:p w14:paraId="656B089E" w14:textId="77777777" w:rsidR="004F6EF1" w:rsidRPr="004F6EF1" w:rsidRDefault="004F6EF1" w:rsidP="004F6EF1">
      <w:pPr>
        <w:numPr>
          <w:ilvl w:val="0"/>
          <w:numId w:val="109"/>
        </w:numPr>
        <w:spacing w:after="0"/>
        <w:contextualSpacing/>
        <w:rPr>
          <w:szCs w:val="20"/>
        </w:rPr>
      </w:pPr>
      <w:r w:rsidRPr="004F6EF1">
        <w:rPr>
          <w:b/>
          <w:szCs w:val="17"/>
        </w:rPr>
        <w:t>Option 2</w:t>
      </w:r>
      <w:r w:rsidRPr="004F6EF1">
        <w:rPr>
          <w:szCs w:val="17"/>
        </w:rPr>
        <w:t xml:space="preserve">: Prescribe the levy activities i.e. those activities that can claim a rebate (which are prescribed by </w:t>
      </w:r>
      <w:r w:rsidRPr="004F6EF1">
        <w:rPr>
          <w:szCs w:val="20"/>
        </w:rPr>
        <w:t>referencing certain categories of permission activities that are prescribed in the proposed Regulations) and prohibiting certain waste type(s) from claiming a rebate.</w:t>
      </w:r>
    </w:p>
    <w:p w14:paraId="656B089F" w14:textId="77777777" w:rsidR="004F6EF1" w:rsidRPr="004F6EF1" w:rsidRDefault="004F6EF1" w:rsidP="004F6EF1">
      <w:pPr>
        <w:numPr>
          <w:ilvl w:val="0"/>
          <w:numId w:val="109"/>
        </w:numPr>
        <w:contextualSpacing/>
        <w:rPr>
          <w:szCs w:val="20"/>
        </w:rPr>
      </w:pPr>
      <w:r w:rsidRPr="004F6EF1">
        <w:rPr>
          <w:b/>
          <w:szCs w:val="20"/>
        </w:rPr>
        <w:t>Option 3</w:t>
      </w:r>
      <w:r w:rsidRPr="004F6EF1">
        <w:rPr>
          <w:szCs w:val="20"/>
        </w:rPr>
        <w:t>: Option 2, plus prescribe the criteria for which waste will attract a rebate as follows:</w:t>
      </w:r>
    </w:p>
    <w:p w14:paraId="656B08A1" w14:textId="074C752D" w:rsidR="004F6EF1" w:rsidRPr="000C445F" w:rsidRDefault="004F6EF1" w:rsidP="007C68E3">
      <w:pPr>
        <w:numPr>
          <w:ilvl w:val="1"/>
          <w:numId w:val="70"/>
        </w:numPr>
        <w:ind w:left="1134" w:hanging="425"/>
        <w:contextualSpacing/>
        <w:textboxTightWrap w:val="allLines"/>
      </w:pPr>
      <w:r w:rsidRPr="000C445F">
        <w:t>Person liable to pay waste levy has, within the relevant period</w:t>
      </w:r>
      <w:r w:rsidRPr="001B33D9">
        <w:rPr>
          <w:vertAlign w:val="superscript"/>
        </w:rPr>
        <w:footnoteReference w:id="179"/>
      </w:r>
      <w:r w:rsidRPr="001B33D9">
        <w:rPr>
          <w:vertAlign w:val="superscript"/>
        </w:rPr>
        <w:t>,</w:t>
      </w:r>
      <w:r w:rsidRPr="000C445F">
        <w:t xml:space="preserve"> transferred the waste to a place or premises authorised to receive industrial waste for the purposes of resource recovery.</w:t>
      </w:r>
    </w:p>
    <w:p w14:paraId="656B08A2" w14:textId="77777777" w:rsidR="004F6EF1" w:rsidRPr="004F6EF1" w:rsidRDefault="004F6EF1" w:rsidP="00656F10">
      <w:pPr>
        <w:pStyle w:val="Heading4"/>
      </w:pPr>
      <w:r w:rsidRPr="004F6EF1">
        <w:t>Analysis</w:t>
      </w:r>
    </w:p>
    <w:p w14:paraId="656B08A3" w14:textId="77777777" w:rsidR="004F6EF1" w:rsidRPr="004B63C1" w:rsidRDefault="004F6EF1" w:rsidP="004F6EF1">
      <w:pPr>
        <w:spacing w:after="0"/>
        <w:rPr>
          <w:i/>
        </w:rPr>
      </w:pPr>
      <w:r w:rsidRPr="004B63C1">
        <w:rPr>
          <w:i/>
        </w:rPr>
        <w:t>Benefits</w:t>
      </w:r>
    </w:p>
    <w:p w14:paraId="656B08A4" w14:textId="77777777" w:rsidR="004F6EF1" w:rsidRPr="004F6EF1" w:rsidRDefault="004F6EF1" w:rsidP="004F6EF1">
      <w:r w:rsidRPr="004F6EF1">
        <w:t>The community is expected to benefit substantially as a result of the waste levy system operating. Landfill levies create an incentive for waste generators to investigate ways to reduce the amount of waste they generate and dispose of to landfill. Under the Base Case, where there is no prescribed allowable rebate, this incentive does not exist, so more waste is expected to go to landfill rather than be diverted to reuse, recycling or upcycling. Costs associated with landfill include:</w:t>
      </w:r>
    </w:p>
    <w:p w14:paraId="656B08A5" w14:textId="77777777" w:rsidR="004F6EF1" w:rsidRPr="004F6EF1" w:rsidRDefault="004F6EF1" w:rsidP="004F6EF1">
      <w:pPr>
        <w:numPr>
          <w:ilvl w:val="0"/>
          <w:numId w:val="167"/>
        </w:numPr>
        <w:contextualSpacing/>
        <w:textboxTightWrap w:val="allLines"/>
      </w:pPr>
      <w:r w:rsidRPr="004F6EF1">
        <w:t>Greenhouse gas emissions and other air pollutants.</w:t>
      </w:r>
    </w:p>
    <w:p w14:paraId="656B08A6" w14:textId="77777777" w:rsidR="004F6EF1" w:rsidRPr="004F6EF1" w:rsidRDefault="004F6EF1" w:rsidP="004F6EF1">
      <w:pPr>
        <w:numPr>
          <w:ilvl w:val="0"/>
          <w:numId w:val="167"/>
        </w:numPr>
        <w:contextualSpacing/>
        <w:textboxTightWrap w:val="allLines"/>
      </w:pPr>
      <w:r w:rsidRPr="004F6EF1">
        <w:t>Leaching of waste leading to contamination of soils, groundwater resources and surface water.</w:t>
      </w:r>
    </w:p>
    <w:p w14:paraId="656B08A7" w14:textId="77777777" w:rsidR="004F6EF1" w:rsidRPr="004F6EF1" w:rsidRDefault="004F6EF1" w:rsidP="00AD3032">
      <w:pPr>
        <w:numPr>
          <w:ilvl w:val="0"/>
          <w:numId w:val="167"/>
        </w:numPr>
        <w:spacing w:after="0"/>
        <w:contextualSpacing/>
        <w:textboxTightWrap w:val="allLines"/>
      </w:pPr>
      <w:r w:rsidRPr="004F6EF1">
        <w:t>Noise and odour impacts on local amenity (and reduction in house prices in the vicinity of landfill sites).</w:t>
      </w:r>
    </w:p>
    <w:p w14:paraId="656B08A8" w14:textId="77777777" w:rsidR="004F6EF1" w:rsidRDefault="004F6EF1" w:rsidP="00656F10">
      <w:pPr>
        <w:pStyle w:val="ListParagraph"/>
        <w:numPr>
          <w:ilvl w:val="1"/>
          <w:numId w:val="109"/>
        </w:numPr>
        <w:ind w:left="709" w:hanging="425"/>
      </w:pPr>
      <w:r w:rsidRPr="004F6EF1">
        <w:t>Opportunity cost of higher value future uses of land, after capping and rehabilitation.</w:t>
      </w:r>
    </w:p>
    <w:p w14:paraId="656B08A9" w14:textId="77777777" w:rsidR="004F6EF1" w:rsidRPr="004F6EF1" w:rsidRDefault="004F6EF1" w:rsidP="004F6EF1">
      <w:r w:rsidRPr="004F6EF1">
        <w:t>Some of the costs of landfills may be offset where renewable electricity from methane capture is generated and used to replace energy sources with higher per unit GHG emissions.</w:t>
      </w:r>
      <w:r w:rsidRPr="004F6EF1">
        <w:rPr>
          <w:vertAlign w:val="superscript"/>
        </w:rPr>
        <w:footnoteReference w:id="180"/>
      </w:r>
      <w:r w:rsidRPr="004F6EF1">
        <w:t xml:space="preserve"> However, </w:t>
      </w:r>
      <w:r w:rsidR="00AD3032">
        <w:t xml:space="preserve">the estimated revenue from renewable energy generation is unlikely to offset </w:t>
      </w:r>
      <w:r w:rsidRPr="004F6EF1">
        <w:t>most of the costs of landfill.</w:t>
      </w:r>
    </w:p>
    <w:p w14:paraId="656B08AA" w14:textId="77777777" w:rsidR="004F6EF1" w:rsidRPr="004F6EF1" w:rsidRDefault="004F6EF1" w:rsidP="004F6EF1">
      <w:r w:rsidRPr="004F6EF1">
        <w:t>Deloitte Access Economics has previously analysed the waste levy system in South Australia and Victoria, including costing the externalities associated with waste sent to landfill.</w:t>
      </w:r>
      <w:r w:rsidRPr="004F6EF1">
        <w:rPr>
          <w:vertAlign w:val="superscript"/>
        </w:rPr>
        <w:footnoteReference w:id="181"/>
      </w:r>
      <w:r w:rsidRPr="004F6EF1">
        <w:t xml:space="preserve"> The cost of direct externalities in Adelaide landfills was estimated to range from a relatively low dollar per tonne value to $43 per tonne (and in some cases higher) ($2015). </w:t>
      </w:r>
    </w:p>
    <w:p w14:paraId="656B08AB" w14:textId="77777777" w:rsidR="004F6EF1" w:rsidRPr="004F6EF1" w:rsidRDefault="004F6EF1" w:rsidP="004F6EF1">
      <w:r w:rsidRPr="004F6EF1">
        <w:t>Options 1, 2 and 3 are all expected to lead to a reduction in landfill compared to the Base Case, because the rebate incentivises resource recovery. There would also be benefits as a result of increased recycling, reuse or upcycling, arising from:</w:t>
      </w:r>
    </w:p>
    <w:p w14:paraId="656B08AC" w14:textId="77777777" w:rsidR="004F6EF1" w:rsidRPr="004F6EF1" w:rsidRDefault="004F6EF1" w:rsidP="000E7C5E">
      <w:pPr>
        <w:pStyle w:val="ListParagraph"/>
        <w:numPr>
          <w:ilvl w:val="1"/>
          <w:numId w:val="109"/>
        </w:numPr>
        <w:ind w:left="709" w:hanging="425"/>
      </w:pPr>
      <w:r w:rsidRPr="004F6EF1">
        <w:t>The avoided environmental impacts associated with extraction of virgin materials.</w:t>
      </w:r>
    </w:p>
    <w:p w14:paraId="656B08AD" w14:textId="77777777" w:rsidR="004F6EF1" w:rsidRPr="004F6EF1" w:rsidRDefault="004F6EF1" w:rsidP="000E7C5E">
      <w:pPr>
        <w:pStyle w:val="ListParagraph"/>
        <w:numPr>
          <w:ilvl w:val="1"/>
          <w:numId w:val="109"/>
        </w:numPr>
        <w:ind w:left="709" w:hanging="425"/>
      </w:pPr>
      <w:r w:rsidRPr="004F6EF1">
        <w:t>The avoided environmental impacts from the process of manufacturing virgin materials.</w:t>
      </w:r>
    </w:p>
    <w:p w14:paraId="656B08AE" w14:textId="77777777" w:rsidR="004F6EF1" w:rsidRPr="004F6EF1" w:rsidRDefault="004F6EF1" w:rsidP="000E7C5E">
      <w:pPr>
        <w:pStyle w:val="ListParagraph"/>
        <w:numPr>
          <w:ilvl w:val="1"/>
          <w:numId w:val="109"/>
        </w:numPr>
        <w:ind w:left="709" w:hanging="425"/>
      </w:pPr>
      <w:r w:rsidRPr="004F6EF1">
        <w:t>The use of recovered materials instead of virgin materials expands the production possibility frontier of society.</w:t>
      </w:r>
    </w:p>
    <w:p w14:paraId="656B08AF" w14:textId="77777777" w:rsidR="00AD3032" w:rsidRPr="004F6EF1" w:rsidRDefault="00656F10" w:rsidP="000E7C5E">
      <w:pPr>
        <w:pStyle w:val="ListParagraph"/>
        <w:numPr>
          <w:ilvl w:val="1"/>
          <w:numId w:val="109"/>
        </w:numPr>
        <w:ind w:left="709" w:hanging="425"/>
      </w:pPr>
      <w:r>
        <w:t>The a</w:t>
      </w:r>
      <w:r w:rsidR="00AD3032">
        <w:t>voided environmental impacts of landfilling</w:t>
      </w:r>
      <w:r>
        <w:t>.</w:t>
      </w:r>
    </w:p>
    <w:p w14:paraId="656B08B0" w14:textId="77777777" w:rsidR="004F6EF1" w:rsidRPr="004F6EF1" w:rsidRDefault="004F6EF1" w:rsidP="004F6EF1">
      <w:r w:rsidRPr="004F6EF1">
        <w:t>Compared to Options 1 and 2, time limits on resource recovery imposed by Option 3 are likely to maintain the integrity of the levy system (e.g. reducing the potential for behaviour such as claiming a rebate but taking a very long time to fully recover the waste) but also reduce the potential for waste stockpiles that can lead to significant harms such as fires. Without such time limits operators might be incentivised to take longer to fully recover waste because the waste recovery value is low or the operator is waiting for a higher value in future (particularly a problem with the current stockpiling problem).</w:t>
      </w:r>
    </w:p>
    <w:p w14:paraId="656B08B1" w14:textId="77777777" w:rsidR="004F6EF1" w:rsidRPr="004F6EF1" w:rsidRDefault="004F6EF1" w:rsidP="004F6EF1">
      <w:r w:rsidRPr="004F6EF1">
        <w:t>The avoided landfill externalities from greater resource recovery are in the order of $60 per tonne (depending on individual landfill practices) ($2015).</w:t>
      </w:r>
      <w:r w:rsidRPr="004F6EF1">
        <w:rPr>
          <w:vertAlign w:val="superscript"/>
        </w:rPr>
        <w:footnoteReference w:id="182"/>
      </w:r>
      <w:r w:rsidRPr="004F6EF1">
        <w:t xml:space="preserve"> </w:t>
      </w:r>
      <w:r w:rsidR="00247CA7">
        <w:t xml:space="preserve">This cost is unlikely to have changed significantly since 2015. </w:t>
      </w:r>
      <w:r w:rsidRPr="004F6EF1">
        <w:t>It is difficult to estimate the impact of the levy on landfill volumes and diversion from landfill rates</w:t>
      </w:r>
      <w:r w:rsidRPr="00656F10">
        <w:t xml:space="preserve">. </w:t>
      </w:r>
      <w:r w:rsidRPr="00656F10">
        <w:fldChar w:fldCharType="begin"/>
      </w:r>
      <w:r w:rsidRPr="00656F10">
        <w:instrText xml:space="preserve"> REF _Ref7645017 \h </w:instrText>
      </w:r>
      <w:r w:rsidR="00AD3032" w:rsidRPr="00656F10">
        <w:instrText xml:space="preserve"> \* MERGEFORMAT </w:instrText>
      </w:r>
      <w:r w:rsidRPr="00656F10">
        <w:fldChar w:fldCharType="separate"/>
      </w:r>
      <w:r w:rsidR="00B51904" w:rsidRPr="00B51904">
        <w:t>Figure 9</w:t>
      </w:r>
      <w:r w:rsidR="00B51904" w:rsidRPr="00B51904">
        <w:noBreakHyphen/>
        <w:t>4</w:t>
      </w:r>
      <w:r w:rsidRPr="00656F10">
        <w:fldChar w:fldCharType="end"/>
      </w:r>
      <w:r w:rsidRPr="002E0185">
        <w:t xml:space="preserve"> shows a</w:t>
      </w:r>
      <w:r w:rsidRPr="004F6EF1">
        <w:t xml:space="preserve"> decrease in volume of waste to landfill over time. The landfill levy amount has significantly increased over time, from around $2 a tonne in 1992 and under $20 a tonne in 2009-10, to $63.28 a tonne in 2017–18. This is likely to have had some impact on the volume of waste diverted from landfill, although there may be other contributing factors, such as community education. This means it is difficult to isolate the impact of the levy and quantify the benefit of diversion from landfill. </w:t>
      </w:r>
    </w:p>
    <w:p w14:paraId="656B08B2" w14:textId="77777777" w:rsidR="004F6EF1" w:rsidRPr="004F6EF1" w:rsidRDefault="004F6EF1" w:rsidP="004F6EF1">
      <w:pPr>
        <w:keepNext/>
        <w:keepLines/>
        <w:spacing w:before="240" w:after="240"/>
        <w:rPr>
          <w:iCs/>
          <w:color w:val="75787B" w:themeColor="accent6"/>
          <w:sz w:val="17"/>
        </w:rPr>
      </w:pPr>
      <w:bookmarkStart w:id="648" w:name="_Ref7645017"/>
      <w:r w:rsidRPr="004F6EF1">
        <w:rPr>
          <w:iCs/>
          <w:color w:val="75787B" w:themeColor="accent6"/>
          <w:sz w:val="17"/>
        </w:rPr>
        <w:t xml:space="preserve">Figure </w:t>
      </w:r>
      <w:r w:rsidRPr="004F6EF1">
        <w:rPr>
          <w:color w:val="75787B" w:themeColor="accent6"/>
          <w:sz w:val="17"/>
          <w:shd w:val="clear" w:color="auto" w:fill="E6E6E6"/>
        </w:rPr>
        <w:fldChar w:fldCharType="begin"/>
      </w:r>
      <w:r w:rsidRPr="004F6EF1">
        <w:rPr>
          <w:iCs/>
          <w:color w:val="75787B" w:themeColor="accent6"/>
          <w:sz w:val="17"/>
        </w:rPr>
        <w:instrText xml:space="preserve"> STYLEREF 1 \s </w:instrText>
      </w:r>
      <w:r w:rsidRPr="004F6EF1">
        <w:rPr>
          <w:color w:val="75787B" w:themeColor="accent6"/>
          <w:sz w:val="17"/>
          <w:shd w:val="clear" w:color="auto" w:fill="E6E6E6"/>
        </w:rPr>
        <w:fldChar w:fldCharType="separate"/>
      </w:r>
      <w:r w:rsidR="00B11C1E">
        <w:rPr>
          <w:iCs/>
          <w:noProof/>
          <w:color w:val="75787B" w:themeColor="accent6"/>
          <w:sz w:val="17"/>
        </w:rPr>
        <w:t>9</w:t>
      </w:r>
      <w:r w:rsidRPr="004F6EF1">
        <w:rPr>
          <w:color w:val="75787B" w:themeColor="accent6"/>
          <w:sz w:val="17"/>
          <w:shd w:val="clear" w:color="auto" w:fill="E6E6E6"/>
        </w:rPr>
        <w:fldChar w:fldCharType="end"/>
      </w:r>
      <w:r w:rsidRPr="004F6EF1">
        <w:rPr>
          <w:iCs/>
          <w:color w:val="75787B" w:themeColor="accent6"/>
          <w:sz w:val="17"/>
        </w:rPr>
        <w:noBreakHyphen/>
      </w:r>
      <w:r w:rsidRPr="004F6EF1">
        <w:rPr>
          <w:color w:val="75787B" w:themeColor="accent6"/>
          <w:sz w:val="17"/>
          <w:shd w:val="clear" w:color="auto" w:fill="E6E6E6"/>
        </w:rPr>
        <w:fldChar w:fldCharType="begin"/>
      </w:r>
      <w:r w:rsidRPr="004F6EF1">
        <w:rPr>
          <w:iCs/>
          <w:color w:val="75787B" w:themeColor="accent6"/>
          <w:sz w:val="17"/>
        </w:rPr>
        <w:instrText xml:space="preserve"> SEQ Figure \* ARABIC \s 1 </w:instrText>
      </w:r>
      <w:r w:rsidRPr="004F6EF1">
        <w:rPr>
          <w:color w:val="75787B" w:themeColor="accent6"/>
          <w:sz w:val="17"/>
          <w:shd w:val="clear" w:color="auto" w:fill="E6E6E6"/>
        </w:rPr>
        <w:fldChar w:fldCharType="separate"/>
      </w:r>
      <w:r w:rsidR="00B11C1E">
        <w:rPr>
          <w:iCs/>
          <w:noProof/>
          <w:color w:val="75787B" w:themeColor="accent6"/>
          <w:sz w:val="17"/>
        </w:rPr>
        <w:t>4</w:t>
      </w:r>
      <w:r w:rsidRPr="004F6EF1">
        <w:rPr>
          <w:color w:val="75787B" w:themeColor="accent6"/>
          <w:sz w:val="17"/>
          <w:shd w:val="clear" w:color="auto" w:fill="E6E6E6"/>
        </w:rPr>
        <w:fldChar w:fldCharType="end"/>
      </w:r>
      <w:bookmarkEnd w:id="648"/>
      <w:r w:rsidRPr="004F6EF1">
        <w:rPr>
          <w:iCs/>
          <w:color w:val="75787B" w:themeColor="accent6"/>
          <w:sz w:val="17"/>
        </w:rPr>
        <w:t xml:space="preserve"> Volume of municipal and industrial waste to landfill (tonnes per person)</w:t>
      </w:r>
    </w:p>
    <w:p w14:paraId="656B08B3" w14:textId="77777777" w:rsidR="004F6EF1" w:rsidRPr="004F6EF1" w:rsidRDefault="004F6EF1" w:rsidP="004F6EF1">
      <w:r w:rsidRPr="004F6EF1">
        <w:rPr>
          <w:noProof/>
          <w:color w:val="2B579A"/>
          <w:shd w:val="clear" w:color="auto" w:fill="E6E6E6"/>
          <w:lang w:eastAsia="en-AU"/>
        </w:rPr>
        <w:drawing>
          <wp:inline distT="0" distB="0" distL="0" distR="0" wp14:anchorId="656B1EB4" wp14:editId="656B1EB5">
            <wp:extent cx="5845175" cy="2765446"/>
            <wp:effectExtent l="0" t="0" r="3175" b="0"/>
            <wp:docPr id="1700302017" name="Picture 17003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57994" cy="2771511"/>
                    </a:xfrm>
                    <a:prstGeom prst="rect">
                      <a:avLst/>
                    </a:prstGeom>
                  </pic:spPr>
                </pic:pic>
              </a:graphicData>
            </a:graphic>
          </wp:inline>
        </w:drawing>
      </w:r>
    </w:p>
    <w:p w14:paraId="656B08B4" w14:textId="77777777" w:rsidR="004F6EF1" w:rsidRPr="004F6EF1" w:rsidRDefault="004F6EF1" w:rsidP="004F6EF1">
      <w:pPr>
        <w:rPr>
          <w:sz w:val="16"/>
          <w:szCs w:val="16"/>
        </w:rPr>
      </w:pPr>
      <w:r w:rsidRPr="004F6EF1">
        <w:rPr>
          <w:sz w:val="16"/>
          <w:szCs w:val="16"/>
        </w:rPr>
        <w:t>Source: Victorian Auditor-General's Office, Managing the Municipal and Industrial Landfill Levy, July 2018.</w:t>
      </w:r>
    </w:p>
    <w:p w14:paraId="656B08B5" w14:textId="77777777" w:rsidR="004F6EF1" w:rsidRPr="004B63C1" w:rsidRDefault="004F6EF1" w:rsidP="004F6EF1">
      <w:pPr>
        <w:rPr>
          <w:i/>
        </w:rPr>
      </w:pPr>
      <w:r w:rsidRPr="004B63C1">
        <w:rPr>
          <w:i/>
        </w:rPr>
        <w:t>Costs</w:t>
      </w:r>
    </w:p>
    <w:p w14:paraId="656B08B6" w14:textId="77777777" w:rsidR="004F6EF1" w:rsidRPr="004F6EF1" w:rsidRDefault="004F6EF1" w:rsidP="004F6EF1">
      <w:r w:rsidRPr="004F6EF1">
        <w:t xml:space="preserve">While landfill operators currently track waste types received at their site, Options 1 is less prescriptive, more open to interpretation and therefore likely to require more work by businesses to understand the definitions and which waste types fall into the category of recoverable. During consultation for this RIS, businesses suggested that in order to claim the rebate they would likely have to undertake more work under Option 1 to demonstrate that wastes have been recovered, compared to Options 2 and 3. This may involve additional research, testing or other work to ensure businesses have met their GED obligations. It may also involve engaging consultants to assist e.g. to categorise wastes. Option 3 is likely to impose high costs on businesses than Option 2, since it imposes more requirements on what they need to do to claim the rebate. </w:t>
      </w:r>
    </w:p>
    <w:p w14:paraId="656B08B7" w14:textId="77777777" w:rsidR="004F6EF1" w:rsidRPr="004F6EF1" w:rsidRDefault="004F6EF1" w:rsidP="004F6EF1">
      <w:r w:rsidRPr="004F6EF1">
        <w:t>While difficult to quantify, EPA’s costs are likely to be higher under Option 1 because it may need to spend time responding to requests for clarification and advice from businesses on what is or isn’t a recoverable waste. It is also expected that there will be more time spent by EPA assessing a liable person’s calculations of their waste levy liability (the amount of the waste levy payable less any prescribed allowable rebate).</w:t>
      </w:r>
    </w:p>
    <w:p w14:paraId="656B08B8" w14:textId="77777777" w:rsidR="004F6EF1" w:rsidRPr="004F6EF1" w:rsidRDefault="004F6EF1" w:rsidP="00656F10">
      <w:pPr>
        <w:pStyle w:val="Heading4"/>
      </w:pPr>
      <w:r w:rsidRPr="004F6EF1">
        <w:t>Summary of preferred option</w:t>
      </w:r>
    </w:p>
    <w:p w14:paraId="656B08B9" w14:textId="77777777" w:rsidR="004B63C1" w:rsidRDefault="004B63C1" w:rsidP="004F6EF1">
      <w:r w:rsidRPr="004F6EF1">
        <w:t xml:space="preserve">Option 3 is </w:t>
      </w:r>
      <w:r>
        <w:t xml:space="preserve">the </w:t>
      </w:r>
      <w:r w:rsidRPr="004F6EF1">
        <w:t>preferred</w:t>
      </w:r>
      <w:r>
        <w:t xml:space="preserve"> option</w:t>
      </w:r>
      <w:r w:rsidRPr="004F6EF1">
        <w:t>.</w:t>
      </w:r>
      <w:r>
        <w:t xml:space="preserve"> </w:t>
      </w:r>
    </w:p>
    <w:p w14:paraId="656B08BA" w14:textId="77777777" w:rsidR="004F6EF1" w:rsidRPr="004F6EF1" w:rsidRDefault="004F6EF1" w:rsidP="004F6EF1">
      <w:r w:rsidRPr="004F6EF1">
        <w:t xml:space="preserve">Options 2 and 3 are preferred to Option 1 because they provide more clarity for landfill operators and will reduce the costs of determining what </w:t>
      </w:r>
      <w:r w:rsidR="005E035A">
        <w:t xml:space="preserve">constitutes </w:t>
      </w:r>
      <w:r w:rsidRPr="004F6EF1">
        <w:t xml:space="preserve">a recoverable waste. While Option 3 is expected to impose more costs on business than Option 2, the benefits as a result of incentivising timely action to fully recovery wastes is likely to reduce the risk of stockpiling, and also maintain the integrity of the rebate system. </w:t>
      </w:r>
    </w:p>
    <w:p w14:paraId="656B08BB" w14:textId="77777777" w:rsidR="004F6EF1" w:rsidRPr="004F6EF1" w:rsidRDefault="004F6EF1" w:rsidP="00656F10">
      <w:pPr>
        <w:pStyle w:val="Heading3"/>
        <w:ind w:left="720"/>
      </w:pPr>
      <w:r w:rsidRPr="004F6EF1">
        <w:t xml:space="preserve">Timing of payment of waste levy </w:t>
      </w:r>
    </w:p>
    <w:p w14:paraId="656B08BC" w14:textId="77777777" w:rsidR="004F6EF1" w:rsidRPr="004F6EF1" w:rsidRDefault="004F6EF1" w:rsidP="004F6EF1">
      <w:r w:rsidRPr="004F6EF1">
        <w:t xml:space="preserve">Levy funds collected by landfills must be paid to EPA within the prescribed time or at prescribed intervals (after deducting any rebates). </w:t>
      </w:r>
    </w:p>
    <w:p w14:paraId="656B08BD" w14:textId="77777777" w:rsidR="004F6EF1" w:rsidRPr="004F6EF1" w:rsidRDefault="004F6EF1" w:rsidP="004F6EF1">
      <w:r w:rsidRPr="004F6EF1">
        <w:t xml:space="preserve">This section assesses options for prescribing timing and intervals at which the waste levy must be paid. </w:t>
      </w:r>
    </w:p>
    <w:p w14:paraId="656B08BE" w14:textId="77777777" w:rsidR="004F6EF1" w:rsidRPr="004F6EF1" w:rsidRDefault="004F6EF1" w:rsidP="00656F10">
      <w:pPr>
        <w:pStyle w:val="Heading4"/>
      </w:pPr>
      <w:r w:rsidRPr="004F6EF1">
        <w:t>Options</w:t>
      </w:r>
    </w:p>
    <w:p w14:paraId="656B08BF" w14:textId="77777777" w:rsidR="004F6EF1" w:rsidRPr="004F6EF1" w:rsidRDefault="004F6EF1" w:rsidP="004F6EF1">
      <w:r w:rsidRPr="004F6EF1">
        <w:t>Three options are being considered:</w:t>
      </w:r>
    </w:p>
    <w:p w14:paraId="656B08C0" w14:textId="77777777" w:rsidR="004F6EF1" w:rsidRPr="004F6EF1" w:rsidRDefault="004F6EF1" w:rsidP="004F6EF1">
      <w:pPr>
        <w:numPr>
          <w:ilvl w:val="0"/>
          <w:numId w:val="70"/>
        </w:numPr>
        <w:spacing w:after="0"/>
        <w:contextualSpacing/>
        <w:textboxTightWrap w:val="allLines"/>
      </w:pPr>
      <w:r w:rsidRPr="004F6EF1">
        <w:rPr>
          <w:b/>
        </w:rPr>
        <w:t>Base Case</w:t>
      </w:r>
      <w:r w:rsidRPr="004F6EF1">
        <w:t>: There are no time limits, meaning the waste levy can be paid at any time, with no time limits.</w:t>
      </w:r>
    </w:p>
    <w:p w14:paraId="656B08C1" w14:textId="77777777" w:rsidR="004F6EF1" w:rsidRPr="004F6EF1" w:rsidRDefault="004F6EF1" w:rsidP="004F6EF1">
      <w:pPr>
        <w:numPr>
          <w:ilvl w:val="0"/>
          <w:numId w:val="70"/>
        </w:numPr>
        <w:contextualSpacing/>
        <w:textboxTightWrap w:val="allLines"/>
      </w:pPr>
      <w:r w:rsidRPr="004F6EF1">
        <w:rPr>
          <w:b/>
        </w:rPr>
        <w:t>Option 1</w:t>
      </w:r>
      <w:r w:rsidRPr="004F6EF1">
        <w:t>: Waste levy is paid at standard quarterly intervals.</w:t>
      </w:r>
    </w:p>
    <w:p w14:paraId="656B08C2" w14:textId="77777777" w:rsidR="004F6EF1" w:rsidRPr="004F6EF1" w:rsidRDefault="004F6EF1" w:rsidP="004F6EF1">
      <w:pPr>
        <w:numPr>
          <w:ilvl w:val="0"/>
          <w:numId w:val="70"/>
        </w:numPr>
        <w:contextualSpacing/>
        <w:textboxTightWrap w:val="allLines"/>
      </w:pPr>
      <w:r w:rsidRPr="004F6EF1">
        <w:rPr>
          <w:b/>
        </w:rPr>
        <w:t>Option 2</w:t>
      </w:r>
      <w:r w:rsidRPr="004F6EF1">
        <w:t xml:space="preserve">: A different interval regime based on objective criteria. Objective criteria could include reliability of payments (versus unreliable payments) or the legal status of the liable person (e.g. councils established under Act of parliament versus propriety limited companies that can be dissolved). </w:t>
      </w:r>
    </w:p>
    <w:p w14:paraId="656B08C3" w14:textId="77777777" w:rsidR="004F6EF1" w:rsidRPr="004F6EF1" w:rsidRDefault="004F6EF1" w:rsidP="004F6EF1">
      <w:pPr>
        <w:numPr>
          <w:ilvl w:val="0"/>
          <w:numId w:val="70"/>
        </w:numPr>
        <w:contextualSpacing/>
        <w:textboxTightWrap w:val="allLines"/>
      </w:pPr>
      <w:r w:rsidRPr="004F6EF1">
        <w:rPr>
          <w:b/>
        </w:rPr>
        <w:t>Option 3</w:t>
      </w:r>
      <w:r w:rsidRPr="004F6EF1">
        <w:t>: Standard quarterly remittals by default (Option 1) but discretion on EPA to determine, via operating licence conditions:</w:t>
      </w:r>
    </w:p>
    <w:p w14:paraId="656B08C4" w14:textId="77777777" w:rsidR="004F6EF1" w:rsidRPr="004F6EF1" w:rsidRDefault="004F6EF1" w:rsidP="004F6EF1">
      <w:pPr>
        <w:numPr>
          <w:ilvl w:val="1"/>
          <w:numId w:val="70"/>
        </w:numPr>
        <w:ind w:left="1134" w:hanging="425"/>
        <w:contextualSpacing/>
        <w:textboxTightWrap w:val="allLines"/>
      </w:pPr>
      <w:r w:rsidRPr="004F6EF1">
        <w:t>Longer intervals (e.g. annually); or</w:t>
      </w:r>
    </w:p>
    <w:p w14:paraId="656B08C5" w14:textId="77777777" w:rsidR="004F6EF1" w:rsidRPr="004F6EF1" w:rsidRDefault="004F6EF1" w:rsidP="004F6EF1">
      <w:pPr>
        <w:numPr>
          <w:ilvl w:val="1"/>
          <w:numId w:val="70"/>
        </w:numPr>
        <w:ind w:left="1134" w:hanging="425"/>
        <w:contextualSpacing/>
        <w:textboxTightWrap w:val="allLines"/>
      </w:pPr>
      <w:r w:rsidRPr="004F6EF1">
        <w:t>Shorter intervals (e.g. monthly such as in NSW); or</w:t>
      </w:r>
    </w:p>
    <w:p w14:paraId="656B08C6" w14:textId="77777777" w:rsidR="004F6EF1" w:rsidRPr="004F6EF1" w:rsidRDefault="004F6EF1" w:rsidP="004F6EF1">
      <w:pPr>
        <w:numPr>
          <w:ilvl w:val="1"/>
          <w:numId w:val="70"/>
        </w:numPr>
        <w:ind w:left="1134" w:hanging="425"/>
        <w:contextualSpacing/>
        <w:textboxTightWrap w:val="allLines"/>
      </w:pPr>
      <w:r w:rsidRPr="004F6EF1">
        <w:t xml:space="preserve">On a case-by-case basis according to objective criteria. </w:t>
      </w:r>
    </w:p>
    <w:p w14:paraId="656B08C7" w14:textId="77777777" w:rsidR="004F6EF1" w:rsidRPr="004F6EF1" w:rsidRDefault="004F6EF1" w:rsidP="004F6EF1">
      <w:pPr>
        <w:ind w:left="1440"/>
        <w:contextualSpacing/>
        <w:textboxTightWrap w:val="allLines"/>
      </w:pPr>
    </w:p>
    <w:p w14:paraId="656B08C8" w14:textId="77777777" w:rsidR="004F6EF1" w:rsidRPr="004F6EF1" w:rsidRDefault="004F6EF1" w:rsidP="000E7C5E">
      <w:r w:rsidRPr="004F6EF1">
        <w:t>Other options have also been considered, such as variations of options set out above, but are not considered significantly different to warrant further discussion.</w:t>
      </w:r>
    </w:p>
    <w:p w14:paraId="656B08C9" w14:textId="77777777" w:rsidR="004F6EF1" w:rsidRPr="004F6EF1" w:rsidRDefault="004F6EF1" w:rsidP="008122AD">
      <w:pPr>
        <w:pStyle w:val="Heading4"/>
      </w:pPr>
      <w:r w:rsidRPr="004F6EF1">
        <w:t>Analysis</w:t>
      </w:r>
    </w:p>
    <w:p w14:paraId="656B08CA" w14:textId="77777777" w:rsidR="004F6EF1" w:rsidRPr="004F6EF1" w:rsidRDefault="004F6EF1" w:rsidP="004F6EF1">
      <w:r w:rsidRPr="004F6EF1">
        <w:t>The costs and benefits of different remittal periods have been examined using data gathered during consultations and from the survey. Overall, the costs to both businesses and EPA are largely administrative, though some options do reduce the risk of default, so confer a risk rated benefit</w:t>
      </w:r>
      <w:r w:rsidR="00DC7A63">
        <w:t xml:space="preserve">. </w:t>
      </w:r>
    </w:p>
    <w:p w14:paraId="656B08CB" w14:textId="77777777" w:rsidR="004F6EF1" w:rsidRPr="004F6EF1" w:rsidRDefault="004F6EF1" w:rsidP="004F6EF1">
      <w:r w:rsidRPr="004F6EF1">
        <w:t>During consultations for this RIS, one stakeholder estimated that each remittal would cost businesses two full time equivalent labour days to complete the required administrative tasks.</w:t>
      </w:r>
      <w:r w:rsidRPr="004F6EF1">
        <w:rPr>
          <w:vertAlign w:val="superscript"/>
        </w:rPr>
        <w:footnoteReference w:id="183"/>
      </w:r>
      <w:r w:rsidRPr="004F6EF1">
        <w:t xml:space="preserve"> At the average Victorian hourly wage rate of $50, and assuming 7.5 hours per day, each remittal period would cost landfill businesses approximately $750. Survey respondents provided similar estimates. One survey respondent estimated the cost of quarterly remittals to be $1000 per remittal period, while the other estimated the cost to be $480. These three estimates equate to an annual cost of between $1,920 and $4000 to operate under a system of quarterly remittals, as proposed under Option 1.</w:t>
      </w:r>
    </w:p>
    <w:p w14:paraId="656B08CC" w14:textId="77777777" w:rsidR="004F6EF1" w:rsidRPr="004F6EF1" w:rsidRDefault="004F6EF1" w:rsidP="004F6EF1">
      <w:r w:rsidRPr="004F6EF1">
        <w:t xml:space="preserve">Comparatively, findings from stakeholder consultation provide an estimate of the cost of annual remittals (which could apply under Option 3) to be between $480 and $3000. The cost of annual remittals is expected to be lower due to efficiencies gained in the administrative processes a landfill must undertake every time the levy is remitted. A single remittal period means the landfill must only balance levies collected with those owed once a year. </w:t>
      </w:r>
    </w:p>
    <w:p w14:paraId="656B08CD" w14:textId="77777777" w:rsidR="004F6EF1" w:rsidRPr="004F6EF1" w:rsidRDefault="004F6EF1" w:rsidP="004F6EF1">
      <w:r w:rsidRPr="004F6EF1">
        <w:t xml:space="preserve">However, businesses consulted with were unsure how the objective criteria regime proposed under Option 2 would impact their costs, either relative to the Base Case or relative to options 1 and 3. </w:t>
      </w:r>
    </w:p>
    <w:p w14:paraId="656B08CE" w14:textId="77777777" w:rsidR="004F6EF1" w:rsidRPr="004F6EF1" w:rsidRDefault="004F6EF1" w:rsidP="004F6EF1">
      <w:r w:rsidRPr="004F6EF1">
        <w:t xml:space="preserve">For government, Option 2 </w:t>
      </w:r>
      <w:r w:rsidR="0061381B">
        <w:t xml:space="preserve">may be more costly to administer, although this is not clear. As Option 2 allows more flexibility, it is also inherently </w:t>
      </w:r>
      <w:r w:rsidRPr="004F6EF1">
        <w:t>more uncertain</w:t>
      </w:r>
      <w:r w:rsidR="0061381B">
        <w:t xml:space="preserve">. It may lead </w:t>
      </w:r>
      <w:r w:rsidRPr="004F6EF1">
        <w:t xml:space="preserve">to </w:t>
      </w:r>
      <w:r w:rsidR="0061381B">
        <w:t xml:space="preserve">an increased </w:t>
      </w:r>
      <w:r w:rsidRPr="004F6EF1">
        <w:t xml:space="preserve">need </w:t>
      </w:r>
      <w:r w:rsidR="0061381B">
        <w:t xml:space="preserve">for Government to provide </w:t>
      </w:r>
      <w:r w:rsidRPr="004F6EF1">
        <w:t xml:space="preserve">advice and clarification. Shorter remittals (which could occur across any of the options) would insure the government against the risk that businesses with ill managed cash flows are unable to pay previously collected levies when remittal is due. However, both of these costs are difficult to quantify. </w:t>
      </w:r>
    </w:p>
    <w:p w14:paraId="656B08CF" w14:textId="77777777" w:rsidR="004F6EF1" w:rsidRPr="004F6EF1" w:rsidRDefault="004F6EF1" w:rsidP="00656F10">
      <w:pPr>
        <w:pStyle w:val="Heading4"/>
      </w:pPr>
      <w:r w:rsidRPr="004F6EF1">
        <w:t>Summary – preferred option</w:t>
      </w:r>
    </w:p>
    <w:p w14:paraId="656B08D0" w14:textId="77777777" w:rsidR="004F6EF1" w:rsidRPr="004F6EF1" w:rsidRDefault="004F6EF1" w:rsidP="004F6EF1">
      <w:r w:rsidRPr="004F6EF1">
        <w:t>A standard quarterly remittance is likely to be the simplest to implement, the least costly for EPA due to a uniform system, and the most effective as it requires businesses to remit levies in a timely manner and therefore minimises the risk that business default on their levy obligations due to cash flow issues over a longer time frame.</w:t>
      </w:r>
    </w:p>
    <w:p w14:paraId="656B08D1" w14:textId="77777777" w:rsidR="004F6EF1" w:rsidRPr="004F6EF1" w:rsidRDefault="004F6EF1" w:rsidP="004F6EF1">
      <w:r w:rsidRPr="004F6EF1">
        <w:t xml:space="preserve">However, more frequent remittal periods as required under Option 1 is expected to be more costly for landfill operators. Options 2 and 3 may reduce administrative costs for landfill operators in this regard. However, they could introduce confusion around remittal date, thus increasing business and EPA costs. </w:t>
      </w:r>
    </w:p>
    <w:p w14:paraId="656B08D2" w14:textId="4C7C998C" w:rsidR="004F6EF1" w:rsidRPr="004F6EF1" w:rsidRDefault="004F6EF1" w:rsidP="004F6EF1">
      <w:r w:rsidRPr="004F6EF1">
        <w:t xml:space="preserve">On balance, Option 3 is </w:t>
      </w:r>
      <w:r w:rsidR="00247CA7">
        <w:t>the preferred option</w:t>
      </w:r>
      <w:r w:rsidRPr="004F6EF1">
        <w:t xml:space="preserve">, as </w:t>
      </w:r>
      <w:r w:rsidR="00284536">
        <w:t xml:space="preserve"> it provides </w:t>
      </w:r>
      <w:r w:rsidRPr="004F6EF1">
        <w:t xml:space="preserve">EPA </w:t>
      </w:r>
      <w:r w:rsidR="00284536">
        <w:t xml:space="preserve">with </w:t>
      </w:r>
      <w:r w:rsidRPr="004F6EF1">
        <w:t>the benefits of quarterly remittals</w:t>
      </w:r>
      <w:r w:rsidR="00284536">
        <w:t xml:space="preserve"> but an option to reduce administrative burden where it is effective to do so or decrease remittal intervals to protect the levy revenue</w:t>
      </w:r>
      <w:r w:rsidR="00DC7A63">
        <w:t xml:space="preserve">. </w:t>
      </w:r>
    </w:p>
    <w:p w14:paraId="656B08D3" w14:textId="77777777" w:rsidR="004F6EF1" w:rsidRPr="004F6EF1" w:rsidRDefault="004F6EF1" w:rsidP="00656F10">
      <w:pPr>
        <w:pStyle w:val="Heading3"/>
        <w:ind w:left="720"/>
      </w:pPr>
      <w:r w:rsidRPr="004F6EF1">
        <w:t xml:space="preserve">Information required when making a claim for allowable rebates </w:t>
      </w:r>
    </w:p>
    <w:p w14:paraId="656B08D4" w14:textId="77777777" w:rsidR="004F6EF1" w:rsidRPr="004F6EF1" w:rsidRDefault="004F6EF1" w:rsidP="004F6EF1">
      <w:r w:rsidRPr="004F6EF1">
        <w:t>The new EP legislation enables regulations to specify the information that EPA requires to assess compliance with scheme obligations including claims for allowable rebates.</w:t>
      </w:r>
    </w:p>
    <w:p w14:paraId="656B08D5" w14:textId="77777777" w:rsidR="004F6EF1" w:rsidRPr="004F6EF1" w:rsidRDefault="004F6EF1" w:rsidP="00656F10">
      <w:pPr>
        <w:pStyle w:val="Heading4"/>
      </w:pPr>
      <w:r w:rsidRPr="004F6EF1">
        <w:t>Options</w:t>
      </w:r>
    </w:p>
    <w:p w14:paraId="656B08D6" w14:textId="77777777" w:rsidR="004F6EF1" w:rsidRPr="004F6EF1" w:rsidRDefault="004F6EF1" w:rsidP="004F6EF1">
      <w:r w:rsidRPr="004F6EF1">
        <w:t xml:space="preserve">One option is being assessed against the Base Case. The purpose of Option 1 is to ensure only legitimate rebate claims are submitted. </w:t>
      </w:r>
    </w:p>
    <w:p w14:paraId="656B08D7" w14:textId="77777777" w:rsidR="004F6EF1" w:rsidRPr="004F6EF1" w:rsidRDefault="004F6EF1" w:rsidP="000E7C5E">
      <w:pPr>
        <w:pStyle w:val="ListParagraph"/>
        <w:numPr>
          <w:ilvl w:val="1"/>
          <w:numId w:val="109"/>
        </w:numPr>
        <w:ind w:left="709" w:hanging="425"/>
      </w:pPr>
      <w:r w:rsidRPr="000C445F">
        <w:rPr>
          <w:b/>
        </w:rPr>
        <w:t>Base Case</w:t>
      </w:r>
      <w:r w:rsidRPr="004F6EF1">
        <w:t>: There are no requirements in the new EP legislation to information required for a claim</w:t>
      </w:r>
      <w:r w:rsidR="00DC7A63">
        <w:t xml:space="preserve">. </w:t>
      </w:r>
      <w:r w:rsidRPr="004F6EF1">
        <w:t xml:space="preserve"> </w:t>
      </w:r>
    </w:p>
    <w:p w14:paraId="656B08D8" w14:textId="77777777" w:rsidR="004F6EF1" w:rsidRPr="004F6EF1" w:rsidRDefault="004F6EF1" w:rsidP="000E7C5E">
      <w:pPr>
        <w:pStyle w:val="ListParagraph"/>
        <w:numPr>
          <w:ilvl w:val="1"/>
          <w:numId w:val="109"/>
        </w:numPr>
        <w:ind w:left="709" w:hanging="425"/>
      </w:pPr>
      <w:r w:rsidRPr="000C445F">
        <w:rPr>
          <w:b/>
        </w:rPr>
        <w:t>Option 1</w:t>
      </w:r>
      <w:r>
        <w:t>:</w:t>
      </w:r>
      <w:r w:rsidRPr="004F6EF1">
        <w:t xml:space="preserve"> Translate and improve the current Calculation Guidelines into regulations. This will require the liable person to substantiate that waste has been recovered or properly consigned for recovery by having available the types of supporting evidence prescribed by the regulations. </w:t>
      </w:r>
      <w:r w:rsidR="00262121">
        <w:t>It is noted that h</w:t>
      </w:r>
      <w:r w:rsidR="00262121" w:rsidRPr="0088290D">
        <w:t xml:space="preserve">istoric difficulty in enforcing the guidelines </w:t>
      </w:r>
      <w:r w:rsidR="00262121">
        <w:t>means these Guidelines are more</w:t>
      </w:r>
      <w:r w:rsidR="00262121" w:rsidRPr="0088290D">
        <w:t xml:space="preserve"> appropriately suited to </w:t>
      </w:r>
      <w:r w:rsidR="00262121">
        <w:t xml:space="preserve">being prescribed into </w:t>
      </w:r>
      <w:r w:rsidR="00262121" w:rsidRPr="0088290D">
        <w:t>regulations.</w:t>
      </w:r>
    </w:p>
    <w:p w14:paraId="656B08D9" w14:textId="77777777" w:rsidR="004F6EF1" w:rsidRPr="004F6EF1" w:rsidRDefault="004F6EF1" w:rsidP="004F6EF1">
      <w:r w:rsidRPr="004F6EF1">
        <w:t xml:space="preserve">The EPA also has a Notice of Assessment power under Part 6.6 of the EP Amendment Act 2017. Under these powers EPA can, at any time, assess a liable person's calculations of the amount of waste levy payable or assess any other matter that is relevant to determining a liable person's liability to pay the waste levy. This includes prescribing information required after completing an assessment. </w:t>
      </w:r>
    </w:p>
    <w:p w14:paraId="656B08DA" w14:textId="77777777" w:rsidR="004F6EF1" w:rsidRPr="004F6EF1" w:rsidRDefault="004F6EF1" w:rsidP="00656F10">
      <w:pPr>
        <w:pStyle w:val="Heading4"/>
      </w:pPr>
      <w:r w:rsidRPr="004F6EF1">
        <w:t>Analysis</w:t>
      </w:r>
    </w:p>
    <w:p w14:paraId="656B08DB" w14:textId="77777777" w:rsidR="004F6EF1" w:rsidRPr="004F6EF1" w:rsidRDefault="004F6EF1" w:rsidP="004F6EF1">
      <w:r w:rsidRPr="004F6EF1">
        <w:t>During consultation, businesses observed that Option 1 is expected to be more costly than the Base Case, as the burden of proof is higher. In particular, businesses will need to take the time to ensure they understand the requirements of Option 1 and collect the correct files of evidence specified by EPA. Conversely, under the Base Case, businesses simply need to prove they are satisfied the evidence collected is sufficient to suggest the waste has been consigned for genuine recovery. At the same time, the incremental costs to businesses will not be significant as Option 1 reflects existing arrangements</w:t>
      </w:r>
    </w:p>
    <w:p w14:paraId="656B08DC" w14:textId="77777777" w:rsidR="004F6EF1" w:rsidRPr="004F6EF1" w:rsidRDefault="0061381B" w:rsidP="004F6EF1">
      <w:r>
        <w:t xml:space="preserve">Option 1 is </w:t>
      </w:r>
      <w:r w:rsidR="004F6EF1" w:rsidRPr="004F6EF1">
        <w:t>expected to reduce costs for EPA, relative to the Base Case. This is because the regulations may reduce the number of notices of assessment EPA needs to issue. Option 1 is likely to have lower costs due to the more consistent and comprehensive information it provides.</w:t>
      </w:r>
    </w:p>
    <w:p w14:paraId="656B08DD" w14:textId="77777777" w:rsidR="004F6EF1" w:rsidRPr="004F6EF1" w:rsidRDefault="004F6EF1" w:rsidP="004F6EF1">
      <w:r w:rsidRPr="004F6EF1">
        <w:t>Option 1 has benefits relative to the Base Case in terms of reducing false and fraudulent claims, thus protecting the integrity of the regime. Option 1 is likely to be more effective.</w:t>
      </w:r>
    </w:p>
    <w:p w14:paraId="656B08DE" w14:textId="77777777" w:rsidR="004F6EF1" w:rsidRPr="004F6EF1" w:rsidRDefault="004F6EF1" w:rsidP="00656F10">
      <w:pPr>
        <w:pStyle w:val="Heading4"/>
      </w:pPr>
      <w:r w:rsidRPr="004F6EF1">
        <w:t>Summary - preferred option</w:t>
      </w:r>
    </w:p>
    <w:p w14:paraId="656B08DF" w14:textId="77777777" w:rsidR="004F6EF1" w:rsidRPr="004F6EF1" w:rsidRDefault="004F6EF1" w:rsidP="004F6EF1">
      <w:r w:rsidRPr="004F6EF1">
        <w:t xml:space="preserve">On balance, Option 1 is recommended as it is likely to be more effective than </w:t>
      </w:r>
      <w:r w:rsidR="0061381B">
        <w:t>the Base Case</w:t>
      </w:r>
      <w:r w:rsidRPr="004F6EF1">
        <w:t xml:space="preserve"> in protecting the integrity of the regime, and incremental costs over the current arrangements are unlikely to be significant. </w:t>
      </w:r>
    </w:p>
    <w:p w14:paraId="656B08E0" w14:textId="77777777" w:rsidR="004F6EF1" w:rsidRPr="004F6EF1" w:rsidRDefault="004F6EF1" w:rsidP="00656F10">
      <w:pPr>
        <w:pStyle w:val="Heading3"/>
        <w:ind w:left="720"/>
      </w:pPr>
      <w:r w:rsidRPr="004F6EF1">
        <w:t>Timing of claiming prescribed allowable rebate</w:t>
      </w:r>
    </w:p>
    <w:p w14:paraId="656B08E1" w14:textId="77777777" w:rsidR="004F6EF1" w:rsidRPr="004F6EF1" w:rsidRDefault="004F6EF1" w:rsidP="004F6EF1">
      <w:r w:rsidRPr="004F6EF1">
        <w:t>Under the new EP legislation, a liable person must calculate the amount of the waste levy payable, after deducting any prescribed allowable rebates, and then pay the remaining positive amount to EPA within the prescribed time or at prescribed intervals. However the new EP legislation is silent on whether rebates can be submitted after remitting the levy.</w:t>
      </w:r>
    </w:p>
    <w:p w14:paraId="656B08E2" w14:textId="77777777" w:rsidR="004F6EF1" w:rsidRPr="004F6EF1" w:rsidRDefault="004F6EF1" w:rsidP="00656F10">
      <w:pPr>
        <w:pStyle w:val="Heading4"/>
      </w:pPr>
      <w:r w:rsidRPr="004F6EF1">
        <w:t>Options</w:t>
      </w:r>
    </w:p>
    <w:p w14:paraId="656B08E3" w14:textId="77777777" w:rsidR="004F6EF1" w:rsidRPr="004F6EF1" w:rsidRDefault="004F6EF1" w:rsidP="004F6EF1">
      <w:r w:rsidRPr="004F6EF1">
        <w:t>The following options have been considered:</w:t>
      </w:r>
    </w:p>
    <w:p w14:paraId="656B08E4" w14:textId="77777777" w:rsidR="004F6EF1" w:rsidRPr="004F6EF1" w:rsidRDefault="004F6EF1" w:rsidP="004F6EF1">
      <w:pPr>
        <w:numPr>
          <w:ilvl w:val="0"/>
          <w:numId w:val="70"/>
        </w:numPr>
        <w:contextualSpacing/>
        <w:textboxTightWrap w:val="allLines"/>
      </w:pPr>
      <w:r w:rsidRPr="004F6EF1">
        <w:rPr>
          <w:b/>
        </w:rPr>
        <w:t>Base Case</w:t>
      </w:r>
      <w:r w:rsidRPr="004F6EF1">
        <w:t xml:space="preserve">: There are no time limits, meaning claims for the levy rebate can be submitted indefinitely. </w:t>
      </w:r>
    </w:p>
    <w:p w14:paraId="656B08E5" w14:textId="14DD4E04" w:rsidR="004F6EF1" w:rsidRPr="004F6EF1" w:rsidRDefault="004F6EF1" w:rsidP="000E7C5E">
      <w:pPr>
        <w:numPr>
          <w:ilvl w:val="0"/>
          <w:numId w:val="70"/>
        </w:numPr>
        <w:spacing w:after="0"/>
        <w:contextualSpacing/>
        <w:textboxTightWrap w:val="allLines"/>
      </w:pPr>
      <w:r w:rsidRPr="004F6EF1">
        <w:rPr>
          <w:b/>
        </w:rPr>
        <w:t xml:space="preserve">Option </w:t>
      </w:r>
      <w:r w:rsidR="003471ED">
        <w:rPr>
          <w:b/>
        </w:rPr>
        <w:t>1</w:t>
      </w:r>
      <w:r w:rsidRPr="004F6EF1">
        <w:t xml:space="preserve">. </w:t>
      </w:r>
      <w:r w:rsidR="003723D6">
        <w:t>The claim must be made within the same quarterly period for which the waste was transferred to a place or premises that was authorised to receive the industrial waste for the purposes of resource recovery, and the waste must be transferred to the premises no more than 3 months after it was deposited.</w:t>
      </w:r>
    </w:p>
    <w:p w14:paraId="656B08E6" w14:textId="77777777" w:rsidR="004F6EF1" w:rsidRPr="004F6EF1" w:rsidRDefault="004F6EF1" w:rsidP="000E7C5E">
      <w:pPr>
        <w:pStyle w:val="ListParagraph"/>
        <w:numPr>
          <w:ilvl w:val="1"/>
          <w:numId w:val="109"/>
        </w:numPr>
        <w:ind w:left="709" w:hanging="425"/>
      </w:pPr>
      <w:r w:rsidRPr="004F6EF1">
        <w:rPr>
          <w:b/>
        </w:rPr>
        <w:t xml:space="preserve">Option </w:t>
      </w:r>
      <w:r w:rsidR="003471ED">
        <w:rPr>
          <w:b/>
        </w:rPr>
        <w:t>2</w:t>
      </w:r>
      <w:r w:rsidRPr="004F6EF1">
        <w:t xml:space="preserve">. </w:t>
      </w:r>
      <w:r w:rsidR="003723D6">
        <w:t xml:space="preserve">The claim must be made within </w:t>
      </w:r>
      <w:r w:rsidRPr="004F6EF1">
        <w:t xml:space="preserve">12 months </w:t>
      </w:r>
      <w:r w:rsidR="003723D6">
        <w:t>of being transferred to a place or premises that was authorised to receive the industrial waste for the purposes of resource recovery</w:t>
      </w:r>
    </w:p>
    <w:p w14:paraId="656B08E7" w14:textId="77777777" w:rsidR="004F6EF1" w:rsidRPr="004F6EF1" w:rsidRDefault="004F6EF1" w:rsidP="00656F10">
      <w:pPr>
        <w:pStyle w:val="Heading4"/>
      </w:pPr>
      <w:r w:rsidRPr="004F6EF1">
        <w:t>Analysis</w:t>
      </w:r>
    </w:p>
    <w:p w14:paraId="656B08E8" w14:textId="77777777" w:rsidR="004F6EF1" w:rsidRPr="004B63C1" w:rsidRDefault="004F6EF1" w:rsidP="004F6EF1">
      <w:pPr>
        <w:rPr>
          <w:i/>
        </w:rPr>
      </w:pPr>
      <w:r w:rsidRPr="004B63C1">
        <w:rPr>
          <w:i/>
        </w:rPr>
        <w:t>Benefits</w:t>
      </w:r>
    </w:p>
    <w:p w14:paraId="656B08E9" w14:textId="77777777" w:rsidR="004F6EF1" w:rsidRPr="004F6EF1" w:rsidRDefault="004F6EF1" w:rsidP="004F6EF1">
      <w:r w:rsidRPr="004F6EF1">
        <w:t xml:space="preserve">Relative to the Base Case, each of the proposed options will encourage resource recovery by landfill operators, which will benefit the community, whilst discouraging stockpiling for unreasonable periods of time and putting the waste at risk of fires. </w:t>
      </w:r>
    </w:p>
    <w:p w14:paraId="656B08EA" w14:textId="77777777" w:rsidR="004F6EF1" w:rsidRPr="004F6EF1" w:rsidRDefault="004F6EF1" w:rsidP="004F6EF1">
      <w:r w:rsidRPr="004F6EF1">
        <w:t xml:space="preserve">The longer the period the greater the incentive to stockpile, thus increasing the risk of harms to the community. </w:t>
      </w:r>
    </w:p>
    <w:p w14:paraId="656B08EB" w14:textId="77777777" w:rsidR="004F6EF1" w:rsidRPr="004B63C1" w:rsidRDefault="004F6EF1" w:rsidP="004F6EF1">
      <w:pPr>
        <w:rPr>
          <w:i/>
        </w:rPr>
      </w:pPr>
      <w:r w:rsidRPr="004B63C1">
        <w:rPr>
          <w:i/>
        </w:rPr>
        <w:t>Costs</w:t>
      </w:r>
    </w:p>
    <w:p w14:paraId="656B08EC" w14:textId="77777777" w:rsidR="004F6EF1" w:rsidRPr="004F6EF1" w:rsidRDefault="004F6EF1" w:rsidP="004F6EF1">
      <w:r w:rsidRPr="004F6EF1">
        <w:t xml:space="preserve">No time or other limits (Base Case) would be the cheapest option for businesses to operate under as they could claim the rebate at any point. Compared to the Base Case, minimal administrative costs are expected, and would relate to preparation of a claim for the rebate. One landfill operator estimated that each rebate claim period would cost two full time equivalent days in administrative time. This equates to $750, at the average Victorian hourly wage </w:t>
      </w:r>
      <w:r w:rsidR="00247CA7">
        <w:t>(including on-costs and overheads)</w:t>
      </w:r>
      <w:r w:rsidRPr="004F6EF1">
        <w:t xml:space="preserve"> of $50 and 7.5 hours per day.</w:t>
      </w:r>
      <w:r w:rsidRPr="004F6EF1">
        <w:rPr>
          <w:vertAlign w:val="superscript"/>
        </w:rPr>
        <w:footnoteReference w:id="184"/>
      </w:r>
      <w:r w:rsidRPr="004F6EF1">
        <w:t xml:space="preserve"> The actual annual cost incurred by businesses would depend on how frequently the rebate is claimed. </w:t>
      </w:r>
    </w:p>
    <w:p w14:paraId="656B08ED" w14:textId="77777777" w:rsidR="004F6EF1" w:rsidRPr="004F6EF1" w:rsidRDefault="004F6EF1" w:rsidP="004F6EF1">
      <w:r w:rsidRPr="004F6EF1">
        <w:t xml:space="preserve">Based on the above time estimates, Option </w:t>
      </w:r>
      <w:r w:rsidR="003471ED">
        <w:t>1</w:t>
      </w:r>
      <w:r w:rsidRPr="004F6EF1">
        <w:t xml:space="preserve"> is anticipated to cost landfill businesses $</w:t>
      </w:r>
      <w:r w:rsidR="003723D6">
        <w:t>3</w:t>
      </w:r>
      <w:r w:rsidR="000F2B1F">
        <w:t>,</w:t>
      </w:r>
      <w:r w:rsidR="000F2B1F" w:rsidRPr="004F6EF1">
        <w:t>000</w:t>
      </w:r>
      <w:r w:rsidRPr="004F6EF1">
        <w:t xml:space="preserve"> </w:t>
      </w:r>
      <w:r w:rsidR="000F2B1F">
        <w:t xml:space="preserve">annually to claim the rebate </w:t>
      </w:r>
      <w:r w:rsidRPr="004F6EF1">
        <w:t xml:space="preserve">where </w:t>
      </w:r>
      <w:r w:rsidR="000F2B1F">
        <w:t xml:space="preserve">the industrial </w:t>
      </w:r>
      <w:r w:rsidRPr="004F6EF1">
        <w:t xml:space="preserve">waste </w:t>
      </w:r>
      <w:r w:rsidR="000F2B1F">
        <w:t>is transferred to a place for the purposes of resource recovery</w:t>
      </w:r>
      <w:r w:rsidR="000F2B1F" w:rsidRPr="004F6EF1">
        <w:t xml:space="preserve"> </w:t>
      </w:r>
      <w:r w:rsidR="000F2B1F">
        <w:t xml:space="preserve">each quarter. These costs are </w:t>
      </w:r>
      <w:r w:rsidRPr="004F6EF1">
        <w:t xml:space="preserve">based on the estimates from one landfill operator. </w:t>
      </w:r>
    </w:p>
    <w:p w14:paraId="656B08EE" w14:textId="77777777" w:rsidR="004F6EF1" w:rsidRPr="004F6EF1" w:rsidRDefault="004F6EF1" w:rsidP="004F6EF1">
      <w:r w:rsidRPr="004F6EF1">
        <w:t xml:space="preserve">Option </w:t>
      </w:r>
      <w:r w:rsidR="003471ED">
        <w:t>2</w:t>
      </w:r>
      <w:r w:rsidRPr="004F6EF1">
        <w:t xml:space="preserve"> is anticipated to cost landfill businesses $750 annually compared to the Base Case</w:t>
      </w:r>
      <w:r w:rsidR="000F2B1F">
        <w:t>.</w:t>
      </w:r>
    </w:p>
    <w:p w14:paraId="656B08EF" w14:textId="77777777" w:rsidR="004F6EF1" w:rsidRPr="004F6EF1" w:rsidRDefault="004F6EF1" w:rsidP="004F6EF1">
      <w:r w:rsidRPr="004F6EF1">
        <w:t xml:space="preserve">Costs to government relate to administering the rebate. These costs are unlikely to differ significantly across </w:t>
      </w:r>
      <w:r w:rsidR="0061381B">
        <w:t xml:space="preserve">the two </w:t>
      </w:r>
      <w:r w:rsidRPr="004F6EF1">
        <w:t>options.</w:t>
      </w:r>
    </w:p>
    <w:p w14:paraId="656B08F0" w14:textId="77777777" w:rsidR="004F6EF1" w:rsidRPr="004F6EF1" w:rsidRDefault="004F6EF1" w:rsidP="00656F10">
      <w:pPr>
        <w:pStyle w:val="Heading4"/>
      </w:pPr>
      <w:r w:rsidRPr="004F6EF1">
        <w:t>Summary – preferred option</w:t>
      </w:r>
    </w:p>
    <w:p w14:paraId="656B08F1" w14:textId="77777777" w:rsidR="004F6EF1" w:rsidRPr="004F6EF1" w:rsidRDefault="004F6EF1" w:rsidP="004F6EF1">
      <w:r w:rsidRPr="004F6EF1">
        <w:t xml:space="preserve">On balance, Option </w:t>
      </w:r>
      <w:r w:rsidR="003471ED">
        <w:t>1</w:t>
      </w:r>
      <w:r w:rsidRPr="004F6EF1">
        <w:t xml:space="preserve"> is the preferred option because it is expected to </w:t>
      </w:r>
      <w:r w:rsidR="00247CA7">
        <w:t xml:space="preserve">minimise </w:t>
      </w:r>
      <w:r w:rsidRPr="004F6EF1">
        <w:t>the risk of stockpiling, which would impose a risk on the community.</w:t>
      </w:r>
    </w:p>
    <w:p w14:paraId="656B08F2" w14:textId="77777777" w:rsidR="00213E13" w:rsidRPr="00FB447E" w:rsidRDefault="00213E13" w:rsidP="00213E13"/>
    <w:p w14:paraId="656B08F3" w14:textId="77777777" w:rsidR="005D2C6E" w:rsidRDefault="005D2C6E" w:rsidP="00FB447E">
      <w:pPr>
        <w:pStyle w:val="Heading1"/>
      </w:pPr>
      <w:bookmarkStart w:id="649" w:name="_Toc8019326"/>
      <w:bookmarkStart w:id="650" w:name="_Toc8019327"/>
      <w:bookmarkStart w:id="651" w:name="_Toc8019328"/>
      <w:bookmarkStart w:id="652" w:name="_Toc8019329"/>
      <w:bookmarkStart w:id="653" w:name="_Toc8019330"/>
      <w:bookmarkStart w:id="654" w:name="_Toc8019331"/>
      <w:bookmarkStart w:id="655" w:name="_Toc8019332"/>
      <w:bookmarkStart w:id="656" w:name="_Toc8019333"/>
      <w:bookmarkStart w:id="657" w:name="_Toc8019334"/>
      <w:bookmarkStart w:id="658" w:name="_Toc8019335"/>
      <w:bookmarkStart w:id="659" w:name="_Toc8019336"/>
      <w:bookmarkStart w:id="660" w:name="_Toc8019337"/>
      <w:bookmarkStart w:id="661" w:name="_Toc8019338"/>
      <w:bookmarkStart w:id="662" w:name="_Toc8019339"/>
      <w:bookmarkStart w:id="663" w:name="_Toc8019340"/>
      <w:bookmarkStart w:id="664" w:name="_Toc8019341"/>
      <w:bookmarkStart w:id="665" w:name="_Toc8019342"/>
      <w:bookmarkStart w:id="666" w:name="_Toc8019343"/>
      <w:bookmarkStart w:id="667" w:name="_Toc8019344"/>
      <w:bookmarkStart w:id="668" w:name="_Toc8019345"/>
      <w:bookmarkStart w:id="669" w:name="_Toc8019346"/>
      <w:bookmarkStart w:id="670" w:name="_Toc8019347"/>
      <w:bookmarkStart w:id="671" w:name="_Toc8019348"/>
      <w:bookmarkStart w:id="672" w:name="_Toc8019349"/>
      <w:bookmarkStart w:id="673" w:name="_Toc8019350"/>
      <w:bookmarkStart w:id="674" w:name="_Toc8019351"/>
      <w:bookmarkStart w:id="675" w:name="_Toc8019352"/>
      <w:bookmarkStart w:id="676" w:name="_Toc8019353"/>
      <w:bookmarkStart w:id="677" w:name="_Toc8019354"/>
      <w:bookmarkStart w:id="678" w:name="_Toc8019355"/>
      <w:bookmarkStart w:id="679" w:name="_Toc8019356"/>
      <w:bookmarkStart w:id="680" w:name="_Toc8019357"/>
      <w:bookmarkStart w:id="681" w:name="_Toc8019358"/>
      <w:bookmarkStart w:id="682" w:name="_Toc8019359"/>
      <w:bookmarkStart w:id="683" w:name="_Toc8019360"/>
      <w:bookmarkStart w:id="684" w:name="_Toc8019361"/>
      <w:bookmarkStart w:id="685" w:name="_Toc8019362"/>
      <w:bookmarkStart w:id="686" w:name="_Toc8019363"/>
      <w:bookmarkStart w:id="687" w:name="_Toc8019364"/>
      <w:bookmarkStart w:id="688" w:name="_Toc8019365"/>
      <w:bookmarkStart w:id="689" w:name="_Toc8019366"/>
      <w:bookmarkStart w:id="690" w:name="_Toc8019367"/>
      <w:bookmarkStart w:id="691" w:name="_Toc8019368"/>
      <w:bookmarkStart w:id="692" w:name="_Toc8019369"/>
      <w:bookmarkStart w:id="693" w:name="_Toc8019370"/>
      <w:bookmarkStart w:id="694" w:name="_Toc8019371"/>
      <w:bookmarkStart w:id="695" w:name="_Toc8019372"/>
      <w:bookmarkStart w:id="696" w:name="_Toc8019373"/>
      <w:bookmarkStart w:id="697" w:name="_Toc8019374"/>
      <w:bookmarkStart w:id="698" w:name="_Toc8019375"/>
      <w:bookmarkStart w:id="699" w:name="_Toc8019376"/>
      <w:bookmarkStart w:id="700" w:name="_Toc8019377"/>
      <w:bookmarkStart w:id="701" w:name="_Toc8019378"/>
      <w:bookmarkStart w:id="702" w:name="_Toc8019379"/>
      <w:bookmarkStart w:id="703" w:name="_Toc8019380"/>
      <w:bookmarkStart w:id="704" w:name="_Toc8019381"/>
      <w:bookmarkStart w:id="705" w:name="_Toc8019382"/>
      <w:bookmarkStart w:id="706" w:name="_Toc8019383"/>
      <w:bookmarkStart w:id="707" w:name="_Toc8019384"/>
      <w:bookmarkStart w:id="708" w:name="_Toc8019385"/>
      <w:bookmarkStart w:id="709" w:name="_Toc8019386"/>
      <w:bookmarkStart w:id="710" w:name="_Toc8019387"/>
      <w:bookmarkStart w:id="711" w:name="_Toc8019388"/>
      <w:bookmarkStart w:id="712" w:name="_Toc8019389"/>
      <w:bookmarkStart w:id="713" w:name="_Toc8019390"/>
      <w:bookmarkStart w:id="714" w:name="_Toc8019391"/>
      <w:bookmarkStart w:id="715" w:name="_Toc8019392"/>
      <w:bookmarkStart w:id="716" w:name="_Toc8019393"/>
      <w:bookmarkStart w:id="717" w:name="_Toc8019394"/>
      <w:bookmarkStart w:id="718" w:name="_Toc8019395"/>
      <w:bookmarkStart w:id="719" w:name="_Toc8019396"/>
      <w:bookmarkStart w:id="720" w:name="_Toc8019397"/>
      <w:bookmarkStart w:id="721" w:name="_Toc8019398"/>
      <w:bookmarkStart w:id="722" w:name="_Toc8019399"/>
      <w:bookmarkStart w:id="723" w:name="_Toc8019400"/>
      <w:bookmarkStart w:id="724" w:name="_Toc8019401"/>
      <w:bookmarkStart w:id="725" w:name="_Toc8019402"/>
      <w:bookmarkStart w:id="726" w:name="_Toc8019403"/>
      <w:bookmarkStart w:id="727" w:name="_Toc8019404"/>
      <w:bookmarkStart w:id="728" w:name="_Toc8019405"/>
      <w:bookmarkStart w:id="729" w:name="_Toc8019406"/>
      <w:bookmarkStart w:id="730" w:name="_Toc8019407"/>
      <w:bookmarkStart w:id="731" w:name="_Toc8019408"/>
      <w:bookmarkStart w:id="732" w:name="_Toc8019409"/>
      <w:bookmarkStart w:id="733" w:name="_Toc8019410"/>
      <w:bookmarkStart w:id="734" w:name="_Toc8019411"/>
      <w:bookmarkStart w:id="735" w:name="_Toc8019412"/>
      <w:bookmarkStart w:id="736" w:name="_Toc8019413"/>
      <w:bookmarkStart w:id="737" w:name="_Toc8019414"/>
      <w:bookmarkStart w:id="738" w:name="_Toc8019415"/>
      <w:bookmarkStart w:id="739" w:name="_Toc8019416"/>
      <w:bookmarkStart w:id="740" w:name="_Toc8019417"/>
      <w:bookmarkStart w:id="741" w:name="_Toc8019418"/>
      <w:bookmarkStart w:id="742" w:name="_Toc8019419"/>
      <w:bookmarkStart w:id="743" w:name="_Toc8019420"/>
      <w:bookmarkStart w:id="744" w:name="_Toc8019421"/>
      <w:bookmarkStart w:id="745" w:name="_Toc8019422"/>
      <w:bookmarkStart w:id="746" w:name="_Toc8019423"/>
      <w:bookmarkStart w:id="747" w:name="_Toc8019424"/>
      <w:bookmarkStart w:id="748" w:name="_Toc8019425"/>
      <w:bookmarkStart w:id="749" w:name="_Toc8019426"/>
      <w:bookmarkStart w:id="750" w:name="_Toc8019427"/>
      <w:bookmarkStart w:id="751" w:name="_Toc8019428"/>
      <w:bookmarkStart w:id="752" w:name="_Toc8019429"/>
      <w:bookmarkStart w:id="753" w:name="_Toc8019430"/>
      <w:bookmarkStart w:id="754" w:name="_Toc8019431"/>
      <w:bookmarkStart w:id="755" w:name="_Toc8019432"/>
      <w:bookmarkStart w:id="756" w:name="_Toc8019433"/>
      <w:bookmarkStart w:id="757" w:name="_Toc8019434"/>
      <w:bookmarkStart w:id="758" w:name="_Toc8019435"/>
      <w:bookmarkStart w:id="759" w:name="_Toc8019465"/>
      <w:bookmarkStart w:id="760" w:name="_Toc8019466"/>
      <w:bookmarkStart w:id="761" w:name="_Toc8019467"/>
      <w:bookmarkStart w:id="762" w:name="_Toc8019468"/>
      <w:bookmarkStart w:id="763" w:name="_Toc8019469"/>
      <w:bookmarkStart w:id="764" w:name="_Toc8019470"/>
      <w:bookmarkStart w:id="765" w:name="_Toc8019471"/>
      <w:bookmarkStart w:id="766" w:name="_Toc8019472"/>
      <w:bookmarkStart w:id="767" w:name="_Toc8019473"/>
      <w:bookmarkStart w:id="768" w:name="_Toc8019474"/>
      <w:bookmarkStart w:id="769" w:name="_Toc8019475"/>
      <w:bookmarkStart w:id="770" w:name="_Toc8019476"/>
      <w:bookmarkStart w:id="771" w:name="_Toc8019477"/>
      <w:bookmarkStart w:id="772" w:name="_Toc8019478"/>
      <w:bookmarkStart w:id="773" w:name="_Toc8019479"/>
      <w:bookmarkStart w:id="774" w:name="_Toc8019480"/>
      <w:bookmarkStart w:id="775" w:name="_Toc8019481"/>
      <w:bookmarkStart w:id="776" w:name="_Toc8019482"/>
      <w:bookmarkStart w:id="777" w:name="_Toc8019483"/>
      <w:bookmarkStart w:id="778" w:name="_Toc8019484"/>
      <w:bookmarkStart w:id="779" w:name="_Toc8019485"/>
      <w:bookmarkStart w:id="780" w:name="_Toc8019486"/>
      <w:bookmarkStart w:id="781" w:name="_Toc8019487"/>
      <w:bookmarkStart w:id="782" w:name="_Toc8019488"/>
      <w:bookmarkStart w:id="783" w:name="_Toc8019489"/>
      <w:bookmarkStart w:id="784" w:name="_Toc8019490"/>
      <w:bookmarkStart w:id="785" w:name="_Toc8019491"/>
      <w:bookmarkStart w:id="786" w:name="_Toc8019492"/>
      <w:bookmarkStart w:id="787" w:name="_Toc8019493"/>
      <w:bookmarkStart w:id="788" w:name="_Toc8019494"/>
      <w:bookmarkStart w:id="789" w:name="_Toc8019495"/>
      <w:bookmarkStart w:id="790" w:name="_Toc8019496"/>
      <w:bookmarkStart w:id="791" w:name="_Toc8019497"/>
      <w:bookmarkStart w:id="792" w:name="_Toc8019498"/>
      <w:bookmarkStart w:id="793" w:name="_Toc8019499"/>
      <w:bookmarkStart w:id="794" w:name="_Toc8019500"/>
      <w:bookmarkStart w:id="795" w:name="_Toc8019501"/>
      <w:bookmarkStart w:id="796" w:name="_Toc8019502"/>
      <w:bookmarkStart w:id="797" w:name="_Toc8019503"/>
      <w:bookmarkStart w:id="798" w:name="_Toc8019504"/>
      <w:bookmarkStart w:id="799" w:name="_Toc8019505"/>
      <w:bookmarkStart w:id="800" w:name="_Toc8019506"/>
      <w:bookmarkStart w:id="801" w:name="_Toc8019507"/>
      <w:bookmarkStart w:id="802" w:name="_Toc8019508"/>
      <w:bookmarkStart w:id="803" w:name="_Toc8019509"/>
      <w:bookmarkStart w:id="804" w:name="_Toc8019510"/>
      <w:bookmarkStart w:id="805" w:name="_Toc8019511"/>
      <w:bookmarkStart w:id="806" w:name="_Toc8019512"/>
      <w:bookmarkStart w:id="807" w:name="_Toc8019513"/>
      <w:bookmarkStart w:id="808" w:name="_Toc8019514"/>
      <w:bookmarkStart w:id="809" w:name="_Toc8019515"/>
      <w:bookmarkStart w:id="810" w:name="_Toc8019516"/>
      <w:bookmarkStart w:id="811" w:name="_Toc8019517"/>
      <w:bookmarkStart w:id="812" w:name="_Toc8019518"/>
      <w:bookmarkStart w:id="813" w:name="_Toc8019519"/>
      <w:bookmarkStart w:id="814" w:name="_Toc8019520"/>
      <w:bookmarkStart w:id="815" w:name="_Toc8019521"/>
      <w:bookmarkStart w:id="816" w:name="_Toc8019522"/>
      <w:bookmarkStart w:id="817" w:name="_Toc8019523"/>
      <w:bookmarkStart w:id="818" w:name="_Toc8019524"/>
      <w:bookmarkStart w:id="819" w:name="_Toc8019525"/>
      <w:bookmarkStart w:id="820" w:name="_Toc8019526"/>
      <w:bookmarkStart w:id="821" w:name="_Toc8019527"/>
      <w:bookmarkStart w:id="822" w:name="_Toc8019528"/>
      <w:bookmarkStart w:id="823" w:name="_Toc8019529"/>
      <w:bookmarkStart w:id="824" w:name="_Toc8019530"/>
      <w:bookmarkStart w:id="825" w:name="_Toc8019531"/>
      <w:bookmarkStart w:id="826" w:name="_Toc8019532"/>
      <w:bookmarkStart w:id="827" w:name="_Toc8019533"/>
      <w:bookmarkStart w:id="828" w:name="_Toc8019534"/>
      <w:bookmarkStart w:id="829" w:name="_Toc8019535"/>
      <w:bookmarkStart w:id="830" w:name="_Toc8019536"/>
      <w:bookmarkStart w:id="831" w:name="_Toc8019537"/>
      <w:bookmarkStart w:id="832" w:name="_Toc8019538"/>
      <w:bookmarkStart w:id="833" w:name="_Toc8019539"/>
      <w:bookmarkStart w:id="834" w:name="_Toc8019540"/>
      <w:bookmarkStart w:id="835" w:name="_Toc8019541"/>
      <w:bookmarkStart w:id="836" w:name="_Toc8019542"/>
      <w:bookmarkStart w:id="837" w:name="_Toc8019543"/>
      <w:bookmarkStart w:id="838" w:name="_Toc8019544"/>
      <w:bookmarkStart w:id="839" w:name="_Toc8019545"/>
      <w:bookmarkStart w:id="840" w:name="_Toc8019546"/>
      <w:bookmarkStart w:id="841" w:name="_Toc8019547"/>
      <w:bookmarkStart w:id="842" w:name="_Toc8019548"/>
      <w:bookmarkStart w:id="843" w:name="_Toc8019549"/>
      <w:bookmarkStart w:id="844" w:name="_Toc8019550"/>
      <w:bookmarkStart w:id="845" w:name="_Toc8019551"/>
      <w:bookmarkStart w:id="846" w:name="_Toc8019552"/>
      <w:bookmarkStart w:id="847" w:name="_Toc8019553"/>
      <w:bookmarkStart w:id="848" w:name="_Toc8019554"/>
      <w:bookmarkStart w:id="849" w:name="_Toc8019555"/>
      <w:bookmarkStart w:id="850" w:name="_Toc8019556"/>
      <w:bookmarkStart w:id="851" w:name="_Toc8019557"/>
      <w:bookmarkStart w:id="852" w:name="_Toc8019558"/>
      <w:bookmarkStart w:id="853" w:name="_Toc8019559"/>
      <w:bookmarkStart w:id="854" w:name="_Toc8019560"/>
      <w:bookmarkStart w:id="855" w:name="_Toc8019603"/>
      <w:bookmarkStart w:id="856" w:name="_Toc8019604"/>
      <w:bookmarkStart w:id="857" w:name="_Toc8019605"/>
      <w:bookmarkStart w:id="858" w:name="_Toc8019606"/>
      <w:bookmarkStart w:id="859" w:name="_Toc8019636"/>
      <w:bookmarkStart w:id="860" w:name="_Toc8019637"/>
      <w:bookmarkStart w:id="861" w:name="_Toc8019638"/>
      <w:bookmarkStart w:id="862" w:name="_Toc8019639"/>
      <w:bookmarkStart w:id="863" w:name="_Toc8019640"/>
      <w:bookmarkStart w:id="864" w:name="_Toc8019641"/>
      <w:bookmarkStart w:id="865" w:name="_Toc8019642"/>
      <w:bookmarkStart w:id="866" w:name="_Toc8019643"/>
      <w:bookmarkStart w:id="867" w:name="_Toc8019644"/>
      <w:bookmarkStart w:id="868" w:name="_Toc8019645"/>
      <w:bookmarkStart w:id="869" w:name="_Toc8019646"/>
      <w:bookmarkStart w:id="870" w:name="_Toc8019647"/>
      <w:bookmarkStart w:id="871" w:name="_Toc8019648"/>
      <w:bookmarkStart w:id="872" w:name="_Toc8019649"/>
      <w:bookmarkStart w:id="873" w:name="_Toc8019650"/>
      <w:bookmarkStart w:id="874" w:name="_Toc8019651"/>
      <w:bookmarkStart w:id="875" w:name="_Toc8019652"/>
      <w:bookmarkStart w:id="876" w:name="_Toc8019653"/>
      <w:bookmarkStart w:id="877" w:name="_Toc8019654"/>
      <w:bookmarkStart w:id="878" w:name="_Toc8019655"/>
      <w:bookmarkStart w:id="879" w:name="_Toc8019656"/>
      <w:bookmarkStart w:id="880" w:name="_Toc8019657"/>
      <w:bookmarkStart w:id="881" w:name="_Toc8019658"/>
      <w:bookmarkStart w:id="882" w:name="_Toc8019659"/>
      <w:bookmarkStart w:id="883" w:name="_Toc8019660"/>
      <w:bookmarkStart w:id="884" w:name="_Toc8019661"/>
      <w:bookmarkStart w:id="885" w:name="_Toc8019662"/>
      <w:bookmarkStart w:id="886" w:name="_Toc8019663"/>
      <w:bookmarkStart w:id="887" w:name="_Toc8019664"/>
      <w:bookmarkStart w:id="888" w:name="_Toc8019665"/>
      <w:bookmarkStart w:id="889" w:name="_Toc8019666"/>
      <w:bookmarkStart w:id="890" w:name="_Toc8019667"/>
      <w:bookmarkStart w:id="891" w:name="_Toc8019668"/>
      <w:bookmarkStart w:id="892" w:name="_Toc8019669"/>
      <w:bookmarkStart w:id="893" w:name="_Toc8019670"/>
      <w:bookmarkStart w:id="894" w:name="_Toc8019671"/>
      <w:bookmarkStart w:id="895" w:name="_Toc8019672"/>
      <w:bookmarkStart w:id="896" w:name="_Toc8019673"/>
      <w:bookmarkStart w:id="897" w:name="_Toc8019674"/>
      <w:bookmarkStart w:id="898" w:name="_Toc8019675"/>
      <w:bookmarkStart w:id="899" w:name="_Toc8019676"/>
      <w:bookmarkStart w:id="900" w:name="_Toc8019677"/>
      <w:bookmarkStart w:id="901" w:name="_Toc8019678"/>
      <w:bookmarkStart w:id="902" w:name="_Toc8019679"/>
      <w:bookmarkStart w:id="903" w:name="_Toc8019680"/>
      <w:bookmarkStart w:id="904" w:name="_Toc8019681"/>
      <w:bookmarkStart w:id="905" w:name="_Toc8019682"/>
      <w:bookmarkStart w:id="906" w:name="_Toc8019683"/>
      <w:bookmarkStart w:id="907" w:name="_Toc8019684"/>
      <w:bookmarkStart w:id="908" w:name="_Toc8019685"/>
      <w:bookmarkStart w:id="909" w:name="_Toc8019686"/>
      <w:bookmarkStart w:id="910" w:name="_Toc8019687"/>
      <w:bookmarkStart w:id="911" w:name="_Toc8019688"/>
      <w:bookmarkStart w:id="912" w:name="_Toc8019689"/>
      <w:bookmarkStart w:id="913" w:name="_Toc8019690"/>
      <w:bookmarkStart w:id="914" w:name="_Toc8019691"/>
      <w:bookmarkStart w:id="915" w:name="_Toc8019692"/>
      <w:bookmarkStart w:id="916" w:name="_Toc8019693"/>
      <w:bookmarkStart w:id="917" w:name="_Toc8019694"/>
      <w:bookmarkStart w:id="918" w:name="_Toc8019695"/>
      <w:bookmarkStart w:id="919" w:name="_Toc8019696"/>
      <w:bookmarkStart w:id="920" w:name="_Toc8019697"/>
      <w:bookmarkStart w:id="921" w:name="_Toc8019698"/>
      <w:bookmarkStart w:id="922" w:name="_Toc8019699"/>
      <w:bookmarkStart w:id="923" w:name="_Toc8019741"/>
      <w:bookmarkStart w:id="924" w:name="_Toc8019742"/>
      <w:bookmarkStart w:id="925" w:name="_Toc8019743"/>
      <w:bookmarkStart w:id="926" w:name="_Toc8019773"/>
      <w:bookmarkStart w:id="927" w:name="_Toc8019774"/>
      <w:bookmarkStart w:id="928" w:name="_Toc8019775"/>
      <w:bookmarkStart w:id="929" w:name="_Toc8019776"/>
      <w:bookmarkStart w:id="930" w:name="_Toc8019777"/>
      <w:bookmarkStart w:id="931" w:name="_Toc8019778"/>
      <w:bookmarkStart w:id="932" w:name="_Toc8019779"/>
      <w:bookmarkStart w:id="933" w:name="_Toc8019780"/>
      <w:bookmarkStart w:id="934" w:name="_Toc8019781"/>
      <w:bookmarkStart w:id="935" w:name="_Toc8019782"/>
      <w:bookmarkStart w:id="936" w:name="_Toc8019818"/>
      <w:bookmarkStart w:id="937" w:name="_Toc8019819"/>
      <w:bookmarkStart w:id="938" w:name="_Toc8019820"/>
      <w:bookmarkStart w:id="939" w:name="_Toc8019821"/>
      <w:bookmarkStart w:id="940" w:name="_Toc8019822"/>
      <w:bookmarkStart w:id="941" w:name="_Toc8019823"/>
      <w:bookmarkStart w:id="942" w:name="_Toc8019824"/>
      <w:bookmarkStart w:id="943" w:name="_Toc8019825"/>
      <w:bookmarkStart w:id="944" w:name="_Toc8019826"/>
      <w:bookmarkStart w:id="945" w:name="_Toc8019827"/>
      <w:bookmarkStart w:id="946" w:name="_Toc8019828"/>
      <w:bookmarkStart w:id="947" w:name="_Toc8019829"/>
      <w:bookmarkStart w:id="948" w:name="_Toc8019830"/>
      <w:bookmarkStart w:id="949" w:name="_Toc8019831"/>
      <w:bookmarkStart w:id="950" w:name="_Toc8019832"/>
      <w:bookmarkStart w:id="951" w:name="_Toc8019833"/>
      <w:bookmarkStart w:id="952" w:name="_Toc8019834"/>
      <w:bookmarkStart w:id="953" w:name="_Toc8019835"/>
      <w:bookmarkStart w:id="954" w:name="_Toc8019836"/>
      <w:bookmarkStart w:id="955" w:name="_Toc8019837"/>
      <w:bookmarkStart w:id="956" w:name="_Toc8019838"/>
      <w:bookmarkStart w:id="957" w:name="_Toc8019839"/>
      <w:bookmarkStart w:id="958" w:name="_Toc8019840"/>
      <w:bookmarkStart w:id="959" w:name="_Toc8019841"/>
      <w:bookmarkStart w:id="960" w:name="_Toc8019842"/>
      <w:bookmarkStart w:id="961" w:name="_Toc8019843"/>
      <w:bookmarkStart w:id="962" w:name="_Toc8019844"/>
      <w:bookmarkStart w:id="963" w:name="_Toc8019845"/>
      <w:bookmarkStart w:id="964" w:name="_Toc8019846"/>
      <w:bookmarkStart w:id="965" w:name="_Toc8019847"/>
      <w:bookmarkStart w:id="966" w:name="_Toc8019848"/>
      <w:bookmarkStart w:id="967" w:name="_Toc8019849"/>
      <w:bookmarkStart w:id="968" w:name="_Toc8019850"/>
      <w:bookmarkStart w:id="969" w:name="_Toc8019851"/>
      <w:bookmarkStart w:id="970" w:name="_Toc8019852"/>
      <w:bookmarkStart w:id="971" w:name="_Toc8019853"/>
      <w:bookmarkStart w:id="972" w:name="_Toc8019854"/>
      <w:bookmarkStart w:id="973" w:name="_Toc8019855"/>
      <w:bookmarkStart w:id="974" w:name="_Toc8019856"/>
      <w:bookmarkStart w:id="975" w:name="_Toc8019857"/>
      <w:bookmarkStart w:id="976" w:name="_Toc8019858"/>
      <w:bookmarkStart w:id="977" w:name="_Toc8019859"/>
      <w:bookmarkStart w:id="978" w:name="_Toc8019860"/>
      <w:bookmarkStart w:id="979" w:name="_Toc8019861"/>
      <w:bookmarkStart w:id="980" w:name="_Toc8019862"/>
      <w:bookmarkStart w:id="981" w:name="_Toc8019863"/>
      <w:bookmarkStart w:id="982" w:name="_Toc8019912"/>
      <w:bookmarkStart w:id="983" w:name="_Toc8019913"/>
      <w:bookmarkStart w:id="984" w:name="_Toc8019914"/>
      <w:bookmarkStart w:id="985" w:name="_Toc8019950"/>
      <w:bookmarkStart w:id="986" w:name="_Toc8019951"/>
      <w:bookmarkStart w:id="987" w:name="_Toc8019952"/>
      <w:bookmarkStart w:id="988" w:name="_Toc8019953"/>
      <w:bookmarkStart w:id="989" w:name="_Toc8019954"/>
      <w:bookmarkStart w:id="990" w:name="_Toc8019955"/>
      <w:bookmarkStart w:id="991" w:name="_Toc8019956"/>
      <w:bookmarkStart w:id="992" w:name="_Toc8019957"/>
      <w:bookmarkStart w:id="993" w:name="_Toc8019958"/>
      <w:bookmarkStart w:id="994" w:name="_Toc8019959"/>
      <w:bookmarkStart w:id="995" w:name="_Toc8019960"/>
      <w:bookmarkStart w:id="996" w:name="_Toc8019961"/>
      <w:bookmarkStart w:id="997" w:name="_Toc8019962"/>
      <w:bookmarkStart w:id="998" w:name="_Toc8019991"/>
      <w:bookmarkStart w:id="999" w:name="_Toc8019995"/>
      <w:bookmarkStart w:id="1000" w:name="_Toc8020000"/>
      <w:bookmarkStart w:id="1001" w:name="_Toc8020005"/>
      <w:bookmarkStart w:id="1002" w:name="_Toc8020006"/>
      <w:bookmarkStart w:id="1003" w:name="_Toc8020007"/>
      <w:bookmarkStart w:id="1004" w:name="_Toc8020008"/>
      <w:bookmarkStart w:id="1005" w:name="_Toc8020009"/>
      <w:bookmarkStart w:id="1006" w:name="_Toc8020010"/>
      <w:bookmarkStart w:id="1007" w:name="_Toc8020011"/>
      <w:bookmarkStart w:id="1008" w:name="_Toc8020012"/>
      <w:bookmarkStart w:id="1009" w:name="_Toc8020013"/>
      <w:bookmarkStart w:id="1010" w:name="_Toc8020014"/>
      <w:bookmarkStart w:id="1011" w:name="_Toc8020015"/>
      <w:bookmarkStart w:id="1012" w:name="_Toc8020016"/>
      <w:bookmarkStart w:id="1013" w:name="_Toc8020017"/>
      <w:bookmarkStart w:id="1014" w:name="_Toc8020018"/>
      <w:bookmarkStart w:id="1015" w:name="_Toc8020019"/>
      <w:bookmarkStart w:id="1016" w:name="_Toc8020020"/>
      <w:bookmarkStart w:id="1017" w:name="_Toc8020021"/>
      <w:bookmarkStart w:id="1018" w:name="_Toc8020022"/>
      <w:bookmarkStart w:id="1019" w:name="_Toc8020023"/>
      <w:bookmarkStart w:id="1020" w:name="_Toc8020024"/>
      <w:bookmarkStart w:id="1021" w:name="_Toc8020025"/>
      <w:bookmarkStart w:id="1022" w:name="_Toc8020026"/>
      <w:bookmarkStart w:id="1023" w:name="_Toc8020027"/>
      <w:bookmarkStart w:id="1024" w:name="_Toc8020028"/>
      <w:bookmarkStart w:id="1025" w:name="_Toc8020029"/>
      <w:bookmarkStart w:id="1026" w:name="_Toc8020030"/>
      <w:bookmarkStart w:id="1027" w:name="_Toc8020031"/>
      <w:bookmarkStart w:id="1028" w:name="_Toc8020032"/>
      <w:bookmarkStart w:id="1029" w:name="_Toc8020033"/>
      <w:bookmarkStart w:id="1030" w:name="_Toc8020034"/>
      <w:bookmarkStart w:id="1031" w:name="_Toc8020035"/>
      <w:bookmarkStart w:id="1032" w:name="_Toc8020036"/>
      <w:bookmarkStart w:id="1033" w:name="_Toc8020037"/>
      <w:bookmarkStart w:id="1034" w:name="_Toc8020038"/>
      <w:bookmarkStart w:id="1035" w:name="_Toc8020039"/>
      <w:bookmarkStart w:id="1036" w:name="_Toc8020040"/>
      <w:bookmarkStart w:id="1037" w:name="_Toc8020041"/>
      <w:bookmarkStart w:id="1038" w:name="_Toc8020042"/>
      <w:bookmarkStart w:id="1039" w:name="_Toc8020043"/>
      <w:bookmarkStart w:id="1040" w:name="_Toc8020044"/>
      <w:bookmarkStart w:id="1041" w:name="_Toc8020045"/>
      <w:bookmarkStart w:id="1042" w:name="_Toc8020046"/>
      <w:bookmarkStart w:id="1043" w:name="_Toc8020047"/>
      <w:bookmarkStart w:id="1044" w:name="_Toc8020048"/>
      <w:bookmarkStart w:id="1045" w:name="_Toc8020049"/>
      <w:bookmarkStart w:id="1046" w:name="_Toc8020050"/>
      <w:bookmarkStart w:id="1047" w:name="_Toc8020051"/>
      <w:bookmarkStart w:id="1048" w:name="_Toc8020052"/>
      <w:bookmarkStart w:id="1049" w:name="_Toc8020053"/>
      <w:bookmarkStart w:id="1050" w:name="_Toc8020089"/>
      <w:bookmarkStart w:id="1051" w:name="_Toc8020090"/>
      <w:bookmarkStart w:id="1052" w:name="_Toc8020091"/>
      <w:bookmarkStart w:id="1053" w:name="_Toc8020092"/>
      <w:bookmarkStart w:id="1054" w:name="_Toc8020093"/>
      <w:bookmarkStart w:id="1055" w:name="_Toc8020094"/>
      <w:bookmarkStart w:id="1056" w:name="_Toc8020095"/>
      <w:bookmarkStart w:id="1057" w:name="_Toc8020096"/>
      <w:bookmarkStart w:id="1058" w:name="_Toc8020097"/>
      <w:bookmarkStart w:id="1059" w:name="_Toc8020098"/>
      <w:bookmarkStart w:id="1060" w:name="_Toc8020099"/>
      <w:bookmarkStart w:id="1061" w:name="_Toc8020100"/>
      <w:bookmarkStart w:id="1062" w:name="_Toc8020101"/>
      <w:bookmarkStart w:id="1063" w:name="_Toc8020102"/>
      <w:bookmarkStart w:id="1064" w:name="_Toc8020103"/>
      <w:bookmarkStart w:id="1065" w:name="_Toc8020104"/>
      <w:bookmarkStart w:id="1066" w:name="_Toc8020105"/>
      <w:bookmarkStart w:id="1067" w:name="_Toc8020106"/>
      <w:bookmarkStart w:id="1068" w:name="_Toc8020107"/>
      <w:bookmarkStart w:id="1069" w:name="_Toc8020108"/>
      <w:bookmarkStart w:id="1070" w:name="_Toc8020109"/>
      <w:bookmarkStart w:id="1071" w:name="_Toc8020110"/>
      <w:bookmarkStart w:id="1072" w:name="_Toc8020111"/>
      <w:bookmarkStart w:id="1073" w:name="_Toc8020112"/>
      <w:bookmarkStart w:id="1074" w:name="_Toc8020113"/>
      <w:bookmarkStart w:id="1075" w:name="_Toc8020114"/>
      <w:bookmarkStart w:id="1076" w:name="_Toc8020115"/>
      <w:bookmarkStart w:id="1077" w:name="_Toc8020116"/>
      <w:bookmarkStart w:id="1078" w:name="_Toc8020117"/>
      <w:bookmarkStart w:id="1079" w:name="_Toc8020118"/>
      <w:bookmarkStart w:id="1080" w:name="_Toc8020119"/>
      <w:bookmarkStart w:id="1081" w:name="_Toc8020120"/>
      <w:bookmarkStart w:id="1082" w:name="_Toc8020121"/>
      <w:bookmarkStart w:id="1083" w:name="_Toc8020122"/>
      <w:bookmarkStart w:id="1084" w:name="_Toc8020123"/>
      <w:bookmarkStart w:id="1085" w:name="_Toc8020172"/>
      <w:bookmarkStart w:id="1086" w:name="_Toc8020173"/>
      <w:bookmarkStart w:id="1087" w:name="_Toc8020174"/>
      <w:bookmarkStart w:id="1088" w:name="_Toc8020175"/>
      <w:bookmarkStart w:id="1089" w:name="_Toc8020176"/>
      <w:bookmarkStart w:id="1090" w:name="_Toc8020177"/>
      <w:bookmarkStart w:id="1091" w:name="_Toc8020178"/>
      <w:bookmarkStart w:id="1092" w:name="_Toc8020179"/>
      <w:bookmarkStart w:id="1093" w:name="_Toc8020228"/>
      <w:bookmarkStart w:id="1094" w:name="_Toc8020229"/>
      <w:bookmarkStart w:id="1095" w:name="_Toc8020230"/>
      <w:bookmarkStart w:id="1096" w:name="_Toc8020231"/>
      <w:bookmarkStart w:id="1097" w:name="_Toc8020232"/>
      <w:bookmarkStart w:id="1098" w:name="_Toc8020364"/>
      <w:bookmarkStart w:id="1099" w:name="_Toc8020365"/>
      <w:bookmarkStart w:id="1100" w:name="_Toc8020366"/>
      <w:bookmarkStart w:id="1101" w:name="_Toc8020367"/>
      <w:bookmarkStart w:id="1102" w:name="_Toc8020368"/>
      <w:bookmarkStart w:id="1103" w:name="_Toc8020369"/>
      <w:bookmarkStart w:id="1104" w:name="_Toc8020370"/>
      <w:bookmarkStart w:id="1105" w:name="_Toc8020371"/>
      <w:bookmarkStart w:id="1106" w:name="_Toc8020372"/>
      <w:bookmarkStart w:id="1107" w:name="_Toc8020373"/>
      <w:bookmarkStart w:id="1108" w:name="_Toc8020374"/>
      <w:bookmarkStart w:id="1109" w:name="_Toc8020375"/>
      <w:bookmarkStart w:id="1110" w:name="_Toc8020376"/>
      <w:bookmarkStart w:id="1111" w:name="_Toc8020377"/>
      <w:bookmarkStart w:id="1112" w:name="_Toc8020378"/>
      <w:bookmarkStart w:id="1113" w:name="_Toc8020379"/>
      <w:bookmarkStart w:id="1114" w:name="_Toc8020380"/>
      <w:bookmarkStart w:id="1115" w:name="_Toc8020381"/>
      <w:bookmarkStart w:id="1116" w:name="_Toc8020382"/>
      <w:bookmarkStart w:id="1117" w:name="_Toc8020383"/>
      <w:bookmarkStart w:id="1118" w:name="_Toc8020384"/>
      <w:bookmarkStart w:id="1119" w:name="_Toc8020385"/>
      <w:bookmarkStart w:id="1120" w:name="_Toc8020386"/>
      <w:bookmarkStart w:id="1121" w:name="_Toc8020387"/>
      <w:bookmarkStart w:id="1122" w:name="_Toc8020388"/>
      <w:bookmarkStart w:id="1123" w:name="_Toc8020389"/>
      <w:bookmarkStart w:id="1124" w:name="_Toc8020390"/>
      <w:bookmarkStart w:id="1125" w:name="_Toc8020391"/>
      <w:bookmarkStart w:id="1126" w:name="_Toc8020392"/>
      <w:bookmarkStart w:id="1127" w:name="_Toc8020393"/>
      <w:bookmarkStart w:id="1128" w:name="_Toc8020394"/>
      <w:bookmarkStart w:id="1129" w:name="_Toc8020395"/>
      <w:bookmarkStart w:id="1130" w:name="_Toc8020396"/>
      <w:bookmarkStart w:id="1131" w:name="_Toc8020397"/>
      <w:bookmarkStart w:id="1132" w:name="_Toc8020398"/>
      <w:bookmarkStart w:id="1133" w:name="_Toc8020399"/>
      <w:bookmarkStart w:id="1134" w:name="_Toc8020400"/>
      <w:bookmarkStart w:id="1135" w:name="_Toc8020401"/>
      <w:bookmarkStart w:id="1136" w:name="_Toc8020402"/>
      <w:bookmarkStart w:id="1137" w:name="_Toc8020403"/>
      <w:bookmarkStart w:id="1138" w:name="_Toc8020404"/>
      <w:bookmarkStart w:id="1139" w:name="_Toc8020405"/>
      <w:bookmarkStart w:id="1140" w:name="_Toc8020406"/>
      <w:bookmarkStart w:id="1141" w:name="_Toc8020407"/>
      <w:bookmarkStart w:id="1142" w:name="_Toc8020408"/>
      <w:bookmarkStart w:id="1143" w:name="_Toc8020409"/>
      <w:bookmarkStart w:id="1144" w:name="_Toc8020410"/>
      <w:bookmarkStart w:id="1145" w:name="_Toc8020411"/>
      <w:bookmarkStart w:id="1146" w:name="_Toc8020412"/>
      <w:bookmarkStart w:id="1147" w:name="_Toc8020413"/>
      <w:bookmarkStart w:id="1148" w:name="_Toc8020414"/>
      <w:bookmarkStart w:id="1149" w:name="_Toc8020415"/>
      <w:bookmarkStart w:id="1150" w:name="_Toc8020416"/>
      <w:bookmarkStart w:id="1151" w:name="_Toc8020417"/>
      <w:bookmarkStart w:id="1152" w:name="_Toc8020418"/>
      <w:bookmarkStart w:id="1153" w:name="_Toc8020419"/>
      <w:bookmarkStart w:id="1154" w:name="_Toc8020420"/>
      <w:bookmarkStart w:id="1155" w:name="_Toc8020421"/>
      <w:bookmarkStart w:id="1156" w:name="_Toc8020422"/>
      <w:bookmarkStart w:id="1157" w:name="_Toc8020423"/>
      <w:bookmarkStart w:id="1158" w:name="_Toc8020424"/>
      <w:bookmarkStart w:id="1159" w:name="_Toc8020425"/>
      <w:bookmarkStart w:id="1160" w:name="_Toc8020426"/>
      <w:bookmarkStart w:id="1161" w:name="_Toc8020427"/>
      <w:bookmarkStart w:id="1162" w:name="_Toc8020428"/>
      <w:bookmarkStart w:id="1163" w:name="_Toc8020429"/>
      <w:bookmarkStart w:id="1164" w:name="_Toc8020430"/>
      <w:bookmarkStart w:id="1165" w:name="_Toc8020431"/>
      <w:bookmarkStart w:id="1166" w:name="_Toc8020432"/>
      <w:bookmarkStart w:id="1167" w:name="_Toc8020433"/>
      <w:bookmarkStart w:id="1168" w:name="_Toc8020434"/>
      <w:bookmarkStart w:id="1169" w:name="_Toc8020435"/>
      <w:bookmarkStart w:id="1170" w:name="_Toc8020436"/>
      <w:bookmarkStart w:id="1171" w:name="_Toc8020437"/>
      <w:bookmarkStart w:id="1172" w:name="_Toc8020438"/>
      <w:bookmarkStart w:id="1173" w:name="_Toc8020439"/>
      <w:bookmarkStart w:id="1174" w:name="_Toc8020440"/>
      <w:bookmarkStart w:id="1175" w:name="_Toc8020441"/>
      <w:bookmarkStart w:id="1176" w:name="_Toc8020442"/>
      <w:bookmarkStart w:id="1177" w:name="_Toc8020443"/>
      <w:bookmarkStart w:id="1178" w:name="_Toc8020444"/>
      <w:bookmarkStart w:id="1179" w:name="_Toc8020445"/>
      <w:bookmarkStart w:id="1180" w:name="_Toc8020446"/>
      <w:bookmarkStart w:id="1181" w:name="_Toc8020447"/>
      <w:bookmarkStart w:id="1182" w:name="_Toc8020448"/>
      <w:bookmarkStart w:id="1183" w:name="_Toc8020449"/>
      <w:bookmarkStart w:id="1184" w:name="_Toc8020450"/>
      <w:bookmarkStart w:id="1185" w:name="_Toc8020451"/>
      <w:bookmarkStart w:id="1186" w:name="_Toc8020452"/>
      <w:bookmarkStart w:id="1187" w:name="_Toc8020453"/>
      <w:bookmarkStart w:id="1188" w:name="_Toc8020454"/>
      <w:bookmarkStart w:id="1189" w:name="_Toc8020455"/>
      <w:bookmarkStart w:id="1190" w:name="_Toc8020456"/>
      <w:bookmarkStart w:id="1191" w:name="_Toc8020457"/>
      <w:bookmarkStart w:id="1192" w:name="_Toc8020458"/>
      <w:bookmarkStart w:id="1193" w:name="_Toc8020459"/>
      <w:bookmarkStart w:id="1194" w:name="_Toc8020460"/>
      <w:bookmarkStart w:id="1195" w:name="_Toc8020461"/>
      <w:bookmarkStart w:id="1196" w:name="_Toc8020462"/>
      <w:bookmarkStart w:id="1197" w:name="_Toc8020463"/>
      <w:bookmarkStart w:id="1198" w:name="_Toc8020464"/>
      <w:bookmarkStart w:id="1199" w:name="_Toc8020465"/>
      <w:bookmarkStart w:id="1200" w:name="_Toc8020466"/>
      <w:bookmarkStart w:id="1201" w:name="_Toc8020467"/>
      <w:bookmarkStart w:id="1202" w:name="_Toc8020468"/>
      <w:bookmarkStart w:id="1203" w:name="_Toc8020469"/>
      <w:bookmarkStart w:id="1204" w:name="_Toc8020470"/>
      <w:bookmarkStart w:id="1205" w:name="_Toc8020471"/>
      <w:bookmarkStart w:id="1206" w:name="_Toc8020472"/>
      <w:bookmarkStart w:id="1207" w:name="_Toc8020473"/>
      <w:bookmarkStart w:id="1208" w:name="_Toc8020474"/>
      <w:bookmarkStart w:id="1209" w:name="_Toc8020475"/>
      <w:bookmarkStart w:id="1210" w:name="_Toc8020476"/>
      <w:bookmarkStart w:id="1211" w:name="_Toc8020477"/>
      <w:bookmarkStart w:id="1212" w:name="_Toc8020478"/>
      <w:bookmarkStart w:id="1213" w:name="_Toc8020479"/>
      <w:bookmarkStart w:id="1214" w:name="_Toc8020480"/>
      <w:bookmarkStart w:id="1215" w:name="_Toc8020481"/>
      <w:bookmarkStart w:id="1216" w:name="_Toc8020482"/>
      <w:bookmarkStart w:id="1217" w:name="_Toc8020483"/>
      <w:bookmarkStart w:id="1218" w:name="_Toc8020484"/>
      <w:bookmarkStart w:id="1219" w:name="_Toc8020485"/>
      <w:bookmarkStart w:id="1220" w:name="_Toc8020486"/>
      <w:bookmarkStart w:id="1221" w:name="_Toc8020487"/>
      <w:bookmarkStart w:id="1222" w:name="_Toc8020488"/>
      <w:bookmarkStart w:id="1223" w:name="_Toc8020489"/>
      <w:bookmarkStart w:id="1224" w:name="_Toc8020490"/>
      <w:bookmarkStart w:id="1225" w:name="_Toc8020491"/>
      <w:bookmarkStart w:id="1226" w:name="_Toc8020492"/>
      <w:bookmarkStart w:id="1227" w:name="_Toc8020493"/>
      <w:bookmarkStart w:id="1228" w:name="_Toc8020494"/>
      <w:bookmarkStart w:id="1229" w:name="_Toc8020495"/>
      <w:bookmarkStart w:id="1230" w:name="_Toc8020496"/>
      <w:bookmarkStart w:id="1231" w:name="_Toc8020497"/>
      <w:bookmarkStart w:id="1232" w:name="_Toc8020498"/>
      <w:bookmarkStart w:id="1233" w:name="_Toc8020499"/>
      <w:bookmarkStart w:id="1234" w:name="_Toc8020500"/>
      <w:bookmarkStart w:id="1235" w:name="_Toc8020501"/>
      <w:bookmarkStart w:id="1236" w:name="_Toc8020502"/>
      <w:bookmarkStart w:id="1237" w:name="_Toc8020503"/>
      <w:bookmarkStart w:id="1238" w:name="_Toc8020504"/>
      <w:bookmarkStart w:id="1239" w:name="_Toc8020505"/>
      <w:bookmarkStart w:id="1240" w:name="_Toc8020506"/>
      <w:bookmarkStart w:id="1241" w:name="_Toc8020507"/>
      <w:bookmarkStart w:id="1242" w:name="_Toc8020508"/>
      <w:bookmarkStart w:id="1243" w:name="_Toc8020509"/>
      <w:bookmarkStart w:id="1244" w:name="_Toc8020510"/>
      <w:bookmarkStart w:id="1245" w:name="_Toc8020511"/>
      <w:bookmarkStart w:id="1246" w:name="_Toc8020512"/>
      <w:bookmarkStart w:id="1247" w:name="_Toc8020513"/>
      <w:bookmarkStart w:id="1248" w:name="_Toc8020514"/>
      <w:bookmarkStart w:id="1249" w:name="_Toc8020515"/>
      <w:bookmarkStart w:id="1250" w:name="_Toc8020516"/>
      <w:bookmarkStart w:id="1251" w:name="_Toc8020517"/>
      <w:bookmarkStart w:id="1252" w:name="_Toc8020518"/>
      <w:bookmarkStart w:id="1253" w:name="_Toc8020519"/>
      <w:bookmarkStart w:id="1254" w:name="_Toc8020520"/>
      <w:bookmarkStart w:id="1255" w:name="_Toc8020521"/>
      <w:bookmarkStart w:id="1256" w:name="_Toc8020522"/>
      <w:bookmarkStart w:id="1257" w:name="_Toc8020523"/>
      <w:bookmarkStart w:id="1258" w:name="_Toc8020524"/>
      <w:bookmarkStart w:id="1259" w:name="_Toc8020525"/>
      <w:bookmarkStart w:id="1260" w:name="_Toc8020526"/>
      <w:bookmarkStart w:id="1261" w:name="_Toc8020527"/>
      <w:bookmarkStart w:id="1262" w:name="_Toc8020528"/>
      <w:bookmarkStart w:id="1263" w:name="_Toc8020529"/>
      <w:bookmarkStart w:id="1264" w:name="_Toc8020530"/>
      <w:bookmarkStart w:id="1265" w:name="_Toc8020531"/>
      <w:bookmarkStart w:id="1266" w:name="_Toc8020532"/>
      <w:bookmarkStart w:id="1267" w:name="_Toc8020533"/>
      <w:bookmarkStart w:id="1268" w:name="_Toc8020534"/>
      <w:bookmarkStart w:id="1269" w:name="_Toc8020535"/>
      <w:bookmarkStart w:id="1270" w:name="_Toc8020536"/>
      <w:bookmarkStart w:id="1271" w:name="_Toc8020537"/>
      <w:bookmarkStart w:id="1272" w:name="_Toc8020538"/>
      <w:bookmarkStart w:id="1273" w:name="_Toc8020539"/>
      <w:bookmarkStart w:id="1274" w:name="_Toc8020540"/>
      <w:bookmarkStart w:id="1275" w:name="_Toc8020541"/>
      <w:bookmarkStart w:id="1276" w:name="_Toc8020542"/>
      <w:bookmarkStart w:id="1277" w:name="_Toc8020543"/>
      <w:bookmarkStart w:id="1278" w:name="_Toc8020544"/>
      <w:bookmarkStart w:id="1279" w:name="_Toc8020545"/>
      <w:bookmarkStart w:id="1280" w:name="_Toc8020546"/>
      <w:bookmarkStart w:id="1281" w:name="_Toc8020547"/>
      <w:bookmarkStart w:id="1282" w:name="_Toc8020548"/>
      <w:bookmarkStart w:id="1283" w:name="_Toc8020549"/>
      <w:bookmarkStart w:id="1284" w:name="_Toc8020550"/>
      <w:bookmarkStart w:id="1285" w:name="_Toc8020551"/>
      <w:bookmarkStart w:id="1286" w:name="_Toc8020552"/>
      <w:bookmarkStart w:id="1287" w:name="_Toc8020553"/>
      <w:bookmarkStart w:id="1288" w:name="_Toc8020554"/>
      <w:bookmarkStart w:id="1289" w:name="_Toc8020555"/>
      <w:bookmarkStart w:id="1290" w:name="_Toc8020556"/>
      <w:bookmarkStart w:id="1291" w:name="_Toc8020557"/>
      <w:bookmarkStart w:id="1292" w:name="_Toc8020558"/>
      <w:bookmarkStart w:id="1293" w:name="_Toc8020559"/>
      <w:bookmarkStart w:id="1294" w:name="_Toc8020560"/>
      <w:bookmarkStart w:id="1295" w:name="_Toc8020561"/>
      <w:bookmarkStart w:id="1296" w:name="_Toc8020562"/>
      <w:bookmarkStart w:id="1297" w:name="_Toc8020563"/>
      <w:bookmarkStart w:id="1298" w:name="_Toc8020564"/>
      <w:bookmarkStart w:id="1299" w:name="_Toc8020565"/>
      <w:bookmarkStart w:id="1300" w:name="_Toc8020566"/>
      <w:bookmarkStart w:id="1301" w:name="_Toc8020567"/>
      <w:bookmarkStart w:id="1302" w:name="_Toc8020568"/>
      <w:bookmarkStart w:id="1303" w:name="_Toc8020569"/>
      <w:bookmarkStart w:id="1304" w:name="_Toc8020570"/>
      <w:bookmarkStart w:id="1305" w:name="_Toc8020571"/>
      <w:bookmarkStart w:id="1306" w:name="_Toc8020572"/>
      <w:bookmarkStart w:id="1307" w:name="_Toc8020573"/>
      <w:bookmarkStart w:id="1308" w:name="_Toc8020574"/>
      <w:bookmarkStart w:id="1309" w:name="_Toc8020575"/>
      <w:bookmarkStart w:id="1310" w:name="_Toc8020576"/>
      <w:bookmarkStart w:id="1311" w:name="_Toc8020577"/>
      <w:bookmarkStart w:id="1312" w:name="_Toc8020578"/>
      <w:bookmarkStart w:id="1313" w:name="_Toc8020579"/>
      <w:bookmarkStart w:id="1314" w:name="_Toc8020580"/>
      <w:bookmarkStart w:id="1315" w:name="_Toc8020581"/>
      <w:bookmarkStart w:id="1316" w:name="_Toc8020582"/>
      <w:bookmarkStart w:id="1317" w:name="_Toc8020583"/>
      <w:bookmarkStart w:id="1318" w:name="_Toc8020584"/>
      <w:bookmarkStart w:id="1319" w:name="_Toc8020585"/>
      <w:bookmarkStart w:id="1320" w:name="_Toc8020586"/>
      <w:bookmarkStart w:id="1321" w:name="_Toc8020587"/>
      <w:bookmarkStart w:id="1322" w:name="_Toc8020588"/>
      <w:bookmarkStart w:id="1323" w:name="_Toc8020589"/>
      <w:bookmarkStart w:id="1324" w:name="_Toc8020590"/>
      <w:bookmarkStart w:id="1325" w:name="_Toc8020591"/>
      <w:bookmarkStart w:id="1326" w:name="_Toc8020592"/>
      <w:bookmarkStart w:id="1327" w:name="_Toc8020593"/>
      <w:bookmarkStart w:id="1328" w:name="_Toc8020594"/>
      <w:bookmarkStart w:id="1329" w:name="_Toc8020595"/>
      <w:bookmarkStart w:id="1330" w:name="_Toc8020596"/>
      <w:bookmarkStart w:id="1331" w:name="_Toc8020597"/>
      <w:bookmarkStart w:id="1332" w:name="_Toc8020598"/>
      <w:bookmarkStart w:id="1333" w:name="_Toc8020599"/>
      <w:bookmarkStart w:id="1334" w:name="_Toc8020600"/>
      <w:bookmarkStart w:id="1335" w:name="_Toc8020601"/>
      <w:bookmarkStart w:id="1336" w:name="_Toc8020602"/>
      <w:bookmarkStart w:id="1337" w:name="_Toc8020603"/>
      <w:bookmarkStart w:id="1338" w:name="_Toc8020604"/>
      <w:bookmarkStart w:id="1339" w:name="_Toc8020605"/>
      <w:bookmarkStart w:id="1340" w:name="_Toc8020606"/>
      <w:bookmarkStart w:id="1341" w:name="_Toc8020607"/>
      <w:bookmarkStart w:id="1342" w:name="_Toc8020608"/>
      <w:bookmarkStart w:id="1343" w:name="_Toc8020609"/>
      <w:bookmarkStart w:id="1344" w:name="_Toc8020610"/>
      <w:bookmarkStart w:id="1345" w:name="_Toc8020611"/>
      <w:bookmarkStart w:id="1346" w:name="_Toc8020612"/>
      <w:bookmarkStart w:id="1347" w:name="_Toc8020613"/>
      <w:bookmarkStart w:id="1348" w:name="_Toc8020614"/>
      <w:bookmarkStart w:id="1349" w:name="_Toc8020615"/>
      <w:bookmarkStart w:id="1350" w:name="_Toc8020616"/>
      <w:bookmarkStart w:id="1351" w:name="_Toc8020617"/>
      <w:bookmarkStart w:id="1352" w:name="_Toc8020618"/>
      <w:bookmarkStart w:id="1353" w:name="_Toc8020619"/>
      <w:bookmarkStart w:id="1354" w:name="_Toc8020620"/>
      <w:bookmarkStart w:id="1355" w:name="_Toc8020621"/>
      <w:bookmarkStart w:id="1356" w:name="_Toc8020622"/>
      <w:bookmarkStart w:id="1357" w:name="_Toc8020623"/>
      <w:bookmarkStart w:id="1358" w:name="_Toc8020624"/>
      <w:bookmarkStart w:id="1359" w:name="_Toc8020625"/>
      <w:bookmarkStart w:id="1360" w:name="_Toc8020626"/>
      <w:bookmarkStart w:id="1361" w:name="_Toc8020627"/>
      <w:bookmarkStart w:id="1362" w:name="_Toc8020628"/>
      <w:bookmarkStart w:id="1363" w:name="_Toc8020629"/>
      <w:bookmarkStart w:id="1364" w:name="_Toc8020630"/>
      <w:bookmarkStart w:id="1365" w:name="_Toc8020631"/>
      <w:bookmarkStart w:id="1366" w:name="_Toc8020632"/>
      <w:bookmarkStart w:id="1367" w:name="_Toc8020633"/>
      <w:bookmarkStart w:id="1368" w:name="_Toc8020634"/>
      <w:bookmarkStart w:id="1369" w:name="_Toc8020635"/>
      <w:bookmarkStart w:id="1370" w:name="_Toc8020636"/>
      <w:bookmarkStart w:id="1371" w:name="_Toc8020637"/>
      <w:bookmarkStart w:id="1372" w:name="_Toc8020638"/>
      <w:bookmarkStart w:id="1373" w:name="_Toc8020639"/>
      <w:bookmarkStart w:id="1374" w:name="_Toc8020640"/>
      <w:bookmarkStart w:id="1375" w:name="_Toc8020641"/>
      <w:bookmarkStart w:id="1376" w:name="_Toc8020642"/>
      <w:bookmarkStart w:id="1377" w:name="_Toc8020643"/>
      <w:bookmarkStart w:id="1378" w:name="_Toc8020644"/>
      <w:bookmarkStart w:id="1379" w:name="_Toc8020645"/>
      <w:bookmarkStart w:id="1380" w:name="_Toc8020646"/>
      <w:bookmarkStart w:id="1381" w:name="_Toc8020647"/>
      <w:bookmarkStart w:id="1382" w:name="_Toc8020648"/>
      <w:bookmarkStart w:id="1383" w:name="_Toc8020649"/>
      <w:bookmarkStart w:id="1384" w:name="_Toc8020650"/>
      <w:bookmarkStart w:id="1385" w:name="_Toc8020651"/>
      <w:bookmarkStart w:id="1386" w:name="_Toc8020652"/>
      <w:bookmarkStart w:id="1387" w:name="_Toc8020653"/>
      <w:bookmarkStart w:id="1388" w:name="_Toc8020654"/>
      <w:bookmarkStart w:id="1389" w:name="_Toc8020655"/>
      <w:bookmarkStart w:id="1390" w:name="_Toc8020656"/>
      <w:bookmarkStart w:id="1391" w:name="_Toc8020657"/>
      <w:bookmarkStart w:id="1392" w:name="_Toc8020658"/>
      <w:bookmarkStart w:id="1393" w:name="_Toc8020659"/>
      <w:bookmarkStart w:id="1394" w:name="_Toc8020660"/>
      <w:bookmarkStart w:id="1395" w:name="_Toc8020661"/>
      <w:bookmarkStart w:id="1396" w:name="_Toc8020662"/>
      <w:bookmarkStart w:id="1397" w:name="_Toc8020663"/>
      <w:bookmarkStart w:id="1398" w:name="_Toc8020664"/>
      <w:bookmarkStart w:id="1399" w:name="_Ref299396"/>
      <w:bookmarkStart w:id="1400" w:name="_Ref299420"/>
      <w:bookmarkStart w:id="1401" w:name="_Toc342632"/>
      <w:bookmarkStart w:id="1402" w:name="_Toc10018331"/>
      <w:bookmarkStart w:id="1403" w:name="_Toc10021438"/>
      <w:bookmarkStart w:id="1404" w:name="_Toc10021852"/>
      <w:bookmarkStart w:id="1405" w:name="_Toc12892336"/>
      <w:bookmarkStart w:id="1406" w:name="_Ref536465643"/>
      <w:bookmarkStart w:id="1407" w:name="_Toc536807105"/>
      <w:bookmarkStart w:id="1408" w:name="_Toc536054981"/>
      <w:bookmarkEnd w:id="629"/>
      <w:bookmarkEnd w:id="630"/>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r>
        <w:t>Litter</w:t>
      </w:r>
      <w:bookmarkEnd w:id="1399"/>
      <w:bookmarkEnd w:id="1400"/>
      <w:bookmarkEnd w:id="1401"/>
      <w:bookmarkEnd w:id="1402"/>
      <w:bookmarkEnd w:id="1403"/>
      <w:bookmarkEnd w:id="1404"/>
      <w:bookmarkEnd w:id="1405"/>
    </w:p>
    <w:p w14:paraId="656B08F4" w14:textId="77777777" w:rsidR="00787776" w:rsidRPr="00040A06" w:rsidRDefault="00787776" w:rsidP="00787776">
      <w:pPr>
        <w:mirrorIndents/>
        <w:rPr>
          <w:b/>
          <w:color w:val="808080" w:themeColor="background1" w:themeShade="80"/>
        </w:rPr>
      </w:pPr>
      <w:r w:rsidRPr="0022081C">
        <w:rPr>
          <w:b/>
          <w:color w:val="808080" w:themeColor="background1" w:themeShade="80"/>
        </w:rPr>
        <w:t xml:space="preserve">This chapter assesses </w:t>
      </w:r>
      <w:r w:rsidR="00951DE9">
        <w:rPr>
          <w:b/>
          <w:color w:val="808080" w:themeColor="background1" w:themeShade="80"/>
        </w:rPr>
        <w:t>proposed R</w:t>
      </w:r>
      <w:r w:rsidRPr="0022081C">
        <w:rPr>
          <w:b/>
          <w:color w:val="808080" w:themeColor="background1" w:themeShade="80"/>
        </w:rPr>
        <w:t xml:space="preserve">egulations to </w:t>
      </w:r>
      <w:r w:rsidR="00951DE9" w:rsidRPr="00040A06">
        <w:rPr>
          <w:b/>
          <w:color w:val="808080" w:themeColor="background1" w:themeShade="80"/>
        </w:rPr>
        <w:t>incorporate offences for depositing material that may become litter</w:t>
      </w:r>
      <w:r w:rsidR="00A92F9F">
        <w:rPr>
          <w:b/>
          <w:color w:val="808080" w:themeColor="background1" w:themeShade="80"/>
        </w:rPr>
        <w:t xml:space="preserve">, and damaging litter receptacles. </w:t>
      </w:r>
    </w:p>
    <w:p w14:paraId="656B08F5" w14:textId="77777777" w:rsidR="00787776" w:rsidRDefault="00787776" w:rsidP="00787776">
      <w:pPr>
        <w:mirrorIndents/>
      </w:pPr>
      <w:r w:rsidRPr="00B70E30">
        <w:rPr>
          <w:rFonts w:cs="Segoe UI Light"/>
          <w:noProof/>
          <w:color w:val="2B579A"/>
          <w:shd w:val="clear" w:color="auto" w:fill="E6E6E6"/>
          <w:lang w:eastAsia="en-AU"/>
        </w:rPr>
        <mc:AlternateContent>
          <mc:Choice Requires="wps">
            <w:drawing>
              <wp:inline distT="0" distB="0" distL="0" distR="0" wp14:anchorId="656B1EB6" wp14:editId="656B1EB7">
                <wp:extent cx="5940425" cy="4240020"/>
                <wp:effectExtent l="0" t="0" r="22225" b="27305"/>
                <wp:docPr id="6" name="Rectangle 6"/>
                <wp:cNvGraphicFramePr/>
                <a:graphic xmlns:a="http://schemas.openxmlformats.org/drawingml/2006/main">
                  <a:graphicData uri="http://schemas.microsoft.com/office/word/2010/wordprocessingShape">
                    <wps:wsp>
                      <wps:cNvSpPr/>
                      <wps:spPr bwMode="gray">
                        <a:xfrm>
                          <a:off x="0" y="0"/>
                          <a:ext cx="5940425" cy="4240020"/>
                        </a:xfrm>
                        <a:prstGeom prst="rect">
                          <a:avLst/>
                        </a:prstGeom>
                        <a:solidFill>
                          <a:schemeClr val="bg2"/>
                        </a:solidFill>
                        <a:ln w="19050" algn="ctr">
                          <a:solidFill>
                            <a:srgbClr val="62B5E5"/>
                          </a:solidFill>
                          <a:miter lim="800000"/>
                          <a:headEnd/>
                          <a:tailEnd/>
                        </a:ln>
                      </wps:spPr>
                      <wps:txbx>
                        <w:txbxContent>
                          <w:p w14:paraId="656B21FF" w14:textId="77777777" w:rsidR="00E752DE" w:rsidRPr="007553F2" w:rsidRDefault="00E752DE" w:rsidP="00040A06">
                            <w:pPr>
                              <w:spacing w:after="0"/>
                              <w:ind w:right="262"/>
                              <w:rPr>
                                <w:rFonts w:cs="Segoe UI Light"/>
                                <w:b/>
                                <w:color w:val="FF0000"/>
                              </w:rPr>
                            </w:pPr>
                            <w:r w:rsidRPr="005D5854">
                              <w:rPr>
                                <w:rFonts w:cs="Segoe UI Light"/>
                                <w:b/>
                                <w:color w:val="012169" w:themeColor="accent4"/>
                              </w:rPr>
                              <w:t>Key points:</w:t>
                            </w:r>
                          </w:p>
                          <w:p w14:paraId="656B2200" w14:textId="77777777" w:rsidR="00E752DE" w:rsidRPr="001E1123" w:rsidRDefault="00E752DE" w:rsidP="001E1123">
                            <w:pPr>
                              <w:pStyle w:val="ListParagraph"/>
                              <w:numPr>
                                <w:ilvl w:val="0"/>
                                <w:numId w:val="63"/>
                              </w:numPr>
                              <w:ind w:right="262"/>
                              <w:rPr>
                                <w:rFonts w:cs="Segoe UI Light"/>
                              </w:rPr>
                            </w:pPr>
                            <w:r>
                              <w:rPr>
                                <w:rFonts w:cs="Segoe UI Light"/>
                              </w:rPr>
                              <w:t>Litter is a significant problem that is currently addressed through a range of provisions in the EP Act 1970.</w:t>
                            </w:r>
                          </w:p>
                          <w:p w14:paraId="656B2201" w14:textId="77777777" w:rsidR="00E752DE" w:rsidRPr="001E1123" w:rsidRDefault="00E752DE" w:rsidP="00AE334C">
                            <w:pPr>
                              <w:pStyle w:val="ListParagraph"/>
                              <w:numPr>
                                <w:ilvl w:val="0"/>
                                <w:numId w:val="63"/>
                              </w:numPr>
                              <w:spacing w:after="0"/>
                              <w:ind w:right="262"/>
                              <w:rPr>
                                <w:rFonts w:cs="Segoe UI Light"/>
                              </w:rPr>
                            </w:pPr>
                            <w:r w:rsidRPr="001E1123">
                              <w:rPr>
                                <w:rFonts w:cs="Segoe UI Light"/>
                              </w:rPr>
                              <w:t xml:space="preserve">Litter is a nuisance for households, businesses, and the community, and can result in environmental harm, particularly if litter ends up in waterways. </w:t>
                            </w:r>
                          </w:p>
                          <w:p w14:paraId="656B2202" w14:textId="77777777" w:rsidR="00E752DE" w:rsidRPr="001E1123" w:rsidRDefault="00E752DE" w:rsidP="00AE334C">
                            <w:pPr>
                              <w:numPr>
                                <w:ilvl w:val="0"/>
                                <w:numId w:val="62"/>
                              </w:numPr>
                              <w:spacing w:after="0"/>
                              <w:ind w:right="262"/>
                              <w:contextualSpacing/>
                              <w:textboxTightWrap w:val="allLines"/>
                              <w:rPr>
                                <w:rFonts w:cs="Segoe UI Light"/>
                              </w:rPr>
                            </w:pPr>
                            <w:r w:rsidRPr="001E1123">
                              <w:rPr>
                                <w:rFonts w:cs="Segoe UI Light"/>
                              </w:rPr>
                              <w:t>The GED and new EP legislation are, collectively, likely to address a significant portion of the overall problem of litter in Victoria. However, some residual risk remains in relation to the risks of harm to human health and the environment caused by litter, as the new EP legislation does not provide controls relating to:</w:t>
                            </w:r>
                          </w:p>
                          <w:p w14:paraId="656B2203" w14:textId="77777777" w:rsidR="00E752DE" w:rsidRPr="001E1123" w:rsidRDefault="00E752DE" w:rsidP="00AE334C">
                            <w:pPr>
                              <w:numPr>
                                <w:ilvl w:val="0"/>
                                <w:numId w:val="229"/>
                              </w:numPr>
                              <w:spacing w:after="0"/>
                              <w:ind w:left="993" w:right="262" w:hanging="284"/>
                              <w:contextualSpacing/>
                              <w:textboxTightWrap w:val="allLines"/>
                              <w:rPr>
                                <w:rFonts w:cs="Segoe UI Light"/>
                              </w:rPr>
                            </w:pPr>
                            <w:r>
                              <w:rPr>
                                <w:rFonts w:cs="Segoe UI Light"/>
                              </w:rPr>
                              <w:t>P</w:t>
                            </w:r>
                            <w:r w:rsidRPr="001E1123">
                              <w:rPr>
                                <w:rFonts w:cs="Segoe UI Light"/>
                              </w:rPr>
                              <w:t>reventing the creation of litter, through controls on materials likely to become litter, such as unsolicited material intended for delivery to private premises, leaflets placed on vehicles and bill posting.</w:t>
                            </w:r>
                          </w:p>
                          <w:p w14:paraId="656B2204" w14:textId="77777777" w:rsidR="00E752DE" w:rsidRPr="001E1123" w:rsidRDefault="00E752DE" w:rsidP="00AE334C">
                            <w:pPr>
                              <w:numPr>
                                <w:ilvl w:val="0"/>
                                <w:numId w:val="229"/>
                              </w:numPr>
                              <w:spacing w:after="0"/>
                              <w:ind w:left="993" w:right="262" w:hanging="284"/>
                              <w:contextualSpacing/>
                              <w:textboxTightWrap w:val="allLines"/>
                              <w:rPr>
                                <w:rFonts w:cs="Segoe UI Light"/>
                              </w:rPr>
                            </w:pPr>
                            <w:r>
                              <w:rPr>
                                <w:rFonts w:cs="Segoe UI Light"/>
                              </w:rPr>
                              <w:t>D</w:t>
                            </w:r>
                            <w:r w:rsidRPr="001E1123">
                              <w:rPr>
                                <w:rFonts w:cs="Segoe UI Light"/>
                              </w:rPr>
                              <w:t>amage to litter receptacles.</w:t>
                            </w:r>
                            <w:r w:rsidRPr="001E1123" w:rsidDel="0000582A">
                              <w:rPr>
                                <w:rFonts w:cs="Segoe UI Light"/>
                              </w:rPr>
                              <w:t xml:space="preserve"> </w:t>
                            </w:r>
                          </w:p>
                          <w:p w14:paraId="656B2205" w14:textId="77777777" w:rsidR="00E752DE" w:rsidRDefault="00E752DE" w:rsidP="00AE334C">
                            <w:pPr>
                              <w:pStyle w:val="ListParagraph"/>
                              <w:numPr>
                                <w:ilvl w:val="0"/>
                                <w:numId w:val="63"/>
                              </w:numPr>
                              <w:spacing w:after="0"/>
                              <w:ind w:right="262"/>
                              <w:rPr>
                                <w:rFonts w:cs="Segoe UI Light"/>
                              </w:rPr>
                            </w:pPr>
                            <w:r w:rsidRPr="009E3BC2">
                              <w:rPr>
                                <w:rFonts w:cs="Segoe UI Light"/>
                              </w:rPr>
                              <w:t xml:space="preserve">While these are not common offences, anecdotal evidence </w:t>
                            </w:r>
                            <w:r>
                              <w:rPr>
                                <w:rFonts w:cs="Segoe UI Light"/>
                              </w:rPr>
                              <w:t xml:space="preserve">collected </w:t>
                            </w:r>
                            <w:r w:rsidRPr="009E3BC2">
                              <w:rPr>
                                <w:rFonts w:cs="Segoe UI Light"/>
                              </w:rPr>
                              <w:t xml:space="preserve">from </w:t>
                            </w:r>
                            <w:r>
                              <w:rPr>
                                <w:rFonts w:cs="Segoe UI Light"/>
                              </w:rPr>
                              <w:t>local c</w:t>
                            </w:r>
                            <w:r w:rsidRPr="009E3BC2">
                              <w:rPr>
                                <w:rFonts w:cs="Segoe UI Light"/>
                              </w:rPr>
                              <w:t xml:space="preserve">ouncils </w:t>
                            </w:r>
                            <w:r>
                              <w:rPr>
                                <w:rFonts w:cs="Segoe UI Light"/>
                              </w:rPr>
                              <w:t>via consultation for this RIS</w:t>
                            </w:r>
                            <w:r w:rsidRPr="009E3BC2">
                              <w:rPr>
                                <w:rFonts w:cs="Segoe UI Light"/>
                              </w:rPr>
                              <w:t xml:space="preserve"> suggest</w:t>
                            </w:r>
                            <w:r>
                              <w:rPr>
                                <w:rFonts w:cs="Segoe UI Light"/>
                              </w:rPr>
                              <w:t>s</w:t>
                            </w:r>
                            <w:r w:rsidRPr="009E3BC2">
                              <w:rPr>
                                <w:rFonts w:cs="Segoe UI Light"/>
                              </w:rPr>
                              <w:t xml:space="preserve"> that </w:t>
                            </w:r>
                            <w:r>
                              <w:rPr>
                                <w:rFonts w:cs="Segoe UI Light"/>
                              </w:rPr>
                              <w:t xml:space="preserve">existing </w:t>
                            </w:r>
                            <w:r w:rsidRPr="009E3BC2">
                              <w:rPr>
                                <w:rFonts w:cs="Segoe UI Light"/>
                              </w:rPr>
                              <w:t>laws</w:t>
                            </w:r>
                            <w:r>
                              <w:rPr>
                                <w:rFonts w:cs="Segoe UI Light"/>
                              </w:rPr>
                              <w:t xml:space="preserve"> under the EP Act 1970 </w:t>
                            </w:r>
                            <w:r w:rsidRPr="009E3BC2">
                              <w:rPr>
                                <w:rFonts w:cs="Segoe UI Light"/>
                              </w:rPr>
                              <w:t>have proven</w:t>
                            </w:r>
                            <w:r>
                              <w:rPr>
                                <w:rFonts w:cs="Segoe UI Light"/>
                              </w:rPr>
                              <w:t>, on occasions,</w:t>
                            </w:r>
                            <w:r w:rsidRPr="009E3BC2">
                              <w:rPr>
                                <w:rFonts w:cs="Segoe UI Light"/>
                              </w:rPr>
                              <w:t xml:space="preserve"> to be effective in (1) deterring individuals from depositing materials that may become litter, (2) recovering clean-up costs that would otherwise be incurred by taxpayers/ratepayers, and (3) compelling those responsible to clean up items that have (or may become) litter to avoid a penalty. </w:t>
                            </w:r>
                          </w:p>
                          <w:p w14:paraId="656B2206" w14:textId="77777777" w:rsidR="00E752DE" w:rsidRPr="00C624E0" w:rsidRDefault="00E752DE" w:rsidP="004A2442">
                            <w:pPr>
                              <w:pStyle w:val="ListParagraph"/>
                              <w:numPr>
                                <w:ilvl w:val="0"/>
                                <w:numId w:val="63"/>
                              </w:numPr>
                              <w:ind w:right="262"/>
                            </w:pPr>
                            <w:r>
                              <w:rPr>
                                <w:rFonts w:cs="Segoe UI Light"/>
                              </w:rPr>
                              <w:t xml:space="preserve">The preferred option to address this residual risk is to incorporate offences for depositing </w:t>
                            </w:r>
                            <w:r w:rsidRPr="00580822">
                              <w:rPr>
                                <w:rFonts w:cs="Segoe UI Light"/>
                              </w:rPr>
                              <w:t>material that may become litter</w:t>
                            </w:r>
                            <w:r>
                              <w:rPr>
                                <w:rFonts w:cs="Segoe UI Light"/>
                              </w:rPr>
                              <w:t>, and for damaging litter receptacles.</w:t>
                            </w:r>
                          </w:p>
                          <w:p w14:paraId="656B2207" w14:textId="77777777" w:rsidR="00E752DE" w:rsidRPr="009E3BC2" w:rsidRDefault="00E752DE" w:rsidP="009D2BC0">
                            <w:pPr>
                              <w:pStyle w:val="ListParagraph"/>
                              <w:numPr>
                                <w:ilvl w:val="0"/>
                                <w:numId w:val="63"/>
                              </w:numPr>
                              <w:ind w:right="262"/>
                              <w:rPr>
                                <w:rFonts w:cs="Segoe UI Light"/>
                              </w:rPr>
                            </w:pPr>
                            <w:r>
                              <w:rPr>
                                <w:rFonts w:cs="Segoe UI Light"/>
                              </w:rPr>
                              <w:t xml:space="preserve">Introducing these offences in regulations will not pose a significant extra cost or burden on enforcement authorities, but will </w:t>
                            </w:r>
                            <w:r>
                              <w:t xml:space="preserve">maintain the existing suite of offences that litter authorities can use. </w:t>
                            </w:r>
                          </w:p>
                          <w:p w14:paraId="656B2208" w14:textId="77777777" w:rsidR="00E752DE" w:rsidRDefault="00E752DE" w:rsidP="004A2442">
                            <w:pPr>
                              <w:pStyle w:val="ListParagraph"/>
                              <w:numPr>
                                <w:ilvl w:val="0"/>
                                <w:numId w:val="63"/>
                              </w:numPr>
                              <w:ind w:right="262"/>
                            </w:pP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56B1EB6" id="Rectangle 6" o:spid="_x0000_s1073" style="width:467.75pt;height:333.85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" fillcolor="#e7e6e6 [3214]" strokecolor="#62b5e5" strokeweight="1.5pt">
                <v:textbox inset="7pt,7pt,7pt,7pt">
                  <w:txbxContent>
                    <w:p w14:paraId="656B21FF" w14:textId="77777777" w:rsidR="00E752DE" w:rsidRPr="007553F2" w:rsidRDefault="00E752DE" w:rsidP="00040A06">
                      <w:pPr>
                        <w:spacing w:after="0"/>
                        <w:ind w:right="262"/>
                        <w:rPr>
                          <w:rFonts w:cs="Segoe UI Light"/>
                          <w:b/>
                          <w:color w:val="FF0000"/>
                        </w:rPr>
                      </w:pPr>
                      <w:r w:rsidRPr="005D5854">
                        <w:rPr>
                          <w:rFonts w:cs="Segoe UI Light"/>
                          <w:b/>
                          <w:color w:val="012169" w:themeColor="accent4"/>
                        </w:rPr>
                        <w:t>Key points:</w:t>
                      </w:r>
                    </w:p>
                    <w:p w14:paraId="656B2200" w14:textId="77777777" w:rsidR="00E752DE" w:rsidRPr="001E1123" w:rsidRDefault="00E752DE" w:rsidP="001E1123">
                      <w:pPr>
                        <w:pStyle w:val="ListParagraph"/>
                        <w:numPr>
                          <w:ilvl w:val="0"/>
                          <w:numId w:val="63"/>
                        </w:numPr>
                        <w:ind w:right="262"/>
                        <w:rPr>
                          <w:rFonts w:cs="Segoe UI Light"/>
                        </w:rPr>
                      </w:pPr>
                      <w:r>
                        <w:rPr>
                          <w:rFonts w:cs="Segoe UI Light"/>
                        </w:rPr>
                        <w:t>Litter is a significant problem that is currently addressed through a range of provisions in the EP Act 1970.</w:t>
                      </w:r>
                    </w:p>
                    <w:p w14:paraId="656B2201" w14:textId="77777777" w:rsidR="00E752DE" w:rsidRPr="001E1123" w:rsidRDefault="00E752DE" w:rsidP="00AE334C">
                      <w:pPr>
                        <w:pStyle w:val="ListParagraph"/>
                        <w:numPr>
                          <w:ilvl w:val="0"/>
                          <w:numId w:val="63"/>
                        </w:numPr>
                        <w:spacing w:after="0"/>
                        <w:ind w:right="262"/>
                        <w:rPr>
                          <w:rFonts w:cs="Segoe UI Light"/>
                        </w:rPr>
                      </w:pPr>
                      <w:r w:rsidRPr="001E1123">
                        <w:rPr>
                          <w:rFonts w:cs="Segoe UI Light"/>
                        </w:rPr>
                        <w:t xml:space="preserve">Litter is a nuisance for households, businesses, and the community, and can result in environmental harm, particularly if litter ends up in waterways. </w:t>
                      </w:r>
                    </w:p>
                    <w:p w14:paraId="656B2202" w14:textId="77777777" w:rsidR="00E752DE" w:rsidRPr="001E1123" w:rsidRDefault="00E752DE" w:rsidP="00AE334C">
                      <w:pPr>
                        <w:numPr>
                          <w:ilvl w:val="0"/>
                          <w:numId w:val="62"/>
                        </w:numPr>
                        <w:spacing w:after="0"/>
                        <w:ind w:right="262"/>
                        <w:contextualSpacing/>
                        <w:textboxTightWrap w:val="allLines"/>
                        <w:rPr>
                          <w:rFonts w:cs="Segoe UI Light"/>
                        </w:rPr>
                      </w:pPr>
                      <w:r w:rsidRPr="001E1123">
                        <w:rPr>
                          <w:rFonts w:cs="Segoe UI Light"/>
                        </w:rPr>
                        <w:t>The GED and new EP legislation are, collectively, likely to address a significant portion of the overall problem of litter in Victoria. However, some residual risk remains in relation to the risks of harm to human health and the environment caused by litter, as the new EP legislation does not provide controls relating to:</w:t>
                      </w:r>
                    </w:p>
                    <w:p w14:paraId="656B2203" w14:textId="77777777" w:rsidR="00E752DE" w:rsidRPr="001E1123" w:rsidRDefault="00E752DE" w:rsidP="00AE334C">
                      <w:pPr>
                        <w:numPr>
                          <w:ilvl w:val="0"/>
                          <w:numId w:val="229"/>
                        </w:numPr>
                        <w:spacing w:after="0"/>
                        <w:ind w:left="993" w:right="262" w:hanging="284"/>
                        <w:contextualSpacing/>
                        <w:textboxTightWrap w:val="allLines"/>
                        <w:rPr>
                          <w:rFonts w:cs="Segoe UI Light"/>
                        </w:rPr>
                      </w:pPr>
                      <w:r>
                        <w:rPr>
                          <w:rFonts w:cs="Segoe UI Light"/>
                        </w:rPr>
                        <w:t>P</w:t>
                      </w:r>
                      <w:r w:rsidRPr="001E1123">
                        <w:rPr>
                          <w:rFonts w:cs="Segoe UI Light"/>
                        </w:rPr>
                        <w:t>reventing the creation of litter, through controls on materials likely to become litter, such as unsolicited material intended for delivery to private premises, leaflets placed on vehicles and bill posting.</w:t>
                      </w:r>
                    </w:p>
                    <w:p w14:paraId="656B2204" w14:textId="77777777" w:rsidR="00E752DE" w:rsidRPr="001E1123" w:rsidRDefault="00E752DE" w:rsidP="00AE334C">
                      <w:pPr>
                        <w:numPr>
                          <w:ilvl w:val="0"/>
                          <w:numId w:val="229"/>
                        </w:numPr>
                        <w:spacing w:after="0"/>
                        <w:ind w:left="993" w:right="262" w:hanging="284"/>
                        <w:contextualSpacing/>
                        <w:textboxTightWrap w:val="allLines"/>
                        <w:rPr>
                          <w:rFonts w:cs="Segoe UI Light"/>
                        </w:rPr>
                      </w:pPr>
                      <w:r>
                        <w:rPr>
                          <w:rFonts w:cs="Segoe UI Light"/>
                        </w:rPr>
                        <w:t>D</w:t>
                      </w:r>
                      <w:r w:rsidRPr="001E1123">
                        <w:rPr>
                          <w:rFonts w:cs="Segoe UI Light"/>
                        </w:rPr>
                        <w:t>amage to litter receptacles.</w:t>
                      </w:r>
                      <w:r w:rsidRPr="001E1123" w:rsidDel="0000582A">
                        <w:rPr>
                          <w:rFonts w:cs="Segoe UI Light"/>
                        </w:rPr>
                        <w:t xml:space="preserve"> </w:t>
                      </w:r>
                    </w:p>
                    <w:p w14:paraId="656B2205" w14:textId="77777777" w:rsidR="00E752DE" w:rsidRDefault="00E752DE" w:rsidP="00AE334C">
                      <w:pPr>
                        <w:pStyle w:val="ListParagraph"/>
                        <w:numPr>
                          <w:ilvl w:val="0"/>
                          <w:numId w:val="63"/>
                        </w:numPr>
                        <w:spacing w:after="0"/>
                        <w:ind w:right="262"/>
                        <w:rPr>
                          <w:rFonts w:cs="Segoe UI Light"/>
                        </w:rPr>
                      </w:pPr>
                      <w:r w:rsidRPr="009E3BC2">
                        <w:rPr>
                          <w:rFonts w:cs="Segoe UI Light"/>
                        </w:rPr>
                        <w:t xml:space="preserve">While these are not common offences, anecdotal evidence </w:t>
                      </w:r>
                      <w:r>
                        <w:rPr>
                          <w:rFonts w:cs="Segoe UI Light"/>
                        </w:rPr>
                        <w:t xml:space="preserve">collected </w:t>
                      </w:r>
                      <w:r w:rsidRPr="009E3BC2">
                        <w:rPr>
                          <w:rFonts w:cs="Segoe UI Light"/>
                        </w:rPr>
                        <w:t xml:space="preserve">from </w:t>
                      </w:r>
                      <w:r>
                        <w:rPr>
                          <w:rFonts w:cs="Segoe UI Light"/>
                        </w:rPr>
                        <w:t>local c</w:t>
                      </w:r>
                      <w:r w:rsidRPr="009E3BC2">
                        <w:rPr>
                          <w:rFonts w:cs="Segoe UI Light"/>
                        </w:rPr>
                        <w:t xml:space="preserve">ouncils </w:t>
                      </w:r>
                      <w:r>
                        <w:rPr>
                          <w:rFonts w:cs="Segoe UI Light"/>
                        </w:rPr>
                        <w:t>via consultation for this RIS</w:t>
                      </w:r>
                      <w:r w:rsidRPr="009E3BC2">
                        <w:rPr>
                          <w:rFonts w:cs="Segoe UI Light"/>
                        </w:rPr>
                        <w:t xml:space="preserve"> suggest</w:t>
                      </w:r>
                      <w:r>
                        <w:rPr>
                          <w:rFonts w:cs="Segoe UI Light"/>
                        </w:rPr>
                        <w:t>s</w:t>
                      </w:r>
                      <w:r w:rsidRPr="009E3BC2">
                        <w:rPr>
                          <w:rFonts w:cs="Segoe UI Light"/>
                        </w:rPr>
                        <w:t xml:space="preserve"> that </w:t>
                      </w:r>
                      <w:r>
                        <w:rPr>
                          <w:rFonts w:cs="Segoe UI Light"/>
                        </w:rPr>
                        <w:t xml:space="preserve">existing </w:t>
                      </w:r>
                      <w:r w:rsidRPr="009E3BC2">
                        <w:rPr>
                          <w:rFonts w:cs="Segoe UI Light"/>
                        </w:rPr>
                        <w:t>laws</w:t>
                      </w:r>
                      <w:r>
                        <w:rPr>
                          <w:rFonts w:cs="Segoe UI Light"/>
                        </w:rPr>
                        <w:t xml:space="preserve"> under the EP Act 1970 </w:t>
                      </w:r>
                      <w:r w:rsidRPr="009E3BC2">
                        <w:rPr>
                          <w:rFonts w:cs="Segoe UI Light"/>
                        </w:rPr>
                        <w:t>have proven</w:t>
                      </w:r>
                      <w:r>
                        <w:rPr>
                          <w:rFonts w:cs="Segoe UI Light"/>
                        </w:rPr>
                        <w:t>, on occasions,</w:t>
                      </w:r>
                      <w:r w:rsidRPr="009E3BC2">
                        <w:rPr>
                          <w:rFonts w:cs="Segoe UI Light"/>
                        </w:rPr>
                        <w:t xml:space="preserve"> to be effective in (1) deterring individuals from depositing materials that may become litter, (2) recovering clean-up costs that would otherwise be incurred by taxpayers/ratepayers, and (3) compelling those responsible to clean up items that have (or may become) litter to avoid a penalty. </w:t>
                      </w:r>
                    </w:p>
                    <w:p w14:paraId="656B2206" w14:textId="77777777" w:rsidR="00E752DE" w:rsidRPr="00C624E0" w:rsidRDefault="00E752DE" w:rsidP="004A2442">
                      <w:pPr>
                        <w:pStyle w:val="ListParagraph"/>
                        <w:numPr>
                          <w:ilvl w:val="0"/>
                          <w:numId w:val="63"/>
                        </w:numPr>
                        <w:ind w:right="262"/>
                      </w:pPr>
                      <w:r>
                        <w:rPr>
                          <w:rFonts w:cs="Segoe UI Light"/>
                        </w:rPr>
                        <w:t xml:space="preserve">The preferred option to address this residual risk is to incorporate offences for depositing </w:t>
                      </w:r>
                      <w:r w:rsidRPr="00580822">
                        <w:rPr>
                          <w:rFonts w:cs="Segoe UI Light"/>
                        </w:rPr>
                        <w:t>material that may become litter</w:t>
                      </w:r>
                      <w:r>
                        <w:rPr>
                          <w:rFonts w:cs="Segoe UI Light"/>
                        </w:rPr>
                        <w:t>, and for damaging litter receptacles.</w:t>
                      </w:r>
                    </w:p>
                    <w:p w14:paraId="656B2207" w14:textId="77777777" w:rsidR="00E752DE" w:rsidRPr="009E3BC2" w:rsidRDefault="00E752DE" w:rsidP="009D2BC0">
                      <w:pPr>
                        <w:pStyle w:val="ListParagraph"/>
                        <w:numPr>
                          <w:ilvl w:val="0"/>
                          <w:numId w:val="63"/>
                        </w:numPr>
                        <w:ind w:right="262"/>
                        <w:rPr>
                          <w:rFonts w:cs="Segoe UI Light"/>
                        </w:rPr>
                      </w:pPr>
                      <w:r>
                        <w:rPr>
                          <w:rFonts w:cs="Segoe UI Light"/>
                        </w:rPr>
                        <w:t xml:space="preserve">Introducing these offences in regulations will not pose a significant extra cost or burden on enforcement authorities, but will </w:t>
                      </w:r>
                      <w:r>
                        <w:t xml:space="preserve">maintain the existing suite of offences that litter authorities can use. </w:t>
                      </w:r>
                    </w:p>
                    <w:p w14:paraId="656B2208" w14:textId="77777777" w:rsidR="00E752DE" w:rsidRDefault="00E752DE" w:rsidP="004A2442">
                      <w:pPr>
                        <w:pStyle w:val="ListParagraph"/>
                        <w:numPr>
                          <w:ilvl w:val="0"/>
                          <w:numId w:val="63"/>
                        </w:numPr>
                        <w:ind w:right="262"/>
                      </w:pPr>
                    </w:p>
                  </w:txbxContent>
                </v:textbox>
                <w10:anchorlock/>
              </v:rect>
            </w:pict>
          </mc:Fallback>
        </mc:AlternateContent>
      </w:r>
    </w:p>
    <w:p w14:paraId="656B08F6" w14:textId="77777777" w:rsidR="00787776" w:rsidRPr="001922B1" w:rsidRDefault="00787776" w:rsidP="00982D63">
      <w:pPr>
        <w:pStyle w:val="Heading2"/>
      </w:pPr>
      <w:r>
        <w:t>Background</w:t>
      </w:r>
    </w:p>
    <w:p w14:paraId="656B08F7" w14:textId="77777777" w:rsidR="00173E3B" w:rsidRPr="00E67912" w:rsidRDefault="005D2C6E" w:rsidP="005D2C6E">
      <w:r>
        <w:t>Unlawful depositing of l</w:t>
      </w:r>
      <w:r w:rsidRPr="0009371E">
        <w:t xml:space="preserve">itter </w:t>
      </w:r>
      <w:r>
        <w:t xml:space="preserve">(which is defined by the EP </w:t>
      </w:r>
      <w:r w:rsidR="6B530617">
        <w:t xml:space="preserve">Amendment </w:t>
      </w:r>
      <w:r>
        <w:t xml:space="preserve">Act </w:t>
      </w:r>
      <w:r w:rsidR="6B530617">
        <w:t xml:space="preserve">2018 </w:t>
      </w:r>
      <w:r>
        <w:t xml:space="preserve">as a quantity of waste that does not exceed 50 litres) </w:t>
      </w:r>
      <w:r w:rsidRPr="0009371E">
        <w:t>is</w:t>
      </w:r>
      <w:r>
        <w:t xml:space="preserve"> a highly visible problem that impacts </w:t>
      </w:r>
      <w:r w:rsidRPr="0009371E">
        <w:t xml:space="preserve">the environment and the community. </w:t>
      </w:r>
    </w:p>
    <w:p w14:paraId="656B08F8" w14:textId="77777777" w:rsidR="005D2C6E" w:rsidRDefault="005D2C6E" w:rsidP="00982D63">
      <w:pPr>
        <w:pStyle w:val="Heading2"/>
      </w:pPr>
      <w:r>
        <w:t>Current legislative and regulatory framework</w:t>
      </w:r>
    </w:p>
    <w:p w14:paraId="656B08F9" w14:textId="77777777" w:rsidR="005D2C6E" w:rsidRDefault="005D2C6E" w:rsidP="005D2C6E">
      <w:r>
        <w:t>The</w:t>
      </w:r>
      <w:r w:rsidRPr="00040A06">
        <w:t xml:space="preserve"> EP Act 1970</w:t>
      </w:r>
      <w:r>
        <w:t xml:space="preserve"> includes a range of provisions relating to litter and material that may become litter. These include: </w:t>
      </w:r>
    </w:p>
    <w:p w14:paraId="656B08FA" w14:textId="77777777" w:rsidR="005D2C6E" w:rsidRPr="00E10EB2" w:rsidRDefault="005D2C6E" w:rsidP="004A2442">
      <w:pPr>
        <w:pStyle w:val="ListParagraph"/>
        <w:numPr>
          <w:ilvl w:val="0"/>
          <w:numId w:val="26"/>
        </w:numPr>
        <w:spacing w:after="0"/>
        <w:rPr>
          <w:rFonts w:cs="Segoe UI Light"/>
          <w:szCs w:val="20"/>
        </w:rPr>
      </w:pPr>
      <w:r w:rsidRPr="00E10EB2">
        <w:rPr>
          <w:rFonts w:cs="Segoe UI Light"/>
          <w:szCs w:val="20"/>
        </w:rPr>
        <w:t>Section 45E - Deposit of litter generally</w:t>
      </w:r>
    </w:p>
    <w:p w14:paraId="656B08FB" w14:textId="77777777" w:rsidR="005D2C6E" w:rsidRPr="00E10EB2" w:rsidRDefault="005D2C6E" w:rsidP="004A2442">
      <w:pPr>
        <w:pStyle w:val="ListParagraph"/>
        <w:numPr>
          <w:ilvl w:val="0"/>
          <w:numId w:val="26"/>
        </w:numPr>
        <w:spacing w:after="0"/>
        <w:rPr>
          <w:rFonts w:cs="Segoe UI Light"/>
          <w:szCs w:val="20"/>
        </w:rPr>
      </w:pPr>
      <w:r w:rsidRPr="00E10EB2">
        <w:rPr>
          <w:rFonts w:cs="Segoe UI Light"/>
          <w:szCs w:val="20"/>
        </w:rPr>
        <w:t>Section 45F - Aggravated littering</w:t>
      </w:r>
    </w:p>
    <w:p w14:paraId="656B08FC" w14:textId="77777777" w:rsidR="005D2C6E" w:rsidRPr="00E10EB2" w:rsidRDefault="005D2C6E" w:rsidP="004A2442">
      <w:pPr>
        <w:pStyle w:val="ListParagraph"/>
        <w:numPr>
          <w:ilvl w:val="0"/>
          <w:numId w:val="26"/>
        </w:numPr>
        <w:spacing w:after="0"/>
        <w:rPr>
          <w:rFonts w:cs="Segoe UI Light"/>
          <w:szCs w:val="20"/>
        </w:rPr>
      </w:pPr>
      <w:r w:rsidRPr="00E10EB2">
        <w:rPr>
          <w:rFonts w:cs="Segoe UI Light"/>
          <w:szCs w:val="20"/>
        </w:rPr>
        <w:t xml:space="preserve">Section 45G - Owners, drivers etc. of vehicles from which </w:t>
      </w:r>
      <w:hyperlink r:id="rId51" w:anchor="litter" w:history="1">
        <w:r w:rsidRPr="00E10EB2">
          <w:rPr>
            <w:rFonts w:cs="Segoe UI Light"/>
            <w:szCs w:val="20"/>
          </w:rPr>
          <w:t>litter</w:t>
        </w:r>
      </w:hyperlink>
      <w:r w:rsidRPr="00E10EB2">
        <w:rPr>
          <w:rFonts w:cs="Segoe UI Light"/>
          <w:szCs w:val="20"/>
        </w:rPr>
        <w:t xml:space="preserve"> </w:t>
      </w:r>
      <w:hyperlink r:id="rId52" w:anchor="deposit" w:history="1">
        <w:r w:rsidRPr="00E10EB2">
          <w:rPr>
            <w:rFonts w:cs="Segoe UI Light"/>
            <w:szCs w:val="20"/>
          </w:rPr>
          <w:t>deposited</w:t>
        </w:r>
      </w:hyperlink>
      <w:r w:rsidRPr="00E10EB2">
        <w:rPr>
          <w:rFonts w:cs="Segoe UI Light"/>
          <w:szCs w:val="20"/>
        </w:rPr>
        <w:t xml:space="preserve"> liable for </w:t>
      </w:r>
      <w:hyperlink r:id="rId53" w:anchor="litter" w:history="1">
        <w:r w:rsidRPr="00E10EB2">
          <w:rPr>
            <w:rFonts w:cs="Segoe UI Light"/>
            <w:szCs w:val="20"/>
          </w:rPr>
          <w:t>littering</w:t>
        </w:r>
      </w:hyperlink>
      <w:r w:rsidRPr="00E10EB2">
        <w:rPr>
          <w:rFonts w:cs="Segoe UI Light"/>
          <w:szCs w:val="20"/>
        </w:rPr>
        <w:t xml:space="preserve">  </w:t>
      </w:r>
    </w:p>
    <w:p w14:paraId="656B08FD" w14:textId="77777777" w:rsidR="005D2C6E" w:rsidRPr="00E10EB2" w:rsidRDefault="005D2C6E" w:rsidP="004A2442">
      <w:pPr>
        <w:pStyle w:val="ListParagraph"/>
        <w:numPr>
          <w:ilvl w:val="0"/>
          <w:numId w:val="26"/>
        </w:numPr>
        <w:spacing w:after="0"/>
        <w:rPr>
          <w:rFonts w:cs="Segoe UI Light"/>
          <w:szCs w:val="20"/>
        </w:rPr>
      </w:pPr>
      <w:r w:rsidRPr="00E10EB2">
        <w:rPr>
          <w:rFonts w:cs="Segoe UI Light"/>
          <w:szCs w:val="20"/>
        </w:rPr>
        <w:t>Section 45L - Unsolicited documents must be put in mailboxes etc</w:t>
      </w:r>
      <w:r w:rsidR="00DC7A63">
        <w:rPr>
          <w:rFonts w:cs="Segoe UI Light"/>
          <w:szCs w:val="20"/>
        </w:rPr>
        <w:t xml:space="preserve">. </w:t>
      </w:r>
    </w:p>
    <w:p w14:paraId="656B08FE" w14:textId="77777777" w:rsidR="005D2C6E" w:rsidRPr="00E10EB2" w:rsidRDefault="005D2C6E" w:rsidP="004A2442">
      <w:pPr>
        <w:pStyle w:val="ListParagraph"/>
        <w:numPr>
          <w:ilvl w:val="0"/>
          <w:numId w:val="26"/>
        </w:numPr>
        <w:spacing w:after="0"/>
        <w:rPr>
          <w:rFonts w:cs="Segoe UI Light"/>
          <w:szCs w:val="20"/>
        </w:rPr>
      </w:pPr>
      <w:r w:rsidRPr="00E10EB2">
        <w:rPr>
          <w:rFonts w:cs="Segoe UI Light"/>
          <w:szCs w:val="20"/>
        </w:rPr>
        <w:t>Section 45M - Advertising material not to be deposited in certain mailboxes</w:t>
      </w:r>
    </w:p>
    <w:p w14:paraId="656B08FF" w14:textId="77777777" w:rsidR="005D2C6E" w:rsidRPr="00E10EB2" w:rsidRDefault="005D2C6E" w:rsidP="004A2442">
      <w:pPr>
        <w:pStyle w:val="ListParagraph"/>
        <w:numPr>
          <w:ilvl w:val="0"/>
          <w:numId w:val="26"/>
        </w:numPr>
        <w:spacing w:after="0"/>
        <w:rPr>
          <w:rFonts w:cs="Segoe UI Light"/>
          <w:szCs w:val="20"/>
        </w:rPr>
      </w:pPr>
      <w:r w:rsidRPr="00E10EB2">
        <w:rPr>
          <w:rFonts w:cs="Segoe UI Light"/>
          <w:szCs w:val="20"/>
        </w:rPr>
        <w:t>Section 45N - Leaflets etc. not to be placed on vehicles</w:t>
      </w:r>
    </w:p>
    <w:p w14:paraId="656B0900" w14:textId="77777777" w:rsidR="005D2C6E" w:rsidRPr="00E10EB2" w:rsidRDefault="005D2C6E" w:rsidP="004A2442">
      <w:pPr>
        <w:pStyle w:val="ListParagraph"/>
        <w:numPr>
          <w:ilvl w:val="0"/>
          <w:numId w:val="26"/>
        </w:numPr>
        <w:spacing w:after="0"/>
        <w:rPr>
          <w:rFonts w:cs="Segoe UI Light"/>
          <w:szCs w:val="20"/>
        </w:rPr>
      </w:pPr>
      <w:r w:rsidRPr="00E10EB2">
        <w:rPr>
          <w:rFonts w:cs="Segoe UI Light"/>
          <w:szCs w:val="20"/>
        </w:rPr>
        <w:t>Section 45O - Bill posting not to occur without consent</w:t>
      </w:r>
    </w:p>
    <w:p w14:paraId="656B0901" w14:textId="77777777" w:rsidR="005D2C6E" w:rsidRPr="00E10EB2" w:rsidRDefault="005D2C6E" w:rsidP="004A2442">
      <w:pPr>
        <w:pStyle w:val="ListParagraph"/>
        <w:numPr>
          <w:ilvl w:val="0"/>
          <w:numId w:val="26"/>
        </w:numPr>
        <w:spacing w:after="0"/>
        <w:rPr>
          <w:rFonts w:cs="Segoe UI Light"/>
          <w:szCs w:val="20"/>
        </w:rPr>
      </w:pPr>
      <w:r w:rsidRPr="00E10EB2">
        <w:rPr>
          <w:rFonts w:cs="Segoe UI Light"/>
          <w:szCs w:val="20"/>
        </w:rPr>
        <w:t xml:space="preserve">Section 45P - Advertiser must disclose name of distributor  </w:t>
      </w:r>
    </w:p>
    <w:p w14:paraId="656B0902" w14:textId="77777777" w:rsidR="005D2C6E" w:rsidRPr="00E10EB2" w:rsidRDefault="005D2C6E" w:rsidP="004A2442">
      <w:pPr>
        <w:pStyle w:val="ListParagraph"/>
        <w:numPr>
          <w:ilvl w:val="0"/>
          <w:numId w:val="26"/>
        </w:numPr>
        <w:spacing w:after="0"/>
        <w:rPr>
          <w:rFonts w:cs="Segoe UI Light"/>
          <w:szCs w:val="20"/>
        </w:rPr>
      </w:pPr>
      <w:r w:rsidRPr="00E10EB2">
        <w:rPr>
          <w:rFonts w:cs="Segoe UI Light"/>
          <w:szCs w:val="20"/>
        </w:rPr>
        <w:t xml:space="preserve">Section 45Q - Distributor must disclose name of depositor  </w:t>
      </w:r>
    </w:p>
    <w:p w14:paraId="656B0903" w14:textId="77777777" w:rsidR="005D2C6E" w:rsidRPr="00E10EB2" w:rsidRDefault="005D2C6E" w:rsidP="004A2442">
      <w:pPr>
        <w:pStyle w:val="ListParagraph"/>
        <w:numPr>
          <w:ilvl w:val="0"/>
          <w:numId w:val="26"/>
        </w:numPr>
        <w:spacing w:after="0"/>
        <w:rPr>
          <w:rFonts w:cs="Segoe UI Light"/>
          <w:szCs w:val="20"/>
        </w:rPr>
      </w:pPr>
      <w:r w:rsidRPr="00E10EB2">
        <w:rPr>
          <w:rFonts w:cs="Segoe UI Light"/>
          <w:szCs w:val="20"/>
        </w:rPr>
        <w:t>Section 45R - Person who commissions document must ensure that it does not become litter</w:t>
      </w:r>
    </w:p>
    <w:p w14:paraId="656B0904" w14:textId="77777777" w:rsidR="005D2C6E" w:rsidRPr="00E10EB2" w:rsidRDefault="005D2C6E" w:rsidP="004A2442">
      <w:pPr>
        <w:pStyle w:val="ListParagraph"/>
        <w:numPr>
          <w:ilvl w:val="0"/>
          <w:numId w:val="26"/>
        </w:numPr>
        <w:spacing w:after="0"/>
        <w:rPr>
          <w:rFonts w:cs="Segoe UI Light"/>
          <w:szCs w:val="20"/>
        </w:rPr>
      </w:pPr>
      <w:r w:rsidRPr="00E10EB2">
        <w:rPr>
          <w:rFonts w:cs="Segoe UI Light"/>
          <w:szCs w:val="20"/>
        </w:rPr>
        <w:t xml:space="preserve">Section 45T - Offence to deface or set fire to public litter receptacles  </w:t>
      </w:r>
    </w:p>
    <w:p w14:paraId="656B0905" w14:textId="77777777" w:rsidR="005D2C6E" w:rsidRPr="00E10EB2" w:rsidRDefault="005D2C6E" w:rsidP="004A2442">
      <w:pPr>
        <w:pStyle w:val="ListParagraph"/>
        <w:numPr>
          <w:ilvl w:val="0"/>
          <w:numId w:val="26"/>
        </w:numPr>
        <w:rPr>
          <w:rFonts w:cs="Segoe UI Light"/>
          <w:szCs w:val="20"/>
        </w:rPr>
      </w:pPr>
      <w:r w:rsidRPr="00E10EB2">
        <w:rPr>
          <w:rFonts w:cs="Segoe UI Light"/>
          <w:szCs w:val="20"/>
        </w:rPr>
        <w:t>Section 45U - Offences concerning the loading of vehicles</w:t>
      </w:r>
      <w:r>
        <w:rPr>
          <w:rFonts w:cs="Segoe UI Light"/>
          <w:szCs w:val="20"/>
        </w:rPr>
        <w:t>.</w:t>
      </w:r>
    </w:p>
    <w:p w14:paraId="656B0906" w14:textId="77777777" w:rsidR="00EA084D" w:rsidRDefault="00FE4778">
      <w:r>
        <w:t xml:space="preserve">The </w:t>
      </w:r>
      <w:r w:rsidRPr="00E14812">
        <w:t>EP Act 1970</w:t>
      </w:r>
      <w:r>
        <w:rPr>
          <w:i/>
        </w:rPr>
        <w:t xml:space="preserve"> </w:t>
      </w:r>
      <w:r>
        <w:t xml:space="preserve">also </w:t>
      </w:r>
      <w:r w:rsidR="00EA084D">
        <w:t xml:space="preserve">defines </w:t>
      </w:r>
      <w:r w:rsidR="00EA084D" w:rsidRPr="00040A06">
        <w:rPr>
          <w:i/>
        </w:rPr>
        <w:t>litter authorities</w:t>
      </w:r>
      <w:r w:rsidR="00EA084D">
        <w:t xml:space="preserve"> and </w:t>
      </w:r>
      <w:r w:rsidR="00EA084D" w:rsidRPr="00040A06">
        <w:rPr>
          <w:i/>
        </w:rPr>
        <w:t>litter enforcement officers</w:t>
      </w:r>
      <w:r w:rsidR="00EA084D">
        <w:rPr>
          <w:i/>
        </w:rPr>
        <w:t xml:space="preserve">. </w:t>
      </w:r>
      <w:r w:rsidR="00EA084D" w:rsidRPr="00040A06">
        <w:rPr>
          <w:i/>
        </w:rPr>
        <w:t>Litter authorities</w:t>
      </w:r>
      <w:r w:rsidR="00EA084D">
        <w:t xml:space="preserve"> include:  </w:t>
      </w:r>
    </w:p>
    <w:p w14:paraId="656B0907" w14:textId="77777777" w:rsidR="00EA084D" w:rsidRPr="00AE2041" w:rsidRDefault="00EA084D" w:rsidP="004A2442">
      <w:pPr>
        <w:pStyle w:val="ListParagraph"/>
        <w:numPr>
          <w:ilvl w:val="0"/>
          <w:numId w:val="26"/>
        </w:numPr>
        <w:spacing w:after="0"/>
        <w:rPr>
          <w:rFonts w:cs="Segoe UI Light"/>
          <w:szCs w:val="20"/>
        </w:rPr>
      </w:pPr>
      <w:r w:rsidRPr="0056442D">
        <w:rPr>
          <w:rFonts w:cs="Segoe UI Light"/>
          <w:szCs w:val="20"/>
        </w:rPr>
        <w:t>EPA</w:t>
      </w:r>
      <w:r w:rsidR="00E14812">
        <w:rPr>
          <w:rFonts w:cs="Segoe UI Light"/>
          <w:szCs w:val="20"/>
        </w:rPr>
        <w:t>.</w:t>
      </w:r>
    </w:p>
    <w:p w14:paraId="656B0908" w14:textId="77777777" w:rsidR="00EA084D" w:rsidRPr="0056442D" w:rsidRDefault="00E14812" w:rsidP="004A2442">
      <w:pPr>
        <w:pStyle w:val="ListParagraph"/>
        <w:numPr>
          <w:ilvl w:val="0"/>
          <w:numId w:val="26"/>
        </w:numPr>
        <w:spacing w:after="0"/>
        <w:rPr>
          <w:rFonts w:cs="Segoe UI Light"/>
          <w:szCs w:val="20"/>
        </w:rPr>
      </w:pPr>
      <w:r>
        <w:rPr>
          <w:rFonts w:cs="Segoe UI Light"/>
          <w:szCs w:val="20"/>
        </w:rPr>
        <w:t>A</w:t>
      </w:r>
      <w:r w:rsidR="00EA084D" w:rsidRPr="00AE2041">
        <w:rPr>
          <w:rFonts w:cs="Segoe UI Light"/>
          <w:szCs w:val="20"/>
        </w:rPr>
        <w:t>ny government department</w:t>
      </w:r>
      <w:r>
        <w:rPr>
          <w:rFonts w:cs="Segoe UI Light"/>
          <w:szCs w:val="20"/>
        </w:rPr>
        <w:t>.</w:t>
      </w:r>
    </w:p>
    <w:p w14:paraId="656B0909" w14:textId="77777777" w:rsidR="00EA084D" w:rsidRPr="0056442D" w:rsidRDefault="00E14812" w:rsidP="004A2442">
      <w:pPr>
        <w:pStyle w:val="ListParagraph"/>
        <w:numPr>
          <w:ilvl w:val="0"/>
          <w:numId w:val="26"/>
        </w:numPr>
        <w:spacing w:after="0"/>
        <w:rPr>
          <w:rFonts w:cs="Segoe UI Light"/>
          <w:szCs w:val="20"/>
        </w:rPr>
      </w:pPr>
      <w:r>
        <w:rPr>
          <w:rFonts w:cs="Segoe UI Light"/>
          <w:szCs w:val="20"/>
        </w:rPr>
        <w:t>A</w:t>
      </w:r>
      <w:r w:rsidR="00EA084D" w:rsidRPr="00AE2041">
        <w:rPr>
          <w:rFonts w:cs="Segoe UI Light"/>
          <w:szCs w:val="20"/>
        </w:rPr>
        <w:t xml:space="preserve">ny </w:t>
      </w:r>
      <w:r w:rsidR="00EA084D" w:rsidRPr="005B21CC">
        <w:rPr>
          <w:rFonts w:cs="Segoe UI Light"/>
          <w:szCs w:val="20"/>
        </w:rPr>
        <w:t>municipal council</w:t>
      </w:r>
      <w:r>
        <w:rPr>
          <w:rFonts w:cs="Segoe UI Light"/>
          <w:szCs w:val="20"/>
        </w:rPr>
        <w:t>.</w:t>
      </w:r>
    </w:p>
    <w:p w14:paraId="656B090A" w14:textId="77777777" w:rsidR="00EA084D" w:rsidRPr="00AE2041" w:rsidRDefault="00E14812" w:rsidP="004A2442">
      <w:pPr>
        <w:pStyle w:val="ListParagraph"/>
        <w:numPr>
          <w:ilvl w:val="0"/>
          <w:numId w:val="26"/>
        </w:numPr>
        <w:spacing w:after="0"/>
        <w:rPr>
          <w:rFonts w:cs="Segoe UI Light"/>
          <w:szCs w:val="20"/>
        </w:rPr>
      </w:pPr>
      <w:r>
        <w:rPr>
          <w:rFonts w:cs="Segoe UI Light"/>
          <w:szCs w:val="20"/>
        </w:rPr>
        <w:t>A</w:t>
      </w:r>
      <w:r w:rsidR="00EA084D" w:rsidRPr="00AE2041">
        <w:rPr>
          <w:rFonts w:cs="Segoe UI Light"/>
          <w:szCs w:val="20"/>
        </w:rPr>
        <w:t xml:space="preserve">ny </w:t>
      </w:r>
      <w:r w:rsidR="00EA084D" w:rsidRPr="005B21CC">
        <w:rPr>
          <w:rFonts w:cs="Segoe UI Light"/>
          <w:szCs w:val="20"/>
        </w:rPr>
        <w:t>protection agency</w:t>
      </w:r>
      <w:r>
        <w:rPr>
          <w:rFonts w:cs="Segoe UI Light"/>
          <w:szCs w:val="20"/>
        </w:rPr>
        <w:t>.</w:t>
      </w:r>
    </w:p>
    <w:p w14:paraId="656B090B" w14:textId="77777777" w:rsidR="00EA084D" w:rsidRPr="005B21CC" w:rsidRDefault="00E14812" w:rsidP="004A2442">
      <w:pPr>
        <w:pStyle w:val="ListParagraph"/>
        <w:numPr>
          <w:ilvl w:val="0"/>
          <w:numId w:val="26"/>
        </w:numPr>
        <w:spacing w:after="0"/>
        <w:rPr>
          <w:rFonts w:cs="Segoe UI Light"/>
          <w:szCs w:val="20"/>
        </w:rPr>
      </w:pPr>
      <w:r>
        <w:rPr>
          <w:rFonts w:cs="Segoe UI Light"/>
          <w:szCs w:val="20"/>
        </w:rPr>
        <w:t>A</w:t>
      </w:r>
      <w:r w:rsidR="00EA084D" w:rsidRPr="00AE2041">
        <w:rPr>
          <w:rFonts w:cs="Segoe UI Light"/>
          <w:szCs w:val="20"/>
        </w:rPr>
        <w:t>ny</w:t>
      </w:r>
      <w:r w:rsidR="00FB447E">
        <w:rPr>
          <w:rFonts w:cs="Segoe UI Light"/>
          <w:szCs w:val="20"/>
        </w:rPr>
        <w:t xml:space="preserve"> </w:t>
      </w:r>
      <w:r w:rsidR="00EA084D" w:rsidRPr="00AE2041">
        <w:rPr>
          <w:rFonts w:cs="Segoe UI Light"/>
          <w:szCs w:val="20"/>
        </w:rPr>
        <w:t xml:space="preserve">body declared by Order of the Governor in Council under section 45C to be a litter authority. </w:t>
      </w:r>
    </w:p>
    <w:p w14:paraId="656B090C" w14:textId="77777777" w:rsidR="00EA084D" w:rsidRDefault="00EA084D" w:rsidP="00040A06">
      <w:pPr>
        <w:spacing w:before="120"/>
      </w:pPr>
      <w:r w:rsidRPr="00040A06">
        <w:rPr>
          <w:i/>
        </w:rPr>
        <w:t>Litter enforcement officers</w:t>
      </w:r>
      <w:r>
        <w:t xml:space="preserve"> include:  </w:t>
      </w:r>
    </w:p>
    <w:p w14:paraId="656B090D" w14:textId="77777777" w:rsidR="00FE4778" w:rsidRPr="0056442D" w:rsidRDefault="00E14812" w:rsidP="004A2442">
      <w:pPr>
        <w:pStyle w:val="ListParagraph"/>
        <w:numPr>
          <w:ilvl w:val="0"/>
          <w:numId w:val="26"/>
        </w:numPr>
        <w:spacing w:after="0"/>
        <w:rPr>
          <w:rFonts w:cs="Segoe UI Light"/>
          <w:szCs w:val="20"/>
        </w:rPr>
      </w:pPr>
      <w:r>
        <w:rPr>
          <w:rFonts w:cs="Segoe UI Light"/>
          <w:szCs w:val="20"/>
        </w:rPr>
        <w:t>A</w:t>
      </w:r>
      <w:r w:rsidR="00EA084D" w:rsidRPr="00AE2041">
        <w:rPr>
          <w:rFonts w:cs="Segoe UI Light"/>
          <w:szCs w:val="20"/>
        </w:rPr>
        <w:t xml:space="preserve">uthorised </w:t>
      </w:r>
      <w:r w:rsidR="00EA084D" w:rsidRPr="005B21CC">
        <w:rPr>
          <w:rFonts w:cs="Segoe UI Light"/>
          <w:szCs w:val="20"/>
        </w:rPr>
        <w:t xml:space="preserve">EPA </w:t>
      </w:r>
      <w:r w:rsidR="00EA084D" w:rsidRPr="004D210C">
        <w:rPr>
          <w:rFonts w:cs="Segoe UI Light"/>
          <w:szCs w:val="20"/>
        </w:rPr>
        <w:t>officers</w:t>
      </w:r>
      <w:r>
        <w:rPr>
          <w:rFonts w:cs="Segoe UI Light"/>
          <w:szCs w:val="20"/>
        </w:rPr>
        <w:t>.</w:t>
      </w:r>
    </w:p>
    <w:p w14:paraId="656B090E" w14:textId="77777777" w:rsidR="00EA084D" w:rsidRPr="0056442D" w:rsidRDefault="00E14812" w:rsidP="004A2442">
      <w:pPr>
        <w:pStyle w:val="ListParagraph"/>
        <w:numPr>
          <w:ilvl w:val="0"/>
          <w:numId w:val="26"/>
        </w:numPr>
        <w:spacing w:after="0"/>
        <w:rPr>
          <w:rFonts w:cs="Segoe UI Light"/>
          <w:szCs w:val="20"/>
        </w:rPr>
      </w:pPr>
      <w:r>
        <w:rPr>
          <w:rFonts w:cs="Segoe UI Light"/>
          <w:szCs w:val="20"/>
        </w:rPr>
        <w:t>I</w:t>
      </w:r>
      <w:r w:rsidR="00EA084D" w:rsidRPr="00AE2041">
        <w:rPr>
          <w:rFonts w:cs="Segoe UI Light"/>
          <w:szCs w:val="20"/>
        </w:rPr>
        <w:t>n relation to any land or waters in a council's municipal district, an officer of the council appointed by the council as a litter enforcement officer</w:t>
      </w:r>
      <w:r>
        <w:rPr>
          <w:rFonts w:cs="Segoe UI Light"/>
          <w:szCs w:val="20"/>
        </w:rPr>
        <w:t>.</w:t>
      </w:r>
    </w:p>
    <w:p w14:paraId="656B090F" w14:textId="77777777" w:rsidR="00EA084D" w:rsidRPr="0056442D" w:rsidRDefault="00E14812" w:rsidP="004A2442">
      <w:pPr>
        <w:pStyle w:val="ListParagraph"/>
        <w:numPr>
          <w:ilvl w:val="0"/>
          <w:numId w:val="26"/>
        </w:numPr>
        <w:spacing w:after="0"/>
        <w:rPr>
          <w:rFonts w:cs="Segoe UI Light"/>
          <w:szCs w:val="20"/>
        </w:rPr>
      </w:pPr>
      <w:r>
        <w:rPr>
          <w:rFonts w:cs="Segoe UI Light"/>
          <w:szCs w:val="20"/>
        </w:rPr>
        <w:t>A</w:t>
      </w:r>
      <w:r w:rsidR="00EA084D" w:rsidRPr="00AE2041">
        <w:rPr>
          <w:rFonts w:cs="Segoe UI Light"/>
          <w:szCs w:val="20"/>
        </w:rPr>
        <w:t>n officer of the litter authority appointe</w:t>
      </w:r>
      <w:r w:rsidR="00EA084D" w:rsidRPr="005B21CC">
        <w:rPr>
          <w:rFonts w:cs="Segoe UI Light"/>
          <w:szCs w:val="20"/>
        </w:rPr>
        <w:t>d by it as a litter enforcement officer</w:t>
      </w:r>
      <w:r>
        <w:rPr>
          <w:rFonts w:cs="Segoe UI Light"/>
          <w:szCs w:val="20"/>
        </w:rPr>
        <w:t>.</w:t>
      </w:r>
    </w:p>
    <w:p w14:paraId="656B0910" w14:textId="77777777" w:rsidR="00EA084D" w:rsidRPr="0056442D" w:rsidRDefault="00E14812" w:rsidP="004A2442">
      <w:pPr>
        <w:pStyle w:val="ListParagraph"/>
        <w:numPr>
          <w:ilvl w:val="0"/>
          <w:numId w:val="26"/>
        </w:numPr>
        <w:spacing w:after="0"/>
        <w:rPr>
          <w:rFonts w:cs="Segoe UI Light"/>
          <w:szCs w:val="20"/>
        </w:rPr>
      </w:pPr>
      <w:r>
        <w:rPr>
          <w:rFonts w:cs="Segoe UI Light"/>
          <w:szCs w:val="20"/>
        </w:rPr>
        <w:t>A</w:t>
      </w:r>
      <w:r w:rsidR="00EA084D" w:rsidRPr="00AE2041">
        <w:rPr>
          <w:rFonts w:cs="Segoe UI Light"/>
          <w:szCs w:val="20"/>
        </w:rPr>
        <w:t xml:space="preserve"> member of the police force</w:t>
      </w:r>
      <w:r>
        <w:rPr>
          <w:rFonts w:cs="Segoe UI Light"/>
          <w:szCs w:val="20"/>
        </w:rPr>
        <w:t>.</w:t>
      </w:r>
    </w:p>
    <w:p w14:paraId="656B0911" w14:textId="77777777" w:rsidR="00EA084D" w:rsidRPr="005B21CC" w:rsidRDefault="00E14812" w:rsidP="004A2442">
      <w:pPr>
        <w:pStyle w:val="ListParagraph"/>
        <w:numPr>
          <w:ilvl w:val="0"/>
          <w:numId w:val="26"/>
        </w:numPr>
        <w:rPr>
          <w:rFonts w:cs="Segoe UI Light"/>
          <w:szCs w:val="20"/>
        </w:rPr>
      </w:pPr>
      <w:r>
        <w:rPr>
          <w:rFonts w:cs="Segoe UI Light"/>
          <w:szCs w:val="20"/>
        </w:rPr>
        <w:t>I</w:t>
      </w:r>
      <w:r w:rsidR="00EA084D" w:rsidRPr="00AE2041">
        <w:rPr>
          <w:rFonts w:cs="Segoe UI Light"/>
          <w:szCs w:val="20"/>
        </w:rPr>
        <w:t xml:space="preserve">n relation to any bus, tram, watercraft, rail vehicle or aircraft that is being used for a public purpose, a person appointed as a litter enforcement officer by the litter authority that owns or manages that vehicle. </w:t>
      </w:r>
    </w:p>
    <w:p w14:paraId="656B0912" w14:textId="77777777" w:rsidR="005D2C6E" w:rsidRDefault="005D2C6E" w:rsidP="005D2C6E">
      <w:r>
        <w:t>Currently, there are no regulations relating to litter.</w:t>
      </w:r>
    </w:p>
    <w:p w14:paraId="656B0913" w14:textId="77777777" w:rsidR="005D2C6E" w:rsidRDefault="004C6915" w:rsidP="00982D63">
      <w:pPr>
        <w:pStyle w:val="Heading2"/>
      </w:pPr>
      <w:r>
        <w:t>New EP legislation</w:t>
      </w:r>
    </w:p>
    <w:p w14:paraId="656B0914" w14:textId="77777777" w:rsidR="00887FC6" w:rsidRDefault="00887FC6" w:rsidP="00887FC6">
      <w:r>
        <w:t xml:space="preserve">In addition to the GED, the new legislative framework establishes litter-related offences and </w:t>
      </w:r>
      <w:r w:rsidR="00E14812">
        <w:t>creates</w:t>
      </w:r>
      <w:r>
        <w:t xml:space="preserve"> enforcement powers, including the following:</w:t>
      </w:r>
    </w:p>
    <w:p w14:paraId="656B0915" w14:textId="77777777" w:rsidR="005D2C6E" w:rsidRDefault="005D2C6E" w:rsidP="0019024B">
      <w:pPr>
        <w:pStyle w:val="ListParagraph"/>
        <w:numPr>
          <w:ilvl w:val="0"/>
          <w:numId w:val="32"/>
        </w:numPr>
        <w:spacing w:after="170"/>
        <w:ind w:left="567"/>
      </w:pPr>
      <w:r>
        <w:t>A person must not deposit litter (including from vehicles).</w:t>
      </w:r>
      <w:r w:rsidR="00A307F3">
        <w:rPr>
          <w:rStyle w:val="FootnoteReference"/>
        </w:rPr>
        <w:footnoteReference w:id="185"/>
      </w:r>
      <w:r w:rsidR="00A307F3">
        <w:t xml:space="preserve"> </w:t>
      </w:r>
    </w:p>
    <w:p w14:paraId="656B0916" w14:textId="77777777" w:rsidR="005D2C6E" w:rsidRDefault="005D2C6E" w:rsidP="0019024B">
      <w:pPr>
        <w:pStyle w:val="ListParagraph"/>
        <w:numPr>
          <w:ilvl w:val="0"/>
          <w:numId w:val="32"/>
        </w:numPr>
        <w:spacing w:after="170"/>
        <w:ind w:left="567"/>
      </w:pPr>
      <w:r>
        <w:t>Litter enforcement officers and a court have the power to request people to remove waste.</w:t>
      </w:r>
    </w:p>
    <w:p w14:paraId="656B0917" w14:textId="77777777" w:rsidR="005D2C6E" w:rsidRDefault="001B4CE3" w:rsidP="0019024B">
      <w:pPr>
        <w:pStyle w:val="ListParagraph"/>
        <w:numPr>
          <w:ilvl w:val="0"/>
          <w:numId w:val="32"/>
        </w:numPr>
        <w:spacing w:after="170"/>
        <w:ind w:left="567"/>
      </w:pPr>
      <w:r>
        <w:t>EPA</w:t>
      </w:r>
      <w:r w:rsidR="005D2C6E">
        <w:t xml:space="preserve"> or a litter enforcement officer may issue waste abatement notices that require a person to take actions to mitigate the impact of waste or alter their activities.</w:t>
      </w:r>
    </w:p>
    <w:p w14:paraId="656B0918" w14:textId="77777777" w:rsidR="005D2C6E" w:rsidRDefault="005D2C6E" w:rsidP="0019024B">
      <w:pPr>
        <w:pStyle w:val="ListParagraph"/>
        <w:numPr>
          <w:ilvl w:val="0"/>
          <w:numId w:val="32"/>
        </w:numPr>
        <w:spacing w:after="170"/>
        <w:ind w:left="567"/>
      </w:pPr>
      <w:r>
        <w:t>People witnessing an offence can report it.</w:t>
      </w:r>
    </w:p>
    <w:p w14:paraId="656B0919" w14:textId="77777777" w:rsidR="005D2C6E" w:rsidRDefault="005D2C6E" w:rsidP="0019024B">
      <w:pPr>
        <w:pStyle w:val="ListParagraph"/>
        <w:numPr>
          <w:ilvl w:val="0"/>
          <w:numId w:val="32"/>
        </w:numPr>
        <w:spacing w:after="170"/>
        <w:ind w:left="567"/>
      </w:pPr>
      <w:r>
        <w:t>It is an offence to supply false or misleading information.</w:t>
      </w:r>
    </w:p>
    <w:p w14:paraId="656B091A" w14:textId="77777777" w:rsidR="005D2C6E" w:rsidRDefault="00641BAA" w:rsidP="00982D63">
      <w:pPr>
        <w:pStyle w:val="Heading2"/>
      </w:pPr>
      <w:r>
        <w:t>Nature and extent of problem</w:t>
      </w:r>
    </w:p>
    <w:p w14:paraId="656B091B" w14:textId="77777777" w:rsidR="005D63F0" w:rsidRPr="00410F9E" w:rsidRDefault="005D63F0" w:rsidP="00AE334C">
      <w:pPr>
        <w:pStyle w:val="Heading3"/>
        <w:ind w:left="720"/>
      </w:pPr>
      <w:r w:rsidRPr="00410F9E">
        <w:t>Residual risk</w:t>
      </w:r>
    </w:p>
    <w:p w14:paraId="656B091C" w14:textId="77777777" w:rsidR="001E1123" w:rsidRPr="00AE334C" w:rsidRDefault="001E1123" w:rsidP="00AE334C">
      <w:pPr>
        <w:spacing w:after="0"/>
      </w:pPr>
      <w:r w:rsidRPr="00AE334C">
        <w:t>As noted above, the GED and new EP legislation are, collectively, likely to address a significant portion of the overall problem of litter in Victoria.</w:t>
      </w:r>
      <w:r w:rsidRPr="00410F9E">
        <w:t xml:space="preserve"> </w:t>
      </w:r>
      <w:r w:rsidRPr="00AE334C">
        <w:t>However, some residual risk remains in relation to the risks of harm to human health and the environment caused by litter, as the new EP legislation does not provide controls relating to</w:t>
      </w:r>
      <w:r w:rsidR="00391088" w:rsidRPr="00410F9E">
        <w:t>:</w:t>
      </w:r>
      <w:r w:rsidRPr="00AE334C">
        <w:t xml:space="preserve"> </w:t>
      </w:r>
    </w:p>
    <w:p w14:paraId="656B091D" w14:textId="77777777" w:rsidR="001E1123" w:rsidRPr="00AE334C" w:rsidRDefault="0019024B" w:rsidP="00AE334C">
      <w:pPr>
        <w:pStyle w:val="ListParagraph"/>
        <w:numPr>
          <w:ilvl w:val="0"/>
          <w:numId w:val="231"/>
        </w:numPr>
        <w:spacing w:after="0"/>
      </w:pPr>
      <w:r>
        <w:t>P</w:t>
      </w:r>
      <w:r w:rsidRPr="00AE334C">
        <w:t xml:space="preserve">reventing </w:t>
      </w:r>
      <w:r w:rsidR="001E1123" w:rsidRPr="00AE334C">
        <w:t>material from becoming litter</w:t>
      </w:r>
      <w:r>
        <w:t>.</w:t>
      </w:r>
    </w:p>
    <w:p w14:paraId="656B091E" w14:textId="77777777" w:rsidR="001E1123" w:rsidRPr="00410F9E" w:rsidRDefault="0019024B" w:rsidP="00AE334C">
      <w:pPr>
        <w:pStyle w:val="ListParagraph"/>
        <w:numPr>
          <w:ilvl w:val="0"/>
          <w:numId w:val="231"/>
        </w:numPr>
      </w:pPr>
      <w:r>
        <w:t>D</w:t>
      </w:r>
      <w:r w:rsidRPr="00AE334C">
        <w:t xml:space="preserve">amage </w:t>
      </w:r>
      <w:r w:rsidR="001E1123" w:rsidRPr="00AE334C">
        <w:t>to litter receptacles.</w:t>
      </w:r>
    </w:p>
    <w:p w14:paraId="656B091F" w14:textId="77777777" w:rsidR="005D2C6E" w:rsidRDefault="35FECBBE" w:rsidP="005D2C6E">
      <w:r>
        <w:t>M</w:t>
      </w:r>
      <w:r w:rsidR="005D2C6E">
        <w:t xml:space="preserve">aterials </w:t>
      </w:r>
      <w:r>
        <w:t xml:space="preserve">that may become litter </w:t>
      </w:r>
      <w:r w:rsidR="005D2C6E">
        <w:t xml:space="preserve">include: </w:t>
      </w:r>
    </w:p>
    <w:p w14:paraId="656B0920" w14:textId="77777777" w:rsidR="005D2C6E" w:rsidRDefault="005D2C6E" w:rsidP="00AE334C">
      <w:pPr>
        <w:pStyle w:val="ListParagraph"/>
        <w:numPr>
          <w:ilvl w:val="0"/>
          <w:numId w:val="231"/>
        </w:numPr>
      </w:pPr>
      <w:r>
        <w:t>Unsolicited material intended for delivery to private premises (e.g. junk mail</w:t>
      </w:r>
      <w:r w:rsidRPr="004D210C">
        <w:t>)</w:t>
      </w:r>
      <w:r w:rsidR="00E14812" w:rsidRPr="004D210C">
        <w:t>.</w:t>
      </w:r>
    </w:p>
    <w:p w14:paraId="656B0921" w14:textId="77777777" w:rsidR="005D2C6E" w:rsidRDefault="005D2C6E" w:rsidP="00AE334C">
      <w:pPr>
        <w:pStyle w:val="ListParagraph"/>
        <w:numPr>
          <w:ilvl w:val="0"/>
          <w:numId w:val="231"/>
        </w:numPr>
      </w:pPr>
      <w:r>
        <w:t>Advertising material put in letterboxes contrary to private notices advising unsolicited material should not be delivered (no junk mail signs)</w:t>
      </w:r>
      <w:r w:rsidR="00E14812">
        <w:t>.</w:t>
      </w:r>
    </w:p>
    <w:p w14:paraId="656B0922" w14:textId="77777777" w:rsidR="005D2C6E" w:rsidRDefault="005D2C6E" w:rsidP="00AE334C">
      <w:pPr>
        <w:pStyle w:val="ListParagraph"/>
        <w:numPr>
          <w:ilvl w:val="0"/>
          <w:numId w:val="231"/>
        </w:numPr>
      </w:pPr>
      <w:r>
        <w:t>Leaflets placed on vehicles</w:t>
      </w:r>
      <w:r w:rsidR="00E14812">
        <w:t>.</w:t>
      </w:r>
    </w:p>
    <w:p w14:paraId="656B0923" w14:textId="77777777" w:rsidR="005D2C6E" w:rsidRPr="00B05634" w:rsidRDefault="005D2C6E" w:rsidP="00AE334C">
      <w:pPr>
        <w:pStyle w:val="ListParagraph"/>
        <w:numPr>
          <w:ilvl w:val="0"/>
          <w:numId w:val="231"/>
        </w:numPr>
      </w:pPr>
      <w:r w:rsidRPr="00B05634">
        <w:t>Bill posting</w:t>
      </w:r>
      <w:r w:rsidR="00E14812" w:rsidRPr="00B05634">
        <w:t>.</w:t>
      </w:r>
    </w:p>
    <w:p w14:paraId="656B0924" w14:textId="77777777" w:rsidR="005D2C6E" w:rsidRPr="00B05634" w:rsidRDefault="005D2C6E" w:rsidP="00AE334C">
      <w:pPr>
        <w:pStyle w:val="ListParagraph"/>
        <w:numPr>
          <w:ilvl w:val="0"/>
          <w:numId w:val="231"/>
        </w:numPr>
      </w:pPr>
      <w:r w:rsidRPr="00B05634">
        <w:t>Material that is not properly secured in a vehicle (including trailers).</w:t>
      </w:r>
    </w:p>
    <w:p w14:paraId="656B0925" w14:textId="77777777" w:rsidR="001E1123" w:rsidRPr="00B05634" w:rsidRDefault="001E1123" w:rsidP="001E1123">
      <w:pPr>
        <w:ind w:right="262"/>
      </w:pPr>
      <w:r w:rsidRPr="00AE334C">
        <w:t>While the GED has the capacity to address material that may become litter,</w:t>
      </w:r>
      <w:r w:rsidRPr="00B05634">
        <w:t xml:space="preserve"> it is not enforceable by local councils </w:t>
      </w:r>
      <w:r w:rsidRPr="00AE334C">
        <w:t>which currently have a significant role in litter enforcement. All</w:t>
      </w:r>
      <w:r w:rsidR="008122AD" w:rsidRPr="00B05634">
        <w:t xml:space="preserve"> </w:t>
      </w:r>
      <w:r w:rsidRPr="00B05634">
        <w:t xml:space="preserve">councils are </w:t>
      </w:r>
      <w:r w:rsidRPr="00B05634">
        <w:rPr>
          <w:i/>
        </w:rPr>
        <w:t>litter authorities</w:t>
      </w:r>
      <w:r w:rsidRPr="00B05634">
        <w:t xml:space="preserve"> and many councils employ </w:t>
      </w:r>
      <w:r w:rsidRPr="00B05634">
        <w:rPr>
          <w:i/>
        </w:rPr>
        <w:t>litter enforcement officers</w:t>
      </w:r>
      <w:r w:rsidRPr="00B05634">
        <w:t>. Of s</w:t>
      </w:r>
      <w:r w:rsidRPr="00B05634">
        <w:rPr>
          <w:rFonts w:cs="Segoe UI Light"/>
        </w:rPr>
        <w:t xml:space="preserve">ix local councils surveyed for this RIS, all reported that they had enforced at least one of these litter-related offences (either as warnings or infringement notices), although the offences were typically not enforced frequently. </w:t>
      </w:r>
      <w:r w:rsidRPr="00B05634">
        <w:t xml:space="preserve">Since the impact of litter is quite localised, local councils are best placed to continue this role. </w:t>
      </w:r>
      <w:r w:rsidRPr="00AE334C">
        <w:t>Further, the GED is not enforceable against all persons - only those conducting a business or undertaking an activity – and litter may be created by individual members of the community. Therefore the problem of material that may become litter is unlikely to be addressed by the GED.</w:t>
      </w:r>
    </w:p>
    <w:p w14:paraId="656B0926" w14:textId="5A00D8C8" w:rsidR="001E1123" w:rsidRPr="00B05634" w:rsidRDefault="001E1123">
      <w:r w:rsidRPr="00AE334C">
        <w:t>Furthermore, the new EP legislation does not deal with the risks and harms resulting from damage to litter receptacles, (e.g. setting public litter bins on fire). If litter receptacles are damaged and cannot be used by the public there is a greater risk that material will become litter. Damaging litter receptacles is currently an offence under the EP Act 1970. The frequency of occurrence is largely unknown, however it is likely that it contributes to the litter problem by limiting the options for people to dispose of their litter correctly.</w:t>
      </w:r>
      <w:r w:rsidRPr="00B05634">
        <w:t xml:space="preserve"> </w:t>
      </w:r>
    </w:p>
    <w:p w14:paraId="656B0927" w14:textId="515E6431" w:rsidR="00332037" w:rsidRDefault="00332037">
      <w:r w:rsidRPr="00B05634">
        <w:t xml:space="preserve">To some degree, other Victorian legislation could be relied on to address the harms resulting from bill posting and damage to litter receptacles. </w:t>
      </w:r>
      <w:r w:rsidRPr="00B05634">
        <w:rPr>
          <w:rFonts w:cs="Arial"/>
        </w:rPr>
        <w:t xml:space="preserve">The </w:t>
      </w:r>
      <w:r w:rsidRPr="00B05634">
        <w:rPr>
          <w:rFonts w:cs="Arial"/>
          <w:i/>
        </w:rPr>
        <w:t>Summary Offences Act 1996</w:t>
      </w:r>
      <w:r w:rsidRPr="00B05634">
        <w:rPr>
          <w:rFonts w:cs="Arial"/>
        </w:rPr>
        <w:t xml:space="preserve"> contains bill posting offences (s.10) and provisions that deal with damage to litter receptacles, namely wilful damage</w:t>
      </w:r>
      <w:r w:rsidRPr="00A460F0">
        <w:rPr>
          <w:rFonts w:cs="Arial"/>
        </w:rPr>
        <w:t xml:space="preserve"> or destruction of property (s.9), defacing property (s.10) and lighting of fires that result in destruction or damage of property (s.11). The </w:t>
      </w:r>
      <w:r w:rsidRPr="00494A7B">
        <w:rPr>
          <w:rFonts w:cs="Arial"/>
          <w:i/>
        </w:rPr>
        <w:t xml:space="preserve">Summary Offences Act </w:t>
      </w:r>
      <w:r w:rsidR="0019024B" w:rsidRPr="00494A7B">
        <w:rPr>
          <w:rFonts w:cs="Arial"/>
          <w:i/>
        </w:rPr>
        <w:t>1996</w:t>
      </w:r>
      <w:r w:rsidR="0019024B">
        <w:rPr>
          <w:rFonts w:cs="Arial"/>
        </w:rPr>
        <w:t xml:space="preserve"> </w:t>
      </w:r>
      <w:r w:rsidRPr="00A460F0">
        <w:rPr>
          <w:rFonts w:cs="Arial"/>
        </w:rPr>
        <w:t xml:space="preserve">can be enforced by </w:t>
      </w:r>
      <w:r>
        <w:rPr>
          <w:rFonts w:cs="Arial"/>
        </w:rPr>
        <w:t xml:space="preserve">local </w:t>
      </w:r>
      <w:r w:rsidRPr="00A460F0">
        <w:rPr>
          <w:rFonts w:cs="Arial"/>
        </w:rPr>
        <w:t xml:space="preserve">councils, but cannot be enforced </w:t>
      </w:r>
      <w:r w:rsidR="00E27C5E">
        <w:rPr>
          <w:rFonts w:cs="Arial"/>
        </w:rPr>
        <w:t xml:space="preserve">by </w:t>
      </w:r>
      <w:r w:rsidR="00D216D2">
        <w:rPr>
          <w:rFonts w:cs="Arial"/>
        </w:rPr>
        <w:t>all</w:t>
      </w:r>
      <w:r w:rsidR="00D216D2" w:rsidRPr="00A460F0">
        <w:rPr>
          <w:rFonts w:cs="Arial"/>
        </w:rPr>
        <w:t xml:space="preserve"> </w:t>
      </w:r>
      <w:r w:rsidRPr="00A460F0">
        <w:rPr>
          <w:rFonts w:cs="Arial"/>
        </w:rPr>
        <w:t>litter authorities (e.g. Parks Victoria, VicRoads, rail authorities and water authorities).</w:t>
      </w:r>
    </w:p>
    <w:p w14:paraId="656B0928" w14:textId="77777777" w:rsidR="005D63F0" w:rsidRDefault="005D63F0" w:rsidP="00AE334C">
      <w:pPr>
        <w:pStyle w:val="Heading3"/>
        <w:ind w:left="720"/>
      </w:pPr>
      <w:r>
        <w:t>S</w:t>
      </w:r>
      <w:r w:rsidR="00E14812">
        <w:t>ize</w:t>
      </w:r>
      <w:r>
        <w:t xml:space="preserve"> of problem</w:t>
      </w:r>
    </w:p>
    <w:p w14:paraId="656B0929" w14:textId="77777777" w:rsidR="00037091" w:rsidRDefault="00037091" w:rsidP="00040A06">
      <w:pPr>
        <w:spacing w:after="170"/>
      </w:pPr>
      <w:r>
        <w:t xml:space="preserve">The findings of the National Litter Index </w:t>
      </w:r>
      <w:r w:rsidRPr="00037091">
        <w:t>report of 201</w:t>
      </w:r>
      <w:r>
        <w:t>7-</w:t>
      </w:r>
      <w:r w:rsidRPr="00037091">
        <w:t>1</w:t>
      </w:r>
      <w:r>
        <w:t>8</w:t>
      </w:r>
      <w:r w:rsidRPr="00037091">
        <w:t xml:space="preserve"> </w:t>
      </w:r>
      <w:r>
        <w:t xml:space="preserve">indicates that </w:t>
      </w:r>
      <w:r w:rsidRPr="00037091">
        <w:t>littering in Victoria has decreased</w:t>
      </w:r>
      <w:r w:rsidR="00615A73">
        <w:t xml:space="preserve"> by approximately half</w:t>
      </w:r>
      <w:r w:rsidRPr="00037091">
        <w:t xml:space="preserve"> </w:t>
      </w:r>
      <w:r w:rsidR="00615A73">
        <w:t>since 2009-10</w:t>
      </w:r>
      <w:r w:rsidRPr="00037091">
        <w:t>.</w:t>
      </w:r>
      <w:r w:rsidR="009E3BC2">
        <w:rPr>
          <w:rStyle w:val="FootnoteReference"/>
        </w:rPr>
        <w:footnoteReference w:id="186"/>
      </w:r>
      <w:r w:rsidRPr="00037091">
        <w:t xml:space="preserve"> </w:t>
      </w:r>
      <w:r w:rsidR="00902DC4">
        <w:t xml:space="preserve">This suggests that </w:t>
      </w:r>
      <w:r w:rsidR="00615A73">
        <w:t xml:space="preserve">various </w:t>
      </w:r>
      <w:r w:rsidRPr="00037091">
        <w:t>programs</w:t>
      </w:r>
      <w:r w:rsidR="00615A73">
        <w:t xml:space="preserve"> and initiatives (such as the </w:t>
      </w:r>
      <w:r w:rsidR="00615A73">
        <w:rPr>
          <w:i/>
        </w:rPr>
        <w:t>Victorian Litter Strategy 2012-14</w:t>
      </w:r>
      <w:r w:rsidR="00615A73">
        <w:t>)</w:t>
      </w:r>
      <w:r w:rsidR="00902DC4">
        <w:t>,</w:t>
      </w:r>
      <w:r w:rsidRPr="00037091">
        <w:t xml:space="preserve"> in combination with enforcement of the litter provisions of the </w:t>
      </w:r>
      <w:r w:rsidR="00902DC4">
        <w:t xml:space="preserve">EP Act </w:t>
      </w:r>
      <w:r w:rsidRPr="00037091">
        <w:t>1970</w:t>
      </w:r>
      <w:r w:rsidR="005D63F0">
        <w:t xml:space="preserve"> (including provisions relating to material that may become litter)</w:t>
      </w:r>
      <w:r w:rsidR="00902DC4">
        <w:t>,</w:t>
      </w:r>
      <w:r w:rsidRPr="00037091">
        <w:t xml:space="preserve"> </w:t>
      </w:r>
      <w:r w:rsidR="00902DC4">
        <w:t xml:space="preserve">may have been </w:t>
      </w:r>
      <w:r w:rsidRPr="00037091">
        <w:t>effective in reducing the prevalence and impact of littering.</w:t>
      </w:r>
    </w:p>
    <w:p w14:paraId="656B092A" w14:textId="77777777" w:rsidR="0016404B" w:rsidRPr="00040A06" w:rsidRDefault="0016404B" w:rsidP="00040A06">
      <w:pPr>
        <w:rPr>
          <w:b/>
        </w:rPr>
      </w:pPr>
      <w:r w:rsidRPr="00CE3D1A">
        <w:t>Three case studies</w:t>
      </w:r>
      <w:r w:rsidR="00E27C5E">
        <w:t xml:space="preserve"> below</w:t>
      </w:r>
      <w:r w:rsidR="009E3BC2">
        <w:t xml:space="preserve"> </w:t>
      </w:r>
      <w:r w:rsidRPr="0026688B">
        <w:t xml:space="preserve">demonstrate instances where individuals have deposited materials that may become litter, and </w:t>
      </w:r>
      <w:r w:rsidR="00B67292" w:rsidRPr="0026688B">
        <w:t xml:space="preserve">outline </w:t>
      </w:r>
      <w:r w:rsidRPr="0026688B">
        <w:t xml:space="preserve">the manner in which </w:t>
      </w:r>
      <w:r w:rsidR="00055A36">
        <w:t>local c</w:t>
      </w:r>
      <w:r w:rsidRPr="0026688B">
        <w:t xml:space="preserve">ouncils have addressed </w:t>
      </w:r>
      <w:r w:rsidR="00B67292" w:rsidRPr="0026688B">
        <w:t xml:space="preserve">these problems </w:t>
      </w:r>
      <w:r w:rsidRPr="0026688B">
        <w:t>under the EP Act 1970.</w:t>
      </w:r>
      <w:r w:rsidR="00D63FBE" w:rsidRPr="009E3BC2">
        <w:rPr>
          <w:rStyle w:val="FootnoteReference"/>
        </w:rPr>
        <w:footnoteReference w:id="187"/>
      </w:r>
    </w:p>
    <w:p w14:paraId="656B092B" w14:textId="77777777" w:rsidR="0016404B" w:rsidRPr="00040A06" w:rsidRDefault="00B31D14" w:rsidP="00040A06">
      <w:pPr>
        <w:spacing w:before="120"/>
        <w:rPr>
          <w:b/>
          <w:i/>
        </w:rPr>
      </w:pPr>
      <w:r w:rsidRPr="00040A06">
        <w:rPr>
          <w:b/>
          <w:i/>
        </w:rPr>
        <w:t>Case Study – Event flyers on vehicles in Shepparton</w:t>
      </w:r>
    </w:p>
    <w:p w14:paraId="656B092C" w14:textId="77777777" w:rsidR="00B31D14" w:rsidRDefault="00B31D14" w:rsidP="00040A06">
      <w:r>
        <w:t xml:space="preserve">In March 2014, promoters for an event in Shepparton placed flyers advertising the event on vehicles within the municipality without permits or permission. Greater Shepparton City Council was alerted to this by a ratepayer who received a flyer on their car. A </w:t>
      </w:r>
      <w:r w:rsidR="0016404B">
        <w:t>L</w:t>
      </w:r>
      <w:r>
        <w:t xml:space="preserve">itter </w:t>
      </w:r>
      <w:r w:rsidR="0016404B">
        <w:t>E</w:t>
      </w:r>
      <w:r>
        <w:t xml:space="preserve">nforcement </w:t>
      </w:r>
      <w:r w:rsidR="0016404B">
        <w:t>O</w:t>
      </w:r>
      <w:r>
        <w:t xml:space="preserve">fficer visited the area where flyers had been distributed, collected some, and contacted the promotion company responsible. The company was instructed to remove them as soon as possible, as their placement contravened section 45N of the </w:t>
      </w:r>
      <w:bookmarkStart w:id="1409" w:name="_Hlk524687116"/>
      <w:r>
        <w:t xml:space="preserve">EP Act 1970. </w:t>
      </w:r>
      <w:bookmarkEnd w:id="1409"/>
      <w:r>
        <w:t>The promotion company arranged to have the people who placed leaflets on vehicles to remove as many as possible as soon as possible. The majority of leaflets were collected and</w:t>
      </w:r>
      <w:r w:rsidR="00060AF7">
        <w:t xml:space="preserve">, in doing so, </w:t>
      </w:r>
      <w:r>
        <w:t>compliance was achieved. In this case a penalty notice was not issued, however council benefited by making use of its powers under the EP Act 1970 to make the persons responsible for the litter</w:t>
      </w:r>
      <w:r>
        <w:rPr>
          <w:rFonts w:cs="Arial"/>
        </w:rPr>
        <w:t xml:space="preserve"> </w:t>
      </w:r>
      <w:r>
        <w:t>clean it up rather than have council staff perform the clean-up at ratepayers’ expense.</w:t>
      </w:r>
    </w:p>
    <w:p w14:paraId="656B092D" w14:textId="77777777" w:rsidR="00B31D14" w:rsidRPr="00040A06" w:rsidRDefault="00B31D14" w:rsidP="00040A06">
      <w:pPr>
        <w:rPr>
          <w:b/>
          <w:i/>
        </w:rPr>
      </w:pPr>
      <w:r w:rsidRPr="00040A06">
        <w:rPr>
          <w:b/>
          <w:i/>
        </w:rPr>
        <w:t xml:space="preserve">Case Study – </w:t>
      </w:r>
      <w:r w:rsidR="0016404B" w:rsidRPr="00040A06">
        <w:rPr>
          <w:b/>
          <w:i/>
        </w:rPr>
        <w:t xml:space="preserve">Advertising signs </w:t>
      </w:r>
      <w:r w:rsidRPr="00040A06">
        <w:rPr>
          <w:b/>
          <w:i/>
        </w:rPr>
        <w:t xml:space="preserve">in Wyndham City </w:t>
      </w:r>
    </w:p>
    <w:p w14:paraId="656B092E" w14:textId="77777777" w:rsidR="00B31D14" w:rsidRDefault="00B31D14" w:rsidP="00040A06">
      <w:r>
        <w:t xml:space="preserve">Over a three-year period from 2010 to 2012, hundreds of advertising signs were placed on traffic and power poles across Wyndham City. Signs were pulled down by a Wyndham City Council Litter Prevention Officer, and the phone number was traced back to the offender who was issued with a notice under section 45ZI of the EP Act 1970. There was no response to the notice. The offender was summonsed to appear in the Magistrates’ Court to answer to the offence under section 45O of the EP Act 1970 – Bill posting not to occur without consent. The defendant appeared in court, pleaded guilty, and each legal person (company and Director) was fined $1000 and ordered to pay </w:t>
      </w:r>
      <w:r w:rsidR="00F37FEC">
        <w:t>Council</w:t>
      </w:r>
      <w:r w:rsidR="00BF4573">
        <w:t>’</w:t>
      </w:r>
      <w:r w:rsidR="00F37FEC">
        <w:t xml:space="preserve">s </w:t>
      </w:r>
      <w:r w:rsidR="00FF38AB">
        <w:t>legal costs</w:t>
      </w:r>
      <w:r>
        <w:t xml:space="preserve">. </w:t>
      </w:r>
    </w:p>
    <w:p w14:paraId="656B092F" w14:textId="77777777" w:rsidR="0016404B" w:rsidRPr="00040A06" w:rsidRDefault="0016404B" w:rsidP="00040A06">
      <w:pPr>
        <w:rPr>
          <w:b/>
          <w:i/>
        </w:rPr>
      </w:pPr>
      <w:r w:rsidRPr="00040A06">
        <w:rPr>
          <w:b/>
          <w:i/>
        </w:rPr>
        <w:t xml:space="preserve">Case Study – Unsecured load in Melton </w:t>
      </w:r>
    </w:p>
    <w:p w14:paraId="656B0930" w14:textId="77777777" w:rsidR="009E3BC2" w:rsidRPr="009E3BC2" w:rsidRDefault="0016404B" w:rsidP="00040A06">
      <w:r w:rsidRPr="005D63F0">
        <w:t xml:space="preserve">In 2012, a City of Melton Litter Education and Prevention Officer encountered a pile of household rubbish during a routine patrol of a litter hotspot. The officer manually inspected the material and found various sources of identification. After gathering the evidence, the officer sent a notice under section 45ZI of the EP Act 1970 to the address found on identification. A response was received explaining that the rubbish had fallen from a </w:t>
      </w:r>
      <w:r w:rsidR="00E616A2">
        <w:t>vehicle</w:t>
      </w:r>
      <w:r w:rsidR="00E616A2" w:rsidRPr="005D63F0">
        <w:t xml:space="preserve"> </w:t>
      </w:r>
      <w:r w:rsidRPr="005D63F0">
        <w:t xml:space="preserve">when moving house. A notice under </w:t>
      </w:r>
      <w:r w:rsidRPr="00040A06">
        <w:rPr>
          <w:i/>
        </w:rPr>
        <w:t>section 45U</w:t>
      </w:r>
      <w:r w:rsidRPr="005D63F0">
        <w:t xml:space="preserve"> of the EP Act 1970 Act was then sent for the unsecured load and this infringement was paid by the offender. Council’s waste services contractors removed the dumped material during their routine collection</w:t>
      </w:r>
      <w:r w:rsidR="009E3BC2">
        <w:t>.</w:t>
      </w:r>
    </w:p>
    <w:p w14:paraId="656B0931" w14:textId="77777777" w:rsidR="005D63F0" w:rsidRPr="00040A06" w:rsidRDefault="005D63F0" w:rsidP="00AE334C">
      <w:pPr>
        <w:pStyle w:val="Heading3"/>
        <w:ind w:left="720"/>
      </w:pPr>
      <w:r w:rsidRPr="00040A06">
        <w:t>Harms and costs</w:t>
      </w:r>
    </w:p>
    <w:p w14:paraId="656B0932" w14:textId="77777777" w:rsidR="00060AF7" w:rsidRDefault="0079799C" w:rsidP="005D2C6E">
      <w:pPr>
        <w:spacing w:after="170"/>
      </w:pPr>
      <w:r>
        <w:t xml:space="preserve">Aside from case studies similar to those above, there is very limited information on the scale of harm caused by items that may become litter (and subsequently once they become litter), or the cost to the community. </w:t>
      </w:r>
      <w:r w:rsidR="00D770F5">
        <w:t>As a small part of the broader litter problem, there is no data available on the amount of material that may become litter in Victoria, and then the proportion of this that actually becomes litter.</w:t>
      </w:r>
      <w:r w:rsidR="00332037">
        <w:t xml:space="preserve"> </w:t>
      </w:r>
    </w:p>
    <w:p w14:paraId="656B0933" w14:textId="77777777" w:rsidR="00371D1C" w:rsidRDefault="00371D1C">
      <w:pPr>
        <w:spacing w:after="170"/>
        <w:rPr>
          <w:rFonts w:cs="Segoe UI Light"/>
        </w:rPr>
      </w:pPr>
      <w:r>
        <w:t xml:space="preserve">As already noted, each of the six </w:t>
      </w:r>
      <w:r w:rsidRPr="00040A06">
        <w:rPr>
          <w:rFonts w:cs="Segoe UI Light"/>
        </w:rPr>
        <w:t>local councils surveyed for this RIS reported that they had enforced at least one of</w:t>
      </w:r>
      <w:r>
        <w:rPr>
          <w:rFonts w:cs="Segoe UI Light"/>
        </w:rPr>
        <w:t xml:space="preserve"> these litter-related offences, </w:t>
      </w:r>
      <w:r w:rsidRPr="00040A06">
        <w:rPr>
          <w:rFonts w:cs="Segoe UI Light"/>
        </w:rPr>
        <w:t>either as warnings or infringement not</w:t>
      </w:r>
      <w:r>
        <w:rPr>
          <w:rFonts w:cs="Segoe UI Light"/>
        </w:rPr>
        <w:t xml:space="preserve">ices. This suggests that, across the state, the incidents such as those in the case studies above represent a relatively small sample. </w:t>
      </w:r>
    </w:p>
    <w:p w14:paraId="656B0934" w14:textId="77777777" w:rsidR="00371D1C" w:rsidRDefault="00371D1C">
      <w:pPr>
        <w:spacing w:after="170"/>
      </w:pPr>
      <w:r>
        <w:rPr>
          <w:rFonts w:cs="Segoe UI Light"/>
        </w:rPr>
        <w:t xml:space="preserve">Beyond the nuisance factor, the depositing of items that may become litter doesn’t typically generate a significant risk of harm to human health. However, depositing these items can </w:t>
      </w:r>
      <w:r w:rsidRPr="00580822">
        <w:rPr>
          <w:rFonts w:cs="Segoe UI Light"/>
        </w:rPr>
        <w:t>result in environmental harm</w:t>
      </w:r>
      <w:r>
        <w:rPr>
          <w:rFonts w:cs="Segoe UI Light"/>
        </w:rPr>
        <w:t xml:space="preserve">, particularly if litter ends up in waterways, and result in clean-up costs that would typically be borne by councils. </w:t>
      </w:r>
    </w:p>
    <w:p w14:paraId="656B0935" w14:textId="77777777" w:rsidR="00D770F5" w:rsidRDefault="00D770F5" w:rsidP="005D2C6E">
      <w:pPr>
        <w:spacing w:after="170"/>
      </w:pPr>
      <w:r>
        <w:t>Like the broader litter problem, the</w:t>
      </w:r>
      <w:r w:rsidR="00332037">
        <w:t xml:space="preserve"> </w:t>
      </w:r>
      <w:r w:rsidR="0019024B">
        <w:t xml:space="preserve">residual </w:t>
      </w:r>
      <w:r w:rsidR="00332037">
        <w:t>problem</w:t>
      </w:r>
      <w:r>
        <w:t xml:space="preserve"> is very di</w:t>
      </w:r>
      <w:r w:rsidR="00332037">
        <w:t>spersed and difficult to track.</w:t>
      </w:r>
    </w:p>
    <w:p w14:paraId="656B0936" w14:textId="77777777" w:rsidR="00FE4778" w:rsidRDefault="005D2C6E" w:rsidP="00982D63">
      <w:pPr>
        <w:pStyle w:val="Heading2"/>
      </w:pPr>
      <w:r>
        <w:t>Options</w:t>
      </w:r>
    </w:p>
    <w:p w14:paraId="656B0937" w14:textId="77777777" w:rsidR="003173D1" w:rsidRDefault="003173D1" w:rsidP="003173D1">
      <w:r>
        <w:t xml:space="preserve">In developing options, DELWP </w:t>
      </w:r>
      <w:r w:rsidR="00727D86">
        <w:t xml:space="preserve">and EPA </w:t>
      </w:r>
      <w:r>
        <w:t xml:space="preserve">considered how the GED would address any residual litter risks that would not be addressed by the litter offences outlined in the </w:t>
      </w:r>
      <w:r w:rsidR="00F665BD">
        <w:t>n</w:t>
      </w:r>
      <w:r>
        <w:t xml:space="preserve">ew EP legislation, and how the role of other entities which enforce litter offences (including councils and Victoria Police) would be impacted from the status quo under a non-regulatory approach. </w:t>
      </w:r>
    </w:p>
    <w:p w14:paraId="656B0938" w14:textId="77777777" w:rsidR="00AE2041" w:rsidRDefault="00AE2041" w:rsidP="00AE2041">
      <w:r>
        <w:t>The following options for addressing the problem are being assessed in this RIS:</w:t>
      </w:r>
    </w:p>
    <w:p w14:paraId="656B0939" w14:textId="77777777" w:rsidR="00AE2041" w:rsidRDefault="00AE2041" w:rsidP="004A2442">
      <w:pPr>
        <w:pStyle w:val="Bullet1"/>
        <w:numPr>
          <w:ilvl w:val="0"/>
          <w:numId w:val="26"/>
        </w:numPr>
        <w:tabs>
          <w:tab w:val="left" w:pos="720"/>
        </w:tabs>
      </w:pPr>
      <w:r w:rsidRPr="0003434D">
        <w:rPr>
          <w:b/>
        </w:rPr>
        <w:t xml:space="preserve">Base </w:t>
      </w:r>
      <w:r>
        <w:rPr>
          <w:b/>
        </w:rPr>
        <w:t>C</w:t>
      </w:r>
      <w:r w:rsidRPr="0003434D">
        <w:rPr>
          <w:b/>
        </w:rPr>
        <w:t>ase - do nothing:</w:t>
      </w:r>
      <w:r>
        <w:t xml:space="preserve"> no regulations in addition to the litter-related offences and enforcement powers created under the new EP legislation.</w:t>
      </w:r>
    </w:p>
    <w:p w14:paraId="656B093A" w14:textId="77777777" w:rsidR="00AE2041" w:rsidRDefault="00AE2041" w:rsidP="004A2442">
      <w:pPr>
        <w:pStyle w:val="Bullet1"/>
        <w:numPr>
          <w:ilvl w:val="0"/>
          <w:numId w:val="26"/>
        </w:numPr>
        <w:tabs>
          <w:tab w:val="left" w:pos="720"/>
        </w:tabs>
        <w:spacing w:after="0"/>
        <w:rPr>
          <w:rFonts w:cs="Arial"/>
          <w:color w:val="000000"/>
          <w:szCs w:val="20"/>
          <w:lang w:eastAsia="en-AU"/>
        </w:rPr>
      </w:pPr>
      <w:r w:rsidRPr="002F5BB3">
        <w:rPr>
          <w:b/>
        </w:rPr>
        <w:t>Option 1 – Transitioning provisions from the EP Act 1970 (that were not included in the EP Amendment Act 2018) into regulations</w:t>
      </w:r>
      <w:r>
        <w:t>:</w:t>
      </w:r>
      <w:r w:rsidRPr="001B7C07" w:rsidDel="002D5DB2">
        <w:t xml:space="preserve"> </w:t>
      </w:r>
      <w:r>
        <w:rPr>
          <w:rFonts w:cs="Arial"/>
          <w:color w:val="000000"/>
          <w:szCs w:val="20"/>
          <w:lang w:eastAsia="en-AU"/>
        </w:rPr>
        <w:t xml:space="preserve">The “remaining” litter offences from the EP Act </w:t>
      </w:r>
      <w:r w:rsidRPr="00F54D6E">
        <w:rPr>
          <w:rFonts w:cs="Arial"/>
          <w:color w:val="000000"/>
          <w:szCs w:val="20"/>
          <w:lang w:eastAsia="en-AU"/>
        </w:rPr>
        <w:t xml:space="preserve">1970 </w:t>
      </w:r>
      <w:r>
        <w:rPr>
          <w:rFonts w:cs="Arial"/>
          <w:color w:val="000000"/>
          <w:szCs w:val="20"/>
          <w:lang w:eastAsia="en-AU"/>
        </w:rPr>
        <w:t xml:space="preserve">(i.e. those that were not incorporated into the new EP legislation) would be “transitioned” </w:t>
      </w:r>
      <w:r w:rsidRPr="00F54D6E">
        <w:rPr>
          <w:rFonts w:cs="Arial"/>
          <w:color w:val="000000"/>
          <w:szCs w:val="20"/>
          <w:lang w:eastAsia="en-AU"/>
        </w:rPr>
        <w:t>into regulations</w:t>
      </w:r>
      <w:r>
        <w:rPr>
          <w:rFonts w:cs="Arial"/>
          <w:color w:val="000000"/>
          <w:szCs w:val="20"/>
          <w:lang w:eastAsia="en-AU"/>
        </w:rPr>
        <w:t xml:space="preserve">, in a more </w:t>
      </w:r>
      <w:r w:rsidRPr="00F54D6E">
        <w:rPr>
          <w:rFonts w:cs="Arial"/>
          <w:color w:val="000000"/>
          <w:szCs w:val="20"/>
          <w:lang w:eastAsia="en-AU"/>
        </w:rPr>
        <w:t>streamlin</w:t>
      </w:r>
      <w:r>
        <w:rPr>
          <w:rFonts w:cs="Arial"/>
          <w:color w:val="000000"/>
          <w:szCs w:val="20"/>
          <w:lang w:eastAsia="en-AU"/>
        </w:rPr>
        <w:t>ed</w:t>
      </w:r>
      <w:r w:rsidRPr="00F54D6E">
        <w:rPr>
          <w:rFonts w:cs="Arial"/>
          <w:color w:val="000000"/>
          <w:szCs w:val="20"/>
          <w:lang w:eastAsia="en-AU"/>
        </w:rPr>
        <w:t xml:space="preserve"> and modernis</w:t>
      </w:r>
      <w:r>
        <w:rPr>
          <w:rFonts w:cs="Arial"/>
          <w:color w:val="000000"/>
          <w:szCs w:val="20"/>
          <w:lang w:eastAsia="en-AU"/>
        </w:rPr>
        <w:t xml:space="preserve">ed manner. Those offences (as they are defined in the EP Act 1970) are outlined below: </w:t>
      </w:r>
    </w:p>
    <w:p w14:paraId="656B093B" w14:textId="77777777" w:rsidR="00AE2041" w:rsidRPr="00E10EB2" w:rsidRDefault="00AE2041" w:rsidP="004A2442">
      <w:pPr>
        <w:pStyle w:val="ListParagraph"/>
        <w:numPr>
          <w:ilvl w:val="1"/>
          <w:numId w:val="26"/>
        </w:numPr>
        <w:spacing w:after="0"/>
        <w:ind w:left="993" w:hanging="284"/>
        <w:rPr>
          <w:rFonts w:cs="Segoe UI Light"/>
          <w:szCs w:val="20"/>
        </w:rPr>
      </w:pPr>
      <w:r w:rsidRPr="00E10EB2">
        <w:rPr>
          <w:rFonts w:cs="Segoe UI Light"/>
          <w:szCs w:val="20"/>
        </w:rPr>
        <w:t>Section 45L - Unsolicited documents must be put in mailboxes etc</w:t>
      </w:r>
      <w:r w:rsidR="00DC7A63">
        <w:rPr>
          <w:rFonts w:cs="Segoe UI Light"/>
          <w:szCs w:val="20"/>
        </w:rPr>
        <w:t xml:space="preserve">. </w:t>
      </w:r>
    </w:p>
    <w:p w14:paraId="656B093C" w14:textId="77777777" w:rsidR="00AE2041" w:rsidRPr="00E10EB2" w:rsidRDefault="00AE2041" w:rsidP="004A2442">
      <w:pPr>
        <w:pStyle w:val="ListParagraph"/>
        <w:numPr>
          <w:ilvl w:val="1"/>
          <w:numId w:val="26"/>
        </w:numPr>
        <w:spacing w:after="0"/>
        <w:ind w:left="993" w:hanging="284"/>
        <w:rPr>
          <w:rFonts w:cs="Segoe UI Light"/>
          <w:szCs w:val="20"/>
        </w:rPr>
      </w:pPr>
      <w:r w:rsidRPr="00E10EB2">
        <w:rPr>
          <w:rFonts w:cs="Segoe UI Light"/>
          <w:szCs w:val="20"/>
        </w:rPr>
        <w:t>Section 45M - Advertising material not to be deposited in certain mailboxes</w:t>
      </w:r>
    </w:p>
    <w:p w14:paraId="656B093D" w14:textId="77777777" w:rsidR="00AE2041" w:rsidRPr="00E10EB2" w:rsidRDefault="00AE2041" w:rsidP="004A2442">
      <w:pPr>
        <w:pStyle w:val="ListParagraph"/>
        <w:numPr>
          <w:ilvl w:val="1"/>
          <w:numId w:val="26"/>
        </w:numPr>
        <w:spacing w:after="0"/>
        <w:ind w:left="993" w:hanging="284"/>
        <w:rPr>
          <w:rFonts w:cs="Segoe UI Light"/>
          <w:szCs w:val="20"/>
        </w:rPr>
      </w:pPr>
      <w:r w:rsidRPr="00E10EB2">
        <w:rPr>
          <w:rFonts w:cs="Segoe UI Light"/>
          <w:szCs w:val="20"/>
        </w:rPr>
        <w:t>Section 45N - Leaflets etc. not to be placed on vehicles</w:t>
      </w:r>
    </w:p>
    <w:p w14:paraId="656B093E" w14:textId="77777777" w:rsidR="00AE2041" w:rsidRPr="00E10EB2" w:rsidRDefault="00AE2041" w:rsidP="004A2442">
      <w:pPr>
        <w:pStyle w:val="ListParagraph"/>
        <w:numPr>
          <w:ilvl w:val="1"/>
          <w:numId w:val="26"/>
        </w:numPr>
        <w:spacing w:after="0"/>
        <w:ind w:left="993" w:hanging="284"/>
        <w:rPr>
          <w:rFonts w:cs="Segoe UI Light"/>
          <w:szCs w:val="20"/>
        </w:rPr>
      </w:pPr>
      <w:r w:rsidRPr="00E10EB2">
        <w:rPr>
          <w:rFonts w:cs="Segoe UI Light"/>
          <w:szCs w:val="20"/>
        </w:rPr>
        <w:t>Section 45O - Bill posting not to occur without consent</w:t>
      </w:r>
    </w:p>
    <w:p w14:paraId="656B093F" w14:textId="77777777" w:rsidR="00AE2041" w:rsidRPr="00E10EB2" w:rsidRDefault="00AE2041" w:rsidP="004A2442">
      <w:pPr>
        <w:pStyle w:val="ListParagraph"/>
        <w:numPr>
          <w:ilvl w:val="1"/>
          <w:numId w:val="26"/>
        </w:numPr>
        <w:spacing w:after="0"/>
        <w:ind w:left="993" w:hanging="284"/>
        <w:rPr>
          <w:rFonts w:cs="Segoe UI Light"/>
          <w:szCs w:val="20"/>
        </w:rPr>
      </w:pPr>
      <w:r w:rsidRPr="00E10EB2">
        <w:rPr>
          <w:rFonts w:cs="Segoe UI Light"/>
          <w:szCs w:val="20"/>
        </w:rPr>
        <w:t xml:space="preserve">Section 45P - Advertiser must disclose name of distributor  </w:t>
      </w:r>
    </w:p>
    <w:p w14:paraId="656B0940" w14:textId="77777777" w:rsidR="00AE2041" w:rsidRPr="00E10EB2" w:rsidRDefault="00AE2041" w:rsidP="004A2442">
      <w:pPr>
        <w:pStyle w:val="ListParagraph"/>
        <w:numPr>
          <w:ilvl w:val="1"/>
          <w:numId w:val="26"/>
        </w:numPr>
        <w:spacing w:after="0"/>
        <w:ind w:left="993" w:hanging="284"/>
        <w:rPr>
          <w:rFonts w:cs="Segoe UI Light"/>
          <w:szCs w:val="20"/>
        </w:rPr>
      </w:pPr>
      <w:r w:rsidRPr="00E10EB2">
        <w:rPr>
          <w:rFonts w:cs="Segoe UI Light"/>
          <w:szCs w:val="20"/>
        </w:rPr>
        <w:t xml:space="preserve">Section 45Q - Distributor must disclose name of depositor  </w:t>
      </w:r>
    </w:p>
    <w:p w14:paraId="656B0941" w14:textId="77777777" w:rsidR="00AE2041" w:rsidRPr="00E10EB2" w:rsidRDefault="00AE2041" w:rsidP="004A2442">
      <w:pPr>
        <w:pStyle w:val="ListParagraph"/>
        <w:numPr>
          <w:ilvl w:val="1"/>
          <w:numId w:val="26"/>
        </w:numPr>
        <w:spacing w:after="0"/>
        <w:ind w:left="993" w:hanging="284"/>
        <w:rPr>
          <w:rFonts w:cs="Segoe UI Light"/>
          <w:szCs w:val="20"/>
        </w:rPr>
      </w:pPr>
      <w:r w:rsidRPr="00E10EB2">
        <w:rPr>
          <w:rFonts w:cs="Segoe UI Light"/>
          <w:szCs w:val="20"/>
        </w:rPr>
        <w:t>Section 45R - Person who commissions document must ensure that it does not become litter</w:t>
      </w:r>
    </w:p>
    <w:p w14:paraId="656B0942" w14:textId="77777777" w:rsidR="00AE2041" w:rsidRPr="00E10EB2" w:rsidRDefault="00AE2041" w:rsidP="004A2442">
      <w:pPr>
        <w:pStyle w:val="ListParagraph"/>
        <w:numPr>
          <w:ilvl w:val="1"/>
          <w:numId w:val="26"/>
        </w:numPr>
        <w:spacing w:after="0"/>
        <w:ind w:left="993" w:hanging="284"/>
        <w:rPr>
          <w:rFonts w:cs="Segoe UI Light"/>
          <w:szCs w:val="20"/>
        </w:rPr>
      </w:pPr>
      <w:r w:rsidRPr="00E10EB2">
        <w:rPr>
          <w:rFonts w:cs="Segoe UI Light"/>
          <w:szCs w:val="20"/>
        </w:rPr>
        <w:t xml:space="preserve">Section 45T - Offence to deface or set fire to public litter receptacles  </w:t>
      </w:r>
    </w:p>
    <w:p w14:paraId="656B0943" w14:textId="77777777" w:rsidR="00AE2041" w:rsidRPr="00E10EB2" w:rsidRDefault="00AE2041" w:rsidP="004A2442">
      <w:pPr>
        <w:pStyle w:val="ListParagraph"/>
        <w:numPr>
          <w:ilvl w:val="1"/>
          <w:numId w:val="26"/>
        </w:numPr>
        <w:ind w:left="993" w:hanging="284"/>
        <w:rPr>
          <w:rFonts w:cs="Segoe UI Light"/>
          <w:szCs w:val="20"/>
        </w:rPr>
      </w:pPr>
      <w:r w:rsidRPr="00E10EB2">
        <w:rPr>
          <w:rFonts w:cs="Segoe UI Light"/>
          <w:szCs w:val="20"/>
        </w:rPr>
        <w:t>Section 45U - Offences concerning the loading of vehicles</w:t>
      </w:r>
      <w:r>
        <w:rPr>
          <w:rFonts w:cs="Segoe UI Light"/>
          <w:szCs w:val="20"/>
        </w:rPr>
        <w:t>.</w:t>
      </w:r>
    </w:p>
    <w:p w14:paraId="656B0944" w14:textId="77777777" w:rsidR="00AE2041" w:rsidRDefault="00AE2041" w:rsidP="00AE2041">
      <w:pPr>
        <w:widowControl w:val="0"/>
        <w:autoSpaceDE w:val="0"/>
        <w:autoSpaceDN w:val="0"/>
        <w:adjustRightInd w:val="0"/>
        <w:spacing w:before="91" w:after="0" w:line="266" w:lineRule="exact"/>
        <w:ind w:left="709"/>
        <w:rPr>
          <w:rFonts w:cs="Arial"/>
          <w:color w:val="000000"/>
          <w:szCs w:val="20"/>
          <w:lang w:eastAsia="en-AU"/>
        </w:rPr>
      </w:pPr>
      <w:r>
        <w:rPr>
          <w:rFonts w:cs="Arial"/>
          <w:color w:val="000000"/>
          <w:szCs w:val="20"/>
          <w:lang w:eastAsia="en-AU"/>
        </w:rPr>
        <w:t xml:space="preserve">Option 1 would also: </w:t>
      </w:r>
    </w:p>
    <w:p w14:paraId="656B0945" w14:textId="77777777" w:rsidR="00AE2041" w:rsidRPr="00494A7B" w:rsidRDefault="00C95E3F" w:rsidP="00494A7B">
      <w:pPr>
        <w:pStyle w:val="ListParagraph"/>
        <w:numPr>
          <w:ilvl w:val="1"/>
          <w:numId w:val="26"/>
        </w:numPr>
        <w:spacing w:after="0"/>
        <w:ind w:left="993" w:hanging="284"/>
        <w:rPr>
          <w:rFonts w:cs="Segoe UI Light"/>
          <w:szCs w:val="20"/>
        </w:rPr>
      </w:pPr>
      <w:r>
        <w:rPr>
          <w:rFonts w:cs="Segoe UI Light"/>
          <w:szCs w:val="20"/>
        </w:rPr>
        <w:t>E</w:t>
      </w:r>
      <w:r w:rsidR="00AE2041" w:rsidRPr="00494A7B">
        <w:rPr>
          <w:rFonts w:cs="Segoe UI Light"/>
          <w:szCs w:val="20"/>
        </w:rPr>
        <w:t>xtend bill-posting liability (as listed above, Section 45O) to the person who authori</w:t>
      </w:r>
      <w:r w:rsidR="0061381B" w:rsidRPr="00494A7B">
        <w:rPr>
          <w:rFonts w:cs="Segoe UI Light"/>
          <w:szCs w:val="20"/>
        </w:rPr>
        <w:t>s</w:t>
      </w:r>
      <w:r w:rsidR="00AE2041" w:rsidRPr="00494A7B">
        <w:rPr>
          <w:rFonts w:cs="Segoe UI Light"/>
          <w:szCs w:val="20"/>
        </w:rPr>
        <w:t>ed or commissioned the posting.</w:t>
      </w:r>
    </w:p>
    <w:p w14:paraId="656B0946" w14:textId="77777777" w:rsidR="00A92F9F" w:rsidRPr="00494A7B" w:rsidRDefault="00C95E3F" w:rsidP="00494A7B">
      <w:pPr>
        <w:pStyle w:val="ListParagraph"/>
        <w:numPr>
          <w:ilvl w:val="1"/>
          <w:numId w:val="26"/>
        </w:numPr>
        <w:spacing w:after="0"/>
        <w:ind w:left="993" w:hanging="284"/>
        <w:rPr>
          <w:rFonts w:cs="Segoe UI Light"/>
          <w:szCs w:val="20"/>
        </w:rPr>
      </w:pPr>
      <w:r>
        <w:rPr>
          <w:rFonts w:cs="Segoe UI Light"/>
          <w:szCs w:val="20"/>
        </w:rPr>
        <w:t>C</w:t>
      </w:r>
      <w:r w:rsidR="00AE2041" w:rsidRPr="00494A7B">
        <w:rPr>
          <w:rFonts w:cs="Segoe UI Light"/>
          <w:szCs w:val="20"/>
        </w:rPr>
        <w:t xml:space="preserve">lassify litter that is wholly or partly comprised of </w:t>
      </w:r>
      <w:r w:rsidR="00A92F9F" w:rsidRPr="00494A7B">
        <w:rPr>
          <w:rFonts w:cs="Segoe UI Light"/>
          <w:szCs w:val="20"/>
        </w:rPr>
        <w:t>priority waste as dangerous litter</w:t>
      </w:r>
      <w:r w:rsidR="00AE2041" w:rsidRPr="00494A7B">
        <w:rPr>
          <w:rFonts w:cs="Segoe UI Light"/>
          <w:szCs w:val="20"/>
        </w:rPr>
        <w:t>. There is a</w:t>
      </w:r>
      <w:r w:rsidR="002C3810" w:rsidRPr="00494A7B">
        <w:rPr>
          <w:rFonts w:cs="Segoe UI Light"/>
          <w:szCs w:val="20"/>
        </w:rPr>
        <w:t xml:space="preserve"> dangerous litter</w:t>
      </w:r>
      <w:r w:rsidR="00AE2041" w:rsidRPr="00494A7B">
        <w:rPr>
          <w:rFonts w:cs="Segoe UI Light"/>
          <w:szCs w:val="20"/>
        </w:rPr>
        <w:t xml:space="preserve"> offence under the new EP legislation, which has a greater penalty (60 penalty units for an individual) than the offence for depositing material that is not classified as dangerous (20 penalty units for an individual). </w:t>
      </w:r>
    </w:p>
    <w:p w14:paraId="656B0948" w14:textId="77777777" w:rsidR="00AE2041" w:rsidRDefault="00AE2041" w:rsidP="00AE2041">
      <w:pPr>
        <w:widowControl w:val="0"/>
        <w:autoSpaceDE w:val="0"/>
        <w:autoSpaceDN w:val="0"/>
        <w:adjustRightInd w:val="0"/>
        <w:spacing w:before="91" w:after="0" w:line="266" w:lineRule="exact"/>
        <w:ind w:left="709"/>
        <w:rPr>
          <w:rFonts w:cs="Arial"/>
          <w:color w:val="000000"/>
          <w:szCs w:val="20"/>
          <w:lang w:eastAsia="en-AU"/>
        </w:rPr>
      </w:pPr>
      <w:r>
        <w:rPr>
          <w:rFonts w:cs="Arial"/>
          <w:color w:val="000000"/>
          <w:szCs w:val="20"/>
          <w:lang w:eastAsia="en-AU"/>
        </w:rPr>
        <w:t xml:space="preserve">Under this option, it </w:t>
      </w:r>
      <w:r>
        <w:rPr>
          <w:rFonts w:cs="Segoe UI Light"/>
          <w:color w:val="000000"/>
          <w:szCs w:val="20"/>
        </w:rPr>
        <w:t>is proposed that the regulations would list litter authorities and litter enforcement officers as prescribed persons pursuant to s.347(5) of the EP Amendment Act 2018. This would allow all litter enforcement officers currently prescribed in the EP Amendment Act 2018 to enforce thes</w:t>
      </w:r>
      <w:r w:rsidR="00CE5E1B">
        <w:rPr>
          <w:rFonts w:cs="Segoe UI Light"/>
          <w:color w:val="000000"/>
          <w:szCs w:val="20"/>
        </w:rPr>
        <w:t>e regulations.</w:t>
      </w:r>
    </w:p>
    <w:p w14:paraId="656B0949" w14:textId="77777777" w:rsidR="00AE2041" w:rsidRDefault="00AE2041" w:rsidP="004A2442">
      <w:pPr>
        <w:pStyle w:val="Bullet1"/>
        <w:numPr>
          <w:ilvl w:val="0"/>
          <w:numId w:val="26"/>
        </w:numPr>
        <w:tabs>
          <w:tab w:val="left" w:pos="720"/>
        </w:tabs>
        <w:spacing w:before="120" w:after="0"/>
      </w:pPr>
      <w:r w:rsidRPr="00A460F0">
        <w:rPr>
          <w:b/>
        </w:rPr>
        <w:t xml:space="preserve">Option </w:t>
      </w:r>
      <w:r>
        <w:rPr>
          <w:b/>
        </w:rPr>
        <w:t>2</w:t>
      </w:r>
      <w:r w:rsidRPr="00A460F0">
        <w:rPr>
          <w:b/>
        </w:rPr>
        <w:t xml:space="preserve"> -</w:t>
      </w:r>
      <w:r>
        <w:t xml:space="preserve"> </w:t>
      </w:r>
      <w:r>
        <w:rPr>
          <w:b/>
        </w:rPr>
        <w:t xml:space="preserve">Non-regulatory options. </w:t>
      </w:r>
      <w:r>
        <w:t>Option 2 considers only non-regulatory options to address the problem, including:</w:t>
      </w:r>
    </w:p>
    <w:p w14:paraId="656B094A" w14:textId="77777777" w:rsidR="00AE2041" w:rsidRPr="001B7C07" w:rsidRDefault="00AE2041" w:rsidP="004A2442">
      <w:pPr>
        <w:pStyle w:val="ListParagraph"/>
        <w:numPr>
          <w:ilvl w:val="1"/>
          <w:numId w:val="26"/>
        </w:numPr>
        <w:spacing w:after="0"/>
        <w:ind w:left="993" w:hanging="284"/>
        <w:rPr>
          <w:rFonts w:cs="Segoe UI Light"/>
          <w:szCs w:val="20"/>
        </w:rPr>
      </w:pPr>
      <w:r w:rsidRPr="001B7C07">
        <w:rPr>
          <w:rFonts w:cs="Segoe UI Light"/>
          <w:szCs w:val="20"/>
        </w:rPr>
        <w:t>P</w:t>
      </w:r>
      <w:r w:rsidRPr="002F5BB3">
        <w:rPr>
          <w:rFonts w:cs="Segoe UI Light"/>
          <w:szCs w:val="20"/>
        </w:rPr>
        <w:t>ublic education campaigns and guidance</w:t>
      </w:r>
      <w:r w:rsidRPr="001B7C07">
        <w:rPr>
          <w:rFonts w:cs="Segoe UI Light"/>
          <w:szCs w:val="20"/>
        </w:rPr>
        <w:t xml:space="preserve"> – to address the harms resulting from lack of knowledge. </w:t>
      </w:r>
    </w:p>
    <w:p w14:paraId="656B094B" w14:textId="77777777" w:rsidR="00AE2041" w:rsidRDefault="00AE2041" w:rsidP="004A2442">
      <w:pPr>
        <w:pStyle w:val="ListParagraph"/>
        <w:numPr>
          <w:ilvl w:val="1"/>
          <w:numId w:val="26"/>
        </w:numPr>
        <w:spacing w:after="0"/>
        <w:ind w:left="993" w:hanging="284"/>
        <w:rPr>
          <w:rFonts w:cs="Segoe UI Light"/>
          <w:szCs w:val="20"/>
        </w:rPr>
      </w:pPr>
      <w:r w:rsidRPr="001B7C07">
        <w:rPr>
          <w:rFonts w:cs="Segoe UI Light"/>
          <w:szCs w:val="20"/>
        </w:rPr>
        <w:t>P</w:t>
      </w:r>
      <w:r w:rsidRPr="002F5BB3">
        <w:rPr>
          <w:rFonts w:cs="Segoe UI Light"/>
          <w:szCs w:val="20"/>
        </w:rPr>
        <w:t>rovide better infrastructure such as clean, well-maintained bins with consideration of who uses a site and how</w:t>
      </w:r>
      <w:r w:rsidRPr="001B7C07">
        <w:rPr>
          <w:rFonts w:cs="Segoe UI Light"/>
          <w:szCs w:val="20"/>
        </w:rPr>
        <w:t xml:space="preserve"> they use it</w:t>
      </w:r>
      <w:r w:rsidRPr="002F5BB3">
        <w:rPr>
          <w:rFonts w:cs="Segoe UI Light"/>
          <w:szCs w:val="20"/>
        </w:rPr>
        <w:t xml:space="preserve">. </w:t>
      </w:r>
    </w:p>
    <w:p w14:paraId="656B094C" w14:textId="77777777" w:rsidR="00AE2041" w:rsidRPr="00A06EF5" w:rsidRDefault="00AE2041" w:rsidP="0083228D">
      <w:pPr>
        <w:spacing w:before="120"/>
      </w:pPr>
      <w:r>
        <w:t xml:space="preserve">It is important to note that Option 1 and Option 2 are not mutually exclusive. However, in order to demonstrate the relative merits of these two approaches for the purpose of this RIS, they </w:t>
      </w:r>
      <w:r w:rsidR="002C3810">
        <w:t xml:space="preserve">are </w:t>
      </w:r>
      <w:r>
        <w:t>assessed as separate options.</w:t>
      </w:r>
    </w:p>
    <w:p w14:paraId="656B094D" w14:textId="77777777" w:rsidR="00AE2041" w:rsidRDefault="00AE2041" w:rsidP="00982D63">
      <w:pPr>
        <w:pStyle w:val="Heading2"/>
      </w:pPr>
      <w:r>
        <w:t>Assessment</w:t>
      </w:r>
    </w:p>
    <w:p w14:paraId="656B094E" w14:textId="77777777" w:rsidR="00AE2041" w:rsidRDefault="00AE2041" w:rsidP="00AE334C">
      <w:pPr>
        <w:pStyle w:val="Heading3"/>
        <w:ind w:left="720"/>
      </w:pPr>
      <w:r>
        <w:t>Assessment method</w:t>
      </w:r>
    </w:p>
    <w:p w14:paraId="656B094F" w14:textId="77777777" w:rsidR="00AE2041" w:rsidRDefault="00AE2041" w:rsidP="00AE2041">
      <w:r>
        <w:t xml:space="preserve">MCA is used to assess options for this problem area because insufficient information is available to </w:t>
      </w:r>
      <w:r w:rsidR="002C3810">
        <w:t xml:space="preserve">enable </w:t>
      </w:r>
      <w:r>
        <w:t xml:space="preserve">a fully quantitative CBA. </w:t>
      </w:r>
    </w:p>
    <w:p w14:paraId="656B0950" w14:textId="77777777" w:rsidR="00532DFF" w:rsidRDefault="00532DFF" w:rsidP="00AE334C">
      <w:pPr>
        <w:pStyle w:val="Heading3"/>
        <w:ind w:left="720"/>
      </w:pPr>
      <w:r>
        <w:t>Detailed assessment</w:t>
      </w:r>
    </w:p>
    <w:p w14:paraId="656B0951" w14:textId="77777777" w:rsidR="00AE2041" w:rsidRPr="002F5BB3" w:rsidRDefault="00AE2041" w:rsidP="000E7C5E">
      <w:pPr>
        <w:pStyle w:val="Heading4un-numbered"/>
        <w:spacing w:after="240"/>
      </w:pPr>
      <w:r w:rsidRPr="002F5BB3">
        <w:t>Option 1 – Transitioning provisions from the EP Act 1970 into regulations</w:t>
      </w:r>
    </w:p>
    <w:p w14:paraId="656B0952" w14:textId="77777777" w:rsidR="00AE2041" w:rsidRPr="000E7C5E" w:rsidRDefault="00AE2041" w:rsidP="00494A7B">
      <w:pPr>
        <w:spacing w:after="0"/>
        <w:rPr>
          <w:i/>
        </w:rPr>
      </w:pPr>
      <w:r w:rsidRPr="000E7C5E">
        <w:rPr>
          <w:i/>
        </w:rPr>
        <w:t>Effectiveness</w:t>
      </w:r>
    </w:p>
    <w:p w14:paraId="656B0953" w14:textId="77777777" w:rsidR="00AE2041" w:rsidRPr="005B21CC" w:rsidRDefault="00AE2041" w:rsidP="00AE2041">
      <w:r>
        <w:t>The regulations may be effective in d</w:t>
      </w:r>
      <w:r w:rsidRPr="004D210C">
        <w:t>eterring individuals from depositing materials that may become litter, recovering clean-up costs that would otherwise be incurred by taxpayers/ratepayers, and in some instances, compelling those responsible to clean up items that have (or may become) litter to avoid a penalty. Taking into account the limited data to support the analysis,</w:t>
      </w:r>
      <w:r w:rsidR="005B21CC" w:rsidRPr="004D210C">
        <w:t xml:space="preserve"> </w:t>
      </w:r>
      <w:r w:rsidRPr="004D210C">
        <w:t xml:space="preserve">a score of </w:t>
      </w:r>
      <w:r w:rsidR="005B21CC" w:rsidRPr="00040A06">
        <w:t>+6</w:t>
      </w:r>
      <w:r w:rsidRPr="00040A06">
        <w:t xml:space="preserve"> is given</w:t>
      </w:r>
      <w:r w:rsidRPr="004D210C">
        <w:t xml:space="preserve"> compared</w:t>
      </w:r>
      <w:r>
        <w:t xml:space="preserve"> to the Base Case.</w:t>
      </w:r>
    </w:p>
    <w:p w14:paraId="656B0954" w14:textId="77777777" w:rsidR="00AE2041" w:rsidRPr="000E7C5E" w:rsidRDefault="00AE2041" w:rsidP="000E7C5E">
      <w:pPr>
        <w:rPr>
          <w:i/>
        </w:rPr>
      </w:pPr>
      <w:r w:rsidRPr="000E7C5E">
        <w:rPr>
          <w:i/>
        </w:rPr>
        <w:t>Cost</w:t>
      </w:r>
    </w:p>
    <w:p w14:paraId="656B0955" w14:textId="77777777" w:rsidR="00AE2041" w:rsidRDefault="00AE2041" w:rsidP="00AE2041">
      <w:r>
        <w:t>The prescribed requirement is a very low cost burden on Litter Enforcement Authorities. Introducing these offences will add to the existing suite of offences that litter authorities can use. Based on cost information provided by local councils, there will not be a significant increase in costs. A score of -1 is given.</w:t>
      </w:r>
    </w:p>
    <w:p w14:paraId="656B0956" w14:textId="77777777" w:rsidR="00AE2041" w:rsidRPr="00B31C84" w:rsidRDefault="00AE2041" w:rsidP="00494A7B">
      <w:pPr>
        <w:pStyle w:val="Heading4un-numbered"/>
        <w:spacing w:after="120"/>
      </w:pPr>
      <w:r w:rsidRPr="000C18C5">
        <w:t>Option 2 -</w:t>
      </w:r>
      <w:r>
        <w:t xml:space="preserve"> </w:t>
      </w:r>
      <w:r w:rsidRPr="000C18C5">
        <w:t>Non-regulatory options</w:t>
      </w:r>
    </w:p>
    <w:p w14:paraId="656B0957" w14:textId="77777777" w:rsidR="00AE2041" w:rsidRPr="000E7C5E" w:rsidRDefault="00AE2041" w:rsidP="00494A7B">
      <w:pPr>
        <w:spacing w:after="0"/>
        <w:rPr>
          <w:i/>
        </w:rPr>
      </w:pPr>
      <w:r w:rsidRPr="000E7C5E">
        <w:rPr>
          <w:i/>
        </w:rPr>
        <w:t>Effectiveness</w:t>
      </w:r>
    </w:p>
    <w:p w14:paraId="656B0958" w14:textId="77777777" w:rsidR="00AF156C" w:rsidRPr="00040A06" w:rsidRDefault="00AF156C" w:rsidP="00040A06">
      <w:pPr>
        <w:ind w:right="262"/>
      </w:pPr>
      <w:r w:rsidRPr="00040A06">
        <w:t xml:space="preserve">An education campaign may reduce incidence of this behaviour, </w:t>
      </w:r>
      <w:r w:rsidRPr="004D210C">
        <w:t xml:space="preserve">although given the behaviour has commercial incentives (pamphlets, bill posting </w:t>
      </w:r>
      <w:r w:rsidR="005E035A" w:rsidRPr="004D210C">
        <w:t>etc.</w:t>
      </w:r>
      <w:r w:rsidRPr="004D210C">
        <w:t>), the lack of</w:t>
      </w:r>
      <w:r>
        <w:t xml:space="preserve"> financial deterrence to undertaking the behaviour means it is less likely to be effective than Option 1.</w:t>
      </w:r>
    </w:p>
    <w:p w14:paraId="656B0959" w14:textId="77777777" w:rsidR="00AE2041" w:rsidRPr="004D210C" w:rsidRDefault="001D29D9" w:rsidP="00040A06">
      <w:pPr>
        <w:ind w:right="262"/>
      </w:pPr>
      <w:r>
        <w:t>By themselves</w:t>
      </w:r>
      <w:r w:rsidR="00AE2041">
        <w:t xml:space="preserve">, non-regulatory options </w:t>
      </w:r>
      <w:r w:rsidR="002C3810">
        <w:t xml:space="preserve">- such as the provision of additional rubbish bins - </w:t>
      </w:r>
      <w:r w:rsidR="00AE2041" w:rsidRPr="004D210C">
        <w:t xml:space="preserve">would be unlikely to influence the behaviour of those people who deposit unsolicited materials, since the lack of availability of </w:t>
      </w:r>
      <w:r w:rsidR="002C3810">
        <w:t>facilities</w:t>
      </w:r>
      <w:r w:rsidR="00AE2041" w:rsidRPr="004D210C">
        <w:t xml:space="preserve"> </w:t>
      </w:r>
      <w:r w:rsidRPr="004D210C">
        <w:t xml:space="preserve">is </w:t>
      </w:r>
      <w:r w:rsidR="0019024B">
        <w:t xml:space="preserve">usually </w:t>
      </w:r>
      <w:r w:rsidRPr="004D210C">
        <w:t>not what drives the behaviour of depositing material that may become litter.</w:t>
      </w:r>
    </w:p>
    <w:p w14:paraId="656B095A" w14:textId="77777777" w:rsidR="001D29D9" w:rsidRPr="004D210C" w:rsidRDefault="00AE2041" w:rsidP="00AE2041">
      <w:pPr>
        <w:rPr>
          <w:rFonts w:cs="Segoe UI Light"/>
          <w:szCs w:val="20"/>
        </w:rPr>
      </w:pPr>
      <w:r w:rsidRPr="004D210C">
        <w:rPr>
          <w:rFonts w:cs="Segoe UI Light"/>
          <w:szCs w:val="20"/>
        </w:rPr>
        <w:t>Keeping sites clean can reduce litter by sending the messag</w:t>
      </w:r>
      <w:r w:rsidR="001D29D9" w:rsidRPr="004D210C">
        <w:rPr>
          <w:rFonts w:cs="Segoe UI Light"/>
          <w:szCs w:val="20"/>
        </w:rPr>
        <w:t>e to the site users that littering is not desirable behaviour.</w:t>
      </w:r>
    </w:p>
    <w:p w14:paraId="656B095B" w14:textId="77777777" w:rsidR="00AE2041" w:rsidRPr="004D210C" w:rsidRDefault="001D29D9" w:rsidP="00AE2041">
      <w:r w:rsidRPr="004D210C">
        <w:rPr>
          <w:rFonts w:cs="Segoe UI Light"/>
          <w:szCs w:val="20"/>
        </w:rPr>
        <w:t>A</w:t>
      </w:r>
      <w:r w:rsidR="00AE2041" w:rsidRPr="004D210C">
        <w:t xml:space="preserve"> score of </w:t>
      </w:r>
      <w:r w:rsidR="00AE2041" w:rsidRPr="00040A06">
        <w:t>+</w:t>
      </w:r>
      <w:r w:rsidR="005B21CC" w:rsidRPr="00040A06">
        <w:t>2</w:t>
      </w:r>
      <w:r w:rsidR="00AE2041" w:rsidRPr="00040A06">
        <w:t xml:space="preserve"> is given</w:t>
      </w:r>
      <w:r w:rsidR="00AE2041" w:rsidRPr="004D210C">
        <w:t xml:space="preserve"> compared to the Base Case.</w:t>
      </w:r>
    </w:p>
    <w:p w14:paraId="656B095C" w14:textId="77777777" w:rsidR="00AE2041" w:rsidRPr="000E7C5E" w:rsidRDefault="00AE2041" w:rsidP="00494A7B">
      <w:pPr>
        <w:spacing w:after="0"/>
        <w:rPr>
          <w:i/>
        </w:rPr>
      </w:pPr>
      <w:r w:rsidRPr="000E7C5E">
        <w:rPr>
          <w:i/>
        </w:rPr>
        <w:t>Cost</w:t>
      </w:r>
    </w:p>
    <w:p w14:paraId="656B095D" w14:textId="77777777" w:rsidR="00AE2041" w:rsidRDefault="00AE2041" w:rsidP="00AE2041">
      <w:r w:rsidRPr="004D210C">
        <w:t xml:space="preserve">The cost of non-regulatory options </w:t>
      </w:r>
      <w:r w:rsidR="005C280C">
        <w:t>will vary</w:t>
      </w:r>
      <w:r w:rsidRPr="004D210C">
        <w:t xml:space="preserve"> depending on, for example, the breadth and reach of a public education campaign. However, </w:t>
      </w:r>
      <w:r w:rsidR="005C280C">
        <w:t>they</w:t>
      </w:r>
      <w:r w:rsidR="009F6F7A">
        <w:t xml:space="preserve"> are expected to be more costly to Government than Option 1 as they </w:t>
      </w:r>
      <w:r w:rsidR="005C280C">
        <w:t>typically involve</w:t>
      </w:r>
      <w:r w:rsidR="009F6F7A">
        <w:t xml:space="preserve"> advertising campaign</w:t>
      </w:r>
      <w:r w:rsidR="005C280C">
        <w:t>s</w:t>
      </w:r>
      <w:r w:rsidR="009F6F7A">
        <w:t xml:space="preserve"> </w:t>
      </w:r>
      <w:r w:rsidR="005C280C">
        <w:t>or</w:t>
      </w:r>
      <w:r w:rsidR="009F6F7A">
        <w:t xml:space="preserve"> improvements to infrastructure</w:t>
      </w:r>
      <w:r w:rsidR="009F6F7A" w:rsidRPr="004D210C">
        <w:t>. A score of -</w:t>
      </w:r>
      <w:r w:rsidR="009F6F7A">
        <w:t>3</w:t>
      </w:r>
      <w:r w:rsidR="001D29D9" w:rsidRPr="004D210C">
        <w:t xml:space="preserve"> is given.</w:t>
      </w:r>
    </w:p>
    <w:p w14:paraId="656B095E" w14:textId="77777777" w:rsidR="001D29D9" w:rsidRDefault="001D29D9" w:rsidP="00AE334C">
      <w:pPr>
        <w:pStyle w:val="Heading3"/>
        <w:ind w:left="720"/>
      </w:pPr>
      <w:r>
        <w:t xml:space="preserve">MCA summary </w:t>
      </w:r>
    </w:p>
    <w:p w14:paraId="656B095F" w14:textId="77777777" w:rsidR="00E11F63" w:rsidRDefault="00E11F63" w:rsidP="00681F9A">
      <w:r>
        <w:t xml:space="preserve">The results of the analysis are summarised </w:t>
      </w:r>
      <w:r w:rsidR="001D29D9">
        <w:t xml:space="preserve">in </w:t>
      </w:r>
      <w:r w:rsidR="001B4F51">
        <w:t>the table below</w:t>
      </w:r>
      <w:r>
        <w:t xml:space="preserve">. Option 1 is the preferred approach, reflecting </w:t>
      </w:r>
      <w:r w:rsidR="001D29D9">
        <w:t>that the regulations may</w:t>
      </w:r>
      <w:r>
        <w:t xml:space="preserve"> deter</w:t>
      </w:r>
      <w:r w:rsidR="001D29D9">
        <w:t xml:space="preserve"> people from</w:t>
      </w:r>
      <w:r>
        <w:t xml:space="preserve"> depositing material that may become litter, and </w:t>
      </w:r>
      <w:r w:rsidR="001D29D9">
        <w:t>from</w:t>
      </w:r>
      <w:r>
        <w:t xml:space="preserve"> damaging litter receptacles. Regulations also represent a relatively low-cost option, over and above the </w:t>
      </w:r>
      <w:r w:rsidR="001D29D9">
        <w:t>B</w:t>
      </w:r>
      <w:r>
        <w:t xml:space="preserve">ase </w:t>
      </w:r>
      <w:r w:rsidR="001D29D9">
        <w:t>C</w:t>
      </w:r>
      <w:r>
        <w:t xml:space="preserve">ase, since litter enforcement authorities already enforce these </w:t>
      </w:r>
      <w:r w:rsidR="001D29D9">
        <w:t>other litter offences. However, it is noted that both the benefits and costs of these r</w:t>
      </w:r>
      <w:r w:rsidR="00E249F1">
        <w:t>egulations are relatively small</w:t>
      </w:r>
      <w:r w:rsidR="005C280C">
        <w:t xml:space="preserve"> compared to other regulations discussed in this RIS, and that Option 2 can complement Option 1. </w:t>
      </w:r>
    </w:p>
    <w:p w14:paraId="656B0960" w14:textId="77777777" w:rsidR="00221C16" w:rsidRDefault="00221C16" w:rsidP="00221C16">
      <w:pPr>
        <w:pStyle w:val="Caption"/>
      </w:pPr>
      <w:r>
        <w:t xml:space="preserve">Table </w:t>
      </w:r>
      <w:r w:rsidR="007E575A">
        <w:rPr>
          <w:color w:val="2B579A"/>
          <w:shd w:val="clear" w:color="auto" w:fill="E6E6E6"/>
        </w:rPr>
        <w:fldChar w:fldCharType="begin"/>
      </w:r>
      <w:r w:rsidR="007E575A">
        <w:instrText xml:space="preserve"> STYLEREF 1 \s </w:instrText>
      </w:r>
      <w:r w:rsidR="007E575A">
        <w:rPr>
          <w:color w:val="2B579A"/>
          <w:shd w:val="clear" w:color="auto" w:fill="E6E6E6"/>
        </w:rPr>
        <w:fldChar w:fldCharType="separate"/>
      </w:r>
      <w:r w:rsidR="00B11C1E">
        <w:rPr>
          <w:noProof/>
        </w:rPr>
        <w:t>10</w:t>
      </w:r>
      <w:r w:rsidR="007E575A">
        <w:rPr>
          <w:color w:val="2B579A"/>
          <w:shd w:val="clear" w:color="auto" w:fill="E6E6E6"/>
        </w:rPr>
        <w:fldChar w:fldCharType="end"/>
      </w:r>
      <w:r w:rsidR="007E575A">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w:t>
      </w:r>
      <w:r w:rsidR="00997CFA">
        <w:rPr>
          <w:color w:val="2B579A"/>
          <w:shd w:val="clear" w:color="auto" w:fill="E6E6E6"/>
        </w:rPr>
        <w:fldChar w:fldCharType="end"/>
      </w:r>
      <w:r w:rsidRPr="00221C16">
        <w:t xml:space="preserve"> </w:t>
      </w:r>
      <w:r>
        <w:t>Summary of results</w:t>
      </w:r>
      <w:r w:rsidR="00532DFF">
        <w:t xml:space="preserve"> – Litter MCA</w:t>
      </w:r>
    </w:p>
    <w:tbl>
      <w:tblPr>
        <w:tblStyle w:val="Deloittetable"/>
        <w:tblW w:w="8694" w:type="dxa"/>
        <w:tblLayout w:type="fixed"/>
        <w:tblLook w:val="04A0" w:firstRow="1" w:lastRow="0" w:firstColumn="1" w:lastColumn="0" w:noHBand="0" w:noVBand="1"/>
      </w:tblPr>
      <w:tblGrid>
        <w:gridCol w:w="1823"/>
        <w:gridCol w:w="3490"/>
        <w:gridCol w:w="3381"/>
      </w:tblGrid>
      <w:tr w:rsidR="00532DFF" w:rsidRPr="006A59EB" w14:paraId="656B0964" w14:textId="77777777" w:rsidTr="008122AD">
        <w:trPr>
          <w:cnfStyle w:val="100000000000" w:firstRow="1" w:lastRow="0" w:firstColumn="0" w:lastColumn="0" w:oddVBand="0" w:evenVBand="0" w:oddHBand="0" w:evenHBand="0" w:firstRowFirstColumn="0" w:firstRowLastColumn="0" w:lastRowFirstColumn="0" w:lastRowLastColumn="0"/>
          <w:trHeight w:val="227"/>
        </w:trPr>
        <w:tc>
          <w:tcPr>
            <w:tcW w:w="0" w:type="dxa"/>
            <w:tcBorders>
              <w:bottom w:val="nil"/>
            </w:tcBorders>
            <w:noWrap/>
            <w:hideMark/>
          </w:tcPr>
          <w:p w14:paraId="656B0961" w14:textId="77777777" w:rsidR="00532DFF" w:rsidRPr="00E27C5E" w:rsidRDefault="00E27C5E" w:rsidP="00092285">
            <w:pPr>
              <w:spacing w:after="0" w:line="240" w:lineRule="auto"/>
              <w:rPr>
                <w:rFonts w:eastAsia="Times New Roman" w:cs="Segoe UI Light"/>
                <w:sz w:val="18"/>
                <w:lang w:eastAsia="en-AU"/>
              </w:rPr>
            </w:pPr>
            <w:r w:rsidRPr="002E4233">
              <w:rPr>
                <w:rFonts w:eastAsia="Times New Roman" w:cs="Segoe UI Light"/>
                <w:b/>
                <w:bCs/>
                <w:color w:val="000000"/>
                <w:sz w:val="18"/>
                <w:lang w:eastAsia="en-AU"/>
              </w:rPr>
              <w:t>Criteria</w:t>
            </w:r>
            <w:r w:rsidR="008122AD">
              <w:rPr>
                <w:rFonts w:eastAsia="Times New Roman" w:cs="Segoe UI Light"/>
                <w:b/>
                <w:bCs/>
                <w:color w:val="000000"/>
                <w:sz w:val="18"/>
                <w:lang w:eastAsia="en-AU"/>
              </w:rPr>
              <w:t xml:space="preserve"> (and weight)</w:t>
            </w:r>
          </w:p>
        </w:tc>
        <w:tc>
          <w:tcPr>
            <w:tcW w:w="0" w:type="dxa"/>
            <w:tcBorders>
              <w:bottom w:val="nil"/>
            </w:tcBorders>
            <w:noWrap/>
            <w:hideMark/>
          </w:tcPr>
          <w:p w14:paraId="656B0962" w14:textId="77777777" w:rsidR="00532DFF" w:rsidRPr="00E27C5E" w:rsidRDefault="00532DFF" w:rsidP="00603FBA">
            <w:pPr>
              <w:spacing w:after="0" w:line="240" w:lineRule="auto"/>
              <w:ind w:right="57"/>
              <w:jc w:val="right"/>
              <w:rPr>
                <w:rFonts w:eastAsia="Times New Roman" w:cs="Segoe UI Light"/>
                <w:b/>
                <w:bCs/>
                <w:color w:val="000000"/>
                <w:sz w:val="18"/>
                <w:lang w:eastAsia="en-AU"/>
              </w:rPr>
            </w:pPr>
            <w:r w:rsidRPr="00E27C5E">
              <w:rPr>
                <w:rFonts w:eastAsia="Times New Roman" w:cs="Segoe UI Light"/>
                <w:b/>
                <w:bCs/>
                <w:color w:val="000000"/>
                <w:sz w:val="18"/>
                <w:lang w:eastAsia="en-AU"/>
              </w:rPr>
              <w:t>Option 1</w:t>
            </w:r>
          </w:p>
        </w:tc>
        <w:tc>
          <w:tcPr>
            <w:tcW w:w="0" w:type="dxa"/>
            <w:tcBorders>
              <w:bottom w:val="nil"/>
            </w:tcBorders>
            <w:noWrap/>
            <w:hideMark/>
          </w:tcPr>
          <w:p w14:paraId="656B0963" w14:textId="77777777" w:rsidR="00532DFF" w:rsidRPr="00E27C5E" w:rsidRDefault="00532DFF" w:rsidP="00603FBA">
            <w:pPr>
              <w:spacing w:after="0" w:line="240" w:lineRule="auto"/>
              <w:ind w:right="57"/>
              <w:jc w:val="right"/>
              <w:rPr>
                <w:rFonts w:eastAsia="Times New Roman" w:cs="Segoe UI Light"/>
                <w:b/>
                <w:bCs/>
                <w:color w:val="000000"/>
                <w:sz w:val="18"/>
                <w:lang w:eastAsia="en-AU"/>
              </w:rPr>
            </w:pPr>
            <w:r w:rsidRPr="00E27C5E">
              <w:rPr>
                <w:rFonts w:eastAsia="Times New Roman" w:cs="Segoe UI Light"/>
                <w:b/>
                <w:bCs/>
                <w:color w:val="000000"/>
                <w:sz w:val="18"/>
                <w:lang w:eastAsia="en-AU"/>
              </w:rPr>
              <w:t>Option 2</w:t>
            </w:r>
          </w:p>
        </w:tc>
      </w:tr>
      <w:tr w:rsidR="00532DFF" w:rsidRPr="006A59EB" w14:paraId="656B0968" w14:textId="77777777" w:rsidTr="008122AD">
        <w:trPr>
          <w:trHeight w:val="372"/>
        </w:trPr>
        <w:tc>
          <w:tcPr>
            <w:tcW w:w="0" w:type="dxa"/>
            <w:tcBorders>
              <w:top w:val="nil"/>
            </w:tcBorders>
            <w:noWrap/>
            <w:hideMark/>
          </w:tcPr>
          <w:p w14:paraId="656B0965" w14:textId="77777777" w:rsidR="00532DFF" w:rsidRPr="00E27C5E" w:rsidRDefault="00532DFF" w:rsidP="00092285">
            <w:pPr>
              <w:spacing w:after="0" w:line="240" w:lineRule="auto"/>
              <w:rPr>
                <w:rFonts w:eastAsia="Times New Roman" w:cs="Segoe UI Light"/>
                <w:b/>
                <w:bCs/>
                <w:color w:val="000000"/>
                <w:sz w:val="18"/>
                <w:lang w:eastAsia="en-AU"/>
              </w:rPr>
            </w:pPr>
          </w:p>
        </w:tc>
        <w:tc>
          <w:tcPr>
            <w:tcW w:w="0" w:type="dxa"/>
            <w:tcBorders>
              <w:top w:val="nil"/>
            </w:tcBorders>
            <w:hideMark/>
          </w:tcPr>
          <w:p w14:paraId="656B0966" w14:textId="77777777" w:rsidR="00532DFF" w:rsidRPr="00E27C5E" w:rsidRDefault="00532DFF" w:rsidP="00603FBA">
            <w:pPr>
              <w:spacing w:after="0" w:line="240" w:lineRule="auto"/>
              <w:ind w:right="57"/>
              <w:jc w:val="right"/>
              <w:rPr>
                <w:rFonts w:eastAsia="Times New Roman" w:cs="Segoe UI Light"/>
                <w:color w:val="000000"/>
                <w:sz w:val="18"/>
                <w:lang w:eastAsia="en-AU"/>
              </w:rPr>
            </w:pPr>
            <w:r w:rsidRPr="008122AD">
              <w:rPr>
                <w:rFonts w:eastAsia="Times New Roman" w:cs="Segoe UI Light"/>
                <w:color w:val="000000"/>
                <w:sz w:val="18"/>
                <w:lang w:eastAsia="en-AU"/>
              </w:rPr>
              <w:t xml:space="preserve">Transitioning provisions from the </w:t>
            </w:r>
            <w:r w:rsidR="00E27C5E" w:rsidRPr="008122AD">
              <w:rPr>
                <w:rFonts w:eastAsia="Times New Roman" w:cs="Segoe UI Light"/>
                <w:color w:val="000000"/>
                <w:sz w:val="18"/>
                <w:lang w:eastAsia="en-AU"/>
              </w:rPr>
              <w:t xml:space="preserve">                </w:t>
            </w:r>
            <w:r w:rsidRPr="008122AD">
              <w:rPr>
                <w:rFonts w:eastAsia="Times New Roman" w:cs="Segoe UI Light"/>
                <w:color w:val="000000"/>
                <w:sz w:val="18"/>
                <w:lang w:eastAsia="en-AU"/>
              </w:rPr>
              <w:t>EP Act 1970 into regulations</w:t>
            </w:r>
          </w:p>
        </w:tc>
        <w:tc>
          <w:tcPr>
            <w:tcW w:w="0" w:type="dxa"/>
            <w:tcBorders>
              <w:top w:val="nil"/>
            </w:tcBorders>
            <w:hideMark/>
          </w:tcPr>
          <w:p w14:paraId="656B0967" w14:textId="77777777" w:rsidR="00532DFF" w:rsidRPr="00E27C5E" w:rsidRDefault="00532DFF" w:rsidP="00603FBA">
            <w:pPr>
              <w:spacing w:after="0" w:line="240" w:lineRule="auto"/>
              <w:ind w:right="57"/>
              <w:jc w:val="right"/>
              <w:rPr>
                <w:rFonts w:eastAsia="Times New Roman" w:cs="Segoe UI Light"/>
                <w:color w:val="000000"/>
                <w:sz w:val="18"/>
                <w:lang w:eastAsia="en-AU"/>
              </w:rPr>
            </w:pPr>
            <w:r w:rsidRPr="008122AD">
              <w:rPr>
                <w:rFonts w:eastAsia="Times New Roman" w:cs="Segoe UI Light"/>
                <w:color w:val="000000"/>
                <w:sz w:val="18"/>
                <w:lang w:eastAsia="en-AU"/>
              </w:rPr>
              <w:t>Non-regulatory options</w:t>
            </w:r>
          </w:p>
        </w:tc>
      </w:tr>
      <w:tr w:rsidR="00532DFF" w:rsidRPr="006A59EB" w14:paraId="656B096C" w14:textId="77777777" w:rsidTr="000E7C5E">
        <w:trPr>
          <w:trHeight w:val="227"/>
        </w:trPr>
        <w:tc>
          <w:tcPr>
            <w:tcW w:w="1823" w:type="dxa"/>
            <w:noWrap/>
            <w:hideMark/>
          </w:tcPr>
          <w:p w14:paraId="656B0969" w14:textId="77777777" w:rsidR="00532DFF" w:rsidRPr="00E27C5E" w:rsidRDefault="00532DFF" w:rsidP="00092285">
            <w:pPr>
              <w:spacing w:after="0" w:line="240" w:lineRule="auto"/>
              <w:rPr>
                <w:rFonts w:eastAsia="Times New Roman" w:cs="Segoe UI Light"/>
                <w:color w:val="000000"/>
                <w:sz w:val="18"/>
                <w:lang w:eastAsia="en-AU"/>
              </w:rPr>
            </w:pPr>
            <w:r w:rsidRPr="00E27C5E">
              <w:rPr>
                <w:rFonts w:eastAsia="Times New Roman" w:cs="Segoe UI Light"/>
                <w:color w:val="000000"/>
                <w:sz w:val="18"/>
                <w:lang w:eastAsia="en-AU"/>
              </w:rPr>
              <w:t>Effectiveness</w:t>
            </w:r>
            <w:r w:rsidR="008122AD">
              <w:rPr>
                <w:rFonts w:eastAsia="Times New Roman" w:cs="Segoe UI Light"/>
                <w:color w:val="000000"/>
                <w:sz w:val="18"/>
                <w:lang w:eastAsia="en-AU"/>
              </w:rPr>
              <w:t xml:space="preserve"> (50%)</w:t>
            </w:r>
          </w:p>
        </w:tc>
        <w:tc>
          <w:tcPr>
            <w:tcW w:w="3490" w:type="dxa"/>
            <w:noWrap/>
            <w:hideMark/>
          </w:tcPr>
          <w:p w14:paraId="656B096A" w14:textId="77777777" w:rsidR="00532DFF" w:rsidRPr="00E27C5E" w:rsidRDefault="00532DFF" w:rsidP="00603FBA">
            <w:pPr>
              <w:spacing w:after="0" w:line="240" w:lineRule="auto"/>
              <w:ind w:right="57"/>
              <w:jc w:val="right"/>
              <w:rPr>
                <w:rFonts w:eastAsia="Times New Roman" w:cs="Segoe UI Light"/>
                <w:color w:val="000000"/>
                <w:sz w:val="18"/>
                <w:lang w:eastAsia="en-AU"/>
              </w:rPr>
            </w:pPr>
            <w:r w:rsidRPr="008122AD">
              <w:rPr>
                <w:rFonts w:eastAsia="Times New Roman" w:cs="Segoe UI Light"/>
                <w:color w:val="000000"/>
                <w:sz w:val="18"/>
                <w:lang w:eastAsia="en-AU"/>
              </w:rPr>
              <w:t>6</w:t>
            </w:r>
          </w:p>
        </w:tc>
        <w:tc>
          <w:tcPr>
            <w:tcW w:w="3381" w:type="dxa"/>
            <w:noWrap/>
            <w:hideMark/>
          </w:tcPr>
          <w:p w14:paraId="656B096B" w14:textId="77777777" w:rsidR="00532DFF" w:rsidRPr="00E27C5E" w:rsidRDefault="00532DFF" w:rsidP="00603FBA">
            <w:pPr>
              <w:spacing w:after="0" w:line="240" w:lineRule="auto"/>
              <w:ind w:right="57"/>
              <w:jc w:val="right"/>
              <w:rPr>
                <w:rFonts w:eastAsia="Times New Roman" w:cs="Segoe UI Light"/>
                <w:color w:val="000000"/>
                <w:sz w:val="18"/>
                <w:lang w:eastAsia="en-AU"/>
              </w:rPr>
            </w:pPr>
            <w:r w:rsidRPr="008122AD">
              <w:rPr>
                <w:rFonts w:eastAsia="Times New Roman" w:cs="Segoe UI Light"/>
                <w:color w:val="000000"/>
                <w:sz w:val="18"/>
                <w:lang w:eastAsia="en-AU"/>
              </w:rPr>
              <w:t>2</w:t>
            </w:r>
          </w:p>
        </w:tc>
      </w:tr>
      <w:tr w:rsidR="00532DFF" w:rsidRPr="006A59EB" w14:paraId="656B0970" w14:textId="77777777" w:rsidTr="000E7C5E">
        <w:trPr>
          <w:trHeight w:val="227"/>
        </w:trPr>
        <w:tc>
          <w:tcPr>
            <w:tcW w:w="1823" w:type="dxa"/>
            <w:noWrap/>
            <w:hideMark/>
          </w:tcPr>
          <w:p w14:paraId="656B096D" w14:textId="77777777" w:rsidR="00532DFF" w:rsidRPr="00E27C5E" w:rsidRDefault="00532DFF" w:rsidP="00092285">
            <w:pPr>
              <w:spacing w:after="0" w:line="240" w:lineRule="auto"/>
              <w:rPr>
                <w:rFonts w:eastAsia="Times New Roman" w:cs="Segoe UI Light"/>
                <w:color w:val="000000"/>
                <w:sz w:val="18"/>
                <w:lang w:eastAsia="en-AU"/>
              </w:rPr>
            </w:pPr>
            <w:r w:rsidRPr="00E27C5E">
              <w:rPr>
                <w:rFonts w:eastAsia="Times New Roman" w:cs="Segoe UI Light"/>
                <w:color w:val="000000"/>
                <w:sz w:val="18"/>
                <w:lang w:eastAsia="en-AU"/>
              </w:rPr>
              <w:t>Cost</w:t>
            </w:r>
            <w:r w:rsidR="008122AD">
              <w:rPr>
                <w:rFonts w:eastAsia="Times New Roman" w:cs="Segoe UI Light"/>
                <w:color w:val="000000"/>
                <w:sz w:val="18"/>
                <w:lang w:eastAsia="en-AU"/>
              </w:rPr>
              <w:t xml:space="preserve"> (50%)</w:t>
            </w:r>
          </w:p>
        </w:tc>
        <w:tc>
          <w:tcPr>
            <w:tcW w:w="3490" w:type="dxa"/>
            <w:noWrap/>
            <w:hideMark/>
          </w:tcPr>
          <w:p w14:paraId="656B096E" w14:textId="77777777" w:rsidR="00532DFF" w:rsidRPr="00E27C5E" w:rsidRDefault="00532DFF" w:rsidP="00603FBA">
            <w:pPr>
              <w:spacing w:after="0" w:line="240" w:lineRule="auto"/>
              <w:ind w:right="57"/>
              <w:jc w:val="right"/>
              <w:rPr>
                <w:rFonts w:eastAsia="Times New Roman" w:cs="Segoe UI Light"/>
                <w:color w:val="000000"/>
                <w:sz w:val="18"/>
                <w:lang w:eastAsia="en-AU"/>
              </w:rPr>
            </w:pPr>
            <w:r w:rsidRPr="008122AD">
              <w:rPr>
                <w:rFonts w:eastAsia="Times New Roman" w:cs="Segoe UI Light"/>
                <w:color w:val="000000"/>
                <w:sz w:val="18"/>
                <w:lang w:eastAsia="en-AU"/>
              </w:rPr>
              <w:t>-1</w:t>
            </w:r>
          </w:p>
        </w:tc>
        <w:tc>
          <w:tcPr>
            <w:tcW w:w="3381" w:type="dxa"/>
            <w:noWrap/>
            <w:hideMark/>
          </w:tcPr>
          <w:p w14:paraId="656B096F" w14:textId="77777777" w:rsidR="00532DFF" w:rsidRPr="00E27C5E" w:rsidRDefault="00532DFF" w:rsidP="00603FBA">
            <w:pPr>
              <w:spacing w:after="0" w:line="240" w:lineRule="auto"/>
              <w:ind w:right="57"/>
              <w:jc w:val="right"/>
              <w:rPr>
                <w:rFonts w:eastAsia="Times New Roman" w:cs="Segoe UI Light"/>
                <w:color w:val="000000"/>
                <w:sz w:val="18"/>
                <w:lang w:eastAsia="en-AU"/>
              </w:rPr>
            </w:pPr>
            <w:r w:rsidRPr="008122AD">
              <w:rPr>
                <w:rFonts w:eastAsia="Times New Roman" w:cs="Segoe UI Light"/>
                <w:color w:val="000000"/>
                <w:sz w:val="18"/>
                <w:lang w:eastAsia="en-AU"/>
              </w:rPr>
              <w:t>-3</w:t>
            </w:r>
          </w:p>
        </w:tc>
      </w:tr>
      <w:tr w:rsidR="00532DFF" w:rsidRPr="006A59EB" w14:paraId="656B0974" w14:textId="77777777" w:rsidTr="000E7C5E">
        <w:trPr>
          <w:trHeight w:val="227"/>
        </w:trPr>
        <w:tc>
          <w:tcPr>
            <w:tcW w:w="1823" w:type="dxa"/>
            <w:noWrap/>
            <w:hideMark/>
          </w:tcPr>
          <w:p w14:paraId="656B0971" w14:textId="77777777" w:rsidR="00532DFF" w:rsidRPr="00E27C5E" w:rsidRDefault="00532DFF">
            <w:pPr>
              <w:spacing w:after="0" w:line="240" w:lineRule="auto"/>
              <w:rPr>
                <w:rFonts w:eastAsia="Times New Roman" w:cs="Segoe UI Light"/>
                <w:b/>
                <w:bCs/>
                <w:color w:val="000000"/>
                <w:sz w:val="18"/>
                <w:lang w:eastAsia="en-AU"/>
              </w:rPr>
            </w:pPr>
            <w:r w:rsidRPr="00E27C5E">
              <w:rPr>
                <w:rFonts w:eastAsia="Times New Roman" w:cs="Segoe UI Light"/>
                <w:b/>
                <w:bCs/>
                <w:color w:val="000000"/>
                <w:sz w:val="18"/>
                <w:lang w:eastAsia="en-AU"/>
              </w:rPr>
              <w:t xml:space="preserve">Total </w:t>
            </w:r>
            <w:r w:rsidR="008122AD">
              <w:rPr>
                <w:rFonts w:eastAsia="Times New Roman" w:cs="Segoe UI Light"/>
                <w:b/>
                <w:bCs/>
                <w:color w:val="000000"/>
                <w:sz w:val="18"/>
                <w:lang w:eastAsia="en-AU"/>
              </w:rPr>
              <w:t xml:space="preserve">weighted </w:t>
            </w:r>
            <w:r w:rsidRPr="00E27C5E">
              <w:rPr>
                <w:rFonts w:eastAsia="Times New Roman" w:cs="Segoe UI Light"/>
                <w:b/>
                <w:bCs/>
                <w:color w:val="000000"/>
                <w:sz w:val="18"/>
                <w:lang w:eastAsia="en-AU"/>
              </w:rPr>
              <w:t>score</w:t>
            </w:r>
          </w:p>
        </w:tc>
        <w:tc>
          <w:tcPr>
            <w:tcW w:w="3490" w:type="dxa"/>
            <w:noWrap/>
            <w:hideMark/>
          </w:tcPr>
          <w:p w14:paraId="656B0972" w14:textId="77777777" w:rsidR="00532DFF" w:rsidRPr="008122AD" w:rsidRDefault="008122AD" w:rsidP="00603FBA">
            <w:pPr>
              <w:spacing w:after="0" w:line="240" w:lineRule="auto"/>
              <w:ind w:right="57"/>
              <w:jc w:val="right"/>
              <w:rPr>
                <w:rFonts w:eastAsia="Times New Roman" w:cs="Segoe UI Light"/>
                <w:b/>
                <w:color w:val="000000"/>
                <w:sz w:val="18"/>
                <w:lang w:eastAsia="en-AU"/>
              </w:rPr>
            </w:pPr>
            <w:r w:rsidRPr="008122AD">
              <w:rPr>
                <w:rFonts w:eastAsia="Times New Roman" w:cs="Segoe UI Light"/>
                <w:b/>
                <w:color w:val="000000"/>
                <w:sz w:val="18"/>
                <w:lang w:eastAsia="en-AU"/>
              </w:rPr>
              <w:t>2.5</w:t>
            </w:r>
          </w:p>
        </w:tc>
        <w:tc>
          <w:tcPr>
            <w:tcW w:w="3381" w:type="dxa"/>
            <w:noWrap/>
            <w:hideMark/>
          </w:tcPr>
          <w:p w14:paraId="656B0973" w14:textId="77777777" w:rsidR="00532DFF" w:rsidRPr="008122AD" w:rsidRDefault="00532DFF" w:rsidP="00603FBA">
            <w:pPr>
              <w:spacing w:after="0" w:line="240" w:lineRule="auto"/>
              <w:ind w:right="57"/>
              <w:jc w:val="right"/>
              <w:rPr>
                <w:rFonts w:eastAsia="Times New Roman" w:cs="Segoe UI Light"/>
                <w:b/>
                <w:color w:val="000000"/>
                <w:sz w:val="18"/>
                <w:lang w:eastAsia="en-AU"/>
              </w:rPr>
            </w:pPr>
            <w:r w:rsidRPr="008122AD">
              <w:rPr>
                <w:rFonts w:eastAsia="Times New Roman" w:cs="Segoe UI Light"/>
                <w:b/>
                <w:color w:val="000000"/>
                <w:sz w:val="18"/>
                <w:lang w:eastAsia="en-AU"/>
              </w:rPr>
              <w:t>-</w:t>
            </w:r>
            <w:r w:rsidR="008122AD" w:rsidRPr="008122AD">
              <w:rPr>
                <w:rFonts w:eastAsia="Times New Roman" w:cs="Segoe UI Light"/>
                <w:b/>
                <w:color w:val="000000"/>
                <w:sz w:val="18"/>
                <w:lang w:eastAsia="en-AU"/>
              </w:rPr>
              <w:t>0.5</w:t>
            </w:r>
          </w:p>
        </w:tc>
      </w:tr>
    </w:tbl>
    <w:p w14:paraId="656B0975" w14:textId="77777777" w:rsidR="00555B79" w:rsidRPr="00555B79" w:rsidRDefault="00555B79" w:rsidP="00555B79"/>
    <w:p w14:paraId="656B0976" w14:textId="77777777" w:rsidR="002D00B4" w:rsidRPr="00C061A6" w:rsidRDefault="002D00B4"/>
    <w:p w14:paraId="656B0977" w14:textId="77777777" w:rsidR="00AF1882" w:rsidRDefault="00532DFF" w:rsidP="00ED173F">
      <w:pPr>
        <w:pStyle w:val="Heading1"/>
      </w:pPr>
      <w:bookmarkStart w:id="1410" w:name="_Ref299432"/>
      <w:bookmarkStart w:id="1411" w:name="_Ref299435"/>
      <w:bookmarkStart w:id="1412" w:name="_Toc342633"/>
      <w:r>
        <w:t xml:space="preserve"> </w:t>
      </w:r>
      <w:bookmarkStart w:id="1413" w:name="_Toc10018332"/>
      <w:bookmarkStart w:id="1414" w:name="_Toc10021439"/>
      <w:bookmarkStart w:id="1415" w:name="_Toc10021853"/>
      <w:bookmarkStart w:id="1416" w:name="_Toc12892337"/>
      <w:r w:rsidR="00AF1882">
        <w:t>Plastic bags</w:t>
      </w:r>
      <w:bookmarkEnd w:id="1406"/>
      <w:bookmarkEnd w:id="1407"/>
      <w:bookmarkEnd w:id="1410"/>
      <w:bookmarkEnd w:id="1411"/>
      <w:bookmarkEnd w:id="1412"/>
      <w:bookmarkEnd w:id="1413"/>
      <w:bookmarkEnd w:id="1414"/>
      <w:bookmarkEnd w:id="1415"/>
      <w:bookmarkEnd w:id="1416"/>
    </w:p>
    <w:p w14:paraId="656B0978" w14:textId="77777777" w:rsidR="0054455E" w:rsidRPr="00040A06" w:rsidRDefault="0054455E" w:rsidP="009658A6">
      <w:pPr>
        <w:mirrorIndents/>
        <w:rPr>
          <w:b/>
          <w:color w:val="808080" w:themeColor="background1" w:themeShade="80"/>
        </w:rPr>
      </w:pPr>
      <w:bookmarkStart w:id="1417" w:name="_Ref536465655"/>
      <w:r w:rsidRPr="0022081C">
        <w:rPr>
          <w:b/>
          <w:color w:val="808080" w:themeColor="background1" w:themeShade="80"/>
        </w:rPr>
        <w:t xml:space="preserve">This chapter assesses regulations being proposed to </w:t>
      </w:r>
      <w:r w:rsidR="009658A6" w:rsidRPr="00040A06">
        <w:rPr>
          <w:b/>
          <w:color w:val="808080" w:themeColor="background1" w:themeShade="80"/>
        </w:rPr>
        <w:t xml:space="preserve">ban </w:t>
      </w:r>
      <w:r w:rsidR="00815C30">
        <w:rPr>
          <w:b/>
          <w:color w:val="808080" w:themeColor="background1" w:themeShade="80"/>
        </w:rPr>
        <w:t>lightweight</w:t>
      </w:r>
      <w:r w:rsidR="009658A6" w:rsidRPr="00040A06">
        <w:rPr>
          <w:b/>
          <w:color w:val="808080" w:themeColor="background1" w:themeShade="80"/>
        </w:rPr>
        <w:t xml:space="preserve"> </w:t>
      </w:r>
      <w:r w:rsidR="009658A6">
        <w:rPr>
          <w:b/>
          <w:color w:val="808080" w:themeColor="background1" w:themeShade="80"/>
        </w:rPr>
        <w:t xml:space="preserve">plastic </w:t>
      </w:r>
      <w:r w:rsidR="009658A6" w:rsidRPr="00040A06">
        <w:rPr>
          <w:b/>
          <w:color w:val="808080" w:themeColor="background1" w:themeShade="80"/>
        </w:rPr>
        <w:t>shopping bags</w:t>
      </w:r>
      <w:r w:rsidR="00B85387">
        <w:rPr>
          <w:b/>
          <w:color w:val="808080" w:themeColor="background1" w:themeShade="80"/>
        </w:rPr>
        <w:t xml:space="preserve">, </w:t>
      </w:r>
      <w:r w:rsidR="00BA5BB1">
        <w:rPr>
          <w:b/>
          <w:color w:val="808080" w:themeColor="background1" w:themeShade="80"/>
        </w:rPr>
        <w:t xml:space="preserve">including </w:t>
      </w:r>
      <w:r w:rsidR="00B85387">
        <w:rPr>
          <w:b/>
          <w:color w:val="808080" w:themeColor="background1" w:themeShade="80"/>
        </w:rPr>
        <w:t xml:space="preserve">degradable, </w:t>
      </w:r>
      <w:r w:rsidR="00BA5BB1">
        <w:rPr>
          <w:b/>
          <w:color w:val="808080" w:themeColor="background1" w:themeShade="80"/>
        </w:rPr>
        <w:t xml:space="preserve">biodegradable </w:t>
      </w:r>
      <w:r w:rsidR="00B85387">
        <w:rPr>
          <w:b/>
          <w:color w:val="808080" w:themeColor="background1" w:themeShade="80"/>
        </w:rPr>
        <w:t xml:space="preserve">and compostable </w:t>
      </w:r>
      <w:r w:rsidR="00BA5BB1">
        <w:rPr>
          <w:b/>
          <w:color w:val="808080" w:themeColor="background1" w:themeShade="80"/>
        </w:rPr>
        <w:t>bags</w:t>
      </w:r>
      <w:r w:rsidR="009658A6" w:rsidRPr="00040A06">
        <w:rPr>
          <w:b/>
          <w:color w:val="808080" w:themeColor="background1" w:themeShade="80"/>
        </w:rPr>
        <w:t>.</w:t>
      </w:r>
    </w:p>
    <w:p w14:paraId="656B0979" w14:textId="77777777" w:rsidR="0054455E" w:rsidRDefault="0054455E" w:rsidP="0054455E">
      <w:pPr>
        <w:mirrorIndents/>
      </w:pPr>
      <w:r w:rsidRPr="00B70E30">
        <w:rPr>
          <w:rFonts w:cs="Segoe UI Light"/>
          <w:noProof/>
          <w:color w:val="2B579A"/>
          <w:shd w:val="clear" w:color="auto" w:fill="E6E6E6"/>
          <w:lang w:eastAsia="en-AU"/>
        </w:rPr>
        <mc:AlternateContent>
          <mc:Choice Requires="wps">
            <w:drawing>
              <wp:inline distT="0" distB="0" distL="0" distR="0" wp14:anchorId="656B1EB8" wp14:editId="656B1EB9">
                <wp:extent cx="5940425" cy="4315735"/>
                <wp:effectExtent l="0" t="0" r="22225" b="27940"/>
                <wp:docPr id="54" name="Rectangle 54"/>
                <wp:cNvGraphicFramePr/>
                <a:graphic xmlns:a="http://schemas.openxmlformats.org/drawingml/2006/main">
                  <a:graphicData uri="http://schemas.microsoft.com/office/word/2010/wordprocessingShape">
                    <wps:wsp>
                      <wps:cNvSpPr/>
                      <wps:spPr bwMode="gray">
                        <a:xfrm>
                          <a:off x="0" y="0"/>
                          <a:ext cx="5940425" cy="4315735"/>
                        </a:xfrm>
                        <a:prstGeom prst="rect">
                          <a:avLst/>
                        </a:prstGeom>
                        <a:solidFill>
                          <a:schemeClr val="bg2"/>
                        </a:solidFill>
                        <a:ln w="19050" algn="ctr">
                          <a:solidFill>
                            <a:srgbClr val="62B5E5"/>
                          </a:solidFill>
                          <a:miter lim="800000"/>
                          <a:headEnd/>
                          <a:tailEnd/>
                        </a:ln>
                      </wps:spPr>
                      <wps:txbx>
                        <w:txbxContent>
                          <w:p w14:paraId="656B2209" w14:textId="77777777" w:rsidR="00E752DE" w:rsidRPr="007553F2" w:rsidRDefault="00E752DE" w:rsidP="0054455E">
                            <w:pPr>
                              <w:ind w:right="262"/>
                              <w:rPr>
                                <w:rFonts w:cs="Segoe UI Light"/>
                                <w:b/>
                                <w:color w:val="FF0000"/>
                              </w:rPr>
                            </w:pPr>
                            <w:r w:rsidRPr="005D5854">
                              <w:rPr>
                                <w:rFonts w:cs="Segoe UI Light"/>
                                <w:b/>
                                <w:color w:val="012169" w:themeColor="accent4"/>
                              </w:rPr>
                              <w:t>Key points:</w:t>
                            </w:r>
                          </w:p>
                          <w:p w14:paraId="656B220A" w14:textId="77777777" w:rsidR="00E752DE" w:rsidRDefault="00E752DE" w:rsidP="004A2442">
                            <w:pPr>
                              <w:pStyle w:val="ListParagraph"/>
                              <w:numPr>
                                <w:ilvl w:val="0"/>
                                <w:numId w:val="62"/>
                              </w:numPr>
                              <w:ind w:right="262"/>
                              <w:rPr>
                                <w:rFonts w:cs="Segoe UI Light"/>
                              </w:rPr>
                            </w:pPr>
                            <w:r>
                              <w:rPr>
                                <w:rFonts w:cs="Segoe UI Light"/>
                              </w:rPr>
                              <w:t>Lightweight plastic shopping bags can cause harm to wildlife and ecosystems, v</w:t>
                            </w:r>
                            <w:r w:rsidRPr="00815C30">
                              <w:rPr>
                                <w:rFonts w:cs="Segoe UI Light"/>
                              </w:rPr>
                              <w:t>isual amenity issues and</w:t>
                            </w:r>
                            <w:r w:rsidRPr="00787AD8">
                              <w:rPr>
                                <w:rFonts w:cs="Segoe UI Light"/>
                              </w:rPr>
                              <w:t xml:space="preserve"> c</w:t>
                            </w:r>
                            <w:r w:rsidRPr="00815C30">
                              <w:rPr>
                                <w:rFonts w:cs="Segoe UI Light"/>
                              </w:rPr>
                              <w:t>ontamination of recyclables</w:t>
                            </w:r>
                            <w:r>
                              <w:rPr>
                                <w:rFonts w:cs="Segoe UI Light"/>
                              </w:rPr>
                              <w:t>.</w:t>
                            </w:r>
                          </w:p>
                          <w:p w14:paraId="656B220B" w14:textId="77777777" w:rsidR="00E752DE" w:rsidRDefault="00E752DE" w:rsidP="004A2442">
                            <w:pPr>
                              <w:pStyle w:val="ListParagraph"/>
                              <w:numPr>
                                <w:ilvl w:val="0"/>
                                <w:numId w:val="62"/>
                              </w:numPr>
                              <w:ind w:right="262"/>
                              <w:rPr>
                                <w:rFonts w:cs="Segoe UI Light"/>
                              </w:rPr>
                            </w:pPr>
                            <w:r w:rsidRPr="00787AD8">
                              <w:rPr>
                                <w:rFonts w:cs="Segoe UI Light"/>
                              </w:rPr>
                              <w:t>The plastic bag problem has already been significantly reduced in Victoria by the voluntary decisions of major retailers, and some smaller retailers, to cease offering lightweight plastic bags to customers. However, it is estimated that hundreds of millions of lightweight plastic bags are still given out by other retailers in Victoria each year.</w:t>
                            </w:r>
                          </w:p>
                          <w:p w14:paraId="656B220C" w14:textId="7428E70C" w:rsidR="00E752DE" w:rsidRPr="00041730" w:rsidRDefault="00E752DE" w:rsidP="004A2442">
                            <w:pPr>
                              <w:pStyle w:val="ListParagraph"/>
                              <w:numPr>
                                <w:ilvl w:val="0"/>
                                <w:numId w:val="62"/>
                              </w:numPr>
                              <w:ind w:right="262"/>
                              <w:rPr>
                                <w:rFonts w:cs="Segoe UI Light"/>
                              </w:rPr>
                            </w:pPr>
                            <w:r w:rsidRPr="00787AD8">
                              <w:rPr>
                                <w:rFonts w:cs="Segoe UI Light"/>
                              </w:rPr>
                              <w:t xml:space="preserve">On 27 June 2018, the Victorian Government committed to ban single use, singlet style plastic shopping bags (“lightweight plastic shopping bags”). </w:t>
                            </w:r>
                            <w:r w:rsidRPr="00930CE9">
                              <w:t xml:space="preserve">On 19 June 2019, the Victorian Government introduced to Victorian Parliament a </w:t>
                            </w:r>
                            <w:r>
                              <w:t>B</w:t>
                            </w:r>
                            <w:r w:rsidRPr="00930CE9">
                              <w:t xml:space="preserve">ill for an </w:t>
                            </w:r>
                            <w:r>
                              <w:t>A</w:t>
                            </w:r>
                            <w:r w:rsidRPr="00930CE9">
                              <w:t xml:space="preserve">ct to amend the </w:t>
                            </w:r>
                            <w:r w:rsidRPr="005A6EED">
                              <w:t>EPA Act 1970 to prohibit the provision of certain</w:t>
                            </w:r>
                            <w:r w:rsidRPr="00CD24A0">
                              <w:t xml:space="preserve"> plastic</w:t>
                            </w:r>
                            <w:r w:rsidRPr="00930CE9">
                              <w:t xml:space="preserve"> bags and to prevent the provision of misleading information relating to plastic bags and to make technical and consequential amendments to the </w:t>
                            </w:r>
                            <w:r>
                              <w:t>EP</w:t>
                            </w:r>
                            <w:r w:rsidRPr="00930CE9">
                              <w:t xml:space="preserve"> Amendment Act 2018 and for other purposes (the Environment Protection Amendment Bill 2019). </w:t>
                            </w:r>
                            <w:r>
                              <w:t>If this Bill is enacted it</w:t>
                            </w:r>
                            <w:r w:rsidRPr="00930CE9">
                              <w:t xml:space="preserve"> will come into effect on 1 November 2019.</w:t>
                            </w:r>
                          </w:p>
                          <w:p w14:paraId="656B220D" w14:textId="77777777" w:rsidR="00E752DE" w:rsidRPr="00815C30" w:rsidRDefault="00E752DE" w:rsidP="004A2442">
                            <w:pPr>
                              <w:pStyle w:val="ListParagraph"/>
                              <w:numPr>
                                <w:ilvl w:val="0"/>
                                <w:numId w:val="62"/>
                              </w:numPr>
                              <w:ind w:right="262"/>
                              <w:rPr>
                                <w:rFonts w:cs="Segoe UI Light"/>
                              </w:rPr>
                            </w:pPr>
                            <w:r>
                              <w:rPr>
                                <w:rFonts w:cs="Segoe UI Light"/>
                              </w:rPr>
                              <w:t>The p</w:t>
                            </w:r>
                            <w:r w:rsidRPr="00787AD8">
                              <w:rPr>
                                <w:rFonts w:cs="Segoe UI Light"/>
                              </w:rPr>
                              <w:t xml:space="preserve">ower to prescribe a ban is </w:t>
                            </w:r>
                            <w:r>
                              <w:rPr>
                                <w:rFonts w:cs="Segoe UI Light"/>
                              </w:rPr>
                              <w:t xml:space="preserve">included </w:t>
                            </w:r>
                            <w:r w:rsidRPr="00787AD8">
                              <w:rPr>
                                <w:rFonts w:cs="Segoe UI Light"/>
                              </w:rPr>
                              <w:t>in the new EP legislation</w:t>
                            </w:r>
                            <w:r>
                              <w:rPr>
                                <w:rFonts w:cs="Segoe UI Light"/>
                              </w:rPr>
                              <w:t xml:space="preserve">, </w:t>
                            </w:r>
                            <w:r w:rsidRPr="00930CE9">
                              <w:rPr>
                                <w:rFonts w:cs="Segoe UI Light"/>
                              </w:rPr>
                              <w:t>which will come into effect on 1 July 2020</w:t>
                            </w:r>
                            <w:r>
                              <w:rPr>
                                <w:rFonts w:cs="Segoe UI Light"/>
                              </w:rPr>
                              <w:t>, however the</w:t>
                            </w:r>
                            <w:r w:rsidRPr="000E22A8">
                              <w:rPr>
                                <w:rFonts w:cs="Segoe UI Light"/>
                              </w:rPr>
                              <w:t xml:space="preserve"> </w:t>
                            </w:r>
                            <w:r w:rsidRPr="00AE334C">
                              <w:rPr>
                                <w:rFonts w:cs="Segoe UI Light"/>
                              </w:rPr>
                              <w:t>plastic ban provisions under the new EP legislation cannot function without prescription under regulation</w:t>
                            </w:r>
                            <w:r w:rsidRPr="00930CE9">
                              <w:rPr>
                                <w:rFonts w:cs="Segoe UI Light"/>
                              </w:rPr>
                              <w:t>.</w:t>
                            </w:r>
                            <w:r w:rsidRPr="000E22A8">
                              <w:rPr>
                                <w:rFonts w:cs="Segoe UI Light"/>
                              </w:rPr>
                              <w:t xml:space="preserve"> </w:t>
                            </w:r>
                            <w:r>
                              <w:rPr>
                                <w:rFonts w:cs="Segoe UI Light"/>
                              </w:rPr>
                              <w:t>This means that the ban on lightweight plastic shopping bags introduced in 2019 would not continue beyond July 2020 unless regulations are made.</w:t>
                            </w:r>
                          </w:p>
                          <w:p w14:paraId="656B220E" w14:textId="77777777" w:rsidR="00E752DE" w:rsidRDefault="00E752DE" w:rsidP="00B37EE5">
                            <w:pPr>
                              <w:pStyle w:val="ListParagraph"/>
                              <w:numPr>
                                <w:ilvl w:val="0"/>
                                <w:numId w:val="62"/>
                              </w:numPr>
                              <w:ind w:right="262"/>
                              <w:rPr>
                                <w:rFonts w:cs="Segoe UI Light"/>
                              </w:rPr>
                            </w:pPr>
                            <w:r>
                              <w:rPr>
                                <w:rFonts w:cs="Segoe UI Light"/>
                              </w:rPr>
                              <w:t>The</w:t>
                            </w:r>
                            <w:r w:rsidRPr="00AE334C">
                              <w:rPr>
                                <w:rFonts w:cs="Segoe UI Light"/>
                              </w:rPr>
                              <w:t xml:space="preserve"> residual risk in relation to </w:t>
                            </w:r>
                            <w:r>
                              <w:rPr>
                                <w:rFonts w:cs="Segoe UI Light"/>
                              </w:rPr>
                              <w:t xml:space="preserve">lightweight </w:t>
                            </w:r>
                            <w:r w:rsidRPr="00AE334C">
                              <w:rPr>
                                <w:rFonts w:cs="Segoe UI Light"/>
                              </w:rPr>
                              <w:t>plastic bags is that</w:t>
                            </w:r>
                            <w:r>
                              <w:rPr>
                                <w:rFonts w:cs="Segoe UI Light"/>
                              </w:rPr>
                              <w:t>, in the absence of regulations,</w:t>
                            </w:r>
                            <w:r w:rsidRPr="00AE334C">
                              <w:rPr>
                                <w:rFonts w:cs="Segoe UI Light"/>
                              </w:rPr>
                              <w:t xml:space="preserve"> </w:t>
                            </w:r>
                            <w:r>
                              <w:rPr>
                                <w:rFonts w:cs="Segoe UI Light"/>
                              </w:rPr>
                              <w:t xml:space="preserve">they </w:t>
                            </w:r>
                            <w:r w:rsidRPr="00AE334C">
                              <w:rPr>
                                <w:rFonts w:cs="Segoe UI Light"/>
                              </w:rPr>
                              <w:t xml:space="preserve">would continue to </w:t>
                            </w:r>
                            <w:r>
                              <w:rPr>
                                <w:rFonts w:cs="Segoe UI Light"/>
                              </w:rPr>
                              <w:t xml:space="preserve">cause environmental </w:t>
                            </w:r>
                            <w:r w:rsidRPr="00AE334C">
                              <w:rPr>
                                <w:rFonts w:cs="Segoe UI Light"/>
                              </w:rPr>
                              <w:t>harm</w:t>
                            </w:r>
                            <w:r>
                              <w:rPr>
                                <w:rFonts w:cs="Segoe UI Light"/>
                              </w:rPr>
                              <w:t>.</w:t>
                            </w:r>
                            <w:r w:rsidRPr="00AE334C">
                              <w:rPr>
                                <w:rFonts w:cs="Segoe UI Light"/>
                              </w:rPr>
                              <w:t xml:space="preserve"> </w:t>
                            </w:r>
                          </w:p>
                          <w:p w14:paraId="656B220F" w14:textId="77777777" w:rsidR="00E752DE" w:rsidRPr="006D1C0C" w:rsidRDefault="00E752DE" w:rsidP="004A2442">
                            <w:pPr>
                              <w:pStyle w:val="ListParagraph"/>
                              <w:numPr>
                                <w:ilvl w:val="0"/>
                                <w:numId w:val="62"/>
                              </w:numPr>
                              <w:ind w:right="262"/>
                              <w:rPr>
                                <w:rFonts w:cs="Segoe UI Light"/>
                              </w:rPr>
                            </w:pPr>
                            <w:r w:rsidRPr="006D1C0C">
                              <w:rPr>
                                <w:rFonts w:cs="Segoe UI Light"/>
                              </w:rPr>
                              <w:t xml:space="preserve">The preferred option is to ban all lightweight plastic bags </w:t>
                            </w:r>
                            <w:r>
                              <w:rPr>
                                <w:rFonts w:cs="Segoe UI Light"/>
                              </w:rPr>
                              <w:t xml:space="preserve">with handles </w:t>
                            </w:r>
                            <w:r w:rsidRPr="006D1C0C">
                              <w:rPr>
                                <w:rFonts w:cs="Segoe UI Light"/>
                              </w:rPr>
                              <w:t>from sale or supply in Victoria</w:t>
                            </w:r>
                            <w:r>
                              <w:rPr>
                                <w:rFonts w:cs="Segoe UI Light"/>
                              </w:rPr>
                              <w:t>, including degradable, biodegradable and compostable plastic bags</w:t>
                            </w:r>
                            <w:r w:rsidRPr="006D1C0C">
                              <w:rPr>
                                <w:rFonts w:cs="Segoe UI Light"/>
                              </w:rPr>
                              <w:t>.</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56B1EB8" id="Rectangle 54" o:spid="_x0000_s1074" style="width:467.75pt;height:339.8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" fillcolor="#e7e6e6 [3214]" strokecolor="#62b5e5" strokeweight="1.5pt">
                <v:textbox inset="7pt,7pt,7pt,7pt">
                  <w:txbxContent>
                    <w:p w14:paraId="656B2209" w14:textId="77777777" w:rsidR="00E752DE" w:rsidRPr="007553F2" w:rsidRDefault="00E752DE" w:rsidP="0054455E">
                      <w:pPr>
                        <w:ind w:right="262"/>
                        <w:rPr>
                          <w:rFonts w:cs="Segoe UI Light"/>
                          <w:b/>
                          <w:color w:val="FF0000"/>
                        </w:rPr>
                      </w:pPr>
                      <w:r w:rsidRPr="005D5854">
                        <w:rPr>
                          <w:rFonts w:cs="Segoe UI Light"/>
                          <w:b/>
                          <w:color w:val="012169" w:themeColor="accent4"/>
                        </w:rPr>
                        <w:t>Key points:</w:t>
                      </w:r>
                    </w:p>
                    <w:p w14:paraId="656B220A" w14:textId="77777777" w:rsidR="00E752DE" w:rsidRDefault="00E752DE" w:rsidP="004A2442">
                      <w:pPr>
                        <w:pStyle w:val="ListParagraph"/>
                        <w:numPr>
                          <w:ilvl w:val="0"/>
                          <w:numId w:val="62"/>
                        </w:numPr>
                        <w:ind w:right="262"/>
                        <w:rPr>
                          <w:rFonts w:cs="Segoe UI Light"/>
                        </w:rPr>
                      </w:pPr>
                      <w:r>
                        <w:rPr>
                          <w:rFonts w:cs="Segoe UI Light"/>
                        </w:rPr>
                        <w:t>Lightweight plastic shopping bags can cause harm to wildlife and ecosystems, v</w:t>
                      </w:r>
                      <w:r w:rsidRPr="00815C30">
                        <w:rPr>
                          <w:rFonts w:cs="Segoe UI Light"/>
                        </w:rPr>
                        <w:t>isual amenity issues and</w:t>
                      </w:r>
                      <w:r w:rsidRPr="00787AD8">
                        <w:rPr>
                          <w:rFonts w:cs="Segoe UI Light"/>
                        </w:rPr>
                        <w:t xml:space="preserve"> c</w:t>
                      </w:r>
                      <w:r w:rsidRPr="00815C30">
                        <w:rPr>
                          <w:rFonts w:cs="Segoe UI Light"/>
                        </w:rPr>
                        <w:t>ontamination of recyclables</w:t>
                      </w:r>
                      <w:r>
                        <w:rPr>
                          <w:rFonts w:cs="Segoe UI Light"/>
                        </w:rPr>
                        <w:t>.</w:t>
                      </w:r>
                    </w:p>
                    <w:p w14:paraId="656B220B" w14:textId="77777777" w:rsidR="00E752DE" w:rsidRDefault="00E752DE" w:rsidP="004A2442">
                      <w:pPr>
                        <w:pStyle w:val="ListParagraph"/>
                        <w:numPr>
                          <w:ilvl w:val="0"/>
                          <w:numId w:val="62"/>
                        </w:numPr>
                        <w:ind w:right="262"/>
                        <w:rPr>
                          <w:rFonts w:cs="Segoe UI Light"/>
                        </w:rPr>
                      </w:pPr>
                      <w:r w:rsidRPr="00787AD8">
                        <w:rPr>
                          <w:rFonts w:cs="Segoe UI Light"/>
                        </w:rPr>
                        <w:t>The plastic bag problem has already been significantly reduced in Victoria by the voluntary decisions of major retailers, and some smaller retailers, to cease offering lightweight plastic bags to customers. However, it is estimated that hundreds of millions of lightweight plastic bags are still given out by other retailers in Victoria each year.</w:t>
                      </w:r>
                    </w:p>
                    <w:p w14:paraId="656B220C" w14:textId="7428E70C" w:rsidR="00E752DE" w:rsidRPr="00041730" w:rsidRDefault="00E752DE" w:rsidP="004A2442">
                      <w:pPr>
                        <w:pStyle w:val="ListParagraph"/>
                        <w:numPr>
                          <w:ilvl w:val="0"/>
                          <w:numId w:val="62"/>
                        </w:numPr>
                        <w:ind w:right="262"/>
                        <w:rPr>
                          <w:rFonts w:cs="Segoe UI Light"/>
                        </w:rPr>
                      </w:pPr>
                      <w:r w:rsidRPr="00787AD8">
                        <w:rPr>
                          <w:rFonts w:cs="Segoe UI Light"/>
                        </w:rPr>
                        <w:t xml:space="preserve">On 27 June 2018, the Victorian Government committed to ban single use, singlet style plastic shopping bags (“lightweight plastic shopping bags”). </w:t>
                      </w:r>
                      <w:r w:rsidRPr="00930CE9">
                        <w:t xml:space="preserve">On 19 June 2019, the Victorian Government introduced to Victorian Parliament a </w:t>
                      </w:r>
                      <w:r>
                        <w:t>B</w:t>
                      </w:r>
                      <w:r w:rsidRPr="00930CE9">
                        <w:t xml:space="preserve">ill for an </w:t>
                      </w:r>
                      <w:r>
                        <w:t>A</w:t>
                      </w:r>
                      <w:r w:rsidRPr="00930CE9">
                        <w:t xml:space="preserve">ct to amend the </w:t>
                      </w:r>
                      <w:r w:rsidRPr="005A6EED">
                        <w:t>EPA Act 1970 to prohibit the provision of certain</w:t>
                      </w:r>
                      <w:r w:rsidRPr="00CD24A0">
                        <w:t xml:space="preserve"> plastic</w:t>
                      </w:r>
                      <w:r w:rsidRPr="00930CE9">
                        <w:t xml:space="preserve"> bags and to prevent the provision of misleading information relating to plastic bags and to make technical and consequential amendments to the </w:t>
                      </w:r>
                      <w:r>
                        <w:t>EP</w:t>
                      </w:r>
                      <w:r w:rsidRPr="00930CE9">
                        <w:t xml:space="preserve"> Amendment Act 2018 and for other purposes (the Environment Protection Amendment Bill 2019). </w:t>
                      </w:r>
                      <w:r>
                        <w:t>If this Bill is enacted it</w:t>
                      </w:r>
                      <w:r w:rsidRPr="00930CE9">
                        <w:t xml:space="preserve"> will come into effect on 1 November 2019.</w:t>
                      </w:r>
                    </w:p>
                    <w:p w14:paraId="656B220D" w14:textId="77777777" w:rsidR="00E752DE" w:rsidRPr="00815C30" w:rsidRDefault="00E752DE" w:rsidP="004A2442">
                      <w:pPr>
                        <w:pStyle w:val="ListParagraph"/>
                        <w:numPr>
                          <w:ilvl w:val="0"/>
                          <w:numId w:val="62"/>
                        </w:numPr>
                        <w:ind w:right="262"/>
                        <w:rPr>
                          <w:rFonts w:cs="Segoe UI Light"/>
                        </w:rPr>
                      </w:pPr>
                      <w:r>
                        <w:rPr>
                          <w:rFonts w:cs="Segoe UI Light"/>
                        </w:rPr>
                        <w:t>The p</w:t>
                      </w:r>
                      <w:r w:rsidRPr="00787AD8">
                        <w:rPr>
                          <w:rFonts w:cs="Segoe UI Light"/>
                        </w:rPr>
                        <w:t xml:space="preserve">ower to prescribe a ban is </w:t>
                      </w:r>
                      <w:r>
                        <w:rPr>
                          <w:rFonts w:cs="Segoe UI Light"/>
                        </w:rPr>
                        <w:t xml:space="preserve">included </w:t>
                      </w:r>
                      <w:r w:rsidRPr="00787AD8">
                        <w:rPr>
                          <w:rFonts w:cs="Segoe UI Light"/>
                        </w:rPr>
                        <w:t>in the new EP legislation</w:t>
                      </w:r>
                      <w:r>
                        <w:rPr>
                          <w:rFonts w:cs="Segoe UI Light"/>
                        </w:rPr>
                        <w:t xml:space="preserve">, </w:t>
                      </w:r>
                      <w:r w:rsidRPr="00930CE9">
                        <w:rPr>
                          <w:rFonts w:cs="Segoe UI Light"/>
                        </w:rPr>
                        <w:t>which will come into effect on 1 July 2020</w:t>
                      </w:r>
                      <w:r>
                        <w:rPr>
                          <w:rFonts w:cs="Segoe UI Light"/>
                        </w:rPr>
                        <w:t>, however the</w:t>
                      </w:r>
                      <w:r w:rsidRPr="000E22A8">
                        <w:rPr>
                          <w:rFonts w:cs="Segoe UI Light"/>
                        </w:rPr>
                        <w:t xml:space="preserve"> </w:t>
                      </w:r>
                      <w:r w:rsidRPr="00AE334C">
                        <w:rPr>
                          <w:rFonts w:cs="Segoe UI Light"/>
                        </w:rPr>
                        <w:t>plastic ban provisions under the new EP legislation cannot function without prescription under regulation</w:t>
                      </w:r>
                      <w:r w:rsidRPr="00930CE9">
                        <w:rPr>
                          <w:rFonts w:cs="Segoe UI Light"/>
                        </w:rPr>
                        <w:t>.</w:t>
                      </w:r>
                      <w:r w:rsidRPr="000E22A8">
                        <w:rPr>
                          <w:rFonts w:cs="Segoe UI Light"/>
                        </w:rPr>
                        <w:t xml:space="preserve"> </w:t>
                      </w:r>
                      <w:r>
                        <w:rPr>
                          <w:rFonts w:cs="Segoe UI Light"/>
                        </w:rPr>
                        <w:t>This means that the ban on lightweight plastic shopping bags introduced in 2019 would not continue beyond July 2020 unless regulations are made.</w:t>
                      </w:r>
                    </w:p>
                    <w:p w14:paraId="656B220E" w14:textId="77777777" w:rsidR="00E752DE" w:rsidRDefault="00E752DE" w:rsidP="00B37EE5">
                      <w:pPr>
                        <w:pStyle w:val="ListParagraph"/>
                        <w:numPr>
                          <w:ilvl w:val="0"/>
                          <w:numId w:val="62"/>
                        </w:numPr>
                        <w:ind w:right="262"/>
                        <w:rPr>
                          <w:rFonts w:cs="Segoe UI Light"/>
                        </w:rPr>
                      </w:pPr>
                      <w:r>
                        <w:rPr>
                          <w:rFonts w:cs="Segoe UI Light"/>
                        </w:rPr>
                        <w:t>The</w:t>
                      </w:r>
                      <w:r w:rsidRPr="00AE334C">
                        <w:rPr>
                          <w:rFonts w:cs="Segoe UI Light"/>
                        </w:rPr>
                        <w:t xml:space="preserve"> residual risk in relation to </w:t>
                      </w:r>
                      <w:r>
                        <w:rPr>
                          <w:rFonts w:cs="Segoe UI Light"/>
                        </w:rPr>
                        <w:t xml:space="preserve">lightweight </w:t>
                      </w:r>
                      <w:r w:rsidRPr="00AE334C">
                        <w:rPr>
                          <w:rFonts w:cs="Segoe UI Light"/>
                        </w:rPr>
                        <w:t>plastic bags is that</w:t>
                      </w:r>
                      <w:r>
                        <w:rPr>
                          <w:rFonts w:cs="Segoe UI Light"/>
                        </w:rPr>
                        <w:t>, in the absence of regulations,</w:t>
                      </w:r>
                      <w:r w:rsidRPr="00AE334C">
                        <w:rPr>
                          <w:rFonts w:cs="Segoe UI Light"/>
                        </w:rPr>
                        <w:t xml:space="preserve"> </w:t>
                      </w:r>
                      <w:r>
                        <w:rPr>
                          <w:rFonts w:cs="Segoe UI Light"/>
                        </w:rPr>
                        <w:t xml:space="preserve">they </w:t>
                      </w:r>
                      <w:r w:rsidRPr="00AE334C">
                        <w:rPr>
                          <w:rFonts w:cs="Segoe UI Light"/>
                        </w:rPr>
                        <w:t xml:space="preserve">would continue to </w:t>
                      </w:r>
                      <w:r>
                        <w:rPr>
                          <w:rFonts w:cs="Segoe UI Light"/>
                        </w:rPr>
                        <w:t xml:space="preserve">cause environmental </w:t>
                      </w:r>
                      <w:r w:rsidRPr="00AE334C">
                        <w:rPr>
                          <w:rFonts w:cs="Segoe UI Light"/>
                        </w:rPr>
                        <w:t>harm</w:t>
                      </w:r>
                      <w:r>
                        <w:rPr>
                          <w:rFonts w:cs="Segoe UI Light"/>
                        </w:rPr>
                        <w:t>.</w:t>
                      </w:r>
                      <w:r w:rsidRPr="00AE334C">
                        <w:rPr>
                          <w:rFonts w:cs="Segoe UI Light"/>
                        </w:rPr>
                        <w:t xml:space="preserve"> </w:t>
                      </w:r>
                    </w:p>
                    <w:p w14:paraId="656B220F" w14:textId="77777777" w:rsidR="00E752DE" w:rsidRPr="006D1C0C" w:rsidRDefault="00E752DE" w:rsidP="004A2442">
                      <w:pPr>
                        <w:pStyle w:val="ListParagraph"/>
                        <w:numPr>
                          <w:ilvl w:val="0"/>
                          <w:numId w:val="62"/>
                        </w:numPr>
                        <w:ind w:right="262"/>
                        <w:rPr>
                          <w:rFonts w:cs="Segoe UI Light"/>
                        </w:rPr>
                      </w:pPr>
                      <w:r w:rsidRPr="006D1C0C">
                        <w:rPr>
                          <w:rFonts w:cs="Segoe UI Light"/>
                        </w:rPr>
                        <w:t xml:space="preserve">The preferred option is to ban all lightweight plastic bags </w:t>
                      </w:r>
                      <w:r>
                        <w:rPr>
                          <w:rFonts w:cs="Segoe UI Light"/>
                        </w:rPr>
                        <w:t xml:space="preserve">with handles </w:t>
                      </w:r>
                      <w:r w:rsidRPr="006D1C0C">
                        <w:rPr>
                          <w:rFonts w:cs="Segoe UI Light"/>
                        </w:rPr>
                        <w:t>from sale or supply in Victoria</w:t>
                      </w:r>
                      <w:r>
                        <w:rPr>
                          <w:rFonts w:cs="Segoe UI Light"/>
                        </w:rPr>
                        <w:t>, including degradable, biodegradable and compostable plastic bags</w:t>
                      </w:r>
                      <w:r w:rsidRPr="006D1C0C">
                        <w:rPr>
                          <w:rFonts w:cs="Segoe UI Light"/>
                        </w:rPr>
                        <w:t>.</w:t>
                      </w:r>
                    </w:p>
                  </w:txbxContent>
                </v:textbox>
                <w10:anchorlock/>
              </v:rect>
            </w:pict>
          </mc:Fallback>
        </mc:AlternateContent>
      </w:r>
    </w:p>
    <w:p w14:paraId="656B097A" w14:textId="77777777" w:rsidR="00605C29" w:rsidRDefault="00B043E3" w:rsidP="00982D63">
      <w:pPr>
        <w:pStyle w:val="Heading2"/>
      </w:pPr>
      <w:r>
        <w:t>Background</w:t>
      </w:r>
    </w:p>
    <w:p w14:paraId="656B097B" w14:textId="77777777" w:rsidR="001D391E" w:rsidRDefault="001D391E" w:rsidP="001D391E">
      <w:r>
        <w:t xml:space="preserve">Plastics have </w:t>
      </w:r>
      <w:r w:rsidR="009B786F">
        <w:t xml:space="preserve">positive </w:t>
      </w:r>
      <w:r>
        <w:t>uses in myriad applications, from lightweight packaging, computers and vehicles to insulating bu</w:t>
      </w:r>
      <w:r w:rsidR="00A03854">
        <w:t>ildings and fridges.</w:t>
      </w:r>
      <w:r>
        <w:t xml:space="preserve"> However, they are also problematic when they become litter across </w:t>
      </w:r>
      <w:r w:rsidR="0086336B">
        <w:t>Victoria’s</w:t>
      </w:r>
      <w:r>
        <w:t xml:space="preserve"> land and waterways. Plastics use in both durable products and packaging has grown rapidly and without substantive limitation for decades, and both are now under scrutiny in Australia and globally as countries seek to improve the efficient use of resources, to increase the repair, reuse and recycling culture, and reduce the environmental impacts from production, consumption and disposal, particularly when disposal may result in litter.</w:t>
      </w:r>
    </w:p>
    <w:p w14:paraId="656B097C" w14:textId="77777777" w:rsidR="00A03854" w:rsidRDefault="00A03854" w:rsidP="00A03854">
      <w:r>
        <w:t>Growing awareness of these problems has resulted in actions to minimise use of lightweight plastic shopping bags across the globe. Apart from NSW and Victoria, every Australian state and territory has implemented a ban on these bags.</w:t>
      </w:r>
    </w:p>
    <w:p w14:paraId="656B097D" w14:textId="77777777" w:rsidR="001D391E" w:rsidRDefault="001D391E" w:rsidP="001D391E">
      <w:r>
        <w:t xml:space="preserve">Research shows that the use of lightweight plastic shopping bags has increased </w:t>
      </w:r>
      <w:r w:rsidR="002731CB">
        <w:t xml:space="preserve">significantly in Victoria </w:t>
      </w:r>
      <w:r w:rsidR="009B786F">
        <w:t xml:space="preserve">since they were first provided at retail and takeaway food outlets in the 1960s. </w:t>
      </w:r>
      <w:r w:rsidR="002731CB">
        <w:t>One estimate suggest</w:t>
      </w:r>
      <w:r w:rsidR="00730881">
        <w:t>s</w:t>
      </w:r>
      <w:r w:rsidR="002731CB">
        <w:t xml:space="preserve"> that </w:t>
      </w:r>
      <w:r w:rsidR="009B786F">
        <w:t>Victorians use</w:t>
      </w:r>
      <w:r w:rsidR="002731CB">
        <w:t>d</w:t>
      </w:r>
      <w:r w:rsidR="009B786F">
        <w:t xml:space="preserve"> 1.</w:t>
      </w:r>
      <w:r w:rsidR="002731CB">
        <w:t>5</w:t>
      </w:r>
      <w:r w:rsidR="009B786F">
        <w:t xml:space="preserve"> billion lightweight plastic shopping bags </w:t>
      </w:r>
      <w:r w:rsidR="002731CB">
        <w:t>in 2015</w:t>
      </w:r>
      <w:r w:rsidR="009B786F">
        <w:t>.</w:t>
      </w:r>
      <w:r w:rsidR="002731CB">
        <w:rPr>
          <w:rStyle w:val="FootnoteReference"/>
        </w:rPr>
        <w:footnoteReference w:id="188"/>
      </w:r>
      <w:r w:rsidR="002731CB">
        <w:t xml:space="preserve"> </w:t>
      </w:r>
      <w:r w:rsidR="00730881">
        <w:t>However t</w:t>
      </w:r>
      <w:r w:rsidR="00A03854">
        <w:t xml:space="preserve">here </w:t>
      </w:r>
      <w:r w:rsidR="000B6438">
        <w:t xml:space="preserve">is evidence to suggest that </w:t>
      </w:r>
      <w:r w:rsidR="00A03854">
        <w:t xml:space="preserve">the overall level of plastic bag use </w:t>
      </w:r>
      <w:r w:rsidR="000B6438">
        <w:t xml:space="preserve">in Victoria has </w:t>
      </w:r>
      <w:r w:rsidR="002731CB">
        <w:t xml:space="preserve">declined </w:t>
      </w:r>
      <w:r w:rsidR="000B6438">
        <w:t xml:space="preserve">in recent years, </w:t>
      </w:r>
      <w:r w:rsidR="00A03854">
        <w:t xml:space="preserve">following recent voluntary phase-outs by </w:t>
      </w:r>
      <w:r w:rsidR="000B6438">
        <w:t xml:space="preserve">some </w:t>
      </w:r>
      <w:r w:rsidR="00A03854">
        <w:t>major retailer</w:t>
      </w:r>
      <w:r w:rsidR="000B6438">
        <w:t>s, local markets</w:t>
      </w:r>
      <w:r w:rsidR="002731CB">
        <w:t xml:space="preserve"> and even some towns</w:t>
      </w:r>
      <w:r w:rsidR="000E22A8">
        <w:t xml:space="preserve"> (including Anglesea</w:t>
      </w:r>
      <w:r w:rsidR="000E22A8">
        <w:rPr>
          <w:rStyle w:val="FootnoteReference"/>
        </w:rPr>
        <w:footnoteReference w:id="189"/>
      </w:r>
      <w:r w:rsidR="000E22A8">
        <w:t>)</w:t>
      </w:r>
      <w:r w:rsidR="00DC7A63">
        <w:t xml:space="preserve">. </w:t>
      </w:r>
    </w:p>
    <w:p w14:paraId="656B097E" w14:textId="77777777" w:rsidR="00605C29" w:rsidRDefault="00605C29" w:rsidP="00982D63">
      <w:pPr>
        <w:pStyle w:val="Heading2"/>
      </w:pPr>
      <w:r>
        <w:t>Current legislative and regulatory framework</w:t>
      </w:r>
    </w:p>
    <w:p w14:paraId="656B097F" w14:textId="77777777" w:rsidR="0086336B" w:rsidRDefault="003C580D" w:rsidP="00605C29">
      <w:pPr>
        <w:rPr>
          <w:rFonts w:eastAsiaTheme="majorEastAsia" w:cs="Arial"/>
          <w:color w:val="000000" w:themeColor="text1"/>
        </w:rPr>
      </w:pPr>
      <w:r>
        <w:rPr>
          <w:rFonts w:eastAsiaTheme="majorEastAsia" w:cs="Arial"/>
          <w:color w:val="000000" w:themeColor="text1"/>
        </w:rPr>
        <w:t xml:space="preserve">The EP Act 1970 was amended in 2006 to insert regulation-making heads of power to regulate the provision of plastic shopping bags (sections 71(1)(ka) to (kg)). These heads of power enable regulations to be made to require a </w:t>
      </w:r>
      <w:r w:rsidR="00A63AA9">
        <w:rPr>
          <w:rFonts w:eastAsiaTheme="majorEastAsia" w:cs="Arial"/>
          <w:color w:val="000000" w:themeColor="text1"/>
        </w:rPr>
        <w:t xml:space="preserve">minimum charge </w:t>
      </w:r>
      <w:r>
        <w:rPr>
          <w:rFonts w:eastAsiaTheme="majorEastAsia" w:cs="Arial"/>
          <w:color w:val="000000" w:themeColor="text1"/>
        </w:rPr>
        <w:t xml:space="preserve">to be imposed for the provision of a plastic bag (i.e. prohibiting ‘free’ plastic shopping bags) but they do not enable </w:t>
      </w:r>
      <w:r w:rsidR="00D8252A">
        <w:rPr>
          <w:rFonts w:eastAsiaTheme="majorEastAsia" w:cs="Arial"/>
          <w:color w:val="000000" w:themeColor="text1"/>
        </w:rPr>
        <w:t xml:space="preserve">the imposition of </w:t>
      </w:r>
      <w:r>
        <w:rPr>
          <w:rFonts w:eastAsiaTheme="majorEastAsia" w:cs="Arial"/>
          <w:color w:val="000000" w:themeColor="text1"/>
        </w:rPr>
        <w:t>an outright ban on plastic shopping bags</w:t>
      </w:r>
      <w:r w:rsidR="00A81E11">
        <w:rPr>
          <w:rFonts w:eastAsiaTheme="majorEastAsia" w:cs="Arial"/>
          <w:color w:val="000000" w:themeColor="text1"/>
        </w:rPr>
        <w:t>.</w:t>
      </w:r>
      <w:r>
        <w:rPr>
          <w:rStyle w:val="FootnoteReference"/>
          <w:rFonts w:eastAsiaTheme="majorEastAsia" w:cs="Arial"/>
          <w:color w:val="000000" w:themeColor="text1"/>
        </w:rPr>
        <w:footnoteReference w:id="190"/>
      </w:r>
      <w:r w:rsidR="00044DE9">
        <w:rPr>
          <w:rFonts w:eastAsiaTheme="majorEastAsia" w:cs="Arial"/>
          <w:color w:val="000000" w:themeColor="text1"/>
        </w:rPr>
        <w:t xml:space="preserve"> </w:t>
      </w:r>
    </w:p>
    <w:p w14:paraId="656B0980" w14:textId="603F77A9" w:rsidR="00041730" w:rsidRPr="00041730" w:rsidRDefault="00041730" w:rsidP="00041730">
      <w:r w:rsidRPr="00041730">
        <w:t>On 27 June 2018, the Victorian Government committed to ban single use, singlet style plastic shopping bags (“lightweight plastic shopping bags”).</w:t>
      </w:r>
      <w:r w:rsidRPr="00041730">
        <w:rPr>
          <w:vertAlign w:val="superscript"/>
        </w:rPr>
        <w:footnoteReference w:id="191"/>
      </w:r>
      <w:r w:rsidRPr="00041730">
        <w:t xml:space="preserve"> On 19 June 2019, the Victorian Government introduced to Victorian Parliament a bill for an </w:t>
      </w:r>
      <w:r w:rsidR="0019024B">
        <w:t>A</w:t>
      </w:r>
      <w:r w:rsidRPr="00041730">
        <w:t xml:space="preserve">ct to amend the EPA Act 1970 to prohibit the provision of certain plastic bags and to prevent the provision of misleading information relating to plastic bags and to make technical and consequential amendments to the </w:t>
      </w:r>
      <w:r w:rsidR="0019024B">
        <w:t>EP</w:t>
      </w:r>
      <w:r w:rsidRPr="00041730">
        <w:t xml:space="preserve"> Amendment Act 2018 and for other purposes (the Environment Protection Amendment Bill 2019). The </w:t>
      </w:r>
      <w:r w:rsidR="000603F4">
        <w:t xml:space="preserve">proposed </w:t>
      </w:r>
      <w:r w:rsidRPr="00041730">
        <w:t xml:space="preserve">ban </w:t>
      </w:r>
      <w:r w:rsidR="00F30DB1">
        <w:t>is intended to come</w:t>
      </w:r>
      <w:r w:rsidRPr="00041730">
        <w:t xml:space="preserve"> into effect on 1 November 2019.</w:t>
      </w:r>
    </w:p>
    <w:p w14:paraId="656B0981" w14:textId="77777777" w:rsidR="0086336B" w:rsidRDefault="0086336B" w:rsidP="0086336B">
      <w:r>
        <w:t>The ban will apply to lightweight plastic shopping bags made, in whole or part, of plastic with a thickness of 35 microns or less, and include degradable</w:t>
      </w:r>
      <w:r w:rsidR="009742D2">
        <w:t>, biodegradable</w:t>
      </w:r>
      <w:r>
        <w:t xml:space="preserve"> and compostable plastic bags. The ban will be supported by a consumer and retailer education and awareness campaign.</w:t>
      </w:r>
    </w:p>
    <w:p w14:paraId="656B0982" w14:textId="77777777" w:rsidR="00605C29" w:rsidRDefault="000D139E" w:rsidP="00982D63">
      <w:pPr>
        <w:pStyle w:val="Heading2"/>
      </w:pPr>
      <w:r>
        <w:t>New EP legislation</w:t>
      </w:r>
    </w:p>
    <w:p w14:paraId="656B0983" w14:textId="77777777" w:rsidR="00044DE9" w:rsidRPr="006E1CA1" w:rsidRDefault="00041730" w:rsidP="00044DE9">
      <w:r w:rsidRPr="00930CE9">
        <w:rPr>
          <w:rFonts w:cs="Segoe UI Light"/>
        </w:rPr>
        <w:t>The power to prescribe a ban is included in the new EP legislation</w:t>
      </w:r>
      <w:r w:rsidRPr="005A6EED">
        <w:rPr>
          <w:rFonts w:cs="Segoe UI Light"/>
        </w:rPr>
        <w:t>, which will come into effect on 1 July 2020.</w:t>
      </w:r>
      <w:r>
        <w:rPr>
          <w:rFonts w:cs="Segoe UI Light"/>
        </w:rPr>
        <w:t xml:space="preserve"> </w:t>
      </w:r>
      <w:r w:rsidR="007C5F80">
        <w:t xml:space="preserve">Clauses </w:t>
      </w:r>
      <w:r w:rsidR="00044DE9">
        <w:t xml:space="preserve">6.10 and 6.11 of Schedule 1 </w:t>
      </w:r>
      <w:r w:rsidR="006D56DC">
        <w:t xml:space="preserve">of the </w:t>
      </w:r>
      <w:r w:rsidR="00130BC3">
        <w:t>new EP legislation</w:t>
      </w:r>
      <w:r w:rsidR="00044DE9">
        <w:t xml:space="preserve"> allow for regulations </w:t>
      </w:r>
      <w:r w:rsidR="00044DE9" w:rsidRPr="006E1CA1">
        <w:t>to be made for or with respect to:</w:t>
      </w:r>
    </w:p>
    <w:p w14:paraId="656B0984" w14:textId="77777777" w:rsidR="00044DE9" w:rsidRPr="000E7C5E" w:rsidRDefault="00044DE9" w:rsidP="000E7C5E">
      <w:pPr>
        <w:pStyle w:val="ListParagraph"/>
        <w:numPr>
          <w:ilvl w:val="0"/>
          <w:numId w:val="26"/>
        </w:numPr>
        <w:rPr>
          <w:color w:val="000000" w:themeColor="text1"/>
          <w:szCs w:val="20"/>
        </w:rPr>
      </w:pPr>
      <w:r w:rsidRPr="00494A7B">
        <w:rPr>
          <w:color w:val="000000" w:themeColor="text1"/>
          <w:szCs w:val="20"/>
        </w:rPr>
        <w:t>6.10</w:t>
      </w:r>
      <w:r w:rsidR="009742D2" w:rsidRPr="00494A7B">
        <w:rPr>
          <w:color w:val="000000" w:themeColor="text1"/>
          <w:szCs w:val="20"/>
        </w:rPr>
        <w:t>:</w:t>
      </w:r>
      <w:r w:rsidRPr="0019024B">
        <w:rPr>
          <w:color w:val="000000" w:themeColor="text1"/>
          <w:szCs w:val="20"/>
        </w:rPr>
        <w:t xml:space="preserve"> Regulating</w:t>
      </w:r>
      <w:r w:rsidRPr="000E7C5E">
        <w:rPr>
          <w:color w:val="000000" w:themeColor="text1"/>
          <w:szCs w:val="20"/>
        </w:rPr>
        <w:t xml:space="preserve"> or prohibiting the supply or sale or plastic products, plastic packaging or plastic shopping bags.</w:t>
      </w:r>
    </w:p>
    <w:p w14:paraId="656B0985" w14:textId="77777777" w:rsidR="00044DE9" w:rsidRPr="000E7C5E" w:rsidRDefault="00044DE9" w:rsidP="000E7C5E">
      <w:pPr>
        <w:pStyle w:val="ListParagraph"/>
        <w:numPr>
          <w:ilvl w:val="0"/>
          <w:numId w:val="26"/>
        </w:numPr>
        <w:rPr>
          <w:color w:val="000000" w:themeColor="text1"/>
          <w:szCs w:val="20"/>
        </w:rPr>
      </w:pPr>
      <w:r w:rsidRPr="00494A7B">
        <w:rPr>
          <w:color w:val="000000" w:themeColor="text1"/>
          <w:szCs w:val="20"/>
        </w:rPr>
        <w:t>6.11</w:t>
      </w:r>
      <w:r w:rsidR="009742D2" w:rsidRPr="0019024B">
        <w:rPr>
          <w:color w:val="000000" w:themeColor="text1"/>
          <w:szCs w:val="20"/>
        </w:rPr>
        <w:t>:</w:t>
      </w:r>
      <w:r w:rsidRPr="0019024B">
        <w:rPr>
          <w:color w:val="000000" w:themeColor="text1"/>
          <w:szCs w:val="20"/>
        </w:rPr>
        <w:t xml:space="preserve"> Requiring</w:t>
      </w:r>
      <w:r w:rsidRPr="000E7C5E">
        <w:rPr>
          <w:color w:val="000000" w:themeColor="text1"/>
          <w:szCs w:val="20"/>
        </w:rPr>
        <w:t xml:space="preserve"> supply of alternatives to plastic products, plastic packaging or plastic shopping bags.</w:t>
      </w:r>
    </w:p>
    <w:p w14:paraId="656B0986" w14:textId="77777777" w:rsidR="005D2C6E" w:rsidRDefault="00B043E3" w:rsidP="00982D63">
      <w:pPr>
        <w:pStyle w:val="Heading2"/>
      </w:pPr>
      <w:r>
        <w:t>Nature and extent of problem</w:t>
      </w:r>
    </w:p>
    <w:p w14:paraId="656B0987" w14:textId="77777777" w:rsidR="007C5F80" w:rsidRDefault="007C5F80" w:rsidP="00D66FCE">
      <w:pPr>
        <w:pStyle w:val="Heading3"/>
        <w:ind w:left="720"/>
      </w:pPr>
      <w:r>
        <w:t>Residual risk</w:t>
      </w:r>
    </w:p>
    <w:p w14:paraId="656B0988" w14:textId="77777777" w:rsidR="00755562" w:rsidRDefault="00B37EE5" w:rsidP="00A03854">
      <w:r w:rsidRPr="00AE334C">
        <w:t xml:space="preserve">The residual risk is that </w:t>
      </w:r>
      <w:r w:rsidR="00755562">
        <w:t xml:space="preserve">lightweight </w:t>
      </w:r>
      <w:r w:rsidRPr="00AE334C">
        <w:t xml:space="preserve">plastic </w:t>
      </w:r>
      <w:r w:rsidR="00755562">
        <w:t xml:space="preserve">bags would continue to cause harm to wildlife and ecosystems, visual amenity, and cause contamination of recyclables (see section 11.4.3 below), without prescription under regulation. Without such prescription, the plastic bag </w:t>
      </w:r>
      <w:r w:rsidRPr="00AE334C">
        <w:t>ban provisions under the new EP legislation cannot function</w:t>
      </w:r>
      <w:r w:rsidR="00755562">
        <w:t>,</w:t>
      </w:r>
      <w:r w:rsidRPr="00AE334C">
        <w:t xml:space="preserve"> </w:t>
      </w:r>
      <w:r w:rsidR="00755562">
        <w:t>meaning that the plastic bag ban which is set to take effect in Victoria in November 2019 would not continue beyond July 2020</w:t>
      </w:r>
      <w:r w:rsidRPr="00B37EE5">
        <w:t xml:space="preserve">. </w:t>
      </w:r>
    </w:p>
    <w:p w14:paraId="656B0989" w14:textId="77777777" w:rsidR="00A03854" w:rsidRPr="00CF7C0D" w:rsidRDefault="0086336B" w:rsidP="00A03854">
      <w:r w:rsidRPr="00040A06">
        <w:t>The plastic bag problem</w:t>
      </w:r>
      <w:r w:rsidR="003A4603" w:rsidRPr="006E1CA1">
        <w:t xml:space="preserve"> </w:t>
      </w:r>
      <w:r w:rsidRPr="00040A06">
        <w:t xml:space="preserve">has </w:t>
      </w:r>
      <w:r w:rsidR="003A4603" w:rsidRPr="006E1CA1">
        <w:t xml:space="preserve">already </w:t>
      </w:r>
      <w:r w:rsidR="003A4603" w:rsidRPr="00CF7C0D">
        <w:t xml:space="preserve">been </w:t>
      </w:r>
      <w:r w:rsidRPr="00040A06">
        <w:t>significantly reduced in Victoria by</w:t>
      </w:r>
      <w:r w:rsidR="003A4603">
        <w:t xml:space="preserve"> the voluntary decisions of major retailers, and some smaller retailers, to cease offering lightweight plastic bags. </w:t>
      </w:r>
      <w:r w:rsidR="00A03854" w:rsidRPr="006E1CA1">
        <w:t>Several major retailers including Bunnings, Coles and Woolworths no longer provide free lightweight plastic bags a</w:t>
      </w:r>
      <w:r w:rsidR="00A03854" w:rsidRPr="00CF7C0D">
        <w:t xml:space="preserve">t check-out. </w:t>
      </w:r>
      <w:r w:rsidRPr="00040A06">
        <w:t xml:space="preserve">These decisions reflect, to an extent, that in the absence of Government action, shifting community attitudes have (and may continue to) significantly influence </w:t>
      </w:r>
      <w:r w:rsidR="00D8252A">
        <w:t>business behaviour</w:t>
      </w:r>
      <w:r w:rsidRPr="00040A06">
        <w:t xml:space="preserve">. </w:t>
      </w:r>
      <w:r w:rsidR="00A03854" w:rsidRPr="006E1CA1">
        <w:t>This has set an important precedent for growing uptak</w:t>
      </w:r>
      <w:r w:rsidR="00A03854" w:rsidRPr="00CF7C0D">
        <w:t xml:space="preserve">e of reusable bags and laid the foundations for a state-wide ban on lightweight plastic shopping bags. </w:t>
      </w:r>
    </w:p>
    <w:p w14:paraId="656B098A" w14:textId="77777777" w:rsidR="00A03854" w:rsidRPr="00657B45" w:rsidRDefault="00A03854" w:rsidP="00A03854">
      <w:pPr>
        <w:rPr>
          <w:rFonts w:eastAsiaTheme="majorEastAsia" w:cs="Arial"/>
          <w:color w:val="000000" w:themeColor="text1"/>
        </w:rPr>
      </w:pPr>
      <w:r w:rsidRPr="00CF7C0D">
        <w:rPr>
          <w:rFonts w:eastAsiaTheme="majorEastAsia" w:cs="Arial"/>
          <w:color w:val="000000" w:themeColor="text1"/>
        </w:rPr>
        <w:t>Many retailers, including those mentioned above, now provide a range of alternative bags. Supermarkets offer bags ranging in price from $0.15 for a reu</w:t>
      </w:r>
      <w:r w:rsidR="00CF7C0D">
        <w:rPr>
          <w:rFonts w:eastAsiaTheme="majorEastAsia" w:cs="Arial"/>
          <w:color w:val="000000" w:themeColor="text1"/>
        </w:rPr>
        <w:t>sable</w:t>
      </w:r>
      <w:r w:rsidRPr="00CF7C0D">
        <w:rPr>
          <w:rFonts w:eastAsiaTheme="majorEastAsia" w:cs="Arial"/>
          <w:color w:val="000000" w:themeColor="text1"/>
        </w:rPr>
        <w:t xml:space="preserve"> </w:t>
      </w:r>
      <w:r w:rsidRPr="006E1CA1">
        <w:rPr>
          <w:rFonts w:eastAsiaTheme="majorEastAsia" w:cs="Arial"/>
          <w:color w:val="000000" w:themeColor="text1"/>
        </w:rPr>
        <w:t xml:space="preserve">heavyweight plastic bag to around $2.50 for a chiller bag. Woolworths offers the </w:t>
      </w:r>
      <w:r w:rsidRPr="00CF7C0D">
        <w:rPr>
          <w:rFonts w:eastAsiaTheme="majorEastAsia" w:cs="Arial"/>
          <w:i/>
          <w:color w:val="000000" w:themeColor="text1"/>
        </w:rPr>
        <w:t>Bag for good</w:t>
      </w:r>
      <w:r w:rsidRPr="00CF7C0D">
        <w:rPr>
          <w:rFonts w:eastAsiaTheme="majorEastAsia" w:cs="Arial"/>
          <w:i/>
          <w:color w:val="000000" w:themeColor="text1"/>
          <w:vertAlign w:val="superscript"/>
        </w:rPr>
        <w:t>TM</w:t>
      </w:r>
      <w:r w:rsidRPr="00CF7C0D">
        <w:rPr>
          <w:rFonts w:eastAsiaTheme="majorEastAsia" w:cs="Arial"/>
          <w:color w:val="000000" w:themeColor="text1"/>
        </w:rPr>
        <w:t xml:space="preserve"> which retails for $0.99 and can be replaced </w:t>
      </w:r>
      <w:r w:rsidR="009742D2">
        <w:rPr>
          <w:rFonts w:eastAsiaTheme="majorEastAsia" w:cs="Arial"/>
          <w:color w:val="000000" w:themeColor="text1"/>
        </w:rPr>
        <w:t xml:space="preserve">for free </w:t>
      </w:r>
      <w:r w:rsidRPr="00CF7C0D">
        <w:rPr>
          <w:rFonts w:eastAsiaTheme="majorEastAsia" w:cs="Arial"/>
          <w:color w:val="000000" w:themeColor="text1"/>
        </w:rPr>
        <w:t xml:space="preserve">if the bag ever gets damaged. Similarly, Coles offers a range of Community Bags. Woolworths and Coles state that the profits (or a portion of the profits) from the sales of these </w:t>
      </w:r>
      <w:r w:rsidRPr="00657B45">
        <w:rPr>
          <w:rFonts w:eastAsiaTheme="majorEastAsia" w:cs="Arial"/>
          <w:color w:val="000000" w:themeColor="text1"/>
        </w:rPr>
        <w:t>bags will be donated to community organisations.</w:t>
      </w:r>
    </w:p>
    <w:p w14:paraId="656B098B" w14:textId="77777777" w:rsidR="00CF7C0D" w:rsidRPr="00040A06" w:rsidRDefault="00A03854" w:rsidP="00CF7C0D">
      <w:r w:rsidRPr="00657B45">
        <w:rPr>
          <w:rFonts w:eastAsiaTheme="majorEastAsia" w:cs="Arial"/>
          <w:color w:val="000000" w:themeColor="text1"/>
        </w:rPr>
        <w:t>Both Coles and Woolworths also offer bins in store for free public drop-off of soft, flexible plastics, such as plastic bags, shrink wrap and packaging film for the REDcycle program. This program was started in Victoria by RED Group (a consulting and recycling organisation) in partnership with Replas (a plastics reprocessor and manufacturer) and involves the collection of flexible plastics that are then remanufactured into garden and street furniture, road asphalt and other products.</w:t>
      </w:r>
      <w:r w:rsidR="00CF7C0D" w:rsidRPr="006E1CA1">
        <w:t xml:space="preserve"> However, as only a very small percentage of used lightweight plastic bags are recove</w:t>
      </w:r>
      <w:r w:rsidR="00CF7C0D" w:rsidRPr="00657B45">
        <w:t>red through this program it does not significantly mitigate the problem.</w:t>
      </w:r>
      <w:r w:rsidR="00CF7C0D" w:rsidRPr="00040A06">
        <w:t xml:space="preserve"> </w:t>
      </w:r>
    </w:p>
    <w:p w14:paraId="656B098C" w14:textId="77777777" w:rsidR="00CF7C0D" w:rsidRDefault="00CF7C0D" w:rsidP="00CF7C0D">
      <w:r w:rsidRPr="00040A06">
        <w:t xml:space="preserve">Other initiatives, such as the Keep Victoria Beautiful campaign, are currently in place and aimed at litter reduction. </w:t>
      </w:r>
      <w:r w:rsidR="00657B45" w:rsidRPr="00040A06">
        <w:t>These have helped</w:t>
      </w:r>
      <w:r w:rsidRPr="00040A06">
        <w:t xml:space="preserve"> mitigate the impacts of plastic bag litter</w:t>
      </w:r>
      <w:r w:rsidR="00657B45" w:rsidRPr="00040A06">
        <w:t xml:space="preserve">, and are expected to continue once the new legislative framework takes effect. </w:t>
      </w:r>
    </w:p>
    <w:p w14:paraId="656B098D" w14:textId="77777777" w:rsidR="007C5F80" w:rsidRPr="007E4238" w:rsidRDefault="007C5F80" w:rsidP="00D66FCE">
      <w:pPr>
        <w:pStyle w:val="Heading3"/>
        <w:ind w:left="720"/>
      </w:pPr>
      <w:r>
        <w:t>Size of problem</w:t>
      </w:r>
    </w:p>
    <w:p w14:paraId="656B098E" w14:textId="77777777" w:rsidR="007C5F80" w:rsidRPr="00040A06" w:rsidRDefault="006B1876" w:rsidP="00851CC9">
      <w:r>
        <w:t xml:space="preserve">While estimates of plastic bag use in Victoria can vary, Marsden Jacob Associates </w:t>
      </w:r>
      <w:r w:rsidR="009742D2">
        <w:t>estimated</w:t>
      </w:r>
      <w:r>
        <w:t xml:space="preserve"> that Victorian used </w:t>
      </w:r>
      <w:r w:rsidR="009742D2">
        <w:t>1.5 billion lightweight plastic bags and 129 million heavy weight plastic bags in 2015.</w:t>
      </w:r>
      <w:r w:rsidR="007C5F80" w:rsidRPr="00040A06">
        <w:t xml:space="preserve"> </w:t>
      </w:r>
      <w:r w:rsidR="00325B6C">
        <w:t xml:space="preserve">Of these, </w:t>
      </w:r>
      <w:r w:rsidR="007C5F80" w:rsidRPr="00040A06">
        <w:t xml:space="preserve">approximately 9.6 million lightweight plastic bags </w:t>
      </w:r>
      <w:r w:rsidR="00325B6C">
        <w:t>and 1 million heavy plastic bags are estimated to have been littered.</w:t>
      </w:r>
      <w:r w:rsidR="007C5F80" w:rsidRPr="00040A06">
        <w:rPr>
          <w:rStyle w:val="FootnoteReference"/>
        </w:rPr>
        <w:footnoteReference w:id="192"/>
      </w:r>
      <w:r w:rsidR="007C5F80" w:rsidRPr="00040A06">
        <w:rPr>
          <w:rStyle w:val="FootnoteReference"/>
        </w:rPr>
        <w:t xml:space="preserve"> </w:t>
      </w:r>
      <w:r w:rsidR="007C5F80" w:rsidRPr="00040A06">
        <w:t>While plastic shopping bags represent only a small proportion of Victoria’s litter stream (less than 1 per cent of all Victoria’s litter items</w:t>
      </w:r>
      <w:r w:rsidR="007C5F80" w:rsidRPr="00040A06">
        <w:rPr>
          <w:rStyle w:val="FootnoteReference"/>
        </w:rPr>
        <w:footnoteReference w:id="193"/>
      </w:r>
      <w:r w:rsidR="007C5F80" w:rsidRPr="00040A06">
        <w:t xml:space="preserve">) they are pervasive in </w:t>
      </w:r>
      <w:r w:rsidR="004A6873">
        <w:t>the</w:t>
      </w:r>
      <w:r w:rsidR="007C5F80" w:rsidRPr="00040A06">
        <w:t xml:space="preserve"> landscap</w:t>
      </w:r>
      <w:r w:rsidR="004A6873">
        <w:t>e</w:t>
      </w:r>
      <w:r w:rsidR="007C5F80" w:rsidRPr="00040A06">
        <w:t xml:space="preserve"> because they rip and spread easily.</w:t>
      </w:r>
    </w:p>
    <w:p w14:paraId="656B098F" w14:textId="77777777" w:rsidR="007C5F80" w:rsidRPr="00787AD8" w:rsidRDefault="007C5F80" w:rsidP="00040A06">
      <w:r w:rsidRPr="00787AD8">
        <w:t>Before commencing their respective voluntary initiatives to phase out lightweight plastic shopping bags</w:t>
      </w:r>
      <w:r w:rsidR="005605D3" w:rsidRPr="00787AD8">
        <w:t xml:space="preserve"> in the last week of June 2018</w:t>
      </w:r>
      <w:r w:rsidRPr="00FD526C">
        <w:t xml:space="preserve">, </w:t>
      </w:r>
      <w:r w:rsidRPr="00B22725">
        <w:t xml:space="preserve">Coles and Woolworths were </w:t>
      </w:r>
      <w:r w:rsidR="00325B6C">
        <w:t>estimated to account for a significant share of lightweight plastic bags used in Victoria</w:t>
      </w:r>
      <w:r w:rsidRPr="00B22725">
        <w:t>.</w:t>
      </w:r>
      <w:r w:rsidRPr="00D85A7F">
        <w:rPr>
          <w:rStyle w:val="FootnoteReference"/>
          <w:rFonts w:cs="Segoe UI Light"/>
          <w:szCs w:val="20"/>
        </w:rPr>
        <w:footnoteReference w:id="194"/>
      </w:r>
      <w:r w:rsidRPr="00787AD8">
        <w:t xml:space="preserve"> </w:t>
      </w:r>
      <w:r w:rsidR="008A011F" w:rsidRPr="00787AD8">
        <w:t>Anecdotal evidence suggests there has been a very large reduction in the number of plastic bag</w:t>
      </w:r>
      <w:r w:rsidR="008A011F" w:rsidRPr="00FD526C">
        <w:t xml:space="preserve"> being given out by the major retailers that have taken</w:t>
      </w:r>
      <w:r w:rsidR="008A011F" w:rsidRPr="00B22725">
        <w:t xml:space="preserve"> voluntary action</w:t>
      </w:r>
      <w:r w:rsidR="005605D3" w:rsidRPr="000B4040">
        <w:t xml:space="preserve">. Furthermore, one major retailer consulted for this RIS noted that a large </w:t>
      </w:r>
      <w:r w:rsidR="004A6873">
        <w:t xml:space="preserve">(and increasing) </w:t>
      </w:r>
      <w:r w:rsidR="005605D3" w:rsidRPr="000B4040">
        <w:t xml:space="preserve">majority of customers </w:t>
      </w:r>
      <w:r w:rsidR="005605D3" w:rsidRPr="00040A06">
        <w:t xml:space="preserve">are no longer purchasing a </w:t>
      </w:r>
      <w:r w:rsidR="00325B6C">
        <w:t xml:space="preserve">heavy plastic </w:t>
      </w:r>
      <w:r w:rsidR="005605D3" w:rsidRPr="00040A06">
        <w:t>bag</w:t>
      </w:r>
      <w:r w:rsidR="00325B6C">
        <w:t xml:space="preserve"> in store, but are opting to use reusable bags instead</w:t>
      </w:r>
      <w:r w:rsidR="005605D3" w:rsidRPr="00040A06">
        <w:t>.</w:t>
      </w:r>
    </w:p>
    <w:p w14:paraId="656B0990" w14:textId="77777777" w:rsidR="008A011F" w:rsidRPr="00B22725" w:rsidRDefault="008A011F" w:rsidP="00040A06">
      <w:r w:rsidRPr="00787AD8">
        <w:t>Some survey</w:t>
      </w:r>
      <w:r w:rsidRPr="00FD526C">
        <w:t xml:space="preserve"> findings provided to Deloitte as part of consultation for this RIS</w:t>
      </w:r>
      <w:r w:rsidRPr="00B22725">
        <w:t xml:space="preserve"> </w:t>
      </w:r>
      <w:r w:rsidRPr="000B4040">
        <w:t>give an indication of the size of residual</w:t>
      </w:r>
      <w:r w:rsidRPr="00640B34">
        <w:t xml:space="preserve"> problem relating to lightweight plastic bags. In a recent survey, 61%</w:t>
      </w:r>
      <w:r w:rsidR="006B1876">
        <w:t xml:space="preserve"> </w:t>
      </w:r>
      <w:r w:rsidR="005304A9">
        <w:t>of</w:t>
      </w:r>
      <w:r w:rsidR="006B1876">
        <w:t xml:space="preserve"> retail store operators </w:t>
      </w:r>
      <w:r w:rsidRPr="00640B34">
        <w:t>indicated they use a</w:t>
      </w:r>
      <w:r w:rsidRPr="00B22725">
        <w:t xml:space="preserve"> lightweight plastic bag as their primary bag</w:t>
      </w:r>
      <w:r w:rsidRPr="000B4040">
        <w:t xml:space="preserve"> given to customers.</w:t>
      </w:r>
      <w:r w:rsidRPr="00640B34">
        <w:t xml:space="preserve"> </w:t>
      </w:r>
      <w:r w:rsidR="0057794C">
        <w:t xml:space="preserve">Of those that were able to provide an estimate, store operators estimated that they provided </w:t>
      </w:r>
      <w:r w:rsidRPr="00640B34">
        <w:t xml:space="preserve">46 bags per day </w:t>
      </w:r>
      <w:r w:rsidR="0057794C">
        <w:t>on average</w:t>
      </w:r>
      <w:r w:rsidR="006B1876">
        <w:t xml:space="preserve">, equating to approximately </w:t>
      </w:r>
      <w:r w:rsidR="00A1746A" w:rsidRPr="00B22725">
        <w:t xml:space="preserve">16,790 per year per </w:t>
      </w:r>
      <w:r w:rsidR="0057794C">
        <w:t>store</w:t>
      </w:r>
      <w:r w:rsidRPr="00B22725">
        <w:t>.</w:t>
      </w:r>
      <w:r w:rsidRPr="00B22725">
        <w:rPr>
          <w:rStyle w:val="FootnoteReference"/>
        </w:rPr>
        <w:footnoteReference w:id="195"/>
      </w:r>
      <w:r w:rsidR="00A1746A" w:rsidRPr="000B4040">
        <w:t xml:space="preserve"> </w:t>
      </w:r>
    </w:p>
    <w:p w14:paraId="656B0991" w14:textId="77777777" w:rsidR="003A6B4C" w:rsidRDefault="007C5F80" w:rsidP="00D66FCE">
      <w:pPr>
        <w:pStyle w:val="Heading3"/>
        <w:ind w:left="720"/>
      </w:pPr>
      <w:r>
        <w:t>Harms</w:t>
      </w:r>
    </w:p>
    <w:p w14:paraId="656B0992" w14:textId="77777777" w:rsidR="007C5F80" w:rsidRDefault="007C5F80" w:rsidP="007C5F80">
      <w:r>
        <w:t>Problems associated with lightweight plastic shopping bags include the following:</w:t>
      </w:r>
    </w:p>
    <w:p w14:paraId="656B0993" w14:textId="77777777" w:rsidR="007C5F80" w:rsidRDefault="007C5F80" w:rsidP="004A2442">
      <w:pPr>
        <w:pStyle w:val="ListParagraph"/>
        <w:numPr>
          <w:ilvl w:val="0"/>
          <w:numId w:val="51"/>
        </w:numPr>
      </w:pPr>
      <w:r w:rsidRPr="00D85A7F">
        <w:rPr>
          <w:i/>
        </w:rPr>
        <w:t>Harm to wildlife and ecosystems</w:t>
      </w:r>
      <w:r>
        <w:t>: Plastic litter (including plastic bag litter) poses a danger to animals of different sizes and in different habitats. The propensity of plastic items to break into smaller and smaller particles means that it remains in the environment for decades, if not longer.</w:t>
      </w:r>
      <w:r>
        <w:rPr>
          <w:rStyle w:val="FootnoteReference"/>
        </w:rPr>
        <w:footnoteReference w:id="196"/>
      </w:r>
      <w:r>
        <w:t xml:space="preserve"> Turtles, seabirds and marine mammals are particularly vulnerable to ingesting or becoming tangled in lightweight plastic shopping bags as they are commonly mistaken for food, especially when the bags carry food residues, are brightly coloured or are animated by the movement of water. Microplastics, </w:t>
      </w:r>
      <w:r w:rsidR="006B1876">
        <w:t xml:space="preserve">including </w:t>
      </w:r>
      <w:r>
        <w:t xml:space="preserve">from the degradation of plastic shopping bags, also present a threat to creatures on land and may have damaging effects similar or more problematic to those in the marine environment. </w:t>
      </w:r>
    </w:p>
    <w:p w14:paraId="656B0994" w14:textId="77777777" w:rsidR="007C5F80" w:rsidRDefault="007C5F80" w:rsidP="004A2442">
      <w:pPr>
        <w:pStyle w:val="ListParagraph"/>
        <w:numPr>
          <w:ilvl w:val="0"/>
          <w:numId w:val="51"/>
        </w:numPr>
        <w:autoSpaceDE w:val="0"/>
        <w:autoSpaceDN w:val="0"/>
        <w:adjustRightInd w:val="0"/>
        <w:spacing w:line="240" w:lineRule="auto"/>
      </w:pPr>
      <w:r w:rsidRPr="00D85A7F">
        <w:rPr>
          <w:i/>
        </w:rPr>
        <w:t>Visual amenity issues associated with litter</w:t>
      </w:r>
      <w:r>
        <w:t xml:space="preserve">: Lightweight plastic shopping bags commonly enter the litter stream after </w:t>
      </w:r>
      <w:r w:rsidRPr="0065639C">
        <w:t xml:space="preserve">escaping from waste and recycling facilities via the wind, or they are littered deliberately or inadvertently by individuals. </w:t>
      </w:r>
      <w:r w:rsidRPr="00D85A7F">
        <w:t xml:space="preserve">Litter makes an area look dirty and uncared for, unpleasant to be in and less likely to be used and enjoyed by the community. </w:t>
      </w:r>
    </w:p>
    <w:p w14:paraId="656B0995" w14:textId="77777777" w:rsidR="007C5F80" w:rsidRPr="004D56E7" w:rsidRDefault="007C5F80" w:rsidP="004A2442">
      <w:pPr>
        <w:pStyle w:val="ListParagraph"/>
        <w:numPr>
          <w:ilvl w:val="0"/>
          <w:numId w:val="51"/>
        </w:numPr>
        <w:autoSpaceDE w:val="0"/>
        <w:autoSpaceDN w:val="0"/>
        <w:adjustRightInd w:val="0"/>
        <w:spacing w:line="240" w:lineRule="auto"/>
      </w:pPr>
      <w:r>
        <w:rPr>
          <w:i/>
        </w:rPr>
        <w:t>Contamination of plastic shopping bags in municipally</w:t>
      </w:r>
      <w:r w:rsidRPr="00D85A7F">
        <w:t>-</w:t>
      </w:r>
      <w:r w:rsidRPr="00D85A7F">
        <w:rPr>
          <w:i/>
        </w:rPr>
        <w:t>sourced recyclables</w:t>
      </w:r>
      <w:r>
        <w:t xml:space="preserve">: Recycling flexible plastics has historically </w:t>
      </w:r>
      <w:r w:rsidR="0019024B">
        <w:t xml:space="preserve">been </w:t>
      </w:r>
      <w:r>
        <w:t xml:space="preserve">problematic because the lightweight nature of this packaging makes it difficult to sort and separate from other materials to create a homogenous stream. Waste audits </w:t>
      </w:r>
      <w:r w:rsidR="006B1876">
        <w:t xml:space="preserve">conducted </w:t>
      </w:r>
      <w:r>
        <w:t xml:space="preserve">by four councils in metropolitan Victoria found that flexible packaging, including plastic shopping bags, made up nine per cent of volume in recycling bins, even though it </w:t>
      </w:r>
      <w:r w:rsidR="00B95D8D">
        <w:t xml:space="preserve">is </w:t>
      </w:r>
      <w:r>
        <w:t>not a recyclable material.</w:t>
      </w:r>
      <w:r>
        <w:rPr>
          <w:rStyle w:val="FootnoteReference"/>
        </w:rPr>
        <w:footnoteReference w:id="197"/>
      </w:r>
    </w:p>
    <w:p w14:paraId="656B0996" w14:textId="77777777" w:rsidR="007C5F80" w:rsidRPr="007C5F80" w:rsidRDefault="007C5F80" w:rsidP="00AE334C">
      <w:pPr>
        <w:pStyle w:val="Heading3"/>
        <w:ind w:left="720"/>
      </w:pPr>
      <w:r>
        <w:t>Costs</w:t>
      </w:r>
    </w:p>
    <w:p w14:paraId="656B0997" w14:textId="77777777" w:rsidR="007C5F80" w:rsidRDefault="0036097A" w:rsidP="00605C29">
      <w:r>
        <w:t>Litter from plastic bags can impose clean</w:t>
      </w:r>
      <w:r w:rsidR="00B91282">
        <w:t>-</w:t>
      </w:r>
      <w:r>
        <w:t xml:space="preserve">up costs, costs of correctly sorting recyclable material in waste recycling facilities, and costs to the environment e.g. loss of animal life. However, no data is </w:t>
      </w:r>
      <w:r w:rsidR="006B1876">
        <w:t xml:space="preserve">readily </w:t>
      </w:r>
      <w:r>
        <w:t xml:space="preserve">available to quantify </w:t>
      </w:r>
      <w:r w:rsidR="006B1876">
        <w:t xml:space="preserve">these </w:t>
      </w:r>
      <w:r>
        <w:t>cost</w:t>
      </w:r>
      <w:r w:rsidR="006B1876">
        <w:t>s</w:t>
      </w:r>
      <w:r>
        <w:t>.</w:t>
      </w:r>
    </w:p>
    <w:p w14:paraId="656B0998" w14:textId="77777777" w:rsidR="00605C29" w:rsidRDefault="00605C29" w:rsidP="00982D63">
      <w:pPr>
        <w:pStyle w:val="Heading2"/>
      </w:pPr>
      <w:bookmarkStart w:id="1418" w:name="_Ref10525179"/>
      <w:r>
        <w:t>Options</w:t>
      </w:r>
      <w:bookmarkEnd w:id="1418"/>
    </w:p>
    <w:p w14:paraId="656B0999" w14:textId="77777777" w:rsidR="00727D86" w:rsidRDefault="00727D86" w:rsidP="008122AD">
      <w:r>
        <w:t>The options developed by the EPA and DELWP considered both the Victorian Government’s commitment to ban lightweight plastic bags, as well as regulations and laws introduced in other Australian jurisdictions (and the findings of subsequent reviews of those reforms).</w:t>
      </w:r>
    </w:p>
    <w:p w14:paraId="656B099A" w14:textId="77777777" w:rsidR="001D391E" w:rsidRDefault="001D391E" w:rsidP="001D391E">
      <w:pPr>
        <w:mirrorIndents/>
      </w:pPr>
      <w:r>
        <w:t xml:space="preserve">The </w:t>
      </w:r>
      <w:r w:rsidR="00530DC9">
        <w:t xml:space="preserve">three </w:t>
      </w:r>
      <w:r>
        <w:t>options considered in this RIS to address the residual risks associated with plastic bags are</w:t>
      </w:r>
      <w:r w:rsidR="006E1CA1">
        <w:t>:</w:t>
      </w:r>
    </w:p>
    <w:p w14:paraId="656B099B" w14:textId="77777777" w:rsidR="00851CC9" w:rsidRPr="000E7C5E" w:rsidRDefault="00740BBC" w:rsidP="000E7C5E">
      <w:pPr>
        <w:pStyle w:val="ListParagraph"/>
        <w:numPr>
          <w:ilvl w:val="0"/>
          <w:numId w:val="144"/>
        </w:numPr>
        <w:rPr>
          <w:color w:val="000000" w:themeColor="text1"/>
        </w:rPr>
      </w:pPr>
      <w:r w:rsidRPr="000E7C5E">
        <w:rPr>
          <w:b/>
          <w:color w:val="000000" w:themeColor="text1"/>
        </w:rPr>
        <w:t xml:space="preserve">Option 1 </w:t>
      </w:r>
      <w:r w:rsidR="00851CC9" w:rsidRPr="000E7C5E">
        <w:rPr>
          <w:b/>
          <w:color w:val="000000" w:themeColor="text1"/>
        </w:rPr>
        <w:t>–</w:t>
      </w:r>
      <w:r w:rsidRPr="000E7C5E">
        <w:rPr>
          <w:b/>
          <w:color w:val="000000" w:themeColor="text1"/>
        </w:rPr>
        <w:t xml:space="preserve"> </w:t>
      </w:r>
      <w:r w:rsidR="00851CC9" w:rsidRPr="000E7C5E">
        <w:rPr>
          <w:b/>
          <w:color w:val="000000" w:themeColor="text1"/>
        </w:rPr>
        <w:t>Introducing new e</w:t>
      </w:r>
      <w:r w:rsidRPr="000E7C5E">
        <w:rPr>
          <w:b/>
          <w:color w:val="000000" w:themeColor="text1"/>
        </w:rPr>
        <w:t xml:space="preserve">ducation </w:t>
      </w:r>
      <w:r w:rsidR="00851CC9" w:rsidRPr="000E7C5E">
        <w:rPr>
          <w:b/>
          <w:color w:val="000000" w:themeColor="text1"/>
        </w:rPr>
        <w:t xml:space="preserve">and behaviour change </w:t>
      </w:r>
      <w:r w:rsidRPr="000E7C5E">
        <w:rPr>
          <w:b/>
          <w:color w:val="000000" w:themeColor="text1"/>
        </w:rPr>
        <w:t>campaign</w:t>
      </w:r>
      <w:r w:rsidR="00851CC9" w:rsidRPr="000E7C5E">
        <w:rPr>
          <w:b/>
          <w:color w:val="000000" w:themeColor="text1"/>
        </w:rPr>
        <w:t>s</w:t>
      </w:r>
      <w:r w:rsidR="001D391E" w:rsidRPr="000E7C5E">
        <w:rPr>
          <w:b/>
          <w:color w:val="000000" w:themeColor="text1"/>
        </w:rPr>
        <w:t xml:space="preserve">. </w:t>
      </w:r>
      <w:r w:rsidR="0071391A" w:rsidRPr="000E7C5E">
        <w:rPr>
          <w:color w:val="000000" w:themeColor="text1"/>
        </w:rPr>
        <w:t>Education can be core to any new regulatory intervention, but there are also examples where it can be used in isolation. One such example is the Love Food, Hate Wast</w:t>
      </w:r>
      <w:r w:rsidR="006A1FA8" w:rsidRPr="000E7C5E">
        <w:rPr>
          <w:color w:val="000000" w:themeColor="text1"/>
        </w:rPr>
        <w:t>e</w:t>
      </w:r>
      <w:r w:rsidR="0071391A" w:rsidRPr="000E7C5E">
        <w:rPr>
          <w:color w:val="000000" w:themeColor="text1"/>
        </w:rPr>
        <w:t xml:space="preserve"> campaign aimed at reducing the amount of food waste generated in households. This has gained a significant following through social media in Victoria and other Australian jurisdictions. </w:t>
      </w:r>
    </w:p>
    <w:p w14:paraId="656B099C" w14:textId="436A49CF" w:rsidR="00851CC9" w:rsidRPr="000E7C5E" w:rsidRDefault="001D391E" w:rsidP="000E7C5E">
      <w:pPr>
        <w:pStyle w:val="ListParagraph"/>
        <w:numPr>
          <w:ilvl w:val="0"/>
          <w:numId w:val="144"/>
        </w:numPr>
        <w:rPr>
          <w:b/>
          <w:color w:val="000000" w:themeColor="text1"/>
        </w:rPr>
      </w:pPr>
      <w:r w:rsidRPr="00040A06">
        <w:rPr>
          <w:b/>
          <w:color w:val="000000" w:themeColor="text1"/>
        </w:rPr>
        <w:t>O</w:t>
      </w:r>
      <w:r w:rsidR="00F82F72" w:rsidRPr="00040A06">
        <w:rPr>
          <w:b/>
          <w:color w:val="000000" w:themeColor="text1"/>
        </w:rPr>
        <w:t xml:space="preserve">ption </w:t>
      </w:r>
      <w:r w:rsidR="00954695">
        <w:rPr>
          <w:b/>
          <w:color w:val="000000" w:themeColor="text1"/>
        </w:rPr>
        <w:t>2</w:t>
      </w:r>
      <w:r w:rsidR="00FE3C0A" w:rsidRPr="00040A06">
        <w:rPr>
          <w:b/>
          <w:color w:val="000000" w:themeColor="text1"/>
        </w:rPr>
        <w:t xml:space="preserve"> – ban lightweight plastic </w:t>
      </w:r>
      <w:r w:rsidR="00787AD8">
        <w:rPr>
          <w:b/>
          <w:color w:val="000000" w:themeColor="text1"/>
        </w:rPr>
        <w:t xml:space="preserve">(including </w:t>
      </w:r>
      <w:r w:rsidR="00851CC9">
        <w:rPr>
          <w:b/>
          <w:color w:val="000000" w:themeColor="text1"/>
        </w:rPr>
        <w:t xml:space="preserve">degradable, </w:t>
      </w:r>
      <w:r w:rsidR="00FE3C0A" w:rsidRPr="00040A06">
        <w:rPr>
          <w:b/>
          <w:color w:val="000000" w:themeColor="text1"/>
        </w:rPr>
        <w:t>biodegradable</w:t>
      </w:r>
      <w:r w:rsidR="00851CC9">
        <w:rPr>
          <w:b/>
          <w:color w:val="000000" w:themeColor="text1"/>
        </w:rPr>
        <w:t xml:space="preserve"> and compostable</w:t>
      </w:r>
      <w:r w:rsidR="00787AD8">
        <w:rPr>
          <w:b/>
          <w:color w:val="000000" w:themeColor="text1"/>
        </w:rPr>
        <w:t>)</w:t>
      </w:r>
      <w:r w:rsidR="00FE3C0A" w:rsidRPr="00040A06">
        <w:rPr>
          <w:b/>
          <w:color w:val="000000" w:themeColor="text1"/>
        </w:rPr>
        <w:t xml:space="preserve"> shopping bags</w:t>
      </w:r>
      <w:r w:rsidR="00FE3C0A" w:rsidRPr="000E7C5E">
        <w:rPr>
          <w:b/>
          <w:color w:val="000000" w:themeColor="text1"/>
        </w:rPr>
        <w:t>.</w:t>
      </w:r>
      <w:r w:rsidR="00411FB8" w:rsidRPr="000E7C5E">
        <w:rPr>
          <w:b/>
          <w:color w:val="000000" w:themeColor="text1"/>
        </w:rPr>
        <w:t xml:space="preserve"> </w:t>
      </w:r>
      <w:r w:rsidR="00FE3C0A" w:rsidRPr="00851CC9">
        <w:rPr>
          <w:color w:val="000000" w:themeColor="text1"/>
        </w:rPr>
        <w:t>Under this option</w:t>
      </w:r>
      <w:r w:rsidR="00411FB8" w:rsidRPr="00851CC9">
        <w:rPr>
          <w:color w:val="000000" w:themeColor="text1"/>
        </w:rPr>
        <w:t xml:space="preserve">, </w:t>
      </w:r>
      <w:r w:rsidR="00E6776E">
        <w:rPr>
          <w:color w:val="000000" w:themeColor="text1"/>
        </w:rPr>
        <w:t xml:space="preserve">retailers would be </w:t>
      </w:r>
      <w:r w:rsidR="00B873FA">
        <w:rPr>
          <w:color w:val="000000" w:themeColor="text1"/>
        </w:rPr>
        <w:t xml:space="preserve">banned from selling or providing a customer with </w:t>
      </w:r>
      <w:r w:rsidR="00411FB8" w:rsidRPr="00851CC9">
        <w:rPr>
          <w:color w:val="000000" w:themeColor="text1"/>
        </w:rPr>
        <w:t xml:space="preserve">plastic bags with </w:t>
      </w:r>
      <w:r w:rsidR="00851CC9">
        <w:rPr>
          <w:color w:val="000000" w:themeColor="text1"/>
        </w:rPr>
        <w:t xml:space="preserve">handles and </w:t>
      </w:r>
      <w:r w:rsidR="00411FB8" w:rsidRPr="00851CC9">
        <w:rPr>
          <w:color w:val="000000" w:themeColor="text1"/>
        </w:rPr>
        <w:t xml:space="preserve">a thickness </w:t>
      </w:r>
      <w:r w:rsidR="00851CC9">
        <w:rPr>
          <w:color w:val="000000" w:themeColor="text1"/>
        </w:rPr>
        <w:t>of</w:t>
      </w:r>
      <w:r w:rsidR="00411FB8" w:rsidRPr="00851CC9">
        <w:rPr>
          <w:color w:val="000000" w:themeColor="text1"/>
        </w:rPr>
        <w:t xml:space="preserve"> 35 microns </w:t>
      </w:r>
      <w:r w:rsidR="006508E0">
        <w:rPr>
          <w:color w:val="000000" w:themeColor="text1"/>
        </w:rPr>
        <w:t xml:space="preserve">or less </w:t>
      </w:r>
      <w:r w:rsidR="003D3B5F">
        <w:rPr>
          <w:color w:val="000000" w:themeColor="text1"/>
        </w:rPr>
        <w:t>to carry their purchases in</w:t>
      </w:r>
      <w:r w:rsidR="00411FB8" w:rsidRPr="00851CC9">
        <w:rPr>
          <w:color w:val="000000" w:themeColor="text1"/>
        </w:rPr>
        <w:t xml:space="preserve">. </w:t>
      </w:r>
      <w:r w:rsidR="00530DC9">
        <w:rPr>
          <w:color w:val="000000" w:themeColor="text1"/>
        </w:rPr>
        <w:t>Lightweight degradable, b</w:t>
      </w:r>
      <w:r w:rsidR="00411FB8" w:rsidRPr="00851CC9">
        <w:rPr>
          <w:color w:val="000000" w:themeColor="text1"/>
        </w:rPr>
        <w:t xml:space="preserve">iodegradable </w:t>
      </w:r>
      <w:r w:rsidR="00530DC9">
        <w:rPr>
          <w:color w:val="000000" w:themeColor="text1"/>
        </w:rPr>
        <w:t xml:space="preserve">and compostable </w:t>
      </w:r>
      <w:r w:rsidR="00411FB8" w:rsidRPr="00851CC9">
        <w:rPr>
          <w:color w:val="000000" w:themeColor="text1"/>
        </w:rPr>
        <w:t xml:space="preserve">shopping bags </w:t>
      </w:r>
      <w:r w:rsidR="00530DC9">
        <w:rPr>
          <w:color w:val="000000" w:themeColor="text1"/>
        </w:rPr>
        <w:t xml:space="preserve">made wholly or partly of plastic </w:t>
      </w:r>
      <w:r w:rsidR="00411FB8" w:rsidRPr="00851CC9">
        <w:rPr>
          <w:color w:val="000000" w:themeColor="text1"/>
        </w:rPr>
        <w:t>would also be subject to the ban</w:t>
      </w:r>
      <w:r w:rsidR="00530DC9">
        <w:rPr>
          <w:color w:val="000000" w:themeColor="text1"/>
        </w:rPr>
        <w:t>.</w:t>
      </w:r>
      <w:r w:rsidR="00411FB8" w:rsidRPr="00851CC9">
        <w:rPr>
          <w:color w:val="000000" w:themeColor="text1"/>
        </w:rPr>
        <w:t xml:space="preserve"> </w:t>
      </w:r>
      <w:r w:rsidR="00530DC9">
        <w:rPr>
          <w:color w:val="000000" w:themeColor="text1"/>
        </w:rPr>
        <w:t>H</w:t>
      </w:r>
      <w:r w:rsidR="00411FB8" w:rsidRPr="00851CC9">
        <w:rPr>
          <w:color w:val="000000" w:themeColor="text1"/>
        </w:rPr>
        <w:t xml:space="preserve">owever, </w:t>
      </w:r>
      <w:r w:rsidR="00D9728E" w:rsidRPr="00851CC9">
        <w:rPr>
          <w:color w:val="000000" w:themeColor="text1"/>
        </w:rPr>
        <w:t xml:space="preserve">barrier bags </w:t>
      </w:r>
      <w:r w:rsidR="009E7A9F">
        <w:rPr>
          <w:color w:val="000000" w:themeColor="text1"/>
        </w:rPr>
        <w:t>(without handles)</w:t>
      </w:r>
      <w:r w:rsidR="00D9728E" w:rsidRPr="00851CC9">
        <w:rPr>
          <w:color w:val="000000" w:themeColor="text1"/>
        </w:rPr>
        <w:t xml:space="preserve"> would be excluded, as would reusable polypropylene </w:t>
      </w:r>
      <w:r w:rsidR="00D9728E">
        <w:rPr>
          <w:color w:val="000000" w:themeColor="text1"/>
        </w:rPr>
        <w:t xml:space="preserve">(heavier-weight) </w:t>
      </w:r>
      <w:r w:rsidR="00D9728E" w:rsidRPr="00851CC9">
        <w:rPr>
          <w:color w:val="000000" w:themeColor="text1"/>
        </w:rPr>
        <w:t>bags</w:t>
      </w:r>
      <w:r w:rsidR="00D9728E">
        <w:rPr>
          <w:color w:val="000000" w:themeColor="text1"/>
        </w:rPr>
        <w:t>.</w:t>
      </w:r>
      <w:r w:rsidR="00D9728E" w:rsidRPr="000E7C5E">
        <w:rPr>
          <w:b/>
          <w:color w:val="000000" w:themeColor="text1"/>
        </w:rPr>
        <w:t xml:space="preserve"> </w:t>
      </w:r>
      <w:r w:rsidR="00851CC9">
        <w:t xml:space="preserve">A </w:t>
      </w:r>
      <w:r w:rsidR="00C4453D">
        <w:t xml:space="preserve">similar </w:t>
      </w:r>
      <w:r w:rsidR="00851CC9">
        <w:t xml:space="preserve">ban on </w:t>
      </w:r>
      <w:r w:rsidR="00AF51F2">
        <w:t xml:space="preserve">the provision of </w:t>
      </w:r>
      <w:r w:rsidR="00851CC9">
        <w:t xml:space="preserve">lightweight plastic bags </w:t>
      </w:r>
      <w:r w:rsidR="00AF51F2">
        <w:t>by retailers to customers at the point of sale</w:t>
      </w:r>
      <w:r w:rsidR="00851CC9">
        <w:t xml:space="preserve"> has been applied in many parts of the world, including Queensland, the Australian Capital Territory and more recently, Western Australia.</w:t>
      </w:r>
      <w:r w:rsidR="00C4453D">
        <w:t xml:space="preserve"> Bags </w:t>
      </w:r>
      <w:r w:rsidR="00425C79">
        <w:t>that</w:t>
      </w:r>
      <w:r w:rsidR="00C4453D">
        <w:t xml:space="preserve"> are</w:t>
      </w:r>
      <w:r w:rsidR="003D75C9">
        <w:t xml:space="preserve"> an</w:t>
      </w:r>
      <w:r w:rsidR="00C4453D">
        <w:t xml:space="preserve"> integral part of the packaging in which goods are sealed for sale (such as a bag for whole roast chicken) would be excluded from the ban. </w:t>
      </w:r>
    </w:p>
    <w:p w14:paraId="656B099D" w14:textId="77777777" w:rsidR="00FE3C0A" w:rsidRPr="00851CC9" w:rsidRDefault="00F82F72" w:rsidP="000E7C5E">
      <w:pPr>
        <w:pStyle w:val="ListParagraph"/>
        <w:numPr>
          <w:ilvl w:val="0"/>
          <w:numId w:val="144"/>
        </w:numPr>
        <w:rPr>
          <w:color w:val="000000" w:themeColor="text1"/>
        </w:rPr>
      </w:pPr>
      <w:r w:rsidRPr="00851CC9">
        <w:rPr>
          <w:b/>
          <w:color w:val="000000" w:themeColor="text1"/>
        </w:rPr>
        <w:t xml:space="preserve">Option </w:t>
      </w:r>
      <w:r w:rsidR="00851CC9">
        <w:rPr>
          <w:b/>
          <w:color w:val="000000" w:themeColor="text1"/>
        </w:rPr>
        <w:t>3</w:t>
      </w:r>
      <w:r w:rsidR="00851CC9" w:rsidRPr="00851CC9">
        <w:rPr>
          <w:b/>
          <w:color w:val="000000" w:themeColor="text1"/>
        </w:rPr>
        <w:t xml:space="preserve"> </w:t>
      </w:r>
      <w:r w:rsidR="00FE3C0A" w:rsidRPr="00851CC9">
        <w:rPr>
          <w:b/>
          <w:color w:val="000000" w:themeColor="text1"/>
        </w:rPr>
        <w:t>– ban all plastic shopping bags</w:t>
      </w:r>
      <w:r w:rsidR="00FE3C0A" w:rsidRPr="00851CC9">
        <w:rPr>
          <w:color w:val="000000" w:themeColor="text1"/>
        </w:rPr>
        <w:t>.</w:t>
      </w:r>
      <w:r w:rsidR="00411FB8" w:rsidRPr="00851CC9">
        <w:rPr>
          <w:color w:val="000000" w:themeColor="text1"/>
        </w:rPr>
        <w:t xml:space="preserve"> Under this option, all </w:t>
      </w:r>
      <w:r w:rsidR="00597834" w:rsidRPr="00851CC9">
        <w:rPr>
          <w:color w:val="000000" w:themeColor="text1"/>
        </w:rPr>
        <w:t xml:space="preserve">plastic </w:t>
      </w:r>
      <w:r w:rsidR="00411FB8" w:rsidRPr="00851CC9">
        <w:rPr>
          <w:color w:val="000000" w:themeColor="text1"/>
        </w:rPr>
        <w:t xml:space="preserve">shopping bags </w:t>
      </w:r>
      <w:r w:rsidR="00597834" w:rsidRPr="00851CC9">
        <w:rPr>
          <w:color w:val="000000" w:themeColor="text1"/>
        </w:rPr>
        <w:t xml:space="preserve">(of any thickness) </w:t>
      </w:r>
      <w:r w:rsidR="00411FB8" w:rsidRPr="00851CC9">
        <w:rPr>
          <w:color w:val="000000" w:themeColor="text1"/>
        </w:rPr>
        <w:t>designed to carry goods from retailers where they were bought would be banned,</w:t>
      </w:r>
      <w:r w:rsidR="00597834" w:rsidRPr="00851CC9">
        <w:rPr>
          <w:color w:val="000000" w:themeColor="text1"/>
        </w:rPr>
        <w:t xml:space="preserve"> including biodegradable bags. </w:t>
      </w:r>
    </w:p>
    <w:p w14:paraId="656B099E" w14:textId="77777777" w:rsidR="00954695" w:rsidRPr="001D391E" w:rsidRDefault="00954695" w:rsidP="00040A06">
      <w:r w:rsidRPr="00040A06">
        <w:t xml:space="preserve">An option to </w:t>
      </w:r>
      <w:r w:rsidR="00974F74">
        <w:t>put a t</w:t>
      </w:r>
      <w:r w:rsidRPr="00040A06">
        <w:t>ax or levy on plastic shopping bags</w:t>
      </w:r>
      <w:r w:rsidR="00101529" w:rsidRPr="00101529">
        <w:t xml:space="preserve"> was also consid</w:t>
      </w:r>
      <w:r w:rsidR="00101529">
        <w:t>e</w:t>
      </w:r>
      <w:r w:rsidR="00101529" w:rsidRPr="00101529">
        <w:t>red</w:t>
      </w:r>
      <w:r w:rsidR="00101529">
        <w:t xml:space="preserve"> for inclusion in this RIS</w:t>
      </w:r>
      <w:r w:rsidR="00101529" w:rsidRPr="00101529">
        <w:t>.</w:t>
      </w:r>
      <w:r w:rsidRPr="00101529">
        <w:t xml:space="preserve"> This option involves implementing a direct point-of-sale charge on some or all plastic shopping bags (either lightweight or heavy). This option has been successfully introduced in other jurisdictions. For example, in the United Kingdom, all retailers with 250 or more employees are required to charge customers five pence for lightweight</w:t>
      </w:r>
      <w:r w:rsidRPr="001D391E">
        <w:t xml:space="preserve"> plastic shopping bags. </w:t>
      </w:r>
      <w:r w:rsidR="005304A9">
        <w:t>Recent academic work in the Journal of Environmental Economics and Management also suggests that taxes may be the most appropriate approach.</w:t>
      </w:r>
      <w:r w:rsidR="005304A9">
        <w:rPr>
          <w:rStyle w:val="FootnoteReference"/>
        </w:rPr>
        <w:footnoteReference w:id="198"/>
      </w:r>
      <w:r w:rsidR="005304A9">
        <w:t xml:space="preserve"> </w:t>
      </w:r>
      <w:r w:rsidRPr="001D391E">
        <w:t xml:space="preserve">However, taxes on the provision of a plastic bags could be considered an excise, which </w:t>
      </w:r>
      <w:r w:rsidR="00C139F5">
        <w:t>cannot be applied by</w:t>
      </w:r>
      <w:r w:rsidRPr="001D391E">
        <w:t xml:space="preserve"> </w:t>
      </w:r>
      <w:r w:rsidR="00C139F5">
        <w:t>S</w:t>
      </w:r>
      <w:r w:rsidRPr="001D391E">
        <w:t xml:space="preserve">tates and </w:t>
      </w:r>
      <w:r w:rsidR="00C139F5">
        <w:t>T</w:t>
      </w:r>
      <w:r w:rsidRPr="001D391E">
        <w:t xml:space="preserve">erritories under the Australian Constitution. Therefore, this option is not considered further. </w:t>
      </w:r>
    </w:p>
    <w:p w14:paraId="656B099F" w14:textId="77777777" w:rsidR="00727D86" w:rsidRPr="001D391E" w:rsidRDefault="00727D86" w:rsidP="00040A06">
      <w:r>
        <w:t xml:space="preserve">Another option was also considered, comprising a ban on lightweight plastic along with voluntary code of practice for major retailers to reducing the use of all other plastic shopping bags. However, this option </w:t>
      </w:r>
      <w:r w:rsidR="00B95D8D">
        <w:t xml:space="preserve">is </w:t>
      </w:r>
      <w:r>
        <w:t>not considered in th</w:t>
      </w:r>
      <w:r w:rsidR="00B95D8D">
        <w:t>is</w:t>
      </w:r>
      <w:r>
        <w:t xml:space="preserve"> RIS, since it could not be implemented by government without commitment from major retailers</w:t>
      </w:r>
      <w:r w:rsidR="00755562">
        <w:t xml:space="preserve"> and was not considered feasible in the near future. </w:t>
      </w:r>
    </w:p>
    <w:p w14:paraId="656B09A0" w14:textId="77777777" w:rsidR="004D20EE" w:rsidRDefault="004D20EE" w:rsidP="00982D63">
      <w:pPr>
        <w:pStyle w:val="Heading2"/>
      </w:pPr>
      <w:r>
        <w:t>Assessment</w:t>
      </w:r>
    </w:p>
    <w:p w14:paraId="656B09A1" w14:textId="77777777" w:rsidR="004D20EE" w:rsidRDefault="004D20EE" w:rsidP="00AE334C">
      <w:pPr>
        <w:pStyle w:val="Heading3"/>
        <w:ind w:left="720"/>
      </w:pPr>
      <w:r>
        <w:t>Assessment method</w:t>
      </w:r>
    </w:p>
    <w:p w14:paraId="656B09A2" w14:textId="77777777" w:rsidR="00BF44BA" w:rsidRDefault="00851CC9" w:rsidP="00BF44BA">
      <w:r>
        <w:t>M</w:t>
      </w:r>
      <w:r w:rsidR="00DD404D">
        <w:t>ulti-criteria analysis (M</w:t>
      </w:r>
      <w:r>
        <w:t>CA</w:t>
      </w:r>
      <w:r w:rsidR="00DD404D">
        <w:t>)</w:t>
      </w:r>
      <w:r w:rsidR="004D20EE">
        <w:t xml:space="preserve"> is used to assess options for this problem area because insufficient information is available to allow a fully quantitative </w:t>
      </w:r>
      <w:r w:rsidR="00DD404D">
        <w:t>cost-benefit analysis (</w:t>
      </w:r>
      <w:r w:rsidR="004D20EE">
        <w:t>CBA</w:t>
      </w:r>
      <w:r w:rsidR="00DD404D">
        <w:t>)</w:t>
      </w:r>
      <w:r w:rsidR="00BF44BA">
        <w:t xml:space="preserve">. </w:t>
      </w:r>
    </w:p>
    <w:p w14:paraId="656B09A3" w14:textId="77777777" w:rsidR="00101529" w:rsidRDefault="004D20EE" w:rsidP="0071391A">
      <w:pPr>
        <w:pStyle w:val="Bullet1"/>
        <w:ind w:left="0" w:firstLine="0"/>
      </w:pPr>
      <w:r>
        <w:t xml:space="preserve">The MCA </w:t>
      </w:r>
      <w:r w:rsidR="00C139F5">
        <w:t>below</w:t>
      </w:r>
      <w:r>
        <w:t xml:space="preserve"> references analysis and findings of </w:t>
      </w:r>
      <w:r w:rsidR="0071391A">
        <w:t>CBA work commissioned by DELWP and undertaken by</w:t>
      </w:r>
      <w:r w:rsidR="0071391A" w:rsidRPr="0071391A">
        <w:t xml:space="preserve"> </w:t>
      </w:r>
      <w:r w:rsidR="0071391A">
        <w:t>Marsden Jacob Associates in 2016</w:t>
      </w:r>
      <w:r w:rsidR="00C139F5">
        <w:t>.</w:t>
      </w:r>
      <w:r w:rsidR="0071391A">
        <w:rPr>
          <w:rStyle w:val="FootnoteReference"/>
        </w:rPr>
        <w:footnoteReference w:id="199"/>
      </w:r>
      <w:r w:rsidR="0071391A">
        <w:t xml:space="preserve"> This work assessed </w:t>
      </w:r>
      <w:r w:rsidR="00041730">
        <w:t>O</w:t>
      </w:r>
      <w:r w:rsidR="00101529">
        <w:t xml:space="preserve">ptions </w:t>
      </w:r>
      <w:r w:rsidR="00851CC9">
        <w:t xml:space="preserve">2 and 3 </w:t>
      </w:r>
      <w:r w:rsidR="00101529">
        <w:t>outlined above, plus an</w:t>
      </w:r>
      <w:r w:rsidR="00101529" w:rsidRPr="009924CB">
        <w:t xml:space="preserve"> option to </w:t>
      </w:r>
      <w:r w:rsidR="00101529">
        <w:t>put a t</w:t>
      </w:r>
      <w:r w:rsidR="00101529" w:rsidRPr="009924CB">
        <w:t>ax or levy on plastic shopping bags</w:t>
      </w:r>
      <w:r w:rsidR="00101529">
        <w:t>, and</w:t>
      </w:r>
      <w:r w:rsidR="00101529" w:rsidRPr="009924CB">
        <w:t xml:space="preserve"> </w:t>
      </w:r>
      <w:r w:rsidR="0071391A">
        <w:t>an additional sub-o</w:t>
      </w:r>
      <w:r w:rsidR="0071391A" w:rsidRPr="004D20EE">
        <w:t xml:space="preserve">ption </w:t>
      </w:r>
      <w:r w:rsidR="0071391A">
        <w:t xml:space="preserve">to </w:t>
      </w:r>
      <w:r w:rsidR="0071391A" w:rsidRPr="004D20EE">
        <w:t xml:space="preserve">ban lightweight plastic and biodegradable shopping bags </w:t>
      </w:r>
      <w:r w:rsidR="00DD404D">
        <w:t xml:space="preserve">with </w:t>
      </w:r>
      <w:r w:rsidR="0071391A" w:rsidRPr="004D20EE">
        <w:t>major retailers agree</w:t>
      </w:r>
      <w:r w:rsidR="00DD404D">
        <w:t>ing</w:t>
      </w:r>
      <w:r w:rsidR="0071391A" w:rsidRPr="004D20EE">
        <w:t xml:space="preserve"> to a code of practice to reduce use of heavyweight ‘boutique’ shopping bags</w:t>
      </w:r>
      <w:r w:rsidR="0071391A">
        <w:t xml:space="preserve">. </w:t>
      </w:r>
      <w:r w:rsidR="00101529">
        <w:t xml:space="preserve">The tax option is not considered for the reasons outlined above, while the </w:t>
      </w:r>
      <w:r w:rsidR="00DD404D">
        <w:t xml:space="preserve">code of practice for </w:t>
      </w:r>
      <w:r w:rsidR="00101529" w:rsidRPr="00101529">
        <w:t>heav</w:t>
      </w:r>
      <w:r w:rsidR="00DD404D">
        <w:t>ier-</w:t>
      </w:r>
      <w:r w:rsidR="00101529" w:rsidRPr="00101529">
        <w:t xml:space="preserve">weight ‘boutique’ shopping bags </w:t>
      </w:r>
      <w:r w:rsidR="0071391A">
        <w:t>option</w:t>
      </w:r>
      <w:r w:rsidR="00101529">
        <w:t xml:space="preserve"> </w:t>
      </w:r>
      <w:r w:rsidR="0071391A">
        <w:t>is not considered</w:t>
      </w:r>
      <w:r w:rsidR="00101529">
        <w:t xml:space="preserve"> feasible at this point in time</w:t>
      </w:r>
      <w:r w:rsidR="00C139F5">
        <w:t xml:space="preserve"> - see further discussion below</w:t>
      </w:r>
      <w:r w:rsidR="00101529">
        <w:t>.</w:t>
      </w:r>
    </w:p>
    <w:p w14:paraId="656B09A4" w14:textId="77777777" w:rsidR="00041730" w:rsidRPr="00041730" w:rsidRDefault="00041730" w:rsidP="00041730">
      <w:r w:rsidRPr="00CD24A0">
        <w:t xml:space="preserve">It is important to note that the MCA </w:t>
      </w:r>
      <w:r w:rsidR="00B95D8D">
        <w:t>in</w:t>
      </w:r>
      <w:r w:rsidRPr="00CD24A0">
        <w:t xml:space="preserve"> this RIS draws heavily on the findings of the </w:t>
      </w:r>
      <w:r w:rsidRPr="00181261">
        <w:t xml:space="preserve">Marsden Jacobs Associates </w:t>
      </w:r>
      <w:r>
        <w:t>CBA</w:t>
      </w:r>
      <w:r w:rsidRPr="00181261">
        <w:t xml:space="preserve"> </w:t>
      </w:r>
      <w:r w:rsidRPr="00CD24A0">
        <w:t xml:space="preserve">but has not </w:t>
      </w:r>
      <w:r w:rsidRPr="00181261">
        <w:t xml:space="preserve">included verification of </w:t>
      </w:r>
      <w:r>
        <w:t xml:space="preserve">this </w:t>
      </w:r>
      <w:r w:rsidRPr="00181261">
        <w:t>CBA work and its findings.</w:t>
      </w:r>
      <w:r w:rsidRPr="00CD24A0">
        <w:t xml:space="preserve"> It should be noted that the </w:t>
      </w:r>
      <w:r w:rsidRPr="00181261">
        <w:t>Marsden Jacobs Associates CBA work</w:t>
      </w:r>
      <w:r w:rsidRPr="00CD24A0">
        <w:t xml:space="preserve"> </w:t>
      </w:r>
      <w:r w:rsidR="0071391A">
        <w:t>was undertaken prior to the voluntary phase out of lightweight plastic bags by some major retailers in 2018</w:t>
      </w:r>
      <w:r w:rsidR="0061381B">
        <w:t xml:space="preserve">, which means that both the costs and the benefits of </w:t>
      </w:r>
      <w:r w:rsidR="00C01C16">
        <w:t xml:space="preserve">the various options to </w:t>
      </w:r>
      <w:r w:rsidR="0061381B">
        <w:t xml:space="preserve">ban </w:t>
      </w:r>
      <w:r w:rsidR="00C01C16">
        <w:t xml:space="preserve">plastic bags </w:t>
      </w:r>
      <w:r w:rsidR="0061381B">
        <w:t>are likely to be overstated</w:t>
      </w:r>
      <w:r w:rsidR="0071391A">
        <w:t>.</w:t>
      </w:r>
      <w:r w:rsidR="00C139F5">
        <w:t xml:space="preserve"> The Marsden Jacobs Associates CBA also </w:t>
      </w:r>
      <w:r w:rsidR="00386A88">
        <w:t xml:space="preserve">did not attempt, due to lack of data, to directly measure the cost of the impact of plastic bags on marine life and instead estimated a shadow price based on clean-up activities. This is likely </w:t>
      </w:r>
      <w:r w:rsidR="00B95D8D">
        <w:t xml:space="preserve">to </w:t>
      </w:r>
      <w:r w:rsidR="00386A88">
        <w:t>underestimate the benefits from any reduction in plastic bag use.</w:t>
      </w:r>
      <w:r w:rsidRPr="00041730">
        <w:t xml:space="preserve"> It also did not include a benefit to the environment as a result of avoided use of resources in the </w:t>
      </w:r>
      <w:r w:rsidRPr="00386A88">
        <w:rPr>
          <w:szCs w:val="20"/>
        </w:rPr>
        <w:t>production of single use plastic bags (although noting this benefit would be offset to some degree by the need to manufacture</w:t>
      </w:r>
      <w:r w:rsidRPr="00494A7B">
        <w:rPr>
          <w:szCs w:val="20"/>
        </w:rPr>
        <w:t xml:space="preserve"> heavyweight plastic shopping bags, reusable bags and bin liners).</w:t>
      </w:r>
      <w:r w:rsidRPr="00386A88">
        <w:rPr>
          <w:szCs w:val="20"/>
        </w:rPr>
        <w:t xml:space="preserve"> On the</w:t>
      </w:r>
      <w:r w:rsidRPr="00041730">
        <w:t xml:space="preserve"> other hand, the Marsden Jacobs Associate CBA did not quantify the inconvenience to consumers of not being able to use plastic bags (as distinct from the financial cost of substitutes).</w:t>
      </w:r>
    </w:p>
    <w:p w14:paraId="656B09A5" w14:textId="77777777" w:rsidR="004D20EE" w:rsidRDefault="0071391A" w:rsidP="00041730">
      <w:pPr>
        <w:pStyle w:val="Bullet1"/>
        <w:ind w:left="0" w:firstLine="0"/>
      </w:pPr>
      <w:r>
        <w:t>The following section provides an overview of this Marsden Jacob Associates CBA work.</w:t>
      </w:r>
    </w:p>
    <w:p w14:paraId="656B09A6" w14:textId="77777777" w:rsidR="004D20EE" w:rsidRPr="00E76028" w:rsidRDefault="004D20EE" w:rsidP="00AE334C">
      <w:pPr>
        <w:pStyle w:val="Heading3"/>
        <w:ind w:left="720"/>
      </w:pPr>
      <w:r>
        <w:t xml:space="preserve">Previous </w:t>
      </w:r>
      <w:r w:rsidR="00BF44BA">
        <w:t>CBA work undertaken</w:t>
      </w:r>
    </w:p>
    <w:p w14:paraId="656B09A7" w14:textId="77777777" w:rsidR="004D20EE" w:rsidRDefault="004D20EE" w:rsidP="004D20EE">
      <w:r>
        <w:t xml:space="preserve">Of the </w:t>
      </w:r>
      <w:r w:rsidR="00787AD8">
        <w:t xml:space="preserve">two </w:t>
      </w:r>
      <w:r>
        <w:t>options to ban plastic bags in Victoria (</w:t>
      </w:r>
      <w:r w:rsidR="00041730">
        <w:t>O</w:t>
      </w:r>
      <w:r w:rsidR="00C4453D">
        <w:t xml:space="preserve">ptions </w:t>
      </w:r>
      <w:r w:rsidR="00DD404D">
        <w:t>2 and 3</w:t>
      </w:r>
      <w:r w:rsidR="00C4453D">
        <w:t xml:space="preserve"> </w:t>
      </w:r>
      <w:r w:rsidR="00FF229E">
        <w:t>outlined</w:t>
      </w:r>
      <w:r w:rsidR="00C4453D">
        <w:t xml:space="preserve"> </w:t>
      </w:r>
      <w:r w:rsidR="00B91282">
        <w:t xml:space="preserve">in section </w:t>
      </w:r>
      <w:r w:rsidR="00B91282">
        <w:fldChar w:fldCharType="begin"/>
      </w:r>
      <w:r w:rsidR="00B91282">
        <w:instrText xml:space="preserve"> REF _Ref10525179 \r \h </w:instrText>
      </w:r>
      <w:r w:rsidR="00B91282">
        <w:fldChar w:fldCharType="separate"/>
      </w:r>
      <w:r w:rsidR="00B11C1E">
        <w:t>11.5</w:t>
      </w:r>
      <w:r w:rsidR="00B91282">
        <w:fldChar w:fldCharType="end"/>
      </w:r>
      <w:r w:rsidR="00B91282">
        <w:t xml:space="preserve"> </w:t>
      </w:r>
      <w:r w:rsidR="00C4453D">
        <w:t>above</w:t>
      </w:r>
      <w:r>
        <w:t>),</w:t>
      </w:r>
      <w:r w:rsidR="00C4453D">
        <w:t xml:space="preserve"> the analysis undertaken in 2016 demonstrated that </w:t>
      </w:r>
      <w:r w:rsidR="00041730">
        <w:t>O</w:t>
      </w:r>
      <w:r>
        <w:t xml:space="preserve">ption </w:t>
      </w:r>
      <w:r w:rsidR="00787AD8">
        <w:t>2</w:t>
      </w:r>
      <w:r>
        <w:t xml:space="preserve"> delivered the weake</w:t>
      </w:r>
      <w:r w:rsidR="00ED664D">
        <w:t>r</w:t>
      </w:r>
      <w:r>
        <w:t xml:space="preserve"> net benefit. The benefits of the reduced </w:t>
      </w:r>
      <w:r w:rsidR="00CE389A">
        <w:t>proliferation of</w:t>
      </w:r>
      <w:r>
        <w:t xml:space="preserve"> lightweight shopping bags were</w:t>
      </w:r>
      <w:r w:rsidR="0071391A">
        <w:t xml:space="preserve"> found to be</w:t>
      </w:r>
      <w:r>
        <w:t xml:space="preserve"> largely offset by the increase in </w:t>
      </w:r>
      <w:r w:rsidR="00CE389A">
        <w:t>costs associated with</w:t>
      </w:r>
      <w:r>
        <w:t xml:space="preserve"> heavyweight plastic shopping bags and bin liners. Meanwhile, banning all plastic shopping bags </w:t>
      </w:r>
      <w:r w:rsidR="00041730">
        <w:t xml:space="preserve">(Option 3) </w:t>
      </w:r>
      <w:r>
        <w:t xml:space="preserve">was estimated to deliver the highest net economic benefit. </w:t>
      </w:r>
    </w:p>
    <w:p w14:paraId="656B09A8" w14:textId="77777777" w:rsidR="004D20EE" w:rsidRDefault="00AC2F40" w:rsidP="004D20EE">
      <w:pPr>
        <w:pStyle w:val="Caption"/>
      </w:pPr>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11</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w:t>
      </w:r>
      <w:r w:rsidR="00997CFA">
        <w:rPr>
          <w:color w:val="2B579A"/>
          <w:shd w:val="clear" w:color="auto" w:fill="E6E6E6"/>
        </w:rPr>
        <w:fldChar w:fldCharType="end"/>
      </w:r>
      <w:r w:rsidR="004D20EE">
        <w:t xml:space="preserve"> Major costs and benefits under a</w:t>
      </w:r>
      <w:r w:rsidR="0071391A">
        <w:t xml:space="preserve"> </w:t>
      </w:r>
      <w:r w:rsidR="004D20EE">
        <w:t xml:space="preserve">10-year timeframe </w:t>
      </w:r>
      <w:r w:rsidR="00041730">
        <w:t xml:space="preserve">– Marsden Jacobs 2016 CBA </w:t>
      </w:r>
      <w:r w:rsidR="004D20EE">
        <w:t>(NPV, $m, 2016)</w:t>
      </w:r>
    </w:p>
    <w:tbl>
      <w:tblPr>
        <w:tblStyle w:val="Deloittetable"/>
        <w:tblW w:w="5000" w:type="pct"/>
        <w:tblLook w:val="04A0" w:firstRow="1" w:lastRow="0" w:firstColumn="1" w:lastColumn="0" w:noHBand="0" w:noVBand="1"/>
      </w:tblPr>
      <w:tblGrid>
        <w:gridCol w:w="5670"/>
        <w:gridCol w:w="1560"/>
        <w:gridCol w:w="2125"/>
      </w:tblGrid>
      <w:tr w:rsidR="004D20EE" w:rsidRPr="0071391A" w14:paraId="656B09AC" w14:textId="77777777" w:rsidTr="00494A7B">
        <w:trPr>
          <w:cnfStyle w:val="100000000000" w:firstRow="1" w:lastRow="0" w:firstColumn="0" w:lastColumn="0" w:oddVBand="0" w:evenVBand="0" w:oddHBand="0" w:evenHBand="0" w:firstRowFirstColumn="0" w:firstRowLastColumn="0" w:lastRowFirstColumn="0" w:lastRowLastColumn="0"/>
          <w:trHeight w:val="284"/>
        </w:trPr>
        <w:tc>
          <w:tcPr>
            <w:tcW w:w="3030" w:type="pct"/>
          </w:tcPr>
          <w:p w14:paraId="656B09A9" w14:textId="77777777" w:rsidR="004D20EE" w:rsidRPr="00040A06" w:rsidRDefault="004D20EE" w:rsidP="00AE334C">
            <w:pPr>
              <w:spacing w:after="0" w:line="240" w:lineRule="auto"/>
              <w:rPr>
                <w:b/>
                <w:sz w:val="18"/>
              </w:rPr>
            </w:pPr>
            <w:r w:rsidRPr="00040A06">
              <w:rPr>
                <w:b/>
                <w:sz w:val="18"/>
              </w:rPr>
              <w:t>Criterion</w:t>
            </w:r>
          </w:p>
        </w:tc>
        <w:tc>
          <w:tcPr>
            <w:tcW w:w="834" w:type="pct"/>
          </w:tcPr>
          <w:p w14:paraId="656B09AA" w14:textId="77777777" w:rsidR="004D20EE" w:rsidRPr="00040A06" w:rsidRDefault="004D20EE" w:rsidP="00AB166C">
            <w:pPr>
              <w:spacing w:after="0" w:line="240" w:lineRule="auto"/>
              <w:ind w:right="57"/>
              <w:jc w:val="right"/>
              <w:rPr>
                <w:b/>
                <w:sz w:val="18"/>
              </w:rPr>
            </w:pPr>
            <w:r w:rsidRPr="00040A06">
              <w:rPr>
                <w:b/>
                <w:sz w:val="18"/>
              </w:rPr>
              <w:t xml:space="preserve">Option </w:t>
            </w:r>
            <w:r w:rsidR="00787AD8">
              <w:rPr>
                <w:b/>
                <w:sz w:val="18"/>
              </w:rPr>
              <w:t>2</w:t>
            </w:r>
          </w:p>
        </w:tc>
        <w:tc>
          <w:tcPr>
            <w:tcW w:w="1136" w:type="pct"/>
          </w:tcPr>
          <w:p w14:paraId="656B09AB" w14:textId="77777777" w:rsidR="004D20EE" w:rsidRPr="00040A06" w:rsidRDefault="004D20EE" w:rsidP="00AB166C">
            <w:pPr>
              <w:spacing w:after="0" w:line="240" w:lineRule="auto"/>
              <w:ind w:right="57"/>
              <w:jc w:val="right"/>
              <w:rPr>
                <w:b/>
                <w:sz w:val="18"/>
              </w:rPr>
            </w:pPr>
            <w:r w:rsidRPr="00040A06">
              <w:rPr>
                <w:b/>
                <w:sz w:val="18"/>
              </w:rPr>
              <w:t xml:space="preserve">Option </w:t>
            </w:r>
            <w:r w:rsidR="00C4453D">
              <w:rPr>
                <w:b/>
                <w:sz w:val="18"/>
              </w:rPr>
              <w:t>3</w:t>
            </w:r>
          </w:p>
        </w:tc>
      </w:tr>
      <w:tr w:rsidR="004D20EE" w:rsidRPr="0071391A" w14:paraId="656B09B0" w14:textId="77777777" w:rsidTr="00494A7B">
        <w:tc>
          <w:tcPr>
            <w:tcW w:w="3030" w:type="pct"/>
          </w:tcPr>
          <w:p w14:paraId="656B09AD" w14:textId="77777777" w:rsidR="004D20EE" w:rsidRPr="00040A06" w:rsidRDefault="004D20EE" w:rsidP="00AE334C">
            <w:pPr>
              <w:spacing w:after="0" w:line="240" w:lineRule="auto"/>
              <w:rPr>
                <w:b/>
                <w:sz w:val="18"/>
              </w:rPr>
            </w:pPr>
            <w:r w:rsidRPr="00040A06">
              <w:rPr>
                <w:b/>
                <w:sz w:val="18"/>
              </w:rPr>
              <w:t>Benefits</w:t>
            </w:r>
          </w:p>
        </w:tc>
        <w:tc>
          <w:tcPr>
            <w:tcW w:w="834" w:type="pct"/>
          </w:tcPr>
          <w:p w14:paraId="656B09AE" w14:textId="77777777" w:rsidR="004D20EE" w:rsidRPr="00040A06" w:rsidRDefault="004D20EE" w:rsidP="00AB166C">
            <w:pPr>
              <w:spacing w:after="0" w:line="240" w:lineRule="auto"/>
              <w:ind w:right="57"/>
              <w:jc w:val="right"/>
              <w:rPr>
                <w:sz w:val="18"/>
              </w:rPr>
            </w:pPr>
          </w:p>
        </w:tc>
        <w:tc>
          <w:tcPr>
            <w:tcW w:w="1136" w:type="pct"/>
          </w:tcPr>
          <w:p w14:paraId="656B09AF" w14:textId="77777777" w:rsidR="004D20EE" w:rsidRPr="00040A06" w:rsidRDefault="004D20EE" w:rsidP="00AB166C">
            <w:pPr>
              <w:spacing w:after="0" w:line="240" w:lineRule="auto"/>
              <w:ind w:right="57"/>
              <w:jc w:val="right"/>
              <w:rPr>
                <w:sz w:val="18"/>
              </w:rPr>
            </w:pPr>
          </w:p>
        </w:tc>
      </w:tr>
      <w:tr w:rsidR="004D20EE" w:rsidRPr="0071391A" w14:paraId="656B09B4" w14:textId="77777777" w:rsidTr="00494A7B">
        <w:tc>
          <w:tcPr>
            <w:tcW w:w="3030" w:type="pct"/>
          </w:tcPr>
          <w:p w14:paraId="656B09B1" w14:textId="77777777" w:rsidR="004D20EE" w:rsidRPr="00040A06" w:rsidRDefault="004D20EE" w:rsidP="00AE334C">
            <w:pPr>
              <w:spacing w:after="0" w:line="240" w:lineRule="auto"/>
              <w:rPr>
                <w:sz w:val="18"/>
              </w:rPr>
            </w:pPr>
            <w:r w:rsidRPr="00040A06">
              <w:rPr>
                <w:sz w:val="18"/>
              </w:rPr>
              <w:t>Reduced cost of lightweight and biodegradable plastic shopping bags</w:t>
            </w:r>
          </w:p>
        </w:tc>
        <w:tc>
          <w:tcPr>
            <w:tcW w:w="834" w:type="pct"/>
          </w:tcPr>
          <w:p w14:paraId="656B09B2" w14:textId="77777777" w:rsidR="004D20EE" w:rsidRPr="00040A06" w:rsidRDefault="004D20EE" w:rsidP="00AB166C">
            <w:pPr>
              <w:spacing w:after="0" w:line="240" w:lineRule="auto"/>
              <w:ind w:right="57"/>
              <w:jc w:val="right"/>
              <w:rPr>
                <w:sz w:val="18"/>
              </w:rPr>
            </w:pPr>
            <w:r w:rsidRPr="00040A06">
              <w:rPr>
                <w:sz w:val="18"/>
              </w:rPr>
              <w:t>146.7</w:t>
            </w:r>
          </w:p>
        </w:tc>
        <w:tc>
          <w:tcPr>
            <w:tcW w:w="1136" w:type="pct"/>
          </w:tcPr>
          <w:p w14:paraId="656B09B3" w14:textId="77777777" w:rsidR="004D20EE" w:rsidRPr="00040A06" w:rsidRDefault="004D20EE" w:rsidP="00AB166C">
            <w:pPr>
              <w:spacing w:after="0" w:line="240" w:lineRule="auto"/>
              <w:ind w:right="57"/>
              <w:jc w:val="right"/>
              <w:rPr>
                <w:sz w:val="18"/>
              </w:rPr>
            </w:pPr>
            <w:r w:rsidRPr="00040A06">
              <w:rPr>
                <w:sz w:val="18"/>
              </w:rPr>
              <w:t>146.7</w:t>
            </w:r>
          </w:p>
        </w:tc>
      </w:tr>
      <w:tr w:rsidR="004D20EE" w:rsidRPr="0071391A" w14:paraId="656B09B8" w14:textId="77777777" w:rsidTr="00494A7B">
        <w:tc>
          <w:tcPr>
            <w:tcW w:w="3030" w:type="pct"/>
          </w:tcPr>
          <w:p w14:paraId="656B09B5" w14:textId="77777777" w:rsidR="004D20EE" w:rsidRPr="00040A06" w:rsidRDefault="004D20EE" w:rsidP="00AE334C">
            <w:pPr>
              <w:spacing w:after="0" w:line="240" w:lineRule="auto"/>
              <w:rPr>
                <w:sz w:val="18"/>
              </w:rPr>
            </w:pPr>
            <w:r w:rsidRPr="00040A06">
              <w:rPr>
                <w:sz w:val="18"/>
              </w:rPr>
              <w:t>Avoided litter costs – land and marine</w:t>
            </w:r>
          </w:p>
        </w:tc>
        <w:tc>
          <w:tcPr>
            <w:tcW w:w="834" w:type="pct"/>
          </w:tcPr>
          <w:p w14:paraId="656B09B6" w14:textId="77777777" w:rsidR="004D20EE" w:rsidRPr="00040A06" w:rsidRDefault="004D20EE" w:rsidP="00AB166C">
            <w:pPr>
              <w:spacing w:after="0" w:line="240" w:lineRule="auto"/>
              <w:ind w:right="57"/>
              <w:jc w:val="right"/>
              <w:rPr>
                <w:sz w:val="18"/>
              </w:rPr>
            </w:pPr>
            <w:r w:rsidRPr="00040A06">
              <w:rPr>
                <w:sz w:val="18"/>
              </w:rPr>
              <w:t>7.4</w:t>
            </w:r>
          </w:p>
        </w:tc>
        <w:tc>
          <w:tcPr>
            <w:tcW w:w="1136" w:type="pct"/>
          </w:tcPr>
          <w:p w14:paraId="656B09B7" w14:textId="77777777" w:rsidR="004D20EE" w:rsidRPr="00040A06" w:rsidRDefault="004D20EE" w:rsidP="00AB166C">
            <w:pPr>
              <w:spacing w:after="0" w:line="240" w:lineRule="auto"/>
              <w:ind w:right="57"/>
              <w:jc w:val="right"/>
              <w:rPr>
                <w:sz w:val="18"/>
              </w:rPr>
            </w:pPr>
            <w:r w:rsidRPr="00040A06">
              <w:rPr>
                <w:sz w:val="18"/>
              </w:rPr>
              <w:t>9.9</w:t>
            </w:r>
          </w:p>
        </w:tc>
      </w:tr>
      <w:tr w:rsidR="004D20EE" w:rsidRPr="0071391A" w14:paraId="656B09BC" w14:textId="77777777" w:rsidTr="00494A7B">
        <w:tc>
          <w:tcPr>
            <w:tcW w:w="3030" w:type="pct"/>
          </w:tcPr>
          <w:p w14:paraId="656B09B9" w14:textId="77777777" w:rsidR="004D20EE" w:rsidRPr="00040A06" w:rsidRDefault="004D20EE" w:rsidP="00AE334C">
            <w:pPr>
              <w:spacing w:after="0" w:line="240" w:lineRule="auto"/>
              <w:rPr>
                <w:sz w:val="18"/>
              </w:rPr>
            </w:pPr>
            <w:r w:rsidRPr="00040A06">
              <w:rPr>
                <w:sz w:val="18"/>
              </w:rPr>
              <w:t>Avoided landfill cost</w:t>
            </w:r>
          </w:p>
        </w:tc>
        <w:tc>
          <w:tcPr>
            <w:tcW w:w="834" w:type="pct"/>
          </w:tcPr>
          <w:p w14:paraId="656B09BA" w14:textId="77777777" w:rsidR="004D20EE" w:rsidRPr="00040A06" w:rsidRDefault="004D20EE" w:rsidP="00AB166C">
            <w:pPr>
              <w:spacing w:after="0" w:line="240" w:lineRule="auto"/>
              <w:ind w:right="57"/>
              <w:jc w:val="right"/>
              <w:rPr>
                <w:sz w:val="18"/>
              </w:rPr>
            </w:pPr>
            <w:r w:rsidRPr="00040A06">
              <w:rPr>
                <w:sz w:val="18"/>
              </w:rPr>
              <w:t>2.7</w:t>
            </w:r>
          </w:p>
        </w:tc>
        <w:tc>
          <w:tcPr>
            <w:tcW w:w="1136" w:type="pct"/>
          </w:tcPr>
          <w:p w14:paraId="656B09BB" w14:textId="77777777" w:rsidR="004D20EE" w:rsidRPr="00040A06" w:rsidRDefault="004D20EE" w:rsidP="00AB166C">
            <w:pPr>
              <w:spacing w:after="0" w:line="240" w:lineRule="auto"/>
              <w:ind w:right="57"/>
              <w:jc w:val="right"/>
              <w:rPr>
                <w:sz w:val="18"/>
              </w:rPr>
            </w:pPr>
            <w:r w:rsidRPr="00040A06">
              <w:rPr>
                <w:sz w:val="18"/>
              </w:rPr>
              <w:t>3.0</w:t>
            </w:r>
          </w:p>
        </w:tc>
      </w:tr>
      <w:tr w:rsidR="004D20EE" w:rsidRPr="0071391A" w14:paraId="656B09C0" w14:textId="77777777" w:rsidTr="00494A7B">
        <w:tc>
          <w:tcPr>
            <w:tcW w:w="3030" w:type="pct"/>
          </w:tcPr>
          <w:p w14:paraId="656B09BD" w14:textId="77777777" w:rsidR="004D20EE" w:rsidRPr="00040A06" w:rsidRDefault="004D20EE" w:rsidP="00AE334C">
            <w:pPr>
              <w:spacing w:after="0" w:line="240" w:lineRule="auto"/>
              <w:rPr>
                <w:sz w:val="18"/>
              </w:rPr>
            </w:pPr>
            <w:r w:rsidRPr="00040A06">
              <w:rPr>
                <w:sz w:val="18"/>
              </w:rPr>
              <w:t>Reduced cost of heavyweight plastic shopping bags</w:t>
            </w:r>
          </w:p>
        </w:tc>
        <w:tc>
          <w:tcPr>
            <w:tcW w:w="834" w:type="pct"/>
          </w:tcPr>
          <w:p w14:paraId="656B09BE" w14:textId="77777777" w:rsidR="004D20EE" w:rsidRPr="00040A06" w:rsidRDefault="004D20EE" w:rsidP="00AB166C">
            <w:pPr>
              <w:spacing w:after="0" w:line="240" w:lineRule="auto"/>
              <w:ind w:right="57"/>
              <w:jc w:val="right"/>
              <w:rPr>
                <w:sz w:val="18"/>
              </w:rPr>
            </w:pPr>
          </w:p>
        </w:tc>
        <w:tc>
          <w:tcPr>
            <w:tcW w:w="1136" w:type="pct"/>
          </w:tcPr>
          <w:p w14:paraId="656B09BF" w14:textId="77777777" w:rsidR="004D20EE" w:rsidRPr="00040A06" w:rsidRDefault="004D20EE" w:rsidP="00AB166C">
            <w:pPr>
              <w:spacing w:after="0" w:line="240" w:lineRule="auto"/>
              <w:ind w:right="57"/>
              <w:jc w:val="right"/>
              <w:rPr>
                <w:sz w:val="18"/>
              </w:rPr>
            </w:pPr>
            <w:r w:rsidRPr="00040A06">
              <w:rPr>
                <w:sz w:val="18"/>
              </w:rPr>
              <w:t>138.3</w:t>
            </w:r>
          </w:p>
        </w:tc>
      </w:tr>
      <w:tr w:rsidR="004D20EE" w:rsidRPr="0071391A" w14:paraId="656B09C4" w14:textId="77777777" w:rsidTr="00494A7B">
        <w:tc>
          <w:tcPr>
            <w:tcW w:w="3030" w:type="pct"/>
          </w:tcPr>
          <w:p w14:paraId="656B09C1" w14:textId="77777777" w:rsidR="004D20EE" w:rsidRPr="00040A06" w:rsidRDefault="004D20EE" w:rsidP="00AE334C">
            <w:pPr>
              <w:spacing w:after="0" w:line="240" w:lineRule="auto"/>
              <w:rPr>
                <w:b/>
                <w:sz w:val="18"/>
              </w:rPr>
            </w:pPr>
            <w:r w:rsidRPr="00040A06">
              <w:rPr>
                <w:b/>
                <w:sz w:val="18"/>
              </w:rPr>
              <w:t>Costs</w:t>
            </w:r>
          </w:p>
        </w:tc>
        <w:tc>
          <w:tcPr>
            <w:tcW w:w="834" w:type="pct"/>
          </w:tcPr>
          <w:p w14:paraId="656B09C2" w14:textId="77777777" w:rsidR="004D20EE" w:rsidRPr="00040A06" w:rsidRDefault="004D20EE" w:rsidP="00AB166C">
            <w:pPr>
              <w:spacing w:after="0" w:line="240" w:lineRule="auto"/>
              <w:ind w:right="57"/>
              <w:jc w:val="right"/>
              <w:rPr>
                <w:sz w:val="18"/>
              </w:rPr>
            </w:pPr>
          </w:p>
        </w:tc>
        <w:tc>
          <w:tcPr>
            <w:tcW w:w="1136" w:type="pct"/>
          </w:tcPr>
          <w:p w14:paraId="656B09C3" w14:textId="77777777" w:rsidR="004D20EE" w:rsidRPr="00040A06" w:rsidRDefault="004D20EE" w:rsidP="00AB166C">
            <w:pPr>
              <w:spacing w:after="0" w:line="240" w:lineRule="auto"/>
              <w:ind w:right="57"/>
              <w:jc w:val="right"/>
              <w:rPr>
                <w:sz w:val="18"/>
              </w:rPr>
            </w:pPr>
          </w:p>
        </w:tc>
      </w:tr>
      <w:tr w:rsidR="004D20EE" w:rsidRPr="0071391A" w14:paraId="656B09C8" w14:textId="77777777" w:rsidTr="00494A7B">
        <w:tc>
          <w:tcPr>
            <w:tcW w:w="3030" w:type="pct"/>
          </w:tcPr>
          <w:p w14:paraId="656B09C5" w14:textId="77777777" w:rsidR="004D20EE" w:rsidRPr="00040A06" w:rsidRDefault="004D20EE" w:rsidP="00AE334C">
            <w:pPr>
              <w:spacing w:after="0" w:line="240" w:lineRule="auto"/>
              <w:rPr>
                <w:sz w:val="18"/>
              </w:rPr>
            </w:pPr>
            <w:r w:rsidRPr="00040A06">
              <w:rPr>
                <w:sz w:val="18"/>
              </w:rPr>
              <w:t>Cost of heavyweight plastic shopping bags</w:t>
            </w:r>
          </w:p>
        </w:tc>
        <w:tc>
          <w:tcPr>
            <w:tcW w:w="834" w:type="pct"/>
          </w:tcPr>
          <w:p w14:paraId="656B09C6" w14:textId="77777777" w:rsidR="004D20EE" w:rsidRPr="00040A06" w:rsidRDefault="004D20EE" w:rsidP="00AB166C">
            <w:pPr>
              <w:spacing w:after="0" w:line="240" w:lineRule="auto"/>
              <w:ind w:right="57"/>
              <w:jc w:val="right"/>
              <w:rPr>
                <w:sz w:val="18"/>
              </w:rPr>
            </w:pPr>
            <w:r w:rsidRPr="00040A06">
              <w:rPr>
                <w:sz w:val="18"/>
              </w:rPr>
              <w:t>55.0</w:t>
            </w:r>
          </w:p>
        </w:tc>
        <w:tc>
          <w:tcPr>
            <w:tcW w:w="1136" w:type="pct"/>
          </w:tcPr>
          <w:p w14:paraId="656B09C7" w14:textId="77777777" w:rsidR="004D20EE" w:rsidRPr="00040A06" w:rsidRDefault="004D20EE" w:rsidP="00AB166C">
            <w:pPr>
              <w:spacing w:after="0" w:line="240" w:lineRule="auto"/>
              <w:ind w:right="57"/>
              <w:jc w:val="right"/>
              <w:rPr>
                <w:sz w:val="18"/>
              </w:rPr>
            </w:pPr>
          </w:p>
        </w:tc>
      </w:tr>
      <w:tr w:rsidR="004D20EE" w:rsidRPr="0071391A" w14:paraId="656B09CC" w14:textId="77777777" w:rsidTr="00494A7B">
        <w:tc>
          <w:tcPr>
            <w:tcW w:w="3030" w:type="pct"/>
          </w:tcPr>
          <w:p w14:paraId="656B09C9" w14:textId="77777777" w:rsidR="004D20EE" w:rsidRPr="00040A06" w:rsidRDefault="004D20EE" w:rsidP="00AE334C">
            <w:pPr>
              <w:spacing w:after="0" w:line="240" w:lineRule="auto"/>
              <w:rPr>
                <w:sz w:val="18"/>
              </w:rPr>
            </w:pPr>
            <w:r w:rsidRPr="00040A06">
              <w:rPr>
                <w:sz w:val="18"/>
              </w:rPr>
              <w:t>Cost of reusable bags</w:t>
            </w:r>
          </w:p>
        </w:tc>
        <w:tc>
          <w:tcPr>
            <w:tcW w:w="834" w:type="pct"/>
          </w:tcPr>
          <w:p w14:paraId="656B09CA" w14:textId="77777777" w:rsidR="004D20EE" w:rsidRPr="00040A06" w:rsidRDefault="004D20EE" w:rsidP="00AB166C">
            <w:pPr>
              <w:spacing w:after="0" w:line="240" w:lineRule="auto"/>
              <w:ind w:right="57"/>
              <w:jc w:val="right"/>
              <w:rPr>
                <w:sz w:val="18"/>
              </w:rPr>
            </w:pPr>
            <w:r w:rsidRPr="00040A06">
              <w:rPr>
                <w:sz w:val="18"/>
              </w:rPr>
              <w:t>68.5</w:t>
            </w:r>
          </w:p>
        </w:tc>
        <w:tc>
          <w:tcPr>
            <w:tcW w:w="1136" w:type="pct"/>
          </w:tcPr>
          <w:p w14:paraId="656B09CB" w14:textId="77777777" w:rsidR="004D20EE" w:rsidRPr="00040A06" w:rsidRDefault="004D20EE" w:rsidP="00AB166C">
            <w:pPr>
              <w:spacing w:after="0" w:line="240" w:lineRule="auto"/>
              <w:ind w:right="57"/>
              <w:jc w:val="right"/>
              <w:rPr>
                <w:sz w:val="18"/>
              </w:rPr>
            </w:pPr>
            <w:r w:rsidRPr="00040A06">
              <w:rPr>
                <w:sz w:val="18"/>
              </w:rPr>
              <w:t>200.3</w:t>
            </w:r>
          </w:p>
        </w:tc>
      </w:tr>
      <w:tr w:rsidR="004D20EE" w:rsidRPr="0071391A" w14:paraId="656B09D0" w14:textId="77777777" w:rsidTr="00494A7B">
        <w:tc>
          <w:tcPr>
            <w:tcW w:w="3030" w:type="pct"/>
          </w:tcPr>
          <w:p w14:paraId="656B09CD" w14:textId="77777777" w:rsidR="004D20EE" w:rsidRPr="00040A06" w:rsidRDefault="004D20EE" w:rsidP="00AE334C">
            <w:pPr>
              <w:spacing w:after="0" w:line="240" w:lineRule="auto"/>
              <w:rPr>
                <w:sz w:val="18"/>
              </w:rPr>
            </w:pPr>
            <w:r w:rsidRPr="00040A06">
              <w:rPr>
                <w:sz w:val="18"/>
              </w:rPr>
              <w:t>Cost of bin liners</w:t>
            </w:r>
          </w:p>
        </w:tc>
        <w:tc>
          <w:tcPr>
            <w:tcW w:w="834" w:type="pct"/>
          </w:tcPr>
          <w:p w14:paraId="656B09CE" w14:textId="77777777" w:rsidR="004D20EE" w:rsidRPr="00040A06" w:rsidRDefault="004D20EE" w:rsidP="00AB166C">
            <w:pPr>
              <w:spacing w:after="0" w:line="240" w:lineRule="auto"/>
              <w:ind w:right="57"/>
              <w:jc w:val="right"/>
              <w:rPr>
                <w:sz w:val="18"/>
              </w:rPr>
            </w:pPr>
            <w:r w:rsidRPr="00040A06">
              <w:rPr>
                <w:sz w:val="18"/>
              </w:rPr>
              <w:t>29.4</w:t>
            </w:r>
          </w:p>
        </w:tc>
        <w:tc>
          <w:tcPr>
            <w:tcW w:w="1136" w:type="pct"/>
          </w:tcPr>
          <w:p w14:paraId="656B09CF" w14:textId="77777777" w:rsidR="004D20EE" w:rsidRPr="00040A06" w:rsidRDefault="004D20EE" w:rsidP="00AB166C">
            <w:pPr>
              <w:spacing w:after="0" w:line="240" w:lineRule="auto"/>
              <w:ind w:right="57"/>
              <w:jc w:val="right"/>
              <w:rPr>
                <w:sz w:val="18"/>
              </w:rPr>
            </w:pPr>
            <w:r w:rsidRPr="00040A06">
              <w:rPr>
                <w:sz w:val="18"/>
              </w:rPr>
              <w:t>29.4</w:t>
            </w:r>
          </w:p>
        </w:tc>
      </w:tr>
      <w:tr w:rsidR="008122AD" w:rsidRPr="0071391A" w14:paraId="656B09D4" w14:textId="77777777" w:rsidTr="00494A7B">
        <w:tc>
          <w:tcPr>
            <w:tcW w:w="3030" w:type="pct"/>
          </w:tcPr>
          <w:p w14:paraId="656B09D1" w14:textId="77777777" w:rsidR="008122AD" w:rsidRDefault="008122AD" w:rsidP="00AE334C">
            <w:pPr>
              <w:spacing w:after="0" w:line="240" w:lineRule="auto"/>
              <w:rPr>
                <w:sz w:val="18"/>
              </w:rPr>
            </w:pPr>
            <w:r>
              <w:rPr>
                <w:sz w:val="18"/>
              </w:rPr>
              <w:t>Government costs</w:t>
            </w:r>
          </w:p>
        </w:tc>
        <w:tc>
          <w:tcPr>
            <w:tcW w:w="834" w:type="pct"/>
          </w:tcPr>
          <w:p w14:paraId="656B09D2" w14:textId="77777777" w:rsidR="008122AD" w:rsidRPr="00040A06" w:rsidRDefault="008122AD" w:rsidP="00AB166C">
            <w:pPr>
              <w:spacing w:after="0" w:line="240" w:lineRule="auto"/>
              <w:ind w:right="57"/>
              <w:jc w:val="right"/>
              <w:rPr>
                <w:sz w:val="18"/>
              </w:rPr>
            </w:pPr>
            <w:r>
              <w:rPr>
                <w:sz w:val="18"/>
              </w:rPr>
              <w:t>0.9</w:t>
            </w:r>
          </w:p>
        </w:tc>
        <w:tc>
          <w:tcPr>
            <w:tcW w:w="1136" w:type="pct"/>
          </w:tcPr>
          <w:p w14:paraId="656B09D3" w14:textId="77777777" w:rsidR="008122AD" w:rsidRDefault="008122AD" w:rsidP="00AB166C">
            <w:pPr>
              <w:spacing w:after="0" w:line="240" w:lineRule="auto"/>
              <w:ind w:right="57"/>
              <w:jc w:val="right"/>
              <w:rPr>
                <w:sz w:val="18"/>
              </w:rPr>
            </w:pPr>
            <w:r>
              <w:rPr>
                <w:sz w:val="18"/>
              </w:rPr>
              <w:t>1.7</w:t>
            </w:r>
          </w:p>
        </w:tc>
      </w:tr>
      <w:tr w:rsidR="008122AD" w:rsidRPr="0071391A" w14:paraId="656B09D8" w14:textId="77777777" w:rsidTr="00494A7B">
        <w:tc>
          <w:tcPr>
            <w:tcW w:w="3030" w:type="pct"/>
          </w:tcPr>
          <w:p w14:paraId="656B09D5" w14:textId="77777777" w:rsidR="008122AD" w:rsidRDefault="008122AD" w:rsidP="00AE334C">
            <w:pPr>
              <w:spacing w:after="0" w:line="240" w:lineRule="auto"/>
              <w:rPr>
                <w:sz w:val="18"/>
              </w:rPr>
            </w:pPr>
            <w:r>
              <w:rPr>
                <w:sz w:val="18"/>
              </w:rPr>
              <w:t>Retail costs</w:t>
            </w:r>
          </w:p>
        </w:tc>
        <w:tc>
          <w:tcPr>
            <w:tcW w:w="834" w:type="pct"/>
          </w:tcPr>
          <w:p w14:paraId="656B09D6" w14:textId="77777777" w:rsidR="008122AD" w:rsidRPr="00040A06" w:rsidRDefault="008122AD" w:rsidP="00AB166C">
            <w:pPr>
              <w:spacing w:after="0" w:line="240" w:lineRule="auto"/>
              <w:ind w:right="57"/>
              <w:jc w:val="right"/>
              <w:rPr>
                <w:sz w:val="18"/>
              </w:rPr>
            </w:pPr>
            <w:r>
              <w:rPr>
                <w:sz w:val="18"/>
              </w:rPr>
              <w:t>0.5</w:t>
            </w:r>
          </w:p>
        </w:tc>
        <w:tc>
          <w:tcPr>
            <w:tcW w:w="1136" w:type="pct"/>
          </w:tcPr>
          <w:p w14:paraId="656B09D7" w14:textId="77777777" w:rsidR="008122AD" w:rsidRDefault="008122AD" w:rsidP="00AB166C">
            <w:pPr>
              <w:spacing w:after="0" w:line="240" w:lineRule="auto"/>
              <w:ind w:right="57"/>
              <w:jc w:val="right"/>
              <w:rPr>
                <w:sz w:val="18"/>
              </w:rPr>
            </w:pPr>
            <w:r>
              <w:rPr>
                <w:sz w:val="18"/>
              </w:rPr>
              <w:t>0.6</w:t>
            </w:r>
          </w:p>
        </w:tc>
      </w:tr>
      <w:tr w:rsidR="008122AD" w:rsidRPr="0071391A" w14:paraId="656B09DC" w14:textId="77777777" w:rsidTr="00494A7B">
        <w:tc>
          <w:tcPr>
            <w:tcW w:w="3030" w:type="pct"/>
          </w:tcPr>
          <w:p w14:paraId="656B09D9" w14:textId="77777777" w:rsidR="008122AD" w:rsidRPr="00040A06" w:rsidRDefault="008122AD" w:rsidP="00AE334C">
            <w:pPr>
              <w:spacing w:after="0" w:line="240" w:lineRule="auto"/>
              <w:rPr>
                <w:sz w:val="18"/>
              </w:rPr>
            </w:pPr>
            <w:r>
              <w:rPr>
                <w:sz w:val="18"/>
              </w:rPr>
              <w:t>Importer costs</w:t>
            </w:r>
          </w:p>
        </w:tc>
        <w:tc>
          <w:tcPr>
            <w:tcW w:w="834" w:type="pct"/>
          </w:tcPr>
          <w:p w14:paraId="656B09DA" w14:textId="77777777" w:rsidR="008122AD" w:rsidRPr="00040A06" w:rsidRDefault="008122AD" w:rsidP="00AB166C">
            <w:pPr>
              <w:spacing w:after="0" w:line="240" w:lineRule="auto"/>
              <w:ind w:right="57"/>
              <w:jc w:val="right"/>
              <w:rPr>
                <w:sz w:val="18"/>
              </w:rPr>
            </w:pPr>
            <w:r>
              <w:rPr>
                <w:sz w:val="18"/>
              </w:rPr>
              <w:t>0.4</w:t>
            </w:r>
          </w:p>
        </w:tc>
        <w:tc>
          <w:tcPr>
            <w:tcW w:w="1136" w:type="pct"/>
          </w:tcPr>
          <w:p w14:paraId="656B09DB" w14:textId="77777777" w:rsidR="008122AD" w:rsidRPr="00040A06" w:rsidRDefault="008122AD" w:rsidP="00AB166C">
            <w:pPr>
              <w:spacing w:after="0" w:line="240" w:lineRule="auto"/>
              <w:ind w:right="57"/>
              <w:jc w:val="right"/>
              <w:rPr>
                <w:sz w:val="18"/>
              </w:rPr>
            </w:pPr>
            <w:r>
              <w:rPr>
                <w:sz w:val="18"/>
              </w:rPr>
              <w:t>1.5</w:t>
            </w:r>
          </w:p>
        </w:tc>
      </w:tr>
      <w:tr w:rsidR="004D20EE" w:rsidRPr="0071391A" w14:paraId="656B09E0" w14:textId="77777777" w:rsidTr="00494A7B">
        <w:tc>
          <w:tcPr>
            <w:tcW w:w="3030" w:type="pct"/>
          </w:tcPr>
          <w:p w14:paraId="656B09DD" w14:textId="77777777" w:rsidR="004D20EE" w:rsidRPr="00040A06" w:rsidRDefault="004D20EE" w:rsidP="00AE334C">
            <w:pPr>
              <w:spacing w:after="0" w:line="240" w:lineRule="auto"/>
              <w:rPr>
                <w:b/>
                <w:sz w:val="18"/>
              </w:rPr>
            </w:pPr>
            <w:r w:rsidRPr="00040A06">
              <w:rPr>
                <w:b/>
                <w:sz w:val="18"/>
              </w:rPr>
              <w:t xml:space="preserve">Net present value </w:t>
            </w:r>
          </w:p>
        </w:tc>
        <w:tc>
          <w:tcPr>
            <w:tcW w:w="834" w:type="pct"/>
          </w:tcPr>
          <w:p w14:paraId="656B09DE" w14:textId="77777777" w:rsidR="004D20EE" w:rsidRPr="00040A06" w:rsidRDefault="004D20EE" w:rsidP="00AB166C">
            <w:pPr>
              <w:spacing w:after="0" w:line="240" w:lineRule="auto"/>
              <w:ind w:right="57"/>
              <w:jc w:val="right"/>
              <w:rPr>
                <w:sz w:val="18"/>
              </w:rPr>
            </w:pPr>
            <w:r w:rsidRPr="00040A06">
              <w:rPr>
                <w:sz w:val="18"/>
              </w:rPr>
              <w:t>2.0</w:t>
            </w:r>
          </w:p>
        </w:tc>
        <w:tc>
          <w:tcPr>
            <w:tcW w:w="1136" w:type="pct"/>
          </w:tcPr>
          <w:p w14:paraId="656B09DF" w14:textId="77777777" w:rsidR="004D20EE" w:rsidRPr="00040A06" w:rsidRDefault="004D20EE" w:rsidP="00AB166C">
            <w:pPr>
              <w:spacing w:after="0" w:line="240" w:lineRule="auto"/>
              <w:ind w:right="57"/>
              <w:jc w:val="right"/>
              <w:rPr>
                <w:sz w:val="18"/>
              </w:rPr>
            </w:pPr>
            <w:r w:rsidRPr="00040A06">
              <w:rPr>
                <w:sz w:val="18"/>
              </w:rPr>
              <w:t>64.4</w:t>
            </w:r>
          </w:p>
        </w:tc>
      </w:tr>
      <w:tr w:rsidR="004D20EE" w:rsidRPr="0071391A" w14:paraId="656B09E4" w14:textId="77777777" w:rsidTr="00494A7B">
        <w:tc>
          <w:tcPr>
            <w:tcW w:w="3030" w:type="pct"/>
          </w:tcPr>
          <w:p w14:paraId="656B09E1" w14:textId="77777777" w:rsidR="004D20EE" w:rsidRPr="00040A06" w:rsidRDefault="004D20EE" w:rsidP="00AE334C">
            <w:pPr>
              <w:spacing w:after="0" w:line="240" w:lineRule="auto"/>
              <w:rPr>
                <w:b/>
                <w:sz w:val="18"/>
              </w:rPr>
            </w:pPr>
            <w:r w:rsidRPr="00040A06">
              <w:rPr>
                <w:b/>
                <w:sz w:val="18"/>
              </w:rPr>
              <w:t>Benefit-cost ratio (ratio)</w:t>
            </w:r>
          </w:p>
        </w:tc>
        <w:tc>
          <w:tcPr>
            <w:tcW w:w="834" w:type="pct"/>
          </w:tcPr>
          <w:p w14:paraId="656B09E2" w14:textId="77777777" w:rsidR="004D20EE" w:rsidRPr="00040A06" w:rsidRDefault="004D20EE" w:rsidP="00AB166C">
            <w:pPr>
              <w:spacing w:after="0" w:line="240" w:lineRule="auto"/>
              <w:ind w:right="57"/>
              <w:jc w:val="right"/>
              <w:rPr>
                <w:sz w:val="18"/>
              </w:rPr>
            </w:pPr>
            <w:r w:rsidRPr="00040A06">
              <w:rPr>
                <w:sz w:val="18"/>
              </w:rPr>
              <w:t>1.01</w:t>
            </w:r>
          </w:p>
        </w:tc>
        <w:tc>
          <w:tcPr>
            <w:tcW w:w="1136" w:type="pct"/>
          </w:tcPr>
          <w:p w14:paraId="656B09E3" w14:textId="77777777" w:rsidR="004D20EE" w:rsidRPr="00040A06" w:rsidRDefault="004D20EE" w:rsidP="00AB166C">
            <w:pPr>
              <w:spacing w:after="0" w:line="240" w:lineRule="auto"/>
              <w:ind w:right="57"/>
              <w:jc w:val="right"/>
              <w:rPr>
                <w:sz w:val="18"/>
              </w:rPr>
            </w:pPr>
            <w:r w:rsidRPr="00040A06">
              <w:rPr>
                <w:sz w:val="18"/>
              </w:rPr>
              <w:t>1.28</w:t>
            </w:r>
          </w:p>
        </w:tc>
      </w:tr>
    </w:tbl>
    <w:p w14:paraId="656B09E5" w14:textId="77777777" w:rsidR="004D20EE" w:rsidRDefault="004D20EE" w:rsidP="004D20EE">
      <w:pPr>
        <w:rPr>
          <w:i/>
          <w:sz w:val="16"/>
        </w:rPr>
      </w:pPr>
      <w:r>
        <w:rPr>
          <w:i/>
          <w:sz w:val="16"/>
        </w:rPr>
        <w:t xml:space="preserve">Source: Marsden Jacob Associates (2016) </w:t>
      </w:r>
      <w:r w:rsidRPr="00F70220">
        <w:rPr>
          <w:i/>
          <w:sz w:val="16"/>
        </w:rPr>
        <w:t xml:space="preserve">Note: </w:t>
      </w:r>
      <w:r w:rsidR="00CE389A">
        <w:rPr>
          <w:i/>
          <w:sz w:val="16"/>
        </w:rPr>
        <w:t>Importantly</w:t>
      </w:r>
      <w:r w:rsidR="008122AD">
        <w:rPr>
          <w:i/>
          <w:sz w:val="16"/>
        </w:rPr>
        <w:t>, the report notes that the analysis</w:t>
      </w:r>
      <w:r w:rsidR="00CE389A">
        <w:rPr>
          <w:i/>
          <w:sz w:val="16"/>
        </w:rPr>
        <w:t xml:space="preserve"> </w:t>
      </w:r>
      <w:r w:rsidR="008122AD">
        <w:rPr>
          <w:i/>
          <w:sz w:val="16"/>
        </w:rPr>
        <w:t xml:space="preserve">may significantly understate the </w:t>
      </w:r>
      <w:r w:rsidRPr="00F70220">
        <w:rPr>
          <w:i/>
          <w:sz w:val="16"/>
        </w:rPr>
        <w:t xml:space="preserve">benefits </w:t>
      </w:r>
      <w:r w:rsidR="00CE389A">
        <w:rPr>
          <w:i/>
          <w:sz w:val="16"/>
        </w:rPr>
        <w:t xml:space="preserve">from </w:t>
      </w:r>
      <w:r w:rsidRPr="00F70220">
        <w:rPr>
          <w:i/>
          <w:sz w:val="16"/>
        </w:rPr>
        <w:t>improved environment</w:t>
      </w:r>
      <w:r w:rsidR="00CE389A">
        <w:rPr>
          <w:i/>
          <w:sz w:val="16"/>
        </w:rPr>
        <w:t>al outcomes</w:t>
      </w:r>
      <w:r w:rsidRPr="00F70220">
        <w:rPr>
          <w:i/>
          <w:sz w:val="16"/>
        </w:rPr>
        <w:t xml:space="preserve">. </w:t>
      </w:r>
    </w:p>
    <w:p w14:paraId="656B09E6" w14:textId="77777777" w:rsidR="004D20EE" w:rsidRPr="00040A06" w:rsidRDefault="004D20EE" w:rsidP="00040A06">
      <w:pPr>
        <w:spacing w:after="0"/>
        <w:rPr>
          <w:i/>
        </w:rPr>
      </w:pPr>
      <w:r w:rsidRPr="00040A06">
        <w:rPr>
          <w:i/>
        </w:rPr>
        <w:t>Distributional impacts</w:t>
      </w:r>
    </w:p>
    <w:p w14:paraId="656B09E7" w14:textId="77777777" w:rsidR="004D20EE" w:rsidRDefault="004D20EE" w:rsidP="004D20EE">
      <w:pPr>
        <w:rPr>
          <w:i/>
          <w:sz w:val="16"/>
        </w:rPr>
      </w:pPr>
      <w:r>
        <w:t>The distributional impact</w:t>
      </w:r>
      <w:r w:rsidR="00ED664D">
        <w:t>s</w:t>
      </w:r>
      <w:r>
        <w:t xml:space="preserve"> of the plastic bag ban are outlined in </w:t>
      </w:r>
      <w:r w:rsidR="00F65275">
        <w:rPr>
          <w:color w:val="2B579A"/>
          <w:shd w:val="clear" w:color="auto" w:fill="E6E6E6"/>
        </w:rPr>
        <w:fldChar w:fldCharType="begin"/>
      </w:r>
      <w:r w:rsidR="00F65275">
        <w:instrText xml:space="preserve"> REF _Ref7705671 \h </w:instrText>
      </w:r>
      <w:r w:rsidR="00F65275">
        <w:rPr>
          <w:color w:val="2B579A"/>
          <w:shd w:val="clear" w:color="auto" w:fill="E6E6E6"/>
        </w:rPr>
      </w:r>
      <w:r w:rsidR="00F65275">
        <w:rPr>
          <w:color w:val="2B579A"/>
          <w:shd w:val="clear" w:color="auto" w:fill="E6E6E6"/>
        </w:rPr>
        <w:fldChar w:fldCharType="separate"/>
      </w:r>
      <w:r w:rsidR="00B11C1E">
        <w:t xml:space="preserve">Table </w:t>
      </w:r>
      <w:r w:rsidR="00B11C1E">
        <w:rPr>
          <w:noProof/>
        </w:rPr>
        <w:t>11</w:t>
      </w:r>
      <w:r w:rsidR="00B11C1E">
        <w:noBreakHyphen/>
      </w:r>
      <w:r w:rsidR="00B11C1E">
        <w:rPr>
          <w:noProof/>
        </w:rPr>
        <w:t>2</w:t>
      </w:r>
      <w:r w:rsidR="00F65275">
        <w:rPr>
          <w:color w:val="2B579A"/>
          <w:shd w:val="clear" w:color="auto" w:fill="E6E6E6"/>
        </w:rPr>
        <w:fldChar w:fldCharType="end"/>
      </w:r>
      <w:r>
        <w:t xml:space="preserve">. It shows that, for </w:t>
      </w:r>
      <w:r w:rsidR="0073525D">
        <w:t>O</w:t>
      </w:r>
      <w:r>
        <w:t>ptions</w:t>
      </w:r>
      <w:r w:rsidR="00ED664D">
        <w:t xml:space="preserve"> 2 and 3</w:t>
      </w:r>
      <w:r>
        <w:t>, the community and environment are major beneficiaries</w:t>
      </w:r>
      <w:r w:rsidR="0073525D">
        <w:t>, reflecting avoided litter, avoided landfill operating costs and an improved environment.</w:t>
      </w:r>
      <w:r>
        <w:t xml:space="preserve"> Under </w:t>
      </w:r>
      <w:r w:rsidR="00F65275">
        <w:t>O</w:t>
      </w:r>
      <w:r>
        <w:t xml:space="preserve">ption </w:t>
      </w:r>
      <w:r w:rsidR="00787AD8">
        <w:t>2</w:t>
      </w:r>
      <w:r>
        <w:t xml:space="preserve">, consumers incur the largest cost (since the cost of heavyweight plastic bags will be passed on to them, either directly or indirectly). </w:t>
      </w:r>
      <w:r w:rsidR="00C01C16">
        <w:t xml:space="preserve">Under Option 3, consumers are major beneficiaries. Although consumers would bear the cost of purchasing reusable bags, the reduced cost of </w:t>
      </w:r>
      <w:r w:rsidR="00E05091">
        <w:t xml:space="preserve">lightweight and </w:t>
      </w:r>
      <w:r w:rsidR="00C01C16">
        <w:t>heavyweight bags</w:t>
      </w:r>
      <w:r w:rsidR="00157D08">
        <w:t xml:space="preserve"> (</w:t>
      </w:r>
      <w:r w:rsidR="00E05091">
        <w:t>assumed to be passed through from retailers to consumers</w:t>
      </w:r>
      <w:r w:rsidR="00157D08">
        <w:t>)</w:t>
      </w:r>
      <w:r w:rsidR="00C01C16">
        <w:t xml:space="preserve"> would outweigh this additional cost</w:t>
      </w:r>
      <w:r>
        <w:t xml:space="preserve">. </w:t>
      </w:r>
    </w:p>
    <w:p w14:paraId="656B09E8" w14:textId="77777777" w:rsidR="004D20EE" w:rsidRPr="00CE0607" w:rsidRDefault="00AC2F40" w:rsidP="004D20EE">
      <w:pPr>
        <w:pStyle w:val="Caption"/>
      </w:pPr>
      <w:bookmarkStart w:id="1419" w:name="_Ref7705671"/>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11</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2</w:t>
      </w:r>
      <w:r w:rsidR="00997CFA">
        <w:rPr>
          <w:color w:val="2B579A"/>
          <w:shd w:val="clear" w:color="auto" w:fill="E6E6E6"/>
        </w:rPr>
        <w:fldChar w:fldCharType="end"/>
      </w:r>
      <w:bookmarkEnd w:id="1419"/>
      <w:r>
        <w:t xml:space="preserve"> </w:t>
      </w:r>
      <w:r w:rsidR="004D20EE">
        <w:t xml:space="preserve"> Distribution impacts under a 10-year timeframe (NPV, $m, 2016)</w:t>
      </w:r>
    </w:p>
    <w:tbl>
      <w:tblPr>
        <w:tblStyle w:val="Deloittetable"/>
        <w:tblW w:w="5000" w:type="pct"/>
        <w:tblLook w:val="04A0" w:firstRow="1" w:lastRow="0" w:firstColumn="1" w:lastColumn="0" w:noHBand="0" w:noVBand="1"/>
      </w:tblPr>
      <w:tblGrid>
        <w:gridCol w:w="4820"/>
        <w:gridCol w:w="2410"/>
        <w:gridCol w:w="2125"/>
      </w:tblGrid>
      <w:tr w:rsidR="004D20EE" w14:paraId="656B09EC" w14:textId="77777777" w:rsidTr="00494A7B">
        <w:trPr>
          <w:cnfStyle w:val="100000000000" w:firstRow="1" w:lastRow="0" w:firstColumn="0" w:lastColumn="0" w:oddVBand="0" w:evenVBand="0" w:oddHBand="0" w:evenHBand="0" w:firstRowFirstColumn="0" w:firstRowLastColumn="0" w:lastRowFirstColumn="0" w:lastRowLastColumn="0"/>
          <w:trHeight w:val="284"/>
        </w:trPr>
        <w:tc>
          <w:tcPr>
            <w:tcW w:w="2576" w:type="pct"/>
          </w:tcPr>
          <w:p w14:paraId="656B09E9" w14:textId="77777777" w:rsidR="004D20EE" w:rsidRPr="00040A06" w:rsidRDefault="004D20EE" w:rsidP="00AE334C">
            <w:pPr>
              <w:spacing w:after="0" w:line="240" w:lineRule="auto"/>
              <w:rPr>
                <w:b/>
                <w:sz w:val="18"/>
              </w:rPr>
            </w:pPr>
            <w:r w:rsidRPr="00040A06">
              <w:rPr>
                <w:b/>
                <w:sz w:val="18"/>
              </w:rPr>
              <w:t>Stakeholder group</w:t>
            </w:r>
          </w:p>
        </w:tc>
        <w:tc>
          <w:tcPr>
            <w:tcW w:w="1288" w:type="pct"/>
          </w:tcPr>
          <w:p w14:paraId="656B09EA" w14:textId="77777777" w:rsidR="004D20EE" w:rsidRPr="00040A06" w:rsidRDefault="004D20EE" w:rsidP="00AB166C">
            <w:pPr>
              <w:spacing w:after="0" w:line="240" w:lineRule="auto"/>
              <w:ind w:right="57"/>
              <w:jc w:val="right"/>
              <w:rPr>
                <w:b/>
                <w:sz w:val="18"/>
              </w:rPr>
            </w:pPr>
            <w:r w:rsidRPr="00040A06">
              <w:rPr>
                <w:b/>
                <w:sz w:val="18"/>
              </w:rPr>
              <w:t xml:space="preserve">Option </w:t>
            </w:r>
            <w:r w:rsidR="00787AD8">
              <w:rPr>
                <w:b/>
                <w:sz w:val="18"/>
              </w:rPr>
              <w:t>2</w:t>
            </w:r>
          </w:p>
        </w:tc>
        <w:tc>
          <w:tcPr>
            <w:tcW w:w="1136" w:type="pct"/>
          </w:tcPr>
          <w:p w14:paraId="656B09EB" w14:textId="77777777" w:rsidR="004D20EE" w:rsidRPr="00040A06" w:rsidRDefault="004D20EE" w:rsidP="00AB166C">
            <w:pPr>
              <w:spacing w:after="0" w:line="240" w:lineRule="auto"/>
              <w:ind w:right="57"/>
              <w:jc w:val="right"/>
              <w:rPr>
                <w:b/>
                <w:sz w:val="18"/>
              </w:rPr>
            </w:pPr>
            <w:r w:rsidRPr="00040A06">
              <w:rPr>
                <w:b/>
                <w:sz w:val="18"/>
              </w:rPr>
              <w:t xml:space="preserve">Option </w:t>
            </w:r>
            <w:r w:rsidR="00ED664D">
              <w:rPr>
                <w:b/>
                <w:sz w:val="18"/>
              </w:rPr>
              <w:t>3</w:t>
            </w:r>
          </w:p>
        </w:tc>
      </w:tr>
      <w:tr w:rsidR="004D20EE" w:rsidRPr="00B31C84" w14:paraId="656B09F0" w14:textId="77777777" w:rsidTr="00494A7B">
        <w:tc>
          <w:tcPr>
            <w:tcW w:w="2576" w:type="pct"/>
          </w:tcPr>
          <w:p w14:paraId="656B09ED" w14:textId="77777777" w:rsidR="004D20EE" w:rsidRPr="00040A06" w:rsidRDefault="004D20EE" w:rsidP="00AE334C">
            <w:pPr>
              <w:spacing w:after="0" w:line="240" w:lineRule="auto"/>
              <w:rPr>
                <w:sz w:val="18"/>
              </w:rPr>
            </w:pPr>
            <w:r w:rsidRPr="00040A06">
              <w:rPr>
                <w:sz w:val="18"/>
              </w:rPr>
              <w:t>Victorian Government</w:t>
            </w:r>
          </w:p>
        </w:tc>
        <w:tc>
          <w:tcPr>
            <w:tcW w:w="1288" w:type="pct"/>
          </w:tcPr>
          <w:p w14:paraId="656B09EE" w14:textId="77777777" w:rsidR="004D20EE" w:rsidRPr="00040A06" w:rsidRDefault="004D20EE" w:rsidP="00AB166C">
            <w:pPr>
              <w:spacing w:after="0" w:line="240" w:lineRule="auto"/>
              <w:ind w:right="57"/>
              <w:jc w:val="right"/>
              <w:rPr>
                <w:sz w:val="18"/>
              </w:rPr>
            </w:pPr>
            <w:r w:rsidRPr="00040A06">
              <w:rPr>
                <w:sz w:val="18"/>
              </w:rPr>
              <w:t>-0.9</w:t>
            </w:r>
          </w:p>
        </w:tc>
        <w:tc>
          <w:tcPr>
            <w:tcW w:w="1136" w:type="pct"/>
          </w:tcPr>
          <w:p w14:paraId="656B09EF" w14:textId="77777777" w:rsidR="004D20EE" w:rsidRPr="00040A06" w:rsidRDefault="004D20EE" w:rsidP="00AB166C">
            <w:pPr>
              <w:spacing w:after="0" w:line="240" w:lineRule="auto"/>
              <w:ind w:right="57"/>
              <w:jc w:val="right"/>
              <w:rPr>
                <w:sz w:val="18"/>
              </w:rPr>
            </w:pPr>
            <w:r w:rsidRPr="00040A06">
              <w:rPr>
                <w:sz w:val="18"/>
              </w:rPr>
              <w:t>-1.7</w:t>
            </w:r>
          </w:p>
        </w:tc>
      </w:tr>
      <w:tr w:rsidR="004D20EE" w:rsidRPr="00B31C84" w14:paraId="656B09F4" w14:textId="77777777" w:rsidTr="00494A7B">
        <w:tc>
          <w:tcPr>
            <w:tcW w:w="2576" w:type="pct"/>
          </w:tcPr>
          <w:p w14:paraId="656B09F1" w14:textId="77777777" w:rsidR="004D20EE" w:rsidRPr="00040A06" w:rsidRDefault="004D20EE" w:rsidP="00AE334C">
            <w:pPr>
              <w:spacing w:after="0" w:line="240" w:lineRule="auto"/>
              <w:rPr>
                <w:sz w:val="18"/>
              </w:rPr>
            </w:pPr>
            <w:r w:rsidRPr="00040A06">
              <w:rPr>
                <w:sz w:val="18"/>
              </w:rPr>
              <w:t>Retail industry</w:t>
            </w:r>
          </w:p>
        </w:tc>
        <w:tc>
          <w:tcPr>
            <w:tcW w:w="1288" w:type="pct"/>
          </w:tcPr>
          <w:p w14:paraId="656B09F2" w14:textId="77777777" w:rsidR="004D20EE" w:rsidRPr="00040A06" w:rsidRDefault="004D20EE" w:rsidP="00AB166C">
            <w:pPr>
              <w:spacing w:after="0" w:line="240" w:lineRule="auto"/>
              <w:ind w:right="57"/>
              <w:jc w:val="right"/>
              <w:rPr>
                <w:sz w:val="18"/>
              </w:rPr>
            </w:pPr>
            <w:r w:rsidRPr="00040A06">
              <w:rPr>
                <w:sz w:val="18"/>
              </w:rPr>
              <w:t>-0.5</w:t>
            </w:r>
          </w:p>
        </w:tc>
        <w:tc>
          <w:tcPr>
            <w:tcW w:w="1136" w:type="pct"/>
          </w:tcPr>
          <w:p w14:paraId="656B09F3" w14:textId="77777777" w:rsidR="004D20EE" w:rsidRPr="00040A06" w:rsidRDefault="004D20EE" w:rsidP="00AB166C">
            <w:pPr>
              <w:spacing w:after="0" w:line="240" w:lineRule="auto"/>
              <w:ind w:right="57"/>
              <w:jc w:val="right"/>
              <w:rPr>
                <w:sz w:val="18"/>
              </w:rPr>
            </w:pPr>
            <w:r w:rsidRPr="00040A06">
              <w:rPr>
                <w:sz w:val="18"/>
              </w:rPr>
              <w:t>-0.6</w:t>
            </w:r>
          </w:p>
        </w:tc>
      </w:tr>
      <w:tr w:rsidR="004D20EE" w:rsidRPr="00B31C84" w14:paraId="656B09F8" w14:textId="77777777" w:rsidTr="00494A7B">
        <w:tc>
          <w:tcPr>
            <w:tcW w:w="2576" w:type="pct"/>
          </w:tcPr>
          <w:p w14:paraId="656B09F5" w14:textId="77777777" w:rsidR="004D20EE" w:rsidRPr="00040A06" w:rsidRDefault="004D20EE" w:rsidP="00AE334C">
            <w:pPr>
              <w:spacing w:after="0" w:line="240" w:lineRule="auto"/>
              <w:rPr>
                <w:sz w:val="18"/>
              </w:rPr>
            </w:pPr>
            <w:r w:rsidRPr="00040A06">
              <w:rPr>
                <w:sz w:val="18"/>
              </w:rPr>
              <w:t>Consumers</w:t>
            </w:r>
          </w:p>
        </w:tc>
        <w:tc>
          <w:tcPr>
            <w:tcW w:w="1288" w:type="pct"/>
          </w:tcPr>
          <w:p w14:paraId="656B09F6" w14:textId="77777777" w:rsidR="004D20EE" w:rsidRPr="00040A06" w:rsidRDefault="004D20EE" w:rsidP="00AB166C">
            <w:pPr>
              <w:spacing w:after="0" w:line="240" w:lineRule="auto"/>
              <w:ind w:right="57"/>
              <w:jc w:val="right"/>
              <w:rPr>
                <w:sz w:val="18"/>
              </w:rPr>
            </w:pPr>
            <w:r w:rsidRPr="00040A06">
              <w:rPr>
                <w:sz w:val="18"/>
              </w:rPr>
              <w:t>-6.2</w:t>
            </w:r>
          </w:p>
        </w:tc>
        <w:tc>
          <w:tcPr>
            <w:tcW w:w="1136" w:type="pct"/>
          </w:tcPr>
          <w:p w14:paraId="656B09F7" w14:textId="77777777" w:rsidR="004D20EE" w:rsidRPr="00040A06" w:rsidRDefault="004D20EE" w:rsidP="00AB166C">
            <w:pPr>
              <w:spacing w:after="0" w:line="240" w:lineRule="auto"/>
              <w:ind w:right="57"/>
              <w:jc w:val="right"/>
              <w:rPr>
                <w:sz w:val="18"/>
              </w:rPr>
            </w:pPr>
            <w:r w:rsidRPr="00040A06">
              <w:rPr>
                <w:sz w:val="18"/>
              </w:rPr>
              <w:t>55.3</w:t>
            </w:r>
          </w:p>
        </w:tc>
      </w:tr>
      <w:tr w:rsidR="004D20EE" w:rsidRPr="00B31C84" w14:paraId="656B09FC" w14:textId="77777777" w:rsidTr="00494A7B">
        <w:tc>
          <w:tcPr>
            <w:tcW w:w="2576" w:type="pct"/>
          </w:tcPr>
          <w:p w14:paraId="656B09F9" w14:textId="77777777" w:rsidR="004D20EE" w:rsidRPr="00040A06" w:rsidRDefault="004D20EE" w:rsidP="00AE334C">
            <w:pPr>
              <w:spacing w:after="0" w:line="240" w:lineRule="auto"/>
              <w:rPr>
                <w:sz w:val="18"/>
              </w:rPr>
            </w:pPr>
            <w:r w:rsidRPr="00040A06">
              <w:rPr>
                <w:sz w:val="18"/>
              </w:rPr>
              <w:t>Importers</w:t>
            </w:r>
          </w:p>
        </w:tc>
        <w:tc>
          <w:tcPr>
            <w:tcW w:w="1288" w:type="pct"/>
          </w:tcPr>
          <w:p w14:paraId="656B09FA" w14:textId="77777777" w:rsidR="004D20EE" w:rsidRPr="00040A06" w:rsidRDefault="004D20EE" w:rsidP="00AB166C">
            <w:pPr>
              <w:spacing w:after="0" w:line="240" w:lineRule="auto"/>
              <w:ind w:right="57"/>
              <w:jc w:val="right"/>
              <w:rPr>
                <w:sz w:val="18"/>
              </w:rPr>
            </w:pPr>
            <w:r w:rsidRPr="00040A06">
              <w:rPr>
                <w:sz w:val="18"/>
              </w:rPr>
              <w:t>-0.4</w:t>
            </w:r>
          </w:p>
        </w:tc>
        <w:tc>
          <w:tcPr>
            <w:tcW w:w="1136" w:type="pct"/>
          </w:tcPr>
          <w:p w14:paraId="656B09FB" w14:textId="77777777" w:rsidR="004D20EE" w:rsidRPr="00040A06" w:rsidRDefault="004D20EE" w:rsidP="00AB166C">
            <w:pPr>
              <w:spacing w:after="0" w:line="240" w:lineRule="auto"/>
              <w:ind w:right="57"/>
              <w:jc w:val="right"/>
              <w:rPr>
                <w:sz w:val="18"/>
              </w:rPr>
            </w:pPr>
            <w:r w:rsidRPr="00040A06">
              <w:rPr>
                <w:sz w:val="18"/>
              </w:rPr>
              <w:t>-1.5</w:t>
            </w:r>
          </w:p>
        </w:tc>
      </w:tr>
      <w:tr w:rsidR="004D20EE" w:rsidRPr="00B31C84" w14:paraId="656B0A00" w14:textId="77777777" w:rsidTr="00494A7B">
        <w:tc>
          <w:tcPr>
            <w:tcW w:w="2576" w:type="pct"/>
          </w:tcPr>
          <w:p w14:paraId="656B09FD" w14:textId="77777777" w:rsidR="004D20EE" w:rsidRPr="00040A06" w:rsidRDefault="004D20EE" w:rsidP="00AE334C">
            <w:pPr>
              <w:spacing w:after="0" w:line="240" w:lineRule="auto"/>
              <w:rPr>
                <w:sz w:val="18"/>
              </w:rPr>
            </w:pPr>
            <w:r w:rsidRPr="00040A06">
              <w:rPr>
                <w:sz w:val="18"/>
              </w:rPr>
              <w:t>Community/environment</w:t>
            </w:r>
          </w:p>
        </w:tc>
        <w:tc>
          <w:tcPr>
            <w:tcW w:w="1288" w:type="pct"/>
          </w:tcPr>
          <w:p w14:paraId="656B09FE" w14:textId="77777777" w:rsidR="004D20EE" w:rsidRPr="00040A06" w:rsidRDefault="004D20EE" w:rsidP="00AB166C">
            <w:pPr>
              <w:spacing w:after="0" w:line="240" w:lineRule="auto"/>
              <w:ind w:right="57"/>
              <w:jc w:val="right"/>
              <w:rPr>
                <w:sz w:val="18"/>
              </w:rPr>
            </w:pPr>
            <w:r w:rsidRPr="00040A06">
              <w:rPr>
                <w:sz w:val="18"/>
              </w:rPr>
              <w:t>10.0</w:t>
            </w:r>
          </w:p>
        </w:tc>
        <w:tc>
          <w:tcPr>
            <w:tcW w:w="1136" w:type="pct"/>
          </w:tcPr>
          <w:p w14:paraId="656B09FF" w14:textId="77777777" w:rsidR="004D20EE" w:rsidRPr="00040A06" w:rsidRDefault="004D20EE" w:rsidP="00AB166C">
            <w:pPr>
              <w:spacing w:after="0" w:line="240" w:lineRule="auto"/>
              <w:ind w:right="57"/>
              <w:jc w:val="right"/>
              <w:rPr>
                <w:sz w:val="18"/>
              </w:rPr>
            </w:pPr>
            <w:r w:rsidRPr="00040A06">
              <w:rPr>
                <w:sz w:val="18"/>
              </w:rPr>
              <w:t>13.0</w:t>
            </w:r>
          </w:p>
        </w:tc>
      </w:tr>
    </w:tbl>
    <w:p w14:paraId="656B0A01" w14:textId="77777777" w:rsidR="004D20EE" w:rsidRPr="00F70220" w:rsidRDefault="004D20EE" w:rsidP="004D20EE">
      <w:pPr>
        <w:rPr>
          <w:i/>
          <w:sz w:val="16"/>
        </w:rPr>
      </w:pPr>
      <w:r>
        <w:rPr>
          <w:i/>
          <w:sz w:val="16"/>
        </w:rPr>
        <w:t xml:space="preserve">Source: Marsden Jacob Associates (2016) </w:t>
      </w:r>
    </w:p>
    <w:p w14:paraId="656B0A02" w14:textId="77777777" w:rsidR="004D20EE" w:rsidRPr="00040A06" w:rsidRDefault="004D20EE" w:rsidP="00040A06">
      <w:pPr>
        <w:spacing w:after="0"/>
        <w:rPr>
          <w:i/>
        </w:rPr>
      </w:pPr>
      <w:r w:rsidRPr="00040A06">
        <w:rPr>
          <w:i/>
        </w:rPr>
        <w:t>Impact of the voluntary phase-out</w:t>
      </w:r>
    </w:p>
    <w:p w14:paraId="656B0A03" w14:textId="77777777" w:rsidR="004D20EE" w:rsidRDefault="004D20EE" w:rsidP="004D20EE">
      <w:r>
        <w:t xml:space="preserve">One of the major limitations of the 2016 study is that it pre-dates the commencement of the mid-2018 voluntary phase-out of lightweight shopping bags by Coles and Woolworths. For that reason, the assumed level of lightweight plastic bags used in the </w:t>
      </w:r>
      <w:r w:rsidR="00BF2C24">
        <w:t>Base Case</w:t>
      </w:r>
      <w:r>
        <w:t xml:space="preserve"> </w:t>
      </w:r>
      <w:r w:rsidR="00ED664D">
        <w:t xml:space="preserve">is </w:t>
      </w:r>
      <w:r>
        <w:t xml:space="preserve">likely to be overstated. </w:t>
      </w:r>
    </w:p>
    <w:p w14:paraId="656B0A04" w14:textId="77777777" w:rsidR="004D20EE" w:rsidRDefault="00466458" w:rsidP="004D20EE">
      <w:r>
        <w:t>T</w:t>
      </w:r>
      <w:r w:rsidR="004D20EE">
        <w:t xml:space="preserve">he 2016 study </w:t>
      </w:r>
      <w:r w:rsidR="006A1FA8">
        <w:t xml:space="preserve">has </w:t>
      </w:r>
      <w:r w:rsidR="004D20EE">
        <w:t xml:space="preserve">been </w:t>
      </w:r>
      <w:r>
        <w:t xml:space="preserve">updated </w:t>
      </w:r>
      <w:r w:rsidR="00B95D8D">
        <w:t xml:space="preserve">here </w:t>
      </w:r>
      <w:r w:rsidR="004D20EE">
        <w:t xml:space="preserve">using the following assumptions: </w:t>
      </w:r>
    </w:p>
    <w:p w14:paraId="656B0A05" w14:textId="77777777" w:rsidR="004D20EE" w:rsidRDefault="004D20EE" w:rsidP="004A2442">
      <w:pPr>
        <w:pStyle w:val="Bullet1"/>
        <w:numPr>
          <w:ilvl w:val="0"/>
          <w:numId w:val="81"/>
        </w:numPr>
      </w:pPr>
      <w:r>
        <w:t>Coles and Woolworths are assumed to account for 32 percent of total lightweight plastic shopping bags (prior to the phase out).</w:t>
      </w:r>
      <w:r w:rsidR="00466458">
        <w:rPr>
          <w:rStyle w:val="FootnoteReference"/>
        </w:rPr>
        <w:footnoteReference w:id="200"/>
      </w:r>
    </w:p>
    <w:p w14:paraId="656B0A06" w14:textId="77777777" w:rsidR="004D20EE" w:rsidRDefault="004D20EE" w:rsidP="004A2442">
      <w:pPr>
        <w:pStyle w:val="Bullet1"/>
        <w:numPr>
          <w:ilvl w:val="0"/>
          <w:numId w:val="81"/>
        </w:numPr>
      </w:pPr>
      <w:r>
        <w:t xml:space="preserve">As such, for options </w:t>
      </w:r>
      <w:r w:rsidR="00787AD8">
        <w:t xml:space="preserve">2 and </w:t>
      </w:r>
      <w:r w:rsidR="00ED664D">
        <w:t>3</w:t>
      </w:r>
      <w:r>
        <w:t xml:space="preserve"> there will be a </w:t>
      </w:r>
      <w:r w:rsidR="006A1FA8">
        <w:t xml:space="preserve">32 percent lower </w:t>
      </w:r>
      <w:r>
        <w:t xml:space="preserve">benefit. </w:t>
      </w:r>
    </w:p>
    <w:p w14:paraId="656B0A07" w14:textId="77777777" w:rsidR="004D20EE" w:rsidRDefault="004D20EE" w:rsidP="004A2442">
      <w:pPr>
        <w:pStyle w:val="Bullet1"/>
        <w:numPr>
          <w:ilvl w:val="0"/>
          <w:numId w:val="81"/>
        </w:numPr>
      </w:pPr>
      <w:r>
        <w:t xml:space="preserve">There will also be reduced costs for </w:t>
      </w:r>
      <w:r w:rsidR="00ED664D">
        <w:t xml:space="preserve">both </w:t>
      </w:r>
      <w:r>
        <w:t xml:space="preserve">options, since the increased usage of bin liners and heavyweight plastic bags and reusable bags will also have already been realised through the voluntary phase out. </w:t>
      </w:r>
    </w:p>
    <w:p w14:paraId="656B0A08" w14:textId="77777777" w:rsidR="004D20EE" w:rsidRDefault="00AC2F40" w:rsidP="004D20EE">
      <w:pPr>
        <w:pStyle w:val="Caption"/>
      </w:pPr>
      <w:bookmarkStart w:id="1420" w:name="_Ref9919043"/>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11</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3</w:t>
      </w:r>
      <w:r w:rsidR="00997CFA">
        <w:rPr>
          <w:color w:val="2B579A"/>
          <w:shd w:val="clear" w:color="auto" w:fill="E6E6E6"/>
        </w:rPr>
        <w:fldChar w:fldCharType="end"/>
      </w:r>
      <w:bookmarkEnd w:id="1420"/>
      <w:r w:rsidR="004D20EE">
        <w:t xml:space="preserve"> Adjusted cost-benefit analysis</w:t>
      </w:r>
      <w:r w:rsidR="00B95D8D">
        <w:t xml:space="preserve"> under a 10-year timeframe (NPV, $m, 2016)</w:t>
      </w:r>
    </w:p>
    <w:tbl>
      <w:tblPr>
        <w:tblStyle w:val="Deloittetable"/>
        <w:tblW w:w="5000" w:type="pct"/>
        <w:tblLook w:val="04A0" w:firstRow="1" w:lastRow="0" w:firstColumn="1" w:lastColumn="0" w:noHBand="0" w:noVBand="1"/>
      </w:tblPr>
      <w:tblGrid>
        <w:gridCol w:w="6349"/>
        <w:gridCol w:w="1504"/>
        <w:gridCol w:w="1502"/>
      </w:tblGrid>
      <w:tr w:rsidR="004D20EE" w:rsidRPr="00BF44BA" w14:paraId="656B0A0C" w14:textId="77777777" w:rsidTr="00494A7B">
        <w:trPr>
          <w:cnfStyle w:val="100000000000" w:firstRow="1" w:lastRow="0" w:firstColumn="0" w:lastColumn="0" w:oddVBand="0" w:evenVBand="0" w:oddHBand="0" w:evenHBand="0" w:firstRowFirstColumn="0" w:firstRowLastColumn="0" w:lastRowFirstColumn="0" w:lastRowLastColumn="0"/>
          <w:trHeight w:val="284"/>
        </w:trPr>
        <w:tc>
          <w:tcPr>
            <w:tcW w:w="3393" w:type="pct"/>
          </w:tcPr>
          <w:p w14:paraId="656B0A09" w14:textId="77777777" w:rsidR="004D20EE" w:rsidRPr="00040A06" w:rsidRDefault="004D20EE" w:rsidP="00AE334C">
            <w:pPr>
              <w:spacing w:after="0" w:line="240" w:lineRule="auto"/>
              <w:rPr>
                <w:b/>
                <w:sz w:val="18"/>
              </w:rPr>
            </w:pPr>
            <w:r w:rsidRPr="00040A06">
              <w:rPr>
                <w:b/>
                <w:sz w:val="18"/>
              </w:rPr>
              <w:t>Criterion</w:t>
            </w:r>
          </w:p>
        </w:tc>
        <w:tc>
          <w:tcPr>
            <w:tcW w:w="804" w:type="pct"/>
          </w:tcPr>
          <w:p w14:paraId="656B0A0A" w14:textId="77777777" w:rsidR="004D20EE" w:rsidRPr="00040A06" w:rsidRDefault="004D20EE" w:rsidP="00AB166C">
            <w:pPr>
              <w:spacing w:after="0" w:line="240" w:lineRule="auto"/>
              <w:ind w:right="57"/>
              <w:jc w:val="right"/>
              <w:rPr>
                <w:b/>
                <w:sz w:val="18"/>
              </w:rPr>
            </w:pPr>
            <w:r w:rsidRPr="00040A06">
              <w:rPr>
                <w:b/>
                <w:sz w:val="18"/>
              </w:rPr>
              <w:t xml:space="preserve">Option </w:t>
            </w:r>
            <w:r w:rsidR="00787AD8">
              <w:rPr>
                <w:b/>
                <w:sz w:val="18"/>
              </w:rPr>
              <w:t>2</w:t>
            </w:r>
          </w:p>
        </w:tc>
        <w:tc>
          <w:tcPr>
            <w:tcW w:w="803" w:type="pct"/>
          </w:tcPr>
          <w:p w14:paraId="656B0A0B" w14:textId="77777777" w:rsidR="004D20EE" w:rsidRPr="00040A06" w:rsidRDefault="004D20EE" w:rsidP="00AB166C">
            <w:pPr>
              <w:spacing w:after="0" w:line="240" w:lineRule="auto"/>
              <w:ind w:right="57"/>
              <w:jc w:val="right"/>
              <w:rPr>
                <w:b/>
                <w:sz w:val="18"/>
              </w:rPr>
            </w:pPr>
            <w:r w:rsidRPr="00040A06">
              <w:rPr>
                <w:b/>
                <w:sz w:val="18"/>
              </w:rPr>
              <w:t xml:space="preserve">Option </w:t>
            </w:r>
            <w:r w:rsidR="00BC6B65">
              <w:rPr>
                <w:b/>
                <w:sz w:val="18"/>
              </w:rPr>
              <w:t>3</w:t>
            </w:r>
          </w:p>
        </w:tc>
      </w:tr>
      <w:tr w:rsidR="004D20EE" w:rsidRPr="00BF44BA" w14:paraId="656B0A10" w14:textId="77777777" w:rsidTr="00494A7B">
        <w:tc>
          <w:tcPr>
            <w:tcW w:w="3393" w:type="pct"/>
          </w:tcPr>
          <w:p w14:paraId="656B0A0D" w14:textId="77777777" w:rsidR="004D20EE" w:rsidRPr="00040A06" w:rsidRDefault="004D20EE" w:rsidP="00AE334C">
            <w:pPr>
              <w:spacing w:after="0" w:line="240" w:lineRule="auto"/>
              <w:rPr>
                <w:b/>
                <w:sz w:val="18"/>
              </w:rPr>
            </w:pPr>
            <w:r w:rsidRPr="00040A06">
              <w:rPr>
                <w:b/>
                <w:sz w:val="18"/>
              </w:rPr>
              <w:t>Benefits</w:t>
            </w:r>
          </w:p>
        </w:tc>
        <w:tc>
          <w:tcPr>
            <w:tcW w:w="804" w:type="pct"/>
          </w:tcPr>
          <w:p w14:paraId="656B0A0E" w14:textId="77777777" w:rsidR="004D20EE" w:rsidRPr="00040A06" w:rsidRDefault="004D20EE" w:rsidP="00AB166C">
            <w:pPr>
              <w:spacing w:after="0" w:line="240" w:lineRule="auto"/>
              <w:ind w:right="57"/>
              <w:jc w:val="right"/>
              <w:rPr>
                <w:sz w:val="18"/>
              </w:rPr>
            </w:pPr>
          </w:p>
        </w:tc>
        <w:tc>
          <w:tcPr>
            <w:tcW w:w="803" w:type="pct"/>
          </w:tcPr>
          <w:p w14:paraId="656B0A0F" w14:textId="77777777" w:rsidR="004D20EE" w:rsidRPr="00040A06" w:rsidRDefault="004D20EE" w:rsidP="00AB166C">
            <w:pPr>
              <w:spacing w:after="0" w:line="240" w:lineRule="auto"/>
              <w:ind w:right="57"/>
              <w:jc w:val="right"/>
              <w:rPr>
                <w:sz w:val="18"/>
              </w:rPr>
            </w:pPr>
          </w:p>
        </w:tc>
      </w:tr>
      <w:tr w:rsidR="004D20EE" w:rsidRPr="00BF44BA" w14:paraId="656B0A14" w14:textId="77777777" w:rsidTr="00494A7B">
        <w:tc>
          <w:tcPr>
            <w:tcW w:w="3393" w:type="pct"/>
          </w:tcPr>
          <w:p w14:paraId="656B0A11" w14:textId="77777777" w:rsidR="004D20EE" w:rsidRPr="00040A06" w:rsidRDefault="004D20EE" w:rsidP="00AE334C">
            <w:pPr>
              <w:spacing w:after="0" w:line="240" w:lineRule="auto"/>
              <w:rPr>
                <w:sz w:val="18"/>
              </w:rPr>
            </w:pPr>
            <w:r w:rsidRPr="00040A06">
              <w:rPr>
                <w:sz w:val="18"/>
              </w:rPr>
              <w:t>Reduced cost of lightweight and biodegradable plastic shopping bags</w:t>
            </w:r>
          </w:p>
        </w:tc>
        <w:tc>
          <w:tcPr>
            <w:tcW w:w="804" w:type="pct"/>
          </w:tcPr>
          <w:p w14:paraId="656B0A12" w14:textId="77777777" w:rsidR="004D20EE" w:rsidRPr="00040A06" w:rsidRDefault="004D20EE" w:rsidP="00AB166C">
            <w:pPr>
              <w:spacing w:after="0" w:line="240" w:lineRule="auto"/>
              <w:ind w:right="57"/>
              <w:jc w:val="right"/>
              <w:rPr>
                <w:sz w:val="18"/>
              </w:rPr>
            </w:pPr>
            <w:r w:rsidRPr="00040A06">
              <w:rPr>
                <w:sz w:val="18"/>
              </w:rPr>
              <w:t>99.8</w:t>
            </w:r>
          </w:p>
        </w:tc>
        <w:tc>
          <w:tcPr>
            <w:tcW w:w="803" w:type="pct"/>
          </w:tcPr>
          <w:p w14:paraId="656B0A13" w14:textId="77777777" w:rsidR="004D20EE" w:rsidRPr="00040A06" w:rsidRDefault="004D20EE" w:rsidP="00AB166C">
            <w:pPr>
              <w:spacing w:after="0" w:line="240" w:lineRule="auto"/>
              <w:ind w:right="57"/>
              <w:jc w:val="right"/>
              <w:rPr>
                <w:sz w:val="18"/>
              </w:rPr>
            </w:pPr>
            <w:r w:rsidRPr="00040A06">
              <w:rPr>
                <w:sz w:val="18"/>
              </w:rPr>
              <w:t>99.8</w:t>
            </w:r>
          </w:p>
        </w:tc>
      </w:tr>
      <w:tr w:rsidR="004D20EE" w:rsidRPr="00BF44BA" w14:paraId="656B0A18" w14:textId="77777777" w:rsidTr="00494A7B">
        <w:tc>
          <w:tcPr>
            <w:tcW w:w="3393" w:type="pct"/>
          </w:tcPr>
          <w:p w14:paraId="656B0A15" w14:textId="77777777" w:rsidR="004D20EE" w:rsidRPr="00040A06" w:rsidRDefault="004D20EE" w:rsidP="00AE334C">
            <w:pPr>
              <w:spacing w:after="0" w:line="240" w:lineRule="auto"/>
              <w:rPr>
                <w:sz w:val="18"/>
              </w:rPr>
            </w:pPr>
            <w:r w:rsidRPr="00040A06">
              <w:rPr>
                <w:sz w:val="18"/>
              </w:rPr>
              <w:t>Avoided litter costs – land and marine</w:t>
            </w:r>
          </w:p>
        </w:tc>
        <w:tc>
          <w:tcPr>
            <w:tcW w:w="804" w:type="pct"/>
          </w:tcPr>
          <w:p w14:paraId="656B0A16" w14:textId="77777777" w:rsidR="004D20EE" w:rsidRPr="00040A06" w:rsidRDefault="004D20EE" w:rsidP="00AB166C">
            <w:pPr>
              <w:spacing w:after="0" w:line="240" w:lineRule="auto"/>
              <w:ind w:right="57"/>
              <w:jc w:val="right"/>
              <w:rPr>
                <w:sz w:val="18"/>
              </w:rPr>
            </w:pPr>
            <w:r w:rsidRPr="00040A06">
              <w:rPr>
                <w:sz w:val="18"/>
              </w:rPr>
              <w:t>5.1</w:t>
            </w:r>
          </w:p>
        </w:tc>
        <w:tc>
          <w:tcPr>
            <w:tcW w:w="803" w:type="pct"/>
          </w:tcPr>
          <w:p w14:paraId="656B0A17" w14:textId="77777777" w:rsidR="004D20EE" w:rsidRPr="00040A06" w:rsidRDefault="004D20EE" w:rsidP="00AB166C">
            <w:pPr>
              <w:spacing w:after="0" w:line="240" w:lineRule="auto"/>
              <w:ind w:right="57"/>
              <w:jc w:val="right"/>
              <w:rPr>
                <w:sz w:val="18"/>
              </w:rPr>
            </w:pPr>
            <w:r w:rsidRPr="00040A06">
              <w:rPr>
                <w:sz w:val="18"/>
              </w:rPr>
              <w:t>7.6</w:t>
            </w:r>
          </w:p>
        </w:tc>
      </w:tr>
      <w:tr w:rsidR="004D20EE" w:rsidRPr="00BF44BA" w14:paraId="656B0A1C" w14:textId="77777777" w:rsidTr="00494A7B">
        <w:tc>
          <w:tcPr>
            <w:tcW w:w="3393" w:type="pct"/>
          </w:tcPr>
          <w:p w14:paraId="656B0A19" w14:textId="77777777" w:rsidR="004D20EE" w:rsidRPr="00040A06" w:rsidRDefault="004D20EE" w:rsidP="00AE334C">
            <w:pPr>
              <w:spacing w:after="0" w:line="240" w:lineRule="auto"/>
              <w:rPr>
                <w:sz w:val="18"/>
              </w:rPr>
            </w:pPr>
            <w:r w:rsidRPr="00040A06">
              <w:rPr>
                <w:sz w:val="18"/>
              </w:rPr>
              <w:t>Avoided landfill cost</w:t>
            </w:r>
          </w:p>
        </w:tc>
        <w:tc>
          <w:tcPr>
            <w:tcW w:w="804" w:type="pct"/>
          </w:tcPr>
          <w:p w14:paraId="656B0A1A" w14:textId="77777777" w:rsidR="004D20EE" w:rsidRPr="00040A06" w:rsidRDefault="004D20EE" w:rsidP="00AB166C">
            <w:pPr>
              <w:spacing w:after="0" w:line="240" w:lineRule="auto"/>
              <w:ind w:right="57"/>
              <w:jc w:val="right"/>
              <w:rPr>
                <w:sz w:val="18"/>
              </w:rPr>
            </w:pPr>
            <w:r w:rsidRPr="00040A06">
              <w:rPr>
                <w:sz w:val="18"/>
              </w:rPr>
              <w:t>0.9</w:t>
            </w:r>
          </w:p>
        </w:tc>
        <w:tc>
          <w:tcPr>
            <w:tcW w:w="803" w:type="pct"/>
          </w:tcPr>
          <w:p w14:paraId="656B0A1B" w14:textId="77777777" w:rsidR="004D20EE" w:rsidRPr="00040A06" w:rsidRDefault="004D20EE" w:rsidP="00AB166C">
            <w:pPr>
              <w:spacing w:after="0" w:line="240" w:lineRule="auto"/>
              <w:ind w:right="57"/>
              <w:jc w:val="right"/>
              <w:rPr>
                <w:sz w:val="18"/>
              </w:rPr>
            </w:pPr>
            <w:r w:rsidRPr="00040A06">
              <w:rPr>
                <w:sz w:val="18"/>
              </w:rPr>
              <w:t>2.1</w:t>
            </w:r>
          </w:p>
        </w:tc>
      </w:tr>
      <w:tr w:rsidR="004D20EE" w:rsidRPr="00BF44BA" w14:paraId="656B0A20" w14:textId="77777777" w:rsidTr="00494A7B">
        <w:tc>
          <w:tcPr>
            <w:tcW w:w="3393" w:type="pct"/>
          </w:tcPr>
          <w:p w14:paraId="656B0A1D" w14:textId="77777777" w:rsidR="004D20EE" w:rsidRPr="00040A06" w:rsidRDefault="004D20EE" w:rsidP="00AE334C">
            <w:pPr>
              <w:spacing w:after="0" w:line="240" w:lineRule="auto"/>
              <w:rPr>
                <w:sz w:val="18"/>
              </w:rPr>
            </w:pPr>
            <w:r w:rsidRPr="00040A06">
              <w:rPr>
                <w:sz w:val="18"/>
              </w:rPr>
              <w:t>Reduced cost of heavyweight plastic shopping bags</w:t>
            </w:r>
          </w:p>
        </w:tc>
        <w:tc>
          <w:tcPr>
            <w:tcW w:w="804" w:type="pct"/>
          </w:tcPr>
          <w:p w14:paraId="656B0A1E" w14:textId="77777777" w:rsidR="004D20EE" w:rsidRPr="00040A06" w:rsidRDefault="004D20EE" w:rsidP="00AB166C">
            <w:pPr>
              <w:spacing w:after="0" w:line="240" w:lineRule="auto"/>
              <w:ind w:right="57"/>
              <w:jc w:val="right"/>
              <w:rPr>
                <w:sz w:val="18"/>
              </w:rPr>
            </w:pPr>
            <w:r w:rsidRPr="00040A06">
              <w:rPr>
                <w:sz w:val="18"/>
              </w:rPr>
              <w:t>-</w:t>
            </w:r>
          </w:p>
        </w:tc>
        <w:tc>
          <w:tcPr>
            <w:tcW w:w="803" w:type="pct"/>
          </w:tcPr>
          <w:p w14:paraId="656B0A1F" w14:textId="77777777" w:rsidR="004D20EE" w:rsidRPr="00040A06" w:rsidRDefault="004D20EE" w:rsidP="00AB166C">
            <w:pPr>
              <w:spacing w:after="0" w:line="240" w:lineRule="auto"/>
              <w:ind w:right="57"/>
              <w:jc w:val="right"/>
              <w:rPr>
                <w:sz w:val="18"/>
              </w:rPr>
            </w:pPr>
            <w:r w:rsidRPr="00040A06">
              <w:rPr>
                <w:sz w:val="18"/>
              </w:rPr>
              <w:t>155.9</w:t>
            </w:r>
          </w:p>
        </w:tc>
      </w:tr>
      <w:tr w:rsidR="004D20EE" w:rsidRPr="00BF44BA" w14:paraId="656B0A24" w14:textId="77777777" w:rsidTr="00494A7B">
        <w:tc>
          <w:tcPr>
            <w:tcW w:w="3393" w:type="pct"/>
          </w:tcPr>
          <w:p w14:paraId="656B0A21" w14:textId="77777777" w:rsidR="004D20EE" w:rsidRPr="00040A06" w:rsidRDefault="004D20EE" w:rsidP="00AE334C">
            <w:pPr>
              <w:spacing w:after="0" w:line="240" w:lineRule="auto"/>
              <w:rPr>
                <w:b/>
                <w:sz w:val="18"/>
              </w:rPr>
            </w:pPr>
            <w:r w:rsidRPr="00040A06">
              <w:rPr>
                <w:b/>
                <w:sz w:val="18"/>
              </w:rPr>
              <w:t>Costs</w:t>
            </w:r>
          </w:p>
        </w:tc>
        <w:tc>
          <w:tcPr>
            <w:tcW w:w="804" w:type="pct"/>
          </w:tcPr>
          <w:p w14:paraId="656B0A22" w14:textId="77777777" w:rsidR="004D20EE" w:rsidRPr="00040A06" w:rsidRDefault="004D20EE" w:rsidP="00AB166C">
            <w:pPr>
              <w:spacing w:after="0" w:line="240" w:lineRule="auto"/>
              <w:ind w:right="57"/>
              <w:jc w:val="right"/>
              <w:rPr>
                <w:sz w:val="18"/>
              </w:rPr>
            </w:pPr>
          </w:p>
        </w:tc>
        <w:tc>
          <w:tcPr>
            <w:tcW w:w="803" w:type="pct"/>
          </w:tcPr>
          <w:p w14:paraId="656B0A23" w14:textId="77777777" w:rsidR="004D20EE" w:rsidRPr="00040A06" w:rsidRDefault="004D20EE" w:rsidP="00AB166C">
            <w:pPr>
              <w:spacing w:after="0" w:line="240" w:lineRule="auto"/>
              <w:ind w:right="57"/>
              <w:jc w:val="right"/>
              <w:rPr>
                <w:sz w:val="18"/>
              </w:rPr>
            </w:pPr>
          </w:p>
        </w:tc>
      </w:tr>
      <w:tr w:rsidR="004D20EE" w:rsidRPr="00BF44BA" w14:paraId="656B0A28" w14:textId="77777777" w:rsidTr="00494A7B">
        <w:tc>
          <w:tcPr>
            <w:tcW w:w="3393" w:type="pct"/>
          </w:tcPr>
          <w:p w14:paraId="656B0A25" w14:textId="77777777" w:rsidR="004D20EE" w:rsidRPr="00040A06" w:rsidRDefault="004D20EE" w:rsidP="00AE334C">
            <w:pPr>
              <w:spacing w:after="0" w:line="240" w:lineRule="auto"/>
              <w:rPr>
                <w:sz w:val="18"/>
              </w:rPr>
            </w:pPr>
            <w:r w:rsidRPr="00040A06">
              <w:rPr>
                <w:sz w:val="18"/>
              </w:rPr>
              <w:t>Cost of heavyweight plastic shopping bags</w:t>
            </w:r>
          </w:p>
        </w:tc>
        <w:tc>
          <w:tcPr>
            <w:tcW w:w="804" w:type="pct"/>
          </w:tcPr>
          <w:p w14:paraId="656B0A26" w14:textId="77777777" w:rsidR="004D20EE" w:rsidRPr="00040A06" w:rsidRDefault="004D20EE" w:rsidP="00AB166C">
            <w:pPr>
              <w:spacing w:after="0" w:line="240" w:lineRule="auto"/>
              <w:ind w:right="57"/>
              <w:jc w:val="right"/>
              <w:rPr>
                <w:sz w:val="18"/>
              </w:rPr>
            </w:pPr>
            <w:r w:rsidRPr="00040A06">
              <w:rPr>
                <w:sz w:val="18"/>
              </w:rPr>
              <w:t>37.4</w:t>
            </w:r>
          </w:p>
        </w:tc>
        <w:tc>
          <w:tcPr>
            <w:tcW w:w="803" w:type="pct"/>
          </w:tcPr>
          <w:p w14:paraId="656B0A27" w14:textId="77777777" w:rsidR="004D20EE" w:rsidRPr="00040A06" w:rsidRDefault="004D20EE" w:rsidP="00AB166C">
            <w:pPr>
              <w:spacing w:after="0" w:line="240" w:lineRule="auto"/>
              <w:ind w:right="57"/>
              <w:jc w:val="right"/>
              <w:rPr>
                <w:sz w:val="18"/>
              </w:rPr>
            </w:pPr>
          </w:p>
        </w:tc>
      </w:tr>
      <w:tr w:rsidR="004D20EE" w:rsidRPr="00BF44BA" w14:paraId="656B0A2C" w14:textId="77777777" w:rsidTr="00494A7B">
        <w:tc>
          <w:tcPr>
            <w:tcW w:w="3393" w:type="pct"/>
          </w:tcPr>
          <w:p w14:paraId="656B0A29" w14:textId="77777777" w:rsidR="004D20EE" w:rsidRPr="00040A06" w:rsidRDefault="004D20EE" w:rsidP="00AE334C">
            <w:pPr>
              <w:spacing w:after="0" w:line="240" w:lineRule="auto"/>
              <w:rPr>
                <w:sz w:val="18"/>
              </w:rPr>
            </w:pPr>
            <w:r w:rsidRPr="00040A06">
              <w:rPr>
                <w:sz w:val="18"/>
              </w:rPr>
              <w:t>Cost of reusable bags</w:t>
            </w:r>
          </w:p>
        </w:tc>
        <w:tc>
          <w:tcPr>
            <w:tcW w:w="804" w:type="pct"/>
          </w:tcPr>
          <w:p w14:paraId="656B0A2A" w14:textId="77777777" w:rsidR="004D20EE" w:rsidRPr="00040A06" w:rsidRDefault="004D20EE" w:rsidP="00AB166C">
            <w:pPr>
              <w:spacing w:after="0" w:line="240" w:lineRule="auto"/>
              <w:ind w:right="57"/>
              <w:jc w:val="right"/>
              <w:rPr>
                <w:sz w:val="18"/>
              </w:rPr>
            </w:pPr>
            <w:r w:rsidRPr="00040A06">
              <w:rPr>
                <w:sz w:val="18"/>
              </w:rPr>
              <w:t>46.6</w:t>
            </w:r>
          </w:p>
        </w:tc>
        <w:tc>
          <w:tcPr>
            <w:tcW w:w="803" w:type="pct"/>
          </w:tcPr>
          <w:p w14:paraId="656B0A2B" w14:textId="77777777" w:rsidR="004D20EE" w:rsidRPr="00040A06" w:rsidRDefault="004D20EE" w:rsidP="00AB166C">
            <w:pPr>
              <w:spacing w:after="0" w:line="240" w:lineRule="auto"/>
              <w:ind w:right="57"/>
              <w:jc w:val="right"/>
              <w:rPr>
                <w:sz w:val="18"/>
              </w:rPr>
            </w:pPr>
            <w:r w:rsidRPr="00040A06">
              <w:rPr>
                <w:sz w:val="18"/>
              </w:rPr>
              <w:t>178.4</w:t>
            </w:r>
          </w:p>
        </w:tc>
      </w:tr>
      <w:tr w:rsidR="004D20EE" w:rsidRPr="00BF44BA" w14:paraId="656B0A30" w14:textId="77777777" w:rsidTr="00494A7B">
        <w:tc>
          <w:tcPr>
            <w:tcW w:w="3393" w:type="pct"/>
          </w:tcPr>
          <w:p w14:paraId="656B0A2D" w14:textId="77777777" w:rsidR="004D20EE" w:rsidRPr="00040A06" w:rsidRDefault="004D20EE" w:rsidP="00AE334C">
            <w:pPr>
              <w:spacing w:after="0" w:line="240" w:lineRule="auto"/>
              <w:rPr>
                <w:sz w:val="18"/>
              </w:rPr>
            </w:pPr>
            <w:r w:rsidRPr="00040A06">
              <w:rPr>
                <w:sz w:val="18"/>
              </w:rPr>
              <w:t>Cost of bin liners</w:t>
            </w:r>
          </w:p>
        </w:tc>
        <w:tc>
          <w:tcPr>
            <w:tcW w:w="804" w:type="pct"/>
          </w:tcPr>
          <w:p w14:paraId="656B0A2E" w14:textId="77777777" w:rsidR="004D20EE" w:rsidRPr="00040A06" w:rsidRDefault="004D20EE" w:rsidP="00AB166C">
            <w:pPr>
              <w:spacing w:after="0" w:line="240" w:lineRule="auto"/>
              <w:ind w:right="57"/>
              <w:jc w:val="right"/>
              <w:rPr>
                <w:sz w:val="18"/>
              </w:rPr>
            </w:pPr>
            <w:r w:rsidRPr="00040A06">
              <w:rPr>
                <w:sz w:val="18"/>
              </w:rPr>
              <w:t>20</w:t>
            </w:r>
          </w:p>
        </w:tc>
        <w:tc>
          <w:tcPr>
            <w:tcW w:w="803" w:type="pct"/>
          </w:tcPr>
          <w:p w14:paraId="656B0A2F" w14:textId="77777777" w:rsidR="004D20EE" w:rsidRPr="00040A06" w:rsidRDefault="004D20EE" w:rsidP="00AB166C">
            <w:pPr>
              <w:spacing w:after="0" w:line="240" w:lineRule="auto"/>
              <w:ind w:right="57"/>
              <w:jc w:val="right"/>
              <w:rPr>
                <w:sz w:val="18"/>
              </w:rPr>
            </w:pPr>
            <w:r w:rsidRPr="00040A06">
              <w:rPr>
                <w:sz w:val="18"/>
              </w:rPr>
              <w:t>20</w:t>
            </w:r>
          </w:p>
        </w:tc>
      </w:tr>
      <w:tr w:rsidR="004D20EE" w:rsidRPr="00BF44BA" w14:paraId="656B0A34" w14:textId="77777777" w:rsidTr="00494A7B">
        <w:tc>
          <w:tcPr>
            <w:tcW w:w="3393" w:type="pct"/>
          </w:tcPr>
          <w:p w14:paraId="656B0A31" w14:textId="77777777" w:rsidR="004D20EE" w:rsidRPr="00040A06" w:rsidRDefault="004D20EE" w:rsidP="00AE334C">
            <w:pPr>
              <w:spacing w:after="0" w:line="240" w:lineRule="auto"/>
              <w:rPr>
                <w:b/>
                <w:sz w:val="18"/>
              </w:rPr>
            </w:pPr>
            <w:r w:rsidRPr="00040A06">
              <w:rPr>
                <w:b/>
                <w:sz w:val="18"/>
              </w:rPr>
              <w:t>Adjusted net present value</w:t>
            </w:r>
          </w:p>
        </w:tc>
        <w:tc>
          <w:tcPr>
            <w:tcW w:w="804" w:type="pct"/>
          </w:tcPr>
          <w:p w14:paraId="656B0A32" w14:textId="77777777" w:rsidR="004D20EE" w:rsidRPr="00040A06" w:rsidRDefault="004D20EE" w:rsidP="00AB166C">
            <w:pPr>
              <w:spacing w:after="0" w:line="240" w:lineRule="auto"/>
              <w:ind w:right="57"/>
              <w:jc w:val="right"/>
              <w:rPr>
                <w:sz w:val="18"/>
              </w:rPr>
            </w:pPr>
            <w:r w:rsidRPr="00040A06">
              <w:rPr>
                <w:sz w:val="18"/>
              </w:rPr>
              <w:t>1.0</w:t>
            </w:r>
          </w:p>
        </w:tc>
        <w:tc>
          <w:tcPr>
            <w:tcW w:w="803" w:type="pct"/>
          </w:tcPr>
          <w:p w14:paraId="656B0A33" w14:textId="77777777" w:rsidR="004D20EE" w:rsidRPr="00040A06" w:rsidRDefault="004D20EE" w:rsidP="00AB166C">
            <w:pPr>
              <w:spacing w:after="0" w:line="240" w:lineRule="auto"/>
              <w:ind w:right="57"/>
              <w:jc w:val="right"/>
              <w:rPr>
                <w:sz w:val="18"/>
              </w:rPr>
            </w:pPr>
            <w:r w:rsidRPr="00040A06">
              <w:rPr>
                <w:sz w:val="18"/>
              </w:rPr>
              <w:t>67.0</w:t>
            </w:r>
          </w:p>
        </w:tc>
      </w:tr>
      <w:tr w:rsidR="00ED664D" w:rsidRPr="00BF44BA" w14:paraId="656B0A38" w14:textId="77777777" w:rsidTr="00494A7B">
        <w:tc>
          <w:tcPr>
            <w:tcW w:w="3393" w:type="pct"/>
          </w:tcPr>
          <w:p w14:paraId="656B0A35" w14:textId="77777777" w:rsidR="00ED664D" w:rsidRPr="00ED664D" w:rsidRDefault="00ED664D" w:rsidP="00AE334C">
            <w:pPr>
              <w:spacing w:after="0" w:line="240" w:lineRule="auto"/>
              <w:rPr>
                <w:b/>
                <w:sz w:val="18"/>
              </w:rPr>
            </w:pPr>
            <w:r w:rsidRPr="000E7C5E">
              <w:rPr>
                <w:b/>
                <w:sz w:val="18"/>
              </w:rPr>
              <w:t>Benefit-cost ratio</w:t>
            </w:r>
          </w:p>
        </w:tc>
        <w:tc>
          <w:tcPr>
            <w:tcW w:w="804" w:type="pct"/>
          </w:tcPr>
          <w:p w14:paraId="656B0A36" w14:textId="77777777" w:rsidR="00ED664D" w:rsidRPr="00040A06" w:rsidRDefault="00BC6B65" w:rsidP="00AB166C">
            <w:pPr>
              <w:spacing w:after="0" w:line="240" w:lineRule="auto"/>
              <w:ind w:right="57"/>
              <w:jc w:val="right"/>
              <w:rPr>
                <w:sz w:val="18"/>
              </w:rPr>
            </w:pPr>
            <w:r>
              <w:rPr>
                <w:sz w:val="18"/>
              </w:rPr>
              <w:t>1.02</w:t>
            </w:r>
          </w:p>
        </w:tc>
        <w:tc>
          <w:tcPr>
            <w:tcW w:w="803" w:type="pct"/>
          </w:tcPr>
          <w:p w14:paraId="656B0A37" w14:textId="77777777" w:rsidR="00ED664D" w:rsidRPr="00040A06" w:rsidRDefault="00BC6B65" w:rsidP="00AB166C">
            <w:pPr>
              <w:spacing w:after="0" w:line="240" w:lineRule="auto"/>
              <w:ind w:right="57"/>
              <w:jc w:val="right"/>
              <w:rPr>
                <w:sz w:val="18"/>
              </w:rPr>
            </w:pPr>
            <w:r>
              <w:rPr>
                <w:sz w:val="18"/>
              </w:rPr>
              <w:t>1.34</w:t>
            </w:r>
          </w:p>
        </w:tc>
      </w:tr>
    </w:tbl>
    <w:p w14:paraId="656B0A39" w14:textId="77777777" w:rsidR="004D20EE" w:rsidRDefault="004D20EE" w:rsidP="004D20EE">
      <w:r>
        <w:rPr>
          <w:i/>
          <w:sz w:val="16"/>
        </w:rPr>
        <w:t>Source: Marsden Jacob Associates (2016), DELWP internal modelling</w:t>
      </w:r>
    </w:p>
    <w:p w14:paraId="656B0A3A" w14:textId="77777777" w:rsidR="004D20EE" w:rsidRDefault="00BC6B65" w:rsidP="004D20EE">
      <w:r>
        <w:t>During consultation to inform this RIS, o</w:t>
      </w:r>
      <w:r w:rsidR="004D20EE">
        <w:t xml:space="preserve">ne retailer also suggested that </w:t>
      </w:r>
      <w:r w:rsidR="006A1FA8">
        <w:t xml:space="preserve">recent evidence suggests the </w:t>
      </w:r>
      <w:r w:rsidR="004D20EE">
        <w:t xml:space="preserve">extent to which consumers would opt to purchase a heavyweight plastic bag (rather than reusable bag) </w:t>
      </w:r>
      <w:r w:rsidR="006A1FA8">
        <w:t xml:space="preserve">is </w:t>
      </w:r>
      <w:r w:rsidR="004D20EE">
        <w:t xml:space="preserve">overstated in the </w:t>
      </w:r>
      <w:r w:rsidR="006A1FA8">
        <w:t xml:space="preserve">2016 </w:t>
      </w:r>
      <w:r w:rsidR="004D20EE">
        <w:t xml:space="preserve">analysis, reflecting the extent to which the voluntary supermarket phase-out has influenced consumer behaviour. According to the 2016 study, heavyweight plastic bags have a higher cost-per-use than reusable plastic bags. Due to a lack of reliable data, the modelling results have not been adjusted to reflect this, however it would be expected to increase the NPV and </w:t>
      </w:r>
      <w:r>
        <w:t>benefit-cost ratio (</w:t>
      </w:r>
      <w:r w:rsidR="004D20EE">
        <w:t>BCR</w:t>
      </w:r>
      <w:r>
        <w:t>)</w:t>
      </w:r>
      <w:r w:rsidR="004D20EE">
        <w:t xml:space="preserve"> of option </w:t>
      </w:r>
      <w:r w:rsidR="00466458">
        <w:t>2</w:t>
      </w:r>
      <w:r w:rsidR="004D20EE">
        <w:t>, relative to option</w:t>
      </w:r>
      <w:r>
        <w:t xml:space="preserve"> 3</w:t>
      </w:r>
      <w:r w:rsidR="00DC7A63">
        <w:t xml:space="preserve">. </w:t>
      </w:r>
    </w:p>
    <w:p w14:paraId="656B0A3B" w14:textId="77777777" w:rsidR="004D20EE" w:rsidRDefault="0005452F" w:rsidP="00AE334C">
      <w:pPr>
        <w:pStyle w:val="Heading3"/>
        <w:ind w:left="720"/>
      </w:pPr>
      <w:r>
        <w:t>Detailed assessment</w:t>
      </w:r>
    </w:p>
    <w:p w14:paraId="656B0A3C" w14:textId="77777777" w:rsidR="0005452F" w:rsidRPr="00626828" w:rsidRDefault="0005452F" w:rsidP="00AE334C">
      <w:r>
        <w:t xml:space="preserve">Options 2 and 3 </w:t>
      </w:r>
      <w:r w:rsidR="006E75DA">
        <w:t>represent</w:t>
      </w:r>
      <w:r>
        <w:t xml:space="preserve"> a significant change from the current situation in Victoria, where plastic bag use is unregulated. Under these two options, certain types of plastic bags could no longer be supplied to consumers. </w:t>
      </w:r>
      <w:r w:rsidR="006E75DA">
        <w:t xml:space="preserve">Given this significant shift, a third criterion, </w:t>
      </w:r>
      <w:r w:rsidR="006E75DA">
        <w:rPr>
          <w:i/>
        </w:rPr>
        <w:t>practicality to implement,</w:t>
      </w:r>
      <w:r w:rsidR="006E75DA">
        <w:t xml:space="preserve"> has been introduced </w:t>
      </w:r>
      <w:r w:rsidR="00B95D8D">
        <w:t xml:space="preserve">into </w:t>
      </w:r>
      <w:r w:rsidR="006E75DA">
        <w:t xml:space="preserve">the MCA below, with scores </w:t>
      </w:r>
      <w:r w:rsidR="006838A5">
        <w:t xml:space="preserve">in a range from -10 to +10 </w:t>
      </w:r>
      <w:r w:rsidR="006E75DA">
        <w:t>measured relative to the Base Case. This criterion is weighted evenly with cost</w:t>
      </w:r>
      <w:r w:rsidR="00E05091">
        <w:t xml:space="preserve"> (25% each). </w:t>
      </w:r>
      <w:r w:rsidR="006E75DA">
        <w:t xml:space="preserve">  </w:t>
      </w:r>
    </w:p>
    <w:p w14:paraId="656B0A3D" w14:textId="77777777" w:rsidR="0073525D" w:rsidRPr="004C2596" w:rsidRDefault="0073525D" w:rsidP="00AE334C">
      <w:pPr>
        <w:pStyle w:val="Heading4"/>
      </w:pPr>
      <w:r w:rsidRPr="000E7C5E">
        <w:t>Effectiveness</w:t>
      </w:r>
    </w:p>
    <w:p w14:paraId="656B0A3E" w14:textId="77777777" w:rsidR="00954695" w:rsidRPr="001D391E" w:rsidRDefault="0073525D" w:rsidP="00040A06">
      <w:r>
        <w:t xml:space="preserve">For </w:t>
      </w:r>
      <w:r w:rsidRPr="00AE334C">
        <w:rPr>
          <w:b/>
        </w:rPr>
        <w:t>Option 1</w:t>
      </w:r>
      <w:r>
        <w:t xml:space="preserve">, </w:t>
      </w:r>
      <w:r w:rsidR="008122AD">
        <w:t>i</w:t>
      </w:r>
      <w:r w:rsidR="00954695" w:rsidRPr="001D391E">
        <w:t xml:space="preserve">ntroducing </w:t>
      </w:r>
      <w:r>
        <w:t xml:space="preserve">a </w:t>
      </w:r>
      <w:r w:rsidR="00954695" w:rsidRPr="001D391E">
        <w:t xml:space="preserve">new education and behaviour change campaigns </w:t>
      </w:r>
      <w:r w:rsidR="00BC6B65">
        <w:t xml:space="preserve">might </w:t>
      </w:r>
      <w:r w:rsidR="00954695" w:rsidRPr="001D391E">
        <w:t xml:space="preserve">achieve a </w:t>
      </w:r>
      <w:r w:rsidR="00BC6B65">
        <w:t xml:space="preserve">further </w:t>
      </w:r>
      <w:r w:rsidR="00954695" w:rsidRPr="001D391E">
        <w:t>reduction in plastic bag use. Education can be core to any new regulatory intervention, but there are also examples whe</w:t>
      </w:r>
      <w:r w:rsidR="00954695">
        <w:t xml:space="preserve">re it can be used in isolation, such as the </w:t>
      </w:r>
      <w:r w:rsidR="00954695" w:rsidRPr="00F63574">
        <w:rPr>
          <w:i/>
        </w:rPr>
        <w:t xml:space="preserve">Love Food, Hate </w:t>
      </w:r>
      <w:r w:rsidR="00954695" w:rsidRPr="00FA0AFF">
        <w:rPr>
          <w:i/>
        </w:rPr>
        <w:t>Waste</w:t>
      </w:r>
      <w:r w:rsidR="00954695" w:rsidRPr="00B84A19">
        <w:t xml:space="preserve"> </w:t>
      </w:r>
      <w:r w:rsidR="00954695">
        <w:t xml:space="preserve">campaign. </w:t>
      </w:r>
    </w:p>
    <w:p w14:paraId="656B0A3F" w14:textId="77777777" w:rsidR="00A05824" w:rsidRDefault="00954695" w:rsidP="00040A06">
      <w:r>
        <w:t>However,</w:t>
      </w:r>
      <w:r w:rsidR="00A05824">
        <w:t xml:space="preserve"> </w:t>
      </w:r>
      <w:r w:rsidR="00BC6B65">
        <w:t xml:space="preserve">it </w:t>
      </w:r>
      <w:r w:rsidR="00A05824">
        <w:t xml:space="preserve">is unlikely that a new educational campaign would be very effective in </w:t>
      </w:r>
      <w:r w:rsidR="00BC6B65">
        <w:t xml:space="preserve">further </w:t>
      </w:r>
      <w:r w:rsidR="00A05824">
        <w:t xml:space="preserve">reducing lightweight or heavyweight plastic bag usage. With major Australian retailers recently phasing out lightweight plastic bags, a growing number of consumers are now aware of the environmental footprint of lightweight plastic shopping bags. </w:t>
      </w:r>
      <w:r w:rsidR="006A1FA8">
        <w:t xml:space="preserve">Many consumers who are inclined to respond to an education campaign have already acted. </w:t>
      </w:r>
      <w:r w:rsidR="00A05824">
        <w:t xml:space="preserve">The marginal benefit of an educational campaign is therefore likely to be relatively low. </w:t>
      </w:r>
      <w:r w:rsidR="0073525D">
        <w:t xml:space="preserve">Option 1 is given a </w:t>
      </w:r>
      <w:r w:rsidR="00A05824">
        <w:t>score of +2.</w:t>
      </w:r>
    </w:p>
    <w:p w14:paraId="656B0A40" w14:textId="77777777" w:rsidR="0073525D" w:rsidRDefault="0073525D" w:rsidP="0073525D">
      <w:r w:rsidRPr="00AE334C">
        <w:t xml:space="preserve">For </w:t>
      </w:r>
      <w:r w:rsidRPr="00AE334C">
        <w:rPr>
          <w:b/>
        </w:rPr>
        <w:t xml:space="preserve">Option </w:t>
      </w:r>
      <w:r w:rsidRPr="00AE334C">
        <w:t xml:space="preserve">2, </w:t>
      </w:r>
      <w:r>
        <w:t xml:space="preserve">a lightweight plastic bag ban would be effective in reducing the volume of lightweight plastic bags that end up in landfill or as litter. </w:t>
      </w:r>
      <w:r w:rsidR="00FF229E">
        <w:t>C</w:t>
      </w:r>
      <w:r>
        <w:t>ompared with Option 3 it would be less effective in reducing the volume of heavyweight plastic bags</w:t>
      </w:r>
      <w:r w:rsidR="00FF229E">
        <w:t xml:space="preserve">, however in terms of environmental impact, the total number of plastic bags </w:t>
      </w:r>
      <w:r w:rsidR="009E6185">
        <w:t>disposed of incorrectly would greatly reduce under Option 2</w:t>
      </w:r>
      <w:r>
        <w:t>.</w:t>
      </w:r>
      <w:r w:rsidR="00FF229E">
        <w:t xml:space="preserve"> </w:t>
      </w:r>
      <w:r w:rsidR="009E6185">
        <w:t>This option</w:t>
      </w:r>
      <w:r>
        <w:t xml:space="preserve"> is given a score of +</w:t>
      </w:r>
      <w:r w:rsidR="00FF229E">
        <w:t>7</w:t>
      </w:r>
      <w:r>
        <w:t>.</w:t>
      </w:r>
      <w:r w:rsidR="00FF229E">
        <w:t xml:space="preserve"> </w:t>
      </w:r>
    </w:p>
    <w:p w14:paraId="656B0A41" w14:textId="77777777" w:rsidR="0073525D" w:rsidRDefault="0073525D" w:rsidP="0073525D">
      <w:r>
        <w:t xml:space="preserve">For </w:t>
      </w:r>
      <w:r w:rsidRPr="00AE334C">
        <w:rPr>
          <w:b/>
        </w:rPr>
        <w:t>Option 3</w:t>
      </w:r>
      <w:r>
        <w:t>, a ban on all plastic bags would be very effective in reducing the volume of plastic bags that end up in landfill or as litter. Compared with Option 2, it would be more effective in reducing the volume, and cost, of heavyweight plastic bags. Option 3 is given a score of +10.</w:t>
      </w:r>
    </w:p>
    <w:p w14:paraId="656B0A42" w14:textId="77777777" w:rsidR="004D20EE" w:rsidRPr="000E7C5E" w:rsidRDefault="004D20EE" w:rsidP="00AE334C">
      <w:pPr>
        <w:pStyle w:val="Heading4"/>
      </w:pPr>
      <w:r w:rsidRPr="000E7C5E">
        <w:t>Cost</w:t>
      </w:r>
    </w:p>
    <w:p w14:paraId="656B0A43" w14:textId="77777777" w:rsidR="004D20EE" w:rsidRDefault="0073525D" w:rsidP="004D20EE">
      <w:r>
        <w:t xml:space="preserve">For </w:t>
      </w:r>
      <w:r w:rsidRPr="00AE334C">
        <w:rPr>
          <w:b/>
        </w:rPr>
        <w:t>Option 1</w:t>
      </w:r>
      <w:r>
        <w:t>, a</w:t>
      </w:r>
      <w:r w:rsidR="00A05824">
        <w:t xml:space="preserve">n educational campaign is likely to be a low-cost option. It is likely that such a cost would be largely borne by Government. </w:t>
      </w:r>
      <w:r>
        <w:t>Option 1 is given a</w:t>
      </w:r>
      <w:r w:rsidR="00A05824">
        <w:t xml:space="preserve"> score of -</w:t>
      </w:r>
      <w:r w:rsidR="00BE23A9">
        <w:t>3</w:t>
      </w:r>
      <w:r w:rsidR="004D20EE">
        <w:t>.</w:t>
      </w:r>
    </w:p>
    <w:p w14:paraId="656B0A44" w14:textId="77777777" w:rsidR="00A05824" w:rsidRDefault="00954695" w:rsidP="00A05824">
      <w:r>
        <w:t>In the</w:t>
      </w:r>
      <w:r w:rsidR="00A05824">
        <w:t xml:space="preserve"> </w:t>
      </w:r>
      <w:r>
        <w:t>previous CBA</w:t>
      </w:r>
      <w:r w:rsidR="00A05824">
        <w:t>,</w:t>
      </w:r>
      <w:r>
        <w:t xml:space="preserve"> as outlined above,</w:t>
      </w:r>
      <w:r w:rsidR="00A05824">
        <w:t xml:space="preserve"> the cost of </w:t>
      </w:r>
      <w:r w:rsidR="00A05824" w:rsidRPr="00AE334C">
        <w:rPr>
          <w:b/>
        </w:rPr>
        <w:t xml:space="preserve">Option </w:t>
      </w:r>
      <w:r w:rsidR="001A125D" w:rsidRPr="00AE334C">
        <w:rPr>
          <w:b/>
        </w:rPr>
        <w:t>2</w:t>
      </w:r>
      <w:r w:rsidR="00A05824">
        <w:t xml:space="preserve"> is estimated to be the </w:t>
      </w:r>
      <w:r w:rsidR="00BC6B65">
        <w:t xml:space="preserve">lower </w:t>
      </w:r>
      <w:r w:rsidR="00A05824">
        <w:t xml:space="preserve">of the </w:t>
      </w:r>
      <w:r w:rsidR="00BC6B65">
        <w:t xml:space="preserve">two </w:t>
      </w:r>
      <w:r w:rsidR="00A05824">
        <w:t xml:space="preserve">plastic bag ban options. </w:t>
      </w:r>
      <w:r w:rsidR="0073525D">
        <w:t xml:space="preserve">Option 2 is given a </w:t>
      </w:r>
      <w:r w:rsidR="00A05824">
        <w:t>score of -4.</w:t>
      </w:r>
    </w:p>
    <w:p w14:paraId="656B0A45" w14:textId="77777777" w:rsidR="00954695" w:rsidRPr="008122AD" w:rsidRDefault="00954695" w:rsidP="00954695">
      <w:r w:rsidRPr="008122AD">
        <w:t xml:space="preserve">As outlined in the cost-benefit analysis, the cost of </w:t>
      </w:r>
      <w:r w:rsidRPr="00AE334C">
        <w:rPr>
          <w:b/>
        </w:rPr>
        <w:t xml:space="preserve">Option </w:t>
      </w:r>
      <w:r w:rsidR="00D57FC4" w:rsidRPr="00AE334C">
        <w:rPr>
          <w:b/>
        </w:rPr>
        <w:t>3</w:t>
      </w:r>
      <w:r w:rsidRPr="008122AD">
        <w:t xml:space="preserve"> is estimated to be </w:t>
      </w:r>
      <w:r w:rsidR="000E6AE6" w:rsidRPr="008122AD">
        <w:t xml:space="preserve">higher than </w:t>
      </w:r>
      <w:r w:rsidR="00D57FC4" w:rsidRPr="008122AD">
        <w:t>O</w:t>
      </w:r>
      <w:r w:rsidRPr="008122AD">
        <w:t>ption</w:t>
      </w:r>
      <w:r w:rsidR="000E6AE6" w:rsidRPr="008122AD">
        <w:t xml:space="preserve"> 2. </w:t>
      </w:r>
      <w:r w:rsidR="0073525D" w:rsidRPr="008122AD">
        <w:t xml:space="preserve">Option 3 is given a score of </w:t>
      </w:r>
      <w:r w:rsidRPr="008122AD">
        <w:t>-7.</w:t>
      </w:r>
    </w:p>
    <w:p w14:paraId="656B0A46" w14:textId="77777777" w:rsidR="00837064" w:rsidRPr="008122AD" w:rsidRDefault="00837064" w:rsidP="00837064">
      <w:pPr>
        <w:pStyle w:val="Heading4"/>
        <w:rPr>
          <w:color w:val="auto"/>
        </w:rPr>
      </w:pPr>
      <w:r w:rsidRPr="008122AD">
        <w:rPr>
          <w:color w:val="auto"/>
        </w:rPr>
        <w:t>Practicality to implement</w:t>
      </w:r>
    </w:p>
    <w:p w14:paraId="656B0A47" w14:textId="77777777" w:rsidR="0005452F" w:rsidRPr="008122AD" w:rsidRDefault="0005452F" w:rsidP="0005452F">
      <w:r w:rsidRPr="008122AD">
        <w:t xml:space="preserve">Under </w:t>
      </w:r>
      <w:r w:rsidRPr="00AE334C">
        <w:rPr>
          <w:b/>
        </w:rPr>
        <w:t>Option 1</w:t>
      </w:r>
      <w:r w:rsidRPr="008122AD">
        <w:t xml:space="preserve">, an education campaign would be </w:t>
      </w:r>
      <w:r w:rsidR="00EE5801" w:rsidRPr="008122AD">
        <w:t>relatively straightforward</w:t>
      </w:r>
      <w:r w:rsidRPr="008122AD">
        <w:t xml:space="preserve"> to implement. This is evidenced by the </w:t>
      </w:r>
      <w:r w:rsidRPr="00494A7B">
        <w:rPr>
          <w:i/>
        </w:rPr>
        <w:t>Love Food, Hate Waste</w:t>
      </w:r>
      <w:r w:rsidRPr="00AE334C">
        <w:t xml:space="preserve"> </w:t>
      </w:r>
      <w:r w:rsidRPr="008122AD">
        <w:t xml:space="preserve">campaign. A score of </w:t>
      </w:r>
      <w:r w:rsidR="008122AD">
        <w:t>0</w:t>
      </w:r>
      <w:r w:rsidRPr="008122AD">
        <w:t xml:space="preserve"> is given</w:t>
      </w:r>
      <w:r w:rsidR="008122AD" w:rsidRPr="008122AD">
        <w:t xml:space="preserve">, relative to the </w:t>
      </w:r>
      <w:r w:rsidR="00E93EEB">
        <w:t>Base Case</w:t>
      </w:r>
      <w:r w:rsidR="008122AD" w:rsidRPr="008122AD">
        <w:t>.</w:t>
      </w:r>
    </w:p>
    <w:p w14:paraId="656B0A48" w14:textId="77777777" w:rsidR="0005452F" w:rsidRPr="008122AD" w:rsidRDefault="0005452F" w:rsidP="0005452F">
      <w:r w:rsidRPr="00AE334C">
        <w:rPr>
          <w:b/>
        </w:rPr>
        <w:t>Option 2</w:t>
      </w:r>
      <w:r w:rsidRPr="008122AD">
        <w:t xml:space="preserve"> would make Victoria’s approach relatively consistent with other states and territories (other than NSW). It also requires the least change in behaviour from retailers and consumers of the two plastic bag ban options, and therefore will be more practical to implement. The voluntary phase out of plastic bags from some major retailers also means that many consumers and som</w:t>
      </w:r>
      <w:r w:rsidRPr="002B2448">
        <w:t xml:space="preserve">e retailers will already </w:t>
      </w:r>
      <w:r w:rsidR="00EE5801" w:rsidRPr="002B2448">
        <w:t xml:space="preserve">be </w:t>
      </w:r>
      <w:r w:rsidRPr="002B2448">
        <w:t xml:space="preserve">prepared for the lightweight bag ban. A score of </w:t>
      </w:r>
      <w:r w:rsidR="006E75DA" w:rsidRPr="002B2448">
        <w:t>-</w:t>
      </w:r>
      <w:r w:rsidR="008122AD">
        <w:t>2</w:t>
      </w:r>
      <w:r w:rsidR="008122AD" w:rsidRPr="008122AD">
        <w:t xml:space="preserve"> is given</w:t>
      </w:r>
      <w:r w:rsidR="00FD33DA">
        <w:t>.</w:t>
      </w:r>
    </w:p>
    <w:p w14:paraId="656B0A49" w14:textId="77777777" w:rsidR="0005452F" w:rsidRPr="00705B99" w:rsidRDefault="0005452F" w:rsidP="0005452F">
      <w:r w:rsidRPr="002B2448">
        <w:rPr>
          <w:b/>
        </w:rPr>
        <w:t>Option 3</w:t>
      </w:r>
      <w:r w:rsidRPr="002B2448">
        <w:t xml:space="preserve"> is the least practical of the options since it has no Australian or international precedent, and as such, would likely be met with significant pushback from the retail industry and consumers. It is also possible that a ban on all plastic bags might not be able to be successfully implemented by 2020, when the regulations are set to take effect. A score of -</w:t>
      </w:r>
      <w:r w:rsidR="006E75DA" w:rsidRPr="002B2448">
        <w:t>8</w:t>
      </w:r>
      <w:r w:rsidRPr="002B2448">
        <w:t xml:space="preserve"> is given.</w:t>
      </w:r>
      <w:r w:rsidR="00AE334C">
        <w:t xml:space="preserve"> </w:t>
      </w:r>
    </w:p>
    <w:p w14:paraId="656B0A4A" w14:textId="77777777" w:rsidR="00B17473" w:rsidRPr="00B17473" w:rsidRDefault="00B17473" w:rsidP="00AE334C">
      <w:pPr>
        <w:pStyle w:val="Heading4"/>
      </w:pPr>
      <w:r w:rsidRPr="00B17473">
        <w:t>MCA summary – preferred option</w:t>
      </w:r>
    </w:p>
    <w:p w14:paraId="656B0A4B" w14:textId="77777777" w:rsidR="00BE23A9" w:rsidRDefault="00D37C2C" w:rsidP="00B17473">
      <w:r>
        <w:t xml:space="preserve">The table below </w:t>
      </w:r>
      <w:r w:rsidR="00B17473" w:rsidRPr="00B17473">
        <w:t>presents the MCA scores for each option.</w:t>
      </w:r>
      <w:r w:rsidR="00B17473" w:rsidRPr="00D40990">
        <w:t xml:space="preserve"> </w:t>
      </w:r>
    </w:p>
    <w:p w14:paraId="656B0A4C" w14:textId="77777777" w:rsidR="00BE23A9" w:rsidRDefault="00B17473" w:rsidP="00B17473">
      <w:r w:rsidRPr="000E7C5E">
        <w:t>Option 2</w:t>
      </w:r>
      <w:r w:rsidR="00D40990" w:rsidRPr="000E7C5E">
        <w:t>,</w:t>
      </w:r>
      <w:r w:rsidRPr="000E7C5E">
        <w:t xml:space="preserve"> </w:t>
      </w:r>
      <w:r w:rsidR="00D40990" w:rsidRPr="000E7C5E">
        <w:t xml:space="preserve">to </w:t>
      </w:r>
      <w:r w:rsidRPr="000E7C5E">
        <w:t xml:space="preserve">ban lightweight plastic </w:t>
      </w:r>
      <w:r w:rsidR="00D57FC4" w:rsidRPr="000E7C5E">
        <w:t xml:space="preserve">(including degradable, </w:t>
      </w:r>
      <w:r w:rsidRPr="000E7C5E">
        <w:t xml:space="preserve">biodegradable </w:t>
      </w:r>
      <w:r w:rsidR="00D57FC4" w:rsidRPr="000E7C5E">
        <w:t xml:space="preserve">and compostable) </w:t>
      </w:r>
      <w:r w:rsidRPr="000E7C5E">
        <w:t>shopping bags</w:t>
      </w:r>
      <w:r w:rsidR="00D40990" w:rsidRPr="000E7C5E">
        <w:t>,</w:t>
      </w:r>
      <w:r w:rsidRPr="00D40990">
        <w:t xml:space="preserve"> </w:t>
      </w:r>
      <w:r w:rsidRPr="00B17473">
        <w:t xml:space="preserve">is the preferred option </w:t>
      </w:r>
      <w:r w:rsidR="00D57FC4">
        <w:t xml:space="preserve">overall </w:t>
      </w:r>
      <w:r w:rsidRPr="00B17473">
        <w:t xml:space="preserve">because </w:t>
      </w:r>
      <w:r w:rsidR="00F809B5">
        <w:t xml:space="preserve">it will be </w:t>
      </w:r>
      <w:r w:rsidR="00D57FC4">
        <w:t xml:space="preserve">relatively </w:t>
      </w:r>
      <w:r w:rsidR="00F809B5">
        <w:t xml:space="preserve">effective in </w:t>
      </w:r>
      <w:r w:rsidR="00D57FC4">
        <w:t xml:space="preserve">further </w:t>
      </w:r>
      <w:r w:rsidR="00F809B5">
        <w:t xml:space="preserve">reducing the number of </w:t>
      </w:r>
      <w:r w:rsidR="00D57FC4">
        <w:t xml:space="preserve">lightweight </w:t>
      </w:r>
      <w:r w:rsidR="00F809B5">
        <w:t>plastic bags given out by retailers (and therefore ending up as litter and in landfill)</w:t>
      </w:r>
      <w:r w:rsidR="00D57FC4">
        <w:t>,</w:t>
      </w:r>
      <w:r w:rsidR="00F809B5">
        <w:t xml:space="preserve"> </w:t>
      </w:r>
      <w:r w:rsidR="00D57FC4">
        <w:t xml:space="preserve">is less </w:t>
      </w:r>
      <w:r w:rsidR="00F809B5">
        <w:t xml:space="preserve">costly than a full plastic bag ban and is not </w:t>
      </w:r>
      <w:r w:rsidR="00FD33DA">
        <w:t xml:space="preserve">overly </w:t>
      </w:r>
      <w:r w:rsidR="00F809B5">
        <w:t>difficult to implement.</w:t>
      </w:r>
      <w:r w:rsidR="00BE23A9">
        <w:t xml:space="preserve"> </w:t>
      </w:r>
      <w:r w:rsidR="00E05091">
        <w:t>T</w:t>
      </w:r>
      <w:r w:rsidR="00BE23A9">
        <w:t xml:space="preserve">his option </w:t>
      </w:r>
      <w:r w:rsidR="00E05091">
        <w:t xml:space="preserve">also </w:t>
      </w:r>
      <w:r w:rsidR="00BE23A9">
        <w:t xml:space="preserve">has a positive NPV, as outlined in </w:t>
      </w:r>
      <w:r w:rsidR="00BE23A9">
        <w:rPr>
          <w:color w:val="2B579A"/>
          <w:shd w:val="clear" w:color="auto" w:fill="E6E6E6"/>
        </w:rPr>
        <w:fldChar w:fldCharType="begin"/>
      </w:r>
      <w:r w:rsidR="00BE23A9">
        <w:instrText xml:space="preserve"> REF _Ref9919043 \h </w:instrText>
      </w:r>
      <w:r w:rsidR="00BE23A9">
        <w:rPr>
          <w:color w:val="2B579A"/>
          <w:shd w:val="clear" w:color="auto" w:fill="E6E6E6"/>
        </w:rPr>
      </w:r>
      <w:r w:rsidR="00BE23A9">
        <w:rPr>
          <w:color w:val="2B579A"/>
          <w:shd w:val="clear" w:color="auto" w:fill="E6E6E6"/>
        </w:rPr>
        <w:fldChar w:fldCharType="separate"/>
      </w:r>
      <w:r w:rsidR="00B11C1E">
        <w:t xml:space="preserve">Table </w:t>
      </w:r>
      <w:r w:rsidR="00B11C1E">
        <w:rPr>
          <w:noProof/>
        </w:rPr>
        <w:t>11</w:t>
      </w:r>
      <w:r w:rsidR="00B11C1E">
        <w:noBreakHyphen/>
      </w:r>
      <w:r w:rsidR="00B11C1E">
        <w:rPr>
          <w:noProof/>
        </w:rPr>
        <w:t>3</w:t>
      </w:r>
      <w:r w:rsidR="00BE23A9">
        <w:rPr>
          <w:color w:val="2B579A"/>
          <w:shd w:val="clear" w:color="auto" w:fill="E6E6E6"/>
        </w:rPr>
        <w:fldChar w:fldCharType="end"/>
      </w:r>
      <w:r w:rsidR="00BE23A9">
        <w:t xml:space="preserve"> above</w:t>
      </w:r>
      <w:r w:rsidR="00DC7A63">
        <w:t xml:space="preserve">. </w:t>
      </w:r>
    </w:p>
    <w:p w14:paraId="656B0A4D" w14:textId="77777777" w:rsidR="00B6315F" w:rsidRDefault="00B6315F" w:rsidP="00B6315F">
      <w:pPr>
        <w:pStyle w:val="Caption"/>
      </w:pPr>
      <w:r>
        <w:t xml:space="preserve">Table </w:t>
      </w:r>
      <w:r w:rsidR="007E575A">
        <w:rPr>
          <w:color w:val="2B579A"/>
          <w:shd w:val="clear" w:color="auto" w:fill="E6E6E6"/>
        </w:rPr>
        <w:fldChar w:fldCharType="begin"/>
      </w:r>
      <w:r w:rsidR="007E575A">
        <w:instrText xml:space="preserve"> STYLEREF 1 \s </w:instrText>
      </w:r>
      <w:r w:rsidR="007E575A">
        <w:rPr>
          <w:color w:val="2B579A"/>
          <w:shd w:val="clear" w:color="auto" w:fill="E6E6E6"/>
        </w:rPr>
        <w:fldChar w:fldCharType="separate"/>
      </w:r>
      <w:r w:rsidR="00B11C1E">
        <w:rPr>
          <w:noProof/>
        </w:rPr>
        <w:t>11</w:t>
      </w:r>
      <w:r w:rsidR="007E575A">
        <w:rPr>
          <w:color w:val="2B579A"/>
          <w:shd w:val="clear" w:color="auto" w:fill="E6E6E6"/>
        </w:rPr>
        <w:fldChar w:fldCharType="end"/>
      </w:r>
      <w:r w:rsidR="007E575A">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4</w:t>
      </w:r>
      <w:r w:rsidR="00997CFA">
        <w:rPr>
          <w:color w:val="2B579A"/>
          <w:shd w:val="clear" w:color="auto" w:fill="E6E6E6"/>
        </w:rPr>
        <w:fldChar w:fldCharType="end"/>
      </w:r>
      <w:r w:rsidRPr="00B6315F">
        <w:t xml:space="preserve"> </w:t>
      </w:r>
      <w:r>
        <w:t>Multi criteria analysis for Options 1</w:t>
      </w:r>
      <w:r w:rsidR="00D57FC4">
        <w:t>-3</w:t>
      </w:r>
      <w:r>
        <w:t>.</w:t>
      </w:r>
    </w:p>
    <w:tbl>
      <w:tblPr>
        <w:tblStyle w:val="Deloittetable2"/>
        <w:tblW w:w="5000" w:type="pct"/>
        <w:tblLook w:val="04A0" w:firstRow="1" w:lastRow="0" w:firstColumn="1" w:lastColumn="0" w:noHBand="0" w:noVBand="1"/>
      </w:tblPr>
      <w:tblGrid>
        <w:gridCol w:w="2327"/>
        <w:gridCol w:w="2341"/>
        <w:gridCol w:w="2343"/>
        <w:gridCol w:w="2344"/>
      </w:tblGrid>
      <w:tr w:rsidR="008122AD" w:rsidRPr="00B17473" w14:paraId="656B0A57" w14:textId="77777777" w:rsidTr="00494A7B">
        <w:trPr>
          <w:cnfStyle w:val="100000000000" w:firstRow="1" w:lastRow="0" w:firstColumn="0" w:lastColumn="0" w:oddVBand="0" w:evenVBand="0" w:oddHBand="0" w:evenHBand="0" w:firstRowFirstColumn="0" w:firstRowLastColumn="0" w:lastRowFirstColumn="0" w:lastRowLastColumn="0"/>
          <w:trHeight w:val="294"/>
        </w:trPr>
        <w:tc>
          <w:tcPr>
            <w:tcW w:w="0" w:type="pct"/>
            <w:noWrap/>
            <w:hideMark/>
          </w:tcPr>
          <w:p w14:paraId="656B0A4E" w14:textId="77777777" w:rsidR="008122AD" w:rsidRPr="00B17473" w:rsidRDefault="008122AD" w:rsidP="00B17473">
            <w:pPr>
              <w:spacing w:after="0" w:line="240" w:lineRule="auto"/>
              <w:rPr>
                <w:rFonts w:eastAsia="Times New Roman" w:cs="Segoe UI Light"/>
                <w:sz w:val="18"/>
                <w:lang w:eastAsia="en-AU"/>
              </w:rPr>
            </w:pPr>
            <w:r w:rsidRPr="00B17473">
              <w:rPr>
                <w:rFonts w:eastAsia="Times New Roman" w:cs="Segoe UI Light"/>
                <w:b/>
                <w:bCs/>
                <w:color w:val="000000"/>
                <w:sz w:val="18"/>
                <w:lang w:eastAsia="en-AU"/>
              </w:rPr>
              <w:t>Criteria</w:t>
            </w:r>
            <w:r>
              <w:rPr>
                <w:rFonts w:eastAsia="Times New Roman" w:cs="Segoe UI Light"/>
                <w:b/>
                <w:bCs/>
                <w:color w:val="000000"/>
                <w:sz w:val="18"/>
                <w:lang w:eastAsia="en-AU"/>
              </w:rPr>
              <w:t xml:space="preserve"> (and weight)</w:t>
            </w:r>
          </w:p>
        </w:tc>
        <w:tc>
          <w:tcPr>
            <w:tcW w:w="1194" w:type="pct"/>
            <w:noWrap/>
            <w:hideMark/>
          </w:tcPr>
          <w:p w14:paraId="656B0A4F" w14:textId="77777777" w:rsidR="008122AD" w:rsidRPr="00B05634" w:rsidRDefault="008122AD" w:rsidP="00603FBA">
            <w:pPr>
              <w:spacing w:after="0" w:line="240" w:lineRule="auto"/>
              <w:ind w:right="57"/>
              <w:jc w:val="right"/>
              <w:rPr>
                <w:rFonts w:eastAsia="Times New Roman" w:cs="Segoe UI Light"/>
                <w:b/>
                <w:color w:val="000000"/>
                <w:sz w:val="18"/>
                <w:lang w:eastAsia="en-AU"/>
              </w:rPr>
            </w:pPr>
            <w:r w:rsidRPr="00D720FD">
              <w:rPr>
                <w:rFonts w:eastAsia="Times New Roman" w:cs="Segoe UI Light"/>
                <w:b/>
                <w:color w:val="000000"/>
                <w:sz w:val="18"/>
                <w:lang w:eastAsia="en-AU"/>
              </w:rPr>
              <w:t>Option 1</w:t>
            </w:r>
          </w:p>
          <w:p w14:paraId="656B0A50" w14:textId="77777777" w:rsidR="008122AD" w:rsidRPr="00D720FD" w:rsidRDefault="008122AD" w:rsidP="00603FBA">
            <w:pPr>
              <w:spacing w:after="0" w:line="240" w:lineRule="auto"/>
              <w:ind w:right="57"/>
              <w:jc w:val="right"/>
              <w:rPr>
                <w:rFonts w:eastAsia="Times New Roman" w:cs="Segoe UI Light"/>
                <w:color w:val="000000"/>
                <w:sz w:val="18"/>
                <w:lang w:eastAsia="en-AU"/>
              </w:rPr>
            </w:pPr>
            <w:r w:rsidRPr="00AE334C">
              <w:rPr>
                <w:rFonts w:eastAsia="Times New Roman" w:cs="Segoe UI Light"/>
                <w:color w:val="000000"/>
                <w:sz w:val="18"/>
                <w:lang w:eastAsia="en-AU"/>
              </w:rPr>
              <w:t xml:space="preserve">Education </w:t>
            </w:r>
            <w:r w:rsidRPr="00D720FD">
              <w:rPr>
                <w:rFonts w:eastAsia="Times New Roman" w:cs="Segoe UI Light"/>
                <w:color w:val="000000"/>
                <w:sz w:val="18"/>
                <w:lang w:eastAsia="en-AU"/>
              </w:rPr>
              <w:t xml:space="preserve"> </w:t>
            </w:r>
            <w:r w:rsidRPr="00AE334C">
              <w:rPr>
                <w:rFonts w:eastAsia="Times New Roman" w:cs="Segoe UI Light"/>
                <w:color w:val="000000"/>
                <w:sz w:val="18"/>
                <w:lang w:eastAsia="en-AU"/>
              </w:rPr>
              <w:t>campaign</w:t>
            </w:r>
          </w:p>
        </w:tc>
        <w:tc>
          <w:tcPr>
            <w:tcW w:w="1195" w:type="pct"/>
            <w:noWrap/>
            <w:hideMark/>
          </w:tcPr>
          <w:p w14:paraId="656B0A51" w14:textId="77777777" w:rsidR="008122AD" w:rsidRPr="00B05634" w:rsidRDefault="008122AD" w:rsidP="00603FBA">
            <w:pPr>
              <w:spacing w:after="0" w:line="240" w:lineRule="auto"/>
              <w:ind w:right="57"/>
              <w:jc w:val="right"/>
              <w:rPr>
                <w:rFonts w:eastAsia="Times New Roman" w:cs="Segoe UI Light"/>
                <w:b/>
                <w:color w:val="000000"/>
                <w:sz w:val="18"/>
                <w:lang w:eastAsia="en-AU"/>
              </w:rPr>
            </w:pPr>
            <w:r w:rsidRPr="00B05634">
              <w:rPr>
                <w:rFonts w:eastAsia="Times New Roman" w:cs="Segoe UI Light"/>
                <w:b/>
                <w:color w:val="000000"/>
                <w:sz w:val="18"/>
                <w:lang w:eastAsia="en-AU"/>
              </w:rPr>
              <w:t>Option 2</w:t>
            </w:r>
          </w:p>
          <w:p w14:paraId="656B0A52" w14:textId="77777777" w:rsidR="008122AD" w:rsidRPr="00D720FD" w:rsidRDefault="008122AD" w:rsidP="00603FBA">
            <w:pPr>
              <w:spacing w:after="0" w:line="240" w:lineRule="auto"/>
              <w:ind w:right="57"/>
              <w:jc w:val="right"/>
              <w:rPr>
                <w:rFonts w:eastAsia="Times New Roman" w:cs="Segoe UI Light"/>
                <w:color w:val="000000"/>
                <w:sz w:val="18"/>
                <w:lang w:eastAsia="en-AU"/>
              </w:rPr>
            </w:pPr>
            <w:r w:rsidRPr="00AE334C">
              <w:rPr>
                <w:rFonts w:eastAsia="Times New Roman" w:cs="Segoe UI Light"/>
                <w:color w:val="000000"/>
                <w:sz w:val="18"/>
                <w:lang w:eastAsia="en-AU"/>
              </w:rPr>
              <w:t xml:space="preserve">Ban lightweight plastic </w:t>
            </w:r>
          </w:p>
          <w:p w14:paraId="656B0A53" w14:textId="77777777" w:rsidR="008122AD" w:rsidRPr="00AE334C" w:rsidRDefault="008122AD" w:rsidP="00603FBA">
            <w:pPr>
              <w:spacing w:after="0" w:line="240" w:lineRule="auto"/>
              <w:ind w:right="57"/>
              <w:jc w:val="right"/>
              <w:rPr>
                <w:rFonts w:eastAsia="Times New Roman" w:cs="Segoe UI Light"/>
                <w:color w:val="000000"/>
                <w:sz w:val="18"/>
                <w:lang w:eastAsia="en-AU"/>
              </w:rPr>
            </w:pPr>
            <w:r w:rsidRPr="00AE334C">
              <w:rPr>
                <w:rFonts w:eastAsia="Times New Roman" w:cs="Segoe UI Light"/>
                <w:color w:val="000000"/>
                <w:sz w:val="18"/>
                <w:lang w:eastAsia="en-AU"/>
              </w:rPr>
              <w:t>shopping bags</w:t>
            </w:r>
          </w:p>
        </w:tc>
        <w:tc>
          <w:tcPr>
            <w:tcW w:w="1195" w:type="pct"/>
          </w:tcPr>
          <w:p w14:paraId="656B0A54" w14:textId="77777777" w:rsidR="008122AD" w:rsidRPr="00B05634" w:rsidRDefault="008122AD" w:rsidP="00603FBA">
            <w:pPr>
              <w:spacing w:after="0" w:line="240" w:lineRule="auto"/>
              <w:ind w:right="57"/>
              <w:jc w:val="right"/>
              <w:rPr>
                <w:rFonts w:eastAsia="Times New Roman" w:cs="Segoe UI Light"/>
                <w:b/>
                <w:color w:val="000000"/>
                <w:sz w:val="18"/>
                <w:lang w:eastAsia="en-AU"/>
              </w:rPr>
            </w:pPr>
            <w:r w:rsidRPr="00D720FD">
              <w:rPr>
                <w:rFonts w:eastAsia="Times New Roman" w:cs="Segoe UI Light"/>
                <w:b/>
                <w:color w:val="000000"/>
                <w:sz w:val="18"/>
                <w:lang w:eastAsia="en-AU"/>
              </w:rPr>
              <w:t>Option 3</w:t>
            </w:r>
          </w:p>
          <w:p w14:paraId="656B0A55" w14:textId="77777777" w:rsidR="00C95E3F" w:rsidRDefault="008122AD" w:rsidP="00603FBA">
            <w:pPr>
              <w:spacing w:after="0" w:line="240" w:lineRule="auto"/>
              <w:ind w:right="57"/>
              <w:jc w:val="right"/>
              <w:rPr>
                <w:rFonts w:eastAsia="Times New Roman" w:cs="Segoe UI Light"/>
                <w:color w:val="000000"/>
                <w:sz w:val="18"/>
                <w:lang w:eastAsia="en-AU"/>
              </w:rPr>
            </w:pPr>
            <w:r w:rsidRPr="00AE334C">
              <w:rPr>
                <w:rFonts w:eastAsia="Times New Roman" w:cs="Segoe UI Light"/>
                <w:color w:val="000000"/>
                <w:sz w:val="18"/>
                <w:lang w:eastAsia="en-AU"/>
              </w:rPr>
              <w:t xml:space="preserve">Ban all plastic </w:t>
            </w:r>
          </w:p>
          <w:p w14:paraId="656B0A56" w14:textId="77777777" w:rsidR="008122AD" w:rsidRPr="00D720FD" w:rsidRDefault="008122AD" w:rsidP="00603FBA">
            <w:pPr>
              <w:spacing w:after="0" w:line="240" w:lineRule="auto"/>
              <w:ind w:right="57"/>
              <w:jc w:val="right"/>
              <w:rPr>
                <w:rFonts w:eastAsia="Times New Roman" w:cs="Segoe UI Light"/>
                <w:color w:val="000000"/>
                <w:sz w:val="18"/>
                <w:lang w:eastAsia="en-AU"/>
              </w:rPr>
            </w:pPr>
            <w:r w:rsidRPr="00AE334C">
              <w:rPr>
                <w:rFonts w:eastAsia="Times New Roman" w:cs="Segoe UI Light"/>
                <w:color w:val="000000"/>
                <w:sz w:val="18"/>
                <w:lang w:eastAsia="en-AU"/>
              </w:rPr>
              <w:t>shopping bags</w:t>
            </w:r>
          </w:p>
        </w:tc>
      </w:tr>
      <w:tr w:rsidR="008122AD" w:rsidRPr="00B17473" w14:paraId="656B0A5C" w14:textId="77777777" w:rsidTr="00494A7B">
        <w:trPr>
          <w:trHeight w:val="294"/>
        </w:trPr>
        <w:tc>
          <w:tcPr>
            <w:tcW w:w="0" w:type="pct"/>
            <w:noWrap/>
            <w:hideMark/>
          </w:tcPr>
          <w:p w14:paraId="656B0A58" w14:textId="77777777" w:rsidR="008122AD" w:rsidRPr="00B17473" w:rsidRDefault="008122AD">
            <w:pPr>
              <w:spacing w:after="0" w:line="240" w:lineRule="auto"/>
              <w:rPr>
                <w:rFonts w:eastAsia="Times New Roman" w:cs="Segoe UI Light"/>
                <w:color w:val="000000"/>
                <w:sz w:val="18"/>
                <w:lang w:eastAsia="en-AU"/>
              </w:rPr>
            </w:pPr>
            <w:r w:rsidRPr="00B17473">
              <w:rPr>
                <w:rFonts w:eastAsia="Times New Roman" w:cs="Segoe UI Light"/>
                <w:color w:val="000000"/>
                <w:sz w:val="18"/>
                <w:lang w:eastAsia="en-AU"/>
              </w:rPr>
              <w:t>Effectiveness</w:t>
            </w:r>
            <w:r>
              <w:rPr>
                <w:rFonts w:eastAsia="Times New Roman" w:cs="Segoe UI Light"/>
                <w:color w:val="000000"/>
                <w:sz w:val="18"/>
                <w:lang w:eastAsia="en-AU"/>
              </w:rPr>
              <w:t xml:space="preserve"> (</w:t>
            </w:r>
            <w:r w:rsidR="00E05091">
              <w:rPr>
                <w:rFonts w:eastAsia="Times New Roman" w:cs="Segoe UI Light"/>
                <w:color w:val="000000"/>
                <w:sz w:val="18"/>
                <w:lang w:eastAsia="en-AU"/>
              </w:rPr>
              <w:t>50</w:t>
            </w:r>
            <w:r>
              <w:rPr>
                <w:rFonts w:eastAsia="Times New Roman" w:cs="Segoe UI Light"/>
                <w:color w:val="000000"/>
                <w:sz w:val="18"/>
                <w:lang w:eastAsia="en-AU"/>
              </w:rPr>
              <w:t>%)</w:t>
            </w:r>
          </w:p>
        </w:tc>
        <w:tc>
          <w:tcPr>
            <w:tcW w:w="1194" w:type="pct"/>
            <w:noWrap/>
          </w:tcPr>
          <w:p w14:paraId="656B0A59" w14:textId="3AD45D03" w:rsidR="008122AD" w:rsidRPr="00B17473" w:rsidRDefault="008122AD" w:rsidP="00603FBA">
            <w:pPr>
              <w:spacing w:after="0" w:line="240" w:lineRule="auto"/>
              <w:ind w:right="57"/>
              <w:jc w:val="right"/>
              <w:rPr>
                <w:rFonts w:eastAsia="Times New Roman" w:cs="Segoe UI Light"/>
                <w:color w:val="000000"/>
                <w:sz w:val="18"/>
                <w:lang w:eastAsia="en-AU"/>
              </w:rPr>
            </w:pPr>
            <w:r>
              <w:rPr>
                <w:rFonts w:eastAsia="Times New Roman" w:cs="Segoe UI Light"/>
                <w:color w:val="000000"/>
                <w:sz w:val="18"/>
                <w:lang w:eastAsia="en-AU"/>
              </w:rPr>
              <w:t>+</w:t>
            </w:r>
            <w:r w:rsidR="001A5F33">
              <w:rPr>
                <w:rFonts w:eastAsia="Times New Roman" w:cs="Segoe UI Light"/>
                <w:color w:val="000000"/>
                <w:sz w:val="18"/>
                <w:lang w:eastAsia="en-AU"/>
              </w:rPr>
              <w:t>2</w:t>
            </w:r>
          </w:p>
        </w:tc>
        <w:tc>
          <w:tcPr>
            <w:tcW w:w="1195" w:type="pct"/>
            <w:noWrap/>
          </w:tcPr>
          <w:p w14:paraId="656B0A5A" w14:textId="77777777" w:rsidR="008122AD" w:rsidRPr="00B17473" w:rsidRDefault="008122AD" w:rsidP="00603FBA">
            <w:pPr>
              <w:spacing w:after="0" w:line="240" w:lineRule="auto"/>
              <w:ind w:right="57"/>
              <w:jc w:val="right"/>
              <w:rPr>
                <w:rFonts w:eastAsia="Times New Roman" w:cs="Segoe UI Light"/>
                <w:color w:val="000000"/>
                <w:sz w:val="18"/>
                <w:lang w:eastAsia="en-AU"/>
              </w:rPr>
            </w:pPr>
            <w:r>
              <w:rPr>
                <w:rFonts w:eastAsia="Times New Roman" w:cs="Segoe UI Light"/>
                <w:color w:val="000000"/>
                <w:sz w:val="18"/>
                <w:lang w:eastAsia="en-AU"/>
              </w:rPr>
              <w:t>+7</w:t>
            </w:r>
          </w:p>
        </w:tc>
        <w:tc>
          <w:tcPr>
            <w:tcW w:w="1195" w:type="pct"/>
          </w:tcPr>
          <w:p w14:paraId="656B0A5B" w14:textId="77777777" w:rsidR="008122AD" w:rsidRPr="00B17473" w:rsidRDefault="008122AD" w:rsidP="00603FBA">
            <w:pPr>
              <w:spacing w:after="0" w:line="240" w:lineRule="auto"/>
              <w:ind w:right="57"/>
              <w:jc w:val="right"/>
              <w:rPr>
                <w:rFonts w:eastAsia="Times New Roman" w:cs="Segoe UI Light"/>
                <w:color w:val="000000"/>
                <w:sz w:val="18"/>
                <w:lang w:eastAsia="en-AU"/>
              </w:rPr>
            </w:pPr>
            <w:r>
              <w:rPr>
                <w:rFonts w:eastAsia="Times New Roman" w:cs="Segoe UI Light"/>
                <w:color w:val="000000"/>
                <w:sz w:val="18"/>
                <w:lang w:eastAsia="en-AU"/>
              </w:rPr>
              <w:t>+10</w:t>
            </w:r>
          </w:p>
        </w:tc>
      </w:tr>
      <w:tr w:rsidR="008122AD" w:rsidRPr="00B17473" w14:paraId="656B0A61" w14:textId="77777777" w:rsidTr="00494A7B">
        <w:trPr>
          <w:trHeight w:val="294"/>
        </w:trPr>
        <w:tc>
          <w:tcPr>
            <w:tcW w:w="0" w:type="pct"/>
            <w:noWrap/>
            <w:hideMark/>
          </w:tcPr>
          <w:p w14:paraId="656B0A5D" w14:textId="77777777" w:rsidR="008122AD" w:rsidRPr="00B17473" w:rsidRDefault="008122AD">
            <w:pPr>
              <w:spacing w:after="0" w:line="240" w:lineRule="auto"/>
              <w:rPr>
                <w:rFonts w:eastAsia="Times New Roman" w:cs="Segoe UI Light"/>
                <w:color w:val="000000"/>
                <w:sz w:val="18"/>
                <w:lang w:eastAsia="en-AU"/>
              </w:rPr>
            </w:pPr>
            <w:r w:rsidRPr="00B17473">
              <w:rPr>
                <w:rFonts w:eastAsia="Times New Roman" w:cs="Segoe UI Light"/>
                <w:color w:val="000000"/>
                <w:sz w:val="18"/>
                <w:lang w:eastAsia="en-AU"/>
              </w:rPr>
              <w:t>Cost</w:t>
            </w:r>
            <w:r>
              <w:rPr>
                <w:rFonts w:eastAsia="Times New Roman" w:cs="Segoe UI Light"/>
                <w:color w:val="000000"/>
                <w:sz w:val="18"/>
                <w:lang w:eastAsia="en-AU"/>
              </w:rPr>
              <w:t xml:space="preserve"> (</w:t>
            </w:r>
            <w:r w:rsidR="00E05091">
              <w:rPr>
                <w:rFonts w:eastAsia="Times New Roman" w:cs="Segoe UI Light"/>
                <w:color w:val="000000"/>
                <w:sz w:val="18"/>
                <w:lang w:eastAsia="en-AU"/>
              </w:rPr>
              <w:t>25</w:t>
            </w:r>
            <w:r>
              <w:rPr>
                <w:rFonts w:eastAsia="Times New Roman" w:cs="Segoe UI Light"/>
                <w:color w:val="000000"/>
                <w:sz w:val="18"/>
                <w:lang w:eastAsia="en-AU"/>
              </w:rPr>
              <w:t>%)</w:t>
            </w:r>
          </w:p>
        </w:tc>
        <w:tc>
          <w:tcPr>
            <w:tcW w:w="1194" w:type="pct"/>
            <w:noWrap/>
          </w:tcPr>
          <w:p w14:paraId="656B0A5E" w14:textId="5F417206" w:rsidR="008122AD" w:rsidRPr="00B17473" w:rsidRDefault="008122AD" w:rsidP="00603FBA">
            <w:pPr>
              <w:spacing w:after="0" w:line="240" w:lineRule="auto"/>
              <w:ind w:right="57"/>
              <w:jc w:val="right"/>
              <w:rPr>
                <w:rFonts w:eastAsia="Times New Roman" w:cs="Segoe UI Light"/>
                <w:color w:val="000000"/>
                <w:sz w:val="18"/>
                <w:lang w:eastAsia="en-AU"/>
              </w:rPr>
            </w:pPr>
            <w:r>
              <w:rPr>
                <w:rFonts w:eastAsia="Times New Roman" w:cs="Segoe UI Light"/>
                <w:color w:val="000000"/>
                <w:sz w:val="18"/>
                <w:lang w:eastAsia="en-AU"/>
              </w:rPr>
              <w:t>-</w:t>
            </w:r>
            <w:r w:rsidR="001A5F33">
              <w:rPr>
                <w:rFonts w:eastAsia="Times New Roman" w:cs="Segoe UI Light"/>
                <w:color w:val="000000"/>
                <w:sz w:val="18"/>
                <w:lang w:eastAsia="en-AU"/>
              </w:rPr>
              <w:t>3</w:t>
            </w:r>
          </w:p>
        </w:tc>
        <w:tc>
          <w:tcPr>
            <w:tcW w:w="1195" w:type="pct"/>
            <w:noWrap/>
          </w:tcPr>
          <w:p w14:paraId="656B0A5F" w14:textId="77777777" w:rsidR="008122AD" w:rsidRPr="00B17473" w:rsidRDefault="008122AD" w:rsidP="00603FBA">
            <w:pPr>
              <w:spacing w:after="0" w:line="240" w:lineRule="auto"/>
              <w:ind w:right="57"/>
              <w:jc w:val="right"/>
              <w:rPr>
                <w:rFonts w:eastAsia="Times New Roman" w:cs="Segoe UI Light"/>
                <w:color w:val="000000"/>
                <w:sz w:val="18"/>
                <w:lang w:eastAsia="en-AU"/>
              </w:rPr>
            </w:pPr>
            <w:r>
              <w:rPr>
                <w:rFonts w:eastAsia="Times New Roman" w:cs="Segoe UI Light"/>
                <w:color w:val="000000"/>
                <w:sz w:val="18"/>
                <w:lang w:eastAsia="en-AU"/>
              </w:rPr>
              <w:t>-4</w:t>
            </w:r>
          </w:p>
        </w:tc>
        <w:tc>
          <w:tcPr>
            <w:tcW w:w="1195" w:type="pct"/>
          </w:tcPr>
          <w:p w14:paraId="656B0A60" w14:textId="77777777" w:rsidR="008122AD" w:rsidRPr="00B17473" w:rsidRDefault="008122AD" w:rsidP="00603FBA">
            <w:pPr>
              <w:spacing w:after="0" w:line="240" w:lineRule="auto"/>
              <w:ind w:right="57"/>
              <w:jc w:val="right"/>
              <w:rPr>
                <w:rFonts w:eastAsia="Times New Roman" w:cs="Segoe UI Light"/>
                <w:color w:val="000000"/>
                <w:sz w:val="18"/>
                <w:lang w:eastAsia="en-AU"/>
              </w:rPr>
            </w:pPr>
            <w:r>
              <w:rPr>
                <w:rFonts w:eastAsia="Times New Roman" w:cs="Segoe UI Light"/>
                <w:color w:val="000000"/>
                <w:sz w:val="18"/>
                <w:lang w:eastAsia="en-AU"/>
              </w:rPr>
              <w:t>-7</w:t>
            </w:r>
          </w:p>
        </w:tc>
      </w:tr>
      <w:tr w:rsidR="008122AD" w:rsidRPr="00B17473" w14:paraId="656B0A66" w14:textId="77777777" w:rsidTr="00494A7B">
        <w:trPr>
          <w:trHeight w:val="294"/>
        </w:trPr>
        <w:tc>
          <w:tcPr>
            <w:tcW w:w="0" w:type="pct"/>
            <w:noWrap/>
          </w:tcPr>
          <w:p w14:paraId="656B0A62" w14:textId="77777777" w:rsidR="008122AD" w:rsidRPr="00B17473" w:rsidRDefault="008122AD">
            <w:pPr>
              <w:spacing w:after="0" w:line="240" w:lineRule="auto"/>
              <w:rPr>
                <w:rFonts w:eastAsia="Times New Roman" w:cs="Segoe UI Light"/>
                <w:color w:val="000000"/>
                <w:sz w:val="18"/>
                <w:lang w:eastAsia="en-AU"/>
              </w:rPr>
            </w:pPr>
            <w:r>
              <w:rPr>
                <w:rFonts w:eastAsia="Times New Roman" w:cs="Segoe UI Light"/>
                <w:color w:val="000000"/>
                <w:sz w:val="18"/>
                <w:lang w:eastAsia="en-AU"/>
              </w:rPr>
              <w:t>Practicality to implement (</w:t>
            </w:r>
            <w:r w:rsidR="00E05091">
              <w:rPr>
                <w:rFonts w:eastAsia="Times New Roman" w:cs="Segoe UI Light"/>
                <w:color w:val="000000"/>
                <w:sz w:val="18"/>
                <w:lang w:eastAsia="en-AU"/>
              </w:rPr>
              <w:t>25</w:t>
            </w:r>
            <w:r>
              <w:rPr>
                <w:rFonts w:eastAsia="Times New Roman" w:cs="Segoe UI Light"/>
                <w:color w:val="000000"/>
                <w:sz w:val="18"/>
                <w:lang w:eastAsia="en-AU"/>
              </w:rPr>
              <w:t>%)</w:t>
            </w:r>
          </w:p>
        </w:tc>
        <w:tc>
          <w:tcPr>
            <w:tcW w:w="1194" w:type="pct"/>
            <w:noWrap/>
          </w:tcPr>
          <w:p w14:paraId="656B0A63" w14:textId="77777777" w:rsidR="008122AD" w:rsidRDefault="008122AD" w:rsidP="00603FBA">
            <w:pPr>
              <w:spacing w:after="0" w:line="240" w:lineRule="auto"/>
              <w:ind w:right="57"/>
              <w:jc w:val="right"/>
              <w:rPr>
                <w:rFonts w:eastAsia="Times New Roman" w:cs="Segoe UI Light"/>
                <w:color w:val="000000"/>
                <w:sz w:val="18"/>
                <w:lang w:eastAsia="en-AU"/>
              </w:rPr>
            </w:pPr>
            <w:r>
              <w:rPr>
                <w:rFonts w:eastAsia="Times New Roman" w:cs="Segoe UI Light"/>
                <w:color w:val="000000"/>
                <w:sz w:val="18"/>
                <w:lang w:eastAsia="en-AU"/>
              </w:rPr>
              <w:t>0</w:t>
            </w:r>
          </w:p>
        </w:tc>
        <w:tc>
          <w:tcPr>
            <w:tcW w:w="1195" w:type="pct"/>
            <w:noWrap/>
          </w:tcPr>
          <w:p w14:paraId="656B0A64" w14:textId="77777777" w:rsidR="008122AD" w:rsidRDefault="008122AD" w:rsidP="00603FBA">
            <w:pPr>
              <w:spacing w:after="0" w:line="240" w:lineRule="auto"/>
              <w:ind w:right="57"/>
              <w:jc w:val="right"/>
              <w:rPr>
                <w:rFonts w:eastAsia="Times New Roman" w:cs="Segoe UI Light"/>
                <w:color w:val="000000"/>
                <w:sz w:val="18"/>
                <w:lang w:eastAsia="en-AU"/>
              </w:rPr>
            </w:pPr>
            <w:r>
              <w:rPr>
                <w:rFonts w:eastAsia="Times New Roman" w:cs="Segoe UI Light"/>
                <w:color w:val="000000"/>
                <w:sz w:val="18"/>
                <w:lang w:eastAsia="en-AU"/>
              </w:rPr>
              <w:t>-2</w:t>
            </w:r>
          </w:p>
        </w:tc>
        <w:tc>
          <w:tcPr>
            <w:tcW w:w="1195" w:type="pct"/>
          </w:tcPr>
          <w:p w14:paraId="656B0A65" w14:textId="77777777" w:rsidR="008122AD" w:rsidRDefault="008122AD" w:rsidP="00603FBA">
            <w:pPr>
              <w:spacing w:after="0" w:line="240" w:lineRule="auto"/>
              <w:ind w:right="57"/>
              <w:jc w:val="right"/>
              <w:rPr>
                <w:rFonts w:eastAsia="Times New Roman" w:cs="Segoe UI Light"/>
                <w:color w:val="000000"/>
                <w:sz w:val="18"/>
                <w:lang w:eastAsia="en-AU"/>
              </w:rPr>
            </w:pPr>
            <w:r>
              <w:rPr>
                <w:rFonts w:eastAsia="Times New Roman" w:cs="Segoe UI Light"/>
                <w:color w:val="000000"/>
                <w:sz w:val="18"/>
                <w:lang w:eastAsia="en-AU"/>
              </w:rPr>
              <w:t>-8</w:t>
            </w:r>
          </w:p>
        </w:tc>
      </w:tr>
      <w:tr w:rsidR="008122AD" w:rsidRPr="00B17473" w14:paraId="656B0A6B" w14:textId="77777777" w:rsidTr="00494A7B">
        <w:trPr>
          <w:trHeight w:val="294"/>
        </w:trPr>
        <w:tc>
          <w:tcPr>
            <w:tcW w:w="0" w:type="pct"/>
            <w:noWrap/>
            <w:hideMark/>
          </w:tcPr>
          <w:p w14:paraId="656B0A67" w14:textId="77777777" w:rsidR="008122AD" w:rsidRPr="00B17473" w:rsidRDefault="008122AD" w:rsidP="008122AD">
            <w:pPr>
              <w:spacing w:after="0" w:line="240" w:lineRule="auto"/>
              <w:rPr>
                <w:rFonts w:eastAsia="Times New Roman" w:cs="Segoe UI Light"/>
                <w:b/>
                <w:bCs/>
                <w:color w:val="000000"/>
                <w:sz w:val="18"/>
                <w:lang w:eastAsia="en-AU"/>
              </w:rPr>
            </w:pPr>
            <w:r>
              <w:rPr>
                <w:rFonts w:eastAsia="Times New Roman" w:cs="Segoe UI Light"/>
                <w:b/>
                <w:bCs/>
                <w:color w:val="000000"/>
                <w:sz w:val="18"/>
                <w:lang w:eastAsia="en-AU"/>
              </w:rPr>
              <w:t xml:space="preserve">Total weighted </w:t>
            </w:r>
            <w:r w:rsidRPr="00B17473">
              <w:rPr>
                <w:rFonts w:eastAsia="Times New Roman" w:cs="Segoe UI Light"/>
                <w:b/>
                <w:bCs/>
                <w:color w:val="000000"/>
                <w:sz w:val="18"/>
                <w:lang w:eastAsia="en-AU"/>
              </w:rPr>
              <w:t>score</w:t>
            </w:r>
          </w:p>
        </w:tc>
        <w:tc>
          <w:tcPr>
            <w:tcW w:w="1194" w:type="pct"/>
            <w:noWrap/>
          </w:tcPr>
          <w:p w14:paraId="656B0A68" w14:textId="77777777" w:rsidR="008122AD" w:rsidRPr="00B17473" w:rsidRDefault="008122AD" w:rsidP="00603FBA">
            <w:pPr>
              <w:spacing w:after="0" w:line="240" w:lineRule="auto"/>
              <w:ind w:right="57"/>
              <w:jc w:val="right"/>
              <w:rPr>
                <w:rFonts w:eastAsia="Times New Roman" w:cs="Segoe UI Light"/>
                <w:b/>
                <w:bCs/>
                <w:color w:val="000000"/>
                <w:sz w:val="18"/>
                <w:lang w:eastAsia="en-AU"/>
              </w:rPr>
            </w:pPr>
            <w:r>
              <w:rPr>
                <w:rFonts w:eastAsia="Times New Roman" w:cs="Segoe UI Light"/>
                <w:b/>
                <w:bCs/>
                <w:color w:val="000000"/>
                <w:sz w:val="18"/>
                <w:lang w:eastAsia="en-AU"/>
              </w:rPr>
              <w:t>0.</w:t>
            </w:r>
            <w:r w:rsidR="00E05091">
              <w:rPr>
                <w:rFonts w:eastAsia="Times New Roman" w:cs="Segoe UI Light"/>
                <w:b/>
                <w:bCs/>
                <w:color w:val="000000"/>
                <w:sz w:val="18"/>
                <w:lang w:eastAsia="en-AU"/>
              </w:rPr>
              <w:t>25</w:t>
            </w:r>
          </w:p>
        </w:tc>
        <w:tc>
          <w:tcPr>
            <w:tcW w:w="1195" w:type="pct"/>
            <w:noWrap/>
          </w:tcPr>
          <w:p w14:paraId="656B0A69" w14:textId="77777777" w:rsidR="008122AD" w:rsidRPr="00B17473" w:rsidRDefault="008122AD" w:rsidP="00603FBA">
            <w:pPr>
              <w:spacing w:after="0" w:line="240" w:lineRule="auto"/>
              <w:ind w:right="57"/>
              <w:jc w:val="right"/>
              <w:rPr>
                <w:rFonts w:eastAsia="Times New Roman" w:cs="Segoe UI Light"/>
                <w:b/>
                <w:bCs/>
                <w:color w:val="000000"/>
                <w:sz w:val="18"/>
                <w:lang w:eastAsia="en-AU"/>
              </w:rPr>
            </w:pPr>
            <w:r>
              <w:rPr>
                <w:rFonts w:eastAsia="Times New Roman" w:cs="Segoe UI Light"/>
                <w:b/>
                <w:bCs/>
                <w:color w:val="000000"/>
                <w:sz w:val="18"/>
                <w:lang w:eastAsia="en-AU"/>
              </w:rPr>
              <w:t>0.</w:t>
            </w:r>
            <w:r w:rsidR="00E05091">
              <w:rPr>
                <w:rFonts w:eastAsia="Times New Roman" w:cs="Segoe UI Light"/>
                <w:b/>
                <w:bCs/>
                <w:color w:val="000000"/>
                <w:sz w:val="18"/>
                <w:lang w:eastAsia="en-AU"/>
              </w:rPr>
              <w:t>5</w:t>
            </w:r>
          </w:p>
        </w:tc>
        <w:tc>
          <w:tcPr>
            <w:tcW w:w="1195" w:type="pct"/>
          </w:tcPr>
          <w:p w14:paraId="656B0A6A" w14:textId="77777777" w:rsidR="008122AD" w:rsidRPr="00B17473" w:rsidRDefault="00E05091" w:rsidP="00603FBA">
            <w:pPr>
              <w:spacing w:after="0" w:line="240" w:lineRule="auto"/>
              <w:ind w:right="57"/>
              <w:jc w:val="right"/>
              <w:rPr>
                <w:rFonts w:eastAsia="Times New Roman" w:cs="Segoe UI Light"/>
                <w:b/>
                <w:bCs/>
                <w:color w:val="000000"/>
                <w:sz w:val="18"/>
                <w:lang w:eastAsia="en-AU"/>
              </w:rPr>
            </w:pPr>
            <w:r>
              <w:rPr>
                <w:rFonts w:eastAsia="Times New Roman" w:cs="Segoe UI Light"/>
                <w:b/>
                <w:bCs/>
                <w:color w:val="000000"/>
                <w:sz w:val="18"/>
                <w:lang w:eastAsia="en-AU"/>
              </w:rPr>
              <w:t>1.25</w:t>
            </w:r>
          </w:p>
        </w:tc>
      </w:tr>
    </w:tbl>
    <w:p w14:paraId="656B0A6C" w14:textId="77777777" w:rsidR="006E6ACB" w:rsidRDefault="006E6ACB" w:rsidP="003A6B4C"/>
    <w:p w14:paraId="656B0A6D" w14:textId="77777777" w:rsidR="001922B1" w:rsidRDefault="001922B1" w:rsidP="00ED173F">
      <w:pPr>
        <w:pStyle w:val="Heading1"/>
      </w:pPr>
      <w:bookmarkStart w:id="1421" w:name="_Toc298896"/>
      <w:bookmarkStart w:id="1422" w:name="_Toc310898"/>
      <w:bookmarkStart w:id="1423" w:name="_Toc342634"/>
      <w:bookmarkStart w:id="1424" w:name="_Toc343184"/>
      <w:bookmarkStart w:id="1425" w:name="_Toc298897"/>
      <w:bookmarkStart w:id="1426" w:name="_Toc310899"/>
      <w:bookmarkStart w:id="1427" w:name="_Toc342635"/>
      <w:bookmarkStart w:id="1428" w:name="_Toc343185"/>
      <w:bookmarkStart w:id="1429" w:name="_Toc298898"/>
      <w:bookmarkStart w:id="1430" w:name="_Toc310900"/>
      <w:bookmarkStart w:id="1431" w:name="_Toc342636"/>
      <w:bookmarkStart w:id="1432" w:name="_Toc343186"/>
      <w:bookmarkStart w:id="1433" w:name="_Toc298899"/>
      <w:bookmarkStart w:id="1434" w:name="_Toc310901"/>
      <w:bookmarkStart w:id="1435" w:name="_Toc342637"/>
      <w:bookmarkStart w:id="1436" w:name="_Toc343187"/>
      <w:bookmarkStart w:id="1437" w:name="_Toc298900"/>
      <w:bookmarkStart w:id="1438" w:name="_Toc310902"/>
      <w:bookmarkStart w:id="1439" w:name="_Toc342638"/>
      <w:bookmarkStart w:id="1440" w:name="_Toc343188"/>
      <w:bookmarkStart w:id="1441" w:name="_Toc298901"/>
      <w:bookmarkStart w:id="1442" w:name="_Toc310903"/>
      <w:bookmarkStart w:id="1443" w:name="_Toc342639"/>
      <w:bookmarkStart w:id="1444" w:name="_Toc343189"/>
      <w:bookmarkStart w:id="1445" w:name="_Toc298902"/>
      <w:bookmarkStart w:id="1446" w:name="_Toc310904"/>
      <w:bookmarkStart w:id="1447" w:name="_Toc342640"/>
      <w:bookmarkStart w:id="1448" w:name="_Toc343190"/>
      <w:bookmarkStart w:id="1449" w:name="_Toc298903"/>
      <w:bookmarkStart w:id="1450" w:name="_Toc310905"/>
      <w:bookmarkStart w:id="1451" w:name="_Toc342641"/>
      <w:bookmarkStart w:id="1452" w:name="_Toc343191"/>
      <w:bookmarkStart w:id="1453" w:name="_Toc298904"/>
      <w:bookmarkStart w:id="1454" w:name="_Toc310906"/>
      <w:bookmarkStart w:id="1455" w:name="_Toc342642"/>
      <w:bookmarkStart w:id="1456" w:name="_Toc343192"/>
      <w:bookmarkStart w:id="1457" w:name="_Toc298905"/>
      <w:bookmarkStart w:id="1458" w:name="_Toc310907"/>
      <w:bookmarkStart w:id="1459" w:name="_Toc342643"/>
      <w:bookmarkStart w:id="1460" w:name="_Toc343193"/>
      <w:bookmarkStart w:id="1461" w:name="_Toc298906"/>
      <w:bookmarkStart w:id="1462" w:name="_Toc310908"/>
      <w:bookmarkStart w:id="1463" w:name="_Toc342644"/>
      <w:bookmarkStart w:id="1464" w:name="_Toc343194"/>
      <w:bookmarkStart w:id="1465" w:name="_Toc298907"/>
      <w:bookmarkStart w:id="1466" w:name="_Toc310909"/>
      <w:bookmarkStart w:id="1467" w:name="_Toc342645"/>
      <w:bookmarkStart w:id="1468" w:name="_Toc343195"/>
      <w:bookmarkStart w:id="1469" w:name="_Toc298908"/>
      <w:bookmarkStart w:id="1470" w:name="_Toc310910"/>
      <w:bookmarkStart w:id="1471" w:name="_Toc342646"/>
      <w:bookmarkStart w:id="1472" w:name="_Toc343196"/>
      <w:bookmarkStart w:id="1473" w:name="_Toc298909"/>
      <w:bookmarkStart w:id="1474" w:name="_Toc310911"/>
      <w:bookmarkStart w:id="1475" w:name="_Toc342647"/>
      <w:bookmarkStart w:id="1476" w:name="_Toc343197"/>
      <w:bookmarkStart w:id="1477" w:name="_Toc298910"/>
      <w:bookmarkStart w:id="1478" w:name="_Toc310912"/>
      <w:bookmarkStart w:id="1479" w:name="_Toc342648"/>
      <w:bookmarkStart w:id="1480" w:name="_Toc343198"/>
      <w:bookmarkStart w:id="1481" w:name="_Toc298911"/>
      <w:bookmarkStart w:id="1482" w:name="_Toc310913"/>
      <w:bookmarkStart w:id="1483" w:name="_Toc342649"/>
      <w:bookmarkStart w:id="1484" w:name="_Toc343199"/>
      <w:bookmarkStart w:id="1485" w:name="_Toc298912"/>
      <w:bookmarkStart w:id="1486" w:name="_Toc310914"/>
      <w:bookmarkStart w:id="1487" w:name="_Toc342650"/>
      <w:bookmarkStart w:id="1488" w:name="_Toc343200"/>
      <w:bookmarkStart w:id="1489" w:name="_Toc298913"/>
      <w:bookmarkStart w:id="1490" w:name="_Toc310915"/>
      <w:bookmarkStart w:id="1491" w:name="_Toc342651"/>
      <w:bookmarkStart w:id="1492" w:name="_Toc343201"/>
      <w:bookmarkStart w:id="1493" w:name="_Toc298914"/>
      <w:bookmarkStart w:id="1494" w:name="_Toc310916"/>
      <w:bookmarkStart w:id="1495" w:name="_Toc342652"/>
      <w:bookmarkStart w:id="1496" w:name="_Toc343202"/>
      <w:bookmarkStart w:id="1497" w:name="_Toc298915"/>
      <w:bookmarkStart w:id="1498" w:name="_Toc310917"/>
      <w:bookmarkStart w:id="1499" w:name="_Toc342653"/>
      <w:bookmarkStart w:id="1500" w:name="_Toc343203"/>
      <w:bookmarkStart w:id="1501" w:name="_Toc298916"/>
      <w:bookmarkStart w:id="1502" w:name="_Toc310918"/>
      <w:bookmarkStart w:id="1503" w:name="_Toc342654"/>
      <w:bookmarkStart w:id="1504" w:name="_Toc343204"/>
      <w:bookmarkStart w:id="1505" w:name="_Toc298917"/>
      <w:bookmarkStart w:id="1506" w:name="_Toc310919"/>
      <w:bookmarkStart w:id="1507" w:name="_Toc342655"/>
      <w:bookmarkStart w:id="1508" w:name="_Toc343205"/>
      <w:bookmarkStart w:id="1509" w:name="_Toc298918"/>
      <w:bookmarkStart w:id="1510" w:name="_Toc310920"/>
      <w:bookmarkStart w:id="1511" w:name="_Toc342656"/>
      <w:bookmarkStart w:id="1512" w:name="_Toc343206"/>
      <w:bookmarkStart w:id="1513" w:name="_Toc298919"/>
      <w:bookmarkStart w:id="1514" w:name="_Toc310921"/>
      <w:bookmarkStart w:id="1515" w:name="_Toc342657"/>
      <w:bookmarkStart w:id="1516" w:name="_Toc343207"/>
      <w:bookmarkStart w:id="1517" w:name="_Toc298920"/>
      <w:bookmarkStart w:id="1518" w:name="_Toc310922"/>
      <w:bookmarkStart w:id="1519" w:name="_Toc342658"/>
      <w:bookmarkStart w:id="1520" w:name="_Toc343208"/>
      <w:bookmarkStart w:id="1521" w:name="_Toc298921"/>
      <w:bookmarkStart w:id="1522" w:name="_Toc310923"/>
      <w:bookmarkStart w:id="1523" w:name="_Toc342659"/>
      <w:bookmarkStart w:id="1524" w:name="_Toc343209"/>
      <w:bookmarkStart w:id="1525" w:name="_Toc298922"/>
      <w:bookmarkStart w:id="1526" w:name="_Toc310924"/>
      <w:bookmarkStart w:id="1527" w:name="_Toc342660"/>
      <w:bookmarkStart w:id="1528" w:name="_Toc343210"/>
      <w:bookmarkStart w:id="1529" w:name="_Toc298923"/>
      <w:bookmarkStart w:id="1530" w:name="_Toc310925"/>
      <w:bookmarkStart w:id="1531" w:name="_Toc342661"/>
      <w:bookmarkStart w:id="1532" w:name="_Toc343211"/>
      <w:bookmarkStart w:id="1533" w:name="_Toc298924"/>
      <w:bookmarkStart w:id="1534" w:name="_Toc310926"/>
      <w:bookmarkStart w:id="1535" w:name="_Toc342662"/>
      <w:bookmarkStart w:id="1536" w:name="_Toc343212"/>
      <w:bookmarkStart w:id="1537" w:name="_Toc298925"/>
      <w:bookmarkStart w:id="1538" w:name="_Toc310927"/>
      <w:bookmarkStart w:id="1539" w:name="_Toc342663"/>
      <w:bookmarkStart w:id="1540" w:name="_Toc343213"/>
      <w:bookmarkStart w:id="1541" w:name="_Toc298926"/>
      <w:bookmarkStart w:id="1542" w:name="_Toc310928"/>
      <w:bookmarkStart w:id="1543" w:name="_Toc342664"/>
      <w:bookmarkStart w:id="1544" w:name="_Toc343214"/>
      <w:bookmarkStart w:id="1545" w:name="_Toc298927"/>
      <w:bookmarkStart w:id="1546" w:name="_Toc310929"/>
      <w:bookmarkStart w:id="1547" w:name="_Toc342665"/>
      <w:bookmarkStart w:id="1548" w:name="_Toc343215"/>
      <w:bookmarkStart w:id="1549" w:name="_Toc298928"/>
      <w:bookmarkStart w:id="1550" w:name="_Toc310930"/>
      <w:bookmarkStart w:id="1551" w:name="_Toc342666"/>
      <w:bookmarkStart w:id="1552" w:name="_Toc343216"/>
      <w:bookmarkStart w:id="1553" w:name="_Toc298929"/>
      <w:bookmarkStart w:id="1554" w:name="_Toc310931"/>
      <w:bookmarkStart w:id="1555" w:name="_Toc342667"/>
      <w:bookmarkStart w:id="1556" w:name="_Toc343217"/>
      <w:bookmarkStart w:id="1557" w:name="_Toc298930"/>
      <w:bookmarkStart w:id="1558" w:name="_Toc310932"/>
      <w:bookmarkStart w:id="1559" w:name="_Toc342668"/>
      <w:bookmarkStart w:id="1560" w:name="_Toc343218"/>
      <w:bookmarkStart w:id="1561" w:name="_Toc298931"/>
      <w:bookmarkStart w:id="1562" w:name="_Toc310933"/>
      <w:bookmarkStart w:id="1563" w:name="_Toc342669"/>
      <w:bookmarkStart w:id="1564" w:name="_Toc343219"/>
      <w:bookmarkStart w:id="1565" w:name="_Toc298932"/>
      <w:bookmarkStart w:id="1566" w:name="_Toc310934"/>
      <w:bookmarkStart w:id="1567" w:name="_Toc342670"/>
      <w:bookmarkStart w:id="1568" w:name="_Toc343220"/>
      <w:bookmarkStart w:id="1569" w:name="_Toc298933"/>
      <w:bookmarkStart w:id="1570" w:name="_Toc310935"/>
      <w:bookmarkStart w:id="1571" w:name="_Toc342671"/>
      <w:bookmarkStart w:id="1572" w:name="_Toc343221"/>
      <w:bookmarkStart w:id="1573" w:name="_Toc298934"/>
      <w:bookmarkStart w:id="1574" w:name="_Toc310936"/>
      <w:bookmarkStart w:id="1575" w:name="_Toc342672"/>
      <w:bookmarkStart w:id="1576" w:name="_Toc343222"/>
      <w:bookmarkStart w:id="1577" w:name="_Toc298935"/>
      <w:bookmarkStart w:id="1578" w:name="_Toc310937"/>
      <w:bookmarkStart w:id="1579" w:name="_Toc342673"/>
      <w:bookmarkStart w:id="1580" w:name="_Toc343223"/>
      <w:bookmarkStart w:id="1581" w:name="_Toc298936"/>
      <w:bookmarkStart w:id="1582" w:name="_Toc310938"/>
      <w:bookmarkStart w:id="1583" w:name="_Toc342674"/>
      <w:bookmarkStart w:id="1584" w:name="_Toc343224"/>
      <w:bookmarkStart w:id="1585" w:name="_Toc298937"/>
      <w:bookmarkStart w:id="1586" w:name="_Toc310939"/>
      <w:bookmarkStart w:id="1587" w:name="_Toc342675"/>
      <w:bookmarkStart w:id="1588" w:name="_Toc343225"/>
      <w:bookmarkStart w:id="1589" w:name="_Toc298938"/>
      <w:bookmarkStart w:id="1590" w:name="_Toc310940"/>
      <w:bookmarkStart w:id="1591" w:name="_Toc342676"/>
      <w:bookmarkStart w:id="1592" w:name="_Toc343226"/>
      <w:bookmarkStart w:id="1593" w:name="_Toc298939"/>
      <w:bookmarkStart w:id="1594" w:name="_Toc310941"/>
      <w:bookmarkStart w:id="1595" w:name="_Toc342677"/>
      <w:bookmarkStart w:id="1596" w:name="_Toc343227"/>
      <w:bookmarkStart w:id="1597" w:name="_Toc298940"/>
      <w:bookmarkStart w:id="1598" w:name="_Toc310942"/>
      <w:bookmarkStart w:id="1599" w:name="_Toc342678"/>
      <w:bookmarkStart w:id="1600" w:name="_Toc343228"/>
      <w:bookmarkStart w:id="1601" w:name="_Toc298941"/>
      <w:bookmarkStart w:id="1602" w:name="_Toc310943"/>
      <w:bookmarkStart w:id="1603" w:name="_Toc342679"/>
      <w:bookmarkStart w:id="1604" w:name="_Toc343229"/>
      <w:bookmarkStart w:id="1605" w:name="_Toc298942"/>
      <w:bookmarkStart w:id="1606" w:name="_Toc310944"/>
      <w:bookmarkStart w:id="1607" w:name="_Toc342680"/>
      <w:bookmarkStart w:id="1608" w:name="_Toc343230"/>
      <w:bookmarkStart w:id="1609" w:name="_Toc298943"/>
      <w:bookmarkStart w:id="1610" w:name="_Toc310945"/>
      <w:bookmarkStart w:id="1611" w:name="_Toc342681"/>
      <w:bookmarkStart w:id="1612" w:name="_Toc343231"/>
      <w:bookmarkStart w:id="1613" w:name="_Toc536807107"/>
      <w:bookmarkStart w:id="1614" w:name="_Ref288664"/>
      <w:bookmarkStart w:id="1615" w:name="_Toc342682"/>
      <w:bookmarkStart w:id="1616" w:name="_Toc10018333"/>
      <w:bookmarkStart w:id="1617" w:name="_Toc10021440"/>
      <w:bookmarkStart w:id="1618" w:name="_Toc10021854"/>
      <w:bookmarkStart w:id="1619" w:name="_Toc12892338"/>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r>
        <w:t>Air</w:t>
      </w:r>
      <w:bookmarkEnd w:id="631"/>
      <w:bookmarkEnd w:id="1408"/>
      <w:bookmarkEnd w:id="1417"/>
      <w:bookmarkEnd w:id="1613"/>
      <w:bookmarkEnd w:id="1614"/>
      <w:bookmarkEnd w:id="1615"/>
      <w:bookmarkEnd w:id="1616"/>
      <w:bookmarkEnd w:id="1617"/>
      <w:bookmarkEnd w:id="1618"/>
      <w:bookmarkEnd w:id="1619"/>
    </w:p>
    <w:p w14:paraId="656B0A6E" w14:textId="77777777" w:rsidR="000F5A44" w:rsidRPr="00575DFE" w:rsidRDefault="000F5A44" w:rsidP="000F5A44">
      <w:pPr>
        <w:mirrorIndents/>
        <w:rPr>
          <w:b/>
          <w:color w:val="808080" w:themeColor="background1" w:themeShade="80"/>
        </w:rPr>
      </w:pPr>
      <w:r w:rsidRPr="00E41BF3">
        <w:rPr>
          <w:b/>
          <w:color w:val="808080" w:themeColor="background1" w:themeShade="80"/>
        </w:rPr>
        <w:t xml:space="preserve">This chapter </w:t>
      </w:r>
      <w:r>
        <w:rPr>
          <w:b/>
          <w:color w:val="808080" w:themeColor="background1" w:themeShade="80"/>
        </w:rPr>
        <w:t>outlines the problem of air pollution in Victoria and assesses re</w:t>
      </w:r>
      <w:r w:rsidRPr="00E41BF3">
        <w:rPr>
          <w:b/>
          <w:color w:val="808080" w:themeColor="background1" w:themeShade="80"/>
        </w:rPr>
        <w:t xml:space="preserve">gulations being proposed to </w:t>
      </w:r>
      <w:r>
        <w:rPr>
          <w:b/>
          <w:color w:val="808080" w:themeColor="background1" w:themeShade="80"/>
        </w:rPr>
        <w:t xml:space="preserve">address a number of residual problems in relation to </w:t>
      </w:r>
      <w:r w:rsidRPr="00575DFE">
        <w:rPr>
          <w:b/>
          <w:color w:val="808080" w:themeColor="background1" w:themeShade="80"/>
        </w:rPr>
        <w:t>certain source</w:t>
      </w:r>
      <w:r>
        <w:rPr>
          <w:b/>
          <w:color w:val="808080" w:themeColor="background1" w:themeShade="80"/>
        </w:rPr>
        <w:t>s of and types of air pollution, and businesses</w:t>
      </w:r>
      <w:r w:rsidR="00FD33DA">
        <w:rPr>
          <w:b/>
          <w:color w:val="808080" w:themeColor="background1" w:themeShade="80"/>
        </w:rPr>
        <w:t>’</w:t>
      </w:r>
      <w:r>
        <w:rPr>
          <w:b/>
          <w:color w:val="808080" w:themeColor="background1" w:themeShade="80"/>
        </w:rPr>
        <w:t xml:space="preserve"> obligation to report emissions. </w:t>
      </w:r>
    </w:p>
    <w:p w14:paraId="656B0A6F" w14:textId="77777777" w:rsidR="00447DA1" w:rsidRPr="00E41BF3" w:rsidRDefault="000F5A44" w:rsidP="00447DA1">
      <w:pPr>
        <w:mirrorIndents/>
        <w:rPr>
          <w:color w:val="808080" w:themeColor="background1" w:themeShade="80"/>
        </w:rPr>
      </w:pPr>
      <w:r w:rsidRPr="00B70E30">
        <w:rPr>
          <w:rFonts w:cs="Segoe UI Light"/>
          <w:noProof/>
          <w:color w:val="2B579A"/>
          <w:shd w:val="clear" w:color="auto" w:fill="E6E6E6"/>
          <w:lang w:eastAsia="en-AU"/>
        </w:rPr>
        <mc:AlternateContent>
          <mc:Choice Requires="wps">
            <w:drawing>
              <wp:inline distT="0" distB="0" distL="0" distR="0" wp14:anchorId="656B1EBA" wp14:editId="656B1EBB">
                <wp:extent cx="6080760" cy="6639267"/>
                <wp:effectExtent l="0" t="0" r="15240" b="28575"/>
                <wp:docPr id="8" name="Rectangle 8"/>
                <wp:cNvGraphicFramePr/>
                <a:graphic xmlns:a="http://schemas.openxmlformats.org/drawingml/2006/main">
                  <a:graphicData uri="http://schemas.microsoft.com/office/word/2010/wordprocessingShape">
                    <wps:wsp>
                      <wps:cNvSpPr/>
                      <wps:spPr bwMode="gray">
                        <a:xfrm>
                          <a:off x="0" y="0"/>
                          <a:ext cx="6080760" cy="6639267"/>
                        </a:xfrm>
                        <a:prstGeom prst="rect">
                          <a:avLst/>
                        </a:prstGeom>
                        <a:solidFill>
                          <a:schemeClr val="bg2"/>
                        </a:solidFill>
                        <a:ln w="19050" algn="ctr">
                          <a:solidFill>
                            <a:srgbClr val="62B5E5"/>
                          </a:solidFill>
                          <a:miter lim="800000"/>
                          <a:headEnd/>
                          <a:tailEnd/>
                        </a:ln>
                      </wps:spPr>
                      <wps:txbx>
                        <w:txbxContent>
                          <w:p w14:paraId="656B2210" w14:textId="77777777" w:rsidR="00E752DE" w:rsidRPr="00410F9E" w:rsidRDefault="00E752DE" w:rsidP="000F5A44">
                            <w:pPr>
                              <w:ind w:right="262"/>
                              <w:rPr>
                                <w:rFonts w:cs="Segoe UI Light"/>
                                <w:b/>
                                <w:color w:val="FF0000"/>
                                <w:szCs w:val="20"/>
                              </w:rPr>
                            </w:pPr>
                            <w:r w:rsidRPr="00410F9E">
                              <w:rPr>
                                <w:rFonts w:cs="Segoe UI Light"/>
                                <w:b/>
                                <w:color w:val="012169" w:themeColor="accent4"/>
                                <w:szCs w:val="20"/>
                              </w:rPr>
                              <w:t>Key points:</w:t>
                            </w:r>
                          </w:p>
                          <w:p w14:paraId="656B2211" w14:textId="77777777" w:rsidR="00E752DE" w:rsidRPr="00AE334C" w:rsidRDefault="00E752DE" w:rsidP="004A2442">
                            <w:pPr>
                              <w:pStyle w:val="ListParagraph"/>
                              <w:numPr>
                                <w:ilvl w:val="0"/>
                                <w:numId w:val="62"/>
                              </w:numPr>
                              <w:ind w:right="262"/>
                              <w:mirrorIndents/>
                              <w:rPr>
                                <w:rFonts w:cs="Segoe UI Light"/>
                                <w:sz w:val="19"/>
                                <w:szCs w:val="19"/>
                              </w:rPr>
                            </w:pPr>
                            <w:r w:rsidRPr="008D16D8">
                              <w:rPr>
                                <w:rFonts w:cs="Segoe UI Light"/>
                                <w:sz w:val="19"/>
                                <w:szCs w:val="19"/>
                              </w:rPr>
                              <w:t xml:space="preserve">Air pollution is </w:t>
                            </w:r>
                            <w:r w:rsidRPr="00AE334C">
                              <w:rPr>
                                <w:rFonts w:cs="Segoe UI Light"/>
                                <w:sz w:val="19"/>
                                <w:szCs w:val="19"/>
                              </w:rPr>
                              <w:t xml:space="preserve">the introduction of a substance, such as chemical, physical or biological agent, into the atmosphere through discharge or emission of wastes. Air pollutants can be harmful to human health and the environment, and can impact on visual amenity. </w:t>
                            </w:r>
                          </w:p>
                          <w:p w14:paraId="656B2212" w14:textId="77777777" w:rsidR="00E752DE" w:rsidRPr="00AE334C" w:rsidRDefault="00E752DE" w:rsidP="004A2442">
                            <w:pPr>
                              <w:pStyle w:val="ListParagraph"/>
                              <w:numPr>
                                <w:ilvl w:val="0"/>
                                <w:numId w:val="62"/>
                              </w:numPr>
                              <w:ind w:right="262"/>
                              <w:mirrorIndents/>
                              <w:rPr>
                                <w:rFonts w:cs="Segoe UI Light"/>
                                <w:sz w:val="19"/>
                                <w:szCs w:val="19"/>
                              </w:rPr>
                            </w:pPr>
                            <w:r w:rsidRPr="00AE334C">
                              <w:rPr>
                                <w:rFonts w:cs="Segoe UI Light"/>
                                <w:sz w:val="19"/>
                                <w:szCs w:val="19"/>
                              </w:rPr>
                              <w:t xml:space="preserve">Under the new EP legislation, the GED and other obligations (such as the duty to report pollution incidents) will apply </w:t>
                            </w:r>
                            <w:r w:rsidRPr="008D16D8">
                              <w:rPr>
                                <w:rFonts w:cs="Segoe UI Light"/>
                                <w:sz w:val="19"/>
                                <w:szCs w:val="19"/>
                              </w:rPr>
                              <w:t>to duty holders with regards to their air pollution. The new permissioning framework established by the new EP legislation could also allow EPA to monitor and establish conditions for producers of air pollution that</w:t>
                            </w:r>
                            <w:r w:rsidRPr="00AE334C">
                              <w:rPr>
                                <w:rFonts w:cs="Segoe UI Light"/>
                                <w:sz w:val="19"/>
                                <w:szCs w:val="19"/>
                              </w:rPr>
                              <w:t xml:space="preserve"> fall under the framework.</w:t>
                            </w:r>
                          </w:p>
                          <w:p w14:paraId="656B2213" w14:textId="77777777" w:rsidR="00E752DE" w:rsidRPr="00AE334C" w:rsidRDefault="00E752DE" w:rsidP="00E12829">
                            <w:pPr>
                              <w:pStyle w:val="ListParagraph"/>
                              <w:numPr>
                                <w:ilvl w:val="0"/>
                                <w:numId w:val="62"/>
                              </w:numPr>
                              <w:ind w:right="262"/>
                              <w:mirrorIndents/>
                              <w:rPr>
                                <w:rFonts w:cs="Segoe UI Light"/>
                                <w:sz w:val="19"/>
                                <w:szCs w:val="19"/>
                              </w:rPr>
                            </w:pPr>
                            <w:r w:rsidRPr="00AE334C">
                              <w:rPr>
                                <w:rFonts w:cs="Segoe UI Light"/>
                                <w:sz w:val="19"/>
                                <w:szCs w:val="19"/>
                              </w:rPr>
                              <w:t xml:space="preserve">The GED, other duties and the permissioning framework are collectively likely to address a significant portion of the overall problem of air pollution in Victoria. However, some residual risk remains in relation to the significant consequences of air pollution generated by wood heaters, the emission of highly hazardous air pollutants (‘Class 3 </w:t>
                            </w:r>
                            <w:r>
                              <w:rPr>
                                <w:rFonts w:cs="Segoe UI Light"/>
                                <w:sz w:val="19"/>
                                <w:szCs w:val="19"/>
                              </w:rPr>
                              <w:t>substances</w:t>
                            </w:r>
                            <w:r w:rsidRPr="00AE334C">
                              <w:rPr>
                                <w:rFonts w:cs="Segoe UI Light"/>
                                <w:sz w:val="19"/>
                                <w:szCs w:val="19"/>
                              </w:rPr>
                              <w:t>’) and the use of methyl bromide (an ozone depleting substance)</w:t>
                            </w:r>
                            <w:r w:rsidRPr="00CB51FF">
                              <w:rPr>
                                <w:rFonts w:cs="Segoe UI Light"/>
                                <w:sz w:val="19"/>
                                <w:szCs w:val="19"/>
                              </w:rPr>
                              <w:t>.</w:t>
                            </w:r>
                            <w:r w:rsidRPr="00AE334C">
                              <w:rPr>
                                <w:rFonts w:cs="Segoe UI Light"/>
                                <w:sz w:val="19"/>
                                <w:szCs w:val="19"/>
                              </w:rPr>
                              <w:t xml:space="preserve"> These activities require further regulatory control. </w:t>
                            </w:r>
                          </w:p>
                          <w:p w14:paraId="656B2214" w14:textId="77777777" w:rsidR="00E752DE" w:rsidRPr="00AE334C" w:rsidRDefault="00E752DE" w:rsidP="00A42684">
                            <w:pPr>
                              <w:pStyle w:val="ListParagraph"/>
                              <w:numPr>
                                <w:ilvl w:val="0"/>
                                <w:numId w:val="62"/>
                              </w:numPr>
                              <w:ind w:right="262"/>
                              <w:mirrorIndents/>
                              <w:rPr>
                                <w:rFonts w:cs="Segoe UI Light"/>
                                <w:sz w:val="19"/>
                                <w:szCs w:val="19"/>
                              </w:rPr>
                            </w:pPr>
                            <w:r w:rsidRPr="00CB51FF">
                              <w:rPr>
                                <w:rFonts w:cs="Segoe UI Light"/>
                                <w:sz w:val="19"/>
                                <w:szCs w:val="19"/>
                              </w:rPr>
                              <w:t>The preferred option</w:t>
                            </w:r>
                            <w:r w:rsidRPr="00AE334C">
                              <w:rPr>
                                <w:rFonts w:cs="Segoe UI Light"/>
                                <w:sz w:val="19"/>
                                <w:szCs w:val="19"/>
                              </w:rPr>
                              <w:t xml:space="preserve"> to address the risk from wood heaters</w:t>
                            </w:r>
                            <w:r w:rsidRPr="00CB51FF">
                              <w:rPr>
                                <w:rFonts w:cs="Segoe UI Light"/>
                                <w:sz w:val="19"/>
                                <w:szCs w:val="19"/>
                              </w:rPr>
                              <w:t xml:space="preserve"> is a</w:t>
                            </w:r>
                            <w:r w:rsidRPr="00AE334C">
                              <w:rPr>
                                <w:rFonts w:cs="Segoe UI Light"/>
                                <w:sz w:val="19"/>
                                <w:szCs w:val="19"/>
                              </w:rPr>
                              <w:t xml:space="preserve"> compliance note to clarify GED obligations on suppliers and manufacturers of wood heaters. This compliance note will explain that operators in the wood heater industry will comply with the GED if they meet national standards in relation to efficiency and emissions levels.</w:t>
                            </w:r>
                            <w:r w:rsidRPr="00B91282">
                              <w:rPr>
                                <w:rFonts w:cs="Segoe UI Light"/>
                                <w:sz w:val="19"/>
                                <w:szCs w:val="19"/>
                              </w:rPr>
                              <w:t xml:space="preserve"> </w:t>
                            </w:r>
                            <w:r w:rsidRPr="00AE334C">
                              <w:rPr>
                                <w:rFonts w:cs="Segoe UI Light"/>
                                <w:sz w:val="19"/>
                                <w:szCs w:val="19"/>
                              </w:rPr>
                              <w:t>By explicitly making this statement, it will signal the importance of the national standards to the industry, influencing the behaviour of suppliers, manufacturers and consumers.</w:t>
                            </w:r>
                          </w:p>
                          <w:p w14:paraId="656B2215" w14:textId="77777777" w:rsidR="00E752DE" w:rsidRPr="00AE334C" w:rsidRDefault="00E752DE">
                            <w:pPr>
                              <w:pStyle w:val="ListParagraph"/>
                              <w:numPr>
                                <w:ilvl w:val="0"/>
                                <w:numId w:val="62"/>
                              </w:numPr>
                              <w:ind w:right="262"/>
                              <w:mirrorIndents/>
                              <w:rPr>
                                <w:rFonts w:cs="Segoe UI Light"/>
                                <w:sz w:val="19"/>
                                <w:szCs w:val="19"/>
                              </w:rPr>
                            </w:pPr>
                            <w:r w:rsidRPr="00B91282">
                              <w:rPr>
                                <w:rFonts w:cs="Segoe UI Light"/>
                                <w:sz w:val="19"/>
                                <w:szCs w:val="19"/>
                              </w:rPr>
                              <w:t xml:space="preserve">The preferred option </w:t>
                            </w:r>
                            <w:r w:rsidRPr="00AE334C">
                              <w:rPr>
                                <w:rFonts w:cs="Segoe UI Light"/>
                                <w:sz w:val="19"/>
                                <w:szCs w:val="19"/>
                              </w:rPr>
                              <w:t xml:space="preserve">for addressing the risk from Class 3 substances </w:t>
                            </w:r>
                            <w:r w:rsidRPr="00CB51FF">
                              <w:rPr>
                                <w:rFonts w:cs="Segoe UI Light"/>
                                <w:sz w:val="19"/>
                                <w:szCs w:val="19"/>
                              </w:rPr>
                              <w:t xml:space="preserve">is to prescribe a list of </w:t>
                            </w:r>
                            <w:r w:rsidRPr="00AE334C">
                              <w:rPr>
                                <w:rFonts w:cs="Segoe UI Light"/>
                                <w:sz w:val="19"/>
                                <w:szCs w:val="19"/>
                              </w:rPr>
                              <w:t>Class 3 substances</w:t>
                            </w:r>
                            <w:r w:rsidRPr="00CB51FF">
                              <w:rPr>
                                <w:rFonts w:cs="Segoe UI Light"/>
                                <w:sz w:val="19"/>
                                <w:szCs w:val="19"/>
                              </w:rPr>
                              <w:t xml:space="preserve"> in regulations, and outline the steps that holders of all licences must take in order to eliminate or minimise the emission of those substances (where applicable). </w:t>
                            </w:r>
                            <w:r w:rsidRPr="00AE334C">
                              <w:rPr>
                                <w:rFonts w:cs="Segoe UI Light"/>
                                <w:sz w:val="19"/>
                                <w:szCs w:val="19"/>
                              </w:rPr>
                              <w:t>Class 3 substances are carcinogenic, mutagenic, teratogenic, highly toxic or highly persistent and pose an extreme risk to human health. Emissions of Class 3 substances from premises that hold a licence present a particularly significant risk to human health</w:t>
                            </w:r>
                            <w:r w:rsidRPr="00CB51FF">
                              <w:rPr>
                                <w:rFonts w:cs="Segoe UI Light"/>
                                <w:sz w:val="19"/>
                                <w:szCs w:val="19"/>
                              </w:rPr>
                              <w:t>.</w:t>
                            </w:r>
                          </w:p>
                          <w:p w14:paraId="656B2216" w14:textId="77777777" w:rsidR="00E752DE" w:rsidRPr="00AE334C" w:rsidRDefault="00E752DE" w:rsidP="00810064">
                            <w:pPr>
                              <w:pStyle w:val="ListParagraph"/>
                              <w:numPr>
                                <w:ilvl w:val="0"/>
                                <w:numId w:val="62"/>
                              </w:numPr>
                              <w:ind w:right="262"/>
                              <w:mirrorIndents/>
                              <w:rPr>
                                <w:rFonts w:cs="Segoe UI Light"/>
                                <w:sz w:val="19"/>
                                <w:szCs w:val="19"/>
                              </w:rPr>
                            </w:pPr>
                            <w:r w:rsidRPr="00AE334C">
                              <w:rPr>
                                <w:rFonts w:cs="Segoe UI Light"/>
                                <w:sz w:val="19"/>
                                <w:szCs w:val="19"/>
                              </w:rPr>
                              <w:t xml:space="preserve">The preferred option for addressing the risk from methyl bromide </w:t>
                            </w:r>
                            <w:r w:rsidRPr="00CB51FF">
                              <w:rPr>
                                <w:rFonts w:cs="Segoe UI Light"/>
                                <w:sz w:val="19"/>
                                <w:szCs w:val="19"/>
                              </w:rPr>
                              <w:t xml:space="preserve">is to prescribe requirements in regulations for handlers, suppliers and purchasers of equipment with methyl bromide, and persons who use methyl bromide for selected activities. </w:t>
                            </w:r>
                            <w:r w:rsidRPr="00AE334C">
                              <w:rPr>
                                <w:rFonts w:cs="Segoe UI Light"/>
                                <w:sz w:val="19"/>
                                <w:szCs w:val="19"/>
                              </w:rPr>
                              <w:t>The emission of methyl bromide (an ozone-depleting substance) contributes to the depletion of the earth’s protective ozone layer. Commonwealth legislation and regulations prescribe the range of situations where ozone-depleting substances (including methyl bromide) are permitted to be used. However, due to the significant consequences to harm to the environment</w:t>
                            </w:r>
                            <w:r w:rsidRPr="00CB51FF">
                              <w:rPr>
                                <w:rFonts w:cs="Segoe UI Light"/>
                                <w:sz w:val="19"/>
                                <w:szCs w:val="19"/>
                              </w:rPr>
                              <w:t xml:space="preserve">, </w:t>
                            </w:r>
                            <w:r w:rsidRPr="00AE334C">
                              <w:rPr>
                                <w:rFonts w:cs="Segoe UI Light"/>
                                <w:sz w:val="19"/>
                                <w:szCs w:val="19"/>
                              </w:rPr>
                              <w:t xml:space="preserve">further regulatory control is required </w:t>
                            </w:r>
                            <w:r>
                              <w:rPr>
                                <w:rFonts w:cs="Segoe UI Light"/>
                                <w:sz w:val="19"/>
                                <w:szCs w:val="19"/>
                              </w:rPr>
                              <w:t>to specify</w:t>
                            </w:r>
                            <w:r w:rsidRPr="00AE334C">
                              <w:rPr>
                                <w:rFonts w:cs="Segoe UI Light"/>
                                <w:sz w:val="19"/>
                                <w:szCs w:val="19"/>
                              </w:rPr>
                              <w:t xml:space="preserve"> exactly how emissions of methyl bromide should be managed. </w:t>
                            </w:r>
                          </w:p>
                          <w:p w14:paraId="656B2217" w14:textId="77777777" w:rsidR="00E752DE" w:rsidRPr="00AE334C" w:rsidRDefault="00E752DE" w:rsidP="00D671D1">
                            <w:pPr>
                              <w:pStyle w:val="ListParagraph"/>
                              <w:numPr>
                                <w:ilvl w:val="0"/>
                                <w:numId w:val="62"/>
                              </w:numPr>
                              <w:ind w:right="262"/>
                              <w:mirrorIndents/>
                              <w:rPr>
                                <w:sz w:val="19"/>
                                <w:szCs w:val="19"/>
                              </w:rPr>
                            </w:pPr>
                            <w:r w:rsidRPr="00AE334C">
                              <w:rPr>
                                <w:rFonts w:cs="Segoe UI Light"/>
                                <w:sz w:val="19"/>
                                <w:szCs w:val="19"/>
                              </w:rPr>
                              <w:t>In the absence of regulations, there will also be no requirement for businesses to report their air (and other forms of) pollution to the National Pollutant Inventory (NPI). The NPI tracks pollution across Australia, ensuring that the community has access to information</w:t>
                            </w:r>
                            <w:r w:rsidRPr="00AE334C">
                              <w:rPr>
                                <w:sz w:val="19"/>
                                <w:szCs w:val="19"/>
                              </w:rPr>
                              <w:t xml:space="preserve"> about the emission and transfer of toxic substances which may affect them locally. The preferred option is to make it a requirement for businesses to report their emissions when emissions thresholds are exceeded, rather than to adopt a non-regulatory approach. </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56B1EBA" id="Rectangle 8" o:spid="_x0000_s1075" style="width:478.8pt;height:522.8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" fillcolor="#e7e6e6 [3214]" strokecolor="#62b5e5" strokeweight="1.5pt">
                <v:textbox inset="7pt,7pt,7pt,7pt">
                  <w:txbxContent>
                    <w:p w14:paraId="656B2210" w14:textId="77777777" w:rsidR="00E752DE" w:rsidRPr="00410F9E" w:rsidRDefault="00E752DE" w:rsidP="000F5A44">
                      <w:pPr>
                        <w:ind w:right="262"/>
                        <w:rPr>
                          <w:rFonts w:cs="Segoe UI Light"/>
                          <w:b/>
                          <w:color w:val="FF0000"/>
                          <w:szCs w:val="20"/>
                        </w:rPr>
                      </w:pPr>
                      <w:r w:rsidRPr="00410F9E">
                        <w:rPr>
                          <w:rFonts w:cs="Segoe UI Light"/>
                          <w:b/>
                          <w:color w:val="012169" w:themeColor="accent4"/>
                          <w:szCs w:val="20"/>
                        </w:rPr>
                        <w:t>Key points:</w:t>
                      </w:r>
                    </w:p>
                    <w:p w14:paraId="656B2211" w14:textId="77777777" w:rsidR="00E752DE" w:rsidRPr="00AE334C" w:rsidRDefault="00E752DE" w:rsidP="004A2442">
                      <w:pPr>
                        <w:pStyle w:val="ListParagraph"/>
                        <w:numPr>
                          <w:ilvl w:val="0"/>
                          <w:numId w:val="62"/>
                        </w:numPr>
                        <w:ind w:right="262"/>
                        <w:mirrorIndents/>
                        <w:rPr>
                          <w:rFonts w:cs="Segoe UI Light"/>
                          <w:sz w:val="19"/>
                          <w:szCs w:val="19"/>
                        </w:rPr>
                      </w:pPr>
                      <w:r w:rsidRPr="008D16D8">
                        <w:rPr>
                          <w:rFonts w:cs="Segoe UI Light"/>
                          <w:sz w:val="19"/>
                          <w:szCs w:val="19"/>
                        </w:rPr>
                        <w:t xml:space="preserve">Air pollution is </w:t>
                      </w:r>
                      <w:r w:rsidRPr="00AE334C">
                        <w:rPr>
                          <w:rFonts w:cs="Segoe UI Light"/>
                          <w:sz w:val="19"/>
                          <w:szCs w:val="19"/>
                        </w:rPr>
                        <w:t xml:space="preserve">the introduction of a substance, such as chemical, physical or biological agent, into the atmosphere through discharge or emission of wastes. Air pollutants can be harmful to human health and the environment, and can impact on visual amenity. </w:t>
                      </w:r>
                    </w:p>
                    <w:p w14:paraId="656B2212" w14:textId="77777777" w:rsidR="00E752DE" w:rsidRPr="00AE334C" w:rsidRDefault="00E752DE" w:rsidP="004A2442">
                      <w:pPr>
                        <w:pStyle w:val="ListParagraph"/>
                        <w:numPr>
                          <w:ilvl w:val="0"/>
                          <w:numId w:val="62"/>
                        </w:numPr>
                        <w:ind w:right="262"/>
                        <w:mirrorIndents/>
                        <w:rPr>
                          <w:rFonts w:cs="Segoe UI Light"/>
                          <w:sz w:val="19"/>
                          <w:szCs w:val="19"/>
                        </w:rPr>
                      </w:pPr>
                      <w:r w:rsidRPr="00AE334C">
                        <w:rPr>
                          <w:rFonts w:cs="Segoe UI Light"/>
                          <w:sz w:val="19"/>
                          <w:szCs w:val="19"/>
                        </w:rPr>
                        <w:t xml:space="preserve">Under the new EP legislation, the GED and other obligations (such as the duty to report pollution incidents) will apply </w:t>
                      </w:r>
                      <w:r w:rsidRPr="008D16D8">
                        <w:rPr>
                          <w:rFonts w:cs="Segoe UI Light"/>
                          <w:sz w:val="19"/>
                          <w:szCs w:val="19"/>
                        </w:rPr>
                        <w:t>to duty holders with regards to their air pollution. The new permissioning framework established by the new EP legislation could also allow EPA to monitor and establish conditions for producers of air pollution that</w:t>
                      </w:r>
                      <w:r w:rsidRPr="00AE334C">
                        <w:rPr>
                          <w:rFonts w:cs="Segoe UI Light"/>
                          <w:sz w:val="19"/>
                          <w:szCs w:val="19"/>
                        </w:rPr>
                        <w:t xml:space="preserve"> fall under the framework.</w:t>
                      </w:r>
                    </w:p>
                    <w:p w14:paraId="656B2213" w14:textId="77777777" w:rsidR="00E752DE" w:rsidRPr="00AE334C" w:rsidRDefault="00E752DE" w:rsidP="00E12829">
                      <w:pPr>
                        <w:pStyle w:val="ListParagraph"/>
                        <w:numPr>
                          <w:ilvl w:val="0"/>
                          <w:numId w:val="62"/>
                        </w:numPr>
                        <w:ind w:right="262"/>
                        <w:mirrorIndents/>
                        <w:rPr>
                          <w:rFonts w:cs="Segoe UI Light"/>
                          <w:sz w:val="19"/>
                          <w:szCs w:val="19"/>
                        </w:rPr>
                      </w:pPr>
                      <w:r w:rsidRPr="00AE334C">
                        <w:rPr>
                          <w:rFonts w:cs="Segoe UI Light"/>
                          <w:sz w:val="19"/>
                          <w:szCs w:val="19"/>
                        </w:rPr>
                        <w:t xml:space="preserve">The GED, other duties and the permissioning framework are collectively likely to address a significant portion of the overall problem of air pollution in Victoria. However, some residual risk remains in relation to the significant consequences of air pollution generated by wood heaters, the emission of highly hazardous air pollutants (‘Class 3 </w:t>
                      </w:r>
                      <w:r>
                        <w:rPr>
                          <w:rFonts w:cs="Segoe UI Light"/>
                          <w:sz w:val="19"/>
                          <w:szCs w:val="19"/>
                        </w:rPr>
                        <w:t>substances</w:t>
                      </w:r>
                      <w:r w:rsidRPr="00AE334C">
                        <w:rPr>
                          <w:rFonts w:cs="Segoe UI Light"/>
                          <w:sz w:val="19"/>
                          <w:szCs w:val="19"/>
                        </w:rPr>
                        <w:t>’) and the use of methyl bromide (an ozone depleting substance)</w:t>
                      </w:r>
                      <w:r w:rsidRPr="00CB51FF">
                        <w:rPr>
                          <w:rFonts w:cs="Segoe UI Light"/>
                          <w:sz w:val="19"/>
                          <w:szCs w:val="19"/>
                        </w:rPr>
                        <w:t>.</w:t>
                      </w:r>
                      <w:r w:rsidRPr="00AE334C">
                        <w:rPr>
                          <w:rFonts w:cs="Segoe UI Light"/>
                          <w:sz w:val="19"/>
                          <w:szCs w:val="19"/>
                        </w:rPr>
                        <w:t xml:space="preserve"> These activities require further regulatory control. </w:t>
                      </w:r>
                    </w:p>
                    <w:p w14:paraId="656B2214" w14:textId="77777777" w:rsidR="00E752DE" w:rsidRPr="00AE334C" w:rsidRDefault="00E752DE" w:rsidP="00A42684">
                      <w:pPr>
                        <w:pStyle w:val="ListParagraph"/>
                        <w:numPr>
                          <w:ilvl w:val="0"/>
                          <w:numId w:val="62"/>
                        </w:numPr>
                        <w:ind w:right="262"/>
                        <w:mirrorIndents/>
                        <w:rPr>
                          <w:rFonts w:cs="Segoe UI Light"/>
                          <w:sz w:val="19"/>
                          <w:szCs w:val="19"/>
                        </w:rPr>
                      </w:pPr>
                      <w:r w:rsidRPr="00CB51FF">
                        <w:rPr>
                          <w:rFonts w:cs="Segoe UI Light"/>
                          <w:sz w:val="19"/>
                          <w:szCs w:val="19"/>
                        </w:rPr>
                        <w:t>The preferred option</w:t>
                      </w:r>
                      <w:r w:rsidRPr="00AE334C">
                        <w:rPr>
                          <w:rFonts w:cs="Segoe UI Light"/>
                          <w:sz w:val="19"/>
                          <w:szCs w:val="19"/>
                        </w:rPr>
                        <w:t xml:space="preserve"> to address the risk from wood heaters</w:t>
                      </w:r>
                      <w:r w:rsidRPr="00CB51FF">
                        <w:rPr>
                          <w:rFonts w:cs="Segoe UI Light"/>
                          <w:sz w:val="19"/>
                          <w:szCs w:val="19"/>
                        </w:rPr>
                        <w:t xml:space="preserve"> is a</w:t>
                      </w:r>
                      <w:r w:rsidRPr="00AE334C">
                        <w:rPr>
                          <w:rFonts w:cs="Segoe UI Light"/>
                          <w:sz w:val="19"/>
                          <w:szCs w:val="19"/>
                        </w:rPr>
                        <w:t xml:space="preserve"> compliance note to clarify GED obligations on suppliers and manufacturers of wood heaters. This compliance note will explain that operators in the wood heater industry will comply with the GED if they meet national standards in relation to efficiency and emissions levels.</w:t>
                      </w:r>
                      <w:r w:rsidRPr="00B91282">
                        <w:rPr>
                          <w:rFonts w:cs="Segoe UI Light"/>
                          <w:sz w:val="19"/>
                          <w:szCs w:val="19"/>
                        </w:rPr>
                        <w:t xml:space="preserve"> </w:t>
                      </w:r>
                      <w:r w:rsidRPr="00AE334C">
                        <w:rPr>
                          <w:rFonts w:cs="Segoe UI Light"/>
                          <w:sz w:val="19"/>
                          <w:szCs w:val="19"/>
                        </w:rPr>
                        <w:t>By explicitly making this statement, it will signal the importance of the national standards to the industry, influencing the behaviour of suppliers, manufacturers and consumers.</w:t>
                      </w:r>
                    </w:p>
                    <w:p w14:paraId="656B2215" w14:textId="77777777" w:rsidR="00E752DE" w:rsidRPr="00AE334C" w:rsidRDefault="00E752DE">
                      <w:pPr>
                        <w:pStyle w:val="ListParagraph"/>
                        <w:numPr>
                          <w:ilvl w:val="0"/>
                          <w:numId w:val="62"/>
                        </w:numPr>
                        <w:ind w:right="262"/>
                        <w:mirrorIndents/>
                        <w:rPr>
                          <w:rFonts w:cs="Segoe UI Light"/>
                          <w:sz w:val="19"/>
                          <w:szCs w:val="19"/>
                        </w:rPr>
                      </w:pPr>
                      <w:r w:rsidRPr="00B91282">
                        <w:rPr>
                          <w:rFonts w:cs="Segoe UI Light"/>
                          <w:sz w:val="19"/>
                          <w:szCs w:val="19"/>
                        </w:rPr>
                        <w:t xml:space="preserve">The preferred option </w:t>
                      </w:r>
                      <w:r w:rsidRPr="00AE334C">
                        <w:rPr>
                          <w:rFonts w:cs="Segoe UI Light"/>
                          <w:sz w:val="19"/>
                          <w:szCs w:val="19"/>
                        </w:rPr>
                        <w:t xml:space="preserve">for addressing the risk from Class 3 substances </w:t>
                      </w:r>
                      <w:r w:rsidRPr="00CB51FF">
                        <w:rPr>
                          <w:rFonts w:cs="Segoe UI Light"/>
                          <w:sz w:val="19"/>
                          <w:szCs w:val="19"/>
                        </w:rPr>
                        <w:t xml:space="preserve">is to prescribe a list of </w:t>
                      </w:r>
                      <w:r w:rsidRPr="00AE334C">
                        <w:rPr>
                          <w:rFonts w:cs="Segoe UI Light"/>
                          <w:sz w:val="19"/>
                          <w:szCs w:val="19"/>
                        </w:rPr>
                        <w:t>Class 3 substances</w:t>
                      </w:r>
                      <w:r w:rsidRPr="00CB51FF">
                        <w:rPr>
                          <w:rFonts w:cs="Segoe UI Light"/>
                          <w:sz w:val="19"/>
                          <w:szCs w:val="19"/>
                        </w:rPr>
                        <w:t xml:space="preserve"> in regulations, and outline the steps that holders of all licences must take in order to eliminate or minimise the emission of those substances (where applicable). </w:t>
                      </w:r>
                      <w:r w:rsidRPr="00AE334C">
                        <w:rPr>
                          <w:rFonts w:cs="Segoe UI Light"/>
                          <w:sz w:val="19"/>
                          <w:szCs w:val="19"/>
                        </w:rPr>
                        <w:t>Class 3 substances are carcinogenic, mutagenic, teratogenic, highly toxic or highly persistent and pose an extreme risk to human health. Emissions of Class 3 substances from premises that hold a licence present a particularly significant risk to human health</w:t>
                      </w:r>
                      <w:r w:rsidRPr="00CB51FF">
                        <w:rPr>
                          <w:rFonts w:cs="Segoe UI Light"/>
                          <w:sz w:val="19"/>
                          <w:szCs w:val="19"/>
                        </w:rPr>
                        <w:t>.</w:t>
                      </w:r>
                    </w:p>
                    <w:p w14:paraId="656B2216" w14:textId="77777777" w:rsidR="00E752DE" w:rsidRPr="00AE334C" w:rsidRDefault="00E752DE" w:rsidP="00810064">
                      <w:pPr>
                        <w:pStyle w:val="ListParagraph"/>
                        <w:numPr>
                          <w:ilvl w:val="0"/>
                          <w:numId w:val="62"/>
                        </w:numPr>
                        <w:ind w:right="262"/>
                        <w:mirrorIndents/>
                        <w:rPr>
                          <w:rFonts w:cs="Segoe UI Light"/>
                          <w:sz w:val="19"/>
                          <w:szCs w:val="19"/>
                        </w:rPr>
                      </w:pPr>
                      <w:r w:rsidRPr="00AE334C">
                        <w:rPr>
                          <w:rFonts w:cs="Segoe UI Light"/>
                          <w:sz w:val="19"/>
                          <w:szCs w:val="19"/>
                        </w:rPr>
                        <w:t xml:space="preserve">The preferred option for addressing the risk from methyl bromide </w:t>
                      </w:r>
                      <w:r w:rsidRPr="00CB51FF">
                        <w:rPr>
                          <w:rFonts w:cs="Segoe UI Light"/>
                          <w:sz w:val="19"/>
                          <w:szCs w:val="19"/>
                        </w:rPr>
                        <w:t xml:space="preserve">is to prescribe requirements in regulations for handlers, suppliers and purchasers of equipment with methyl bromide, and persons who use methyl bromide for selected activities. </w:t>
                      </w:r>
                      <w:r w:rsidRPr="00AE334C">
                        <w:rPr>
                          <w:rFonts w:cs="Segoe UI Light"/>
                          <w:sz w:val="19"/>
                          <w:szCs w:val="19"/>
                        </w:rPr>
                        <w:t>The emission of methyl bromide (an ozone-depleting substance) contributes to the depletion of the earth’s protective ozone layer. Commonwealth legislation and regulations prescribe the range of situations where ozone-depleting substances (including methyl bromide) are permitted to be used. However, due to the significant consequences to harm to the environment</w:t>
                      </w:r>
                      <w:r w:rsidRPr="00CB51FF">
                        <w:rPr>
                          <w:rFonts w:cs="Segoe UI Light"/>
                          <w:sz w:val="19"/>
                          <w:szCs w:val="19"/>
                        </w:rPr>
                        <w:t xml:space="preserve">, </w:t>
                      </w:r>
                      <w:r w:rsidRPr="00AE334C">
                        <w:rPr>
                          <w:rFonts w:cs="Segoe UI Light"/>
                          <w:sz w:val="19"/>
                          <w:szCs w:val="19"/>
                        </w:rPr>
                        <w:t xml:space="preserve">further regulatory control is required </w:t>
                      </w:r>
                      <w:r>
                        <w:rPr>
                          <w:rFonts w:cs="Segoe UI Light"/>
                          <w:sz w:val="19"/>
                          <w:szCs w:val="19"/>
                        </w:rPr>
                        <w:t>to specify</w:t>
                      </w:r>
                      <w:r w:rsidRPr="00AE334C">
                        <w:rPr>
                          <w:rFonts w:cs="Segoe UI Light"/>
                          <w:sz w:val="19"/>
                          <w:szCs w:val="19"/>
                        </w:rPr>
                        <w:t xml:space="preserve"> exactly how emissions of methyl bromide should be managed. </w:t>
                      </w:r>
                    </w:p>
                    <w:p w14:paraId="656B2217" w14:textId="77777777" w:rsidR="00E752DE" w:rsidRPr="00AE334C" w:rsidRDefault="00E752DE" w:rsidP="00D671D1">
                      <w:pPr>
                        <w:pStyle w:val="ListParagraph"/>
                        <w:numPr>
                          <w:ilvl w:val="0"/>
                          <w:numId w:val="62"/>
                        </w:numPr>
                        <w:ind w:right="262"/>
                        <w:mirrorIndents/>
                        <w:rPr>
                          <w:sz w:val="19"/>
                          <w:szCs w:val="19"/>
                        </w:rPr>
                      </w:pPr>
                      <w:r w:rsidRPr="00AE334C">
                        <w:rPr>
                          <w:rFonts w:cs="Segoe UI Light"/>
                          <w:sz w:val="19"/>
                          <w:szCs w:val="19"/>
                        </w:rPr>
                        <w:t>In the absence of regulations, there will also be no requirement for businesses to report their air (and other forms of) pollution to the National Pollutant Inventory (NPI). The NPI tracks pollution across Australia, ensuring that the community has access to information</w:t>
                      </w:r>
                      <w:r w:rsidRPr="00AE334C">
                        <w:rPr>
                          <w:sz w:val="19"/>
                          <w:szCs w:val="19"/>
                        </w:rPr>
                        <w:t xml:space="preserve"> about the emission and transfer of toxic substances which may affect them locally. The preferred option is to make it a requirement for businesses to report their emissions when emissions thresholds are exceeded, rather than to adopt a non-regulatory approach. </w:t>
                      </w:r>
                    </w:p>
                  </w:txbxContent>
                </v:textbox>
                <w10:anchorlock/>
              </v:rect>
            </w:pict>
          </mc:Fallback>
        </mc:AlternateContent>
      </w:r>
    </w:p>
    <w:p w14:paraId="656B0A70" w14:textId="77777777" w:rsidR="00447DA1" w:rsidRDefault="00447DA1" w:rsidP="00982D63">
      <w:pPr>
        <w:pStyle w:val="Heading2"/>
      </w:pPr>
      <w:r>
        <w:t>Background</w:t>
      </w:r>
    </w:p>
    <w:p w14:paraId="656B0A71" w14:textId="77777777" w:rsidR="000F5A44" w:rsidRDefault="000F5A44" w:rsidP="000F5A44">
      <w:pPr>
        <w:mirrorIndents/>
        <w:rPr>
          <w:rFonts w:cs="Segoe UI Light"/>
        </w:rPr>
      </w:pPr>
      <w:r w:rsidRPr="00375F9D">
        <w:rPr>
          <w:rFonts w:cs="Segoe UI Light"/>
        </w:rPr>
        <w:t xml:space="preserve">Air pollution is the </w:t>
      </w:r>
      <w:r>
        <w:rPr>
          <w:rFonts w:cs="Segoe UI Light"/>
        </w:rPr>
        <w:t>discharge or emission</w:t>
      </w:r>
      <w:r w:rsidRPr="00375F9D">
        <w:rPr>
          <w:rFonts w:cs="Segoe UI Light"/>
        </w:rPr>
        <w:t xml:space="preserve"> of a substance, such as </w:t>
      </w:r>
      <w:r w:rsidR="00613E6A">
        <w:rPr>
          <w:rFonts w:cs="Segoe UI Light"/>
        </w:rPr>
        <w:t xml:space="preserve">a </w:t>
      </w:r>
      <w:r w:rsidRPr="00375F9D">
        <w:rPr>
          <w:rFonts w:cs="Segoe UI Light"/>
        </w:rPr>
        <w:t xml:space="preserve">chemical, physical or biological agent, into the atmosphere through discharge or emission of wastes. </w:t>
      </w:r>
    </w:p>
    <w:p w14:paraId="656B0A72" w14:textId="77777777" w:rsidR="000F5A44" w:rsidRPr="00006DFC" w:rsidRDefault="000F5A44" w:rsidP="000F5A44">
      <w:pPr>
        <w:mirrorIndents/>
      </w:pPr>
      <w:r>
        <w:t xml:space="preserve">The majority of </w:t>
      </w:r>
      <w:r w:rsidRPr="00210B2C">
        <w:t>air pollution</w:t>
      </w:r>
      <w:r>
        <w:t xml:space="preserve"> arises</w:t>
      </w:r>
      <w:r w:rsidRPr="00210B2C">
        <w:t xml:space="preserve"> </w:t>
      </w:r>
      <w:r>
        <w:t xml:space="preserve">from diffuse sources, </w:t>
      </w:r>
      <w:r w:rsidRPr="00210B2C">
        <w:t xml:space="preserve">from a range of </w:t>
      </w:r>
      <w:r>
        <w:t xml:space="preserve">indoor and outdoor </w:t>
      </w:r>
      <w:r w:rsidRPr="00210B2C">
        <w:t>activities with no specific point of discharge</w:t>
      </w:r>
      <w:r w:rsidR="00810064">
        <w:t xml:space="preserve"> (such as vehicles on roads and bushfires)</w:t>
      </w:r>
      <w:r w:rsidRPr="00210B2C">
        <w:t xml:space="preserve">. </w:t>
      </w:r>
      <w:r w:rsidR="00810064">
        <w:t>A smaller</w:t>
      </w:r>
      <w:r w:rsidR="0050628E">
        <w:t xml:space="preserve"> but still significant</w:t>
      </w:r>
      <w:r w:rsidR="00810064">
        <w:t xml:space="preserve"> </w:t>
      </w:r>
      <w:r w:rsidR="00613E6A">
        <w:t xml:space="preserve">amount </w:t>
      </w:r>
      <w:r w:rsidR="0050628E">
        <w:t>of air pollution is emitted from point sources</w:t>
      </w:r>
      <w:r>
        <w:t xml:space="preserve"> (such as </w:t>
      </w:r>
      <w:r w:rsidR="0050628E">
        <w:t xml:space="preserve">emission stacks from </w:t>
      </w:r>
      <w:r>
        <w:t>factories or coal</w:t>
      </w:r>
      <w:r>
        <w:noBreakHyphen/>
        <w:t xml:space="preserve">fired power plants). </w:t>
      </w:r>
      <w:r w:rsidR="00613E6A">
        <w:rPr>
          <w:color w:val="2B579A"/>
          <w:shd w:val="clear" w:color="auto" w:fill="E6E6E6"/>
        </w:rPr>
        <w:fldChar w:fldCharType="begin"/>
      </w:r>
      <w:r w:rsidR="00613E6A">
        <w:instrText xml:space="preserve"> REF _Ref7708493 \h </w:instrText>
      </w:r>
      <w:r w:rsidR="00613E6A">
        <w:rPr>
          <w:color w:val="2B579A"/>
          <w:shd w:val="clear" w:color="auto" w:fill="E6E6E6"/>
        </w:rPr>
      </w:r>
      <w:r w:rsidR="00613E6A">
        <w:rPr>
          <w:color w:val="2B579A"/>
          <w:shd w:val="clear" w:color="auto" w:fill="E6E6E6"/>
        </w:rPr>
        <w:fldChar w:fldCharType="separate"/>
      </w:r>
      <w:r w:rsidR="00B11C1E">
        <w:t xml:space="preserve">Table </w:t>
      </w:r>
      <w:r w:rsidR="00B11C1E">
        <w:rPr>
          <w:noProof/>
        </w:rPr>
        <w:t>12</w:t>
      </w:r>
      <w:r w:rsidR="00B11C1E">
        <w:noBreakHyphen/>
      </w:r>
      <w:r w:rsidR="00B11C1E">
        <w:rPr>
          <w:noProof/>
        </w:rPr>
        <w:t>1</w:t>
      </w:r>
      <w:r w:rsidR="00613E6A">
        <w:rPr>
          <w:color w:val="2B579A"/>
          <w:shd w:val="clear" w:color="auto" w:fill="E6E6E6"/>
        </w:rPr>
        <w:fldChar w:fldCharType="end"/>
      </w:r>
      <w:r w:rsidR="00613E6A">
        <w:rPr>
          <w:rFonts w:cs="Segoe UI Light"/>
          <w:szCs w:val="22"/>
        </w:rPr>
        <w:t xml:space="preserve"> </w:t>
      </w:r>
      <w:r>
        <w:rPr>
          <w:rFonts w:cs="Segoe UI Light"/>
          <w:szCs w:val="22"/>
        </w:rPr>
        <w:t xml:space="preserve">below details major sources of air pollution in Victoria and the type of pollutant </w:t>
      </w:r>
      <w:r w:rsidR="005A0F04">
        <w:rPr>
          <w:rFonts w:cs="Segoe UI Light"/>
          <w:szCs w:val="22"/>
        </w:rPr>
        <w:t xml:space="preserve">that is </w:t>
      </w:r>
      <w:r>
        <w:rPr>
          <w:rFonts w:cs="Segoe UI Light"/>
          <w:szCs w:val="22"/>
        </w:rPr>
        <w:t>discharge</w:t>
      </w:r>
      <w:r w:rsidR="005A0F04">
        <w:rPr>
          <w:rFonts w:cs="Segoe UI Light"/>
          <w:szCs w:val="22"/>
        </w:rPr>
        <w:t>d</w:t>
      </w:r>
      <w:r>
        <w:rPr>
          <w:rFonts w:cs="Segoe UI Light"/>
          <w:szCs w:val="22"/>
        </w:rPr>
        <w:t>.</w:t>
      </w:r>
      <w:r w:rsidRPr="00F8774F">
        <w:t xml:space="preserve"> </w:t>
      </w:r>
    </w:p>
    <w:p w14:paraId="656B0A73" w14:textId="77777777" w:rsidR="000F5A44" w:rsidRDefault="000F5A44" w:rsidP="000F5A44">
      <w:pPr>
        <w:pStyle w:val="Caption"/>
      </w:pPr>
      <w:bookmarkStart w:id="1620" w:name="_Ref7708493"/>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12</w:t>
      </w:r>
      <w:r>
        <w:rPr>
          <w:color w:val="2B579A"/>
          <w:shd w:val="clear" w:color="auto" w:fill="E6E6E6"/>
        </w:rPr>
        <w:fldChar w:fldCharType="end"/>
      </w:r>
      <w:r>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w:t>
      </w:r>
      <w:r w:rsidR="00997CFA">
        <w:rPr>
          <w:color w:val="2B579A"/>
          <w:shd w:val="clear" w:color="auto" w:fill="E6E6E6"/>
        </w:rPr>
        <w:fldChar w:fldCharType="end"/>
      </w:r>
      <w:bookmarkEnd w:id="1620"/>
      <w:r w:rsidRPr="00EA2AFB">
        <w:t xml:space="preserve"> </w:t>
      </w:r>
      <w:r w:rsidR="00024A57">
        <w:t>Examples of m</w:t>
      </w:r>
      <w:r w:rsidRPr="007C70D4">
        <w:t xml:space="preserve">ajor sources of </w:t>
      </w:r>
      <w:r>
        <w:t xml:space="preserve">air </w:t>
      </w:r>
      <w:r w:rsidRPr="007C70D4">
        <w:t>pollution</w:t>
      </w:r>
      <w:r w:rsidR="00024A57">
        <w:t xml:space="preserve"> and types of pollutants</w:t>
      </w:r>
    </w:p>
    <w:tbl>
      <w:tblPr>
        <w:tblStyle w:val="Deloittetable"/>
        <w:tblW w:w="5000" w:type="pct"/>
        <w:tblLook w:val="04A0" w:firstRow="1" w:lastRow="0" w:firstColumn="1" w:lastColumn="0" w:noHBand="0" w:noVBand="1"/>
      </w:tblPr>
      <w:tblGrid>
        <w:gridCol w:w="5198"/>
        <w:gridCol w:w="4157"/>
      </w:tblGrid>
      <w:tr w:rsidR="000F5A44" w:rsidRPr="00204BE2" w14:paraId="656B0A76" w14:textId="77777777" w:rsidTr="000F5A44">
        <w:trPr>
          <w:cnfStyle w:val="100000000000" w:firstRow="1" w:lastRow="0" w:firstColumn="0" w:lastColumn="0" w:oddVBand="0" w:evenVBand="0" w:oddHBand="0" w:evenHBand="0" w:firstRowFirstColumn="0" w:firstRowLastColumn="0" w:lastRowFirstColumn="0" w:lastRowLastColumn="0"/>
          <w:trHeight w:val="331"/>
        </w:trPr>
        <w:tc>
          <w:tcPr>
            <w:tcW w:w="2778" w:type="pct"/>
          </w:tcPr>
          <w:p w14:paraId="656B0A74" w14:textId="77777777" w:rsidR="000F5A44" w:rsidRPr="008D16D8" w:rsidRDefault="000F5A44" w:rsidP="000F5A44">
            <w:pPr>
              <w:pStyle w:val="Bullet1"/>
              <w:ind w:left="357" w:hanging="357"/>
              <w:rPr>
                <w:b/>
              </w:rPr>
            </w:pPr>
            <w:r w:rsidRPr="008D16D8">
              <w:rPr>
                <w:b/>
              </w:rPr>
              <w:t>Non-natural pollution source</w:t>
            </w:r>
          </w:p>
        </w:tc>
        <w:tc>
          <w:tcPr>
            <w:tcW w:w="2222" w:type="pct"/>
          </w:tcPr>
          <w:p w14:paraId="656B0A75" w14:textId="77777777" w:rsidR="000F5A44" w:rsidRPr="008D16D8" w:rsidRDefault="000F5A44" w:rsidP="000F5A44">
            <w:pPr>
              <w:pStyle w:val="Bullet1"/>
              <w:ind w:left="357" w:hanging="357"/>
              <w:rPr>
                <w:b/>
              </w:rPr>
            </w:pPr>
            <w:r w:rsidRPr="008D16D8">
              <w:rPr>
                <w:b/>
              </w:rPr>
              <w:t>Type of pollutant(s)</w:t>
            </w:r>
          </w:p>
        </w:tc>
      </w:tr>
      <w:tr w:rsidR="000F5A44" w:rsidRPr="00204BE2" w14:paraId="656B0A7E" w14:textId="77777777" w:rsidTr="000F5A44">
        <w:trPr>
          <w:trHeight w:val="416"/>
        </w:trPr>
        <w:tc>
          <w:tcPr>
            <w:tcW w:w="2778" w:type="pct"/>
          </w:tcPr>
          <w:p w14:paraId="656B0A77" w14:textId="77777777" w:rsidR="000F5A44" w:rsidRPr="008D16D8" w:rsidRDefault="000F5A44" w:rsidP="00D671D1">
            <w:pPr>
              <w:pStyle w:val="Bullet1"/>
              <w:ind w:left="357" w:hanging="357"/>
              <w:rPr>
                <w:sz w:val="18"/>
              </w:rPr>
            </w:pPr>
            <w:r w:rsidRPr="008D16D8">
              <w:rPr>
                <w:sz w:val="18"/>
              </w:rPr>
              <w:t>Motor vehicles</w:t>
            </w:r>
            <w:r w:rsidR="0050628E" w:rsidRPr="008D16D8">
              <w:rPr>
                <w:sz w:val="18"/>
              </w:rPr>
              <w:t xml:space="preserve"> and other </w:t>
            </w:r>
            <w:r w:rsidR="00024A57" w:rsidRPr="008D16D8">
              <w:rPr>
                <w:sz w:val="18"/>
              </w:rPr>
              <w:t xml:space="preserve">powered </w:t>
            </w:r>
            <w:r w:rsidR="0050628E" w:rsidRPr="008D16D8">
              <w:rPr>
                <w:sz w:val="18"/>
              </w:rPr>
              <w:t>transport</w:t>
            </w:r>
          </w:p>
        </w:tc>
        <w:tc>
          <w:tcPr>
            <w:tcW w:w="2222" w:type="pct"/>
          </w:tcPr>
          <w:p w14:paraId="656B0A78" w14:textId="77777777" w:rsidR="000F5A44" w:rsidRPr="008D16D8" w:rsidRDefault="000F5A44" w:rsidP="000F5A44">
            <w:pPr>
              <w:pStyle w:val="Bullet1"/>
              <w:ind w:left="357" w:hanging="357"/>
              <w:rPr>
                <w:sz w:val="18"/>
              </w:rPr>
            </w:pPr>
            <w:r w:rsidRPr="008D16D8">
              <w:rPr>
                <w:sz w:val="18"/>
              </w:rPr>
              <w:t>Carbon monoxide (CO)</w:t>
            </w:r>
          </w:p>
          <w:p w14:paraId="656B0A79" w14:textId="77777777" w:rsidR="000F5A44" w:rsidRPr="008D16D8" w:rsidRDefault="000F5A44" w:rsidP="000F5A44">
            <w:pPr>
              <w:pStyle w:val="Bullet1"/>
              <w:ind w:left="357" w:hanging="357"/>
              <w:rPr>
                <w:sz w:val="18"/>
              </w:rPr>
            </w:pPr>
            <w:r w:rsidRPr="008D16D8">
              <w:rPr>
                <w:sz w:val="18"/>
              </w:rPr>
              <w:t>Nitrogen dioxide (NO</w:t>
            </w:r>
            <w:r w:rsidRPr="008D16D8">
              <w:rPr>
                <w:sz w:val="18"/>
                <w:vertAlign w:val="subscript"/>
              </w:rPr>
              <w:t>2</w:t>
            </w:r>
            <w:r w:rsidRPr="008D16D8">
              <w:rPr>
                <w:sz w:val="18"/>
              </w:rPr>
              <w:t>)</w:t>
            </w:r>
          </w:p>
          <w:p w14:paraId="656B0A7A" w14:textId="77777777" w:rsidR="000F5A44" w:rsidRPr="008D16D8" w:rsidRDefault="000F5A44" w:rsidP="000F5A44">
            <w:pPr>
              <w:pStyle w:val="Bullet1"/>
              <w:ind w:left="357" w:hanging="357"/>
              <w:rPr>
                <w:sz w:val="18"/>
              </w:rPr>
            </w:pPr>
            <w:r w:rsidRPr="008D16D8">
              <w:rPr>
                <w:sz w:val="18"/>
              </w:rPr>
              <w:t>Particulate matter (PM</w:t>
            </w:r>
            <w:r w:rsidRPr="008D16D8">
              <w:rPr>
                <w:sz w:val="18"/>
                <w:vertAlign w:val="subscript"/>
              </w:rPr>
              <w:t>10</w:t>
            </w:r>
            <w:r w:rsidRPr="008D16D8">
              <w:rPr>
                <w:sz w:val="18"/>
              </w:rPr>
              <w:t>, PM</w:t>
            </w:r>
            <w:r w:rsidRPr="008D16D8">
              <w:rPr>
                <w:sz w:val="18"/>
                <w:vertAlign w:val="subscript"/>
              </w:rPr>
              <w:t>2.5</w:t>
            </w:r>
            <w:r w:rsidRPr="008D16D8">
              <w:rPr>
                <w:sz w:val="18"/>
              </w:rPr>
              <w:t>)</w:t>
            </w:r>
            <w:r w:rsidRPr="008122AD">
              <w:rPr>
                <w:rStyle w:val="FootnoteReference"/>
                <w:sz w:val="18"/>
              </w:rPr>
              <w:footnoteReference w:id="201"/>
            </w:r>
          </w:p>
          <w:p w14:paraId="656B0A7B" w14:textId="77777777" w:rsidR="000F5A44" w:rsidRPr="008D16D8" w:rsidRDefault="000F5A44" w:rsidP="000F5A44">
            <w:pPr>
              <w:pStyle w:val="Bullet1"/>
              <w:ind w:left="357" w:hanging="357"/>
              <w:rPr>
                <w:sz w:val="18"/>
              </w:rPr>
            </w:pPr>
            <w:r w:rsidRPr="008D16D8">
              <w:rPr>
                <w:sz w:val="18"/>
              </w:rPr>
              <w:t>Ozone</w:t>
            </w:r>
            <w:r w:rsidRPr="008D16D8">
              <w:rPr>
                <w:sz w:val="18"/>
                <w:vertAlign w:val="superscript"/>
              </w:rPr>
              <w:t>1</w:t>
            </w:r>
            <w:r w:rsidRPr="008D16D8">
              <w:rPr>
                <w:sz w:val="18"/>
              </w:rPr>
              <w:t xml:space="preserve"> (O</w:t>
            </w:r>
            <w:r w:rsidRPr="008D16D8">
              <w:rPr>
                <w:sz w:val="18"/>
                <w:vertAlign w:val="subscript"/>
              </w:rPr>
              <w:t>3</w:t>
            </w:r>
            <w:r w:rsidRPr="008D16D8">
              <w:rPr>
                <w:sz w:val="18"/>
              </w:rPr>
              <w:t>)</w:t>
            </w:r>
          </w:p>
          <w:p w14:paraId="656B0A7C" w14:textId="77777777" w:rsidR="000F5A44" w:rsidRPr="008D16D8" w:rsidRDefault="000F5A44" w:rsidP="000F5A44">
            <w:pPr>
              <w:pStyle w:val="Bullet1"/>
              <w:spacing w:after="240"/>
              <w:ind w:left="357" w:hanging="357"/>
              <w:rPr>
                <w:sz w:val="18"/>
              </w:rPr>
            </w:pPr>
            <w:r w:rsidRPr="008D16D8">
              <w:rPr>
                <w:sz w:val="18"/>
              </w:rPr>
              <w:t>Benzene, toluene, xylenes, formaldehyde</w:t>
            </w:r>
          </w:p>
          <w:p w14:paraId="656B0A7D" w14:textId="77777777" w:rsidR="000F5A44" w:rsidRPr="008D16D8" w:rsidRDefault="000F5A44" w:rsidP="000F5A44">
            <w:pPr>
              <w:pStyle w:val="Bullet1"/>
              <w:spacing w:after="0"/>
              <w:ind w:left="357" w:hanging="357"/>
              <w:rPr>
                <w:sz w:val="18"/>
              </w:rPr>
            </w:pPr>
            <w:r w:rsidRPr="008D16D8">
              <w:rPr>
                <w:sz w:val="18"/>
              </w:rPr>
              <w:t>Carbon dioxide (CO</w:t>
            </w:r>
            <w:r w:rsidRPr="008D16D8">
              <w:rPr>
                <w:sz w:val="18"/>
                <w:vertAlign w:val="subscript"/>
              </w:rPr>
              <w:t>2</w:t>
            </w:r>
            <w:r w:rsidRPr="008D16D8">
              <w:rPr>
                <w:sz w:val="18"/>
              </w:rPr>
              <w:t>)</w:t>
            </w:r>
          </w:p>
        </w:tc>
      </w:tr>
      <w:tr w:rsidR="000F5A44" w:rsidRPr="00204BE2" w14:paraId="656B0A87" w14:textId="77777777" w:rsidTr="000F5A44">
        <w:trPr>
          <w:trHeight w:val="938"/>
        </w:trPr>
        <w:tc>
          <w:tcPr>
            <w:tcW w:w="2778" w:type="pct"/>
          </w:tcPr>
          <w:p w14:paraId="656B0A7F" w14:textId="77777777" w:rsidR="000F5A44" w:rsidRPr="00853F1D" w:rsidRDefault="000F5A44" w:rsidP="00494A7B">
            <w:pPr>
              <w:spacing w:after="0"/>
              <w:mirrorIndents/>
              <w:rPr>
                <w:rFonts w:cs="Segoe UI Light"/>
                <w:sz w:val="18"/>
                <w:szCs w:val="20"/>
              </w:rPr>
            </w:pPr>
            <w:r w:rsidRPr="000730C7">
              <w:rPr>
                <w:rFonts w:cs="Segoe UI Light"/>
                <w:sz w:val="18"/>
                <w:szCs w:val="20"/>
              </w:rPr>
              <w:t>Industry (including coal fired power plants</w:t>
            </w:r>
            <w:r w:rsidR="0050628E" w:rsidRPr="009271CA">
              <w:rPr>
                <w:rFonts w:cs="Segoe UI Light"/>
                <w:sz w:val="18"/>
                <w:szCs w:val="20"/>
              </w:rPr>
              <w:t>,</w:t>
            </w:r>
            <w:r w:rsidRPr="00B40D23">
              <w:rPr>
                <w:rFonts w:cs="Segoe UI Light"/>
                <w:sz w:val="18"/>
                <w:szCs w:val="20"/>
              </w:rPr>
              <w:t xml:space="preserve"> mining</w:t>
            </w:r>
            <w:r w:rsidR="0050628E" w:rsidRPr="00B40D23">
              <w:rPr>
                <w:rFonts w:cs="Segoe UI Light"/>
                <w:sz w:val="18"/>
                <w:szCs w:val="20"/>
              </w:rPr>
              <w:t xml:space="preserve"> and waste </w:t>
            </w:r>
            <w:r w:rsidR="00024A57" w:rsidRPr="0030430D">
              <w:rPr>
                <w:rFonts w:cs="Segoe UI Light"/>
                <w:sz w:val="18"/>
                <w:szCs w:val="20"/>
              </w:rPr>
              <w:t>incineration plants and thermal waste treatment plants</w:t>
            </w:r>
            <w:r w:rsidRPr="00853F1D">
              <w:rPr>
                <w:rFonts w:cs="Segoe UI Light"/>
                <w:sz w:val="18"/>
                <w:szCs w:val="20"/>
              </w:rPr>
              <w:t>)</w:t>
            </w:r>
          </w:p>
        </w:tc>
        <w:tc>
          <w:tcPr>
            <w:tcW w:w="2222" w:type="pct"/>
          </w:tcPr>
          <w:p w14:paraId="656B0A80" w14:textId="77777777" w:rsidR="000F5A44" w:rsidRPr="008D16D8" w:rsidRDefault="000F5A44" w:rsidP="000F5A44">
            <w:pPr>
              <w:pStyle w:val="Bullet1"/>
              <w:ind w:left="357" w:hanging="357"/>
              <w:rPr>
                <w:sz w:val="18"/>
              </w:rPr>
            </w:pPr>
            <w:r w:rsidRPr="008D16D8">
              <w:rPr>
                <w:sz w:val="18"/>
              </w:rPr>
              <w:t>Carbon dioxide (CO</w:t>
            </w:r>
            <w:r w:rsidRPr="008D16D8">
              <w:rPr>
                <w:sz w:val="18"/>
                <w:vertAlign w:val="subscript"/>
              </w:rPr>
              <w:t>2</w:t>
            </w:r>
            <w:r w:rsidRPr="008D16D8">
              <w:rPr>
                <w:sz w:val="18"/>
              </w:rPr>
              <w:t>)</w:t>
            </w:r>
          </w:p>
          <w:p w14:paraId="656B0A81" w14:textId="77777777" w:rsidR="000F5A44" w:rsidRPr="008D16D8" w:rsidRDefault="000F5A44" w:rsidP="000F5A44">
            <w:pPr>
              <w:pStyle w:val="Bullet1"/>
              <w:ind w:left="357" w:hanging="357"/>
              <w:rPr>
                <w:sz w:val="18"/>
              </w:rPr>
            </w:pPr>
            <w:r w:rsidRPr="008D16D8">
              <w:rPr>
                <w:sz w:val="18"/>
              </w:rPr>
              <w:t>Carbon monoxide (CO)</w:t>
            </w:r>
          </w:p>
          <w:p w14:paraId="656B0A82" w14:textId="77777777" w:rsidR="000F5A44" w:rsidRPr="008D16D8" w:rsidRDefault="000F5A44" w:rsidP="000F5A44">
            <w:pPr>
              <w:pStyle w:val="Bullet1"/>
              <w:ind w:left="357" w:hanging="357"/>
              <w:rPr>
                <w:sz w:val="18"/>
              </w:rPr>
            </w:pPr>
            <w:r w:rsidRPr="008D16D8">
              <w:rPr>
                <w:sz w:val="18"/>
              </w:rPr>
              <w:t>Nitrogen dioxide (NO</w:t>
            </w:r>
            <w:r w:rsidRPr="008D16D8">
              <w:rPr>
                <w:sz w:val="18"/>
                <w:vertAlign w:val="subscript"/>
              </w:rPr>
              <w:t>2</w:t>
            </w:r>
            <w:r w:rsidRPr="008D16D8">
              <w:rPr>
                <w:sz w:val="18"/>
              </w:rPr>
              <w:t>)</w:t>
            </w:r>
          </w:p>
          <w:p w14:paraId="656B0A83" w14:textId="77777777" w:rsidR="000F5A44" w:rsidRPr="008D16D8" w:rsidRDefault="000F5A44" w:rsidP="000F5A44">
            <w:pPr>
              <w:pStyle w:val="Bullet1"/>
              <w:ind w:left="357" w:hanging="357"/>
              <w:rPr>
                <w:sz w:val="18"/>
              </w:rPr>
            </w:pPr>
            <w:r w:rsidRPr="008D16D8">
              <w:rPr>
                <w:sz w:val="18"/>
              </w:rPr>
              <w:t>Sulfur dioxide (SO</w:t>
            </w:r>
            <w:r w:rsidRPr="008D16D8">
              <w:rPr>
                <w:sz w:val="18"/>
                <w:vertAlign w:val="subscript"/>
              </w:rPr>
              <w:t>2</w:t>
            </w:r>
            <w:r w:rsidRPr="008D16D8">
              <w:rPr>
                <w:sz w:val="18"/>
              </w:rPr>
              <w:t>)</w:t>
            </w:r>
          </w:p>
          <w:p w14:paraId="656B0A84" w14:textId="77777777" w:rsidR="000F5A44" w:rsidRPr="008D16D8" w:rsidRDefault="000F5A44" w:rsidP="000F5A44">
            <w:pPr>
              <w:pStyle w:val="Bullet1"/>
              <w:ind w:left="357" w:hanging="357"/>
              <w:rPr>
                <w:sz w:val="18"/>
              </w:rPr>
            </w:pPr>
            <w:r w:rsidRPr="008D16D8">
              <w:rPr>
                <w:sz w:val="18"/>
              </w:rPr>
              <w:t>Lead (Pb)</w:t>
            </w:r>
          </w:p>
          <w:p w14:paraId="656B0A85" w14:textId="77777777" w:rsidR="000F5A44" w:rsidRPr="008D16D8" w:rsidRDefault="000F5A44" w:rsidP="000F5A44">
            <w:pPr>
              <w:pStyle w:val="Bullet1"/>
              <w:ind w:left="357" w:hanging="357"/>
              <w:rPr>
                <w:sz w:val="18"/>
              </w:rPr>
            </w:pPr>
            <w:r w:rsidRPr="008D16D8">
              <w:rPr>
                <w:sz w:val="18"/>
              </w:rPr>
              <w:t>Particulate matter (PM</w:t>
            </w:r>
            <w:r w:rsidRPr="008D16D8">
              <w:rPr>
                <w:sz w:val="18"/>
                <w:vertAlign w:val="subscript"/>
              </w:rPr>
              <w:t>10</w:t>
            </w:r>
            <w:r w:rsidRPr="008D16D8">
              <w:rPr>
                <w:sz w:val="18"/>
              </w:rPr>
              <w:t>, PM</w:t>
            </w:r>
            <w:r w:rsidRPr="008D16D8">
              <w:rPr>
                <w:sz w:val="18"/>
                <w:vertAlign w:val="subscript"/>
              </w:rPr>
              <w:t>2.5</w:t>
            </w:r>
            <w:r w:rsidRPr="008D16D8">
              <w:rPr>
                <w:sz w:val="18"/>
              </w:rPr>
              <w:t>)</w:t>
            </w:r>
          </w:p>
          <w:p w14:paraId="656B0A86" w14:textId="77777777" w:rsidR="000F5A44" w:rsidRPr="008D16D8" w:rsidRDefault="000F5A44" w:rsidP="000F5A44">
            <w:pPr>
              <w:pStyle w:val="Bullet1"/>
              <w:spacing w:after="0"/>
              <w:ind w:left="357" w:hanging="357"/>
              <w:rPr>
                <w:sz w:val="18"/>
              </w:rPr>
            </w:pPr>
            <w:r w:rsidRPr="008D16D8">
              <w:rPr>
                <w:sz w:val="18"/>
              </w:rPr>
              <w:t>Ozone</w:t>
            </w:r>
            <w:r w:rsidRPr="008D16D8">
              <w:rPr>
                <w:sz w:val="18"/>
                <w:vertAlign w:val="superscript"/>
              </w:rPr>
              <w:t xml:space="preserve">1 </w:t>
            </w:r>
            <w:r w:rsidRPr="008D16D8">
              <w:rPr>
                <w:sz w:val="18"/>
              </w:rPr>
              <w:t>(O</w:t>
            </w:r>
            <w:r w:rsidRPr="008D16D8">
              <w:rPr>
                <w:sz w:val="18"/>
                <w:vertAlign w:val="subscript"/>
              </w:rPr>
              <w:t>3</w:t>
            </w:r>
            <w:r w:rsidRPr="008D16D8">
              <w:rPr>
                <w:sz w:val="18"/>
              </w:rPr>
              <w:t>)</w:t>
            </w:r>
          </w:p>
        </w:tc>
      </w:tr>
      <w:tr w:rsidR="000F5A44" w:rsidRPr="00204BE2" w14:paraId="656B0A8A" w14:textId="77777777" w:rsidTr="000F5A44">
        <w:trPr>
          <w:trHeight w:val="342"/>
        </w:trPr>
        <w:tc>
          <w:tcPr>
            <w:tcW w:w="2778" w:type="pct"/>
          </w:tcPr>
          <w:p w14:paraId="656B0A88" w14:textId="77777777" w:rsidR="000F5A44" w:rsidRPr="008D16D8" w:rsidRDefault="000F5A44" w:rsidP="000F5A44">
            <w:pPr>
              <w:pStyle w:val="Bullet1"/>
              <w:spacing w:after="240"/>
              <w:ind w:left="357" w:hanging="357"/>
              <w:rPr>
                <w:sz w:val="18"/>
              </w:rPr>
            </w:pPr>
            <w:r w:rsidRPr="008D16D8">
              <w:rPr>
                <w:sz w:val="18"/>
              </w:rPr>
              <w:t>Animal industries</w:t>
            </w:r>
          </w:p>
        </w:tc>
        <w:tc>
          <w:tcPr>
            <w:tcW w:w="2222" w:type="pct"/>
          </w:tcPr>
          <w:p w14:paraId="656B0A89" w14:textId="77777777" w:rsidR="000F5A44" w:rsidRPr="008D16D8" w:rsidRDefault="000F5A44" w:rsidP="000F5A44">
            <w:pPr>
              <w:pStyle w:val="Bullet1"/>
              <w:spacing w:after="0"/>
              <w:ind w:left="357" w:hanging="357"/>
              <w:rPr>
                <w:sz w:val="18"/>
              </w:rPr>
            </w:pPr>
            <w:r w:rsidRPr="008D16D8">
              <w:rPr>
                <w:sz w:val="18"/>
              </w:rPr>
              <w:t>Methane (CH</w:t>
            </w:r>
            <w:r w:rsidRPr="008D16D8">
              <w:rPr>
                <w:sz w:val="18"/>
                <w:vertAlign w:val="subscript"/>
              </w:rPr>
              <w:t>4</w:t>
            </w:r>
            <w:r w:rsidRPr="008D16D8">
              <w:rPr>
                <w:sz w:val="18"/>
              </w:rPr>
              <w:t>)</w:t>
            </w:r>
          </w:p>
        </w:tc>
      </w:tr>
      <w:tr w:rsidR="000F5A44" w:rsidRPr="00204BE2" w14:paraId="656B0A8E" w14:textId="77777777" w:rsidTr="000F5A44">
        <w:trPr>
          <w:trHeight w:val="342"/>
        </w:trPr>
        <w:tc>
          <w:tcPr>
            <w:tcW w:w="2778" w:type="pct"/>
          </w:tcPr>
          <w:p w14:paraId="656B0A8B" w14:textId="77777777" w:rsidR="000F5A44" w:rsidRPr="008D16D8" w:rsidRDefault="000F5A44" w:rsidP="000F5A44">
            <w:pPr>
              <w:pStyle w:val="Bullet1"/>
              <w:ind w:left="357" w:hanging="357"/>
              <w:rPr>
                <w:sz w:val="18"/>
              </w:rPr>
            </w:pPr>
            <w:r w:rsidRPr="008D16D8">
              <w:rPr>
                <w:sz w:val="18"/>
              </w:rPr>
              <w:t>Wood heating (or solid fuel heating)</w:t>
            </w:r>
          </w:p>
        </w:tc>
        <w:tc>
          <w:tcPr>
            <w:tcW w:w="2222" w:type="pct"/>
          </w:tcPr>
          <w:p w14:paraId="656B0A8C" w14:textId="77777777" w:rsidR="000F5A44" w:rsidRPr="008D16D8" w:rsidRDefault="000F5A44" w:rsidP="000F5A44">
            <w:pPr>
              <w:pStyle w:val="Bullet1"/>
              <w:ind w:left="357" w:hanging="357"/>
              <w:rPr>
                <w:sz w:val="18"/>
              </w:rPr>
            </w:pPr>
            <w:r w:rsidRPr="008D16D8">
              <w:rPr>
                <w:sz w:val="18"/>
              </w:rPr>
              <w:t>Particulate matter (PM</w:t>
            </w:r>
            <w:r w:rsidRPr="008D16D8">
              <w:rPr>
                <w:sz w:val="18"/>
                <w:vertAlign w:val="subscript"/>
              </w:rPr>
              <w:t>10</w:t>
            </w:r>
            <w:r w:rsidRPr="008D16D8">
              <w:rPr>
                <w:sz w:val="18"/>
              </w:rPr>
              <w:t>, PM</w:t>
            </w:r>
            <w:r w:rsidRPr="008D16D8">
              <w:rPr>
                <w:sz w:val="18"/>
                <w:vertAlign w:val="subscript"/>
              </w:rPr>
              <w:t>2.5</w:t>
            </w:r>
            <w:r w:rsidRPr="008D16D8">
              <w:rPr>
                <w:sz w:val="18"/>
              </w:rPr>
              <w:t>)</w:t>
            </w:r>
          </w:p>
          <w:p w14:paraId="656B0A8D" w14:textId="77777777" w:rsidR="000F5A44" w:rsidRPr="008D16D8" w:rsidRDefault="000F5A44" w:rsidP="000F5A44">
            <w:pPr>
              <w:pStyle w:val="Bullet1"/>
              <w:spacing w:after="0"/>
              <w:ind w:left="357" w:hanging="357"/>
              <w:rPr>
                <w:sz w:val="18"/>
              </w:rPr>
            </w:pPr>
            <w:r w:rsidRPr="008D16D8">
              <w:rPr>
                <w:sz w:val="18"/>
              </w:rPr>
              <w:t>Carbon monoxide</w:t>
            </w:r>
          </w:p>
        </w:tc>
      </w:tr>
      <w:tr w:rsidR="000F5A44" w:rsidRPr="00204BE2" w14:paraId="656B0A92" w14:textId="77777777" w:rsidTr="000F5A44">
        <w:trPr>
          <w:trHeight w:val="342"/>
        </w:trPr>
        <w:tc>
          <w:tcPr>
            <w:tcW w:w="2778" w:type="pct"/>
          </w:tcPr>
          <w:p w14:paraId="656B0A8F" w14:textId="77777777" w:rsidR="000F5A44" w:rsidRPr="008D16D8" w:rsidRDefault="00024A57" w:rsidP="000F5A44">
            <w:pPr>
              <w:pStyle w:val="Bullet1"/>
              <w:ind w:left="357" w:hanging="357"/>
              <w:rPr>
                <w:sz w:val="18"/>
              </w:rPr>
            </w:pPr>
            <w:r w:rsidRPr="008D16D8">
              <w:rPr>
                <w:sz w:val="18"/>
              </w:rPr>
              <w:t>P</w:t>
            </w:r>
            <w:r w:rsidR="000F5A44" w:rsidRPr="008D16D8">
              <w:rPr>
                <w:sz w:val="18"/>
              </w:rPr>
              <w:t>lanned burns</w:t>
            </w:r>
          </w:p>
        </w:tc>
        <w:tc>
          <w:tcPr>
            <w:tcW w:w="2222" w:type="pct"/>
          </w:tcPr>
          <w:p w14:paraId="656B0A90" w14:textId="77777777" w:rsidR="000F5A44" w:rsidRPr="008D16D8" w:rsidRDefault="000F5A44" w:rsidP="000F5A44">
            <w:pPr>
              <w:pStyle w:val="Bullet1"/>
              <w:ind w:left="357" w:hanging="357"/>
              <w:rPr>
                <w:sz w:val="18"/>
              </w:rPr>
            </w:pPr>
            <w:r w:rsidRPr="008D16D8">
              <w:rPr>
                <w:sz w:val="18"/>
              </w:rPr>
              <w:t>Ozone</w:t>
            </w:r>
            <w:r w:rsidRPr="008D16D8">
              <w:rPr>
                <w:sz w:val="18"/>
                <w:vertAlign w:val="superscript"/>
              </w:rPr>
              <w:t xml:space="preserve">1 </w:t>
            </w:r>
            <w:r w:rsidRPr="008D16D8">
              <w:rPr>
                <w:sz w:val="18"/>
              </w:rPr>
              <w:t>(O</w:t>
            </w:r>
            <w:r w:rsidRPr="008D16D8">
              <w:rPr>
                <w:sz w:val="18"/>
                <w:vertAlign w:val="subscript"/>
              </w:rPr>
              <w:t>3</w:t>
            </w:r>
            <w:r w:rsidRPr="008D16D8">
              <w:rPr>
                <w:sz w:val="18"/>
              </w:rPr>
              <w:t>)</w:t>
            </w:r>
          </w:p>
          <w:p w14:paraId="656B0A91" w14:textId="77777777" w:rsidR="000F5A44" w:rsidRPr="008D16D8" w:rsidRDefault="000F5A44" w:rsidP="000F5A44">
            <w:pPr>
              <w:pStyle w:val="Bullet1"/>
              <w:spacing w:after="0"/>
              <w:ind w:left="357" w:hanging="357"/>
              <w:rPr>
                <w:sz w:val="18"/>
              </w:rPr>
            </w:pPr>
            <w:r w:rsidRPr="008D16D8">
              <w:rPr>
                <w:sz w:val="18"/>
              </w:rPr>
              <w:t>Particulate matter (PM</w:t>
            </w:r>
            <w:r w:rsidRPr="008D16D8">
              <w:rPr>
                <w:sz w:val="18"/>
                <w:vertAlign w:val="subscript"/>
              </w:rPr>
              <w:t>10</w:t>
            </w:r>
            <w:r w:rsidRPr="008D16D8">
              <w:rPr>
                <w:sz w:val="18"/>
              </w:rPr>
              <w:t>, PM</w:t>
            </w:r>
            <w:r w:rsidRPr="008D16D8">
              <w:rPr>
                <w:sz w:val="18"/>
                <w:vertAlign w:val="subscript"/>
              </w:rPr>
              <w:t>2.5</w:t>
            </w:r>
            <w:r w:rsidRPr="008D16D8">
              <w:rPr>
                <w:sz w:val="18"/>
              </w:rPr>
              <w:t>)</w:t>
            </w:r>
          </w:p>
        </w:tc>
      </w:tr>
      <w:tr w:rsidR="000F5A44" w:rsidRPr="00204BE2" w14:paraId="656B0A95" w14:textId="77777777" w:rsidTr="000F5A44">
        <w:trPr>
          <w:trHeight w:val="342"/>
        </w:trPr>
        <w:tc>
          <w:tcPr>
            <w:tcW w:w="2778" w:type="pct"/>
          </w:tcPr>
          <w:p w14:paraId="656B0A93" w14:textId="77777777" w:rsidR="000F5A44" w:rsidRPr="008D16D8" w:rsidRDefault="000F5A44" w:rsidP="000F5A44">
            <w:pPr>
              <w:pStyle w:val="Bullet1"/>
              <w:spacing w:after="0"/>
              <w:ind w:left="357" w:hanging="357"/>
              <w:rPr>
                <w:sz w:val="18"/>
              </w:rPr>
            </w:pPr>
            <w:r w:rsidRPr="008D16D8">
              <w:rPr>
                <w:sz w:val="18"/>
              </w:rPr>
              <w:t>Shipping</w:t>
            </w:r>
          </w:p>
        </w:tc>
        <w:tc>
          <w:tcPr>
            <w:tcW w:w="2222" w:type="pct"/>
          </w:tcPr>
          <w:p w14:paraId="656B0A94" w14:textId="77777777" w:rsidR="000F5A44" w:rsidRPr="008D16D8" w:rsidRDefault="000F5A44" w:rsidP="000F5A44">
            <w:pPr>
              <w:pStyle w:val="Bullet1"/>
              <w:spacing w:after="0"/>
              <w:ind w:left="357" w:hanging="357"/>
              <w:rPr>
                <w:sz w:val="18"/>
              </w:rPr>
            </w:pPr>
            <w:r w:rsidRPr="008D16D8">
              <w:rPr>
                <w:sz w:val="18"/>
              </w:rPr>
              <w:t>Sulfur dioxide (SO</w:t>
            </w:r>
            <w:r w:rsidRPr="008D16D8">
              <w:rPr>
                <w:sz w:val="18"/>
                <w:vertAlign w:val="subscript"/>
              </w:rPr>
              <w:t>2</w:t>
            </w:r>
            <w:r w:rsidRPr="008D16D8">
              <w:rPr>
                <w:sz w:val="18"/>
              </w:rPr>
              <w:t>)</w:t>
            </w:r>
          </w:p>
        </w:tc>
      </w:tr>
      <w:tr w:rsidR="000F5A44" w:rsidRPr="00204BE2" w14:paraId="656B0A99" w14:textId="77777777" w:rsidTr="000F5A44">
        <w:trPr>
          <w:trHeight w:val="342"/>
        </w:trPr>
        <w:tc>
          <w:tcPr>
            <w:tcW w:w="2778" w:type="pct"/>
          </w:tcPr>
          <w:p w14:paraId="656B0A96" w14:textId="77777777" w:rsidR="000F5A44" w:rsidRPr="008D16D8" w:rsidRDefault="00024A57" w:rsidP="000F5A44">
            <w:pPr>
              <w:pStyle w:val="Bullet1"/>
              <w:spacing w:after="240"/>
              <w:ind w:left="357" w:hanging="357"/>
              <w:rPr>
                <w:sz w:val="18"/>
              </w:rPr>
            </w:pPr>
            <w:r w:rsidRPr="008D16D8">
              <w:rPr>
                <w:sz w:val="18"/>
              </w:rPr>
              <w:t>R</w:t>
            </w:r>
            <w:r w:rsidR="000F5A44" w:rsidRPr="008D16D8">
              <w:rPr>
                <w:sz w:val="18"/>
              </w:rPr>
              <w:t>oad dust</w:t>
            </w:r>
          </w:p>
        </w:tc>
        <w:tc>
          <w:tcPr>
            <w:tcW w:w="2222" w:type="pct"/>
          </w:tcPr>
          <w:p w14:paraId="656B0A97" w14:textId="77777777" w:rsidR="000F5A44" w:rsidRPr="008D16D8" w:rsidRDefault="000F5A44" w:rsidP="000F5A44">
            <w:pPr>
              <w:pStyle w:val="Bullet1"/>
              <w:spacing w:after="240"/>
              <w:ind w:left="357" w:hanging="357"/>
              <w:rPr>
                <w:sz w:val="18"/>
              </w:rPr>
            </w:pPr>
            <w:r w:rsidRPr="008D16D8">
              <w:rPr>
                <w:sz w:val="18"/>
              </w:rPr>
              <w:t>Particulate matter (PM</w:t>
            </w:r>
            <w:r w:rsidRPr="008D16D8">
              <w:rPr>
                <w:sz w:val="18"/>
                <w:vertAlign w:val="subscript"/>
              </w:rPr>
              <w:t>10</w:t>
            </w:r>
            <w:r w:rsidRPr="008D16D8">
              <w:rPr>
                <w:sz w:val="18"/>
              </w:rPr>
              <w:t>, PM</w:t>
            </w:r>
            <w:r w:rsidRPr="008D16D8">
              <w:rPr>
                <w:sz w:val="18"/>
                <w:vertAlign w:val="subscript"/>
              </w:rPr>
              <w:t>2.5</w:t>
            </w:r>
            <w:r w:rsidRPr="008D16D8">
              <w:rPr>
                <w:sz w:val="18"/>
              </w:rPr>
              <w:t>)</w:t>
            </w:r>
          </w:p>
          <w:p w14:paraId="656B0A98" w14:textId="77777777" w:rsidR="000F5A44" w:rsidRPr="008D16D8" w:rsidRDefault="000F5A44" w:rsidP="000F5A44">
            <w:pPr>
              <w:pStyle w:val="Bullet1"/>
              <w:spacing w:after="0"/>
              <w:ind w:left="357" w:hanging="357"/>
              <w:rPr>
                <w:sz w:val="18"/>
              </w:rPr>
            </w:pPr>
            <w:r w:rsidRPr="008D16D8">
              <w:rPr>
                <w:sz w:val="18"/>
              </w:rPr>
              <w:t>Lead</w:t>
            </w:r>
          </w:p>
        </w:tc>
      </w:tr>
    </w:tbl>
    <w:p w14:paraId="656B0A9A" w14:textId="77777777" w:rsidR="008678E6" w:rsidRDefault="008678E6" w:rsidP="00E059BF">
      <w:pPr>
        <w:pStyle w:val="2Source"/>
      </w:pPr>
      <w:r w:rsidRPr="00D85A7F">
        <w:t>Source: EPA</w:t>
      </w:r>
      <w:r w:rsidR="00E059BF">
        <w:t xml:space="preserve">. Note: </w:t>
      </w:r>
      <w:r w:rsidR="00E059BF">
        <w:rPr>
          <w:vertAlign w:val="superscript"/>
        </w:rPr>
        <w:t xml:space="preserve">1 </w:t>
      </w:r>
      <w:r w:rsidR="00E059BF">
        <w:t>Ground-level Ozone is not directly emitted, it is a secondary pollutant as that is formed through a chemical reaction between oxides of nitrogen (NOx) and volatile organic compounds (VOC) in the presence of sunlight</w:t>
      </w:r>
      <w:r w:rsidR="00A97D59">
        <w:t>.</w:t>
      </w:r>
    </w:p>
    <w:p w14:paraId="656B0A9B" w14:textId="77777777" w:rsidR="00972667" w:rsidRDefault="00B7030E">
      <w:pPr>
        <w:mirrorIndents/>
      </w:pPr>
      <w:r>
        <w:t xml:space="preserve">EPA’s </w:t>
      </w:r>
      <w:r w:rsidRPr="008C59F1">
        <w:rPr>
          <w:i/>
        </w:rPr>
        <w:t xml:space="preserve">Future Air Quality </w:t>
      </w:r>
      <w:r>
        <w:rPr>
          <w:i/>
        </w:rPr>
        <w:t>in Victoria</w:t>
      </w:r>
      <w:r>
        <w:t xml:space="preserve"> report highlights that key pollutants of concern in the future are expected to be </w:t>
      </w:r>
      <w:r w:rsidR="00376AD2">
        <w:t xml:space="preserve">particulate matter </w:t>
      </w:r>
      <w:r>
        <w:t xml:space="preserve">and </w:t>
      </w:r>
      <w:r w:rsidR="00884ACA">
        <w:t>o</w:t>
      </w:r>
      <w:r w:rsidR="003936E2">
        <w:t>zone</w:t>
      </w:r>
      <w:r>
        <w:t>. In particular, p</w:t>
      </w:r>
      <w:r w:rsidR="00972667" w:rsidRPr="009C56F6">
        <w:t xml:space="preserve">articulate matter pollution is a major issue for high-density regions. Based on </w:t>
      </w:r>
      <w:r w:rsidR="001B4CE3">
        <w:t>EPA</w:t>
      </w:r>
      <w:r w:rsidR="00972667" w:rsidRPr="009C56F6">
        <w:t xml:space="preserve"> 2006 Air Emissions Inventory, human sources account for 78 percent of particulate matter</w:t>
      </w:r>
      <w:r w:rsidR="00972667">
        <w:t xml:space="preserve"> </w:t>
      </w:r>
      <w:r w:rsidR="00972667" w:rsidRPr="00C3029C">
        <w:t xml:space="preserve">within the Port Phillip Region (Melbourne, Geelong and </w:t>
      </w:r>
      <w:r w:rsidR="000F5A44">
        <w:t xml:space="preserve">the </w:t>
      </w:r>
      <w:r w:rsidR="00972667" w:rsidRPr="00C3029C">
        <w:t>Mornington Peninsula).</w:t>
      </w:r>
      <w:r w:rsidR="00972667">
        <w:t xml:space="preserve"> </w:t>
      </w:r>
      <w:r w:rsidR="00FC5B30">
        <w:t>Domestic w</w:t>
      </w:r>
      <w:r w:rsidR="00972667">
        <w:t xml:space="preserve">ood heating is </w:t>
      </w:r>
      <w:r w:rsidR="000F5A44">
        <w:t>a key</w:t>
      </w:r>
      <w:r w:rsidR="00972667">
        <w:t xml:space="preserve"> </w:t>
      </w:r>
      <w:r w:rsidR="00296CA8">
        <w:t xml:space="preserve">source </w:t>
      </w:r>
      <w:r w:rsidR="00972667">
        <w:t xml:space="preserve">of particulate matter </w:t>
      </w:r>
      <w:r w:rsidR="003D581A">
        <w:t xml:space="preserve">and is the most significant </w:t>
      </w:r>
      <w:r w:rsidR="00A639BB">
        <w:t xml:space="preserve">source </w:t>
      </w:r>
      <w:r w:rsidR="00972667">
        <w:t xml:space="preserve">during </w:t>
      </w:r>
      <w:r w:rsidR="002C2557">
        <w:t>winter</w:t>
      </w:r>
      <w:r w:rsidR="00972667">
        <w:t>, followed by motor vehicles and industrial pollution.</w:t>
      </w:r>
      <w:r w:rsidR="00972667" w:rsidRPr="00C3029C">
        <w:t xml:space="preserve"> </w:t>
      </w:r>
      <w:r w:rsidR="00972667">
        <w:t xml:space="preserve">However, </w:t>
      </w:r>
      <w:r w:rsidR="00376AD2">
        <w:t xml:space="preserve">93% of Victorian particulate matter emissions are naturally-occurring (for example, dust storms and fires), while human sources account for the remaining </w:t>
      </w:r>
      <w:r w:rsidR="00972667">
        <w:t>7</w:t>
      </w:r>
      <w:r w:rsidR="000F5A44">
        <w:t>%</w:t>
      </w:r>
      <w:r w:rsidR="00972667">
        <w:t>.</w:t>
      </w:r>
      <w:r w:rsidR="00972667">
        <w:rPr>
          <w:rStyle w:val="FootnoteReference"/>
          <w:rFonts w:cs="Segoe UI Light"/>
        </w:rPr>
        <w:footnoteReference w:id="202"/>
      </w:r>
      <w:r w:rsidR="00972667">
        <w:t xml:space="preserve"> </w:t>
      </w:r>
    </w:p>
    <w:p w14:paraId="656B0A9C" w14:textId="77777777" w:rsidR="000F5A44" w:rsidRDefault="000F5A44" w:rsidP="000F5A44">
      <w:pPr>
        <w:mirrorIndents/>
      </w:pPr>
      <w:r>
        <w:t xml:space="preserve">Despite a recent reduction in vehicle exhaust emissions (such as carbon monoxide and nitrogen dioxide), emissions from unregulated sources are expected to increase or, at best, remain unchanged. These sources include wood heaters (solid fuel heaters), small petrol engines (used for garden maintenance, generators, etc.), and small to medium industries. </w:t>
      </w:r>
      <w:r w:rsidR="00D671D1">
        <w:t>Naturally-occurring sources, such as b</w:t>
      </w:r>
      <w:r>
        <w:t>ushfires</w:t>
      </w:r>
      <w:r w:rsidR="00D671D1">
        <w:t xml:space="preserve"> and</w:t>
      </w:r>
      <w:r>
        <w:t xml:space="preserve"> dust storms</w:t>
      </w:r>
      <w:r w:rsidR="00D671D1">
        <w:t>,</w:t>
      </w:r>
      <w:r>
        <w:t xml:space="preserve"> are likely to </w:t>
      </w:r>
      <w:r w:rsidR="007F25C2">
        <w:t xml:space="preserve">continue to </w:t>
      </w:r>
      <w:r>
        <w:t>cause major air-quality impacts, depending on weather conditions.</w:t>
      </w:r>
      <w:r>
        <w:rPr>
          <w:rStyle w:val="FootnoteReference"/>
        </w:rPr>
        <w:footnoteReference w:id="203"/>
      </w:r>
    </w:p>
    <w:p w14:paraId="656B0A9D" w14:textId="77777777" w:rsidR="003C5391" w:rsidRDefault="007F25C2" w:rsidP="00ED173F">
      <w:pPr>
        <w:mirrorIndents/>
        <w:rPr>
          <w:rFonts w:cs="Segoe UI Light"/>
        </w:rPr>
      </w:pPr>
      <w:r>
        <w:rPr>
          <w:rFonts w:cs="Segoe UI Light"/>
        </w:rPr>
        <w:t>From</w:t>
      </w:r>
      <w:r w:rsidR="003C5391">
        <w:rPr>
          <w:rFonts w:cs="Segoe UI Light"/>
        </w:rPr>
        <w:t xml:space="preserve"> 1996 to 2005</w:t>
      </w:r>
      <w:r w:rsidR="000F5A44">
        <w:rPr>
          <w:rFonts w:cs="Segoe UI Light"/>
        </w:rPr>
        <w:t>,</w:t>
      </w:r>
      <w:r w:rsidR="003C5391">
        <w:rPr>
          <w:rFonts w:cs="Segoe UI Light"/>
        </w:rPr>
        <w:t xml:space="preserve"> both ozone and particulate matter breached short-term pollution standards in the Port Phillip Region on 39 days and 12 days respectively. Forecasts predict that this will continue, and potentially increase, into the 2025–34 decade.</w:t>
      </w:r>
      <w:r w:rsidR="003C5391">
        <w:rPr>
          <w:rStyle w:val="FootnoteReference"/>
          <w:rFonts w:cs="Segoe UI Light"/>
        </w:rPr>
        <w:footnoteReference w:id="204"/>
      </w:r>
      <w:r w:rsidR="003C5391">
        <w:rPr>
          <w:rFonts w:cs="Segoe UI Light"/>
        </w:rPr>
        <w:t xml:space="preserve"> </w:t>
      </w:r>
    </w:p>
    <w:p w14:paraId="656B0A9E" w14:textId="77777777" w:rsidR="004455E7" w:rsidRDefault="0000321E" w:rsidP="00ED173F">
      <w:r>
        <w:t xml:space="preserve">The variation to the </w:t>
      </w:r>
      <w:r w:rsidR="009A0D69">
        <w:t>WMP</w:t>
      </w:r>
      <w:r>
        <w:t xml:space="preserve"> (</w:t>
      </w:r>
      <w:r w:rsidR="00F96B6A">
        <w:t>S</w:t>
      </w:r>
      <w:r>
        <w:t xml:space="preserve">olid </w:t>
      </w:r>
      <w:r w:rsidR="00F96B6A">
        <w:t>F</w:t>
      </w:r>
      <w:r>
        <w:t xml:space="preserve">uel </w:t>
      </w:r>
      <w:r w:rsidR="00F96B6A">
        <w:t>H</w:t>
      </w:r>
      <w:r>
        <w:t>eating)</w:t>
      </w:r>
      <w:r w:rsidR="007F25C2">
        <w:t xml:space="preserve"> Policy Impact Statement (PIA)</w:t>
      </w:r>
      <w:r w:rsidR="00F96B6A">
        <w:rPr>
          <w:rStyle w:val="FootnoteReference"/>
        </w:rPr>
        <w:footnoteReference w:id="205"/>
      </w:r>
      <w:r>
        <w:t xml:space="preserve"> found that wood heaters are a significant contributor to air pollution</w:t>
      </w:r>
      <w:r w:rsidR="000F5A44">
        <w:t xml:space="preserve">. </w:t>
      </w:r>
      <w:r w:rsidR="004455E7">
        <w:t xml:space="preserve">According to the </w:t>
      </w:r>
      <w:r>
        <w:t>PIA</w:t>
      </w:r>
      <w:r w:rsidR="004455E7">
        <w:t xml:space="preserve">: </w:t>
      </w:r>
    </w:p>
    <w:p w14:paraId="656B0A9F" w14:textId="77777777" w:rsidR="0000321E" w:rsidRDefault="004455E7" w:rsidP="004A2442">
      <w:pPr>
        <w:pStyle w:val="ListParagraph"/>
        <w:numPr>
          <w:ilvl w:val="0"/>
          <w:numId w:val="51"/>
        </w:numPr>
      </w:pPr>
      <w:r>
        <w:t>Wood heaters will remain one of the largest contributors of non-natural sources of PM emissions over the next ten years due to the number of wood heaters already in Victorian homes.</w:t>
      </w:r>
      <w:r w:rsidR="0000321E">
        <w:t xml:space="preserve"> </w:t>
      </w:r>
    </w:p>
    <w:p w14:paraId="656B0AA0" w14:textId="77777777" w:rsidR="000F5A44" w:rsidRPr="000F5A44" w:rsidRDefault="004455E7" w:rsidP="000F5A44">
      <w:pPr>
        <w:pStyle w:val="ListParagraph"/>
        <w:numPr>
          <w:ilvl w:val="0"/>
          <w:numId w:val="51"/>
        </w:numPr>
      </w:pPr>
      <w:r>
        <w:t>S</w:t>
      </w:r>
      <w:r w:rsidRPr="004455E7">
        <w:t>olid fuel combustion (which includes wood heaters as well as open fireplaces and combustion for cooking purposes) contributes around 25 per cent of total PM</w:t>
      </w:r>
      <w:r w:rsidRPr="000E7C5E">
        <w:rPr>
          <w:vertAlign w:val="subscript"/>
        </w:rPr>
        <w:t>2.5</w:t>
      </w:r>
      <w:r w:rsidRPr="004455E7">
        <w:t xml:space="preserve"> pollution in the </w:t>
      </w:r>
      <w:r>
        <w:t xml:space="preserve">Port Phillip Air Quality Control Region. </w:t>
      </w:r>
    </w:p>
    <w:p w14:paraId="656B0AA1" w14:textId="77777777" w:rsidR="00246E8B" w:rsidRDefault="00E37D5B" w:rsidP="00982D63">
      <w:pPr>
        <w:pStyle w:val="Heading2"/>
      </w:pPr>
      <w:bookmarkStart w:id="1621" w:name="_Toc536054985"/>
      <w:bookmarkStart w:id="1622" w:name="_Toc525554697"/>
      <w:r>
        <w:t>Current</w:t>
      </w:r>
      <w:r w:rsidR="00E21474">
        <w:t xml:space="preserve"> </w:t>
      </w:r>
      <w:r w:rsidR="00246E8B">
        <w:t>legislative and regulatory framework</w:t>
      </w:r>
      <w:bookmarkEnd w:id="1621"/>
    </w:p>
    <w:p w14:paraId="656B0AA2" w14:textId="77777777" w:rsidR="00246E8B" w:rsidRPr="0019785F" w:rsidRDefault="00246E8B" w:rsidP="00ED173F">
      <w:pPr>
        <w:mirrorIndents/>
        <w:rPr>
          <w:rFonts w:cs="Segoe UI Light"/>
          <w:szCs w:val="20"/>
        </w:rPr>
      </w:pPr>
      <w:r w:rsidRPr="0019785F">
        <w:rPr>
          <w:rFonts w:cs="Segoe UI Light"/>
          <w:szCs w:val="20"/>
        </w:rPr>
        <w:t>The</w:t>
      </w:r>
      <w:r>
        <w:rPr>
          <w:rFonts w:cs="Segoe UI Light"/>
          <w:szCs w:val="20"/>
        </w:rPr>
        <w:t xml:space="preserve"> EP Act 1970</w:t>
      </w:r>
      <w:r w:rsidRPr="0019785F">
        <w:rPr>
          <w:rFonts w:cs="Segoe UI Light"/>
          <w:szCs w:val="20"/>
        </w:rPr>
        <w:t xml:space="preserve"> </w:t>
      </w:r>
      <w:r w:rsidR="00E21474">
        <w:rPr>
          <w:rFonts w:cs="Segoe UI Light"/>
          <w:szCs w:val="20"/>
        </w:rPr>
        <w:t xml:space="preserve">has been the primary Act under which </w:t>
      </w:r>
      <w:r w:rsidR="001B4CE3">
        <w:rPr>
          <w:rFonts w:cs="Segoe UI Light"/>
          <w:szCs w:val="20"/>
        </w:rPr>
        <w:t>EPA</w:t>
      </w:r>
      <w:r w:rsidRPr="0019785F">
        <w:rPr>
          <w:rFonts w:cs="Segoe UI Light"/>
          <w:szCs w:val="20"/>
        </w:rPr>
        <w:t>’s powers and obligations</w:t>
      </w:r>
      <w:r>
        <w:rPr>
          <w:rFonts w:cs="Segoe UI Light"/>
          <w:szCs w:val="20"/>
        </w:rPr>
        <w:t xml:space="preserve"> regarding Victorian air pollution</w:t>
      </w:r>
      <w:r w:rsidRPr="0019785F">
        <w:rPr>
          <w:rFonts w:cs="Segoe UI Light"/>
          <w:szCs w:val="20"/>
        </w:rPr>
        <w:t xml:space="preserve"> sit.</w:t>
      </w:r>
      <w:r>
        <w:rPr>
          <w:rFonts w:cs="Segoe UI Light"/>
          <w:szCs w:val="20"/>
        </w:rPr>
        <w:t xml:space="preserve"> </w:t>
      </w:r>
      <w:r w:rsidR="003868D4">
        <w:t>There</w:t>
      </w:r>
      <w:r w:rsidR="00461020">
        <w:t xml:space="preserve"> </w:t>
      </w:r>
      <w:r>
        <w:rPr>
          <w:rFonts w:cs="Segoe UI Light"/>
          <w:szCs w:val="20"/>
        </w:rPr>
        <w:t xml:space="preserve">are </w:t>
      </w:r>
      <w:r w:rsidR="007F25C2">
        <w:rPr>
          <w:rFonts w:cs="Segoe UI Light"/>
          <w:szCs w:val="20"/>
        </w:rPr>
        <w:t xml:space="preserve">also </w:t>
      </w:r>
      <w:r>
        <w:rPr>
          <w:rFonts w:cs="Segoe UI Light"/>
          <w:szCs w:val="20"/>
        </w:rPr>
        <w:t xml:space="preserve">additional policies related to air pollution, summarised in </w:t>
      </w:r>
      <w:r w:rsidR="002D01F6">
        <w:rPr>
          <w:rFonts w:cs="Segoe UI Light"/>
          <w:color w:val="2B579A"/>
          <w:szCs w:val="20"/>
          <w:shd w:val="clear" w:color="auto" w:fill="E6E6E6"/>
        </w:rPr>
        <w:fldChar w:fldCharType="begin"/>
      </w:r>
      <w:r w:rsidR="002D01F6">
        <w:rPr>
          <w:rFonts w:cs="Segoe UI Light"/>
          <w:szCs w:val="20"/>
        </w:rPr>
        <w:instrText xml:space="preserve"> REF _Ref536616907 \h </w:instrText>
      </w:r>
      <w:r w:rsidR="002D01F6">
        <w:rPr>
          <w:rFonts w:cs="Segoe UI Light"/>
          <w:color w:val="2B579A"/>
          <w:szCs w:val="20"/>
          <w:shd w:val="clear" w:color="auto" w:fill="E6E6E6"/>
        </w:rPr>
      </w:r>
      <w:r w:rsidR="002D01F6">
        <w:rPr>
          <w:rFonts w:cs="Segoe UI Light"/>
          <w:color w:val="2B579A"/>
          <w:szCs w:val="20"/>
          <w:shd w:val="clear" w:color="auto" w:fill="E6E6E6"/>
        </w:rPr>
        <w:fldChar w:fldCharType="separate"/>
      </w:r>
      <w:r w:rsidR="00B11C1E">
        <w:rPr>
          <w:noProof/>
        </w:rPr>
        <w:t>Table 12</w:t>
      </w:r>
      <w:r w:rsidR="00B11C1E">
        <w:rPr>
          <w:noProof/>
        </w:rPr>
        <w:noBreakHyphen/>
        <w:t>2</w:t>
      </w:r>
      <w:r w:rsidR="002D01F6">
        <w:rPr>
          <w:rFonts w:cs="Segoe UI Light"/>
          <w:color w:val="2B579A"/>
          <w:szCs w:val="20"/>
          <w:shd w:val="clear" w:color="auto" w:fill="E6E6E6"/>
        </w:rPr>
        <w:fldChar w:fldCharType="end"/>
      </w:r>
      <w:r w:rsidR="00B247AF">
        <w:rPr>
          <w:rFonts w:cs="Segoe UI Light"/>
          <w:szCs w:val="20"/>
        </w:rPr>
        <w:t xml:space="preserve">. </w:t>
      </w:r>
    </w:p>
    <w:p w14:paraId="656B0AA3" w14:textId="77777777" w:rsidR="002D01F6" w:rsidRDefault="002D01F6" w:rsidP="00ED173F">
      <w:pPr>
        <w:pStyle w:val="Caption"/>
        <w:rPr>
          <w:noProof/>
        </w:rPr>
      </w:pPr>
      <w:bookmarkStart w:id="1623" w:name="_Ref536616907"/>
      <w:r>
        <w:rPr>
          <w:noProof/>
        </w:rPr>
        <w:t xml:space="preserve">Table </w:t>
      </w:r>
      <w:r w:rsidR="00DC24EE">
        <w:rPr>
          <w:color w:val="2B579A"/>
          <w:shd w:val="clear" w:color="auto" w:fill="E6E6E6"/>
        </w:rPr>
        <w:fldChar w:fldCharType="begin"/>
      </w:r>
      <w:r w:rsidR="00DC24EE">
        <w:rPr>
          <w:noProof/>
        </w:rPr>
        <w:instrText xml:space="preserve"> STYLEREF 1 \s </w:instrText>
      </w:r>
      <w:r w:rsidR="00DC24EE">
        <w:rPr>
          <w:color w:val="2B579A"/>
          <w:shd w:val="clear" w:color="auto" w:fill="E6E6E6"/>
        </w:rPr>
        <w:fldChar w:fldCharType="separate"/>
      </w:r>
      <w:r w:rsidR="00B11C1E">
        <w:rPr>
          <w:noProof/>
        </w:rPr>
        <w:t>12</w:t>
      </w:r>
      <w:r w:rsidR="00DC24EE">
        <w:rPr>
          <w:color w:val="2B579A"/>
          <w:shd w:val="clear" w:color="auto" w:fill="E6E6E6"/>
        </w:rPr>
        <w:fldChar w:fldCharType="end"/>
      </w:r>
      <w:r w:rsidR="00DC24EE">
        <w:rPr>
          <w:noProof/>
        </w:rPr>
        <w:noBreakHyphen/>
      </w:r>
      <w:r w:rsidR="00997CFA">
        <w:rPr>
          <w:color w:val="2B579A"/>
          <w:shd w:val="clear" w:color="auto" w:fill="E6E6E6"/>
        </w:rPr>
        <w:fldChar w:fldCharType="begin"/>
      </w:r>
      <w:r w:rsidR="00997CFA">
        <w:rPr>
          <w:noProof/>
        </w:rPr>
        <w:instrText xml:space="preserve"> SEQ Table \* ARABIC \s 1 </w:instrText>
      </w:r>
      <w:r w:rsidR="00997CFA">
        <w:rPr>
          <w:color w:val="2B579A"/>
          <w:shd w:val="clear" w:color="auto" w:fill="E6E6E6"/>
        </w:rPr>
        <w:fldChar w:fldCharType="separate"/>
      </w:r>
      <w:r w:rsidR="00B11C1E">
        <w:rPr>
          <w:noProof/>
        </w:rPr>
        <w:t>2</w:t>
      </w:r>
      <w:r w:rsidR="00997CFA">
        <w:rPr>
          <w:color w:val="2B579A"/>
          <w:shd w:val="clear" w:color="auto" w:fill="E6E6E6"/>
        </w:rPr>
        <w:fldChar w:fldCharType="end"/>
      </w:r>
      <w:bookmarkEnd w:id="1623"/>
      <w:r>
        <w:rPr>
          <w:noProof/>
        </w:rPr>
        <w:t xml:space="preserve"> Current</w:t>
      </w:r>
      <w:r w:rsidRPr="00ED173F">
        <w:rPr>
          <w:noProof/>
        </w:rPr>
        <w:t xml:space="preserve"> legislative and regulatory framework – air pollution</w:t>
      </w:r>
    </w:p>
    <w:tbl>
      <w:tblPr>
        <w:tblStyle w:val="Deloittetable"/>
        <w:tblW w:w="5000" w:type="pct"/>
        <w:tblLook w:val="04A0" w:firstRow="1" w:lastRow="0" w:firstColumn="1" w:lastColumn="0" w:noHBand="0" w:noVBand="1"/>
      </w:tblPr>
      <w:tblGrid>
        <w:gridCol w:w="2128"/>
        <w:gridCol w:w="5594"/>
        <w:gridCol w:w="1633"/>
      </w:tblGrid>
      <w:tr w:rsidR="008B7449" w:rsidRPr="00875CC9" w14:paraId="656B0AA7" w14:textId="77777777" w:rsidTr="00494A7B">
        <w:trPr>
          <w:cnfStyle w:val="100000000000" w:firstRow="1" w:lastRow="0" w:firstColumn="0" w:lastColumn="0" w:oddVBand="0" w:evenVBand="0" w:oddHBand="0" w:evenHBand="0" w:firstRowFirstColumn="0" w:firstRowLastColumn="0" w:lastRowFirstColumn="0" w:lastRowLastColumn="0"/>
          <w:trHeight w:val="306"/>
        </w:trPr>
        <w:tc>
          <w:tcPr>
            <w:tcW w:w="1137" w:type="pct"/>
          </w:tcPr>
          <w:p w14:paraId="656B0AA4" w14:textId="77777777" w:rsidR="008B7449" w:rsidRPr="007C70D4" w:rsidRDefault="003936E2" w:rsidP="000F5A44">
            <w:pPr>
              <w:spacing w:after="0"/>
              <w:mirrorIndents/>
              <w:rPr>
                <w:rFonts w:cs="Segoe UI Light"/>
                <w:b/>
                <w:sz w:val="18"/>
                <w:szCs w:val="20"/>
              </w:rPr>
            </w:pPr>
            <w:r>
              <w:rPr>
                <w:rFonts w:cs="Segoe UI Light"/>
                <w:b/>
                <w:sz w:val="18"/>
                <w:szCs w:val="20"/>
              </w:rPr>
              <w:t>Instrument</w:t>
            </w:r>
            <w:r w:rsidRPr="007C70D4">
              <w:rPr>
                <w:rFonts w:cs="Segoe UI Light"/>
                <w:b/>
                <w:sz w:val="18"/>
                <w:szCs w:val="20"/>
              </w:rPr>
              <w:t xml:space="preserve"> </w:t>
            </w:r>
            <w:r w:rsidR="008B7449" w:rsidRPr="007C70D4">
              <w:rPr>
                <w:rFonts w:cs="Segoe UI Light"/>
                <w:b/>
                <w:sz w:val="18"/>
                <w:szCs w:val="20"/>
              </w:rPr>
              <w:t>type</w:t>
            </w:r>
          </w:p>
        </w:tc>
        <w:tc>
          <w:tcPr>
            <w:tcW w:w="2990" w:type="pct"/>
          </w:tcPr>
          <w:p w14:paraId="656B0AA5" w14:textId="77777777" w:rsidR="008B7449" w:rsidRPr="007C70D4" w:rsidRDefault="008B7449" w:rsidP="00494A7B">
            <w:pPr>
              <w:spacing w:after="0"/>
              <w:ind w:right="349"/>
              <w:mirrorIndents/>
              <w:rPr>
                <w:rFonts w:cs="Segoe UI Light"/>
                <w:b/>
                <w:sz w:val="18"/>
                <w:szCs w:val="20"/>
              </w:rPr>
            </w:pPr>
            <w:r w:rsidRPr="007C70D4">
              <w:rPr>
                <w:rFonts w:cs="Segoe UI Light"/>
                <w:b/>
                <w:sz w:val="18"/>
                <w:szCs w:val="20"/>
              </w:rPr>
              <w:t>Regulation</w:t>
            </w:r>
            <w:r>
              <w:rPr>
                <w:rFonts w:cs="Segoe UI Light"/>
                <w:b/>
                <w:sz w:val="18"/>
                <w:szCs w:val="20"/>
              </w:rPr>
              <w:t>/policy</w:t>
            </w:r>
            <w:r w:rsidRPr="007C70D4">
              <w:rPr>
                <w:rFonts w:cs="Segoe UI Light"/>
                <w:b/>
                <w:sz w:val="18"/>
                <w:szCs w:val="20"/>
              </w:rPr>
              <w:t xml:space="preserve"> name</w:t>
            </w:r>
          </w:p>
        </w:tc>
        <w:tc>
          <w:tcPr>
            <w:tcW w:w="873" w:type="pct"/>
          </w:tcPr>
          <w:p w14:paraId="656B0AA6" w14:textId="77777777" w:rsidR="008B7449" w:rsidRPr="007C70D4" w:rsidRDefault="008B7449" w:rsidP="000F5A44">
            <w:pPr>
              <w:spacing w:after="0"/>
              <w:mirrorIndents/>
              <w:rPr>
                <w:rFonts w:cs="Segoe UI Light"/>
                <w:b/>
                <w:sz w:val="18"/>
                <w:szCs w:val="20"/>
              </w:rPr>
            </w:pPr>
            <w:r>
              <w:rPr>
                <w:rFonts w:cs="Segoe UI Light"/>
                <w:b/>
                <w:sz w:val="18"/>
                <w:szCs w:val="20"/>
              </w:rPr>
              <w:t>Acronym / publication number</w:t>
            </w:r>
          </w:p>
        </w:tc>
      </w:tr>
      <w:tr w:rsidR="008B7449" w:rsidRPr="00875CC9" w14:paraId="656B0AAB" w14:textId="77777777" w:rsidTr="00494A7B">
        <w:trPr>
          <w:trHeight w:val="306"/>
        </w:trPr>
        <w:tc>
          <w:tcPr>
            <w:tcW w:w="1137" w:type="pct"/>
          </w:tcPr>
          <w:p w14:paraId="656B0AA8" w14:textId="77777777" w:rsidR="008B7449" w:rsidRPr="007C70D4" w:rsidRDefault="008B7449" w:rsidP="000F5A44">
            <w:pPr>
              <w:spacing w:after="0"/>
              <w:mirrorIndents/>
              <w:rPr>
                <w:rFonts w:cs="Segoe UI Light"/>
                <w:sz w:val="18"/>
                <w:szCs w:val="20"/>
              </w:rPr>
            </w:pPr>
            <w:r w:rsidRPr="007C70D4">
              <w:rPr>
                <w:rFonts w:cs="Segoe UI Light"/>
                <w:sz w:val="18"/>
                <w:szCs w:val="20"/>
              </w:rPr>
              <w:t>Regulation</w:t>
            </w:r>
          </w:p>
        </w:tc>
        <w:tc>
          <w:tcPr>
            <w:tcW w:w="2990" w:type="pct"/>
          </w:tcPr>
          <w:p w14:paraId="656B0AA9" w14:textId="77777777" w:rsidR="008B7449" w:rsidRPr="00875CC9" w:rsidRDefault="008B7449" w:rsidP="00494A7B">
            <w:pPr>
              <w:spacing w:after="0"/>
              <w:ind w:right="349"/>
              <w:mirrorIndents/>
              <w:rPr>
                <w:rFonts w:cs="Segoe UI Light"/>
                <w:sz w:val="18"/>
                <w:szCs w:val="20"/>
              </w:rPr>
            </w:pPr>
            <w:r>
              <w:rPr>
                <w:rFonts w:cs="Segoe UI Light"/>
                <w:sz w:val="18"/>
                <w:szCs w:val="20"/>
              </w:rPr>
              <w:t>Environment Protection (</w:t>
            </w:r>
            <w:r w:rsidRPr="00875CC9">
              <w:rPr>
                <w:rFonts w:cs="Segoe UI Light"/>
                <w:sz w:val="18"/>
                <w:szCs w:val="20"/>
              </w:rPr>
              <w:t>Scheduled Premises</w:t>
            </w:r>
            <w:r>
              <w:rPr>
                <w:rFonts w:cs="Segoe UI Light"/>
                <w:sz w:val="18"/>
                <w:szCs w:val="20"/>
              </w:rPr>
              <w:t>)</w:t>
            </w:r>
            <w:r w:rsidRPr="00875CC9">
              <w:rPr>
                <w:rFonts w:cs="Segoe UI Light"/>
                <w:sz w:val="18"/>
                <w:szCs w:val="20"/>
              </w:rPr>
              <w:t xml:space="preserve"> Regulations 2017</w:t>
            </w:r>
          </w:p>
        </w:tc>
        <w:tc>
          <w:tcPr>
            <w:tcW w:w="873" w:type="pct"/>
          </w:tcPr>
          <w:p w14:paraId="656B0AAA" w14:textId="77777777" w:rsidR="008B7449" w:rsidRPr="00875CC9" w:rsidRDefault="008B7449" w:rsidP="000F5A44">
            <w:pPr>
              <w:spacing w:after="0"/>
              <w:mirrorIndents/>
              <w:rPr>
                <w:rFonts w:cs="Segoe UI Light"/>
                <w:sz w:val="18"/>
                <w:szCs w:val="20"/>
              </w:rPr>
            </w:pPr>
          </w:p>
        </w:tc>
      </w:tr>
      <w:tr w:rsidR="008B7449" w:rsidRPr="00875CC9" w14:paraId="656B0AAF" w14:textId="77777777" w:rsidTr="00494A7B">
        <w:trPr>
          <w:trHeight w:val="306"/>
        </w:trPr>
        <w:tc>
          <w:tcPr>
            <w:tcW w:w="1137" w:type="pct"/>
          </w:tcPr>
          <w:p w14:paraId="656B0AAC" w14:textId="77777777" w:rsidR="008B7449" w:rsidRPr="007C70D4" w:rsidRDefault="008B7449" w:rsidP="000F5A44">
            <w:pPr>
              <w:spacing w:after="0"/>
              <w:mirrorIndents/>
              <w:rPr>
                <w:rFonts w:cs="Segoe UI Light"/>
                <w:sz w:val="18"/>
                <w:szCs w:val="20"/>
              </w:rPr>
            </w:pPr>
            <w:r w:rsidRPr="007C70D4">
              <w:rPr>
                <w:rFonts w:cs="Segoe UI Light"/>
                <w:sz w:val="18"/>
                <w:szCs w:val="20"/>
              </w:rPr>
              <w:t>Subordinate legislation</w:t>
            </w:r>
          </w:p>
        </w:tc>
        <w:tc>
          <w:tcPr>
            <w:tcW w:w="2990" w:type="pct"/>
          </w:tcPr>
          <w:p w14:paraId="656B0AAD" w14:textId="77777777" w:rsidR="008B7449" w:rsidRPr="00875CC9" w:rsidRDefault="008B7449" w:rsidP="00494A7B">
            <w:pPr>
              <w:spacing w:after="0"/>
              <w:ind w:right="349"/>
              <w:mirrorIndents/>
              <w:rPr>
                <w:rFonts w:cs="Segoe UI Light"/>
                <w:sz w:val="18"/>
                <w:szCs w:val="20"/>
              </w:rPr>
            </w:pPr>
            <w:r>
              <w:rPr>
                <w:rFonts w:cs="Segoe UI Light"/>
                <w:sz w:val="18"/>
                <w:szCs w:val="20"/>
              </w:rPr>
              <w:t>SEPP</w:t>
            </w:r>
            <w:r w:rsidRPr="00875CC9">
              <w:rPr>
                <w:rFonts w:cs="Segoe UI Light"/>
                <w:sz w:val="18"/>
                <w:szCs w:val="20"/>
              </w:rPr>
              <w:t xml:space="preserve"> </w:t>
            </w:r>
            <w:r>
              <w:rPr>
                <w:rFonts w:cs="Segoe UI Light"/>
                <w:sz w:val="18"/>
                <w:szCs w:val="20"/>
              </w:rPr>
              <w:t>(Ambient Air Quality)</w:t>
            </w:r>
          </w:p>
        </w:tc>
        <w:tc>
          <w:tcPr>
            <w:tcW w:w="873" w:type="pct"/>
          </w:tcPr>
          <w:p w14:paraId="656B0AAE" w14:textId="77777777" w:rsidR="008B7449" w:rsidRDefault="008B7449" w:rsidP="000F5A44">
            <w:pPr>
              <w:spacing w:after="0"/>
              <w:mirrorIndents/>
              <w:rPr>
                <w:rFonts w:cs="Segoe UI Light"/>
                <w:sz w:val="18"/>
                <w:szCs w:val="20"/>
              </w:rPr>
            </w:pPr>
            <w:r>
              <w:rPr>
                <w:rFonts w:cs="Segoe UI Light"/>
                <w:sz w:val="18"/>
                <w:szCs w:val="20"/>
              </w:rPr>
              <w:t>SEPP AAQ</w:t>
            </w:r>
          </w:p>
        </w:tc>
      </w:tr>
      <w:tr w:rsidR="008B7449" w:rsidRPr="00875CC9" w14:paraId="656B0AB3" w14:textId="77777777" w:rsidTr="00494A7B">
        <w:trPr>
          <w:trHeight w:val="306"/>
        </w:trPr>
        <w:tc>
          <w:tcPr>
            <w:tcW w:w="1137" w:type="pct"/>
          </w:tcPr>
          <w:p w14:paraId="656B0AB0" w14:textId="77777777" w:rsidR="008B7449" w:rsidRPr="007C70D4" w:rsidRDefault="008B7449" w:rsidP="000F5A44">
            <w:pPr>
              <w:spacing w:after="0"/>
              <w:mirrorIndents/>
              <w:rPr>
                <w:rFonts w:cs="Segoe UI Light"/>
                <w:sz w:val="18"/>
                <w:szCs w:val="20"/>
              </w:rPr>
            </w:pPr>
            <w:r w:rsidRPr="007C70D4">
              <w:rPr>
                <w:rFonts w:cs="Segoe UI Light"/>
                <w:sz w:val="18"/>
                <w:szCs w:val="20"/>
              </w:rPr>
              <w:t>Subordinate legislation</w:t>
            </w:r>
          </w:p>
        </w:tc>
        <w:tc>
          <w:tcPr>
            <w:tcW w:w="2990" w:type="pct"/>
          </w:tcPr>
          <w:p w14:paraId="656B0AB1" w14:textId="77777777" w:rsidR="008B7449" w:rsidRPr="00875CC9" w:rsidRDefault="008B7449" w:rsidP="00494A7B">
            <w:pPr>
              <w:spacing w:after="0"/>
              <w:ind w:right="349"/>
              <w:mirrorIndents/>
              <w:rPr>
                <w:rFonts w:cs="Segoe UI Light"/>
                <w:sz w:val="18"/>
                <w:szCs w:val="20"/>
              </w:rPr>
            </w:pPr>
            <w:r>
              <w:rPr>
                <w:rFonts w:cs="Segoe UI Light"/>
                <w:sz w:val="18"/>
                <w:szCs w:val="20"/>
              </w:rPr>
              <w:t>SEPP</w:t>
            </w:r>
            <w:r w:rsidRPr="00875CC9">
              <w:rPr>
                <w:rFonts w:cs="Segoe UI Light"/>
                <w:sz w:val="18"/>
                <w:szCs w:val="20"/>
              </w:rPr>
              <w:t xml:space="preserve"> (Ai</w:t>
            </w:r>
            <w:r>
              <w:rPr>
                <w:rFonts w:cs="Segoe UI Light"/>
                <w:sz w:val="18"/>
                <w:szCs w:val="20"/>
              </w:rPr>
              <w:t>r Quality Management)</w:t>
            </w:r>
          </w:p>
        </w:tc>
        <w:tc>
          <w:tcPr>
            <w:tcW w:w="873" w:type="pct"/>
          </w:tcPr>
          <w:p w14:paraId="656B0AB2" w14:textId="77777777" w:rsidR="008B7449" w:rsidRDefault="008B7449" w:rsidP="000F5A44">
            <w:pPr>
              <w:spacing w:after="0"/>
              <w:mirrorIndents/>
              <w:rPr>
                <w:rFonts w:cs="Segoe UI Light"/>
                <w:sz w:val="18"/>
                <w:szCs w:val="20"/>
              </w:rPr>
            </w:pPr>
            <w:r>
              <w:rPr>
                <w:rFonts w:cs="Segoe UI Light"/>
                <w:sz w:val="18"/>
                <w:szCs w:val="20"/>
              </w:rPr>
              <w:t>SEPP AQM</w:t>
            </w:r>
          </w:p>
        </w:tc>
      </w:tr>
      <w:tr w:rsidR="008B7449" w:rsidRPr="00875CC9" w14:paraId="656B0AB7" w14:textId="77777777" w:rsidTr="00494A7B">
        <w:trPr>
          <w:trHeight w:val="306"/>
        </w:trPr>
        <w:tc>
          <w:tcPr>
            <w:tcW w:w="1137" w:type="pct"/>
          </w:tcPr>
          <w:p w14:paraId="656B0AB4" w14:textId="77777777" w:rsidR="008B7449" w:rsidRPr="007C70D4" w:rsidRDefault="008B7449" w:rsidP="000F5A44">
            <w:pPr>
              <w:spacing w:after="0"/>
              <w:mirrorIndents/>
              <w:rPr>
                <w:rFonts w:cs="Segoe UI Light"/>
                <w:sz w:val="18"/>
                <w:szCs w:val="20"/>
              </w:rPr>
            </w:pPr>
            <w:r w:rsidRPr="007C70D4">
              <w:rPr>
                <w:rFonts w:cs="Segoe UI Light"/>
                <w:sz w:val="18"/>
                <w:szCs w:val="20"/>
              </w:rPr>
              <w:t>Subordinate legislation</w:t>
            </w:r>
          </w:p>
        </w:tc>
        <w:tc>
          <w:tcPr>
            <w:tcW w:w="2990" w:type="pct"/>
          </w:tcPr>
          <w:p w14:paraId="656B0AB5" w14:textId="77777777" w:rsidR="008B7449" w:rsidRPr="00875CC9" w:rsidRDefault="008B7449" w:rsidP="00494A7B">
            <w:pPr>
              <w:spacing w:after="0"/>
              <w:ind w:right="349"/>
              <w:mirrorIndents/>
              <w:rPr>
                <w:rFonts w:cs="Segoe UI Light"/>
                <w:sz w:val="18"/>
                <w:szCs w:val="20"/>
              </w:rPr>
            </w:pPr>
            <w:r>
              <w:rPr>
                <w:rFonts w:cs="Segoe UI Light"/>
                <w:sz w:val="18"/>
                <w:szCs w:val="20"/>
              </w:rPr>
              <w:t>WMP</w:t>
            </w:r>
            <w:r w:rsidRPr="00875CC9">
              <w:rPr>
                <w:rFonts w:cs="Segoe UI Light"/>
                <w:sz w:val="18"/>
                <w:szCs w:val="20"/>
              </w:rPr>
              <w:t xml:space="preserve"> (</w:t>
            </w:r>
            <w:r>
              <w:rPr>
                <w:rFonts w:cs="Segoe UI Light"/>
                <w:sz w:val="18"/>
                <w:szCs w:val="20"/>
              </w:rPr>
              <w:t>Solid Fuel Heating)</w:t>
            </w:r>
          </w:p>
        </w:tc>
        <w:tc>
          <w:tcPr>
            <w:tcW w:w="873" w:type="pct"/>
          </w:tcPr>
          <w:p w14:paraId="656B0AB6" w14:textId="77777777" w:rsidR="008B7449" w:rsidRDefault="008B7449" w:rsidP="000F5A44">
            <w:pPr>
              <w:spacing w:after="0"/>
              <w:mirrorIndents/>
              <w:rPr>
                <w:rFonts w:cs="Segoe UI Light"/>
                <w:sz w:val="18"/>
                <w:szCs w:val="20"/>
              </w:rPr>
            </w:pPr>
            <w:r>
              <w:rPr>
                <w:rFonts w:cs="Segoe UI Light"/>
                <w:sz w:val="18"/>
                <w:szCs w:val="20"/>
              </w:rPr>
              <w:t>WMP SFH</w:t>
            </w:r>
          </w:p>
        </w:tc>
      </w:tr>
      <w:tr w:rsidR="008B7449" w:rsidRPr="00875CC9" w14:paraId="656B0ABB" w14:textId="77777777" w:rsidTr="00494A7B">
        <w:trPr>
          <w:trHeight w:val="306"/>
        </w:trPr>
        <w:tc>
          <w:tcPr>
            <w:tcW w:w="1137" w:type="pct"/>
          </w:tcPr>
          <w:p w14:paraId="656B0AB8" w14:textId="77777777" w:rsidR="008B7449" w:rsidRPr="007C70D4" w:rsidRDefault="008B7449" w:rsidP="000F5A44">
            <w:pPr>
              <w:spacing w:after="0"/>
              <w:mirrorIndents/>
              <w:rPr>
                <w:rFonts w:cs="Segoe UI Light"/>
                <w:sz w:val="18"/>
                <w:szCs w:val="20"/>
              </w:rPr>
            </w:pPr>
            <w:r w:rsidRPr="007C70D4">
              <w:rPr>
                <w:rFonts w:cs="Segoe UI Light"/>
                <w:sz w:val="18"/>
                <w:szCs w:val="20"/>
              </w:rPr>
              <w:t>Subordinate legislation</w:t>
            </w:r>
          </w:p>
        </w:tc>
        <w:tc>
          <w:tcPr>
            <w:tcW w:w="2990" w:type="pct"/>
          </w:tcPr>
          <w:p w14:paraId="656B0AB9" w14:textId="77777777" w:rsidR="008B7449" w:rsidRPr="00875CC9" w:rsidRDefault="008B7449" w:rsidP="00494A7B">
            <w:pPr>
              <w:spacing w:after="0"/>
              <w:ind w:right="349"/>
              <w:mirrorIndents/>
              <w:rPr>
                <w:rFonts w:cs="Segoe UI Light"/>
                <w:sz w:val="18"/>
                <w:szCs w:val="20"/>
              </w:rPr>
            </w:pPr>
            <w:r>
              <w:rPr>
                <w:rFonts w:cs="Segoe UI Light"/>
                <w:sz w:val="18"/>
                <w:szCs w:val="20"/>
              </w:rPr>
              <w:t>IWMP</w:t>
            </w:r>
            <w:r w:rsidRPr="00875CC9">
              <w:rPr>
                <w:rFonts w:cs="Segoe UI Light"/>
                <w:sz w:val="18"/>
                <w:szCs w:val="20"/>
              </w:rPr>
              <w:t xml:space="preserve"> (Protecti</w:t>
            </w:r>
            <w:r>
              <w:rPr>
                <w:rFonts w:cs="Segoe UI Light"/>
                <w:sz w:val="18"/>
                <w:szCs w:val="20"/>
              </w:rPr>
              <w:t>on of the Ozone Layer)</w:t>
            </w:r>
          </w:p>
        </w:tc>
        <w:tc>
          <w:tcPr>
            <w:tcW w:w="873" w:type="pct"/>
          </w:tcPr>
          <w:p w14:paraId="656B0ABA" w14:textId="77777777" w:rsidR="008B7449" w:rsidRDefault="008B7449" w:rsidP="000F5A44">
            <w:pPr>
              <w:spacing w:after="0"/>
              <w:mirrorIndents/>
              <w:rPr>
                <w:rFonts w:cs="Segoe UI Light"/>
                <w:sz w:val="18"/>
                <w:szCs w:val="20"/>
              </w:rPr>
            </w:pPr>
            <w:r>
              <w:rPr>
                <w:rFonts w:cs="Segoe UI Light"/>
                <w:sz w:val="18"/>
                <w:szCs w:val="20"/>
              </w:rPr>
              <w:t>IWMP POL</w:t>
            </w:r>
          </w:p>
        </w:tc>
      </w:tr>
      <w:tr w:rsidR="008B7449" w:rsidRPr="00875CC9" w14:paraId="656B0ABF" w14:textId="77777777" w:rsidTr="00494A7B">
        <w:trPr>
          <w:trHeight w:val="306"/>
        </w:trPr>
        <w:tc>
          <w:tcPr>
            <w:tcW w:w="1137" w:type="pct"/>
          </w:tcPr>
          <w:p w14:paraId="656B0ABC" w14:textId="77777777" w:rsidR="008B7449" w:rsidRPr="007C70D4" w:rsidRDefault="008B7449" w:rsidP="000F5A44">
            <w:pPr>
              <w:spacing w:after="0"/>
              <w:mirrorIndents/>
              <w:rPr>
                <w:rFonts w:cs="Segoe UI Light"/>
                <w:sz w:val="18"/>
                <w:szCs w:val="20"/>
              </w:rPr>
            </w:pPr>
            <w:r w:rsidRPr="007C70D4">
              <w:rPr>
                <w:rFonts w:cs="Segoe UI Light"/>
                <w:sz w:val="18"/>
                <w:szCs w:val="20"/>
              </w:rPr>
              <w:t>Subordinate legislation</w:t>
            </w:r>
          </w:p>
        </w:tc>
        <w:tc>
          <w:tcPr>
            <w:tcW w:w="2990" w:type="pct"/>
          </w:tcPr>
          <w:p w14:paraId="656B0ABD" w14:textId="77777777" w:rsidR="008B7449" w:rsidRPr="00875CC9" w:rsidRDefault="008B7449" w:rsidP="00494A7B">
            <w:pPr>
              <w:spacing w:after="0"/>
              <w:ind w:right="349"/>
              <w:mirrorIndents/>
              <w:rPr>
                <w:rFonts w:cs="Segoe UI Light"/>
                <w:sz w:val="18"/>
                <w:szCs w:val="20"/>
              </w:rPr>
            </w:pPr>
            <w:r>
              <w:rPr>
                <w:rFonts w:cs="Segoe UI Light"/>
                <w:sz w:val="18"/>
                <w:szCs w:val="20"/>
              </w:rPr>
              <w:t>WMP</w:t>
            </w:r>
            <w:r w:rsidRPr="00875CC9">
              <w:rPr>
                <w:rFonts w:cs="Segoe UI Light"/>
                <w:sz w:val="18"/>
                <w:szCs w:val="20"/>
              </w:rPr>
              <w:t xml:space="preserve"> </w:t>
            </w:r>
            <w:r>
              <w:rPr>
                <w:rFonts w:cs="Segoe UI Light"/>
                <w:sz w:val="18"/>
                <w:szCs w:val="20"/>
              </w:rPr>
              <w:t xml:space="preserve">(National Pollutant Inventory) </w:t>
            </w:r>
          </w:p>
        </w:tc>
        <w:tc>
          <w:tcPr>
            <w:tcW w:w="873" w:type="pct"/>
          </w:tcPr>
          <w:p w14:paraId="656B0ABE" w14:textId="77777777" w:rsidR="008B7449" w:rsidRDefault="008B7449" w:rsidP="000F5A44">
            <w:pPr>
              <w:spacing w:after="0"/>
              <w:mirrorIndents/>
              <w:rPr>
                <w:rFonts w:cs="Segoe UI Light"/>
                <w:sz w:val="18"/>
                <w:szCs w:val="20"/>
              </w:rPr>
            </w:pPr>
            <w:r>
              <w:rPr>
                <w:rFonts w:cs="Segoe UI Light"/>
                <w:sz w:val="18"/>
                <w:szCs w:val="20"/>
              </w:rPr>
              <w:t>WMP NPI</w:t>
            </w:r>
          </w:p>
        </w:tc>
      </w:tr>
      <w:tr w:rsidR="008B7449" w:rsidRPr="00875CC9" w14:paraId="656B0AC3" w14:textId="77777777" w:rsidTr="00494A7B">
        <w:trPr>
          <w:trHeight w:val="306"/>
        </w:trPr>
        <w:tc>
          <w:tcPr>
            <w:tcW w:w="1137" w:type="pct"/>
          </w:tcPr>
          <w:p w14:paraId="656B0AC0" w14:textId="77777777" w:rsidR="008B7449" w:rsidRPr="007C70D4" w:rsidRDefault="008B7449" w:rsidP="008B7449">
            <w:pPr>
              <w:spacing w:after="0"/>
              <w:mirrorIndents/>
              <w:rPr>
                <w:rFonts w:cs="Segoe UI Light"/>
                <w:sz w:val="18"/>
                <w:szCs w:val="20"/>
              </w:rPr>
            </w:pPr>
            <w:r w:rsidRPr="007C70D4">
              <w:rPr>
                <w:rFonts w:cs="Segoe UI Light"/>
                <w:sz w:val="18"/>
                <w:szCs w:val="20"/>
              </w:rPr>
              <w:t>Subordinate legislation</w:t>
            </w:r>
          </w:p>
        </w:tc>
        <w:tc>
          <w:tcPr>
            <w:tcW w:w="2990" w:type="pct"/>
          </w:tcPr>
          <w:p w14:paraId="656B0AC1" w14:textId="77777777" w:rsidR="008B7449" w:rsidRPr="00875CC9" w:rsidRDefault="008B7449" w:rsidP="00436A04">
            <w:pPr>
              <w:spacing w:after="0"/>
              <w:ind w:right="349"/>
              <w:mirrorIndents/>
              <w:rPr>
                <w:rFonts w:cs="Segoe UI Light"/>
                <w:sz w:val="18"/>
                <w:szCs w:val="20"/>
              </w:rPr>
            </w:pPr>
            <w:r w:rsidRPr="00875CC9">
              <w:rPr>
                <w:rFonts w:cs="Segoe UI Light"/>
                <w:sz w:val="18"/>
                <w:szCs w:val="20"/>
              </w:rPr>
              <w:t xml:space="preserve">Protocol for Environmental Management (Greenhouse gas emissions and energy efficiency in industry) </w:t>
            </w:r>
          </w:p>
        </w:tc>
        <w:tc>
          <w:tcPr>
            <w:tcW w:w="873" w:type="pct"/>
          </w:tcPr>
          <w:p w14:paraId="656B0AC2" w14:textId="77777777" w:rsidR="008B7449" w:rsidRPr="00875CC9" w:rsidRDefault="008B7449" w:rsidP="008B7449">
            <w:pPr>
              <w:spacing w:after="0"/>
              <w:mirrorIndents/>
              <w:rPr>
                <w:rFonts w:cs="Segoe UI Light"/>
                <w:sz w:val="18"/>
                <w:szCs w:val="20"/>
              </w:rPr>
            </w:pPr>
            <w:r>
              <w:rPr>
                <w:rFonts w:cs="Segoe UI Light"/>
                <w:sz w:val="18"/>
                <w:szCs w:val="20"/>
              </w:rPr>
              <w:t>824</w:t>
            </w:r>
          </w:p>
        </w:tc>
      </w:tr>
      <w:tr w:rsidR="008B7449" w:rsidRPr="00875CC9" w14:paraId="656B0AC7" w14:textId="77777777" w:rsidTr="00494A7B">
        <w:trPr>
          <w:trHeight w:val="306"/>
        </w:trPr>
        <w:tc>
          <w:tcPr>
            <w:tcW w:w="1137" w:type="pct"/>
          </w:tcPr>
          <w:p w14:paraId="656B0AC4" w14:textId="77777777" w:rsidR="008B7449" w:rsidRPr="007C70D4" w:rsidRDefault="008B7449" w:rsidP="008B7449">
            <w:pPr>
              <w:spacing w:after="0"/>
              <w:mirrorIndents/>
              <w:rPr>
                <w:rFonts w:cs="Segoe UI Light"/>
                <w:sz w:val="18"/>
                <w:szCs w:val="20"/>
              </w:rPr>
            </w:pPr>
            <w:r w:rsidRPr="007C70D4">
              <w:rPr>
                <w:rFonts w:cs="Segoe UI Light"/>
                <w:sz w:val="18"/>
                <w:szCs w:val="20"/>
              </w:rPr>
              <w:t>Subordinate legislation</w:t>
            </w:r>
          </w:p>
        </w:tc>
        <w:tc>
          <w:tcPr>
            <w:tcW w:w="2990" w:type="pct"/>
          </w:tcPr>
          <w:p w14:paraId="656B0AC5" w14:textId="77777777" w:rsidR="008B7449" w:rsidRPr="00875CC9" w:rsidRDefault="008B7449" w:rsidP="00436A04">
            <w:pPr>
              <w:spacing w:after="0"/>
              <w:ind w:right="349"/>
              <w:mirrorIndents/>
              <w:rPr>
                <w:rFonts w:cs="Segoe UI Light"/>
                <w:sz w:val="18"/>
                <w:szCs w:val="20"/>
              </w:rPr>
            </w:pPr>
            <w:r w:rsidRPr="00875CC9">
              <w:rPr>
                <w:rFonts w:cs="Segoe UI Light"/>
                <w:sz w:val="18"/>
                <w:szCs w:val="20"/>
              </w:rPr>
              <w:t xml:space="preserve">Protocol for Environmental Management (Minimum control requirements for stationary sources) </w:t>
            </w:r>
          </w:p>
        </w:tc>
        <w:tc>
          <w:tcPr>
            <w:tcW w:w="873" w:type="pct"/>
          </w:tcPr>
          <w:p w14:paraId="656B0AC6" w14:textId="77777777" w:rsidR="008B7449" w:rsidRPr="00875CC9" w:rsidRDefault="008B7449" w:rsidP="008B7449">
            <w:pPr>
              <w:spacing w:after="0"/>
              <w:mirrorIndents/>
              <w:rPr>
                <w:rFonts w:cs="Segoe UI Light"/>
                <w:sz w:val="18"/>
                <w:szCs w:val="20"/>
              </w:rPr>
            </w:pPr>
            <w:r>
              <w:rPr>
                <w:rFonts w:cs="Segoe UI Light"/>
                <w:sz w:val="18"/>
                <w:szCs w:val="20"/>
              </w:rPr>
              <w:t>829</w:t>
            </w:r>
          </w:p>
        </w:tc>
      </w:tr>
      <w:tr w:rsidR="008B7449" w:rsidRPr="00875CC9" w14:paraId="656B0ACB" w14:textId="77777777" w:rsidTr="00494A7B">
        <w:trPr>
          <w:trHeight w:val="306"/>
        </w:trPr>
        <w:tc>
          <w:tcPr>
            <w:tcW w:w="1137" w:type="pct"/>
          </w:tcPr>
          <w:p w14:paraId="656B0AC8" w14:textId="77777777" w:rsidR="008B7449" w:rsidRPr="007C70D4" w:rsidRDefault="008B7449" w:rsidP="008B7449">
            <w:pPr>
              <w:spacing w:after="0"/>
              <w:mirrorIndents/>
              <w:rPr>
                <w:rFonts w:cs="Segoe UI Light"/>
                <w:sz w:val="18"/>
                <w:szCs w:val="20"/>
              </w:rPr>
            </w:pPr>
            <w:r w:rsidRPr="007C70D4">
              <w:rPr>
                <w:rFonts w:cs="Segoe UI Light"/>
                <w:sz w:val="18"/>
                <w:szCs w:val="20"/>
              </w:rPr>
              <w:t>Subordinate legislation</w:t>
            </w:r>
          </w:p>
        </w:tc>
        <w:tc>
          <w:tcPr>
            <w:tcW w:w="2990" w:type="pct"/>
          </w:tcPr>
          <w:p w14:paraId="656B0AC9" w14:textId="77777777" w:rsidR="008B7449" w:rsidRPr="00875CC9" w:rsidRDefault="008B7449" w:rsidP="00436A04">
            <w:pPr>
              <w:spacing w:after="0"/>
              <w:ind w:right="349"/>
              <w:mirrorIndents/>
              <w:rPr>
                <w:rFonts w:cs="Segoe UI Light"/>
                <w:sz w:val="18"/>
                <w:szCs w:val="20"/>
              </w:rPr>
            </w:pPr>
            <w:r w:rsidRPr="00875CC9">
              <w:rPr>
                <w:rFonts w:cs="Segoe UI Light"/>
                <w:sz w:val="18"/>
                <w:szCs w:val="20"/>
              </w:rPr>
              <w:t>Protocol for Environmental Management (</w:t>
            </w:r>
            <w:r>
              <w:rPr>
                <w:rFonts w:cs="Segoe UI Light"/>
                <w:sz w:val="18"/>
                <w:szCs w:val="20"/>
              </w:rPr>
              <w:t>Mining and extractive industry)</w:t>
            </w:r>
          </w:p>
        </w:tc>
        <w:tc>
          <w:tcPr>
            <w:tcW w:w="873" w:type="pct"/>
          </w:tcPr>
          <w:p w14:paraId="656B0ACA" w14:textId="77777777" w:rsidR="008B7449" w:rsidRPr="00875CC9" w:rsidRDefault="008B7449" w:rsidP="008B7449">
            <w:pPr>
              <w:spacing w:after="0"/>
              <w:mirrorIndents/>
              <w:rPr>
                <w:rFonts w:cs="Segoe UI Light"/>
                <w:sz w:val="18"/>
                <w:szCs w:val="20"/>
              </w:rPr>
            </w:pPr>
            <w:r>
              <w:rPr>
                <w:rFonts w:cs="Segoe UI Light"/>
                <w:sz w:val="18"/>
                <w:szCs w:val="20"/>
              </w:rPr>
              <w:t>1191</w:t>
            </w:r>
          </w:p>
        </w:tc>
      </w:tr>
      <w:tr w:rsidR="008B7449" w:rsidRPr="00875CC9" w14:paraId="656B0ACF" w14:textId="77777777" w:rsidTr="00494A7B">
        <w:trPr>
          <w:trHeight w:val="306"/>
        </w:trPr>
        <w:tc>
          <w:tcPr>
            <w:tcW w:w="1137" w:type="pct"/>
          </w:tcPr>
          <w:p w14:paraId="656B0ACC" w14:textId="77777777" w:rsidR="008B7449" w:rsidRPr="007C70D4" w:rsidRDefault="008B7449" w:rsidP="008B7449">
            <w:pPr>
              <w:spacing w:after="0"/>
              <w:mirrorIndents/>
              <w:rPr>
                <w:rFonts w:cs="Segoe UI Light"/>
                <w:sz w:val="18"/>
                <w:szCs w:val="20"/>
              </w:rPr>
            </w:pPr>
            <w:r w:rsidRPr="007C70D4">
              <w:rPr>
                <w:rFonts w:cs="Segoe UI Light"/>
                <w:sz w:val="18"/>
                <w:szCs w:val="20"/>
              </w:rPr>
              <w:t>Non-statutory guidance</w:t>
            </w:r>
          </w:p>
        </w:tc>
        <w:tc>
          <w:tcPr>
            <w:tcW w:w="2990" w:type="pct"/>
          </w:tcPr>
          <w:p w14:paraId="656B0ACD" w14:textId="77777777" w:rsidR="008B7449" w:rsidRPr="00875CC9" w:rsidRDefault="008B7449" w:rsidP="00436A04">
            <w:pPr>
              <w:spacing w:after="0"/>
              <w:ind w:right="349"/>
              <w:mirrorIndents/>
              <w:rPr>
                <w:rFonts w:cs="Segoe UI Light"/>
                <w:sz w:val="18"/>
                <w:szCs w:val="20"/>
              </w:rPr>
            </w:pPr>
            <w:r w:rsidRPr="00875CC9">
              <w:rPr>
                <w:rFonts w:cs="Segoe UI Light"/>
                <w:sz w:val="18"/>
                <w:szCs w:val="20"/>
              </w:rPr>
              <w:t xml:space="preserve">Recommended separation distances for industrial residual air emissions – </w:t>
            </w:r>
            <w:r w:rsidR="00FD770B">
              <w:rPr>
                <w:rFonts w:cs="Segoe UI Light"/>
                <w:sz w:val="18"/>
                <w:szCs w:val="20"/>
              </w:rPr>
              <w:t xml:space="preserve"> </w:t>
            </w:r>
            <w:r w:rsidRPr="00875CC9">
              <w:rPr>
                <w:rFonts w:cs="Segoe UI Light"/>
                <w:sz w:val="18"/>
                <w:szCs w:val="20"/>
              </w:rPr>
              <w:t>Guideline</w:t>
            </w:r>
          </w:p>
        </w:tc>
        <w:tc>
          <w:tcPr>
            <w:tcW w:w="873" w:type="pct"/>
          </w:tcPr>
          <w:p w14:paraId="656B0ACE" w14:textId="77777777" w:rsidR="008B7449" w:rsidRPr="00875CC9" w:rsidRDefault="008B7449" w:rsidP="008B7449">
            <w:pPr>
              <w:spacing w:after="0"/>
              <w:mirrorIndents/>
              <w:rPr>
                <w:rFonts w:cs="Segoe UI Light"/>
                <w:sz w:val="18"/>
                <w:szCs w:val="20"/>
              </w:rPr>
            </w:pPr>
            <w:r>
              <w:rPr>
                <w:rFonts w:cs="Segoe UI Light"/>
                <w:sz w:val="18"/>
                <w:szCs w:val="20"/>
              </w:rPr>
              <w:t>1518</w:t>
            </w:r>
          </w:p>
        </w:tc>
      </w:tr>
      <w:tr w:rsidR="008B7449" w:rsidRPr="00875CC9" w14:paraId="656B0AD3" w14:textId="77777777" w:rsidTr="00494A7B">
        <w:trPr>
          <w:trHeight w:val="306"/>
        </w:trPr>
        <w:tc>
          <w:tcPr>
            <w:tcW w:w="1137" w:type="pct"/>
          </w:tcPr>
          <w:p w14:paraId="656B0AD0" w14:textId="77777777" w:rsidR="008B7449" w:rsidRPr="007C70D4" w:rsidRDefault="008B7449" w:rsidP="008B7449">
            <w:pPr>
              <w:spacing w:after="0"/>
              <w:mirrorIndents/>
              <w:rPr>
                <w:rFonts w:cs="Segoe UI Light"/>
                <w:sz w:val="18"/>
                <w:szCs w:val="20"/>
              </w:rPr>
            </w:pPr>
            <w:r w:rsidRPr="007C70D4">
              <w:rPr>
                <w:rFonts w:cs="Segoe UI Light"/>
                <w:sz w:val="18"/>
                <w:szCs w:val="20"/>
              </w:rPr>
              <w:t>Non-statutory guidance</w:t>
            </w:r>
          </w:p>
        </w:tc>
        <w:tc>
          <w:tcPr>
            <w:tcW w:w="2990" w:type="pct"/>
          </w:tcPr>
          <w:p w14:paraId="656B0AD1" w14:textId="77777777" w:rsidR="008B7449" w:rsidRPr="00875CC9" w:rsidRDefault="008B7449" w:rsidP="00436A04">
            <w:pPr>
              <w:spacing w:after="0"/>
              <w:ind w:right="349"/>
              <w:mirrorIndents/>
              <w:rPr>
                <w:rFonts w:cs="Segoe UI Light"/>
                <w:sz w:val="18"/>
                <w:szCs w:val="20"/>
              </w:rPr>
            </w:pPr>
            <w:r w:rsidRPr="00875CC9">
              <w:rPr>
                <w:rFonts w:cs="Segoe UI Light"/>
                <w:sz w:val="18"/>
                <w:szCs w:val="20"/>
              </w:rPr>
              <w:t xml:space="preserve">Works approval application guidelines </w:t>
            </w:r>
          </w:p>
        </w:tc>
        <w:tc>
          <w:tcPr>
            <w:tcW w:w="873" w:type="pct"/>
          </w:tcPr>
          <w:p w14:paraId="656B0AD2" w14:textId="77777777" w:rsidR="008B7449" w:rsidRPr="00875CC9" w:rsidRDefault="008B7449" w:rsidP="008B7449">
            <w:pPr>
              <w:spacing w:after="0"/>
              <w:mirrorIndents/>
              <w:rPr>
                <w:rFonts w:cs="Segoe UI Light"/>
                <w:sz w:val="18"/>
                <w:szCs w:val="20"/>
              </w:rPr>
            </w:pPr>
            <w:r>
              <w:rPr>
                <w:rFonts w:cs="Segoe UI Light"/>
                <w:sz w:val="18"/>
                <w:szCs w:val="20"/>
              </w:rPr>
              <w:t>1658</w:t>
            </w:r>
          </w:p>
        </w:tc>
      </w:tr>
    </w:tbl>
    <w:p w14:paraId="656B0AD4" w14:textId="77777777" w:rsidR="00246E8B" w:rsidRDefault="00246E8B" w:rsidP="000F5A44">
      <w:pPr>
        <w:rPr>
          <w:rFonts w:cs="Segoe UI Light"/>
        </w:rPr>
      </w:pPr>
    </w:p>
    <w:bookmarkEnd w:id="1622"/>
    <w:p w14:paraId="656B0AD5" w14:textId="77777777" w:rsidR="00DC7462" w:rsidRDefault="004C6915" w:rsidP="00982D63">
      <w:pPr>
        <w:pStyle w:val="Heading2"/>
      </w:pPr>
      <w:r>
        <w:t>New EP legislation</w:t>
      </w:r>
    </w:p>
    <w:p w14:paraId="656B0AD6" w14:textId="77777777" w:rsidR="002C0FE0" w:rsidRDefault="002C0FE0" w:rsidP="001C3E66">
      <w:pPr>
        <w:mirrorIndents/>
        <w:rPr>
          <w:rFonts w:cs="Segoe UI Light"/>
          <w:szCs w:val="20"/>
        </w:rPr>
      </w:pPr>
      <w:bookmarkStart w:id="1624" w:name="_Toc536054987"/>
      <w:r>
        <w:rPr>
          <w:rFonts w:cs="Segoe UI Light"/>
        </w:rPr>
        <w:t>There are no</w:t>
      </w:r>
      <w:r w:rsidRPr="00F657B0">
        <w:rPr>
          <w:rFonts w:cs="Segoe UI Light"/>
        </w:rPr>
        <w:t xml:space="preserve"> specific requirements in relation to </w:t>
      </w:r>
      <w:r>
        <w:rPr>
          <w:rFonts w:cs="Segoe UI Light"/>
        </w:rPr>
        <w:t>air</w:t>
      </w:r>
      <w:r w:rsidRPr="00F657B0">
        <w:rPr>
          <w:rFonts w:cs="Segoe UI Light"/>
        </w:rPr>
        <w:t xml:space="preserve"> </w:t>
      </w:r>
      <w:r>
        <w:rPr>
          <w:rFonts w:cs="Segoe UI Light"/>
        </w:rPr>
        <w:t xml:space="preserve">pollution </w:t>
      </w:r>
      <w:r w:rsidRPr="00F657B0">
        <w:rPr>
          <w:rFonts w:cs="Segoe UI Light"/>
        </w:rPr>
        <w:t xml:space="preserve">in the </w:t>
      </w:r>
      <w:r>
        <w:rPr>
          <w:rFonts w:cs="Segoe UI Light"/>
        </w:rPr>
        <w:t>new EP legislation.</w:t>
      </w:r>
      <w:r w:rsidR="001C3E66" w:rsidRPr="001C3E66">
        <w:t xml:space="preserve"> </w:t>
      </w:r>
      <w:r w:rsidR="001C3E66">
        <w:t xml:space="preserve">However, elements of the </w:t>
      </w:r>
      <w:r w:rsidR="001C3E66" w:rsidRPr="00C76D2F">
        <w:rPr>
          <w:rFonts w:cs="Segoe UI Light"/>
        </w:rPr>
        <w:t>new EP</w:t>
      </w:r>
      <w:r w:rsidR="001C3E66">
        <w:rPr>
          <w:rFonts w:cs="Segoe UI Light"/>
        </w:rPr>
        <w:t xml:space="preserve"> legislation are expected to address </w:t>
      </w:r>
      <w:r w:rsidR="00A67B85">
        <w:rPr>
          <w:rFonts w:cs="Segoe UI Light"/>
        </w:rPr>
        <w:t xml:space="preserve">a significant </w:t>
      </w:r>
      <w:r w:rsidR="001C3E66">
        <w:rPr>
          <w:rFonts w:cs="Segoe UI Light"/>
        </w:rPr>
        <w:t>part of the overarching air pollution problem.</w:t>
      </w:r>
    </w:p>
    <w:p w14:paraId="656B0AD7" w14:textId="77777777" w:rsidR="007F25C2" w:rsidRDefault="00A67B85" w:rsidP="007F25C2">
      <w:pPr>
        <w:rPr>
          <w:rFonts w:cs="Segoe UI Light"/>
        </w:rPr>
      </w:pPr>
      <w:r w:rsidRPr="002F5634">
        <w:t xml:space="preserve">The </w:t>
      </w:r>
      <w:r>
        <w:t>GED</w:t>
      </w:r>
      <w:r w:rsidRPr="002F5634">
        <w:t xml:space="preserve"> and other obligations</w:t>
      </w:r>
      <w:r>
        <w:t xml:space="preserve">, such as a </w:t>
      </w:r>
      <w:r w:rsidRPr="002D01F6">
        <w:t xml:space="preserve">specific duty to notify </w:t>
      </w:r>
      <w:r>
        <w:t>EPA</w:t>
      </w:r>
      <w:r w:rsidRPr="002D01F6">
        <w:t xml:space="preserve"> </w:t>
      </w:r>
      <w:r w:rsidRPr="001F2E8E">
        <w:rPr>
          <w:rFonts w:cs="Segoe UI Light"/>
        </w:rPr>
        <w:t>of pollution incidents</w:t>
      </w:r>
      <w:r>
        <w:rPr>
          <w:rFonts w:cs="Segoe UI Light"/>
        </w:rPr>
        <w:t>,</w:t>
      </w:r>
      <w:r w:rsidRPr="002F5634">
        <w:t xml:space="preserve"> will apply to </w:t>
      </w:r>
      <w:r>
        <w:t>duty holders with regards to their air pollution</w:t>
      </w:r>
      <w:r w:rsidRPr="002F5634">
        <w:t xml:space="preserve">. </w:t>
      </w:r>
      <w:r w:rsidR="007F25C2">
        <w:rPr>
          <w:rFonts w:cs="Segoe UI Light"/>
        </w:rPr>
        <w:t xml:space="preserve">Some ambient air quality standards </w:t>
      </w:r>
      <w:r w:rsidR="007F25C2" w:rsidRPr="001F2E8E">
        <w:rPr>
          <w:rFonts w:cs="Segoe UI Light"/>
        </w:rPr>
        <w:t>that now sit within SEPP</w:t>
      </w:r>
      <w:r w:rsidR="007F25C2">
        <w:rPr>
          <w:rFonts w:cs="Segoe UI Light"/>
        </w:rPr>
        <w:t xml:space="preserve"> AAQ</w:t>
      </w:r>
      <w:r w:rsidR="007F25C2" w:rsidRPr="001F2E8E">
        <w:rPr>
          <w:rFonts w:cs="Segoe UI Light"/>
        </w:rPr>
        <w:t xml:space="preserve"> (see </w:t>
      </w:r>
      <w:r w:rsidR="007F25C2" w:rsidRPr="001F2E8E">
        <w:rPr>
          <w:rFonts w:cs="Segoe UI Light"/>
          <w:color w:val="2B579A"/>
          <w:shd w:val="clear" w:color="auto" w:fill="E6E6E6"/>
        </w:rPr>
        <w:fldChar w:fldCharType="begin"/>
      </w:r>
      <w:r w:rsidR="007F25C2" w:rsidRPr="001F2E8E">
        <w:rPr>
          <w:rFonts w:cs="Segoe UI Light"/>
        </w:rPr>
        <w:instrText xml:space="preserve"> REF _Ref536616907 \h </w:instrText>
      </w:r>
      <w:r w:rsidR="007F25C2">
        <w:rPr>
          <w:rFonts w:cs="Segoe UI Light"/>
          <w:b/>
          <w:bCs/>
        </w:rPr>
        <w:instrText xml:space="preserve"> \* MERGEFORMAT </w:instrText>
      </w:r>
      <w:r w:rsidR="007F25C2" w:rsidRPr="001F2E8E">
        <w:rPr>
          <w:rFonts w:cs="Segoe UI Light"/>
          <w:color w:val="2B579A"/>
          <w:shd w:val="clear" w:color="auto" w:fill="E6E6E6"/>
        </w:rPr>
      </w:r>
      <w:r w:rsidR="007F25C2" w:rsidRPr="001F2E8E">
        <w:rPr>
          <w:rFonts w:cs="Segoe UI Light"/>
          <w:color w:val="2B579A"/>
          <w:shd w:val="clear" w:color="auto" w:fill="E6E6E6"/>
        </w:rPr>
        <w:fldChar w:fldCharType="separate"/>
      </w:r>
      <w:r w:rsidR="00B51904" w:rsidRPr="00B51904">
        <w:rPr>
          <w:rFonts w:cs="Segoe UI Light"/>
        </w:rPr>
        <w:t>Table 12</w:t>
      </w:r>
      <w:r w:rsidR="00B51904" w:rsidRPr="00B51904">
        <w:rPr>
          <w:rFonts w:cs="Segoe UI Light"/>
        </w:rPr>
        <w:noBreakHyphen/>
        <w:t>2</w:t>
      </w:r>
      <w:r w:rsidR="007F25C2" w:rsidRPr="001F2E8E">
        <w:rPr>
          <w:rFonts w:cs="Segoe UI Light"/>
          <w:color w:val="2B579A"/>
          <w:shd w:val="clear" w:color="auto" w:fill="E6E6E6"/>
        </w:rPr>
        <w:fldChar w:fldCharType="end"/>
      </w:r>
      <w:r w:rsidR="007F25C2" w:rsidRPr="001F2E8E">
        <w:rPr>
          <w:rFonts w:cs="Segoe UI Light"/>
        </w:rPr>
        <w:t xml:space="preserve">) </w:t>
      </w:r>
      <w:r w:rsidR="007F25C2">
        <w:rPr>
          <w:rFonts w:cs="Segoe UI Light"/>
        </w:rPr>
        <w:t>are expected to</w:t>
      </w:r>
      <w:r w:rsidR="007F25C2" w:rsidRPr="001F2E8E">
        <w:rPr>
          <w:rFonts w:cs="Segoe UI Light"/>
        </w:rPr>
        <w:t xml:space="preserve"> sit within </w:t>
      </w:r>
      <w:r w:rsidR="007F25C2">
        <w:rPr>
          <w:rFonts w:cs="Segoe UI Light"/>
        </w:rPr>
        <w:t xml:space="preserve">a </w:t>
      </w:r>
      <w:r w:rsidR="007F25C2" w:rsidRPr="001F2E8E">
        <w:rPr>
          <w:rFonts w:cs="Segoe UI Light"/>
        </w:rPr>
        <w:t xml:space="preserve">new statutory instrument known as </w:t>
      </w:r>
      <w:r w:rsidR="007F25C2">
        <w:rPr>
          <w:rFonts w:cs="Segoe UI Light"/>
        </w:rPr>
        <w:t xml:space="preserve">an </w:t>
      </w:r>
      <w:r w:rsidR="007F25C2" w:rsidRPr="001F2E8E">
        <w:rPr>
          <w:rFonts w:cs="Segoe UI Light"/>
        </w:rPr>
        <w:t>ERS (</w:t>
      </w:r>
      <w:r w:rsidR="007F25C2">
        <w:rPr>
          <w:rFonts w:cs="Segoe UI Light"/>
        </w:rPr>
        <w:t xml:space="preserve">described in </w:t>
      </w:r>
      <w:r w:rsidR="007F25C2" w:rsidRPr="007B6A1F">
        <w:fldChar w:fldCharType="begin"/>
      </w:r>
      <w:r w:rsidR="007F25C2" w:rsidRPr="007B6A1F">
        <w:instrText xml:space="preserve"> REF _Ref8910088 \h </w:instrText>
      </w:r>
      <w:r w:rsidR="007F25C2">
        <w:instrText xml:space="preserve"> \* MERGEFORMAT </w:instrText>
      </w:r>
      <w:r w:rsidR="007F25C2" w:rsidRPr="007B6A1F">
        <w:fldChar w:fldCharType="separate"/>
      </w:r>
      <w:r w:rsidR="00B11C1E">
        <w:t>Appendix 1 – Environment Reference Standard</w:t>
      </w:r>
      <w:r w:rsidR="007F25C2" w:rsidRPr="007B6A1F">
        <w:fldChar w:fldCharType="end"/>
      </w:r>
      <w:r w:rsidR="007F25C2" w:rsidRPr="007B6A1F">
        <w:t>).</w:t>
      </w:r>
      <w:r w:rsidR="007F25C2" w:rsidRPr="0093166D">
        <w:t xml:space="preserve"> </w:t>
      </w:r>
      <w:r w:rsidR="007F25C2">
        <w:t xml:space="preserve">The proposed new ERS, which </w:t>
      </w:r>
      <w:r w:rsidR="007F25C2">
        <w:rPr>
          <w:rFonts w:cs="Segoe UI Light"/>
        </w:rPr>
        <w:t xml:space="preserve">is expected to contain environmental values and health-based ambient air quality standards such as those </w:t>
      </w:r>
      <w:r w:rsidR="007F25C2" w:rsidRPr="00C76D2F">
        <w:rPr>
          <w:rFonts w:cs="Segoe UI Light"/>
        </w:rPr>
        <w:t xml:space="preserve">contained in SEPP AAQ, </w:t>
      </w:r>
      <w:r w:rsidR="007F25C2">
        <w:rPr>
          <w:rFonts w:cs="Segoe UI Light"/>
        </w:rPr>
        <w:t>will provide clear reference standards about acceptable ambient air quality which characterise the environmental values.</w:t>
      </w:r>
    </w:p>
    <w:p w14:paraId="656B0AD8" w14:textId="77777777" w:rsidR="001C3E66" w:rsidRDefault="007F25C2" w:rsidP="007F25C2">
      <w:pPr>
        <w:mirrorIndents/>
      </w:pPr>
      <w:r>
        <w:rPr>
          <w:rFonts w:cs="Segoe UI Light"/>
        </w:rPr>
        <w:t xml:space="preserve">However the ERS will not have any direct regulatory force, unlike the proposed Regulations. The </w:t>
      </w:r>
      <w:r w:rsidRPr="001F2E8E">
        <w:rPr>
          <w:rFonts w:cs="Segoe UI Light"/>
        </w:rPr>
        <w:t>ERS</w:t>
      </w:r>
      <w:r>
        <w:rPr>
          <w:rFonts w:cs="Segoe UI Light"/>
        </w:rPr>
        <w:t xml:space="preserve"> is</w:t>
      </w:r>
      <w:r w:rsidRPr="001F2E8E">
        <w:rPr>
          <w:rFonts w:cs="Segoe UI Light"/>
        </w:rPr>
        <w:t xml:space="preserve"> not being assessed as part of this RIS</w:t>
      </w:r>
      <w:r>
        <w:rPr>
          <w:rFonts w:cs="Segoe UI Light"/>
        </w:rPr>
        <w:t xml:space="preserve"> – it is </w:t>
      </w:r>
      <w:r w:rsidRPr="001F2E8E">
        <w:rPr>
          <w:rFonts w:cs="Segoe UI Light"/>
        </w:rPr>
        <w:t xml:space="preserve">subject to </w:t>
      </w:r>
      <w:r>
        <w:rPr>
          <w:rFonts w:cs="Segoe UI Light"/>
        </w:rPr>
        <w:t xml:space="preserve">its </w:t>
      </w:r>
      <w:r w:rsidRPr="001F2E8E">
        <w:rPr>
          <w:rFonts w:cs="Segoe UI Light"/>
        </w:rPr>
        <w:t>own impact assessment.</w:t>
      </w:r>
    </w:p>
    <w:p w14:paraId="656B0AD9" w14:textId="77777777" w:rsidR="001C3E66" w:rsidRDefault="002C0FE0" w:rsidP="001C3E66">
      <w:pPr>
        <w:mirrorIndents/>
      </w:pPr>
      <w:r>
        <w:t xml:space="preserve">The new EP </w:t>
      </w:r>
      <w:r w:rsidR="004457C2">
        <w:t>l</w:t>
      </w:r>
      <w:r>
        <w:t xml:space="preserve">egislation </w:t>
      </w:r>
      <w:r w:rsidR="00BD0502">
        <w:t xml:space="preserve">also </w:t>
      </w:r>
      <w:r>
        <w:t>introduces a permissioning framework which</w:t>
      </w:r>
      <w:r w:rsidR="00FD770B">
        <w:t>, like the existing framework,</w:t>
      </w:r>
      <w:r>
        <w:t xml:space="preserve"> could enable EPA to monitor and establish conditions for generators that fall under the framework. </w:t>
      </w:r>
      <w:r w:rsidR="001C3E66">
        <w:rPr>
          <w:rFonts w:cs="Segoe UI Light"/>
        </w:rPr>
        <w:t xml:space="preserve">As noted in Chapter </w:t>
      </w:r>
      <w:r w:rsidR="001C3E66">
        <w:rPr>
          <w:rFonts w:cs="Segoe UI Light"/>
          <w:color w:val="2B579A"/>
          <w:shd w:val="clear" w:color="auto" w:fill="E6E6E6"/>
        </w:rPr>
        <w:fldChar w:fldCharType="begin"/>
      </w:r>
      <w:r w:rsidR="001C3E66">
        <w:rPr>
          <w:rFonts w:cs="Segoe UI Light"/>
        </w:rPr>
        <w:instrText xml:space="preserve"> REF _Ref7765829 \r \h </w:instrText>
      </w:r>
      <w:r w:rsidR="001C3E66">
        <w:rPr>
          <w:rFonts w:cs="Segoe UI Light"/>
          <w:color w:val="2B579A"/>
          <w:shd w:val="clear" w:color="auto" w:fill="E6E6E6"/>
        </w:rPr>
      </w:r>
      <w:r w:rsidR="001C3E66">
        <w:rPr>
          <w:rFonts w:cs="Segoe UI Light"/>
          <w:color w:val="2B579A"/>
          <w:shd w:val="clear" w:color="auto" w:fill="E6E6E6"/>
        </w:rPr>
        <w:fldChar w:fldCharType="separate"/>
      </w:r>
      <w:r w:rsidR="00B11C1E">
        <w:rPr>
          <w:rFonts w:cs="Segoe UI Light"/>
        </w:rPr>
        <w:t>6</w:t>
      </w:r>
      <w:r w:rsidR="001C3E66">
        <w:rPr>
          <w:rFonts w:cs="Segoe UI Light"/>
          <w:color w:val="2B579A"/>
          <w:shd w:val="clear" w:color="auto" w:fill="E6E6E6"/>
        </w:rPr>
        <w:fldChar w:fldCharType="end"/>
      </w:r>
      <w:r w:rsidR="001C3E66">
        <w:rPr>
          <w:rFonts w:cs="Segoe UI Light"/>
        </w:rPr>
        <w:t xml:space="preserve">, high-risk </w:t>
      </w:r>
      <w:r w:rsidR="001C3E66">
        <w:t>operators are required to obtain development and operating licences. These are designed to reduce air emissions through ensuring appropriate design of relevant operations (through development licences) and compliance with maximum emission requirements (through operating licences).</w:t>
      </w:r>
    </w:p>
    <w:p w14:paraId="656B0ADA" w14:textId="77777777" w:rsidR="002C0FE0" w:rsidRPr="002C0FE0" w:rsidRDefault="002C0FE0" w:rsidP="002C0FE0"/>
    <w:bookmarkEnd w:id="1624"/>
    <w:p w14:paraId="656B0ADB" w14:textId="77777777" w:rsidR="00DC7462" w:rsidRDefault="00907316" w:rsidP="00982D63">
      <w:pPr>
        <w:pStyle w:val="Heading2"/>
      </w:pPr>
      <w:r>
        <w:t>Nature and extent of problem</w:t>
      </w:r>
    </w:p>
    <w:p w14:paraId="656B0ADC" w14:textId="77777777" w:rsidR="00914F74" w:rsidRDefault="00914F74" w:rsidP="00D66FCE">
      <w:pPr>
        <w:pStyle w:val="Heading3"/>
        <w:ind w:left="720"/>
      </w:pPr>
      <w:r>
        <w:t>Residual risk</w:t>
      </w:r>
    </w:p>
    <w:p w14:paraId="656B0ADD" w14:textId="77777777" w:rsidR="00E12829" w:rsidRPr="008D16D8" w:rsidRDefault="00E12829" w:rsidP="00E12829">
      <w:r>
        <w:t xml:space="preserve">As noted above, </w:t>
      </w:r>
      <w:r w:rsidRPr="008D16D8">
        <w:t>the GED</w:t>
      </w:r>
      <w:r>
        <w:t xml:space="preserve"> and the permissioning framework are, collectively, likely to address a significant portion of the overall problem of air pollution in Victoria</w:t>
      </w:r>
      <w:r w:rsidRPr="008D16D8">
        <w:t>. However, some residual risk remains in relation to the significant consequences of harms that could occur in three key areas:</w:t>
      </w:r>
    </w:p>
    <w:p w14:paraId="656B0ADE" w14:textId="77777777" w:rsidR="00E12829" w:rsidRPr="008D16D8" w:rsidRDefault="007F25C2" w:rsidP="00E12829">
      <w:pPr>
        <w:pStyle w:val="ListParagraph"/>
        <w:numPr>
          <w:ilvl w:val="0"/>
          <w:numId w:val="232"/>
        </w:numPr>
      </w:pPr>
      <w:r>
        <w:t>T</w:t>
      </w:r>
      <w:r w:rsidRPr="008D16D8">
        <w:t xml:space="preserve">he </w:t>
      </w:r>
      <w:r w:rsidR="00E12829" w:rsidRPr="008D16D8">
        <w:t xml:space="preserve">use of methyl bromide </w:t>
      </w:r>
    </w:p>
    <w:p w14:paraId="656B0ADF" w14:textId="77777777" w:rsidR="00E12829" w:rsidRPr="008D16D8" w:rsidRDefault="007F25C2" w:rsidP="00E12829">
      <w:pPr>
        <w:pStyle w:val="ListParagraph"/>
        <w:numPr>
          <w:ilvl w:val="0"/>
          <w:numId w:val="232"/>
        </w:numPr>
      </w:pPr>
      <w:r>
        <w:t>A</w:t>
      </w:r>
      <w:r w:rsidRPr="008D16D8">
        <w:t xml:space="preserve">ir </w:t>
      </w:r>
      <w:r w:rsidR="00E12829" w:rsidRPr="008D16D8">
        <w:t>pollution generated by wood heaters</w:t>
      </w:r>
    </w:p>
    <w:p w14:paraId="656B0AE0" w14:textId="77777777" w:rsidR="00E12829" w:rsidRPr="008D16D8" w:rsidRDefault="007F25C2" w:rsidP="00E12829">
      <w:pPr>
        <w:pStyle w:val="ListParagraph"/>
        <w:numPr>
          <w:ilvl w:val="0"/>
          <w:numId w:val="232"/>
        </w:numPr>
      </w:pPr>
      <w:r>
        <w:t>T</w:t>
      </w:r>
      <w:r w:rsidRPr="008D16D8">
        <w:t xml:space="preserve">he </w:t>
      </w:r>
      <w:r w:rsidR="00E12829" w:rsidRPr="008D16D8">
        <w:t xml:space="preserve">emission of highly hazardous air pollutants (‘Class 3 </w:t>
      </w:r>
      <w:r w:rsidR="00E05091">
        <w:t>substances</w:t>
      </w:r>
      <w:r w:rsidR="00E05091" w:rsidRPr="008D16D8">
        <w:t>’</w:t>
      </w:r>
      <w:r w:rsidR="00E12829" w:rsidRPr="008D16D8">
        <w:t xml:space="preserve">). </w:t>
      </w:r>
    </w:p>
    <w:p w14:paraId="656B0AE1" w14:textId="77777777" w:rsidR="00E12829" w:rsidRPr="008D16D8" w:rsidRDefault="00E12829" w:rsidP="0018718B">
      <w:pPr>
        <w:mirrorIndents/>
      </w:pPr>
      <w:r w:rsidRPr="008D16D8">
        <w:t>Furthermore, there is a residual risk</w:t>
      </w:r>
      <w:r w:rsidR="00A67B85" w:rsidRPr="008D16D8">
        <w:t xml:space="preserve"> of mismanagement in</w:t>
      </w:r>
      <w:r w:rsidRPr="008D16D8">
        <w:t xml:space="preserve"> that businesses</w:t>
      </w:r>
      <w:r w:rsidR="00A67B85" w:rsidRPr="008D16D8">
        <w:t xml:space="preserve"> migh</w:t>
      </w:r>
      <w:r w:rsidR="008122AD" w:rsidRPr="008D16D8">
        <w:t>t</w:t>
      </w:r>
      <w:r w:rsidRPr="008D16D8">
        <w:t xml:space="preserve"> not report their emissions to the </w:t>
      </w:r>
      <w:r w:rsidR="00122387">
        <w:t>National Pollutant Inventory (</w:t>
      </w:r>
      <w:r w:rsidR="007F25C2">
        <w:t>NPI</w:t>
      </w:r>
      <w:r w:rsidR="00122387">
        <w:t>)</w:t>
      </w:r>
      <w:r w:rsidRPr="008D16D8">
        <w:t xml:space="preserve"> if not required to do so in regulations. </w:t>
      </w:r>
    </w:p>
    <w:p w14:paraId="656B0AE2" w14:textId="77777777" w:rsidR="00916A07" w:rsidRDefault="007B1899" w:rsidP="0018718B">
      <w:pPr>
        <w:mirrorIndents/>
        <w:rPr>
          <w:rFonts w:cs="Segoe UI Light"/>
        </w:rPr>
      </w:pPr>
      <w:r>
        <w:rPr>
          <w:rFonts w:cs="Segoe UI Light"/>
        </w:rPr>
        <w:t xml:space="preserve">Specific </w:t>
      </w:r>
      <w:r w:rsidR="001C3E66">
        <w:rPr>
          <w:rFonts w:cs="Segoe UI Light"/>
        </w:rPr>
        <w:t>r</w:t>
      </w:r>
      <w:r w:rsidR="00266FB5">
        <w:rPr>
          <w:rFonts w:cs="Segoe UI Light"/>
        </w:rPr>
        <w:t xml:space="preserve">esidual risks are outlined in </w:t>
      </w:r>
      <w:r w:rsidR="0088153B">
        <w:rPr>
          <w:rFonts w:cs="Segoe UI Light"/>
        </w:rPr>
        <w:t xml:space="preserve">further </w:t>
      </w:r>
      <w:r w:rsidR="00266FB5">
        <w:rPr>
          <w:rFonts w:cs="Segoe UI Light"/>
        </w:rPr>
        <w:t xml:space="preserve">detail below. </w:t>
      </w:r>
    </w:p>
    <w:p w14:paraId="656B0AE3" w14:textId="77777777" w:rsidR="00AF4B09" w:rsidRDefault="00141A99" w:rsidP="000E7C5E">
      <w:pPr>
        <w:pStyle w:val="Heading4un-numbered"/>
      </w:pPr>
      <w:r>
        <w:t>Ozone depleting substances</w:t>
      </w:r>
    </w:p>
    <w:p w14:paraId="656B0AE4" w14:textId="77777777" w:rsidR="00916A07" w:rsidRPr="006A5A54" w:rsidRDefault="00B53A83" w:rsidP="000E7C5E">
      <w:r>
        <w:t xml:space="preserve">The emission of methyl bromide (an ozone-depleting substance) contributes to the depletion of </w:t>
      </w:r>
      <w:r w:rsidRPr="00946E6A">
        <w:t>the earth’s protective ozone layer</w:t>
      </w:r>
      <w:r>
        <w:t xml:space="preserve">. Commonwealth legislation and regulations prescribe the range of situations where ozone-depleting substances (including methyl bromide) are permitted to be used (or prohibited from use). However, in the case of methyl bromide, the Commonwealth legislation and regulations do not impose additional obligations </w:t>
      </w:r>
      <w:r w:rsidR="00795FA9">
        <w:t>regarding</w:t>
      </w:r>
      <w:r>
        <w:t xml:space="preserve"> </w:t>
      </w:r>
      <w:r w:rsidRPr="00E24B53">
        <w:t xml:space="preserve">exactly how </w:t>
      </w:r>
      <w:r>
        <w:t xml:space="preserve">emissions of methyl bromide </w:t>
      </w:r>
      <w:r w:rsidRPr="00E24B53">
        <w:t xml:space="preserve">should be managed </w:t>
      </w:r>
      <w:r>
        <w:t xml:space="preserve">when it is used. </w:t>
      </w:r>
      <w:r w:rsidR="0097440F">
        <w:t>This means there is a significant residual risk relating to the management of methyl bromide.</w:t>
      </w:r>
    </w:p>
    <w:p w14:paraId="656B0AE5" w14:textId="77777777" w:rsidR="00141A99" w:rsidRDefault="00141A99" w:rsidP="000E7C5E">
      <w:pPr>
        <w:pStyle w:val="Heading4un-numbered"/>
      </w:pPr>
      <w:r>
        <w:t>Manufacture and supply of wood heaters</w:t>
      </w:r>
    </w:p>
    <w:p w14:paraId="656B0AE6" w14:textId="71A1F5A9" w:rsidR="00141A99" w:rsidRPr="00B85387" w:rsidRDefault="00A32E03" w:rsidP="0097440F">
      <w:pPr>
        <w:mirrorIndents/>
        <w:rPr>
          <w:rFonts w:cs="Segoe UI Light"/>
        </w:rPr>
      </w:pPr>
      <w:r>
        <w:rPr>
          <w:rFonts w:cs="Segoe UI Light"/>
        </w:rPr>
        <w:t>There is a significant residual risk relating to wood heaters because they are one</w:t>
      </w:r>
      <w:r w:rsidRPr="00A32E03">
        <w:rPr>
          <w:rFonts w:cs="Segoe UI Light"/>
        </w:rPr>
        <w:t xml:space="preserve"> </w:t>
      </w:r>
      <w:r>
        <w:rPr>
          <w:rFonts w:cs="Segoe UI Light"/>
        </w:rPr>
        <w:t xml:space="preserve">of the </w:t>
      </w:r>
      <w:r w:rsidRPr="00A32E03">
        <w:rPr>
          <w:rFonts w:cs="Segoe UI Light"/>
        </w:rPr>
        <w:t xml:space="preserve">largest contributors of non-natural sources of PM emissions </w:t>
      </w:r>
      <w:r>
        <w:rPr>
          <w:rFonts w:cs="Segoe UI Light"/>
        </w:rPr>
        <w:t>in Victoria</w:t>
      </w:r>
      <w:r w:rsidR="0086008F">
        <w:rPr>
          <w:rFonts w:cs="Segoe UI Light"/>
        </w:rPr>
        <w:t xml:space="preserve"> (see further evidence of the problem in section 12.5 below)</w:t>
      </w:r>
      <w:r w:rsidR="00626828">
        <w:rPr>
          <w:rFonts w:cs="Segoe UI Light"/>
        </w:rPr>
        <w:t>. R</w:t>
      </w:r>
      <w:r w:rsidR="00141A99" w:rsidRPr="007961FC">
        <w:rPr>
          <w:rFonts w:cs="Segoe UI Light"/>
        </w:rPr>
        <w:t>elying on duty holders</w:t>
      </w:r>
      <w:r w:rsidR="00AB7318">
        <w:rPr>
          <w:rFonts w:cs="Segoe UI Light"/>
        </w:rPr>
        <w:t>’</w:t>
      </w:r>
      <w:r w:rsidR="00141A99" w:rsidRPr="007961FC">
        <w:rPr>
          <w:rFonts w:cs="Segoe UI Light"/>
        </w:rPr>
        <w:t xml:space="preserve"> knowledge to ensure compliance </w:t>
      </w:r>
      <w:r>
        <w:rPr>
          <w:rFonts w:cs="Segoe UI Light"/>
        </w:rPr>
        <w:t>with the GED is unlikely to be adequate</w:t>
      </w:r>
      <w:r w:rsidR="0086008F">
        <w:rPr>
          <w:rFonts w:cs="Segoe UI Light"/>
        </w:rPr>
        <w:t xml:space="preserve"> for two main reasons.</w:t>
      </w:r>
      <w:r w:rsidR="00626828">
        <w:rPr>
          <w:rFonts w:cs="Segoe UI Light"/>
        </w:rPr>
        <w:t xml:space="preserve"> Firstly, wood heater pollution represents a cumulative problem. No individual wood heater causes significant environment</w:t>
      </w:r>
      <w:r w:rsidR="00367588">
        <w:rPr>
          <w:rFonts w:cs="Segoe UI Light"/>
        </w:rPr>
        <w:t>al</w:t>
      </w:r>
      <w:r w:rsidR="00626828">
        <w:rPr>
          <w:rFonts w:cs="Segoe UI Light"/>
        </w:rPr>
        <w:t xml:space="preserve"> harm, but across Victoria, they are a significant contributor of PM emissions, which cause harm to human health and the environment. Secondly, </w:t>
      </w:r>
      <w:r>
        <w:rPr>
          <w:rFonts w:cs="Segoe UI Light"/>
        </w:rPr>
        <w:t xml:space="preserve">since </w:t>
      </w:r>
      <w:r w:rsidR="00B53A83">
        <w:rPr>
          <w:rFonts w:cs="Segoe UI Light"/>
        </w:rPr>
        <w:t>duty holders are upstream from the point of emission</w:t>
      </w:r>
      <w:r w:rsidR="00AB7318">
        <w:rPr>
          <w:rFonts w:cs="Segoe UI Light"/>
        </w:rPr>
        <w:t xml:space="preserve"> they</w:t>
      </w:r>
      <w:r w:rsidR="00141A99">
        <w:rPr>
          <w:rFonts w:cs="Segoe UI Light"/>
        </w:rPr>
        <w:t xml:space="preserve"> may fail to </w:t>
      </w:r>
      <w:r w:rsidR="00141A99" w:rsidRPr="007961FC">
        <w:rPr>
          <w:rFonts w:cs="Segoe UI Light"/>
        </w:rPr>
        <w:t>understand how their activities contribute to the overall ambient air quality</w:t>
      </w:r>
      <w:r>
        <w:rPr>
          <w:rFonts w:cs="Segoe UI Light"/>
        </w:rPr>
        <w:t>.</w:t>
      </w:r>
    </w:p>
    <w:p w14:paraId="656B0AE7" w14:textId="77777777" w:rsidR="00C76D2F" w:rsidRPr="002250F0" w:rsidRDefault="00141A99" w:rsidP="000E7C5E">
      <w:pPr>
        <w:pStyle w:val="Heading4un-numbered"/>
      </w:pPr>
      <w:r>
        <w:t xml:space="preserve">Highly hazardous air pollutants (Class 3 </w:t>
      </w:r>
      <w:r w:rsidR="00626828">
        <w:t>substances</w:t>
      </w:r>
      <w:r>
        <w:t>)</w:t>
      </w:r>
    </w:p>
    <w:p w14:paraId="656B0AE8" w14:textId="77777777" w:rsidR="007B1899" w:rsidRDefault="00C76D2F" w:rsidP="000E7C5E">
      <w:r w:rsidRPr="002250F0">
        <w:t>The</w:t>
      </w:r>
      <w:r>
        <w:t>re is a significant</w:t>
      </w:r>
      <w:r w:rsidR="00916A07" w:rsidRPr="002250F0">
        <w:t xml:space="preserve"> risk of harm </w:t>
      </w:r>
      <w:r>
        <w:t>associated with the</w:t>
      </w:r>
      <w:r w:rsidR="00916A07" w:rsidRPr="002250F0">
        <w:t xml:space="preserve"> emission of </w:t>
      </w:r>
      <w:r w:rsidR="00B53A83">
        <w:t xml:space="preserve">Class 3 </w:t>
      </w:r>
      <w:r w:rsidR="00626828">
        <w:t xml:space="preserve">substances </w:t>
      </w:r>
      <w:r w:rsidR="00827D39">
        <w:t>(such as arsenic, benzene and dioxins</w:t>
      </w:r>
      <w:r>
        <w:t xml:space="preserve">). </w:t>
      </w:r>
      <w:r w:rsidR="00827D39" w:rsidRPr="00141A99">
        <w:rPr>
          <w:rFonts w:cs="Segoe UI Light"/>
        </w:rPr>
        <w:t xml:space="preserve">For example, short term exposure to high levels of dioxins (highly toxic organic pollutants from industrial processes) </w:t>
      </w:r>
      <w:r w:rsidR="00827D39" w:rsidRPr="00040A06">
        <w:t>may result in skin lesions, such as chloracne and patchy darkening of the skin, and altered liver function. Long-term exposure is linked to impairment of the immune system, the developing nervous system, the endocrine system and reproductive functions</w:t>
      </w:r>
      <w:r w:rsidR="00DF4F39">
        <w:t>,</w:t>
      </w:r>
      <w:r w:rsidR="00827D39">
        <w:t xml:space="preserve"> </w:t>
      </w:r>
      <w:r w:rsidR="00DF4F39">
        <w:t>with</w:t>
      </w:r>
      <w:r w:rsidR="00827D39">
        <w:t xml:space="preserve"> some dioxins </w:t>
      </w:r>
      <w:r w:rsidR="00DF4F39">
        <w:t>classified as</w:t>
      </w:r>
      <w:r w:rsidR="00827D39">
        <w:t xml:space="preserve"> carcinogens</w:t>
      </w:r>
      <w:r w:rsidR="00DF4F39">
        <w:t xml:space="preserve"> by </w:t>
      </w:r>
      <w:r w:rsidR="00122387">
        <w:t xml:space="preserve">the </w:t>
      </w:r>
      <w:r w:rsidR="00DF4F39">
        <w:t>WHO.</w:t>
      </w:r>
      <w:r w:rsidR="00827D39">
        <w:rPr>
          <w:rStyle w:val="FootnoteReference"/>
        </w:rPr>
        <w:footnoteReference w:id="206"/>
      </w:r>
      <w:r w:rsidR="00DF4F39">
        <w:t xml:space="preserve"> </w:t>
      </w:r>
    </w:p>
    <w:p w14:paraId="656B0AE9" w14:textId="77777777" w:rsidR="007B1899" w:rsidRDefault="007B1899" w:rsidP="000E7C5E">
      <w:r>
        <w:t xml:space="preserve">Risks posed by Class 3 </w:t>
      </w:r>
      <w:r w:rsidR="00AB7318">
        <w:t>substances</w:t>
      </w:r>
      <w:r>
        <w:t xml:space="preserve"> will be partially addressed by the GED (</w:t>
      </w:r>
      <w:r w:rsidR="00451530">
        <w:t xml:space="preserve">and </w:t>
      </w:r>
      <w:r>
        <w:t>supported by</w:t>
      </w:r>
      <w:r w:rsidR="00451530">
        <w:t xml:space="preserve"> existing</w:t>
      </w:r>
      <w:r>
        <w:t xml:space="preserve"> ‘state of knowledge’ a</w:t>
      </w:r>
      <w:r w:rsidR="00451530">
        <w:t>s</w:t>
      </w:r>
      <w:r>
        <w:t xml:space="preserve"> discussed further in section 12.8 below) and permissions framework under the new EP legislation. However, the highly hazardous nature of these pollutants means a residual risk remains and additional specific controls are warranted. </w:t>
      </w:r>
    </w:p>
    <w:p w14:paraId="656B0AEA" w14:textId="77777777" w:rsidR="00C76D2F" w:rsidRPr="009A0EED" w:rsidRDefault="00626828" w:rsidP="000E7C5E">
      <w:r>
        <w:rPr>
          <w:rFonts w:cs="Segoe UI Light"/>
        </w:rPr>
        <w:t>Given the seriousness of harm that they can cause, l</w:t>
      </w:r>
      <w:r w:rsidR="00B53A83" w:rsidRPr="00172B68">
        <w:rPr>
          <w:rFonts w:cs="Segoe UI Light"/>
        </w:rPr>
        <w:t xml:space="preserve">ower level interventions, such as the provision of practical guidance, are </w:t>
      </w:r>
      <w:r w:rsidR="00B53A83">
        <w:rPr>
          <w:rFonts w:cs="Segoe UI Light"/>
        </w:rPr>
        <w:t xml:space="preserve">likely to be less effective in </w:t>
      </w:r>
      <w:r>
        <w:rPr>
          <w:rFonts w:cs="Segoe UI Light"/>
        </w:rPr>
        <w:t xml:space="preserve">adequately </w:t>
      </w:r>
      <w:r w:rsidR="00B53A83">
        <w:rPr>
          <w:rFonts w:cs="Segoe UI Light"/>
        </w:rPr>
        <w:t xml:space="preserve">managing the </w:t>
      </w:r>
      <w:r w:rsidR="00B53A83" w:rsidRPr="00172B68">
        <w:rPr>
          <w:rFonts w:cs="Segoe UI Light"/>
        </w:rPr>
        <w:t>risk</w:t>
      </w:r>
      <w:r w:rsidR="00B53A83">
        <w:rPr>
          <w:rFonts w:cs="Segoe UI Light"/>
        </w:rPr>
        <w:t xml:space="preserve"> if they do not explicitly state that a failure to comply with a standard approved by EPA constitutes an offence or breach of the GED</w:t>
      </w:r>
      <w:r w:rsidR="00B53A83" w:rsidRPr="00172B68">
        <w:rPr>
          <w:rFonts w:cs="Segoe UI Light"/>
        </w:rPr>
        <w:t>.</w:t>
      </w:r>
      <w:r w:rsidR="00B53A83">
        <w:rPr>
          <w:rFonts w:cs="Segoe UI Light"/>
        </w:rPr>
        <w:t xml:space="preserve"> </w:t>
      </w:r>
      <w:r w:rsidR="00122387">
        <w:rPr>
          <w:rFonts w:cs="Segoe UI Light"/>
        </w:rPr>
        <w:t xml:space="preserve">While </w:t>
      </w:r>
      <w:r>
        <w:rPr>
          <w:rFonts w:cs="Segoe UI Light"/>
        </w:rPr>
        <w:t xml:space="preserve">providing guidance may indicate that reducing emissions is favourable, a more </w:t>
      </w:r>
      <w:r w:rsidR="006853CF">
        <w:rPr>
          <w:rFonts w:cs="Segoe UI Light"/>
        </w:rPr>
        <w:t>direct intervention</w:t>
      </w:r>
      <w:r>
        <w:rPr>
          <w:rFonts w:cs="Segoe UI Light"/>
        </w:rPr>
        <w:t xml:space="preserve"> will signal that these emissions </w:t>
      </w:r>
      <w:r w:rsidRPr="00436A04">
        <w:rPr>
          <w:rFonts w:cs="Segoe UI Light"/>
          <w:i/>
        </w:rPr>
        <w:t>must</w:t>
      </w:r>
      <w:r>
        <w:rPr>
          <w:rFonts w:cs="Segoe UI Light"/>
        </w:rPr>
        <w:t xml:space="preserve"> be eradicated </w:t>
      </w:r>
      <w:r w:rsidR="00017942">
        <w:rPr>
          <w:rFonts w:cs="Segoe UI Light"/>
        </w:rPr>
        <w:t>or minimised</w:t>
      </w:r>
      <w:r>
        <w:rPr>
          <w:rFonts w:cs="Segoe UI Light"/>
        </w:rPr>
        <w:t xml:space="preserve">. </w:t>
      </w:r>
    </w:p>
    <w:p w14:paraId="656B0AEB" w14:textId="77777777" w:rsidR="00141A99" w:rsidRPr="002250F0" w:rsidRDefault="00141A99" w:rsidP="000E7C5E">
      <w:pPr>
        <w:pStyle w:val="Heading4un-numbered"/>
      </w:pPr>
      <w:r>
        <w:t>Reporting to the NPI</w:t>
      </w:r>
    </w:p>
    <w:p w14:paraId="656B0AEC" w14:textId="77777777" w:rsidR="0086008F" w:rsidRDefault="004B5B68" w:rsidP="00C76D2F">
      <w:r>
        <w:t>In the absence of regulations, there will also be</w:t>
      </w:r>
      <w:r w:rsidR="002C7973">
        <w:t xml:space="preserve"> </w:t>
      </w:r>
      <w:r>
        <w:t>no</w:t>
      </w:r>
      <w:r w:rsidR="002C7973">
        <w:t xml:space="preserve"> requirement for businesses to report their air</w:t>
      </w:r>
      <w:r w:rsidR="003E451C">
        <w:t xml:space="preserve"> (and other forms of)</w:t>
      </w:r>
      <w:r w:rsidR="002C7973">
        <w:t xml:space="preserve"> pollution to the </w:t>
      </w:r>
      <w:r w:rsidR="00122387">
        <w:t>NPI</w:t>
      </w:r>
      <w:r w:rsidR="002C7973">
        <w:t xml:space="preserve">. </w:t>
      </w:r>
      <w:r w:rsidR="002C7973" w:rsidRPr="002C7973">
        <w:t xml:space="preserve">The NPI </w:t>
      </w:r>
      <w:r w:rsidR="002C7973">
        <w:t xml:space="preserve">tracks </w:t>
      </w:r>
      <w:r w:rsidR="002C7973" w:rsidRPr="002C7973">
        <w:t>pollution across Australia, ensuring that the community has access to information about the emission and transfer of toxic substances which may affect them locally.</w:t>
      </w:r>
      <w:r w:rsidR="002C7973">
        <w:t xml:space="preserve"> </w:t>
      </w:r>
      <w:r w:rsidR="00DF29EF">
        <w:t xml:space="preserve">The </w:t>
      </w:r>
      <w:r w:rsidR="002C7973">
        <w:t>N</w:t>
      </w:r>
      <w:r w:rsidR="002C7973" w:rsidRPr="002C7973">
        <w:t xml:space="preserve">PI National Environment Protection Measure (NPI NEPM) provides the </w:t>
      </w:r>
      <w:r w:rsidR="00122387">
        <w:t xml:space="preserve">national </w:t>
      </w:r>
      <w:r w:rsidR="002C7973" w:rsidRPr="002C7973">
        <w:t>framework for the development and establishment of the NPI, which is an internet database designed to provide publicly available information on the types, and amounts of certain substances, being emitted to the air, land, and water</w:t>
      </w:r>
      <w:r w:rsidR="002C7973">
        <w:t>.</w:t>
      </w:r>
      <w:r w:rsidR="00017942">
        <w:t xml:space="preserve"> There </w:t>
      </w:r>
      <w:r w:rsidR="00017942" w:rsidRPr="005777E0">
        <w:t>are currently 445 sites required to report emissions to the NPI</w:t>
      </w:r>
      <w:r w:rsidR="00017942">
        <w:t xml:space="preserve"> in Victoria. Site operators are required to report </w:t>
      </w:r>
      <w:r w:rsidR="0086008F">
        <w:t xml:space="preserve">their emissions of a range of pollutants annually only </w:t>
      </w:r>
      <w:r w:rsidR="00017942">
        <w:t xml:space="preserve">if those sites exceed emissions thresholds prescribed in NPI NEPM. </w:t>
      </w:r>
      <w:r w:rsidR="00C62446">
        <w:t>I</w:t>
      </w:r>
      <w:r w:rsidR="00C62446" w:rsidRPr="00ED173F">
        <w:t>mplementation of the </w:t>
      </w:r>
      <w:r w:rsidR="00C62446">
        <w:t>NPI</w:t>
      </w:r>
      <w:r w:rsidR="00C62446" w:rsidRPr="00ED173F">
        <w:t> </w:t>
      </w:r>
      <w:r w:rsidR="00C62446">
        <w:t>NEPM</w:t>
      </w:r>
      <w:r w:rsidR="00C62446" w:rsidRPr="00ED173F">
        <w:t> is the responsibility of each participating jurisdiction. </w:t>
      </w:r>
      <w:r w:rsidR="001B4CE3">
        <w:t>EPA</w:t>
      </w:r>
      <w:r w:rsidR="002C7973">
        <w:t xml:space="preserve"> </w:t>
      </w:r>
      <w:r w:rsidR="0060033B">
        <w:t xml:space="preserve">is responsible for </w:t>
      </w:r>
      <w:r w:rsidR="002C7973">
        <w:t>implement</w:t>
      </w:r>
      <w:r w:rsidR="0060033B">
        <w:t>ing</w:t>
      </w:r>
      <w:r w:rsidR="002C7973">
        <w:t xml:space="preserve"> and enforc</w:t>
      </w:r>
      <w:r w:rsidR="0060033B">
        <w:t>ing</w:t>
      </w:r>
      <w:r w:rsidR="002C7973">
        <w:t xml:space="preserve"> the NPI NEPM </w:t>
      </w:r>
      <w:r w:rsidR="0060033B">
        <w:t xml:space="preserve">in </w:t>
      </w:r>
      <w:r w:rsidR="002C7973">
        <w:t>Victoria</w:t>
      </w:r>
      <w:r w:rsidR="003E451C">
        <w:t>.</w:t>
      </w:r>
      <w:r w:rsidR="003E451C">
        <w:rPr>
          <w:rStyle w:val="FootnoteReference"/>
        </w:rPr>
        <w:footnoteReference w:id="207"/>
      </w:r>
      <w:r w:rsidR="003E451C">
        <w:t xml:space="preserve"> </w:t>
      </w:r>
    </w:p>
    <w:p w14:paraId="656B0AED" w14:textId="77777777" w:rsidR="00C76D2F" w:rsidRPr="00C76D2F" w:rsidRDefault="0086008F" w:rsidP="00C76D2F">
      <w:r>
        <w:t xml:space="preserve">A proportion of businesses may continue to report their emissions (either to the NPI, or individually) even if they were not required to do so, </w:t>
      </w:r>
      <w:r w:rsidR="00AB7318">
        <w:t>for</w:t>
      </w:r>
      <w:r>
        <w:t xml:space="preserve"> corporate social and environmental </w:t>
      </w:r>
      <w:r w:rsidR="00AB7318">
        <w:t>reasons</w:t>
      </w:r>
      <w:r>
        <w:t xml:space="preserve">. However, it is likely that there would be greater gaps in the overall knowledge base than if they were required to do so. </w:t>
      </w:r>
    </w:p>
    <w:p w14:paraId="656B0AEE" w14:textId="77777777" w:rsidR="00914F74" w:rsidRDefault="00914F74" w:rsidP="00D66FCE">
      <w:pPr>
        <w:pStyle w:val="Heading3"/>
        <w:ind w:left="720"/>
      </w:pPr>
      <w:bookmarkStart w:id="1625" w:name="_Toc525554699"/>
      <w:bookmarkStart w:id="1626" w:name="_Toc536054988"/>
      <w:r>
        <w:t>Harms</w:t>
      </w:r>
    </w:p>
    <w:p w14:paraId="656B0AEF" w14:textId="77777777" w:rsidR="00451530" w:rsidRPr="0071126B" w:rsidRDefault="00451530" w:rsidP="00451530">
      <w:r>
        <w:t xml:space="preserve">This section, along with the discussion of costs in section 12.4.3, provides evidence </w:t>
      </w:r>
      <w:r w:rsidR="00F05F2A">
        <w:t>about the</w:t>
      </w:r>
      <w:r>
        <w:t xml:space="preserve"> air pollution problem in Victoria. Evidence is provided for the overarching problem</w:t>
      </w:r>
      <w:r w:rsidR="0000188C">
        <w:t xml:space="preserve">, noting that the new EP legislation, through the GED and permissions framework, </w:t>
      </w:r>
      <w:r>
        <w:t xml:space="preserve">is expected to address a significant </w:t>
      </w:r>
      <w:r w:rsidR="0000188C">
        <w:t>proportion of this</w:t>
      </w:r>
      <w:r>
        <w:t xml:space="preserve"> overarching problem. </w:t>
      </w:r>
      <w:r w:rsidR="00F05F2A">
        <w:t>While t</w:t>
      </w:r>
      <w:r>
        <w:t>he proposed Regulations are intend</w:t>
      </w:r>
      <w:r w:rsidR="0000188C">
        <w:t xml:space="preserve">ed to address </w:t>
      </w:r>
      <w:r w:rsidR="00F05F2A">
        <w:t xml:space="preserve">only </w:t>
      </w:r>
      <w:r w:rsidR="0000188C">
        <w:t xml:space="preserve">the residual risk, </w:t>
      </w:r>
      <w:r w:rsidR="00F05F2A">
        <w:t xml:space="preserve">it is difficult to delineate and provide </w:t>
      </w:r>
      <w:r w:rsidR="0000188C">
        <w:t xml:space="preserve">evidence to </w:t>
      </w:r>
      <w:r w:rsidR="002E05D7">
        <w:t>demonstrate the size of</w:t>
      </w:r>
      <w:r w:rsidR="0000188C">
        <w:t xml:space="preserve"> </w:t>
      </w:r>
      <w:r w:rsidR="002E05D7">
        <w:t xml:space="preserve">just </w:t>
      </w:r>
      <w:r w:rsidR="0000188C">
        <w:t xml:space="preserve">this </w:t>
      </w:r>
      <w:r w:rsidR="002E05D7">
        <w:t xml:space="preserve">residual </w:t>
      </w:r>
      <w:r w:rsidR="0000188C">
        <w:t>part of the problem</w:t>
      </w:r>
      <w:r w:rsidR="00F05F2A">
        <w:t>.</w:t>
      </w:r>
    </w:p>
    <w:p w14:paraId="656B0AF0" w14:textId="77777777" w:rsidR="008675C9" w:rsidRDefault="008675C9" w:rsidP="008675C9">
      <w:pPr>
        <w:rPr>
          <w:rFonts w:cs="Segoe UI Light"/>
          <w:i/>
          <w:szCs w:val="20"/>
        </w:rPr>
      </w:pPr>
      <w:r w:rsidRPr="00914F74">
        <w:rPr>
          <w:rFonts w:cs="Segoe UI Light"/>
          <w:szCs w:val="20"/>
        </w:rPr>
        <w:t xml:space="preserve">Air pollution can have strong impacts on human health and the environment. As reported in the Commissioner </w:t>
      </w:r>
      <w:r>
        <w:rPr>
          <w:rFonts w:cs="Segoe UI Light"/>
          <w:szCs w:val="20"/>
        </w:rPr>
        <w:t>for Environmental Sustainability</w:t>
      </w:r>
      <w:r w:rsidRPr="00914F74">
        <w:rPr>
          <w:rFonts w:cs="Segoe UI Light"/>
          <w:szCs w:val="20"/>
        </w:rPr>
        <w:t xml:space="preserve">’s </w:t>
      </w:r>
      <w:r w:rsidRPr="00914F74">
        <w:rPr>
          <w:rFonts w:cs="Segoe UI Light"/>
          <w:i/>
          <w:szCs w:val="20"/>
        </w:rPr>
        <w:t>Victorian State of the Environment Report 2018</w:t>
      </w:r>
      <w:r w:rsidR="00122387">
        <w:rPr>
          <w:rFonts w:cs="Segoe UI Light"/>
          <w:i/>
          <w:szCs w:val="20"/>
        </w:rPr>
        <w:t>:</w:t>
      </w:r>
    </w:p>
    <w:p w14:paraId="656B0AF1" w14:textId="77777777" w:rsidR="008675C9" w:rsidRPr="009A0EED" w:rsidRDefault="008675C9" w:rsidP="00436A04">
      <w:pPr>
        <w:ind w:left="720"/>
        <w:rPr>
          <w:rFonts w:cs="Segoe UI Light"/>
          <w:i/>
          <w:szCs w:val="20"/>
        </w:rPr>
      </w:pPr>
      <w:r w:rsidRPr="009A0EED">
        <w:rPr>
          <w:rFonts w:cs="Segoe UI Light"/>
          <w:i/>
          <w:szCs w:val="20"/>
        </w:rPr>
        <w:t xml:space="preserve">Good air quality is essential for human health and the environment. The links between air quality, population exposure and health are an increasing focus of research and policy development, with the greatest adverse health effects from air pollution experienced in densely populated areas that are exposed to emissions from motor vehicles, industrial facilities and domestic activities (e.g. wood heaters). Significant smoke impacts are also associated with bushfires and fuel reduction burns. </w:t>
      </w:r>
      <w:r w:rsidRPr="00081EBF">
        <w:rPr>
          <w:vertAlign w:val="superscript"/>
        </w:rPr>
        <w:footnoteReference w:id="208"/>
      </w:r>
    </w:p>
    <w:p w14:paraId="656B0AF2" w14:textId="77777777" w:rsidR="00914F74" w:rsidRPr="00C3029C" w:rsidRDefault="00914F74" w:rsidP="00914F74">
      <w:pPr>
        <w:mirrorIndents/>
      </w:pPr>
      <w:r w:rsidRPr="00415E14">
        <w:t xml:space="preserve">Air pollution </w:t>
      </w:r>
      <w:r>
        <w:t xml:space="preserve">can </w:t>
      </w:r>
      <w:r w:rsidRPr="00415E14">
        <w:t xml:space="preserve">contribute to depletion of ozone in the stratosphere, which also poses </w:t>
      </w:r>
      <w:r>
        <w:t xml:space="preserve">a serious threat to human health and the environment. Stratospheric ozone screens out much of the </w:t>
      </w:r>
      <w:r w:rsidRPr="00ED173F">
        <w:t>sun's harmful ultraviolet-B radiation that has adverse health impacts including skin cancer</w:t>
      </w:r>
      <w:r>
        <w:t xml:space="preserve">. </w:t>
      </w:r>
      <w:r w:rsidRPr="004455E7">
        <w:t>Chlorine and bromine react strongly with ozone in the stratosphere, where a single atom can destroy thousands of ozone molecules by chain reaction</w:t>
      </w:r>
      <w:r>
        <w:t>.</w:t>
      </w:r>
      <w:r>
        <w:rPr>
          <w:rStyle w:val="FootnoteReference"/>
        </w:rPr>
        <w:footnoteReference w:id="209"/>
      </w:r>
      <w:r>
        <w:t xml:space="preserve"> </w:t>
      </w:r>
    </w:p>
    <w:p w14:paraId="656B0AF3" w14:textId="77777777" w:rsidR="00914F74" w:rsidRDefault="00914F74" w:rsidP="00914F74">
      <w:pPr>
        <w:mirrorIndents/>
        <w:rPr>
          <w:rFonts w:cs="Segoe UI Light"/>
        </w:rPr>
      </w:pPr>
      <w:r w:rsidRPr="00375F9D">
        <w:rPr>
          <w:rFonts w:cs="Segoe UI Light"/>
        </w:rPr>
        <w:t xml:space="preserve">The </w:t>
      </w:r>
      <w:r w:rsidR="00122387">
        <w:rPr>
          <w:rFonts w:cs="Segoe UI Light"/>
        </w:rPr>
        <w:t>impact</w:t>
      </w:r>
      <w:r w:rsidR="00122387" w:rsidRPr="00375F9D">
        <w:rPr>
          <w:rFonts w:cs="Segoe UI Light"/>
        </w:rPr>
        <w:t xml:space="preserve"> </w:t>
      </w:r>
      <w:r w:rsidRPr="00375F9D">
        <w:rPr>
          <w:rFonts w:cs="Segoe UI Light"/>
        </w:rPr>
        <w:t xml:space="preserve">of air pollution on </w:t>
      </w:r>
      <w:r>
        <w:rPr>
          <w:rFonts w:cs="Segoe UI Light"/>
        </w:rPr>
        <w:t xml:space="preserve">human </w:t>
      </w:r>
      <w:r w:rsidRPr="00375F9D">
        <w:rPr>
          <w:rFonts w:cs="Segoe UI Light"/>
        </w:rPr>
        <w:t xml:space="preserve">health is dependent on various factors, including degree of exposure and vulnerability of the individual impacted. </w:t>
      </w:r>
    </w:p>
    <w:p w14:paraId="656B0AF4" w14:textId="77777777" w:rsidR="00914F74" w:rsidRPr="00F35F7B" w:rsidRDefault="00914F74" w:rsidP="00914F74">
      <w:pPr>
        <w:mirrorIndents/>
        <w:rPr>
          <w:rFonts w:cs="Segoe UI Light"/>
        </w:rPr>
      </w:pPr>
      <w:r>
        <w:rPr>
          <w:rFonts w:cs="Segoe UI Light"/>
        </w:rPr>
        <w:t xml:space="preserve">Those most sensitive to air pollution include children, elderly people, unborn babies and individuals with underlying health conditions. </w:t>
      </w:r>
      <w:r w:rsidRPr="00375F9D">
        <w:rPr>
          <w:rFonts w:cs="Segoe UI Light"/>
        </w:rPr>
        <w:t xml:space="preserve">Evidence suggests that short-term and long-term exposure to air pollution can lead to reduced lung function, respiratory infections and aggravated asthma. In extreme cases pollution can lead to premature death. Maternal exposure to pollution is associated with adverse birth outcomes, such as low birth weight, pre-term birth and small gestational age births. There is emerging evidence that pollution may </w:t>
      </w:r>
      <w:r w:rsidRPr="00ED173F">
        <w:rPr>
          <w:rFonts w:cs="Segoe UI Light"/>
        </w:rPr>
        <w:t xml:space="preserve">contribute to </w:t>
      </w:r>
      <w:r w:rsidRPr="00375F9D">
        <w:rPr>
          <w:rFonts w:cs="Segoe UI Light"/>
        </w:rPr>
        <w:t xml:space="preserve">diabetes and </w:t>
      </w:r>
      <w:r w:rsidRPr="00ED173F">
        <w:rPr>
          <w:rFonts w:cs="Segoe UI Light"/>
        </w:rPr>
        <w:t xml:space="preserve">impaired </w:t>
      </w:r>
      <w:r w:rsidRPr="00375F9D">
        <w:rPr>
          <w:rFonts w:cs="Segoe UI Light"/>
        </w:rPr>
        <w:t>neurological development in children.</w:t>
      </w:r>
      <w:r>
        <w:rPr>
          <w:rStyle w:val="FootnoteReference"/>
          <w:rFonts w:cs="Segoe UI Light"/>
        </w:rPr>
        <w:footnoteReference w:id="210"/>
      </w:r>
      <w:r>
        <w:rPr>
          <w:rFonts w:cs="Segoe UI Light"/>
        </w:rPr>
        <w:t xml:space="preserve"> Recent research also demonstrates that air pollution may impact cognitive ability, particularly </w:t>
      </w:r>
      <w:r w:rsidR="00B53A83">
        <w:rPr>
          <w:rFonts w:cs="Segoe UI Light"/>
        </w:rPr>
        <w:t xml:space="preserve">in </w:t>
      </w:r>
      <w:r>
        <w:rPr>
          <w:rFonts w:cs="Segoe UI Light"/>
        </w:rPr>
        <w:t>the elderly.</w:t>
      </w:r>
      <w:r>
        <w:rPr>
          <w:rStyle w:val="FootnoteReference"/>
          <w:rFonts w:cs="Segoe UI Light"/>
        </w:rPr>
        <w:footnoteReference w:id="211"/>
      </w:r>
      <w:r>
        <w:rPr>
          <w:rFonts w:cs="Segoe UI Light"/>
        </w:rPr>
        <w:t xml:space="preserve"> </w:t>
      </w:r>
      <w:r w:rsidRPr="00375F9D">
        <w:rPr>
          <w:rFonts w:cs="Segoe UI Light"/>
        </w:rPr>
        <w:t xml:space="preserve">Odours in the surrounding environment may also affect wellbeing and potentially health. Noxious odours can cause discomfort and may trigger </w:t>
      </w:r>
      <w:r>
        <w:rPr>
          <w:rFonts w:cs="Segoe UI Light"/>
        </w:rPr>
        <w:t xml:space="preserve">various </w:t>
      </w:r>
      <w:r w:rsidRPr="00375F9D">
        <w:rPr>
          <w:rFonts w:cs="Segoe UI Light"/>
        </w:rPr>
        <w:t>physiological symptoms, including exacerbation o</w:t>
      </w:r>
      <w:r>
        <w:rPr>
          <w:rFonts w:cs="Segoe UI Light"/>
        </w:rPr>
        <w:t>f underlying medical conditions</w:t>
      </w:r>
      <w:r w:rsidRPr="00375F9D">
        <w:rPr>
          <w:rFonts w:cs="Segoe UI Light"/>
        </w:rPr>
        <w:t xml:space="preserve"> </w:t>
      </w:r>
      <w:r>
        <w:rPr>
          <w:rFonts w:cs="Segoe UI Light"/>
        </w:rPr>
        <w:t>and</w:t>
      </w:r>
      <w:r w:rsidRPr="00375F9D">
        <w:rPr>
          <w:rFonts w:cs="Segoe UI Light"/>
        </w:rPr>
        <w:t xml:space="preserve"> stress-induced illness</w:t>
      </w:r>
      <w:r>
        <w:rPr>
          <w:rFonts w:cs="Segoe UI Light"/>
        </w:rPr>
        <w:t>.</w:t>
      </w:r>
      <w:r>
        <w:rPr>
          <w:rStyle w:val="FootnoteReference"/>
          <w:rFonts w:cs="Segoe UI Light"/>
        </w:rPr>
        <w:footnoteReference w:id="212"/>
      </w:r>
      <w:r>
        <w:rPr>
          <w:rFonts w:cs="Segoe UI Light"/>
        </w:rPr>
        <w:t xml:space="preserve"> </w:t>
      </w:r>
    </w:p>
    <w:p w14:paraId="656B0AF5" w14:textId="77777777" w:rsidR="00914F74" w:rsidRPr="00081EBF" w:rsidRDefault="00914F74" w:rsidP="00914F74">
      <w:pPr>
        <w:mirrorIndents/>
        <w:rPr>
          <w:rFonts w:cs="Segoe UI Light"/>
          <w:szCs w:val="20"/>
        </w:rPr>
      </w:pPr>
      <w:r>
        <w:rPr>
          <w:rFonts w:cs="Segoe UI Light"/>
          <w:szCs w:val="20"/>
        </w:rPr>
        <w:t>The EPA Inquiry</w:t>
      </w:r>
      <w:r w:rsidRPr="00081EBF">
        <w:rPr>
          <w:rFonts w:cs="Segoe UI Light"/>
          <w:szCs w:val="20"/>
        </w:rPr>
        <w:t xml:space="preserve"> noted that:</w:t>
      </w:r>
    </w:p>
    <w:p w14:paraId="656B0AF6" w14:textId="77777777" w:rsidR="00F42B38" w:rsidRPr="0018718B" w:rsidRDefault="00F42B38" w:rsidP="004A2442">
      <w:pPr>
        <w:pStyle w:val="ListParagraph"/>
        <w:numPr>
          <w:ilvl w:val="0"/>
          <w:numId w:val="51"/>
        </w:numPr>
      </w:pPr>
      <w:r w:rsidRPr="0018718B">
        <w:t>In 2013, a health risk assessment of air pollution in Sydney, Melbourne, Brisbane and Perth estimated fossil fuel combustion contributed to 1,600 premature deaths a year, 1,250 visits to hospitals by children with asthma and respiratory illness and 2,500 visits to hospitals for adults with cardiovascular and respiratory disease.</w:t>
      </w:r>
      <w:r w:rsidRPr="0018718B">
        <w:rPr>
          <w:vertAlign w:val="superscript"/>
        </w:rPr>
        <w:footnoteReference w:id="213"/>
      </w:r>
    </w:p>
    <w:p w14:paraId="656B0AF7" w14:textId="77777777" w:rsidR="00914F74" w:rsidRPr="0018718B" w:rsidRDefault="00914F74" w:rsidP="004A2442">
      <w:pPr>
        <w:pStyle w:val="ListParagraph"/>
        <w:numPr>
          <w:ilvl w:val="0"/>
          <w:numId w:val="51"/>
        </w:numPr>
      </w:pPr>
      <w:r w:rsidRPr="0018718B">
        <w:t>According to the OECD, estimated deaths from air pollution in Australia rose between 2005 and 2010, and now account for more deaths than the road toll.</w:t>
      </w:r>
      <w:r w:rsidRPr="0018718B">
        <w:rPr>
          <w:vertAlign w:val="superscript"/>
        </w:rPr>
        <w:footnoteReference w:id="214"/>
      </w:r>
      <w:r w:rsidRPr="0018718B">
        <w:rPr>
          <w:vertAlign w:val="superscript"/>
        </w:rPr>
        <w:t xml:space="preserve"> </w:t>
      </w:r>
    </w:p>
    <w:p w14:paraId="656B0AF8" w14:textId="77777777" w:rsidR="00223BD9" w:rsidRPr="00223BD9" w:rsidRDefault="00223BD9" w:rsidP="00223BD9">
      <w:pPr>
        <w:mirrorIndents/>
        <w:rPr>
          <w:rFonts w:cs="Segoe UI Light"/>
        </w:rPr>
      </w:pPr>
      <w:r w:rsidRPr="00223BD9">
        <w:rPr>
          <w:rFonts w:cs="Segoe UI Light"/>
        </w:rPr>
        <w:t>A 2016 study by the Australian Institute of Health and Welfare estimated that air pollution contributes to the loss of over 28,000 disability-adjusted life years per annum in Australia. The majority of lost life years were attributed to cardiovascular disease.</w:t>
      </w:r>
      <w:r w:rsidRPr="00871652">
        <w:rPr>
          <w:rStyle w:val="FootnoteReference"/>
          <w:rFonts w:cs="Segoe UI Light"/>
        </w:rPr>
        <w:footnoteReference w:id="215"/>
      </w:r>
      <w:r w:rsidRPr="00223BD9">
        <w:rPr>
          <w:rFonts w:cs="Segoe UI Light"/>
        </w:rPr>
        <w:t xml:space="preserve"> Prior to this, a health risk assessment of air pollutants in four Australian capital cities</w:t>
      </w:r>
      <w:r>
        <w:rPr>
          <w:rStyle w:val="FootnoteReference"/>
          <w:rFonts w:cs="Segoe UI Light"/>
        </w:rPr>
        <w:footnoteReference w:id="216"/>
      </w:r>
      <w:r w:rsidRPr="00223BD9">
        <w:rPr>
          <w:rFonts w:cs="Segoe UI Light"/>
        </w:rPr>
        <w:t xml:space="preserve"> was conducted to inform a variation to AAQ NEPM in 2014. The analysis estimated that particulate matter across all four cities contributed to 1,590 death</w:t>
      </w:r>
      <w:r w:rsidR="0088153B">
        <w:rPr>
          <w:rFonts w:cs="Segoe UI Light"/>
        </w:rPr>
        <w:t>s</w:t>
      </w:r>
      <w:r w:rsidRPr="00223BD9">
        <w:rPr>
          <w:rFonts w:cs="Segoe UI Light"/>
        </w:rPr>
        <w:t xml:space="preserve"> per annum in the long term and </w:t>
      </w:r>
      <w:r w:rsidR="008675C9" w:rsidRPr="00223BD9">
        <w:rPr>
          <w:rFonts w:cs="Segoe UI Light"/>
        </w:rPr>
        <w:t>3</w:t>
      </w:r>
      <w:r w:rsidR="008675C9">
        <w:rPr>
          <w:rFonts w:cs="Segoe UI Light"/>
        </w:rPr>
        <w:t>,</w:t>
      </w:r>
      <w:r w:rsidR="008675C9" w:rsidRPr="00223BD9">
        <w:rPr>
          <w:rFonts w:cs="Segoe UI Light"/>
        </w:rPr>
        <w:t>730</w:t>
      </w:r>
      <w:r w:rsidRPr="00223BD9">
        <w:rPr>
          <w:rFonts w:cs="Segoe UI Light"/>
        </w:rPr>
        <w:t xml:space="preserve"> hospitalisations per annum in the short term.</w:t>
      </w:r>
      <w:r>
        <w:rPr>
          <w:rStyle w:val="FootnoteReference"/>
          <w:rFonts w:cs="Segoe UI Light"/>
        </w:rPr>
        <w:footnoteReference w:id="217"/>
      </w:r>
      <w:r w:rsidRPr="00223BD9">
        <w:rPr>
          <w:rFonts w:cs="Segoe UI Light"/>
        </w:rPr>
        <w:t xml:space="preserve"> </w:t>
      </w:r>
    </w:p>
    <w:p w14:paraId="656B0AF9" w14:textId="77777777" w:rsidR="008675C9" w:rsidRDefault="00914F74" w:rsidP="008675C9">
      <w:pPr>
        <w:mirrorIndents/>
      </w:pPr>
      <w:r w:rsidRPr="0018718B">
        <w:t>In its 2015 report investigating deaths attributable to the Hazelwood mine fire</w:t>
      </w:r>
      <w:r w:rsidR="00122387">
        <w:t>,</w:t>
      </w:r>
      <w:r w:rsidR="00F42B38">
        <w:rPr>
          <w:rStyle w:val="FootnoteReference"/>
          <w:rFonts w:cs="Segoe UI Light"/>
        </w:rPr>
        <w:footnoteReference w:id="218"/>
      </w:r>
      <w:r w:rsidRPr="0018718B">
        <w:t xml:space="preserve"> the Hazelwood Mine Fire Inquiry noted the ‘… known health consequences of breathing air contaminated</w:t>
      </w:r>
      <w:r w:rsidR="00F42B38">
        <w:t xml:space="preserve"> with particulate matter over a </w:t>
      </w:r>
      <w:r w:rsidRPr="0018718B">
        <w:t>prolonged period’ and made two principal findings based on epidemiological reasoning and infor</w:t>
      </w:r>
      <w:r w:rsidR="00F42B38">
        <w:t xml:space="preserve">med by statistical analysis and </w:t>
      </w:r>
      <w:r w:rsidRPr="0018718B">
        <w:t xml:space="preserve">interpretation: </w:t>
      </w:r>
    </w:p>
    <w:p w14:paraId="656B0AFA" w14:textId="77777777" w:rsidR="008675C9" w:rsidRPr="00462CA6" w:rsidRDefault="00122387" w:rsidP="004A2442">
      <w:pPr>
        <w:pStyle w:val="ListParagraph"/>
        <w:numPr>
          <w:ilvl w:val="0"/>
          <w:numId w:val="51"/>
        </w:numPr>
        <w:rPr>
          <w:rFonts w:cs="Segoe UI Light"/>
        </w:rPr>
      </w:pPr>
      <w:r>
        <w:t>I</w:t>
      </w:r>
      <w:r w:rsidR="008675C9" w:rsidRPr="0018718B">
        <w:t>t</w:t>
      </w:r>
      <w:r w:rsidR="00914F74" w:rsidRPr="0018718B">
        <w:t xml:space="preserve"> is likely that the Hazelwood mine fire contributed to some of the increase in </w:t>
      </w:r>
      <w:r w:rsidR="00F42B38">
        <w:t xml:space="preserve">deaths in the Latrobe Valley in </w:t>
      </w:r>
      <w:r w:rsidR="008675C9">
        <w:t xml:space="preserve">2014 </w:t>
      </w:r>
    </w:p>
    <w:p w14:paraId="656B0AFB" w14:textId="77777777" w:rsidR="008675C9" w:rsidRPr="00462CA6" w:rsidRDefault="00122387" w:rsidP="004A2442">
      <w:pPr>
        <w:pStyle w:val="ListParagraph"/>
        <w:numPr>
          <w:ilvl w:val="0"/>
          <w:numId w:val="51"/>
        </w:numPr>
        <w:rPr>
          <w:rFonts w:cs="Segoe UI Light"/>
        </w:rPr>
      </w:pPr>
      <w:r>
        <w:t>I</w:t>
      </w:r>
      <w:r w:rsidR="00914F74" w:rsidRPr="0018718B">
        <w:t xml:space="preserve">t would be surprising if the air pollution caused by the mine </w:t>
      </w:r>
      <w:r w:rsidR="00223BD9">
        <w:t>fire did not contribute to some deaths.</w:t>
      </w:r>
      <w:r w:rsidR="00223BD9">
        <w:rPr>
          <w:rStyle w:val="FootnoteReference"/>
        </w:rPr>
        <w:footnoteReference w:id="219"/>
      </w:r>
      <w:r w:rsidR="00F42B38">
        <w:t xml:space="preserve"> </w:t>
      </w:r>
    </w:p>
    <w:p w14:paraId="656B0AFC" w14:textId="77777777" w:rsidR="00F42B38" w:rsidRDefault="00F42B38" w:rsidP="00F42B38">
      <w:pPr>
        <w:mirrorIndents/>
        <w:rPr>
          <w:rFonts w:cs="Segoe UI Light"/>
        </w:rPr>
      </w:pPr>
      <w:r>
        <w:rPr>
          <w:rFonts w:cs="Segoe UI Light"/>
        </w:rPr>
        <w:t>Ongoing analysis of the Hazelwood mine fire suggests that coal-mine fire related particulate matter led to</w:t>
      </w:r>
      <w:r>
        <w:t xml:space="preserve"> an additional 6,002 medical consultations, including general, cardiovascular, respiratory and mental health services (excluding services not qualified for Medicare benefits). Furthermore, an estimated additional 2,501 cardiovascular medications, 574 respiratory medications and 1,429 mental health related medications were dispensed (excluding over-the-counter) due to particulate matter caused by the fire.</w:t>
      </w:r>
      <w:r>
        <w:rPr>
          <w:rStyle w:val="FootnoteReference"/>
        </w:rPr>
        <w:footnoteReference w:id="220"/>
      </w:r>
      <w:r>
        <w:t xml:space="preserve"> </w:t>
      </w:r>
    </w:p>
    <w:p w14:paraId="656B0AFD" w14:textId="77777777" w:rsidR="00914F74" w:rsidRDefault="00914F74" w:rsidP="00914F74">
      <w:pPr>
        <w:mirrorIndents/>
        <w:rPr>
          <w:rFonts w:cs="Segoe UI Light"/>
          <w:szCs w:val="20"/>
        </w:rPr>
      </w:pPr>
      <w:r w:rsidRPr="00375F9D">
        <w:rPr>
          <w:rFonts w:cs="Segoe UI Light"/>
          <w:szCs w:val="20"/>
        </w:rPr>
        <w:t xml:space="preserve">Air pollution can </w:t>
      </w:r>
      <w:r>
        <w:rPr>
          <w:rFonts w:cs="Segoe UI Light"/>
          <w:szCs w:val="20"/>
        </w:rPr>
        <w:t xml:space="preserve">also </w:t>
      </w:r>
      <w:r w:rsidRPr="00375F9D">
        <w:rPr>
          <w:rFonts w:cs="Segoe UI Light"/>
          <w:szCs w:val="20"/>
        </w:rPr>
        <w:t>directly affect exposed ecosystems. Harms to the environment include acidification or eutrophication</w:t>
      </w:r>
      <w:r>
        <w:rPr>
          <w:rStyle w:val="FootnoteReference"/>
          <w:rFonts w:cs="Segoe UI Light"/>
          <w:szCs w:val="20"/>
        </w:rPr>
        <w:footnoteReference w:id="221"/>
      </w:r>
      <w:r w:rsidRPr="00375F9D">
        <w:rPr>
          <w:rFonts w:cs="Segoe UI Light"/>
          <w:szCs w:val="20"/>
        </w:rPr>
        <w:t xml:space="preserve"> of ecosystems, lower crop yields, bioaccumulation, and damage to plants and animals. Some plant and animal species are more sensitive to fluoride and sulphur dioxide than human</w:t>
      </w:r>
      <w:r w:rsidR="009A3655">
        <w:rPr>
          <w:rFonts w:cs="Segoe UI Light"/>
          <w:szCs w:val="20"/>
        </w:rPr>
        <w:t>s</w:t>
      </w:r>
      <w:r w:rsidRPr="00375F9D">
        <w:rPr>
          <w:rFonts w:cs="Segoe UI Light"/>
          <w:szCs w:val="20"/>
        </w:rPr>
        <w:t>. Air pollution may also damage infrastructure, for example through the formation of acid rain.</w:t>
      </w:r>
      <w:r>
        <w:rPr>
          <w:rStyle w:val="FootnoteReference"/>
          <w:rFonts w:cs="Segoe UI Light"/>
          <w:szCs w:val="20"/>
        </w:rPr>
        <w:footnoteReference w:id="222"/>
      </w:r>
      <w:r w:rsidRPr="00375F9D">
        <w:rPr>
          <w:rFonts w:cs="Segoe UI Light"/>
          <w:szCs w:val="20"/>
        </w:rPr>
        <w:t xml:space="preserve">  </w:t>
      </w:r>
    </w:p>
    <w:p w14:paraId="656B0AFE" w14:textId="77777777" w:rsidR="00914F74" w:rsidRDefault="00914F74" w:rsidP="008D16D8">
      <w:pPr>
        <w:pStyle w:val="Heading3"/>
        <w:ind w:left="720"/>
      </w:pPr>
      <w:r>
        <w:t>Costs</w:t>
      </w:r>
    </w:p>
    <w:p w14:paraId="656B0AFF" w14:textId="77777777" w:rsidR="00914F74" w:rsidRPr="001F4996" w:rsidRDefault="00914F74" w:rsidP="00914F74">
      <w:pPr>
        <w:mirrorIndents/>
        <w:rPr>
          <w:rFonts w:cs="Segoe UI Light"/>
        </w:rPr>
      </w:pPr>
      <w:r w:rsidRPr="00914F74">
        <w:rPr>
          <w:rFonts w:cs="Segoe UI Light"/>
        </w:rPr>
        <w:t xml:space="preserve">Depending on the type and degree of harm, the costs associated with air pollution can be both short-term and long-term. Short-term costs are related to medical costs and reduced quality of life, administrative costs such as </w:t>
      </w:r>
      <w:r w:rsidRPr="001F4996">
        <w:rPr>
          <w:rFonts w:cs="Segoe UI Light"/>
        </w:rPr>
        <w:t xml:space="preserve">responding to odour or dust complaints, as well as amenity impacts due to haze. Potential long-term costs include reduced quality of life or loss of life and associated medical costs, cost of reduced agricultural productivity, infrastructure costs, cost to tourism, and other costs </w:t>
      </w:r>
      <w:r w:rsidR="009A3655">
        <w:rPr>
          <w:rFonts w:cs="Segoe UI Light"/>
        </w:rPr>
        <w:t>from</w:t>
      </w:r>
      <w:r w:rsidRPr="001F4996">
        <w:rPr>
          <w:rFonts w:cs="Segoe UI Light"/>
        </w:rPr>
        <w:t xml:space="preserve"> reduced value of natural ecosystems. </w:t>
      </w:r>
    </w:p>
    <w:p w14:paraId="656B0B00" w14:textId="77777777" w:rsidR="00447DA1" w:rsidRDefault="00447DA1" w:rsidP="00447DA1">
      <w:r>
        <w:t>A</w:t>
      </w:r>
      <w:r w:rsidRPr="00040A06">
        <w:t xml:space="preserve"> 2015 study estimated the health cost of ambient air pollution in the Greater Sydney Metropolitan Region which includes Sydney, Illawarra and the lower Hunter. This information was prepared to assist decision-making on proposals that have the potential to affect the Greater Sydney Metropolitan Region’s air quality. The report shows that at the average levels of ambient particulate pollution that occurred across the Greater Sydney Metropolitan Region from 2000 to 2002, the total health costs of annual emissions of common ambient air pollutants from all sources in the GMR were conservatively estimated to be $4.7 billion per annum in 2003 dollars (the mid-point of a low and high estimate). This is equivalent to an annual cost per capita of $893.</w:t>
      </w:r>
      <w:r w:rsidRPr="00040A06">
        <w:rPr>
          <w:vertAlign w:val="superscript"/>
        </w:rPr>
        <w:footnoteReference w:id="223"/>
      </w:r>
      <w:r w:rsidRPr="00040A06">
        <w:rPr>
          <w:b/>
        </w:rPr>
        <w:t xml:space="preserve"> </w:t>
      </w:r>
    </w:p>
    <w:p w14:paraId="656B0B01" w14:textId="77777777" w:rsidR="008675C9" w:rsidRPr="008675C9" w:rsidRDefault="008675C9" w:rsidP="008675C9">
      <w:r w:rsidRPr="001F4996">
        <w:t xml:space="preserve">The PIA prepared for the variation to the WMP (Solid Fuel Heating) </w:t>
      </w:r>
      <w:r w:rsidR="009A3655">
        <w:t xml:space="preserve">policy </w:t>
      </w:r>
      <w:r w:rsidRPr="001F4996">
        <w:t xml:space="preserve">estimated quantified total health costs from PM emissions from the use of wood heaters in Victoria will be over $8 billion </w:t>
      </w:r>
      <w:r>
        <w:t>from 2018 to 2028</w:t>
      </w:r>
      <w:r w:rsidRPr="001F4996">
        <w:t>.</w:t>
      </w:r>
      <w:r w:rsidRPr="001F4996">
        <w:rPr>
          <w:rStyle w:val="FootnoteReference"/>
        </w:rPr>
        <w:footnoteReference w:id="224"/>
      </w:r>
    </w:p>
    <w:p w14:paraId="656B0B02" w14:textId="77777777" w:rsidR="00201183" w:rsidRDefault="00201183" w:rsidP="00982D63">
      <w:pPr>
        <w:pStyle w:val="Heading2"/>
      </w:pPr>
      <w:r>
        <w:t xml:space="preserve">Wood heater pollution </w:t>
      </w:r>
    </w:p>
    <w:p w14:paraId="656B0B03" w14:textId="77777777" w:rsidR="00201183" w:rsidRDefault="00201183" w:rsidP="00201183">
      <w:r>
        <w:t xml:space="preserve">In November 2017, EPA released a PIA for a variation to the Waste Management Policy (Solid Fuel Heating) </w:t>
      </w:r>
      <w:r w:rsidR="009A3655">
        <w:t xml:space="preserve">policy </w:t>
      </w:r>
      <w:r>
        <w:t xml:space="preserve">that adopts the Australian standards. The </w:t>
      </w:r>
      <w:r w:rsidR="009A3655">
        <w:t xml:space="preserve">discussion </w:t>
      </w:r>
      <w:r>
        <w:t xml:space="preserve">below provides an overview of the case made </w:t>
      </w:r>
      <w:r w:rsidR="009A3655">
        <w:t xml:space="preserve">in </w:t>
      </w:r>
      <w:r>
        <w:t>the PIA for policing Victorian wood heater products.</w:t>
      </w:r>
      <w:r>
        <w:rPr>
          <w:rStyle w:val="FootnoteReference"/>
        </w:rPr>
        <w:footnoteReference w:id="225"/>
      </w:r>
      <w:r>
        <w:t xml:space="preserve"> </w:t>
      </w:r>
    </w:p>
    <w:p w14:paraId="656B0B04" w14:textId="77777777" w:rsidR="00201183" w:rsidRDefault="00201183" w:rsidP="00A32E03">
      <w:r>
        <w:t xml:space="preserve">Wood heating has long been a popular form of heating in Victoria for social, economic and environmental reasons. However, wood heaters emit particulate matter and other pollutants as a result of the combustion process of burning wood. The total emissions of particulate matter from using a wood heater are affected by both the heater’s efficiency (how much wood is needed to be burnt to achieve a desired heat output) and its emission factor (the rate of emissions per kilogram of wood). </w:t>
      </w:r>
      <w:r w:rsidR="009A3655">
        <w:t xml:space="preserve">A </w:t>
      </w:r>
      <w:r>
        <w:t>heater’s efficiency and emission factor vary according to the design of the heater, and for a given heater</w:t>
      </w:r>
      <w:r w:rsidR="00B22725">
        <w:t>,</w:t>
      </w:r>
      <w:r>
        <w:t xml:space="preserve"> vary according to the type of wood used and the temperature at which it is operated. </w:t>
      </w:r>
    </w:p>
    <w:p w14:paraId="656B0B05" w14:textId="77777777" w:rsidR="00201183" w:rsidRDefault="00201183" w:rsidP="00201183">
      <w:r>
        <w:t xml:space="preserve">Efficiency and particulate emission factors are generally measured at the design stage, tested under specific laboratory conditions and methods. This includes specifying </w:t>
      </w:r>
      <w:r w:rsidR="00954D08">
        <w:t xml:space="preserve">the </w:t>
      </w:r>
      <w:r>
        <w:t xml:space="preserve">type of wood and taking a statistical average of emissions over different burn settings. </w:t>
      </w:r>
      <w:r w:rsidR="00954D08">
        <w:t xml:space="preserve">A </w:t>
      </w:r>
      <w:r>
        <w:t>wood heater</w:t>
      </w:r>
      <w:r w:rsidR="00AB7318">
        <w:t>’</w:t>
      </w:r>
      <w:r>
        <w:t>s</w:t>
      </w:r>
      <w:r w:rsidR="00954D08">
        <w:t xml:space="preserve"> emission levels will vary depending on the </w:t>
      </w:r>
      <w:r>
        <w:t xml:space="preserve">types of wood used and the condition and maintenance of the appliance. </w:t>
      </w:r>
    </w:p>
    <w:p w14:paraId="656B0B06" w14:textId="77777777" w:rsidR="006B238D" w:rsidRDefault="006B238D" w:rsidP="006B238D">
      <w:r>
        <w:t>Since the use of hardwood in home wood heating is somewhat unique to Australia, Australian wood heaters are typically built to different product specifications than those built for northern hemisphere markets. According to consultation with the Australian Home Heater Association (AHHA), imported wood heaters not built to Australian standards result in significantly higher emissions and lower efficiency. Wood heaters manufactured to meet Australian standards require testing and model development</w:t>
      </w:r>
      <w:r w:rsidR="0011632A">
        <w:t xml:space="preserve"> in order to be deemed suitable for use with Australian hardwoods</w:t>
      </w:r>
      <w:r>
        <w:t>. Testing and development is expensive to undertake, such that upholding high emissions standards imposes additional costs on businesses and consumers. In the absence of these standards, there would be an incentive for businesses to import inefficient and high emitting wood heaters at a lower cost.</w:t>
      </w:r>
    </w:p>
    <w:p w14:paraId="656B0B07" w14:textId="77777777" w:rsidR="00201183" w:rsidRDefault="00201183" w:rsidP="00201183">
      <w:r>
        <w:t>Emissions of air pollutants contribute directly to the quality of the air. The amount of particulate matter emitted from wood heaters—at both PM</w:t>
      </w:r>
      <w:r w:rsidRPr="000E7C5E">
        <w:rPr>
          <w:vertAlign w:val="subscript"/>
        </w:rPr>
        <w:t>10</w:t>
      </w:r>
      <w:r>
        <w:t xml:space="preserve"> and PM</w:t>
      </w:r>
      <w:r w:rsidRPr="000E7C5E">
        <w:rPr>
          <w:vertAlign w:val="subscript"/>
        </w:rPr>
        <w:t>2.5</w:t>
      </w:r>
      <w:r>
        <w:t xml:space="preserve"> levels—is significant. The extent to which emissions from wood heaters contribute to poor air quality is complex due to the dependency on meteorological factors such as winds, sunlight and atmospheric structure.</w:t>
      </w:r>
    </w:p>
    <w:p w14:paraId="656B0B08" w14:textId="77777777" w:rsidR="00201183" w:rsidRPr="00A72F87" w:rsidRDefault="00201183" w:rsidP="00201183">
      <w:r>
        <w:t>Solid fuel combustion contributes over 25</w:t>
      </w:r>
      <w:r w:rsidR="006B238D">
        <w:t>%</w:t>
      </w:r>
      <w:r>
        <w:t xml:space="preserve"> of human sources of particulate matter emissions in the Port Phillip region, the majority from wood heaters.</w:t>
      </w:r>
      <w:r>
        <w:rPr>
          <w:rStyle w:val="FootnoteReference"/>
        </w:rPr>
        <w:footnoteReference w:id="226"/>
      </w:r>
      <w:r>
        <w:t xml:space="preserve"> In addition to particulate matter, wood smoke can consist of over a hundred different chemical compounds including carbon monoxide, nitrogen dioxide and some air toxi</w:t>
      </w:r>
      <w:r w:rsidR="0011632A">
        <w:t>n</w:t>
      </w:r>
      <w:r>
        <w:t>s (for example benzene, formaldehyde and polycyclic aromatic hydrocarbons), which are also harmful to human health. Some components are known to be carcinogenic and chronic exposure is known to cause heart and lung disease and certain cancers. Oxides of nitrogen (NO</w:t>
      </w:r>
      <w:r w:rsidRPr="000E7C5E">
        <w:rPr>
          <w:vertAlign w:val="subscript"/>
        </w:rPr>
        <w:t>X</w:t>
      </w:r>
      <w:r>
        <w:t>), ammonia (NH</w:t>
      </w:r>
      <w:r w:rsidRPr="000E7C5E">
        <w:rPr>
          <w:vertAlign w:val="subscript"/>
        </w:rPr>
        <w:t>3</w:t>
      </w:r>
      <w:r>
        <w:t>), sulphur oxides (SO</w:t>
      </w:r>
      <w:r w:rsidRPr="000E7C5E">
        <w:rPr>
          <w:vertAlign w:val="subscript"/>
        </w:rPr>
        <w:t>X</w:t>
      </w:r>
      <w:r>
        <w:t>) and volatile organic compounds (VOCs) are also precursors to the formation of secondary particulate pollution (formed in the atmosphere through chemical reactions</w:t>
      </w:r>
      <w:r w:rsidRPr="00A72F87">
        <w:t>).</w:t>
      </w:r>
      <w:r>
        <w:t xml:space="preserve"> In addition to health impacts, </w:t>
      </w:r>
      <w:r w:rsidRPr="00A72F87">
        <w:t>wood heaters</w:t>
      </w:r>
      <w:r>
        <w:t xml:space="preserve"> also affect the environment, including</w:t>
      </w:r>
      <w:r w:rsidRPr="00A72F87">
        <w:t xml:space="preserve">: </w:t>
      </w:r>
    </w:p>
    <w:p w14:paraId="656B0B09" w14:textId="77777777" w:rsidR="00201183" w:rsidRPr="00A72F87" w:rsidRDefault="00201183" w:rsidP="004A2442">
      <w:pPr>
        <w:pStyle w:val="ListParagraph"/>
        <w:numPr>
          <w:ilvl w:val="0"/>
          <w:numId w:val="66"/>
        </w:numPr>
      </w:pPr>
      <w:r>
        <w:t>V</w:t>
      </w:r>
      <w:r w:rsidRPr="00A72F87">
        <w:t xml:space="preserve">egetation and ecosystems: Particles carried over long distances </w:t>
      </w:r>
      <w:r>
        <w:t>may</w:t>
      </w:r>
      <w:r w:rsidRPr="00A72F87">
        <w:t xml:space="preserve"> change the nutrient balance in aquatic environments; deplete nutrients in soil; damage sensitive forests and farm crops; and affect the diversity of ecosystems. </w:t>
      </w:r>
    </w:p>
    <w:p w14:paraId="656B0B0A" w14:textId="77777777" w:rsidR="00201183" w:rsidRPr="00A72F87" w:rsidRDefault="00201183" w:rsidP="004A2442">
      <w:pPr>
        <w:pStyle w:val="ListParagraph"/>
        <w:numPr>
          <w:ilvl w:val="0"/>
          <w:numId w:val="66"/>
        </w:numPr>
      </w:pPr>
      <w:r w:rsidRPr="00A72F87">
        <w:t>Visibility and amenity: Particles scatter and absorb light and are responsible for brown haze. Poor visibility caused by particle pollution</w:t>
      </w:r>
      <w:r>
        <w:t>,</w:t>
      </w:r>
      <w:r w:rsidRPr="00A72F87">
        <w:t xml:space="preserve"> </w:t>
      </w:r>
      <w:r>
        <w:t xml:space="preserve">as well as smoke odour and irritation, </w:t>
      </w:r>
      <w:r w:rsidRPr="00A72F87">
        <w:t>has a direct impact on a location for living, tourism and investment as well as reducin</w:t>
      </w:r>
      <w:r>
        <w:t>g residents’ sense of wellbeing.</w:t>
      </w:r>
      <w:r w:rsidRPr="00A72F87">
        <w:t xml:space="preserve"> </w:t>
      </w:r>
    </w:p>
    <w:p w14:paraId="656B0B0B" w14:textId="77777777" w:rsidR="00201183" w:rsidRPr="00A72F87" w:rsidRDefault="00201183" w:rsidP="004A2442">
      <w:pPr>
        <w:pStyle w:val="ListParagraph"/>
        <w:numPr>
          <w:ilvl w:val="0"/>
          <w:numId w:val="66"/>
        </w:numPr>
      </w:pPr>
      <w:r>
        <w:t>B</w:t>
      </w:r>
      <w:r w:rsidRPr="00A72F87">
        <w:t xml:space="preserve">uilding materials: Particle pollution can stain and damage stone and other building materials, including heritage buildings. </w:t>
      </w:r>
    </w:p>
    <w:p w14:paraId="656B0B0C" w14:textId="77777777" w:rsidR="00201183" w:rsidRDefault="00201183" w:rsidP="004A2442">
      <w:pPr>
        <w:pStyle w:val="ListParagraph"/>
        <w:numPr>
          <w:ilvl w:val="0"/>
          <w:numId w:val="66"/>
        </w:numPr>
      </w:pPr>
      <w:r>
        <w:t>G</w:t>
      </w:r>
      <w:r w:rsidRPr="00A72F87">
        <w:t>lobal warming: Black carbon, the main component of soot particles, is also considered to be a powerful global warming agent</w:t>
      </w:r>
      <w:r>
        <w:t>.</w:t>
      </w:r>
    </w:p>
    <w:p w14:paraId="656B0B0D" w14:textId="77777777" w:rsidR="00201183" w:rsidRDefault="00201183" w:rsidP="00201183">
      <w:r w:rsidRPr="009B5C4F">
        <w:t xml:space="preserve">Reducing the adverse health impacts of particulate matter from wood heaters </w:t>
      </w:r>
      <w:r>
        <w:t>was identified as a</w:t>
      </w:r>
      <w:r w:rsidRPr="009B5C4F">
        <w:t xml:space="preserve"> priority issue in the National Clean Air Agreement</w:t>
      </w:r>
      <w:r>
        <w:t xml:space="preserve"> (NCAA) established by Environment Ministers in December 2015.</w:t>
      </w:r>
      <w:r w:rsidRPr="00230FA3">
        <w:t xml:space="preserve"> </w:t>
      </w:r>
      <w:r>
        <w:t xml:space="preserve">The NCAA Initial Workplan (2015-17) required all jurisdictions to implement the adoption of new emission and efficiency standards for new wood heaters in 2017. </w:t>
      </w:r>
      <w:r w:rsidRPr="009B5C4F">
        <w:t>In Victoria, the current Waste Management Policy (Soli</w:t>
      </w:r>
      <w:r>
        <w:t xml:space="preserve">d Fuel Heating) </w:t>
      </w:r>
      <w:r w:rsidR="006B238D">
        <w:t>requires wood heaters manufactured or supplied to Victoria comply with</w:t>
      </w:r>
      <w:r>
        <w:t xml:space="preserve"> the</w:t>
      </w:r>
      <w:r w:rsidRPr="009B5C4F">
        <w:t xml:space="preserve"> </w:t>
      </w:r>
      <w:r w:rsidR="006B238D">
        <w:t xml:space="preserve">following </w:t>
      </w:r>
      <w:r w:rsidRPr="009B5C4F">
        <w:t xml:space="preserve">Australian </w:t>
      </w:r>
      <w:r w:rsidR="006B238D">
        <w:t>New Zealand</w:t>
      </w:r>
      <w:r w:rsidR="006B238D" w:rsidRPr="009B5C4F">
        <w:t xml:space="preserve"> Standard</w:t>
      </w:r>
      <w:r w:rsidR="006B238D">
        <w:t>s:</w:t>
      </w:r>
      <w:r>
        <w:t xml:space="preserve"> </w:t>
      </w:r>
    </w:p>
    <w:p w14:paraId="656B0B0E" w14:textId="77777777" w:rsidR="006B238D" w:rsidRDefault="006B238D" w:rsidP="004A2442">
      <w:pPr>
        <w:pStyle w:val="ListParagraph"/>
        <w:numPr>
          <w:ilvl w:val="0"/>
          <w:numId w:val="66"/>
        </w:numPr>
      </w:pPr>
      <w:r>
        <w:t xml:space="preserve">AS/NZS 4012:2014 - </w:t>
      </w:r>
      <w:r w:rsidRPr="00E77344">
        <w:t xml:space="preserve">Method for </w:t>
      </w:r>
      <w:r>
        <w:t>d</w:t>
      </w:r>
      <w:r w:rsidRPr="00E77344">
        <w:t xml:space="preserve">etermination of </w:t>
      </w:r>
      <w:r>
        <w:t>p</w:t>
      </w:r>
      <w:r w:rsidRPr="00E77344">
        <w:t xml:space="preserve">ower </w:t>
      </w:r>
      <w:r>
        <w:t>o</w:t>
      </w:r>
      <w:r w:rsidRPr="00E77344">
        <w:t xml:space="preserve">utput and </w:t>
      </w:r>
      <w:r>
        <w:t>e</w:t>
      </w:r>
      <w:r w:rsidRPr="00E77344">
        <w:t>fficiency</w:t>
      </w:r>
      <w:r>
        <w:t xml:space="preserve"> of domestic solid fuel burning appliances</w:t>
      </w:r>
      <w:r w:rsidR="00EF6D9D">
        <w:t>.</w:t>
      </w:r>
    </w:p>
    <w:p w14:paraId="656B0B0F" w14:textId="77777777" w:rsidR="006B238D" w:rsidRDefault="006B238D" w:rsidP="004A2442">
      <w:pPr>
        <w:pStyle w:val="ListParagraph"/>
        <w:numPr>
          <w:ilvl w:val="0"/>
          <w:numId w:val="66"/>
        </w:numPr>
      </w:pPr>
      <w:r>
        <w:t xml:space="preserve">AS/NZS 4013 - </w:t>
      </w:r>
      <w:r w:rsidRPr="00E77344">
        <w:t>Method for Determination of Flue Gas Emission</w:t>
      </w:r>
      <w:r>
        <w:t xml:space="preserve"> from domestic solid fuel burning appliances</w:t>
      </w:r>
      <w:r w:rsidR="00EF6D9D">
        <w:t>.</w:t>
      </w:r>
    </w:p>
    <w:p w14:paraId="656B0B10" w14:textId="77777777" w:rsidR="006B238D" w:rsidRPr="006B238D" w:rsidRDefault="006B238D" w:rsidP="006B238D">
      <w:r>
        <w:t xml:space="preserve">The commitment to adopt wood heater efficiency and emission standards is part of a wider national agenda to improve air quality and requires all </w:t>
      </w:r>
      <w:r w:rsidR="009A3655">
        <w:t xml:space="preserve">States </w:t>
      </w:r>
      <w:r>
        <w:t xml:space="preserve">to participate in order to be successful. Moreover, because of the Mutual Recognition Act 1992 (Commonwealth), any wood heater that is legal to sell in Victoria may be sold in any other state without meeting additional requirements of those states. </w:t>
      </w:r>
      <w:r w:rsidR="0011632A">
        <w:t>Since interstate consumers would be free to purchase Victorian wood heaters, the ability for any jurisdiction to enforce the national standards</w:t>
      </w:r>
      <w:r w:rsidR="0011632A" w:rsidDel="0011632A">
        <w:t xml:space="preserve"> </w:t>
      </w:r>
      <w:r w:rsidR="0011632A">
        <w:t>would be compromised if Victoria did not have national standards mandated</w:t>
      </w:r>
      <w:r>
        <w:t>. According to the AHHA, Victoria accounts for a significant share of wood heaters manufactured in Australia, meaning that this could have significant implications on national outcomes.</w:t>
      </w:r>
    </w:p>
    <w:p w14:paraId="656B0B11" w14:textId="77777777" w:rsidR="00201183" w:rsidRDefault="00201183" w:rsidP="008D16D8">
      <w:pPr>
        <w:pStyle w:val="Heading3"/>
        <w:ind w:left="720"/>
      </w:pPr>
      <w:r>
        <w:t>Options</w:t>
      </w:r>
    </w:p>
    <w:p w14:paraId="656B0B12" w14:textId="77777777" w:rsidR="006B238D" w:rsidRDefault="006B238D" w:rsidP="006B238D">
      <w:r>
        <w:t xml:space="preserve">Under the </w:t>
      </w:r>
      <w:r w:rsidR="00247956" w:rsidRPr="00247956">
        <w:rPr>
          <w:b/>
        </w:rPr>
        <w:t>Base C</w:t>
      </w:r>
      <w:r w:rsidRPr="00247956">
        <w:rPr>
          <w:b/>
        </w:rPr>
        <w:t>ase</w:t>
      </w:r>
      <w:r>
        <w:t>, the A</w:t>
      </w:r>
      <w:r w:rsidRPr="00A1056E">
        <w:t>S/NZ</w:t>
      </w:r>
      <w:r>
        <w:t>S 4012:2014</w:t>
      </w:r>
      <w:r w:rsidRPr="00A1056E">
        <w:t xml:space="preserve"> and AS/NZ</w:t>
      </w:r>
      <w:r>
        <w:t>S</w:t>
      </w:r>
      <w:r w:rsidRPr="00A1056E">
        <w:t xml:space="preserve"> 4013</w:t>
      </w:r>
      <w:r>
        <w:t xml:space="preserve"> standards exist, however there is no explicit legal requirement for Victorian businesses to supply or manufacture wood heaters that comply with these standards.</w:t>
      </w:r>
      <w:r w:rsidR="006C0A2C">
        <w:t xml:space="preserve"> </w:t>
      </w:r>
      <w:r w:rsidR="009C142C">
        <w:t>T</w:t>
      </w:r>
      <w:r w:rsidR="006C0A2C">
        <w:t xml:space="preserve">he GED would apply, since businesses are required to minimise risks of harm to human health and the environment from pollution arising from the design, manufacture, installation or supply of substances, plant, equipment or structures. Under the </w:t>
      </w:r>
      <w:r w:rsidR="000C1C59">
        <w:t>B</w:t>
      </w:r>
      <w:r w:rsidR="006C0A2C">
        <w:t xml:space="preserve">ase </w:t>
      </w:r>
      <w:r w:rsidR="000C1C59">
        <w:t>C</w:t>
      </w:r>
      <w:r w:rsidR="006C0A2C">
        <w:t xml:space="preserve">ase, the relevant </w:t>
      </w:r>
      <w:r w:rsidR="006C0A2C" w:rsidRPr="009B5C4F">
        <w:t xml:space="preserve">Australian </w:t>
      </w:r>
      <w:r w:rsidR="006C0A2C">
        <w:t>New Zealand</w:t>
      </w:r>
      <w:r w:rsidR="006C0A2C" w:rsidRPr="009B5C4F">
        <w:t xml:space="preserve"> Standard</w:t>
      </w:r>
      <w:r w:rsidR="006C0A2C">
        <w:t xml:space="preserve">s would be considered when assessing whether a supplier or manufacturer </w:t>
      </w:r>
      <w:r w:rsidR="009C142C">
        <w:t xml:space="preserve">has complied with the </w:t>
      </w:r>
      <w:r w:rsidR="006C0A2C">
        <w:t xml:space="preserve">GED, since this forms the existing state of knowledge within the industry. </w:t>
      </w:r>
    </w:p>
    <w:p w14:paraId="656B0B13" w14:textId="77777777" w:rsidR="006B238D" w:rsidRDefault="006B238D" w:rsidP="006B238D">
      <w:r w:rsidRPr="00247956">
        <w:rPr>
          <w:b/>
        </w:rPr>
        <w:t>Option 1</w:t>
      </w:r>
      <w:r w:rsidRPr="00A1056E">
        <w:t xml:space="preserve"> proposes </w:t>
      </w:r>
      <w:r w:rsidR="0088153B">
        <w:t>a specific provision that clearly outlines the obligations on manufacturers and suppliers of wood heaters to adopt the emissions and efficiency standards outlined in A</w:t>
      </w:r>
      <w:r w:rsidR="0088153B" w:rsidRPr="00A1056E">
        <w:t>S/NZ</w:t>
      </w:r>
      <w:r w:rsidR="0088153B">
        <w:t>S 4012:2014</w:t>
      </w:r>
      <w:r w:rsidR="0088153B" w:rsidRPr="00A1056E">
        <w:t xml:space="preserve"> and AS/NZ</w:t>
      </w:r>
      <w:r w:rsidR="0088153B">
        <w:t>S</w:t>
      </w:r>
      <w:r w:rsidR="0088153B" w:rsidRPr="00A1056E">
        <w:t xml:space="preserve"> 4013</w:t>
      </w:r>
      <w:r w:rsidR="0088153B">
        <w:t xml:space="preserve"> in order to comply with the GED</w:t>
      </w:r>
      <w:r w:rsidR="00DC7A63">
        <w:t xml:space="preserve">. </w:t>
      </w:r>
    </w:p>
    <w:p w14:paraId="656B0B14" w14:textId="77777777" w:rsidR="00201183" w:rsidRPr="00A1056E" w:rsidRDefault="00201183" w:rsidP="00201183">
      <w:r w:rsidRPr="00247956">
        <w:rPr>
          <w:b/>
        </w:rPr>
        <w:t>Option 2</w:t>
      </w:r>
      <w:r>
        <w:t xml:space="preserve"> </w:t>
      </w:r>
      <w:r w:rsidR="000E3B50">
        <w:t>provides for</w:t>
      </w:r>
      <w:r>
        <w:t xml:space="preserve"> non-mandatory guidelines to educate manufacturers and suppliers of </w:t>
      </w:r>
      <w:r w:rsidRPr="00A1056E">
        <w:t xml:space="preserve">wood heaters </w:t>
      </w:r>
      <w:r>
        <w:t>to</w:t>
      </w:r>
      <w:r w:rsidRPr="00A1056E">
        <w:t xml:space="preserve"> comply with AUS/NZ</w:t>
      </w:r>
      <w:r>
        <w:t>S</w:t>
      </w:r>
      <w:r w:rsidRPr="00A1056E">
        <w:t xml:space="preserve"> 4012 and AUS/NZ</w:t>
      </w:r>
      <w:r>
        <w:t>S</w:t>
      </w:r>
      <w:r w:rsidRPr="00A1056E">
        <w:t xml:space="preserve"> 4013 </w:t>
      </w:r>
      <w:r>
        <w:t xml:space="preserve">wood heater </w:t>
      </w:r>
      <w:r w:rsidRPr="00A1056E">
        <w:t>standards</w:t>
      </w:r>
      <w:r>
        <w:t>.</w:t>
      </w:r>
    </w:p>
    <w:p w14:paraId="656B0B15" w14:textId="77777777" w:rsidR="00201183" w:rsidRDefault="00201183" w:rsidP="008D16D8">
      <w:pPr>
        <w:pStyle w:val="Heading3"/>
        <w:ind w:left="720"/>
      </w:pPr>
      <w:r>
        <w:t>Analysis</w:t>
      </w:r>
    </w:p>
    <w:p w14:paraId="656B0B16" w14:textId="77777777" w:rsidR="00201183" w:rsidRPr="0088153B" w:rsidRDefault="00201183" w:rsidP="000E7C5E">
      <w:pPr>
        <w:pStyle w:val="Heading4un-numbered"/>
      </w:pPr>
      <w:r w:rsidRPr="0088153B">
        <w:t>Approach</w:t>
      </w:r>
    </w:p>
    <w:p w14:paraId="656B0B17" w14:textId="77777777" w:rsidR="006B238D" w:rsidRPr="006B238D" w:rsidRDefault="006B238D" w:rsidP="006B238D">
      <w:r>
        <w:t xml:space="preserve">A cost-benefit analysis has been used to determine the </w:t>
      </w:r>
      <w:r w:rsidR="0011632A">
        <w:t xml:space="preserve">net </w:t>
      </w:r>
      <w:r>
        <w:t xml:space="preserve">benefit </w:t>
      </w:r>
      <w:r w:rsidR="0011632A">
        <w:t xml:space="preserve">of Option 1. </w:t>
      </w:r>
      <w:r w:rsidR="00F512BB">
        <w:t xml:space="preserve">A qualitative approach has been used to assess Option 2, which is considered when </w:t>
      </w:r>
      <w:r w:rsidR="000E3B50">
        <w:t>determ</w:t>
      </w:r>
      <w:r w:rsidR="00E114DA">
        <w:t>i</w:t>
      </w:r>
      <w:r w:rsidR="000E3B50">
        <w:t xml:space="preserve">ning </w:t>
      </w:r>
      <w:r w:rsidR="00F512BB">
        <w:t>the preferred option</w:t>
      </w:r>
      <w:r>
        <w:t xml:space="preserve">. </w:t>
      </w:r>
    </w:p>
    <w:p w14:paraId="656B0B18" w14:textId="77777777" w:rsidR="00201183" w:rsidRDefault="00201183" w:rsidP="000E7C5E">
      <w:pPr>
        <w:pStyle w:val="Heading4un-numbered"/>
      </w:pPr>
      <w:r w:rsidRPr="00C52A8F">
        <w:t>Option 1</w:t>
      </w:r>
      <w:r>
        <w:t xml:space="preserve"> – Prescribed standards</w:t>
      </w:r>
    </w:p>
    <w:p w14:paraId="656B0B19" w14:textId="77777777" w:rsidR="00201183" w:rsidRPr="0088153B" w:rsidRDefault="00201183" w:rsidP="000E7C5E">
      <w:pPr>
        <w:pStyle w:val="Heading3un-numbered"/>
      </w:pPr>
      <w:r w:rsidRPr="0088153B">
        <w:t>Costs</w:t>
      </w:r>
    </w:p>
    <w:p w14:paraId="656B0B1A" w14:textId="77777777" w:rsidR="006B238D" w:rsidRPr="006B238D" w:rsidRDefault="006B238D" w:rsidP="006B238D">
      <w:pPr>
        <w:rPr>
          <w:i/>
        </w:rPr>
      </w:pPr>
      <w:r w:rsidRPr="006B238D">
        <w:rPr>
          <w:i/>
        </w:rPr>
        <w:t>Costs to businesses and consumers</w:t>
      </w:r>
    </w:p>
    <w:p w14:paraId="656B0B1B" w14:textId="5AD3C23E" w:rsidR="006B238D" w:rsidRDefault="00C5401D" w:rsidP="006B238D">
      <w:r>
        <w:t>Based on information gathered from consultations conducted for this RIS, i</w:t>
      </w:r>
      <w:r w:rsidR="006B238D">
        <w:t xml:space="preserve">t is estimated that </w:t>
      </w:r>
      <w:r w:rsidR="006B238D" w:rsidRPr="005A4755">
        <w:t xml:space="preserve">approximately 100 new wood heater products are tested </w:t>
      </w:r>
      <w:r w:rsidR="00C93A18">
        <w:t>in accordance with</w:t>
      </w:r>
      <w:r w:rsidR="006B238D" w:rsidRPr="005A4755">
        <w:t xml:space="preserve"> the</w:t>
      </w:r>
      <w:r w:rsidR="006B238D">
        <w:t xml:space="preserve"> AS/NZS standards each year</w:t>
      </w:r>
      <w:r w:rsidR="006B238D" w:rsidRPr="005A4755">
        <w:t xml:space="preserve">, </w:t>
      </w:r>
      <w:r w:rsidR="006B238D">
        <w:t xml:space="preserve">at an average </w:t>
      </w:r>
      <w:r w:rsidR="006B238D" w:rsidRPr="005A4755">
        <w:t>cost of $25,000 per model. The</w:t>
      </w:r>
      <w:r w:rsidR="006B238D">
        <w:t xml:space="preserve"> research and development (R&amp;D) costs associated with ensuring that models meet AS/NZS standards are estimated to be $75,000 per model. </w:t>
      </w:r>
      <w:r w:rsidR="00F512BB">
        <w:t xml:space="preserve">These testing and design costs, which were obtained through consultations undertaken for this RIS, are specific to meeting AS/NZS standards, meaning that they are additional to the costs that would otherwise be incurred as part of the typical design and testing process. </w:t>
      </w:r>
    </w:p>
    <w:p w14:paraId="656B0B1C" w14:textId="3D92B699" w:rsidR="006B238D" w:rsidRDefault="006B238D" w:rsidP="006B238D">
      <w:r>
        <w:t xml:space="preserve">Of the 100 models tested </w:t>
      </w:r>
      <w:r w:rsidRPr="00400627">
        <w:t>annually, seven new wood heater models are assumed to be manufactured in Australia, and the remainin</w:t>
      </w:r>
      <w:r>
        <w:t>g 93 are assumed to be designed and manufactured overseas.</w:t>
      </w:r>
      <w:r>
        <w:rPr>
          <w:rStyle w:val="FootnoteReference"/>
        </w:rPr>
        <w:footnoteReference w:id="227"/>
      </w:r>
      <w:r>
        <w:t xml:space="preserve"> However, both the R&amp;D and testing costs associated with meeting </w:t>
      </w:r>
      <w:r w:rsidRPr="00A1056E">
        <w:t>AUS/NZ</w:t>
      </w:r>
      <w:r>
        <w:t>S 4012:2014</w:t>
      </w:r>
      <w:r w:rsidRPr="00A1056E">
        <w:t xml:space="preserve"> and AUS/NZ</w:t>
      </w:r>
      <w:r>
        <w:t>S</w:t>
      </w:r>
      <w:r w:rsidRPr="00A1056E">
        <w:t xml:space="preserve"> 4013</w:t>
      </w:r>
      <w:r>
        <w:t xml:space="preserve"> are assumed to be passed on to Australian consumers. </w:t>
      </w:r>
    </w:p>
    <w:p w14:paraId="656B0B1D" w14:textId="7BC39DF4" w:rsidR="0012345C" w:rsidRPr="004C03A5" w:rsidRDefault="0012345C" w:rsidP="0012345C">
      <w:r w:rsidRPr="004C03A5">
        <w:t>Victoria accounts for an estimated 26% of wood heaters sold in Australia.</w:t>
      </w:r>
      <w:r w:rsidRPr="004C03A5">
        <w:rPr>
          <w:rStyle w:val="FootnoteReference"/>
        </w:rPr>
        <w:footnoteReference w:id="228"/>
      </w:r>
      <w:r w:rsidRPr="004C03A5">
        <w:t xml:space="preserve"> Therefore, it is assumed that 26% of the R&amp;D and testing costs incurred by Australian consumers are incurred in Victoria. This results in a present value cost of </w:t>
      </w:r>
      <w:r w:rsidRPr="000E7C5E">
        <w:t>$</w:t>
      </w:r>
      <w:r w:rsidR="004C03A5" w:rsidRPr="004C03A5">
        <w:t>17.1</w:t>
      </w:r>
      <w:r w:rsidRPr="004C03A5">
        <w:t xml:space="preserve"> million over a 10 year horizon. </w:t>
      </w:r>
    </w:p>
    <w:p w14:paraId="656B0B1E" w14:textId="77777777" w:rsidR="006B238D" w:rsidRPr="00A1056E" w:rsidRDefault="006B238D" w:rsidP="006B238D">
      <w:r w:rsidRPr="004C03A5">
        <w:t xml:space="preserve">However, given </w:t>
      </w:r>
      <w:r w:rsidR="000E3B50">
        <w:t>the</w:t>
      </w:r>
      <w:r w:rsidR="000E3B50" w:rsidRPr="004C03A5">
        <w:t xml:space="preserve"> </w:t>
      </w:r>
      <w:r w:rsidRPr="004C03A5">
        <w:t>large amount of education and advocacy for low emission wood heaters within the industry</w:t>
      </w:r>
      <w:r w:rsidR="0012345C" w:rsidRPr="004C03A5">
        <w:t>,</w:t>
      </w:r>
      <w:r w:rsidR="0012345C" w:rsidRPr="004C03A5" w:rsidDel="0012345C">
        <w:rPr>
          <w:rStyle w:val="FootnoteReference"/>
        </w:rPr>
        <w:t xml:space="preserve"> </w:t>
      </w:r>
      <w:r w:rsidRPr="004C03A5">
        <w:t xml:space="preserve"> it is assumed that </w:t>
      </w:r>
      <w:r w:rsidR="0012345C" w:rsidRPr="004C03A5">
        <w:t>75</w:t>
      </w:r>
      <w:r w:rsidRPr="004C03A5">
        <w:t>% of suppliers and manufacturers already comply with the standards under the Base Case.</w:t>
      </w:r>
      <w:r w:rsidR="0012345C" w:rsidRPr="004C03A5">
        <w:rPr>
          <w:rStyle w:val="FootnoteReference"/>
        </w:rPr>
        <w:footnoteReference w:id="229"/>
      </w:r>
      <w:r w:rsidRPr="004C03A5">
        <w:t xml:space="preserve"> Therefore the incremental cost to businesses of a prescribed regulation is estimated to be $</w:t>
      </w:r>
      <w:r w:rsidR="004C03A5" w:rsidRPr="004C03A5">
        <w:t>4.3</w:t>
      </w:r>
      <w:r w:rsidRPr="004C03A5">
        <w:t xml:space="preserve"> million in present value terms.</w:t>
      </w:r>
      <w:r w:rsidR="00F512BB">
        <w:t xml:space="preserve"> It is likely that these costs would be largely passed on to consumers. </w:t>
      </w:r>
    </w:p>
    <w:p w14:paraId="656B0B1F" w14:textId="77777777" w:rsidR="00201183" w:rsidRDefault="00201183" w:rsidP="00201183">
      <w:pPr>
        <w:rPr>
          <w:i/>
        </w:rPr>
      </w:pPr>
      <w:r w:rsidRPr="009B5C4F">
        <w:rPr>
          <w:i/>
        </w:rPr>
        <w:t>Cost to govern</w:t>
      </w:r>
      <w:r>
        <w:rPr>
          <w:i/>
        </w:rPr>
        <w:t>m</w:t>
      </w:r>
      <w:r w:rsidRPr="009B5C4F">
        <w:rPr>
          <w:i/>
        </w:rPr>
        <w:t>ent</w:t>
      </w:r>
    </w:p>
    <w:p w14:paraId="656B0B20" w14:textId="40F39006" w:rsidR="00B22725" w:rsidRPr="00741319" w:rsidRDefault="006B238D" w:rsidP="00C93A18">
      <w:pPr>
        <w:spacing w:after="0"/>
        <w:rPr>
          <w:rFonts w:ascii="Calibri" w:eastAsia="Times New Roman" w:hAnsi="Calibri" w:cs="Times New Roman"/>
          <w:color w:val="000000"/>
          <w:sz w:val="16"/>
          <w:szCs w:val="16"/>
          <w:lang w:eastAsia="en-AU"/>
        </w:rPr>
      </w:pPr>
      <w:r w:rsidRPr="004C03A5">
        <w:t>EPA costs</w:t>
      </w:r>
      <w:r w:rsidR="00201183" w:rsidRPr="004C03A5">
        <w:t xml:space="preserve"> to monitor compliance with standards </w:t>
      </w:r>
      <w:r w:rsidR="00AB7318">
        <w:t>are</w:t>
      </w:r>
      <w:r w:rsidR="00AB7318" w:rsidRPr="004C03A5">
        <w:t xml:space="preserve"> </w:t>
      </w:r>
      <w:r w:rsidR="00201183" w:rsidRPr="004C03A5">
        <w:t xml:space="preserve">estimated </w:t>
      </w:r>
      <w:r w:rsidR="00AB7318">
        <w:t>at</w:t>
      </w:r>
      <w:r w:rsidR="00201183" w:rsidRPr="004C03A5">
        <w:t xml:space="preserve"> $20,000 per annum, resulting in a present value cost of $</w:t>
      </w:r>
      <w:r w:rsidR="004C03A5" w:rsidRPr="004C03A5">
        <w:t>1</w:t>
      </w:r>
      <w:r w:rsidR="004C03A5" w:rsidRPr="000E7C5E">
        <w:t>31</w:t>
      </w:r>
      <w:r w:rsidR="00201183" w:rsidRPr="004C03A5">
        <w:t>,000 over the 10</w:t>
      </w:r>
      <w:r w:rsidR="004C03A5" w:rsidRPr="004C03A5">
        <w:t>-</w:t>
      </w:r>
      <w:r w:rsidR="00201183" w:rsidRPr="004C03A5">
        <w:t xml:space="preserve">year </w:t>
      </w:r>
      <w:r w:rsidRPr="004C03A5">
        <w:t>period.</w:t>
      </w:r>
      <w:r w:rsidRPr="004C03A5">
        <w:rPr>
          <w:rStyle w:val="FootnoteReference"/>
        </w:rPr>
        <w:footnoteReference w:id="230"/>
      </w:r>
      <w:r w:rsidR="00BB20E0">
        <w:t xml:space="preserve"> This cost reflects the </w:t>
      </w:r>
      <w:r w:rsidR="00AB7318">
        <w:t>actions</w:t>
      </w:r>
      <w:r w:rsidR="00BB20E0">
        <w:t xml:space="preserve"> of EPA compliance officers to </w:t>
      </w:r>
      <w:r w:rsidR="00C93A18">
        <w:t>conduct</w:t>
      </w:r>
      <w:r w:rsidR="00BB20E0">
        <w:t xml:space="preserve"> spot checks on heaters being so</w:t>
      </w:r>
      <w:r w:rsidR="00C93A18">
        <w:t xml:space="preserve">ld, check verification documents of suppliers, check manufacturers are able to demonstrate compliance with the AS/NZS standards </w:t>
      </w:r>
      <w:r w:rsidR="00BB20E0">
        <w:t xml:space="preserve">and </w:t>
      </w:r>
      <w:r w:rsidR="00C93A18">
        <w:t>investigate</w:t>
      </w:r>
      <w:r w:rsidR="00BB20E0">
        <w:t xml:space="preserve"> complaints about non-compliance.</w:t>
      </w:r>
    </w:p>
    <w:p w14:paraId="656B0B21" w14:textId="77777777" w:rsidR="00201183" w:rsidRDefault="00201183" w:rsidP="000E7C5E">
      <w:pPr>
        <w:pStyle w:val="Heading3un-numbered"/>
      </w:pPr>
      <w:r>
        <w:t>Benefits</w:t>
      </w:r>
    </w:p>
    <w:p w14:paraId="656B0B22" w14:textId="77777777" w:rsidR="00201183" w:rsidRDefault="00201183" w:rsidP="00201183">
      <w:pPr>
        <w:rPr>
          <w:i/>
        </w:rPr>
      </w:pPr>
      <w:r w:rsidRPr="00BF51BD">
        <w:rPr>
          <w:i/>
        </w:rPr>
        <w:t>Benefits to community</w:t>
      </w:r>
    </w:p>
    <w:p w14:paraId="656B0B23" w14:textId="77777777" w:rsidR="00CD0477" w:rsidRDefault="00CD0477" w:rsidP="00CD0477">
      <w:r>
        <w:t>Actions that reduce PM</w:t>
      </w:r>
      <w:r w:rsidR="0012345C" w:rsidRPr="000E7C5E">
        <w:rPr>
          <w:vertAlign w:val="subscript"/>
        </w:rPr>
        <w:t>2.5</w:t>
      </w:r>
      <w:r>
        <w:t xml:space="preserve"> pollution result in improved health outcomes. Benefits have been estimate</w:t>
      </w:r>
      <w:r w:rsidR="000E3B50">
        <w:t>d</w:t>
      </w:r>
      <w:r>
        <w:t xml:space="preserve"> using the following assumptions</w:t>
      </w:r>
      <w:r w:rsidR="00AB7318">
        <w:t>:</w:t>
      </w:r>
      <w:r>
        <w:rPr>
          <w:rStyle w:val="FootnoteReference"/>
        </w:rPr>
        <w:footnoteReference w:id="231"/>
      </w:r>
    </w:p>
    <w:p w14:paraId="656B0B24" w14:textId="77777777" w:rsidR="003C0D4B" w:rsidRDefault="003C0D4B" w:rsidP="00037AF8">
      <w:pPr>
        <w:pStyle w:val="ListParagraph"/>
        <w:numPr>
          <w:ilvl w:val="0"/>
          <w:numId w:val="393"/>
        </w:numPr>
      </w:pPr>
      <w:r>
        <w:t>Health costs related to PM</w:t>
      </w:r>
      <w:r w:rsidRPr="00C95E3F">
        <w:rPr>
          <w:vertAlign w:val="subscript"/>
        </w:rPr>
        <w:t>2.5</w:t>
      </w:r>
      <w:r>
        <w:t xml:space="preserve"> are estimated to be </w:t>
      </w:r>
      <w:r w:rsidRPr="00802F2F">
        <w:t>$180,000 per tonne</w:t>
      </w:r>
      <w:r>
        <w:t xml:space="preserve"> of emissions in the Port Philip Air Quality Control Region (PPAQCR) and </w:t>
      </w:r>
      <w:r w:rsidRPr="00802F2F">
        <w:t>$50,000 per tonne</w:t>
      </w:r>
      <w:r>
        <w:t xml:space="preserve"> of emissions in the rest of Victoria (ROV).</w:t>
      </w:r>
    </w:p>
    <w:p w14:paraId="656B0B25" w14:textId="77777777" w:rsidR="003C0D4B" w:rsidRDefault="00201183" w:rsidP="00037AF8">
      <w:pPr>
        <w:pStyle w:val="ListParagraph"/>
        <w:numPr>
          <w:ilvl w:val="0"/>
          <w:numId w:val="393"/>
        </w:numPr>
      </w:pPr>
      <w:r>
        <w:t xml:space="preserve">There are an estimated </w:t>
      </w:r>
      <w:r w:rsidRPr="00802F2F">
        <w:t>96,902 wood heaters</w:t>
      </w:r>
      <w:r>
        <w:t xml:space="preserve"> in PPAQCR and </w:t>
      </w:r>
      <w:r w:rsidRPr="00802F2F">
        <w:t>142,800</w:t>
      </w:r>
      <w:r>
        <w:t xml:space="preserve"> wood heaters across the ROV. </w:t>
      </w:r>
    </w:p>
    <w:p w14:paraId="656B0B26" w14:textId="77777777" w:rsidR="003C0D4B" w:rsidRDefault="00201183" w:rsidP="00037AF8">
      <w:pPr>
        <w:pStyle w:val="ListParagraph"/>
        <w:numPr>
          <w:ilvl w:val="0"/>
          <w:numId w:val="393"/>
        </w:numPr>
      </w:pPr>
      <w:r>
        <w:t>It is estimated that</w:t>
      </w:r>
      <w:r w:rsidR="003C0D4B">
        <w:t>, each year,</w:t>
      </w:r>
      <w:r>
        <w:t xml:space="preserve"> </w:t>
      </w:r>
      <w:r w:rsidRPr="00802F2F">
        <w:t>approximately 1% of total</w:t>
      </w:r>
      <w:r>
        <w:t xml:space="preserve"> wood heaters </w:t>
      </w:r>
      <w:r w:rsidR="003C0D4B">
        <w:t xml:space="preserve">are replaced with new heaters in the </w:t>
      </w:r>
      <w:r>
        <w:t>PPAQCR, and</w:t>
      </w:r>
      <w:r w:rsidR="003C0D4B">
        <w:t xml:space="preserve"> approximately </w:t>
      </w:r>
      <w:r w:rsidRPr="00802F2F">
        <w:t>2.6</w:t>
      </w:r>
      <w:r>
        <w:t xml:space="preserve">% of wood heaters </w:t>
      </w:r>
      <w:r w:rsidR="003C0D4B">
        <w:t xml:space="preserve">are replaced each year </w:t>
      </w:r>
      <w:r>
        <w:t xml:space="preserve">in ROV. </w:t>
      </w:r>
    </w:p>
    <w:p w14:paraId="656B0B27" w14:textId="77777777" w:rsidR="00CD0477" w:rsidRDefault="00CD0477" w:rsidP="00037AF8">
      <w:pPr>
        <w:pStyle w:val="ListParagraph"/>
        <w:numPr>
          <w:ilvl w:val="0"/>
          <w:numId w:val="393"/>
        </w:numPr>
      </w:pPr>
      <w:r>
        <w:t xml:space="preserve">Growth in </w:t>
      </w:r>
      <w:r w:rsidRPr="00802F2F">
        <w:t>new heaters is forecast to be low at 0.4% per annum in PPAQCR and 0.8% per annum in ROV.</w:t>
      </w:r>
      <w:r w:rsidRPr="00802F2F">
        <w:rPr>
          <w:rStyle w:val="FootnoteReference"/>
        </w:rPr>
        <w:t xml:space="preserve"> </w:t>
      </w:r>
      <w:r w:rsidRPr="00802F2F">
        <w:rPr>
          <w:rStyle w:val="FootnoteReference"/>
        </w:rPr>
        <w:footnoteReference w:id="232"/>
      </w:r>
      <w:r w:rsidRPr="00802F2F">
        <w:t xml:space="preserve"> The standard only captures new wood heaters being purchased in Victoria, with almost 14,000 new wood heaters forecast in PPAQCR and over 51,000 new wood heaters in ROV over the 10 year horizon.</w:t>
      </w:r>
    </w:p>
    <w:p w14:paraId="656B0B28" w14:textId="76100015" w:rsidR="00CD0477" w:rsidRPr="00802F2F" w:rsidRDefault="00CD0477" w:rsidP="00037AF8">
      <w:pPr>
        <w:pStyle w:val="ListParagraph"/>
        <w:numPr>
          <w:ilvl w:val="0"/>
          <w:numId w:val="393"/>
        </w:numPr>
      </w:pPr>
      <w:r>
        <w:t>W</w:t>
      </w:r>
      <w:r w:rsidRPr="00802F2F">
        <w:t xml:space="preserve">ood heaters that </w:t>
      </w:r>
      <w:r w:rsidR="00C93A18">
        <w:t xml:space="preserve">do not meet the requirements of the standards </w:t>
      </w:r>
      <w:r>
        <w:t xml:space="preserve">have an </w:t>
      </w:r>
      <w:r w:rsidRPr="00802F2F">
        <w:t xml:space="preserve">emissions factor of </w:t>
      </w:r>
      <w:r w:rsidR="004C03A5" w:rsidRPr="00802F2F">
        <w:t>1</w:t>
      </w:r>
      <w:r w:rsidR="004C03A5">
        <w:t>1</w:t>
      </w:r>
      <w:r w:rsidRPr="00802F2F">
        <w:t>.</w:t>
      </w:r>
      <w:r w:rsidR="006254A3">
        <w:t>9</w:t>
      </w:r>
      <w:r w:rsidRPr="00802F2F">
        <w:t xml:space="preserve"> g/kg of wood used, compared to the 2019 emissions factor standard of 2.6 g/kg of wood</w:t>
      </w:r>
      <w:r>
        <w:t>.</w:t>
      </w:r>
    </w:p>
    <w:p w14:paraId="656B0B29" w14:textId="77777777" w:rsidR="00CD0477" w:rsidRDefault="00CD0477" w:rsidP="00CD0477">
      <w:r>
        <w:t>I</w:t>
      </w:r>
      <w:r w:rsidRPr="00802F2F">
        <w:t xml:space="preserve">n the absence of regulation, </w:t>
      </w:r>
      <w:r>
        <w:t xml:space="preserve">this analysis assumes that </w:t>
      </w:r>
      <w:r w:rsidRPr="00802F2F">
        <w:t xml:space="preserve">approximately </w:t>
      </w:r>
      <w:r w:rsidR="006254A3">
        <w:t>25</w:t>
      </w:r>
      <w:r w:rsidRPr="00802F2F">
        <w:t xml:space="preserve">% of wood heaters </w:t>
      </w:r>
      <w:r>
        <w:t xml:space="preserve">installed in Victoria </w:t>
      </w:r>
      <w:r w:rsidRPr="00802F2F">
        <w:t xml:space="preserve">would not </w:t>
      </w:r>
      <w:r>
        <w:t xml:space="preserve">comply with AS/NZS 4012 and AS/NZS 4013. </w:t>
      </w:r>
      <w:r w:rsidR="00BB20E0">
        <w:t xml:space="preserve">Since </w:t>
      </w:r>
      <w:r w:rsidR="00AB7318">
        <w:t>no data is available to verify this</w:t>
      </w:r>
      <w:r w:rsidR="00BB20E0">
        <w:t xml:space="preserve"> assumption, the CBA results have been tested using alternative assumptions in the sensitivity analysis (in </w:t>
      </w:r>
      <w:r w:rsidR="00BB20E0">
        <w:rPr>
          <w:color w:val="2B579A"/>
          <w:shd w:val="clear" w:color="auto" w:fill="E6E6E6"/>
        </w:rPr>
        <w:fldChar w:fldCharType="begin"/>
      </w:r>
      <w:r w:rsidR="00BB20E0">
        <w:instrText xml:space="preserve"> REF _Ref9924605 \h </w:instrText>
      </w:r>
      <w:r w:rsidR="00BB20E0">
        <w:rPr>
          <w:color w:val="2B579A"/>
          <w:shd w:val="clear" w:color="auto" w:fill="E6E6E6"/>
        </w:rPr>
      </w:r>
      <w:r w:rsidR="00BB20E0">
        <w:rPr>
          <w:color w:val="2B579A"/>
          <w:shd w:val="clear" w:color="auto" w:fill="E6E6E6"/>
        </w:rPr>
        <w:fldChar w:fldCharType="separate"/>
      </w:r>
      <w:r w:rsidR="00B11C1E">
        <w:t xml:space="preserve">Table </w:t>
      </w:r>
      <w:r w:rsidR="00B11C1E">
        <w:rPr>
          <w:noProof/>
        </w:rPr>
        <w:t>12</w:t>
      </w:r>
      <w:r w:rsidR="00B11C1E">
        <w:noBreakHyphen/>
      </w:r>
      <w:r w:rsidR="00B11C1E">
        <w:rPr>
          <w:noProof/>
        </w:rPr>
        <w:t>4</w:t>
      </w:r>
      <w:r w:rsidR="00BB20E0">
        <w:rPr>
          <w:color w:val="2B579A"/>
          <w:shd w:val="clear" w:color="auto" w:fill="E6E6E6"/>
        </w:rPr>
        <w:fldChar w:fldCharType="end"/>
      </w:r>
      <w:r w:rsidR="00BB20E0">
        <w:t xml:space="preserve"> below). </w:t>
      </w:r>
    </w:p>
    <w:p w14:paraId="656B0B2A" w14:textId="77777777" w:rsidR="00CD0477" w:rsidRDefault="00CD0477" w:rsidP="00CD0477">
      <w:r>
        <w:t xml:space="preserve">The </w:t>
      </w:r>
      <w:r w:rsidRPr="002854DC">
        <w:t xml:space="preserve">incremental impact of wood heaters supplied in Victoria </w:t>
      </w:r>
      <w:r w:rsidR="000E3B50">
        <w:t>complying</w:t>
      </w:r>
      <w:r w:rsidRPr="002854DC">
        <w:t xml:space="preserve"> with AS/NZS 4012 and AS/NZS has an estimated benefit of $</w:t>
      </w:r>
      <w:r w:rsidR="006254A3">
        <w:t>11.5</w:t>
      </w:r>
      <w:r w:rsidR="006254A3" w:rsidRPr="002854DC">
        <w:t xml:space="preserve"> </w:t>
      </w:r>
      <w:r w:rsidRPr="002854DC">
        <w:t>million in PPAQCR and $</w:t>
      </w:r>
      <w:r w:rsidR="006254A3">
        <w:t>13.8</w:t>
      </w:r>
      <w:r w:rsidR="006254A3" w:rsidRPr="002854DC">
        <w:t xml:space="preserve"> </w:t>
      </w:r>
      <w:r w:rsidRPr="002854DC">
        <w:t>million in ROV from avoided emissions, in present value terms, over the ten year period. Therefore the present value of health benefits from avoided emissions is approximately $</w:t>
      </w:r>
      <w:r w:rsidR="006254A3">
        <w:t>25.3</w:t>
      </w:r>
      <w:r w:rsidR="006254A3" w:rsidRPr="002854DC">
        <w:t xml:space="preserve"> </w:t>
      </w:r>
      <w:r w:rsidRPr="002854DC">
        <w:t>million, accrued over the 10-year period.</w:t>
      </w:r>
    </w:p>
    <w:p w14:paraId="656B0B2B" w14:textId="77777777" w:rsidR="003C0D4B" w:rsidRDefault="00A01727" w:rsidP="00000ADA">
      <w:r>
        <w:t xml:space="preserve">There are also other benefits </w:t>
      </w:r>
      <w:r w:rsidR="003C0D4B">
        <w:t xml:space="preserve">associated with </w:t>
      </w:r>
      <w:r>
        <w:t xml:space="preserve">requiring businesses to follow a standard that could not be reasonably </w:t>
      </w:r>
      <w:r w:rsidR="00C12145">
        <w:t>quantified</w:t>
      </w:r>
      <w:r>
        <w:t xml:space="preserve">. </w:t>
      </w:r>
      <w:r w:rsidR="006923F6">
        <w:t xml:space="preserve">Due to the issues resulting from the </w:t>
      </w:r>
      <w:r>
        <w:t>Mutual Recognition Act 1992 (Commonwealth)</w:t>
      </w:r>
      <w:r w:rsidR="006923F6">
        <w:t xml:space="preserve">, a required standard ensures that health risks from wood heater emissions </w:t>
      </w:r>
      <w:r w:rsidR="003C0D4B">
        <w:t xml:space="preserve">would </w:t>
      </w:r>
      <w:r w:rsidR="006923F6">
        <w:t xml:space="preserve">not </w:t>
      </w:r>
      <w:r w:rsidR="003C0D4B">
        <w:t xml:space="preserve">be </w:t>
      </w:r>
      <w:r w:rsidR="006923F6">
        <w:t xml:space="preserve">compromised in other </w:t>
      </w:r>
      <w:r w:rsidR="000E3B50">
        <w:t>States</w:t>
      </w:r>
      <w:r w:rsidR="006923F6">
        <w:t xml:space="preserve">. </w:t>
      </w:r>
    </w:p>
    <w:p w14:paraId="656B0B2C" w14:textId="77777777" w:rsidR="00000ADA" w:rsidRPr="00000ADA" w:rsidRDefault="00000ADA" w:rsidP="00000ADA">
      <w:r>
        <w:t xml:space="preserve">Moreover, there may be additional benefits to vegetation and ecosystems, visual amenity and global warming from </w:t>
      </w:r>
      <w:r w:rsidR="003C0D4B">
        <w:t xml:space="preserve">improving </w:t>
      </w:r>
      <w:r w:rsidR="000E3B50">
        <w:t xml:space="preserve">the </w:t>
      </w:r>
      <w:r w:rsidR="003C0D4B">
        <w:t xml:space="preserve">efficiency of solid fuel heaters and reducing </w:t>
      </w:r>
      <w:r>
        <w:t xml:space="preserve">particulate matter emissions. Therefore, the total present value </w:t>
      </w:r>
      <w:r w:rsidR="00C5401D">
        <w:t xml:space="preserve">of </w:t>
      </w:r>
      <w:r>
        <w:t xml:space="preserve">benefits </w:t>
      </w:r>
      <w:r w:rsidR="00CD0477">
        <w:t>is likely to</w:t>
      </w:r>
      <w:r>
        <w:t xml:space="preserve"> exceed the estimated $</w:t>
      </w:r>
      <w:r w:rsidR="006254A3">
        <w:t xml:space="preserve">25.3 </w:t>
      </w:r>
      <w:r>
        <w:t>million from implementing prescribed standards in regulation.</w:t>
      </w:r>
      <w:r w:rsidR="00CD0477">
        <w:t xml:space="preserve"> </w:t>
      </w:r>
    </w:p>
    <w:p w14:paraId="656B0B2D" w14:textId="77777777" w:rsidR="00201183" w:rsidRDefault="00201183" w:rsidP="000E7C5E">
      <w:pPr>
        <w:pStyle w:val="Heading3un-numbered"/>
      </w:pPr>
      <w:r>
        <w:t>CBA of option 1</w:t>
      </w:r>
    </w:p>
    <w:p w14:paraId="656B0B2E" w14:textId="77777777" w:rsidR="00BD58F3" w:rsidRPr="00BD58F3" w:rsidRDefault="00BD58F3" w:rsidP="00BD58F3">
      <w:r w:rsidRPr="00BD58F3">
        <w:t xml:space="preserve">Based on the analysis above, </w:t>
      </w:r>
      <w:r w:rsidR="00CD0477">
        <w:t>O</w:t>
      </w:r>
      <w:r w:rsidR="00CD0477" w:rsidRPr="00BD58F3">
        <w:t>ption</w:t>
      </w:r>
      <w:r w:rsidRPr="00BD58F3">
        <w:t xml:space="preserve"> 1 results in a net present value of $</w:t>
      </w:r>
      <w:r w:rsidR="00CD0477">
        <w:t>2</w:t>
      </w:r>
      <w:r w:rsidR="00DE27C2">
        <w:t>0</w:t>
      </w:r>
      <w:r w:rsidR="00CD0477">
        <w:t>.9</w:t>
      </w:r>
      <w:r w:rsidRPr="002854DC">
        <w:t xml:space="preserve"> million</w:t>
      </w:r>
      <w:r>
        <w:t xml:space="preserve"> </w:t>
      </w:r>
      <w:r w:rsidR="00C12145">
        <w:t xml:space="preserve">and BCR of </w:t>
      </w:r>
      <w:r w:rsidR="00DE27C2">
        <w:t>5.8</w:t>
      </w:r>
      <w:r w:rsidR="00C12145">
        <w:t xml:space="preserve"> </w:t>
      </w:r>
      <w:r>
        <w:t>over the 10</w:t>
      </w:r>
      <w:r w:rsidR="00CD0477">
        <w:t>-</w:t>
      </w:r>
      <w:r>
        <w:t xml:space="preserve">year period. </w:t>
      </w:r>
      <w:r w:rsidR="00C12145">
        <w:t xml:space="preserve">Impacts on stakeholders are summarised in </w:t>
      </w:r>
      <w:r w:rsidR="003C0D4B">
        <w:t xml:space="preserve">the </w:t>
      </w:r>
      <w:r w:rsidR="00C12145">
        <w:t xml:space="preserve">table below. It does not include unquantified benefits </w:t>
      </w:r>
      <w:r w:rsidR="00373D5E">
        <w:t>of improved health outcomes</w:t>
      </w:r>
      <w:r w:rsidR="00C12145">
        <w:t xml:space="preserve">. </w:t>
      </w:r>
      <w:r w:rsidR="00BB20E0">
        <w:t>All costs have been quantified.</w:t>
      </w:r>
    </w:p>
    <w:p w14:paraId="656B0B2F" w14:textId="77777777" w:rsidR="009C142C" w:rsidRPr="009C142C" w:rsidRDefault="00C66EDD" w:rsidP="009C142C">
      <w:pPr>
        <w:pStyle w:val="Caption"/>
      </w:pPr>
      <w:r>
        <w:t xml:space="preserve">Table </w:t>
      </w:r>
      <w:r w:rsidR="00DC24EE">
        <w:rPr>
          <w:color w:val="2B579A"/>
          <w:shd w:val="clear" w:color="auto" w:fill="E6E6E6"/>
        </w:rPr>
        <w:fldChar w:fldCharType="begin"/>
      </w:r>
      <w:r w:rsidR="00DC24EE">
        <w:instrText xml:space="preserve"> STYLEREF 1 \s </w:instrText>
      </w:r>
      <w:r w:rsidR="00DC24EE">
        <w:rPr>
          <w:color w:val="2B579A"/>
          <w:shd w:val="clear" w:color="auto" w:fill="E6E6E6"/>
        </w:rPr>
        <w:fldChar w:fldCharType="separate"/>
      </w:r>
      <w:r w:rsidR="00B11C1E">
        <w:rPr>
          <w:noProof/>
        </w:rPr>
        <w:t>12</w:t>
      </w:r>
      <w:r w:rsidR="00DC24EE">
        <w:rPr>
          <w:color w:val="2B579A"/>
          <w:shd w:val="clear" w:color="auto" w:fill="E6E6E6"/>
        </w:rPr>
        <w:fldChar w:fldCharType="end"/>
      </w:r>
      <w:r w:rsidR="00DC24EE">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3</w:t>
      </w:r>
      <w:r w:rsidR="00997CFA">
        <w:rPr>
          <w:color w:val="2B579A"/>
          <w:shd w:val="clear" w:color="auto" w:fill="E6E6E6"/>
        </w:rPr>
        <w:fldChar w:fldCharType="end"/>
      </w:r>
      <w:r>
        <w:t xml:space="preserve"> Option 1 CBA</w:t>
      </w:r>
      <w:r w:rsidR="009518B4">
        <w:t xml:space="preserve"> for wood heater options</w:t>
      </w:r>
      <w:r w:rsidR="00A91C54">
        <w:t xml:space="preserve"> (all values in present value terms, FY 2020 to 2030). </w:t>
      </w:r>
    </w:p>
    <w:tbl>
      <w:tblPr>
        <w:tblStyle w:val="Deloittetable"/>
        <w:tblW w:w="5000" w:type="pct"/>
        <w:tblLayout w:type="fixed"/>
        <w:tblLook w:val="04A0" w:firstRow="1" w:lastRow="0" w:firstColumn="1" w:lastColumn="0" w:noHBand="0" w:noVBand="1"/>
      </w:tblPr>
      <w:tblGrid>
        <w:gridCol w:w="7697"/>
        <w:gridCol w:w="1658"/>
      </w:tblGrid>
      <w:tr w:rsidR="00A91C54" w:rsidRPr="00040A06" w14:paraId="656B0B32" w14:textId="77777777" w:rsidTr="00037AF8">
        <w:trPr>
          <w:cnfStyle w:val="100000000000" w:firstRow="1" w:lastRow="0" w:firstColumn="0" w:lastColumn="0" w:oddVBand="0" w:evenVBand="0" w:oddHBand="0" w:evenHBand="0" w:firstRowFirstColumn="0" w:firstRowLastColumn="0" w:lastRowFirstColumn="0" w:lastRowLastColumn="0"/>
          <w:trHeight w:val="244"/>
        </w:trPr>
        <w:tc>
          <w:tcPr>
            <w:tcW w:w="4114" w:type="pct"/>
            <w:tcBorders>
              <w:bottom w:val="single" w:sz="18" w:space="0" w:color="000000" w:themeColor="text1"/>
            </w:tcBorders>
          </w:tcPr>
          <w:p w14:paraId="656B0B30" w14:textId="77777777" w:rsidR="00A91C54" w:rsidRPr="00040A06" w:rsidRDefault="00A91C54" w:rsidP="007729F0">
            <w:pPr>
              <w:rPr>
                <w:b/>
                <w:sz w:val="18"/>
              </w:rPr>
            </w:pPr>
            <w:r w:rsidRPr="00040A06">
              <w:rPr>
                <w:b/>
                <w:sz w:val="18"/>
              </w:rPr>
              <w:t>Criterion</w:t>
            </w:r>
          </w:p>
        </w:tc>
        <w:tc>
          <w:tcPr>
            <w:tcW w:w="886" w:type="pct"/>
            <w:tcBorders>
              <w:bottom w:val="single" w:sz="18" w:space="0" w:color="000000" w:themeColor="text1"/>
            </w:tcBorders>
          </w:tcPr>
          <w:p w14:paraId="656B0B31" w14:textId="77777777" w:rsidR="00A91C54" w:rsidRPr="00040A06" w:rsidRDefault="00A91C54" w:rsidP="00AB166C">
            <w:pPr>
              <w:ind w:right="57"/>
              <w:jc w:val="right"/>
              <w:rPr>
                <w:b/>
                <w:sz w:val="18"/>
              </w:rPr>
            </w:pPr>
            <w:r>
              <w:rPr>
                <w:b/>
                <w:sz w:val="18"/>
              </w:rPr>
              <w:t>$ million</w:t>
            </w:r>
          </w:p>
        </w:tc>
      </w:tr>
      <w:tr w:rsidR="00A91C54" w:rsidRPr="00040A06" w14:paraId="656B0B35" w14:textId="77777777" w:rsidTr="00037AF8">
        <w:trPr>
          <w:trHeight w:val="206"/>
        </w:trPr>
        <w:tc>
          <w:tcPr>
            <w:tcW w:w="4114" w:type="pct"/>
            <w:tcBorders>
              <w:top w:val="single" w:sz="18" w:space="0" w:color="000000" w:themeColor="text1"/>
            </w:tcBorders>
          </w:tcPr>
          <w:p w14:paraId="656B0B33" w14:textId="77777777" w:rsidR="00A91C54" w:rsidRPr="00040A06" w:rsidRDefault="00A91C54" w:rsidP="00CD6452">
            <w:pPr>
              <w:spacing w:after="0" w:line="240" w:lineRule="auto"/>
              <w:rPr>
                <w:b/>
                <w:sz w:val="18"/>
              </w:rPr>
            </w:pPr>
            <w:r w:rsidRPr="00040A06">
              <w:rPr>
                <w:b/>
                <w:sz w:val="18"/>
              </w:rPr>
              <w:t>Benefits</w:t>
            </w:r>
          </w:p>
        </w:tc>
        <w:tc>
          <w:tcPr>
            <w:tcW w:w="886" w:type="pct"/>
            <w:tcBorders>
              <w:top w:val="single" w:sz="18" w:space="0" w:color="000000" w:themeColor="text1"/>
            </w:tcBorders>
          </w:tcPr>
          <w:p w14:paraId="656B0B34" w14:textId="77777777" w:rsidR="00A91C54" w:rsidRPr="00040A06" w:rsidRDefault="00A91C54" w:rsidP="00AB166C">
            <w:pPr>
              <w:spacing w:after="0" w:line="240" w:lineRule="auto"/>
              <w:ind w:right="57"/>
              <w:jc w:val="right"/>
              <w:rPr>
                <w:sz w:val="18"/>
              </w:rPr>
            </w:pPr>
          </w:p>
        </w:tc>
      </w:tr>
      <w:tr w:rsidR="00A91C54" w:rsidRPr="00040A06" w14:paraId="656B0B38" w14:textId="77777777" w:rsidTr="00037AF8">
        <w:trPr>
          <w:trHeight w:val="235"/>
        </w:trPr>
        <w:tc>
          <w:tcPr>
            <w:tcW w:w="4114" w:type="pct"/>
            <w:vAlign w:val="center"/>
          </w:tcPr>
          <w:p w14:paraId="656B0B36" w14:textId="77777777" w:rsidR="00A91C54" w:rsidRPr="00040A06" w:rsidRDefault="00A91C54" w:rsidP="00CD6452">
            <w:pPr>
              <w:spacing w:after="0" w:line="240" w:lineRule="auto"/>
              <w:rPr>
                <w:sz w:val="18"/>
              </w:rPr>
            </w:pPr>
            <w:r>
              <w:rPr>
                <w:rFonts w:eastAsia="Times New Roman" w:cs="Segoe UI Light"/>
                <w:color w:val="000000"/>
                <w:szCs w:val="20"/>
                <w:lang w:eastAsia="en-AU"/>
              </w:rPr>
              <w:t>B</w:t>
            </w:r>
            <w:r w:rsidRPr="00000ADA">
              <w:rPr>
                <w:rFonts w:eastAsia="Times New Roman" w:cs="Segoe UI Light"/>
                <w:color w:val="000000"/>
                <w:szCs w:val="20"/>
                <w:lang w:eastAsia="en-AU"/>
              </w:rPr>
              <w:t xml:space="preserve">enefits to government relative to </w:t>
            </w:r>
            <w:r>
              <w:rPr>
                <w:rFonts w:eastAsia="Times New Roman" w:cs="Segoe UI Light"/>
                <w:color w:val="000000"/>
                <w:szCs w:val="20"/>
                <w:lang w:eastAsia="en-AU"/>
              </w:rPr>
              <w:t>Base Case</w:t>
            </w:r>
          </w:p>
        </w:tc>
        <w:tc>
          <w:tcPr>
            <w:tcW w:w="886" w:type="pct"/>
          </w:tcPr>
          <w:p w14:paraId="656B0B37" w14:textId="77777777" w:rsidR="00A91C54" w:rsidRPr="00040A06" w:rsidRDefault="00A91C54" w:rsidP="00AB166C">
            <w:pPr>
              <w:spacing w:after="0" w:line="240" w:lineRule="auto"/>
              <w:ind w:right="57"/>
              <w:jc w:val="right"/>
              <w:rPr>
                <w:sz w:val="18"/>
              </w:rPr>
            </w:pPr>
            <w:r w:rsidRPr="00E56BF5">
              <w:t xml:space="preserve"> -   </w:t>
            </w:r>
          </w:p>
        </w:tc>
      </w:tr>
      <w:tr w:rsidR="00A91C54" w:rsidRPr="00040A06" w14:paraId="656B0B3B" w14:textId="77777777" w:rsidTr="00037AF8">
        <w:trPr>
          <w:trHeight w:val="235"/>
        </w:trPr>
        <w:tc>
          <w:tcPr>
            <w:tcW w:w="4114" w:type="pct"/>
            <w:vAlign w:val="center"/>
          </w:tcPr>
          <w:p w14:paraId="656B0B39" w14:textId="77777777" w:rsidR="00A91C54" w:rsidRPr="00040A06" w:rsidRDefault="00A91C54" w:rsidP="00CD6452">
            <w:pPr>
              <w:spacing w:after="0" w:line="240" w:lineRule="auto"/>
              <w:rPr>
                <w:sz w:val="18"/>
              </w:rPr>
            </w:pPr>
            <w:r>
              <w:rPr>
                <w:rFonts w:eastAsia="Times New Roman" w:cs="Segoe UI Light"/>
                <w:color w:val="000000"/>
                <w:szCs w:val="20"/>
                <w:lang w:eastAsia="en-AU"/>
              </w:rPr>
              <w:t>B</w:t>
            </w:r>
            <w:r w:rsidRPr="00000ADA">
              <w:rPr>
                <w:rFonts w:eastAsia="Times New Roman" w:cs="Segoe UI Light"/>
                <w:color w:val="000000"/>
                <w:szCs w:val="20"/>
                <w:lang w:eastAsia="en-AU"/>
              </w:rPr>
              <w:t xml:space="preserve">enefits to business relative to </w:t>
            </w:r>
            <w:r>
              <w:rPr>
                <w:rFonts w:eastAsia="Times New Roman" w:cs="Segoe UI Light"/>
                <w:color w:val="000000"/>
                <w:szCs w:val="20"/>
                <w:lang w:eastAsia="en-AU"/>
              </w:rPr>
              <w:t>Base Case</w:t>
            </w:r>
          </w:p>
        </w:tc>
        <w:tc>
          <w:tcPr>
            <w:tcW w:w="886" w:type="pct"/>
          </w:tcPr>
          <w:p w14:paraId="656B0B3A" w14:textId="77777777" w:rsidR="00A91C54" w:rsidRPr="00040A06" w:rsidRDefault="00A91C54" w:rsidP="00AB166C">
            <w:pPr>
              <w:spacing w:after="0" w:line="240" w:lineRule="auto"/>
              <w:ind w:right="57"/>
              <w:jc w:val="right"/>
              <w:rPr>
                <w:sz w:val="18"/>
              </w:rPr>
            </w:pPr>
            <w:r w:rsidRPr="00E56BF5">
              <w:t xml:space="preserve"> -   </w:t>
            </w:r>
          </w:p>
        </w:tc>
      </w:tr>
      <w:tr w:rsidR="00A91C54" w:rsidRPr="00040A06" w14:paraId="656B0B3E" w14:textId="77777777" w:rsidTr="00037AF8">
        <w:trPr>
          <w:trHeight w:val="235"/>
        </w:trPr>
        <w:tc>
          <w:tcPr>
            <w:tcW w:w="4114" w:type="pct"/>
            <w:tcBorders>
              <w:bottom w:val="single" w:sz="4" w:space="0" w:color="000000" w:themeColor="text1"/>
            </w:tcBorders>
            <w:vAlign w:val="center"/>
          </w:tcPr>
          <w:p w14:paraId="656B0B3C" w14:textId="77777777" w:rsidR="00A91C54" w:rsidRPr="00040A06" w:rsidRDefault="00A91C54" w:rsidP="00CD6452">
            <w:pPr>
              <w:spacing w:after="0" w:line="240" w:lineRule="auto"/>
              <w:rPr>
                <w:sz w:val="18"/>
              </w:rPr>
            </w:pPr>
            <w:r>
              <w:rPr>
                <w:rFonts w:eastAsia="Times New Roman" w:cs="Segoe UI Light"/>
                <w:color w:val="000000"/>
                <w:szCs w:val="20"/>
                <w:lang w:eastAsia="en-AU"/>
              </w:rPr>
              <w:t>B</w:t>
            </w:r>
            <w:r w:rsidRPr="00000ADA">
              <w:rPr>
                <w:rFonts w:eastAsia="Times New Roman" w:cs="Segoe UI Light"/>
                <w:color w:val="000000"/>
                <w:szCs w:val="20"/>
                <w:lang w:eastAsia="en-AU"/>
              </w:rPr>
              <w:t xml:space="preserve">enefits to community relative to </w:t>
            </w:r>
            <w:r>
              <w:rPr>
                <w:rFonts w:eastAsia="Times New Roman" w:cs="Segoe UI Light"/>
                <w:color w:val="000000"/>
                <w:szCs w:val="20"/>
                <w:lang w:eastAsia="en-AU"/>
              </w:rPr>
              <w:t>Base Case</w:t>
            </w:r>
          </w:p>
        </w:tc>
        <w:tc>
          <w:tcPr>
            <w:tcW w:w="886" w:type="pct"/>
            <w:tcBorders>
              <w:bottom w:val="single" w:sz="4" w:space="0" w:color="000000" w:themeColor="text1"/>
            </w:tcBorders>
          </w:tcPr>
          <w:p w14:paraId="656B0B3D" w14:textId="77777777" w:rsidR="00A91C54" w:rsidRPr="00040A06" w:rsidRDefault="00A91C54" w:rsidP="00AB166C">
            <w:pPr>
              <w:spacing w:after="0" w:line="240" w:lineRule="auto"/>
              <w:ind w:right="57"/>
              <w:jc w:val="right"/>
              <w:rPr>
                <w:sz w:val="18"/>
              </w:rPr>
            </w:pPr>
            <w:r w:rsidRPr="00E56BF5">
              <w:t xml:space="preserve">  </w:t>
            </w:r>
            <w:r>
              <w:t>25.3</w:t>
            </w:r>
            <w:r w:rsidRPr="00E56BF5">
              <w:t xml:space="preserve"> </w:t>
            </w:r>
          </w:p>
        </w:tc>
      </w:tr>
      <w:tr w:rsidR="00A91C54" w:rsidRPr="00040A06" w14:paraId="656B0B41" w14:textId="77777777" w:rsidTr="00037AF8">
        <w:trPr>
          <w:trHeight w:val="225"/>
        </w:trPr>
        <w:tc>
          <w:tcPr>
            <w:tcW w:w="4114" w:type="pct"/>
            <w:tcBorders>
              <w:top w:val="single" w:sz="4" w:space="0" w:color="000000" w:themeColor="text1"/>
              <w:bottom w:val="single" w:sz="18" w:space="0" w:color="000000" w:themeColor="text1"/>
            </w:tcBorders>
            <w:vAlign w:val="center"/>
          </w:tcPr>
          <w:p w14:paraId="656B0B3F" w14:textId="77777777" w:rsidR="00A91C54" w:rsidRPr="00040A06" w:rsidRDefault="00A91C54" w:rsidP="00CD6452">
            <w:pPr>
              <w:spacing w:after="0" w:line="240" w:lineRule="auto"/>
              <w:rPr>
                <w:sz w:val="18"/>
              </w:rPr>
            </w:pPr>
            <w:r w:rsidRPr="00000ADA">
              <w:rPr>
                <w:rFonts w:eastAsia="Times New Roman" w:cs="Segoe UI Light"/>
                <w:b/>
                <w:bCs/>
                <w:color w:val="000000"/>
                <w:szCs w:val="20"/>
                <w:lang w:eastAsia="en-AU"/>
              </w:rPr>
              <w:t xml:space="preserve">Present value </w:t>
            </w:r>
            <w:r>
              <w:rPr>
                <w:rFonts w:eastAsia="Times New Roman" w:cs="Segoe UI Light"/>
                <w:b/>
                <w:bCs/>
                <w:color w:val="000000"/>
                <w:szCs w:val="20"/>
                <w:lang w:eastAsia="en-AU"/>
              </w:rPr>
              <w:t xml:space="preserve">of </w:t>
            </w:r>
            <w:r w:rsidRPr="00000ADA">
              <w:rPr>
                <w:rFonts w:eastAsia="Times New Roman" w:cs="Segoe UI Light"/>
                <w:b/>
                <w:bCs/>
                <w:color w:val="000000"/>
                <w:szCs w:val="20"/>
                <w:lang w:eastAsia="en-AU"/>
              </w:rPr>
              <w:t xml:space="preserve">total benefits relative to </w:t>
            </w:r>
            <w:r>
              <w:rPr>
                <w:rFonts w:eastAsia="Times New Roman" w:cs="Segoe UI Light"/>
                <w:b/>
                <w:bCs/>
                <w:color w:val="000000"/>
                <w:szCs w:val="20"/>
                <w:lang w:eastAsia="en-AU"/>
              </w:rPr>
              <w:t>Base Case</w:t>
            </w:r>
          </w:p>
        </w:tc>
        <w:tc>
          <w:tcPr>
            <w:tcW w:w="886" w:type="pct"/>
            <w:tcBorders>
              <w:top w:val="single" w:sz="4" w:space="0" w:color="000000" w:themeColor="text1"/>
              <w:bottom w:val="single" w:sz="18" w:space="0" w:color="000000" w:themeColor="text1"/>
            </w:tcBorders>
          </w:tcPr>
          <w:p w14:paraId="656B0B40" w14:textId="77777777" w:rsidR="00A91C54" w:rsidRPr="00040A06" w:rsidRDefault="00A91C54" w:rsidP="00AB166C">
            <w:pPr>
              <w:spacing w:after="0" w:line="240" w:lineRule="auto"/>
              <w:ind w:right="57"/>
              <w:jc w:val="right"/>
              <w:rPr>
                <w:sz w:val="18"/>
              </w:rPr>
            </w:pPr>
            <w:r w:rsidRPr="00E56BF5">
              <w:t xml:space="preserve">  </w:t>
            </w:r>
            <w:r w:rsidRPr="000E7C5E">
              <w:rPr>
                <w:b/>
              </w:rPr>
              <w:t xml:space="preserve">25.3 </w:t>
            </w:r>
          </w:p>
        </w:tc>
      </w:tr>
      <w:tr w:rsidR="00A91C54" w:rsidRPr="00040A06" w14:paraId="656B0B44" w14:textId="77777777" w:rsidTr="00037AF8">
        <w:trPr>
          <w:trHeight w:val="216"/>
        </w:trPr>
        <w:tc>
          <w:tcPr>
            <w:tcW w:w="4114" w:type="pct"/>
            <w:tcBorders>
              <w:top w:val="single" w:sz="18" w:space="0" w:color="000000" w:themeColor="text1"/>
            </w:tcBorders>
          </w:tcPr>
          <w:p w14:paraId="656B0B42" w14:textId="77777777" w:rsidR="00A91C54" w:rsidRPr="00040A06" w:rsidRDefault="00A91C54" w:rsidP="00CD6452">
            <w:pPr>
              <w:spacing w:after="0" w:line="240" w:lineRule="auto"/>
              <w:rPr>
                <w:sz w:val="18"/>
              </w:rPr>
            </w:pPr>
            <w:r>
              <w:rPr>
                <w:b/>
                <w:sz w:val="18"/>
              </w:rPr>
              <w:t>Costs</w:t>
            </w:r>
          </w:p>
        </w:tc>
        <w:tc>
          <w:tcPr>
            <w:tcW w:w="886" w:type="pct"/>
            <w:tcBorders>
              <w:top w:val="single" w:sz="18" w:space="0" w:color="000000" w:themeColor="text1"/>
            </w:tcBorders>
          </w:tcPr>
          <w:p w14:paraId="656B0B43" w14:textId="77777777" w:rsidR="00A91C54" w:rsidRPr="00040A06" w:rsidRDefault="00A91C54" w:rsidP="00AB166C">
            <w:pPr>
              <w:spacing w:after="0" w:line="240" w:lineRule="auto"/>
              <w:ind w:right="57"/>
              <w:jc w:val="right"/>
              <w:rPr>
                <w:sz w:val="18"/>
              </w:rPr>
            </w:pPr>
          </w:p>
        </w:tc>
      </w:tr>
      <w:tr w:rsidR="00A91C54" w:rsidRPr="00040A06" w14:paraId="656B0B47" w14:textId="77777777" w:rsidTr="00037AF8">
        <w:trPr>
          <w:trHeight w:val="225"/>
        </w:trPr>
        <w:tc>
          <w:tcPr>
            <w:tcW w:w="4114" w:type="pct"/>
            <w:vAlign w:val="center"/>
          </w:tcPr>
          <w:p w14:paraId="656B0B45" w14:textId="77777777" w:rsidR="00A91C54" w:rsidRPr="00040A06" w:rsidRDefault="00A91C54" w:rsidP="00CD6452">
            <w:pPr>
              <w:spacing w:after="0" w:line="240" w:lineRule="auto"/>
              <w:rPr>
                <w:sz w:val="18"/>
              </w:rPr>
            </w:pPr>
            <w:r>
              <w:rPr>
                <w:rFonts w:eastAsia="Times New Roman" w:cs="Segoe UI Light"/>
                <w:color w:val="000000"/>
                <w:szCs w:val="20"/>
                <w:lang w:eastAsia="en-AU"/>
              </w:rPr>
              <w:t>C</w:t>
            </w:r>
            <w:r w:rsidRPr="00000ADA">
              <w:rPr>
                <w:rFonts w:eastAsia="Times New Roman" w:cs="Segoe UI Light"/>
                <w:color w:val="000000"/>
                <w:szCs w:val="20"/>
                <w:lang w:eastAsia="en-AU"/>
              </w:rPr>
              <w:t xml:space="preserve">osts to government relative to </w:t>
            </w:r>
            <w:r>
              <w:rPr>
                <w:rFonts w:eastAsia="Times New Roman" w:cs="Segoe UI Light"/>
                <w:color w:val="000000"/>
                <w:szCs w:val="20"/>
                <w:lang w:eastAsia="en-AU"/>
              </w:rPr>
              <w:t>Base Case</w:t>
            </w:r>
          </w:p>
        </w:tc>
        <w:tc>
          <w:tcPr>
            <w:tcW w:w="886" w:type="pct"/>
          </w:tcPr>
          <w:p w14:paraId="656B0B46" w14:textId="77777777" w:rsidR="00A91C54" w:rsidRPr="00040A06" w:rsidRDefault="00A91C54" w:rsidP="00AB166C">
            <w:pPr>
              <w:spacing w:after="0" w:line="240" w:lineRule="auto"/>
              <w:ind w:right="57"/>
              <w:jc w:val="right"/>
              <w:rPr>
                <w:sz w:val="18"/>
              </w:rPr>
            </w:pPr>
            <w:r w:rsidRPr="00E56BF5">
              <w:t xml:space="preserve">  0.1 </w:t>
            </w:r>
          </w:p>
        </w:tc>
      </w:tr>
      <w:tr w:rsidR="00A91C54" w:rsidRPr="00040A06" w14:paraId="656B0B4A" w14:textId="77777777" w:rsidTr="00037AF8">
        <w:trPr>
          <w:trHeight w:val="235"/>
        </w:trPr>
        <w:tc>
          <w:tcPr>
            <w:tcW w:w="4114" w:type="pct"/>
            <w:vAlign w:val="center"/>
          </w:tcPr>
          <w:p w14:paraId="656B0B48" w14:textId="77777777" w:rsidR="00A91C54" w:rsidRPr="00040A06" w:rsidRDefault="00A91C54" w:rsidP="00CD6452">
            <w:pPr>
              <w:spacing w:after="0" w:line="240" w:lineRule="auto"/>
              <w:rPr>
                <w:sz w:val="18"/>
              </w:rPr>
            </w:pPr>
            <w:r>
              <w:rPr>
                <w:rFonts w:eastAsia="Times New Roman" w:cs="Segoe UI Light"/>
                <w:color w:val="000000"/>
                <w:szCs w:val="20"/>
                <w:lang w:eastAsia="en-AU"/>
              </w:rPr>
              <w:t>C</w:t>
            </w:r>
            <w:r w:rsidRPr="00000ADA">
              <w:rPr>
                <w:rFonts w:eastAsia="Times New Roman" w:cs="Segoe UI Light"/>
                <w:color w:val="000000"/>
                <w:szCs w:val="20"/>
                <w:lang w:eastAsia="en-AU"/>
              </w:rPr>
              <w:t>osts to business</w:t>
            </w:r>
            <w:r>
              <w:rPr>
                <w:rFonts w:eastAsia="Times New Roman" w:cs="Segoe UI Light"/>
                <w:color w:val="000000"/>
                <w:szCs w:val="20"/>
                <w:lang w:eastAsia="en-AU"/>
              </w:rPr>
              <w:t>es and consumers</w:t>
            </w:r>
            <w:r w:rsidRPr="00000ADA">
              <w:rPr>
                <w:rFonts w:eastAsia="Times New Roman" w:cs="Segoe UI Light"/>
                <w:color w:val="000000"/>
                <w:szCs w:val="20"/>
                <w:lang w:eastAsia="en-AU"/>
              </w:rPr>
              <w:t xml:space="preserve"> relative to </w:t>
            </w:r>
            <w:r>
              <w:rPr>
                <w:rFonts w:eastAsia="Times New Roman" w:cs="Segoe UI Light"/>
                <w:color w:val="000000"/>
                <w:szCs w:val="20"/>
                <w:lang w:eastAsia="en-AU"/>
              </w:rPr>
              <w:t>Base Case</w:t>
            </w:r>
          </w:p>
        </w:tc>
        <w:tc>
          <w:tcPr>
            <w:tcW w:w="886" w:type="pct"/>
          </w:tcPr>
          <w:p w14:paraId="656B0B49" w14:textId="77777777" w:rsidR="00A91C54" w:rsidRPr="00040A06" w:rsidRDefault="00A91C54" w:rsidP="00AB166C">
            <w:pPr>
              <w:spacing w:after="0" w:line="240" w:lineRule="auto"/>
              <w:ind w:right="57"/>
              <w:jc w:val="right"/>
              <w:rPr>
                <w:sz w:val="18"/>
              </w:rPr>
            </w:pPr>
            <w:r w:rsidRPr="00E56BF5">
              <w:t xml:space="preserve">  </w:t>
            </w:r>
            <w:r>
              <w:t>4.3</w:t>
            </w:r>
            <w:r w:rsidRPr="00E56BF5">
              <w:t xml:space="preserve"> </w:t>
            </w:r>
          </w:p>
        </w:tc>
      </w:tr>
      <w:tr w:rsidR="00A91C54" w:rsidRPr="00040A06" w14:paraId="656B0B4D" w14:textId="77777777" w:rsidTr="00037AF8">
        <w:trPr>
          <w:trHeight w:val="235"/>
        </w:trPr>
        <w:tc>
          <w:tcPr>
            <w:tcW w:w="4114" w:type="pct"/>
            <w:tcBorders>
              <w:bottom w:val="single" w:sz="4" w:space="0" w:color="000000" w:themeColor="text1"/>
            </w:tcBorders>
            <w:vAlign w:val="center"/>
          </w:tcPr>
          <w:p w14:paraId="656B0B4B" w14:textId="77777777" w:rsidR="00A91C54" w:rsidRPr="00040A06" w:rsidRDefault="00A91C54" w:rsidP="00CD6452">
            <w:pPr>
              <w:spacing w:after="0" w:line="240" w:lineRule="auto"/>
              <w:rPr>
                <w:sz w:val="18"/>
              </w:rPr>
            </w:pPr>
            <w:r>
              <w:rPr>
                <w:rFonts w:eastAsia="Times New Roman" w:cs="Segoe UI Light"/>
                <w:color w:val="000000"/>
                <w:szCs w:val="20"/>
                <w:lang w:eastAsia="en-AU"/>
              </w:rPr>
              <w:t>C</w:t>
            </w:r>
            <w:r w:rsidRPr="00000ADA">
              <w:rPr>
                <w:rFonts w:eastAsia="Times New Roman" w:cs="Segoe UI Light"/>
                <w:color w:val="000000"/>
                <w:szCs w:val="20"/>
                <w:lang w:eastAsia="en-AU"/>
              </w:rPr>
              <w:t xml:space="preserve">osts to community relative to </w:t>
            </w:r>
            <w:r>
              <w:rPr>
                <w:rFonts w:eastAsia="Times New Roman" w:cs="Segoe UI Light"/>
                <w:color w:val="000000"/>
                <w:szCs w:val="20"/>
                <w:lang w:eastAsia="en-AU"/>
              </w:rPr>
              <w:t>Base Case</w:t>
            </w:r>
          </w:p>
        </w:tc>
        <w:tc>
          <w:tcPr>
            <w:tcW w:w="886" w:type="pct"/>
            <w:tcBorders>
              <w:bottom w:val="single" w:sz="4" w:space="0" w:color="000000" w:themeColor="text1"/>
            </w:tcBorders>
          </w:tcPr>
          <w:p w14:paraId="656B0B4C" w14:textId="77777777" w:rsidR="00A91C54" w:rsidRPr="00040A06" w:rsidRDefault="00A91C54" w:rsidP="00AB166C">
            <w:pPr>
              <w:spacing w:after="0" w:line="240" w:lineRule="auto"/>
              <w:ind w:right="57"/>
              <w:jc w:val="right"/>
              <w:rPr>
                <w:sz w:val="18"/>
              </w:rPr>
            </w:pPr>
            <w:r w:rsidRPr="00E56BF5">
              <w:t xml:space="preserve"> -   </w:t>
            </w:r>
          </w:p>
        </w:tc>
      </w:tr>
      <w:tr w:rsidR="00A91C54" w:rsidRPr="00040A06" w14:paraId="656B0B50" w14:textId="77777777" w:rsidTr="00037AF8">
        <w:trPr>
          <w:trHeight w:val="235"/>
        </w:trPr>
        <w:tc>
          <w:tcPr>
            <w:tcW w:w="4114" w:type="pct"/>
            <w:tcBorders>
              <w:top w:val="single" w:sz="4" w:space="0" w:color="000000" w:themeColor="text1"/>
              <w:bottom w:val="single" w:sz="18" w:space="0" w:color="000000" w:themeColor="text1"/>
            </w:tcBorders>
            <w:vAlign w:val="center"/>
          </w:tcPr>
          <w:p w14:paraId="656B0B4E" w14:textId="77777777" w:rsidR="00A91C54" w:rsidRPr="00040A06" w:rsidRDefault="00A91C54" w:rsidP="00CD6452">
            <w:pPr>
              <w:spacing w:after="0" w:line="240" w:lineRule="auto"/>
              <w:rPr>
                <w:sz w:val="18"/>
              </w:rPr>
            </w:pPr>
            <w:r w:rsidRPr="00000ADA">
              <w:rPr>
                <w:rFonts w:eastAsia="Times New Roman" w:cs="Segoe UI Light"/>
                <w:b/>
                <w:bCs/>
                <w:color w:val="000000"/>
                <w:szCs w:val="20"/>
                <w:lang w:eastAsia="en-AU"/>
              </w:rPr>
              <w:t xml:space="preserve">Present value </w:t>
            </w:r>
            <w:r>
              <w:rPr>
                <w:rFonts w:eastAsia="Times New Roman" w:cs="Segoe UI Light"/>
                <w:b/>
                <w:bCs/>
                <w:color w:val="000000"/>
                <w:szCs w:val="20"/>
                <w:lang w:eastAsia="en-AU"/>
              </w:rPr>
              <w:t xml:space="preserve">of </w:t>
            </w:r>
            <w:r w:rsidRPr="00000ADA">
              <w:rPr>
                <w:rFonts w:eastAsia="Times New Roman" w:cs="Segoe UI Light"/>
                <w:b/>
                <w:bCs/>
                <w:color w:val="000000"/>
                <w:szCs w:val="20"/>
                <w:lang w:eastAsia="en-AU"/>
              </w:rPr>
              <w:t xml:space="preserve">total costs relative to </w:t>
            </w:r>
            <w:r>
              <w:rPr>
                <w:rFonts w:eastAsia="Times New Roman" w:cs="Segoe UI Light"/>
                <w:b/>
                <w:bCs/>
                <w:color w:val="000000"/>
                <w:szCs w:val="20"/>
                <w:lang w:eastAsia="en-AU"/>
              </w:rPr>
              <w:t>Base Case</w:t>
            </w:r>
          </w:p>
        </w:tc>
        <w:tc>
          <w:tcPr>
            <w:tcW w:w="886" w:type="pct"/>
            <w:tcBorders>
              <w:top w:val="single" w:sz="4" w:space="0" w:color="000000" w:themeColor="text1"/>
              <w:bottom w:val="single" w:sz="18" w:space="0" w:color="000000" w:themeColor="text1"/>
            </w:tcBorders>
          </w:tcPr>
          <w:p w14:paraId="656B0B4F" w14:textId="77777777" w:rsidR="00A91C54" w:rsidRPr="00040A06" w:rsidRDefault="00A91C54" w:rsidP="00AB166C">
            <w:pPr>
              <w:spacing w:after="0" w:line="240" w:lineRule="auto"/>
              <w:ind w:right="57"/>
              <w:jc w:val="right"/>
              <w:rPr>
                <w:sz w:val="18"/>
              </w:rPr>
            </w:pPr>
            <w:r w:rsidRPr="000E7C5E">
              <w:rPr>
                <w:b/>
              </w:rPr>
              <w:t xml:space="preserve">  4.3 </w:t>
            </w:r>
          </w:p>
        </w:tc>
      </w:tr>
      <w:tr w:rsidR="00A91C54" w:rsidRPr="00040A06" w14:paraId="656B0B53" w14:textId="77777777" w:rsidTr="00037AF8">
        <w:trPr>
          <w:trHeight w:val="225"/>
        </w:trPr>
        <w:tc>
          <w:tcPr>
            <w:tcW w:w="4114" w:type="pct"/>
            <w:tcBorders>
              <w:top w:val="single" w:sz="18" w:space="0" w:color="000000" w:themeColor="text1"/>
              <w:bottom w:val="single" w:sz="4" w:space="0" w:color="000000" w:themeColor="text1"/>
            </w:tcBorders>
            <w:vAlign w:val="center"/>
          </w:tcPr>
          <w:p w14:paraId="656B0B51" w14:textId="77777777" w:rsidR="00A91C54" w:rsidRPr="00CD6452" w:rsidRDefault="00A91C54" w:rsidP="00CD6452">
            <w:pPr>
              <w:spacing w:after="0" w:line="240" w:lineRule="auto"/>
              <w:rPr>
                <w:rFonts w:eastAsia="Times New Roman" w:cs="Segoe UI Light"/>
                <w:b/>
                <w:bCs/>
                <w:color w:val="000000"/>
                <w:szCs w:val="20"/>
                <w:lang w:eastAsia="en-AU"/>
              </w:rPr>
            </w:pPr>
            <w:r w:rsidRPr="00CD6452">
              <w:rPr>
                <w:rFonts w:eastAsia="Times New Roman" w:cs="Segoe UI Light"/>
                <w:b/>
                <w:bCs/>
                <w:color w:val="000000"/>
                <w:szCs w:val="20"/>
                <w:lang w:eastAsia="en-AU"/>
              </w:rPr>
              <w:t>NPV</w:t>
            </w:r>
          </w:p>
        </w:tc>
        <w:tc>
          <w:tcPr>
            <w:tcW w:w="886" w:type="pct"/>
            <w:tcBorders>
              <w:top w:val="single" w:sz="18" w:space="0" w:color="000000" w:themeColor="text1"/>
              <w:bottom w:val="single" w:sz="4" w:space="0" w:color="000000" w:themeColor="text1"/>
            </w:tcBorders>
            <w:vAlign w:val="center"/>
          </w:tcPr>
          <w:p w14:paraId="656B0B52" w14:textId="77777777" w:rsidR="00A91C54" w:rsidRPr="00040A06" w:rsidRDefault="00A91C54" w:rsidP="00AB166C">
            <w:pPr>
              <w:spacing w:after="0" w:line="240" w:lineRule="auto"/>
              <w:ind w:right="57"/>
              <w:jc w:val="right"/>
              <w:rPr>
                <w:sz w:val="18"/>
              </w:rPr>
            </w:pPr>
            <w:r w:rsidRPr="002854DC">
              <w:rPr>
                <w:rFonts w:eastAsia="Times New Roman" w:cs="Segoe UI Light"/>
                <w:b/>
                <w:bCs/>
                <w:color w:val="000000"/>
                <w:szCs w:val="20"/>
                <w:lang w:eastAsia="en-AU"/>
              </w:rPr>
              <w:t>$</w:t>
            </w:r>
            <w:r>
              <w:rPr>
                <w:rFonts w:eastAsia="Times New Roman" w:cs="Segoe UI Light"/>
                <w:b/>
                <w:bCs/>
                <w:color w:val="000000"/>
                <w:szCs w:val="20"/>
                <w:lang w:eastAsia="en-AU"/>
              </w:rPr>
              <w:t>20.9</w:t>
            </w:r>
          </w:p>
        </w:tc>
      </w:tr>
      <w:tr w:rsidR="00A91C54" w:rsidRPr="00040A06" w14:paraId="656B0B56" w14:textId="77777777" w:rsidTr="00037AF8">
        <w:trPr>
          <w:trHeight w:val="235"/>
        </w:trPr>
        <w:tc>
          <w:tcPr>
            <w:tcW w:w="4114" w:type="pct"/>
            <w:tcBorders>
              <w:top w:val="single" w:sz="4" w:space="0" w:color="000000" w:themeColor="text1"/>
              <w:bottom w:val="single" w:sz="18" w:space="0" w:color="000000" w:themeColor="text1"/>
            </w:tcBorders>
          </w:tcPr>
          <w:p w14:paraId="656B0B54" w14:textId="77777777" w:rsidR="00A91C54" w:rsidRPr="00CD6452" w:rsidRDefault="00A91C54" w:rsidP="00CD6452">
            <w:pPr>
              <w:spacing w:after="0" w:line="240" w:lineRule="auto"/>
              <w:rPr>
                <w:rFonts w:eastAsia="Times New Roman" w:cs="Segoe UI Light"/>
                <w:b/>
                <w:bCs/>
                <w:color w:val="000000"/>
                <w:szCs w:val="20"/>
                <w:lang w:eastAsia="en-AU"/>
              </w:rPr>
            </w:pPr>
            <w:r w:rsidRPr="00CD6452">
              <w:rPr>
                <w:rFonts w:eastAsia="Times New Roman" w:cs="Segoe UI Light"/>
                <w:b/>
                <w:bCs/>
                <w:color w:val="000000"/>
                <w:szCs w:val="20"/>
                <w:lang w:eastAsia="en-AU"/>
              </w:rPr>
              <w:t>BCR</w:t>
            </w:r>
          </w:p>
        </w:tc>
        <w:tc>
          <w:tcPr>
            <w:tcW w:w="886" w:type="pct"/>
            <w:tcBorders>
              <w:top w:val="single" w:sz="4" w:space="0" w:color="000000" w:themeColor="text1"/>
              <w:bottom w:val="single" w:sz="18" w:space="0" w:color="000000" w:themeColor="text1"/>
            </w:tcBorders>
            <w:vAlign w:val="center"/>
          </w:tcPr>
          <w:p w14:paraId="656B0B55" w14:textId="77777777" w:rsidR="00A91C54" w:rsidRPr="00040A06" w:rsidRDefault="00A91C54" w:rsidP="00AB166C">
            <w:pPr>
              <w:spacing w:after="0" w:line="240" w:lineRule="auto"/>
              <w:ind w:right="57"/>
              <w:jc w:val="right"/>
              <w:rPr>
                <w:sz w:val="18"/>
              </w:rPr>
            </w:pPr>
            <w:r>
              <w:rPr>
                <w:rFonts w:eastAsia="Times New Roman" w:cs="Segoe UI Light"/>
                <w:b/>
                <w:bCs/>
                <w:color w:val="000000"/>
                <w:szCs w:val="20"/>
                <w:lang w:eastAsia="en-AU"/>
              </w:rPr>
              <w:t>5.8</w:t>
            </w:r>
            <w:r w:rsidRPr="00000ADA">
              <w:rPr>
                <w:rFonts w:eastAsia="Times New Roman" w:cs="Segoe UI Light"/>
                <w:b/>
                <w:bCs/>
                <w:color w:val="000000"/>
                <w:szCs w:val="20"/>
                <w:lang w:eastAsia="en-AU"/>
              </w:rPr>
              <w:t xml:space="preserve"> </w:t>
            </w:r>
          </w:p>
        </w:tc>
      </w:tr>
    </w:tbl>
    <w:p w14:paraId="656B0B57" w14:textId="77777777" w:rsidR="00A91C54" w:rsidRDefault="004F79EE" w:rsidP="00CD6452">
      <w:r>
        <w:rPr>
          <w:sz w:val="16"/>
        </w:rPr>
        <w:t>Totals may not sum due to rounding</w:t>
      </w:r>
      <w:r w:rsidR="000E3B50">
        <w:rPr>
          <w:sz w:val="16"/>
        </w:rPr>
        <w:t>.</w:t>
      </w:r>
      <w:r>
        <w:rPr>
          <w:sz w:val="16"/>
        </w:rPr>
        <w:t xml:space="preserve"> </w:t>
      </w:r>
    </w:p>
    <w:p w14:paraId="656B0B58" w14:textId="77777777" w:rsidR="00CD0477" w:rsidRDefault="00CD0477" w:rsidP="00B80410">
      <w:r>
        <w:t xml:space="preserve">A sensitivity analysis was also conducted on discount rates, as well as the assumed adoption of wood heater standards under the Base Case (without a prescribed regulation). </w:t>
      </w:r>
      <w:r w:rsidR="000E3B50">
        <w:t>The i</w:t>
      </w:r>
      <w:r>
        <w:t>mpact on the net present value is summarised in the table below. Under each scenario, the net present value remains positive.</w:t>
      </w:r>
    </w:p>
    <w:p w14:paraId="656B0B59" w14:textId="77777777" w:rsidR="00CD0477" w:rsidRDefault="00C66EDD" w:rsidP="00B80410">
      <w:pPr>
        <w:pStyle w:val="Caption"/>
      </w:pPr>
      <w:bookmarkStart w:id="1627" w:name="_Ref9924605"/>
      <w:r>
        <w:t xml:space="preserve">Table </w:t>
      </w:r>
      <w:r w:rsidR="00DC24EE">
        <w:rPr>
          <w:color w:val="2B579A"/>
          <w:shd w:val="clear" w:color="auto" w:fill="E6E6E6"/>
        </w:rPr>
        <w:fldChar w:fldCharType="begin"/>
      </w:r>
      <w:r w:rsidR="00DC24EE">
        <w:instrText xml:space="preserve"> STYLEREF 1 \s </w:instrText>
      </w:r>
      <w:r w:rsidR="00DC24EE">
        <w:rPr>
          <w:color w:val="2B579A"/>
          <w:shd w:val="clear" w:color="auto" w:fill="E6E6E6"/>
        </w:rPr>
        <w:fldChar w:fldCharType="separate"/>
      </w:r>
      <w:r w:rsidR="00B11C1E">
        <w:rPr>
          <w:noProof/>
        </w:rPr>
        <w:t>12</w:t>
      </w:r>
      <w:r w:rsidR="00DC24EE">
        <w:rPr>
          <w:color w:val="2B579A"/>
          <w:shd w:val="clear" w:color="auto" w:fill="E6E6E6"/>
        </w:rPr>
        <w:fldChar w:fldCharType="end"/>
      </w:r>
      <w:r w:rsidR="00DC24EE">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4</w:t>
      </w:r>
      <w:r w:rsidR="00997CFA">
        <w:rPr>
          <w:color w:val="2B579A"/>
          <w:shd w:val="clear" w:color="auto" w:fill="E6E6E6"/>
        </w:rPr>
        <w:fldChar w:fldCharType="end"/>
      </w:r>
      <w:bookmarkEnd w:id="1627"/>
      <w:r w:rsidR="00CD0477">
        <w:t xml:space="preserve"> Option 1 NPV sensitivity analysis ($m 2018)</w:t>
      </w:r>
    </w:p>
    <w:tbl>
      <w:tblPr>
        <w:tblStyle w:val="TableGrid"/>
        <w:tblW w:w="5000" w:type="pct"/>
        <w:tblLook w:val="04A0" w:firstRow="1" w:lastRow="0" w:firstColumn="1" w:lastColumn="0" w:noHBand="0" w:noVBand="1"/>
      </w:tblPr>
      <w:tblGrid>
        <w:gridCol w:w="2336"/>
        <w:gridCol w:w="2339"/>
        <w:gridCol w:w="2339"/>
        <w:gridCol w:w="2341"/>
      </w:tblGrid>
      <w:tr w:rsidR="00CD0477" w14:paraId="656B0B5C" w14:textId="77777777" w:rsidTr="00037AF8">
        <w:trPr>
          <w:cnfStyle w:val="100000000000" w:firstRow="1" w:lastRow="0" w:firstColumn="0" w:lastColumn="0" w:oddVBand="0" w:evenVBand="0" w:oddHBand="0" w:evenHBand="0" w:firstRowFirstColumn="0" w:firstRowLastColumn="0" w:lastRowFirstColumn="0" w:lastRowLastColumn="0"/>
          <w:trHeight w:val="386"/>
        </w:trPr>
        <w:tc>
          <w:tcPr>
            <w:tcW w:w="1249" w:type="pct"/>
            <w:tcBorders>
              <w:top w:val="none" w:sz="0" w:space="0" w:color="auto"/>
              <w:left w:val="none" w:sz="0" w:space="0" w:color="auto"/>
              <w:bottom w:val="none" w:sz="0" w:space="0" w:color="auto"/>
              <w:right w:val="single" w:sz="12" w:space="0" w:color="62B5E5" w:themeColor="accent3"/>
              <w:tl2br w:val="none" w:sz="0" w:space="0" w:color="auto"/>
              <w:tr2bl w:val="none" w:sz="0" w:space="0" w:color="auto"/>
            </w:tcBorders>
          </w:tcPr>
          <w:p w14:paraId="656B0B5A" w14:textId="77777777" w:rsidR="00CD0477" w:rsidRPr="00CD6452" w:rsidRDefault="00CD0477" w:rsidP="00CD0477">
            <w:pPr>
              <w:keepNext/>
              <w:rPr>
                <w:b/>
                <w:sz w:val="18"/>
              </w:rPr>
            </w:pPr>
            <w:r w:rsidRPr="00CD6452">
              <w:rPr>
                <w:b/>
                <w:sz w:val="18"/>
              </w:rPr>
              <w:t>NPV sensitivity</w:t>
            </w:r>
          </w:p>
        </w:tc>
        <w:tc>
          <w:tcPr>
            <w:tcW w:w="3751" w:type="pct"/>
            <w:gridSpan w:val="3"/>
            <w:tcBorders>
              <w:top w:val="none" w:sz="0" w:space="0" w:color="auto"/>
              <w:left w:val="single" w:sz="12" w:space="0" w:color="62B5E5" w:themeColor="accent3"/>
              <w:bottom w:val="none" w:sz="0" w:space="0" w:color="auto"/>
              <w:right w:val="none" w:sz="0" w:space="0" w:color="auto"/>
              <w:tl2br w:val="none" w:sz="0" w:space="0" w:color="auto"/>
              <w:tr2bl w:val="none" w:sz="0" w:space="0" w:color="auto"/>
            </w:tcBorders>
          </w:tcPr>
          <w:p w14:paraId="656B0B5B" w14:textId="77777777" w:rsidR="00CD0477" w:rsidRPr="00CD6452" w:rsidRDefault="009C142C" w:rsidP="000E7C5E">
            <w:pPr>
              <w:keepNext/>
              <w:jc w:val="center"/>
              <w:rPr>
                <w:b/>
                <w:sz w:val="18"/>
              </w:rPr>
            </w:pPr>
            <w:r w:rsidRPr="00CD6452">
              <w:rPr>
                <w:b/>
                <w:sz w:val="18"/>
              </w:rPr>
              <w:t>A</w:t>
            </w:r>
            <w:r w:rsidR="00CD0477" w:rsidRPr="00CD6452">
              <w:rPr>
                <w:b/>
                <w:sz w:val="18"/>
              </w:rPr>
              <w:t>doption level without prescribed standard in regulation (Base Case)</w:t>
            </w:r>
          </w:p>
        </w:tc>
      </w:tr>
      <w:tr w:rsidR="00CD0477" w14:paraId="656B0B61" w14:textId="77777777" w:rsidTr="00037AF8">
        <w:trPr>
          <w:trHeight w:val="397"/>
        </w:trPr>
        <w:tc>
          <w:tcPr>
            <w:tcW w:w="1249" w:type="pct"/>
            <w:tcBorders>
              <w:bottom w:val="single" w:sz="12" w:space="0" w:color="62B5E5" w:themeColor="accent3"/>
              <w:right w:val="single" w:sz="12" w:space="0" w:color="62B5E5" w:themeColor="accent3"/>
            </w:tcBorders>
          </w:tcPr>
          <w:p w14:paraId="656B0B5D" w14:textId="77777777" w:rsidR="00CD0477" w:rsidRPr="00CD6452" w:rsidRDefault="00CD0477" w:rsidP="00CD0477">
            <w:pPr>
              <w:keepNext/>
              <w:rPr>
                <w:b/>
                <w:sz w:val="18"/>
              </w:rPr>
            </w:pPr>
            <w:r w:rsidRPr="00CD6452">
              <w:rPr>
                <w:b/>
                <w:sz w:val="18"/>
              </w:rPr>
              <w:t>Discount rates</w:t>
            </w:r>
          </w:p>
        </w:tc>
        <w:tc>
          <w:tcPr>
            <w:tcW w:w="1250" w:type="pct"/>
            <w:tcBorders>
              <w:left w:val="single" w:sz="12" w:space="0" w:color="62B5E5" w:themeColor="accent3"/>
              <w:bottom w:val="single" w:sz="12" w:space="0" w:color="62B5E5" w:themeColor="accent3"/>
            </w:tcBorders>
          </w:tcPr>
          <w:p w14:paraId="656B0B5E" w14:textId="77777777" w:rsidR="00CD0477" w:rsidRPr="00CD6452" w:rsidRDefault="00CD0477" w:rsidP="00CD0477">
            <w:pPr>
              <w:keepNext/>
              <w:jc w:val="center"/>
              <w:rPr>
                <w:b/>
                <w:sz w:val="18"/>
              </w:rPr>
            </w:pPr>
            <w:r w:rsidRPr="00CD6452">
              <w:rPr>
                <w:b/>
                <w:sz w:val="18"/>
              </w:rPr>
              <w:t>Low (30%)</w:t>
            </w:r>
          </w:p>
        </w:tc>
        <w:tc>
          <w:tcPr>
            <w:tcW w:w="1250" w:type="pct"/>
            <w:tcBorders>
              <w:bottom w:val="single" w:sz="12" w:space="0" w:color="62B5E5" w:themeColor="accent3"/>
            </w:tcBorders>
          </w:tcPr>
          <w:p w14:paraId="656B0B5F" w14:textId="77777777" w:rsidR="00CD0477" w:rsidRPr="00CD6452" w:rsidRDefault="00CD0477">
            <w:pPr>
              <w:keepNext/>
              <w:jc w:val="center"/>
              <w:rPr>
                <w:b/>
                <w:sz w:val="18"/>
              </w:rPr>
            </w:pPr>
            <w:r w:rsidRPr="00CD6452">
              <w:rPr>
                <w:b/>
                <w:sz w:val="18"/>
              </w:rPr>
              <w:t>Mid (</w:t>
            </w:r>
            <w:r w:rsidR="006254A3" w:rsidRPr="00CD6452">
              <w:rPr>
                <w:b/>
                <w:sz w:val="18"/>
              </w:rPr>
              <w:t>75</w:t>
            </w:r>
            <w:r w:rsidRPr="00CD6452">
              <w:rPr>
                <w:b/>
                <w:sz w:val="18"/>
              </w:rPr>
              <w:t>%)</w:t>
            </w:r>
          </w:p>
        </w:tc>
        <w:tc>
          <w:tcPr>
            <w:tcW w:w="1251" w:type="pct"/>
            <w:tcBorders>
              <w:bottom w:val="single" w:sz="12" w:space="0" w:color="62B5E5" w:themeColor="accent3"/>
            </w:tcBorders>
          </w:tcPr>
          <w:p w14:paraId="656B0B60" w14:textId="77777777" w:rsidR="00CD0477" w:rsidRPr="00CD6452" w:rsidRDefault="00CD0477" w:rsidP="00CD0477">
            <w:pPr>
              <w:keepNext/>
              <w:jc w:val="center"/>
              <w:rPr>
                <w:b/>
                <w:sz w:val="18"/>
              </w:rPr>
            </w:pPr>
            <w:r w:rsidRPr="00CD6452">
              <w:rPr>
                <w:b/>
                <w:sz w:val="18"/>
              </w:rPr>
              <w:t>High (90%)</w:t>
            </w:r>
          </w:p>
        </w:tc>
      </w:tr>
      <w:tr w:rsidR="00CD0477" w14:paraId="656B0B66" w14:textId="77777777" w:rsidTr="00037AF8">
        <w:trPr>
          <w:trHeight w:val="386"/>
        </w:trPr>
        <w:tc>
          <w:tcPr>
            <w:tcW w:w="1249" w:type="pct"/>
            <w:tcBorders>
              <w:top w:val="single" w:sz="12" w:space="0" w:color="62B5E5" w:themeColor="accent3"/>
              <w:right w:val="single" w:sz="12" w:space="0" w:color="62B5E5" w:themeColor="accent3"/>
            </w:tcBorders>
            <w:vAlign w:val="center"/>
          </w:tcPr>
          <w:p w14:paraId="656B0B62" w14:textId="77777777" w:rsidR="00CD0477" w:rsidRPr="00CD6452" w:rsidRDefault="00CD0477" w:rsidP="00CD0477">
            <w:pPr>
              <w:keepNext/>
              <w:rPr>
                <w:sz w:val="18"/>
              </w:rPr>
            </w:pPr>
            <w:r w:rsidRPr="00CD6452">
              <w:rPr>
                <w:rFonts w:cs="Segoe UI Light"/>
                <w:b/>
                <w:bCs/>
                <w:color w:val="000000"/>
                <w:sz w:val="18"/>
                <w:szCs w:val="20"/>
              </w:rPr>
              <w:t xml:space="preserve"> Low (4%) </w:t>
            </w:r>
          </w:p>
        </w:tc>
        <w:tc>
          <w:tcPr>
            <w:tcW w:w="1250" w:type="pct"/>
            <w:tcBorders>
              <w:top w:val="single" w:sz="12" w:space="0" w:color="62B5E5" w:themeColor="accent3"/>
              <w:left w:val="single" w:sz="12" w:space="0" w:color="62B5E5" w:themeColor="accent3"/>
            </w:tcBorders>
          </w:tcPr>
          <w:p w14:paraId="656B0B63" w14:textId="77777777" w:rsidR="00CD0477" w:rsidRPr="00CD6452" w:rsidRDefault="00DE27C2" w:rsidP="00CD0477">
            <w:pPr>
              <w:jc w:val="center"/>
              <w:rPr>
                <w:sz w:val="18"/>
              </w:rPr>
            </w:pPr>
            <w:r w:rsidRPr="00CD6452">
              <w:rPr>
                <w:sz w:val="18"/>
              </w:rPr>
              <w:t>70.1</w:t>
            </w:r>
          </w:p>
        </w:tc>
        <w:tc>
          <w:tcPr>
            <w:tcW w:w="1250" w:type="pct"/>
            <w:tcBorders>
              <w:top w:val="single" w:sz="12" w:space="0" w:color="62B5E5" w:themeColor="accent3"/>
            </w:tcBorders>
          </w:tcPr>
          <w:p w14:paraId="656B0B64" w14:textId="77777777" w:rsidR="00CD0477" w:rsidRPr="00CD6452" w:rsidRDefault="006254A3" w:rsidP="00CD0477">
            <w:pPr>
              <w:jc w:val="center"/>
              <w:rPr>
                <w:sz w:val="18"/>
              </w:rPr>
            </w:pPr>
            <w:r w:rsidRPr="00CD6452">
              <w:rPr>
                <w:sz w:val="18"/>
              </w:rPr>
              <w:t>24.9</w:t>
            </w:r>
          </w:p>
        </w:tc>
        <w:tc>
          <w:tcPr>
            <w:tcW w:w="1251" w:type="pct"/>
            <w:tcBorders>
              <w:top w:val="single" w:sz="12" w:space="0" w:color="62B5E5" w:themeColor="accent3"/>
            </w:tcBorders>
          </w:tcPr>
          <w:p w14:paraId="656B0B65" w14:textId="77777777" w:rsidR="00CD0477" w:rsidRPr="00CD6452" w:rsidRDefault="00DE27C2" w:rsidP="00CD0477">
            <w:pPr>
              <w:jc w:val="center"/>
              <w:rPr>
                <w:sz w:val="18"/>
              </w:rPr>
            </w:pPr>
            <w:r w:rsidRPr="00CD6452">
              <w:rPr>
                <w:sz w:val="18"/>
              </w:rPr>
              <w:t>9.8</w:t>
            </w:r>
          </w:p>
        </w:tc>
      </w:tr>
      <w:tr w:rsidR="00CD0477" w14:paraId="656B0B6B" w14:textId="77777777" w:rsidTr="00037AF8">
        <w:trPr>
          <w:trHeight w:val="386"/>
        </w:trPr>
        <w:tc>
          <w:tcPr>
            <w:tcW w:w="1249" w:type="pct"/>
            <w:tcBorders>
              <w:right w:val="single" w:sz="12" w:space="0" w:color="62B5E5" w:themeColor="accent3"/>
            </w:tcBorders>
            <w:vAlign w:val="center"/>
          </w:tcPr>
          <w:p w14:paraId="656B0B67" w14:textId="77777777" w:rsidR="00CD0477" w:rsidRPr="00CD6452" w:rsidRDefault="00CD0477" w:rsidP="00CD0477">
            <w:pPr>
              <w:rPr>
                <w:sz w:val="18"/>
              </w:rPr>
            </w:pPr>
            <w:r w:rsidRPr="00CD6452">
              <w:rPr>
                <w:rFonts w:cs="Segoe UI Light"/>
                <w:b/>
                <w:bCs/>
                <w:color w:val="000000"/>
                <w:sz w:val="18"/>
                <w:szCs w:val="20"/>
              </w:rPr>
              <w:t xml:space="preserve"> Mid (7%) </w:t>
            </w:r>
          </w:p>
        </w:tc>
        <w:tc>
          <w:tcPr>
            <w:tcW w:w="1250" w:type="pct"/>
            <w:tcBorders>
              <w:left w:val="single" w:sz="12" w:space="0" w:color="62B5E5" w:themeColor="accent3"/>
            </w:tcBorders>
          </w:tcPr>
          <w:p w14:paraId="656B0B68" w14:textId="77777777" w:rsidR="00CD0477" w:rsidRPr="00CD6452" w:rsidRDefault="00CD0477">
            <w:pPr>
              <w:jc w:val="center"/>
              <w:rPr>
                <w:sz w:val="18"/>
              </w:rPr>
            </w:pPr>
            <w:r w:rsidRPr="00CD6452">
              <w:rPr>
                <w:sz w:val="18"/>
              </w:rPr>
              <w:t>5</w:t>
            </w:r>
            <w:r w:rsidR="00DE27C2" w:rsidRPr="00CD6452">
              <w:rPr>
                <w:sz w:val="18"/>
              </w:rPr>
              <w:t>8</w:t>
            </w:r>
            <w:r w:rsidRPr="00CD6452">
              <w:rPr>
                <w:sz w:val="18"/>
              </w:rPr>
              <w:t>.</w:t>
            </w:r>
            <w:r w:rsidR="00DE27C2" w:rsidRPr="00CD6452">
              <w:rPr>
                <w:sz w:val="18"/>
              </w:rPr>
              <w:t>9</w:t>
            </w:r>
          </w:p>
        </w:tc>
        <w:tc>
          <w:tcPr>
            <w:tcW w:w="1250" w:type="pct"/>
          </w:tcPr>
          <w:p w14:paraId="656B0B69" w14:textId="77777777" w:rsidR="00CD0477" w:rsidRPr="00CD6452" w:rsidRDefault="00CD0477" w:rsidP="00CD0477">
            <w:pPr>
              <w:jc w:val="center"/>
              <w:rPr>
                <w:sz w:val="18"/>
              </w:rPr>
            </w:pPr>
            <w:r w:rsidRPr="00CD6452">
              <w:rPr>
                <w:sz w:val="18"/>
              </w:rPr>
              <w:t>2</w:t>
            </w:r>
            <w:r w:rsidR="006254A3" w:rsidRPr="00CD6452">
              <w:rPr>
                <w:sz w:val="18"/>
              </w:rPr>
              <w:t>0</w:t>
            </w:r>
            <w:r w:rsidRPr="00CD6452">
              <w:rPr>
                <w:sz w:val="18"/>
              </w:rPr>
              <w:t>.9</w:t>
            </w:r>
          </w:p>
        </w:tc>
        <w:tc>
          <w:tcPr>
            <w:tcW w:w="1251" w:type="pct"/>
          </w:tcPr>
          <w:p w14:paraId="656B0B6A" w14:textId="77777777" w:rsidR="00CD0477" w:rsidRPr="00CD6452" w:rsidRDefault="00DE27C2" w:rsidP="00CD0477">
            <w:pPr>
              <w:jc w:val="center"/>
              <w:rPr>
                <w:sz w:val="18"/>
              </w:rPr>
            </w:pPr>
            <w:r w:rsidRPr="00CD6452">
              <w:rPr>
                <w:sz w:val="18"/>
              </w:rPr>
              <w:t>8.3</w:t>
            </w:r>
          </w:p>
        </w:tc>
      </w:tr>
      <w:tr w:rsidR="00CD0477" w14:paraId="656B0B70" w14:textId="77777777" w:rsidTr="00037AF8">
        <w:trPr>
          <w:trHeight w:val="397"/>
        </w:trPr>
        <w:tc>
          <w:tcPr>
            <w:tcW w:w="1249" w:type="pct"/>
            <w:tcBorders>
              <w:right w:val="single" w:sz="12" w:space="0" w:color="62B5E5" w:themeColor="accent3"/>
            </w:tcBorders>
            <w:vAlign w:val="center"/>
          </w:tcPr>
          <w:p w14:paraId="656B0B6C" w14:textId="77777777" w:rsidR="00CD0477" w:rsidRPr="00CD6452" w:rsidRDefault="00CD0477" w:rsidP="00CD0477">
            <w:pPr>
              <w:rPr>
                <w:sz w:val="18"/>
              </w:rPr>
            </w:pPr>
            <w:r w:rsidRPr="00CD6452">
              <w:rPr>
                <w:rFonts w:cs="Segoe UI Light"/>
                <w:b/>
                <w:bCs/>
                <w:color w:val="000000"/>
                <w:sz w:val="18"/>
                <w:szCs w:val="20"/>
              </w:rPr>
              <w:t xml:space="preserve"> High (10%) </w:t>
            </w:r>
          </w:p>
        </w:tc>
        <w:tc>
          <w:tcPr>
            <w:tcW w:w="1250" w:type="pct"/>
            <w:tcBorders>
              <w:left w:val="single" w:sz="12" w:space="0" w:color="62B5E5" w:themeColor="accent3"/>
            </w:tcBorders>
          </w:tcPr>
          <w:p w14:paraId="656B0B6D" w14:textId="77777777" w:rsidR="00CD0477" w:rsidRPr="00CD6452" w:rsidRDefault="00DE27C2" w:rsidP="00CD0477">
            <w:pPr>
              <w:jc w:val="center"/>
              <w:rPr>
                <w:sz w:val="18"/>
              </w:rPr>
            </w:pPr>
            <w:r w:rsidRPr="00CD6452">
              <w:rPr>
                <w:sz w:val="18"/>
              </w:rPr>
              <w:t>50.0</w:t>
            </w:r>
          </w:p>
        </w:tc>
        <w:tc>
          <w:tcPr>
            <w:tcW w:w="1250" w:type="pct"/>
          </w:tcPr>
          <w:p w14:paraId="656B0B6E" w14:textId="77777777" w:rsidR="00CD0477" w:rsidRPr="00CD6452" w:rsidRDefault="006254A3" w:rsidP="00CD0477">
            <w:pPr>
              <w:jc w:val="center"/>
              <w:rPr>
                <w:sz w:val="18"/>
              </w:rPr>
            </w:pPr>
            <w:r w:rsidRPr="00CD6452">
              <w:rPr>
                <w:sz w:val="18"/>
              </w:rPr>
              <w:t>17.8</w:t>
            </w:r>
          </w:p>
        </w:tc>
        <w:tc>
          <w:tcPr>
            <w:tcW w:w="1251" w:type="pct"/>
          </w:tcPr>
          <w:p w14:paraId="656B0B6F" w14:textId="77777777" w:rsidR="00CD0477" w:rsidRPr="00CD6452" w:rsidRDefault="00DE27C2" w:rsidP="00CD0477">
            <w:pPr>
              <w:jc w:val="center"/>
              <w:rPr>
                <w:sz w:val="18"/>
              </w:rPr>
            </w:pPr>
            <w:r w:rsidRPr="00CD6452">
              <w:rPr>
                <w:sz w:val="18"/>
              </w:rPr>
              <w:t>7.0</w:t>
            </w:r>
          </w:p>
        </w:tc>
      </w:tr>
    </w:tbl>
    <w:p w14:paraId="656B0B71" w14:textId="77777777" w:rsidR="003C0D4B" w:rsidRPr="006D7BB4" w:rsidRDefault="003C0D4B" w:rsidP="00000ADA"/>
    <w:p w14:paraId="656B0B72" w14:textId="77777777" w:rsidR="00201183" w:rsidRDefault="00201183" w:rsidP="000E7C5E">
      <w:pPr>
        <w:pStyle w:val="Heading4un-numbered"/>
      </w:pPr>
      <w:r w:rsidRPr="00DE27C2">
        <w:t>Option</w:t>
      </w:r>
      <w:r>
        <w:t xml:space="preserve"> 2 – </w:t>
      </w:r>
      <w:r w:rsidR="004A6081">
        <w:t>Non-regulatory materials</w:t>
      </w:r>
    </w:p>
    <w:p w14:paraId="656B0B73" w14:textId="77777777" w:rsidR="00201183" w:rsidRDefault="00201183" w:rsidP="000E7C5E">
      <w:pPr>
        <w:pStyle w:val="Heading3un-numbered"/>
      </w:pPr>
      <w:r w:rsidRPr="00DE27C2">
        <w:t>Costs</w:t>
      </w:r>
    </w:p>
    <w:p w14:paraId="656B0B74" w14:textId="77777777" w:rsidR="00201183" w:rsidRPr="00BF51BD" w:rsidRDefault="00201183" w:rsidP="00037AF8">
      <w:pPr>
        <w:spacing w:after="0"/>
        <w:rPr>
          <w:i/>
        </w:rPr>
      </w:pPr>
      <w:r w:rsidRPr="00BF51BD">
        <w:rPr>
          <w:i/>
        </w:rPr>
        <w:t>Costs to business</w:t>
      </w:r>
    </w:p>
    <w:p w14:paraId="656B0B75" w14:textId="3A6836F7" w:rsidR="00B80410" w:rsidRPr="00B80410" w:rsidRDefault="00B80410" w:rsidP="00201183">
      <w:r>
        <w:t xml:space="preserve">The incremental cost of Option 2 on businesses, relative to the </w:t>
      </w:r>
      <w:r w:rsidR="00E93EEB">
        <w:t>Base Case</w:t>
      </w:r>
      <w:r>
        <w:t xml:space="preserve">, is </w:t>
      </w:r>
      <w:r w:rsidR="000E3B50">
        <w:t xml:space="preserve">likely </w:t>
      </w:r>
      <w:r>
        <w:t xml:space="preserve">to be immaterial. Under </w:t>
      </w:r>
      <w:r w:rsidR="00C435E8">
        <w:t>O</w:t>
      </w:r>
      <w:r>
        <w:t>ption 2, businesses would not be required to comply with the AUS/NZS 4012 and 4013 standards. Given that AS/NZ standards are an established standard and the AHHA has been proactive in educating industry players over the past decade, businesses that would be inclined to follow the standards are likely to do so under the Base Case. Therefore, introducing non-mandatory</w:t>
      </w:r>
      <w:r w:rsidR="009518B4">
        <w:t xml:space="preserve"> </w:t>
      </w:r>
      <w:r>
        <w:t xml:space="preserve">guidelines is not expected to have a material impact on businesses, relative to the </w:t>
      </w:r>
      <w:r w:rsidR="00E93EEB">
        <w:t>Base Case</w:t>
      </w:r>
      <w:r>
        <w:t xml:space="preserve">. </w:t>
      </w:r>
    </w:p>
    <w:p w14:paraId="656B0B76" w14:textId="77777777" w:rsidR="00201183" w:rsidRDefault="00201183" w:rsidP="000E7C5E">
      <w:pPr>
        <w:pStyle w:val="Heading3un-numbered"/>
      </w:pPr>
      <w:r w:rsidRPr="00DE27C2">
        <w:t>Benefits</w:t>
      </w:r>
    </w:p>
    <w:p w14:paraId="656B0B77" w14:textId="77777777" w:rsidR="00201183" w:rsidRPr="00BF51BD" w:rsidRDefault="00201183" w:rsidP="00037AF8">
      <w:pPr>
        <w:spacing w:after="0"/>
        <w:rPr>
          <w:i/>
        </w:rPr>
      </w:pPr>
      <w:r w:rsidRPr="00BF51BD">
        <w:rPr>
          <w:i/>
        </w:rPr>
        <w:t>Benefits to community</w:t>
      </w:r>
    </w:p>
    <w:p w14:paraId="656B0B78" w14:textId="77777777" w:rsidR="00C87894" w:rsidRPr="00BF51BD" w:rsidRDefault="00C87894" w:rsidP="00C87894">
      <w:pPr>
        <w:rPr>
          <w:i/>
        </w:rPr>
      </w:pPr>
      <w:r>
        <w:t xml:space="preserve">As reported above, a non-mandatory guideline is unlikely to materially impact compliance with the wood heater standards, thus </w:t>
      </w:r>
      <w:r w:rsidR="000C1C59">
        <w:t xml:space="preserve">Option </w:t>
      </w:r>
      <w:r>
        <w:t xml:space="preserve">2 would not be </w:t>
      </w:r>
      <w:r w:rsidR="00881638">
        <w:t xml:space="preserve">as </w:t>
      </w:r>
      <w:r>
        <w:t>effective in addressing health and environmental risks from wood heating flue gas emissions.</w:t>
      </w:r>
    </w:p>
    <w:p w14:paraId="656B0B79" w14:textId="77777777" w:rsidR="00C87894" w:rsidRDefault="00C87894" w:rsidP="00693108">
      <w:pPr>
        <w:pStyle w:val="Heading3"/>
        <w:ind w:left="720"/>
      </w:pPr>
      <w:r>
        <w:t>Results</w:t>
      </w:r>
    </w:p>
    <w:p w14:paraId="656B0B7A" w14:textId="77777777" w:rsidR="00BB20E0" w:rsidRDefault="00C87894" w:rsidP="00124679">
      <w:r>
        <w:t xml:space="preserve">Based on the above analysis, </w:t>
      </w:r>
      <w:r w:rsidR="000C1C59">
        <w:t xml:space="preserve">Option </w:t>
      </w:r>
      <w:r>
        <w:t xml:space="preserve">1 is expected to provide a net benefit of </w:t>
      </w:r>
      <w:r w:rsidRPr="002A44FC">
        <w:t>$</w:t>
      </w:r>
      <w:r w:rsidR="00871C29">
        <w:t>20.9</w:t>
      </w:r>
      <w:r>
        <w:t xml:space="preserve"> million relative to the </w:t>
      </w:r>
      <w:r w:rsidR="00E93EEB">
        <w:t>Base Case</w:t>
      </w:r>
      <w:r>
        <w:t>, effectively reducing health risks from wood heater particulate matter emissions in Victoria. It is also likely to accrue other environmental benefits and may have wider health benefits nationally.</w:t>
      </w:r>
      <w:r w:rsidR="00C5401D">
        <w:t xml:space="preserve"> Option 1 is also expected to generate a larger net benefit than Option 2. </w:t>
      </w:r>
    </w:p>
    <w:p w14:paraId="656B0B7B" w14:textId="77777777" w:rsidR="00BB20E0" w:rsidRPr="00B02DC6" w:rsidRDefault="00BB20E0" w:rsidP="00124679">
      <w:r>
        <w:t xml:space="preserve">Reflecting this, Option 1 is the preferred option. </w:t>
      </w:r>
    </w:p>
    <w:p w14:paraId="656B0B7C" w14:textId="77777777" w:rsidR="008419EF" w:rsidRDefault="00CD3CDD" w:rsidP="00982D63">
      <w:pPr>
        <w:pStyle w:val="Heading2"/>
      </w:pPr>
      <w:r>
        <w:t>R</w:t>
      </w:r>
      <w:r w:rsidR="008419EF">
        <w:t>eporting pollution to</w:t>
      </w:r>
      <w:r w:rsidR="00985B8C">
        <w:t xml:space="preserve"> the</w:t>
      </w:r>
      <w:r w:rsidR="008419EF">
        <w:t xml:space="preserve"> </w:t>
      </w:r>
      <w:r w:rsidR="00A04B6E">
        <w:t>National Pollutant Inventory</w:t>
      </w:r>
    </w:p>
    <w:p w14:paraId="656B0B7D" w14:textId="77777777" w:rsidR="00F27368" w:rsidRDefault="00F27368" w:rsidP="00465721">
      <w:r>
        <w:t xml:space="preserve">The </w:t>
      </w:r>
      <w:r w:rsidR="000E3B50">
        <w:t>NPI</w:t>
      </w:r>
      <w:r>
        <w:t xml:space="preserve"> tracks </w:t>
      </w:r>
      <w:r w:rsidRPr="002C7973">
        <w:t xml:space="preserve">pollution across Australia, ensuring that the community has access to information about the emission and transfer of toxic substances </w:t>
      </w:r>
      <w:r w:rsidR="00FF5647">
        <w:t xml:space="preserve">to air, land and water </w:t>
      </w:r>
      <w:r w:rsidRPr="002C7973">
        <w:t>which may affect them locally.</w:t>
      </w:r>
      <w:r w:rsidRPr="00F27368">
        <w:rPr>
          <w:rStyle w:val="FootnoteReference"/>
        </w:rPr>
        <w:t xml:space="preserve"> </w:t>
      </w:r>
      <w:r>
        <w:rPr>
          <w:rStyle w:val="FootnoteReference"/>
        </w:rPr>
        <w:footnoteReference w:id="233"/>
      </w:r>
      <w:r>
        <w:t xml:space="preserve"> EPA is responsible for implementing and enforcing the NPI NEPM in Victoria</w:t>
      </w:r>
      <w:r w:rsidR="00465721">
        <w:t>. Current</w:t>
      </w:r>
      <w:r w:rsidR="007E31F5">
        <w:t>ly</w:t>
      </w:r>
      <w:r w:rsidR="00465721">
        <w:t xml:space="preserve">, under </w:t>
      </w:r>
      <w:r w:rsidR="000C1C59">
        <w:t xml:space="preserve">the </w:t>
      </w:r>
      <w:r w:rsidR="00465721">
        <w:t xml:space="preserve">Waste Management Policy (National Pollutant Inventory), occupiers of a facility are required to provide </w:t>
      </w:r>
      <w:r w:rsidR="00BB20E0">
        <w:t xml:space="preserve">an annual report </w:t>
      </w:r>
      <w:r w:rsidR="00465721">
        <w:t>to EPA</w:t>
      </w:r>
      <w:r w:rsidR="00BB20E0">
        <w:t>, quantifying all emissions of selected air and water pollutants,</w:t>
      </w:r>
      <w:r w:rsidR="00465721">
        <w:t xml:space="preserve"> if a threshold for a substance is exceeded during a reporting period. EPA then aggregates this data for particular substances in specific regions within Victoria </w:t>
      </w:r>
      <w:r w:rsidR="004A2C31">
        <w:t xml:space="preserve">and provides the information to the Commonwealth. </w:t>
      </w:r>
    </w:p>
    <w:p w14:paraId="656B0B7E" w14:textId="77777777" w:rsidR="00A04B6E" w:rsidRDefault="00A04B6E" w:rsidP="00CD6452">
      <w:pPr>
        <w:pStyle w:val="Heading3"/>
        <w:ind w:left="720"/>
      </w:pPr>
      <w:r>
        <w:t>Options</w:t>
      </w:r>
    </w:p>
    <w:p w14:paraId="656B0B7F" w14:textId="77777777" w:rsidR="009372C7" w:rsidRDefault="009372C7" w:rsidP="008E5917">
      <w:r>
        <w:t>Two options are considered in relation to the NPI:</w:t>
      </w:r>
    </w:p>
    <w:p w14:paraId="656B0B80" w14:textId="77777777" w:rsidR="008E5917" w:rsidRDefault="008E5917" w:rsidP="002D3C05">
      <w:pPr>
        <w:pStyle w:val="ListParagraph"/>
        <w:numPr>
          <w:ilvl w:val="0"/>
          <w:numId w:val="200"/>
        </w:numPr>
      </w:pPr>
      <w:r w:rsidRPr="002D3C05">
        <w:rPr>
          <w:b/>
        </w:rPr>
        <w:t>Option 1</w:t>
      </w:r>
      <w:r w:rsidRPr="002D3C05">
        <w:t xml:space="preserve"> </w:t>
      </w:r>
      <w:r w:rsidR="009372C7">
        <w:t>is to</w:t>
      </w:r>
      <w:r>
        <w:t xml:space="preserve"> translate this existing requirement for businesses into regulations, requiring emissions data to be collected and the</w:t>
      </w:r>
      <w:r w:rsidR="00881638">
        <w:t>n</w:t>
      </w:r>
      <w:r>
        <w:t xml:space="preserve"> reported when specified emissions thresholds are exceeded.</w:t>
      </w:r>
    </w:p>
    <w:p w14:paraId="656B0B81" w14:textId="77777777" w:rsidR="00985B8C" w:rsidRDefault="00F82C74" w:rsidP="002D3C05">
      <w:pPr>
        <w:pStyle w:val="ListParagraph"/>
        <w:numPr>
          <w:ilvl w:val="0"/>
          <w:numId w:val="200"/>
        </w:numPr>
      </w:pPr>
      <w:r w:rsidRPr="002D3C05">
        <w:rPr>
          <w:b/>
        </w:rPr>
        <w:t>Option 2</w:t>
      </w:r>
      <w:r>
        <w:t xml:space="preserve"> </w:t>
      </w:r>
      <w:r w:rsidR="009372C7">
        <w:t>is to</w:t>
      </w:r>
      <w:r>
        <w:t xml:space="preserve"> provide non-</w:t>
      </w:r>
      <w:r w:rsidR="0085765A">
        <w:t xml:space="preserve">regulatory </w:t>
      </w:r>
      <w:r w:rsidR="00CE670E">
        <w:t>materials, such as an EPA position and</w:t>
      </w:r>
      <w:r>
        <w:t xml:space="preserve"> </w:t>
      </w:r>
      <w:r w:rsidR="0085765A">
        <w:t xml:space="preserve">non-mandatory </w:t>
      </w:r>
      <w:r>
        <w:t>guidelines</w:t>
      </w:r>
      <w:r w:rsidR="00CE670E">
        <w:t>,</w:t>
      </w:r>
      <w:r>
        <w:t xml:space="preserve"> requesting businesses currently reporting their emissions to continue to re</w:t>
      </w:r>
      <w:r w:rsidR="00A52562">
        <w:t>port their emission to the NPI.</w:t>
      </w:r>
    </w:p>
    <w:p w14:paraId="656B0B82" w14:textId="77777777" w:rsidR="009372C7" w:rsidRDefault="009372C7" w:rsidP="00985B8C">
      <w:r>
        <w:t xml:space="preserve">No variations to the NPI policy were considered, because the framework (including the indicators and thresholds) are set out in NPI NEPM, which is a national policy. </w:t>
      </w:r>
    </w:p>
    <w:p w14:paraId="656B0B83" w14:textId="77777777" w:rsidR="00985B8C" w:rsidRDefault="00985B8C" w:rsidP="00CD6452">
      <w:pPr>
        <w:pStyle w:val="Heading3"/>
        <w:ind w:left="720"/>
      </w:pPr>
      <w:r>
        <w:t>Analysis</w:t>
      </w:r>
    </w:p>
    <w:p w14:paraId="656B0B84" w14:textId="77777777" w:rsidR="008E5917" w:rsidRPr="00D45F1D" w:rsidRDefault="00247956" w:rsidP="008E5917">
      <w:r>
        <w:t>An MCA</w:t>
      </w:r>
      <w:r w:rsidR="008E5917">
        <w:t xml:space="preserve"> approach has been adopted to determine the preferred option for reporting pollution to the NPI. </w:t>
      </w:r>
    </w:p>
    <w:p w14:paraId="656B0B85" w14:textId="77777777" w:rsidR="00985B8C" w:rsidRDefault="00985B8C" w:rsidP="000E7C5E">
      <w:pPr>
        <w:pStyle w:val="Heading3un-numbered"/>
      </w:pPr>
      <w:r w:rsidRPr="00C52A8F">
        <w:t>Option 1</w:t>
      </w:r>
      <w:r>
        <w:t xml:space="preserve"> – Prescribe in regulation</w:t>
      </w:r>
    </w:p>
    <w:p w14:paraId="656B0B86" w14:textId="77777777" w:rsidR="00985B8C" w:rsidRDefault="00985B8C" w:rsidP="000E7C5E">
      <w:pPr>
        <w:pStyle w:val="Heading4un-numbered"/>
      </w:pPr>
      <w:r>
        <w:t>Costs</w:t>
      </w:r>
    </w:p>
    <w:p w14:paraId="656B0B87" w14:textId="77777777" w:rsidR="00F82C74" w:rsidRDefault="00F82C74" w:rsidP="00037AF8">
      <w:pPr>
        <w:spacing w:after="0"/>
      </w:pPr>
      <w:r>
        <w:rPr>
          <w:i/>
        </w:rPr>
        <w:t>Cost to businesses</w:t>
      </w:r>
    </w:p>
    <w:p w14:paraId="656B0B88" w14:textId="77777777" w:rsidR="007D24C0" w:rsidRDefault="00F82C74" w:rsidP="00985B8C">
      <w:r>
        <w:t xml:space="preserve">Stakeholder </w:t>
      </w:r>
      <w:r w:rsidRPr="005777E0">
        <w:t xml:space="preserve">consultation </w:t>
      </w:r>
      <w:r w:rsidR="008E5917">
        <w:t>indicates</w:t>
      </w:r>
      <w:r w:rsidRPr="005777E0">
        <w:t xml:space="preserve"> that </w:t>
      </w:r>
      <w:r w:rsidR="00010CE9">
        <w:t xml:space="preserve">measuring and </w:t>
      </w:r>
      <w:r w:rsidRPr="005777E0">
        <w:t>reporting e</w:t>
      </w:r>
      <w:r w:rsidR="00A4466A" w:rsidRPr="005777E0">
        <w:t>missions to the NPI cost</w:t>
      </w:r>
      <w:r w:rsidR="007D24C0" w:rsidRPr="005777E0">
        <w:t>s</w:t>
      </w:r>
      <w:r w:rsidR="00A4466A" w:rsidRPr="005777E0">
        <w:t xml:space="preserve"> approximately $</w:t>
      </w:r>
      <w:r w:rsidR="00284501">
        <w:t>13,1</w:t>
      </w:r>
      <w:r w:rsidR="005777E0" w:rsidRPr="005777E0">
        <w:t>00</w:t>
      </w:r>
      <w:r w:rsidR="00A4466A" w:rsidRPr="005777E0">
        <w:t xml:space="preserve"> per site</w:t>
      </w:r>
      <w:r w:rsidR="00C64A76" w:rsidRPr="005777E0">
        <w:t>.</w:t>
      </w:r>
      <w:r w:rsidR="005777E0">
        <w:rPr>
          <w:rStyle w:val="FootnoteReference"/>
        </w:rPr>
        <w:footnoteReference w:id="234"/>
      </w:r>
      <w:r w:rsidR="00C64A76" w:rsidRPr="005777E0">
        <w:t xml:space="preserve"> </w:t>
      </w:r>
      <w:r w:rsidR="007D24C0" w:rsidRPr="005777E0">
        <w:t>A</w:t>
      </w:r>
      <w:r w:rsidR="007D24C0">
        <w:t xml:space="preserve"> number of the businesses consulted indicated that they collected emissions inf</w:t>
      </w:r>
      <w:r w:rsidR="00FD24FE">
        <w:t>ormation as a standard practice. For those businesses, the costs of NPI involved</w:t>
      </w:r>
      <w:r w:rsidR="000E3B50">
        <w:t xml:space="preserve"> the</w:t>
      </w:r>
      <w:r w:rsidR="00FD24FE">
        <w:t xml:space="preserve"> labour time and other costs involved with compiling the relevant indicators and preparing a report for EPA. </w:t>
      </w:r>
      <w:r w:rsidR="00284501">
        <w:t xml:space="preserve">Other businesses indicated that they engaged </w:t>
      </w:r>
      <w:r w:rsidR="000E3B50">
        <w:t>consultants</w:t>
      </w:r>
      <w:r w:rsidR="00284501">
        <w:t xml:space="preserve"> to prepare annual NPI reports. </w:t>
      </w:r>
      <w:r w:rsidR="003B0DB5">
        <w:t xml:space="preserve">The annual cost to prepare emissions information ranged from </w:t>
      </w:r>
      <w:r w:rsidR="00BB20E0">
        <w:t>less than $500</w:t>
      </w:r>
      <w:r w:rsidR="003B0DB5">
        <w:t xml:space="preserve"> to </w:t>
      </w:r>
      <w:r w:rsidR="00FB58F5">
        <w:t xml:space="preserve">$130,000 per site. </w:t>
      </w:r>
    </w:p>
    <w:p w14:paraId="656B0B89" w14:textId="77777777" w:rsidR="00F82C74" w:rsidRDefault="00C64A76" w:rsidP="00985B8C">
      <w:pPr>
        <w:rPr>
          <w:i/>
        </w:rPr>
      </w:pPr>
      <w:r>
        <w:t xml:space="preserve">There </w:t>
      </w:r>
      <w:r w:rsidRPr="005777E0">
        <w:t>are currently 445 sites r</w:t>
      </w:r>
      <w:r w:rsidR="00A52562" w:rsidRPr="005777E0">
        <w:t xml:space="preserve">equired to report </w:t>
      </w:r>
      <w:r w:rsidR="00FF5647" w:rsidRPr="005777E0">
        <w:t xml:space="preserve">emissions </w:t>
      </w:r>
      <w:r w:rsidR="00A52562" w:rsidRPr="005777E0">
        <w:t>to the NPI</w:t>
      </w:r>
      <w:r w:rsidR="00FB58F5">
        <w:t xml:space="preserve"> in Victoria. Of the businesses surveyed that indicated that they reported to the NPI, only </w:t>
      </w:r>
      <w:r w:rsidR="00A52562" w:rsidRPr="005777E0">
        <w:t>3</w:t>
      </w:r>
      <w:r w:rsidR="005777E0" w:rsidRPr="005777E0">
        <w:t>0</w:t>
      </w:r>
      <w:r w:rsidR="00A52562" w:rsidRPr="005777E0">
        <w:t xml:space="preserve">% </w:t>
      </w:r>
      <w:r w:rsidR="00FB58F5">
        <w:t xml:space="preserve">indicated that they </w:t>
      </w:r>
      <w:r w:rsidR="00A52562">
        <w:t xml:space="preserve">would continue to </w:t>
      </w:r>
      <w:r w:rsidR="00FB58F5">
        <w:t>do so if no longer required by law</w:t>
      </w:r>
      <w:r w:rsidR="00A52562">
        <w:t>.</w:t>
      </w:r>
      <w:r w:rsidR="008E5917" w:rsidRPr="003F50E8">
        <w:rPr>
          <w:rStyle w:val="FootnoteReference"/>
        </w:rPr>
        <w:footnoteReference w:id="235"/>
      </w:r>
      <w:r w:rsidR="008E5917">
        <w:t xml:space="preserve"> As such</w:t>
      </w:r>
      <w:r w:rsidR="00A52562" w:rsidRPr="003F50E8">
        <w:t xml:space="preserve">, a prescribed requirement to report to the NPI would result in an additional </w:t>
      </w:r>
      <w:r w:rsidR="003F50E8" w:rsidRPr="003F50E8">
        <w:t>312</w:t>
      </w:r>
      <w:r w:rsidR="00A52562" w:rsidRPr="003F50E8">
        <w:t xml:space="preserve"> sites reporting to the NPI under </w:t>
      </w:r>
      <w:r w:rsidR="008E5917">
        <w:t>O</w:t>
      </w:r>
      <w:r w:rsidR="008E5917" w:rsidRPr="003F50E8">
        <w:t>ption</w:t>
      </w:r>
      <w:r w:rsidR="00A52562" w:rsidRPr="003F50E8">
        <w:t xml:space="preserve"> 1. This</w:t>
      </w:r>
      <w:r w:rsidR="00FB58F5">
        <w:t xml:space="preserve"> would result</w:t>
      </w:r>
      <w:r w:rsidR="00A52562" w:rsidRPr="003F50E8">
        <w:t xml:space="preserve"> in an estimated annual total cost of $</w:t>
      </w:r>
      <w:r w:rsidR="00284501">
        <w:t>4</w:t>
      </w:r>
      <w:r w:rsidR="003F50E8" w:rsidRPr="003F50E8">
        <w:t>.</w:t>
      </w:r>
      <w:r w:rsidR="00284501">
        <w:t xml:space="preserve">1 </w:t>
      </w:r>
      <w:r w:rsidR="00A52562" w:rsidRPr="003F50E8">
        <w:t>million</w:t>
      </w:r>
      <w:r w:rsidR="008E5917" w:rsidRPr="003F50E8">
        <w:t xml:space="preserve">. </w:t>
      </w:r>
      <w:r w:rsidR="008E5917">
        <w:t>O</w:t>
      </w:r>
      <w:r w:rsidR="008E5917" w:rsidRPr="003F50E8">
        <w:t>ption</w:t>
      </w:r>
      <w:r w:rsidR="00A52562" w:rsidRPr="003F50E8">
        <w:t xml:space="preserve"> 1</w:t>
      </w:r>
      <w:r w:rsidR="00284501">
        <w:t xml:space="preserve"> is </w:t>
      </w:r>
      <w:r w:rsidR="00D06D24">
        <w:t xml:space="preserve">therefore </w:t>
      </w:r>
      <w:r w:rsidR="00284501">
        <w:t xml:space="preserve">estimated to result in a </w:t>
      </w:r>
      <w:r w:rsidR="00A52562" w:rsidRPr="003F50E8">
        <w:t>$</w:t>
      </w:r>
      <w:r w:rsidR="00284501">
        <w:t>33.1</w:t>
      </w:r>
      <w:r w:rsidR="00A52562" w:rsidRPr="003F50E8">
        <w:t xml:space="preserve"> million </w:t>
      </w:r>
      <w:r w:rsidR="008E5917">
        <w:t xml:space="preserve">(present value) </w:t>
      </w:r>
      <w:r w:rsidR="00A52562" w:rsidRPr="003F50E8">
        <w:t>cost burden</w:t>
      </w:r>
      <w:r w:rsidR="00A52562">
        <w:t xml:space="preserve"> on businesses over </w:t>
      </w:r>
      <w:r w:rsidR="008E5917">
        <w:t>a</w:t>
      </w:r>
      <w:r w:rsidR="00A52562">
        <w:t xml:space="preserve"> 10 year </w:t>
      </w:r>
      <w:r w:rsidR="008E5917">
        <w:t xml:space="preserve">period. </w:t>
      </w:r>
    </w:p>
    <w:p w14:paraId="656B0B8A" w14:textId="77777777" w:rsidR="00985B8C" w:rsidRPr="00BF51BD" w:rsidRDefault="00985B8C" w:rsidP="00037AF8">
      <w:pPr>
        <w:spacing w:after="0"/>
        <w:rPr>
          <w:i/>
        </w:rPr>
      </w:pPr>
      <w:r w:rsidRPr="00BF51BD">
        <w:rPr>
          <w:i/>
        </w:rPr>
        <w:t xml:space="preserve">Costs to </w:t>
      </w:r>
      <w:r>
        <w:rPr>
          <w:i/>
        </w:rPr>
        <w:t>government</w:t>
      </w:r>
    </w:p>
    <w:p w14:paraId="656B0B8B" w14:textId="77777777" w:rsidR="00985B8C" w:rsidRPr="00B02DC6" w:rsidRDefault="00985B8C" w:rsidP="00985B8C">
      <w:r w:rsidRPr="00B02DC6">
        <w:t>EPA</w:t>
      </w:r>
      <w:r w:rsidR="003F50E8">
        <w:t xml:space="preserve"> also incurs costs in </w:t>
      </w:r>
      <w:r w:rsidR="008B6B42">
        <w:t>collect</w:t>
      </w:r>
      <w:r w:rsidR="003F50E8">
        <w:t>ing</w:t>
      </w:r>
      <w:r w:rsidR="008B6B42">
        <w:t xml:space="preserve">, </w:t>
      </w:r>
      <w:r w:rsidR="003F50E8">
        <w:t>aggregating</w:t>
      </w:r>
      <w:r w:rsidR="008B6B42">
        <w:t xml:space="preserve"> and </w:t>
      </w:r>
      <w:r w:rsidR="00F82C74">
        <w:t>report</w:t>
      </w:r>
      <w:r w:rsidR="003F50E8">
        <w:t>ing</w:t>
      </w:r>
      <w:r w:rsidR="00F82C74">
        <w:t xml:space="preserve"> </w:t>
      </w:r>
      <w:r w:rsidR="008B6B42">
        <w:t xml:space="preserve">pollution estimates to </w:t>
      </w:r>
      <w:r w:rsidR="00F82C74">
        <w:t>the NPI</w:t>
      </w:r>
      <w:r w:rsidRPr="00B02DC6">
        <w:t xml:space="preserve">. </w:t>
      </w:r>
      <w:r w:rsidR="007729F0">
        <w:t xml:space="preserve">In 2017-18, this was estimated to be $204,000, comprising mostly employee costs. Of this amount, the Federal Government contributed $85,000, while the Victorian Government funded the remaining $119,000. </w:t>
      </w:r>
    </w:p>
    <w:p w14:paraId="656B0B8C" w14:textId="77777777" w:rsidR="00985B8C" w:rsidRDefault="00985B8C" w:rsidP="000E7C5E">
      <w:pPr>
        <w:pStyle w:val="Heading4un-numbered"/>
      </w:pPr>
      <w:r>
        <w:t>Benefits</w:t>
      </w:r>
    </w:p>
    <w:p w14:paraId="656B0B8D" w14:textId="77777777" w:rsidR="00985B8C" w:rsidRPr="00B02DC6" w:rsidRDefault="00985B8C" w:rsidP="00037AF8">
      <w:pPr>
        <w:spacing w:after="0"/>
        <w:rPr>
          <w:i/>
        </w:rPr>
      </w:pPr>
      <w:r w:rsidRPr="00BF51BD">
        <w:rPr>
          <w:i/>
        </w:rPr>
        <w:t xml:space="preserve">Benefits to </w:t>
      </w:r>
      <w:r>
        <w:rPr>
          <w:i/>
        </w:rPr>
        <w:t xml:space="preserve">government and </w:t>
      </w:r>
      <w:r w:rsidRPr="00BF51BD">
        <w:rPr>
          <w:i/>
        </w:rPr>
        <w:t>community</w:t>
      </w:r>
    </w:p>
    <w:p w14:paraId="656B0B8E" w14:textId="77777777" w:rsidR="00985B8C" w:rsidRDefault="00881638" w:rsidP="00985B8C">
      <w:r>
        <w:t>R</w:t>
      </w:r>
      <w:r w:rsidR="00985B8C">
        <w:t xml:space="preserve">eporting to the </w:t>
      </w:r>
      <w:r w:rsidR="006A221F">
        <w:t>NPI</w:t>
      </w:r>
      <w:r w:rsidR="00985B8C">
        <w:t xml:space="preserve"> provides a nationally consistent framework </w:t>
      </w:r>
      <w:r w:rsidR="006A221F">
        <w:t>and database for gathering air pollution data.</w:t>
      </w:r>
      <w:r w:rsidR="00985B8C">
        <w:t xml:space="preserve"> </w:t>
      </w:r>
      <w:r w:rsidR="006A221F">
        <w:t>The database is publicly available</w:t>
      </w:r>
      <w:r w:rsidR="008B6B42">
        <w:t xml:space="preserve">, meaning that it provides </w:t>
      </w:r>
      <w:r w:rsidR="006A221F">
        <w:t>a benefit</w:t>
      </w:r>
      <w:r w:rsidR="00FF5647">
        <w:t xml:space="preserve"> by allowing members of the community to </w:t>
      </w:r>
      <w:r w:rsidR="00FF5647" w:rsidRPr="002C7973">
        <w:t xml:space="preserve">access information </w:t>
      </w:r>
      <w:r w:rsidR="00FF5647">
        <w:t>about local emissions</w:t>
      </w:r>
      <w:r w:rsidR="006A221F">
        <w:t>. In addition</w:t>
      </w:r>
      <w:r w:rsidR="00FF5647">
        <w:t>, the data can assist with research</w:t>
      </w:r>
      <w:r w:rsidR="006A221F">
        <w:t xml:space="preserve">, </w:t>
      </w:r>
      <w:r w:rsidR="00FF5647">
        <w:t xml:space="preserve">and allow </w:t>
      </w:r>
      <w:r w:rsidR="006A221F">
        <w:t xml:space="preserve">air pollution </w:t>
      </w:r>
      <w:r w:rsidR="00FF5647">
        <w:t>policies and targets (</w:t>
      </w:r>
      <w:r w:rsidR="006A221F">
        <w:t>at bo</w:t>
      </w:r>
      <w:r w:rsidR="00FF5647">
        <w:t xml:space="preserve">th the federal and state levels) to be evaluated more accurately. NPI data can also </w:t>
      </w:r>
      <w:r w:rsidR="006A221F">
        <w:t xml:space="preserve">inform </w:t>
      </w:r>
      <w:r w:rsidR="00FB58F5">
        <w:t xml:space="preserve">policy makers in setting </w:t>
      </w:r>
      <w:r w:rsidR="006A221F">
        <w:t xml:space="preserve">future standards and </w:t>
      </w:r>
      <w:r w:rsidR="00FB58F5">
        <w:t xml:space="preserve">targets, which could ultimately protect </w:t>
      </w:r>
      <w:r w:rsidR="00985B8C">
        <w:t>human health and wellbeing.</w:t>
      </w:r>
    </w:p>
    <w:p w14:paraId="656B0B8F" w14:textId="77777777" w:rsidR="00985B8C" w:rsidRPr="00B02DC6" w:rsidRDefault="006A221F" w:rsidP="00985B8C">
      <w:r>
        <w:t xml:space="preserve">Without this requirement, </w:t>
      </w:r>
      <w:r w:rsidR="008B6B42">
        <w:t xml:space="preserve">it is assumed that </w:t>
      </w:r>
      <w:r w:rsidRPr="003F50E8">
        <w:t xml:space="preserve">approximately </w:t>
      </w:r>
      <w:r w:rsidR="003F50E8" w:rsidRPr="003F50E8">
        <w:t>70</w:t>
      </w:r>
      <w:r w:rsidRPr="003F50E8">
        <w:t xml:space="preserve">% of </w:t>
      </w:r>
      <w:r w:rsidR="00010CE9">
        <w:t xml:space="preserve">the 445 </w:t>
      </w:r>
      <w:r w:rsidRPr="003F50E8">
        <w:t>sites would n</w:t>
      </w:r>
      <w:r>
        <w:t>ot report on air pollution</w:t>
      </w:r>
      <w:r w:rsidR="003F50E8">
        <w:t xml:space="preserve"> to the NPI</w:t>
      </w:r>
      <w:r w:rsidR="00BB20E0">
        <w:t xml:space="preserve"> (based on survey responses)</w:t>
      </w:r>
      <w:r>
        <w:t xml:space="preserve">. </w:t>
      </w:r>
      <w:r w:rsidR="00D06D24">
        <w:t xml:space="preserve">This would reduce the value of the NPI database, and would diminish public knowledge on Victoria’s performance with regard to air pollution and air quality. </w:t>
      </w:r>
      <w:r w:rsidR="00BB20E0">
        <w:t xml:space="preserve">It is assumed that 100% of the 445 sites that currently report, would continue to report to the NPI if required to do so. </w:t>
      </w:r>
      <w:r w:rsidR="00985B8C">
        <w:t xml:space="preserve">Therefore, </w:t>
      </w:r>
      <w:r w:rsidR="000C1C59">
        <w:t xml:space="preserve">Option </w:t>
      </w:r>
      <w:r w:rsidR="00985B8C">
        <w:t xml:space="preserve">1 </w:t>
      </w:r>
      <w:r w:rsidR="00010CE9">
        <w:t>is</w:t>
      </w:r>
      <w:r w:rsidR="00E75F3B">
        <w:t xml:space="preserve"> likely </w:t>
      </w:r>
      <w:r w:rsidR="00010CE9">
        <w:t xml:space="preserve">to </w:t>
      </w:r>
      <w:r w:rsidR="00E75F3B">
        <w:t xml:space="preserve">be </w:t>
      </w:r>
      <w:r w:rsidR="00985B8C">
        <w:t xml:space="preserve">effective in </w:t>
      </w:r>
      <w:r w:rsidR="00BD4B63">
        <w:t>maintaining the value of the NPI database to Victoria and maintaining public knowledge</w:t>
      </w:r>
      <w:r w:rsidR="00985B8C">
        <w:t xml:space="preserve">. </w:t>
      </w:r>
    </w:p>
    <w:p w14:paraId="656B0B90" w14:textId="77777777" w:rsidR="00985B8C" w:rsidRDefault="00384D8A" w:rsidP="000E7C5E">
      <w:pPr>
        <w:pStyle w:val="Heading4un-numbered"/>
      </w:pPr>
      <w:r>
        <w:t xml:space="preserve">MCA </w:t>
      </w:r>
      <w:r w:rsidR="00985B8C">
        <w:t>of option 1</w:t>
      </w:r>
    </w:p>
    <w:p w14:paraId="656B0B91" w14:textId="77777777" w:rsidR="00C440BB" w:rsidRDefault="00C440BB" w:rsidP="00985B8C">
      <w:r w:rsidRPr="00FE17C2">
        <w:t xml:space="preserve">A prescribed requirement to </w:t>
      </w:r>
      <w:r>
        <w:t xml:space="preserve">report to the NPI would enable </w:t>
      </w:r>
      <w:r w:rsidRPr="00FE17C2">
        <w:t xml:space="preserve">the </w:t>
      </w:r>
      <w:r>
        <w:t>NPI database to continue to operate in its current capacity, and to remain a valuable source of publicly</w:t>
      </w:r>
      <w:r w:rsidR="00D06D24">
        <w:t xml:space="preserve"> </w:t>
      </w:r>
      <w:r>
        <w:t xml:space="preserve">available information regarding industrial </w:t>
      </w:r>
      <w:r w:rsidRPr="00FE17C2">
        <w:t>pollution in Victoria.</w:t>
      </w:r>
      <w:r>
        <w:t xml:space="preserve"> Reflecting this, a score of +10 is given for effectiveness.</w:t>
      </w:r>
    </w:p>
    <w:p w14:paraId="656B0B92" w14:textId="77777777" w:rsidR="00C440BB" w:rsidRDefault="00C440BB" w:rsidP="00985B8C">
      <w:r w:rsidRPr="00FE17C2">
        <w:t xml:space="preserve">The prescribed </w:t>
      </w:r>
      <w:r w:rsidR="00E52DDD">
        <w:t>requirement</w:t>
      </w:r>
      <w:r w:rsidR="00E52DDD" w:rsidRPr="00FE17C2">
        <w:t xml:space="preserve"> </w:t>
      </w:r>
      <w:r w:rsidR="00E52DDD">
        <w:t>has</w:t>
      </w:r>
      <w:r w:rsidR="00B615B3">
        <w:t xml:space="preserve"> </w:t>
      </w:r>
      <w:r>
        <w:t xml:space="preserve">a moderate cost </w:t>
      </w:r>
      <w:r w:rsidRPr="00FE17C2">
        <w:t>burden, estimated to cost businesses</w:t>
      </w:r>
      <w:r>
        <w:t xml:space="preserve"> (across 445 sites) </w:t>
      </w:r>
      <w:r w:rsidRPr="00FE17C2">
        <w:t>$33.1 million over 10 years in present value terms.</w:t>
      </w:r>
      <w:r>
        <w:t xml:space="preserve"> </w:t>
      </w:r>
      <w:r w:rsidR="00E75F3B">
        <w:t xml:space="preserve">Given that this is relatively moderate considering the large number of sites and long period of time, </w:t>
      </w:r>
      <w:r>
        <w:t>a score of -</w:t>
      </w:r>
      <w:r w:rsidR="00E75F3B">
        <w:t xml:space="preserve">5 is given for cost. </w:t>
      </w:r>
    </w:p>
    <w:p w14:paraId="656B0B93" w14:textId="77777777" w:rsidR="00985B8C" w:rsidRDefault="00985B8C" w:rsidP="00985B8C">
      <w:r w:rsidRPr="00284501">
        <w:t>Overall</w:t>
      </w:r>
      <w:r w:rsidR="00C440BB">
        <w:t xml:space="preserve">, </w:t>
      </w:r>
      <w:r w:rsidR="00010CE9">
        <w:t>O</w:t>
      </w:r>
      <w:r w:rsidR="00C440BB">
        <w:t xml:space="preserve">ption 1 has a </w:t>
      </w:r>
      <w:r w:rsidRPr="00284501">
        <w:t xml:space="preserve">score of </w:t>
      </w:r>
      <w:r w:rsidR="00C440BB">
        <w:t>+</w:t>
      </w:r>
      <w:r w:rsidR="00E75F3B">
        <w:t>5</w:t>
      </w:r>
      <w:r w:rsidRPr="00284501">
        <w:t xml:space="preserve"> due to </w:t>
      </w:r>
      <w:r w:rsidR="00295795" w:rsidRPr="00284501">
        <w:t>its</w:t>
      </w:r>
      <w:r w:rsidRPr="00284501">
        <w:t xml:space="preserve"> effectiveness in achieving desired outcomes</w:t>
      </w:r>
      <w:r w:rsidR="0071392A" w:rsidRPr="00284501">
        <w:t>, while maintaining a relativel</w:t>
      </w:r>
      <w:r w:rsidR="0071392A">
        <w:t>y low cost burden on businesses and government</w:t>
      </w:r>
      <w:r>
        <w:t>.</w:t>
      </w:r>
    </w:p>
    <w:p w14:paraId="656B0B94" w14:textId="77777777" w:rsidR="008F7006" w:rsidRDefault="008F7006" w:rsidP="000E7C5E">
      <w:pPr>
        <w:pStyle w:val="Heading3un-numbered"/>
      </w:pPr>
      <w:r>
        <w:t xml:space="preserve">Option 2 – Non-mandatory EPA </w:t>
      </w:r>
      <w:r w:rsidR="002970EE">
        <w:t>guidance to encourage businesses to report to NPI</w:t>
      </w:r>
    </w:p>
    <w:p w14:paraId="656B0B95" w14:textId="77777777" w:rsidR="008F7006" w:rsidRDefault="008F7006" w:rsidP="000E7C5E">
      <w:pPr>
        <w:pStyle w:val="Heading4un-numbered"/>
      </w:pPr>
      <w:r>
        <w:t>Costs</w:t>
      </w:r>
    </w:p>
    <w:p w14:paraId="656B0B96" w14:textId="77777777" w:rsidR="008F7006" w:rsidRDefault="008F7006" w:rsidP="00037AF8">
      <w:pPr>
        <w:spacing w:after="0"/>
      </w:pPr>
      <w:r>
        <w:rPr>
          <w:i/>
        </w:rPr>
        <w:t>Cost to businesses</w:t>
      </w:r>
    </w:p>
    <w:p w14:paraId="656B0B97" w14:textId="77777777" w:rsidR="006D1B8A" w:rsidRDefault="0098137C" w:rsidP="008F7006">
      <w:r>
        <w:t xml:space="preserve">The incremental cost burden of </w:t>
      </w:r>
      <w:r w:rsidR="008C14F5">
        <w:t>Option</w:t>
      </w:r>
      <w:r>
        <w:t xml:space="preserve"> 2 on businesses is estimated to be immaterial. </w:t>
      </w:r>
      <w:r w:rsidR="006D1B8A">
        <w:t xml:space="preserve">Under </w:t>
      </w:r>
      <w:r w:rsidR="008C14F5">
        <w:t>Option</w:t>
      </w:r>
      <w:r w:rsidR="006D1B8A">
        <w:t xml:space="preserve"> 2, businesses would not be required to monitor or report on their </w:t>
      </w:r>
      <w:r w:rsidR="002970EE">
        <w:t xml:space="preserve">emissions </w:t>
      </w:r>
      <w:r w:rsidR="006D1B8A">
        <w:t xml:space="preserve">to the NPI. It is estimated that </w:t>
      </w:r>
      <w:r w:rsidR="002970EE">
        <w:t>70</w:t>
      </w:r>
      <w:r w:rsidR="006D1B8A">
        <w:t>% of businesses would not report to the NPI if it was not mandatory</w:t>
      </w:r>
      <w:r w:rsidR="00E75F3B">
        <w:t xml:space="preserve"> (based on survey responses)</w:t>
      </w:r>
      <w:r w:rsidR="006D1B8A">
        <w:t>, while 3</w:t>
      </w:r>
      <w:r w:rsidR="002970EE">
        <w:t>0</w:t>
      </w:r>
      <w:r w:rsidR="006D1B8A">
        <w:t xml:space="preserve">% would continue under their internal environmental practices and duties. </w:t>
      </w:r>
      <w:r>
        <w:t xml:space="preserve">Given that the NPI is a well-established national database, businesses that would be inclined to </w:t>
      </w:r>
      <w:r w:rsidR="002970EE">
        <w:t xml:space="preserve">continue </w:t>
      </w:r>
      <w:r>
        <w:t>report</w:t>
      </w:r>
      <w:r w:rsidR="002970EE">
        <w:t>ing</w:t>
      </w:r>
      <w:r>
        <w:t xml:space="preserve"> to the database are likely to do so under the </w:t>
      </w:r>
      <w:r w:rsidR="00BF2C24">
        <w:t>Base Case</w:t>
      </w:r>
      <w:r>
        <w:t>. Therefore it is</w:t>
      </w:r>
      <w:r w:rsidR="006D1B8A">
        <w:t xml:space="preserve"> expected that non-mandatory </w:t>
      </w:r>
      <w:r w:rsidR="002970EE">
        <w:t xml:space="preserve">guidance </w:t>
      </w:r>
      <w:r w:rsidR="006D1B8A">
        <w:t xml:space="preserve">would </w:t>
      </w:r>
      <w:r w:rsidR="00BD4B63">
        <w:t xml:space="preserve">be less likely to influence </w:t>
      </w:r>
      <w:r>
        <w:t xml:space="preserve">businesses </w:t>
      </w:r>
      <w:r w:rsidR="00BD4B63">
        <w:t xml:space="preserve">to report </w:t>
      </w:r>
      <w:r>
        <w:t>to the NPI</w:t>
      </w:r>
      <w:r w:rsidR="00E66684">
        <w:t xml:space="preserve"> than a mandated requirement (under Option 1)</w:t>
      </w:r>
      <w:r>
        <w:t xml:space="preserve">. </w:t>
      </w:r>
    </w:p>
    <w:p w14:paraId="656B0B98" w14:textId="77777777" w:rsidR="008F7006" w:rsidRPr="00BF51BD" w:rsidRDefault="008F7006" w:rsidP="00037AF8">
      <w:pPr>
        <w:spacing w:after="0"/>
        <w:rPr>
          <w:i/>
        </w:rPr>
      </w:pPr>
      <w:r w:rsidRPr="00BF51BD">
        <w:rPr>
          <w:i/>
        </w:rPr>
        <w:t xml:space="preserve">Costs to </w:t>
      </w:r>
      <w:r>
        <w:rPr>
          <w:i/>
        </w:rPr>
        <w:t>government</w:t>
      </w:r>
    </w:p>
    <w:p w14:paraId="656B0B99" w14:textId="77777777" w:rsidR="00F166B0" w:rsidRDefault="00284501" w:rsidP="00F166B0">
      <w:r>
        <w:t xml:space="preserve">EPA </w:t>
      </w:r>
      <w:r w:rsidR="002970EE">
        <w:t xml:space="preserve">would be likely to </w:t>
      </w:r>
      <w:r>
        <w:t xml:space="preserve">continue to collect and aggregate NPI data collected from businesses who voluntarily report. </w:t>
      </w:r>
      <w:r w:rsidR="008C14F5">
        <w:t>The cost of preparing the guidance material is expected to be minor.</w:t>
      </w:r>
    </w:p>
    <w:p w14:paraId="656B0B9A" w14:textId="77777777" w:rsidR="008F7006" w:rsidRDefault="008F7006" w:rsidP="000E7C5E">
      <w:pPr>
        <w:pStyle w:val="Heading4un-numbered"/>
      </w:pPr>
      <w:r>
        <w:t>Benefits</w:t>
      </w:r>
    </w:p>
    <w:p w14:paraId="656B0B9B" w14:textId="77777777" w:rsidR="008F7006" w:rsidRPr="00B02DC6" w:rsidRDefault="008F7006" w:rsidP="00037AF8">
      <w:pPr>
        <w:spacing w:after="0"/>
        <w:rPr>
          <w:i/>
        </w:rPr>
      </w:pPr>
      <w:r w:rsidRPr="00BF51BD">
        <w:rPr>
          <w:i/>
        </w:rPr>
        <w:t xml:space="preserve">Benefits to </w:t>
      </w:r>
      <w:r>
        <w:rPr>
          <w:i/>
        </w:rPr>
        <w:t xml:space="preserve">government and </w:t>
      </w:r>
      <w:r w:rsidRPr="00BF51BD">
        <w:rPr>
          <w:i/>
        </w:rPr>
        <w:t>community</w:t>
      </w:r>
    </w:p>
    <w:p w14:paraId="656B0B9C" w14:textId="77777777" w:rsidR="0098137C" w:rsidRDefault="0098137C" w:rsidP="008F7006">
      <w:r>
        <w:t>As suggested above, w</w:t>
      </w:r>
      <w:r w:rsidR="008F7006">
        <w:t xml:space="preserve">ithout </w:t>
      </w:r>
      <w:r>
        <w:t xml:space="preserve">a mandatory </w:t>
      </w:r>
      <w:r w:rsidR="00284501">
        <w:t xml:space="preserve">requirement, approximately </w:t>
      </w:r>
      <w:r w:rsidR="008F7006">
        <w:t>7</w:t>
      </w:r>
      <w:r w:rsidR="00284501">
        <w:t>0</w:t>
      </w:r>
      <w:r w:rsidR="008F7006">
        <w:t>% of sites would not report</w:t>
      </w:r>
      <w:r w:rsidR="00284501">
        <w:t xml:space="preserve"> emissions to the NPI</w:t>
      </w:r>
      <w:r w:rsidR="008F7006">
        <w:t xml:space="preserve">. </w:t>
      </w:r>
      <w:r w:rsidR="002970EE">
        <w:t>As</w:t>
      </w:r>
      <w:r w:rsidR="00284501">
        <w:t xml:space="preserve"> such, the </w:t>
      </w:r>
      <w:r w:rsidR="008F7006">
        <w:t xml:space="preserve">publicly available database of air pollution from </w:t>
      </w:r>
      <w:r w:rsidR="00284501">
        <w:t xml:space="preserve">pollution sites across </w:t>
      </w:r>
      <w:r w:rsidR="008F7006">
        <w:t>Victoria</w:t>
      </w:r>
      <w:r w:rsidR="00284501">
        <w:t xml:space="preserve"> would contain data from fewer sites</w:t>
      </w:r>
      <w:r w:rsidR="008F7006">
        <w:t xml:space="preserve">. </w:t>
      </w:r>
      <w:r>
        <w:t xml:space="preserve">This </w:t>
      </w:r>
      <w:r w:rsidR="00284501">
        <w:t xml:space="preserve">would reduce </w:t>
      </w:r>
      <w:r>
        <w:t>public and government knowledge of Victoria’s pollution, and may potentially impact human health and environment due to inadequate government oversight and policy surrounding air pollution management.</w:t>
      </w:r>
    </w:p>
    <w:p w14:paraId="656B0B9D" w14:textId="77777777" w:rsidR="008C14F5" w:rsidRPr="00B02DC6" w:rsidRDefault="008C14F5" w:rsidP="008C14F5">
      <w:r>
        <w:t xml:space="preserve">Therefore, Option 2 is less effective in gathering comprehensive and accurate pollution data into a centralised and publicly available database. </w:t>
      </w:r>
    </w:p>
    <w:p w14:paraId="656B0B9E" w14:textId="77777777" w:rsidR="008F7006" w:rsidRDefault="008F7006" w:rsidP="000E7C5E">
      <w:pPr>
        <w:pStyle w:val="Heading4un-numbered"/>
      </w:pPr>
      <w:r>
        <w:t xml:space="preserve">MCA </w:t>
      </w:r>
      <w:r w:rsidR="00E73DE1">
        <w:t>of option 2</w:t>
      </w:r>
    </w:p>
    <w:p w14:paraId="656B0B9F" w14:textId="77777777" w:rsidR="00C440BB" w:rsidRDefault="00C440BB" w:rsidP="00C440BB">
      <w:r>
        <w:t xml:space="preserve">Option 2 would be less effective that Option 1 in influencing businesses to report to the NPI. As such, the NPI would contain less pollution information and be of less value to government and the general public. Overall, a score of +1 is given for effectiveness. </w:t>
      </w:r>
    </w:p>
    <w:p w14:paraId="656B0BA0" w14:textId="77777777" w:rsidR="00C440BB" w:rsidRPr="00FE17C2" w:rsidRDefault="00C440BB" w:rsidP="00C440BB">
      <w:r>
        <w:t>R</w:t>
      </w:r>
      <w:r w:rsidRPr="00FE17C2">
        <w:t>emoving the prescribed requirement</w:t>
      </w:r>
      <w:r>
        <w:t xml:space="preserve"> would reduce </w:t>
      </w:r>
      <w:r w:rsidRPr="00FE17C2">
        <w:t xml:space="preserve">the cost burden on </w:t>
      </w:r>
      <w:r>
        <w:t>site operators that would, under Option 1, be required to operate to NPI</w:t>
      </w:r>
      <w:r w:rsidR="00DC7A63">
        <w:t xml:space="preserve">. </w:t>
      </w:r>
      <w:r>
        <w:t xml:space="preserve">Therefore, a score of -1 is given for cost (relative to the </w:t>
      </w:r>
      <w:r w:rsidR="00010CE9">
        <w:t>B</w:t>
      </w:r>
      <w:r>
        <w:t xml:space="preserve">ase </w:t>
      </w:r>
      <w:r w:rsidR="00010CE9">
        <w:t>C</w:t>
      </w:r>
      <w:r>
        <w:t xml:space="preserve">ase). </w:t>
      </w:r>
    </w:p>
    <w:p w14:paraId="656B0BA1" w14:textId="77777777" w:rsidR="00481DFF" w:rsidRDefault="00481DFF" w:rsidP="00693108">
      <w:pPr>
        <w:pStyle w:val="Heading3"/>
        <w:ind w:left="720"/>
      </w:pPr>
      <w:r>
        <w:t>Results</w:t>
      </w:r>
    </w:p>
    <w:p w14:paraId="656B0BA2" w14:textId="77777777" w:rsidR="00481DFF" w:rsidRDefault="00481DFF" w:rsidP="00481DFF">
      <w:r w:rsidRPr="00330947">
        <w:t>B</w:t>
      </w:r>
      <w:r>
        <w:t>ased on the analysis above</w:t>
      </w:r>
      <w:r w:rsidRPr="00330947">
        <w:t xml:space="preserve">, </w:t>
      </w:r>
      <w:r w:rsidR="006A53A9">
        <w:t>O</w:t>
      </w:r>
      <w:r w:rsidR="006A53A9" w:rsidRPr="00330947">
        <w:t xml:space="preserve">ption </w:t>
      </w:r>
      <w:r w:rsidRPr="00330947">
        <w:t xml:space="preserve">1 </w:t>
      </w:r>
      <w:r>
        <w:t>receives the highest score overall</w:t>
      </w:r>
      <w:r w:rsidRPr="00610B91">
        <w:t xml:space="preserve">. While </w:t>
      </w:r>
      <w:r w:rsidR="006A53A9">
        <w:t>O</w:t>
      </w:r>
      <w:r w:rsidR="006A53A9" w:rsidRPr="00610B91">
        <w:t xml:space="preserve">ption </w:t>
      </w:r>
      <w:r w:rsidRPr="00610B91">
        <w:t xml:space="preserve">2 </w:t>
      </w:r>
      <w:r w:rsidR="00F240B7">
        <w:t>imposes</w:t>
      </w:r>
      <w:r w:rsidR="00F240B7" w:rsidRPr="00610B91">
        <w:t xml:space="preserve"> </w:t>
      </w:r>
      <w:r w:rsidRPr="00610B91">
        <w:t>a lower cost burden on businesses, it is significantly less effe</w:t>
      </w:r>
      <w:r>
        <w:t>ctive in achieving the desired outcomes</w:t>
      </w:r>
      <w:r w:rsidRPr="00330947">
        <w:t xml:space="preserve">. </w:t>
      </w:r>
      <w:r w:rsidR="00E75F3B">
        <w:t>Option 1 is the</w:t>
      </w:r>
      <w:r w:rsidR="00D06D24">
        <w:t>refore the</w:t>
      </w:r>
      <w:r w:rsidR="00E75F3B">
        <w:t xml:space="preserve"> preferred option. </w:t>
      </w:r>
    </w:p>
    <w:p w14:paraId="656B0BA3" w14:textId="77777777" w:rsidR="00481DFF" w:rsidRDefault="00481DFF" w:rsidP="00481DFF">
      <w:pPr>
        <w:pStyle w:val="Caption"/>
      </w:pPr>
      <w:r>
        <w:t xml:space="preserve">Table </w:t>
      </w:r>
      <w:r w:rsidR="00DC24EE">
        <w:rPr>
          <w:color w:val="2B579A"/>
          <w:shd w:val="clear" w:color="auto" w:fill="E6E6E6"/>
        </w:rPr>
        <w:fldChar w:fldCharType="begin"/>
      </w:r>
      <w:r w:rsidR="00DC24EE">
        <w:instrText xml:space="preserve"> STYLEREF 1 \s </w:instrText>
      </w:r>
      <w:r w:rsidR="00DC24EE">
        <w:rPr>
          <w:color w:val="2B579A"/>
          <w:shd w:val="clear" w:color="auto" w:fill="E6E6E6"/>
        </w:rPr>
        <w:fldChar w:fldCharType="separate"/>
      </w:r>
      <w:r w:rsidR="00B11C1E">
        <w:rPr>
          <w:noProof/>
        </w:rPr>
        <w:t>12</w:t>
      </w:r>
      <w:r w:rsidR="00DC24EE">
        <w:rPr>
          <w:color w:val="2B579A"/>
          <w:shd w:val="clear" w:color="auto" w:fill="E6E6E6"/>
        </w:rPr>
        <w:fldChar w:fldCharType="end"/>
      </w:r>
      <w:r w:rsidR="00DC24EE">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5</w:t>
      </w:r>
      <w:r w:rsidR="00997CFA">
        <w:rPr>
          <w:color w:val="2B579A"/>
          <w:shd w:val="clear" w:color="auto" w:fill="E6E6E6"/>
        </w:rPr>
        <w:fldChar w:fldCharType="end"/>
      </w:r>
      <w:r>
        <w:t xml:space="preserve"> Summary of MCA option results for </w:t>
      </w:r>
      <w:r w:rsidR="00C8320D">
        <w:t>reporting to the NPI</w:t>
      </w:r>
    </w:p>
    <w:tbl>
      <w:tblPr>
        <w:tblStyle w:val="Deloittetable"/>
        <w:tblW w:w="8694" w:type="dxa"/>
        <w:tblLayout w:type="fixed"/>
        <w:tblLook w:val="04A0" w:firstRow="1" w:lastRow="0" w:firstColumn="1" w:lastColumn="0" w:noHBand="0" w:noVBand="1"/>
      </w:tblPr>
      <w:tblGrid>
        <w:gridCol w:w="1823"/>
        <w:gridCol w:w="3490"/>
        <w:gridCol w:w="3381"/>
      </w:tblGrid>
      <w:tr w:rsidR="00C440BB" w:rsidRPr="006A59EB" w14:paraId="656B0BA7" w14:textId="77777777" w:rsidTr="007729F0">
        <w:trPr>
          <w:cnfStyle w:val="100000000000" w:firstRow="1" w:lastRow="0" w:firstColumn="0" w:lastColumn="0" w:oddVBand="0" w:evenVBand="0" w:oddHBand="0" w:evenHBand="0" w:firstRowFirstColumn="0" w:firstRowLastColumn="0" w:lastRowFirstColumn="0" w:lastRowLastColumn="0"/>
          <w:trHeight w:val="227"/>
        </w:trPr>
        <w:tc>
          <w:tcPr>
            <w:tcW w:w="1823" w:type="dxa"/>
            <w:tcBorders>
              <w:bottom w:val="nil"/>
            </w:tcBorders>
            <w:noWrap/>
            <w:hideMark/>
          </w:tcPr>
          <w:p w14:paraId="656B0BA4" w14:textId="77777777" w:rsidR="00C440BB" w:rsidRPr="00E27C5E" w:rsidRDefault="00C440BB" w:rsidP="007729F0">
            <w:pPr>
              <w:spacing w:after="0" w:line="240" w:lineRule="auto"/>
              <w:rPr>
                <w:rFonts w:eastAsia="Times New Roman" w:cs="Segoe UI Light"/>
                <w:sz w:val="18"/>
                <w:lang w:eastAsia="en-AU"/>
              </w:rPr>
            </w:pPr>
            <w:r w:rsidRPr="002E4233">
              <w:rPr>
                <w:rFonts w:eastAsia="Times New Roman" w:cs="Segoe UI Light"/>
                <w:b/>
                <w:bCs/>
                <w:color w:val="000000"/>
                <w:sz w:val="18"/>
                <w:lang w:eastAsia="en-AU"/>
              </w:rPr>
              <w:t>Criteria</w:t>
            </w:r>
            <w:r w:rsidR="008122AD">
              <w:rPr>
                <w:rFonts w:eastAsia="Times New Roman" w:cs="Segoe UI Light"/>
                <w:b/>
                <w:bCs/>
                <w:color w:val="000000"/>
                <w:sz w:val="18"/>
                <w:lang w:eastAsia="en-AU"/>
              </w:rPr>
              <w:t xml:space="preserve"> (and weight)</w:t>
            </w:r>
          </w:p>
        </w:tc>
        <w:tc>
          <w:tcPr>
            <w:tcW w:w="3490" w:type="dxa"/>
            <w:tcBorders>
              <w:bottom w:val="nil"/>
            </w:tcBorders>
            <w:noWrap/>
            <w:hideMark/>
          </w:tcPr>
          <w:p w14:paraId="656B0BA5" w14:textId="77777777" w:rsidR="00C440BB" w:rsidRPr="00E27C5E" w:rsidRDefault="00C440BB" w:rsidP="00603FBA">
            <w:pPr>
              <w:spacing w:after="0" w:line="240" w:lineRule="auto"/>
              <w:ind w:right="57"/>
              <w:jc w:val="right"/>
              <w:rPr>
                <w:rFonts w:eastAsia="Times New Roman" w:cs="Segoe UI Light"/>
                <w:b/>
                <w:bCs/>
                <w:color w:val="000000"/>
                <w:sz w:val="18"/>
                <w:lang w:eastAsia="en-AU"/>
              </w:rPr>
            </w:pPr>
            <w:r w:rsidRPr="00E27C5E">
              <w:rPr>
                <w:rFonts w:eastAsia="Times New Roman" w:cs="Segoe UI Light"/>
                <w:b/>
                <w:bCs/>
                <w:color w:val="000000"/>
                <w:sz w:val="18"/>
                <w:lang w:eastAsia="en-AU"/>
              </w:rPr>
              <w:t>Option 1</w:t>
            </w:r>
          </w:p>
        </w:tc>
        <w:tc>
          <w:tcPr>
            <w:tcW w:w="3381" w:type="dxa"/>
            <w:tcBorders>
              <w:bottom w:val="nil"/>
            </w:tcBorders>
            <w:noWrap/>
            <w:hideMark/>
          </w:tcPr>
          <w:p w14:paraId="656B0BA6" w14:textId="77777777" w:rsidR="00C440BB" w:rsidRPr="00E27C5E" w:rsidRDefault="00C440BB" w:rsidP="00506CAC">
            <w:pPr>
              <w:spacing w:after="0" w:line="240" w:lineRule="auto"/>
              <w:ind w:right="57"/>
              <w:jc w:val="right"/>
              <w:rPr>
                <w:rFonts w:eastAsia="Times New Roman" w:cs="Segoe UI Light"/>
                <w:b/>
                <w:bCs/>
                <w:color w:val="000000"/>
                <w:sz w:val="18"/>
                <w:lang w:eastAsia="en-AU"/>
              </w:rPr>
            </w:pPr>
            <w:r w:rsidRPr="00E27C5E">
              <w:rPr>
                <w:rFonts w:eastAsia="Times New Roman" w:cs="Segoe UI Light"/>
                <w:b/>
                <w:bCs/>
                <w:color w:val="000000"/>
                <w:sz w:val="18"/>
                <w:lang w:eastAsia="en-AU"/>
              </w:rPr>
              <w:t>Option 2</w:t>
            </w:r>
          </w:p>
        </w:tc>
      </w:tr>
      <w:tr w:rsidR="00C440BB" w:rsidRPr="006A59EB" w14:paraId="656B0BAB" w14:textId="77777777" w:rsidTr="007729F0">
        <w:trPr>
          <w:trHeight w:val="372"/>
        </w:trPr>
        <w:tc>
          <w:tcPr>
            <w:tcW w:w="1823" w:type="dxa"/>
            <w:tcBorders>
              <w:top w:val="nil"/>
            </w:tcBorders>
            <w:noWrap/>
            <w:hideMark/>
          </w:tcPr>
          <w:p w14:paraId="656B0BA8" w14:textId="77777777" w:rsidR="00C440BB" w:rsidRPr="00E27C5E" w:rsidRDefault="00C440BB" w:rsidP="007729F0">
            <w:pPr>
              <w:spacing w:after="0" w:line="240" w:lineRule="auto"/>
              <w:rPr>
                <w:rFonts w:eastAsia="Times New Roman" w:cs="Segoe UI Light"/>
                <w:b/>
                <w:bCs/>
                <w:color w:val="000000"/>
                <w:sz w:val="18"/>
                <w:lang w:eastAsia="en-AU"/>
              </w:rPr>
            </w:pPr>
          </w:p>
        </w:tc>
        <w:tc>
          <w:tcPr>
            <w:tcW w:w="3490" w:type="dxa"/>
            <w:tcBorders>
              <w:top w:val="nil"/>
            </w:tcBorders>
            <w:hideMark/>
          </w:tcPr>
          <w:p w14:paraId="656B0BA9" w14:textId="77777777" w:rsidR="00C440BB" w:rsidRPr="00E27C5E" w:rsidRDefault="00C440BB" w:rsidP="00603FBA">
            <w:pPr>
              <w:spacing w:after="0" w:line="240" w:lineRule="auto"/>
              <w:ind w:right="57"/>
              <w:jc w:val="right"/>
              <w:rPr>
                <w:rFonts w:eastAsia="Times New Roman" w:cs="Segoe UI Light"/>
                <w:color w:val="000000"/>
                <w:sz w:val="18"/>
                <w:lang w:eastAsia="en-AU"/>
              </w:rPr>
            </w:pPr>
            <w:r>
              <w:rPr>
                <w:sz w:val="18"/>
              </w:rPr>
              <w:t>Prescribed requirement</w:t>
            </w:r>
          </w:p>
        </w:tc>
        <w:tc>
          <w:tcPr>
            <w:tcW w:w="3381" w:type="dxa"/>
            <w:tcBorders>
              <w:top w:val="nil"/>
            </w:tcBorders>
            <w:hideMark/>
          </w:tcPr>
          <w:p w14:paraId="656B0BAA" w14:textId="77777777" w:rsidR="00C440BB" w:rsidRPr="00E27C5E" w:rsidRDefault="00C440BB" w:rsidP="00506CAC">
            <w:pPr>
              <w:spacing w:after="0" w:line="240" w:lineRule="auto"/>
              <w:ind w:right="57"/>
              <w:jc w:val="right"/>
              <w:rPr>
                <w:rFonts w:eastAsia="Times New Roman" w:cs="Segoe UI Light"/>
                <w:color w:val="000000"/>
                <w:sz w:val="18"/>
                <w:lang w:eastAsia="en-AU"/>
              </w:rPr>
            </w:pPr>
            <w:r>
              <w:rPr>
                <w:sz w:val="18"/>
              </w:rPr>
              <w:t>Non-regulatory materials</w:t>
            </w:r>
          </w:p>
        </w:tc>
      </w:tr>
      <w:tr w:rsidR="00C440BB" w:rsidRPr="006A59EB" w14:paraId="656B0BAF" w14:textId="77777777" w:rsidTr="007729F0">
        <w:trPr>
          <w:trHeight w:val="227"/>
        </w:trPr>
        <w:tc>
          <w:tcPr>
            <w:tcW w:w="1823" w:type="dxa"/>
            <w:noWrap/>
            <w:hideMark/>
          </w:tcPr>
          <w:p w14:paraId="656B0BAC" w14:textId="77777777" w:rsidR="00C440BB" w:rsidRPr="00E27C5E" w:rsidRDefault="00C440BB" w:rsidP="007729F0">
            <w:pPr>
              <w:spacing w:after="0" w:line="240" w:lineRule="auto"/>
              <w:rPr>
                <w:rFonts w:eastAsia="Times New Roman" w:cs="Segoe UI Light"/>
                <w:color w:val="000000"/>
                <w:sz w:val="18"/>
                <w:lang w:eastAsia="en-AU"/>
              </w:rPr>
            </w:pPr>
            <w:r w:rsidRPr="00E27C5E">
              <w:rPr>
                <w:rFonts w:eastAsia="Times New Roman" w:cs="Segoe UI Light"/>
                <w:color w:val="000000"/>
                <w:sz w:val="18"/>
                <w:lang w:eastAsia="en-AU"/>
              </w:rPr>
              <w:t>Effectiveness</w:t>
            </w:r>
            <w:r w:rsidR="008122AD">
              <w:rPr>
                <w:rFonts w:eastAsia="Times New Roman" w:cs="Segoe UI Light"/>
                <w:color w:val="000000"/>
                <w:sz w:val="18"/>
                <w:lang w:eastAsia="en-AU"/>
              </w:rPr>
              <w:t xml:space="preserve"> (50%)</w:t>
            </w:r>
          </w:p>
        </w:tc>
        <w:tc>
          <w:tcPr>
            <w:tcW w:w="3490" w:type="dxa"/>
            <w:noWrap/>
            <w:hideMark/>
          </w:tcPr>
          <w:p w14:paraId="656B0BAD" w14:textId="77777777" w:rsidR="00C440BB" w:rsidRPr="00E27C5E" w:rsidRDefault="00C440BB" w:rsidP="00603FBA">
            <w:pPr>
              <w:spacing w:after="0" w:line="240" w:lineRule="auto"/>
              <w:ind w:right="57"/>
              <w:jc w:val="right"/>
              <w:rPr>
                <w:rFonts w:eastAsia="Times New Roman" w:cs="Segoe UI Light"/>
                <w:color w:val="000000"/>
                <w:sz w:val="18"/>
                <w:lang w:eastAsia="en-AU"/>
              </w:rPr>
            </w:pPr>
            <w:r>
              <w:rPr>
                <w:sz w:val="18"/>
              </w:rPr>
              <w:t>10</w:t>
            </w:r>
          </w:p>
        </w:tc>
        <w:tc>
          <w:tcPr>
            <w:tcW w:w="3381" w:type="dxa"/>
            <w:noWrap/>
            <w:hideMark/>
          </w:tcPr>
          <w:p w14:paraId="656B0BAE" w14:textId="77777777" w:rsidR="00C440BB" w:rsidRPr="00E27C5E" w:rsidRDefault="00380C8F" w:rsidP="00506CAC">
            <w:pPr>
              <w:spacing w:after="0" w:line="240" w:lineRule="auto"/>
              <w:ind w:right="57"/>
              <w:jc w:val="right"/>
              <w:rPr>
                <w:rFonts w:eastAsia="Times New Roman" w:cs="Segoe UI Light"/>
                <w:color w:val="000000"/>
                <w:sz w:val="18"/>
                <w:lang w:eastAsia="en-AU"/>
              </w:rPr>
            </w:pPr>
            <w:r>
              <w:rPr>
                <w:rFonts w:eastAsia="Times New Roman" w:cs="Segoe UI Light"/>
                <w:color w:val="000000"/>
                <w:sz w:val="18"/>
                <w:lang w:eastAsia="en-AU"/>
              </w:rPr>
              <w:t>+1</w:t>
            </w:r>
          </w:p>
        </w:tc>
      </w:tr>
      <w:tr w:rsidR="00C440BB" w:rsidRPr="006A59EB" w14:paraId="656B0BB3" w14:textId="77777777" w:rsidTr="007729F0">
        <w:trPr>
          <w:trHeight w:val="227"/>
        </w:trPr>
        <w:tc>
          <w:tcPr>
            <w:tcW w:w="1823" w:type="dxa"/>
            <w:noWrap/>
            <w:hideMark/>
          </w:tcPr>
          <w:p w14:paraId="656B0BB0" w14:textId="77777777" w:rsidR="00C440BB" w:rsidRPr="00E27C5E" w:rsidRDefault="00C440BB" w:rsidP="007729F0">
            <w:pPr>
              <w:spacing w:after="0" w:line="240" w:lineRule="auto"/>
              <w:rPr>
                <w:rFonts w:eastAsia="Times New Roman" w:cs="Segoe UI Light"/>
                <w:color w:val="000000"/>
                <w:sz w:val="18"/>
                <w:lang w:eastAsia="en-AU"/>
              </w:rPr>
            </w:pPr>
            <w:r w:rsidRPr="00E27C5E">
              <w:rPr>
                <w:rFonts w:eastAsia="Times New Roman" w:cs="Segoe UI Light"/>
                <w:color w:val="000000"/>
                <w:sz w:val="18"/>
                <w:lang w:eastAsia="en-AU"/>
              </w:rPr>
              <w:t>Cost</w:t>
            </w:r>
            <w:r w:rsidR="008122AD">
              <w:rPr>
                <w:rFonts w:eastAsia="Times New Roman" w:cs="Segoe UI Light"/>
                <w:color w:val="000000"/>
                <w:sz w:val="18"/>
                <w:lang w:eastAsia="en-AU"/>
              </w:rPr>
              <w:t xml:space="preserve"> (50%)</w:t>
            </w:r>
          </w:p>
        </w:tc>
        <w:tc>
          <w:tcPr>
            <w:tcW w:w="3490" w:type="dxa"/>
            <w:noWrap/>
            <w:hideMark/>
          </w:tcPr>
          <w:p w14:paraId="656B0BB1" w14:textId="77777777" w:rsidR="00C440BB" w:rsidRPr="00E27C5E" w:rsidRDefault="008122AD" w:rsidP="00603FBA">
            <w:pPr>
              <w:spacing w:after="0" w:line="240" w:lineRule="auto"/>
              <w:ind w:right="57"/>
              <w:jc w:val="right"/>
              <w:rPr>
                <w:rFonts w:eastAsia="Times New Roman" w:cs="Segoe UI Light"/>
                <w:color w:val="000000"/>
                <w:sz w:val="18"/>
                <w:lang w:eastAsia="en-AU"/>
              </w:rPr>
            </w:pPr>
            <w:r>
              <w:rPr>
                <w:sz w:val="18"/>
              </w:rPr>
              <w:t>-</w:t>
            </w:r>
            <w:r w:rsidR="00E75F3B">
              <w:rPr>
                <w:sz w:val="18"/>
              </w:rPr>
              <w:t>5</w:t>
            </w:r>
          </w:p>
        </w:tc>
        <w:tc>
          <w:tcPr>
            <w:tcW w:w="3381" w:type="dxa"/>
            <w:noWrap/>
            <w:hideMark/>
          </w:tcPr>
          <w:p w14:paraId="656B0BB2" w14:textId="77777777" w:rsidR="00C440BB" w:rsidRPr="00E27C5E" w:rsidRDefault="00C440BB" w:rsidP="00506CAC">
            <w:pPr>
              <w:spacing w:after="0" w:line="240" w:lineRule="auto"/>
              <w:ind w:right="57"/>
              <w:jc w:val="right"/>
              <w:rPr>
                <w:rFonts w:eastAsia="Times New Roman" w:cs="Segoe UI Light"/>
                <w:color w:val="000000"/>
                <w:sz w:val="18"/>
                <w:lang w:eastAsia="en-AU"/>
              </w:rPr>
            </w:pPr>
            <w:r w:rsidRPr="0065595F">
              <w:rPr>
                <w:sz w:val="18"/>
              </w:rPr>
              <w:t>-</w:t>
            </w:r>
            <w:r>
              <w:rPr>
                <w:sz w:val="18"/>
              </w:rPr>
              <w:t>1</w:t>
            </w:r>
          </w:p>
        </w:tc>
      </w:tr>
      <w:tr w:rsidR="00C440BB" w:rsidRPr="006A59EB" w14:paraId="656B0BB7" w14:textId="77777777" w:rsidTr="007729F0">
        <w:trPr>
          <w:trHeight w:val="227"/>
        </w:trPr>
        <w:tc>
          <w:tcPr>
            <w:tcW w:w="1823" w:type="dxa"/>
            <w:noWrap/>
            <w:hideMark/>
          </w:tcPr>
          <w:p w14:paraId="656B0BB4" w14:textId="77777777" w:rsidR="00C440BB" w:rsidRPr="00E27C5E" w:rsidRDefault="00C440BB" w:rsidP="007729F0">
            <w:pPr>
              <w:spacing w:after="0" w:line="240" w:lineRule="auto"/>
              <w:rPr>
                <w:rFonts w:eastAsia="Times New Roman" w:cs="Segoe UI Light"/>
                <w:b/>
                <w:bCs/>
                <w:color w:val="000000"/>
                <w:sz w:val="18"/>
                <w:lang w:eastAsia="en-AU"/>
              </w:rPr>
            </w:pPr>
            <w:r w:rsidRPr="00E27C5E">
              <w:rPr>
                <w:rFonts w:eastAsia="Times New Roman" w:cs="Segoe UI Light"/>
                <w:b/>
                <w:bCs/>
                <w:color w:val="000000"/>
                <w:sz w:val="18"/>
                <w:lang w:eastAsia="en-AU"/>
              </w:rPr>
              <w:t xml:space="preserve">Total </w:t>
            </w:r>
            <w:r w:rsidR="008122AD">
              <w:rPr>
                <w:rFonts w:eastAsia="Times New Roman" w:cs="Segoe UI Light"/>
                <w:b/>
                <w:bCs/>
                <w:color w:val="000000"/>
                <w:sz w:val="18"/>
                <w:lang w:eastAsia="en-AU"/>
              </w:rPr>
              <w:t xml:space="preserve">weighted </w:t>
            </w:r>
            <w:r w:rsidRPr="00E27C5E">
              <w:rPr>
                <w:rFonts w:eastAsia="Times New Roman" w:cs="Segoe UI Light"/>
                <w:b/>
                <w:bCs/>
                <w:color w:val="000000"/>
                <w:sz w:val="18"/>
                <w:lang w:eastAsia="en-AU"/>
              </w:rPr>
              <w:t>score</w:t>
            </w:r>
          </w:p>
        </w:tc>
        <w:tc>
          <w:tcPr>
            <w:tcW w:w="3490" w:type="dxa"/>
            <w:noWrap/>
            <w:hideMark/>
          </w:tcPr>
          <w:p w14:paraId="656B0BB5" w14:textId="77777777" w:rsidR="00C440BB" w:rsidRPr="00E27C5E" w:rsidRDefault="008122AD" w:rsidP="00603FBA">
            <w:pPr>
              <w:spacing w:after="0" w:line="240" w:lineRule="auto"/>
              <w:ind w:right="57"/>
              <w:jc w:val="right"/>
              <w:rPr>
                <w:rFonts w:eastAsia="Times New Roman" w:cs="Segoe UI Light"/>
                <w:b/>
                <w:bCs/>
                <w:color w:val="000000"/>
                <w:sz w:val="18"/>
                <w:lang w:eastAsia="en-AU"/>
              </w:rPr>
            </w:pPr>
            <w:r>
              <w:rPr>
                <w:rFonts w:eastAsia="Times New Roman" w:cs="Segoe UI Light"/>
                <w:b/>
                <w:bCs/>
                <w:color w:val="000000"/>
                <w:sz w:val="18"/>
                <w:lang w:eastAsia="en-AU"/>
              </w:rPr>
              <w:t>2.5</w:t>
            </w:r>
          </w:p>
        </w:tc>
        <w:tc>
          <w:tcPr>
            <w:tcW w:w="3381" w:type="dxa"/>
            <w:noWrap/>
            <w:hideMark/>
          </w:tcPr>
          <w:p w14:paraId="656B0BB6" w14:textId="77777777" w:rsidR="00C440BB" w:rsidRPr="00E27C5E" w:rsidRDefault="00C440BB" w:rsidP="00506CAC">
            <w:pPr>
              <w:spacing w:after="0" w:line="240" w:lineRule="auto"/>
              <w:ind w:right="57"/>
              <w:jc w:val="right"/>
              <w:rPr>
                <w:rFonts w:eastAsia="Times New Roman" w:cs="Segoe UI Light"/>
                <w:b/>
                <w:bCs/>
                <w:color w:val="000000"/>
                <w:sz w:val="18"/>
                <w:lang w:eastAsia="en-AU"/>
              </w:rPr>
            </w:pPr>
            <w:r>
              <w:rPr>
                <w:rFonts w:eastAsia="Times New Roman" w:cs="Segoe UI Light"/>
                <w:b/>
                <w:bCs/>
                <w:color w:val="000000"/>
                <w:sz w:val="18"/>
                <w:lang w:eastAsia="en-AU"/>
              </w:rPr>
              <w:t>0</w:t>
            </w:r>
          </w:p>
        </w:tc>
      </w:tr>
    </w:tbl>
    <w:p w14:paraId="656B0BB8" w14:textId="77777777" w:rsidR="00481DFF" w:rsidRDefault="00481DFF" w:rsidP="00481DFF"/>
    <w:p w14:paraId="656B0BB9" w14:textId="77777777" w:rsidR="002D275E" w:rsidRPr="002D275E" w:rsidRDefault="008419EF" w:rsidP="00982D63">
      <w:pPr>
        <w:pStyle w:val="Heading2"/>
      </w:pPr>
      <w:r>
        <w:t xml:space="preserve">Management of </w:t>
      </w:r>
      <w:r w:rsidR="00581E6F">
        <w:t xml:space="preserve">methyl bromide – an </w:t>
      </w:r>
      <w:r>
        <w:t>ozone depleting substance</w:t>
      </w:r>
    </w:p>
    <w:p w14:paraId="656B0BBA" w14:textId="77777777" w:rsidR="00946E6A" w:rsidRDefault="00946E6A" w:rsidP="00946E6A">
      <w:r>
        <w:t>M</w:t>
      </w:r>
      <w:r w:rsidRPr="00946E6A">
        <w:t xml:space="preserve">anufactured chemicals, especially manufactured halocarbon refrigerants, solvents, </w:t>
      </w:r>
      <w:r w:rsidR="004C3C8B">
        <w:t xml:space="preserve">aerosol </w:t>
      </w:r>
      <w:r w:rsidRPr="00946E6A">
        <w:t>prop</w:t>
      </w:r>
      <w:r>
        <w:t xml:space="preserve">ellants and foam-blowing agents, are a major cause of depletion of </w:t>
      </w:r>
      <w:r w:rsidRPr="00946E6A">
        <w:t>the earth’s protective ozone layer.</w:t>
      </w:r>
      <w:r>
        <w:t xml:space="preserve"> These chemicals are collectively known as ‘ozone depleting substances</w:t>
      </w:r>
      <w:r w:rsidR="004C3C8B">
        <w:t>’</w:t>
      </w:r>
      <w:r>
        <w:t xml:space="preserve"> (ODSs). </w:t>
      </w:r>
      <w:r w:rsidR="004C3C8B">
        <w:t>The ozone layer p</w:t>
      </w:r>
      <w:r w:rsidR="004C3C8B" w:rsidRPr="004C3C8B">
        <w:t xml:space="preserve">rotects life on earth by absorbing harmful ultraviolet-B (UV-B) radiation from the sun. </w:t>
      </w:r>
    </w:p>
    <w:p w14:paraId="656B0BBB" w14:textId="77777777" w:rsidR="006A53A9" w:rsidRDefault="006A53A9" w:rsidP="006A53A9">
      <w:r w:rsidRPr="002D275E">
        <w:t>Currently</w:t>
      </w:r>
      <w:r>
        <w:t xml:space="preserve"> in Victoria, Waste Management Policy (Protection of the Ozone Layer) (WMP POL) </w:t>
      </w:r>
      <w:r w:rsidRPr="002D275E">
        <w:t>sets obligations on handlers, suppliers and purchasers of equipment with ozone depleting substances to use alternatives,</w:t>
      </w:r>
      <w:r>
        <w:t xml:space="preserve"> and on users to </w:t>
      </w:r>
      <w:r w:rsidRPr="002D275E">
        <w:t>reuse, recover or destroy the substances.</w:t>
      </w:r>
    </w:p>
    <w:p w14:paraId="656B0BBC" w14:textId="77777777" w:rsidR="00E42FD0" w:rsidRDefault="00E42FD0" w:rsidP="00E42FD0">
      <w:pPr>
        <w:pStyle w:val="ListParagraph"/>
        <w:spacing w:before="60" w:after="60"/>
        <w:ind w:left="0"/>
        <w:contextualSpacing w:val="0"/>
      </w:pPr>
      <w:r>
        <w:t xml:space="preserve">Australia is a signatory to the </w:t>
      </w:r>
      <w:r w:rsidRPr="004C3C8B">
        <w:t>Montreal Protocol on Substances that Deplete the Ozone Layer, which controls the production and import of ODS</w:t>
      </w:r>
      <w:r>
        <w:t xml:space="preserve">s. The Commonwealth Ozone Protection and Synthetic Greenhouse Gas Management Act 1989 and Regulations 1995 </w:t>
      </w:r>
      <w:r w:rsidRPr="00B91350">
        <w:t xml:space="preserve">control the manufacture, import, export, use and disposal of ozone depleting substances </w:t>
      </w:r>
      <w:r>
        <w:t xml:space="preserve">(ODS) </w:t>
      </w:r>
      <w:r w:rsidRPr="00B91350">
        <w:t>and synthetic greenhouse gases</w:t>
      </w:r>
      <w:r>
        <w:t xml:space="preserve"> (SGG) to meet Australia’s obligations under the Montreal Protocol.</w:t>
      </w:r>
      <w:r w:rsidRPr="00E42FD0">
        <w:rPr>
          <w:rStyle w:val="FootnoteReference"/>
        </w:rPr>
        <w:t xml:space="preserve"> </w:t>
      </w:r>
      <w:r w:rsidRPr="00946E6A">
        <w:t xml:space="preserve">Bulk import into Australia of most </w:t>
      </w:r>
      <w:r>
        <w:t>ODSs</w:t>
      </w:r>
      <w:r w:rsidR="00B24489">
        <w:t xml:space="preserve"> (</w:t>
      </w:r>
      <w:r w:rsidRPr="00946E6A">
        <w:t xml:space="preserve">except </w:t>
      </w:r>
      <w:r w:rsidR="00B24489" w:rsidRPr="00B24489">
        <w:t>Hydrochlorofluorocarbons</w:t>
      </w:r>
      <w:r w:rsidR="00B24489">
        <w:t xml:space="preserve"> [</w:t>
      </w:r>
      <w:r w:rsidRPr="00946E6A">
        <w:t>HCFCs</w:t>
      </w:r>
      <w:r w:rsidR="00B24489">
        <w:t>]</w:t>
      </w:r>
      <w:r w:rsidRPr="00946E6A">
        <w:t xml:space="preserve"> and methyl bromide) </w:t>
      </w:r>
      <w:r w:rsidR="00B24489">
        <w:t xml:space="preserve">are </w:t>
      </w:r>
      <w:r w:rsidRPr="00946E6A">
        <w:t>banned.</w:t>
      </w:r>
      <w:r>
        <w:rPr>
          <w:rStyle w:val="FootnoteReference"/>
        </w:rPr>
        <w:footnoteReference w:id="236"/>
      </w:r>
    </w:p>
    <w:p w14:paraId="0CE2C097" w14:textId="77777777" w:rsidR="009E012A" w:rsidRDefault="009E012A" w:rsidP="009E012A">
      <w:r w:rsidRPr="00315BC6">
        <w:t xml:space="preserve">Analysis undertaken by EPA found that state-based regulations could supplement the Commonwealth framework regarding the use of methyl bromide. Methyl bromide is a fumigant used to treat pests for import and export uses and as an </w:t>
      </w:r>
      <w:r w:rsidRPr="00315BC6">
        <w:rPr>
          <w:i/>
        </w:rPr>
        <w:t>in-situ</w:t>
      </w:r>
      <w:r w:rsidRPr="00315BC6">
        <w:t xml:space="preserve"> treatment for commercial strawberry runner production. </w:t>
      </w:r>
      <w:r w:rsidRPr="00085DE9">
        <w:t>Methyl bromide used for quarantine and pre-shipment (QPS) uses and non-quarantine pre-shipment (non-QPS) uses is exempted from Commonwealth legislation.</w:t>
      </w:r>
    </w:p>
    <w:p w14:paraId="72032543" w14:textId="77777777" w:rsidR="009E012A" w:rsidRDefault="009E012A" w:rsidP="009E012A">
      <w:r w:rsidRPr="00315BC6">
        <w:t xml:space="preserve">Methyl bromide is most commonly used for quarantine pre-shipment (QPS) uses. This includes fumigation treatments for imports, exports and certain commodities transported interstate. The Commonwealth legislation exempts the discharge of methyl bromide being used for QPS application and there is no requirement as to how methyl bromide is discharged and managed. </w:t>
      </w:r>
      <w:r>
        <w:t xml:space="preserve">In </w:t>
      </w:r>
      <w:r w:rsidRPr="00315BC6">
        <w:t>2016</w:t>
      </w:r>
      <w:r>
        <w:t>,</w:t>
      </w:r>
      <w:r w:rsidRPr="00315BC6">
        <w:t xml:space="preserve"> the estimated </w:t>
      </w:r>
      <w:r>
        <w:t>national</w:t>
      </w:r>
      <w:r w:rsidRPr="00315BC6">
        <w:t xml:space="preserve"> use of methyl bromide was 693 metric tonnes</w:t>
      </w:r>
      <w:r>
        <w:t xml:space="preserve"> </w:t>
      </w:r>
      <w:r w:rsidRPr="00315BC6">
        <w:t>for domestic, import and export uses</w:t>
      </w:r>
      <w:r>
        <w:t xml:space="preserve"> (the estimated usage for Victoria is expected to be a portion of this total)</w:t>
      </w:r>
      <w:r>
        <w:rPr>
          <w:rStyle w:val="FootnoteReference"/>
        </w:rPr>
        <w:footnoteReference w:id="237"/>
      </w:r>
      <w:r>
        <w:t>.</w:t>
      </w:r>
    </w:p>
    <w:p w14:paraId="7DB97552" w14:textId="77777777" w:rsidR="009E012A" w:rsidRDefault="009E012A" w:rsidP="009E012A">
      <w:r w:rsidRPr="00315BC6">
        <w:t xml:space="preserve">The only remaining non-QPS use of methyl bromide (designated as a critical use exemption) </w:t>
      </w:r>
      <w:r w:rsidRPr="003123DF">
        <w:t>is for strawberry runner production in Victoria, which is granted the exemption based on localised soil characteristics and temperatures</w:t>
      </w:r>
      <w:r>
        <w:t>.</w:t>
      </w:r>
      <w:r w:rsidRPr="003123DF">
        <w:t xml:space="preserve"> </w:t>
      </w:r>
      <w:r>
        <w:t xml:space="preserve">If granted, users can discharge as much methyl bromide as the exemption allows, provided they record and report their use. Previously, exemptions were available for other uses, such as cut flowers and almonds. </w:t>
      </w:r>
      <w:r w:rsidRPr="003123DF">
        <w:t>In 2018, 10 producers were granted a critical use exemption for methyl bromide, all in Toolangi, Victoria</w:t>
      </w:r>
      <w:r>
        <w:t xml:space="preserve">. </w:t>
      </w:r>
    </w:p>
    <w:p w14:paraId="656B0BC0" w14:textId="77777777" w:rsidR="003123DF" w:rsidRDefault="003123DF" w:rsidP="003123DF">
      <w:r w:rsidRPr="003123DF">
        <w:t>Methyl bromide is recognised as a significant ozone-depleting substance under the Montreal Protocol</w:t>
      </w:r>
      <w:r>
        <w:t xml:space="preserve">. It is estimated that </w:t>
      </w:r>
      <w:r w:rsidR="0030430D">
        <w:t>30%</w:t>
      </w:r>
      <w:r>
        <w:t xml:space="preserve"> of the present recovery of the ozone layer (globally) is due to the regulations and phase out of methyl bromide.</w:t>
      </w:r>
      <w:r>
        <w:rPr>
          <w:rStyle w:val="FootnoteReference"/>
        </w:rPr>
        <w:footnoteReference w:id="238"/>
      </w:r>
      <w:r>
        <w:t xml:space="preserve"> </w:t>
      </w:r>
    </w:p>
    <w:p w14:paraId="656B0BC1" w14:textId="074F0EBF" w:rsidR="00C8320D" w:rsidRDefault="00C8320D" w:rsidP="00693108">
      <w:r>
        <w:t>EPA considers that the</w:t>
      </w:r>
      <w:r w:rsidR="000C1C59">
        <w:t xml:space="preserve">re </w:t>
      </w:r>
      <w:r>
        <w:t xml:space="preserve">is an opportunity to place an obligation on </w:t>
      </w:r>
      <w:r w:rsidR="00A03B16">
        <w:t xml:space="preserve">QPS and non-QPS emitters </w:t>
      </w:r>
      <w:r>
        <w:t xml:space="preserve">to seek viable alternatives and to minimise the use of methyl bromide and to recover, reuse, recycle or destroy it </w:t>
      </w:r>
      <w:r w:rsidR="007729F0">
        <w:t xml:space="preserve">to support the </w:t>
      </w:r>
      <w:r>
        <w:t>Commonwealth legislation.</w:t>
      </w:r>
    </w:p>
    <w:p w14:paraId="656B0BC2" w14:textId="77777777" w:rsidR="008419EF" w:rsidRDefault="00272B3A" w:rsidP="00693108">
      <w:pPr>
        <w:pStyle w:val="Heading3"/>
        <w:ind w:left="720"/>
      </w:pPr>
      <w:r>
        <w:t>Options</w:t>
      </w:r>
    </w:p>
    <w:p w14:paraId="656B0BC3" w14:textId="77777777" w:rsidR="00375BDE" w:rsidRDefault="00375BDE" w:rsidP="00B1098A">
      <w:r w:rsidRPr="00375BDE">
        <w:t xml:space="preserve">Under the </w:t>
      </w:r>
      <w:r w:rsidR="000514DD">
        <w:t>Base Case</w:t>
      </w:r>
      <w:r w:rsidRPr="00375BDE">
        <w:t xml:space="preserve">, </w:t>
      </w:r>
      <w:r>
        <w:t xml:space="preserve">the GED </w:t>
      </w:r>
      <w:r w:rsidR="0030430D">
        <w:t>would</w:t>
      </w:r>
      <w:r w:rsidR="00B9319F">
        <w:t xml:space="preserve"> apply to the use of </w:t>
      </w:r>
      <w:r w:rsidR="00E42FD0">
        <w:t xml:space="preserve">methyl bromide </w:t>
      </w:r>
      <w:r w:rsidR="00A04B6E">
        <w:t>in the absence of further regulations</w:t>
      </w:r>
      <w:r w:rsidR="00B9319F">
        <w:t xml:space="preserve">. Under the </w:t>
      </w:r>
      <w:r w:rsidR="000514DD">
        <w:t>Base Case</w:t>
      </w:r>
      <w:r w:rsidR="00B9319F">
        <w:t xml:space="preserve">, any person who does not minimise the risks of harm to human health or the environment from the emission of </w:t>
      </w:r>
      <w:r w:rsidR="00E42FD0">
        <w:t>methyl bromide (or any other ODS)</w:t>
      </w:r>
      <w:r w:rsidR="00A04B6E">
        <w:t xml:space="preserve">, so far as reasonably practicable, could be committing an offence under the GED. </w:t>
      </w:r>
    </w:p>
    <w:p w14:paraId="656B0BC4" w14:textId="77777777" w:rsidR="00D33C82" w:rsidRDefault="00837F1C" w:rsidP="00D33C82">
      <w:pPr>
        <w:pStyle w:val="Bullet1"/>
        <w:ind w:left="0" w:firstLine="0"/>
      </w:pPr>
      <w:r>
        <w:t xml:space="preserve">Only one option is considered to address the risk posed by methyl bromide, other than the </w:t>
      </w:r>
      <w:r w:rsidR="0030430D">
        <w:t>B</w:t>
      </w:r>
      <w:r>
        <w:t xml:space="preserve">ase </w:t>
      </w:r>
      <w:r w:rsidR="0030430D">
        <w:t>C</w:t>
      </w:r>
      <w:r>
        <w:t>ase. This option (</w:t>
      </w:r>
      <w:r w:rsidRPr="0030430D">
        <w:t>Option 1</w:t>
      </w:r>
      <w:r>
        <w:t xml:space="preserve">) </w:t>
      </w:r>
      <w:r w:rsidR="00D33C82">
        <w:t xml:space="preserve">is to </w:t>
      </w:r>
      <w:r w:rsidR="007B60F8">
        <w:t>prescribe in regulation that</w:t>
      </w:r>
      <w:r w:rsidR="00A04B6E">
        <w:t>:</w:t>
      </w:r>
      <w:r w:rsidR="00375BDE">
        <w:t xml:space="preserve"> </w:t>
      </w:r>
    </w:p>
    <w:p w14:paraId="656B0BC5" w14:textId="77777777" w:rsidR="00D33C82" w:rsidRPr="0030430D" w:rsidRDefault="007B60F8" w:rsidP="00037AF8">
      <w:pPr>
        <w:pStyle w:val="ListParagraph"/>
        <w:numPr>
          <w:ilvl w:val="0"/>
          <w:numId w:val="391"/>
        </w:numPr>
        <w:rPr>
          <w:rFonts w:cs="Segoe UI Light"/>
        </w:rPr>
      </w:pPr>
      <w:r w:rsidRPr="000730C7">
        <w:rPr>
          <w:rFonts w:cs="Segoe UI Light"/>
        </w:rPr>
        <w:t>H</w:t>
      </w:r>
      <w:r w:rsidR="00D33C82" w:rsidRPr="009271CA">
        <w:rPr>
          <w:rFonts w:cs="Segoe UI Light"/>
        </w:rPr>
        <w:t xml:space="preserve">andlers, suppliers and purchasers of equipment with </w:t>
      </w:r>
      <w:r w:rsidR="00E42FD0" w:rsidRPr="00B40D23">
        <w:rPr>
          <w:rFonts w:cs="Segoe UI Light"/>
        </w:rPr>
        <w:t xml:space="preserve">methyl bromide </w:t>
      </w:r>
      <w:r w:rsidRPr="00B40D23">
        <w:rPr>
          <w:rFonts w:cs="Segoe UI Light"/>
        </w:rPr>
        <w:t xml:space="preserve">must </w:t>
      </w:r>
      <w:r w:rsidR="00D33C82" w:rsidRPr="0019024B">
        <w:rPr>
          <w:rFonts w:cs="Segoe UI Light"/>
        </w:rPr>
        <w:t xml:space="preserve">replace </w:t>
      </w:r>
      <w:r w:rsidR="00E42FD0" w:rsidRPr="005A0F04">
        <w:rPr>
          <w:rFonts w:cs="Segoe UI Light"/>
        </w:rPr>
        <w:t>it</w:t>
      </w:r>
      <w:r w:rsidR="00D33C82" w:rsidRPr="007F25C2">
        <w:rPr>
          <w:rFonts w:cs="Segoe UI Light"/>
        </w:rPr>
        <w:t>, or eliminate or reduce em</w:t>
      </w:r>
      <w:r w:rsidR="00D33C82" w:rsidRPr="0030430D">
        <w:rPr>
          <w:rFonts w:cs="Segoe UI Light"/>
        </w:rPr>
        <w:t xml:space="preserve">issions of </w:t>
      </w:r>
      <w:r w:rsidR="00E42FD0" w:rsidRPr="0030430D">
        <w:rPr>
          <w:rFonts w:cs="Segoe UI Light"/>
        </w:rPr>
        <w:t>methyl bromide</w:t>
      </w:r>
      <w:r w:rsidR="00D33C82" w:rsidRPr="0030430D">
        <w:rPr>
          <w:rFonts w:cs="Segoe UI Light"/>
        </w:rPr>
        <w:t xml:space="preserve">, so far as reasonably practicable. </w:t>
      </w:r>
    </w:p>
    <w:p w14:paraId="656B0BC6" w14:textId="77777777" w:rsidR="00D33C82" w:rsidRPr="004D7E16" w:rsidRDefault="00D33C82" w:rsidP="00037AF8">
      <w:pPr>
        <w:pStyle w:val="ListParagraph"/>
        <w:numPr>
          <w:ilvl w:val="0"/>
          <w:numId w:val="391"/>
        </w:numPr>
        <w:rPr>
          <w:rFonts w:cs="Segoe UI Light"/>
        </w:rPr>
      </w:pPr>
      <w:r w:rsidRPr="00853F1D">
        <w:rPr>
          <w:rFonts w:cs="Segoe UI Light"/>
        </w:rPr>
        <w:t xml:space="preserve">Persons who use </w:t>
      </w:r>
      <w:r w:rsidR="00E42FD0" w:rsidRPr="009A118F">
        <w:rPr>
          <w:rFonts w:cs="Segoe UI Light"/>
        </w:rPr>
        <w:t xml:space="preserve">methyl bromide </w:t>
      </w:r>
      <w:r w:rsidRPr="009A118F">
        <w:rPr>
          <w:rFonts w:cs="Segoe UI Light"/>
        </w:rPr>
        <w:t xml:space="preserve">for selected activities </w:t>
      </w:r>
      <w:r w:rsidR="007B60F8" w:rsidRPr="009A118F">
        <w:rPr>
          <w:rFonts w:cs="Segoe UI Light"/>
        </w:rPr>
        <w:t xml:space="preserve">must, so far as reasonably practicable, </w:t>
      </w:r>
      <w:r w:rsidRPr="00576195">
        <w:rPr>
          <w:rFonts w:cs="Segoe UI Light"/>
        </w:rPr>
        <w:t xml:space="preserve">recover </w:t>
      </w:r>
      <w:r w:rsidR="00E42FD0" w:rsidRPr="00576195">
        <w:rPr>
          <w:rFonts w:cs="Segoe UI Light"/>
        </w:rPr>
        <w:t xml:space="preserve">it </w:t>
      </w:r>
      <w:r w:rsidRPr="00C97BDA">
        <w:rPr>
          <w:rFonts w:cs="Segoe UI Light"/>
        </w:rPr>
        <w:t xml:space="preserve">and either reuse, recycle or destroy the substance or return it to the supplier for reuse, recycling, reclamation, storage or destruction. </w:t>
      </w:r>
    </w:p>
    <w:p w14:paraId="656B0BC7" w14:textId="6175292B" w:rsidR="00F777AC" w:rsidRDefault="00F777AC" w:rsidP="00693108">
      <w:r>
        <w:t xml:space="preserve">This approach, which requires stakeholders to minimise the use of </w:t>
      </w:r>
      <w:r w:rsidR="00993497">
        <w:t>m</w:t>
      </w:r>
      <w:r>
        <w:t xml:space="preserve">ethyl </w:t>
      </w:r>
      <w:r w:rsidR="00993497">
        <w:t>b</w:t>
      </w:r>
      <w:r>
        <w:t xml:space="preserve">romide and dispose of it correctly, provides flexibility to producers who are permitted to use the product. An outright ban of the product would be </w:t>
      </w:r>
      <w:r w:rsidR="00825105">
        <w:t>less</w:t>
      </w:r>
      <w:r>
        <w:t xml:space="preserve"> appropriate in this instance, since the Commonwealth Government issues exemptions for its use</w:t>
      </w:r>
      <w:r w:rsidR="006A3FB2" w:rsidRPr="006A3FB2">
        <w:t xml:space="preserve"> </w:t>
      </w:r>
      <w:r w:rsidR="006A3FB2">
        <w:t>for QPS uses and</w:t>
      </w:r>
      <w:r>
        <w:t xml:space="preserve"> in commercial strawberry farming. </w:t>
      </w:r>
    </w:p>
    <w:p w14:paraId="656B0BC8" w14:textId="77777777" w:rsidR="00D33C82" w:rsidRDefault="00F777AC" w:rsidP="00A04B6E">
      <w:pPr>
        <w:pStyle w:val="Bullet1"/>
        <w:ind w:left="0" w:firstLine="0"/>
      </w:pPr>
      <w:r>
        <w:t xml:space="preserve">Option 1 </w:t>
      </w:r>
      <w:r w:rsidR="007B60F8">
        <w:t xml:space="preserve">would be </w:t>
      </w:r>
      <w:r w:rsidR="00010CE9">
        <w:t xml:space="preserve">given </w:t>
      </w:r>
      <w:r w:rsidR="00D52989">
        <w:t>effect</w:t>
      </w:r>
      <w:r w:rsidR="00010CE9">
        <w:t xml:space="preserve"> via</w:t>
      </w:r>
      <w:r w:rsidR="007B60F8">
        <w:t xml:space="preserve"> a compliance note</w:t>
      </w:r>
      <w:r>
        <w:t>, meaning that failure to comply with this requirement would result in a penalty being issued under the GED</w:t>
      </w:r>
      <w:r w:rsidR="007B60F8">
        <w:t xml:space="preserve">. </w:t>
      </w:r>
    </w:p>
    <w:p w14:paraId="656B0BC9" w14:textId="77777777" w:rsidR="00272B3A" w:rsidRDefault="00272B3A" w:rsidP="00693108">
      <w:pPr>
        <w:pStyle w:val="Heading3"/>
        <w:ind w:left="720"/>
      </w:pPr>
      <w:r>
        <w:t>Analysis</w:t>
      </w:r>
    </w:p>
    <w:p w14:paraId="656B0BCA" w14:textId="77777777" w:rsidR="00B9319F" w:rsidRDefault="00B9319F" w:rsidP="000E7C5E">
      <w:pPr>
        <w:pStyle w:val="Heading4un-numbered"/>
      </w:pPr>
      <w:r>
        <w:t>Approach</w:t>
      </w:r>
    </w:p>
    <w:p w14:paraId="656B0BCB" w14:textId="0511BF2C" w:rsidR="00B9319F" w:rsidRDefault="00B9319F" w:rsidP="00B9319F">
      <w:r>
        <w:t>Due to lack of quantifiable data</w:t>
      </w:r>
      <w:r w:rsidR="00021D1F" w:rsidRPr="00021D1F">
        <w:t xml:space="preserve"> </w:t>
      </w:r>
      <w:r w:rsidR="00021D1F">
        <w:t>for Victoria</w:t>
      </w:r>
      <w:r>
        <w:t>, and the relatively small size of the problem being considered, a qualitative analysis has been undertaken.</w:t>
      </w:r>
    </w:p>
    <w:p w14:paraId="656B0BCC" w14:textId="77777777" w:rsidR="00B94E75" w:rsidRDefault="00B94E75" w:rsidP="000E7C5E">
      <w:pPr>
        <w:pStyle w:val="Heading4un-numbered"/>
      </w:pPr>
      <w:r>
        <w:t>Costs</w:t>
      </w:r>
    </w:p>
    <w:p w14:paraId="656B0BCD" w14:textId="77777777" w:rsidR="00B94E75" w:rsidRPr="009271CA" w:rsidRDefault="00B94E75" w:rsidP="00037AF8">
      <w:pPr>
        <w:spacing w:after="0"/>
        <w:rPr>
          <w:i/>
        </w:rPr>
      </w:pPr>
      <w:r w:rsidRPr="000730C7">
        <w:rPr>
          <w:i/>
        </w:rPr>
        <w:t>Costs to businesses</w:t>
      </w:r>
    </w:p>
    <w:p w14:paraId="656B0BCE" w14:textId="7DDE8142" w:rsidR="00475764" w:rsidRDefault="007B60F8" w:rsidP="00B94E75">
      <w:r>
        <w:t>Under this Option, b</w:t>
      </w:r>
      <w:r w:rsidRPr="007B60F8">
        <w:t xml:space="preserve">usinesses </w:t>
      </w:r>
      <w:r w:rsidR="0035319C">
        <w:t>may</w:t>
      </w:r>
      <w:r w:rsidR="0035319C" w:rsidDel="0035319C">
        <w:t xml:space="preserve"> </w:t>
      </w:r>
      <w:r>
        <w:t>incur a range of costs</w:t>
      </w:r>
      <w:r w:rsidR="00467F2F">
        <w:t>, including</w:t>
      </w:r>
      <w:r>
        <w:t xml:space="preserve">: </w:t>
      </w:r>
    </w:p>
    <w:p w14:paraId="656B0BCF" w14:textId="77777777" w:rsidR="006A53A9" w:rsidRPr="0019024B" w:rsidRDefault="00C95E3F" w:rsidP="00037AF8">
      <w:pPr>
        <w:pStyle w:val="ListParagraph"/>
        <w:numPr>
          <w:ilvl w:val="0"/>
          <w:numId w:val="391"/>
        </w:numPr>
        <w:rPr>
          <w:rFonts w:cs="Segoe UI Light"/>
        </w:rPr>
      </w:pPr>
      <w:r w:rsidRPr="000730C7">
        <w:rPr>
          <w:rFonts w:cs="Segoe UI Light"/>
        </w:rPr>
        <w:t>E</w:t>
      </w:r>
      <w:r w:rsidR="006A53A9" w:rsidRPr="00B40D23">
        <w:rPr>
          <w:rFonts w:cs="Segoe UI Light"/>
        </w:rPr>
        <w:t>stablishing protocol</w:t>
      </w:r>
      <w:r w:rsidR="0030430D">
        <w:rPr>
          <w:rFonts w:cs="Segoe UI Light"/>
        </w:rPr>
        <w:t>s</w:t>
      </w:r>
      <w:r w:rsidR="006A53A9" w:rsidRPr="00B40D23">
        <w:rPr>
          <w:rFonts w:cs="Segoe UI Light"/>
        </w:rPr>
        <w:t xml:space="preserve"> for the handling of </w:t>
      </w:r>
      <w:r w:rsidR="00E42FD0" w:rsidRPr="00B40D23">
        <w:rPr>
          <w:rFonts w:cs="Segoe UI Light"/>
        </w:rPr>
        <w:t>methyl bromide</w:t>
      </w:r>
      <w:r w:rsidR="0030430D">
        <w:rPr>
          <w:rFonts w:cs="Segoe UI Light"/>
        </w:rPr>
        <w:t>.</w:t>
      </w:r>
    </w:p>
    <w:p w14:paraId="656B0BD0" w14:textId="77777777" w:rsidR="006A53A9" w:rsidRDefault="00C95E3F" w:rsidP="00037AF8">
      <w:pPr>
        <w:pStyle w:val="ListParagraph"/>
        <w:numPr>
          <w:ilvl w:val="0"/>
          <w:numId w:val="391"/>
        </w:numPr>
        <w:rPr>
          <w:rFonts w:cs="Segoe UI Light"/>
        </w:rPr>
      </w:pPr>
      <w:r w:rsidRPr="0030430D">
        <w:rPr>
          <w:rFonts w:cs="Segoe UI Light"/>
        </w:rPr>
        <w:t>I</w:t>
      </w:r>
      <w:r w:rsidR="006A53A9" w:rsidRPr="0030430D">
        <w:rPr>
          <w:rFonts w:cs="Segoe UI Light"/>
        </w:rPr>
        <w:t xml:space="preserve">nvestment in plant and equipment that does not use </w:t>
      </w:r>
      <w:r w:rsidR="00E42FD0" w:rsidRPr="0030430D">
        <w:rPr>
          <w:rFonts w:cs="Segoe UI Light"/>
        </w:rPr>
        <w:t>methyl bromide</w:t>
      </w:r>
      <w:r w:rsidR="0030430D">
        <w:rPr>
          <w:rFonts w:cs="Segoe UI Light"/>
        </w:rPr>
        <w:t>.</w:t>
      </w:r>
    </w:p>
    <w:p w14:paraId="035CCD1E" w14:textId="77777777" w:rsidR="00BB177F" w:rsidRDefault="00BB177F" w:rsidP="00BB177F">
      <w:pPr>
        <w:pStyle w:val="ListParagraph"/>
        <w:numPr>
          <w:ilvl w:val="0"/>
          <w:numId w:val="391"/>
        </w:numPr>
        <w:rPr>
          <w:rFonts w:cs="Segoe UI Light"/>
        </w:rPr>
      </w:pPr>
      <w:r>
        <w:rPr>
          <w:rFonts w:cs="Segoe UI Light"/>
        </w:rPr>
        <w:t>Installation of equipment.</w:t>
      </w:r>
    </w:p>
    <w:p w14:paraId="656B0BD1" w14:textId="77777777" w:rsidR="00467F2F" w:rsidRPr="00C97BDA" w:rsidRDefault="00C95E3F" w:rsidP="00037AF8">
      <w:pPr>
        <w:pStyle w:val="ListParagraph"/>
        <w:numPr>
          <w:ilvl w:val="0"/>
          <w:numId w:val="391"/>
        </w:numPr>
        <w:rPr>
          <w:rFonts w:cs="Segoe UI Light"/>
        </w:rPr>
      </w:pPr>
      <w:r w:rsidRPr="00853F1D">
        <w:rPr>
          <w:rFonts w:cs="Segoe UI Light"/>
        </w:rPr>
        <w:t>T</w:t>
      </w:r>
      <w:r w:rsidR="006A53A9" w:rsidRPr="009A118F">
        <w:rPr>
          <w:rFonts w:cs="Segoe UI Light"/>
        </w:rPr>
        <w:t xml:space="preserve">raining </w:t>
      </w:r>
      <w:r w:rsidR="00467F2F" w:rsidRPr="009A118F">
        <w:rPr>
          <w:rFonts w:cs="Segoe UI Light"/>
        </w:rPr>
        <w:t xml:space="preserve">costs for staff who handle </w:t>
      </w:r>
      <w:r w:rsidR="00E42FD0" w:rsidRPr="00576195">
        <w:rPr>
          <w:rFonts w:cs="Segoe UI Light"/>
        </w:rPr>
        <w:t>methyl bromide</w:t>
      </w:r>
      <w:r w:rsidR="00467F2F" w:rsidRPr="00576195">
        <w:rPr>
          <w:rFonts w:cs="Segoe UI Light"/>
        </w:rPr>
        <w:t xml:space="preserve">. </w:t>
      </w:r>
    </w:p>
    <w:p w14:paraId="656B0BD2" w14:textId="04202949" w:rsidR="00A5592E" w:rsidRDefault="007B0629" w:rsidP="00693108">
      <w:r>
        <w:t>Under Option 1, n</w:t>
      </w:r>
      <w:r w:rsidR="00467F2F">
        <w:t xml:space="preserve">ot all costs relating to </w:t>
      </w:r>
      <w:r w:rsidR="00266899">
        <w:t xml:space="preserve">equipment, </w:t>
      </w:r>
      <w:r w:rsidR="00467F2F">
        <w:t>training and protocols c</w:t>
      </w:r>
      <w:r>
        <w:t>ould</w:t>
      </w:r>
      <w:r w:rsidR="00467F2F">
        <w:t xml:space="preserve"> be attributed to </w:t>
      </w:r>
      <w:r w:rsidR="00F777AC">
        <w:t>this option</w:t>
      </w:r>
      <w:r w:rsidR="00467F2F">
        <w:t xml:space="preserve">. </w:t>
      </w:r>
      <w:r w:rsidR="007729F0">
        <w:t>A significant share of these costs may be incurred in order to meet the Commonwealth regime, or to meet industry-wide commitments and protocols</w:t>
      </w:r>
      <w:r w:rsidR="00DC7A63">
        <w:t xml:space="preserve">. </w:t>
      </w:r>
    </w:p>
    <w:p w14:paraId="21BCB98C" w14:textId="77777777" w:rsidR="005C7C43" w:rsidRDefault="005C7C43" w:rsidP="005C7C43">
      <w:r w:rsidRPr="000468E2">
        <w:t xml:space="preserve">In considering this option, it is assumed that costs to businesses (over a 10-year timeframe) will be </w:t>
      </w:r>
      <w:r>
        <w:t xml:space="preserve">relatively </w:t>
      </w:r>
      <w:r w:rsidRPr="000468E2">
        <w:t xml:space="preserve">low given the </w:t>
      </w:r>
      <w:r>
        <w:t xml:space="preserve">availability </w:t>
      </w:r>
      <w:r w:rsidRPr="000468E2">
        <w:t>of low</w:t>
      </w:r>
      <w:r>
        <w:t>er</w:t>
      </w:r>
      <w:r w:rsidRPr="000468E2">
        <w:t xml:space="preserve"> cost methods to minimise methyl bromide emissions and the likely introduction of new cost-effective recovery techniques.</w:t>
      </w:r>
    </w:p>
    <w:p w14:paraId="656B0BD3" w14:textId="77777777" w:rsidR="00B94E75" w:rsidRDefault="00B94E75" w:rsidP="00037AF8">
      <w:pPr>
        <w:spacing w:after="0"/>
        <w:rPr>
          <w:i/>
        </w:rPr>
      </w:pPr>
      <w:r w:rsidRPr="00BF51BD">
        <w:rPr>
          <w:i/>
        </w:rPr>
        <w:t xml:space="preserve">Costs to </w:t>
      </w:r>
      <w:r>
        <w:rPr>
          <w:i/>
        </w:rPr>
        <w:t>government</w:t>
      </w:r>
    </w:p>
    <w:p w14:paraId="656B0BD4" w14:textId="77777777" w:rsidR="00467F2F" w:rsidRDefault="00467F2F" w:rsidP="00B94E75">
      <w:r>
        <w:t xml:space="preserve">There may be a cost for EPA to monitor compliance in relation to ODSs. However, </w:t>
      </w:r>
      <w:r w:rsidR="00F777AC">
        <w:t xml:space="preserve">according to EPA, </w:t>
      </w:r>
      <w:r>
        <w:t xml:space="preserve">this cost is predicted to be relatively small. </w:t>
      </w:r>
    </w:p>
    <w:p w14:paraId="656B0BD5" w14:textId="77777777" w:rsidR="00B94E75" w:rsidRPr="00B9319F" w:rsidRDefault="00B94E75" w:rsidP="000E7C5E">
      <w:pPr>
        <w:pStyle w:val="Heading4un-numbered"/>
      </w:pPr>
      <w:r w:rsidRPr="00B9319F">
        <w:t>Benefits</w:t>
      </w:r>
    </w:p>
    <w:p w14:paraId="656B0BD6" w14:textId="77777777" w:rsidR="00B94E75" w:rsidRPr="00BF51BD" w:rsidRDefault="00B94E75" w:rsidP="00037AF8">
      <w:pPr>
        <w:spacing w:after="0"/>
        <w:rPr>
          <w:i/>
        </w:rPr>
      </w:pPr>
      <w:r>
        <w:rPr>
          <w:i/>
        </w:rPr>
        <w:t>Benefits to community</w:t>
      </w:r>
    </w:p>
    <w:p w14:paraId="656B0BD7" w14:textId="77777777" w:rsidR="006A53A9" w:rsidRDefault="009339FB" w:rsidP="00693108">
      <w:r>
        <w:t xml:space="preserve">The </w:t>
      </w:r>
      <w:r w:rsidR="00A5592E">
        <w:t xml:space="preserve">primary </w:t>
      </w:r>
      <w:r>
        <w:t xml:space="preserve">benefit associated with </w:t>
      </w:r>
      <w:r w:rsidR="00E66491">
        <w:t xml:space="preserve">Option </w:t>
      </w:r>
      <w:r w:rsidR="00A5592E">
        <w:t xml:space="preserve">1 is </w:t>
      </w:r>
      <w:r w:rsidR="006A53A9">
        <w:t>limiting ozone layer depletion</w:t>
      </w:r>
      <w:r w:rsidR="00A5592E">
        <w:t xml:space="preserve">. This </w:t>
      </w:r>
      <w:r w:rsidR="006A53A9">
        <w:t xml:space="preserve">will reduce risks to human health and the environment </w:t>
      </w:r>
      <w:r w:rsidR="006A53A9" w:rsidRPr="004C3C8B">
        <w:t xml:space="preserve">by </w:t>
      </w:r>
      <w:r w:rsidR="006A53A9">
        <w:t xml:space="preserve">allowing the ozone layer to absorb </w:t>
      </w:r>
      <w:r w:rsidR="006A53A9" w:rsidRPr="004C3C8B">
        <w:t>harmful ultraviolet-</w:t>
      </w:r>
      <w:r w:rsidR="006A53A9">
        <w:t>B (UV-B) radiation from the sun.</w:t>
      </w:r>
    </w:p>
    <w:p w14:paraId="656B0BD8" w14:textId="77777777" w:rsidR="00A04B6E" w:rsidRPr="00B9319F" w:rsidRDefault="007B0629" w:rsidP="000E7C5E">
      <w:pPr>
        <w:pStyle w:val="Heading4un-numbered"/>
      </w:pPr>
      <w:r>
        <w:t>Summary – preferred option</w:t>
      </w:r>
    </w:p>
    <w:p w14:paraId="656B0BD9" w14:textId="77777777" w:rsidR="006A53A9" w:rsidRDefault="006A53A9" w:rsidP="006A53A9">
      <w:r>
        <w:t xml:space="preserve">On balance, Option 1 is expected to provide benefits over and above the Base Case, by improving clarity around the obligations of duty holders under the GED, and in doing so, reducing ozone layer depletion. This option is expected to impose minimal costs relative to the Base Case. Given this, Option 1 is recommended. </w:t>
      </w:r>
    </w:p>
    <w:p w14:paraId="656B0BDA" w14:textId="77777777" w:rsidR="008419EF" w:rsidRDefault="008419EF" w:rsidP="00982D63">
      <w:pPr>
        <w:pStyle w:val="Heading2"/>
      </w:pPr>
      <w:bookmarkStart w:id="1628" w:name="_Ref8021226"/>
      <w:r>
        <w:t xml:space="preserve">Management of </w:t>
      </w:r>
      <w:r w:rsidR="004C4581">
        <w:t xml:space="preserve">Class 3 </w:t>
      </w:r>
      <w:r w:rsidR="002F63EB">
        <w:t>substances</w:t>
      </w:r>
      <w:bookmarkEnd w:id="1628"/>
    </w:p>
    <w:p w14:paraId="656B0BDB" w14:textId="77777777" w:rsidR="009B095B" w:rsidRDefault="004C4581" w:rsidP="00A04B6E">
      <w:r>
        <w:t xml:space="preserve">Class 3 </w:t>
      </w:r>
      <w:r w:rsidR="002F63EB">
        <w:t xml:space="preserve">substances </w:t>
      </w:r>
      <w:r w:rsidR="009B095B" w:rsidRPr="00DC6044">
        <w:rPr>
          <w:rFonts w:cs="Segoe UI Light"/>
        </w:rPr>
        <w:t>are extremely hazardous</w:t>
      </w:r>
      <w:r w:rsidR="002F63EB">
        <w:rPr>
          <w:rFonts w:cs="Segoe UI Light"/>
        </w:rPr>
        <w:t xml:space="preserve"> pollutants that are </w:t>
      </w:r>
      <w:r w:rsidR="009B095B" w:rsidRPr="00DC6044">
        <w:rPr>
          <w:rFonts w:cs="Segoe UI Light"/>
        </w:rPr>
        <w:t>carcinogenic</w:t>
      </w:r>
      <w:r w:rsidR="008E3C92" w:rsidRPr="00DC6044">
        <w:rPr>
          <w:rFonts w:cs="Segoe UI Light"/>
        </w:rPr>
        <w:t xml:space="preserve"> (can cause cancer)</w:t>
      </w:r>
      <w:r w:rsidR="009B095B" w:rsidRPr="00DC6044">
        <w:rPr>
          <w:rFonts w:cs="Segoe UI Light"/>
        </w:rPr>
        <w:t>, mutagenic</w:t>
      </w:r>
      <w:r w:rsidR="008E3C92" w:rsidRPr="00DC6044">
        <w:rPr>
          <w:rFonts w:cs="Segoe UI Light"/>
        </w:rPr>
        <w:t xml:space="preserve"> (</w:t>
      </w:r>
      <w:r w:rsidR="008E3C92" w:rsidRPr="00DC6044">
        <w:rPr>
          <w:rFonts w:cs="Segoe UI Light"/>
          <w:shd w:val="clear" w:color="auto" w:fill="FFFFFF"/>
        </w:rPr>
        <w:t>changes the genetic material of an organism)</w:t>
      </w:r>
      <w:r w:rsidR="009B095B" w:rsidRPr="00DC6044">
        <w:rPr>
          <w:rFonts w:cs="Segoe UI Light"/>
        </w:rPr>
        <w:t>, teratogenic</w:t>
      </w:r>
      <w:r w:rsidR="008E3C92" w:rsidRPr="00DC6044">
        <w:rPr>
          <w:rFonts w:cs="Segoe UI Light"/>
        </w:rPr>
        <w:t xml:space="preserve"> (</w:t>
      </w:r>
      <w:r w:rsidR="008E3C92" w:rsidRPr="00DC6044">
        <w:rPr>
          <w:rFonts w:cs="Segoe UI Light"/>
          <w:shd w:val="clear" w:color="auto" w:fill="FFFFFF"/>
        </w:rPr>
        <w:t xml:space="preserve">can disturb the development of the embryo or </w:t>
      </w:r>
      <w:r w:rsidR="00DC6044" w:rsidRPr="00DC6044">
        <w:rPr>
          <w:rFonts w:cs="Segoe UI Light"/>
          <w:shd w:val="clear" w:color="auto" w:fill="FFFFFF"/>
        </w:rPr>
        <w:t>foetus</w:t>
      </w:r>
      <w:r w:rsidR="008E3C92" w:rsidRPr="00DC6044">
        <w:rPr>
          <w:rFonts w:cs="Segoe UI Light"/>
          <w:shd w:val="clear" w:color="auto" w:fill="FFFFFF"/>
        </w:rPr>
        <w:t>)</w:t>
      </w:r>
      <w:r w:rsidR="009B095B" w:rsidRPr="00DC6044">
        <w:rPr>
          <w:rFonts w:cs="Segoe UI Light"/>
        </w:rPr>
        <w:t>, highly toxic</w:t>
      </w:r>
      <w:r w:rsidR="009B095B" w:rsidRPr="008E3C92">
        <w:t xml:space="preserve"> </w:t>
      </w:r>
      <w:r w:rsidR="009B095B">
        <w:t xml:space="preserve">or highly persistent, and which may threaten the </w:t>
      </w:r>
      <w:r>
        <w:t xml:space="preserve">quality </w:t>
      </w:r>
      <w:r w:rsidR="009B095B">
        <w:t>of the air environment</w:t>
      </w:r>
      <w:r>
        <w:t xml:space="preserve"> and human health</w:t>
      </w:r>
      <w:r w:rsidR="009B095B">
        <w:t xml:space="preserve">. </w:t>
      </w:r>
      <w:r w:rsidR="00C5401D">
        <w:t xml:space="preserve">Harms caused by exposure to Class 3 </w:t>
      </w:r>
      <w:r w:rsidR="00A5592E">
        <w:t xml:space="preserve">substances </w:t>
      </w:r>
      <w:r w:rsidR="00C5401D">
        <w:t xml:space="preserve">are </w:t>
      </w:r>
      <w:r w:rsidR="00D43117">
        <w:t xml:space="preserve">extreme compared to other classes of substance. </w:t>
      </w:r>
    </w:p>
    <w:p w14:paraId="656B0BDC" w14:textId="77777777" w:rsidR="00F71535" w:rsidRPr="008E3C92" w:rsidRDefault="008E3C92" w:rsidP="008E3C92">
      <w:r>
        <w:t>Under the current legislative framework</w:t>
      </w:r>
      <w:r w:rsidR="00B1098A">
        <w:t xml:space="preserve">, </w:t>
      </w:r>
      <w:r>
        <w:t xml:space="preserve">Class 3 </w:t>
      </w:r>
      <w:r w:rsidR="002F63EB">
        <w:t xml:space="preserve">substances </w:t>
      </w:r>
      <w:r w:rsidR="004C4581">
        <w:t xml:space="preserve">are defined in </w:t>
      </w:r>
      <w:r w:rsidRPr="008E3C92">
        <w:t>State Environment Protection Policy (Air Quality</w:t>
      </w:r>
      <w:r w:rsidR="004E51A5">
        <w:t xml:space="preserve"> Management</w:t>
      </w:r>
      <w:r w:rsidRPr="008E3C92">
        <w:t>)</w:t>
      </w:r>
      <w:r>
        <w:t xml:space="preserve"> (SEPP AQM). </w:t>
      </w:r>
      <w:r w:rsidR="002F63EB">
        <w:t xml:space="preserve">Under SEPP AQM, holders of operating licences that generate </w:t>
      </w:r>
      <w:r>
        <w:t xml:space="preserve">emissions of Class 3 </w:t>
      </w:r>
      <w:r w:rsidR="00A5592E">
        <w:t xml:space="preserve">substances </w:t>
      </w:r>
      <w:r w:rsidR="002F63EB">
        <w:t xml:space="preserve">must </w:t>
      </w:r>
      <w:r>
        <w:t xml:space="preserve">reduce those emissions to the maximum extent achievable. EPA may prohibit the emission of a Class 3 </w:t>
      </w:r>
      <w:r w:rsidR="00E05091">
        <w:t xml:space="preserve">substance </w:t>
      </w:r>
      <w:r>
        <w:t xml:space="preserve">if it is considered to constitute a significant threat to public health. </w:t>
      </w:r>
    </w:p>
    <w:p w14:paraId="656B0BDD" w14:textId="77777777" w:rsidR="00F71535" w:rsidRDefault="008E3C92" w:rsidP="00A04B6E">
      <w:r>
        <w:t xml:space="preserve">The table below </w:t>
      </w:r>
      <w:r w:rsidR="006A53A9">
        <w:t xml:space="preserve">outlines </w:t>
      </w:r>
      <w:r>
        <w:t xml:space="preserve">all </w:t>
      </w:r>
      <w:r w:rsidR="004C4581">
        <w:t xml:space="preserve">Class 3 </w:t>
      </w:r>
      <w:r w:rsidR="002F63EB">
        <w:t>sub</w:t>
      </w:r>
      <w:r w:rsidR="000C1C59">
        <w:t xml:space="preserve">stances </w:t>
      </w:r>
      <w:r w:rsidR="006A53A9">
        <w:t xml:space="preserve">with </w:t>
      </w:r>
      <w:r>
        <w:t>an estimate of the number of Victorian businesses that report emissions to the NPI</w:t>
      </w:r>
      <w:r w:rsidR="006A53A9">
        <w:t xml:space="preserve"> (where data is available).</w:t>
      </w:r>
      <w:r>
        <w:t xml:space="preserve"> </w:t>
      </w:r>
    </w:p>
    <w:p w14:paraId="656B0BDE" w14:textId="77777777" w:rsidR="00C51B8C" w:rsidRDefault="00C51B8C" w:rsidP="00C51B8C">
      <w:pPr>
        <w:pStyle w:val="Caption"/>
      </w:pPr>
      <w:r>
        <w:t xml:space="preserve">Table </w:t>
      </w:r>
      <w:r w:rsidR="007E575A">
        <w:rPr>
          <w:color w:val="2B579A"/>
          <w:shd w:val="clear" w:color="auto" w:fill="E6E6E6"/>
        </w:rPr>
        <w:fldChar w:fldCharType="begin"/>
      </w:r>
      <w:r w:rsidR="007E575A">
        <w:instrText xml:space="preserve"> STYLEREF 1 \s </w:instrText>
      </w:r>
      <w:r w:rsidR="007E575A">
        <w:rPr>
          <w:color w:val="2B579A"/>
          <w:shd w:val="clear" w:color="auto" w:fill="E6E6E6"/>
        </w:rPr>
        <w:fldChar w:fldCharType="separate"/>
      </w:r>
      <w:r w:rsidR="00B11C1E">
        <w:rPr>
          <w:noProof/>
        </w:rPr>
        <w:t>12</w:t>
      </w:r>
      <w:r w:rsidR="007E575A">
        <w:rPr>
          <w:color w:val="2B579A"/>
          <w:shd w:val="clear" w:color="auto" w:fill="E6E6E6"/>
        </w:rPr>
        <w:fldChar w:fldCharType="end"/>
      </w:r>
      <w:r w:rsidR="007E575A">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6</w:t>
      </w:r>
      <w:r w:rsidR="00997CFA">
        <w:rPr>
          <w:color w:val="2B579A"/>
          <w:shd w:val="clear" w:color="auto" w:fill="E6E6E6"/>
        </w:rPr>
        <w:fldChar w:fldCharType="end"/>
      </w:r>
      <w:r w:rsidRPr="00C51B8C">
        <w:t xml:space="preserve"> </w:t>
      </w:r>
      <w:r>
        <w:t xml:space="preserve">Number of Victorian premises that emit </w:t>
      </w:r>
      <w:r w:rsidR="004C4581">
        <w:t xml:space="preserve">Class 3 </w:t>
      </w:r>
      <w:r w:rsidR="002F63EB">
        <w:t>substances</w:t>
      </w:r>
    </w:p>
    <w:tbl>
      <w:tblPr>
        <w:tblStyle w:val="Deloittetable"/>
        <w:tblW w:w="8131" w:type="dxa"/>
        <w:tblLook w:val="04A0" w:firstRow="1" w:lastRow="0" w:firstColumn="1" w:lastColumn="0" w:noHBand="0" w:noVBand="1"/>
      </w:tblPr>
      <w:tblGrid>
        <w:gridCol w:w="4883"/>
        <w:gridCol w:w="3248"/>
      </w:tblGrid>
      <w:tr w:rsidR="00F71535" w:rsidRPr="00B31C84" w14:paraId="656B0BE1" w14:textId="77777777" w:rsidTr="002B2448">
        <w:trPr>
          <w:cnfStyle w:val="100000000000" w:firstRow="1" w:lastRow="0" w:firstColumn="0" w:lastColumn="0" w:oddVBand="0" w:evenVBand="0" w:oddHBand="0" w:evenHBand="0" w:firstRowFirstColumn="0" w:firstRowLastColumn="0" w:lastRowFirstColumn="0" w:lastRowLastColumn="0"/>
          <w:trHeight w:val="162"/>
        </w:trPr>
        <w:tc>
          <w:tcPr>
            <w:tcW w:w="4883" w:type="dxa"/>
          </w:tcPr>
          <w:p w14:paraId="656B0BDF" w14:textId="77777777" w:rsidR="00F71535" w:rsidRPr="002B2448" w:rsidRDefault="00824693" w:rsidP="00DC6044">
            <w:pPr>
              <w:rPr>
                <w:b/>
              </w:rPr>
            </w:pPr>
            <w:r w:rsidRPr="002B2448">
              <w:rPr>
                <w:b/>
              </w:rPr>
              <w:t>Pollutant</w:t>
            </w:r>
          </w:p>
        </w:tc>
        <w:tc>
          <w:tcPr>
            <w:tcW w:w="3248" w:type="dxa"/>
          </w:tcPr>
          <w:p w14:paraId="656B0BE0" w14:textId="77777777" w:rsidR="00F71535" w:rsidRPr="002B2448" w:rsidRDefault="00824693" w:rsidP="00AB166C">
            <w:pPr>
              <w:ind w:right="57"/>
              <w:jc w:val="right"/>
              <w:rPr>
                <w:b/>
              </w:rPr>
            </w:pPr>
            <w:r w:rsidRPr="002B2448">
              <w:rPr>
                <w:b/>
              </w:rPr>
              <w:t>Number of businesses in Victoria</w:t>
            </w:r>
          </w:p>
        </w:tc>
      </w:tr>
      <w:tr w:rsidR="00824693" w:rsidRPr="00284501" w14:paraId="656B0BE4" w14:textId="77777777" w:rsidTr="002B2448">
        <w:trPr>
          <w:trHeight w:val="220"/>
        </w:trPr>
        <w:tc>
          <w:tcPr>
            <w:tcW w:w="4883" w:type="dxa"/>
          </w:tcPr>
          <w:p w14:paraId="656B0BE2" w14:textId="77777777" w:rsidR="00824693" w:rsidRPr="00824693" w:rsidRDefault="00824693" w:rsidP="00824693">
            <w:pPr>
              <w:spacing w:after="0"/>
              <w:rPr>
                <w:rFonts w:cs="Segoe UI Light"/>
                <w:sz w:val="18"/>
                <w:szCs w:val="20"/>
              </w:rPr>
            </w:pPr>
            <w:r w:rsidRPr="00824693">
              <w:rPr>
                <w:rFonts w:cs="Segoe UI Light"/>
                <w:color w:val="000000"/>
                <w:sz w:val="18"/>
                <w:szCs w:val="20"/>
              </w:rPr>
              <w:t>acrolein</w:t>
            </w:r>
          </w:p>
        </w:tc>
        <w:tc>
          <w:tcPr>
            <w:tcW w:w="3248" w:type="dxa"/>
          </w:tcPr>
          <w:p w14:paraId="656B0BE3"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0</w:t>
            </w:r>
          </w:p>
        </w:tc>
      </w:tr>
      <w:tr w:rsidR="00824693" w:rsidRPr="00284501" w14:paraId="656B0BE7" w14:textId="77777777" w:rsidTr="002B2448">
        <w:trPr>
          <w:trHeight w:val="220"/>
        </w:trPr>
        <w:tc>
          <w:tcPr>
            <w:tcW w:w="4883" w:type="dxa"/>
          </w:tcPr>
          <w:p w14:paraId="656B0BE5" w14:textId="77777777" w:rsidR="00824693" w:rsidRPr="00824693" w:rsidRDefault="00824693" w:rsidP="00824693">
            <w:pPr>
              <w:spacing w:after="0"/>
              <w:rPr>
                <w:rFonts w:cs="Segoe UI Light"/>
                <w:sz w:val="18"/>
                <w:szCs w:val="20"/>
              </w:rPr>
            </w:pPr>
            <w:r w:rsidRPr="00824693">
              <w:rPr>
                <w:rFonts w:cs="Segoe UI Light"/>
                <w:color w:val="000000"/>
                <w:sz w:val="18"/>
                <w:szCs w:val="20"/>
              </w:rPr>
              <w:t>acrylonitrilie</w:t>
            </w:r>
          </w:p>
        </w:tc>
        <w:tc>
          <w:tcPr>
            <w:tcW w:w="3248" w:type="dxa"/>
          </w:tcPr>
          <w:p w14:paraId="656B0BE6"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36</w:t>
            </w:r>
          </w:p>
        </w:tc>
      </w:tr>
      <w:tr w:rsidR="00824693" w:rsidRPr="00284501" w14:paraId="656B0BEA" w14:textId="77777777" w:rsidTr="002B2448">
        <w:trPr>
          <w:trHeight w:val="214"/>
        </w:trPr>
        <w:tc>
          <w:tcPr>
            <w:tcW w:w="4883" w:type="dxa"/>
          </w:tcPr>
          <w:p w14:paraId="656B0BE8" w14:textId="77777777" w:rsidR="00824693" w:rsidRPr="00824693" w:rsidRDefault="00824693" w:rsidP="00824693">
            <w:pPr>
              <w:spacing w:after="0"/>
              <w:rPr>
                <w:rFonts w:cs="Segoe UI Light"/>
                <w:sz w:val="18"/>
                <w:szCs w:val="20"/>
              </w:rPr>
            </w:pPr>
            <w:r w:rsidRPr="00824693">
              <w:rPr>
                <w:rFonts w:cs="Segoe UI Light"/>
                <w:color w:val="000000"/>
                <w:sz w:val="18"/>
                <w:szCs w:val="20"/>
              </w:rPr>
              <w:t>arsenic and compounds</w:t>
            </w:r>
          </w:p>
        </w:tc>
        <w:tc>
          <w:tcPr>
            <w:tcW w:w="3248" w:type="dxa"/>
          </w:tcPr>
          <w:p w14:paraId="656B0BE9"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222</w:t>
            </w:r>
          </w:p>
        </w:tc>
      </w:tr>
      <w:tr w:rsidR="00824693" w:rsidRPr="00284501" w14:paraId="656B0BED" w14:textId="77777777" w:rsidTr="002B2448">
        <w:trPr>
          <w:trHeight w:val="214"/>
        </w:trPr>
        <w:tc>
          <w:tcPr>
            <w:tcW w:w="4883" w:type="dxa"/>
          </w:tcPr>
          <w:p w14:paraId="656B0BEB" w14:textId="77777777" w:rsidR="00824693" w:rsidRPr="00824693" w:rsidRDefault="00824693" w:rsidP="00824693">
            <w:pPr>
              <w:spacing w:after="0"/>
              <w:rPr>
                <w:rFonts w:cs="Segoe UI Light"/>
                <w:sz w:val="18"/>
                <w:szCs w:val="20"/>
              </w:rPr>
            </w:pPr>
            <w:r w:rsidRPr="00824693">
              <w:rPr>
                <w:rFonts w:cs="Segoe UI Light"/>
                <w:color w:val="000000"/>
                <w:sz w:val="18"/>
                <w:szCs w:val="20"/>
              </w:rPr>
              <w:t>benzene</w:t>
            </w:r>
          </w:p>
        </w:tc>
        <w:tc>
          <w:tcPr>
            <w:tcW w:w="3248" w:type="dxa"/>
          </w:tcPr>
          <w:p w14:paraId="656B0BEC"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101</w:t>
            </w:r>
          </w:p>
        </w:tc>
      </w:tr>
      <w:tr w:rsidR="00824693" w:rsidRPr="00284501" w14:paraId="656B0BF0" w14:textId="77777777" w:rsidTr="002B2448">
        <w:trPr>
          <w:trHeight w:val="214"/>
        </w:trPr>
        <w:tc>
          <w:tcPr>
            <w:tcW w:w="4883" w:type="dxa"/>
          </w:tcPr>
          <w:p w14:paraId="656B0BEE" w14:textId="77777777" w:rsidR="00824693" w:rsidRPr="00824693" w:rsidRDefault="00824693" w:rsidP="00824693">
            <w:pPr>
              <w:spacing w:after="0"/>
              <w:rPr>
                <w:rFonts w:cs="Segoe UI Light"/>
                <w:sz w:val="18"/>
                <w:szCs w:val="20"/>
              </w:rPr>
            </w:pPr>
            <w:r w:rsidRPr="00824693">
              <w:rPr>
                <w:rFonts w:cs="Segoe UI Light"/>
                <w:color w:val="000000"/>
                <w:sz w:val="18"/>
                <w:szCs w:val="20"/>
              </w:rPr>
              <w:t>beryllium and compounds</w:t>
            </w:r>
          </w:p>
        </w:tc>
        <w:tc>
          <w:tcPr>
            <w:tcW w:w="3248" w:type="dxa"/>
          </w:tcPr>
          <w:p w14:paraId="656B0BEF"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205</w:t>
            </w:r>
          </w:p>
        </w:tc>
      </w:tr>
      <w:tr w:rsidR="00824693" w:rsidRPr="00284501" w14:paraId="656B0BF3" w14:textId="77777777" w:rsidTr="002B2448">
        <w:trPr>
          <w:trHeight w:val="214"/>
        </w:trPr>
        <w:tc>
          <w:tcPr>
            <w:tcW w:w="4883" w:type="dxa"/>
          </w:tcPr>
          <w:p w14:paraId="656B0BF1" w14:textId="77777777" w:rsidR="00824693" w:rsidRPr="00824693" w:rsidRDefault="00824693" w:rsidP="00824693">
            <w:pPr>
              <w:spacing w:after="0"/>
              <w:rPr>
                <w:rFonts w:cs="Segoe UI Light"/>
                <w:sz w:val="18"/>
                <w:szCs w:val="20"/>
              </w:rPr>
            </w:pPr>
            <w:r w:rsidRPr="00824693">
              <w:rPr>
                <w:rFonts w:cs="Segoe UI Light"/>
                <w:color w:val="000000"/>
                <w:sz w:val="18"/>
                <w:szCs w:val="20"/>
              </w:rPr>
              <w:t>1,3-butadiene</w:t>
            </w:r>
          </w:p>
        </w:tc>
        <w:tc>
          <w:tcPr>
            <w:tcW w:w="3248" w:type="dxa"/>
          </w:tcPr>
          <w:p w14:paraId="656B0BF2"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11</w:t>
            </w:r>
          </w:p>
        </w:tc>
      </w:tr>
      <w:tr w:rsidR="00824693" w:rsidRPr="00284501" w14:paraId="656B0BF6" w14:textId="77777777" w:rsidTr="002B2448">
        <w:trPr>
          <w:trHeight w:val="214"/>
        </w:trPr>
        <w:tc>
          <w:tcPr>
            <w:tcW w:w="4883" w:type="dxa"/>
          </w:tcPr>
          <w:p w14:paraId="656B0BF4" w14:textId="77777777" w:rsidR="00824693" w:rsidRPr="00824693" w:rsidRDefault="00824693" w:rsidP="00824693">
            <w:pPr>
              <w:spacing w:after="0"/>
              <w:rPr>
                <w:rFonts w:cs="Segoe UI Light"/>
                <w:sz w:val="18"/>
                <w:szCs w:val="20"/>
              </w:rPr>
            </w:pPr>
            <w:r w:rsidRPr="00824693">
              <w:rPr>
                <w:rFonts w:cs="Segoe UI Light"/>
                <w:color w:val="000000"/>
                <w:sz w:val="18"/>
                <w:szCs w:val="20"/>
              </w:rPr>
              <w:t>cadmium and compounds</w:t>
            </w:r>
          </w:p>
        </w:tc>
        <w:tc>
          <w:tcPr>
            <w:tcW w:w="3248" w:type="dxa"/>
          </w:tcPr>
          <w:p w14:paraId="656B0BF5"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218</w:t>
            </w:r>
          </w:p>
        </w:tc>
      </w:tr>
      <w:tr w:rsidR="00824693" w:rsidRPr="00284501" w14:paraId="656B0BF9" w14:textId="77777777" w:rsidTr="002B2448">
        <w:trPr>
          <w:trHeight w:val="214"/>
        </w:trPr>
        <w:tc>
          <w:tcPr>
            <w:tcW w:w="4883" w:type="dxa"/>
          </w:tcPr>
          <w:p w14:paraId="656B0BF7" w14:textId="77777777" w:rsidR="00824693" w:rsidRPr="00824693" w:rsidRDefault="00824693" w:rsidP="00824693">
            <w:pPr>
              <w:spacing w:after="0"/>
              <w:rPr>
                <w:rFonts w:cs="Segoe UI Light"/>
                <w:sz w:val="18"/>
                <w:szCs w:val="20"/>
              </w:rPr>
            </w:pPr>
            <w:r w:rsidRPr="00824693">
              <w:rPr>
                <w:rFonts w:cs="Segoe UI Light"/>
                <w:color w:val="000000"/>
                <w:sz w:val="18"/>
                <w:szCs w:val="20"/>
              </w:rPr>
              <w:t>chromium VI compounds</w:t>
            </w:r>
          </w:p>
        </w:tc>
        <w:tc>
          <w:tcPr>
            <w:tcW w:w="3248" w:type="dxa"/>
          </w:tcPr>
          <w:p w14:paraId="656B0BF8"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117</w:t>
            </w:r>
          </w:p>
        </w:tc>
      </w:tr>
      <w:tr w:rsidR="00824693" w:rsidRPr="00284501" w14:paraId="656B0BFC" w14:textId="77777777" w:rsidTr="002B2448">
        <w:trPr>
          <w:trHeight w:val="214"/>
        </w:trPr>
        <w:tc>
          <w:tcPr>
            <w:tcW w:w="4883" w:type="dxa"/>
          </w:tcPr>
          <w:p w14:paraId="656B0BFA" w14:textId="77777777" w:rsidR="00824693" w:rsidRPr="00824693" w:rsidRDefault="00824693" w:rsidP="00DC6044">
            <w:pPr>
              <w:spacing w:after="0"/>
              <w:rPr>
                <w:rFonts w:cs="Segoe UI Light"/>
                <w:sz w:val="18"/>
                <w:szCs w:val="20"/>
              </w:rPr>
            </w:pPr>
            <w:r w:rsidRPr="00824693">
              <w:rPr>
                <w:rFonts w:cs="Segoe UI Light"/>
                <w:color w:val="000000"/>
                <w:sz w:val="18"/>
                <w:szCs w:val="20"/>
              </w:rPr>
              <w:t>1,2-dichloroethane (ethylene dichloride)</w:t>
            </w:r>
          </w:p>
        </w:tc>
        <w:tc>
          <w:tcPr>
            <w:tcW w:w="3248" w:type="dxa"/>
          </w:tcPr>
          <w:p w14:paraId="656B0BFB"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35</w:t>
            </w:r>
          </w:p>
        </w:tc>
      </w:tr>
      <w:tr w:rsidR="00824693" w:rsidRPr="00284501" w14:paraId="656B0BFF" w14:textId="77777777" w:rsidTr="002B2448">
        <w:trPr>
          <w:trHeight w:val="214"/>
        </w:trPr>
        <w:tc>
          <w:tcPr>
            <w:tcW w:w="4883" w:type="dxa"/>
          </w:tcPr>
          <w:p w14:paraId="656B0BFD" w14:textId="77777777" w:rsidR="00824693" w:rsidRPr="00824693" w:rsidRDefault="00824693" w:rsidP="00DC6044">
            <w:pPr>
              <w:spacing w:after="0"/>
              <w:rPr>
                <w:rFonts w:cs="Segoe UI Light"/>
                <w:sz w:val="18"/>
                <w:szCs w:val="20"/>
              </w:rPr>
            </w:pPr>
            <w:r w:rsidRPr="00824693">
              <w:rPr>
                <w:rFonts w:cs="Segoe UI Light"/>
                <w:color w:val="000000"/>
                <w:sz w:val="18"/>
                <w:szCs w:val="20"/>
              </w:rPr>
              <w:t>dioxins and furans</w:t>
            </w:r>
          </w:p>
        </w:tc>
        <w:tc>
          <w:tcPr>
            <w:tcW w:w="3248" w:type="dxa"/>
          </w:tcPr>
          <w:p w14:paraId="656B0BFE"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212</w:t>
            </w:r>
          </w:p>
        </w:tc>
      </w:tr>
      <w:tr w:rsidR="00824693" w:rsidRPr="00284501" w14:paraId="656B0C02" w14:textId="77777777" w:rsidTr="002B2448">
        <w:trPr>
          <w:trHeight w:val="214"/>
        </w:trPr>
        <w:tc>
          <w:tcPr>
            <w:tcW w:w="4883" w:type="dxa"/>
          </w:tcPr>
          <w:p w14:paraId="656B0C00" w14:textId="77777777" w:rsidR="00824693" w:rsidRPr="00824693" w:rsidRDefault="00824693" w:rsidP="00DC6044">
            <w:pPr>
              <w:spacing w:after="0"/>
              <w:rPr>
                <w:rFonts w:cs="Segoe UI Light"/>
                <w:sz w:val="18"/>
                <w:szCs w:val="20"/>
              </w:rPr>
            </w:pPr>
            <w:r w:rsidRPr="00824693">
              <w:rPr>
                <w:rFonts w:cs="Segoe UI Light"/>
                <w:color w:val="000000"/>
                <w:sz w:val="18"/>
                <w:szCs w:val="20"/>
              </w:rPr>
              <w:t>ethylene oxide</w:t>
            </w:r>
          </w:p>
        </w:tc>
        <w:tc>
          <w:tcPr>
            <w:tcW w:w="3248" w:type="dxa"/>
          </w:tcPr>
          <w:p w14:paraId="656B0C01"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2</w:t>
            </w:r>
          </w:p>
        </w:tc>
      </w:tr>
      <w:tr w:rsidR="00824693" w:rsidRPr="00284501" w14:paraId="656B0C05" w14:textId="77777777" w:rsidTr="002B2448">
        <w:trPr>
          <w:trHeight w:val="214"/>
        </w:trPr>
        <w:tc>
          <w:tcPr>
            <w:tcW w:w="4883" w:type="dxa"/>
          </w:tcPr>
          <w:p w14:paraId="656B0C03" w14:textId="77777777" w:rsidR="00824693" w:rsidRPr="00824693" w:rsidRDefault="00824693" w:rsidP="00DC6044">
            <w:pPr>
              <w:spacing w:after="0"/>
              <w:rPr>
                <w:rFonts w:cs="Segoe UI Light"/>
                <w:sz w:val="18"/>
                <w:szCs w:val="20"/>
              </w:rPr>
            </w:pPr>
            <w:r w:rsidRPr="00824693">
              <w:rPr>
                <w:rFonts w:cs="Segoe UI Light"/>
                <w:color w:val="000000"/>
                <w:sz w:val="18"/>
                <w:szCs w:val="20"/>
              </w:rPr>
              <w:t>hydrogen cyanide</w:t>
            </w:r>
          </w:p>
        </w:tc>
        <w:tc>
          <w:tcPr>
            <w:tcW w:w="3248" w:type="dxa"/>
          </w:tcPr>
          <w:p w14:paraId="656B0C04"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3</w:t>
            </w:r>
          </w:p>
        </w:tc>
      </w:tr>
      <w:tr w:rsidR="00824693" w:rsidRPr="00284501" w14:paraId="656B0C08" w14:textId="77777777" w:rsidTr="002B2448">
        <w:trPr>
          <w:trHeight w:val="214"/>
        </w:trPr>
        <w:tc>
          <w:tcPr>
            <w:tcW w:w="4883" w:type="dxa"/>
          </w:tcPr>
          <w:p w14:paraId="656B0C06" w14:textId="77777777" w:rsidR="00824693" w:rsidRPr="00824693" w:rsidRDefault="00824693" w:rsidP="00DC6044">
            <w:pPr>
              <w:spacing w:after="0"/>
              <w:rPr>
                <w:rFonts w:cs="Segoe UI Light"/>
                <w:sz w:val="18"/>
                <w:szCs w:val="20"/>
              </w:rPr>
            </w:pPr>
            <w:r w:rsidRPr="00824693">
              <w:rPr>
                <w:rFonts w:cs="Segoe UI Light"/>
                <w:color w:val="000000"/>
                <w:sz w:val="18"/>
                <w:szCs w:val="20"/>
              </w:rPr>
              <w:t>nickel and compounds</w:t>
            </w:r>
          </w:p>
        </w:tc>
        <w:tc>
          <w:tcPr>
            <w:tcW w:w="3248" w:type="dxa"/>
          </w:tcPr>
          <w:p w14:paraId="656B0C07"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249</w:t>
            </w:r>
          </w:p>
        </w:tc>
      </w:tr>
      <w:tr w:rsidR="00824693" w:rsidRPr="00284501" w14:paraId="656B0C0B" w14:textId="77777777" w:rsidTr="002B2448">
        <w:trPr>
          <w:trHeight w:val="214"/>
        </w:trPr>
        <w:tc>
          <w:tcPr>
            <w:tcW w:w="4883" w:type="dxa"/>
          </w:tcPr>
          <w:p w14:paraId="656B0C09" w14:textId="77777777" w:rsidR="00824693" w:rsidRPr="00824693" w:rsidRDefault="00824693" w:rsidP="00DC6044">
            <w:pPr>
              <w:spacing w:after="0"/>
              <w:rPr>
                <w:rFonts w:cs="Segoe UI Light"/>
                <w:sz w:val="18"/>
                <w:szCs w:val="20"/>
              </w:rPr>
            </w:pPr>
            <w:r w:rsidRPr="00824693">
              <w:rPr>
                <w:rFonts w:cs="Segoe UI Light"/>
                <w:color w:val="000000"/>
                <w:sz w:val="18"/>
                <w:szCs w:val="20"/>
              </w:rPr>
              <w:t>PAH (as BaP)</w:t>
            </w:r>
          </w:p>
        </w:tc>
        <w:tc>
          <w:tcPr>
            <w:tcW w:w="3248" w:type="dxa"/>
          </w:tcPr>
          <w:p w14:paraId="656B0C0A"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429</w:t>
            </w:r>
          </w:p>
        </w:tc>
      </w:tr>
      <w:tr w:rsidR="00824693" w:rsidRPr="00284501" w14:paraId="656B0C0E" w14:textId="77777777" w:rsidTr="002B2448">
        <w:trPr>
          <w:trHeight w:val="214"/>
        </w:trPr>
        <w:tc>
          <w:tcPr>
            <w:tcW w:w="4883" w:type="dxa"/>
          </w:tcPr>
          <w:p w14:paraId="656B0C0C" w14:textId="77777777" w:rsidR="00824693" w:rsidRPr="00824693" w:rsidRDefault="00824693" w:rsidP="00DC6044">
            <w:pPr>
              <w:spacing w:after="0"/>
              <w:rPr>
                <w:rFonts w:cs="Segoe UI Light"/>
                <w:sz w:val="18"/>
                <w:szCs w:val="20"/>
              </w:rPr>
            </w:pPr>
            <w:r w:rsidRPr="00824693">
              <w:rPr>
                <w:rFonts w:cs="Segoe UI Light"/>
                <w:color w:val="000000"/>
                <w:sz w:val="18"/>
                <w:szCs w:val="20"/>
              </w:rPr>
              <w:t>TDI (toluene-2,4-diisocynate and toluene-2,6-diisocyanate)</w:t>
            </w:r>
          </w:p>
        </w:tc>
        <w:tc>
          <w:tcPr>
            <w:tcW w:w="3248" w:type="dxa"/>
          </w:tcPr>
          <w:p w14:paraId="656B0C0D" w14:textId="77777777" w:rsidR="00824693" w:rsidRPr="00824693" w:rsidRDefault="00824693" w:rsidP="00AB166C">
            <w:pPr>
              <w:spacing w:after="0"/>
              <w:ind w:right="57"/>
              <w:jc w:val="right"/>
              <w:rPr>
                <w:rFonts w:cs="Segoe UI Light"/>
                <w:sz w:val="18"/>
                <w:szCs w:val="20"/>
              </w:rPr>
            </w:pPr>
            <w:r w:rsidRPr="00824693">
              <w:rPr>
                <w:rFonts w:cs="Segoe UI Light"/>
                <w:color w:val="000000"/>
                <w:sz w:val="18"/>
                <w:szCs w:val="20"/>
              </w:rPr>
              <w:t>5</w:t>
            </w:r>
          </w:p>
        </w:tc>
      </w:tr>
      <w:tr w:rsidR="00824693" w:rsidRPr="00284501" w14:paraId="656B0C11" w14:textId="77777777" w:rsidTr="002B2448">
        <w:trPr>
          <w:trHeight w:val="214"/>
        </w:trPr>
        <w:tc>
          <w:tcPr>
            <w:tcW w:w="4883" w:type="dxa"/>
          </w:tcPr>
          <w:p w14:paraId="656B0C0F" w14:textId="77777777" w:rsidR="00824693" w:rsidRPr="00824693" w:rsidRDefault="00824693" w:rsidP="00DC6044">
            <w:pPr>
              <w:spacing w:after="0"/>
              <w:rPr>
                <w:rFonts w:cs="Segoe UI Light"/>
                <w:color w:val="000000"/>
                <w:sz w:val="18"/>
                <w:szCs w:val="20"/>
              </w:rPr>
            </w:pPr>
            <w:r w:rsidRPr="00824693">
              <w:rPr>
                <w:rFonts w:cs="Segoe UI Light"/>
                <w:color w:val="000000"/>
                <w:sz w:val="18"/>
                <w:szCs w:val="20"/>
              </w:rPr>
              <w:t>Trichloroethylene</w:t>
            </w:r>
          </w:p>
        </w:tc>
        <w:tc>
          <w:tcPr>
            <w:tcW w:w="3248" w:type="dxa"/>
          </w:tcPr>
          <w:p w14:paraId="656B0C10" w14:textId="77777777" w:rsidR="00824693" w:rsidRPr="00824693" w:rsidRDefault="00824693" w:rsidP="00AB166C">
            <w:pPr>
              <w:spacing w:after="0"/>
              <w:ind w:right="57"/>
              <w:jc w:val="right"/>
              <w:rPr>
                <w:rFonts w:cs="Segoe UI Light"/>
                <w:color w:val="000000"/>
                <w:sz w:val="18"/>
                <w:szCs w:val="20"/>
              </w:rPr>
            </w:pPr>
            <w:r w:rsidRPr="00824693">
              <w:rPr>
                <w:rFonts w:cs="Segoe UI Light"/>
                <w:color w:val="000000"/>
                <w:sz w:val="18"/>
                <w:szCs w:val="20"/>
              </w:rPr>
              <w:t>35</w:t>
            </w:r>
          </w:p>
        </w:tc>
      </w:tr>
      <w:tr w:rsidR="00824693" w:rsidRPr="00284501" w14:paraId="656B0C14" w14:textId="77777777" w:rsidTr="002B2448">
        <w:trPr>
          <w:trHeight w:val="214"/>
        </w:trPr>
        <w:tc>
          <w:tcPr>
            <w:tcW w:w="4883" w:type="dxa"/>
          </w:tcPr>
          <w:p w14:paraId="656B0C12" w14:textId="77777777" w:rsidR="00824693" w:rsidRPr="00824693" w:rsidRDefault="00824693" w:rsidP="00DC6044">
            <w:pPr>
              <w:spacing w:after="0"/>
              <w:rPr>
                <w:rFonts w:cs="Segoe UI Light"/>
                <w:color w:val="000000"/>
                <w:sz w:val="18"/>
                <w:szCs w:val="20"/>
              </w:rPr>
            </w:pPr>
            <w:r w:rsidRPr="00824693">
              <w:rPr>
                <w:rFonts w:cs="Segoe UI Light"/>
                <w:color w:val="000000"/>
                <w:sz w:val="18"/>
                <w:szCs w:val="20"/>
              </w:rPr>
              <w:t>Vinyl chloride</w:t>
            </w:r>
          </w:p>
        </w:tc>
        <w:tc>
          <w:tcPr>
            <w:tcW w:w="3248" w:type="dxa"/>
          </w:tcPr>
          <w:p w14:paraId="656B0C13" w14:textId="77777777" w:rsidR="00824693" w:rsidRPr="00824693" w:rsidRDefault="00824693" w:rsidP="00AB166C">
            <w:pPr>
              <w:spacing w:after="0"/>
              <w:ind w:right="57"/>
              <w:jc w:val="right"/>
              <w:rPr>
                <w:rFonts w:cs="Segoe UI Light"/>
                <w:color w:val="000000"/>
                <w:sz w:val="18"/>
                <w:szCs w:val="20"/>
              </w:rPr>
            </w:pPr>
            <w:r w:rsidRPr="00824693">
              <w:rPr>
                <w:rFonts w:cs="Segoe UI Light"/>
                <w:color w:val="000000"/>
                <w:sz w:val="18"/>
                <w:szCs w:val="20"/>
              </w:rPr>
              <w:t>35</w:t>
            </w:r>
          </w:p>
        </w:tc>
      </w:tr>
      <w:tr w:rsidR="008E3C92" w:rsidRPr="00284501" w14:paraId="656B0C17" w14:textId="77777777" w:rsidTr="002B2448">
        <w:trPr>
          <w:trHeight w:val="214"/>
        </w:trPr>
        <w:tc>
          <w:tcPr>
            <w:tcW w:w="4883" w:type="dxa"/>
          </w:tcPr>
          <w:p w14:paraId="656B0C15" w14:textId="77777777" w:rsidR="008E3C92" w:rsidRPr="00824693" w:rsidRDefault="008E3C92" w:rsidP="00DC6044">
            <w:pPr>
              <w:spacing w:after="0"/>
              <w:rPr>
                <w:rFonts w:cs="Segoe UI Light"/>
                <w:color w:val="000000"/>
                <w:sz w:val="18"/>
                <w:szCs w:val="20"/>
              </w:rPr>
            </w:pPr>
            <w:r w:rsidRPr="008E3C92">
              <w:rPr>
                <w:rFonts w:cs="Segoe UI Light"/>
                <w:color w:val="000000"/>
                <w:sz w:val="18"/>
                <w:szCs w:val="20"/>
              </w:rPr>
              <w:t>alpha chlorinated toluenes and benzoyl chloride</w:t>
            </w:r>
          </w:p>
        </w:tc>
        <w:tc>
          <w:tcPr>
            <w:tcW w:w="3248" w:type="dxa"/>
          </w:tcPr>
          <w:p w14:paraId="656B0C16" w14:textId="77777777" w:rsidR="008E3C92" w:rsidRPr="00824693" w:rsidRDefault="00A5592E" w:rsidP="00AB166C">
            <w:pPr>
              <w:spacing w:after="0"/>
              <w:ind w:right="57"/>
              <w:jc w:val="right"/>
              <w:rPr>
                <w:rFonts w:cs="Segoe UI Light"/>
                <w:color w:val="000000"/>
                <w:sz w:val="18"/>
                <w:szCs w:val="20"/>
              </w:rPr>
            </w:pPr>
            <w:r>
              <w:rPr>
                <w:rFonts w:cs="Segoe UI Light"/>
                <w:color w:val="000000"/>
                <w:sz w:val="18"/>
                <w:szCs w:val="20"/>
              </w:rPr>
              <w:t>unknown</w:t>
            </w:r>
          </w:p>
        </w:tc>
      </w:tr>
      <w:tr w:rsidR="00A5592E" w:rsidRPr="00284501" w14:paraId="656B0C1A" w14:textId="77777777" w:rsidTr="002B2448">
        <w:trPr>
          <w:trHeight w:val="214"/>
        </w:trPr>
        <w:tc>
          <w:tcPr>
            <w:tcW w:w="4883" w:type="dxa"/>
          </w:tcPr>
          <w:p w14:paraId="656B0C18" w14:textId="77777777" w:rsidR="00A5592E" w:rsidRPr="00824693" w:rsidRDefault="00A5592E" w:rsidP="00A5592E">
            <w:pPr>
              <w:spacing w:after="0"/>
              <w:rPr>
                <w:rFonts w:cs="Segoe UI Light"/>
                <w:color w:val="000000"/>
                <w:sz w:val="18"/>
                <w:szCs w:val="20"/>
              </w:rPr>
            </w:pPr>
            <w:r w:rsidRPr="008E3C92">
              <w:rPr>
                <w:rFonts w:cs="Segoe UI Light"/>
                <w:color w:val="000000"/>
                <w:sz w:val="18"/>
                <w:szCs w:val="20"/>
              </w:rPr>
              <w:t>asbestos</w:t>
            </w:r>
          </w:p>
        </w:tc>
        <w:tc>
          <w:tcPr>
            <w:tcW w:w="3248" w:type="dxa"/>
          </w:tcPr>
          <w:p w14:paraId="656B0C19" w14:textId="77777777" w:rsidR="00A5592E" w:rsidRPr="00824693" w:rsidRDefault="00A5592E" w:rsidP="00AB166C">
            <w:pPr>
              <w:spacing w:after="0"/>
              <w:ind w:right="57"/>
              <w:jc w:val="right"/>
              <w:rPr>
                <w:rFonts w:cs="Segoe UI Light"/>
                <w:color w:val="000000"/>
                <w:sz w:val="18"/>
                <w:szCs w:val="20"/>
              </w:rPr>
            </w:pPr>
            <w:r w:rsidRPr="00142622">
              <w:rPr>
                <w:rFonts w:cs="Segoe UI Light"/>
                <w:color w:val="000000"/>
                <w:sz w:val="18"/>
                <w:szCs w:val="20"/>
              </w:rPr>
              <w:t>unknown</w:t>
            </w:r>
          </w:p>
        </w:tc>
      </w:tr>
      <w:tr w:rsidR="00A5592E" w:rsidRPr="00284501" w14:paraId="656B0C1D" w14:textId="77777777" w:rsidTr="002B2448">
        <w:trPr>
          <w:trHeight w:val="214"/>
        </w:trPr>
        <w:tc>
          <w:tcPr>
            <w:tcW w:w="4883" w:type="dxa"/>
          </w:tcPr>
          <w:p w14:paraId="656B0C1B" w14:textId="77777777" w:rsidR="00A5592E" w:rsidRPr="00824693" w:rsidRDefault="00A5592E" w:rsidP="00A5592E">
            <w:pPr>
              <w:spacing w:after="0"/>
              <w:rPr>
                <w:rFonts w:cs="Segoe UI Light"/>
                <w:color w:val="000000"/>
                <w:sz w:val="18"/>
                <w:szCs w:val="20"/>
              </w:rPr>
            </w:pPr>
            <w:r w:rsidRPr="008E3C92">
              <w:rPr>
                <w:rFonts w:cs="Segoe UI Light"/>
                <w:color w:val="000000"/>
                <w:sz w:val="18"/>
                <w:szCs w:val="20"/>
              </w:rPr>
              <w:t>epichlorohydrin</w:t>
            </w:r>
          </w:p>
        </w:tc>
        <w:tc>
          <w:tcPr>
            <w:tcW w:w="3248" w:type="dxa"/>
          </w:tcPr>
          <w:p w14:paraId="656B0C1C" w14:textId="77777777" w:rsidR="00A5592E" w:rsidRPr="00824693" w:rsidRDefault="00A5592E" w:rsidP="00AB166C">
            <w:pPr>
              <w:spacing w:after="0"/>
              <w:ind w:right="57"/>
              <w:jc w:val="right"/>
              <w:rPr>
                <w:rFonts w:cs="Segoe UI Light"/>
                <w:color w:val="000000"/>
                <w:sz w:val="18"/>
                <w:szCs w:val="20"/>
              </w:rPr>
            </w:pPr>
            <w:r w:rsidRPr="00142622">
              <w:rPr>
                <w:rFonts w:cs="Segoe UI Light"/>
                <w:color w:val="000000"/>
                <w:sz w:val="18"/>
                <w:szCs w:val="20"/>
              </w:rPr>
              <w:t>unknown</w:t>
            </w:r>
          </w:p>
        </w:tc>
      </w:tr>
      <w:tr w:rsidR="00A5592E" w:rsidRPr="00284501" w14:paraId="656B0C20" w14:textId="77777777" w:rsidTr="002B2448">
        <w:trPr>
          <w:trHeight w:val="214"/>
        </w:trPr>
        <w:tc>
          <w:tcPr>
            <w:tcW w:w="4883" w:type="dxa"/>
          </w:tcPr>
          <w:p w14:paraId="656B0C1E" w14:textId="77777777" w:rsidR="00A5592E" w:rsidRPr="00824693" w:rsidRDefault="00A5592E" w:rsidP="00A5592E">
            <w:pPr>
              <w:spacing w:after="0"/>
              <w:rPr>
                <w:rFonts w:cs="Segoe UI Light"/>
                <w:color w:val="000000"/>
                <w:sz w:val="18"/>
                <w:szCs w:val="20"/>
              </w:rPr>
            </w:pPr>
            <w:r w:rsidRPr="008E3C92">
              <w:rPr>
                <w:rFonts w:cs="Segoe UI Light"/>
                <w:color w:val="000000"/>
                <w:sz w:val="18"/>
                <w:szCs w:val="20"/>
              </w:rPr>
              <w:t>MDI (Diphenylmethane diisocyanate)</w:t>
            </w:r>
          </w:p>
        </w:tc>
        <w:tc>
          <w:tcPr>
            <w:tcW w:w="3248" w:type="dxa"/>
          </w:tcPr>
          <w:p w14:paraId="656B0C1F" w14:textId="77777777" w:rsidR="00A5592E" w:rsidRPr="00824693" w:rsidRDefault="00A5592E" w:rsidP="00AB166C">
            <w:pPr>
              <w:spacing w:after="0"/>
              <w:ind w:right="57"/>
              <w:jc w:val="right"/>
              <w:rPr>
                <w:rFonts w:cs="Segoe UI Light"/>
                <w:color w:val="000000"/>
                <w:sz w:val="18"/>
                <w:szCs w:val="20"/>
              </w:rPr>
            </w:pPr>
            <w:r w:rsidRPr="00142622">
              <w:rPr>
                <w:rFonts w:cs="Segoe UI Light"/>
                <w:color w:val="000000"/>
                <w:sz w:val="18"/>
                <w:szCs w:val="20"/>
              </w:rPr>
              <w:t>unknown</w:t>
            </w:r>
          </w:p>
        </w:tc>
      </w:tr>
      <w:tr w:rsidR="00A5592E" w:rsidRPr="00284501" w14:paraId="656B0C23" w14:textId="77777777" w:rsidTr="002B2448">
        <w:trPr>
          <w:trHeight w:val="214"/>
        </w:trPr>
        <w:tc>
          <w:tcPr>
            <w:tcW w:w="4883" w:type="dxa"/>
          </w:tcPr>
          <w:p w14:paraId="656B0C21" w14:textId="77777777" w:rsidR="00A5592E" w:rsidRPr="00824693" w:rsidRDefault="00A5592E" w:rsidP="00A5592E">
            <w:pPr>
              <w:spacing w:after="0"/>
              <w:rPr>
                <w:rFonts w:cs="Segoe UI Light"/>
                <w:color w:val="000000"/>
                <w:sz w:val="18"/>
                <w:szCs w:val="20"/>
              </w:rPr>
            </w:pPr>
            <w:r w:rsidRPr="008E3C92">
              <w:rPr>
                <w:rFonts w:cs="Segoe UI Light"/>
                <w:color w:val="000000"/>
                <w:sz w:val="18"/>
                <w:szCs w:val="20"/>
              </w:rPr>
              <w:t>Pentanchlorophenol/Phosgene</w:t>
            </w:r>
          </w:p>
        </w:tc>
        <w:tc>
          <w:tcPr>
            <w:tcW w:w="3248" w:type="dxa"/>
          </w:tcPr>
          <w:p w14:paraId="656B0C22" w14:textId="77777777" w:rsidR="00A5592E" w:rsidRPr="00824693" w:rsidRDefault="00A5592E" w:rsidP="00AB166C">
            <w:pPr>
              <w:spacing w:after="0"/>
              <w:ind w:right="57"/>
              <w:jc w:val="right"/>
              <w:rPr>
                <w:rFonts w:cs="Segoe UI Light"/>
                <w:color w:val="000000"/>
                <w:sz w:val="18"/>
                <w:szCs w:val="20"/>
              </w:rPr>
            </w:pPr>
            <w:r w:rsidRPr="00142622">
              <w:rPr>
                <w:rFonts w:cs="Segoe UI Light"/>
                <w:color w:val="000000"/>
                <w:sz w:val="18"/>
                <w:szCs w:val="20"/>
              </w:rPr>
              <w:t>unknown</w:t>
            </w:r>
          </w:p>
        </w:tc>
      </w:tr>
      <w:tr w:rsidR="00A5592E" w:rsidRPr="00284501" w14:paraId="656B0C26" w14:textId="77777777" w:rsidTr="002B2448">
        <w:trPr>
          <w:trHeight w:val="214"/>
        </w:trPr>
        <w:tc>
          <w:tcPr>
            <w:tcW w:w="4883" w:type="dxa"/>
          </w:tcPr>
          <w:p w14:paraId="656B0C24" w14:textId="77777777" w:rsidR="00A5592E" w:rsidRPr="00824693" w:rsidRDefault="00A5592E" w:rsidP="00A5592E">
            <w:pPr>
              <w:spacing w:after="0"/>
              <w:rPr>
                <w:rFonts w:cs="Segoe UI Light"/>
                <w:color w:val="000000"/>
                <w:sz w:val="18"/>
                <w:szCs w:val="20"/>
              </w:rPr>
            </w:pPr>
            <w:r w:rsidRPr="008E3C92">
              <w:rPr>
                <w:rFonts w:cs="Segoe UI Light"/>
                <w:color w:val="000000"/>
                <w:sz w:val="18"/>
                <w:szCs w:val="20"/>
              </w:rPr>
              <w:t>Radionuclides</w:t>
            </w:r>
          </w:p>
        </w:tc>
        <w:tc>
          <w:tcPr>
            <w:tcW w:w="3248" w:type="dxa"/>
          </w:tcPr>
          <w:p w14:paraId="656B0C25" w14:textId="77777777" w:rsidR="00A5592E" w:rsidRPr="00824693" w:rsidRDefault="00A5592E" w:rsidP="00AB166C">
            <w:pPr>
              <w:spacing w:after="0"/>
              <w:ind w:right="57"/>
              <w:jc w:val="right"/>
              <w:rPr>
                <w:rFonts w:cs="Segoe UI Light"/>
                <w:color w:val="000000"/>
                <w:sz w:val="18"/>
                <w:szCs w:val="20"/>
              </w:rPr>
            </w:pPr>
            <w:r w:rsidRPr="00142622">
              <w:rPr>
                <w:rFonts w:cs="Segoe UI Light"/>
                <w:color w:val="000000"/>
                <w:sz w:val="18"/>
                <w:szCs w:val="20"/>
              </w:rPr>
              <w:t>unknown</w:t>
            </w:r>
          </w:p>
        </w:tc>
      </w:tr>
      <w:tr w:rsidR="00A5592E" w:rsidRPr="00284501" w14:paraId="656B0C29" w14:textId="77777777" w:rsidTr="002B2448">
        <w:trPr>
          <w:trHeight w:val="214"/>
        </w:trPr>
        <w:tc>
          <w:tcPr>
            <w:tcW w:w="4883" w:type="dxa"/>
          </w:tcPr>
          <w:p w14:paraId="656B0C27" w14:textId="77777777" w:rsidR="00A5592E" w:rsidRPr="00824693" w:rsidRDefault="00A5592E" w:rsidP="00A5592E">
            <w:pPr>
              <w:spacing w:after="0"/>
              <w:rPr>
                <w:rFonts w:cs="Segoe UI Light"/>
                <w:color w:val="000000"/>
                <w:sz w:val="18"/>
                <w:szCs w:val="20"/>
              </w:rPr>
            </w:pPr>
            <w:r w:rsidRPr="008E3C92">
              <w:rPr>
                <w:rFonts w:cs="Segoe UI Light"/>
                <w:color w:val="000000"/>
                <w:sz w:val="18"/>
                <w:szCs w:val="20"/>
              </w:rPr>
              <w:t>Respirable crystalline silica</w:t>
            </w:r>
          </w:p>
        </w:tc>
        <w:tc>
          <w:tcPr>
            <w:tcW w:w="3248" w:type="dxa"/>
          </w:tcPr>
          <w:p w14:paraId="656B0C28" w14:textId="77777777" w:rsidR="00A5592E" w:rsidRPr="00824693" w:rsidRDefault="00A5592E" w:rsidP="00AB166C">
            <w:pPr>
              <w:spacing w:after="0"/>
              <w:ind w:right="57"/>
              <w:jc w:val="right"/>
              <w:rPr>
                <w:rFonts w:cs="Segoe UI Light"/>
                <w:color w:val="000000"/>
                <w:sz w:val="18"/>
                <w:szCs w:val="20"/>
              </w:rPr>
            </w:pPr>
            <w:r w:rsidRPr="00142622">
              <w:rPr>
                <w:rFonts w:cs="Segoe UI Light"/>
                <w:color w:val="000000"/>
                <w:sz w:val="18"/>
                <w:szCs w:val="20"/>
              </w:rPr>
              <w:t>unknown</w:t>
            </w:r>
          </w:p>
        </w:tc>
      </w:tr>
      <w:tr w:rsidR="00A5592E" w:rsidRPr="00284501" w14:paraId="656B0C2C" w14:textId="77777777" w:rsidTr="002B2448">
        <w:trPr>
          <w:trHeight w:val="214"/>
        </w:trPr>
        <w:tc>
          <w:tcPr>
            <w:tcW w:w="4883" w:type="dxa"/>
          </w:tcPr>
          <w:p w14:paraId="656B0C2A" w14:textId="77777777" w:rsidR="00A5592E" w:rsidRPr="008E3C92" w:rsidRDefault="00A5592E" w:rsidP="00A5592E">
            <w:pPr>
              <w:spacing w:after="0"/>
              <w:rPr>
                <w:rFonts w:cs="Segoe UI Light"/>
                <w:color w:val="000000"/>
                <w:sz w:val="18"/>
                <w:szCs w:val="20"/>
              </w:rPr>
            </w:pPr>
            <w:r>
              <w:rPr>
                <w:rFonts w:cs="Segoe UI Light"/>
                <w:color w:val="000000"/>
                <w:sz w:val="18"/>
                <w:szCs w:val="20"/>
              </w:rPr>
              <w:t>Propylene oxide</w:t>
            </w:r>
          </w:p>
        </w:tc>
        <w:tc>
          <w:tcPr>
            <w:tcW w:w="3248" w:type="dxa"/>
          </w:tcPr>
          <w:p w14:paraId="656B0C2B" w14:textId="77777777" w:rsidR="00A5592E" w:rsidRPr="00975CC5" w:rsidRDefault="00A5592E" w:rsidP="00AB166C">
            <w:pPr>
              <w:spacing w:after="0"/>
              <w:ind w:right="57"/>
              <w:jc w:val="right"/>
              <w:rPr>
                <w:rFonts w:cs="Segoe UI Light"/>
                <w:color w:val="000000"/>
                <w:sz w:val="18"/>
                <w:szCs w:val="20"/>
              </w:rPr>
            </w:pPr>
            <w:r w:rsidRPr="00142622">
              <w:rPr>
                <w:rFonts w:cs="Segoe UI Light"/>
                <w:color w:val="000000"/>
                <w:sz w:val="18"/>
                <w:szCs w:val="20"/>
              </w:rPr>
              <w:t>unknown</w:t>
            </w:r>
          </w:p>
        </w:tc>
      </w:tr>
    </w:tbl>
    <w:p w14:paraId="656B0C2D" w14:textId="77777777" w:rsidR="00F71535" w:rsidRDefault="00824693" w:rsidP="00A04B6E">
      <w:pPr>
        <w:rPr>
          <w:sz w:val="18"/>
        </w:rPr>
      </w:pPr>
      <w:r w:rsidRPr="00824693">
        <w:rPr>
          <w:sz w:val="18"/>
        </w:rPr>
        <w:t xml:space="preserve">Note: These are not exclusive. The same premises may be counted several times </w:t>
      </w:r>
      <w:r w:rsidR="00010CE9">
        <w:rPr>
          <w:sz w:val="18"/>
        </w:rPr>
        <w:t xml:space="preserve">if </w:t>
      </w:r>
      <w:r w:rsidR="00D52989">
        <w:rPr>
          <w:sz w:val="18"/>
        </w:rPr>
        <w:t>it</w:t>
      </w:r>
      <w:r w:rsidR="00010CE9">
        <w:rPr>
          <w:sz w:val="18"/>
        </w:rPr>
        <w:t xml:space="preserve"> emits</w:t>
      </w:r>
      <w:r w:rsidRPr="00824693">
        <w:rPr>
          <w:sz w:val="18"/>
        </w:rPr>
        <w:t xml:space="preserve"> different chemicals.</w:t>
      </w:r>
      <w:r w:rsidR="006A53A9">
        <w:rPr>
          <w:sz w:val="18"/>
        </w:rPr>
        <w:br/>
        <w:t>Source: National Pollutant Inventory (accessed 11 April 2019), EPA estimates</w:t>
      </w:r>
      <w:r w:rsidR="0030430D">
        <w:rPr>
          <w:sz w:val="18"/>
        </w:rPr>
        <w:t>.</w:t>
      </w:r>
    </w:p>
    <w:p w14:paraId="656B0C2E" w14:textId="77777777" w:rsidR="000E481A" w:rsidRDefault="000E481A" w:rsidP="000675FF">
      <w:pPr>
        <w:pStyle w:val="Heading3"/>
        <w:ind w:left="720"/>
      </w:pPr>
      <w:r>
        <w:t>Options</w:t>
      </w:r>
    </w:p>
    <w:p w14:paraId="656B0C2F" w14:textId="77777777" w:rsidR="007B0629" w:rsidRDefault="007B0629" w:rsidP="007B0629">
      <w:r w:rsidRPr="00375BDE">
        <w:t xml:space="preserve">Under the </w:t>
      </w:r>
      <w:r w:rsidR="000514DD">
        <w:t>Base Case</w:t>
      </w:r>
      <w:r w:rsidRPr="00375BDE">
        <w:t xml:space="preserve">, </w:t>
      </w:r>
      <w:r>
        <w:t xml:space="preserve">the GED would still apply to all persons conducting business or an undertaking, and this would also apply to the emission of </w:t>
      </w:r>
      <w:r w:rsidR="002F63EB">
        <w:t>Class 3 substances</w:t>
      </w:r>
      <w:r>
        <w:t xml:space="preserve">. Under the </w:t>
      </w:r>
      <w:r w:rsidR="000514DD">
        <w:t>Base Case</w:t>
      </w:r>
      <w:r>
        <w:t xml:space="preserve">, any person who does not minimise the risks of harm to human health or the environment from the emission of </w:t>
      </w:r>
      <w:r w:rsidR="00FC060E">
        <w:t>air pollutants</w:t>
      </w:r>
      <w:r>
        <w:t>, so far as reasonably practicable, would be committing an offence under the GED</w:t>
      </w:r>
      <w:r w:rsidR="00FC060E">
        <w:t xml:space="preserve">. However, there would be no subset of air pollutants defined as </w:t>
      </w:r>
      <w:r w:rsidR="002F63EB">
        <w:t>Class 3 substances</w:t>
      </w:r>
      <w:r w:rsidR="00FC060E">
        <w:t xml:space="preserve">, </w:t>
      </w:r>
      <w:r w:rsidR="00271D31">
        <w:t xml:space="preserve">meaning that </w:t>
      </w:r>
      <w:r w:rsidR="002F63EB">
        <w:t xml:space="preserve">there would be </w:t>
      </w:r>
      <w:r w:rsidR="00FC060E">
        <w:t>no additional obligations relating to these pollutants over other air pollutants. The SEPP AQM</w:t>
      </w:r>
      <w:r w:rsidR="00AE6ECE">
        <w:t>,</w:t>
      </w:r>
      <w:r w:rsidR="00FC060E">
        <w:t xml:space="preserve"> which currently outlines the list of Class 3 </w:t>
      </w:r>
      <w:r w:rsidR="002F63EB">
        <w:t>substances</w:t>
      </w:r>
      <w:r w:rsidR="00AE6ECE">
        <w:t>,</w:t>
      </w:r>
      <w:r w:rsidR="00FC060E">
        <w:t xml:space="preserve"> w</w:t>
      </w:r>
      <w:r w:rsidR="009D255A">
        <w:t xml:space="preserve">ill cease to have effect when the EP Act 1970 is repealed. </w:t>
      </w:r>
      <w:r w:rsidR="002F63EB">
        <w:t xml:space="preserve">In the </w:t>
      </w:r>
      <w:r w:rsidR="000C1C59">
        <w:t>B</w:t>
      </w:r>
      <w:r w:rsidR="002F63EB">
        <w:t xml:space="preserve">ase </w:t>
      </w:r>
      <w:r w:rsidR="000C1C59">
        <w:t>C</w:t>
      </w:r>
      <w:r w:rsidR="002F63EB">
        <w:t xml:space="preserve">ase, however, SEPP AQM would continue to form the ‘state of knowledge’ and as such, </w:t>
      </w:r>
      <w:r w:rsidR="00271D31">
        <w:t>businesses would be likely to be highly aware of their obligations to minimise or eliminate the emission of Class 3 substances. This ‘state of knowledge’ w</w:t>
      </w:r>
      <w:r w:rsidR="002F63EB">
        <w:t xml:space="preserve">ould be considered when assessing whether a businesses or person is compliant with the GED. </w:t>
      </w:r>
    </w:p>
    <w:p w14:paraId="656B0C30" w14:textId="77777777" w:rsidR="007B0629" w:rsidRDefault="007B0629" w:rsidP="009D255A">
      <w:r>
        <w:t xml:space="preserve">As well as the GED, the permissioning framework will also be an important </w:t>
      </w:r>
      <w:r w:rsidR="00FC060E">
        <w:t xml:space="preserve">mechanism </w:t>
      </w:r>
      <w:r>
        <w:t xml:space="preserve">for minimising the </w:t>
      </w:r>
      <w:r w:rsidR="00FC060E">
        <w:t xml:space="preserve">risk of harm caused by the emission </w:t>
      </w:r>
      <w:r>
        <w:t xml:space="preserve">of </w:t>
      </w:r>
      <w:r w:rsidR="007729F0">
        <w:t xml:space="preserve">Class 3 substances </w:t>
      </w:r>
      <w:r w:rsidR="009D255A">
        <w:t xml:space="preserve">under the </w:t>
      </w:r>
      <w:r w:rsidR="000514DD">
        <w:t>Base Case</w:t>
      </w:r>
      <w:r>
        <w:t xml:space="preserve">. This would require operators of industrial facilities such as chemical works, metal works and coal processing plants (that operate above a specified threshold) to obtain development licences for </w:t>
      </w:r>
      <w:r w:rsidR="009D255A">
        <w:t>the construction or modification of plant or machinery</w:t>
      </w:r>
      <w:r>
        <w:t xml:space="preserve">, and operating licence for ongoing operation. This would allow EPA to: </w:t>
      </w:r>
    </w:p>
    <w:p w14:paraId="656B0C31" w14:textId="77777777" w:rsidR="007B0629" w:rsidRPr="00B1098A" w:rsidRDefault="00C95E3F" w:rsidP="00037AF8">
      <w:pPr>
        <w:pStyle w:val="ListParagraph"/>
        <w:numPr>
          <w:ilvl w:val="0"/>
          <w:numId w:val="391"/>
        </w:numPr>
      </w:pPr>
      <w:r>
        <w:rPr>
          <w:rFonts w:cs="Segoe UI Light"/>
        </w:rPr>
        <w:t>I</w:t>
      </w:r>
      <w:r w:rsidR="007B0629" w:rsidRPr="009271CA">
        <w:rPr>
          <w:rFonts w:cs="Segoe UI Light"/>
        </w:rPr>
        <w:t xml:space="preserve">nfluence the design of the new or altered operation at the design stage, in order to reduce the emission of air pollutants (including </w:t>
      </w:r>
      <w:r w:rsidR="007729F0" w:rsidRPr="00B40D23">
        <w:rPr>
          <w:rFonts w:cs="Segoe UI Light"/>
        </w:rPr>
        <w:t>Class 3 substances</w:t>
      </w:r>
      <w:r w:rsidR="006A53A9" w:rsidRPr="00B40D23">
        <w:rPr>
          <w:rFonts w:cs="Segoe UI Light"/>
        </w:rPr>
        <w:t>)</w:t>
      </w:r>
      <w:r w:rsidR="0030430D">
        <w:rPr>
          <w:rFonts w:cs="Segoe UI Light"/>
        </w:rPr>
        <w:t>.</w:t>
      </w:r>
      <w:r w:rsidR="007B0629" w:rsidRPr="0019024B">
        <w:rPr>
          <w:rFonts w:cs="Segoe UI Light"/>
        </w:rPr>
        <w:t xml:space="preserve"> </w:t>
      </w:r>
    </w:p>
    <w:p w14:paraId="656B0C32" w14:textId="77777777" w:rsidR="007B0629" w:rsidRPr="009B095B" w:rsidRDefault="00C95E3F" w:rsidP="00037AF8">
      <w:pPr>
        <w:pStyle w:val="ListParagraph"/>
        <w:numPr>
          <w:ilvl w:val="0"/>
          <w:numId w:val="391"/>
        </w:numPr>
      </w:pPr>
      <w:r>
        <w:rPr>
          <w:rFonts w:cs="Segoe UI Light"/>
        </w:rPr>
        <w:t>S</w:t>
      </w:r>
      <w:r w:rsidR="007B0629" w:rsidRPr="009271CA">
        <w:rPr>
          <w:rFonts w:cs="Segoe UI Light"/>
        </w:rPr>
        <w:t>et operating conditio</w:t>
      </w:r>
      <w:r w:rsidR="007B0629" w:rsidRPr="00B40D23">
        <w:rPr>
          <w:rFonts w:cs="Segoe UI Light"/>
        </w:rPr>
        <w:t xml:space="preserve">ns in order to minimise the emission of </w:t>
      </w:r>
      <w:r w:rsidR="002F63EB" w:rsidRPr="00B40D23">
        <w:rPr>
          <w:rFonts w:cs="Segoe UI Light"/>
        </w:rPr>
        <w:t>Class 3 substances</w:t>
      </w:r>
      <w:r w:rsidR="007B0629" w:rsidRPr="0019024B">
        <w:rPr>
          <w:rFonts w:cs="Segoe UI Light"/>
        </w:rPr>
        <w:t>, and monitor compliance</w:t>
      </w:r>
      <w:r w:rsidR="00DC7A63" w:rsidRPr="0030430D">
        <w:rPr>
          <w:rFonts w:cs="Segoe UI Light"/>
        </w:rPr>
        <w:t xml:space="preserve">. </w:t>
      </w:r>
    </w:p>
    <w:p w14:paraId="656B0C33" w14:textId="77777777" w:rsidR="00271D31" w:rsidRDefault="00FC060E" w:rsidP="007B0629">
      <w:pPr>
        <w:pStyle w:val="Bullet1"/>
        <w:ind w:left="0" w:firstLine="0"/>
      </w:pPr>
      <w:r w:rsidRPr="00693108">
        <w:rPr>
          <w:b/>
        </w:rPr>
        <w:t>Option 1</w:t>
      </w:r>
      <w:r w:rsidRPr="00DC6044">
        <w:t xml:space="preserve"> is to prescribe a list of </w:t>
      </w:r>
      <w:r w:rsidR="002F63EB">
        <w:t xml:space="preserve">Class 3 substances </w:t>
      </w:r>
      <w:r w:rsidR="00DC6044" w:rsidRPr="00DC6044">
        <w:t>in regulations</w:t>
      </w:r>
      <w:r w:rsidR="00F71535" w:rsidRPr="00DC6044">
        <w:t>,</w:t>
      </w:r>
      <w:r w:rsidRPr="00DC6044">
        <w:t xml:space="preserve"> and outline </w:t>
      </w:r>
      <w:r w:rsidR="00F71535" w:rsidRPr="00DC6044">
        <w:t xml:space="preserve">the </w:t>
      </w:r>
      <w:r w:rsidRPr="00DC6044">
        <w:t xml:space="preserve">steps </w:t>
      </w:r>
      <w:r w:rsidR="00F71535" w:rsidRPr="00DC6044">
        <w:t xml:space="preserve">that </w:t>
      </w:r>
      <w:r w:rsidRPr="00DC6044">
        <w:t xml:space="preserve">holders </w:t>
      </w:r>
      <w:r w:rsidR="002F63EB">
        <w:t xml:space="preserve">of </w:t>
      </w:r>
      <w:r w:rsidR="007729F0">
        <w:t xml:space="preserve">licences </w:t>
      </w:r>
      <w:r w:rsidR="002F63EB">
        <w:t xml:space="preserve">that emit Class 3 substances </w:t>
      </w:r>
      <w:r w:rsidR="00F71535" w:rsidRPr="00DC6044">
        <w:t xml:space="preserve">must take in order to eliminate </w:t>
      </w:r>
      <w:r w:rsidR="001D15E6">
        <w:t xml:space="preserve">or minimise </w:t>
      </w:r>
      <w:r w:rsidR="00F71535" w:rsidRPr="00DC6044">
        <w:t xml:space="preserve">the emission </w:t>
      </w:r>
      <w:r w:rsidR="001D15E6">
        <w:t>of those substances</w:t>
      </w:r>
      <w:r w:rsidR="00F71535" w:rsidRPr="00DC6044">
        <w:t>.</w:t>
      </w:r>
      <w:r w:rsidR="001D15E6">
        <w:t xml:space="preserve"> </w:t>
      </w:r>
      <w:r w:rsidR="00DE24D3">
        <w:t xml:space="preserve">This would allow EPA the opportunity to have the most influence over the emission of Class 3 substances, by being applicable </w:t>
      </w:r>
      <w:r w:rsidR="001D15E6">
        <w:t>during the process of seeking a development</w:t>
      </w:r>
      <w:r w:rsidR="00DE24D3">
        <w:t xml:space="preserve"> or pilot</w:t>
      </w:r>
      <w:r w:rsidR="001D15E6">
        <w:t xml:space="preserve"> licence for a facility which emits </w:t>
      </w:r>
      <w:r w:rsidR="00DE24D3">
        <w:t xml:space="preserve">those </w:t>
      </w:r>
      <w:r w:rsidR="001D15E6">
        <w:t xml:space="preserve">substances. </w:t>
      </w:r>
      <w:r w:rsidR="00DC6044" w:rsidRPr="00DC6044">
        <w:t>This would be enacted as a compliance note that sets</w:t>
      </w:r>
      <w:r w:rsidR="00DC6044">
        <w:t xml:space="preserve"> </w:t>
      </w:r>
      <w:r w:rsidR="00DC6044" w:rsidRPr="00DC6044">
        <w:t xml:space="preserve">out a person’s duty in relation to the </w:t>
      </w:r>
      <w:r w:rsidR="0030430D">
        <w:t>GED</w:t>
      </w:r>
      <w:r w:rsidR="00E07AE5">
        <w:t xml:space="preserve">. </w:t>
      </w:r>
    </w:p>
    <w:p w14:paraId="656B0C34" w14:textId="77777777" w:rsidR="00F71535" w:rsidRDefault="001D15E6" w:rsidP="000675FF">
      <w:r>
        <w:t xml:space="preserve">This is the only option considered </w:t>
      </w:r>
      <w:r w:rsidR="00271D31">
        <w:t xml:space="preserve">in detail </w:t>
      </w:r>
      <w:r>
        <w:t xml:space="preserve">against the </w:t>
      </w:r>
      <w:r w:rsidR="00DD0727">
        <w:t>Base Case</w:t>
      </w:r>
      <w:r>
        <w:t xml:space="preserve">. </w:t>
      </w:r>
      <w:r w:rsidR="00271D31">
        <w:t xml:space="preserve">An option to prescribe Class 2 and Class 1 substances (and the required steps to minimise their emission) was also considered, however DELWP and EPA </w:t>
      </w:r>
      <w:r w:rsidR="0030430D">
        <w:t xml:space="preserve">considers </w:t>
      </w:r>
      <w:r w:rsidR="00271D31">
        <w:t xml:space="preserve">that these risks </w:t>
      </w:r>
      <w:r w:rsidR="0030430D">
        <w:t xml:space="preserve">are </w:t>
      </w:r>
      <w:r w:rsidR="00271D31">
        <w:t>adequately addressed by the GED and permissioning frameworks. The emission of these substance</w:t>
      </w:r>
      <w:r w:rsidR="0030430D">
        <w:t>s</w:t>
      </w:r>
      <w:r w:rsidR="00271D31">
        <w:t xml:space="preserve"> does not present as serious a threat to the quality of the air environment and human health.</w:t>
      </w:r>
    </w:p>
    <w:p w14:paraId="656B0C35" w14:textId="77777777" w:rsidR="00272B3A" w:rsidRDefault="00EA6E36" w:rsidP="000675FF">
      <w:pPr>
        <w:pStyle w:val="Heading3"/>
        <w:ind w:left="720"/>
      </w:pPr>
      <w:r>
        <w:t>Assessment</w:t>
      </w:r>
    </w:p>
    <w:p w14:paraId="656B0C36" w14:textId="77777777" w:rsidR="00EA6E36" w:rsidRDefault="00EA6E36" w:rsidP="000E7C5E">
      <w:pPr>
        <w:pStyle w:val="Heading4un-numbered"/>
      </w:pPr>
      <w:r>
        <w:t>Method</w:t>
      </w:r>
    </w:p>
    <w:p w14:paraId="656B0C37" w14:textId="08B1F49A" w:rsidR="00DC6044" w:rsidRDefault="00EA6E36" w:rsidP="007B0629">
      <w:r>
        <w:t>Due to the lack of quantifiable data, a qualitative analysis has been undertaken.</w:t>
      </w:r>
      <w:r w:rsidR="00D43117">
        <w:t xml:space="preserve"> Although not quantified, it is important to note that there would be some degree of overlap between the costs and benefits identified here, and those that are quantified in the permissioning CBA (Chapter 6).</w:t>
      </w:r>
    </w:p>
    <w:p w14:paraId="2E017D1B" w14:textId="7C0C2E90" w:rsidR="00AB166C" w:rsidRDefault="00AB166C" w:rsidP="007B0629"/>
    <w:p w14:paraId="7A6334DB" w14:textId="77777777" w:rsidR="00AB166C" w:rsidRPr="007B0629" w:rsidRDefault="00AB166C" w:rsidP="007B0629"/>
    <w:p w14:paraId="656B0C38" w14:textId="77777777" w:rsidR="00B94E75" w:rsidRDefault="00B94E75" w:rsidP="000E7C5E">
      <w:pPr>
        <w:pStyle w:val="Heading4un-numbered"/>
      </w:pPr>
      <w:r>
        <w:t>Costs</w:t>
      </w:r>
    </w:p>
    <w:p w14:paraId="656B0C39" w14:textId="77777777" w:rsidR="00B94E75" w:rsidRDefault="00B94E75" w:rsidP="00037AF8">
      <w:pPr>
        <w:spacing w:after="0"/>
        <w:rPr>
          <w:i/>
        </w:rPr>
      </w:pPr>
      <w:r>
        <w:rPr>
          <w:i/>
        </w:rPr>
        <w:t>Costs to businesses</w:t>
      </w:r>
    </w:p>
    <w:p w14:paraId="656B0C3A" w14:textId="77777777" w:rsidR="006B2929" w:rsidRDefault="00DD0727" w:rsidP="007B0629">
      <w:r>
        <w:t xml:space="preserve">Nine </w:t>
      </w:r>
      <w:r w:rsidR="00CD5ED0">
        <w:t>of</w:t>
      </w:r>
      <w:r>
        <w:t xml:space="preserve"> </w:t>
      </w:r>
      <w:r w:rsidR="00EA6E36">
        <w:t xml:space="preserve">the businesses </w:t>
      </w:r>
      <w:r w:rsidR="00E07AE5">
        <w:t xml:space="preserve">consulted as part of this RIS </w:t>
      </w:r>
      <w:r w:rsidR="00EA6E36">
        <w:t xml:space="preserve">identified themselves as generators of </w:t>
      </w:r>
      <w:r w:rsidR="001D15E6">
        <w:t>Class 3 substances</w:t>
      </w:r>
      <w:r w:rsidR="00E07AE5">
        <w:t>. E</w:t>
      </w:r>
      <w:r w:rsidR="006B2929">
        <w:t xml:space="preserve">stimates of the </w:t>
      </w:r>
      <w:r w:rsidR="00EA6E36">
        <w:t xml:space="preserve">cost </w:t>
      </w:r>
      <w:r w:rsidR="00E07AE5">
        <w:t xml:space="preserve">incurred by those businesses </w:t>
      </w:r>
      <w:r w:rsidR="00EA6E36">
        <w:t xml:space="preserve">to reduce emissions to the maximum extent achievable </w:t>
      </w:r>
      <w:r w:rsidR="006B2929">
        <w:t xml:space="preserve">ranged from $15,000 to $2 million per year. </w:t>
      </w:r>
      <w:r w:rsidR="00271D31">
        <w:t>This large variation reflect</w:t>
      </w:r>
      <w:r w:rsidR="00AA5CB7">
        <w:t>s</w:t>
      </w:r>
      <w:r w:rsidR="00271D31">
        <w:t xml:space="preserve"> </w:t>
      </w:r>
      <w:r w:rsidR="00AA5CB7">
        <w:t xml:space="preserve">differences in </w:t>
      </w:r>
      <w:r w:rsidR="00271D31">
        <w:t xml:space="preserve">the </w:t>
      </w:r>
      <w:r w:rsidR="00AA5CB7">
        <w:t>actions required to comply, as well as the scale of the business or its plant</w:t>
      </w:r>
      <w:r w:rsidR="00271D31">
        <w:t xml:space="preserve">. </w:t>
      </w:r>
      <w:r w:rsidR="00E07AE5">
        <w:t xml:space="preserve">The types of costs incurred </w:t>
      </w:r>
      <w:r w:rsidR="006B2929">
        <w:t xml:space="preserve">include </w:t>
      </w:r>
      <w:r w:rsidR="00E07AE5">
        <w:t xml:space="preserve">the purchase and/or </w:t>
      </w:r>
      <w:r w:rsidR="006B2929">
        <w:t>operation of equipment, consultants’ fees, monitoring, record keeping and development and</w:t>
      </w:r>
      <w:r w:rsidR="00E07AE5">
        <w:t>/or</w:t>
      </w:r>
      <w:r w:rsidR="006B2929">
        <w:t xml:space="preserve"> modification of an environmental improvement plan or procedural plan.</w:t>
      </w:r>
    </w:p>
    <w:p w14:paraId="656B0C3B" w14:textId="77777777" w:rsidR="007B0629" w:rsidRDefault="006B2929" w:rsidP="007B0629">
      <w:r>
        <w:t xml:space="preserve">However, two-thirds of those businesses also identified themselves as EPA licence holders. For those businesses, it is possible that there are conditions in their licence regarding emission of </w:t>
      </w:r>
      <w:r w:rsidR="001D15E6">
        <w:t>Class 3 substances</w:t>
      </w:r>
      <w:r>
        <w:t>.</w:t>
      </w:r>
    </w:p>
    <w:p w14:paraId="656B0C3C" w14:textId="77777777" w:rsidR="00AA5CB7" w:rsidRDefault="00E07AE5" w:rsidP="007B0629">
      <w:r>
        <w:t xml:space="preserve">It is also likely that many businesses would continue to monitor and reduce emissions of </w:t>
      </w:r>
      <w:r w:rsidR="001D15E6">
        <w:t xml:space="preserve">Class 3 substances </w:t>
      </w:r>
      <w:r>
        <w:t xml:space="preserve">to the maximum extent achievable in order to meet their obligations under the GED and, given the significant risk of harm, to prevent legal action or reputational damage. </w:t>
      </w:r>
      <w:r w:rsidR="001D15E6">
        <w:t>Some of the monitoring and record keeping costs may also be required for businesses to meet NPI reporting obligations.</w:t>
      </w:r>
    </w:p>
    <w:p w14:paraId="656B0C3D" w14:textId="77777777" w:rsidR="00E07AE5" w:rsidRDefault="00AA5CB7" w:rsidP="007B0629">
      <w:r>
        <w:t xml:space="preserve">These additional costs may, at least partially, </w:t>
      </w:r>
      <w:r w:rsidR="0030430D">
        <w:t xml:space="preserve">be </w:t>
      </w:r>
      <w:r>
        <w:t xml:space="preserve">offset by reduced costs resulting from the added </w:t>
      </w:r>
      <w:r w:rsidR="00DD0727">
        <w:t>certainty by</w:t>
      </w:r>
      <w:r>
        <w:t xml:space="preserve"> prescribing Class 3 substances and outlining the obligations of generators under the GED. </w:t>
      </w:r>
      <w:r w:rsidR="00DD0727">
        <w:t>This</w:t>
      </w:r>
      <w:r>
        <w:t xml:space="preserve"> may reduce costs of under</w:t>
      </w:r>
      <w:r w:rsidR="00E0427B">
        <w:t>-</w:t>
      </w:r>
      <w:r>
        <w:t xml:space="preserve">compliance, which could include reputational damage or damages paid from civil action. </w:t>
      </w:r>
    </w:p>
    <w:p w14:paraId="656B0C3E" w14:textId="77777777" w:rsidR="00B94E75" w:rsidRDefault="00B94E75" w:rsidP="00037AF8">
      <w:pPr>
        <w:spacing w:after="0"/>
        <w:rPr>
          <w:i/>
        </w:rPr>
      </w:pPr>
      <w:r w:rsidRPr="00BF51BD">
        <w:rPr>
          <w:i/>
        </w:rPr>
        <w:t xml:space="preserve">Costs to </w:t>
      </w:r>
      <w:r>
        <w:rPr>
          <w:i/>
        </w:rPr>
        <w:t>government</w:t>
      </w:r>
    </w:p>
    <w:p w14:paraId="656B0C3F" w14:textId="77777777" w:rsidR="006A53A9" w:rsidRPr="006B2929" w:rsidRDefault="006A53A9" w:rsidP="006A53A9">
      <w:r>
        <w:t xml:space="preserve">Option 1 would be unlikely to generate significant </w:t>
      </w:r>
      <w:r w:rsidR="00AA5CB7">
        <w:t xml:space="preserve">extra </w:t>
      </w:r>
      <w:r>
        <w:t xml:space="preserve">costs for Government. It is unlikely to result </w:t>
      </w:r>
      <w:r w:rsidR="00AA5CB7">
        <w:t xml:space="preserve">in significant </w:t>
      </w:r>
      <w:r>
        <w:t>additional monitoring or compliance activities</w:t>
      </w:r>
      <w:r w:rsidR="00AA5CB7">
        <w:t xml:space="preserve">, over and </w:t>
      </w:r>
      <w:r w:rsidR="00412FCA">
        <w:t xml:space="preserve">above </w:t>
      </w:r>
      <w:r w:rsidR="00AA5CB7">
        <w:t xml:space="preserve">the activities that </w:t>
      </w:r>
      <w:r w:rsidR="00412FCA">
        <w:t>EPA</w:t>
      </w:r>
      <w:r w:rsidR="00AA5CB7">
        <w:t xml:space="preserve"> would otherwise </w:t>
      </w:r>
      <w:r w:rsidR="0030430D">
        <w:t xml:space="preserve">carry </w:t>
      </w:r>
      <w:r w:rsidR="00AA5CB7">
        <w:t xml:space="preserve">out for </w:t>
      </w:r>
      <w:r w:rsidR="0030430D">
        <w:t xml:space="preserve">licensed </w:t>
      </w:r>
      <w:r w:rsidR="00AA5CB7">
        <w:t>activities as part of its risk-based compliance approach</w:t>
      </w:r>
      <w:r>
        <w:t xml:space="preserve">. </w:t>
      </w:r>
    </w:p>
    <w:p w14:paraId="656B0C40" w14:textId="77777777" w:rsidR="00B94E75" w:rsidRDefault="00B94E75" w:rsidP="000E7C5E">
      <w:pPr>
        <w:pStyle w:val="Heading4un-numbered"/>
      </w:pPr>
      <w:r>
        <w:t>Benefits</w:t>
      </w:r>
    </w:p>
    <w:p w14:paraId="656B0C41" w14:textId="77777777" w:rsidR="00B94E75" w:rsidRPr="00BF51BD" w:rsidRDefault="00B94E75" w:rsidP="00037AF8">
      <w:pPr>
        <w:spacing w:after="0"/>
        <w:rPr>
          <w:i/>
        </w:rPr>
      </w:pPr>
      <w:r>
        <w:rPr>
          <w:i/>
        </w:rPr>
        <w:t>Benefits to community</w:t>
      </w:r>
    </w:p>
    <w:p w14:paraId="656B0C42" w14:textId="77777777" w:rsidR="00CD78F9" w:rsidRDefault="00CD78F9" w:rsidP="00B94E75">
      <w:r w:rsidRPr="00CD78F9">
        <w:t xml:space="preserve">Any reduction in the emission of </w:t>
      </w:r>
      <w:r w:rsidR="00412FCA">
        <w:t xml:space="preserve">Class 3 substances </w:t>
      </w:r>
      <w:r w:rsidRPr="00CD78F9">
        <w:t>could have significant benefits for the community. EPA has estimated the damage cost</w:t>
      </w:r>
      <w:r w:rsidR="007006F7">
        <w:t>s</w:t>
      </w:r>
      <w:r w:rsidRPr="00CD78F9">
        <w:t xml:space="preserve"> of selected </w:t>
      </w:r>
      <w:r w:rsidR="00412FCA">
        <w:t xml:space="preserve">Class 3 substances </w:t>
      </w:r>
      <w:r w:rsidRPr="00CD78F9">
        <w:t>in the Melbourne region as ranging from $5</w:t>
      </w:r>
      <w:r w:rsidR="007006F7">
        <w:t>0,000</w:t>
      </w:r>
      <w:r w:rsidRPr="00CD78F9">
        <w:t xml:space="preserve"> to $48 billion per tonne (see </w:t>
      </w:r>
      <w:r w:rsidR="00412FCA">
        <w:rPr>
          <w:color w:val="2B579A"/>
          <w:shd w:val="clear" w:color="auto" w:fill="E6E6E6"/>
        </w:rPr>
        <w:fldChar w:fldCharType="begin"/>
      </w:r>
      <w:r w:rsidR="00412FCA">
        <w:instrText xml:space="preserve"> REF _Ref7764884 \h </w:instrText>
      </w:r>
      <w:r w:rsidR="00412FCA">
        <w:rPr>
          <w:color w:val="2B579A"/>
          <w:shd w:val="clear" w:color="auto" w:fill="E6E6E6"/>
        </w:rPr>
      </w:r>
      <w:r w:rsidR="00412FCA">
        <w:rPr>
          <w:color w:val="2B579A"/>
          <w:shd w:val="clear" w:color="auto" w:fill="E6E6E6"/>
        </w:rPr>
        <w:fldChar w:fldCharType="separate"/>
      </w:r>
      <w:r w:rsidR="00B11C1E">
        <w:t xml:space="preserve">Table </w:t>
      </w:r>
      <w:r w:rsidR="00B11C1E">
        <w:rPr>
          <w:noProof/>
        </w:rPr>
        <w:t>12</w:t>
      </w:r>
      <w:r w:rsidR="00B11C1E">
        <w:noBreakHyphen/>
      </w:r>
      <w:r w:rsidR="00B11C1E">
        <w:rPr>
          <w:noProof/>
        </w:rPr>
        <w:t>7</w:t>
      </w:r>
      <w:r w:rsidR="00412FCA">
        <w:rPr>
          <w:color w:val="2B579A"/>
          <w:shd w:val="clear" w:color="auto" w:fill="E6E6E6"/>
        </w:rPr>
        <w:fldChar w:fldCharType="end"/>
      </w:r>
      <w:r w:rsidRPr="00CD78F9">
        <w:t xml:space="preserve">). </w:t>
      </w:r>
    </w:p>
    <w:p w14:paraId="656B0C43" w14:textId="77777777" w:rsidR="005F57B7" w:rsidRDefault="005F57B7" w:rsidP="005F57B7">
      <w:pPr>
        <w:pStyle w:val="Caption"/>
      </w:pPr>
      <w:bookmarkStart w:id="1629" w:name="_Ref7764884"/>
      <w:bookmarkStart w:id="1630" w:name="_Ref7764834"/>
      <w:r>
        <w:t xml:space="preserve">Table </w:t>
      </w:r>
      <w:r w:rsidR="007E575A">
        <w:rPr>
          <w:color w:val="2B579A"/>
          <w:shd w:val="clear" w:color="auto" w:fill="E6E6E6"/>
        </w:rPr>
        <w:fldChar w:fldCharType="begin"/>
      </w:r>
      <w:r w:rsidR="007E575A">
        <w:instrText xml:space="preserve"> STYLEREF 1 \s </w:instrText>
      </w:r>
      <w:r w:rsidR="007E575A">
        <w:rPr>
          <w:color w:val="2B579A"/>
          <w:shd w:val="clear" w:color="auto" w:fill="E6E6E6"/>
        </w:rPr>
        <w:fldChar w:fldCharType="separate"/>
      </w:r>
      <w:r w:rsidR="00B11C1E">
        <w:rPr>
          <w:noProof/>
        </w:rPr>
        <w:t>12</w:t>
      </w:r>
      <w:r w:rsidR="007E575A">
        <w:rPr>
          <w:color w:val="2B579A"/>
          <w:shd w:val="clear" w:color="auto" w:fill="E6E6E6"/>
        </w:rPr>
        <w:fldChar w:fldCharType="end"/>
      </w:r>
      <w:r w:rsidR="007E575A">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7</w:t>
      </w:r>
      <w:r w:rsidR="00997CFA">
        <w:rPr>
          <w:color w:val="2B579A"/>
          <w:shd w:val="clear" w:color="auto" w:fill="E6E6E6"/>
        </w:rPr>
        <w:fldChar w:fldCharType="end"/>
      </w:r>
      <w:bookmarkEnd w:id="1629"/>
      <w:r w:rsidRPr="005F57B7">
        <w:t xml:space="preserve"> </w:t>
      </w:r>
      <w:r w:rsidR="00412FCA">
        <w:t xml:space="preserve">Class 3 </w:t>
      </w:r>
      <w:r>
        <w:t>marginal damage cost (AUD/tonne)</w:t>
      </w:r>
      <w:bookmarkEnd w:id="1630"/>
    </w:p>
    <w:tbl>
      <w:tblPr>
        <w:tblStyle w:val="Deloittetable"/>
        <w:tblW w:w="7293" w:type="dxa"/>
        <w:tblLook w:val="04A0" w:firstRow="1" w:lastRow="0" w:firstColumn="1" w:lastColumn="0" w:noHBand="0" w:noVBand="1"/>
      </w:tblPr>
      <w:tblGrid>
        <w:gridCol w:w="4379"/>
        <w:gridCol w:w="2914"/>
      </w:tblGrid>
      <w:tr w:rsidR="00CD78F9" w:rsidRPr="00CD78F9" w14:paraId="656B0C46" w14:textId="77777777" w:rsidTr="008122AD">
        <w:trPr>
          <w:cnfStyle w:val="100000000000" w:firstRow="1" w:lastRow="0" w:firstColumn="0" w:lastColumn="0" w:oddVBand="0" w:evenVBand="0" w:oddHBand="0" w:evenHBand="0" w:firstRowFirstColumn="0" w:firstRowLastColumn="0" w:lastRowFirstColumn="0" w:lastRowLastColumn="0"/>
          <w:trHeight w:val="197"/>
        </w:trPr>
        <w:tc>
          <w:tcPr>
            <w:tcW w:w="4379" w:type="dxa"/>
          </w:tcPr>
          <w:p w14:paraId="656B0C44" w14:textId="77777777" w:rsidR="00CD78F9" w:rsidRPr="008122AD" w:rsidRDefault="00CD78F9" w:rsidP="007006F7">
            <w:pPr>
              <w:rPr>
                <w:b/>
              </w:rPr>
            </w:pPr>
            <w:r w:rsidRPr="008122AD">
              <w:rPr>
                <w:b/>
              </w:rPr>
              <w:t>Pollutant</w:t>
            </w:r>
          </w:p>
        </w:tc>
        <w:tc>
          <w:tcPr>
            <w:tcW w:w="2914" w:type="dxa"/>
          </w:tcPr>
          <w:p w14:paraId="656B0C45" w14:textId="77777777" w:rsidR="00CD78F9" w:rsidRPr="008122AD" w:rsidRDefault="00CD78F9" w:rsidP="00F30DB1">
            <w:pPr>
              <w:ind w:right="57"/>
              <w:jc w:val="right"/>
              <w:rPr>
                <w:b/>
              </w:rPr>
            </w:pPr>
            <w:r w:rsidRPr="008122AD">
              <w:rPr>
                <w:b/>
              </w:rPr>
              <w:t>$/tonne</w:t>
            </w:r>
          </w:p>
        </w:tc>
      </w:tr>
      <w:tr w:rsidR="00CD78F9" w:rsidRPr="00CD78F9" w14:paraId="656B0C49" w14:textId="77777777" w:rsidTr="008122AD">
        <w:trPr>
          <w:trHeight w:val="267"/>
        </w:trPr>
        <w:tc>
          <w:tcPr>
            <w:tcW w:w="4379" w:type="dxa"/>
          </w:tcPr>
          <w:p w14:paraId="656B0C47" w14:textId="77777777" w:rsidR="00CD78F9" w:rsidRPr="00CD78F9" w:rsidRDefault="00CD78F9" w:rsidP="00CD78F9">
            <w:pPr>
              <w:spacing w:after="0"/>
              <w:rPr>
                <w:rFonts w:cs="Segoe UI Light"/>
                <w:sz w:val="18"/>
              </w:rPr>
            </w:pPr>
            <w:r w:rsidRPr="00CD78F9">
              <w:rPr>
                <w:rFonts w:cs="Segoe UI Light"/>
                <w:sz w:val="18"/>
              </w:rPr>
              <w:t xml:space="preserve"> Arsenic </w:t>
            </w:r>
          </w:p>
        </w:tc>
        <w:tc>
          <w:tcPr>
            <w:tcW w:w="2914" w:type="dxa"/>
          </w:tcPr>
          <w:p w14:paraId="656B0C48" w14:textId="77777777" w:rsidR="00CD78F9" w:rsidRPr="00CD78F9" w:rsidRDefault="00CD78F9" w:rsidP="00F30DB1">
            <w:pPr>
              <w:spacing w:after="0"/>
              <w:ind w:right="57"/>
              <w:jc w:val="right"/>
              <w:rPr>
                <w:rFonts w:cs="Segoe UI Light"/>
                <w:sz w:val="18"/>
              </w:rPr>
            </w:pPr>
            <w:r w:rsidRPr="00CD78F9">
              <w:rPr>
                <w:rFonts w:cs="Segoe UI Light"/>
                <w:color w:val="000000"/>
                <w:sz w:val="18"/>
              </w:rPr>
              <w:t xml:space="preserve"> 624,745 </w:t>
            </w:r>
          </w:p>
        </w:tc>
      </w:tr>
      <w:tr w:rsidR="00CD78F9" w:rsidRPr="00CD78F9" w14:paraId="656B0C4C" w14:textId="77777777" w:rsidTr="008122AD">
        <w:trPr>
          <w:trHeight w:val="267"/>
        </w:trPr>
        <w:tc>
          <w:tcPr>
            <w:tcW w:w="4379" w:type="dxa"/>
          </w:tcPr>
          <w:p w14:paraId="656B0C4A" w14:textId="77777777" w:rsidR="00CD78F9" w:rsidRPr="00CD78F9" w:rsidRDefault="00CD78F9" w:rsidP="00CD78F9">
            <w:pPr>
              <w:spacing w:after="0"/>
              <w:rPr>
                <w:rFonts w:cs="Segoe UI Light"/>
                <w:sz w:val="18"/>
              </w:rPr>
            </w:pPr>
            <w:r w:rsidRPr="00CD78F9">
              <w:rPr>
                <w:rFonts w:cs="Segoe UI Light"/>
                <w:sz w:val="18"/>
              </w:rPr>
              <w:t xml:space="preserve"> Benzene </w:t>
            </w:r>
          </w:p>
        </w:tc>
        <w:tc>
          <w:tcPr>
            <w:tcW w:w="2914" w:type="dxa"/>
          </w:tcPr>
          <w:p w14:paraId="656B0C4B" w14:textId="77777777" w:rsidR="00CD78F9" w:rsidRPr="00CD78F9" w:rsidRDefault="00CD78F9" w:rsidP="00F30DB1">
            <w:pPr>
              <w:spacing w:after="0"/>
              <w:ind w:right="57"/>
              <w:jc w:val="right"/>
              <w:rPr>
                <w:rFonts w:cs="Segoe UI Light"/>
                <w:sz w:val="18"/>
              </w:rPr>
            </w:pPr>
            <w:r w:rsidRPr="00CD78F9">
              <w:rPr>
                <w:rFonts w:cs="Segoe UI Light"/>
                <w:color w:val="000000"/>
                <w:sz w:val="18"/>
              </w:rPr>
              <w:t xml:space="preserve"> 136,048 </w:t>
            </w:r>
          </w:p>
        </w:tc>
      </w:tr>
      <w:tr w:rsidR="00CD78F9" w:rsidRPr="00CD78F9" w14:paraId="656B0C4F" w14:textId="77777777" w:rsidTr="008122AD">
        <w:trPr>
          <w:trHeight w:val="259"/>
        </w:trPr>
        <w:tc>
          <w:tcPr>
            <w:tcW w:w="4379" w:type="dxa"/>
          </w:tcPr>
          <w:p w14:paraId="656B0C4D" w14:textId="77777777" w:rsidR="00CD78F9" w:rsidRPr="00CD78F9" w:rsidRDefault="00CD78F9" w:rsidP="00CD78F9">
            <w:pPr>
              <w:spacing w:after="0"/>
              <w:rPr>
                <w:rFonts w:cs="Segoe UI Light"/>
                <w:sz w:val="18"/>
              </w:rPr>
            </w:pPr>
            <w:r w:rsidRPr="00CD78F9">
              <w:rPr>
                <w:rFonts w:cs="Segoe UI Light"/>
                <w:sz w:val="18"/>
              </w:rPr>
              <w:t xml:space="preserve"> Cadmium </w:t>
            </w:r>
          </w:p>
        </w:tc>
        <w:tc>
          <w:tcPr>
            <w:tcW w:w="2914" w:type="dxa"/>
          </w:tcPr>
          <w:p w14:paraId="656B0C4E" w14:textId="77777777" w:rsidR="00CD78F9" w:rsidRPr="00CD78F9" w:rsidRDefault="00CD78F9" w:rsidP="00F30DB1">
            <w:pPr>
              <w:spacing w:after="0"/>
              <w:ind w:right="57"/>
              <w:jc w:val="right"/>
              <w:rPr>
                <w:rFonts w:cs="Segoe UI Light"/>
                <w:sz w:val="18"/>
              </w:rPr>
            </w:pPr>
            <w:r w:rsidRPr="00CD78F9">
              <w:rPr>
                <w:rFonts w:cs="Segoe UI Light"/>
                <w:color w:val="000000"/>
                <w:sz w:val="18"/>
              </w:rPr>
              <w:t xml:space="preserve"> 51,913 </w:t>
            </w:r>
          </w:p>
        </w:tc>
      </w:tr>
      <w:tr w:rsidR="00CD78F9" w:rsidRPr="00CD78F9" w14:paraId="656B0C52" w14:textId="77777777" w:rsidTr="008122AD">
        <w:trPr>
          <w:trHeight w:val="259"/>
        </w:trPr>
        <w:tc>
          <w:tcPr>
            <w:tcW w:w="4379" w:type="dxa"/>
          </w:tcPr>
          <w:p w14:paraId="656B0C50" w14:textId="77777777" w:rsidR="00CD78F9" w:rsidRPr="00CD78F9" w:rsidRDefault="00CD78F9" w:rsidP="00CD78F9">
            <w:pPr>
              <w:spacing w:after="0"/>
              <w:rPr>
                <w:rFonts w:cs="Segoe UI Light"/>
                <w:sz w:val="18"/>
              </w:rPr>
            </w:pPr>
            <w:r w:rsidRPr="00CD78F9">
              <w:rPr>
                <w:rFonts w:cs="Segoe UI Light"/>
                <w:sz w:val="18"/>
              </w:rPr>
              <w:t xml:space="preserve"> Chromium </w:t>
            </w:r>
          </w:p>
        </w:tc>
        <w:tc>
          <w:tcPr>
            <w:tcW w:w="2914" w:type="dxa"/>
          </w:tcPr>
          <w:p w14:paraId="656B0C51" w14:textId="77777777" w:rsidR="00CD78F9" w:rsidRPr="00CD78F9" w:rsidRDefault="00CD78F9" w:rsidP="00F30DB1">
            <w:pPr>
              <w:spacing w:after="0"/>
              <w:ind w:right="57"/>
              <w:jc w:val="right"/>
              <w:rPr>
                <w:rFonts w:cs="Segoe UI Light"/>
                <w:sz w:val="18"/>
              </w:rPr>
            </w:pPr>
            <w:r w:rsidRPr="00CD78F9">
              <w:rPr>
                <w:rFonts w:cs="Segoe UI Light"/>
                <w:color w:val="000000"/>
                <w:sz w:val="18"/>
              </w:rPr>
              <w:t xml:space="preserve"> 68,024 </w:t>
            </w:r>
          </w:p>
        </w:tc>
      </w:tr>
      <w:tr w:rsidR="00CD78F9" w:rsidRPr="00CD78F9" w14:paraId="656B0C55" w14:textId="77777777" w:rsidTr="008122AD">
        <w:trPr>
          <w:trHeight w:val="259"/>
        </w:trPr>
        <w:tc>
          <w:tcPr>
            <w:tcW w:w="4379" w:type="dxa"/>
          </w:tcPr>
          <w:p w14:paraId="656B0C53" w14:textId="77777777" w:rsidR="00CD78F9" w:rsidRPr="00CD78F9" w:rsidRDefault="00CD78F9" w:rsidP="00CD78F9">
            <w:pPr>
              <w:spacing w:after="0"/>
              <w:rPr>
                <w:rFonts w:cs="Segoe UI Light"/>
                <w:sz w:val="18"/>
              </w:rPr>
            </w:pPr>
            <w:r w:rsidRPr="00CD78F9">
              <w:rPr>
                <w:rFonts w:cs="Segoe UI Light"/>
                <w:sz w:val="18"/>
              </w:rPr>
              <w:t xml:space="preserve"> Dioxins and Furans </w:t>
            </w:r>
          </w:p>
        </w:tc>
        <w:tc>
          <w:tcPr>
            <w:tcW w:w="2914" w:type="dxa"/>
          </w:tcPr>
          <w:p w14:paraId="656B0C54" w14:textId="77777777" w:rsidR="00CD78F9" w:rsidRPr="00CD78F9" w:rsidRDefault="00CD78F9" w:rsidP="00F30DB1">
            <w:pPr>
              <w:spacing w:after="0"/>
              <w:ind w:right="57"/>
              <w:jc w:val="right"/>
              <w:rPr>
                <w:rFonts w:cs="Segoe UI Light"/>
                <w:sz w:val="18"/>
              </w:rPr>
            </w:pPr>
            <w:r w:rsidRPr="00CD78F9">
              <w:rPr>
                <w:rFonts w:cs="Segoe UI Light"/>
                <w:color w:val="000000"/>
                <w:sz w:val="18"/>
              </w:rPr>
              <w:t xml:space="preserve"> 48,332,700,000 </w:t>
            </w:r>
          </w:p>
        </w:tc>
      </w:tr>
      <w:tr w:rsidR="00CD78F9" w:rsidRPr="00CD78F9" w14:paraId="656B0C58" w14:textId="77777777" w:rsidTr="008122AD">
        <w:trPr>
          <w:trHeight w:val="259"/>
        </w:trPr>
        <w:tc>
          <w:tcPr>
            <w:tcW w:w="4379" w:type="dxa"/>
          </w:tcPr>
          <w:p w14:paraId="656B0C56" w14:textId="77777777" w:rsidR="00CD78F9" w:rsidRPr="00CD78F9" w:rsidRDefault="00CD78F9" w:rsidP="00CD78F9">
            <w:pPr>
              <w:spacing w:after="0"/>
              <w:rPr>
                <w:rFonts w:cs="Segoe UI Light"/>
                <w:sz w:val="18"/>
              </w:rPr>
            </w:pPr>
            <w:r w:rsidRPr="00CD78F9">
              <w:rPr>
                <w:rFonts w:cs="Segoe UI Light"/>
                <w:sz w:val="18"/>
              </w:rPr>
              <w:t xml:space="preserve"> PAH </w:t>
            </w:r>
          </w:p>
        </w:tc>
        <w:tc>
          <w:tcPr>
            <w:tcW w:w="2914" w:type="dxa"/>
          </w:tcPr>
          <w:p w14:paraId="656B0C57" w14:textId="77777777" w:rsidR="00CD78F9" w:rsidRPr="00CD78F9" w:rsidRDefault="00CD78F9" w:rsidP="00F30DB1">
            <w:pPr>
              <w:spacing w:after="0"/>
              <w:ind w:right="57"/>
              <w:jc w:val="right"/>
              <w:rPr>
                <w:rFonts w:cs="Segoe UI Light"/>
                <w:sz w:val="18"/>
              </w:rPr>
            </w:pPr>
            <w:r w:rsidRPr="00CD78F9">
              <w:rPr>
                <w:rFonts w:cs="Segoe UI Light"/>
                <w:color w:val="000000"/>
                <w:sz w:val="18"/>
              </w:rPr>
              <w:t xml:space="preserve"> 2,289,538 </w:t>
            </w:r>
          </w:p>
        </w:tc>
      </w:tr>
      <w:tr w:rsidR="00CD78F9" w:rsidRPr="00CD78F9" w14:paraId="656B0C5B" w14:textId="77777777" w:rsidTr="008122AD">
        <w:trPr>
          <w:trHeight w:val="259"/>
        </w:trPr>
        <w:tc>
          <w:tcPr>
            <w:tcW w:w="4379" w:type="dxa"/>
          </w:tcPr>
          <w:p w14:paraId="656B0C59" w14:textId="77777777" w:rsidR="00CD78F9" w:rsidRPr="00CD78F9" w:rsidRDefault="00CD78F9" w:rsidP="00CD78F9">
            <w:pPr>
              <w:spacing w:after="0"/>
              <w:rPr>
                <w:rFonts w:cs="Segoe UI Light"/>
                <w:sz w:val="18"/>
              </w:rPr>
            </w:pPr>
            <w:r w:rsidRPr="00CD78F9">
              <w:rPr>
                <w:rFonts w:cs="Segoe UI Light"/>
                <w:sz w:val="18"/>
              </w:rPr>
              <w:t xml:space="preserve"> Other HHAP</w:t>
            </w:r>
          </w:p>
        </w:tc>
        <w:tc>
          <w:tcPr>
            <w:tcW w:w="2914" w:type="dxa"/>
          </w:tcPr>
          <w:p w14:paraId="656B0C5A" w14:textId="77777777" w:rsidR="00CD78F9" w:rsidRPr="00CD78F9" w:rsidRDefault="00CD78F9" w:rsidP="00F30DB1">
            <w:pPr>
              <w:spacing w:after="0"/>
              <w:ind w:right="57"/>
              <w:jc w:val="right"/>
              <w:rPr>
                <w:rFonts w:cs="Segoe UI Light"/>
                <w:sz w:val="18"/>
              </w:rPr>
            </w:pPr>
            <w:r w:rsidRPr="00CD78F9">
              <w:rPr>
                <w:rFonts w:cs="Segoe UI Light"/>
                <w:color w:val="000000"/>
                <w:sz w:val="18"/>
              </w:rPr>
              <w:t xml:space="preserve"> 775,561 </w:t>
            </w:r>
          </w:p>
        </w:tc>
      </w:tr>
    </w:tbl>
    <w:p w14:paraId="656B0C5C" w14:textId="77777777" w:rsidR="00CD78F9" w:rsidRPr="00CD78F9" w:rsidRDefault="00CD78F9" w:rsidP="00CD78F9">
      <w:pPr>
        <w:pStyle w:val="2Source"/>
      </w:pPr>
      <w:r>
        <w:t xml:space="preserve">Source: </w:t>
      </w:r>
      <w:r w:rsidRPr="00CD78F9">
        <w:t>EPA Regulator</w:t>
      </w:r>
      <w:r>
        <w:t>y</w:t>
      </w:r>
      <w:r w:rsidRPr="00CD78F9">
        <w:t xml:space="preserve"> Impact Statement: Proposed Environmental Protection (Scheduled Premises</w:t>
      </w:r>
      <w:r>
        <w:t>)</w:t>
      </w:r>
      <w:r w:rsidRPr="00CD78F9">
        <w:t xml:space="preserve"> Regulations </w:t>
      </w:r>
      <w:r>
        <w:t>2017</w:t>
      </w:r>
      <w:r w:rsidR="00581E6F">
        <w:t xml:space="preserve">. Note – for full table, see Appendix </w:t>
      </w:r>
      <w:r w:rsidR="005F58DF">
        <w:t>4</w:t>
      </w:r>
      <w:r w:rsidR="00581E6F">
        <w:t xml:space="preserve"> of this report. </w:t>
      </w:r>
    </w:p>
    <w:p w14:paraId="656B0C5D" w14:textId="77777777" w:rsidR="006A53A9" w:rsidRDefault="006A53A9" w:rsidP="000E7C5E">
      <w:pPr>
        <w:pStyle w:val="Heading4un-numbered"/>
      </w:pPr>
      <w:r>
        <w:t>Summary</w:t>
      </w:r>
    </w:p>
    <w:p w14:paraId="656B0C5F" w14:textId="0AF8D92F" w:rsidR="00DC7462" w:rsidRPr="00DC7462" w:rsidRDefault="006A53A9" w:rsidP="00741319">
      <w:r>
        <w:t xml:space="preserve">Option 1 is preferred to the </w:t>
      </w:r>
      <w:r w:rsidR="007B1899">
        <w:t>B</w:t>
      </w:r>
      <w:r>
        <w:t xml:space="preserve">ase </w:t>
      </w:r>
      <w:r w:rsidR="007B1899">
        <w:t>C</w:t>
      </w:r>
      <w:r>
        <w:t>ase</w:t>
      </w:r>
      <w:r w:rsidR="00E0427B">
        <w:t xml:space="preserve">. It </w:t>
      </w:r>
      <w:r>
        <w:t xml:space="preserve">identifies the air pollutants that are deemed to present the greatest risk to human health and the environment, and clarifies duty </w:t>
      </w:r>
      <w:r w:rsidR="004E4CD2">
        <w:t>holders’</w:t>
      </w:r>
      <w:r>
        <w:t xml:space="preserve"> obligations with regards to preventing or minimising emissions of those pollutants. </w:t>
      </w:r>
      <w:r w:rsidR="00E0427B">
        <w:t xml:space="preserve">For businesses, it is likely to reduce costs of under-compliance, while for the community, it is likely to improve human health outcomes (relative to the Base Case). </w:t>
      </w:r>
      <w:bookmarkEnd w:id="1625"/>
      <w:bookmarkEnd w:id="1626"/>
    </w:p>
    <w:p w14:paraId="656B0C60" w14:textId="77777777" w:rsidR="00DF2515" w:rsidRDefault="00DF2515" w:rsidP="00DF2515">
      <w:pPr>
        <w:pStyle w:val="Heading1"/>
      </w:pPr>
      <w:bookmarkStart w:id="1631" w:name="_Toc342683"/>
      <w:bookmarkStart w:id="1632" w:name="_Toc536807108"/>
      <w:bookmarkStart w:id="1633" w:name="_Ref536465686"/>
      <w:bookmarkStart w:id="1634" w:name="_Ref536465681"/>
      <w:bookmarkStart w:id="1635" w:name="_Toc536054991"/>
      <w:bookmarkStart w:id="1636" w:name="_Toc525554702"/>
      <w:bookmarkStart w:id="1637" w:name="_Toc10018334"/>
      <w:bookmarkStart w:id="1638" w:name="_Toc10021441"/>
      <w:bookmarkStart w:id="1639" w:name="_Toc10021855"/>
      <w:bookmarkStart w:id="1640" w:name="_Toc12892339"/>
      <w:bookmarkStart w:id="1641" w:name="_Toc525554712"/>
      <w:bookmarkStart w:id="1642" w:name="_Toc536055001"/>
      <w:bookmarkStart w:id="1643" w:name="_Ref536465697"/>
      <w:bookmarkStart w:id="1644" w:name="_Ref536465704"/>
      <w:bookmarkStart w:id="1645" w:name="_Toc536807109"/>
      <w:bookmarkStart w:id="1646" w:name="_Toc342684"/>
      <w:r>
        <w:t>Water</w:t>
      </w:r>
      <w:bookmarkEnd w:id="1631"/>
      <w:bookmarkEnd w:id="1632"/>
      <w:bookmarkEnd w:id="1633"/>
      <w:bookmarkEnd w:id="1634"/>
      <w:bookmarkEnd w:id="1635"/>
      <w:bookmarkEnd w:id="1636"/>
      <w:bookmarkEnd w:id="1637"/>
      <w:bookmarkEnd w:id="1638"/>
      <w:bookmarkEnd w:id="1639"/>
      <w:bookmarkEnd w:id="1640"/>
    </w:p>
    <w:p w14:paraId="656B0C61" w14:textId="77777777" w:rsidR="00DC1C5C" w:rsidRPr="00791DC5" w:rsidRDefault="00DC1C5C" w:rsidP="00DC1C5C">
      <w:pPr>
        <w:mirrorIndents/>
        <w:rPr>
          <w:b/>
          <w:color w:val="808080" w:themeColor="background1" w:themeShade="80"/>
        </w:rPr>
      </w:pPr>
      <w:bookmarkStart w:id="1647" w:name="_Toc536054992"/>
      <w:bookmarkStart w:id="1648" w:name="_Toc525554703"/>
      <w:r w:rsidRPr="00791DC5">
        <w:rPr>
          <w:b/>
          <w:color w:val="808080" w:themeColor="background1" w:themeShade="80"/>
        </w:rPr>
        <w:t xml:space="preserve">This chapter outlines the </w:t>
      </w:r>
      <w:r w:rsidRPr="000D0764">
        <w:rPr>
          <w:b/>
          <w:color w:val="808080" w:themeColor="background1" w:themeShade="80"/>
        </w:rPr>
        <w:t xml:space="preserve">broad problem of water pollution in Victoria and assesses regulations being proposed to address the problem of discharge of waste from vessels into Victoria’s water environment. Other water pollution risks that exist once the new EP legislation takes effect are addressed by proposed Regulations for the permissions framework, waste </w:t>
      </w:r>
      <w:r w:rsidRPr="00791DC5">
        <w:rPr>
          <w:b/>
          <w:color w:val="808080" w:themeColor="background1" w:themeShade="80"/>
        </w:rPr>
        <w:t>and contaminated land.</w:t>
      </w:r>
    </w:p>
    <w:p w14:paraId="656B0C62" w14:textId="77777777" w:rsidR="00DC1C5C" w:rsidRPr="00791DC5" w:rsidRDefault="00DC1C5C" w:rsidP="00DC1C5C">
      <w:pPr>
        <w:mirrorIndents/>
        <w:rPr>
          <w:color w:val="808080" w:themeColor="background1" w:themeShade="80"/>
        </w:rPr>
      </w:pPr>
      <w:r w:rsidRPr="00791DC5">
        <w:rPr>
          <w:noProof/>
          <w:color w:val="2B579A"/>
          <w:shd w:val="clear" w:color="auto" w:fill="E6E6E6"/>
          <w:lang w:eastAsia="en-AU"/>
        </w:rPr>
        <mc:AlternateContent>
          <mc:Choice Requires="wps">
            <w:drawing>
              <wp:inline distT="0" distB="0" distL="0" distR="0" wp14:anchorId="656B1EBC" wp14:editId="656B1EBD">
                <wp:extent cx="5940425" cy="3670300"/>
                <wp:effectExtent l="0" t="0" r="22225" b="25400"/>
                <wp:docPr id="1700302019" name="Rectangle 170030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940425" cy="3670300"/>
                        </a:xfrm>
                        <a:prstGeom prst="rect">
                          <a:avLst/>
                        </a:prstGeom>
                        <a:solidFill>
                          <a:schemeClr val="bg2"/>
                        </a:solidFill>
                        <a:ln w="19050">
                          <a:solidFill>
                            <a:srgbClr val="62B5E5"/>
                          </a:solidFill>
                          <a:miter lim="800000"/>
                          <a:headEnd/>
                          <a:tailEnd/>
                        </a:ln>
                      </wps:spPr>
                      <wps:txbx>
                        <w:txbxContent>
                          <w:p w14:paraId="656B2218" w14:textId="77777777" w:rsidR="00E752DE" w:rsidRDefault="00E752DE" w:rsidP="00DC1C5C">
                            <w:pPr>
                              <w:ind w:right="262"/>
                              <w:rPr>
                                <w:rFonts w:cs="Segoe UI Light"/>
                                <w:b/>
                                <w:color w:val="FF0000"/>
                              </w:rPr>
                            </w:pPr>
                            <w:r>
                              <w:rPr>
                                <w:rFonts w:cs="Segoe UI Light"/>
                                <w:b/>
                                <w:color w:val="012169" w:themeColor="accent4"/>
                              </w:rPr>
                              <w:t>Key points:</w:t>
                            </w:r>
                          </w:p>
                          <w:p w14:paraId="656B2219" w14:textId="77777777" w:rsidR="00E752DE" w:rsidRDefault="00E752DE" w:rsidP="00DC1C5C">
                            <w:pPr>
                              <w:pStyle w:val="ListParagraph"/>
                              <w:numPr>
                                <w:ilvl w:val="0"/>
                                <w:numId w:val="62"/>
                              </w:numPr>
                              <w:mirrorIndents/>
                              <w:rPr>
                                <w:rFonts w:cs="Segoe UI Light"/>
                              </w:rPr>
                            </w:pPr>
                            <w:r>
                              <w:rPr>
                                <w:rFonts w:cs="Segoe UI Light"/>
                              </w:rPr>
                              <w:t>Water resources are of major environmental, social and economic value. This value is at risk from pollution of Victoria’s water resources by human activities,</w:t>
                            </w:r>
                            <w:r>
                              <w:rPr>
                                <w:rFonts w:cs="Segoe UI Light"/>
                                <w:szCs w:val="20"/>
                              </w:rPr>
                              <w:t xml:space="preserve"> including large and small industries, wastewater treatment plants, urban infrastructure, agriculture, transport, and deliberate or accidental pollution incidents.</w:t>
                            </w:r>
                          </w:p>
                          <w:p w14:paraId="656B221A" w14:textId="77777777" w:rsidR="00E752DE" w:rsidRDefault="00E752DE" w:rsidP="00DC1C5C">
                            <w:pPr>
                              <w:pStyle w:val="ListParagraph"/>
                              <w:numPr>
                                <w:ilvl w:val="0"/>
                                <w:numId w:val="62"/>
                              </w:numPr>
                              <w:mirrorIndents/>
                              <w:rPr>
                                <w:rFonts w:cs="Segoe UI Light"/>
                              </w:rPr>
                            </w:pPr>
                            <w:r>
                              <w:rPr>
                                <w:rFonts w:cs="Segoe UI Light"/>
                              </w:rPr>
                              <w:t>When the new legislative framework takes effect in July 2020, the overarching problem of water pollution will be primarily addressed by the GED and planned introduction of the ERS, which will incorporate some aspects of SEPP (Waters). SEPP will no longer be in force under the new EP legislation. Some residual risks related to water pollution will also be addressed by the proposed permissioning, contaminated land and waste regulations, which will also incorporate aspects of SEPP (Waters) (see Chapters 6, 8 and 9).</w:t>
                            </w:r>
                          </w:p>
                          <w:p w14:paraId="656B221B" w14:textId="77777777" w:rsidR="00E752DE" w:rsidRPr="000675FF" w:rsidRDefault="00E752DE" w:rsidP="00E26C79">
                            <w:pPr>
                              <w:pStyle w:val="ListParagraph"/>
                              <w:numPr>
                                <w:ilvl w:val="0"/>
                                <w:numId w:val="62"/>
                              </w:numPr>
                              <w:mirrorIndents/>
                              <w:rPr>
                                <w:rFonts w:cs="Segoe UI Light"/>
                              </w:rPr>
                            </w:pPr>
                            <w:r w:rsidRPr="000675FF">
                              <w:rPr>
                                <w:rFonts w:cs="Segoe UI Light"/>
                              </w:rPr>
                              <w:t>However, a residual risk relates to the risk of harm to the environment arising from the discharge of waste into water by vessel operators. Due to gaps and wide variation in the current state of knowledge across vessel operators, duty holders are likely to be uncertain and inconsistent in their approach to complying with the new legislation. Specific regulations will provide certainty and clarity, make enforcement easier and more effective and increase compliance rates</w:t>
                            </w:r>
                            <w:r>
                              <w:rPr>
                                <w:rFonts w:cs="Segoe UI Light"/>
                              </w:rPr>
                              <w:t xml:space="preserve">. </w:t>
                            </w:r>
                          </w:p>
                          <w:p w14:paraId="656B221C" w14:textId="7CA5AA72" w:rsidR="00E752DE" w:rsidRDefault="00E752DE" w:rsidP="00DC1C5C">
                            <w:pPr>
                              <w:pStyle w:val="ListParagraph"/>
                              <w:numPr>
                                <w:ilvl w:val="0"/>
                                <w:numId w:val="62"/>
                              </w:numPr>
                              <w:ind w:right="262"/>
                              <w:mirrorIndents/>
                              <w:rPr>
                                <w:rFonts w:cs="Segoe UI Light"/>
                              </w:rPr>
                            </w:pPr>
                            <w:r w:rsidRPr="000675FF">
                              <w:rPr>
                                <w:rFonts w:cs="Segoe UI Light"/>
                              </w:rPr>
                              <w:t>The preferred option to address this residual risk is to clarify how waste from vessels</w:t>
                            </w:r>
                            <w:r>
                              <w:rPr>
                                <w:rFonts w:cs="Segoe UI Light"/>
                              </w:rPr>
                              <w:t xml:space="preserve"> must be managed and to include a fit for purpose infringeable offence for the discharge of waste from vessels into the water environment</w:t>
                            </w:r>
                            <w:r>
                              <w:t>.</w:t>
                            </w:r>
                          </w:p>
                        </w:txbxContent>
                      </wps:txbx>
                      <wps:bodyPr rot="0" vert="horz" wrap="square" lIns="88900" tIns="88900" rIns="88900" bIns="88900" anchor="ctr" anchorCtr="0" upright="1">
                        <a:noAutofit/>
                      </wps:bodyPr>
                    </wps:wsp>
                  </a:graphicData>
                </a:graphic>
              </wp:inline>
            </w:drawing>
          </mc:Choice>
          <mc:Fallback>
            <w:pict>
              <v:rect w14:anchorId="656B1EBC" id="Rectangle 1700302019" o:spid="_x0000_s1076" style="width:467.75pt;height:289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" fillcolor="#e7e6e6 [3214]" strokecolor="#62b5e5" strokeweight="1.5pt">
                <v:textbox inset="7pt,7pt,7pt,7pt">
                  <w:txbxContent>
                    <w:p w14:paraId="656B2218" w14:textId="77777777" w:rsidR="00E752DE" w:rsidRDefault="00E752DE" w:rsidP="00DC1C5C">
                      <w:pPr>
                        <w:ind w:right="262"/>
                        <w:rPr>
                          <w:rFonts w:cs="Segoe UI Light"/>
                          <w:b/>
                          <w:color w:val="FF0000"/>
                        </w:rPr>
                      </w:pPr>
                      <w:r>
                        <w:rPr>
                          <w:rFonts w:cs="Segoe UI Light"/>
                          <w:b/>
                          <w:color w:val="012169" w:themeColor="accent4"/>
                        </w:rPr>
                        <w:t>Key points:</w:t>
                      </w:r>
                    </w:p>
                    <w:p w14:paraId="656B2219" w14:textId="77777777" w:rsidR="00E752DE" w:rsidRDefault="00E752DE" w:rsidP="00DC1C5C">
                      <w:pPr>
                        <w:pStyle w:val="ListParagraph"/>
                        <w:numPr>
                          <w:ilvl w:val="0"/>
                          <w:numId w:val="62"/>
                        </w:numPr>
                        <w:mirrorIndents/>
                        <w:rPr>
                          <w:rFonts w:cs="Segoe UI Light"/>
                        </w:rPr>
                      </w:pPr>
                      <w:r>
                        <w:rPr>
                          <w:rFonts w:cs="Segoe UI Light"/>
                        </w:rPr>
                        <w:t>Water resources are of major environmental, social and economic value. This value is at risk from pollution of Victoria’s water resources by human activities,</w:t>
                      </w:r>
                      <w:r>
                        <w:rPr>
                          <w:rFonts w:cs="Segoe UI Light"/>
                          <w:szCs w:val="20"/>
                        </w:rPr>
                        <w:t xml:space="preserve"> including large and small industries, wastewater treatment plants, urban infrastructure, agriculture, transport, and deliberate or accidental pollution incidents.</w:t>
                      </w:r>
                    </w:p>
                    <w:p w14:paraId="656B221A" w14:textId="77777777" w:rsidR="00E752DE" w:rsidRDefault="00E752DE" w:rsidP="00DC1C5C">
                      <w:pPr>
                        <w:pStyle w:val="ListParagraph"/>
                        <w:numPr>
                          <w:ilvl w:val="0"/>
                          <w:numId w:val="62"/>
                        </w:numPr>
                        <w:mirrorIndents/>
                        <w:rPr>
                          <w:rFonts w:cs="Segoe UI Light"/>
                        </w:rPr>
                      </w:pPr>
                      <w:r>
                        <w:rPr>
                          <w:rFonts w:cs="Segoe UI Light"/>
                        </w:rPr>
                        <w:t>When the new legislative framework takes effect in July 2020, the overarching problem of water pollution will be primarily addressed by the GED and planned introduction of the ERS, which will incorporate some aspects of SEPP (Waters). SEPP will no longer be in force under the new EP legislation. Some residual risks related to water pollution will also be addressed by the proposed permissioning, contaminated land and waste regulations, which will also incorporate aspects of SEPP (Waters) (see Chapters 6, 8 and 9).</w:t>
                      </w:r>
                    </w:p>
                    <w:p w14:paraId="656B221B" w14:textId="77777777" w:rsidR="00E752DE" w:rsidRPr="000675FF" w:rsidRDefault="00E752DE" w:rsidP="00E26C79">
                      <w:pPr>
                        <w:pStyle w:val="ListParagraph"/>
                        <w:numPr>
                          <w:ilvl w:val="0"/>
                          <w:numId w:val="62"/>
                        </w:numPr>
                        <w:mirrorIndents/>
                        <w:rPr>
                          <w:rFonts w:cs="Segoe UI Light"/>
                        </w:rPr>
                      </w:pPr>
                      <w:r w:rsidRPr="000675FF">
                        <w:rPr>
                          <w:rFonts w:cs="Segoe UI Light"/>
                        </w:rPr>
                        <w:t>However, a residual risk relates to the risk of harm to the environment arising from the discharge of waste into water by vessel operators. Due to gaps and wide variation in the current state of knowledge across vessel operators, duty holders are likely to be uncertain and inconsistent in their approach to complying with the new legislation. Specific regulations will provide certainty and clarity, make enforcement easier and more effective and increase compliance rates</w:t>
                      </w:r>
                      <w:r>
                        <w:rPr>
                          <w:rFonts w:cs="Segoe UI Light"/>
                        </w:rPr>
                        <w:t xml:space="preserve">. </w:t>
                      </w:r>
                    </w:p>
                    <w:p w14:paraId="656B221C" w14:textId="7CA5AA72" w:rsidR="00E752DE" w:rsidRDefault="00E752DE" w:rsidP="00DC1C5C">
                      <w:pPr>
                        <w:pStyle w:val="ListParagraph"/>
                        <w:numPr>
                          <w:ilvl w:val="0"/>
                          <w:numId w:val="62"/>
                        </w:numPr>
                        <w:ind w:right="262"/>
                        <w:mirrorIndents/>
                        <w:rPr>
                          <w:rFonts w:cs="Segoe UI Light"/>
                        </w:rPr>
                      </w:pPr>
                      <w:r w:rsidRPr="000675FF">
                        <w:rPr>
                          <w:rFonts w:cs="Segoe UI Light"/>
                        </w:rPr>
                        <w:t>The preferred option to address this residual risk is to clarify how waste from vessels</w:t>
                      </w:r>
                      <w:r>
                        <w:rPr>
                          <w:rFonts w:cs="Segoe UI Light"/>
                        </w:rPr>
                        <w:t xml:space="preserve"> must be managed and to include a fit for purpose infringeable offence for the discharge of waste from vessels into the water environment</w:t>
                      </w:r>
                      <w:r>
                        <w:t>.</w:t>
                      </w:r>
                    </w:p>
                  </w:txbxContent>
                </v:textbox>
                <w10:anchorlock/>
              </v:rect>
            </w:pict>
          </mc:Fallback>
        </mc:AlternateContent>
      </w:r>
    </w:p>
    <w:p w14:paraId="656B0C63" w14:textId="77777777" w:rsidR="00DC1C5C" w:rsidRPr="000D0764" w:rsidRDefault="00DC1C5C" w:rsidP="00982D63">
      <w:pPr>
        <w:pStyle w:val="Heading2"/>
      </w:pPr>
      <w:r w:rsidRPr="000D0764">
        <w:t>Guidance for reading this chapter</w:t>
      </w:r>
    </w:p>
    <w:p w14:paraId="656B0C64" w14:textId="77777777" w:rsidR="00DC1C5C" w:rsidRPr="000D0764" w:rsidRDefault="00DC1C5C" w:rsidP="00DC1C5C">
      <w:r w:rsidRPr="000D0764">
        <w:t>This chapter outlines the broad water pollution problem that exists in Victoria. However, given the dispersed nature of the activities that can cause water pollution, the problem is addressed in different parts of the legislative framework</w:t>
      </w:r>
      <w:r w:rsidR="009A118F">
        <w:t xml:space="preserve"> (see section 13.5.1 for further explanation)</w:t>
      </w:r>
      <w:r w:rsidRPr="000D0764">
        <w:t>. The remaining residual risk that is not addressed elsewhere in the framework is the discharge of waste from vessels. This chapter assesses the need for regulations to address this risk.</w:t>
      </w:r>
    </w:p>
    <w:p w14:paraId="656B0C65" w14:textId="77777777" w:rsidR="00DC1C5C" w:rsidRPr="000D0764" w:rsidRDefault="00DC1C5C" w:rsidP="00982D63">
      <w:pPr>
        <w:pStyle w:val="Heading2"/>
      </w:pPr>
      <w:r w:rsidRPr="000D0764">
        <w:t>Background</w:t>
      </w:r>
    </w:p>
    <w:p w14:paraId="656B0C66" w14:textId="77777777" w:rsidR="00DC1C5C" w:rsidRPr="000D0764" w:rsidRDefault="00DC1C5C" w:rsidP="00DC1C5C">
      <w:pPr>
        <w:autoSpaceDE w:val="0"/>
        <w:autoSpaceDN w:val="0"/>
        <w:adjustRightInd w:val="0"/>
        <w:spacing w:line="240" w:lineRule="auto"/>
        <w:rPr>
          <w:rFonts w:cs="Segoe UI Light"/>
          <w:szCs w:val="20"/>
        </w:rPr>
      </w:pPr>
      <w:r w:rsidRPr="000D0764">
        <w:rPr>
          <w:rFonts w:cs="Segoe UI Light"/>
          <w:szCs w:val="20"/>
        </w:rPr>
        <w:t xml:space="preserve">Victoria’s water environments are diverse and unique. Ranging from small mountain streams, to large lowland rivers, billabongs, lakes, estuaries and coastal waters, they are among Victoria’s most valuable assets. </w:t>
      </w:r>
    </w:p>
    <w:p w14:paraId="656B0C67" w14:textId="3E6B2465" w:rsidR="00DC1C5C" w:rsidRPr="000D0764" w:rsidRDefault="00DC1C5C" w:rsidP="00DC1C5C">
      <w:pPr>
        <w:mirrorIndents/>
        <w:rPr>
          <w:rFonts w:cs="Segoe UI Light"/>
          <w:szCs w:val="20"/>
        </w:rPr>
      </w:pPr>
      <w:r w:rsidRPr="000D0764">
        <w:rPr>
          <w:rFonts w:cs="Segoe UI Light"/>
          <w:szCs w:val="20"/>
        </w:rPr>
        <w:t xml:space="preserve">Victoria’s water environments are at risk, however, from water pollution, which is the introduction through human activity of a substance through discharge or emission </w:t>
      </w:r>
      <w:r w:rsidR="00E752DE">
        <w:rPr>
          <w:rFonts w:cs="Segoe UI Light"/>
          <w:szCs w:val="20"/>
        </w:rPr>
        <w:t>in</w:t>
      </w:r>
      <w:r w:rsidRPr="000D0764">
        <w:rPr>
          <w:rFonts w:cs="Segoe UI Light"/>
          <w:szCs w:val="20"/>
        </w:rPr>
        <w:t xml:space="preserve"> water, including:</w:t>
      </w:r>
    </w:p>
    <w:p w14:paraId="656B0C68" w14:textId="77777777" w:rsidR="00DC1C5C" w:rsidRPr="000D0764" w:rsidRDefault="00DC1C5C" w:rsidP="00DC1C5C">
      <w:pPr>
        <w:pStyle w:val="Bullet1"/>
        <w:numPr>
          <w:ilvl w:val="0"/>
          <w:numId w:val="26"/>
        </w:numPr>
      </w:pPr>
      <w:r w:rsidRPr="000D0764">
        <w:t>A reservoir, tank or billabong</w:t>
      </w:r>
    </w:p>
    <w:p w14:paraId="656B0C69" w14:textId="77777777" w:rsidR="00DC1C5C" w:rsidRPr="000D0764" w:rsidRDefault="00DC1C5C" w:rsidP="00DC1C5C">
      <w:pPr>
        <w:pStyle w:val="Bullet1"/>
        <w:numPr>
          <w:ilvl w:val="0"/>
          <w:numId w:val="26"/>
        </w:numPr>
      </w:pPr>
      <w:r w:rsidRPr="000D0764">
        <w:t>An anabranch, canal, spring, swamp</w:t>
      </w:r>
    </w:p>
    <w:p w14:paraId="656B0C6A" w14:textId="77777777" w:rsidR="00DC1C5C" w:rsidRPr="000D0764" w:rsidRDefault="00DC1C5C" w:rsidP="00DC1C5C">
      <w:pPr>
        <w:pStyle w:val="Bullet1"/>
        <w:numPr>
          <w:ilvl w:val="0"/>
          <w:numId w:val="26"/>
        </w:numPr>
      </w:pPr>
      <w:r w:rsidRPr="000D0764">
        <w:t xml:space="preserve">A natural or artificial channel, lake, lagoon, waterway or dam </w:t>
      </w:r>
    </w:p>
    <w:p w14:paraId="656B0C6B" w14:textId="77777777" w:rsidR="00DC1C5C" w:rsidRPr="000D0764" w:rsidRDefault="00DC1C5C" w:rsidP="00DC1C5C">
      <w:pPr>
        <w:pStyle w:val="Bullet1"/>
        <w:numPr>
          <w:ilvl w:val="0"/>
          <w:numId w:val="26"/>
        </w:numPr>
      </w:pPr>
      <w:r w:rsidRPr="000D0764">
        <w:t>Tidal water, coastal water or groundwater.</w:t>
      </w:r>
    </w:p>
    <w:p w14:paraId="656B0C6C" w14:textId="77777777" w:rsidR="00DC1C5C" w:rsidRPr="00791DC5" w:rsidRDefault="00DC1C5C" w:rsidP="00DC1C5C">
      <w:pPr>
        <w:autoSpaceDE w:val="0"/>
        <w:autoSpaceDN w:val="0"/>
        <w:adjustRightInd w:val="0"/>
        <w:spacing w:before="120" w:after="0" w:line="240" w:lineRule="auto"/>
      </w:pPr>
      <w:r w:rsidRPr="000D0764">
        <w:rPr>
          <w:szCs w:val="20"/>
        </w:rPr>
        <w:t>These emissions or discharges can, if not appropriately managed, have adverse impacts on water quality. For example, by changing the concentrations of naturally occurring chemicals (such as nitrates, phosphates and metals); by introducing new synthetic substances and pathogens; and by changing sediment loads, flow regimes and temperature.</w:t>
      </w:r>
      <w:r w:rsidRPr="00791DC5">
        <w:rPr>
          <w:vertAlign w:val="superscript"/>
        </w:rPr>
        <w:footnoteReference w:id="239"/>
      </w:r>
      <w:r w:rsidRPr="00791DC5">
        <w:t xml:space="preserve"> </w:t>
      </w:r>
    </w:p>
    <w:p w14:paraId="656B0C6D" w14:textId="77777777" w:rsidR="00DC1C5C" w:rsidRPr="00791DC5" w:rsidRDefault="00DC1C5C" w:rsidP="00DC1C5C">
      <w:pPr>
        <w:autoSpaceDE w:val="0"/>
        <w:autoSpaceDN w:val="0"/>
        <w:adjustRightInd w:val="0"/>
        <w:spacing w:before="120" w:after="0" w:line="240" w:lineRule="auto"/>
      </w:pPr>
      <w:r w:rsidRPr="000D0764">
        <w:t>Traditionally, the main water quality issues for Victoria have been salinity, turbidity</w:t>
      </w:r>
      <w:r w:rsidRPr="00791DC5">
        <w:rPr>
          <w:rStyle w:val="FootnoteReference"/>
        </w:rPr>
        <w:footnoteReference w:id="240"/>
      </w:r>
      <w:r w:rsidRPr="00791DC5">
        <w:t>, nitrogen and phosphorus. However, as observed in the State of the Environment 2018 report, pH levels, pesticides, heavy metals and temperatures are of increasing concern in some regions.</w:t>
      </w:r>
      <w:r w:rsidRPr="00791DC5">
        <w:rPr>
          <w:rStyle w:val="FootnoteReference"/>
        </w:rPr>
        <w:footnoteReference w:id="241"/>
      </w:r>
      <w:r w:rsidRPr="00791DC5">
        <w:t xml:space="preserve"> </w:t>
      </w:r>
    </w:p>
    <w:p w14:paraId="656B0C6E" w14:textId="736A512E" w:rsidR="00DC1C5C" w:rsidRPr="000D0764" w:rsidRDefault="00DC1C5C" w:rsidP="00DC1C5C">
      <w:pPr>
        <w:spacing w:before="120"/>
        <w:mirrorIndents/>
      </w:pPr>
      <w:r w:rsidRPr="000D0764">
        <w:t>According to EPA, the most serious threats to the water environment</w:t>
      </w:r>
      <w:r w:rsidR="00E752DE">
        <w:t xml:space="preserve"> have</w:t>
      </w:r>
      <w:r w:rsidRPr="000D0764">
        <w:t xml:space="preserve"> include</w:t>
      </w:r>
      <w:r w:rsidR="00E752DE">
        <w:t>d</w:t>
      </w:r>
      <w:r w:rsidRPr="000D0764">
        <w:t>:</w:t>
      </w:r>
    </w:p>
    <w:p w14:paraId="656B0C6F" w14:textId="77777777" w:rsidR="00DC1C5C" w:rsidRPr="000D0764" w:rsidRDefault="00DC1C5C" w:rsidP="00DC1C5C">
      <w:pPr>
        <w:pStyle w:val="ListParagraph"/>
        <w:numPr>
          <w:ilvl w:val="0"/>
          <w:numId w:val="85"/>
        </w:numPr>
        <w:spacing w:after="0"/>
      </w:pPr>
      <w:r w:rsidRPr="000D0764">
        <w:t>Alteration of natural flows</w:t>
      </w:r>
    </w:p>
    <w:p w14:paraId="656B0C70" w14:textId="77777777" w:rsidR="00DC1C5C" w:rsidRPr="000D0764" w:rsidRDefault="00DC1C5C" w:rsidP="00DC1C5C">
      <w:pPr>
        <w:pStyle w:val="ListParagraph"/>
        <w:numPr>
          <w:ilvl w:val="0"/>
          <w:numId w:val="85"/>
        </w:numPr>
        <w:spacing w:after="0"/>
      </w:pPr>
      <w:r w:rsidRPr="000D0764">
        <w:t>Increasing salinity</w:t>
      </w:r>
    </w:p>
    <w:p w14:paraId="656B0C71" w14:textId="77777777" w:rsidR="00DC1C5C" w:rsidRPr="000D0764" w:rsidRDefault="00DC1C5C" w:rsidP="00DC1C5C">
      <w:pPr>
        <w:pStyle w:val="ListParagraph"/>
        <w:numPr>
          <w:ilvl w:val="0"/>
          <w:numId w:val="85"/>
        </w:numPr>
        <w:spacing w:after="0"/>
      </w:pPr>
      <w:r w:rsidRPr="000D0764">
        <w:t>Eutrophication (excess nutrients such as nitrates, phosphates and metals)</w:t>
      </w:r>
    </w:p>
    <w:p w14:paraId="656B0C72" w14:textId="77777777" w:rsidR="00DC1C5C" w:rsidRPr="000D0764" w:rsidRDefault="00DC1C5C" w:rsidP="00DC1C5C">
      <w:pPr>
        <w:pStyle w:val="ListParagraph"/>
        <w:numPr>
          <w:ilvl w:val="0"/>
          <w:numId w:val="85"/>
        </w:numPr>
        <w:spacing w:after="0"/>
      </w:pPr>
      <w:r w:rsidRPr="000D0764">
        <w:t>Pollution by foreign substances (such as oil, heavy metals and other chemicals)</w:t>
      </w:r>
    </w:p>
    <w:p w14:paraId="656B0C73" w14:textId="77777777" w:rsidR="00DC1C5C" w:rsidRPr="000D0764" w:rsidRDefault="00DC1C5C" w:rsidP="00DC1C5C">
      <w:pPr>
        <w:pStyle w:val="ListParagraph"/>
        <w:numPr>
          <w:ilvl w:val="0"/>
          <w:numId w:val="85"/>
        </w:numPr>
        <w:spacing w:after="0"/>
      </w:pPr>
      <w:r w:rsidRPr="000D0764">
        <w:t>Stormwater pollution</w:t>
      </w:r>
    </w:p>
    <w:p w14:paraId="656B0C74" w14:textId="77777777" w:rsidR="00DC1C5C" w:rsidRPr="000D0764" w:rsidRDefault="00DC1C5C" w:rsidP="00DC1C5C">
      <w:pPr>
        <w:pStyle w:val="ListParagraph"/>
        <w:numPr>
          <w:ilvl w:val="0"/>
          <w:numId w:val="85"/>
        </w:numPr>
        <w:spacing w:after="0"/>
      </w:pPr>
      <w:r w:rsidRPr="000D0764">
        <w:t>Infestation by pests</w:t>
      </w:r>
    </w:p>
    <w:p w14:paraId="656B0C75" w14:textId="77777777" w:rsidR="00DC1C5C" w:rsidRPr="000D0764" w:rsidRDefault="00DC1C5C" w:rsidP="00DC1C5C">
      <w:pPr>
        <w:pStyle w:val="ListParagraph"/>
        <w:numPr>
          <w:ilvl w:val="0"/>
          <w:numId w:val="85"/>
        </w:numPr>
        <w:spacing w:after="0"/>
      </w:pPr>
      <w:r w:rsidRPr="000D0764">
        <w:t>Pathogens</w:t>
      </w:r>
    </w:p>
    <w:p w14:paraId="656B0C76" w14:textId="77777777" w:rsidR="00DC1C5C" w:rsidRPr="00791DC5" w:rsidRDefault="00DC1C5C" w:rsidP="00DC1C5C">
      <w:pPr>
        <w:pStyle w:val="Bullet1"/>
        <w:numPr>
          <w:ilvl w:val="0"/>
          <w:numId w:val="85"/>
        </w:numPr>
      </w:pPr>
      <w:r w:rsidRPr="000D0764">
        <w:t>Heat.</w:t>
      </w:r>
      <w:r w:rsidRPr="00791DC5">
        <w:rPr>
          <w:rStyle w:val="FootnoteReference"/>
        </w:rPr>
        <w:footnoteReference w:id="242"/>
      </w:r>
    </w:p>
    <w:p w14:paraId="656B0C77" w14:textId="67C2AF5F" w:rsidR="00DC1C5C" w:rsidRPr="00791DC5" w:rsidRDefault="00DC1C5C" w:rsidP="00DC1C5C">
      <w:pPr>
        <w:mirrorIndents/>
        <w:rPr>
          <w:rFonts w:cs="Segoe UI Light"/>
          <w:szCs w:val="20"/>
        </w:rPr>
      </w:pPr>
      <w:r w:rsidRPr="000D0764">
        <w:rPr>
          <w:rFonts w:cs="Segoe UI Light"/>
        </w:rPr>
        <w:t xml:space="preserve">Water quality is driven by a wide range of factors, </w:t>
      </w:r>
      <w:r w:rsidRPr="000D0764">
        <w:rPr>
          <w:rFonts w:eastAsia="Arial" w:cs="Arial"/>
          <w:szCs w:val="20"/>
        </w:rPr>
        <w:t>including rainfall (volume and intensity), land use, catchment management policies, water flow regimes, riparian</w:t>
      </w:r>
      <w:r w:rsidRPr="00791DC5">
        <w:rPr>
          <w:rStyle w:val="FootnoteReference"/>
          <w:rFonts w:eastAsia="Arial" w:cs="Arial"/>
          <w:szCs w:val="20"/>
        </w:rPr>
        <w:footnoteReference w:id="243"/>
      </w:r>
      <w:r w:rsidRPr="00791DC5">
        <w:rPr>
          <w:rFonts w:eastAsia="Arial" w:cs="Arial"/>
          <w:szCs w:val="20"/>
        </w:rPr>
        <w:t xml:space="preserve"> vegetation and both point source and diffuse pollution. Thus, it is difficult to estimate the impact of water pollution on water quality. </w:t>
      </w:r>
      <w:r w:rsidRPr="00791DC5">
        <w:t xml:space="preserve">Although there are </w:t>
      </w:r>
      <w:r w:rsidRPr="000D0764">
        <w:t>point sources of water pollution (such as industrial sites)</w:t>
      </w:r>
      <w:r w:rsidR="00DE24D3">
        <w:t xml:space="preserve"> that EPA regulates through its permissioning framework</w:t>
      </w:r>
      <w:r w:rsidRPr="000D0764">
        <w:t>, diffuse pollution</w:t>
      </w:r>
      <w:r w:rsidR="00DE24D3">
        <w:t xml:space="preserve"> is also an issue, </w:t>
      </w:r>
      <w:r w:rsidRPr="000D0764">
        <w:t xml:space="preserve">coming from a range of activities with no specific point of discharge. </w:t>
      </w:r>
      <w:r w:rsidRPr="000D0764">
        <w:rPr>
          <w:rFonts w:cs="Segoe UI Light"/>
          <w:szCs w:val="20"/>
        </w:rPr>
        <w:t>Regulatory improvements have reduced point-source water pollution, with diffuse sources, such as urban stormwater, now the most significant contributor to pollution of Melbourne’s rivers, creeks and wetlands.</w:t>
      </w:r>
      <w:r w:rsidRPr="00791DC5">
        <w:rPr>
          <w:rFonts w:cs="Segoe UI Light"/>
          <w:szCs w:val="20"/>
          <w:vertAlign w:val="superscript"/>
        </w:rPr>
        <w:footnoteReference w:id="244"/>
      </w:r>
    </w:p>
    <w:p w14:paraId="656B0C78" w14:textId="77777777" w:rsidR="00DC1C5C" w:rsidRPr="000D0764" w:rsidRDefault="00DC1C5C" w:rsidP="00982D63">
      <w:pPr>
        <w:pStyle w:val="Heading2"/>
      </w:pPr>
      <w:r w:rsidRPr="000D0764">
        <w:t>Current legislative and regulatory framework</w:t>
      </w:r>
    </w:p>
    <w:p w14:paraId="656B0C79" w14:textId="77777777" w:rsidR="00DC1C5C" w:rsidRPr="000D0764" w:rsidRDefault="00DC1C5C" w:rsidP="00DC1C5C">
      <w:r w:rsidRPr="000D0764">
        <w:t xml:space="preserve">The primary regulatory mechanism for protecting Victoria’s water environments from pollution is the EP Act 1970. The SEPP (Waters), which is a subordinate instrument under the EP Act 1970, </w:t>
      </w:r>
      <w:r w:rsidRPr="00791DC5">
        <w:t>provides a framework for the protection and management of wate</w:t>
      </w:r>
      <w:r w:rsidRPr="000D0764">
        <w:t xml:space="preserve">r quality in Victoria. In addition to the EP Act 1970, EPA administers the </w:t>
      </w:r>
      <w:r w:rsidRPr="000D0764">
        <w:rPr>
          <w:i/>
        </w:rPr>
        <w:t>Pollution of Waters by Oils and Noxious Substances Act 1986</w:t>
      </w:r>
      <w:r w:rsidR="009A118F">
        <w:rPr>
          <w:i/>
        </w:rPr>
        <w:t xml:space="preserve"> </w:t>
      </w:r>
      <w:r w:rsidR="009A118F">
        <w:t>(POWBONS)</w:t>
      </w:r>
      <w:r w:rsidRPr="000D0764">
        <w:rPr>
          <w:i/>
        </w:rPr>
        <w:t xml:space="preserve">, </w:t>
      </w:r>
      <w:r w:rsidRPr="000D0764">
        <w:t>which is supported by the Pollution of Waters by Oil and Noxious Substances Regulations 2012.</w:t>
      </w:r>
    </w:p>
    <w:p w14:paraId="656B0C7A" w14:textId="77777777" w:rsidR="00DC1C5C" w:rsidRDefault="00D40990" w:rsidP="00DC1C5C">
      <w:pPr>
        <w:mirrorIndents/>
        <w:rPr>
          <w:rFonts w:cs="Segoe UI Light"/>
          <w:szCs w:val="20"/>
        </w:rPr>
      </w:pPr>
      <w:r>
        <w:rPr>
          <w:rFonts w:cs="Segoe UI Light"/>
          <w:color w:val="2B579A"/>
          <w:szCs w:val="20"/>
          <w:shd w:val="clear" w:color="auto" w:fill="E6E6E6"/>
        </w:rPr>
        <w:fldChar w:fldCharType="begin"/>
      </w:r>
      <w:r>
        <w:rPr>
          <w:rFonts w:cs="Segoe UI Light"/>
          <w:szCs w:val="20"/>
        </w:rPr>
        <w:instrText xml:space="preserve"> REF _Ref8025809 \h </w:instrText>
      </w:r>
      <w:r>
        <w:rPr>
          <w:rFonts w:cs="Segoe UI Light"/>
          <w:color w:val="2B579A"/>
          <w:szCs w:val="20"/>
          <w:shd w:val="clear" w:color="auto" w:fill="E6E6E6"/>
        </w:rPr>
      </w:r>
      <w:r>
        <w:rPr>
          <w:rFonts w:cs="Segoe UI Light"/>
          <w:color w:val="2B579A"/>
          <w:szCs w:val="20"/>
          <w:shd w:val="clear" w:color="auto" w:fill="E6E6E6"/>
        </w:rPr>
        <w:fldChar w:fldCharType="separate"/>
      </w:r>
      <w:r w:rsidR="00B51904" w:rsidRPr="000D0764">
        <w:t xml:space="preserve">Table </w:t>
      </w:r>
      <w:r w:rsidR="00B51904">
        <w:rPr>
          <w:noProof/>
        </w:rPr>
        <w:t>13</w:t>
      </w:r>
      <w:r w:rsidR="00B51904" w:rsidRPr="00791DC5">
        <w:noBreakHyphen/>
      </w:r>
      <w:r w:rsidR="00B51904">
        <w:rPr>
          <w:noProof/>
        </w:rPr>
        <w:t>1</w:t>
      </w:r>
      <w:r>
        <w:rPr>
          <w:rFonts w:cs="Segoe UI Light"/>
          <w:color w:val="2B579A"/>
          <w:szCs w:val="20"/>
          <w:shd w:val="clear" w:color="auto" w:fill="E6E6E6"/>
        </w:rPr>
        <w:fldChar w:fldCharType="end"/>
      </w:r>
      <w:r w:rsidR="00DC1C5C" w:rsidRPr="00791DC5">
        <w:rPr>
          <w:rFonts w:cs="Segoe UI Light"/>
          <w:szCs w:val="20"/>
        </w:rPr>
        <w:t xml:space="preserve"> summarises the legislative and regulatory framework relating to water pollution. </w:t>
      </w:r>
    </w:p>
    <w:p w14:paraId="656B0C7B" w14:textId="77777777" w:rsidR="00DC1C5C" w:rsidRDefault="00DC1C5C">
      <w:pPr>
        <w:spacing w:after="0"/>
        <w:rPr>
          <w:rFonts w:cs="Segoe UI Light"/>
          <w:szCs w:val="20"/>
        </w:rPr>
      </w:pPr>
      <w:r>
        <w:rPr>
          <w:rFonts w:cs="Segoe UI Light"/>
          <w:szCs w:val="20"/>
        </w:rPr>
        <w:br w:type="page"/>
      </w:r>
    </w:p>
    <w:p w14:paraId="656B0C7C" w14:textId="77777777" w:rsidR="00DC1C5C" w:rsidRPr="00791DC5" w:rsidRDefault="00DC1C5C" w:rsidP="00DC1C5C">
      <w:pPr>
        <w:pStyle w:val="2Source"/>
      </w:pPr>
      <w:bookmarkStart w:id="1649" w:name="_Ref8025809"/>
      <w:r w:rsidRPr="000D0764">
        <w:t xml:space="preserve">Table </w:t>
      </w:r>
      <w:r w:rsidRPr="00791DC5">
        <w:rPr>
          <w:color w:val="2B579A"/>
          <w:shd w:val="clear" w:color="auto" w:fill="E6E6E6"/>
        </w:rPr>
        <w:fldChar w:fldCharType="begin"/>
      </w:r>
      <w:r w:rsidRPr="000D0764">
        <w:instrText xml:space="preserve"> STYLEREF 1 \s </w:instrText>
      </w:r>
      <w:r w:rsidRPr="00791DC5">
        <w:rPr>
          <w:color w:val="2B579A"/>
          <w:shd w:val="clear" w:color="auto" w:fill="E6E6E6"/>
        </w:rPr>
        <w:fldChar w:fldCharType="separate"/>
      </w:r>
      <w:r w:rsidR="00B11C1E">
        <w:rPr>
          <w:noProof/>
        </w:rPr>
        <w:t>13</w:t>
      </w:r>
      <w:r w:rsidRPr="00791DC5">
        <w:rPr>
          <w:color w:val="2B579A"/>
          <w:shd w:val="clear" w:color="auto" w:fill="E6E6E6"/>
        </w:rPr>
        <w:fldChar w:fldCharType="end"/>
      </w:r>
      <w:r w:rsidRPr="00791DC5">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w:t>
      </w:r>
      <w:r w:rsidR="00997CFA">
        <w:rPr>
          <w:color w:val="2B579A"/>
          <w:shd w:val="clear" w:color="auto" w:fill="E6E6E6"/>
        </w:rPr>
        <w:fldChar w:fldCharType="end"/>
      </w:r>
      <w:bookmarkEnd w:id="1649"/>
      <w:r w:rsidRPr="00791DC5">
        <w:t xml:space="preserve"> Legislative and regulatory framework – water</w:t>
      </w:r>
    </w:p>
    <w:tbl>
      <w:tblPr>
        <w:tblStyle w:val="Deloittetable1"/>
        <w:tblW w:w="5000" w:type="pct"/>
        <w:tblLook w:val="04A0" w:firstRow="1" w:lastRow="0" w:firstColumn="1" w:lastColumn="0" w:noHBand="0" w:noVBand="1"/>
      </w:tblPr>
      <w:tblGrid>
        <w:gridCol w:w="4570"/>
        <w:gridCol w:w="4785"/>
      </w:tblGrid>
      <w:tr w:rsidR="00DC1C5C" w:rsidRPr="000D0764" w14:paraId="656B0C7F" w14:textId="77777777" w:rsidTr="00037AF8">
        <w:trPr>
          <w:cnfStyle w:val="100000000000" w:firstRow="1" w:lastRow="0" w:firstColumn="0" w:lastColumn="0" w:oddVBand="0" w:evenVBand="0" w:oddHBand="0" w:evenHBand="0" w:firstRowFirstColumn="0" w:firstRowLastColumn="0" w:lastRowFirstColumn="0" w:lastRowLastColumn="0"/>
          <w:trHeight w:val="323"/>
        </w:trPr>
        <w:tc>
          <w:tcPr>
            <w:tcW w:w="0" w:type="pct"/>
            <w:hideMark/>
          </w:tcPr>
          <w:p w14:paraId="656B0C7D" w14:textId="77777777" w:rsidR="00DC1C5C" w:rsidRPr="000D0764" w:rsidRDefault="00DC1C5C" w:rsidP="00DC1C5C">
            <w:pPr>
              <w:spacing w:after="0"/>
              <w:mirrorIndents/>
              <w:rPr>
                <w:rFonts w:cs="Segoe UI Light"/>
                <w:b/>
                <w:sz w:val="18"/>
              </w:rPr>
            </w:pPr>
            <w:r w:rsidRPr="000D0764">
              <w:rPr>
                <w:rFonts w:cs="Segoe UI Light"/>
                <w:b/>
                <w:sz w:val="18"/>
              </w:rPr>
              <w:t>Regulation name</w:t>
            </w:r>
          </w:p>
        </w:tc>
        <w:tc>
          <w:tcPr>
            <w:tcW w:w="0" w:type="pct"/>
            <w:hideMark/>
          </w:tcPr>
          <w:p w14:paraId="656B0C7E" w14:textId="77777777" w:rsidR="00DC1C5C" w:rsidRPr="000D0764" w:rsidRDefault="00DC1C5C" w:rsidP="00DC1C5C">
            <w:pPr>
              <w:spacing w:after="0"/>
              <w:mirrorIndents/>
              <w:rPr>
                <w:rFonts w:cs="Segoe UI Light"/>
                <w:b/>
                <w:sz w:val="18"/>
              </w:rPr>
            </w:pPr>
            <w:r w:rsidRPr="000D0764">
              <w:rPr>
                <w:rFonts w:cs="Segoe UI Light"/>
                <w:b/>
                <w:sz w:val="18"/>
              </w:rPr>
              <w:t>Description</w:t>
            </w:r>
          </w:p>
        </w:tc>
      </w:tr>
      <w:tr w:rsidR="007A2318" w:rsidRPr="000D0764" w14:paraId="656B0C82" w14:textId="77777777" w:rsidTr="00037AF8">
        <w:trPr>
          <w:trHeight w:val="323"/>
        </w:trPr>
        <w:tc>
          <w:tcPr>
            <w:tcW w:w="0" w:type="pct"/>
          </w:tcPr>
          <w:p w14:paraId="656B0C80" w14:textId="146A42FB" w:rsidR="007A2318" w:rsidRPr="00037AF8" w:rsidRDefault="009A118F" w:rsidP="00DC1C5C">
            <w:pPr>
              <w:spacing w:after="0"/>
              <w:ind w:right="419"/>
              <w:rPr>
                <w:sz w:val="18"/>
              </w:rPr>
            </w:pPr>
            <w:r w:rsidRPr="00037AF8">
              <w:rPr>
                <w:sz w:val="18"/>
              </w:rPr>
              <w:t xml:space="preserve">EPA Act </w:t>
            </w:r>
            <w:r w:rsidR="00F94054">
              <w:rPr>
                <w:sz w:val="18"/>
              </w:rPr>
              <w:t>1970</w:t>
            </w:r>
          </w:p>
        </w:tc>
        <w:tc>
          <w:tcPr>
            <w:tcW w:w="0" w:type="pct"/>
          </w:tcPr>
          <w:p w14:paraId="656B0C81" w14:textId="77777777" w:rsidR="007A2318" w:rsidRPr="000D0764" w:rsidRDefault="00BC0C7C" w:rsidP="00DC1C5C">
            <w:pPr>
              <w:spacing w:after="0"/>
              <w:rPr>
                <w:sz w:val="18"/>
              </w:rPr>
            </w:pPr>
            <w:r w:rsidRPr="00BC0C7C">
              <w:rPr>
                <w:sz w:val="18"/>
              </w:rPr>
              <w:t xml:space="preserve">The primary regulatory mechanism for protecting </w:t>
            </w:r>
            <w:r>
              <w:rPr>
                <w:sz w:val="18"/>
              </w:rPr>
              <w:t>Victorian</w:t>
            </w:r>
            <w:r w:rsidRPr="00BC0C7C">
              <w:rPr>
                <w:sz w:val="18"/>
              </w:rPr>
              <w:t xml:space="preserve"> waters from pollution is the Environment Protection Act 1970 (the Act). The Act defines high level objectives for the protection of the environment and identifies the roles and powers of EPA in respect to environment protection.</w:t>
            </w:r>
          </w:p>
        </w:tc>
      </w:tr>
      <w:tr w:rsidR="00DC1C5C" w:rsidRPr="000D0764" w14:paraId="656B0C85" w14:textId="77777777" w:rsidTr="00037AF8">
        <w:trPr>
          <w:trHeight w:val="323"/>
        </w:trPr>
        <w:tc>
          <w:tcPr>
            <w:tcW w:w="0" w:type="pct"/>
            <w:hideMark/>
          </w:tcPr>
          <w:p w14:paraId="656B0C83" w14:textId="77777777" w:rsidR="00DC1C5C" w:rsidRPr="000D0764" w:rsidRDefault="00DC1C5C" w:rsidP="00DC1C5C">
            <w:pPr>
              <w:spacing w:after="0"/>
              <w:ind w:right="419"/>
              <w:rPr>
                <w:sz w:val="18"/>
              </w:rPr>
            </w:pPr>
            <w:r w:rsidRPr="000D0764">
              <w:rPr>
                <w:sz w:val="18"/>
              </w:rPr>
              <w:t xml:space="preserve"> POWBONS</w:t>
            </w:r>
          </w:p>
        </w:tc>
        <w:tc>
          <w:tcPr>
            <w:tcW w:w="0" w:type="pct"/>
            <w:hideMark/>
          </w:tcPr>
          <w:p w14:paraId="656B0C84" w14:textId="77777777" w:rsidR="00DC1C5C" w:rsidRPr="000D0764" w:rsidRDefault="00DC1C5C" w:rsidP="00DC1C5C">
            <w:pPr>
              <w:spacing w:after="0"/>
              <w:rPr>
                <w:sz w:val="18"/>
              </w:rPr>
            </w:pPr>
            <w:r w:rsidRPr="000D0764">
              <w:rPr>
                <w:sz w:val="18"/>
              </w:rPr>
              <w:t xml:space="preserve">The purpose of </w:t>
            </w:r>
            <w:r w:rsidR="009A118F">
              <w:rPr>
                <w:sz w:val="18"/>
              </w:rPr>
              <w:t>POWBONS</w:t>
            </w:r>
            <w:r w:rsidRPr="000D0764">
              <w:rPr>
                <w:sz w:val="18"/>
              </w:rPr>
              <w:t xml:space="preserve"> is to protect the sea and other waters from pollution by oil and noxious substances. This Act also implements the MARPOL</w:t>
            </w:r>
            <w:r w:rsidRPr="00791DC5">
              <w:rPr>
                <w:sz w:val="18"/>
              </w:rPr>
              <w:t xml:space="preserve"> </w:t>
            </w:r>
            <w:r w:rsidRPr="000D0764">
              <w:rPr>
                <w:sz w:val="18"/>
              </w:rPr>
              <w:t xml:space="preserve">Convention (the International Convention for the Prevention of Pollution from Ships 1973). </w:t>
            </w:r>
          </w:p>
        </w:tc>
      </w:tr>
      <w:tr w:rsidR="00DC1C5C" w:rsidRPr="000D0764" w14:paraId="656B0C89" w14:textId="77777777" w:rsidTr="00037AF8">
        <w:trPr>
          <w:trHeight w:val="323"/>
        </w:trPr>
        <w:tc>
          <w:tcPr>
            <w:tcW w:w="0" w:type="pct"/>
            <w:hideMark/>
          </w:tcPr>
          <w:p w14:paraId="656B0C86" w14:textId="77777777" w:rsidR="00DC1C5C" w:rsidRPr="000D0764" w:rsidRDefault="00DC1C5C" w:rsidP="00DC1C5C">
            <w:pPr>
              <w:spacing w:after="0"/>
              <w:ind w:right="419"/>
              <w:rPr>
                <w:sz w:val="18"/>
              </w:rPr>
            </w:pPr>
            <w:r w:rsidRPr="000D0764">
              <w:rPr>
                <w:sz w:val="18"/>
              </w:rPr>
              <w:t xml:space="preserve">Pollution of Waters by Oil and </w:t>
            </w:r>
          </w:p>
          <w:p w14:paraId="656B0C87" w14:textId="77777777" w:rsidR="00DC1C5C" w:rsidRPr="000D0764" w:rsidRDefault="00DC1C5C" w:rsidP="00DC1C5C">
            <w:pPr>
              <w:spacing w:after="0"/>
              <w:ind w:right="419"/>
              <w:rPr>
                <w:sz w:val="18"/>
              </w:rPr>
            </w:pPr>
            <w:r w:rsidRPr="000D0764">
              <w:rPr>
                <w:sz w:val="18"/>
              </w:rPr>
              <w:t>Noxious Substances Regulations 2012</w:t>
            </w:r>
          </w:p>
        </w:tc>
        <w:tc>
          <w:tcPr>
            <w:tcW w:w="0" w:type="pct"/>
            <w:hideMark/>
          </w:tcPr>
          <w:p w14:paraId="656B0C88" w14:textId="77777777" w:rsidR="00DC1C5C" w:rsidRPr="000D0764" w:rsidRDefault="00DC1C5C" w:rsidP="009A118F">
            <w:pPr>
              <w:spacing w:after="0"/>
              <w:mirrorIndents/>
              <w:rPr>
                <w:rFonts w:cs="Segoe UI Light"/>
                <w:i/>
                <w:sz w:val="18"/>
              </w:rPr>
            </w:pPr>
            <w:r w:rsidRPr="000D0764">
              <w:rPr>
                <w:sz w:val="18"/>
              </w:rPr>
              <w:t xml:space="preserve">The Pollution of Waters by Oil and Noxious Substances Regulations 2012 support </w:t>
            </w:r>
            <w:r w:rsidR="009A118F">
              <w:rPr>
                <w:sz w:val="18"/>
              </w:rPr>
              <w:t>POWBONS</w:t>
            </w:r>
            <w:r w:rsidRPr="000D0764">
              <w:rPr>
                <w:sz w:val="18"/>
              </w:rPr>
              <w:t xml:space="preserve">. The Regulations set out to whom, how and within what time frame a discharge or probable discharge of oil or an oily mixture must be notified and reported. They also prescribe the form of a ship’s oil record book. </w:t>
            </w:r>
          </w:p>
        </w:tc>
      </w:tr>
      <w:tr w:rsidR="00DC1C5C" w:rsidRPr="000D0764" w14:paraId="656B0C8C" w14:textId="77777777" w:rsidTr="00037AF8">
        <w:trPr>
          <w:trHeight w:val="323"/>
        </w:trPr>
        <w:tc>
          <w:tcPr>
            <w:tcW w:w="0" w:type="pct"/>
            <w:hideMark/>
          </w:tcPr>
          <w:p w14:paraId="656B0C8A" w14:textId="77777777" w:rsidR="00DC1C5C" w:rsidRPr="000D0764" w:rsidRDefault="00DC1C5C" w:rsidP="00DC1C5C">
            <w:pPr>
              <w:spacing w:after="0"/>
              <w:ind w:right="419"/>
              <w:mirrorIndents/>
              <w:rPr>
                <w:rFonts w:cs="Segoe UI Light"/>
                <w:sz w:val="18"/>
              </w:rPr>
            </w:pPr>
            <w:r w:rsidRPr="000D0764">
              <w:rPr>
                <w:sz w:val="18"/>
              </w:rPr>
              <w:t>SEPP (Waters)</w:t>
            </w:r>
          </w:p>
        </w:tc>
        <w:tc>
          <w:tcPr>
            <w:tcW w:w="0" w:type="pct"/>
            <w:hideMark/>
          </w:tcPr>
          <w:p w14:paraId="656B0C8B" w14:textId="77777777" w:rsidR="00DC1C5C" w:rsidRPr="000D0764" w:rsidRDefault="00DC1C5C" w:rsidP="00DC1C5C">
            <w:pPr>
              <w:spacing w:after="0"/>
              <w:ind w:right="429"/>
              <w:mirrorIndents/>
              <w:rPr>
                <w:sz w:val="18"/>
              </w:rPr>
            </w:pPr>
            <w:r w:rsidRPr="000D0764">
              <w:rPr>
                <w:sz w:val="18"/>
              </w:rPr>
              <w:t>The new SEPP (Waters), which commenced on 19 October 2018, combined the Groundwaters of Victoria and Waters of Victoria SEPPs. It includes environmental quality objectives and indicators to measure whether beneficial uses are being protected. SEPP (Waters) identifies rules for decision makers and obligations on industry to guide the protection and management of water quality in Victoria.</w:t>
            </w:r>
            <w:r w:rsidRPr="000D0764">
              <w:rPr>
                <w:rFonts w:ascii="VIC" w:hAnsi="VIC" w:cs="Helvetica"/>
                <w:color w:val="333333"/>
                <w:lang w:val="en"/>
              </w:rPr>
              <w:t xml:space="preserve"> </w:t>
            </w:r>
          </w:p>
        </w:tc>
      </w:tr>
    </w:tbl>
    <w:p w14:paraId="656B0C8D" w14:textId="77777777" w:rsidR="00DC1C5C" w:rsidRPr="000D0764" w:rsidRDefault="00DC1C5C" w:rsidP="00DC1C5C">
      <w:pPr>
        <w:spacing w:after="0"/>
        <w:mirrorIndents/>
        <w:rPr>
          <w:rFonts w:cs="Segoe UI Light"/>
          <w:szCs w:val="20"/>
        </w:rPr>
      </w:pPr>
    </w:p>
    <w:p w14:paraId="656B0C8E" w14:textId="77777777" w:rsidR="00DC1C5C" w:rsidRPr="000D0764" w:rsidRDefault="009A118F" w:rsidP="000E7C5E">
      <w:pPr>
        <w:spacing w:after="0"/>
        <w:rPr>
          <w:rFonts w:cs="Segoe UI Light"/>
          <w:szCs w:val="20"/>
        </w:rPr>
      </w:pPr>
      <w:r>
        <w:rPr>
          <w:rFonts w:cs="Segoe UI Light"/>
          <w:szCs w:val="20"/>
        </w:rPr>
        <w:t>POWBONS</w:t>
      </w:r>
      <w:r w:rsidR="00DC1C5C" w:rsidRPr="000D0764">
        <w:rPr>
          <w:rFonts w:cs="Segoe UI Light"/>
          <w:szCs w:val="20"/>
        </w:rPr>
        <w:t xml:space="preserve"> and its supporting regulations are not impacted by the new legislative framework. SEPP (Waters) will no longer be in force </w:t>
      </w:r>
      <w:r w:rsidR="00DC1C5C" w:rsidRPr="00791DC5">
        <w:rPr>
          <w:rFonts w:cs="Segoe UI Light"/>
          <w:szCs w:val="20"/>
        </w:rPr>
        <w:t xml:space="preserve">when the new legislative framework comes into </w:t>
      </w:r>
      <w:r w:rsidR="00DC1C5C" w:rsidRPr="000D0764">
        <w:rPr>
          <w:rFonts w:cs="Segoe UI Light"/>
          <w:szCs w:val="20"/>
        </w:rPr>
        <w:t xml:space="preserve">effect </w:t>
      </w:r>
      <w:r w:rsidR="00D72D6A">
        <w:rPr>
          <w:rFonts w:cs="Segoe UI Light"/>
          <w:szCs w:val="20"/>
        </w:rPr>
        <w:t xml:space="preserve">(intended to commence effect </w:t>
      </w:r>
      <w:r w:rsidR="00DC1C5C" w:rsidRPr="000D0764">
        <w:rPr>
          <w:rFonts w:cs="Segoe UI Light"/>
          <w:szCs w:val="20"/>
        </w:rPr>
        <w:t>on 1 July 2020</w:t>
      </w:r>
      <w:r w:rsidR="00D72D6A">
        <w:rPr>
          <w:rFonts w:cs="Segoe UI Light"/>
          <w:szCs w:val="20"/>
        </w:rPr>
        <w:t>)</w:t>
      </w:r>
      <w:r w:rsidR="00DC1C5C" w:rsidRPr="000D0764">
        <w:rPr>
          <w:rFonts w:cs="Segoe UI Light"/>
          <w:szCs w:val="20"/>
        </w:rPr>
        <w:t>. However, SEPP (Waters) will form part of the state</w:t>
      </w:r>
      <w:r w:rsidR="009E58AC">
        <w:rPr>
          <w:rFonts w:cs="Segoe UI Light"/>
          <w:szCs w:val="20"/>
        </w:rPr>
        <w:t xml:space="preserve"> </w:t>
      </w:r>
      <w:r w:rsidR="00DC1C5C" w:rsidRPr="000D0764">
        <w:rPr>
          <w:rFonts w:cs="Segoe UI Light"/>
          <w:szCs w:val="20"/>
        </w:rPr>
        <w:t>of</w:t>
      </w:r>
      <w:r w:rsidR="009E58AC">
        <w:rPr>
          <w:rFonts w:cs="Segoe UI Light"/>
          <w:szCs w:val="20"/>
        </w:rPr>
        <w:t xml:space="preserve"> </w:t>
      </w:r>
      <w:r w:rsidR="00DC1C5C" w:rsidRPr="000D0764">
        <w:rPr>
          <w:rFonts w:cs="Segoe UI Light"/>
          <w:szCs w:val="20"/>
        </w:rPr>
        <w:t xml:space="preserve">knowledge that will exist under the new framework (see section </w:t>
      </w:r>
      <w:r>
        <w:rPr>
          <w:rFonts w:cs="Segoe UI Light"/>
          <w:szCs w:val="20"/>
        </w:rPr>
        <w:t>3</w:t>
      </w:r>
      <w:r w:rsidR="00DC1C5C" w:rsidRPr="000D0764">
        <w:rPr>
          <w:rFonts w:cs="Segoe UI Light"/>
          <w:szCs w:val="20"/>
        </w:rPr>
        <w:t>.1 for</w:t>
      </w:r>
      <w:r w:rsidR="00F54C16">
        <w:rPr>
          <w:rFonts w:cs="Segoe UI Light"/>
          <w:szCs w:val="20"/>
        </w:rPr>
        <w:t xml:space="preserve"> discussion of this).</w:t>
      </w:r>
    </w:p>
    <w:p w14:paraId="656B0C8F" w14:textId="77777777" w:rsidR="00DC1C5C" w:rsidRPr="000D0764" w:rsidRDefault="00DC1C5C" w:rsidP="00982D63">
      <w:pPr>
        <w:pStyle w:val="Heading2"/>
      </w:pPr>
      <w:r w:rsidRPr="000D0764">
        <w:t>New EP legislation</w:t>
      </w:r>
    </w:p>
    <w:p w14:paraId="656B0C90" w14:textId="77777777" w:rsidR="00DC1C5C" w:rsidRPr="000D0764" w:rsidRDefault="00DC1C5C" w:rsidP="00DC1C5C">
      <w:pPr>
        <w:mirrorIndents/>
        <w:rPr>
          <w:rFonts w:cs="Segoe UI Light"/>
          <w:szCs w:val="20"/>
        </w:rPr>
      </w:pPr>
      <w:r w:rsidRPr="000D0764">
        <w:rPr>
          <w:rFonts w:cs="Segoe UI Light"/>
          <w:szCs w:val="20"/>
        </w:rPr>
        <w:t>Specific duties and obligations in the new EP legislation that impact water include:</w:t>
      </w:r>
    </w:p>
    <w:p w14:paraId="656B0C91" w14:textId="77777777" w:rsidR="00DC1C5C" w:rsidRPr="000D0764" w:rsidRDefault="00DC1C5C" w:rsidP="00DC1C5C">
      <w:pPr>
        <w:pStyle w:val="ListParagraph"/>
        <w:numPr>
          <w:ilvl w:val="0"/>
          <w:numId w:val="86"/>
        </w:numPr>
        <w:mirrorIndents/>
        <w:rPr>
          <w:rFonts w:cs="Segoe UI Light"/>
          <w:szCs w:val="20"/>
        </w:rPr>
      </w:pPr>
      <w:r w:rsidRPr="000D0764">
        <w:rPr>
          <w:rFonts w:cs="Segoe UI Light"/>
          <w:szCs w:val="20"/>
        </w:rPr>
        <w:t xml:space="preserve">The GED: a preventative duty that requires duty holders to proactively minimise risks of harm to human health and the environment from pollution and waste. It will drive improvements in management of risks by duty holders (e.g. through appropriate environmental management systems). </w:t>
      </w:r>
    </w:p>
    <w:p w14:paraId="656B0C92" w14:textId="77777777" w:rsidR="00DC1C5C" w:rsidRPr="000D0764" w:rsidRDefault="00DC1C5C" w:rsidP="00DC1C5C">
      <w:pPr>
        <w:pStyle w:val="ListParagraph"/>
        <w:numPr>
          <w:ilvl w:val="0"/>
          <w:numId w:val="86"/>
        </w:numPr>
        <w:mirrorIndents/>
        <w:rPr>
          <w:rFonts w:cs="Segoe UI Light"/>
          <w:szCs w:val="20"/>
        </w:rPr>
      </w:pPr>
      <w:r w:rsidRPr="000D0764">
        <w:rPr>
          <w:rFonts w:cs="Segoe UI Light"/>
          <w:szCs w:val="20"/>
        </w:rPr>
        <w:t>Duties relating to pollution incidents: this includes a duty to restore an area affected by a pollution incident to the state it was in before the pollution incident occurred, and a specific duty to notify EPA of pollution incidents above a certain threshold.</w:t>
      </w:r>
    </w:p>
    <w:p w14:paraId="656B0C93" w14:textId="77777777" w:rsidR="00DC1C5C" w:rsidRPr="000D0764" w:rsidRDefault="00DC1C5C" w:rsidP="00DC1C5C">
      <w:pPr>
        <w:pStyle w:val="ListParagraph"/>
        <w:numPr>
          <w:ilvl w:val="0"/>
          <w:numId w:val="86"/>
        </w:numPr>
        <w:mirrorIndents/>
        <w:rPr>
          <w:rFonts w:cs="Segoe UI Light"/>
          <w:i/>
          <w:szCs w:val="20"/>
        </w:rPr>
      </w:pPr>
      <w:r w:rsidRPr="000D0764">
        <w:rPr>
          <w:rFonts w:cs="Segoe UI Light"/>
          <w:szCs w:val="20"/>
        </w:rPr>
        <w:t xml:space="preserve">Permissions – see analysis in Chapter </w:t>
      </w:r>
      <w:r w:rsidR="009A118F">
        <w:rPr>
          <w:rFonts w:cs="Segoe UI Light"/>
          <w:szCs w:val="20"/>
        </w:rPr>
        <w:t>6</w:t>
      </w:r>
      <w:r w:rsidRPr="000D0764">
        <w:rPr>
          <w:rFonts w:cs="Segoe UI Light"/>
          <w:szCs w:val="20"/>
        </w:rPr>
        <w:t xml:space="preserve"> for discussion of permissions that regulate activities that involve discharge of waste to water.</w:t>
      </w:r>
    </w:p>
    <w:p w14:paraId="656B0C94" w14:textId="77777777" w:rsidR="00DC1C5C" w:rsidRPr="000D0764" w:rsidRDefault="00DC1C5C" w:rsidP="00DC1C5C">
      <w:pPr>
        <w:pStyle w:val="ListParagraph"/>
        <w:numPr>
          <w:ilvl w:val="0"/>
          <w:numId w:val="86"/>
        </w:numPr>
        <w:mirrorIndents/>
        <w:rPr>
          <w:rFonts w:cs="Segoe UI Light"/>
          <w:szCs w:val="20"/>
        </w:rPr>
      </w:pPr>
      <w:r w:rsidRPr="000D0764">
        <w:rPr>
          <w:rFonts w:cs="Segoe UI Light"/>
          <w:szCs w:val="20"/>
        </w:rPr>
        <w:t xml:space="preserve">Duties relating to contaminated land – see analysis in Chapter </w:t>
      </w:r>
      <w:r w:rsidR="009A118F">
        <w:rPr>
          <w:rFonts w:cs="Segoe UI Light"/>
          <w:szCs w:val="20"/>
        </w:rPr>
        <w:t>8</w:t>
      </w:r>
      <w:r w:rsidRPr="000D0764">
        <w:rPr>
          <w:rFonts w:cs="Segoe UI Light"/>
          <w:szCs w:val="20"/>
        </w:rPr>
        <w:t>.</w:t>
      </w:r>
    </w:p>
    <w:p w14:paraId="656B0C95" w14:textId="77777777" w:rsidR="00DC1C5C" w:rsidRPr="000D0764" w:rsidRDefault="00DC1C5C" w:rsidP="00DC1C5C">
      <w:pPr>
        <w:pStyle w:val="ListParagraph"/>
        <w:numPr>
          <w:ilvl w:val="0"/>
          <w:numId w:val="86"/>
        </w:numPr>
        <w:mirrorIndents/>
        <w:rPr>
          <w:rFonts w:cs="Segoe UI Light"/>
          <w:i/>
          <w:szCs w:val="20"/>
        </w:rPr>
      </w:pPr>
      <w:r w:rsidRPr="000D0764">
        <w:rPr>
          <w:rFonts w:cs="Segoe UI Light"/>
          <w:szCs w:val="20"/>
        </w:rPr>
        <w:t xml:space="preserve">Duties related to industrial waste, including the duty to not deposit or abandon industrial waste at a place or premises, unless the place or premises is authorised to receive industrial waste – see Chapter </w:t>
      </w:r>
      <w:r w:rsidR="009A118F">
        <w:rPr>
          <w:rFonts w:cs="Segoe UI Light"/>
          <w:szCs w:val="20"/>
        </w:rPr>
        <w:t>9</w:t>
      </w:r>
      <w:r w:rsidRPr="000D0764">
        <w:rPr>
          <w:rFonts w:cs="Segoe UI Light"/>
          <w:szCs w:val="20"/>
        </w:rPr>
        <w:t>.</w:t>
      </w:r>
    </w:p>
    <w:p w14:paraId="656B0C96" w14:textId="77777777" w:rsidR="00DC1C5C" w:rsidRPr="000D0764" w:rsidRDefault="00DC1C5C" w:rsidP="00DC1C5C">
      <w:pPr>
        <w:pStyle w:val="ListParagraph"/>
        <w:numPr>
          <w:ilvl w:val="0"/>
          <w:numId w:val="86"/>
        </w:numPr>
        <w:mirrorIndents/>
        <w:rPr>
          <w:rFonts w:cs="Segoe UI Light"/>
          <w:i/>
          <w:szCs w:val="20"/>
        </w:rPr>
      </w:pPr>
      <w:r w:rsidRPr="00791DC5">
        <w:rPr>
          <w:rFonts w:cs="Segoe UI Light"/>
          <w:szCs w:val="20"/>
        </w:rPr>
        <w:t>O</w:t>
      </w:r>
      <w:r w:rsidRPr="000D0764">
        <w:rPr>
          <w:rFonts w:cs="Segoe UI Light"/>
          <w:szCs w:val="20"/>
        </w:rPr>
        <w:t>ffences relating to litter and other waste, which make the unlawful deposit of litter or waste an offence. Litter is defined as waste under 50L, while offences for waste over 50L are also outlined – see separate analysis for Litter in Chapter 1</w:t>
      </w:r>
      <w:r w:rsidR="009A118F">
        <w:rPr>
          <w:rFonts w:cs="Segoe UI Light"/>
          <w:szCs w:val="20"/>
        </w:rPr>
        <w:t>0</w:t>
      </w:r>
      <w:r w:rsidRPr="000D0764">
        <w:rPr>
          <w:rFonts w:cs="Segoe UI Light"/>
          <w:szCs w:val="20"/>
        </w:rPr>
        <w:t xml:space="preserve"> and for Waste in Chapter </w:t>
      </w:r>
      <w:r w:rsidR="009A118F">
        <w:rPr>
          <w:rFonts w:cs="Segoe UI Light"/>
          <w:szCs w:val="20"/>
        </w:rPr>
        <w:t>9</w:t>
      </w:r>
      <w:r w:rsidRPr="00791DC5">
        <w:rPr>
          <w:rFonts w:cs="Segoe UI Light"/>
          <w:szCs w:val="20"/>
        </w:rPr>
        <w:t>.</w:t>
      </w:r>
    </w:p>
    <w:p w14:paraId="656B0C97" w14:textId="77777777" w:rsidR="00DC1C5C" w:rsidRDefault="00DC1C5C" w:rsidP="00DC1C5C">
      <w:pPr>
        <w:rPr>
          <w:rFonts w:cs="Segoe UI Light"/>
        </w:rPr>
      </w:pPr>
      <w:r w:rsidRPr="000D0764">
        <w:rPr>
          <w:rFonts w:cs="Segoe UI Light"/>
        </w:rPr>
        <w:t>Because SEPP (Waters) will no longer be in force after 2020, provisions included in SEPP (Waters) that set community goals and defined environmental standards such as beneficial uses, segments, environmental quality indicators and objectives, and pollutant load targets, will be reflected in an ERS</w:t>
      </w:r>
      <w:r w:rsidRPr="00791DC5">
        <w:rPr>
          <w:rFonts w:cs="Segoe UI Light"/>
        </w:rPr>
        <w:t xml:space="preserve"> under the new legislative framework. However, the ERS will not set out </w:t>
      </w:r>
      <w:r w:rsidR="004073DE">
        <w:rPr>
          <w:rFonts w:cs="Segoe UI Light"/>
        </w:rPr>
        <w:t xml:space="preserve">any </w:t>
      </w:r>
      <w:r w:rsidRPr="00791DC5">
        <w:rPr>
          <w:rFonts w:cs="Segoe UI Light"/>
        </w:rPr>
        <w:t>regulatory requirements relating to water</w:t>
      </w:r>
      <w:r w:rsidR="004073DE">
        <w:rPr>
          <w:rFonts w:cs="Segoe UI Light"/>
        </w:rPr>
        <w:t xml:space="preserve">, </w:t>
      </w:r>
      <w:r w:rsidRPr="00791DC5">
        <w:rPr>
          <w:rFonts w:cs="Segoe UI Light"/>
        </w:rPr>
        <w:t>or other problem areas</w:t>
      </w:r>
      <w:r w:rsidR="004073DE">
        <w:rPr>
          <w:rFonts w:cs="Segoe UI Light"/>
        </w:rPr>
        <w:t xml:space="preserve"> (See </w:t>
      </w:r>
      <w:r w:rsidR="004073DE">
        <w:rPr>
          <w:rFonts w:cs="Segoe UI Light"/>
          <w:color w:val="2B579A"/>
          <w:shd w:val="clear" w:color="auto" w:fill="E6E6E6"/>
        </w:rPr>
        <w:fldChar w:fldCharType="begin"/>
      </w:r>
      <w:r w:rsidR="004073DE">
        <w:rPr>
          <w:rFonts w:cs="Segoe UI Light"/>
        </w:rPr>
        <w:instrText xml:space="preserve"> REF _Ref9011338 \h </w:instrText>
      </w:r>
      <w:r w:rsidR="004073DE">
        <w:rPr>
          <w:rFonts w:cs="Segoe UI Light"/>
          <w:color w:val="2B579A"/>
          <w:shd w:val="clear" w:color="auto" w:fill="E6E6E6"/>
        </w:rPr>
      </w:r>
      <w:r w:rsidR="004073DE">
        <w:rPr>
          <w:rFonts w:cs="Segoe UI Light"/>
          <w:color w:val="2B579A"/>
          <w:shd w:val="clear" w:color="auto" w:fill="E6E6E6"/>
        </w:rPr>
        <w:fldChar w:fldCharType="separate"/>
      </w:r>
      <w:r w:rsidR="00B11C1E">
        <w:t>Appendix 1 – Environment Reference Standard</w:t>
      </w:r>
      <w:r w:rsidR="004073DE">
        <w:rPr>
          <w:rFonts w:cs="Segoe UI Light"/>
          <w:color w:val="2B579A"/>
          <w:shd w:val="clear" w:color="auto" w:fill="E6E6E6"/>
        </w:rPr>
        <w:fldChar w:fldCharType="end"/>
      </w:r>
      <w:r w:rsidR="004073DE">
        <w:rPr>
          <w:rFonts w:cs="Segoe UI Light"/>
        </w:rPr>
        <w:t>)</w:t>
      </w:r>
      <w:r w:rsidRPr="00791DC5">
        <w:rPr>
          <w:rFonts w:cs="Segoe UI Light"/>
        </w:rPr>
        <w:t>.</w:t>
      </w:r>
      <w:r w:rsidRPr="000D0764">
        <w:rPr>
          <w:rFonts w:cs="Segoe UI Light"/>
        </w:rPr>
        <w:t xml:space="preserve"> Some elements of the SEPP (Waters) will however be transitioned into guidance to support the GED.</w:t>
      </w:r>
    </w:p>
    <w:p w14:paraId="656B0C98" w14:textId="77777777" w:rsidR="00C01788" w:rsidRPr="000D0764" w:rsidRDefault="00C01788" w:rsidP="00DC1C5C">
      <w:pPr>
        <w:rPr>
          <w:rFonts w:cs="Segoe UI Light"/>
        </w:rPr>
      </w:pPr>
      <w:r w:rsidRPr="000675FF">
        <w:rPr>
          <w:rFonts w:cs="Segoe UI Light"/>
        </w:rPr>
        <w:t>While SEPP (Waters) will no longer be in force under the new legislative framework the expectations that were in the SEPP will inform what is viewed as reasonably practicable – that is, what the person concerned knows or ought reasonably to know – for the purposes of the GED.</w:t>
      </w:r>
    </w:p>
    <w:p w14:paraId="656B0C99" w14:textId="77777777" w:rsidR="00DC1C5C" w:rsidRPr="000D0764" w:rsidRDefault="00DC1C5C" w:rsidP="00982D63">
      <w:pPr>
        <w:pStyle w:val="Heading2"/>
      </w:pPr>
      <w:r w:rsidRPr="000D0764">
        <w:t>Nature and extent of problem</w:t>
      </w:r>
    </w:p>
    <w:p w14:paraId="656B0C9A" w14:textId="77777777" w:rsidR="00DC1C5C" w:rsidRDefault="00DC1C5C" w:rsidP="000675FF">
      <w:pPr>
        <w:pStyle w:val="Heading3"/>
        <w:ind w:left="720"/>
      </w:pPr>
      <w:r w:rsidRPr="000D0764">
        <w:t>Residual risk</w:t>
      </w:r>
    </w:p>
    <w:p w14:paraId="656B0C9B" w14:textId="77777777" w:rsidR="00C01788" w:rsidRPr="000675FF" w:rsidRDefault="00C01788" w:rsidP="00C01788">
      <w:pPr>
        <w:rPr>
          <w:rFonts w:cs="Segoe UI Light"/>
        </w:rPr>
      </w:pPr>
      <w:r w:rsidRPr="000675FF">
        <w:rPr>
          <w:rFonts w:cs="Segoe UI Light"/>
        </w:rPr>
        <w:t>As noted above, the GED and new EP legislation are, collectively, likely to address a significant portion of the risk of harm in relation to water. There is, however, a small but material residual risk relating to the discharge of waste into water by vessel operators. There are two aspects to this residual risk:</w:t>
      </w:r>
    </w:p>
    <w:p w14:paraId="656B0C9C" w14:textId="77777777" w:rsidR="00C01788" w:rsidRPr="000675FF" w:rsidRDefault="00C01788" w:rsidP="00C01788">
      <w:pPr>
        <w:pStyle w:val="ListParagraph"/>
        <w:numPr>
          <w:ilvl w:val="0"/>
          <w:numId w:val="235"/>
        </w:numPr>
        <w:textboxTightWrap w:val="none"/>
        <w:rPr>
          <w:rFonts w:cs="Segoe UI Light"/>
        </w:rPr>
      </w:pPr>
      <w:r w:rsidRPr="000675FF">
        <w:rPr>
          <w:rFonts w:cs="Segoe UI Light"/>
        </w:rPr>
        <w:t xml:space="preserve">Gaps and wide variation in the current state of knowledge across operators creates the risk </w:t>
      </w:r>
      <w:r w:rsidR="00710F8E">
        <w:rPr>
          <w:rFonts w:cs="Segoe UI Light"/>
        </w:rPr>
        <w:t xml:space="preserve">of </w:t>
      </w:r>
      <w:r w:rsidRPr="000675FF">
        <w:rPr>
          <w:rFonts w:cs="Segoe UI Light"/>
        </w:rPr>
        <w:t>a lack of consistency and certainty with respect to how duty holders need to comply with the new EP legislation, leading to failure to meet their duties and unnecessary costs to both duty holders and EPA</w:t>
      </w:r>
      <w:r w:rsidR="00DC7A63">
        <w:rPr>
          <w:rFonts w:cs="Segoe UI Light"/>
        </w:rPr>
        <w:t xml:space="preserve">. </w:t>
      </w:r>
    </w:p>
    <w:p w14:paraId="656B0C9D" w14:textId="32CEB0B2" w:rsidR="00C01788" w:rsidRPr="000675FF" w:rsidRDefault="00C01788" w:rsidP="00C01788">
      <w:pPr>
        <w:pStyle w:val="ListParagraph"/>
        <w:numPr>
          <w:ilvl w:val="0"/>
          <w:numId w:val="235"/>
        </w:numPr>
        <w:textboxTightWrap w:val="none"/>
        <w:rPr>
          <w:rFonts w:cs="Segoe UI Light"/>
        </w:rPr>
      </w:pPr>
      <w:r w:rsidRPr="000675FF">
        <w:rPr>
          <w:rFonts w:cs="Segoe UI Light"/>
        </w:rPr>
        <w:t>Reliance on the industrial waste duty under the new EP legislation may apply a significant penalty for non-compliance by vessel operators that is not proportionate to the scale of the harm to the environment and human health arising</w:t>
      </w:r>
    </w:p>
    <w:p w14:paraId="656B0C9E" w14:textId="77777777" w:rsidR="00DC1C5C" w:rsidRPr="000D0764" w:rsidRDefault="00DC1C5C" w:rsidP="000675FF">
      <w:pPr>
        <w:ind w:right="293"/>
        <w:rPr>
          <w:rFonts w:cs="Segoe UI Light"/>
        </w:rPr>
      </w:pPr>
      <w:r w:rsidRPr="000D0764">
        <w:rPr>
          <w:rFonts w:cs="Segoe UI Light"/>
        </w:rPr>
        <w:t>The general nature of the GED and other duties in the new EP legislation cover a very wide variety of circumstances and risks. Some risks still remain because they are high consequence, or factors such as lack of knowledge or information mean that additional government intervention should be considered. While</w:t>
      </w:r>
      <w:r w:rsidRPr="00791DC5">
        <w:rPr>
          <w:rFonts w:cs="Segoe UI Light"/>
        </w:rPr>
        <w:t xml:space="preserve"> the </w:t>
      </w:r>
      <w:r w:rsidRPr="000D0764">
        <w:rPr>
          <w:rFonts w:cs="Segoe UI Light"/>
        </w:rPr>
        <w:t xml:space="preserve">harms </w:t>
      </w:r>
      <w:r w:rsidRPr="00791DC5">
        <w:rPr>
          <w:rFonts w:cs="Segoe UI Light"/>
        </w:rPr>
        <w:t>of these risks are outlined in this Chapter</w:t>
      </w:r>
      <w:r w:rsidRPr="000D0764">
        <w:rPr>
          <w:rFonts w:cs="Segoe UI Light"/>
        </w:rPr>
        <w:t>, these risks will be addressed by proposed permissioning, waste, contaminated land and single use plastic bag regulations, as well as transitional Regulations. S</w:t>
      </w:r>
      <w:r w:rsidR="00852412">
        <w:rPr>
          <w:rFonts w:cs="Segoe UI Light"/>
        </w:rPr>
        <w:t>ome proposed R</w:t>
      </w:r>
      <w:r w:rsidRPr="000D0764">
        <w:rPr>
          <w:rFonts w:cs="Segoe UI Light"/>
        </w:rPr>
        <w:t>egulations in those chapters of relevance to water include:</w:t>
      </w:r>
    </w:p>
    <w:p w14:paraId="656B0C9F" w14:textId="77777777" w:rsidR="00DC1C5C" w:rsidRPr="000D0764" w:rsidRDefault="00DC1C5C" w:rsidP="00DC1C5C">
      <w:pPr>
        <w:pStyle w:val="ListParagraph"/>
        <w:numPr>
          <w:ilvl w:val="0"/>
          <w:numId w:val="87"/>
        </w:numPr>
        <w:spacing w:after="170"/>
      </w:pPr>
      <w:r w:rsidRPr="000D0764">
        <w:t>Discharge of waste to an aquifer to be managed through permission</w:t>
      </w:r>
      <w:r w:rsidR="004073DE">
        <w:t>ing regulations</w:t>
      </w:r>
      <w:r w:rsidRPr="000D0764">
        <w:t xml:space="preserve"> and will be a permitted activity, specifying circumstances where it is acceptable</w:t>
      </w:r>
      <w:r w:rsidR="00E01EF3">
        <w:t xml:space="preserve"> and when EPA must refuse to issue a permit</w:t>
      </w:r>
      <w:r w:rsidR="00AA7A68">
        <w:t xml:space="preserve">. </w:t>
      </w:r>
    </w:p>
    <w:p w14:paraId="656B0CA0" w14:textId="77777777" w:rsidR="00DC1C5C" w:rsidRPr="000D0764" w:rsidRDefault="00DC1C5C" w:rsidP="00DC1C5C">
      <w:pPr>
        <w:pStyle w:val="ListParagraph"/>
        <w:numPr>
          <w:ilvl w:val="0"/>
          <w:numId w:val="87"/>
        </w:numPr>
      </w:pPr>
      <w:r w:rsidRPr="000D0764">
        <w:t>Prescription of specific control measures for non-aqueous phase liquid (NAPL) contamination in the contaminated land regulations.</w:t>
      </w:r>
    </w:p>
    <w:p w14:paraId="656B0CA1" w14:textId="77777777" w:rsidR="00DC1C5C" w:rsidRPr="000D0764" w:rsidRDefault="00DC1C5C" w:rsidP="00DC1C5C">
      <w:pPr>
        <w:pStyle w:val="ListParagraph"/>
        <w:numPr>
          <w:ilvl w:val="0"/>
          <w:numId w:val="87"/>
        </w:numPr>
      </w:pPr>
      <w:r w:rsidRPr="000D0764">
        <w:t>An explicit obligation on the EPA in the permissions framework to refuse applications for wastewater discharges into Special water supply catchment areas set out in Schedule 5 of the Catchment and Land Protection Act 1994.</w:t>
      </w:r>
    </w:p>
    <w:p w14:paraId="656B0CA2" w14:textId="77777777" w:rsidR="00DC1C5C" w:rsidRPr="000D0764" w:rsidRDefault="00DC1C5C" w:rsidP="00DC1C5C">
      <w:pPr>
        <w:mirrorIndents/>
        <w:rPr>
          <w:rFonts w:cs="Segoe UI Light"/>
        </w:rPr>
      </w:pPr>
      <w:r w:rsidRPr="000D0764">
        <w:rPr>
          <w:rFonts w:cs="Segoe UI Light"/>
        </w:rPr>
        <w:t xml:space="preserve">The transitional </w:t>
      </w:r>
      <w:r w:rsidR="00E0427B">
        <w:rPr>
          <w:rFonts w:cs="Segoe UI Light"/>
        </w:rPr>
        <w:t>R</w:t>
      </w:r>
      <w:r w:rsidRPr="000D0764">
        <w:rPr>
          <w:rFonts w:cs="Segoe UI Light"/>
        </w:rPr>
        <w:t>egulations</w:t>
      </w:r>
      <w:r w:rsidR="00E0427B">
        <w:rPr>
          <w:rFonts w:cs="Segoe UI Light"/>
        </w:rPr>
        <w:t xml:space="preserve"> </w:t>
      </w:r>
      <w:r w:rsidRPr="000D0764">
        <w:rPr>
          <w:rFonts w:cs="Segoe UI Light"/>
        </w:rPr>
        <w:t xml:space="preserve">establish that certain obligations </w:t>
      </w:r>
      <w:r w:rsidR="00F76407">
        <w:rPr>
          <w:rFonts w:cs="Segoe UI Light"/>
        </w:rPr>
        <w:t xml:space="preserve">in SEPP (Waters) </w:t>
      </w:r>
      <w:r w:rsidRPr="000D0764">
        <w:rPr>
          <w:rFonts w:cs="Segoe UI Light"/>
        </w:rPr>
        <w:t>will continue (unchanged) in the new EP legislation for a period of no more than 24 months.</w:t>
      </w:r>
      <w:r w:rsidR="00607F63">
        <w:rPr>
          <w:rFonts w:cs="Segoe UI Light"/>
        </w:rPr>
        <w:t xml:space="preserve"> This </w:t>
      </w:r>
      <w:r w:rsidR="00DD0727">
        <w:rPr>
          <w:rFonts w:cs="Segoe UI Light"/>
        </w:rPr>
        <w:t>allows</w:t>
      </w:r>
      <w:r w:rsidR="00607F63">
        <w:rPr>
          <w:rFonts w:cs="Segoe UI Light"/>
        </w:rPr>
        <w:t xml:space="preserve"> time for changes to be made to some government processes. </w:t>
      </w:r>
      <w:r w:rsidR="004073DE">
        <w:rPr>
          <w:rFonts w:cs="Segoe UI Light"/>
        </w:rPr>
        <w:t xml:space="preserve">EPA will use this </w:t>
      </w:r>
      <w:r w:rsidR="00DD0727">
        <w:rPr>
          <w:rFonts w:cs="Segoe UI Light"/>
        </w:rPr>
        <w:t>time</w:t>
      </w:r>
      <w:r w:rsidR="004073DE">
        <w:rPr>
          <w:rFonts w:cs="Segoe UI Light"/>
        </w:rPr>
        <w:t xml:space="preserve"> to scope options and engage with stakeholders affected to determine how these obligations should be managed in future. </w:t>
      </w:r>
      <w:r w:rsidRPr="000D0764">
        <w:rPr>
          <w:rFonts w:cs="Segoe UI Light"/>
        </w:rPr>
        <w:t xml:space="preserve">These include obligations regarding: </w:t>
      </w:r>
    </w:p>
    <w:p w14:paraId="656B0CA3" w14:textId="77777777" w:rsidR="00DC1C5C" w:rsidRDefault="00DC1C5C" w:rsidP="00DC1C5C">
      <w:pPr>
        <w:pStyle w:val="ListParagraph"/>
        <w:numPr>
          <w:ilvl w:val="0"/>
          <w:numId w:val="87"/>
        </w:numPr>
        <w:spacing w:after="170"/>
      </w:pPr>
      <w:r w:rsidRPr="000D0764">
        <w:t>Pollutant load targets.</w:t>
      </w:r>
    </w:p>
    <w:p w14:paraId="656B0CA4" w14:textId="77777777" w:rsidR="004073DE" w:rsidRPr="000D0764" w:rsidRDefault="004073DE" w:rsidP="00DC1C5C">
      <w:pPr>
        <w:pStyle w:val="ListParagraph"/>
        <w:numPr>
          <w:ilvl w:val="0"/>
          <w:numId w:val="87"/>
        </w:numPr>
        <w:spacing w:after="170"/>
      </w:pPr>
      <w:r>
        <w:t>Subdivision and on</w:t>
      </w:r>
      <w:r w:rsidR="00045A7B">
        <w:t>-</w:t>
      </w:r>
      <w:r>
        <w:t>site wastewater management.</w:t>
      </w:r>
    </w:p>
    <w:p w14:paraId="656B0CA5" w14:textId="77777777" w:rsidR="00DC1C5C" w:rsidRPr="000D0764" w:rsidRDefault="00DC1C5C" w:rsidP="00DC1C5C">
      <w:pPr>
        <w:pStyle w:val="ListParagraph"/>
        <w:numPr>
          <w:ilvl w:val="0"/>
          <w:numId w:val="87"/>
        </w:numPr>
        <w:spacing w:after="170"/>
      </w:pPr>
      <w:r w:rsidRPr="000D0764">
        <w:t>Preparation of on</w:t>
      </w:r>
      <w:r w:rsidR="00045A7B">
        <w:t>-</w:t>
      </w:r>
      <w:r w:rsidRPr="000D0764">
        <w:t>site domestic wastewater management plans.</w:t>
      </w:r>
    </w:p>
    <w:p w14:paraId="656B0CA6" w14:textId="77777777" w:rsidR="00DC1C5C" w:rsidRPr="000D0764" w:rsidRDefault="00DC1C5C" w:rsidP="00DC1C5C">
      <w:pPr>
        <w:pStyle w:val="ListParagraph"/>
        <w:numPr>
          <w:ilvl w:val="0"/>
          <w:numId w:val="87"/>
        </w:numPr>
        <w:spacing w:after="170"/>
      </w:pPr>
      <w:r w:rsidRPr="000D0764">
        <w:t>Water corporations to work with councils regarding options for sewerage services.</w:t>
      </w:r>
    </w:p>
    <w:p w14:paraId="656B0CA7" w14:textId="77777777" w:rsidR="00DC1C5C" w:rsidRPr="000D0764" w:rsidRDefault="00DC1C5C" w:rsidP="00DC1C5C">
      <w:pPr>
        <w:pStyle w:val="ListParagraph"/>
        <w:numPr>
          <w:ilvl w:val="0"/>
          <w:numId w:val="87"/>
        </w:numPr>
        <w:spacing w:after="170"/>
      </w:pPr>
      <w:r w:rsidRPr="000D0764">
        <w:t>Maintenance of assets, including wetlands and sediment ponds.</w:t>
      </w:r>
    </w:p>
    <w:p w14:paraId="656B0CA8" w14:textId="7FEB0D8E" w:rsidR="00DC1C5C" w:rsidRPr="000D0764" w:rsidRDefault="00DC1C5C" w:rsidP="00DC1C5C">
      <w:pPr>
        <w:pStyle w:val="ListParagraph"/>
        <w:numPr>
          <w:ilvl w:val="0"/>
          <w:numId w:val="87"/>
        </w:numPr>
        <w:spacing w:after="170"/>
      </w:pPr>
      <w:r w:rsidRPr="000D0764">
        <w:t>Development and implementation of stormwater management plans.</w:t>
      </w:r>
    </w:p>
    <w:p w14:paraId="656B0CA9" w14:textId="77777777" w:rsidR="00DC1C5C" w:rsidRPr="000D0764" w:rsidRDefault="00DC1C5C" w:rsidP="00DC1C5C">
      <w:pPr>
        <w:pStyle w:val="ListParagraph"/>
        <w:numPr>
          <w:ilvl w:val="0"/>
          <w:numId w:val="87"/>
        </w:numPr>
        <w:spacing w:after="170"/>
      </w:pPr>
      <w:r w:rsidRPr="000D0764">
        <w:t>Management of saline discharges.</w:t>
      </w:r>
    </w:p>
    <w:p w14:paraId="656B0CAA" w14:textId="77777777" w:rsidR="00DC1C5C" w:rsidRPr="000D0764" w:rsidRDefault="00DC1C5C" w:rsidP="00DC1C5C">
      <w:pPr>
        <w:pStyle w:val="ListParagraph"/>
        <w:numPr>
          <w:ilvl w:val="0"/>
          <w:numId w:val="87"/>
        </w:numPr>
        <w:spacing w:after="170"/>
      </w:pPr>
      <w:r w:rsidRPr="000D0764">
        <w:t>Irrigation planning.</w:t>
      </w:r>
    </w:p>
    <w:p w14:paraId="656B0CAB" w14:textId="440F7E8F" w:rsidR="00DC1C5C" w:rsidRPr="00791DC5" w:rsidRDefault="00DC1C5C" w:rsidP="00DC1C5C">
      <w:pPr>
        <w:mirrorIndents/>
        <w:rPr>
          <w:rFonts w:cs="Segoe UI Light"/>
        </w:rPr>
      </w:pPr>
      <w:r w:rsidRPr="000D0764">
        <w:rPr>
          <w:rFonts w:cs="Segoe UI Light"/>
        </w:rPr>
        <w:t>Guidance will also play a key role in helping inform what is reasonably practicable</w:t>
      </w:r>
      <w:r w:rsidR="004073A2">
        <w:rPr>
          <w:rStyle w:val="FootnoteReference"/>
        </w:rPr>
        <w:footnoteReference w:id="245"/>
      </w:r>
      <w:r w:rsidRPr="000D0764">
        <w:rPr>
          <w:rFonts w:cs="Segoe UI Light"/>
        </w:rPr>
        <w:t xml:space="preserve"> – what the person concerned knows, or ought reasonably to know – for the purposes of the GED, to meet the obligation to minimise risk of harm to human health and the environment.</w:t>
      </w:r>
    </w:p>
    <w:p w14:paraId="656B0CAC" w14:textId="77777777" w:rsidR="00E26C79" w:rsidRPr="000D0764" w:rsidRDefault="00E26C79" w:rsidP="00E26C79">
      <w:pPr>
        <w:mirrorIndents/>
        <w:rPr>
          <w:rFonts w:cs="Segoe UI Light"/>
        </w:rPr>
      </w:pPr>
      <w:r w:rsidRPr="000D0764">
        <w:rPr>
          <w:rFonts w:cs="Segoe UI Light"/>
        </w:rPr>
        <w:t xml:space="preserve">A </w:t>
      </w:r>
      <w:r>
        <w:rPr>
          <w:rFonts w:cs="Segoe UI Light"/>
        </w:rPr>
        <w:t xml:space="preserve">small </w:t>
      </w:r>
      <w:r w:rsidRPr="000D0764">
        <w:rPr>
          <w:rFonts w:cs="Segoe UI Light"/>
        </w:rPr>
        <w:t xml:space="preserve">remaining residual risk, addressed in this </w:t>
      </w:r>
      <w:r w:rsidRPr="000675FF">
        <w:rPr>
          <w:rFonts w:cs="Segoe UI Light"/>
        </w:rPr>
        <w:t>Chapter, is related to the need for greater certainty on the requirements regarding the discharge of waste from vessels</w:t>
      </w:r>
      <w:r w:rsidR="00DC7A63">
        <w:rPr>
          <w:rFonts w:cs="Segoe UI Light"/>
        </w:rPr>
        <w:t xml:space="preserve">. </w:t>
      </w:r>
    </w:p>
    <w:p w14:paraId="656B0CAD" w14:textId="77777777" w:rsidR="00DC1C5C" w:rsidRPr="00791DC5" w:rsidRDefault="00DC1C5C" w:rsidP="00DC1C5C">
      <w:pPr>
        <w:mirrorIndents/>
      </w:pPr>
      <w:r w:rsidRPr="000D0764">
        <w:rPr>
          <w:rFonts w:cs="Segoe UI Light"/>
          <w:szCs w:val="20"/>
        </w:rPr>
        <w:t xml:space="preserve">Currently, waste discharges from vessels are prohibited under SEPP (Waters), which requires wastes to be contained on board and transferred to an appropriate treatment or disposal facility. Though it is not an offence to fail to comply with this requirement, EPA is currently able to issue a remedial notice under the EP Act 1970 requiring compliance (e.g. to conduct a </w:t>
      </w:r>
      <w:r w:rsidR="004E4CD2" w:rsidRPr="000D0764">
        <w:rPr>
          <w:rFonts w:cs="Segoe UI Light"/>
          <w:szCs w:val="20"/>
        </w:rPr>
        <w:t>clean-up</w:t>
      </w:r>
      <w:r w:rsidRPr="000D0764">
        <w:rPr>
          <w:rFonts w:cs="Segoe UI Light"/>
          <w:szCs w:val="20"/>
        </w:rPr>
        <w:t xml:space="preserve">, stop works, install controls, or change a process or activity). </w:t>
      </w:r>
    </w:p>
    <w:p w14:paraId="656B0CAE" w14:textId="77777777" w:rsidR="00DC1C5C" w:rsidRPr="000D0764" w:rsidRDefault="00DC1C5C" w:rsidP="00DC1C5C">
      <w:pPr>
        <w:rPr>
          <w:rFonts w:cs="Segoe UI Light"/>
        </w:rPr>
      </w:pPr>
      <w:r w:rsidRPr="000D0764">
        <w:t xml:space="preserve">The GED will also require vessel operators to eliminate risks of harm to human health and the environment so far as reasonably practicable and if elimination is not reasonably practicable, reduce those risks so far as reasonably practicable. In line with this, they must identify and implement reasonably practicable means to minimise the risks associated with the management of wastes. </w:t>
      </w:r>
      <w:r w:rsidRPr="000D0764">
        <w:rPr>
          <w:rFonts w:cs="Segoe UI Light"/>
        </w:rPr>
        <w:t xml:space="preserve">Waste discharge into the water environment is dispersed, the consequences are not visible, and the impact is cumulative i.e. a single discharge from one vessel at a particular location is unlikely to result in discernible impact on water quality. Waste discharge from vessels is also difficult to identify back to the source, and vessel operators do not bear the costs of their pollution. </w:t>
      </w:r>
    </w:p>
    <w:p w14:paraId="656B0CAF" w14:textId="77777777" w:rsidR="00DC1C5C" w:rsidRPr="000D0764" w:rsidRDefault="00DC1C5C" w:rsidP="00DC1C5C">
      <w:pPr>
        <w:rPr>
          <w:rFonts w:cs="Segoe UI Light"/>
          <w:szCs w:val="20"/>
        </w:rPr>
      </w:pPr>
      <w:r w:rsidRPr="000D0764">
        <w:rPr>
          <w:rFonts w:cs="Segoe UI Light"/>
          <w:szCs w:val="20"/>
        </w:rPr>
        <w:t>The new EP legislation also does not explicitly reference discharge of waste from vessels, however, the following clauses apply broadly to litter and other waste, and industrial waste:</w:t>
      </w:r>
    </w:p>
    <w:p w14:paraId="656B0CB0" w14:textId="77777777" w:rsidR="00DC1C5C" w:rsidRPr="00791DC5" w:rsidRDefault="00DC1C5C" w:rsidP="00DC1C5C">
      <w:pPr>
        <w:pStyle w:val="ListParagraph"/>
        <w:numPr>
          <w:ilvl w:val="0"/>
          <w:numId w:val="87"/>
        </w:numPr>
        <w:spacing w:after="170"/>
      </w:pPr>
      <w:r w:rsidRPr="000D0764">
        <w:t>Part 6.3, which establishes offences in relation to littering and other waste.</w:t>
      </w:r>
    </w:p>
    <w:p w14:paraId="656B0CB1" w14:textId="77777777" w:rsidR="00DC1C5C" w:rsidRPr="000D0764" w:rsidRDefault="00DC1C5C" w:rsidP="00DC1C5C">
      <w:pPr>
        <w:pStyle w:val="ListParagraph"/>
        <w:numPr>
          <w:ilvl w:val="0"/>
          <w:numId w:val="87"/>
        </w:numPr>
        <w:spacing w:after="170"/>
      </w:pPr>
      <w:r w:rsidRPr="000D0764">
        <w:t>Part 6.4, which establishes duties relating to industrial waste.</w:t>
      </w:r>
    </w:p>
    <w:p w14:paraId="656B0CB2" w14:textId="77777777" w:rsidR="00DC1C5C" w:rsidRPr="000D0764" w:rsidRDefault="00DC1C5C" w:rsidP="00DC1C5C">
      <w:pPr>
        <w:mirrorIndents/>
      </w:pPr>
      <w:r w:rsidRPr="000D0764">
        <w:rPr>
          <w:rFonts w:cs="Segoe UI Light"/>
        </w:rPr>
        <w:t>Waste is broadly defined in the new EP legislation</w:t>
      </w:r>
      <w:r w:rsidRPr="000D0764" w:rsidDel="004B57F4">
        <w:rPr>
          <w:rFonts w:cs="Segoe UI Light"/>
        </w:rPr>
        <w:t xml:space="preserve"> </w:t>
      </w:r>
      <w:r w:rsidRPr="000D0764">
        <w:rPr>
          <w:rFonts w:cs="Segoe UI Light"/>
        </w:rPr>
        <w:t xml:space="preserve">and the discharge of waste </w:t>
      </w:r>
      <w:r w:rsidR="008C101A">
        <w:rPr>
          <w:rFonts w:cs="Segoe UI Light"/>
        </w:rPr>
        <w:t>to an inappropriate premises or place are offences under the new legislation</w:t>
      </w:r>
      <w:r w:rsidRPr="000D0764">
        <w:rPr>
          <w:rFonts w:cs="Segoe UI Light"/>
        </w:rPr>
        <w:t xml:space="preserve">. </w:t>
      </w:r>
      <w:r w:rsidR="008C101A">
        <w:rPr>
          <w:rFonts w:cs="Segoe UI Light"/>
        </w:rPr>
        <w:t xml:space="preserve">The requirements for the management of waste for vessel operators need to be clarified in regulations, including the conditions around exemptions. Otherwise, vessel operators may lack </w:t>
      </w:r>
      <w:r w:rsidR="00447ECB">
        <w:rPr>
          <w:rFonts w:cs="Segoe UI Light"/>
        </w:rPr>
        <w:t xml:space="preserve">knowledge of </w:t>
      </w:r>
      <w:r w:rsidR="008C101A">
        <w:rPr>
          <w:rFonts w:cs="Segoe UI Light"/>
        </w:rPr>
        <w:t xml:space="preserve">the requirements around some specific activities. </w:t>
      </w:r>
      <w:r w:rsidRPr="000D0764">
        <w:rPr>
          <w:rFonts w:cs="Segoe UI Light"/>
        </w:rPr>
        <w:t>Combined with the factors identified above (lack of understanding of polluting activity and lack of incentive to implement controls), this lack of clarity may lead to vessel operators being unaware or not understanding their duties and obligations under the new EP legislation. This might lead to an increase in waste discharge from vessels into the water environment</w:t>
      </w:r>
      <w:r w:rsidR="00B930BC" w:rsidRPr="00B930BC">
        <w:rPr>
          <w:rFonts w:cs="Segoe UI Light"/>
        </w:rPr>
        <w:t>, so greater certainty is required by duty holders to ensure consistent compliance.</w:t>
      </w:r>
      <w:r w:rsidRPr="00791DC5">
        <w:rPr>
          <w:rFonts w:cs="Segoe UI Light"/>
        </w:rPr>
        <w:t xml:space="preserve"> </w:t>
      </w:r>
    </w:p>
    <w:p w14:paraId="656B0CB3" w14:textId="77777777" w:rsidR="00D23DA1" w:rsidRPr="000D0764" w:rsidRDefault="00D23DA1" w:rsidP="000675FF">
      <w:pPr>
        <w:pStyle w:val="Heading3"/>
        <w:ind w:left="720"/>
      </w:pPr>
      <w:r w:rsidRPr="000D0764">
        <w:t>Size of problem</w:t>
      </w:r>
    </w:p>
    <w:p w14:paraId="656B0CB4" w14:textId="77777777" w:rsidR="00DC1C5C" w:rsidRPr="000D0764" w:rsidRDefault="00DC1C5C" w:rsidP="00DC1C5C">
      <w:r w:rsidRPr="000D0764">
        <w:t xml:space="preserve">This section provides a discussion of the size of broad water pollution problem that the proposed Regulations (including permissions, contaminated land and waste regulations) are designed to address i.e. all residual risks after the new EP legislation takes effect. It does not specifically address discharge of waste from vessels because of the difficulty in isolating the effects of </w:t>
      </w:r>
      <w:r w:rsidR="00496924">
        <w:t>t</w:t>
      </w:r>
      <w:r w:rsidRPr="000D0764">
        <w:t>his specific pollution.</w:t>
      </w:r>
      <w:r w:rsidR="00C50122">
        <w:t xml:space="preserve"> However, it is important to note that the discharge of waste from vessels represents only a very small part of the broader water pollution problem in Victoria.</w:t>
      </w:r>
    </w:p>
    <w:p w14:paraId="656B0CB5" w14:textId="77777777" w:rsidR="00DC1C5C" w:rsidRPr="000D0764" w:rsidRDefault="00DC1C5C" w:rsidP="00DC1C5C">
      <w:pPr>
        <w:mirrorIndents/>
        <w:rPr>
          <w:rFonts w:cs="Segoe UI Light"/>
          <w:szCs w:val="20"/>
        </w:rPr>
      </w:pPr>
      <w:r w:rsidRPr="000D0764">
        <w:t>It</w:t>
      </w:r>
      <w:r w:rsidRPr="000D0764">
        <w:rPr>
          <w:rFonts w:cs="Segoe UI Light"/>
          <w:szCs w:val="20"/>
        </w:rPr>
        <w:t xml:space="preserve"> is difficult to get a clear picture on water quality in Victoria. As noted in the State of the Environment (SoE) 2018 report:</w:t>
      </w:r>
    </w:p>
    <w:p w14:paraId="656B0CB6" w14:textId="77777777" w:rsidR="00DC1C5C" w:rsidRPr="000D0764" w:rsidRDefault="00DC1C5C">
      <w:pPr>
        <w:pStyle w:val="3IndentedQuote"/>
        <w:spacing w:after="0"/>
        <w:rPr>
          <w:rFonts w:cs="Segoe UI Light"/>
          <w:szCs w:val="20"/>
        </w:rPr>
      </w:pPr>
      <w:r w:rsidRPr="000D0764">
        <w:rPr>
          <w:rFonts w:cs="Segoe UI Light"/>
          <w:szCs w:val="20"/>
        </w:rPr>
        <w:t xml:space="preserve">No clear statewide picture emerges from the indicators. Water quality varies between different parts of </w:t>
      </w:r>
    </w:p>
    <w:p w14:paraId="656B0CB7" w14:textId="77777777" w:rsidR="00DC1C5C" w:rsidRPr="000D0764" w:rsidRDefault="00DC1C5C">
      <w:pPr>
        <w:spacing w:after="0"/>
        <w:ind w:firstLine="720"/>
        <w:mirrorIndents/>
        <w:rPr>
          <w:rFonts w:cs="Segoe UI Light"/>
          <w:i/>
          <w:szCs w:val="20"/>
        </w:rPr>
      </w:pPr>
      <w:r w:rsidRPr="000D0764">
        <w:rPr>
          <w:rFonts w:cs="Segoe UI Light"/>
          <w:i/>
          <w:szCs w:val="20"/>
        </w:rPr>
        <w:t>the state, and the indicators are spread fairly evenly between good, fair and poor. However, no</w:t>
      </w:r>
    </w:p>
    <w:p w14:paraId="656B0CB8" w14:textId="77777777" w:rsidR="00DC1C5C" w:rsidRPr="00791DC5" w:rsidRDefault="00DC1C5C">
      <w:pPr>
        <w:ind w:firstLine="720"/>
        <w:mirrorIndents/>
        <w:rPr>
          <w:rFonts w:cs="Segoe UI Light"/>
          <w:szCs w:val="20"/>
        </w:rPr>
      </w:pPr>
      <w:r w:rsidRPr="000D0764">
        <w:rPr>
          <w:rFonts w:cs="Segoe UI Light"/>
          <w:i/>
          <w:szCs w:val="20"/>
        </w:rPr>
        <w:t>indicators are showing an upward trend, suggesting that water quality is not improving.</w:t>
      </w:r>
      <w:r w:rsidRPr="00791DC5">
        <w:rPr>
          <w:rStyle w:val="FootnoteReference"/>
          <w:rFonts w:cs="Segoe UI Light"/>
          <w:i/>
          <w:szCs w:val="20"/>
        </w:rPr>
        <w:footnoteReference w:id="246"/>
      </w:r>
    </w:p>
    <w:p w14:paraId="656B0CB9" w14:textId="77777777" w:rsidR="00DC1C5C" w:rsidRDefault="00DC1C5C" w:rsidP="00DC1C5C">
      <w:pPr>
        <w:mirrorIndents/>
        <w:rPr>
          <w:rFonts w:cs="Segoe UI Light"/>
        </w:rPr>
      </w:pPr>
      <w:r w:rsidRPr="000D0764">
        <w:rPr>
          <w:rFonts w:cs="Segoe UI Light"/>
        </w:rPr>
        <w:t>The following table shows indicators for inland water quality in Victoria as reported in the SoE 2018.</w:t>
      </w:r>
    </w:p>
    <w:p w14:paraId="656B0CBA" w14:textId="77777777" w:rsidR="00DC1C5C" w:rsidRPr="000D0764" w:rsidRDefault="00DC1C5C" w:rsidP="00DC1C5C">
      <w:pPr>
        <w:pStyle w:val="Caption"/>
      </w:pPr>
      <w:r w:rsidRPr="000D0764">
        <w:t xml:space="preserve">Table </w:t>
      </w:r>
      <w:r w:rsidRPr="000D0764">
        <w:rPr>
          <w:color w:val="2B579A"/>
          <w:shd w:val="clear" w:color="auto" w:fill="E6E6E6"/>
        </w:rPr>
        <w:fldChar w:fldCharType="begin"/>
      </w:r>
      <w:r w:rsidRPr="000D0764">
        <w:instrText xml:space="preserve"> STYLEREF 1 \s </w:instrText>
      </w:r>
      <w:r w:rsidRPr="000D0764">
        <w:rPr>
          <w:color w:val="2B579A"/>
          <w:shd w:val="clear" w:color="auto" w:fill="E6E6E6"/>
        </w:rPr>
        <w:fldChar w:fldCharType="separate"/>
      </w:r>
      <w:r w:rsidR="00B11C1E">
        <w:rPr>
          <w:noProof/>
        </w:rPr>
        <w:t>13</w:t>
      </w:r>
      <w:r w:rsidRPr="000D0764">
        <w:rPr>
          <w:color w:val="2B579A"/>
          <w:shd w:val="clear" w:color="auto" w:fill="E6E6E6"/>
        </w:rPr>
        <w:fldChar w:fldCharType="end"/>
      </w:r>
      <w:r w:rsidRPr="00791DC5">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2</w:t>
      </w:r>
      <w:r w:rsidR="00997CFA">
        <w:rPr>
          <w:color w:val="2B579A"/>
          <w:shd w:val="clear" w:color="auto" w:fill="E6E6E6"/>
        </w:rPr>
        <w:fldChar w:fldCharType="end"/>
      </w:r>
      <w:r w:rsidRPr="00791DC5">
        <w:t xml:space="preserve"> Inland water quality indicators, SoE 2018</w:t>
      </w:r>
    </w:p>
    <w:tbl>
      <w:tblPr>
        <w:tblStyle w:val="Deloittetable"/>
        <w:tblW w:w="5000" w:type="pct"/>
        <w:tblLook w:val="04A0" w:firstRow="1" w:lastRow="0" w:firstColumn="1" w:lastColumn="0" w:noHBand="0" w:noVBand="1"/>
      </w:tblPr>
      <w:tblGrid>
        <w:gridCol w:w="6026"/>
        <w:gridCol w:w="909"/>
        <w:gridCol w:w="1269"/>
        <w:gridCol w:w="1151"/>
      </w:tblGrid>
      <w:tr w:rsidR="00DC1C5C" w:rsidRPr="000D0764" w14:paraId="656B0CBF" w14:textId="77777777" w:rsidTr="00DC1C5C">
        <w:trPr>
          <w:cnfStyle w:val="100000000000" w:firstRow="1" w:lastRow="0" w:firstColumn="0" w:lastColumn="0" w:oddVBand="0" w:evenVBand="0" w:oddHBand="0" w:evenHBand="0" w:firstRowFirstColumn="0" w:firstRowLastColumn="0" w:lastRowFirstColumn="0" w:lastRowLastColumn="0"/>
        </w:trPr>
        <w:tc>
          <w:tcPr>
            <w:tcW w:w="3221" w:type="pct"/>
            <w:tcBorders>
              <w:left w:val="nil"/>
              <w:bottom w:val="single" w:sz="4" w:space="0" w:color="000000" w:themeColor="text1"/>
              <w:right w:val="nil"/>
            </w:tcBorders>
            <w:hideMark/>
          </w:tcPr>
          <w:p w14:paraId="656B0CBB" w14:textId="77777777" w:rsidR="00DC1C5C" w:rsidRPr="000D0764" w:rsidRDefault="00DC1C5C" w:rsidP="00DC1C5C">
            <w:pPr>
              <w:spacing w:after="0"/>
              <w:rPr>
                <w:rFonts w:cs="Segoe UI Light"/>
                <w:b/>
                <w:bCs/>
                <w:sz w:val="18"/>
              </w:rPr>
            </w:pPr>
            <w:r w:rsidRPr="000D0764">
              <w:rPr>
                <w:rFonts w:cs="Segoe UI Light"/>
                <w:b/>
                <w:bCs/>
                <w:sz w:val="18"/>
              </w:rPr>
              <w:t xml:space="preserve">Indicator </w:t>
            </w:r>
          </w:p>
        </w:tc>
        <w:tc>
          <w:tcPr>
            <w:tcW w:w="486" w:type="pct"/>
            <w:tcBorders>
              <w:left w:val="nil"/>
              <w:bottom w:val="single" w:sz="4" w:space="0" w:color="000000" w:themeColor="text1"/>
              <w:right w:val="nil"/>
            </w:tcBorders>
            <w:hideMark/>
          </w:tcPr>
          <w:p w14:paraId="656B0CBC" w14:textId="77777777" w:rsidR="00DC1C5C" w:rsidRPr="000D0764" w:rsidRDefault="00DC1C5C" w:rsidP="00DC1C5C">
            <w:pPr>
              <w:spacing w:after="0"/>
              <w:rPr>
                <w:rFonts w:cs="Segoe UI Light"/>
                <w:b/>
                <w:bCs/>
                <w:sz w:val="18"/>
              </w:rPr>
            </w:pPr>
            <w:r w:rsidRPr="000D0764">
              <w:rPr>
                <w:rFonts w:cs="Segoe UI Light"/>
                <w:b/>
                <w:bCs/>
                <w:sz w:val="18"/>
              </w:rPr>
              <w:t xml:space="preserve">Status </w:t>
            </w:r>
          </w:p>
        </w:tc>
        <w:tc>
          <w:tcPr>
            <w:tcW w:w="678" w:type="pct"/>
            <w:tcBorders>
              <w:left w:val="nil"/>
              <w:bottom w:val="single" w:sz="4" w:space="0" w:color="000000" w:themeColor="text1"/>
              <w:right w:val="nil"/>
            </w:tcBorders>
            <w:hideMark/>
          </w:tcPr>
          <w:p w14:paraId="656B0CBD" w14:textId="77777777" w:rsidR="00DC1C5C" w:rsidRPr="000D0764" w:rsidRDefault="00DC1C5C" w:rsidP="00DC1C5C">
            <w:pPr>
              <w:spacing w:after="0"/>
              <w:rPr>
                <w:rFonts w:cs="Segoe UI Light"/>
                <w:b/>
                <w:bCs/>
                <w:sz w:val="18"/>
              </w:rPr>
            </w:pPr>
            <w:r w:rsidRPr="000D0764">
              <w:rPr>
                <w:rFonts w:cs="Segoe UI Light"/>
                <w:b/>
                <w:bCs/>
                <w:sz w:val="18"/>
              </w:rPr>
              <w:t xml:space="preserve">Trend </w:t>
            </w:r>
          </w:p>
        </w:tc>
        <w:tc>
          <w:tcPr>
            <w:tcW w:w="615" w:type="pct"/>
            <w:tcBorders>
              <w:left w:val="nil"/>
              <w:bottom w:val="single" w:sz="4" w:space="0" w:color="000000" w:themeColor="text1"/>
              <w:right w:val="nil"/>
            </w:tcBorders>
            <w:hideMark/>
          </w:tcPr>
          <w:p w14:paraId="656B0CBE" w14:textId="77777777" w:rsidR="00DC1C5C" w:rsidRPr="000D0764" w:rsidRDefault="00DC1C5C" w:rsidP="00DC1C5C">
            <w:pPr>
              <w:spacing w:after="0"/>
              <w:rPr>
                <w:rFonts w:cs="Segoe UI Light"/>
                <w:b/>
                <w:bCs/>
                <w:sz w:val="18"/>
              </w:rPr>
            </w:pPr>
            <w:r w:rsidRPr="000D0764">
              <w:rPr>
                <w:rFonts w:cs="Segoe UI Light"/>
                <w:b/>
                <w:bCs/>
                <w:sz w:val="18"/>
              </w:rPr>
              <w:t xml:space="preserve">Data quality </w:t>
            </w:r>
          </w:p>
        </w:tc>
      </w:tr>
      <w:tr w:rsidR="00DC1C5C" w:rsidRPr="000D0764" w14:paraId="656B0CC4" w14:textId="77777777" w:rsidTr="00DC1C5C">
        <w:tc>
          <w:tcPr>
            <w:tcW w:w="3221" w:type="pct"/>
            <w:tcBorders>
              <w:top w:val="single" w:sz="4" w:space="0" w:color="000000" w:themeColor="text1"/>
              <w:left w:val="nil"/>
              <w:bottom w:val="single" w:sz="4" w:space="0" w:color="000000" w:themeColor="text1"/>
              <w:right w:val="nil"/>
            </w:tcBorders>
            <w:hideMark/>
          </w:tcPr>
          <w:p w14:paraId="656B0CC0" w14:textId="77777777" w:rsidR="00DC1C5C" w:rsidRPr="00DC1C5C" w:rsidRDefault="009144CD" w:rsidP="00DC1C5C">
            <w:pPr>
              <w:spacing w:after="0"/>
              <w:rPr>
                <w:rFonts w:cs="Segoe UI Light"/>
                <w:sz w:val="18"/>
              </w:rPr>
            </w:pPr>
            <w:hyperlink r:id="rId54" w:history="1">
              <w:r w:rsidR="00DC1C5C" w:rsidRPr="000E7C5E">
                <w:rPr>
                  <w:rFonts w:cs="Segoe UI Light"/>
                </w:rPr>
                <w:t>Dissolved oxygen concentration in rivers</w:t>
              </w:r>
            </w:hyperlink>
            <w:r w:rsidR="00DC1C5C" w:rsidRPr="00DC1C5C">
              <w:rPr>
                <w:rFonts w:cs="Segoe UI Light"/>
                <w:sz w:val="18"/>
              </w:rPr>
              <w:t xml:space="preserve"> </w:t>
            </w:r>
          </w:p>
        </w:tc>
        <w:tc>
          <w:tcPr>
            <w:tcW w:w="486" w:type="pct"/>
            <w:tcBorders>
              <w:top w:val="single" w:sz="4" w:space="0" w:color="000000" w:themeColor="text1"/>
              <w:left w:val="nil"/>
              <w:bottom w:val="single" w:sz="4" w:space="0" w:color="000000" w:themeColor="text1"/>
              <w:right w:val="nil"/>
            </w:tcBorders>
            <w:hideMark/>
          </w:tcPr>
          <w:p w14:paraId="656B0CC1" w14:textId="77777777" w:rsidR="00DC1C5C" w:rsidRPr="000D0764" w:rsidRDefault="00DC1C5C" w:rsidP="00DC1C5C">
            <w:pPr>
              <w:spacing w:after="0"/>
              <w:rPr>
                <w:rFonts w:cs="Segoe UI Light"/>
                <w:sz w:val="18"/>
              </w:rPr>
            </w:pPr>
            <w:r w:rsidRPr="000D0764">
              <w:rPr>
                <w:rFonts w:cs="Segoe UI Light"/>
                <w:sz w:val="18"/>
              </w:rPr>
              <w:t xml:space="preserve">Good </w:t>
            </w:r>
          </w:p>
        </w:tc>
        <w:tc>
          <w:tcPr>
            <w:tcW w:w="678" w:type="pct"/>
            <w:tcBorders>
              <w:top w:val="single" w:sz="4" w:space="0" w:color="000000" w:themeColor="text1"/>
              <w:left w:val="nil"/>
              <w:bottom w:val="single" w:sz="4" w:space="0" w:color="000000" w:themeColor="text1"/>
              <w:right w:val="nil"/>
            </w:tcBorders>
            <w:hideMark/>
          </w:tcPr>
          <w:p w14:paraId="656B0CC2" w14:textId="77777777" w:rsidR="00DC1C5C" w:rsidRPr="000D0764" w:rsidRDefault="00DC1C5C" w:rsidP="00DC1C5C">
            <w:pPr>
              <w:spacing w:after="0"/>
              <w:rPr>
                <w:rFonts w:cs="Segoe UI Light"/>
                <w:sz w:val="18"/>
              </w:rPr>
            </w:pPr>
            <w:r w:rsidRPr="000D0764">
              <w:rPr>
                <w:rFonts w:cs="Segoe UI Light"/>
                <w:sz w:val="18"/>
              </w:rPr>
              <w:t xml:space="preserve">Stable </w:t>
            </w:r>
          </w:p>
        </w:tc>
        <w:tc>
          <w:tcPr>
            <w:tcW w:w="615" w:type="pct"/>
            <w:tcBorders>
              <w:top w:val="single" w:sz="4" w:space="0" w:color="000000" w:themeColor="text1"/>
              <w:left w:val="nil"/>
              <w:bottom w:val="single" w:sz="4" w:space="0" w:color="000000" w:themeColor="text1"/>
              <w:right w:val="nil"/>
            </w:tcBorders>
            <w:hideMark/>
          </w:tcPr>
          <w:p w14:paraId="656B0CC3" w14:textId="77777777" w:rsidR="00DC1C5C" w:rsidRPr="000D0764" w:rsidRDefault="00DC1C5C" w:rsidP="00DC1C5C">
            <w:pPr>
              <w:spacing w:after="0"/>
              <w:rPr>
                <w:rFonts w:cs="Segoe UI Light"/>
                <w:sz w:val="18"/>
              </w:rPr>
            </w:pPr>
            <w:r w:rsidRPr="000D0764">
              <w:rPr>
                <w:rFonts w:cs="Segoe UI Light"/>
                <w:sz w:val="18"/>
              </w:rPr>
              <w:t xml:space="preserve">Good </w:t>
            </w:r>
          </w:p>
        </w:tc>
      </w:tr>
      <w:tr w:rsidR="00DC1C5C" w:rsidRPr="000D0764" w14:paraId="656B0CC9" w14:textId="77777777" w:rsidTr="00DC1C5C">
        <w:tc>
          <w:tcPr>
            <w:tcW w:w="3221" w:type="pct"/>
            <w:tcBorders>
              <w:top w:val="single" w:sz="4" w:space="0" w:color="000000" w:themeColor="text1"/>
              <w:left w:val="nil"/>
              <w:bottom w:val="single" w:sz="4" w:space="0" w:color="000000" w:themeColor="text1"/>
              <w:right w:val="nil"/>
            </w:tcBorders>
            <w:hideMark/>
          </w:tcPr>
          <w:p w14:paraId="656B0CC5" w14:textId="77777777" w:rsidR="00DC1C5C" w:rsidRPr="00DC1C5C" w:rsidRDefault="009144CD" w:rsidP="00DC1C5C">
            <w:pPr>
              <w:spacing w:after="0"/>
              <w:rPr>
                <w:rFonts w:cs="Segoe UI Light"/>
                <w:sz w:val="18"/>
              </w:rPr>
            </w:pPr>
            <w:hyperlink r:id="rId55" w:history="1">
              <w:r w:rsidR="00DC1C5C" w:rsidRPr="000E7C5E">
                <w:rPr>
                  <w:rFonts w:cs="Segoe UI Light"/>
                </w:rPr>
                <w:t>Occurrence of algal blooms</w:t>
              </w:r>
            </w:hyperlink>
            <w:r w:rsidR="00DC1C5C" w:rsidRPr="00DC1C5C">
              <w:rPr>
                <w:rFonts w:cs="Segoe UI Light"/>
                <w:sz w:val="18"/>
              </w:rPr>
              <w:t xml:space="preserve"> </w:t>
            </w:r>
          </w:p>
        </w:tc>
        <w:tc>
          <w:tcPr>
            <w:tcW w:w="486" w:type="pct"/>
            <w:tcBorders>
              <w:top w:val="single" w:sz="4" w:space="0" w:color="000000" w:themeColor="text1"/>
              <w:left w:val="nil"/>
              <w:bottom w:val="single" w:sz="4" w:space="0" w:color="000000" w:themeColor="text1"/>
              <w:right w:val="nil"/>
            </w:tcBorders>
            <w:hideMark/>
          </w:tcPr>
          <w:p w14:paraId="656B0CC6" w14:textId="77777777" w:rsidR="00DC1C5C" w:rsidRPr="000D0764" w:rsidRDefault="00DC1C5C" w:rsidP="00DC1C5C">
            <w:pPr>
              <w:spacing w:after="0"/>
              <w:rPr>
                <w:rFonts w:cs="Segoe UI Light"/>
                <w:sz w:val="18"/>
              </w:rPr>
            </w:pPr>
            <w:r w:rsidRPr="000D0764">
              <w:rPr>
                <w:rFonts w:cs="Segoe UI Light"/>
                <w:sz w:val="18"/>
              </w:rPr>
              <w:t xml:space="preserve">Fair </w:t>
            </w:r>
          </w:p>
        </w:tc>
        <w:tc>
          <w:tcPr>
            <w:tcW w:w="678" w:type="pct"/>
            <w:tcBorders>
              <w:top w:val="single" w:sz="4" w:space="0" w:color="000000" w:themeColor="text1"/>
              <w:left w:val="nil"/>
              <w:bottom w:val="single" w:sz="4" w:space="0" w:color="000000" w:themeColor="text1"/>
              <w:right w:val="nil"/>
            </w:tcBorders>
            <w:hideMark/>
          </w:tcPr>
          <w:p w14:paraId="656B0CC7" w14:textId="77777777" w:rsidR="00DC1C5C" w:rsidRPr="000D0764" w:rsidRDefault="00DC1C5C" w:rsidP="00DC1C5C">
            <w:pPr>
              <w:spacing w:after="0"/>
              <w:rPr>
                <w:rFonts w:cs="Segoe UI Light"/>
                <w:sz w:val="18"/>
              </w:rPr>
            </w:pPr>
            <w:r w:rsidRPr="000D0764">
              <w:rPr>
                <w:rFonts w:cs="Segoe UI Light"/>
                <w:sz w:val="18"/>
              </w:rPr>
              <w:t xml:space="preserve">Unclear </w:t>
            </w:r>
          </w:p>
        </w:tc>
        <w:tc>
          <w:tcPr>
            <w:tcW w:w="615" w:type="pct"/>
            <w:tcBorders>
              <w:top w:val="single" w:sz="4" w:space="0" w:color="000000" w:themeColor="text1"/>
              <w:left w:val="nil"/>
              <w:bottom w:val="single" w:sz="4" w:space="0" w:color="000000" w:themeColor="text1"/>
              <w:right w:val="nil"/>
            </w:tcBorders>
            <w:hideMark/>
          </w:tcPr>
          <w:p w14:paraId="656B0CC8" w14:textId="77777777" w:rsidR="00DC1C5C" w:rsidRPr="000D0764" w:rsidRDefault="00DC1C5C" w:rsidP="00DC1C5C">
            <w:pPr>
              <w:spacing w:after="0"/>
              <w:rPr>
                <w:rFonts w:cs="Segoe UI Light"/>
                <w:sz w:val="18"/>
              </w:rPr>
            </w:pPr>
            <w:r w:rsidRPr="000D0764">
              <w:rPr>
                <w:rFonts w:cs="Segoe UI Light"/>
                <w:sz w:val="18"/>
              </w:rPr>
              <w:t xml:space="preserve">Fair </w:t>
            </w:r>
          </w:p>
        </w:tc>
      </w:tr>
      <w:tr w:rsidR="00DC1C5C" w:rsidRPr="000D0764" w14:paraId="656B0CCE" w14:textId="77777777" w:rsidTr="00DC1C5C">
        <w:tc>
          <w:tcPr>
            <w:tcW w:w="3221" w:type="pct"/>
            <w:tcBorders>
              <w:top w:val="single" w:sz="4" w:space="0" w:color="000000" w:themeColor="text1"/>
              <w:left w:val="nil"/>
              <w:bottom w:val="single" w:sz="4" w:space="0" w:color="000000" w:themeColor="text1"/>
              <w:right w:val="nil"/>
            </w:tcBorders>
            <w:hideMark/>
          </w:tcPr>
          <w:p w14:paraId="656B0CCA" w14:textId="77777777" w:rsidR="00DC1C5C" w:rsidRPr="00DC1C5C" w:rsidRDefault="009144CD" w:rsidP="00DC1C5C">
            <w:pPr>
              <w:spacing w:after="0"/>
              <w:rPr>
                <w:rFonts w:cs="Segoe UI Light"/>
                <w:sz w:val="18"/>
              </w:rPr>
            </w:pPr>
            <w:hyperlink r:id="rId56" w:history="1">
              <w:r w:rsidR="00DC1C5C" w:rsidRPr="000E7C5E">
                <w:rPr>
                  <w:rFonts w:cs="Segoe UI Light"/>
                </w:rPr>
                <w:t>pH</w:t>
              </w:r>
            </w:hyperlink>
            <w:r w:rsidR="00DC1C5C" w:rsidRPr="00DC1C5C">
              <w:rPr>
                <w:rFonts w:cs="Segoe UI Light"/>
                <w:sz w:val="18"/>
              </w:rPr>
              <w:t xml:space="preserve"> </w:t>
            </w:r>
          </w:p>
        </w:tc>
        <w:tc>
          <w:tcPr>
            <w:tcW w:w="486" w:type="pct"/>
            <w:tcBorders>
              <w:top w:val="single" w:sz="4" w:space="0" w:color="000000" w:themeColor="text1"/>
              <w:left w:val="nil"/>
              <w:bottom w:val="single" w:sz="4" w:space="0" w:color="000000" w:themeColor="text1"/>
              <w:right w:val="nil"/>
            </w:tcBorders>
            <w:hideMark/>
          </w:tcPr>
          <w:p w14:paraId="656B0CCB" w14:textId="77777777" w:rsidR="00DC1C5C" w:rsidRPr="000D0764" w:rsidRDefault="00DC1C5C" w:rsidP="00DC1C5C">
            <w:pPr>
              <w:spacing w:after="0"/>
              <w:rPr>
                <w:rFonts w:cs="Segoe UI Light"/>
                <w:sz w:val="18"/>
              </w:rPr>
            </w:pPr>
            <w:r w:rsidRPr="000D0764">
              <w:rPr>
                <w:rFonts w:cs="Segoe UI Light"/>
                <w:sz w:val="18"/>
              </w:rPr>
              <w:t xml:space="preserve">Good </w:t>
            </w:r>
          </w:p>
        </w:tc>
        <w:tc>
          <w:tcPr>
            <w:tcW w:w="678" w:type="pct"/>
            <w:tcBorders>
              <w:top w:val="single" w:sz="4" w:space="0" w:color="000000" w:themeColor="text1"/>
              <w:left w:val="nil"/>
              <w:bottom w:val="single" w:sz="4" w:space="0" w:color="000000" w:themeColor="text1"/>
              <w:right w:val="nil"/>
            </w:tcBorders>
            <w:hideMark/>
          </w:tcPr>
          <w:p w14:paraId="656B0CCC" w14:textId="77777777" w:rsidR="00DC1C5C" w:rsidRPr="000D0764" w:rsidRDefault="00DC1C5C" w:rsidP="00DC1C5C">
            <w:pPr>
              <w:spacing w:after="0"/>
              <w:rPr>
                <w:rFonts w:cs="Segoe UI Light"/>
                <w:sz w:val="18"/>
              </w:rPr>
            </w:pPr>
            <w:r w:rsidRPr="000D0764">
              <w:rPr>
                <w:rFonts w:cs="Segoe UI Light"/>
                <w:sz w:val="18"/>
              </w:rPr>
              <w:t xml:space="preserve">Stable </w:t>
            </w:r>
          </w:p>
        </w:tc>
        <w:tc>
          <w:tcPr>
            <w:tcW w:w="615" w:type="pct"/>
            <w:tcBorders>
              <w:top w:val="single" w:sz="4" w:space="0" w:color="000000" w:themeColor="text1"/>
              <w:left w:val="nil"/>
              <w:bottom w:val="single" w:sz="4" w:space="0" w:color="000000" w:themeColor="text1"/>
              <w:right w:val="nil"/>
            </w:tcBorders>
            <w:hideMark/>
          </w:tcPr>
          <w:p w14:paraId="656B0CCD" w14:textId="77777777" w:rsidR="00DC1C5C" w:rsidRPr="000D0764" w:rsidRDefault="00DC1C5C" w:rsidP="00DC1C5C">
            <w:pPr>
              <w:spacing w:after="0"/>
              <w:rPr>
                <w:rFonts w:cs="Segoe UI Light"/>
                <w:sz w:val="18"/>
              </w:rPr>
            </w:pPr>
            <w:r w:rsidRPr="000D0764">
              <w:rPr>
                <w:rFonts w:cs="Segoe UI Light"/>
                <w:sz w:val="18"/>
              </w:rPr>
              <w:t xml:space="preserve">Good </w:t>
            </w:r>
          </w:p>
        </w:tc>
      </w:tr>
      <w:tr w:rsidR="00DC1C5C" w:rsidRPr="000D0764" w14:paraId="656B0CD3" w14:textId="77777777" w:rsidTr="00DC1C5C">
        <w:tc>
          <w:tcPr>
            <w:tcW w:w="3221" w:type="pct"/>
            <w:tcBorders>
              <w:top w:val="single" w:sz="4" w:space="0" w:color="000000" w:themeColor="text1"/>
              <w:left w:val="nil"/>
              <w:bottom w:val="single" w:sz="4" w:space="0" w:color="000000" w:themeColor="text1"/>
              <w:right w:val="nil"/>
            </w:tcBorders>
            <w:hideMark/>
          </w:tcPr>
          <w:p w14:paraId="656B0CCF" w14:textId="77777777" w:rsidR="00DC1C5C" w:rsidRPr="00DC1C5C" w:rsidRDefault="009144CD" w:rsidP="00DC1C5C">
            <w:pPr>
              <w:spacing w:after="0"/>
              <w:rPr>
                <w:rFonts w:cs="Segoe UI Light"/>
                <w:sz w:val="18"/>
              </w:rPr>
            </w:pPr>
            <w:hyperlink r:id="rId57" w:history="1">
              <w:r w:rsidR="00DC1C5C" w:rsidRPr="000E7C5E">
                <w:rPr>
                  <w:rFonts w:cs="Segoe UI Light"/>
                </w:rPr>
                <w:t>Proportion of bodies of water with good ambient water quality</w:t>
              </w:r>
            </w:hyperlink>
            <w:r w:rsidR="00DC1C5C" w:rsidRPr="00DC1C5C">
              <w:rPr>
                <w:rFonts w:cs="Segoe UI Light"/>
                <w:sz w:val="18"/>
              </w:rPr>
              <w:t xml:space="preserve"> </w:t>
            </w:r>
          </w:p>
        </w:tc>
        <w:tc>
          <w:tcPr>
            <w:tcW w:w="486" w:type="pct"/>
            <w:tcBorders>
              <w:top w:val="single" w:sz="4" w:space="0" w:color="000000" w:themeColor="text1"/>
              <w:left w:val="nil"/>
              <w:bottom w:val="single" w:sz="4" w:space="0" w:color="000000" w:themeColor="text1"/>
              <w:right w:val="nil"/>
            </w:tcBorders>
            <w:hideMark/>
          </w:tcPr>
          <w:p w14:paraId="656B0CD0" w14:textId="77777777" w:rsidR="00DC1C5C" w:rsidRPr="000D0764" w:rsidRDefault="00DC1C5C" w:rsidP="00DC1C5C">
            <w:pPr>
              <w:spacing w:after="0"/>
              <w:rPr>
                <w:rFonts w:cs="Segoe UI Light"/>
                <w:sz w:val="18"/>
              </w:rPr>
            </w:pPr>
            <w:r w:rsidRPr="000D0764">
              <w:rPr>
                <w:rFonts w:cs="Segoe UI Light"/>
                <w:sz w:val="18"/>
              </w:rPr>
              <w:t xml:space="preserve">Poor </w:t>
            </w:r>
          </w:p>
        </w:tc>
        <w:tc>
          <w:tcPr>
            <w:tcW w:w="678" w:type="pct"/>
            <w:tcBorders>
              <w:top w:val="single" w:sz="4" w:space="0" w:color="000000" w:themeColor="text1"/>
              <w:left w:val="nil"/>
              <w:bottom w:val="single" w:sz="4" w:space="0" w:color="000000" w:themeColor="text1"/>
              <w:right w:val="nil"/>
            </w:tcBorders>
            <w:hideMark/>
          </w:tcPr>
          <w:p w14:paraId="656B0CD1" w14:textId="77777777" w:rsidR="00DC1C5C" w:rsidRPr="000D0764" w:rsidRDefault="00DC1C5C" w:rsidP="00DC1C5C">
            <w:pPr>
              <w:spacing w:after="0"/>
              <w:rPr>
                <w:rFonts w:cs="Segoe UI Light"/>
                <w:sz w:val="18"/>
              </w:rPr>
            </w:pPr>
            <w:r w:rsidRPr="000D0764">
              <w:rPr>
                <w:rFonts w:cs="Segoe UI Light"/>
                <w:sz w:val="18"/>
              </w:rPr>
              <w:t xml:space="preserve">Deteriorating </w:t>
            </w:r>
          </w:p>
        </w:tc>
        <w:tc>
          <w:tcPr>
            <w:tcW w:w="615" w:type="pct"/>
            <w:tcBorders>
              <w:top w:val="single" w:sz="4" w:space="0" w:color="000000" w:themeColor="text1"/>
              <w:left w:val="nil"/>
              <w:bottom w:val="single" w:sz="4" w:space="0" w:color="000000" w:themeColor="text1"/>
              <w:right w:val="nil"/>
            </w:tcBorders>
            <w:hideMark/>
          </w:tcPr>
          <w:p w14:paraId="656B0CD2" w14:textId="77777777" w:rsidR="00DC1C5C" w:rsidRPr="000D0764" w:rsidRDefault="00DC1C5C" w:rsidP="00DC1C5C">
            <w:pPr>
              <w:spacing w:after="0"/>
              <w:rPr>
                <w:rFonts w:cs="Segoe UI Light"/>
                <w:sz w:val="18"/>
              </w:rPr>
            </w:pPr>
            <w:r w:rsidRPr="000D0764">
              <w:rPr>
                <w:rFonts w:cs="Segoe UI Light"/>
                <w:sz w:val="18"/>
              </w:rPr>
              <w:t xml:space="preserve">Good </w:t>
            </w:r>
          </w:p>
        </w:tc>
      </w:tr>
      <w:tr w:rsidR="00DC1C5C" w:rsidRPr="000D0764" w14:paraId="656B0CD8" w14:textId="77777777" w:rsidTr="00DC1C5C">
        <w:tc>
          <w:tcPr>
            <w:tcW w:w="3221" w:type="pct"/>
            <w:tcBorders>
              <w:top w:val="single" w:sz="4" w:space="0" w:color="000000" w:themeColor="text1"/>
              <w:left w:val="nil"/>
              <w:bottom w:val="single" w:sz="4" w:space="0" w:color="000000" w:themeColor="text1"/>
              <w:right w:val="nil"/>
            </w:tcBorders>
            <w:hideMark/>
          </w:tcPr>
          <w:p w14:paraId="656B0CD4" w14:textId="77777777" w:rsidR="00DC1C5C" w:rsidRPr="00DC1C5C" w:rsidRDefault="009144CD" w:rsidP="00DC1C5C">
            <w:pPr>
              <w:spacing w:after="0"/>
              <w:rPr>
                <w:rFonts w:cs="Segoe UI Light"/>
                <w:sz w:val="18"/>
              </w:rPr>
            </w:pPr>
            <w:hyperlink r:id="rId58" w:history="1">
              <w:r w:rsidR="00DC1C5C" w:rsidRPr="000E7C5E">
                <w:rPr>
                  <w:rFonts w:cs="Segoe UI Light"/>
                </w:rPr>
                <w:t xml:space="preserve">Reported inland water pollution incidents </w:t>
              </w:r>
            </w:hyperlink>
          </w:p>
        </w:tc>
        <w:tc>
          <w:tcPr>
            <w:tcW w:w="486" w:type="pct"/>
            <w:tcBorders>
              <w:top w:val="single" w:sz="4" w:space="0" w:color="000000" w:themeColor="text1"/>
              <w:left w:val="nil"/>
              <w:bottom w:val="single" w:sz="4" w:space="0" w:color="000000" w:themeColor="text1"/>
              <w:right w:val="nil"/>
            </w:tcBorders>
            <w:hideMark/>
          </w:tcPr>
          <w:p w14:paraId="656B0CD5" w14:textId="77777777" w:rsidR="00DC1C5C" w:rsidRPr="000D0764" w:rsidRDefault="00DC1C5C" w:rsidP="00DC1C5C">
            <w:pPr>
              <w:spacing w:after="0"/>
              <w:rPr>
                <w:rFonts w:cs="Segoe UI Light"/>
                <w:sz w:val="18"/>
              </w:rPr>
            </w:pPr>
            <w:r w:rsidRPr="000D0764">
              <w:rPr>
                <w:rFonts w:cs="Segoe UI Light"/>
                <w:sz w:val="18"/>
              </w:rPr>
              <w:t xml:space="preserve">Fair </w:t>
            </w:r>
          </w:p>
        </w:tc>
        <w:tc>
          <w:tcPr>
            <w:tcW w:w="678" w:type="pct"/>
            <w:tcBorders>
              <w:top w:val="single" w:sz="4" w:space="0" w:color="000000" w:themeColor="text1"/>
              <w:left w:val="nil"/>
              <w:bottom w:val="single" w:sz="4" w:space="0" w:color="000000" w:themeColor="text1"/>
              <w:right w:val="nil"/>
            </w:tcBorders>
            <w:hideMark/>
          </w:tcPr>
          <w:p w14:paraId="656B0CD6" w14:textId="77777777" w:rsidR="00DC1C5C" w:rsidRPr="000D0764" w:rsidRDefault="00DC1C5C" w:rsidP="00DC1C5C">
            <w:pPr>
              <w:spacing w:after="0"/>
              <w:rPr>
                <w:rFonts w:cs="Segoe UI Light"/>
                <w:sz w:val="18"/>
              </w:rPr>
            </w:pPr>
            <w:r w:rsidRPr="000D0764">
              <w:rPr>
                <w:rFonts w:cs="Segoe UI Light"/>
                <w:sz w:val="18"/>
              </w:rPr>
              <w:t xml:space="preserve">Deteriorating </w:t>
            </w:r>
          </w:p>
        </w:tc>
        <w:tc>
          <w:tcPr>
            <w:tcW w:w="615" w:type="pct"/>
            <w:tcBorders>
              <w:top w:val="single" w:sz="4" w:space="0" w:color="000000" w:themeColor="text1"/>
              <w:left w:val="nil"/>
              <w:bottom w:val="single" w:sz="4" w:space="0" w:color="000000" w:themeColor="text1"/>
              <w:right w:val="nil"/>
            </w:tcBorders>
            <w:hideMark/>
          </w:tcPr>
          <w:p w14:paraId="656B0CD7" w14:textId="77777777" w:rsidR="00DC1C5C" w:rsidRPr="000D0764" w:rsidRDefault="00DC1C5C" w:rsidP="00DC1C5C">
            <w:pPr>
              <w:spacing w:after="0"/>
              <w:rPr>
                <w:rFonts w:cs="Segoe UI Light"/>
                <w:sz w:val="18"/>
              </w:rPr>
            </w:pPr>
            <w:r w:rsidRPr="000D0764">
              <w:rPr>
                <w:rFonts w:cs="Segoe UI Light"/>
                <w:sz w:val="18"/>
              </w:rPr>
              <w:t xml:space="preserve">Fair </w:t>
            </w:r>
          </w:p>
        </w:tc>
      </w:tr>
      <w:tr w:rsidR="00DC1C5C" w:rsidRPr="000D0764" w14:paraId="656B0CDD" w14:textId="77777777" w:rsidTr="00DC1C5C">
        <w:tc>
          <w:tcPr>
            <w:tcW w:w="3221" w:type="pct"/>
            <w:tcBorders>
              <w:top w:val="single" w:sz="4" w:space="0" w:color="000000" w:themeColor="text1"/>
              <w:left w:val="nil"/>
              <w:bottom w:val="single" w:sz="4" w:space="0" w:color="000000" w:themeColor="text1"/>
              <w:right w:val="nil"/>
            </w:tcBorders>
            <w:hideMark/>
          </w:tcPr>
          <w:p w14:paraId="656B0CD9" w14:textId="77777777" w:rsidR="00DC1C5C" w:rsidRPr="00DC1C5C" w:rsidRDefault="009144CD" w:rsidP="00DC1C5C">
            <w:pPr>
              <w:spacing w:after="0"/>
              <w:rPr>
                <w:rFonts w:cs="Segoe UI Light"/>
                <w:sz w:val="18"/>
              </w:rPr>
            </w:pPr>
            <w:hyperlink r:id="rId59" w:history="1">
              <w:r w:rsidR="00DC1C5C" w:rsidRPr="000E7C5E">
                <w:rPr>
                  <w:rFonts w:cs="Segoe UI Light"/>
                </w:rPr>
                <w:t xml:space="preserve">Salinity concentrations in rivers </w:t>
              </w:r>
            </w:hyperlink>
          </w:p>
        </w:tc>
        <w:tc>
          <w:tcPr>
            <w:tcW w:w="486" w:type="pct"/>
            <w:tcBorders>
              <w:top w:val="single" w:sz="4" w:space="0" w:color="000000" w:themeColor="text1"/>
              <w:left w:val="nil"/>
              <w:bottom w:val="single" w:sz="4" w:space="0" w:color="000000" w:themeColor="text1"/>
              <w:right w:val="nil"/>
            </w:tcBorders>
            <w:hideMark/>
          </w:tcPr>
          <w:p w14:paraId="656B0CDA" w14:textId="77777777" w:rsidR="00DC1C5C" w:rsidRPr="000D0764" w:rsidRDefault="00DC1C5C" w:rsidP="00DC1C5C">
            <w:pPr>
              <w:spacing w:after="0"/>
              <w:rPr>
                <w:rFonts w:cs="Segoe UI Light"/>
                <w:sz w:val="18"/>
              </w:rPr>
            </w:pPr>
            <w:r w:rsidRPr="000D0764">
              <w:rPr>
                <w:rFonts w:cs="Segoe UI Light"/>
                <w:sz w:val="18"/>
              </w:rPr>
              <w:t xml:space="preserve">Mixed </w:t>
            </w:r>
          </w:p>
        </w:tc>
        <w:tc>
          <w:tcPr>
            <w:tcW w:w="678" w:type="pct"/>
            <w:tcBorders>
              <w:top w:val="single" w:sz="4" w:space="0" w:color="000000" w:themeColor="text1"/>
              <w:left w:val="nil"/>
              <w:bottom w:val="single" w:sz="4" w:space="0" w:color="000000" w:themeColor="text1"/>
              <w:right w:val="nil"/>
            </w:tcBorders>
            <w:hideMark/>
          </w:tcPr>
          <w:p w14:paraId="656B0CDB" w14:textId="77777777" w:rsidR="00DC1C5C" w:rsidRPr="000D0764" w:rsidRDefault="00DC1C5C" w:rsidP="00DC1C5C">
            <w:pPr>
              <w:spacing w:after="0"/>
              <w:rPr>
                <w:rFonts w:cs="Segoe UI Light"/>
                <w:sz w:val="18"/>
              </w:rPr>
            </w:pPr>
            <w:r w:rsidRPr="000D0764">
              <w:rPr>
                <w:rFonts w:cs="Segoe UI Light"/>
                <w:sz w:val="18"/>
              </w:rPr>
              <w:t xml:space="preserve">Stable </w:t>
            </w:r>
          </w:p>
        </w:tc>
        <w:tc>
          <w:tcPr>
            <w:tcW w:w="615" w:type="pct"/>
            <w:tcBorders>
              <w:top w:val="single" w:sz="4" w:space="0" w:color="000000" w:themeColor="text1"/>
              <w:left w:val="nil"/>
              <w:bottom w:val="single" w:sz="4" w:space="0" w:color="000000" w:themeColor="text1"/>
              <w:right w:val="nil"/>
            </w:tcBorders>
            <w:hideMark/>
          </w:tcPr>
          <w:p w14:paraId="656B0CDC" w14:textId="77777777" w:rsidR="00DC1C5C" w:rsidRPr="000D0764" w:rsidRDefault="00DC1C5C" w:rsidP="00DC1C5C">
            <w:pPr>
              <w:spacing w:after="0"/>
              <w:rPr>
                <w:rFonts w:cs="Segoe UI Light"/>
                <w:sz w:val="18"/>
              </w:rPr>
            </w:pPr>
            <w:r w:rsidRPr="000D0764">
              <w:rPr>
                <w:rFonts w:cs="Segoe UI Light"/>
                <w:sz w:val="18"/>
              </w:rPr>
              <w:t xml:space="preserve">Good </w:t>
            </w:r>
          </w:p>
        </w:tc>
      </w:tr>
      <w:tr w:rsidR="00DC1C5C" w:rsidRPr="000D0764" w14:paraId="656B0CE2" w14:textId="77777777" w:rsidTr="00DC1C5C">
        <w:tc>
          <w:tcPr>
            <w:tcW w:w="3221" w:type="pct"/>
            <w:tcBorders>
              <w:top w:val="single" w:sz="4" w:space="0" w:color="000000" w:themeColor="text1"/>
              <w:left w:val="nil"/>
              <w:bottom w:val="single" w:sz="4" w:space="0" w:color="000000" w:themeColor="text1"/>
              <w:right w:val="nil"/>
            </w:tcBorders>
            <w:hideMark/>
          </w:tcPr>
          <w:p w14:paraId="656B0CDE" w14:textId="77777777" w:rsidR="00DC1C5C" w:rsidRPr="00DC1C5C" w:rsidRDefault="009144CD" w:rsidP="00DC1C5C">
            <w:pPr>
              <w:spacing w:after="0"/>
              <w:rPr>
                <w:rFonts w:cs="Segoe UI Light"/>
                <w:sz w:val="18"/>
              </w:rPr>
            </w:pPr>
            <w:hyperlink r:id="rId60" w:history="1">
              <w:r w:rsidR="00DC1C5C" w:rsidRPr="000E7C5E">
                <w:rPr>
                  <w:rFonts w:cs="Segoe UI Light"/>
                </w:rPr>
                <w:t>Total nitrogen concentration in rivers</w:t>
              </w:r>
            </w:hyperlink>
            <w:r w:rsidR="00DC1C5C" w:rsidRPr="00DC1C5C">
              <w:rPr>
                <w:rFonts w:cs="Segoe UI Light"/>
                <w:sz w:val="18"/>
              </w:rPr>
              <w:t xml:space="preserve"> </w:t>
            </w:r>
          </w:p>
        </w:tc>
        <w:tc>
          <w:tcPr>
            <w:tcW w:w="486" w:type="pct"/>
            <w:tcBorders>
              <w:top w:val="single" w:sz="4" w:space="0" w:color="000000" w:themeColor="text1"/>
              <w:left w:val="nil"/>
              <w:bottom w:val="single" w:sz="4" w:space="0" w:color="000000" w:themeColor="text1"/>
              <w:right w:val="nil"/>
            </w:tcBorders>
            <w:hideMark/>
          </w:tcPr>
          <w:p w14:paraId="656B0CDF" w14:textId="77777777" w:rsidR="00DC1C5C" w:rsidRPr="000D0764" w:rsidRDefault="00DC1C5C" w:rsidP="00DC1C5C">
            <w:pPr>
              <w:spacing w:after="0"/>
              <w:rPr>
                <w:rFonts w:cs="Segoe UI Light"/>
                <w:sz w:val="18"/>
              </w:rPr>
            </w:pPr>
            <w:r w:rsidRPr="000D0764">
              <w:rPr>
                <w:rFonts w:cs="Segoe UI Light"/>
                <w:sz w:val="18"/>
              </w:rPr>
              <w:t xml:space="preserve">Mixed </w:t>
            </w:r>
          </w:p>
        </w:tc>
        <w:tc>
          <w:tcPr>
            <w:tcW w:w="678" w:type="pct"/>
            <w:tcBorders>
              <w:top w:val="single" w:sz="4" w:space="0" w:color="000000" w:themeColor="text1"/>
              <w:left w:val="nil"/>
              <w:bottom w:val="single" w:sz="4" w:space="0" w:color="000000" w:themeColor="text1"/>
              <w:right w:val="nil"/>
            </w:tcBorders>
            <w:hideMark/>
          </w:tcPr>
          <w:p w14:paraId="656B0CE0" w14:textId="77777777" w:rsidR="00DC1C5C" w:rsidRPr="000D0764" w:rsidRDefault="00DC1C5C" w:rsidP="00DC1C5C">
            <w:pPr>
              <w:spacing w:after="0"/>
              <w:rPr>
                <w:rFonts w:cs="Segoe UI Light"/>
                <w:sz w:val="18"/>
              </w:rPr>
            </w:pPr>
            <w:r w:rsidRPr="000D0764">
              <w:rPr>
                <w:rFonts w:cs="Segoe UI Light"/>
                <w:sz w:val="18"/>
              </w:rPr>
              <w:t xml:space="preserve">Stable </w:t>
            </w:r>
          </w:p>
        </w:tc>
        <w:tc>
          <w:tcPr>
            <w:tcW w:w="615" w:type="pct"/>
            <w:tcBorders>
              <w:top w:val="single" w:sz="4" w:space="0" w:color="000000" w:themeColor="text1"/>
              <w:left w:val="nil"/>
              <w:bottom w:val="single" w:sz="4" w:space="0" w:color="000000" w:themeColor="text1"/>
              <w:right w:val="nil"/>
            </w:tcBorders>
            <w:hideMark/>
          </w:tcPr>
          <w:p w14:paraId="656B0CE1" w14:textId="77777777" w:rsidR="00DC1C5C" w:rsidRPr="000D0764" w:rsidRDefault="00DC1C5C" w:rsidP="00DC1C5C">
            <w:pPr>
              <w:spacing w:after="0"/>
              <w:rPr>
                <w:rFonts w:cs="Segoe UI Light"/>
                <w:sz w:val="18"/>
              </w:rPr>
            </w:pPr>
            <w:r w:rsidRPr="000D0764">
              <w:rPr>
                <w:rFonts w:cs="Segoe UI Light"/>
                <w:sz w:val="18"/>
              </w:rPr>
              <w:t xml:space="preserve">Good </w:t>
            </w:r>
          </w:p>
        </w:tc>
      </w:tr>
      <w:tr w:rsidR="00DC1C5C" w:rsidRPr="000D0764" w14:paraId="656B0CE7" w14:textId="77777777" w:rsidTr="00DC1C5C">
        <w:tc>
          <w:tcPr>
            <w:tcW w:w="3221" w:type="pct"/>
            <w:tcBorders>
              <w:top w:val="single" w:sz="4" w:space="0" w:color="000000" w:themeColor="text1"/>
              <w:left w:val="nil"/>
              <w:bottom w:val="single" w:sz="4" w:space="0" w:color="000000" w:themeColor="text1"/>
              <w:right w:val="nil"/>
            </w:tcBorders>
            <w:hideMark/>
          </w:tcPr>
          <w:p w14:paraId="656B0CE3" w14:textId="77777777" w:rsidR="00DC1C5C" w:rsidRPr="00DC1C5C" w:rsidRDefault="009144CD" w:rsidP="00DC1C5C">
            <w:pPr>
              <w:spacing w:after="0"/>
              <w:rPr>
                <w:rFonts w:cs="Segoe UI Light"/>
                <w:sz w:val="18"/>
              </w:rPr>
            </w:pPr>
            <w:hyperlink r:id="rId61" w:history="1">
              <w:r w:rsidR="00DC1C5C" w:rsidRPr="000E7C5E">
                <w:rPr>
                  <w:rFonts w:cs="Segoe UI Light"/>
                </w:rPr>
                <w:t>Total phosphorus concentrations in rivers</w:t>
              </w:r>
            </w:hyperlink>
            <w:r w:rsidR="00DC1C5C" w:rsidRPr="00DC1C5C">
              <w:rPr>
                <w:rFonts w:cs="Segoe UI Light"/>
                <w:sz w:val="18"/>
              </w:rPr>
              <w:t xml:space="preserve"> </w:t>
            </w:r>
          </w:p>
        </w:tc>
        <w:tc>
          <w:tcPr>
            <w:tcW w:w="486" w:type="pct"/>
            <w:tcBorders>
              <w:top w:val="single" w:sz="4" w:space="0" w:color="000000" w:themeColor="text1"/>
              <w:left w:val="nil"/>
              <w:bottom w:val="single" w:sz="4" w:space="0" w:color="000000" w:themeColor="text1"/>
              <w:right w:val="nil"/>
            </w:tcBorders>
            <w:hideMark/>
          </w:tcPr>
          <w:p w14:paraId="656B0CE4" w14:textId="77777777" w:rsidR="00DC1C5C" w:rsidRPr="000D0764" w:rsidRDefault="00DC1C5C" w:rsidP="00DC1C5C">
            <w:pPr>
              <w:spacing w:after="0"/>
              <w:rPr>
                <w:rFonts w:cs="Segoe UI Light"/>
                <w:sz w:val="18"/>
              </w:rPr>
            </w:pPr>
            <w:r w:rsidRPr="000D0764">
              <w:rPr>
                <w:rFonts w:cs="Segoe UI Light"/>
                <w:sz w:val="18"/>
              </w:rPr>
              <w:t xml:space="preserve">Mixed </w:t>
            </w:r>
          </w:p>
        </w:tc>
        <w:tc>
          <w:tcPr>
            <w:tcW w:w="678" w:type="pct"/>
            <w:tcBorders>
              <w:top w:val="single" w:sz="4" w:space="0" w:color="000000" w:themeColor="text1"/>
              <w:left w:val="nil"/>
              <w:bottom w:val="single" w:sz="4" w:space="0" w:color="000000" w:themeColor="text1"/>
              <w:right w:val="nil"/>
            </w:tcBorders>
            <w:hideMark/>
          </w:tcPr>
          <w:p w14:paraId="656B0CE5" w14:textId="77777777" w:rsidR="00DC1C5C" w:rsidRPr="000D0764" w:rsidRDefault="00DC1C5C" w:rsidP="00DC1C5C">
            <w:pPr>
              <w:spacing w:after="0"/>
              <w:rPr>
                <w:rFonts w:cs="Segoe UI Light"/>
                <w:sz w:val="18"/>
              </w:rPr>
            </w:pPr>
            <w:r w:rsidRPr="000D0764">
              <w:rPr>
                <w:rFonts w:cs="Segoe UI Light"/>
                <w:sz w:val="18"/>
              </w:rPr>
              <w:t xml:space="preserve">Stable </w:t>
            </w:r>
          </w:p>
        </w:tc>
        <w:tc>
          <w:tcPr>
            <w:tcW w:w="615" w:type="pct"/>
            <w:tcBorders>
              <w:top w:val="single" w:sz="4" w:space="0" w:color="000000" w:themeColor="text1"/>
              <w:left w:val="nil"/>
              <w:bottom w:val="single" w:sz="4" w:space="0" w:color="000000" w:themeColor="text1"/>
              <w:right w:val="nil"/>
            </w:tcBorders>
            <w:hideMark/>
          </w:tcPr>
          <w:p w14:paraId="656B0CE6" w14:textId="77777777" w:rsidR="00DC1C5C" w:rsidRPr="000D0764" w:rsidRDefault="00DC1C5C" w:rsidP="00DC1C5C">
            <w:pPr>
              <w:spacing w:after="0"/>
              <w:rPr>
                <w:rFonts w:cs="Segoe UI Light"/>
                <w:sz w:val="18"/>
              </w:rPr>
            </w:pPr>
            <w:r w:rsidRPr="000D0764">
              <w:rPr>
                <w:rFonts w:cs="Segoe UI Light"/>
                <w:sz w:val="18"/>
              </w:rPr>
              <w:t xml:space="preserve">Good </w:t>
            </w:r>
          </w:p>
        </w:tc>
      </w:tr>
      <w:tr w:rsidR="00DC1C5C" w:rsidRPr="000D0764" w14:paraId="656B0CEC" w14:textId="77777777" w:rsidTr="00DC1C5C">
        <w:tc>
          <w:tcPr>
            <w:tcW w:w="3221" w:type="pct"/>
            <w:tcBorders>
              <w:top w:val="single" w:sz="4" w:space="0" w:color="000000" w:themeColor="text1"/>
              <w:left w:val="nil"/>
              <w:bottom w:val="single" w:sz="4" w:space="0" w:color="000000" w:themeColor="text1"/>
              <w:right w:val="nil"/>
            </w:tcBorders>
            <w:hideMark/>
          </w:tcPr>
          <w:p w14:paraId="656B0CE8" w14:textId="77777777" w:rsidR="00DC1C5C" w:rsidRPr="00DC1C5C" w:rsidRDefault="009144CD" w:rsidP="00DC1C5C">
            <w:pPr>
              <w:spacing w:after="0"/>
              <w:rPr>
                <w:rFonts w:cs="Segoe UI Light"/>
                <w:sz w:val="18"/>
              </w:rPr>
            </w:pPr>
            <w:hyperlink r:id="rId62" w:history="1">
              <w:r w:rsidR="00DC1C5C" w:rsidRPr="000E7C5E">
                <w:rPr>
                  <w:rFonts w:cs="Segoe UI Light"/>
                </w:rPr>
                <w:t>Turbidity levels in rivers</w:t>
              </w:r>
            </w:hyperlink>
            <w:r w:rsidR="00DC1C5C" w:rsidRPr="00DC1C5C">
              <w:rPr>
                <w:rFonts w:cs="Segoe UI Light"/>
                <w:sz w:val="18"/>
              </w:rPr>
              <w:t xml:space="preserve"> </w:t>
            </w:r>
          </w:p>
        </w:tc>
        <w:tc>
          <w:tcPr>
            <w:tcW w:w="486" w:type="pct"/>
            <w:tcBorders>
              <w:top w:val="single" w:sz="4" w:space="0" w:color="000000" w:themeColor="text1"/>
              <w:left w:val="nil"/>
              <w:bottom w:val="single" w:sz="4" w:space="0" w:color="000000" w:themeColor="text1"/>
              <w:right w:val="nil"/>
            </w:tcBorders>
            <w:hideMark/>
          </w:tcPr>
          <w:p w14:paraId="656B0CE9" w14:textId="77777777" w:rsidR="00DC1C5C" w:rsidRPr="000D0764" w:rsidRDefault="00DC1C5C" w:rsidP="00DC1C5C">
            <w:pPr>
              <w:spacing w:after="0"/>
              <w:rPr>
                <w:rFonts w:cs="Segoe UI Light"/>
                <w:sz w:val="18"/>
              </w:rPr>
            </w:pPr>
            <w:r w:rsidRPr="000D0764">
              <w:rPr>
                <w:rFonts w:cs="Segoe UI Light"/>
                <w:sz w:val="18"/>
              </w:rPr>
              <w:t xml:space="preserve">Mixed </w:t>
            </w:r>
          </w:p>
        </w:tc>
        <w:tc>
          <w:tcPr>
            <w:tcW w:w="678" w:type="pct"/>
            <w:tcBorders>
              <w:top w:val="single" w:sz="4" w:space="0" w:color="000000" w:themeColor="text1"/>
              <w:left w:val="nil"/>
              <w:bottom w:val="single" w:sz="4" w:space="0" w:color="000000" w:themeColor="text1"/>
              <w:right w:val="nil"/>
            </w:tcBorders>
            <w:hideMark/>
          </w:tcPr>
          <w:p w14:paraId="656B0CEA" w14:textId="77777777" w:rsidR="00DC1C5C" w:rsidRPr="000D0764" w:rsidRDefault="00DC1C5C" w:rsidP="00DC1C5C">
            <w:pPr>
              <w:spacing w:after="0"/>
              <w:rPr>
                <w:rFonts w:cs="Segoe UI Light"/>
                <w:sz w:val="18"/>
              </w:rPr>
            </w:pPr>
            <w:r w:rsidRPr="000D0764">
              <w:rPr>
                <w:rFonts w:cs="Segoe UI Light"/>
                <w:sz w:val="18"/>
              </w:rPr>
              <w:t xml:space="preserve">Deteriorating </w:t>
            </w:r>
          </w:p>
        </w:tc>
        <w:tc>
          <w:tcPr>
            <w:tcW w:w="615" w:type="pct"/>
            <w:tcBorders>
              <w:top w:val="single" w:sz="4" w:space="0" w:color="000000" w:themeColor="text1"/>
              <w:left w:val="nil"/>
              <w:bottom w:val="single" w:sz="4" w:space="0" w:color="000000" w:themeColor="text1"/>
              <w:right w:val="nil"/>
            </w:tcBorders>
            <w:hideMark/>
          </w:tcPr>
          <w:p w14:paraId="656B0CEB" w14:textId="77777777" w:rsidR="00DC1C5C" w:rsidRPr="000D0764" w:rsidRDefault="00DC1C5C" w:rsidP="00DC1C5C">
            <w:pPr>
              <w:spacing w:after="0"/>
              <w:rPr>
                <w:rFonts w:cs="Segoe UI Light"/>
                <w:sz w:val="18"/>
              </w:rPr>
            </w:pPr>
            <w:r w:rsidRPr="000D0764">
              <w:rPr>
                <w:rFonts w:cs="Segoe UI Light"/>
                <w:sz w:val="18"/>
              </w:rPr>
              <w:t xml:space="preserve">Good </w:t>
            </w:r>
          </w:p>
        </w:tc>
      </w:tr>
      <w:tr w:rsidR="00DC1C5C" w:rsidRPr="000D0764" w14:paraId="656B0CF1" w14:textId="77777777" w:rsidTr="00DC1C5C">
        <w:tc>
          <w:tcPr>
            <w:tcW w:w="3221" w:type="pct"/>
            <w:tcBorders>
              <w:top w:val="single" w:sz="4" w:space="0" w:color="000000" w:themeColor="text1"/>
              <w:left w:val="nil"/>
              <w:bottom w:val="single" w:sz="4" w:space="0" w:color="000000" w:themeColor="text1"/>
              <w:right w:val="nil"/>
            </w:tcBorders>
            <w:hideMark/>
          </w:tcPr>
          <w:p w14:paraId="656B0CED" w14:textId="77777777" w:rsidR="00DC1C5C" w:rsidRPr="00DC1C5C" w:rsidRDefault="009144CD" w:rsidP="00DC1C5C">
            <w:pPr>
              <w:spacing w:after="0"/>
              <w:rPr>
                <w:rFonts w:cs="Segoe UI Light"/>
                <w:sz w:val="18"/>
              </w:rPr>
            </w:pPr>
            <w:hyperlink r:id="rId63" w:history="1">
              <w:r w:rsidR="00DC1C5C" w:rsidRPr="000E7C5E">
                <w:rPr>
                  <w:rFonts w:cs="Segoe UI Light"/>
                </w:rPr>
                <w:t xml:space="preserve">Volume of sewage discharge to surface waters </w:t>
              </w:r>
            </w:hyperlink>
            <w:r w:rsidR="00DC1C5C" w:rsidRPr="00DC1C5C">
              <w:rPr>
                <w:rFonts w:cs="Segoe UI Light"/>
                <w:sz w:val="18"/>
              </w:rPr>
              <w:t xml:space="preserve"> </w:t>
            </w:r>
          </w:p>
        </w:tc>
        <w:tc>
          <w:tcPr>
            <w:tcW w:w="486" w:type="pct"/>
            <w:tcBorders>
              <w:top w:val="single" w:sz="4" w:space="0" w:color="000000" w:themeColor="text1"/>
              <w:left w:val="nil"/>
              <w:bottom w:val="single" w:sz="4" w:space="0" w:color="000000" w:themeColor="text1"/>
              <w:right w:val="nil"/>
            </w:tcBorders>
            <w:hideMark/>
          </w:tcPr>
          <w:p w14:paraId="656B0CEE" w14:textId="77777777" w:rsidR="00DC1C5C" w:rsidRPr="000D0764" w:rsidRDefault="00DC1C5C" w:rsidP="00DC1C5C">
            <w:pPr>
              <w:spacing w:after="0"/>
              <w:rPr>
                <w:rFonts w:cs="Segoe UI Light"/>
                <w:sz w:val="18"/>
              </w:rPr>
            </w:pPr>
            <w:r w:rsidRPr="000D0764">
              <w:rPr>
                <w:rFonts w:cs="Segoe UI Light"/>
                <w:sz w:val="18"/>
              </w:rPr>
              <w:t xml:space="preserve">Unknown </w:t>
            </w:r>
          </w:p>
        </w:tc>
        <w:tc>
          <w:tcPr>
            <w:tcW w:w="678" w:type="pct"/>
            <w:tcBorders>
              <w:top w:val="single" w:sz="4" w:space="0" w:color="000000" w:themeColor="text1"/>
              <w:left w:val="nil"/>
              <w:bottom w:val="single" w:sz="4" w:space="0" w:color="000000" w:themeColor="text1"/>
              <w:right w:val="nil"/>
            </w:tcBorders>
            <w:hideMark/>
          </w:tcPr>
          <w:p w14:paraId="656B0CEF" w14:textId="77777777" w:rsidR="00DC1C5C" w:rsidRPr="000D0764" w:rsidRDefault="00DC1C5C" w:rsidP="00DC1C5C">
            <w:pPr>
              <w:spacing w:after="0"/>
              <w:rPr>
                <w:rFonts w:cs="Segoe UI Light"/>
                <w:sz w:val="18"/>
              </w:rPr>
            </w:pPr>
            <w:r w:rsidRPr="000D0764">
              <w:rPr>
                <w:rFonts w:cs="Segoe UI Light"/>
                <w:sz w:val="18"/>
              </w:rPr>
              <w:t xml:space="preserve">Unclear </w:t>
            </w:r>
          </w:p>
        </w:tc>
        <w:tc>
          <w:tcPr>
            <w:tcW w:w="615" w:type="pct"/>
            <w:tcBorders>
              <w:top w:val="single" w:sz="4" w:space="0" w:color="000000" w:themeColor="text1"/>
              <w:left w:val="nil"/>
              <w:bottom w:val="single" w:sz="4" w:space="0" w:color="000000" w:themeColor="text1"/>
              <w:right w:val="nil"/>
            </w:tcBorders>
            <w:hideMark/>
          </w:tcPr>
          <w:p w14:paraId="656B0CF0" w14:textId="77777777" w:rsidR="00DC1C5C" w:rsidRPr="000D0764" w:rsidRDefault="00DC1C5C" w:rsidP="00DC1C5C">
            <w:pPr>
              <w:spacing w:after="0"/>
              <w:rPr>
                <w:rFonts w:cs="Segoe UI Light"/>
                <w:sz w:val="18"/>
              </w:rPr>
            </w:pPr>
            <w:r w:rsidRPr="000D0764">
              <w:rPr>
                <w:rFonts w:cs="Segoe UI Light"/>
                <w:sz w:val="18"/>
              </w:rPr>
              <w:t xml:space="preserve">Poor </w:t>
            </w:r>
          </w:p>
        </w:tc>
      </w:tr>
    </w:tbl>
    <w:p w14:paraId="656B0CF2" w14:textId="77777777" w:rsidR="00DC1C5C" w:rsidRPr="000D0764" w:rsidRDefault="00DC1C5C" w:rsidP="00DC1C5C">
      <w:pPr>
        <w:spacing w:after="0"/>
        <w:mirrorIndents/>
        <w:rPr>
          <w:rFonts w:cs="Segoe UI Light"/>
        </w:rPr>
      </w:pPr>
    </w:p>
    <w:p w14:paraId="656B0CF3" w14:textId="77777777" w:rsidR="00DC1C5C" w:rsidRPr="000D0764" w:rsidRDefault="00DC1C5C" w:rsidP="00DC1C5C">
      <w:pPr>
        <w:mirrorIndents/>
        <w:rPr>
          <w:color w:val="046A38" w:themeColor="accent2"/>
        </w:rPr>
      </w:pPr>
      <w:r w:rsidRPr="000D0764">
        <w:rPr>
          <w:rFonts w:cs="Segoe UI Light"/>
        </w:rPr>
        <w:t xml:space="preserve">The </w:t>
      </w:r>
      <w:r w:rsidRPr="000D0764">
        <w:t xml:space="preserve">Index of Stream Condition 2010 report </w:t>
      </w:r>
      <w:r w:rsidRPr="000D0764">
        <w:rPr>
          <w:rFonts w:cs="Segoe UI Light"/>
        </w:rPr>
        <w:t xml:space="preserve">shows that </w:t>
      </w:r>
      <w:r w:rsidRPr="000D0764">
        <w:t>23 percent of rivers and streams in Victoria were in good or excellent condition, while 32 percent were in poor to very poor condition, and there was no substantial difference between the 2004 and 2010 results.</w:t>
      </w:r>
      <w:r w:rsidRPr="00791DC5">
        <w:rPr>
          <w:rStyle w:val="FootnoteReference"/>
        </w:rPr>
        <w:footnoteReference w:id="247"/>
      </w:r>
      <w:r w:rsidRPr="00791DC5">
        <w:t xml:space="preserve"> </w:t>
      </w:r>
    </w:p>
    <w:p w14:paraId="656B0CF4" w14:textId="77777777" w:rsidR="00DC1C5C" w:rsidRPr="00791DC5" w:rsidRDefault="00DC1C5C" w:rsidP="00DC1C5C">
      <w:pPr>
        <w:mirrorIndents/>
      </w:pPr>
      <w:r w:rsidRPr="000D0764">
        <w:t xml:space="preserve">Groundwater </w:t>
      </w:r>
      <w:r w:rsidRPr="00791DC5">
        <w:t>can become polluted from sources such as manufacturing sites, chemical and petrol storage, and munitions storage.</w:t>
      </w:r>
      <w:r w:rsidRPr="000D0764">
        <w:t xml:space="preserve"> Poor groundwater quality limits groundwater use by domestic, agricultural, commercial and industrial users and the productivity of lands reliant on borewater irrigation. It can also have severe implications for human and livestock health. There is only limited data available on groundwater quality in Victoria. The </w:t>
      </w:r>
      <w:r w:rsidR="009A118F">
        <w:t xml:space="preserve">SoE </w:t>
      </w:r>
      <w:r w:rsidRPr="000D0764">
        <w:t>2018 report records that no data is available to determine the status or trend in groundwater ecosystems. Only fair data is available on groundwater quality, indicating mixed quality across Victoria and a stable trend.</w:t>
      </w:r>
      <w:r w:rsidRPr="00791DC5">
        <w:rPr>
          <w:rStyle w:val="FootnoteReference"/>
        </w:rPr>
        <w:footnoteReference w:id="248"/>
      </w:r>
    </w:p>
    <w:p w14:paraId="656B0CF5" w14:textId="77777777" w:rsidR="00DC1C5C" w:rsidRPr="00791DC5" w:rsidRDefault="00DC1C5C" w:rsidP="00DC1C5C">
      <w:pPr>
        <w:mirrorIndents/>
        <w:rPr>
          <w:rFonts w:cs="Segoe UI Light"/>
        </w:rPr>
      </w:pPr>
      <w:r w:rsidRPr="00791DC5">
        <w:t>Inspections of industrial regions, including manufacturing, automotive, construction and transport businesses have demonstrated that risky behaviour continues to occur. A 2009 inspection of businesses in Me</w:t>
      </w:r>
      <w:r w:rsidRPr="000D0764">
        <w:t>lbourne suburbs of Thomastown and Coburg North found that 12 percent of sites had spills reach their drains and 29 percent had potential for spills to reach drains on site. A 2008 inspection</w:t>
      </w:r>
      <w:r w:rsidR="009A118F">
        <w:t xml:space="preserve"> of</w:t>
      </w:r>
      <w:r w:rsidRPr="000D0764">
        <w:t xml:space="preserve"> the Campbellfield industrial estate (including manufacturing, automotive, metals, warehousing, paint, transport and food businesses) found that surface staining was evident at over 25 percent of sites with the potential for stormwater and soil contamination to occur. Overall containment facilities for liquids were generally poor and businesses generally lacked awareness of the impact of poor stormwater management practice</w:t>
      </w:r>
      <w:r w:rsidRPr="000D0764">
        <w:rPr>
          <w:rFonts w:cs="Segoe UI Light"/>
        </w:rPr>
        <w:t>s.</w:t>
      </w:r>
      <w:r w:rsidRPr="00791DC5">
        <w:rPr>
          <w:rStyle w:val="FootnoteReference"/>
          <w:rFonts w:cs="Segoe UI Light"/>
          <w:szCs w:val="20"/>
        </w:rPr>
        <w:footnoteReference w:id="249"/>
      </w:r>
    </w:p>
    <w:p w14:paraId="656B0CF6" w14:textId="06BE81E5" w:rsidR="00DC1C5C" w:rsidRPr="000D0764" w:rsidRDefault="00DC1C5C" w:rsidP="00DC1C5C">
      <w:pPr>
        <w:mirrorIndents/>
      </w:pPr>
      <w:r w:rsidRPr="000D0764">
        <w:t xml:space="preserve">Victorian coastal and marine waters are subject to pressures from a number of maritime and industrial activities, including shipping, fishing, and oil and gas extraction, as well as recreational boating. Modelling demonstrates that coastal water is impacted by sediment and nitrogen pollution from urban waterways through storm water. A 2016 study showed that while the Western Treatment Plant is the largest point-source contributor to nitrogen loads in the Port Philip Bay, diffuse source pollution entering through urban waterways accounted for the remaining 41 percent of nitrogen loads. Moreover, diffuse source pollution from waterways contributes 96 percent of the total sediment load that enters the Bay. It is estimated that most of this waterway pollution comes from the Yarra Catchment. It is forecasted that future urban growth, including infill and new urban developments and additional loads to regional wastewater treatment plants, will contribute an additional nitrogen load of 500 tonnes per annum and sediment load of 9,000 tonnes per year if left unmanaged. This could lead to excessive nutrients and sustained high algal levels. Moreover, if no changes are made to current operations at the Western Treatment Plant and stormwater management </w:t>
      </w:r>
      <w:r w:rsidRPr="00791DC5">
        <w:t xml:space="preserve">is not improved in the </w:t>
      </w:r>
      <w:r w:rsidR="009A118F">
        <w:t>Yarra C</w:t>
      </w:r>
      <w:r w:rsidRPr="00791DC5">
        <w:t>atchment, total nitrogen loads could more than double in the long term due to a changing climate and more intense rainfall events. This coul</w:t>
      </w:r>
      <w:r w:rsidRPr="000D0764">
        <w:t xml:space="preserve">d result in more periods of poor water quality and more frequent algal blooms along the north eastern shore, requiring beach </w:t>
      </w:r>
      <w:r w:rsidR="004073A2">
        <w:t>advisories</w:t>
      </w:r>
      <w:r w:rsidRPr="000D0764">
        <w:t>.</w:t>
      </w:r>
      <w:r w:rsidRPr="000D0764">
        <w:rPr>
          <w:rStyle w:val="FootnoteReference"/>
        </w:rPr>
        <w:t xml:space="preserve"> </w:t>
      </w:r>
      <w:r w:rsidRPr="009A118F">
        <w:rPr>
          <w:rStyle w:val="FootnoteReference"/>
        </w:rPr>
        <w:footnoteReference w:id="250"/>
      </w:r>
      <w:r w:rsidRPr="00791DC5">
        <w:t xml:space="preserve"> </w:t>
      </w:r>
    </w:p>
    <w:p w14:paraId="656B0CF7" w14:textId="77777777" w:rsidR="00DC1C5C" w:rsidRPr="000D0764" w:rsidRDefault="00DC1C5C" w:rsidP="00DC1C5C">
      <w:pPr>
        <w:mirrorIndents/>
      </w:pPr>
      <w:r w:rsidRPr="000D0764">
        <w:t>Maritime pollution spills can result in heavy metals and other toxic substances and chemicals entering the marine environment. In general, monitoring by EPA Victoria indicates that Victoria generally has good marine and coastal water quality, with most incidents reported for small spills, less than 20 litres. The greatest number of marine pollution incidents reported each year is in Port Phillip Bay.</w:t>
      </w:r>
      <w:r w:rsidRPr="00791DC5">
        <w:rPr>
          <w:rStyle w:val="FootnoteReference"/>
        </w:rPr>
        <w:footnoteReference w:id="251"/>
      </w:r>
      <w:r w:rsidRPr="00791DC5">
        <w:t xml:space="preserve"> </w:t>
      </w:r>
    </w:p>
    <w:p w14:paraId="656B0CF8" w14:textId="77777777" w:rsidR="00DC1C5C" w:rsidRPr="000D0764" w:rsidRDefault="00DC1C5C" w:rsidP="00DC1C5C">
      <w:pPr>
        <w:mirrorIndents/>
        <w:rPr>
          <w:rFonts w:cs="Segoe UI Light"/>
        </w:rPr>
      </w:pPr>
      <w:r w:rsidRPr="000D0764">
        <w:rPr>
          <w:rFonts w:cs="Segoe UI Light"/>
        </w:rPr>
        <w:t>The following table shows selected indicators for coastal and marine water quality in Victoria as reported in the SoE 2018. Where data is available, it shows indicators are spread across mixed and fair, while there are substantial data gaps.</w:t>
      </w:r>
    </w:p>
    <w:p w14:paraId="656B0CF9" w14:textId="77777777" w:rsidR="00DC1C5C" w:rsidRPr="000D0764" w:rsidRDefault="00DC1C5C" w:rsidP="00DC1C5C">
      <w:pPr>
        <w:pStyle w:val="Caption"/>
      </w:pPr>
      <w:r w:rsidRPr="000D0764">
        <w:t xml:space="preserve">Table </w:t>
      </w:r>
      <w:r w:rsidRPr="000D0764">
        <w:rPr>
          <w:color w:val="2B579A"/>
          <w:shd w:val="clear" w:color="auto" w:fill="E6E6E6"/>
        </w:rPr>
        <w:fldChar w:fldCharType="begin"/>
      </w:r>
      <w:r w:rsidRPr="000D0764">
        <w:instrText xml:space="preserve"> STYLEREF 1 \s </w:instrText>
      </w:r>
      <w:r w:rsidRPr="000D0764">
        <w:rPr>
          <w:color w:val="2B579A"/>
          <w:shd w:val="clear" w:color="auto" w:fill="E6E6E6"/>
        </w:rPr>
        <w:fldChar w:fldCharType="separate"/>
      </w:r>
      <w:r w:rsidR="00B11C1E">
        <w:rPr>
          <w:noProof/>
        </w:rPr>
        <w:t>13</w:t>
      </w:r>
      <w:r w:rsidRPr="000D0764">
        <w:rPr>
          <w:color w:val="2B579A"/>
          <w:shd w:val="clear" w:color="auto" w:fill="E6E6E6"/>
        </w:rPr>
        <w:fldChar w:fldCharType="end"/>
      </w:r>
      <w:r w:rsidRPr="00791DC5">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3</w:t>
      </w:r>
      <w:r w:rsidR="00997CFA">
        <w:rPr>
          <w:color w:val="2B579A"/>
          <w:shd w:val="clear" w:color="auto" w:fill="E6E6E6"/>
        </w:rPr>
        <w:fldChar w:fldCharType="end"/>
      </w:r>
      <w:r w:rsidRPr="00791DC5">
        <w:t xml:space="preserve"> Coastal and marine water quality selected indicators, SoE 2018</w:t>
      </w:r>
    </w:p>
    <w:tbl>
      <w:tblPr>
        <w:tblStyle w:val="Deloittetable1"/>
        <w:tblW w:w="5000" w:type="pct"/>
        <w:tblLook w:val="04A0" w:firstRow="1" w:lastRow="0" w:firstColumn="1" w:lastColumn="0" w:noHBand="0" w:noVBand="1"/>
      </w:tblPr>
      <w:tblGrid>
        <w:gridCol w:w="5713"/>
        <w:gridCol w:w="995"/>
        <w:gridCol w:w="1388"/>
        <w:gridCol w:w="1259"/>
      </w:tblGrid>
      <w:tr w:rsidR="00DC1C5C" w:rsidRPr="000D0764" w14:paraId="656B0CFE" w14:textId="77777777" w:rsidTr="00DC1C5C">
        <w:trPr>
          <w:cnfStyle w:val="100000000000" w:firstRow="1" w:lastRow="0" w:firstColumn="0" w:lastColumn="0" w:oddVBand="0" w:evenVBand="0" w:oddHBand="0" w:evenHBand="0" w:firstRowFirstColumn="0" w:firstRowLastColumn="0" w:lastRowFirstColumn="0" w:lastRowLastColumn="0"/>
        </w:trPr>
        <w:tc>
          <w:tcPr>
            <w:tcW w:w="3053" w:type="pct"/>
            <w:tcBorders>
              <w:left w:val="nil"/>
              <w:bottom w:val="single" w:sz="4" w:space="0" w:color="000000" w:themeColor="text1"/>
              <w:right w:val="nil"/>
            </w:tcBorders>
            <w:hideMark/>
          </w:tcPr>
          <w:p w14:paraId="656B0CFA" w14:textId="77777777" w:rsidR="00DC1C5C" w:rsidRPr="000D0764" w:rsidRDefault="00DC1C5C" w:rsidP="00DC1C5C">
            <w:pPr>
              <w:spacing w:after="0"/>
              <w:rPr>
                <w:rFonts w:cs="Segoe UI Light"/>
                <w:b/>
                <w:bCs/>
                <w:sz w:val="18"/>
              </w:rPr>
            </w:pPr>
            <w:r w:rsidRPr="000D0764">
              <w:rPr>
                <w:rFonts w:cs="Segoe UI Light"/>
                <w:b/>
                <w:bCs/>
                <w:sz w:val="18"/>
              </w:rPr>
              <w:t xml:space="preserve">Indicator </w:t>
            </w:r>
          </w:p>
        </w:tc>
        <w:tc>
          <w:tcPr>
            <w:tcW w:w="532" w:type="pct"/>
            <w:tcBorders>
              <w:left w:val="nil"/>
              <w:bottom w:val="single" w:sz="4" w:space="0" w:color="000000" w:themeColor="text1"/>
              <w:right w:val="nil"/>
            </w:tcBorders>
            <w:hideMark/>
          </w:tcPr>
          <w:p w14:paraId="656B0CFB" w14:textId="77777777" w:rsidR="00DC1C5C" w:rsidRPr="000D0764" w:rsidRDefault="00DC1C5C" w:rsidP="00DC1C5C">
            <w:pPr>
              <w:spacing w:after="0"/>
              <w:rPr>
                <w:rFonts w:cs="Segoe UI Light"/>
                <w:b/>
                <w:bCs/>
                <w:sz w:val="18"/>
              </w:rPr>
            </w:pPr>
            <w:r w:rsidRPr="000D0764">
              <w:rPr>
                <w:rFonts w:cs="Segoe UI Light"/>
                <w:b/>
                <w:bCs/>
                <w:sz w:val="18"/>
              </w:rPr>
              <w:t xml:space="preserve">Status </w:t>
            </w:r>
          </w:p>
        </w:tc>
        <w:tc>
          <w:tcPr>
            <w:tcW w:w="742" w:type="pct"/>
            <w:tcBorders>
              <w:left w:val="nil"/>
              <w:bottom w:val="single" w:sz="4" w:space="0" w:color="000000" w:themeColor="text1"/>
              <w:right w:val="nil"/>
            </w:tcBorders>
            <w:hideMark/>
          </w:tcPr>
          <w:p w14:paraId="656B0CFC" w14:textId="77777777" w:rsidR="00DC1C5C" w:rsidRPr="000D0764" w:rsidRDefault="00DC1C5C" w:rsidP="00DC1C5C">
            <w:pPr>
              <w:spacing w:after="0"/>
              <w:rPr>
                <w:rFonts w:cs="Segoe UI Light"/>
                <w:b/>
                <w:bCs/>
                <w:sz w:val="18"/>
              </w:rPr>
            </w:pPr>
            <w:r w:rsidRPr="000D0764">
              <w:rPr>
                <w:rFonts w:cs="Segoe UI Light"/>
                <w:b/>
                <w:bCs/>
                <w:sz w:val="18"/>
              </w:rPr>
              <w:t xml:space="preserve">Trend </w:t>
            </w:r>
          </w:p>
        </w:tc>
        <w:tc>
          <w:tcPr>
            <w:tcW w:w="673" w:type="pct"/>
            <w:tcBorders>
              <w:left w:val="nil"/>
              <w:bottom w:val="single" w:sz="4" w:space="0" w:color="000000" w:themeColor="text1"/>
              <w:right w:val="nil"/>
            </w:tcBorders>
            <w:hideMark/>
          </w:tcPr>
          <w:p w14:paraId="656B0CFD" w14:textId="77777777" w:rsidR="00DC1C5C" w:rsidRPr="000D0764" w:rsidRDefault="00DC1C5C" w:rsidP="00DC1C5C">
            <w:pPr>
              <w:spacing w:after="0"/>
              <w:rPr>
                <w:rFonts w:cs="Segoe UI Light"/>
                <w:b/>
                <w:bCs/>
                <w:sz w:val="18"/>
              </w:rPr>
            </w:pPr>
            <w:r w:rsidRPr="000D0764">
              <w:rPr>
                <w:rFonts w:cs="Segoe UI Light"/>
                <w:b/>
                <w:bCs/>
                <w:sz w:val="18"/>
              </w:rPr>
              <w:t xml:space="preserve">Data quality </w:t>
            </w:r>
          </w:p>
        </w:tc>
      </w:tr>
      <w:tr w:rsidR="00DC1C5C" w:rsidRPr="000D0764" w14:paraId="656B0D03" w14:textId="77777777" w:rsidTr="00DC1C5C">
        <w:tc>
          <w:tcPr>
            <w:tcW w:w="3053" w:type="pct"/>
            <w:tcBorders>
              <w:top w:val="single" w:sz="4" w:space="0" w:color="000000" w:themeColor="text1"/>
              <w:left w:val="nil"/>
              <w:bottom w:val="single" w:sz="4" w:space="0" w:color="000000" w:themeColor="text1"/>
              <w:right w:val="nil"/>
            </w:tcBorders>
            <w:hideMark/>
          </w:tcPr>
          <w:p w14:paraId="656B0CFF" w14:textId="77777777" w:rsidR="00DC1C5C" w:rsidRPr="00DC1C5C" w:rsidRDefault="009144CD" w:rsidP="00DC1C5C">
            <w:pPr>
              <w:spacing w:after="0"/>
              <w:rPr>
                <w:rFonts w:cs="Segoe UI Light"/>
                <w:sz w:val="18"/>
              </w:rPr>
            </w:pPr>
            <w:hyperlink r:id="rId64" w:history="1">
              <w:r w:rsidR="00DC1C5C" w:rsidRPr="000E7C5E">
                <w:rPr>
                  <w:rFonts w:cs="Segoe UI Light"/>
                </w:rPr>
                <w:t>Catchment inputs into coastal waters</w:t>
              </w:r>
            </w:hyperlink>
            <w:r w:rsidR="00DC1C5C" w:rsidRPr="00DC1C5C">
              <w:rPr>
                <w:rFonts w:cs="Segoe UI Light"/>
                <w:sz w:val="18"/>
              </w:rPr>
              <w:t xml:space="preserve"> </w:t>
            </w:r>
          </w:p>
        </w:tc>
        <w:tc>
          <w:tcPr>
            <w:tcW w:w="532" w:type="pct"/>
            <w:tcBorders>
              <w:top w:val="single" w:sz="4" w:space="0" w:color="000000" w:themeColor="text1"/>
              <w:left w:val="nil"/>
              <w:bottom w:val="single" w:sz="4" w:space="0" w:color="000000" w:themeColor="text1"/>
              <w:right w:val="nil"/>
            </w:tcBorders>
            <w:hideMark/>
          </w:tcPr>
          <w:p w14:paraId="656B0D00" w14:textId="77777777" w:rsidR="00DC1C5C" w:rsidRPr="00DC1C5C" w:rsidRDefault="00DC1C5C" w:rsidP="00DC1C5C">
            <w:pPr>
              <w:spacing w:after="0"/>
              <w:rPr>
                <w:rFonts w:cs="Segoe UI Light"/>
                <w:sz w:val="18"/>
              </w:rPr>
            </w:pPr>
            <w:r w:rsidRPr="00DC1C5C">
              <w:rPr>
                <w:rFonts w:cs="Segoe UI Light"/>
                <w:sz w:val="18"/>
              </w:rPr>
              <w:t xml:space="preserve">Mixed </w:t>
            </w:r>
          </w:p>
        </w:tc>
        <w:tc>
          <w:tcPr>
            <w:tcW w:w="742" w:type="pct"/>
            <w:tcBorders>
              <w:top w:val="single" w:sz="4" w:space="0" w:color="000000" w:themeColor="text1"/>
              <w:left w:val="nil"/>
              <w:bottom w:val="single" w:sz="4" w:space="0" w:color="000000" w:themeColor="text1"/>
              <w:right w:val="nil"/>
            </w:tcBorders>
            <w:hideMark/>
          </w:tcPr>
          <w:p w14:paraId="656B0D01" w14:textId="77777777" w:rsidR="00DC1C5C" w:rsidRPr="000D0764" w:rsidRDefault="00DC1C5C" w:rsidP="00DC1C5C">
            <w:pPr>
              <w:spacing w:after="0"/>
              <w:rPr>
                <w:rFonts w:cs="Segoe UI Light"/>
                <w:sz w:val="18"/>
              </w:rPr>
            </w:pPr>
            <w:r w:rsidRPr="000D0764">
              <w:rPr>
                <w:rFonts w:cs="Segoe UI Light"/>
                <w:sz w:val="18"/>
              </w:rPr>
              <w:t xml:space="preserve">Mixed </w:t>
            </w:r>
          </w:p>
        </w:tc>
        <w:tc>
          <w:tcPr>
            <w:tcW w:w="673" w:type="pct"/>
            <w:tcBorders>
              <w:top w:val="single" w:sz="4" w:space="0" w:color="000000" w:themeColor="text1"/>
              <w:left w:val="nil"/>
              <w:bottom w:val="single" w:sz="4" w:space="0" w:color="000000" w:themeColor="text1"/>
              <w:right w:val="nil"/>
            </w:tcBorders>
            <w:hideMark/>
          </w:tcPr>
          <w:p w14:paraId="656B0D02" w14:textId="77777777" w:rsidR="00DC1C5C" w:rsidRPr="000D0764" w:rsidRDefault="00DC1C5C" w:rsidP="00DC1C5C">
            <w:pPr>
              <w:spacing w:after="0"/>
              <w:rPr>
                <w:rFonts w:cs="Segoe UI Light"/>
                <w:sz w:val="18"/>
              </w:rPr>
            </w:pPr>
            <w:r w:rsidRPr="000D0764">
              <w:rPr>
                <w:rFonts w:cs="Segoe UI Light"/>
                <w:sz w:val="18"/>
              </w:rPr>
              <w:t xml:space="preserve">Mixed </w:t>
            </w:r>
          </w:p>
        </w:tc>
      </w:tr>
      <w:tr w:rsidR="00DC1C5C" w:rsidRPr="000D0764" w14:paraId="656B0D08" w14:textId="77777777" w:rsidTr="00DC1C5C">
        <w:tc>
          <w:tcPr>
            <w:tcW w:w="3053" w:type="pct"/>
            <w:tcBorders>
              <w:top w:val="single" w:sz="4" w:space="0" w:color="000000" w:themeColor="text1"/>
              <w:left w:val="nil"/>
              <w:bottom w:val="single" w:sz="4" w:space="0" w:color="000000" w:themeColor="text1"/>
              <w:right w:val="nil"/>
            </w:tcBorders>
            <w:hideMark/>
          </w:tcPr>
          <w:p w14:paraId="656B0D04" w14:textId="77777777" w:rsidR="00DC1C5C" w:rsidRPr="00DC1C5C" w:rsidRDefault="009144CD" w:rsidP="00DC1C5C">
            <w:pPr>
              <w:spacing w:after="0"/>
              <w:rPr>
                <w:rFonts w:cs="Segoe UI Light"/>
                <w:sz w:val="18"/>
              </w:rPr>
            </w:pPr>
            <w:hyperlink r:id="rId65" w:history="1">
              <w:r w:rsidR="00DC1C5C" w:rsidRPr="000E7C5E">
                <w:rPr>
                  <w:rFonts w:cs="Segoe UI Light"/>
                </w:rPr>
                <w:t>Conservation of coastal ecosystems in protected areas</w:t>
              </w:r>
            </w:hyperlink>
            <w:r w:rsidR="00DC1C5C" w:rsidRPr="00DC1C5C">
              <w:rPr>
                <w:rFonts w:cs="Segoe UI Light"/>
                <w:sz w:val="18"/>
              </w:rPr>
              <w:t xml:space="preserve"> </w:t>
            </w:r>
          </w:p>
        </w:tc>
        <w:tc>
          <w:tcPr>
            <w:tcW w:w="532" w:type="pct"/>
            <w:tcBorders>
              <w:top w:val="single" w:sz="4" w:space="0" w:color="000000" w:themeColor="text1"/>
              <w:left w:val="nil"/>
              <w:bottom w:val="single" w:sz="4" w:space="0" w:color="000000" w:themeColor="text1"/>
              <w:right w:val="nil"/>
            </w:tcBorders>
            <w:hideMark/>
          </w:tcPr>
          <w:p w14:paraId="656B0D05" w14:textId="77777777" w:rsidR="00DC1C5C" w:rsidRPr="00DC1C5C" w:rsidRDefault="00DC1C5C" w:rsidP="00DC1C5C">
            <w:pPr>
              <w:spacing w:after="0"/>
              <w:rPr>
                <w:rFonts w:cs="Segoe UI Light"/>
                <w:sz w:val="18"/>
              </w:rPr>
            </w:pPr>
            <w:r w:rsidRPr="00DC1C5C">
              <w:rPr>
                <w:rFonts w:cs="Segoe UI Light"/>
                <w:sz w:val="18"/>
              </w:rPr>
              <w:t xml:space="preserve">Fair </w:t>
            </w:r>
          </w:p>
        </w:tc>
        <w:tc>
          <w:tcPr>
            <w:tcW w:w="742" w:type="pct"/>
            <w:tcBorders>
              <w:top w:val="single" w:sz="4" w:space="0" w:color="000000" w:themeColor="text1"/>
              <w:left w:val="nil"/>
              <w:bottom w:val="single" w:sz="4" w:space="0" w:color="000000" w:themeColor="text1"/>
              <w:right w:val="nil"/>
            </w:tcBorders>
            <w:hideMark/>
          </w:tcPr>
          <w:p w14:paraId="656B0D06" w14:textId="77777777" w:rsidR="00DC1C5C" w:rsidRPr="000D0764" w:rsidRDefault="00DC1C5C" w:rsidP="00DC1C5C">
            <w:pPr>
              <w:spacing w:after="0"/>
              <w:rPr>
                <w:rFonts w:cs="Segoe UI Light"/>
                <w:sz w:val="18"/>
              </w:rPr>
            </w:pPr>
            <w:r w:rsidRPr="000D0764">
              <w:rPr>
                <w:rFonts w:cs="Segoe UI Light"/>
                <w:sz w:val="18"/>
              </w:rPr>
              <w:t xml:space="preserve">Stable </w:t>
            </w:r>
          </w:p>
        </w:tc>
        <w:tc>
          <w:tcPr>
            <w:tcW w:w="673" w:type="pct"/>
            <w:tcBorders>
              <w:top w:val="single" w:sz="4" w:space="0" w:color="000000" w:themeColor="text1"/>
              <w:left w:val="nil"/>
              <w:bottom w:val="single" w:sz="4" w:space="0" w:color="000000" w:themeColor="text1"/>
              <w:right w:val="nil"/>
            </w:tcBorders>
            <w:hideMark/>
          </w:tcPr>
          <w:p w14:paraId="656B0D07" w14:textId="77777777" w:rsidR="00DC1C5C" w:rsidRPr="000D0764" w:rsidRDefault="00DC1C5C" w:rsidP="00DC1C5C">
            <w:pPr>
              <w:spacing w:after="0"/>
              <w:rPr>
                <w:rFonts w:cs="Segoe UI Light"/>
                <w:sz w:val="18"/>
              </w:rPr>
            </w:pPr>
            <w:r w:rsidRPr="000D0764">
              <w:rPr>
                <w:rFonts w:cs="Segoe UI Light"/>
                <w:sz w:val="18"/>
              </w:rPr>
              <w:t xml:space="preserve">Fair </w:t>
            </w:r>
          </w:p>
        </w:tc>
      </w:tr>
      <w:tr w:rsidR="00DC1C5C" w:rsidRPr="000D0764" w14:paraId="656B0D0D" w14:textId="77777777" w:rsidTr="00DC1C5C">
        <w:tc>
          <w:tcPr>
            <w:tcW w:w="3053" w:type="pct"/>
            <w:tcBorders>
              <w:top w:val="single" w:sz="4" w:space="0" w:color="000000" w:themeColor="text1"/>
              <w:left w:val="nil"/>
              <w:bottom w:val="single" w:sz="4" w:space="0" w:color="000000" w:themeColor="text1"/>
              <w:right w:val="nil"/>
            </w:tcBorders>
            <w:hideMark/>
          </w:tcPr>
          <w:p w14:paraId="656B0D09" w14:textId="77777777" w:rsidR="00DC1C5C" w:rsidRPr="00DC1C5C" w:rsidRDefault="009144CD" w:rsidP="00DC1C5C">
            <w:pPr>
              <w:spacing w:after="0"/>
              <w:rPr>
                <w:rFonts w:cs="Segoe UI Light"/>
                <w:sz w:val="18"/>
              </w:rPr>
            </w:pPr>
            <w:hyperlink r:id="rId66" w:history="1">
              <w:r w:rsidR="00DC1C5C" w:rsidRPr="000E7C5E">
                <w:rPr>
                  <w:rFonts w:cs="Segoe UI Light"/>
                </w:rPr>
                <w:t>Conservation of marine ecosystems in protected areas</w:t>
              </w:r>
            </w:hyperlink>
            <w:r w:rsidR="00DC1C5C" w:rsidRPr="00DC1C5C">
              <w:rPr>
                <w:rFonts w:cs="Segoe UI Light"/>
                <w:sz w:val="18"/>
              </w:rPr>
              <w:t xml:space="preserve"> </w:t>
            </w:r>
          </w:p>
        </w:tc>
        <w:tc>
          <w:tcPr>
            <w:tcW w:w="532" w:type="pct"/>
            <w:tcBorders>
              <w:top w:val="single" w:sz="4" w:space="0" w:color="000000" w:themeColor="text1"/>
              <w:left w:val="nil"/>
              <w:bottom w:val="single" w:sz="4" w:space="0" w:color="000000" w:themeColor="text1"/>
              <w:right w:val="nil"/>
            </w:tcBorders>
            <w:hideMark/>
          </w:tcPr>
          <w:p w14:paraId="656B0D0A" w14:textId="77777777" w:rsidR="00DC1C5C" w:rsidRPr="00DC1C5C" w:rsidRDefault="00DC1C5C" w:rsidP="00DC1C5C">
            <w:pPr>
              <w:spacing w:after="0"/>
              <w:rPr>
                <w:rFonts w:cs="Segoe UI Light"/>
                <w:sz w:val="18"/>
              </w:rPr>
            </w:pPr>
            <w:r w:rsidRPr="00DC1C5C">
              <w:rPr>
                <w:rFonts w:cs="Segoe UI Light"/>
                <w:sz w:val="18"/>
              </w:rPr>
              <w:t xml:space="preserve">Mixed </w:t>
            </w:r>
          </w:p>
        </w:tc>
        <w:tc>
          <w:tcPr>
            <w:tcW w:w="742" w:type="pct"/>
            <w:tcBorders>
              <w:top w:val="single" w:sz="4" w:space="0" w:color="000000" w:themeColor="text1"/>
              <w:left w:val="nil"/>
              <w:bottom w:val="single" w:sz="4" w:space="0" w:color="000000" w:themeColor="text1"/>
              <w:right w:val="nil"/>
            </w:tcBorders>
            <w:hideMark/>
          </w:tcPr>
          <w:p w14:paraId="656B0D0B" w14:textId="77777777" w:rsidR="00DC1C5C" w:rsidRPr="000D0764" w:rsidRDefault="00DC1C5C" w:rsidP="00DC1C5C">
            <w:pPr>
              <w:spacing w:after="0"/>
              <w:rPr>
                <w:rFonts w:cs="Segoe UI Light"/>
                <w:sz w:val="18"/>
              </w:rPr>
            </w:pPr>
            <w:r w:rsidRPr="000D0764">
              <w:rPr>
                <w:rFonts w:cs="Segoe UI Light"/>
                <w:sz w:val="18"/>
              </w:rPr>
              <w:t xml:space="preserve">Stable </w:t>
            </w:r>
          </w:p>
        </w:tc>
        <w:tc>
          <w:tcPr>
            <w:tcW w:w="673" w:type="pct"/>
            <w:tcBorders>
              <w:top w:val="single" w:sz="4" w:space="0" w:color="000000" w:themeColor="text1"/>
              <w:left w:val="nil"/>
              <w:bottom w:val="single" w:sz="4" w:space="0" w:color="000000" w:themeColor="text1"/>
              <w:right w:val="nil"/>
            </w:tcBorders>
            <w:hideMark/>
          </w:tcPr>
          <w:p w14:paraId="656B0D0C" w14:textId="77777777" w:rsidR="00DC1C5C" w:rsidRPr="000D0764" w:rsidRDefault="00DC1C5C" w:rsidP="00DC1C5C">
            <w:pPr>
              <w:spacing w:after="0"/>
              <w:rPr>
                <w:rFonts w:cs="Segoe UI Light"/>
                <w:sz w:val="18"/>
              </w:rPr>
            </w:pPr>
            <w:r w:rsidRPr="000D0764">
              <w:rPr>
                <w:rFonts w:cs="Segoe UI Light"/>
                <w:sz w:val="18"/>
              </w:rPr>
              <w:t xml:space="preserve">Good </w:t>
            </w:r>
          </w:p>
        </w:tc>
      </w:tr>
      <w:tr w:rsidR="00DC1C5C" w:rsidRPr="000D0764" w14:paraId="656B0D12" w14:textId="77777777" w:rsidTr="00DC1C5C">
        <w:tc>
          <w:tcPr>
            <w:tcW w:w="3053" w:type="pct"/>
            <w:tcBorders>
              <w:top w:val="single" w:sz="4" w:space="0" w:color="000000" w:themeColor="text1"/>
              <w:left w:val="nil"/>
              <w:bottom w:val="single" w:sz="4" w:space="0" w:color="000000" w:themeColor="text1"/>
              <w:right w:val="nil"/>
            </w:tcBorders>
            <w:hideMark/>
          </w:tcPr>
          <w:p w14:paraId="656B0D0E" w14:textId="77777777" w:rsidR="00DC1C5C" w:rsidRPr="00DC1C5C" w:rsidRDefault="009144CD" w:rsidP="00DC1C5C">
            <w:pPr>
              <w:spacing w:after="0"/>
              <w:rPr>
                <w:rFonts w:cs="Segoe UI Light"/>
                <w:sz w:val="18"/>
              </w:rPr>
            </w:pPr>
            <w:hyperlink r:id="rId67" w:history="1">
              <w:r w:rsidR="00DC1C5C" w:rsidRPr="000E7C5E">
                <w:rPr>
                  <w:rFonts w:cs="Segoe UI Light"/>
                </w:rPr>
                <w:t>Enterococci bacteria</w:t>
              </w:r>
            </w:hyperlink>
            <w:r w:rsidR="00DC1C5C" w:rsidRPr="000E7C5E">
              <w:footnoteReference w:id="252"/>
            </w:r>
          </w:p>
        </w:tc>
        <w:tc>
          <w:tcPr>
            <w:tcW w:w="532" w:type="pct"/>
            <w:tcBorders>
              <w:top w:val="single" w:sz="4" w:space="0" w:color="000000" w:themeColor="text1"/>
              <w:left w:val="nil"/>
              <w:bottom w:val="single" w:sz="4" w:space="0" w:color="000000" w:themeColor="text1"/>
              <w:right w:val="nil"/>
            </w:tcBorders>
            <w:hideMark/>
          </w:tcPr>
          <w:p w14:paraId="656B0D0F" w14:textId="77777777" w:rsidR="00DC1C5C" w:rsidRPr="00DC1C5C" w:rsidRDefault="00DC1C5C" w:rsidP="00DC1C5C">
            <w:pPr>
              <w:spacing w:after="0"/>
              <w:rPr>
                <w:rFonts w:cs="Segoe UI Light"/>
                <w:sz w:val="18"/>
              </w:rPr>
            </w:pPr>
            <w:r w:rsidRPr="00DC1C5C">
              <w:rPr>
                <w:rFonts w:cs="Segoe UI Light"/>
                <w:sz w:val="18"/>
              </w:rPr>
              <w:t xml:space="preserve">Mixed </w:t>
            </w:r>
          </w:p>
        </w:tc>
        <w:tc>
          <w:tcPr>
            <w:tcW w:w="742" w:type="pct"/>
            <w:tcBorders>
              <w:top w:val="single" w:sz="4" w:space="0" w:color="000000" w:themeColor="text1"/>
              <w:left w:val="nil"/>
              <w:bottom w:val="single" w:sz="4" w:space="0" w:color="000000" w:themeColor="text1"/>
              <w:right w:val="nil"/>
            </w:tcBorders>
            <w:hideMark/>
          </w:tcPr>
          <w:p w14:paraId="656B0D10" w14:textId="77777777" w:rsidR="00DC1C5C" w:rsidRPr="000D0764" w:rsidRDefault="00DC1C5C" w:rsidP="00DC1C5C">
            <w:pPr>
              <w:spacing w:after="0"/>
              <w:rPr>
                <w:rFonts w:cs="Segoe UI Light"/>
                <w:sz w:val="18"/>
              </w:rPr>
            </w:pPr>
            <w:r w:rsidRPr="000D0764">
              <w:rPr>
                <w:rFonts w:cs="Segoe UI Light"/>
                <w:sz w:val="18"/>
              </w:rPr>
              <w:t xml:space="preserve">Mixed </w:t>
            </w:r>
          </w:p>
        </w:tc>
        <w:tc>
          <w:tcPr>
            <w:tcW w:w="673" w:type="pct"/>
            <w:tcBorders>
              <w:top w:val="single" w:sz="4" w:space="0" w:color="000000" w:themeColor="text1"/>
              <w:left w:val="nil"/>
              <w:bottom w:val="single" w:sz="4" w:space="0" w:color="000000" w:themeColor="text1"/>
              <w:right w:val="nil"/>
            </w:tcBorders>
            <w:hideMark/>
          </w:tcPr>
          <w:p w14:paraId="656B0D11" w14:textId="77777777" w:rsidR="00DC1C5C" w:rsidRPr="000D0764" w:rsidRDefault="00DC1C5C" w:rsidP="00DC1C5C">
            <w:pPr>
              <w:spacing w:after="0"/>
              <w:rPr>
                <w:rFonts w:cs="Segoe UI Light"/>
                <w:sz w:val="18"/>
              </w:rPr>
            </w:pPr>
            <w:r w:rsidRPr="000D0764">
              <w:rPr>
                <w:rFonts w:cs="Segoe UI Light"/>
                <w:sz w:val="18"/>
              </w:rPr>
              <w:t xml:space="preserve">Mixed </w:t>
            </w:r>
          </w:p>
        </w:tc>
      </w:tr>
      <w:tr w:rsidR="00DC1C5C" w:rsidRPr="000D0764" w14:paraId="656B0D17" w14:textId="77777777" w:rsidTr="00DC1C5C">
        <w:tc>
          <w:tcPr>
            <w:tcW w:w="3053" w:type="pct"/>
            <w:tcBorders>
              <w:top w:val="single" w:sz="4" w:space="0" w:color="000000" w:themeColor="text1"/>
              <w:left w:val="nil"/>
              <w:bottom w:val="single" w:sz="4" w:space="0" w:color="000000" w:themeColor="text1"/>
              <w:right w:val="nil"/>
            </w:tcBorders>
            <w:hideMark/>
          </w:tcPr>
          <w:p w14:paraId="656B0D13" w14:textId="77777777" w:rsidR="00DC1C5C" w:rsidRPr="00DC1C5C" w:rsidRDefault="009144CD" w:rsidP="00DC1C5C">
            <w:pPr>
              <w:spacing w:after="0"/>
              <w:rPr>
                <w:rFonts w:cs="Segoe UI Light"/>
                <w:sz w:val="18"/>
              </w:rPr>
            </w:pPr>
            <w:hyperlink r:id="rId68" w:history="1">
              <w:r w:rsidR="00DC1C5C" w:rsidRPr="000E7C5E">
                <w:rPr>
                  <w:rFonts w:cs="Segoe UI Light"/>
                </w:rPr>
                <w:t>Estuarine condition</w:t>
              </w:r>
            </w:hyperlink>
            <w:r w:rsidR="00DC1C5C" w:rsidRPr="00DC1C5C">
              <w:rPr>
                <w:rFonts w:cs="Segoe UI Light"/>
                <w:sz w:val="18"/>
              </w:rPr>
              <w:t xml:space="preserve"> </w:t>
            </w:r>
          </w:p>
        </w:tc>
        <w:tc>
          <w:tcPr>
            <w:tcW w:w="532" w:type="pct"/>
            <w:tcBorders>
              <w:top w:val="single" w:sz="4" w:space="0" w:color="000000" w:themeColor="text1"/>
              <w:left w:val="nil"/>
              <w:bottom w:val="single" w:sz="4" w:space="0" w:color="000000" w:themeColor="text1"/>
              <w:right w:val="nil"/>
            </w:tcBorders>
            <w:hideMark/>
          </w:tcPr>
          <w:p w14:paraId="656B0D14" w14:textId="77777777" w:rsidR="00DC1C5C" w:rsidRPr="00DC1C5C" w:rsidRDefault="00DC1C5C" w:rsidP="00DC1C5C">
            <w:pPr>
              <w:spacing w:after="0"/>
              <w:rPr>
                <w:rFonts w:cs="Segoe UI Light"/>
                <w:sz w:val="18"/>
              </w:rPr>
            </w:pPr>
            <w:r w:rsidRPr="00DC1C5C">
              <w:rPr>
                <w:rFonts w:cs="Segoe UI Light"/>
                <w:sz w:val="18"/>
              </w:rPr>
              <w:t xml:space="preserve">Unknown </w:t>
            </w:r>
          </w:p>
        </w:tc>
        <w:tc>
          <w:tcPr>
            <w:tcW w:w="742" w:type="pct"/>
            <w:tcBorders>
              <w:top w:val="single" w:sz="4" w:space="0" w:color="000000" w:themeColor="text1"/>
              <w:left w:val="nil"/>
              <w:bottom w:val="single" w:sz="4" w:space="0" w:color="000000" w:themeColor="text1"/>
              <w:right w:val="nil"/>
            </w:tcBorders>
            <w:hideMark/>
          </w:tcPr>
          <w:p w14:paraId="656B0D15" w14:textId="77777777" w:rsidR="00DC1C5C" w:rsidRPr="000D0764" w:rsidRDefault="00DC1C5C" w:rsidP="00DC1C5C">
            <w:pPr>
              <w:spacing w:after="0"/>
              <w:rPr>
                <w:rFonts w:cs="Segoe UI Light"/>
                <w:sz w:val="18"/>
              </w:rPr>
            </w:pPr>
            <w:r w:rsidRPr="000D0764">
              <w:rPr>
                <w:rFonts w:cs="Segoe UI Light"/>
                <w:sz w:val="18"/>
              </w:rPr>
              <w:t xml:space="preserve">Unclear </w:t>
            </w:r>
          </w:p>
        </w:tc>
        <w:tc>
          <w:tcPr>
            <w:tcW w:w="673" w:type="pct"/>
            <w:tcBorders>
              <w:top w:val="single" w:sz="4" w:space="0" w:color="000000" w:themeColor="text1"/>
              <w:left w:val="nil"/>
              <w:bottom w:val="single" w:sz="4" w:space="0" w:color="000000" w:themeColor="text1"/>
              <w:right w:val="nil"/>
            </w:tcBorders>
            <w:hideMark/>
          </w:tcPr>
          <w:p w14:paraId="656B0D16" w14:textId="77777777" w:rsidR="00DC1C5C" w:rsidRPr="000D0764" w:rsidRDefault="00DC1C5C" w:rsidP="00DC1C5C">
            <w:pPr>
              <w:spacing w:after="0"/>
              <w:rPr>
                <w:rFonts w:cs="Segoe UI Light"/>
                <w:sz w:val="18"/>
              </w:rPr>
            </w:pPr>
            <w:r w:rsidRPr="000D0764">
              <w:rPr>
                <w:rFonts w:cs="Segoe UI Light"/>
                <w:sz w:val="18"/>
              </w:rPr>
              <w:t xml:space="preserve">Poor </w:t>
            </w:r>
          </w:p>
        </w:tc>
      </w:tr>
      <w:tr w:rsidR="00DC1C5C" w:rsidRPr="000D0764" w14:paraId="656B0D1C" w14:textId="77777777" w:rsidTr="00DC1C5C">
        <w:tc>
          <w:tcPr>
            <w:tcW w:w="3053" w:type="pct"/>
            <w:tcBorders>
              <w:top w:val="single" w:sz="4" w:space="0" w:color="000000" w:themeColor="text1"/>
              <w:left w:val="nil"/>
              <w:bottom w:val="single" w:sz="4" w:space="0" w:color="000000" w:themeColor="text1"/>
              <w:right w:val="nil"/>
            </w:tcBorders>
            <w:hideMark/>
          </w:tcPr>
          <w:p w14:paraId="656B0D18" w14:textId="77777777" w:rsidR="00DC1C5C" w:rsidRPr="00DC1C5C" w:rsidRDefault="009144CD" w:rsidP="00DC1C5C">
            <w:pPr>
              <w:spacing w:after="0"/>
              <w:rPr>
                <w:rFonts w:cs="Segoe UI Light"/>
                <w:sz w:val="18"/>
              </w:rPr>
            </w:pPr>
            <w:hyperlink r:id="rId69" w:history="1">
              <w:r w:rsidR="00DC1C5C" w:rsidRPr="000E7C5E">
                <w:rPr>
                  <w:rFonts w:cs="Segoe UI Light"/>
                </w:rPr>
                <w:t>Harmful algae blooms</w:t>
              </w:r>
            </w:hyperlink>
            <w:r w:rsidR="00DC1C5C" w:rsidRPr="00DC1C5C">
              <w:rPr>
                <w:rFonts w:cs="Segoe UI Light"/>
                <w:sz w:val="18"/>
              </w:rPr>
              <w:t xml:space="preserve"> </w:t>
            </w:r>
          </w:p>
        </w:tc>
        <w:tc>
          <w:tcPr>
            <w:tcW w:w="532" w:type="pct"/>
            <w:tcBorders>
              <w:top w:val="single" w:sz="4" w:space="0" w:color="000000" w:themeColor="text1"/>
              <w:left w:val="nil"/>
              <w:bottom w:val="single" w:sz="4" w:space="0" w:color="000000" w:themeColor="text1"/>
              <w:right w:val="nil"/>
            </w:tcBorders>
            <w:hideMark/>
          </w:tcPr>
          <w:p w14:paraId="656B0D19" w14:textId="77777777" w:rsidR="00DC1C5C" w:rsidRPr="00DC1C5C" w:rsidRDefault="00DC1C5C" w:rsidP="00DC1C5C">
            <w:pPr>
              <w:spacing w:after="0"/>
              <w:rPr>
                <w:rFonts w:cs="Segoe UI Light"/>
                <w:sz w:val="18"/>
              </w:rPr>
            </w:pPr>
            <w:r w:rsidRPr="00DC1C5C">
              <w:rPr>
                <w:rFonts w:cs="Segoe UI Light"/>
                <w:sz w:val="18"/>
              </w:rPr>
              <w:t xml:space="preserve">Mixed </w:t>
            </w:r>
          </w:p>
        </w:tc>
        <w:tc>
          <w:tcPr>
            <w:tcW w:w="742" w:type="pct"/>
            <w:tcBorders>
              <w:top w:val="single" w:sz="4" w:space="0" w:color="000000" w:themeColor="text1"/>
              <w:left w:val="nil"/>
              <w:bottom w:val="single" w:sz="4" w:space="0" w:color="000000" w:themeColor="text1"/>
              <w:right w:val="nil"/>
            </w:tcBorders>
            <w:hideMark/>
          </w:tcPr>
          <w:p w14:paraId="656B0D1A" w14:textId="77777777" w:rsidR="00DC1C5C" w:rsidRPr="000D0764" w:rsidRDefault="00DC1C5C" w:rsidP="00DC1C5C">
            <w:pPr>
              <w:spacing w:after="0"/>
              <w:rPr>
                <w:rFonts w:cs="Segoe UI Light"/>
                <w:sz w:val="18"/>
              </w:rPr>
            </w:pPr>
            <w:r w:rsidRPr="000D0764">
              <w:rPr>
                <w:rFonts w:cs="Segoe UI Light"/>
                <w:sz w:val="18"/>
              </w:rPr>
              <w:t xml:space="preserve">Mixed </w:t>
            </w:r>
          </w:p>
        </w:tc>
        <w:tc>
          <w:tcPr>
            <w:tcW w:w="673" w:type="pct"/>
            <w:tcBorders>
              <w:top w:val="single" w:sz="4" w:space="0" w:color="000000" w:themeColor="text1"/>
              <w:left w:val="nil"/>
              <w:bottom w:val="single" w:sz="4" w:space="0" w:color="000000" w:themeColor="text1"/>
              <w:right w:val="nil"/>
            </w:tcBorders>
            <w:hideMark/>
          </w:tcPr>
          <w:p w14:paraId="656B0D1B" w14:textId="77777777" w:rsidR="00DC1C5C" w:rsidRPr="000D0764" w:rsidRDefault="00DC1C5C" w:rsidP="00DC1C5C">
            <w:pPr>
              <w:spacing w:after="0"/>
              <w:rPr>
                <w:rFonts w:cs="Segoe UI Light"/>
                <w:sz w:val="18"/>
              </w:rPr>
            </w:pPr>
            <w:r w:rsidRPr="000D0764">
              <w:rPr>
                <w:rFonts w:cs="Segoe UI Light"/>
                <w:sz w:val="18"/>
              </w:rPr>
              <w:t xml:space="preserve">Mixed </w:t>
            </w:r>
          </w:p>
        </w:tc>
      </w:tr>
      <w:tr w:rsidR="00DC1C5C" w:rsidRPr="000D0764" w14:paraId="656B0D21" w14:textId="77777777" w:rsidTr="00DC1C5C">
        <w:tc>
          <w:tcPr>
            <w:tcW w:w="3053" w:type="pct"/>
            <w:tcBorders>
              <w:top w:val="single" w:sz="4" w:space="0" w:color="000000" w:themeColor="text1"/>
              <w:left w:val="nil"/>
              <w:bottom w:val="single" w:sz="4" w:space="0" w:color="000000" w:themeColor="text1"/>
              <w:right w:val="nil"/>
            </w:tcBorders>
            <w:hideMark/>
          </w:tcPr>
          <w:p w14:paraId="656B0D1D" w14:textId="77777777" w:rsidR="00DC1C5C" w:rsidRPr="00DC1C5C" w:rsidRDefault="009144CD" w:rsidP="00DC1C5C">
            <w:pPr>
              <w:spacing w:after="0"/>
              <w:rPr>
                <w:rFonts w:cs="Segoe UI Light"/>
                <w:sz w:val="18"/>
              </w:rPr>
            </w:pPr>
            <w:hyperlink r:id="rId70" w:history="1">
              <w:r w:rsidR="00DC1C5C" w:rsidRPr="000E7C5E">
                <w:rPr>
                  <w:rFonts w:cs="Segoe UI Light"/>
                </w:rPr>
                <w:t>Point source discharges to marine waters</w:t>
              </w:r>
            </w:hyperlink>
            <w:r w:rsidR="00DC1C5C" w:rsidRPr="00DC1C5C">
              <w:rPr>
                <w:rFonts w:cs="Segoe UI Light"/>
                <w:sz w:val="18"/>
              </w:rPr>
              <w:t xml:space="preserve"> </w:t>
            </w:r>
          </w:p>
        </w:tc>
        <w:tc>
          <w:tcPr>
            <w:tcW w:w="532" w:type="pct"/>
            <w:tcBorders>
              <w:top w:val="single" w:sz="4" w:space="0" w:color="000000" w:themeColor="text1"/>
              <w:left w:val="nil"/>
              <w:bottom w:val="single" w:sz="4" w:space="0" w:color="000000" w:themeColor="text1"/>
              <w:right w:val="nil"/>
            </w:tcBorders>
            <w:hideMark/>
          </w:tcPr>
          <w:p w14:paraId="656B0D1E" w14:textId="77777777" w:rsidR="00DC1C5C" w:rsidRPr="00DC1C5C" w:rsidRDefault="00DC1C5C" w:rsidP="00DC1C5C">
            <w:pPr>
              <w:spacing w:after="0"/>
              <w:rPr>
                <w:rFonts w:cs="Segoe UI Light"/>
                <w:sz w:val="18"/>
              </w:rPr>
            </w:pPr>
            <w:r w:rsidRPr="00DC1C5C">
              <w:rPr>
                <w:rFonts w:cs="Segoe UI Light"/>
                <w:sz w:val="18"/>
              </w:rPr>
              <w:t xml:space="preserve">Unknown </w:t>
            </w:r>
          </w:p>
        </w:tc>
        <w:tc>
          <w:tcPr>
            <w:tcW w:w="742" w:type="pct"/>
            <w:tcBorders>
              <w:top w:val="single" w:sz="4" w:space="0" w:color="000000" w:themeColor="text1"/>
              <w:left w:val="nil"/>
              <w:bottom w:val="single" w:sz="4" w:space="0" w:color="000000" w:themeColor="text1"/>
              <w:right w:val="nil"/>
            </w:tcBorders>
            <w:hideMark/>
          </w:tcPr>
          <w:p w14:paraId="656B0D1F" w14:textId="77777777" w:rsidR="00DC1C5C" w:rsidRPr="000D0764" w:rsidRDefault="00DC1C5C" w:rsidP="00DC1C5C">
            <w:pPr>
              <w:spacing w:after="0"/>
              <w:rPr>
                <w:rFonts w:cs="Segoe UI Light"/>
                <w:sz w:val="18"/>
              </w:rPr>
            </w:pPr>
            <w:r w:rsidRPr="000D0764">
              <w:rPr>
                <w:rFonts w:cs="Segoe UI Light"/>
                <w:sz w:val="18"/>
              </w:rPr>
              <w:t xml:space="preserve">Unclear </w:t>
            </w:r>
          </w:p>
        </w:tc>
        <w:tc>
          <w:tcPr>
            <w:tcW w:w="673" w:type="pct"/>
            <w:tcBorders>
              <w:top w:val="single" w:sz="4" w:space="0" w:color="000000" w:themeColor="text1"/>
              <w:left w:val="nil"/>
              <w:bottom w:val="single" w:sz="4" w:space="0" w:color="000000" w:themeColor="text1"/>
              <w:right w:val="nil"/>
            </w:tcBorders>
            <w:hideMark/>
          </w:tcPr>
          <w:p w14:paraId="656B0D20" w14:textId="77777777" w:rsidR="00DC1C5C" w:rsidRPr="000D0764" w:rsidRDefault="00DC1C5C" w:rsidP="00DC1C5C">
            <w:pPr>
              <w:spacing w:after="0"/>
              <w:rPr>
                <w:rFonts w:cs="Segoe UI Light"/>
                <w:sz w:val="18"/>
              </w:rPr>
            </w:pPr>
            <w:r w:rsidRPr="000D0764">
              <w:rPr>
                <w:rFonts w:cs="Segoe UI Light"/>
                <w:sz w:val="18"/>
              </w:rPr>
              <w:t>Mixed</w:t>
            </w:r>
          </w:p>
        </w:tc>
      </w:tr>
    </w:tbl>
    <w:p w14:paraId="656B0D22" w14:textId="77777777" w:rsidR="00DC1C5C" w:rsidRPr="000D0764" w:rsidRDefault="00DC1C5C" w:rsidP="00DC1C5C">
      <w:pPr>
        <w:mirrorIndents/>
      </w:pPr>
    </w:p>
    <w:p w14:paraId="656B0D23" w14:textId="77777777" w:rsidR="00DC1C5C" w:rsidRPr="000D0764" w:rsidRDefault="00DC1C5C" w:rsidP="000675FF">
      <w:pPr>
        <w:pStyle w:val="Heading3"/>
        <w:ind w:left="720"/>
      </w:pPr>
      <w:r w:rsidRPr="000D0764">
        <w:t>Harms</w:t>
      </w:r>
    </w:p>
    <w:p w14:paraId="656B0D24" w14:textId="77777777" w:rsidR="00DC1C5C" w:rsidRPr="000D0764" w:rsidRDefault="00DC1C5C" w:rsidP="00DC1C5C">
      <w:pPr>
        <w:mirrorIndents/>
        <w:rPr>
          <w:rFonts w:cs="Segoe UI Light"/>
        </w:rPr>
      </w:pPr>
      <w:r w:rsidRPr="000D0764">
        <w:rPr>
          <w:rFonts w:cs="Segoe UI Light"/>
          <w:szCs w:val="20"/>
        </w:rPr>
        <w:t>As observed in the SoE 2018 Report, water quality is fundamental to biodiversity, and to the health of people, animals and the environment.</w:t>
      </w:r>
      <w:r w:rsidRPr="00791DC5">
        <w:rPr>
          <w:rStyle w:val="FootnoteReference"/>
          <w:rFonts w:cs="Segoe UI Light"/>
          <w:szCs w:val="20"/>
        </w:rPr>
        <w:footnoteReference w:id="253"/>
      </w:r>
      <w:r w:rsidRPr="00791DC5">
        <w:rPr>
          <w:rFonts w:cs="Segoe UI Light"/>
          <w:szCs w:val="20"/>
        </w:rPr>
        <w:t xml:space="preserve"> </w:t>
      </w:r>
      <w:r w:rsidR="00D23DA1">
        <w:rPr>
          <w:rFonts w:cs="Segoe UI Light"/>
          <w:color w:val="2B579A"/>
          <w:szCs w:val="20"/>
          <w:shd w:val="clear" w:color="auto" w:fill="E6E6E6"/>
        </w:rPr>
        <w:fldChar w:fldCharType="begin"/>
      </w:r>
      <w:r w:rsidR="00D23DA1">
        <w:rPr>
          <w:rFonts w:cs="Segoe UI Light"/>
          <w:szCs w:val="20"/>
        </w:rPr>
        <w:instrText xml:space="preserve"> REF _Ref10013297 \h </w:instrText>
      </w:r>
      <w:r w:rsidR="00D23DA1">
        <w:rPr>
          <w:rFonts w:cs="Segoe UI Light"/>
          <w:color w:val="2B579A"/>
          <w:szCs w:val="20"/>
          <w:shd w:val="clear" w:color="auto" w:fill="E6E6E6"/>
        </w:rPr>
      </w:r>
      <w:r w:rsidR="00D23DA1">
        <w:rPr>
          <w:rFonts w:cs="Segoe UI Light"/>
          <w:color w:val="2B579A"/>
          <w:szCs w:val="20"/>
          <w:shd w:val="clear" w:color="auto" w:fill="E6E6E6"/>
        </w:rPr>
        <w:fldChar w:fldCharType="separate"/>
      </w:r>
      <w:r w:rsidR="00B51904" w:rsidRPr="000D0764">
        <w:t xml:space="preserve">Table </w:t>
      </w:r>
      <w:r w:rsidR="00B51904">
        <w:rPr>
          <w:noProof/>
        </w:rPr>
        <w:t>13</w:t>
      </w:r>
      <w:r w:rsidR="00B51904" w:rsidRPr="00791DC5">
        <w:noBreakHyphen/>
      </w:r>
      <w:r w:rsidR="00B51904">
        <w:rPr>
          <w:noProof/>
        </w:rPr>
        <w:t>4</w:t>
      </w:r>
      <w:r w:rsidR="00D23DA1">
        <w:rPr>
          <w:rFonts w:cs="Segoe UI Light"/>
          <w:color w:val="2B579A"/>
          <w:szCs w:val="20"/>
          <w:shd w:val="clear" w:color="auto" w:fill="E6E6E6"/>
        </w:rPr>
        <w:fldChar w:fldCharType="end"/>
      </w:r>
      <w:r w:rsidRPr="00791DC5">
        <w:t xml:space="preserve"> </w:t>
      </w:r>
      <w:r w:rsidRPr="000D0764">
        <w:rPr>
          <w:rFonts w:cs="Segoe UI Light"/>
        </w:rPr>
        <w:t>p</w:t>
      </w:r>
      <w:r w:rsidRPr="00791DC5">
        <w:rPr>
          <w:rFonts w:cs="Segoe UI Light"/>
        </w:rPr>
        <w:t xml:space="preserve">resents various harms caused by different water quality issues. </w:t>
      </w:r>
    </w:p>
    <w:p w14:paraId="656B0D25" w14:textId="77777777" w:rsidR="00DC1C5C" w:rsidRPr="000D0764" w:rsidRDefault="00DC1C5C" w:rsidP="00DC1C5C">
      <w:pPr>
        <w:pStyle w:val="2Source"/>
      </w:pPr>
      <w:bookmarkStart w:id="1650" w:name="_Ref10013297"/>
      <w:bookmarkStart w:id="1651" w:name="_Ref8025883"/>
      <w:bookmarkStart w:id="1652" w:name="_Ref10013264"/>
      <w:r w:rsidRPr="000D0764">
        <w:t xml:space="preserve">Table </w:t>
      </w:r>
      <w:r w:rsidRPr="000D0764">
        <w:rPr>
          <w:color w:val="2B579A"/>
          <w:shd w:val="clear" w:color="auto" w:fill="E6E6E6"/>
        </w:rPr>
        <w:fldChar w:fldCharType="begin"/>
      </w:r>
      <w:r w:rsidRPr="000D0764">
        <w:instrText xml:space="preserve"> STYLEREF 1 \s </w:instrText>
      </w:r>
      <w:r w:rsidRPr="000D0764">
        <w:rPr>
          <w:color w:val="2B579A"/>
          <w:shd w:val="clear" w:color="auto" w:fill="E6E6E6"/>
        </w:rPr>
        <w:fldChar w:fldCharType="separate"/>
      </w:r>
      <w:r w:rsidR="00B11C1E">
        <w:rPr>
          <w:noProof/>
        </w:rPr>
        <w:t>13</w:t>
      </w:r>
      <w:r w:rsidRPr="000D0764">
        <w:rPr>
          <w:color w:val="2B579A"/>
          <w:shd w:val="clear" w:color="auto" w:fill="E6E6E6"/>
        </w:rPr>
        <w:fldChar w:fldCharType="end"/>
      </w:r>
      <w:r w:rsidRPr="00791DC5">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4</w:t>
      </w:r>
      <w:r w:rsidR="00997CFA">
        <w:rPr>
          <w:color w:val="2B579A"/>
          <w:shd w:val="clear" w:color="auto" w:fill="E6E6E6"/>
        </w:rPr>
        <w:fldChar w:fldCharType="end"/>
      </w:r>
      <w:bookmarkEnd w:id="1650"/>
      <w:bookmarkEnd w:id="1651"/>
      <w:r w:rsidRPr="00791DC5">
        <w:t xml:space="preserve"> </w:t>
      </w:r>
      <w:r w:rsidRPr="000D0764">
        <w:rPr>
          <w:sz w:val="20"/>
          <w:szCs w:val="20"/>
        </w:rPr>
        <w:t>Water quality issues, sources and harms</w:t>
      </w:r>
      <w:bookmarkEnd w:id="1652"/>
    </w:p>
    <w:tbl>
      <w:tblPr>
        <w:tblStyle w:val="Deloittetable"/>
        <w:tblW w:w="10050" w:type="dxa"/>
        <w:tblLook w:val="04A0" w:firstRow="1" w:lastRow="0" w:firstColumn="1" w:lastColumn="0" w:noHBand="0" w:noVBand="1"/>
      </w:tblPr>
      <w:tblGrid>
        <w:gridCol w:w="2048"/>
        <w:gridCol w:w="3518"/>
        <w:gridCol w:w="4484"/>
      </w:tblGrid>
      <w:tr w:rsidR="00DC1C5C" w:rsidRPr="000D0764" w14:paraId="656B0D29" w14:textId="77777777" w:rsidTr="000E7C5E">
        <w:trPr>
          <w:cnfStyle w:val="100000000000" w:firstRow="1" w:lastRow="0" w:firstColumn="0" w:lastColumn="0" w:oddVBand="0" w:evenVBand="0" w:oddHBand="0" w:evenHBand="0" w:firstRowFirstColumn="0" w:firstRowLastColumn="0" w:lastRowFirstColumn="0" w:lastRowLastColumn="0"/>
          <w:trHeight w:val="243"/>
          <w:tblHeader/>
        </w:trPr>
        <w:tc>
          <w:tcPr>
            <w:tcW w:w="2048" w:type="dxa"/>
            <w:tcBorders>
              <w:left w:val="nil"/>
              <w:bottom w:val="single" w:sz="4" w:space="0" w:color="000000" w:themeColor="text1"/>
              <w:right w:val="nil"/>
            </w:tcBorders>
            <w:hideMark/>
          </w:tcPr>
          <w:p w14:paraId="656B0D26" w14:textId="77777777" w:rsidR="00DC1C5C" w:rsidRPr="000D0764" w:rsidRDefault="00DC1C5C" w:rsidP="00DC1C5C">
            <w:pPr>
              <w:spacing w:after="0"/>
              <w:mirrorIndents/>
              <w:rPr>
                <w:rFonts w:cs="Segoe UI Light"/>
                <w:b/>
                <w:sz w:val="18"/>
              </w:rPr>
            </w:pPr>
            <w:r w:rsidRPr="000D0764">
              <w:rPr>
                <w:rFonts w:cs="Segoe UI Light"/>
                <w:b/>
                <w:sz w:val="18"/>
              </w:rPr>
              <w:t>Water quality issue</w:t>
            </w:r>
          </w:p>
        </w:tc>
        <w:tc>
          <w:tcPr>
            <w:tcW w:w="3518" w:type="dxa"/>
            <w:tcBorders>
              <w:left w:val="nil"/>
              <w:bottom w:val="single" w:sz="4" w:space="0" w:color="000000" w:themeColor="text1"/>
              <w:right w:val="nil"/>
            </w:tcBorders>
            <w:hideMark/>
          </w:tcPr>
          <w:p w14:paraId="656B0D27" w14:textId="77777777" w:rsidR="00DC1C5C" w:rsidRPr="000D0764" w:rsidRDefault="00DC1C5C" w:rsidP="00DC1C5C">
            <w:pPr>
              <w:spacing w:after="0"/>
              <w:mirrorIndents/>
              <w:rPr>
                <w:rFonts w:cs="Segoe UI Light"/>
                <w:b/>
                <w:sz w:val="18"/>
              </w:rPr>
            </w:pPr>
            <w:r w:rsidRPr="000D0764">
              <w:rPr>
                <w:rFonts w:cs="Segoe UI Light"/>
                <w:b/>
                <w:sz w:val="18"/>
              </w:rPr>
              <w:t>Key Source(s)</w:t>
            </w:r>
          </w:p>
        </w:tc>
        <w:tc>
          <w:tcPr>
            <w:tcW w:w="4484" w:type="dxa"/>
            <w:tcBorders>
              <w:left w:val="nil"/>
              <w:bottom w:val="single" w:sz="4" w:space="0" w:color="000000" w:themeColor="text1"/>
              <w:right w:val="nil"/>
            </w:tcBorders>
            <w:hideMark/>
          </w:tcPr>
          <w:p w14:paraId="656B0D28" w14:textId="77777777" w:rsidR="00DC1C5C" w:rsidRPr="000D0764" w:rsidRDefault="00DC1C5C" w:rsidP="00DC1C5C">
            <w:pPr>
              <w:spacing w:after="0"/>
              <w:mirrorIndents/>
              <w:rPr>
                <w:rFonts w:cs="Segoe UI Light"/>
                <w:b/>
                <w:sz w:val="18"/>
              </w:rPr>
            </w:pPr>
            <w:r w:rsidRPr="000D0764">
              <w:rPr>
                <w:rFonts w:cs="Segoe UI Light"/>
                <w:b/>
                <w:sz w:val="18"/>
              </w:rPr>
              <w:t>Harm</w:t>
            </w:r>
          </w:p>
        </w:tc>
      </w:tr>
      <w:tr w:rsidR="00DC1C5C" w:rsidRPr="000D0764" w14:paraId="656B0D2D" w14:textId="77777777" w:rsidTr="00DC1C5C">
        <w:trPr>
          <w:trHeight w:val="243"/>
        </w:trPr>
        <w:tc>
          <w:tcPr>
            <w:tcW w:w="2048" w:type="dxa"/>
            <w:tcBorders>
              <w:top w:val="single" w:sz="4" w:space="0" w:color="000000" w:themeColor="text1"/>
              <w:left w:val="nil"/>
              <w:bottom w:val="single" w:sz="4" w:space="0" w:color="000000" w:themeColor="text1"/>
              <w:right w:val="nil"/>
            </w:tcBorders>
            <w:hideMark/>
          </w:tcPr>
          <w:p w14:paraId="656B0D2A" w14:textId="77777777" w:rsidR="00DC1C5C" w:rsidRPr="000D0764" w:rsidRDefault="00DC1C5C" w:rsidP="00DC1C5C">
            <w:pPr>
              <w:spacing w:after="0"/>
              <w:mirrorIndents/>
              <w:rPr>
                <w:rFonts w:cs="Segoe UI Light"/>
                <w:sz w:val="18"/>
              </w:rPr>
            </w:pPr>
            <w:r w:rsidRPr="000D0764">
              <w:rPr>
                <w:rFonts w:eastAsia="Arial" w:cs="Arial"/>
                <w:sz w:val="18"/>
              </w:rPr>
              <w:t xml:space="preserve">Excess nutrients (for instance, nitrogen and phosphorous) </w:t>
            </w:r>
          </w:p>
        </w:tc>
        <w:tc>
          <w:tcPr>
            <w:tcW w:w="3518" w:type="dxa"/>
            <w:tcBorders>
              <w:top w:val="single" w:sz="4" w:space="0" w:color="000000" w:themeColor="text1"/>
              <w:left w:val="nil"/>
              <w:bottom w:val="single" w:sz="4" w:space="0" w:color="000000" w:themeColor="text1"/>
              <w:right w:val="nil"/>
            </w:tcBorders>
            <w:hideMark/>
          </w:tcPr>
          <w:p w14:paraId="656B0D2B" w14:textId="77777777" w:rsidR="00DC1C5C" w:rsidRPr="000D0764" w:rsidRDefault="00DC1C5C" w:rsidP="00DC1C5C">
            <w:pPr>
              <w:spacing w:after="0"/>
              <w:mirrorIndents/>
              <w:rPr>
                <w:rFonts w:cs="Segoe UI Light"/>
                <w:sz w:val="18"/>
              </w:rPr>
            </w:pPr>
            <w:r w:rsidRPr="000D0764">
              <w:rPr>
                <w:rFonts w:eastAsia="Arial" w:cs="Arial"/>
                <w:sz w:val="18"/>
              </w:rPr>
              <w:t>Agricultural fertilisers and drainage, septic tanks, sewage discharges, animal wastes and urban stormwater.</w:t>
            </w:r>
          </w:p>
        </w:tc>
        <w:tc>
          <w:tcPr>
            <w:tcW w:w="4484" w:type="dxa"/>
            <w:tcBorders>
              <w:top w:val="single" w:sz="4" w:space="0" w:color="000000" w:themeColor="text1"/>
              <w:left w:val="nil"/>
              <w:bottom w:val="single" w:sz="4" w:space="0" w:color="000000" w:themeColor="text1"/>
              <w:right w:val="nil"/>
            </w:tcBorders>
            <w:hideMark/>
          </w:tcPr>
          <w:p w14:paraId="656B0D2C" w14:textId="77777777" w:rsidR="00DC1C5C" w:rsidRPr="000D0764" w:rsidRDefault="00DC1C5C" w:rsidP="00DC1C5C">
            <w:pPr>
              <w:spacing w:after="0"/>
              <w:mirrorIndents/>
              <w:rPr>
                <w:rFonts w:eastAsia="Arial" w:cs="Arial"/>
                <w:sz w:val="18"/>
              </w:rPr>
            </w:pPr>
            <w:r w:rsidRPr="000D0764">
              <w:rPr>
                <w:rFonts w:eastAsia="Arial" w:cs="Arial"/>
                <w:sz w:val="18"/>
              </w:rPr>
              <w:t xml:space="preserve">Excessive plant growth and algal blooms, resulting in poor water clarity and depleted oxygen levels. Potential harms include fish deaths and reduced water suitability for livestock and irrigation. </w:t>
            </w:r>
          </w:p>
        </w:tc>
      </w:tr>
      <w:tr w:rsidR="00DC1C5C" w:rsidRPr="000D0764" w14:paraId="656B0D31" w14:textId="77777777" w:rsidTr="00037AF8">
        <w:trPr>
          <w:trHeight w:val="911"/>
        </w:trPr>
        <w:tc>
          <w:tcPr>
            <w:tcW w:w="0" w:type="dxa"/>
            <w:tcBorders>
              <w:top w:val="single" w:sz="4" w:space="0" w:color="000000" w:themeColor="text1"/>
              <w:left w:val="nil"/>
              <w:bottom w:val="single" w:sz="4" w:space="0" w:color="000000" w:themeColor="text1"/>
              <w:right w:val="nil"/>
            </w:tcBorders>
            <w:hideMark/>
          </w:tcPr>
          <w:p w14:paraId="656B0D2E" w14:textId="77777777" w:rsidR="00DC1C5C" w:rsidRPr="000D0764" w:rsidRDefault="00DC1C5C" w:rsidP="00DC1C5C">
            <w:pPr>
              <w:spacing w:after="0"/>
              <w:mirrorIndents/>
              <w:rPr>
                <w:rFonts w:cs="Segoe UI Light"/>
                <w:sz w:val="18"/>
              </w:rPr>
            </w:pPr>
            <w:r w:rsidRPr="000D0764">
              <w:rPr>
                <w:rFonts w:eastAsia="Arial" w:cs="Arial"/>
                <w:sz w:val="18"/>
              </w:rPr>
              <w:t xml:space="preserve">Suspended solids </w:t>
            </w:r>
          </w:p>
        </w:tc>
        <w:tc>
          <w:tcPr>
            <w:tcW w:w="0" w:type="dxa"/>
            <w:tcBorders>
              <w:top w:val="single" w:sz="4" w:space="0" w:color="000000" w:themeColor="text1"/>
              <w:left w:val="nil"/>
              <w:bottom w:val="single" w:sz="4" w:space="0" w:color="000000" w:themeColor="text1"/>
              <w:right w:val="nil"/>
            </w:tcBorders>
            <w:hideMark/>
          </w:tcPr>
          <w:p w14:paraId="656B0D2F" w14:textId="77777777" w:rsidR="00DC1C5C" w:rsidRPr="000D0764" w:rsidRDefault="00DC1C5C" w:rsidP="00DC1C5C">
            <w:pPr>
              <w:spacing w:after="0"/>
              <w:mirrorIndents/>
              <w:rPr>
                <w:rFonts w:cs="Segoe UI Light"/>
                <w:sz w:val="18"/>
              </w:rPr>
            </w:pPr>
            <w:r w:rsidRPr="000D0764">
              <w:rPr>
                <w:rFonts w:eastAsia="Arial" w:cs="Arial"/>
                <w:sz w:val="18"/>
              </w:rPr>
              <w:t>Erosion of waterways, roads, urban, agricultural and forested land, and cleared or disturbed land.</w:t>
            </w:r>
          </w:p>
        </w:tc>
        <w:tc>
          <w:tcPr>
            <w:tcW w:w="0" w:type="dxa"/>
            <w:tcBorders>
              <w:top w:val="single" w:sz="4" w:space="0" w:color="000000" w:themeColor="text1"/>
              <w:left w:val="nil"/>
              <w:bottom w:val="single" w:sz="4" w:space="0" w:color="000000" w:themeColor="text1"/>
              <w:right w:val="nil"/>
            </w:tcBorders>
            <w:hideMark/>
          </w:tcPr>
          <w:p w14:paraId="656B0D30" w14:textId="77777777" w:rsidR="00DC1C5C" w:rsidRPr="000D0764" w:rsidRDefault="00DC1C5C" w:rsidP="00037AF8">
            <w:pPr>
              <w:spacing w:after="0"/>
              <w:mirrorIndents/>
              <w:rPr>
                <w:sz w:val="18"/>
              </w:rPr>
            </w:pPr>
            <w:r w:rsidRPr="000D0764">
              <w:rPr>
                <w:rFonts w:eastAsia="Arial" w:cs="Arial"/>
                <w:sz w:val="18"/>
              </w:rPr>
              <w:t>At high levels can reduce the amount of light available for plant growth, smother bottom dwelling plants and animals, block estuaries and river mouths and reduce water suitability for drinking, tourism, industry, and aquaculture</w:t>
            </w:r>
            <w:r w:rsidR="00DC7A63">
              <w:rPr>
                <w:rFonts w:eastAsia="Arial" w:cs="Arial"/>
                <w:sz w:val="18"/>
              </w:rPr>
              <w:t xml:space="preserve">. </w:t>
            </w:r>
          </w:p>
        </w:tc>
      </w:tr>
      <w:tr w:rsidR="00DC1C5C" w:rsidRPr="000D0764" w14:paraId="656B0D35" w14:textId="77777777" w:rsidTr="00DC1C5C">
        <w:trPr>
          <w:trHeight w:val="243"/>
        </w:trPr>
        <w:tc>
          <w:tcPr>
            <w:tcW w:w="2048" w:type="dxa"/>
            <w:tcBorders>
              <w:top w:val="single" w:sz="4" w:space="0" w:color="000000" w:themeColor="text1"/>
              <w:left w:val="nil"/>
              <w:bottom w:val="single" w:sz="4" w:space="0" w:color="000000" w:themeColor="text1"/>
              <w:right w:val="nil"/>
            </w:tcBorders>
            <w:hideMark/>
          </w:tcPr>
          <w:p w14:paraId="656B0D32" w14:textId="77777777" w:rsidR="00DC1C5C" w:rsidRPr="000D0764" w:rsidRDefault="00DC1C5C" w:rsidP="00DC1C5C">
            <w:pPr>
              <w:spacing w:after="0"/>
              <w:mirrorIndents/>
              <w:rPr>
                <w:rFonts w:cs="Segoe UI Light"/>
                <w:sz w:val="18"/>
              </w:rPr>
            </w:pPr>
            <w:r w:rsidRPr="000D0764">
              <w:rPr>
                <w:rFonts w:eastAsia="Arial" w:cs="Arial"/>
                <w:sz w:val="18"/>
              </w:rPr>
              <w:t>Salinity</w:t>
            </w:r>
          </w:p>
        </w:tc>
        <w:tc>
          <w:tcPr>
            <w:tcW w:w="3518" w:type="dxa"/>
            <w:tcBorders>
              <w:top w:val="single" w:sz="4" w:space="0" w:color="000000" w:themeColor="text1"/>
              <w:left w:val="nil"/>
              <w:bottom w:val="single" w:sz="4" w:space="0" w:color="000000" w:themeColor="text1"/>
              <w:right w:val="nil"/>
            </w:tcBorders>
            <w:hideMark/>
          </w:tcPr>
          <w:p w14:paraId="656B0D33" w14:textId="77777777" w:rsidR="00DC1C5C" w:rsidRPr="000D0764" w:rsidRDefault="00DC1C5C" w:rsidP="00DC1C5C">
            <w:pPr>
              <w:mirrorIndents/>
              <w:rPr>
                <w:sz w:val="18"/>
              </w:rPr>
            </w:pPr>
            <w:r w:rsidRPr="000D0764">
              <w:rPr>
                <w:rFonts w:eastAsia="Arial" w:cs="Arial"/>
                <w:sz w:val="18"/>
              </w:rPr>
              <w:t>Poorly managed land and inappropriate land uses</w:t>
            </w:r>
            <w:r w:rsidR="00DC7A63">
              <w:rPr>
                <w:rFonts w:eastAsia="Arial" w:cs="Arial"/>
                <w:sz w:val="18"/>
              </w:rPr>
              <w:t xml:space="preserve">. </w:t>
            </w:r>
          </w:p>
        </w:tc>
        <w:tc>
          <w:tcPr>
            <w:tcW w:w="4484" w:type="dxa"/>
            <w:tcBorders>
              <w:top w:val="single" w:sz="4" w:space="0" w:color="000000" w:themeColor="text1"/>
              <w:left w:val="nil"/>
              <w:bottom w:val="single" w:sz="4" w:space="0" w:color="000000" w:themeColor="text1"/>
              <w:right w:val="nil"/>
            </w:tcBorders>
            <w:hideMark/>
          </w:tcPr>
          <w:p w14:paraId="656B0D34" w14:textId="77777777" w:rsidR="00DC1C5C" w:rsidRPr="000D0764" w:rsidRDefault="00DC1C5C" w:rsidP="00DC1C5C">
            <w:pPr>
              <w:spacing w:after="0"/>
              <w:mirrorIndents/>
              <w:rPr>
                <w:rFonts w:cs="Segoe UI Light"/>
                <w:sz w:val="18"/>
              </w:rPr>
            </w:pPr>
            <w:r w:rsidRPr="000D0764">
              <w:rPr>
                <w:rFonts w:eastAsia="Arial" w:cs="Arial"/>
                <w:sz w:val="18"/>
              </w:rPr>
              <w:t>Salty water is unsuitable for human and livestock consumption and for irrigation, and has adverse impacts on ecology.</w:t>
            </w:r>
          </w:p>
        </w:tc>
      </w:tr>
      <w:tr w:rsidR="00DC1C5C" w:rsidRPr="000D0764" w14:paraId="656B0D3F" w14:textId="77777777" w:rsidTr="00DC1C5C">
        <w:trPr>
          <w:trHeight w:val="243"/>
        </w:trPr>
        <w:tc>
          <w:tcPr>
            <w:tcW w:w="2048" w:type="dxa"/>
            <w:tcBorders>
              <w:top w:val="single" w:sz="4" w:space="0" w:color="000000" w:themeColor="text1"/>
              <w:left w:val="nil"/>
              <w:bottom w:val="single" w:sz="4" w:space="0" w:color="000000" w:themeColor="text1"/>
              <w:right w:val="nil"/>
            </w:tcBorders>
          </w:tcPr>
          <w:p w14:paraId="656B0D36" w14:textId="77777777" w:rsidR="00DC1C5C" w:rsidRPr="000D0764" w:rsidRDefault="00DC1C5C" w:rsidP="00DC1C5C">
            <w:pPr>
              <w:mirrorIndents/>
              <w:rPr>
                <w:sz w:val="18"/>
              </w:rPr>
            </w:pPr>
            <w:r w:rsidRPr="000D0764">
              <w:rPr>
                <w:rFonts w:eastAsia="Arial" w:cs="Arial"/>
                <w:sz w:val="18"/>
              </w:rPr>
              <w:t xml:space="preserve">Industrial contaminants </w:t>
            </w:r>
          </w:p>
          <w:p w14:paraId="656B0D37" w14:textId="77777777" w:rsidR="00DC1C5C" w:rsidRPr="000D0764" w:rsidRDefault="00DC1C5C" w:rsidP="00DC1C5C">
            <w:pPr>
              <w:spacing w:after="0"/>
              <w:mirrorIndents/>
              <w:rPr>
                <w:rFonts w:cs="Segoe UI Light"/>
                <w:sz w:val="18"/>
              </w:rPr>
            </w:pPr>
          </w:p>
        </w:tc>
        <w:tc>
          <w:tcPr>
            <w:tcW w:w="3518" w:type="dxa"/>
            <w:tcBorders>
              <w:top w:val="single" w:sz="4" w:space="0" w:color="000000" w:themeColor="text1"/>
              <w:left w:val="nil"/>
              <w:bottom w:val="single" w:sz="4" w:space="0" w:color="000000" w:themeColor="text1"/>
              <w:right w:val="nil"/>
            </w:tcBorders>
            <w:hideMark/>
          </w:tcPr>
          <w:p w14:paraId="656B0D38" w14:textId="77777777" w:rsidR="00DC1C5C" w:rsidRPr="000D0764" w:rsidRDefault="00DC1C5C" w:rsidP="00DC1C5C">
            <w:pPr>
              <w:mirrorIndents/>
              <w:rPr>
                <w:rFonts w:eastAsia="Arial" w:cs="Arial"/>
                <w:sz w:val="18"/>
              </w:rPr>
            </w:pPr>
            <w:r w:rsidRPr="000D0764">
              <w:rPr>
                <w:rFonts w:eastAsia="Arial" w:cs="Arial"/>
                <w:sz w:val="18"/>
              </w:rPr>
              <w:t>Leachate from antifoulants on vessel hulls, runoff from poorly managed chemical storage facilities and in runoff from urban and agricultural areas</w:t>
            </w:r>
            <w:r w:rsidR="00DC7A63">
              <w:rPr>
                <w:rFonts w:eastAsia="Arial" w:cs="Arial"/>
                <w:sz w:val="18"/>
              </w:rPr>
              <w:t xml:space="preserve">. </w:t>
            </w:r>
          </w:p>
          <w:p w14:paraId="656B0D39" w14:textId="77777777" w:rsidR="00DC1C5C" w:rsidRPr="000D0764" w:rsidRDefault="00DC1C5C" w:rsidP="00DC1C5C">
            <w:pPr>
              <w:mirrorIndents/>
              <w:rPr>
                <w:rFonts w:eastAsia="Arial" w:cs="Arial"/>
                <w:sz w:val="18"/>
              </w:rPr>
            </w:pPr>
            <w:r w:rsidRPr="000D0764">
              <w:rPr>
                <w:rFonts w:eastAsia="Arial" w:cs="Arial"/>
                <w:sz w:val="18"/>
              </w:rPr>
              <w:t>Oils spills and poorly managed transfers and vessel maintenance operations.</w:t>
            </w:r>
          </w:p>
          <w:p w14:paraId="656B0D3A" w14:textId="77777777" w:rsidR="00DC1C5C" w:rsidRPr="000D0764" w:rsidRDefault="00DC1C5C" w:rsidP="00DC1C5C">
            <w:pPr>
              <w:mirrorIndents/>
              <w:rPr>
                <w:rFonts w:eastAsia="Arial" w:cs="Arial"/>
                <w:sz w:val="18"/>
              </w:rPr>
            </w:pPr>
            <w:r w:rsidRPr="000D0764">
              <w:rPr>
                <w:rFonts w:eastAsia="Arial" w:cs="Arial"/>
                <w:sz w:val="18"/>
              </w:rPr>
              <w:t xml:space="preserve">Contaminated industrial sites can leach heavy metals and oils into waterways. </w:t>
            </w:r>
          </w:p>
          <w:p w14:paraId="656B0D3B" w14:textId="77777777" w:rsidR="00DC1C5C" w:rsidRPr="000D0764" w:rsidRDefault="00DC1C5C" w:rsidP="00DC1C5C">
            <w:pPr>
              <w:mirrorIndents/>
              <w:rPr>
                <w:rFonts w:eastAsia="Arial" w:cs="Arial"/>
                <w:sz w:val="18"/>
              </w:rPr>
            </w:pPr>
            <w:r w:rsidRPr="000D0764">
              <w:rPr>
                <w:rFonts w:eastAsia="Arial" w:cs="Arial"/>
                <w:sz w:val="18"/>
              </w:rPr>
              <w:t>Mineral exploration and extraction of oil and gas in marine environment.</w:t>
            </w:r>
          </w:p>
          <w:p w14:paraId="656B0D3C" w14:textId="77777777" w:rsidR="00DC1C5C" w:rsidRPr="000D0764" w:rsidRDefault="00DC1C5C" w:rsidP="00DC1C5C">
            <w:pPr>
              <w:mirrorIndents/>
              <w:rPr>
                <w:rFonts w:cs="Segoe UI Light"/>
                <w:sz w:val="18"/>
              </w:rPr>
            </w:pPr>
            <w:r w:rsidRPr="000D0764">
              <w:rPr>
                <w:rFonts w:eastAsia="Arial" w:cs="Arial"/>
                <w:sz w:val="18"/>
              </w:rPr>
              <w:t>Mineral extraction increases the risk of spills of drilling fluids and hydrocarbons.</w:t>
            </w:r>
          </w:p>
        </w:tc>
        <w:tc>
          <w:tcPr>
            <w:tcW w:w="4484" w:type="dxa"/>
            <w:tcBorders>
              <w:top w:val="single" w:sz="4" w:space="0" w:color="000000" w:themeColor="text1"/>
              <w:left w:val="nil"/>
              <w:bottom w:val="single" w:sz="4" w:space="0" w:color="000000" w:themeColor="text1"/>
              <w:right w:val="nil"/>
            </w:tcBorders>
          </w:tcPr>
          <w:p w14:paraId="656B0D3D" w14:textId="77777777" w:rsidR="00DC1C5C" w:rsidRPr="000D0764" w:rsidRDefault="00DC1C5C" w:rsidP="00DC1C5C">
            <w:pPr>
              <w:mirrorIndents/>
              <w:rPr>
                <w:rFonts w:eastAsia="Arial" w:cs="Arial"/>
                <w:sz w:val="18"/>
              </w:rPr>
            </w:pPr>
            <w:r w:rsidRPr="000D0764">
              <w:rPr>
                <w:rFonts w:eastAsia="Arial" w:cs="Arial"/>
                <w:sz w:val="18"/>
              </w:rPr>
              <w:t>Toxic to plants and animals and may harm human health through direct ingestion or bioaccumulation through the food chain</w:t>
            </w:r>
            <w:r w:rsidR="00DC7A63">
              <w:rPr>
                <w:rFonts w:eastAsia="Arial" w:cs="Arial"/>
                <w:sz w:val="18"/>
              </w:rPr>
              <w:t xml:space="preserve">. </w:t>
            </w:r>
          </w:p>
          <w:p w14:paraId="656B0D3E" w14:textId="77777777" w:rsidR="00DC1C5C" w:rsidRPr="000D0764" w:rsidRDefault="00DC1C5C" w:rsidP="00DC1C5C">
            <w:pPr>
              <w:spacing w:after="0"/>
              <w:mirrorIndents/>
              <w:rPr>
                <w:rFonts w:cs="Segoe UI Light"/>
                <w:sz w:val="18"/>
              </w:rPr>
            </w:pPr>
          </w:p>
        </w:tc>
      </w:tr>
      <w:tr w:rsidR="00DC1C5C" w:rsidRPr="000D0764" w14:paraId="656B0D44" w14:textId="77777777" w:rsidTr="00DC1C5C">
        <w:trPr>
          <w:trHeight w:val="243"/>
        </w:trPr>
        <w:tc>
          <w:tcPr>
            <w:tcW w:w="2048" w:type="dxa"/>
            <w:tcBorders>
              <w:top w:val="single" w:sz="4" w:space="0" w:color="000000" w:themeColor="text1"/>
              <w:left w:val="nil"/>
              <w:bottom w:val="single" w:sz="4" w:space="0" w:color="000000" w:themeColor="text1"/>
              <w:right w:val="nil"/>
            </w:tcBorders>
          </w:tcPr>
          <w:p w14:paraId="656B0D40" w14:textId="77777777" w:rsidR="00DC1C5C" w:rsidRPr="000D0764" w:rsidRDefault="00DC1C5C" w:rsidP="00DC1C5C">
            <w:pPr>
              <w:spacing w:line="256" w:lineRule="auto"/>
              <w:mirrorIndents/>
              <w:rPr>
                <w:rFonts w:eastAsia="Arial" w:cs="Arial"/>
                <w:sz w:val="18"/>
              </w:rPr>
            </w:pPr>
            <w:r w:rsidRPr="000D0764">
              <w:rPr>
                <w:rFonts w:eastAsia="Arial" w:cs="Arial"/>
                <w:sz w:val="18"/>
              </w:rPr>
              <w:t>Aquatic pests</w:t>
            </w:r>
          </w:p>
          <w:p w14:paraId="656B0D41" w14:textId="77777777" w:rsidR="00DC1C5C" w:rsidRPr="000D0764" w:rsidRDefault="00DC1C5C" w:rsidP="00DC1C5C">
            <w:pPr>
              <w:spacing w:after="0"/>
              <w:mirrorIndents/>
              <w:rPr>
                <w:rFonts w:cs="Segoe UI Light"/>
                <w:sz w:val="18"/>
              </w:rPr>
            </w:pPr>
          </w:p>
        </w:tc>
        <w:tc>
          <w:tcPr>
            <w:tcW w:w="3518" w:type="dxa"/>
            <w:tcBorders>
              <w:top w:val="single" w:sz="4" w:space="0" w:color="000000" w:themeColor="text1"/>
              <w:left w:val="nil"/>
              <w:bottom w:val="single" w:sz="4" w:space="0" w:color="000000" w:themeColor="text1"/>
              <w:right w:val="nil"/>
            </w:tcBorders>
            <w:hideMark/>
          </w:tcPr>
          <w:p w14:paraId="656B0D42" w14:textId="77777777" w:rsidR="00DC1C5C" w:rsidRPr="000D0764" w:rsidRDefault="00DC1C5C" w:rsidP="00037AF8">
            <w:pPr>
              <w:spacing w:after="0"/>
              <w:mirrorIndents/>
              <w:rPr>
                <w:sz w:val="18"/>
              </w:rPr>
            </w:pPr>
            <w:r w:rsidRPr="000D0764">
              <w:rPr>
                <w:rFonts w:eastAsia="Arial" w:cs="Arial"/>
                <w:sz w:val="18"/>
              </w:rPr>
              <w:t xml:space="preserve">Aquatic pests can enter water environments through accidental or deliberate release, through ballast water discharge, or attached to the hulls of vessels and fishing gear. </w:t>
            </w:r>
          </w:p>
        </w:tc>
        <w:tc>
          <w:tcPr>
            <w:tcW w:w="4484" w:type="dxa"/>
            <w:tcBorders>
              <w:top w:val="single" w:sz="4" w:space="0" w:color="000000" w:themeColor="text1"/>
              <w:left w:val="nil"/>
              <w:bottom w:val="single" w:sz="4" w:space="0" w:color="000000" w:themeColor="text1"/>
              <w:right w:val="nil"/>
            </w:tcBorders>
            <w:hideMark/>
          </w:tcPr>
          <w:p w14:paraId="656B0D43" w14:textId="77777777" w:rsidR="00DC1C5C" w:rsidRPr="000D0764" w:rsidRDefault="00DC1C5C" w:rsidP="00DC1C5C">
            <w:pPr>
              <w:spacing w:after="0"/>
              <w:mirrorIndents/>
              <w:rPr>
                <w:rFonts w:cs="Segoe UI Light"/>
                <w:sz w:val="18"/>
              </w:rPr>
            </w:pPr>
            <w:r w:rsidRPr="000D0764">
              <w:rPr>
                <w:rFonts w:eastAsia="Arial" w:cs="Arial"/>
                <w:sz w:val="18"/>
              </w:rPr>
              <w:t>Aquatic pests can drastically alter water environments and out-compete native plants and animals for food and shelter, impacting local biodiversity.</w:t>
            </w:r>
          </w:p>
        </w:tc>
      </w:tr>
      <w:tr w:rsidR="00DC1C5C" w:rsidRPr="000D0764" w14:paraId="656B0D48" w14:textId="77777777" w:rsidTr="00DC1C5C">
        <w:trPr>
          <w:trHeight w:val="1103"/>
        </w:trPr>
        <w:tc>
          <w:tcPr>
            <w:tcW w:w="2048" w:type="dxa"/>
            <w:tcBorders>
              <w:top w:val="single" w:sz="4" w:space="0" w:color="000000" w:themeColor="text1"/>
              <w:left w:val="nil"/>
              <w:bottom w:val="single" w:sz="4" w:space="0" w:color="000000" w:themeColor="text1"/>
              <w:right w:val="nil"/>
            </w:tcBorders>
            <w:hideMark/>
          </w:tcPr>
          <w:p w14:paraId="656B0D45" w14:textId="77777777" w:rsidR="00DC1C5C" w:rsidRPr="000D0764" w:rsidRDefault="00DC1C5C" w:rsidP="00DC1C5C">
            <w:pPr>
              <w:mirrorIndents/>
              <w:rPr>
                <w:rFonts w:eastAsia="Arial" w:cs="Arial"/>
                <w:sz w:val="18"/>
              </w:rPr>
            </w:pPr>
            <w:r w:rsidRPr="000D0764">
              <w:rPr>
                <w:rFonts w:eastAsia="Arial" w:cs="Arial"/>
                <w:sz w:val="18"/>
              </w:rPr>
              <w:t xml:space="preserve">Other threats - depleted dissolved oxygen levels and falling pH levels </w:t>
            </w:r>
          </w:p>
        </w:tc>
        <w:tc>
          <w:tcPr>
            <w:tcW w:w="3518" w:type="dxa"/>
            <w:tcBorders>
              <w:top w:val="single" w:sz="4" w:space="0" w:color="000000" w:themeColor="text1"/>
              <w:left w:val="nil"/>
              <w:bottom w:val="single" w:sz="4" w:space="0" w:color="000000" w:themeColor="text1"/>
              <w:right w:val="nil"/>
            </w:tcBorders>
            <w:hideMark/>
          </w:tcPr>
          <w:p w14:paraId="656B0D46" w14:textId="77777777" w:rsidR="00DC1C5C" w:rsidRPr="000D0764" w:rsidRDefault="00DC1C5C" w:rsidP="00037AF8">
            <w:pPr>
              <w:spacing w:after="0"/>
              <w:mirrorIndents/>
              <w:rPr>
                <w:rFonts w:eastAsia="Arial" w:cs="Arial"/>
                <w:sz w:val="18"/>
              </w:rPr>
            </w:pPr>
            <w:r w:rsidRPr="000D0764">
              <w:rPr>
                <w:rFonts w:eastAsia="Arial" w:cs="Arial"/>
                <w:sz w:val="18"/>
              </w:rPr>
              <w:t>A variety of human activities can result in changes in water chemistry including discharges of wastewater with different physical properties from the receiving water (such as temperate and pH) or activities which effect drainage patterns</w:t>
            </w:r>
            <w:r w:rsidR="00DC7A63">
              <w:rPr>
                <w:rFonts w:eastAsia="Arial" w:cs="Arial"/>
                <w:sz w:val="18"/>
              </w:rPr>
              <w:t xml:space="preserve">. </w:t>
            </w:r>
          </w:p>
        </w:tc>
        <w:tc>
          <w:tcPr>
            <w:tcW w:w="4484" w:type="dxa"/>
            <w:tcBorders>
              <w:top w:val="single" w:sz="4" w:space="0" w:color="000000" w:themeColor="text1"/>
              <w:left w:val="nil"/>
              <w:bottom w:val="single" w:sz="4" w:space="0" w:color="000000" w:themeColor="text1"/>
              <w:right w:val="nil"/>
            </w:tcBorders>
            <w:hideMark/>
          </w:tcPr>
          <w:p w14:paraId="656B0D47" w14:textId="77777777" w:rsidR="00DC1C5C" w:rsidRPr="000D0764" w:rsidRDefault="00DC1C5C" w:rsidP="00DC1C5C">
            <w:pPr>
              <w:mirrorIndents/>
              <w:rPr>
                <w:rFonts w:eastAsia="Arial" w:cs="Arial"/>
                <w:sz w:val="18"/>
              </w:rPr>
            </w:pPr>
            <w:r w:rsidRPr="000D0764">
              <w:rPr>
                <w:rFonts w:eastAsia="Arial" w:cs="Arial"/>
                <w:sz w:val="18"/>
              </w:rPr>
              <w:t>Changes in water chemistry can harm water dependant ecosystems. For example, n</w:t>
            </w:r>
            <w:r w:rsidRPr="000D0764">
              <w:rPr>
                <w:rFonts w:eastAsia="Arial"/>
                <w:sz w:val="18"/>
              </w:rPr>
              <w:t>utrient overloads in aquatic ecosystems can cause algae blooms and ultimately a loss of oxygen, and of life.</w:t>
            </w:r>
          </w:p>
        </w:tc>
      </w:tr>
      <w:tr w:rsidR="00DC1C5C" w:rsidRPr="000D0764" w14:paraId="656B0D4C" w14:textId="77777777" w:rsidTr="00DC1C5C">
        <w:trPr>
          <w:trHeight w:val="55"/>
        </w:trPr>
        <w:tc>
          <w:tcPr>
            <w:tcW w:w="2048" w:type="dxa"/>
            <w:tcBorders>
              <w:top w:val="single" w:sz="4" w:space="0" w:color="000000" w:themeColor="text1"/>
              <w:left w:val="nil"/>
              <w:bottom w:val="single" w:sz="4" w:space="0" w:color="000000" w:themeColor="text1"/>
              <w:right w:val="nil"/>
            </w:tcBorders>
            <w:hideMark/>
          </w:tcPr>
          <w:p w14:paraId="656B0D49" w14:textId="77777777" w:rsidR="00DC1C5C" w:rsidRPr="000D0764" w:rsidRDefault="00DC1C5C" w:rsidP="00DC1C5C">
            <w:pPr>
              <w:mirrorIndents/>
              <w:rPr>
                <w:rFonts w:eastAsia="Arial" w:cs="Arial"/>
                <w:sz w:val="18"/>
              </w:rPr>
            </w:pPr>
            <w:r w:rsidRPr="000D0764">
              <w:rPr>
                <w:rFonts w:eastAsia="Arial" w:cs="Arial"/>
                <w:sz w:val="18"/>
              </w:rPr>
              <w:t>Litter</w:t>
            </w:r>
          </w:p>
        </w:tc>
        <w:tc>
          <w:tcPr>
            <w:tcW w:w="3518" w:type="dxa"/>
            <w:tcBorders>
              <w:top w:val="single" w:sz="4" w:space="0" w:color="000000" w:themeColor="text1"/>
              <w:left w:val="nil"/>
              <w:bottom w:val="single" w:sz="4" w:space="0" w:color="000000" w:themeColor="text1"/>
              <w:right w:val="nil"/>
            </w:tcBorders>
            <w:hideMark/>
          </w:tcPr>
          <w:p w14:paraId="656B0D4A" w14:textId="77777777" w:rsidR="00DC1C5C" w:rsidRPr="000D0764" w:rsidRDefault="00DC1C5C" w:rsidP="00DC1C5C">
            <w:pPr>
              <w:spacing w:after="0"/>
              <w:mirrorIndents/>
              <w:rPr>
                <w:rFonts w:eastAsia="Arial" w:cs="Arial"/>
                <w:sz w:val="18"/>
              </w:rPr>
            </w:pPr>
            <w:r w:rsidRPr="000D0764">
              <w:rPr>
                <w:rFonts w:eastAsia="Arial" w:cs="Arial"/>
                <w:sz w:val="18"/>
              </w:rPr>
              <w:t xml:space="preserve">Sources are both terrestrial (such as food containers, plastic bags, microplastics) and maritime (fishing gear). </w:t>
            </w:r>
          </w:p>
        </w:tc>
        <w:tc>
          <w:tcPr>
            <w:tcW w:w="4484" w:type="dxa"/>
            <w:tcBorders>
              <w:top w:val="single" w:sz="4" w:space="0" w:color="000000" w:themeColor="text1"/>
              <w:left w:val="nil"/>
              <w:bottom w:val="single" w:sz="4" w:space="0" w:color="000000" w:themeColor="text1"/>
              <w:right w:val="nil"/>
            </w:tcBorders>
            <w:hideMark/>
          </w:tcPr>
          <w:p w14:paraId="656B0D4B" w14:textId="77777777" w:rsidR="00DC1C5C" w:rsidRPr="000D0764" w:rsidRDefault="00DC1C5C" w:rsidP="00DC1C5C">
            <w:pPr>
              <w:mirrorIndents/>
              <w:rPr>
                <w:rFonts w:eastAsia="Arial" w:cs="Arial"/>
                <w:sz w:val="18"/>
              </w:rPr>
            </w:pPr>
            <w:r w:rsidRPr="000D0764">
              <w:rPr>
                <w:sz w:val="18"/>
              </w:rPr>
              <w:t>Fish, birds and marine mammals can ingest or become tangled in litter, often resulting in death.</w:t>
            </w:r>
          </w:p>
        </w:tc>
      </w:tr>
      <w:tr w:rsidR="00DC1C5C" w:rsidRPr="000D0764" w14:paraId="656B0D50" w14:textId="77777777" w:rsidTr="00DC1C5C">
        <w:trPr>
          <w:trHeight w:val="55"/>
        </w:trPr>
        <w:tc>
          <w:tcPr>
            <w:tcW w:w="2048" w:type="dxa"/>
            <w:tcBorders>
              <w:top w:val="single" w:sz="4" w:space="0" w:color="000000" w:themeColor="text1"/>
              <w:left w:val="nil"/>
              <w:bottom w:val="single" w:sz="4" w:space="0" w:color="000000" w:themeColor="text1"/>
              <w:right w:val="nil"/>
            </w:tcBorders>
          </w:tcPr>
          <w:p w14:paraId="656B0D4D" w14:textId="77777777" w:rsidR="00DC1C5C" w:rsidRPr="00791DC5" w:rsidRDefault="00DC1C5C" w:rsidP="00DC1C5C">
            <w:pPr>
              <w:mirrorIndents/>
              <w:rPr>
                <w:rFonts w:eastAsia="Arial" w:cs="Arial"/>
                <w:sz w:val="18"/>
              </w:rPr>
            </w:pPr>
            <w:r w:rsidRPr="000D0764">
              <w:rPr>
                <w:rFonts w:eastAsia="Arial" w:cs="Arial"/>
                <w:sz w:val="18"/>
              </w:rPr>
              <w:t>Pathogens</w:t>
            </w:r>
          </w:p>
        </w:tc>
        <w:tc>
          <w:tcPr>
            <w:tcW w:w="3518" w:type="dxa"/>
            <w:tcBorders>
              <w:top w:val="single" w:sz="4" w:space="0" w:color="000000" w:themeColor="text1"/>
              <w:left w:val="nil"/>
              <w:bottom w:val="single" w:sz="4" w:space="0" w:color="000000" w:themeColor="text1"/>
              <w:right w:val="nil"/>
            </w:tcBorders>
          </w:tcPr>
          <w:p w14:paraId="656B0D4E" w14:textId="77777777" w:rsidR="00DC1C5C" w:rsidRPr="000D0764" w:rsidRDefault="00DC1C5C" w:rsidP="00DC1C5C">
            <w:pPr>
              <w:spacing w:after="0"/>
              <w:mirrorIndents/>
              <w:rPr>
                <w:rFonts w:eastAsia="Arial" w:cs="Arial"/>
                <w:sz w:val="18"/>
              </w:rPr>
            </w:pPr>
            <w:r w:rsidRPr="000D0764">
              <w:rPr>
                <w:rFonts w:eastAsia="Arial" w:cs="Arial"/>
                <w:sz w:val="18"/>
              </w:rPr>
              <w:t>Wastewater discharges, leaks or spills from sewerage systems, animal wastes</w:t>
            </w:r>
          </w:p>
        </w:tc>
        <w:tc>
          <w:tcPr>
            <w:tcW w:w="4484" w:type="dxa"/>
            <w:tcBorders>
              <w:top w:val="single" w:sz="4" w:space="0" w:color="000000" w:themeColor="text1"/>
              <w:left w:val="nil"/>
              <w:bottom w:val="single" w:sz="4" w:space="0" w:color="000000" w:themeColor="text1"/>
              <w:right w:val="nil"/>
            </w:tcBorders>
          </w:tcPr>
          <w:p w14:paraId="656B0D4F" w14:textId="77777777" w:rsidR="00DC1C5C" w:rsidRPr="000D0764" w:rsidRDefault="00DC1C5C" w:rsidP="00037AF8">
            <w:pPr>
              <w:spacing w:after="0"/>
              <w:mirrorIndents/>
              <w:rPr>
                <w:sz w:val="18"/>
              </w:rPr>
            </w:pPr>
            <w:r w:rsidRPr="000D0764">
              <w:rPr>
                <w:sz w:val="18"/>
              </w:rPr>
              <w:t>Pathogens associated with faecal contamination can cause outbreaks of water-borne diseases and illnesses.</w:t>
            </w:r>
          </w:p>
        </w:tc>
      </w:tr>
    </w:tbl>
    <w:p w14:paraId="656B0D51" w14:textId="77777777" w:rsidR="00DC1C5C" w:rsidRPr="00791DC5" w:rsidRDefault="00DC1C5C" w:rsidP="00DC1C5C">
      <w:pPr>
        <w:pStyle w:val="2Source"/>
      </w:pPr>
      <w:r w:rsidRPr="000D0764">
        <w:t>Source: EPA data 2018.</w:t>
      </w:r>
    </w:p>
    <w:p w14:paraId="656B0D52" w14:textId="77777777" w:rsidR="00DC1C5C" w:rsidRPr="000D0764" w:rsidRDefault="00DC1C5C" w:rsidP="00DC1C5C">
      <w:pPr>
        <w:mirrorIndents/>
        <w:rPr>
          <w:rFonts w:cs="Segoe UI Light"/>
          <w:szCs w:val="20"/>
        </w:rPr>
      </w:pPr>
      <w:r w:rsidRPr="000D0764">
        <w:rPr>
          <w:rFonts w:cs="Segoe UI Light"/>
        </w:rPr>
        <w:t xml:space="preserve">Impacts on water quality (such as algal blooms, pathogens outbreaks or toxic contamination) can harm human health, affect aquatic and surrounding ecosystems, impact water-dependent industries such as agriculture and tourism, damage infrastructure as well as harm social and cultural heritage values of the water. </w:t>
      </w:r>
    </w:p>
    <w:p w14:paraId="656B0D53" w14:textId="77777777" w:rsidR="00DC1C5C" w:rsidRPr="000D0764" w:rsidRDefault="00DC1C5C" w:rsidP="00DC1C5C">
      <w:pPr>
        <w:mirrorIndents/>
        <w:rPr>
          <w:rFonts w:cs="Segoe UI Light"/>
        </w:rPr>
      </w:pPr>
      <w:r w:rsidRPr="000D0764">
        <w:rPr>
          <w:rFonts w:cs="Segoe UI Light"/>
        </w:rPr>
        <w:t>Health impacts can occur through exposure to polluted water through skin contact, ingestion of water or contaminated food (such as crops or seafood) and inhalation of aerosols from water borne contaminants. There is also the risk of harm from explosions if water is polluted with volatile substances. According to the National Environmental Protection Council:</w:t>
      </w:r>
    </w:p>
    <w:p w14:paraId="656B0D54" w14:textId="77777777" w:rsidR="00DC1C5C" w:rsidRPr="000D0764" w:rsidRDefault="00DC1C5C" w:rsidP="00DC1C5C">
      <w:pPr>
        <w:pStyle w:val="3IndentedQuote"/>
        <w:spacing w:after="0"/>
        <w:ind w:left="0" w:firstLine="284"/>
        <w:rPr>
          <w:rFonts w:cs="Segoe UI Light"/>
          <w:szCs w:val="20"/>
        </w:rPr>
      </w:pPr>
      <w:r w:rsidRPr="000D0764">
        <w:rPr>
          <w:rFonts w:cs="Segoe UI Light"/>
          <w:szCs w:val="20"/>
        </w:rPr>
        <w:t xml:space="preserve">Some contaminants have the potential to be toxic, carcinogenic, teratogenic, or mutagenic to humans at </w:t>
      </w:r>
    </w:p>
    <w:p w14:paraId="656B0D55" w14:textId="77777777" w:rsidR="00DC1C5C" w:rsidRPr="000D0764" w:rsidRDefault="00DC1C5C" w:rsidP="00DC1C5C">
      <w:pPr>
        <w:pStyle w:val="3IndentedQuote"/>
        <w:spacing w:after="0"/>
        <w:ind w:left="0" w:firstLine="284"/>
        <w:rPr>
          <w:rFonts w:cs="Segoe UI Light"/>
          <w:szCs w:val="20"/>
        </w:rPr>
      </w:pPr>
      <w:r w:rsidRPr="000D0764">
        <w:rPr>
          <w:rFonts w:cs="Segoe UI Light"/>
          <w:szCs w:val="20"/>
        </w:rPr>
        <w:t>particular dosages (e.g. some polycyclic aromatic hydrocarbons such as benzo(a)pyrene)</w:t>
      </w:r>
      <w:r w:rsidR="00DC7A63">
        <w:rPr>
          <w:rFonts w:cs="Segoe UI Light"/>
          <w:szCs w:val="20"/>
        </w:rPr>
        <w:t xml:space="preserve">. </w:t>
      </w:r>
      <w:r w:rsidRPr="000D0764">
        <w:rPr>
          <w:rFonts w:cs="Segoe UI Light"/>
          <w:szCs w:val="20"/>
        </w:rPr>
        <w:t xml:space="preserve">Others are </w:t>
      </w:r>
    </w:p>
    <w:p w14:paraId="656B0D56" w14:textId="77777777" w:rsidR="00DC1C5C" w:rsidRPr="000D0764" w:rsidRDefault="00DC1C5C" w:rsidP="00DC1C5C">
      <w:pPr>
        <w:pStyle w:val="3IndentedQuote"/>
        <w:spacing w:after="0"/>
        <w:ind w:left="0" w:firstLine="284"/>
        <w:rPr>
          <w:rFonts w:cs="Segoe UI Light"/>
          <w:szCs w:val="20"/>
        </w:rPr>
      </w:pPr>
      <w:r w:rsidRPr="000D0764">
        <w:rPr>
          <w:rFonts w:cs="Segoe UI Light"/>
          <w:szCs w:val="20"/>
        </w:rPr>
        <w:t xml:space="preserve">persistent and bioaccumulating, even when present in minute ambient concentrations (e.g. some </w:t>
      </w:r>
    </w:p>
    <w:p w14:paraId="656B0D57" w14:textId="77777777" w:rsidR="00DC1C5C" w:rsidRPr="000D0764" w:rsidRDefault="00DC1C5C" w:rsidP="00DC1C5C">
      <w:pPr>
        <w:pStyle w:val="3IndentedQuote"/>
        <w:spacing w:after="0"/>
        <w:ind w:left="0" w:firstLine="284"/>
        <w:rPr>
          <w:rFonts w:cs="Segoe UI Light"/>
          <w:szCs w:val="20"/>
        </w:rPr>
      </w:pPr>
      <w:r w:rsidRPr="000D0764">
        <w:rPr>
          <w:rFonts w:cs="Segoe UI Light"/>
          <w:szCs w:val="20"/>
        </w:rPr>
        <w:t>chlorinated pesticides such as DDT)</w:t>
      </w:r>
      <w:r w:rsidR="00DC7A63">
        <w:rPr>
          <w:rFonts w:cs="Segoe UI Light"/>
          <w:szCs w:val="20"/>
        </w:rPr>
        <w:t xml:space="preserve">. </w:t>
      </w:r>
      <w:r w:rsidRPr="000D0764">
        <w:rPr>
          <w:rFonts w:cs="Segoe UI Light"/>
          <w:szCs w:val="20"/>
        </w:rPr>
        <w:t xml:space="preserve">For some contaminants, significant risk to health only occurs when </w:t>
      </w:r>
    </w:p>
    <w:p w14:paraId="656B0D58" w14:textId="77777777" w:rsidR="00DC1C5C" w:rsidRPr="000D0764" w:rsidRDefault="00DC1C5C" w:rsidP="00DC1C5C">
      <w:pPr>
        <w:pStyle w:val="3IndentedQuote"/>
        <w:ind w:left="0" w:firstLine="284"/>
        <w:rPr>
          <w:rFonts w:eastAsia="Arial" w:cs="Arial"/>
          <w:i w:val="0"/>
          <w:szCs w:val="20"/>
        </w:rPr>
      </w:pPr>
      <w:r w:rsidRPr="000D0764">
        <w:rPr>
          <w:rFonts w:cs="Segoe UI Light"/>
          <w:szCs w:val="20"/>
        </w:rPr>
        <w:t>the contaminant is present in relatively high concentrations (e.g. diesel fuel</w:t>
      </w:r>
      <w:r w:rsidRPr="000D0764">
        <w:rPr>
          <w:rFonts w:eastAsia="Arial" w:cs="Arial"/>
          <w:i w:val="0"/>
          <w:szCs w:val="20"/>
        </w:rPr>
        <w:t>).</w:t>
      </w:r>
      <w:r w:rsidRPr="00791DC5">
        <w:rPr>
          <w:rStyle w:val="FootnoteReference"/>
          <w:rFonts w:eastAsia="Arial" w:cs="Arial"/>
          <w:szCs w:val="20"/>
        </w:rPr>
        <w:footnoteReference w:id="254"/>
      </w:r>
      <w:r w:rsidRPr="00791DC5">
        <w:rPr>
          <w:rFonts w:cs="Segoe UI Light"/>
        </w:rPr>
        <w:t xml:space="preserve"> </w:t>
      </w:r>
    </w:p>
    <w:p w14:paraId="656B0D59" w14:textId="77777777" w:rsidR="00DC1C5C" w:rsidRPr="000D0764" w:rsidRDefault="00DC1C5C" w:rsidP="00DC1C5C">
      <w:pPr>
        <w:mirrorIndents/>
        <w:rPr>
          <w:rFonts w:cs="Segoe UI Light"/>
        </w:rPr>
      </w:pPr>
      <w:r w:rsidRPr="000D0764">
        <w:rPr>
          <w:rFonts w:cs="Segoe UI Light"/>
        </w:rPr>
        <w:t xml:space="preserve">Although anyone exposed to poor water quality is vulnerable to water pollution harms, those most sensitive to health impacts include children, elderly people, individuals with underlying health conditions and individuals frequently exposed to water (for example fishers and recreational users). </w:t>
      </w:r>
    </w:p>
    <w:p w14:paraId="656B0D5A" w14:textId="77777777" w:rsidR="00DC1C5C" w:rsidRPr="000D0764" w:rsidRDefault="00DC1C5C" w:rsidP="00DC1C5C">
      <w:pPr>
        <w:mirrorIndents/>
        <w:rPr>
          <w:rFonts w:cs="Segoe UI Light"/>
          <w:szCs w:val="20"/>
        </w:rPr>
      </w:pPr>
      <w:r w:rsidRPr="000D0764">
        <w:rPr>
          <w:rFonts w:cs="Segoe UI Light"/>
          <w:szCs w:val="20"/>
        </w:rPr>
        <w:t>All Victorian ecosystems depend on water resources for their health. Potential environmental impacts of water pollution include toxic effects on fauna living within or drinking from contaminated water and plants irrigated with contaminated water, as well as bioaccumulative impacts on fauna through indirect ingestion of polluted water. Marine and freshwater ecosystems may be particularly vulnerable to water pollution as organisms are constantly exposed to pollution through ingestion and direct contact.</w:t>
      </w:r>
    </w:p>
    <w:p w14:paraId="656B0D5B" w14:textId="77777777" w:rsidR="00DC1C5C" w:rsidRPr="000D0764" w:rsidRDefault="00DC1C5C" w:rsidP="00DC1C5C">
      <w:pPr>
        <w:rPr>
          <w:i/>
        </w:rPr>
      </w:pPr>
      <w:r w:rsidRPr="000D0764">
        <w:rPr>
          <w:i/>
        </w:rPr>
        <w:t>Discharge of waste from vessels</w:t>
      </w:r>
    </w:p>
    <w:p w14:paraId="656B0D5C" w14:textId="0C70A0DA" w:rsidR="00DC1C5C" w:rsidRPr="000D0764" w:rsidRDefault="00DC1C5C" w:rsidP="00DC1C5C">
      <w:pPr>
        <w:mirrorIndents/>
        <w:rPr>
          <w:rFonts w:cs="Segoe UI Light"/>
          <w:szCs w:val="20"/>
        </w:rPr>
      </w:pPr>
      <w:r w:rsidRPr="000D0764">
        <w:rPr>
          <w:rFonts w:cs="Segoe UI Light"/>
        </w:rPr>
        <w:t xml:space="preserve">Discharge of waste from vessels can cause high pathogen and nutrient concentrations in Victoria’s waters and poses a risk to marine ecosystems and human health. It in turn impacts the enjoyment of recreational boating and fishing activities on these waters. </w:t>
      </w:r>
      <w:r w:rsidRPr="000D0764">
        <w:rPr>
          <w:rFonts w:cs="Segoe UI Light"/>
          <w:szCs w:val="20"/>
        </w:rPr>
        <w:t xml:space="preserve">Economic activity may be harmed by water pollution. The commercial and recreational fishing industry strongly relies on a healthy and diverse fish population, and tourism may also be adversely impacted by poor quality water or closure of tourist sites. </w:t>
      </w:r>
    </w:p>
    <w:p w14:paraId="656B0D5D" w14:textId="77777777" w:rsidR="00DC1C5C" w:rsidRPr="000D0764" w:rsidRDefault="00DC1C5C" w:rsidP="000675FF">
      <w:pPr>
        <w:pStyle w:val="Heading3"/>
        <w:ind w:left="720"/>
      </w:pPr>
      <w:r w:rsidRPr="000D0764">
        <w:t>Costs</w:t>
      </w:r>
    </w:p>
    <w:p w14:paraId="656B0D5E" w14:textId="77777777" w:rsidR="00DC1C5C" w:rsidRPr="000D0764" w:rsidRDefault="00DC1C5C" w:rsidP="00DC1C5C">
      <w:pPr>
        <w:pStyle w:val="3IndentedQuote"/>
        <w:ind w:left="0"/>
        <w:rPr>
          <w:i w:val="0"/>
        </w:rPr>
      </w:pPr>
      <w:r w:rsidRPr="000D0764">
        <w:rPr>
          <w:rFonts w:cs="Segoe UI Light"/>
          <w:i w:val="0"/>
          <w:szCs w:val="20"/>
        </w:rPr>
        <w:t xml:space="preserve">Victoria’s water environments are of great environmental and cultural value to all Victorians, especially Aboriginal </w:t>
      </w:r>
      <w:r w:rsidRPr="00791DC5">
        <w:rPr>
          <w:rFonts w:cs="Segoe UI Light"/>
          <w:i w:val="0"/>
          <w:szCs w:val="20"/>
        </w:rPr>
        <w:t>and rural communities. Victoria’s water environments support industry, agriculture, shipping, residential living, fishing and tourism, which in turn support social values and the local, regional, state and Australian economies.</w:t>
      </w:r>
      <w:r w:rsidRPr="00791DC5">
        <w:rPr>
          <w:rStyle w:val="FootnoteReference"/>
          <w:rFonts w:cs="Segoe UI Light"/>
          <w:i w:val="0"/>
          <w:szCs w:val="20"/>
        </w:rPr>
        <w:footnoteReference w:id="255"/>
      </w:r>
      <w:r w:rsidRPr="00791DC5">
        <w:rPr>
          <w:rFonts w:cs="Segoe UI Light"/>
          <w:szCs w:val="20"/>
        </w:rPr>
        <w:t xml:space="preserve"> </w:t>
      </w:r>
      <w:r w:rsidRPr="000D0764">
        <w:rPr>
          <w:rFonts w:cs="Segoe UI Light"/>
          <w:i w:val="0"/>
          <w:szCs w:val="20"/>
        </w:rPr>
        <w:t>The Interim Victorian State of the Environment Report 2018 reported that:</w:t>
      </w:r>
    </w:p>
    <w:p w14:paraId="656B0D5F" w14:textId="77777777" w:rsidR="00DC1C5C" w:rsidRPr="000D0764" w:rsidRDefault="00DC1C5C" w:rsidP="00DC1C5C">
      <w:pPr>
        <w:pStyle w:val="3IndentedQuote"/>
        <w:spacing w:after="0"/>
        <w:ind w:left="284" w:firstLine="284"/>
      </w:pPr>
      <w:r w:rsidRPr="000D0764">
        <w:t xml:space="preserve">Ecosystem services from marine and coastal environments drive commercial and recreational fishing, </w:t>
      </w:r>
    </w:p>
    <w:p w14:paraId="656B0D60" w14:textId="77777777" w:rsidR="00DC1C5C" w:rsidRPr="000D0764" w:rsidRDefault="00DC1C5C" w:rsidP="00DC1C5C">
      <w:pPr>
        <w:pStyle w:val="3IndentedQuote"/>
        <w:spacing w:after="0"/>
        <w:ind w:left="284" w:firstLine="284"/>
      </w:pPr>
      <w:r w:rsidRPr="000D0764">
        <w:t xml:space="preserve">recreation and tourism. Wild catch fisheries harvested 4,832 tonnes in 2016-17, with the abalone and </w:t>
      </w:r>
    </w:p>
    <w:p w14:paraId="656B0D61" w14:textId="77777777" w:rsidR="00DC1C5C" w:rsidRPr="000D0764" w:rsidRDefault="00DC1C5C" w:rsidP="00DC1C5C">
      <w:pPr>
        <w:pStyle w:val="3IndentedQuote"/>
        <w:spacing w:after="0"/>
        <w:ind w:left="284" w:firstLine="284"/>
      </w:pPr>
      <w:r w:rsidRPr="000D0764">
        <w:t xml:space="preserve">rock lobster catches together worth more than $42 million, by far Victoria’s most important. The </w:t>
      </w:r>
    </w:p>
    <w:p w14:paraId="656B0D62" w14:textId="77777777" w:rsidR="00DC1C5C" w:rsidRPr="00791DC5" w:rsidRDefault="00DC1C5C" w:rsidP="00DC1C5C">
      <w:pPr>
        <w:pStyle w:val="3IndentedQuote"/>
        <w:ind w:left="284" w:firstLine="284"/>
        <w:rPr>
          <w:rFonts w:cs="Segoe UI Light"/>
          <w:i w:val="0"/>
          <w:szCs w:val="20"/>
        </w:rPr>
      </w:pPr>
      <w:r w:rsidRPr="000D0764">
        <w:t>economic value of recreational fishing to Victoria has been estimated at $7 billion</w:t>
      </w:r>
      <w:r w:rsidRPr="000D0764">
        <w:rPr>
          <w:rFonts w:cs="Segoe UI Light"/>
          <w:i w:val="0"/>
          <w:szCs w:val="20"/>
        </w:rPr>
        <w:t>.</w:t>
      </w:r>
      <w:r w:rsidRPr="00791DC5">
        <w:rPr>
          <w:rStyle w:val="FootnoteReference"/>
          <w:rFonts w:cs="Segoe UI Light"/>
          <w:i w:val="0"/>
          <w:szCs w:val="20"/>
        </w:rPr>
        <w:footnoteReference w:id="256"/>
      </w:r>
    </w:p>
    <w:p w14:paraId="656B0D63" w14:textId="77777777" w:rsidR="00DC1C5C" w:rsidRPr="000D0764" w:rsidRDefault="00DC1C5C" w:rsidP="00DC1C5C">
      <w:pPr>
        <w:autoSpaceDE w:val="0"/>
        <w:autoSpaceDN w:val="0"/>
        <w:adjustRightInd w:val="0"/>
        <w:spacing w:line="240" w:lineRule="auto"/>
        <w:rPr>
          <w:rFonts w:cs="Segoe UI Light"/>
          <w:szCs w:val="20"/>
        </w:rPr>
      </w:pPr>
      <w:r w:rsidRPr="000D0764">
        <w:rPr>
          <w:szCs w:val="20"/>
        </w:rPr>
        <w:t>This value of water is at risk from human activity that can result in pollution and waste</w:t>
      </w:r>
      <w:r w:rsidRPr="000D0764">
        <w:rPr>
          <w:sz w:val="13"/>
          <w:szCs w:val="13"/>
        </w:rPr>
        <w:t xml:space="preserve"> </w:t>
      </w:r>
      <w:r w:rsidRPr="000D0764">
        <w:rPr>
          <w:szCs w:val="20"/>
        </w:rPr>
        <w:t xml:space="preserve">discharges into Victoria’s water resources. </w:t>
      </w:r>
      <w:r w:rsidRPr="000D0764">
        <w:rPr>
          <w:rFonts w:cs="Segoe UI Light"/>
          <w:szCs w:val="20"/>
        </w:rPr>
        <w:t>Potential costs arise from reduced quality of life or loss of life, reduced agricultural productivity, infrastructure costs, reduced tourism, and reduced value of natural ecosystems.</w:t>
      </w:r>
    </w:p>
    <w:p w14:paraId="656B0D64" w14:textId="77777777" w:rsidR="00DC1C5C" w:rsidRPr="000D0764" w:rsidRDefault="00DC1C5C" w:rsidP="00DC1C5C">
      <w:pPr>
        <w:mirrorIndents/>
        <w:rPr>
          <w:rFonts w:cs="Segoe UI Light"/>
          <w:szCs w:val="20"/>
        </w:rPr>
      </w:pPr>
      <w:r w:rsidRPr="000D0764">
        <w:rPr>
          <w:rFonts w:cs="Segoe UI Light"/>
          <w:szCs w:val="20"/>
        </w:rPr>
        <w:t xml:space="preserve">In particular, the commercial and recreational fishing industry strongly relies on a healthy and diverse fish population, horticulture and broad acre agriculture depend on suitable irrigation water, and tourism may also be adversely impacted by poor quality water or full closure of tourist sites. </w:t>
      </w:r>
    </w:p>
    <w:p w14:paraId="656B0D65" w14:textId="77777777" w:rsidR="00DC1C5C" w:rsidRPr="000D0764" w:rsidRDefault="00DC1C5C" w:rsidP="00DC1C5C">
      <w:pPr>
        <w:mirrorIndents/>
        <w:rPr>
          <w:rFonts w:cs="Segoe UI Light"/>
        </w:rPr>
      </w:pPr>
      <w:r w:rsidRPr="000D0764">
        <w:rPr>
          <w:rFonts w:cs="Segoe UI Light"/>
        </w:rPr>
        <w:t xml:space="preserve">However, there is limited data available on the extent of the costs of harms to the environment and human health arising from pollution and waste in Victoria’s water environments. The costs of waste discharges from vessels is even more difficult to estimate, with no data available that enables </w:t>
      </w:r>
      <w:r w:rsidR="009A118F">
        <w:rPr>
          <w:rFonts w:cs="Segoe UI Light"/>
        </w:rPr>
        <w:t xml:space="preserve">the </w:t>
      </w:r>
      <w:r w:rsidRPr="000D0764">
        <w:rPr>
          <w:rFonts w:cs="Segoe UI Light"/>
        </w:rPr>
        <w:t>impact on water quality or associated harms and costs from this activity to be easily identified.</w:t>
      </w:r>
    </w:p>
    <w:p w14:paraId="656B0D66" w14:textId="77777777" w:rsidR="00DC1C5C" w:rsidRPr="000D0764" w:rsidRDefault="00DC1C5C" w:rsidP="00982D63">
      <w:pPr>
        <w:pStyle w:val="Heading2"/>
      </w:pPr>
      <w:r w:rsidRPr="000D0764">
        <w:t>Options</w:t>
      </w:r>
    </w:p>
    <w:p w14:paraId="656B0D67" w14:textId="77777777" w:rsidR="00DC1C5C" w:rsidRPr="000D0764" w:rsidRDefault="00DC1C5C" w:rsidP="00DC1C5C">
      <w:r w:rsidRPr="000D0764">
        <w:t>Under the new EP legislation:</w:t>
      </w:r>
    </w:p>
    <w:p w14:paraId="656B0D68" w14:textId="2A17A1E7" w:rsidR="00DC1C5C" w:rsidRPr="000D0764" w:rsidRDefault="00DC1C5C" w:rsidP="00DC1C5C">
      <w:pPr>
        <w:pStyle w:val="ListParagraph"/>
        <w:numPr>
          <w:ilvl w:val="0"/>
          <w:numId w:val="88"/>
        </w:numPr>
        <w:spacing w:after="170"/>
      </w:pPr>
      <w:r w:rsidRPr="000D0764">
        <w:t>A person must not deposit waste other than in the circumstances specified in subsection (5) (which permits the deposit of waste in or on a premises under defined circumstances). Water is not a listed exception under subsection (5)</w:t>
      </w:r>
      <w:r w:rsidR="004073A2" w:rsidRPr="004073A2">
        <w:t xml:space="preserve"> </w:t>
      </w:r>
      <w:r w:rsidR="004073A2">
        <w:t>(Part 6.3, Division 3)</w:t>
      </w:r>
      <w:r w:rsidRPr="000D0764">
        <w:t xml:space="preserve">. </w:t>
      </w:r>
    </w:p>
    <w:p w14:paraId="656B0D69" w14:textId="77777777" w:rsidR="00DC1C5C" w:rsidRPr="000D0764" w:rsidRDefault="00DC1C5C" w:rsidP="00DC1C5C">
      <w:pPr>
        <w:pStyle w:val="ListParagraph"/>
        <w:numPr>
          <w:ilvl w:val="0"/>
          <w:numId w:val="88"/>
        </w:numPr>
        <w:spacing w:after="170"/>
      </w:pPr>
      <w:r w:rsidRPr="000D0764">
        <w:t>Industrial waste is prohibited from being deposited or abandoned at a place or premises, unless the place or premises is authorised to receive industrial waste. (Part 6.4).</w:t>
      </w:r>
    </w:p>
    <w:p w14:paraId="656B0D6A" w14:textId="77777777" w:rsidR="00BA30C4" w:rsidRDefault="00BA30C4" w:rsidP="00DC1C5C">
      <w:r>
        <w:t xml:space="preserve">The option developed by EPA and DELWP considered how the GED, along with the above waste offences, could be further </w:t>
      </w:r>
      <w:r w:rsidR="00431CF9">
        <w:t xml:space="preserve">supplemented </w:t>
      </w:r>
      <w:r>
        <w:t xml:space="preserve">so that vessel operators can be given greater </w:t>
      </w:r>
      <w:r w:rsidR="00A30589">
        <w:t>certainty.</w:t>
      </w:r>
    </w:p>
    <w:p w14:paraId="656B0D6B" w14:textId="77777777" w:rsidR="00DC1C5C" w:rsidRPr="000D0764" w:rsidRDefault="00DC1C5C" w:rsidP="00DC1C5C">
      <w:r w:rsidRPr="000D0764">
        <w:rPr>
          <w:rFonts w:cs="Segoe UI Light"/>
        </w:rPr>
        <w:t xml:space="preserve">The following option is being considered </w:t>
      </w:r>
      <w:r w:rsidRPr="000D0764">
        <w:t>to clarify the requirements for vessel operators:</w:t>
      </w:r>
    </w:p>
    <w:p w14:paraId="656B0D6C" w14:textId="77777777" w:rsidR="00DC1C5C" w:rsidRPr="000D0764" w:rsidRDefault="00DC1C5C" w:rsidP="00DC1C5C">
      <w:pPr>
        <w:pStyle w:val="ListParagraph"/>
        <w:numPr>
          <w:ilvl w:val="0"/>
          <w:numId w:val="88"/>
        </w:numPr>
        <w:spacing w:after="170"/>
      </w:pPr>
      <w:bookmarkStart w:id="1653" w:name="_Hlk10547023"/>
      <w:r w:rsidRPr="000D0764">
        <w:rPr>
          <w:b/>
        </w:rPr>
        <w:t>Option 1 – Prescribe that waste from vessels must not be discharged into water</w:t>
      </w:r>
      <w:r w:rsidRPr="000D0764">
        <w:t>: This option would be enacted as a regulation with an infringeable offence that articulates how waste from vessels is to be managed</w:t>
      </w:r>
      <w:r w:rsidR="00780FA9">
        <w:t>. That is, that</w:t>
      </w:r>
      <w:r w:rsidRPr="000D0764">
        <w:t xml:space="preserve"> a person must not discharge waste produced or located on a vessel into the water environment </w:t>
      </w:r>
      <w:r w:rsidR="00F709D6">
        <w:t>except under defined</w:t>
      </w:r>
      <w:r w:rsidR="00780FA9">
        <w:t xml:space="preserve"> circumstances, and</w:t>
      </w:r>
      <w:r w:rsidR="00D23DA1">
        <w:t>/or</w:t>
      </w:r>
      <w:r w:rsidR="00780FA9">
        <w:t xml:space="preserve"> if certain environmental risks are mitigated.</w:t>
      </w:r>
      <w:r w:rsidR="00780FA9">
        <w:rPr>
          <w:rStyle w:val="FootnoteReference"/>
        </w:rPr>
        <w:footnoteReference w:id="257"/>
      </w:r>
      <w:r w:rsidR="00780FA9">
        <w:t xml:space="preserve"> </w:t>
      </w:r>
      <w:bookmarkEnd w:id="1653"/>
      <w:r w:rsidR="001303C9">
        <w:t>This</w:t>
      </w:r>
      <w:r w:rsidRPr="000D0764">
        <w:t xml:space="preserve"> is consistent with the current regulatory position.</w:t>
      </w:r>
    </w:p>
    <w:p w14:paraId="656B0D6D" w14:textId="77777777" w:rsidR="00DC1C5C" w:rsidRPr="000D0764" w:rsidRDefault="00DC1C5C" w:rsidP="00DC1C5C">
      <w:pPr>
        <w:spacing w:after="170"/>
      </w:pPr>
      <w:r w:rsidRPr="000D0764">
        <w:t xml:space="preserve">Consideration was given to including an option </w:t>
      </w:r>
      <w:r w:rsidR="00DD0727" w:rsidRPr="000D0764">
        <w:t xml:space="preserve">in this RIS </w:t>
      </w:r>
      <w:r w:rsidRPr="000D0764">
        <w:t xml:space="preserve">that prescribes how a vessel </w:t>
      </w:r>
      <w:r w:rsidR="001303C9">
        <w:t xml:space="preserve">must </w:t>
      </w:r>
      <w:r w:rsidRPr="000D0764">
        <w:t>compl</w:t>
      </w:r>
      <w:r w:rsidR="001303C9">
        <w:t>y</w:t>
      </w:r>
      <w:r w:rsidRPr="000D0764">
        <w:t xml:space="preserve"> with the requirements, </w:t>
      </w:r>
      <w:r w:rsidR="008C26C7">
        <w:t>for example, that all vessels must have a holding tank</w:t>
      </w:r>
      <w:r w:rsidR="008048CF">
        <w:t>.</w:t>
      </w:r>
      <w:r w:rsidR="008C26C7">
        <w:t xml:space="preserve"> </w:t>
      </w:r>
      <w:r w:rsidR="008048CF">
        <w:t>H</w:t>
      </w:r>
      <w:r w:rsidRPr="000D0764">
        <w:t>owever</w:t>
      </w:r>
      <w:r w:rsidR="008048CF">
        <w:t>,</w:t>
      </w:r>
      <w:r w:rsidRPr="000D0764">
        <w:t xml:space="preserve"> this </w:t>
      </w:r>
      <w:r w:rsidR="00DD0727">
        <w:t>was</w:t>
      </w:r>
      <w:r w:rsidR="00DD0727" w:rsidRPr="000D0764">
        <w:t xml:space="preserve"> </w:t>
      </w:r>
      <w:r w:rsidRPr="000D0764">
        <w:t xml:space="preserve">not </w:t>
      </w:r>
      <w:r w:rsidR="001303C9">
        <w:t>pursued</w:t>
      </w:r>
      <w:r w:rsidR="00447ECB">
        <w:t xml:space="preserve"> </w:t>
      </w:r>
      <w:r w:rsidRPr="000D0764">
        <w:t>due to the potentially onerous costs</w:t>
      </w:r>
      <w:r w:rsidR="00447ECB">
        <w:t xml:space="preserve"> relative </w:t>
      </w:r>
      <w:r w:rsidRPr="000D0764">
        <w:t xml:space="preserve">to the </w:t>
      </w:r>
      <w:r w:rsidR="00447ECB">
        <w:t xml:space="preserve">size of the </w:t>
      </w:r>
      <w:r w:rsidRPr="000D0764">
        <w:t>problem being addressed, which while potentially significant when added up across many vessels, is very dispersed and also quite uncertain. There is a lack of qualitative or quantitative evidence to warrant stronger controls.</w:t>
      </w:r>
    </w:p>
    <w:p w14:paraId="656B0D6E" w14:textId="77777777" w:rsidR="00DC1C5C" w:rsidRPr="000D0764" w:rsidRDefault="00DC1C5C" w:rsidP="00982D63">
      <w:pPr>
        <w:pStyle w:val="Heading2"/>
      </w:pPr>
      <w:r w:rsidRPr="000D0764">
        <w:t>Assessment</w:t>
      </w:r>
    </w:p>
    <w:p w14:paraId="656B0D6F" w14:textId="77777777" w:rsidR="00DC1C5C" w:rsidRPr="000D0764" w:rsidRDefault="00DC1C5C" w:rsidP="008048CF">
      <w:pPr>
        <w:pStyle w:val="Heading3"/>
        <w:ind w:left="720"/>
      </w:pPr>
      <w:r w:rsidRPr="000D0764">
        <w:t>Method</w:t>
      </w:r>
    </w:p>
    <w:p w14:paraId="656B0D70" w14:textId="77777777" w:rsidR="00DC1C5C" w:rsidRPr="000D0764" w:rsidRDefault="00DC1C5C" w:rsidP="00DC1C5C">
      <w:r w:rsidRPr="000D0764">
        <w:t>Due to lack of quantifiable data, a qualitative analysis has been undertaken.</w:t>
      </w:r>
    </w:p>
    <w:p w14:paraId="656B0D71" w14:textId="77777777" w:rsidR="00DC1C5C" w:rsidRPr="000D0764" w:rsidRDefault="00DC1C5C" w:rsidP="008048CF">
      <w:pPr>
        <w:pStyle w:val="Heading3"/>
        <w:ind w:left="720"/>
      </w:pPr>
      <w:r w:rsidRPr="000D0764">
        <w:t xml:space="preserve">Benefits </w:t>
      </w:r>
    </w:p>
    <w:p w14:paraId="656B0D72" w14:textId="77777777" w:rsidR="00125740" w:rsidRDefault="00DC1C5C" w:rsidP="00125740">
      <w:r w:rsidRPr="000D0764">
        <w:t xml:space="preserve">Under the Base Case it is an offence to deposit waste into the water environment </w:t>
      </w:r>
      <w:r w:rsidR="009A118F">
        <w:t xml:space="preserve">(under </w:t>
      </w:r>
      <w:r w:rsidRPr="000D0764">
        <w:t xml:space="preserve">Part 6.3 and Part 6.4 of </w:t>
      </w:r>
      <w:r w:rsidR="00CE519E">
        <w:t>the new EP legislation</w:t>
      </w:r>
      <w:r w:rsidR="009A118F">
        <w:t>)</w:t>
      </w:r>
      <w:r w:rsidRPr="000D0764">
        <w:t>.</w:t>
      </w:r>
      <w:r w:rsidR="00125740">
        <w:t xml:space="preserve"> However, vessel operators may not be aware that these duties apply to them. </w:t>
      </w:r>
    </w:p>
    <w:p w14:paraId="656B0D73" w14:textId="77777777" w:rsidR="00125740" w:rsidRDefault="00125740" w:rsidP="00125740">
      <w:r>
        <w:t xml:space="preserve">Option 1 therefore has two primary benefits: </w:t>
      </w:r>
    </w:p>
    <w:p w14:paraId="656B0D74" w14:textId="77777777" w:rsidR="00125740" w:rsidRDefault="00125740" w:rsidP="00125740">
      <w:pPr>
        <w:pStyle w:val="ListParagraph"/>
        <w:numPr>
          <w:ilvl w:val="0"/>
          <w:numId w:val="88"/>
        </w:numPr>
      </w:pPr>
      <w:r>
        <w:t xml:space="preserve">It </w:t>
      </w:r>
      <w:r w:rsidRPr="00125740">
        <w:t>provide</w:t>
      </w:r>
      <w:r w:rsidR="00F279B6">
        <w:t>s</w:t>
      </w:r>
      <w:r w:rsidRPr="00125740">
        <w:t xml:space="preserve"> </w:t>
      </w:r>
      <w:r w:rsidR="003B1196">
        <w:t>fit for purpose requirement</w:t>
      </w:r>
      <w:r w:rsidR="00AB0734">
        <w:t>s</w:t>
      </w:r>
      <w:r>
        <w:t xml:space="preserve"> (including appropriate exemptions)</w:t>
      </w:r>
      <w:r w:rsidRPr="00125740">
        <w:t xml:space="preserve">, pertaining to the activity of vessel waste management, </w:t>
      </w:r>
      <w:r w:rsidR="00AB0734">
        <w:t>compared to the generic obligations in</w:t>
      </w:r>
      <w:r w:rsidR="00AB0734" w:rsidRPr="00125740">
        <w:t xml:space="preserve"> </w:t>
      </w:r>
      <w:r>
        <w:t xml:space="preserve">Part </w:t>
      </w:r>
      <w:r w:rsidR="00AB0734">
        <w:t>6.</w:t>
      </w:r>
      <w:r>
        <w:t xml:space="preserve">3 and Part </w:t>
      </w:r>
      <w:r w:rsidR="00AB0734">
        <w:t>6.</w:t>
      </w:r>
      <w:r>
        <w:t xml:space="preserve">4 of the new EP legislation. As such, vessel operators would have greater </w:t>
      </w:r>
      <w:r w:rsidR="00E26C79">
        <w:t>certainty about th</w:t>
      </w:r>
      <w:r>
        <w:t>eir obligations</w:t>
      </w:r>
      <w:r w:rsidR="009A118F">
        <w:t>.</w:t>
      </w:r>
    </w:p>
    <w:p w14:paraId="656B0D75" w14:textId="77777777" w:rsidR="00125740" w:rsidRDefault="00125740" w:rsidP="00125740">
      <w:pPr>
        <w:pStyle w:val="ListParagraph"/>
        <w:numPr>
          <w:ilvl w:val="0"/>
          <w:numId w:val="88"/>
        </w:numPr>
      </w:pPr>
      <w:r>
        <w:t xml:space="preserve">It </w:t>
      </w:r>
      <w:r w:rsidR="009A118F">
        <w:t>pres</w:t>
      </w:r>
      <w:r>
        <w:t xml:space="preserve">cribes </w:t>
      </w:r>
      <w:r w:rsidRPr="00125740">
        <w:t>a more appropriate</w:t>
      </w:r>
      <w:r w:rsidR="0098141F">
        <w:t xml:space="preserve"> financial</w:t>
      </w:r>
      <w:r w:rsidRPr="00125740">
        <w:t xml:space="preserve"> penalty for the activity</w:t>
      </w:r>
      <w:r>
        <w:t xml:space="preserve"> than Part 6.3 and Part 6.4 of the new EP legislation</w:t>
      </w:r>
      <w:r w:rsidRPr="00125740">
        <w:t>. The industrial waste duty has a very significant penalty that is not proportionate to the smaller-scale nature of the activity, which has more of a cumulative risk.</w:t>
      </w:r>
    </w:p>
    <w:p w14:paraId="656B0D76" w14:textId="77777777" w:rsidR="00DC1C5C" w:rsidRPr="000D0764" w:rsidRDefault="00DC1C5C" w:rsidP="00DC1C5C">
      <w:pPr>
        <w:mirrorIndents/>
      </w:pPr>
      <w:r w:rsidRPr="000D0764">
        <w:t>As this regulation does not impose any additional requirements relative to the new EP legislation (</w:t>
      </w:r>
      <w:r w:rsidR="00F709D6">
        <w:t>it</w:t>
      </w:r>
      <w:r w:rsidR="00496924">
        <w:t xml:space="preserve"> </w:t>
      </w:r>
      <w:r w:rsidR="00AA4658">
        <w:t xml:space="preserve">simply </w:t>
      </w:r>
      <w:r w:rsidR="00496924">
        <w:t>provide</w:t>
      </w:r>
      <w:r w:rsidR="00F709D6">
        <w:t>s</w:t>
      </w:r>
      <w:r w:rsidR="00496924">
        <w:t xml:space="preserve"> clarification to further support duty holders</w:t>
      </w:r>
      <w:r w:rsidRPr="000D0764">
        <w:t xml:space="preserve">) it is not expected to lead to additional benefits in the form of </w:t>
      </w:r>
      <w:r w:rsidR="00AA4658">
        <w:t>reduced</w:t>
      </w:r>
      <w:r w:rsidRPr="000D0764">
        <w:t xml:space="preserve"> harm to the environment or human health.</w:t>
      </w:r>
    </w:p>
    <w:p w14:paraId="656B0D77" w14:textId="77777777" w:rsidR="00DC1C5C" w:rsidRPr="000D0764" w:rsidRDefault="00DC1C5C" w:rsidP="008048CF">
      <w:pPr>
        <w:pStyle w:val="Heading3"/>
        <w:ind w:left="720"/>
      </w:pPr>
      <w:r w:rsidRPr="000D0764">
        <w:t>Costs</w:t>
      </w:r>
    </w:p>
    <w:p w14:paraId="656B0D78" w14:textId="77777777" w:rsidR="00DC1C5C" w:rsidRPr="00791DC5" w:rsidRDefault="00DC1C5C" w:rsidP="00DC1C5C">
      <w:r w:rsidRPr="000D0764">
        <w:t>For the same reason</w:t>
      </w:r>
      <w:r w:rsidR="00DD0727">
        <w:t xml:space="preserve"> as above</w:t>
      </w:r>
      <w:r w:rsidRPr="000D0764">
        <w:t xml:space="preserve">, it is not expected to impose any additional costs on vessel operators. </w:t>
      </w:r>
    </w:p>
    <w:p w14:paraId="656B0D79" w14:textId="77777777" w:rsidR="00DC1C5C" w:rsidRPr="000D0764" w:rsidRDefault="00AA4658" w:rsidP="00DC1C5C">
      <w:r>
        <w:t>T</w:t>
      </w:r>
      <w:r w:rsidR="00DC1C5C" w:rsidRPr="000D0764">
        <w:t xml:space="preserve">he </w:t>
      </w:r>
      <w:r w:rsidR="009769F0">
        <w:t xml:space="preserve">proposed </w:t>
      </w:r>
      <w:r w:rsidR="00DC1C5C" w:rsidRPr="000D0764">
        <w:t xml:space="preserve">regulation is expected to </w:t>
      </w:r>
      <w:r w:rsidR="004F1E29">
        <w:t xml:space="preserve">reduce costs for </w:t>
      </w:r>
      <w:r w:rsidR="00DC1C5C" w:rsidRPr="000D0764">
        <w:t xml:space="preserve">vessel operators by clarifying their obligations regarding waste management including specific exemptions </w:t>
      </w:r>
      <w:r>
        <w:t>for houseboats in</w:t>
      </w:r>
      <w:r w:rsidR="00DC1C5C" w:rsidRPr="000D0764">
        <w:t xml:space="preserve"> Lake Eildon and aquatic pest management, although this </w:t>
      </w:r>
      <w:r w:rsidR="004F1E29">
        <w:t xml:space="preserve">impact </w:t>
      </w:r>
      <w:r w:rsidR="00DC1C5C" w:rsidRPr="000D0764">
        <w:t>is likely to be small and very difficult to quantify</w:t>
      </w:r>
      <w:r w:rsidR="00DC7A63">
        <w:t xml:space="preserve">. </w:t>
      </w:r>
    </w:p>
    <w:p w14:paraId="656B0D7A" w14:textId="77777777" w:rsidR="00DC1C5C" w:rsidRPr="000D0764" w:rsidRDefault="00DC1C5C" w:rsidP="00DC1C5C">
      <w:r w:rsidRPr="000D0764">
        <w:t xml:space="preserve">Similarly, the regulation is expected to reduce EPA’s enforcement cost </w:t>
      </w:r>
      <w:r w:rsidR="00AA4658">
        <w:t xml:space="preserve">(relative to the </w:t>
      </w:r>
      <w:r w:rsidR="00E93EEB">
        <w:t>Base Case</w:t>
      </w:r>
      <w:r w:rsidR="00AA4658">
        <w:t>)</w:t>
      </w:r>
      <w:r w:rsidRPr="000D0764">
        <w:t xml:space="preserve"> by clarifying its enforcement role </w:t>
      </w:r>
      <w:r w:rsidR="00AF3908">
        <w:t>for vessel operators</w:t>
      </w:r>
      <w:r w:rsidR="00AA4658">
        <w:t xml:space="preserve">. </w:t>
      </w:r>
      <w:r w:rsidR="004D72F2">
        <w:t xml:space="preserve">Under Option 1, </w:t>
      </w:r>
      <w:r w:rsidR="00AA4658">
        <w:t xml:space="preserve">EPA </w:t>
      </w:r>
      <w:r w:rsidR="004D72F2">
        <w:t xml:space="preserve">would </w:t>
      </w:r>
      <w:r w:rsidR="00AA4658">
        <w:t>be able to issue r</w:t>
      </w:r>
      <w:r w:rsidR="00AA4658" w:rsidRPr="00AA4658">
        <w:t>emedial notices</w:t>
      </w:r>
      <w:r w:rsidR="00AA4658">
        <w:t xml:space="preserve">, </w:t>
      </w:r>
      <w:r w:rsidR="00AA4658" w:rsidRPr="00AA4658">
        <w:t>pursue sanction</w:t>
      </w:r>
      <w:r w:rsidR="00AA4658">
        <w:t>s</w:t>
      </w:r>
      <w:r w:rsidR="00AA4658" w:rsidRPr="00AA4658">
        <w:t xml:space="preserve"> </w:t>
      </w:r>
      <w:r w:rsidR="00AA4658">
        <w:t>(</w:t>
      </w:r>
      <w:r w:rsidR="00AA4658" w:rsidRPr="00AA4658">
        <w:t>where appropriate</w:t>
      </w:r>
      <w:r w:rsidR="00AA4658">
        <w:t>)</w:t>
      </w:r>
      <w:r w:rsidR="00061862">
        <w:t>, including</w:t>
      </w:r>
      <w:r w:rsidR="00AA4658" w:rsidRPr="00AA4658">
        <w:t xml:space="preserve"> </w:t>
      </w:r>
      <w:r w:rsidR="00AA4658">
        <w:t>infringement notices</w:t>
      </w:r>
      <w:r w:rsidR="009769F0">
        <w:t>. The proposed regulation would have a direct penalty that is proportionate to the offence</w:t>
      </w:r>
      <w:r w:rsidR="00AA4658">
        <w:t xml:space="preserve">, whereas under the </w:t>
      </w:r>
      <w:r w:rsidR="00B362B2">
        <w:t>Base Case</w:t>
      </w:r>
      <w:r w:rsidR="004D72F2">
        <w:t xml:space="preserve">, </w:t>
      </w:r>
      <w:r w:rsidR="00F05B1F">
        <w:t xml:space="preserve">remedial notices can be issued but the offence has </w:t>
      </w:r>
      <w:r w:rsidR="004D72F2">
        <w:t>significant financial penalties</w:t>
      </w:r>
      <w:r w:rsidRPr="000D0764">
        <w:t xml:space="preserve">. </w:t>
      </w:r>
    </w:p>
    <w:p w14:paraId="656B0D7B" w14:textId="77777777" w:rsidR="00DC1C5C" w:rsidRPr="000D0764" w:rsidRDefault="00DC1C5C" w:rsidP="008048CF">
      <w:pPr>
        <w:pStyle w:val="Heading3"/>
        <w:ind w:left="720"/>
      </w:pPr>
      <w:r w:rsidRPr="000D0764">
        <w:t>Summary – preferred option</w:t>
      </w:r>
    </w:p>
    <w:p w14:paraId="656B0D7C" w14:textId="77777777" w:rsidR="00AF3908" w:rsidRDefault="00DC1C5C" w:rsidP="00AF3908">
      <w:r w:rsidRPr="000D0764">
        <w:t xml:space="preserve">On balance, </w:t>
      </w:r>
      <w:r w:rsidR="00AF3908">
        <w:t xml:space="preserve">Option 1 </w:t>
      </w:r>
      <w:r w:rsidRPr="000D0764">
        <w:t xml:space="preserve">is </w:t>
      </w:r>
      <w:r w:rsidR="00AF3908">
        <w:t xml:space="preserve">likely </w:t>
      </w:r>
      <w:r w:rsidRPr="000D0764">
        <w:t xml:space="preserve">to provide a small benefit </w:t>
      </w:r>
      <w:r w:rsidR="004D72F2">
        <w:t>to</w:t>
      </w:r>
      <w:r w:rsidRPr="000D0764">
        <w:t xml:space="preserve"> vessel operators and EPA due to the </w:t>
      </w:r>
      <w:r w:rsidR="00AF3908">
        <w:t>additional</w:t>
      </w:r>
      <w:r w:rsidRPr="000D0764">
        <w:t xml:space="preserve"> </w:t>
      </w:r>
      <w:r w:rsidR="00E26C79">
        <w:t xml:space="preserve">certainty </w:t>
      </w:r>
      <w:r w:rsidR="00AF3908">
        <w:t xml:space="preserve">it </w:t>
      </w:r>
      <w:r w:rsidRPr="000D0764">
        <w:t>provide</w:t>
      </w:r>
      <w:r w:rsidR="00AF3908">
        <w:t xml:space="preserve">s, and by specifying the appropriate exemptions. Furthermore, </w:t>
      </w:r>
      <w:r w:rsidR="000757DB">
        <w:t>it enables</w:t>
      </w:r>
      <w:r w:rsidR="00AF3908">
        <w:t xml:space="preserve"> EPA to issue penalties or notices that are proportionate to the scale of the offence</w:t>
      </w:r>
      <w:r w:rsidR="000757DB">
        <w:t xml:space="preserve">. </w:t>
      </w:r>
      <w:r w:rsidR="00AF3908">
        <w:t xml:space="preserve">Option 1 is not expected to impose </w:t>
      </w:r>
      <w:r w:rsidR="00AF3908" w:rsidRPr="000D0764">
        <w:t>any additional costs relative to the Base Case.</w:t>
      </w:r>
    </w:p>
    <w:p w14:paraId="656B0D7D" w14:textId="77777777" w:rsidR="00DC1C5C" w:rsidRPr="00791DC5" w:rsidRDefault="00DC1C5C" w:rsidP="00DC1C5C">
      <w:r w:rsidRPr="000D0764">
        <w:t>Given this, Option 1 is recommended.</w:t>
      </w:r>
    </w:p>
    <w:p w14:paraId="656B0D7E" w14:textId="77777777" w:rsidR="00DC1C5C" w:rsidRPr="000D0764" w:rsidRDefault="00DC1C5C" w:rsidP="00982D63">
      <w:pPr>
        <w:pStyle w:val="Heading2"/>
      </w:pPr>
      <w:r w:rsidRPr="000D0764">
        <w:t xml:space="preserve">Interaction with other </w:t>
      </w:r>
      <w:r w:rsidR="003214D9">
        <w:t>legislation</w:t>
      </w:r>
    </w:p>
    <w:p w14:paraId="656B0D7F" w14:textId="77777777" w:rsidR="00DC1C5C" w:rsidRPr="000D0764" w:rsidRDefault="00DC1C5C" w:rsidP="00DC1C5C">
      <w:pPr>
        <w:rPr>
          <w:rFonts w:cs="Segoe UI Light"/>
          <w:color w:val="000000" w:themeColor="text1"/>
        </w:rPr>
      </w:pPr>
      <w:r w:rsidRPr="00791DC5">
        <w:rPr>
          <w:rFonts w:cs="Segoe UI Light"/>
          <w:color w:val="000000" w:themeColor="text1"/>
        </w:rPr>
        <w:t xml:space="preserve">The proposed </w:t>
      </w:r>
      <w:r w:rsidR="00852412">
        <w:rPr>
          <w:rFonts w:cs="Segoe UI Light"/>
          <w:color w:val="000000" w:themeColor="text1"/>
        </w:rPr>
        <w:t>R</w:t>
      </w:r>
      <w:r w:rsidRPr="00791DC5">
        <w:rPr>
          <w:rFonts w:cs="Segoe UI Light"/>
          <w:color w:val="000000" w:themeColor="text1"/>
        </w:rPr>
        <w:t xml:space="preserve">egulations may interact </w:t>
      </w:r>
      <w:r w:rsidRPr="000D0764">
        <w:rPr>
          <w:rFonts w:cs="Segoe UI Light"/>
          <w:color w:val="000000" w:themeColor="text1"/>
        </w:rPr>
        <w:t xml:space="preserve">with the </w:t>
      </w:r>
      <w:r w:rsidRPr="000D0764">
        <w:rPr>
          <w:rFonts w:cs="Segoe UI Light"/>
          <w:i/>
          <w:color w:val="000000" w:themeColor="text1"/>
        </w:rPr>
        <w:t>Water (Lake Eildon Recreational Area) (Houseboats) Regulations 2013</w:t>
      </w:r>
      <w:r w:rsidRPr="000D0764">
        <w:rPr>
          <w:rFonts w:cs="Segoe UI Light"/>
          <w:color w:val="000000" w:themeColor="text1"/>
        </w:rPr>
        <w:t xml:space="preserve">. </w:t>
      </w:r>
    </w:p>
    <w:p w14:paraId="656B0D80" w14:textId="77777777" w:rsidR="00DC1C5C" w:rsidRPr="000D0764" w:rsidRDefault="00DC1C5C" w:rsidP="00DC1C5C">
      <w:pPr>
        <w:rPr>
          <w:rFonts w:cs="Segoe UI Light"/>
          <w:color w:val="000000" w:themeColor="text1"/>
        </w:rPr>
      </w:pPr>
      <w:r w:rsidRPr="000D0764">
        <w:rPr>
          <w:rFonts w:cs="Segoe UI Light"/>
          <w:color w:val="000000" w:themeColor="text1"/>
        </w:rPr>
        <w:t>Th</w:t>
      </w:r>
      <w:r w:rsidR="008C101A">
        <w:rPr>
          <w:rFonts w:cs="Segoe UI Light"/>
          <w:color w:val="000000" w:themeColor="text1"/>
        </w:rPr>
        <w:t>o</w:t>
      </w:r>
      <w:r w:rsidRPr="000D0764">
        <w:rPr>
          <w:rFonts w:cs="Segoe UI Light"/>
          <w:color w:val="000000" w:themeColor="text1"/>
        </w:rPr>
        <w:t xml:space="preserve">se regulations are intended to identify obligations related to the discharge of greywater from houseboats on Lake Eildon. As such, there is potential for overlap between the proposed EPA regulations, and how the discharge of greywater from house boats on Lake Eildon is regulated in other legislation. However, this interaction is specific to this circumstance, and does not extend to other vessel types or other locations. </w:t>
      </w:r>
    </w:p>
    <w:p w14:paraId="656B0D81" w14:textId="77777777" w:rsidR="00DC1C5C" w:rsidRDefault="00DC1C5C" w:rsidP="00DC1C5C">
      <w:pPr>
        <w:rPr>
          <w:rFonts w:cs="Segoe UI Light"/>
          <w:color w:val="000000" w:themeColor="text1"/>
        </w:rPr>
      </w:pPr>
      <w:r w:rsidRPr="000D0764">
        <w:rPr>
          <w:rFonts w:cs="Segoe UI Light"/>
          <w:color w:val="000000" w:themeColor="text1"/>
        </w:rPr>
        <w:t xml:space="preserve">The proposed </w:t>
      </w:r>
      <w:r w:rsidR="00852412">
        <w:rPr>
          <w:rFonts w:cs="Segoe UI Light"/>
          <w:color w:val="000000" w:themeColor="text1"/>
        </w:rPr>
        <w:t>R</w:t>
      </w:r>
      <w:r w:rsidRPr="000D0764">
        <w:rPr>
          <w:rFonts w:cs="Segoe UI Light"/>
          <w:color w:val="000000" w:themeColor="text1"/>
        </w:rPr>
        <w:t xml:space="preserve">egulations deal with this potential overlap by prescribing that the regulation relating to waste discharges from vessels does not apply to the disposal of waste in the form of greywater produced or located on a houseboat operating on Lake Eildon if the person disposes of such greywater in accordance with the </w:t>
      </w:r>
      <w:r w:rsidRPr="000D0764">
        <w:rPr>
          <w:rFonts w:cs="Segoe UI Light"/>
          <w:i/>
          <w:color w:val="000000" w:themeColor="text1"/>
        </w:rPr>
        <w:t>Water (Lake Eildon Recreation Area) (Houseboat) Regulations 2013</w:t>
      </w:r>
      <w:r w:rsidRPr="000D0764">
        <w:rPr>
          <w:rFonts w:cs="Segoe UI Light"/>
          <w:color w:val="000000" w:themeColor="text1"/>
        </w:rPr>
        <w:t>.</w:t>
      </w:r>
      <w:r>
        <w:rPr>
          <w:rFonts w:cs="Segoe UI Light"/>
          <w:color w:val="000000" w:themeColor="text1"/>
        </w:rPr>
        <w:t xml:space="preserve"> </w:t>
      </w:r>
    </w:p>
    <w:p w14:paraId="656B0D82" w14:textId="77777777" w:rsidR="001922B1" w:rsidRDefault="001922B1" w:rsidP="00F57158">
      <w:pPr>
        <w:pStyle w:val="Heading1"/>
        <w:spacing w:after="120"/>
      </w:pPr>
      <w:bookmarkStart w:id="1654" w:name="_Toc8020669"/>
      <w:bookmarkStart w:id="1655" w:name="_Toc8020670"/>
      <w:bookmarkStart w:id="1656" w:name="_Toc8020671"/>
      <w:bookmarkStart w:id="1657" w:name="_Toc8020672"/>
      <w:bookmarkStart w:id="1658" w:name="_Toc8020673"/>
      <w:bookmarkStart w:id="1659" w:name="_Toc8020674"/>
      <w:bookmarkStart w:id="1660" w:name="_Toc8020675"/>
      <w:bookmarkStart w:id="1661" w:name="_Toc8020676"/>
      <w:bookmarkStart w:id="1662" w:name="_Toc8020677"/>
      <w:bookmarkStart w:id="1663" w:name="_Toc8020678"/>
      <w:bookmarkStart w:id="1664" w:name="_Toc8020679"/>
      <w:bookmarkStart w:id="1665" w:name="_Toc8020680"/>
      <w:bookmarkStart w:id="1666" w:name="_Toc8020681"/>
      <w:bookmarkStart w:id="1667" w:name="_Toc8020682"/>
      <w:bookmarkStart w:id="1668" w:name="_Toc8020683"/>
      <w:bookmarkStart w:id="1669" w:name="_Toc8020684"/>
      <w:bookmarkStart w:id="1670" w:name="_Toc8020685"/>
      <w:bookmarkStart w:id="1671" w:name="_Toc8020686"/>
      <w:bookmarkStart w:id="1672" w:name="_Toc8020687"/>
      <w:bookmarkStart w:id="1673" w:name="_Toc8020688"/>
      <w:bookmarkStart w:id="1674" w:name="_Toc8020689"/>
      <w:bookmarkStart w:id="1675" w:name="_Toc8020690"/>
      <w:bookmarkStart w:id="1676" w:name="_Toc8020691"/>
      <w:bookmarkStart w:id="1677" w:name="_Toc8020692"/>
      <w:bookmarkStart w:id="1678" w:name="_Toc8020693"/>
      <w:bookmarkStart w:id="1679" w:name="_Toc8020694"/>
      <w:bookmarkStart w:id="1680" w:name="_Toc8020695"/>
      <w:bookmarkStart w:id="1681" w:name="_Toc8020696"/>
      <w:bookmarkStart w:id="1682" w:name="_Toc8020710"/>
      <w:bookmarkStart w:id="1683" w:name="_Toc8020711"/>
      <w:bookmarkStart w:id="1684" w:name="_Toc8020712"/>
      <w:bookmarkStart w:id="1685" w:name="_Toc8020713"/>
      <w:bookmarkStart w:id="1686" w:name="_Toc8020714"/>
      <w:bookmarkStart w:id="1687" w:name="_Toc8020715"/>
      <w:bookmarkStart w:id="1688" w:name="_Toc8020716"/>
      <w:bookmarkStart w:id="1689" w:name="_Toc8020717"/>
      <w:bookmarkStart w:id="1690" w:name="_Toc8020718"/>
      <w:bookmarkStart w:id="1691" w:name="_Toc8020719"/>
      <w:bookmarkStart w:id="1692" w:name="_Toc8020720"/>
      <w:bookmarkStart w:id="1693" w:name="_Toc8020721"/>
      <w:bookmarkStart w:id="1694" w:name="_Toc8020722"/>
      <w:bookmarkStart w:id="1695" w:name="_Toc8020723"/>
      <w:bookmarkStart w:id="1696" w:name="_Toc8020724"/>
      <w:bookmarkStart w:id="1697" w:name="_Toc8020725"/>
      <w:bookmarkStart w:id="1698" w:name="_Toc8020726"/>
      <w:bookmarkStart w:id="1699" w:name="_Toc8020727"/>
      <w:bookmarkStart w:id="1700" w:name="_Toc8020728"/>
      <w:bookmarkStart w:id="1701" w:name="_Toc8020729"/>
      <w:bookmarkStart w:id="1702" w:name="_Toc8020730"/>
      <w:bookmarkStart w:id="1703" w:name="_Toc8020731"/>
      <w:bookmarkStart w:id="1704" w:name="_Toc8020732"/>
      <w:bookmarkStart w:id="1705" w:name="_Toc8020733"/>
      <w:bookmarkStart w:id="1706" w:name="_Toc8020734"/>
      <w:bookmarkStart w:id="1707" w:name="_Toc8020735"/>
      <w:bookmarkStart w:id="1708" w:name="_Toc8020736"/>
      <w:bookmarkStart w:id="1709" w:name="_Toc8020737"/>
      <w:bookmarkStart w:id="1710" w:name="_Toc8020738"/>
      <w:bookmarkStart w:id="1711" w:name="_Toc8020739"/>
      <w:bookmarkStart w:id="1712" w:name="_Toc8020740"/>
      <w:bookmarkStart w:id="1713" w:name="_Toc8020741"/>
      <w:bookmarkStart w:id="1714" w:name="_Toc8020742"/>
      <w:bookmarkStart w:id="1715" w:name="_Toc8020743"/>
      <w:bookmarkStart w:id="1716" w:name="_Toc8020744"/>
      <w:bookmarkStart w:id="1717" w:name="_Toc8020745"/>
      <w:bookmarkStart w:id="1718" w:name="_Toc8020746"/>
      <w:bookmarkStart w:id="1719" w:name="_Toc8020747"/>
      <w:bookmarkStart w:id="1720" w:name="_Toc8020748"/>
      <w:bookmarkStart w:id="1721" w:name="_Toc8020749"/>
      <w:bookmarkStart w:id="1722" w:name="_Toc8020750"/>
      <w:bookmarkStart w:id="1723" w:name="_Toc8020751"/>
      <w:bookmarkStart w:id="1724" w:name="_Toc8020752"/>
      <w:bookmarkStart w:id="1725" w:name="_Toc8020753"/>
      <w:bookmarkStart w:id="1726" w:name="_Toc8020754"/>
      <w:bookmarkStart w:id="1727" w:name="_Toc8020810"/>
      <w:bookmarkStart w:id="1728" w:name="_Toc8020811"/>
      <w:bookmarkStart w:id="1729" w:name="_Toc8020812"/>
      <w:bookmarkStart w:id="1730" w:name="_Toc8020813"/>
      <w:bookmarkStart w:id="1731" w:name="_Toc8020814"/>
      <w:bookmarkStart w:id="1732" w:name="_Toc8020815"/>
      <w:bookmarkStart w:id="1733" w:name="_Toc8020816"/>
      <w:bookmarkStart w:id="1734" w:name="_Toc8020817"/>
      <w:bookmarkStart w:id="1735" w:name="_Toc8020858"/>
      <w:bookmarkStart w:id="1736" w:name="_Toc8020859"/>
      <w:bookmarkStart w:id="1737" w:name="_Toc8020860"/>
      <w:bookmarkStart w:id="1738" w:name="_Toc8020861"/>
      <w:bookmarkStart w:id="1739" w:name="_Toc8020905"/>
      <w:bookmarkStart w:id="1740" w:name="_Toc8020906"/>
      <w:bookmarkStart w:id="1741" w:name="_Toc8020907"/>
      <w:bookmarkStart w:id="1742" w:name="_Toc8020908"/>
      <w:bookmarkStart w:id="1743" w:name="_Toc8020909"/>
      <w:bookmarkStart w:id="1744" w:name="_Toc8020910"/>
      <w:bookmarkStart w:id="1745" w:name="_Toc8020911"/>
      <w:bookmarkStart w:id="1746" w:name="_Toc8020912"/>
      <w:bookmarkStart w:id="1747" w:name="_Toc8020913"/>
      <w:bookmarkStart w:id="1748" w:name="_Toc8020914"/>
      <w:bookmarkStart w:id="1749" w:name="_Toc8020915"/>
      <w:bookmarkStart w:id="1750" w:name="_Toc8020916"/>
      <w:bookmarkStart w:id="1751" w:name="_Toc8020917"/>
      <w:bookmarkStart w:id="1752" w:name="_Toc8020918"/>
      <w:bookmarkStart w:id="1753" w:name="_Toc8020919"/>
      <w:bookmarkStart w:id="1754" w:name="_Toc8020920"/>
      <w:bookmarkStart w:id="1755" w:name="_Toc8020921"/>
      <w:bookmarkStart w:id="1756" w:name="_Toc8020922"/>
      <w:bookmarkStart w:id="1757" w:name="_Toc8020923"/>
      <w:bookmarkStart w:id="1758" w:name="_Toc8020924"/>
      <w:bookmarkStart w:id="1759" w:name="_Toc8020925"/>
      <w:bookmarkStart w:id="1760" w:name="_Toc8020926"/>
      <w:bookmarkStart w:id="1761" w:name="_Toc8020927"/>
      <w:bookmarkStart w:id="1762" w:name="_Toc8020928"/>
      <w:bookmarkStart w:id="1763" w:name="_Toc8020929"/>
      <w:bookmarkStart w:id="1764" w:name="_Toc8020930"/>
      <w:bookmarkStart w:id="1765" w:name="_Toc8020931"/>
      <w:bookmarkStart w:id="1766" w:name="_Toc8020932"/>
      <w:bookmarkStart w:id="1767" w:name="_Toc8020933"/>
      <w:bookmarkStart w:id="1768" w:name="_Toc8020934"/>
      <w:bookmarkStart w:id="1769" w:name="_Toc8020935"/>
      <w:bookmarkStart w:id="1770" w:name="_Toc8020936"/>
      <w:bookmarkStart w:id="1771" w:name="_Toc8020937"/>
      <w:bookmarkStart w:id="1772" w:name="_Toc8020938"/>
      <w:bookmarkStart w:id="1773" w:name="_Toc8020939"/>
      <w:bookmarkStart w:id="1774" w:name="_Toc8020940"/>
      <w:bookmarkStart w:id="1775" w:name="_Toc8020941"/>
      <w:bookmarkStart w:id="1776" w:name="_Toc8020942"/>
      <w:bookmarkStart w:id="1777" w:name="_Toc8020943"/>
      <w:bookmarkStart w:id="1778" w:name="_Toc8020944"/>
      <w:bookmarkStart w:id="1779" w:name="_Toc8020945"/>
      <w:bookmarkStart w:id="1780" w:name="_Toc8020946"/>
      <w:bookmarkStart w:id="1781" w:name="_Toc8020947"/>
      <w:bookmarkStart w:id="1782" w:name="_Toc8020948"/>
      <w:bookmarkStart w:id="1783" w:name="_Toc8020949"/>
      <w:bookmarkStart w:id="1784" w:name="_Toc8020950"/>
      <w:bookmarkStart w:id="1785" w:name="_Toc8020951"/>
      <w:bookmarkStart w:id="1786" w:name="_Toc8020952"/>
      <w:bookmarkStart w:id="1787" w:name="_Toc8020953"/>
      <w:bookmarkStart w:id="1788" w:name="_Toc8020954"/>
      <w:bookmarkStart w:id="1789" w:name="_Toc8020955"/>
      <w:bookmarkStart w:id="1790" w:name="_Toc8020956"/>
      <w:bookmarkStart w:id="1791" w:name="_Toc8020957"/>
      <w:bookmarkStart w:id="1792" w:name="_Toc8020958"/>
      <w:bookmarkStart w:id="1793" w:name="_Toc8020959"/>
      <w:bookmarkStart w:id="1794" w:name="_Toc8020960"/>
      <w:bookmarkStart w:id="1795" w:name="_Toc8020961"/>
      <w:bookmarkStart w:id="1796" w:name="_Toc8020962"/>
      <w:bookmarkStart w:id="1797" w:name="_Toc8020963"/>
      <w:bookmarkStart w:id="1798" w:name="_Toc8020964"/>
      <w:bookmarkStart w:id="1799" w:name="_Toc8020965"/>
      <w:bookmarkStart w:id="1800" w:name="_Toc8020966"/>
      <w:bookmarkStart w:id="1801" w:name="_Toc8020967"/>
      <w:bookmarkStart w:id="1802" w:name="_Toc8020968"/>
      <w:bookmarkStart w:id="1803" w:name="_Toc8020969"/>
      <w:bookmarkStart w:id="1804" w:name="_Toc8020970"/>
      <w:bookmarkStart w:id="1805" w:name="_Toc8020971"/>
      <w:bookmarkStart w:id="1806" w:name="_Toc8020972"/>
      <w:bookmarkStart w:id="1807" w:name="_Toc8020973"/>
      <w:bookmarkStart w:id="1808" w:name="_Toc8020974"/>
      <w:bookmarkStart w:id="1809" w:name="_Toc8020975"/>
      <w:bookmarkStart w:id="1810" w:name="_Toc8020989"/>
      <w:bookmarkStart w:id="1811" w:name="_Toc8020990"/>
      <w:bookmarkStart w:id="1812" w:name="_Toc8020991"/>
      <w:bookmarkStart w:id="1813" w:name="_Toc8020992"/>
      <w:bookmarkStart w:id="1814" w:name="_Toc8020993"/>
      <w:bookmarkStart w:id="1815" w:name="_Toc8020994"/>
      <w:bookmarkStart w:id="1816" w:name="_Toc8020995"/>
      <w:bookmarkStart w:id="1817" w:name="_Toc8020996"/>
      <w:bookmarkStart w:id="1818" w:name="_Toc8020997"/>
      <w:bookmarkStart w:id="1819" w:name="_Toc8020998"/>
      <w:bookmarkStart w:id="1820" w:name="_Toc8020999"/>
      <w:bookmarkStart w:id="1821" w:name="_Toc8021000"/>
      <w:bookmarkStart w:id="1822" w:name="_Toc8021001"/>
      <w:bookmarkStart w:id="1823" w:name="_Toc8021002"/>
      <w:bookmarkStart w:id="1824" w:name="_Toc8021003"/>
      <w:bookmarkStart w:id="1825" w:name="_Toc8021004"/>
      <w:bookmarkStart w:id="1826" w:name="_Toc8021005"/>
      <w:bookmarkStart w:id="1827" w:name="_Toc8021006"/>
      <w:bookmarkStart w:id="1828" w:name="_Toc8021007"/>
      <w:bookmarkStart w:id="1829" w:name="_Toc8021008"/>
      <w:bookmarkStart w:id="1830" w:name="_Toc8021009"/>
      <w:bookmarkStart w:id="1831" w:name="_Toc8021010"/>
      <w:bookmarkStart w:id="1832" w:name="_Toc8021011"/>
      <w:bookmarkStart w:id="1833" w:name="_Toc8021012"/>
      <w:bookmarkStart w:id="1834" w:name="_Toc8021013"/>
      <w:bookmarkStart w:id="1835" w:name="_Toc8021014"/>
      <w:bookmarkStart w:id="1836" w:name="_Toc8021015"/>
      <w:bookmarkStart w:id="1837" w:name="_Toc8021016"/>
      <w:bookmarkStart w:id="1838" w:name="_Toc8021017"/>
      <w:bookmarkStart w:id="1839" w:name="_Toc8021073"/>
      <w:bookmarkStart w:id="1840" w:name="_Toc8021074"/>
      <w:bookmarkStart w:id="1841" w:name="_Toc8021075"/>
      <w:bookmarkStart w:id="1842" w:name="_Toc8021076"/>
      <w:bookmarkStart w:id="1843" w:name="_Toc8021077"/>
      <w:bookmarkStart w:id="1844" w:name="_Toc8021078"/>
      <w:bookmarkStart w:id="1845" w:name="_Toc8021079"/>
      <w:bookmarkStart w:id="1846" w:name="_Toc8021080"/>
      <w:bookmarkStart w:id="1847" w:name="_Toc8021121"/>
      <w:bookmarkStart w:id="1848" w:name="_Toc8021122"/>
      <w:bookmarkStart w:id="1849" w:name="_Toc8021123"/>
      <w:bookmarkStart w:id="1850" w:name="_Toc8021124"/>
      <w:bookmarkStart w:id="1851" w:name="_Toc8021164"/>
      <w:bookmarkStart w:id="1852" w:name="_Toc8021165"/>
      <w:bookmarkStart w:id="1853" w:name="_Toc8021166"/>
      <w:bookmarkStart w:id="1854" w:name="_Toc8021167"/>
      <w:bookmarkStart w:id="1855" w:name="_Toc8021168"/>
      <w:bookmarkStart w:id="1856" w:name="_Toc8021169"/>
      <w:bookmarkStart w:id="1857" w:name="_Toc8021170"/>
      <w:bookmarkStart w:id="1858" w:name="_Toc8021171"/>
      <w:bookmarkStart w:id="1859" w:name="_Toc8021172"/>
      <w:bookmarkStart w:id="1860" w:name="_Toc8021173"/>
      <w:bookmarkStart w:id="1861" w:name="_Toc8021174"/>
      <w:bookmarkStart w:id="1862" w:name="_Toc8021175"/>
      <w:bookmarkStart w:id="1863" w:name="_Toc8021176"/>
      <w:bookmarkStart w:id="1864" w:name="_Toc8021177"/>
      <w:bookmarkStart w:id="1865" w:name="_Toc8021178"/>
      <w:bookmarkStart w:id="1866" w:name="_Toc8021179"/>
      <w:bookmarkStart w:id="1867" w:name="_Toc8021180"/>
      <w:bookmarkStart w:id="1868" w:name="_Toc8021181"/>
      <w:bookmarkStart w:id="1869" w:name="_Toc8021182"/>
      <w:bookmarkStart w:id="1870" w:name="_Toc8021183"/>
      <w:bookmarkStart w:id="1871" w:name="_Toc8021184"/>
      <w:bookmarkStart w:id="1872" w:name="_Toc8021185"/>
      <w:bookmarkStart w:id="1873" w:name="_Toc8021186"/>
      <w:bookmarkStart w:id="1874" w:name="_Toc8021187"/>
      <w:bookmarkStart w:id="1875" w:name="_Toc8021188"/>
      <w:bookmarkStart w:id="1876" w:name="_Toc8021189"/>
      <w:bookmarkStart w:id="1877" w:name="_Toc8021190"/>
      <w:bookmarkStart w:id="1878" w:name="_Toc8021191"/>
      <w:bookmarkStart w:id="1879" w:name="_Toc8021192"/>
      <w:bookmarkStart w:id="1880" w:name="_Toc8021193"/>
      <w:bookmarkStart w:id="1881" w:name="_Toc8021194"/>
      <w:bookmarkStart w:id="1882" w:name="_Toc8021195"/>
      <w:bookmarkStart w:id="1883" w:name="_Toc8021196"/>
      <w:bookmarkStart w:id="1884" w:name="_Toc8021197"/>
      <w:bookmarkStart w:id="1885" w:name="_Toc8021198"/>
      <w:bookmarkStart w:id="1886" w:name="_Toc8021199"/>
      <w:bookmarkStart w:id="1887" w:name="_Toc8021200"/>
      <w:bookmarkStart w:id="1888" w:name="_Toc8021201"/>
      <w:bookmarkStart w:id="1889" w:name="_Toc8021202"/>
      <w:bookmarkStart w:id="1890" w:name="_Toc8021203"/>
      <w:bookmarkStart w:id="1891" w:name="_Toc8021204"/>
      <w:bookmarkStart w:id="1892" w:name="_Toc8021205"/>
      <w:bookmarkStart w:id="1893" w:name="_Toc8021206"/>
      <w:bookmarkStart w:id="1894" w:name="_Toc8021207"/>
      <w:bookmarkStart w:id="1895" w:name="_Toc8021208"/>
      <w:bookmarkStart w:id="1896" w:name="_Toc10018335"/>
      <w:bookmarkStart w:id="1897" w:name="_Toc10021442"/>
      <w:bookmarkStart w:id="1898" w:name="_Toc10021856"/>
      <w:bookmarkStart w:id="1899" w:name="_Toc12892340"/>
      <w:bookmarkEnd w:id="1647"/>
      <w:bookmarkEnd w:id="1648"/>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r>
        <w:t>Noise</w:t>
      </w:r>
      <w:bookmarkEnd w:id="1641"/>
      <w:bookmarkEnd w:id="1642"/>
      <w:bookmarkEnd w:id="1643"/>
      <w:bookmarkEnd w:id="1644"/>
      <w:bookmarkEnd w:id="1645"/>
      <w:bookmarkEnd w:id="1646"/>
      <w:bookmarkEnd w:id="1896"/>
      <w:bookmarkEnd w:id="1897"/>
      <w:bookmarkEnd w:id="1898"/>
      <w:bookmarkEnd w:id="1899"/>
    </w:p>
    <w:p w14:paraId="656B0D83" w14:textId="77777777" w:rsidR="005B6B34" w:rsidRPr="005B6B34" w:rsidRDefault="005B6B34" w:rsidP="005B6B34">
      <w:pPr>
        <w:mirrorIndents/>
        <w:rPr>
          <w:rFonts w:cs="Segoe UI Light"/>
          <w:b/>
          <w:color w:val="808080" w:themeColor="background1" w:themeShade="80"/>
          <w:szCs w:val="20"/>
        </w:rPr>
      </w:pPr>
      <w:r w:rsidRPr="005B6B34">
        <w:rPr>
          <w:rFonts w:cs="Segoe UI Light"/>
          <w:b/>
          <w:color w:val="808080" w:themeColor="background1" w:themeShade="80"/>
          <w:szCs w:val="20"/>
        </w:rPr>
        <w:t xml:space="preserve">This chapter </w:t>
      </w:r>
      <w:r w:rsidR="0012015E">
        <w:rPr>
          <w:rFonts w:cs="Segoe UI Light"/>
          <w:b/>
          <w:color w:val="808080" w:themeColor="background1" w:themeShade="80"/>
          <w:szCs w:val="20"/>
        </w:rPr>
        <w:t xml:space="preserve">outlines the problem of noise and </w:t>
      </w:r>
      <w:r w:rsidRPr="005B6B34">
        <w:rPr>
          <w:rFonts w:cs="Segoe UI Light"/>
          <w:b/>
          <w:color w:val="808080" w:themeColor="background1" w:themeShade="80"/>
          <w:szCs w:val="20"/>
        </w:rPr>
        <w:t xml:space="preserve">assesses regulations being proposed to address the residual </w:t>
      </w:r>
      <w:r w:rsidR="00F953EE">
        <w:rPr>
          <w:rFonts w:cs="Segoe UI Light"/>
          <w:b/>
          <w:color w:val="808080" w:themeColor="background1" w:themeShade="80"/>
          <w:szCs w:val="20"/>
        </w:rPr>
        <w:t>risks</w:t>
      </w:r>
      <w:r w:rsidR="00F953EE" w:rsidRPr="005B6B34">
        <w:rPr>
          <w:rFonts w:cs="Segoe UI Light"/>
          <w:b/>
          <w:color w:val="808080" w:themeColor="background1" w:themeShade="80"/>
          <w:szCs w:val="20"/>
        </w:rPr>
        <w:t xml:space="preserve"> </w:t>
      </w:r>
      <w:r w:rsidRPr="005B6B34">
        <w:rPr>
          <w:rFonts w:cs="Segoe UI Light"/>
          <w:b/>
          <w:color w:val="808080" w:themeColor="background1" w:themeShade="80"/>
          <w:szCs w:val="20"/>
        </w:rPr>
        <w:t xml:space="preserve">relating to </w:t>
      </w:r>
      <w:r w:rsidR="0012015E">
        <w:rPr>
          <w:rFonts w:cs="Segoe UI Light"/>
          <w:b/>
          <w:color w:val="808080" w:themeColor="background1" w:themeShade="80"/>
          <w:szCs w:val="20"/>
        </w:rPr>
        <w:t xml:space="preserve">the emission of </w:t>
      </w:r>
      <w:r w:rsidRPr="005B6B34">
        <w:rPr>
          <w:rFonts w:cs="Segoe UI Light"/>
          <w:b/>
          <w:color w:val="808080" w:themeColor="background1" w:themeShade="80"/>
          <w:szCs w:val="20"/>
        </w:rPr>
        <w:t xml:space="preserve">noise that is expected to exist </w:t>
      </w:r>
      <w:r w:rsidR="00D72D6A">
        <w:rPr>
          <w:b/>
          <w:color w:val="808080" w:themeColor="background1" w:themeShade="80"/>
        </w:rPr>
        <w:t xml:space="preserve">with the </w:t>
      </w:r>
      <w:r w:rsidR="0012015E">
        <w:rPr>
          <w:b/>
          <w:color w:val="808080" w:themeColor="background1" w:themeShade="80"/>
        </w:rPr>
        <w:t xml:space="preserve">new EP legislation </w:t>
      </w:r>
      <w:r w:rsidR="00D72D6A">
        <w:rPr>
          <w:b/>
          <w:color w:val="808080" w:themeColor="background1" w:themeShade="80"/>
        </w:rPr>
        <w:t xml:space="preserve">intending to commence </w:t>
      </w:r>
      <w:r w:rsidR="0012015E">
        <w:rPr>
          <w:b/>
          <w:color w:val="808080" w:themeColor="background1" w:themeShade="80"/>
        </w:rPr>
        <w:t xml:space="preserve">effect </w:t>
      </w:r>
      <w:r w:rsidRPr="005B6B34">
        <w:rPr>
          <w:rFonts w:cs="Segoe UI Light"/>
          <w:b/>
          <w:color w:val="808080" w:themeColor="background1" w:themeShade="80"/>
          <w:szCs w:val="20"/>
        </w:rPr>
        <w:t>on 1 July</w:t>
      </w:r>
      <w:r w:rsidR="0066249F">
        <w:rPr>
          <w:rFonts w:cs="Segoe UI Light"/>
          <w:b/>
          <w:color w:val="808080" w:themeColor="background1" w:themeShade="80"/>
          <w:szCs w:val="20"/>
        </w:rPr>
        <w:t> </w:t>
      </w:r>
      <w:r w:rsidRPr="005B6B34">
        <w:rPr>
          <w:rFonts w:cs="Segoe UI Light"/>
          <w:b/>
          <w:color w:val="808080" w:themeColor="background1" w:themeShade="80"/>
          <w:szCs w:val="20"/>
        </w:rPr>
        <w:t>2020.</w:t>
      </w:r>
      <w:r w:rsidR="00B64534">
        <w:rPr>
          <w:rFonts w:cs="Segoe UI Light"/>
          <w:b/>
          <w:color w:val="808080" w:themeColor="background1" w:themeShade="80"/>
          <w:szCs w:val="20"/>
        </w:rPr>
        <w:t xml:space="preserve"> </w:t>
      </w:r>
    </w:p>
    <w:p w14:paraId="656B0D84" w14:textId="77777777" w:rsidR="005B6B34" w:rsidRPr="005B6B34" w:rsidRDefault="005B6B34" w:rsidP="005B6B34">
      <w:pPr>
        <w:mirrorIndents/>
        <w:rPr>
          <w:rFonts w:cs="Segoe UI Light"/>
          <w:color w:val="808080" w:themeColor="background1" w:themeShade="80"/>
          <w:szCs w:val="20"/>
        </w:rPr>
      </w:pPr>
      <w:bookmarkStart w:id="1900" w:name="_Toc525554713"/>
      <w:bookmarkStart w:id="1901" w:name="_Toc536055002"/>
      <w:r w:rsidRPr="005B6B34">
        <w:rPr>
          <w:rFonts w:cs="Segoe UI Light"/>
          <w:noProof/>
          <w:color w:val="2B579A"/>
          <w:szCs w:val="20"/>
          <w:shd w:val="clear" w:color="auto" w:fill="E6E6E6"/>
          <w:lang w:eastAsia="en-AU"/>
        </w:rPr>
        <mc:AlternateContent>
          <mc:Choice Requires="wps">
            <w:drawing>
              <wp:inline distT="0" distB="0" distL="0" distR="0" wp14:anchorId="656B1EBE" wp14:editId="656B1EBF">
                <wp:extent cx="5940425" cy="6896100"/>
                <wp:effectExtent l="0" t="0" r="22225" b="1905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940425" cy="6896100"/>
                        </a:xfrm>
                        <a:prstGeom prst="rect">
                          <a:avLst/>
                        </a:prstGeom>
                        <a:noFill/>
                        <a:ln w="19050">
                          <a:solidFill>
                            <a:srgbClr val="62B5E5"/>
                          </a:solidFill>
                          <a:miter lim="800000"/>
                          <a:headEnd/>
                          <a:tailEnd/>
                        </a:ln>
                        <a:extLst>
                          <a:ext uri="{909E8E84-426E-40DD-AFC4-6F175D3DCCD1}">
                            <a14:hiddenFill xmlns:a14="http://schemas.microsoft.com/office/drawing/2010/main">
                              <a:solidFill>
                                <a:srgbClr val="FFFFFF"/>
                              </a:solidFill>
                            </a14:hiddenFill>
                          </a:ext>
                        </a:extLst>
                      </wps:spPr>
                      <wps:txbx>
                        <w:txbxContent>
                          <w:p w14:paraId="656B221D" w14:textId="77777777" w:rsidR="00E752DE" w:rsidRDefault="00E752DE" w:rsidP="005B6B34">
                            <w:pPr>
                              <w:ind w:right="262"/>
                              <w:rPr>
                                <w:rFonts w:cs="Segoe UI Light"/>
                                <w:b/>
                                <w:color w:val="FF0000"/>
                              </w:rPr>
                            </w:pPr>
                            <w:r>
                              <w:rPr>
                                <w:rFonts w:cs="Segoe UI Light"/>
                                <w:b/>
                                <w:color w:val="012169" w:themeColor="accent4"/>
                              </w:rPr>
                              <w:t>Key points:</w:t>
                            </w:r>
                          </w:p>
                          <w:p w14:paraId="656B221E" w14:textId="77777777" w:rsidR="00E752DE" w:rsidRPr="008048CF" w:rsidRDefault="00E752DE" w:rsidP="004A2442">
                            <w:pPr>
                              <w:pStyle w:val="ListParagraph"/>
                              <w:numPr>
                                <w:ilvl w:val="0"/>
                                <w:numId w:val="62"/>
                              </w:numPr>
                              <w:mirrorIndents/>
                              <w:rPr>
                                <w:rFonts w:cs="Segoe UI Light"/>
                                <w:sz w:val="19"/>
                                <w:szCs w:val="19"/>
                              </w:rPr>
                            </w:pPr>
                            <w:r w:rsidRPr="008048CF">
                              <w:rPr>
                                <w:rFonts w:cs="Segoe UI Light"/>
                                <w:sz w:val="19"/>
                                <w:szCs w:val="19"/>
                              </w:rPr>
                              <w:t>Noise accounts for the majority of EPA publication and advice enquiries, and accounted for 18% of reports in 2018. A 2011 W</w:t>
                            </w:r>
                            <w:r>
                              <w:rPr>
                                <w:rFonts w:cs="Segoe UI Light"/>
                                <w:sz w:val="19"/>
                                <w:szCs w:val="19"/>
                              </w:rPr>
                              <w:t>orld Health Organisation (WHO)</w:t>
                            </w:r>
                            <w:r w:rsidRPr="008048CF">
                              <w:rPr>
                                <w:rFonts w:cs="Segoe UI Light"/>
                                <w:sz w:val="19"/>
                                <w:szCs w:val="19"/>
                              </w:rPr>
                              <w:t xml:space="preserve"> study of the burden of disease due to environmental noise in Europe found evidence linking the population’s exposure to environmental noise with adverse health effects. </w:t>
                            </w:r>
                          </w:p>
                          <w:p w14:paraId="656B221F" w14:textId="77777777" w:rsidR="00E752DE" w:rsidRPr="008048CF" w:rsidRDefault="00E752DE" w:rsidP="004A2442">
                            <w:pPr>
                              <w:pStyle w:val="ListParagraph"/>
                              <w:numPr>
                                <w:ilvl w:val="0"/>
                                <w:numId w:val="62"/>
                              </w:numPr>
                              <w:mirrorIndents/>
                              <w:rPr>
                                <w:rFonts w:cs="Segoe UI Light"/>
                                <w:sz w:val="19"/>
                                <w:szCs w:val="19"/>
                              </w:rPr>
                            </w:pPr>
                            <w:r w:rsidRPr="008048CF">
                              <w:rPr>
                                <w:rFonts w:cs="Segoe UI Light"/>
                                <w:sz w:val="19"/>
                                <w:szCs w:val="19"/>
                              </w:rPr>
                              <w:t xml:space="preserve">The Commonwealth Environmental Health Standing Committee, of which the Victorian Department of Health and Human Services is a member, released an update to its 2014 report “The Health effects of Environmental Noise” in 2018. The Report includes a systematic review of international evidence on the influence of environmental noise on sleep, cardiovascular disease and cognitive outcomes that further supports the findings of the </w:t>
                            </w:r>
                            <w:r>
                              <w:rPr>
                                <w:rFonts w:cs="Segoe UI Light"/>
                                <w:sz w:val="19"/>
                                <w:szCs w:val="19"/>
                              </w:rPr>
                              <w:t>WHO</w:t>
                            </w:r>
                            <w:r w:rsidRPr="008048CF">
                              <w:rPr>
                                <w:rFonts w:cs="Segoe UI Light"/>
                                <w:sz w:val="19"/>
                                <w:szCs w:val="19"/>
                              </w:rPr>
                              <w:t xml:space="preserve">. </w:t>
                            </w:r>
                          </w:p>
                          <w:p w14:paraId="656B2220" w14:textId="77777777" w:rsidR="00E752DE" w:rsidRPr="008048CF" w:rsidRDefault="00E752DE" w:rsidP="004A2442">
                            <w:pPr>
                              <w:pStyle w:val="ListParagraph"/>
                              <w:numPr>
                                <w:ilvl w:val="0"/>
                                <w:numId w:val="62"/>
                              </w:numPr>
                              <w:mirrorIndents/>
                              <w:rPr>
                                <w:rFonts w:cs="Segoe UI Light"/>
                                <w:sz w:val="19"/>
                                <w:szCs w:val="19"/>
                              </w:rPr>
                            </w:pPr>
                            <w:r w:rsidRPr="008048CF">
                              <w:rPr>
                                <w:rFonts w:cs="Segoe UI Light"/>
                                <w:sz w:val="19"/>
                                <w:szCs w:val="19"/>
                              </w:rPr>
                              <w:t>More than 100,000</w:t>
                            </w:r>
                            <w:r>
                              <w:rPr>
                                <w:rFonts w:cs="Segoe UI Light"/>
                                <w:sz w:val="19"/>
                                <w:szCs w:val="19"/>
                              </w:rPr>
                              <w:t xml:space="preserve"> </w:t>
                            </w:r>
                            <w:r w:rsidRPr="008048CF">
                              <w:rPr>
                                <w:rFonts w:cs="Segoe UI Light"/>
                                <w:sz w:val="19"/>
                                <w:szCs w:val="19"/>
                              </w:rPr>
                              <w:t>noise complaints are typically received by police and Councils each year in Victoria.</w:t>
                            </w:r>
                          </w:p>
                          <w:p w14:paraId="656B2221" w14:textId="77777777" w:rsidR="00E752DE" w:rsidRPr="008048CF" w:rsidRDefault="00E752DE" w:rsidP="004A2442">
                            <w:pPr>
                              <w:pStyle w:val="ListParagraph"/>
                              <w:numPr>
                                <w:ilvl w:val="0"/>
                                <w:numId w:val="62"/>
                              </w:numPr>
                              <w:mirrorIndents/>
                              <w:rPr>
                                <w:rFonts w:cs="Segoe UI Light"/>
                                <w:sz w:val="19"/>
                                <w:szCs w:val="19"/>
                              </w:rPr>
                            </w:pPr>
                            <w:r w:rsidRPr="008048CF">
                              <w:rPr>
                                <w:rFonts w:cs="Segoe UI Light"/>
                                <w:sz w:val="19"/>
                                <w:szCs w:val="19"/>
                              </w:rPr>
                              <w:t>In comparison with other harms and risks discussed in this RIS, noise is ubiquitous with human activity. Noise pollution is intermittent and therefore generally characterised as a low-harm, high occurrence event.</w:t>
                            </w:r>
                          </w:p>
                          <w:p w14:paraId="656B2222" w14:textId="77777777" w:rsidR="00E752DE" w:rsidRPr="008048CF" w:rsidRDefault="00E752DE" w:rsidP="004A2442">
                            <w:pPr>
                              <w:pStyle w:val="ListParagraph"/>
                              <w:numPr>
                                <w:ilvl w:val="0"/>
                                <w:numId w:val="62"/>
                              </w:numPr>
                              <w:mirrorIndents/>
                              <w:rPr>
                                <w:rFonts w:cs="Segoe UI Light"/>
                                <w:sz w:val="19"/>
                                <w:szCs w:val="19"/>
                              </w:rPr>
                            </w:pPr>
                            <w:r w:rsidRPr="008048CF">
                              <w:rPr>
                                <w:rFonts w:cs="Segoe UI Light"/>
                                <w:sz w:val="19"/>
                                <w:szCs w:val="19"/>
                              </w:rPr>
                              <w:t>Noise pollution is expected to increase in future years with forecast increases in Victoria’s population, higher density living and traffic.</w:t>
                            </w:r>
                          </w:p>
                          <w:p w14:paraId="656B2223" w14:textId="706D0A23" w:rsidR="00E752DE" w:rsidRPr="008048CF" w:rsidRDefault="00E752DE" w:rsidP="00A64902">
                            <w:pPr>
                              <w:pStyle w:val="ListParagraph"/>
                              <w:numPr>
                                <w:ilvl w:val="0"/>
                                <w:numId w:val="62"/>
                              </w:numPr>
                              <w:mirrorIndents/>
                              <w:rPr>
                                <w:rFonts w:cs="Segoe UI Light"/>
                                <w:sz w:val="19"/>
                                <w:szCs w:val="19"/>
                              </w:rPr>
                            </w:pPr>
                            <w:r w:rsidRPr="008048CF">
                              <w:rPr>
                                <w:rFonts w:cs="Segoe UI Light"/>
                                <w:sz w:val="19"/>
                                <w:szCs w:val="19"/>
                              </w:rPr>
                              <w:t xml:space="preserve">The new EP legislation </w:t>
                            </w:r>
                            <w:r w:rsidRPr="008048CF">
                              <w:rPr>
                                <w:sz w:val="19"/>
                                <w:szCs w:val="19"/>
                              </w:rPr>
                              <w:t xml:space="preserve">establishes duties and penalties for the control and emission of unreasonable and aggravated noise. However, it does not explicitly address </w:t>
                            </w:r>
                            <w:r>
                              <w:rPr>
                                <w:sz w:val="19"/>
                                <w:szCs w:val="19"/>
                              </w:rPr>
                              <w:t xml:space="preserve">what constitutes unreasonable noise </w:t>
                            </w:r>
                            <w:r w:rsidRPr="008048CF">
                              <w:rPr>
                                <w:sz w:val="19"/>
                                <w:szCs w:val="19"/>
                              </w:rPr>
                              <w:t xml:space="preserve">, </w:t>
                            </w:r>
                            <w:r>
                              <w:rPr>
                                <w:sz w:val="19"/>
                                <w:szCs w:val="19"/>
                              </w:rPr>
                              <w:t>nor</w:t>
                            </w:r>
                            <w:r w:rsidRPr="008048CF">
                              <w:rPr>
                                <w:sz w:val="19"/>
                                <w:szCs w:val="19"/>
                              </w:rPr>
                              <w:t xml:space="preserve"> define</w:t>
                            </w:r>
                            <w:r>
                              <w:rPr>
                                <w:sz w:val="19"/>
                                <w:szCs w:val="19"/>
                              </w:rPr>
                              <w:t>s</w:t>
                            </w:r>
                            <w:r w:rsidRPr="008048CF">
                              <w:rPr>
                                <w:sz w:val="19"/>
                                <w:szCs w:val="19"/>
                              </w:rPr>
                              <w:t xml:space="preserve"> prescribed items or prohibited times for unreasonable noise </w:t>
                            </w:r>
                            <w:r>
                              <w:rPr>
                                <w:sz w:val="19"/>
                                <w:szCs w:val="19"/>
                              </w:rPr>
                              <w:t xml:space="preserve">from a residential premises </w:t>
                            </w:r>
                            <w:r w:rsidRPr="008048CF">
                              <w:rPr>
                                <w:sz w:val="19"/>
                                <w:szCs w:val="19"/>
                              </w:rPr>
                              <w:t>and also does not define aggravated noise or outline a methodology for establishing aggravated noise (however, aggravated noise can be prescribed in regulations under the new EP legislation).</w:t>
                            </w:r>
                          </w:p>
                          <w:p w14:paraId="656B2224" w14:textId="77777777" w:rsidR="00E752DE" w:rsidRPr="008048CF" w:rsidRDefault="00E752DE" w:rsidP="008048CF">
                            <w:pPr>
                              <w:pStyle w:val="ListParagraph"/>
                              <w:numPr>
                                <w:ilvl w:val="0"/>
                                <w:numId w:val="62"/>
                              </w:numPr>
                              <w:mirrorIndents/>
                              <w:rPr>
                                <w:sz w:val="19"/>
                                <w:szCs w:val="19"/>
                              </w:rPr>
                            </w:pPr>
                            <w:r w:rsidRPr="008048CF">
                              <w:rPr>
                                <w:sz w:val="19"/>
                                <w:szCs w:val="19"/>
                              </w:rPr>
                              <w:t>The following residual risks for noise will therefore remain after the new EP legislation takes effect:</w:t>
                            </w:r>
                          </w:p>
                          <w:p w14:paraId="656B2225" w14:textId="77777777" w:rsidR="00E752DE" w:rsidRPr="008048CF" w:rsidRDefault="00E752DE" w:rsidP="00A64902">
                            <w:pPr>
                              <w:pStyle w:val="ListParagraph"/>
                              <w:numPr>
                                <w:ilvl w:val="1"/>
                                <w:numId w:val="62"/>
                              </w:numPr>
                              <w:ind w:left="993" w:right="-174" w:hanging="284"/>
                              <w:rPr>
                                <w:rFonts w:cs="Segoe UI Light"/>
                                <w:sz w:val="19"/>
                                <w:szCs w:val="19"/>
                              </w:rPr>
                            </w:pPr>
                            <w:r w:rsidRPr="008048CF">
                              <w:rPr>
                                <w:rFonts w:cs="Segoe UI Light"/>
                                <w:sz w:val="19"/>
                                <w:szCs w:val="19"/>
                              </w:rPr>
                              <w:t>A lack of consistency and certainty with respect to how duty holders need to comply with the unreasonable and aggravated noise requirements in the new EP legislation.</w:t>
                            </w:r>
                          </w:p>
                          <w:p w14:paraId="656B2226" w14:textId="77777777" w:rsidR="00E752DE" w:rsidRPr="008048CF" w:rsidRDefault="00E752DE" w:rsidP="00A64902">
                            <w:pPr>
                              <w:pStyle w:val="ListParagraph"/>
                              <w:numPr>
                                <w:ilvl w:val="1"/>
                                <w:numId w:val="62"/>
                              </w:numPr>
                              <w:ind w:left="993" w:right="-174" w:hanging="284"/>
                              <w:rPr>
                                <w:rFonts w:cs="Segoe UI Light"/>
                                <w:sz w:val="19"/>
                                <w:szCs w:val="19"/>
                              </w:rPr>
                            </w:pPr>
                            <w:r w:rsidRPr="008048CF">
                              <w:rPr>
                                <w:rFonts w:cs="Segoe UI Light"/>
                                <w:sz w:val="19"/>
                                <w:szCs w:val="19"/>
                              </w:rPr>
                              <w:t xml:space="preserve">The civil penalty provisions under the new EP legislation require prescription under regulation to function effectively. Necessary for legislation to function - Some obligations under the new legislative framework cannot function or would not be enforceable without prescription under regulation. </w:t>
                            </w:r>
                          </w:p>
                          <w:p w14:paraId="656B2227" w14:textId="77777777" w:rsidR="00E752DE" w:rsidRPr="008048CF" w:rsidRDefault="00E752DE" w:rsidP="004844F9">
                            <w:pPr>
                              <w:pStyle w:val="ListParagraph"/>
                              <w:numPr>
                                <w:ilvl w:val="0"/>
                                <w:numId w:val="62"/>
                              </w:numPr>
                              <w:ind w:right="-174"/>
                              <w:rPr>
                                <w:rFonts w:cs="Segoe UI Light"/>
                                <w:sz w:val="19"/>
                                <w:szCs w:val="19"/>
                              </w:rPr>
                            </w:pPr>
                            <w:r w:rsidRPr="008048CF">
                              <w:rPr>
                                <w:rFonts w:cs="Segoe UI Light"/>
                                <w:sz w:val="19"/>
                                <w:szCs w:val="19"/>
                              </w:rPr>
                              <w:t>These risks may lead to businesses not meeting their duties under the legislation and therefore more noise pollution and risks of harm to human health. Uncertainty is also likely to lead to higher regulatory costs for businesses in determining how to comply and for EPA in administering the framework</w:t>
                            </w:r>
                          </w:p>
                          <w:p w14:paraId="656B2228" w14:textId="77777777" w:rsidR="00E752DE" w:rsidRPr="008048CF" w:rsidRDefault="00E752DE" w:rsidP="004A2442">
                            <w:pPr>
                              <w:pStyle w:val="ListParagraph"/>
                              <w:numPr>
                                <w:ilvl w:val="0"/>
                                <w:numId w:val="62"/>
                              </w:numPr>
                              <w:ind w:right="262"/>
                              <w:rPr>
                                <w:rFonts w:cs="Segoe UI Light"/>
                                <w:sz w:val="19"/>
                                <w:szCs w:val="19"/>
                              </w:rPr>
                            </w:pPr>
                            <w:r w:rsidRPr="008048CF">
                              <w:rPr>
                                <w:rFonts w:cs="Segoe UI Light"/>
                                <w:sz w:val="19"/>
                                <w:szCs w:val="19"/>
                              </w:rPr>
                              <w:t>The preferred options to address these residual risks are to:</w:t>
                            </w:r>
                          </w:p>
                          <w:p w14:paraId="656B2229" w14:textId="77777777" w:rsidR="00E752DE" w:rsidRPr="008048CF" w:rsidRDefault="00E752DE" w:rsidP="00A64902">
                            <w:pPr>
                              <w:pStyle w:val="ListParagraph"/>
                              <w:numPr>
                                <w:ilvl w:val="1"/>
                                <w:numId w:val="62"/>
                              </w:numPr>
                              <w:ind w:left="993" w:right="262" w:hanging="284"/>
                              <w:rPr>
                                <w:rFonts w:cs="Segoe UI Light"/>
                                <w:sz w:val="19"/>
                                <w:szCs w:val="19"/>
                              </w:rPr>
                            </w:pPr>
                            <w:r w:rsidRPr="008048CF">
                              <w:rPr>
                                <w:rFonts w:cs="Segoe UI Light"/>
                                <w:sz w:val="19"/>
                                <w:szCs w:val="19"/>
                              </w:rPr>
                              <w:t>In relation to noise from commercial, industrial and trade (CIT) premises: (1) prescribe in regulation a framework for establishing noise limits for CIT premises in urban and rural areas based on the existing SEPP N-1 policy for setting noise limits and the recommended noise levels in the Noise from Industry in Regional Victoria guideline, supplemented with a range of selected improvements and additions, (2) prescribe in regulation a definition of both unreasonable and aggravated noise.</w:t>
                            </w:r>
                            <w:r w:rsidRPr="008048CF">
                              <w:rPr>
                                <w:rFonts w:cs="Segoe UI Light"/>
                                <w:b/>
                                <w:sz w:val="19"/>
                                <w:szCs w:val="19"/>
                              </w:rPr>
                              <w:t xml:space="preserve"> </w:t>
                            </w:r>
                          </w:p>
                          <w:p w14:paraId="2843A9AE" w14:textId="77777777" w:rsidR="00E752DE" w:rsidRPr="005E06B6" w:rsidRDefault="00E752DE" w:rsidP="00F943B8">
                            <w:pPr>
                              <w:pStyle w:val="ListParagraph"/>
                              <w:numPr>
                                <w:ilvl w:val="1"/>
                                <w:numId w:val="62"/>
                              </w:numPr>
                              <w:ind w:left="993" w:right="262" w:hanging="284"/>
                              <w:rPr>
                                <w:rFonts w:cs="Segoe UI Light"/>
                                <w:sz w:val="19"/>
                                <w:szCs w:val="19"/>
                              </w:rPr>
                            </w:pPr>
                            <w:r w:rsidRPr="008048CF">
                              <w:rPr>
                                <w:rFonts w:cs="Segoe UI Light"/>
                                <w:sz w:val="19"/>
                                <w:szCs w:val="19"/>
                              </w:rPr>
                              <w:t xml:space="preserve">Noise from entertainment venues: </w:t>
                            </w:r>
                            <w:r>
                              <w:rPr>
                                <w:rFonts w:cs="Segoe UI Light"/>
                                <w:sz w:val="19"/>
                                <w:szCs w:val="19"/>
                              </w:rPr>
                              <w:t xml:space="preserve">(1) </w:t>
                            </w:r>
                            <w:r w:rsidRPr="008048CF">
                              <w:rPr>
                                <w:rFonts w:cs="Segoe UI Light"/>
                                <w:sz w:val="19"/>
                                <w:szCs w:val="19"/>
                              </w:rPr>
                              <w:t>prescribe in regulation a framework for establishing noise limits for entertainment premises based on the existing SEPP N-2 framework with selected improvements</w:t>
                            </w:r>
                            <w:r>
                              <w:rPr>
                                <w:rFonts w:cs="Segoe UI Light"/>
                                <w:sz w:val="19"/>
                                <w:szCs w:val="19"/>
                              </w:rPr>
                              <w:t xml:space="preserve">, </w:t>
                            </w:r>
                            <w:r w:rsidRPr="005E06B6">
                              <w:rPr>
                                <w:rFonts w:cs="Segoe UI Light"/>
                                <w:sz w:val="19"/>
                                <w:szCs w:val="19"/>
                              </w:rPr>
                              <w:t xml:space="preserve">(2) prescribe in regulation a definition of both unreasonable and aggravated </w:t>
                            </w:r>
                            <w:r>
                              <w:rPr>
                                <w:rFonts w:cs="Segoe UI Light"/>
                                <w:sz w:val="19"/>
                                <w:szCs w:val="19"/>
                              </w:rPr>
                              <w:t xml:space="preserve">music </w:t>
                            </w:r>
                            <w:r w:rsidRPr="005E06B6">
                              <w:rPr>
                                <w:rFonts w:cs="Segoe UI Light"/>
                                <w:sz w:val="19"/>
                                <w:szCs w:val="19"/>
                              </w:rPr>
                              <w:t>noise.</w:t>
                            </w:r>
                            <w:r w:rsidRPr="005E06B6">
                              <w:rPr>
                                <w:rFonts w:cs="Segoe UI Light"/>
                                <w:b/>
                                <w:sz w:val="19"/>
                                <w:szCs w:val="19"/>
                              </w:rPr>
                              <w:t xml:space="preserve"> </w:t>
                            </w:r>
                          </w:p>
                          <w:p w14:paraId="656B222A" w14:textId="5619C9A7" w:rsidR="00E752DE" w:rsidRPr="008048CF" w:rsidRDefault="00E752DE" w:rsidP="00A64902">
                            <w:pPr>
                              <w:pStyle w:val="ListParagraph"/>
                              <w:numPr>
                                <w:ilvl w:val="1"/>
                                <w:numId w:val="62"/>
                              </w:numPr>
                              <w:ind w:left="993" w:right="262" w:hanging="284"/>
                              <w:rPr>
                                <w:sz w:val="19"/>
                                <w:szCs w:val="19"/>
                              </w:rPr>
                            </w:pPr>
                            <w:r w:rsidRPr="008048CF">
                              <w:rPr>
                                <w:rFonts w:cs="Segoe UI Light"/>
                                <w:sz w:val="19"/>
                                <w:szCs w:val="19"/>
                              </w:rPr>
                              <w:t xml:space="preserve"> </w:t>
                            </w:r>
                          </w:p>
                          <w:p w14:paraId="656B222B" w14:textId="77777777" w:rsidR="00E752DE" w:rsidRPr="008048CF" w:rsidRDefault="00E752DE" w:rsidP="00A64902">
                            <w:pPr>
                              <w:pStyle w:val="ListParagraph"/>
                              <w:numPr>
                                <w:ilvl w:val="1"/>
                                <w:numId w:val="62"/>
                              </w:numPr>
                              <w:ind w:left="993" w:right="262" w:hanging="284"/>
                              <w:rPr>
                                <w:sz w:val="19"/>
                                <w:szCs w:val="19"/>
                              </w:rPr>
                            </w:pPr>
                            <w:r w:rsidRPr="008048CF">
                              <w:rPr>
                                <w:rFonts w:cs="Segoe UI Light"/>
                                <w:sz w:val="19"/>
                                <w:szCs w:val="19"/>
                              </w:rPr>
                              <w:t>Noise from residential premises: prescribe in regulation a range of specific items and prohibited times for residential premises and define both unreasonable and aggravated noise.</w:t>
                            </w:r>
                          </w:p>
                        </w:txbxContent>
                      </wps:txbx>
                      <wps:bodyPr rot="0" vert="horz" wrap="square" lIns="88900" tIns="88900" rIns="88900" bIns="88900" anchor="t" anchorCtr="0" upright="1">
                        <a:noAutofit/>
                      </wps:bodyPr>
                    </wps:wsp>
                  </a:graphicData>
                </a:graphic>
              </wp:inline>
            </w:drawing>
          </mc:Choice>
          <mc:Fallback>
            <w:pict>
              <v:rect w14:anchorId="656B1EBE" id="Rectangle 12" o:spid="_x0000_s1077" style="width:467.75pt;height:543pt;visibility:visible;mso-wrap-style:square;mso-left-percent:-10001;mso-top-percent:-10001;mso-position-horizontal:absolute;mso-position-horizontal-relative:char;mso-position-vertical:absolute;mso-position-vertical-relative:line;mso-left-percent:-10001;mso-top-percent:-10001;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" filled="f" strokecolor="#62b5e5" strokeweight="1.5pt">
                <v:textbox inset="7pt,7pt,7pt,7pt">
                  <w:txbxContent>
                    <w:p w14:paraId="656B221D" w14:textId="77777777" w:rsidR="00E752DE" w:rsidRDefault="00E752DE" w:rsidP="005B6B34">
                      <w:pPr>
                        <w:ind w:right="262"/>
                        <w:rPr>
                          <w:rFonts w:cs="Segoe UI Light"/>
                          <w:b/>
                          <w:color w:val="FF0000"/>
                        </w:rPr>
                      </w:pPr>
                      <w:r>
                        <w:rPr>
                          <w:rFonts w:cs="Segoe UI Light"/>
                          <w:b/>
                          <w:color w:val="012169" w:themeColor="accent4"/>
                        </w:rPr>
                        <w:t>Key points:</w:t>
                      </w:r>
                    </w:p>
                    <w:p w14:paraId="656B221E" w14:textId="77777777" w:rsidR="00E752DE" w:rsidRPr="008048CF" w:rsidRDefault="00E752DE" w:rsidP="004A2442">
                      <w:pPr>
                        <w:pStyle w:val="ListParagraph"/>
                        <w:numPr>
                          <w:ilvl w:val="0"/>
                          <w:numId w:val="62"/>
                        </w:numPr>
                        <w:mirrorIndents/>
                        <w:rPr>
                          <w:rFonts w:cs="Segoe UI Light"/>
                          <w:sz w:val="19"/>
                          <w:szCs w:val="19"/>
                        </w:rPr>
                      </w:pPr>
                      <w:r w:rsidRPr="008048CF">
                        <w:rPr>
                          <w:rFonts w:cs="Segoe UI Light"/>
                          <w:sz w:val="19"/>
                          <w:szCs w:val="19"/>
                        </w:rPr>
                        <w:t>Noise accounts for the majority of EPA publication and advice enquiries, and accounted for 18% of reports in 2018. A 2011 W</w:t>
                      </w:r>
                      <w:r>
                        <w:rPr>
                          <w:rFonts w:cs="Segoe UI Light"/>
                          <w:sz w:val="19"/>
                          <w:szCs w:val="19"/>
                        </w:rPr>
                        <w:t>orld Health Organisation (WHO)</w:t>
                      </w:r>
                      <w:r w:rsidRPr="008048CF">
                        <w:rPr>
                          <w:rFonts w:cs="Segoe UI Light"/>
                          <w:sz w:val="19"/>
                          <w:szCs w:val="19"/>
                        </w:rPr>
                        <w:t xml:space="preserve"> study of the burden of disease due to environmental noise in Europe found evidence linking the population’s exposure to environmental noise with adverse health effects. </w:t>
                      </w:r>
                    </w:p>
                    <w:p w14:paraId="656B221F" w14:textId="77777777" w:rsidR="00E752DE" w:rsidRPr="008048CF" w:rsidRDefault="00E752DE" w:rsidP="004A2442">
                      <w:pPr>
                        <w:pStyle w:val="ListParagraph"/>
                        <w:numPr>
                          <w:ilvl w:val="0"/>
                          <w:numId w:val="62"/>
                        </w:numPr>
                        <w:mirrorIndents/>
                        <w:rPr>
                          <w:rFonts w:cs="Segoe UI Light"/>
                          <w:sz w:val="19"/>
                          <w:szCs w:val="19"/>
                        </w:rPr>
                      </w:pPr>
                      <w:r w:rsidRPr="008048CF">
                        <w:rPr>
                          <w:rFonts w:cs="Segoe UI Light"/>
                          <w:sz w:val="19"/>
                          <w:szCs w:val="19"/>
                        </w:rPr>
                        <w:t xml:space="preserve">The Commonwealth Environmental Health Standing Committee, of which the Victorian Department of Health and Human Services is a member, released an update to its 2014 report “The Health effects of Environmental Noise” in 2018. The Report includes a systematic review of international evidence on the influence of environmental noise on sleep, cardiovascular disease and cognitive outcomes that further supports the findings of the </w:t>
                      </w:r>
                      <w:r>
                        <w:rPr>
                          <w:rFonts w:cs="Segoe UI Light"/>
                          <w:sz w:val="19"/>
                          <w:szCs w:val="19"/>
                        </w:rPr>
                        <w:t>WHO</w:t>
                      </w:r>
                      <w:r w:rsidRPr="008048CF">
                        <w:rPr>
                          <w:rFonts w:cs="Segoe UI Light"/>
                          <w:sz w:val="19"/>
                          <w:szCs w:val="19"/>
                        </w:rPr>
                        <w:t xml:space="preserve">. </w:t>
                      </w:r>
                    </w:p>
                    <w:p w14:paraId="656B2220" w14:textId="77777777" w:rsidR="00E752DE" w:rsidRPr="008048CF" w:rsidRDefault="00E752DE" w:rsidP="004A2442">
                      <w:pPr>
                        <w:pStyle w:val="ListParagraph"/>
                        <w:numPr>
                          <w:ilvl w:val="0"/>
                          <w:numId w:val="62"/>
                        </w:numPr>
                        <w:mirrorIndents/>
                        <w:rPr>
                          <w:rFonts w:cs="Segoe UI Light"/>
                          <w:sz w:val="19"/>
                          <w:szCs w:val="19"/>
                        </w:rPr>
                      </w:pPr>
                      <w:r w:rsidRPr="008048CF">
                        <w:rPr>
                          <w:rFonts w:cs="Segoe UI Light"/>
                          <w:sz w:val="19"/>
                          <w:szCs w:val="19"/>
                        </w:rPr>
                        <w:t>More than 100,000</w:t>
                      </w:r>
                      <w:r>
                        <w:rPr>
                          <w:rFonts w:cs="Segoe UI Light"/>
                          <w:sz w:val="19"/>
                          <w:szCs w:val="19"/>
                        </w:rPr>
                        <w:t xml:space="preserve"> </w:t>
                      </w:r>
                      <w:r w:rsidRPr="008048CF">
                        <w:rPr>
                          <w:rFonts w:cs="Segoe UI Light"/>
                          <w:sz w:val="19"/>
                          <w:szCs w:val="19"/>
                        </w:rPr>
                        <w:t>noise complaints are typically received by police and Councils each year in Victoria.</w:t>
                      </w:r>
                    </w:p>
                    <w:p w14:paraId="656B2221" w14:textId="77777777" w:rsidR="00E752DE" w:rsidRPr="008048CF" w:rsidRDefault="00E752DE" w:rsidP="004A2442">
                      <w:pPr>
                        <w:pStyle w:val="ListParagraph"/>
                        <w:numPr>
                          <w:ilvl w:val="0"/>
                          <w:numId w:val="62"/>
                        </w:numPr>
                        <w:mirrorIndents/>
                        <w:rPr>
                          <w:rFonts w:cs="Segoe UI Light"/>
                          <w:sz w:val="19"/>
                          <w:szCs w:val="19"/>
                        </w:rPr>
                      </w:pPr>
                      <w:r w:rsidRPr="008048CF">
                        <w:rPr>
                          <w:rFonts w:cs="Segoe UI Light"/>
                          <w:sz w:val="19"/>
                          <w:szCs w:val="19"/>
                        </w:rPr>
                        <w:t>In comparison with other harms and risks discussed in this RIS, noise is ubiquitous with human activity. Noise pollution is intermittent and therefore generally characterised as a low-harm, high occurrence event.</w:t>
                      </w:r>
                    </w:p>
                    <w:p w14:paraId="656B2222" w14:textId="77777777" w:rsidR="00E752DE" w:rsidRPr="008048CF" w:rsidRDefault="00E752DE" w:rsidP="004A2442">
                      <w:pPr>
                        <w:pStyle w:val="ListParagraph"/>
                        <w:numPr>
                          <w:ilvl w:val="0"/>
                          <w:numId w:val="62"/>
                        </w:numPr>
                        <w:mirrorIndents/>
                        <w:rPr>
                          <w:rFonts w:cs="Segoe UI Light"/>
                          <w:sz w:val="19"/>
                          <w:szCs w:val="19"/>
                        </w:rPr>
                      </w:pPr>
                      <w:r w:rsidRPr="008048CF">
                        <w:rPr>
                          <w:rFonts w:cs="Segoe UI Light"/>
                          <w:sz w:val="19"/>
                          <w:szCs w:val="19"/>
                        </w:rPr>
                        <w:t>Noise pollution is expected to increase in future years with forecast increases in Victoria’s population, higher density living and traffic.</w:t>
                      </w:r>
                    </w:p>
                    <w:p w14:paraId="656B2223" w14:textId="706D0A23" w:rsidR="00E752DE" w:rsidRPr="008048CF" w:rsidRDefault="00E752DE" w:rsidP="00A64902">
                      <w:pPr>
                        <w:pStyle w:val="ListParagraph"/>
                        <w:numPr>
                          <w:ilvl w:val="0"/>
                          <w:numId w:val="62"/>
                        </w:numPr>
                        <w:mirrorIndents/>
                        <w:rPr>
                          <w:rFonts w:cs="Segoe UI Light"/>
                          <w:sz w:val="19"/>
                          <w:szCs w:val="19"/>
                        </w:rPr>
                      </w:pPr>
                      <w:r w:rsidRPr="008048CF">
                        <w:rPr>
                          <w:rFonts w:cs="Segoe UI Light"/>
                          <w:sz w:val="19"/>
                          <w:szCs w:val="19"/>
                        </w:rPr>
                        <w:t xml:space="preserve">The new EP legislation </w:t>
                      </w:r>
                      <w:r w:rsidRPr="008048CF">
                        <w:rPr>
                          <w:sz w:val="19"/>
                          <w:szCs w:val="19"/>
                        </w:rPr>
                        <w:t xml:space="preserve">establishes duties and penalties for the control and emission of unreasonable and aggravated noise. However, it does not explicitly address </w:t>
                      </w:r>
                      <w:r>
                        <w:rPr>
                          <w:sz w:val="19"/>
                          <w:szCs w:val="19"/>
                        </w:rPr>
                        <w:t xml:space="preserve">what constitutes unreasonable noise </w:t>
                      </w:r>
                      <w:r w:rsidRPr="008048CF">
                        <w:rPr>
                          <w:sz w:val="19"/>
                          <w:szCs w:val="19"/>
                        </w:rPr>
                        <w:t xml:space="preserve">, </w:t>
                      </w:r>
                      <w:r>
                        <w:rPr>
                          <w:sz w:val="19"/>
                          <w:szCs w:val="19"/>
                        </w:rPr>
                        <w:t>nor</w:t>
                      </w:r>
                      <w:r w:rsidRPr="008048CF">
                        <w:rPr>
                          <w:sz w:val="19"/>
                          <w:szCs w:val="19"/>
                        </w:rPr>
                        <w:t xml:space="preserve"> define</w:t>
                      </w:r>
                      <w:r>
                        <w:rPr>
                          <w:sz w:val="19"/>
                          <w:szCs w:val="19"/>
                        </w:rPr>
                        <w:t>s</w:t>
                      </w:r>
                      <w:r w:rsidRPr="008048CF">
                        <w:rPr>
                          <w:sz w:val="19"/>
                          <w:szCs w:val="19"/>
                        </w:rPr>
                        <w:t xml:space="preserve"> prescribed items or prohibited times for unreasonable noise </w:t>
                      </w:r>
                      <w:r>
                        <w:rPr>
                          <w:sz w:val="19"/>
                          <w:szCs w:val="19"/>
                        </w:rPr>
                        <w:t xml:space="preserve">from a residential premises </w:t>
                      </w:r>
                      <w:r w:rsidRPr="008048CF">
                        <w:rPr>
                          <w:sz w:val="19"/>
                          <w:szCs w:val="19"/>
                        </w:rPr>
                        <w:t>and also does not define aggravated noise or outline a methodology for establishing aggravated noise (however, aggravated noise can be prescribed in regulations under the new EP legislation).</w:t>
                      </w:r>
                    </w:p>
                    <w:p w14:paraId="656B2224" w14:textId="77777777" w:rsidR="00E752DE" w:rsidRPr="008048CF" w:rsidRDefault="00E752DE" w:rsidP="008048CF">
                      <w:pPr>
                        <w:pStyle w:val="ListParagraph"/>
                        <w:numPr>
                          <w:ilvl w:val="0"/>
                          <w:numId w:val="62"/>
                        </w:numPr>
                        <w:mirrorIndents/>
                        <w:rPr>
                          <w:sz w:val="19"/>
                          <w:szCs w:val="19"/>
                        </w:rPr>
                      </w:pPr>
                      <w:r w:rsidRPr="008048CF">
                        <w:rPr>
                          <w:sz w:val="19"/>
                          <w:szCs w:val="19"/>
                        </w:rPr>
                        <w:t>The following residual risks for noise will therefore remain after the new EP legislation takes effect:</w:t>
                      </w:r>
                    </w:p>
                    <w:p w14:paraId="656B2225" w14:textId="77777777" w:rsidR="00E752DE" w:rsidRPr="008048CF" w:rsidRDefault="00E752DE" w:rsidP="00A64902">
                      <w:pPr>
                        <w:pStyle w:val="ListParagraph"/>
                        <w:numPr>
                          <w:ilvl w:val="1"/>
                          <w:numId w:val="62"/>
                        </w:numPr>
                        <w:ind w:left="993" w:right="-174" w:hanging="284"/>
                        <w:rPr>
                          <w:rFonts w:cs="Segoe UI Light"/>
                          <w:sz w:val="19"/>
                          <w:szCs w:val="19"/>
                        </w:rPr>
                      </w:pPr>
                      <w:r w:rsidRPr="008048CF">
                        <w:rPr>
                          <w:rFonts w:cs="Segoe UI Light"/>
                          <w:sz w:val="19"/>
                          <w:szCs w:val="19"/>
                        </w:rPr>
                        <w:t>A lack of consistency and certainty with respect to how duty holders need to comply with the unreasonable and aggravated noise requirements in the new EP legislation.</w:t>
                      </w:r>
                    </w:p>
                    <w:p w14:paraId="656B2226" w14:textId="77777777" w:rsidR="00E752DE" w:rsidRPr="008048CF" w:rsidRDefault="00E752DE" w:rsidP="00A64902">
                      <w:pPr>
                        <w:pStyle w:val="ListParagraph"/>
                        <w:numPr>
                          <w:ilvl w:val="1"/>
                          <w:numId w:val="62"/>
                        </w:numPr>
                        <w:ind w:left="993" w:right="-174" w:hanging="284"/>
                        <w:rPr>
                          <w:rFonts w:cs="Segoe UI Light"/>
                          <w:sz w:val="19"/>
                          <w:szCs w:val="19"/>
                        </w:rPr>
                      </w:pPr>
                      <w:r w:rsidRPr="008048CF">
                        <w:rPr>
                          <w:rFonts w:cs="Segoe UI Light"/>
                          <w:sz w:val="19"/>
                          <w:szCs w:val="19"/>
                        </w:rPr>
                        <w:t xml:space="preserve">The civil penalty provisions under the new EP legislation require prescription under regulation to function effectively. Necessary for legislation to function - Some obligations under the new legislative framework cannot function or would not be enforceable without prescription under regulation. </w:t>
                      </w:r>
                    </w:p>
                    <w:p w14:paraId="656B2227" w14:textId="77777777" w:rsidR="00E752DE" w:rsidRPr="008048CF" w:rsidRDefault="00E752DE" w:rsidP="004844F9">
                      <w:pPr>
                        <w:pStyle w:val="ListParagraph"/>
                        <w:numPr>
                          <w:ilvl w:val="0"/>
                          <w:numId w:val="62"/>
                        </w:numPr>
                        <w:ind w:right="-174"/>
                        <w:rPr>
                          <w:rFonts w:cs="Segoe UI Light"/>
                          <w:sz w:val="19"/>
                          <w:szCs w:val="19"/>
                        </w:rPr>
                      </w:pPr>
                      <w:r w:rsidRPr="008048CF">
                        <w:rPr>
                          <w:rFonts w:cs="Segoe UI Light"/>
                          <w:sz w:val="19"/>
                          <w:szCs w:val="19"/>
                        </w:rPr>
                        <w:t>These risks may lead to businesses not meeting their duties under the legislation and therefore more noise pollution and risks of harm to human health. Uncertainty is also likely to lead to higher regulatory costs for businesses in determining how to comply and for EPA in administering the framework</w:t>
                      </w:r>
                    </w:p>
                    <w:p w14:paraId="656B2228" w14:textId="77777777" w:rsidR="00E752DE" w:rsidRPr="008048CF" w:rsidRDefault="00E752DE" w:rsidP="004A2442">
                      <w:pPr>
                        <w:pStyle w:val="ListParagraph"/>
                        <w:numPr>
                          <w:ilvl w:val="0"/>
                          <w:numId w:val="62"/>
                        </w:numPr>
                        <w:ind w:right="262"/>
                        <w:rPr>
                          <w:rFonts w:cs="Segoe UI Light"/>
                          <w:sz w:val="19"/>
                          <w:szCs w:val="19"/>
                        </w:rPr>
                      </w:pPr>
                      <w:r w:rsidRPr="008048CF">
                        <w:rPr>
                          <w:rFonts w:cs="Segoe UI Light"/>
                          <w:sz w:val="19"/>
                          <w:szCs w:val="19"/>
                        </w:rPr>
                        <w:t>The preferred options to address these residual risks are to:</w:t>
                      </w:r>
                    </w:p>
                    <w:p w14:paraId="656B2229" w14:textId="77777777" w:rsidR="00E752DE" w:rsidRPr="008048CF" w:rsidRDefault="00E752DE" w:rsidP="00A64902">
                      <w:pPr>
                        <w:pStyle w:val="ListParagraph"/>
                        <w:numPr>
                          <w:ilvl w:val="1"/>
                          <w:numId w:val="62"/>
                        </w:numPr>
                        <w:ind w:left="993" w:right="262" w:hanging="284"/>
                        <w:rPr>
                          <w:rFonts w:cs="Segoe UI Light"/>
                          <w:sz w:val="19"/>
                          <w:szCs w:val="19"/>
                        </w:rPr>
                      </w:pPr>
                      <w:r w:rsidRPr="008048CF">
                        <w:rPr>
                          <w:rFonts w:cs="Segoe UI Light"/>
                          <w:sz w:val="19"/>
                          <w:szCs w:val="19"/>
                        </w:rPr>
                        <w:t>In relation to noise from commercial, industrial and trade (CIT) premises: (1) prescribe in regulation a framework for establishing noise limits for CIT premises in urban and rural areas based on the existing SEPP N-1 policy for setting noise limits and the recommended noise levels in the Noise from Industry in Regional Victoria guideline, supplemented with a range of selected improvements and additions, (2) prescribe in regulation a definition of both unreasonable and aggravated noise.</w:t>
                      </w:r>
                      <w:r w:rsidRPr="008048CF">
                        <w:rPr>
                          <w:rFonts w:cs="Segoe UI Light"/>
                          <w:b/>
                          <w:sz w:val="19"/>
                          <w:szCs w:val="19"/>
                        </w:rPr>
                        <w:t xml:space="preserve"> </w:t>
                      </w:r>
                    </w:p>
                    <w:p w14:paraId="2843A9AE" w14:textId="77777777" w:rsidR="00E752DE" w:rsidRPr="005E06B6" w:rsidRDefault="00E752DE" w:rsidP="00F943B8">
                      <w:pPr>
                        <w:pStyle w:val="ListParagraph"/>
                        <w:numPr>
                          <w:ilvl w:val="1"/>
                          <w:numId w:val="62"/>
                        </w:numPr>
                        <w:ind w:left="993" w:right="262" w:hanging="284"/>
                        <w:rPr>
                          <w:rFonts w:cs="Segoe UI Light"/>
                          <w:sz w:val="19"/>
                          <w:szCs w:val="19"/>
                        </w:rPr>
                      </w:pPr>
                      <w:r w:rsidRPr="008048CF">
                        <w:rPr>
                          <w:rFonts w:cs="Segoe UI Light"/>
                          <w:sz w:val="19"/>
                          <w:szCs w:val="19"/>
                        </w:rPr>
                        <w:t xml:space="preserve">Noise from entertainment venues: </w:t>
                      </w:r>
                      <w:r>
                        <w:rPr>
                          <w:rFonts w:cs="Segoe UI Light"/>
                          <w:sz w:val="19"/>
                          <w:szCs w:val="19"/>
                        </w:rPr>
                        <w:t xml:space="preserve">(1) </w:t>
                      </w:r>
                      <w:r w:rsidRPr="008048CF">
                        <w:rPr>
                          <w:rFonts w:cs="Segoe UI Light"/>
                          <w:sz w:val="19"/>
                          <w:szCs w:val="19"/>
                        </w:rPr>
                        <w:t>prescribe in regulation a framework for establishing noise limits for entertainment premises based on the existing SEPP N-2 framework with selected improvements</w:t>
                      </w:r>
                      <w:r>
                        <w:rPr>
                          <w:rFonts w:cs="Segoe UI Light"/>
                          <w:sz w:val="19"/>
                          <w:szCs w:val="19"/>
                        </w:rPr>
                        <w:t xml:space="preserve">, </w:t>
                      </w:r>
                      <w:r w:rsidRPr="005E06B6">
                        <w:rPr>
                          <w:rFonts w:cs="Segoe UI Light"/>
                          <w:sz w:val="19"/>
                          <w:szCs w:val="19"/>
                        </w:rPr>
                        <w:t xml:space="preserve">(2) prescribe in regulation a definition of both unreasonable and aggravated </w:t>
                      </w:r>
                      <w:r>
                        <w:rPr>
                          <w:rFonts w:cs="Segoe UI Light"/>
                          <w:sz w:val="19"/>
                          <w:szCs w:val="19"/>
                        </w:rPr>
                        <w:t xml:space="preserve">music </w:t>
                      </w:r>
                      <w:r w:rsidRPr="005E06B6">
                        <w:rPr>
                          <w:rFonts w:cs="Segoe UI Light"/>
                          <w:sz w:val="19"/>
                          <w:szCs w:val="19"/>
                        </w:rPr>
                        <w:t>noise.</w:t>
                      </w:r>
                      <w:r w:rsidRPr="005E06B6">
                        <w:rPr>
                          <w:rFonts w:cs="Segoe UI Light"/>
                          <w:b/>
                          <w:sz w:val="19"/>
                          <w:szCs w:val="19"/>
                        </w:rPr>
                        <w:t xml:space="preserve"> </w:t>
                      </w:r>
                    </w:p>
                    <w:p w14:paraId="656B222A" w14:textId="5619C9A7" w:rsidR="00E752DE" w:rsidRPr="008048CF" w:rsidRDefault="00E752DE" w:rsidP="00A64902">
                      <w:pPr>
                        <w:pStyle w:val="ListParagraph"/>
                        <w:numPr>
                          <w:ilvl w:val="1"/>
                          <w:numId w:val="62"/>
                        </w:numPr>
                        <w:ind w:left="993" w:right="262" w:hanging="284"/>
                        <w:rPr>
                          <w:sz w:val="19"/>
                          <w:szCs w:val="19"/>
                        </w:rPr>
                      </w:pPr>
                      <w:r w:rsidRPr="008048CF">
                        <w:rPr>
                          <w:rFonts w:cs="Segoe UI Light"/>
                          <w:sz w:val="19"/>
                          <w:szCs w:val="19"/>
                        </w:rPr>
                        <w:t xml:space="preserve"> </w:t>
                      </w:r>
                    </w:p>
                    <w:p w14:paraId="656B222B" w14:textId="77777777" w:rsidR="00E752DE" w:rsidRPr="008048CF" w:rsidRDefault="00E752DE" w:rsidP="00A64902">
                      <w:pPr>
                        <w:pStyle w:val="ListParagraph"/>
                        <w:numPr>
                          <w:ilvl w:val="1"/>
                          <w:numId w:val="62"/>
                        </w:numPr>
                        <w:ind w:left="993" w:right="262" w:hanging="284"/>
                        <w:rPr>
                          <w:sz w:val="19"/>
                          <w:szCs w:val="19"/>
                        </w:rPr>
                      </w:pPr>
                      <w:r w:rsidRPr="008048CF">
                        <w:rPr>
                          <w:rFonts w:cs="Segoe UI Light"/>
                          <w:sz w:val="19"/>
                          <w:szCs w:val="19"/>
                        </w:rPr>
                        <w:t>Noise from residential premises: prescribe in regulation a range of specific items and prohibited times for residential premises and define both unreasonable and aggravated noise.</w:t>
                      </w:r>
                    </w:p>
                  </w:txbxContent>
                </v:textbox>
                <w10:anchorlock/>
              </v:rect>
            </w:pict>
          </mc:Fallback>
        </mc:AlternateContent>
      </w:r>
    </w:p>
    <w:p w14:paraId="656B0D85" w14:textId="77777777" w:rsidR="005B6B34" w:rsidRPr="005B6B34" w:rsidRDefault="005B6B34" w:rsidP="00982D63">
      <w:pPr>
        <w:pStyle w:val="Heading2"/>
      </w:pPr>
      <w:r w:rsidRPr="005B6B34">
        <w:t>Background</w:t>
      </w:r>
    </w:p>
    <w:p w14:paraId="656B0D86" w14:textId="5AB5477D" w:rsidR="005B6B34" w:rsidRPr="005B6B34" w:rsidRDefault="005B6B34" w:rsidP="005B6B34">
      <w:pPr>
        <w:mirrorIndents/>
        <w:rPr>
          <w:rFonts w:cs="Segoe UI Light"/>
          <w:szCs w:val="20"/>
        </w:rPr>
      </w:pPr>
      <w:r w:rsidRPr="002D3C05">
        <w:rPr>
          <w:rFonts w:cs="Segoe UI Light"/>
          <w:szCs w:val="20"/>
        </w:rPr>
        <w:t xml:space="preserve">Noise can be defined as unwanted sound. </w:t>
      </w:r>
      <w:r w:rsidRPr="001303C9">
        <w:rPr>
          <w:rFonts w:cs="Segoe UI Light"/>
          <w:szCs w:val="20"/>
        </w:rPr>
        <w:t>Noise</w:t>
      </w:r>
      <w:r w:rsidRPr="005B6B34">
        <w:rPr>
          <w:rFonts w:cs="Segoe UI Light"/>
          <w:szCs w:val="20"/>
        </w:rPr>
        <w:t xml:space="preserve"> can interfere with communication, </w:t>
      </w:r>
      <w:r w:rsidR="00B64534">
        <w:rPr>
          <w:rFonts w:cs="Segoe UI Light"/>
          <w:szCs w:val="20"/>
        </w:rPr>
        <w:t>cause</w:t>
      </w:r>
      <w:r w:rsidRPr="005B6B34">
        <w:rPr>
          <w:rFonts w:cs="Segoe UI Light"/>
          <w:szCs w:val="20"/>
        </w:rPr>
        <w:t xml:space="preserve"> stress and annoyance, and disturb sleep leading to lack of concentration and reduced efficiency</w:t>
      </w:r>
      <w:r w:rsidR="004E27EF">
        <w:rPr>
          <w:rFonts w:cs="Segoe UI Light"/>
          <w:szCs w:val="20"/>
        </w:rPr>
        <w:t xml:space="preserve"> and</w:t>
      </w:r>
      <w:r w:rsidRPr="005B6B34">
        <w:rPr>
          <w:rFonts w:cs="Segoe UI Light"/>
          <w:szCs w:val="20"/>
        </w:rPr>
        <w:t xml:space="preserve"> irritability</w:t>
      </w:r>
      <w:r w:rsidR="004E27EF">
        <w:rPr>
          <w:rFonts w:cs="Segoe UI Light"/>
          <w:szCs w:val="20"/>
        </w:rPr>
        <w:t xml:space="preserve">. Prolonged exposure to noise can result in </w:t>
      </w:r>
      <w:r w:rsidR="0012015E">
        <w:rPr>
          <w:rFonts w:cs="Segoe UI Light"/>
          <w:szCs w:val="20"/>
        </w:rPr>
        <w:t>increased incidence of cardiovascular disease and cognitive impairment in children</w:t>
      </w:r>
      <w:r w:rsidR="00CE34DB">
        <w:rPr>
          <w:rFonts w:cs="Segoe UI Light"/>
          <w:szCs w:val="20"/>
        </w:rPr>
        <w:t xml:space="preserve"> and adults</w:t>
      </w:r>
      <w:r w:rsidRPr="005B6B34">
        <w:rPr>
          <w:rFonts w:cs="Segoe UI Light"/>
          <w:szCs w:val="20"/>
        </w:rPr>
        <w:t xml:space="preserve">. It can contribute to stress-related health problems such as high blood pressure. </w:t>
      </w:r>
      <w:r w:rsidR="004E27EF">
        <w:rPr>
          <w:rFonts w:cs="Segoe UI Light"/>
          <w:szCs w:val="20"/>
        </w:rPr>
        <w:t>E</w:t>
      </w:r>
      <w:r w:rsidRPr="005B6B34">
        <w:rPr>
          <w:rFonts w:cs="Segoe UI Light"/>
          <w:szCs w:val="20"/>
        </w:rPr>
        <w:t xml:space="preserve">xposure to high noise levels </w:t>
      </w:r>
      <w:r w:rsidR="004E27EF">
        <w:rPr>
          <w:rFonts w:cs="Segoe UI Light"/>
          <w:szCs w:val="20"/>
        </w:rPr>
        <w:t>over significant periods of time</w:t>
      </w:r>
      <w:r w:rsidR="004E27EF" w:rsidRPr="005B6B34">
        <w:rPr>
          <w:rFonts w:cs="Segoe UI Light"/>
          <w:szCs w:val="20"/>
        </w:rPr>
        <w:t xml:space="preserve"> </w:t>
      </w:r>
      <w:r w:rsidRPr="005B6B34">
        <w:rPr>
          <w:rFonts w:cs="Segoe UI Light"/>
          <w:szCs w:val="20"/>
        </w:rPr>
        <w:t>can cause deafness or partial hearing loss.</w:t>
      </w:r>
    </w:p>
    <w:p w14:paraId="656B0D87" w14:textId="77777777" w:rsidR="005B6B34" w:rsidRPr="005B6B34" w:rsidRDefault="005B6B34" w:rsidP="005B6B34">
      <w:pPr>
        <w:mirrorIndents/>
        <w:rPr>
          <w:rFonts w:cs="Segoe UI Light"/>
          <w:szCs w:val="20"/>
        </w:rPr>
      </w:pPr>
      <w:r w:rsidRPr="005B6B34">
        <w:rPr>
          <w:rFonts w:cs="Segoe UI Light"/>
          <w:szCs w:val="20"/>
        </w:rPr>
        <w:t xml:space="preserve">Individuals have different sensitivity to sound, based on: </w:t>
      </w:r>
    </w:p>
    <w:p w14:paraId="656B0D88" w14:textId="77777777" w:rsidR="005B6B34" w:rsidRPr="005B6B34" w:rsidRDefault="00C97BDA" w:rsidP="004A2442">
      <w:pPr>
        <w:pStyle w:val="Bullet1"/>
        <w:numPr>
          <w:ilvl w:val="0"/>
          <w:numId w:val="26"/>
        </w:numPr>
        <w:rPr>
          <w:rFonts w:cs="Segoe UI Light"/>
          <w:szCs w:val="20"/>
        </w:rPr>
      </w:pPr>
      <w:r>
        <w:rPr>
          <w:rFonts w:cs="Segoe UI Light"/>
          <w:szCs w:val="20"/>
        </w:rPr>
        <w:t>T</w:t>
      </w:r>
      <w:r w:rsidR="005B6B34" w:rsidRPr="005B6B34">
        <w:rPr>
          <w:rFonts w:cs="Segoe UI Light"/>
          <w:szCs w:val="20"/>
        </w:rPr>
        <w:t>he perceptiveness of their hearing</w:t>
      </w:r>
    </w:p>
    <w:p w14:paraId="656B0D89" w14:textId="77777777" w:rsidR="005B6B34" w:rsidRPr="005B6B34" w:rsidRDefault="00C97BDA" w:rsidP="004A2442">
      <w:pPr>
        <w:pStyle w:val="Bullet1"/>
        <w:numPr>
          <w:ilvl w:val="0"/>
          <w:numId w:val="26"/>
        </w:numPr>
        <w:rPr>
          <w:rFonts w:cs="Segoe UI Light"/>
          <w:szCs w:val="20"/>
        </w:rPr>
      </w:pPr>
      <w:r>
        <w:rPr>
          <w:rFonts w:cs="Segoe UI Light"/>
          <w:szCs w:val="20"/>
        </w:rPr>
        <w:t>T</w:t>
      </w:r>
      <w:r w:rsidR="005B6B34" w:rsidRPr="005B6B34">
        <w:rPr>
          <w:rFonts w:cs="Segoe UI Light"/>
          <w:szCs w:val="20"/>
        </w:rPr>
        <w:t>he character of the sound (e.g. tone, variability)</w:t>
      </w:r>
    </w:p>
    <w:p w14:paraId="656B0D8A" w14:textId="77777777" w:rsidR="005B6B34" w:rsidRPr="005B6B34" w:rsidRDefault="00C97BDA" w:rsidP="004A2442">
      <w:pPr>
        <w:pStyle w:val="Bullet1"/>
        <w:numPr>
          <w:ilvl w:val="0"/>
          <w:numId w:val="26"/>
        </w:numPr>
        <w:rPr>
          <w:rFonts w:cs="Segoe UI Light"/>
          <w:szCs w:val="20"/>
        </w:rPr>
      </w:pPr>
      <w:r>
        <w:rPr>
          <w:rFonts w:cs="Segoe UI Light"/>
          <w:szCs w:val="20"/>
        </w:rPr>
        <w:t>T</w:t>
      </w:r>
      <w:r w:rsidR="005B6B34" w:rsidRPr="005B6B34">
        <w:rPr>
          <w:rFonts w:cs="Segoe UI Light"/>
          <w:szCs w:val="20"/>
        </w:rPr>
        <w:t>heir tolerance or acceptance of sound in their environment. This can be affected by factors such as the time it occurs, its duration (e.g. people are often more sensitive in the evenings when there is greater risk of sleep disturbance), location, and existing background noise levels.</w:t>
      </w:r>
      <w:r w:rsidR="005B6B34" w:rsidRPr="005B6B34">
        <w:rPr>
          <w:rStyle w:val="FootnoteReference"/>
          <w:rFonts w:cs="Segoe UI Light"/>
          <w:szCs w:val="20"/>
        </w:rPr>
        <w:footnoteReference w:id="258"/>
      </w:r>
      <w:r w:rsidR="005B6B34" w:rsidRPr="005B6B34">
        <w:rPr>
          <w:rFonts w:cs="Segoe UI Light"/>
          <w:szCs w:val="20"/>
        </w:rPr>
        <w:t xml:space="preserve"> </w:t>
      </w:r>
    </w:p>
    <w:p w14:paraId="656B0D8B" w14:textId="77777777" w:rsidR="005B6B34" w:rsidRPr="005B6B34" w:rsidRDefault="005B6B34" w:rsidP="005B6B34">
      <w:pPr>
        <w:mirrorIndents/>
        <w:rPr>
          <w:rFonts w:cs="Segoe UI Light"/>
          <w:szCs w:val="20"/>
        </w:rPr>
      </w:pPr>
      <w:r w:rsidRPr="005B6B34">
        <w:rPr>
          <w:rFonts w:cs="Segoe UI Light"/>
          <w:szCs w:val="20"/>
        </w:rPr>
        <w:t xml:space="preserve">While sound can be objectively measured in decibels (dB), identifying whether the noise is ‘unreasonable’ often requires </w:t>
      </w:r>
      <w:r w:rsidR="00CE34DB">
        <w:rPr>
          <w:rFonts w:cs="Segoe UI Light"/>
          <w:szCs w:val="20"/>
        </w:rPr>
        <w:t>consideration of the duration or character of the noise and other circumstances in which it is</w:t>
      </w:r>
      <w:r w:rsidR="0009477B">
        <w:rPr>
          <w:rFonts w:cs="Segoe UI Light"/>
          <w:szCs w:val="20"/>
        </w:rPr>
        <w:t xml:space="preserve"> emitted</w:t>
      </w:r>
      <w:r w:rsidRPr="005B6B34">
        <w:rPr>
          <w:rFonts w:cs="Segoe UI Light"/>
          <w:szCs w:val="20"/>
        </w:rPr>
        <w:t xml:space="preserve">. </w:t>
      </w:r>
      <w:r w:rsidR="0009477B">
        <w:rPr>
          <w:rFonts w:cs="Segoe UI Light"/>
          <w:szCs w:val="20"/>
        </w:rPr>
        <w:t>A</w:t>
      </w:r>
      <w:r w:rsidRPr="005B6B34">
        <w:rPr>
          <w:rFonts w:cs="Segoe UI Light"/>
          <w:szCs w:val="20"/>
        </w:rPr>
        <w:t xml:space="preserve"> range of decibel threshold values are used as the basis for calculating </w:t>
      </w:r>
      <w:r w:rsidR="0009477B">
        <w:rPr>
          <w:rFonts w:cs="Segoe UI Light"/>
          <w:szCs w:val="20"/>
        </w:rPr>
        <w:t xml:space="preserve">an objective limit for </w:t>
      </w:r>
      <w:r w:rsidRPr="005B6B34">
        <w:rPr>
          <w:rFonts w:cs="Segoe UI Light"/>
          <w:szCs w:val="20"/>
        </w:rPr>
        <w:t>noise exposure in different circumstances</w:t>
      </w:r>
      <w:r w:rsidR="00B20D33">
        <w:rPr>
          <w:rFonts w:cs="Segoe UI Light"/>
          <w:szCs w:val="20"/>
        </w:rPr>
        <w:t xml:space="preserve"> </w:t>
      </w:r>
      <w:r w:rsidR="00B64534">
        <w:rPr>
          <w:rFonts w:cs="Segoe UI Light"/>
          <w:szCs w:val="20"/>
        </w:rPr>
        <w:t>in noise regulation</w:t>
      </w:r>
      <w:r w:rsidRPr="005B6B34">
        <w:rPr>
          <w:rFonts w:cs="Segoe UI Light"/>
          <w:szCs w:val="20"/>
        </w:rPr>
        <w:t xml:space="preserve">, with </w:t>
      </w:r>
      <w:r w:rsidR="0009477B">
        <w:rPr>
          <w:rFonts w:cs="Segoe UI Light"/>
          <w:szCs w:val="20"/>
        </w:rPr>
        <w:t xml:space="preserve">more stringent limits </w:t>
      </w:r>
      <w:r w:rsidRPr="005B6B34">
        <w:rPr>
          <w:rFonts w:cs="Segoe UI Light"/>
          <w:szCs w:val="20"/>
        </w:rPr>
        <w:t>typically being applied at night</w:t>
      </w:r>
      <w:r w:rsidR="0009477B">
        <w:rPr>
          <w:rFonts w:cs="Segoe UI Light"/>
          <w:szCs w:val="20"/>
        </w:rPr>
        <w:t xml:space="preserve"> to protect against the impact of unreasonable noise on sleep in particular</w:t>
      </w:r>
      <w:r w:rsidRPr="005B6B34">
        <w:rPr>
          <w:rFonts w:cs="Segoe UI Light"/>
          <w:szCs w:val="20"/>
        </w:rPr>
        <w:t xml:space="preserve">. </w:t>
      </w:r>
    </w:p>
    <w:p w14:paraId="656B0D8C" w14:textId="77777777" w:rsidR="00710F8E" w:rsidRDefault="00710F8E" w:rsidP="00710F8E">
      <w:pPr>
        <w:keepNext/>
        <w:spacing w:before="120" w:after="80"/>
        <w:rPr>
          <w:rFonts w:asciiTheme="minorHAnsi" w:hAnsiTheme="minorHAnsi" w:cstheme="minorHAnsi"/>
          <w:szCs w:val="20"/>
          <w:lang w:val="en-US" w:eastAsia="ja-JP"/>
        </w:rPr>
      </w:pPr>
      <w:r>
        <w:rPr>
          <w:rFonts w:cstheme="minorHAnsi"/>
          <w:szCs w:val="20"/>
          <w:lang w:val="en-US" w:eastAsia="ja-JP"/>
        </w:rPr>
        <w:t>The EPA’s Community response to noise survey 2007 identified the top three impacts associated with noise disturbance were:</w:t>
      </w:r>
      <w:r>
        <w:rPr>
          <w:rStyle w:val="FootnoteReference"/>
          <w:rFonts w:cstheme="minorHAnsi"/>
          <w:szCs w:val="20"/>
          <w:lang w:eastAsia="ja-JP"/>
        </w:rPr>
        <w:footnoteReference w:id="259"/>
      </w:r>
    </w:p>
    <w:p w14:paraId="656B0D8D" w14:textId="77777777" w:rsidR="00710F8E" w:rsidRPr="008048CF" w:rsidRDefault="00C95E3F" w:rsidP="008048CF">
      <w:pPr>
        <w:pStyle w:val="Bullet1"/>
        <w:numPr>
          <w:ilvl w:val="0"/>
          <w:numId w:val="26"/>
        </w:numPr>
        <w:rPr>
          <w:rFonts w:cs="Segoe UI Light"/>
          <w:szCs w:val="20"/>
        </w:rPr>
      </w:pPr>
      <w:r>
        <w:rPr>
          <w:rFonts w:cs="Segoe UI Light"/>
          <w:szCs w:val="20"/>
        </w:rPr>
        <w:t>S</w:t>
      </w:r>
      <w:r w:rsidR="00710F8E" w:rsidRPr="008048CF">
        <w:rPr>
          <w:rFonts w:cs="Segoe UI Light"/>
          <w:szCs w:val="20"/>
        </w:rPr>
        <w:t>leep (23% of respondents)</w:t>
      </w:r>
    </w:p>
    <w:p w14:paraId="656B0D8E" w14:textId="77777777" w:rsidR="00710F8E" w:rsidRPr="008048CF" w:rsidRDefault="00C95E3F" w:rsidP="008048CF">
      <w:pPr>
        <w:pStyle w:val="Bullet1"/>
        <w:numPr>
          <w:ilvl w:val="0"/>
          <w:numId w:val="26"/>
        </w:numPr>
        <w:rPr>
          <w:rFonts w:cs="Segoe UI Light"/>
          <w:szCs w:val="20"/>
        </w:rPr>
      </w:pPr>
      <w:r>
        <w:rPr>
          <w:rFonts w:cs="Segoe UI Light"/>
          <w:szCs w:val="20"/>
        </w:rPr>
        <w:t>E</w:t>
      </w:r>
      <w:r w:rsidR="00710F8E" w:rsidRPr="008048CF">
        <w:rPr>
          <w:rFonts w:cs="Segoe UI Light"/>
          <w:szCs w:val="20"/>
        </w:rPr>
        <w:t>njoyment of home (20%)</w:t>
      </w:r>
    </w:p>
    <w:p w14:paraId="656B0D8F" w14:textId="77777777" w:rsidR="00710F8E" w:rsidRPr="008048CF" w:rsidRDefault="00C95E3F" w:rsidP="008048CF">
      <w:pPr>
        <w:pStyle w:val="Bullet1"/>
        <w:numPr>
          <w:ilvl w:val="0"/>
          <w:numId w:val="26"/>
        </w:numPr>
        <w:rPr>
          <w:rFonts w:cs="Segoe UI Light"/>
          <w:szCs w:val="20"/>
        </w:rPr>
      </w:pPr>
      <w:r>
        <w:rPr>
          <w:rFonts w:cs="Segoe UI Light"/>
          <w:szCs w:val="20"/>
        </w:rPr>
        <w:t>O</w:t>
      </w:r>
      <w:r w:rsidR="00710F8E" w:rsidRPr="008048CF">
        <w:rPr>
          <w:rFonts w:cs="Segoe UI Light"/>
          <w:szCs w:val="20"/>
        </w:rPr>
        <w:t>utdoor recreation (14%).</w:t>
      </w:r>
    </w:p>
    <w:p w14:paraId="656B0D90" w14:textId="77777777" w:rsidR="005B6B34" w:rsidRPr="005B6B34" w:rsidRDefault="0009477B" w:rsidP="005B6B34">
      <w:pPr>
        <w:tabs>
          <w:tab w:val="left" w:pos="5231"/>
        </w:tabs>
        <w:mirrorIndents/>
        <w:rPr>
          <w:rFonts w:cs="Segoe UI Light"/>
          <w:szCs w:val="20"/>
          <w:lang w:eastAsia="ja-JP"/>
        </w:rPr>
      </w:pPr>
      <w:r>
        <w:rPr>
          <w:rFonts w:cs="Segoe UI Light"/>
          <w:szCs w:val="20"/>
          <w:lang w:eastAsia="ja-JP"/>
        </w:rPr>
        <w:t xml:space="preserve">Noise is a by-product of all human activity. </w:t>
      </w:r>
      <w:r w:rsidR="005B6B34" w:rsidRPr="00F857FF">
        <w:rPr>
          <w:rFonts w:cs="Segoe UI Light"/>
          <w:szCs w:val="20"/>
          <w:lang w:eastAsia="ja-JP"/>
        </w:rPr>
        <w:t>Some noise exposure is inevitable given the changing nature of society, evolving land uses, population growth and higher density living. Exposure to noise depends on a range of factors including:</w:t>
      </w:r>
    </w:p>
    <w:p w14:paraId="656B0D91" w14:textId="77777777" w:rsidR="005B6B34" w:rsidRPr="005B6B34" w:rsidRDefault="00C95E3F" w:rsidP="004A2442">
      <w:pPr>
        <w:pStyle w:val="Bullet1"/>
        <w:numPr>
          <w:ilvl w:val="0"/>
          <w:numId w:val="26"/>
        </w:numPr>
        <w:rPr>
          <w:rFonts w:cs="Segoe UI Light"/>
          <w:szCs w:val="20"/>
        </w:rPr>
      </w:pPr>
      <w:r>
        <w:rPr>
          <w:rFonts w:cs="Segoe UI Light"/>
          <w:szCs w:val="20"/>
        </w:rPr>
        <w:t>T</w:t>
      </w:r>
      <w:r w:rsidR="005B6B34" w:rsidRPr="005B6B34">
        <w:rPr>
          <w:rFonts w:cs="Segoe UI Light"/>
          <w:szCs w:val="20"/>
        </w:rPr>
        <w:t>he number of noise sources there are and where they are located, which is usually related to land use</w:t>
      </w:r>
    </w:p>
    <w:p w14:paraId="656B0D92" w14:textId="77777777" w:rsidR="005B6B34" w:rsidRPr="005B6B34" w:rsidRDefault="00C95E3F" w:rsidP="004A2442">
      <w:pPr>
        <w:pStyle w:val="Bullet1"/>
        <w:numPr>
          <w:ilvl w:val="0"/>
          <w:numId w:val="26"/>
        </w:numPr>
        <w:rPr>
          <w:rFonts w:cs="Segoe UI Light"/>
          <w:szCs w:val="20"/>
        </w:rPr>
      </w:pPr>
      <w:r>
        <w:rPr>
          <w:rFonts w:cs="Segoe UI Light"/>
          <w:szCs w:val="20"/>
        </w:rPr>
        <w:t>P</w:t>
      </w:r>
      <w:r w:rsidR="005B6B34" w:rsidRPr="005B6B34">
        <w:rPr>
          <w:rFonts w:cs="Segoe UI Light"/>
          <w:szCs w:val="20"/>
        </w:rPr>
        <w:t xml:space="preserve">opulation density </w:t>
      </w:r>
    </w:p>
    <w:p w14:paraId="656B0D93" w14:textId="77777777" w:rsidR="005B6B34" w:rsidRPr="005B6B34" w:rsidRDefault="00C95E3F" w:rsidP="004A2442">
      <w:pPr>
        <w:pStyle w:val="Bullet1"/>
        <w:numPr>
          <w:ilvl w:val="0"/>
          <w:numId w:val="26"/>
        </w:numPr>
        <w:rPr>
          <w:rFonts w:cs="Segoe UI Light"/>
          <w:szCs w:val="20"/>
        </w:rPr>
      </w:pPr>
      <w:r>
        <w:rPr>
          <w:rFonts w:cs="Segoe UI Light"/>
          <w:szCs w:val="20"/>
        </w:rPr>
        <w:t>D</w:t>
      </w:r>
      <w:r w:rsidR="005B6B34" w:rsidRPr="005B6B34">
        <w:rPr>
          <w:rFonts w:cs="Segoe UI Light"/>
          <w:szCs w:val="20"/>
        </w:rPr>
        <w:t xml:space="preserve">istance of spread of noise - which is source-dependent and affected by topography. </w:t>
      </w:r>
    </w:p>
    <w:p w14:paraId="656B0D94" w14:textId="77777777" w:rsidR="005B6B34" w:rsidRPr="005B6B34" w:rsidRDefault="005B6B34" w:rsidP="005B6B34">
      <w:pPr>
        <w:spacing w:after="80"/>
        <w:rPr>
          <w:rFonts w:eastAsia="Arial,Times New Roman" w:cs="Segoe UI Light"/>
          <w:szCs w:val="20"/>
          <w:lang w:val="en-US" w:eastAsia="ru-RU"/>
        </w:rPr>
      </w:pPr>
      <w:r w:rsidRPr="005B6B34">
        <w:rPr>
          <w:rFonts w:cs="Segoe UI Light"/>
          <w:szCs w:val="20"/>
          <w:lang w:eastAsia="ja-JP"/>
        </w:rPr>
        <w:t xml:space="preserve">Many more Victorians are exposed to noise from residential neighbours and road traffic than industry noise as most people live near residential neighbours and roads. </w:t>
      </w:r>
      <w:r w:rsidRPr="005B6B34">
        <w:rPr>
          <w:rFonts w:cs="Segoe UI Light"/>
          <w:szCs w:val="20"/>
          <w:lang w:val="en-US" w:eastAsia="ja-JP"/>
        </w:rPr>
        <w:t xml:space="preserve">Research commissioned by </w:t>
      </w:r>
      <w:r w:rsidR="000514DD">
        <w:rPr>
          <w:rFonts w:cs="Segoe UI Light"/>
          <w:szCs w:val="20"/>
          <w:lang w:val="en-US" w:eastAsia="ja-JP"/>
        </w:rPr>
        <w:t>EPA</w:t>
      </w:r>
      <w:r w:rsidRPr="005B6B34">
        <w:rPr>
          <w:rFonts w:cs="Segoe UI Light"/>
          <w:szCs w:val="20"/>
          <w:lang w:val="en-US" w:eastAsia="ja-JP"/>
        </w:rPr>
        <w:t xml:space="preserve"> in 2016 found that </w:t>
      </w:r>
      <w:r w:rsidRPr="005B6B34">
        <w:rPr>
          <w:rFonts w:cs="Segoe UI Light"/>
          <w:szCs w:val="20"/>
          <w:lang w:val="en-US" w:eastAsia="ru-RU"/>
        </w:rPr>
        <w:t>the top five sources of noise</w:t>
      </w:r>
      <w:r w:rsidR="0098141F">
        <w:rPr>
          <w:rFonts w:cs="Segoe UI Light"/>
          <w:szCs w:val="20"/>
          <w:lang w:val="en-US" w:eastAsia="ru-RU"/>
        </w:rPr>
        <w:t xml:space="preserve"> (but not necessarily those with the highest impact) </w:t>
      </w:r>
      <w:r w:rsidRPr="005B6B34">
        <w:rPr>
          <w:rFonts w:cs="Segoe UI Light"/>
          <w:szCs w:val="20"/>
          <w:lang w:val="en-US" w:eastAsia="ru-RU"/>
        </w:rPr>
        <w:t>affecting Victorians were:</w:t>
      </w:r>
      <w:r w:rsidRPr="005B6B34">
        <w:rPr>
          <w:rStyle w:val="FootnoteReference"/>
          <w:rFonts w:cs="Segoe UI Light"/>
          <w:szCs w:val="20"/>
          <w:lang w:val="en-US"/>
        </w:rPr>
        <w:t xml:space="preserve"> </w:t>
      </w:r>
      <w:r w:rsidRPr="00F63574">
        <w:rPr>
          <w:rFonts w:cs="Segoe UI Light"/>
          <w:szCs w:val="20"/>
          <w:vertAlign w:val="superscript"/>
        </w:rPr>
        <w:footnoteReference w:id="260"/>
      </w:r>
      <w:r w:rsidRPr="005B6B34">
        <w:rPr>
          <w:rFonts w:cs="Segoe UI Light"/>
          <w:szCs w:val="20"/>
          <w:lang w:val="en-US" w:eastAsia="ru-RU"/>
        </w:rPr>
        <w:t xml:space="preserve"> </w:t>
      </w:r>
    </w:p>
    <w:p w14:paraId="656B0D95" w14:textId="77777777" w:rsidR="005B6B34" w:rsidRPr="005B6B34" w:rsidRDefault="00C95E3F" w:rsidP="004A2442">
      <w:pPr>
        <w:pStyle w:val="Bullet1"/>
        <w:numPr>
          <w:ilvl w:val="0"/>
          <w:numId w:val="26"/>
        </w:numPr>
        <w:rPr>
          <w:rFonts w:cs="Segoe UI Light"/>
          <w:szCs w:val="20"/>
        </w:rPr>
      </w:pPr>
      <w:r>
        <w:rPr>
          <w:rFonts w:cs="Segoe UI Light"/>
          <w:szCs w:val="20"/>
        </w:rPr>
        <w:t>R</w:t>
      </w:r>
      <w:r w:rsidR="005B6B34" w:rsidRPr="005B6B34">
        <w:rPr>
          <w:rFonts w:cs="Segoe UI Light"/>
          <w:szCs w:val="20"/>
        </w:rPr>
        <w:t>oad traffic including individual vehicle and busy roads (51.7%)</w:t>
      </w:r>
    </w:p>
    <w:p w14:paraId="656B0D96" w14:textId="77777777" w:rsidR="005B6B34" w:rsidRPr="005B6B34" w:rsidRDefault="00C95E3F" w:rsidP="004A2442">
      <w:pPr>
        <w:pStyle w:val="Bullet1"/>
        <w:numPr>
          <w:ilvl w:val="0"/>
          <w:numId w:val="26"/>
        </w:numPr>
        <w:rPr>
          <w:rFonts w:cs="Segoe UI Light"/>
          <w:szCs w:val="20"/>
        </w:rPr>
      </w:pPr>
      <w:r>
        <w:rPr>
          <w:rFonts w:cs="Segoe UI Light"/>
          <w:szCs w:val="20"/>
        </w:rPr>
        <w:t>N</w:t>
      </w:r>
      <w:r w:rsidR="005B6B34" w:rsidRPr="005B6B34">
        <w:rPr>
          <w:rFonts w:cs="Segoe UI Light"/>
          <w:szCs w:val="20"/>
        </w:rPr>
        <w:t>eighbours’ residences (26.7%)</w:t>
      </w:r>
    </w:p>
    <w:p w14:paraId="656B0D97" w14:textId="77777777" w:rsidR="005B6B34" w:rsidRPr="005B6B34" w:rsidRDefault="00C95E3F" w:rsidP="004A2442">
      <w:pPr>
        <w:pStyle w:val="Bullet1"/>
        <w:numPr>
          <w:ilvl w:val="0"/>
          <w:numId w:val="26"/>
        </w:numPr>
        <w:rPr>
          <w:rFonts w:cs="Segoe UI Light"/>
          <w:szCs w:val="20"/>
        </w:rPr>
      </w:pPr>
      <w:r>
        <w:rPr>
          <w:rFonts w:cs="Segoe UI Light"/>
          <w:szCs w:val="20"/>
        </w:rPr>
        <w:t>C</w:t>
      </w:r>
      <w:r w:rsidR="005B6B34" w:rsidRPr="005B6B34">
        <w:rPr>
          <w:rFonts w:cs="Segoe UI Light"/>
          <w:szCs w:val="20"/>
        </w:rPr>
        <w:t>onstruction activity (20.4%)</w:t>
      </w:r>
    </w:p>
    <w:p w14:paraId="656B0D98" w14:textId="77777777" w:rsidR="005B6B34" w:rsidRPr="005B6B34" w:rsidRDefault="00C95E3F" w:rsidP="004A2442">
      <w:pPr>
        <w:pStyle w:val="Bullet1"/>
        <w:numPr>
          <w:ilvl w:val="0"/>
          <w:numId w:val="26"/>
        </w:numPr>
        <w:rPr>
          <w:rFonts w:cs="Segoe UI Light"/>
          <w:szCs w:val="20"/>
        </w:rPr>
      </w:pPr>
      <w:r>
        <w:rPr>
          <w:rFonts w:cs="Segoe UI Light"/>
          <w:szCs w:val="20"/>
        </w:rPr>
        <w:t>A</w:t>
      </w:r>
      <w:r w:rsidR="005B6B34" w:rsidRPr="005B6B34">
        <w:rPr>
          <w:rFonts w:cs="Segoe UI Light"/>
          <w:szCs w:val="20"/>
        </w:rPr>
        <w:t>udible alarms (13.1%)</w:t>
      </w:r>
    </w:p>
    <w:p w14:paraId="656B0D99" w14:textId="77777777" w:rsidR="005B6B34" w:rsidRPr="005B6B34" w:rsidRDefault="00C95E3F" w:rsidP="004A2442">
      <w:pPr>
        <w:pStyle w:val="Bullet1"/>
        <w:numPr>
          <w:ilvl w:val="0"/>
          <w:numId w:val="26"/>
        </w:numPr>
        <w:rPr>
          <w:rFonts w:cs="Segoe UI Light"/>
          <w:szCs w:val="20"/>
        </w:rPr>
      </w:pPr>
      <w:r>
        <w:rPr>
          <w:rFonts w:cs="Segoe UI Light"/>
          <w:szCs w:val="20"/>
        </w:rPr>
        <w:t>T</w:t>
      </w:r>
      <w:r w:rsidR="005B6B34" w:rsidRPr="005B6B34">
        <w:rPr>
          <w:rFonts w:cs="Segoe UI Light"/>
          <w:szCs w:val="20"/>
        </w:rPr>
        <w:t>rams or trains (10.7%).</w:t>
      </w:r>
    </w:p>
    <w:p w14:paraId="656B0D9A" w14:textId="77777777" w:rsidR="005B6B34" w:rsidRPr="005B6B34" w:rsidRDefault="005B6B34" w:rsidP="00D4650A">
      <w:pPr>
        <w:rPr>
          <w:rFonts w:eastAsia="Arial,Times New Roman" w:cs="Segoe UI Light"/>
          <w:szCs w:val="20"/>
          <w:lang w:val="en-US" w:eastAsia="ru-RU"/>
        </w:rPr>
      </w:pPr>
      <w:r w:rsidRPr="005B6B34">
        <w:rPr>
          <w:rFonts w:cs="Segoe UI Light"/>
          <w:szCs w:val="20"/>
        </w:rPr>
        <w:t>The sources of noise likely to affect Victoria</w:t>
      </w:r>
      <w:r w:rsidR="00B64534">
        <w:rPr>
          <w:rFonts w:cs="Segoe UI Light"/>
          <w:szCs w:val="20"/>
        </w:rPr>
        <w:t>ns is location dependent. Regional Victorians</w:t>
      </w:r>
      <w:r w:rsidRPr="005B6B34">
        <w:rPr>
          <w:rFonts w:cs="Segoe UI Light"/>
          <w:szCs w:val="20"/>
        </w:rPr>
        <w:t xml:space="preserve"> were more likely to be affected by noise from </w:t>
      </w:r>
      <w:r w:rsidRPr="005B6B34">
        <w:rPr>
          <w:rFonts w:eastAsia="Arial" w:cs="Segoe UI Light"/>
          <w:szCs w:val="20"/>
          <w:lang w:val="en-US" w:eastAsia="ru-RU"/>
        </w:rPr>
        <w:t>farming, forestry, mining and quarrying activities; ports, boats and shipping; and factories and industry</w:t>
      </w:r>
      <w:r w:rsidRPr="005B6B34">
        <w:rPr>
          <w:rFonts w:eastAsia="Arial,Times New Roman" w:cs="Segoe UI Light"/>
          <w:szCs w:val="20"/>
          <w:lang w:val="en-US" w:eastAsia="ru-RU"/>
        </w:rPr>
        <w:t>.</w:t>
      </w:r>
      <w:r w:rsidRPr="005B6B34">
        <w:rPr>
          <w:rFonts w:eastAsia="Arial" w:cs="Segoe UI Light"/>
          <w:szCs w:val="20"/>
          <w:vertAlign w:val="superscript"/>
          <w:lang w:eastAsia="ru-RU"/>
        </w:rPr>
        <w:footnoteReference w:id="261"/>
      </w:r>
    </w:p>
    <w:p w14:paraId="656B0D9B" w14:textId="77777777" w:rsidR="005B6B34" w:rsidRPr="005B6B34" w:rsidRDefault="005B6B34" w:rsidP="005B6B34">
      <w:pPr>
        <w:mirrorIndents/>
        <w:rPr>
          <w:rFonts w:cs="Segoe UI Light"/>
          <w:szCs w:val="20"/>
        </w:rPr>
      </w:pPr>
      <w:r w:rsidRPr="005B6B34">
        <w:rPr>
          <w:rFonts w:cs="Segoe UI Light"/>
          <w:szCs w:val="20"/>
        </w:rPr>
        <w:t>Noise accounts for the majority of EPA publication and advice enquiries. EPA has received an average of around 2,000 noise complaints every year since 2013.</w:t>
      </w:r>
      <w:r w:rsidRPr="005B6B34">
        <w:rPr>
          <w:rStyle w:val="FootnoteReference"/>
          <w:rFonts w:cs="Segoe UI Light"/>
          <w:szCs w:val="20"/>
        </w:rPr>
        <w:footnoteReference w:id="262"/>
      </w:r>
      <w:r w:rsidRPr="005B6B34">
        <w:rPr>
          <w:rFonts w:cs="Segoe UI Light"/>
          <w:szCs w:val="20"/>
        </w:rPr>
        <w:t xml:space="preserve"> During that time noise </w:t>
      </w:r>
      <w:r w:rsidR="00094408">
        <w:rPr>
          <w:rFonts w:cs="Segoe UI Light"/>
          <w:szCs w:val="20"/>
        </w:rPr>
        <w:t>has been</w:t>
      </w:r>
      <w:r w:rsidRPr="005B6B34">
        <w:rPr>
          <w:rFonts w:cs="Segoe UI Light"/>
          <w:szCs w:val="20"/>
        </w:rPr>
        <w:t xml:space="preserve"> the second most common pollution reporting category received by </w:t>
      </w:r>
      <w:r w:rsidR="000514DD">
        <w:rPr>
          <w:rFonts w:cs="Segoe UI Light"/>
          <w:szCs w:val="20"/>
        </w:rPr>
        <w:t>EPA</w:t>
      </w:r>
      <w:r w:rsidRPr="005B6B34">
        <w:rPr>
          <w:rFonts w:cs="Segoe UI Light"/>
          <w:szCs w:val="20"/>
        </w:rPr>
        <w:t xml:space="preserve"> - accounting for 11.5% of reports.</w:t>
      </w:r>
      <w:r w:rsidRPr="005B6B34">
        <w:rPr>
          <w:rStyle w:val="FootnoteReference"/>
          <w:rFonts w:cs="Segoe UI Light"/>
          <w:szCs w:val="20"/>
        </w:rPr>
        <w:footnoteReference w:id="263"/>
      </w:r>
      <w:r w:rsidRPr="005B6B34">
        <w:rPr>
          <w:rFonts w:cs="Segoe UI Light"/>
          <w:szCs w:val="20"/>
        </w:rPr>
        <w:t xml:space="preserve"> In 2018, noise accounted for 18% of pollution reports.</w:t>
      </w:r>
      <w:r w:rsidRPr="005B6B34">
        <w:rPr>
          <w:rStyle w:val="FootnoteReference"/>
          <w:rFonts w:cs="Segoe UI Light"/>
          <w:szCs w:val="20"/>
        </w:rPr>
        <w:footnoteReference w:id="264"/>
      </w:r>
      <w:r w:rsidRPr="005B6B34">
        <w:rPr>
          <w:rStyle w:val="FootnoteReference"/>
          <w:rFonts w:cs="Segoe UI Light"/>
          <w:szCs w:val="20"/>
        </w:rPr>
        <w:t xml:space="preserve"> </w:t>
      </w:r>
    </w:p>
    <w:p w14:paraId="656B0D9C" w14:textId="77777777" w:rsidR="005B6B34" w:rsidRPr="005B6B34" w:rsidRDefault="005B6B34" w:rsidP="005B6B34">
      <w:pPr>
        <w:mirrorIndents/>
        <w:rPr>
          <w:rFonts w:cs="Segoe UI Light"/>
          <w:szCs w:val="20"/>
        </w:rPr>
      </w:pPr>
      <w:r w:rsidRPr="005B6B34">
        <w:rPr>
          <w:rFonts w:cs="Segoe UI Light"/>
          <w:szCs w:val="20"/>
        </w:rPr>
        <w:t>The average number of complaints regarding residential noise received by local councils increased by around 20% from 2012 to 2016. This finding was based on a survey administered by EPA of 33 local governments, with an even distribution of metropolitan and non-metropolitan respondents.</w:t>
      </w:r>
      <w:r w:rsidRPr="005B6B34">
        <w:rPr>
          <w:rStyle w:val="FootnoteReference"/>
          <w:rFonts w:cs="Segoe UI Light"/>
          <w:szCs w:val="20"/>
        </w:rPr>
        <w:footnoteReference w:id="265"/>
      </w:r>
    </w:p>
    <w:p w14:paraId="656B0D9D" w14:textId="77777777" w:rsidR="005B6B34" w:rsidRPr="005B6B34" w:rsidRDefault="005B6B34" w:rsidP="005B6B34">
      <w:pPr>
        <w:mirrorIndents/>
        <w:rPr>
          <w:rFonts w:cs="Segoe UI Light"/>
          <w:szCs w:val="20"/>
        </w:rPr>
      </w:pPr>
      <w:r w:rsidRPr="005B6B34">
        <w:rPr>
          <w:rFonts w:cs="Segoe UI Light"/>
          <w:szCs w:val="20"/>
        </w:rPr>
        <w:t>Noise pollution is expected to increase in future years as Victoria’s population continues to grow</w:t>
      </w:r>
      <w:r w:rsidR="0009477B">
        <w:rPr>
          <w:rFonts w:cs="Segoe UI Light"/>
          <w:szCs w:val="20"/>
        </w:rPr>
        <w:t xml:space="preserve">. Increased traffic flows will likely contribute to higher ambient and background noise levels. Conflicts regarding land use (particularly in relation to the use of land for residential premises located close to existing industry) </w:t>
      </w:r>
      <w:r w:rsidR="00457400">
        <w:rPr>
          <w:rFonts w:cs="Segoe UI Light"/>
          <w:szCs w:val="20"/>
        </w:rPr>
        <w:t xml:space="preserve">are </w:t>
      </w:r>
      <w:r w:rsidR="0009477B">
        <w:rPr>
          <w:rFonts w:cs="Segoe UI Light"/>
          <w:szCs w:val="20"/>
        </w:rPr>
        <w:t xml:space="preserve">likely to continue to lead to increased complaints in relation to noise pollution. </w:t>
      </w:r>
    </w:p>
    <w:p w14:paraId="656B0D9E" w14:textId="77777777" w:rsidR="005B6B34" w:rsidRPr="005B6B34" w:rsidRDefault="005B6B34" w:rsidP="00982D63">
      <w:pPr>
        <w:pStyle w:val="Heading2"/>
      </w:pPr>
      <w:r w:rsidRPr="005B6B34">
        <w:t>Current legislative and regulatory framework</w:t>
      </w:r>
    </w:p>
    <w:p w14:paraId="656B0D9F" w14:textId="5499D714" w:rsidR="005B6B34" w:rsidRPr="005B6B34" w:rsidRDefault="005B6B34" w:rsidP="005B6B34">
      <w:pPr>
        <w:tabs>
          <w:tab w:val="left" w:pos="5231"/>
        </w:tabs>
        <w:mirrorIndents/>
        <w:rPr>
          <w:rFonts w:cs="Segoe UI Light"/>
          <w:szCs w:val="20"/>
          <w:lang w:eastAsia="ja-JP"/>
        </w:rPr>
      </w:pPr>
      <w:r w:rsidRPr="005B6B34">
        <w:rPr>
          <w:rFonts w:cs="Segoe UI Light"/>
          <w:szCs w:val="20"/>
          <w:lang w:eastAsia="ja-JP"/>
        </w:rPr>
        <w:t xml:space="preserve">The current regulatory framework </w:t>
      </w:r>
      <w:r w:rsidR="00457400">
        <w:rPr>
          <w:rFonts w:cs="Segoe UI Light"/>
          <w:szCs w:val="20"/>
          <w:lang w:eastAsia="ja-JP"/>
        </w:rPr>
        <w:t xml:space="preserve">includes two separate SEPPs that control noise. These cover </w:t>
      </w:r>
      <w:r w:rsidRPr="005B6B34">
        <w:rPr>
          <w:rFonts w:cs="Segoe UI Light"/>
          <w:szCs w:val="20"/>
          <w:lang w:eastAsia="ja-JP"/>
        </w:rPr>
        <w:t xml:space="preserve">noise </w:t>
      </w:r>
      <w:r w:rsidR="00BA5323">
        <w:rPr>
          <w:rFonts w:cs="Segoe UI Light"/>
          <w:szCs w:val="20"/>
          <w:lang w:eastAsia="ja-JP"/>
        </w:rPr>
        <w:t xml:space="preserve">from </w:t>
      </w:r>
      <w:r w:rsidRPr="005B6B34">
        <w:rPr>
          <w:rFonts w:cs="Segoe UI Light"/>
          <w:szCs w:val="20"/>
          <w:lang w:eastAsia="ja-JP"/>
        </w:rPr>
        <w:t>commercial</w:t>
      </w:r>
      <w:r w:rsidR="00CA592B">
        <w:rPr>
          <w:rFonts w:cs="Segoe UI Light"/>
          <w:szCs w:val="20"/>
          <w:lang w:eastAsia="ja-JP"/>
        </w:rPr>
        <w:t>,</w:t>
      </w:r>
      <w:r w:rsidRPr="005B6B34">
        <w:rPr>
          <w:rFonts w:cs="Segoe UI Light"/>
          <w:szCs w:val="20"/>
          <w:lang w:eastAsia="ja-JP"/>
        </w:rPr>
        <w:t xml:space="preserve"> industrial </w:t>
      </w:r>
      <w:r w:rsidR="00CA592B">
        <w:rPr>
          <w:rFonts w:cs="Segoe UI Light"/>
          <w:szCs w:val="20"/>
          <w:lang w:eastAsia="ja-JP"/>
        </w:rPr>
        <w:t>and trade</w:t>
      </w:r>
      <w:r w:rsidRPr="005B6B34">
        <w:rPr>
          <w:rFonts w:cs="Segoe UI Light"/>
          <w:szCs w:val="20"/>
          <w:lang w:eastAsia="ja-JP"/>
        </w:rPr>
        <w:t xml:space="preserve"> </w:t>
      </w:r>
      <w:r w:rsidR="0012015E">
        <w:rPr>
          <w:rFonts w:cs="Segoe UI Light"/>
          <w:szCs w:val="20"/>
          <w:lang w:eastAsia="ja-JP"/>
        </w:rPr>
        <w:t>(</w:t>
      </w:r>
      <w:r w:rsidR="00CA592B">
        <w:rPr>
          <w:rFonts w:cs="Segoe UI Light"/>
          <w:szCs w:val="20"/>
          <w:lang w:eastAsia="ja-JP"/>
        </w:rPr>
        <w:t>CIT)</w:t>
      </w:r>
      <w:r w:rsidR="0012015E">
        <w:rPr>
          <w:rFonts w:cs="Segoe UI Light"/>
          <w:szCs w:val="20"/>
          <w:lang w:eastAsia="ja-JP"/>
        </w:rPr>
        <w:t xml:space="preserve"> </w:t>
      </w:r>
      <w:r w:rsidRPr="005B6B34">
        <w:rPr>
          <w:rFonts w:cs="Segoe UI Light"/>
          <w:szCs w:val="20"/>
          <w:lang w:eastAsia="ja-JP"/>
        </w:rPr>
        <w:t>premises</w:t>
      </w:r>
      <w:r w:rsidR="00457400">
        <w:rPr>
          <w:rFonts w:cs="Segoe UI Light"/>
          <w:szCs w:val="20"/>
          <w:lang w:eastAsia="ja-JP"/>
        </w:rPr>
        <w:t xml:space="preserve"> and music noise from public premises. Separate regulations exist to control noise from </w:t>
      </w:r>
      <w:r w:rsidRPr="005B6B34">
        <w:rPr>
          <w:rFonts w:cs="Segoe UI Light"/>
          <w:szCs w:val="20"/>
          <w:lang w:eastAsia="ja-JP"/>
        </w:rPr>
        <w:t xml:space="preserve">residential premises. It includes requirements mandated in </w:t>
      </w:r>
      <w:r w:rsidR="003B3984">
        <w:rPr>
          <w:rFonts w:cs="Segoe UI Light"/>
          <w:szCs w:val="20"/>
          <w:lang w:eastAsia="ja-JP"/>
        </w:rPr>
        <w:t xml:space="preserve">a range of legislative and subordinate instruments. </w:t>
      </w:r>
    </w:p>
    <w:p w14:paraId="656B0DA0" w14:textId="77777777" w:rsidR="005B6B34" w:rsidRPr="005B6B34" w:rsidRDefault="005B6B34" w:rsidP="005B6B34">
      <w:pPr>
        <w:pStyle w:val="Caption"/>
        <w:mirrorIndents/>
        <w:rPr>
          <w:rFonts w:cs="Segoe UI Light"/>
          <w:sz w:val="20"/>
          <w:szCs w:val="20"/>
        </w:rPr>
      </w:pPr>
      <w:r w:rsidRPr="005B6B34">
        <w:rPr>
          <w:rFonts w:cs="Segoe UI Light"/>
          <w:sz w:val="20"/>
          <w:szCs w:val="20"/>
        </w:rPr>
        <w:t xml:space="preserve">Table </w:t>
      </w:r>
      <w:r w:rsidRPr="005B6B34">
        <w:rPr>
          <w:rFonts w:cs="Segoe UI Light"/>
          <w:color w:val="2B579A"/>
          <w:sz w:val="20"/>
          <w:szCs w:val="20"/>
          <w:shd w:val="clear" w:color="auto" w:fill="E6E6E6"/>
        </w:rPr>
        <w:fldChar w:fldCharType="begin"/>
      </w:r>
      <w:r w:rsidRPr="005B6B34">
        <w:rPr>
          <w:rFonts w:cs="Segoe UI Light"/>
          <w:sz w:val="20"/>
          <w:szCs w:val="20"/>
        </w:rPr>
        <w:instrText xml:space="preserve"> STYLEREF 1 \s </w:instrText>
      </w:r>
      <w:r w:rsidRPr="005B6B34">
        <w:rPr>
          <w:rFonts w:cs="Segoe UI Light"/>
          <w:color w:val="2B579A"/>
          <w:sz w:val="20"/>
          <w:szCs w:val="20"/>
          <w:shd w:val="clear" w:color="auto" w:fill="E6E6E6"/>
        </w:rPr>
        <w:fldChar w:fldCharType="separate"/>
      </w:r>
      <w:r w:rsidR="00B11C1E">
        <w:rPr>
          <w:rFonts w:cs="Segoe UI Light"/>
          <w:noProof/>
          <w:sz w:val="20"/>
          <w:szCs w:val="20"/>
        </w:rPr>
        <w:t>14</w:t>
      </w:r>
      <w:r w:rsidRPr="005B6B34">
        <w:rPr>
          <w:rFonts w:cs="Segoe UI Light"/>
          <w:color w:val="2B579A"/>
          <w:sz w:val="20"/>
          <w:szCs w:val="20"/>
          <w:shd w:val="clear" w:color="auto" w:fill="E6E6E6"/>
        </w:rPr>
        <w:fldChar w:fldCharType="end"/>
      </w:r>
      <w:r w:rsidRPr="005B6B34">
        <w:rPr>
          <w:rFonts w:cs="Segoe UI Light"/>
          <w:sz w:val="20"/>
          <w:szCs w:val="20"/>
        </w:rPr>
        <w:noBreakHyphen/>
      </w:r>
      <w:r w:rsidR="00997CFA">
        <w:rPr>
          <w:rFonts w:cs="Segoe UI Light"/>
          <w:color w:val="2B579A"/>
          <w:sz w:val="20"/>
          <w:szCs w:val="20"/>
          <w:shd w:val="clear" w:color="auto" w:fill="E6E6E6"/>
        </w:rPr>
        <w:fldChar w:fldCharType="begin"/>
      </w:r>
      <w:r w:rsidR="00997CFA">
        <w:rPr>
          <w:rFonts w:cs="Segoe UI Light"/>
          <w:sz w:val="20"/>
          <w:szCs w:val="20"/>
        </w:rPr>
        <w:instrText xml:space="preserve"> SEQ Table \* ARABIC \s 1 </w:instrText>
      </w:r>
      <w:r w:rsidR="00997CFA">
        <w:rPr>
          <w:rFonts w:cs="Segoe UI Light"/>
          <w:color w:val="2B579A"/>
          <w:sz w:val="20"/>
          <w:szCs w:val="20"/>
          <w:shd w:val="clear" w:color="auto" w:fill="E6E6E6"/>
        </w:rPr>
        <w:fldChar w:fldCharType="separate"/>
      </w:r>
      <w:r w:rsidR="00B11C1E">
        <w:rPr>
          <w:rFonts w:cs="Segoe UI Light"/>
          <w:noProof/>
          <w:sz w:val="20"/>
          <w:szCs w:val="20"/>
        </w:rPr>
        <w:t>1</w:t>
      </w:r>
      <w:r w:rsidR="00997CFA">
        <w:rPr>
          <w:rFonts w:cs="Segoe UI Light"/>
          <w:color w:val="2B579A"/>
          <w:sz w:val="20"/>
          <w:szCs w:val="20"/>
          <w:shd w:val="clear" w:color="auto" w:fill="E6E6E6"/>
        </w:rPr>
        <w:fldChar w:fldCharType="end"/>
      </w:r>
      <w:r w:rsidRPr="005B6B34">
        <w:rPr>
          <w:rFonts w:cs="Segoe UI Light"/>
          <w:sz w:val="20"/>
          <w:szCs w:val="20"/>
        </w:rPr>
        <w:t xml:space="preserve"> Overview of legislative and regulatory framework for noise</w:t>
      </w:r>
    </w:p>
    <w:tbl>
      <w:tblPr>
        <w:tblStyle w:val="Deloittetable"/>
        <w:tblW w:w="5000" w:type="pct"/>
        <w:tblLook w:val="04A0" w:firstRow="1" w:lastRow="0" w:firstColumn="1" w:lastColumn="0" w:noHBand="0" w:noVBand="1"/>
      </w:tblPr>
      <w:tblGrid>
        <w:gridCol w:w="1700"/>
        <w:gridCol w:w="1701"/>
        <w:gridCol w:w="1703"/>
        <w:gridCol w:w="2550"/>
        <w:gridCol w:w="1701"/>
      </w:tblGrid>
      <w:tr w:rsidR="002D3C05" w:rsidRPr="005B6B34" w14:paraId="656B0DA6" w14:textId="77777777" w:rsidTr="002D3C05">
        <w:trPr>
          <w:cnfStyle w:val="100000000000" w:firstRow="1" w:lastRow="0" w:firstColumn="0" w:lastColumn="0" w:oddVBand="0" w:evenVBand="0" w:oddHBand="0" w:evenHBand="0" w:firstRowFirstColumn="0" w:firstRowLastColumn="0" w:lastRowFirstColumn="0" w:lastRowLastColumn="0"/>
          <w:tblHeader/>
        </w:trPr>
        <w:tc>
          <w:tcPr>
            <w:tcW w:w="909" w:type="pct"/>
            <w:tcBorders>
              <w:left w:val="nil"/>
              <w:bottom w:val="single" w:sz="4" w:space="0" w:color="000000" w:themeColor="text1"/>
              <w:right w:val="nil"/>
            </w:tcBorders>
            <w:hideMark/>
          </w:tcPr>
          <w:bookmarkEnd w:id="1900"/>
          <w:bookmarkEnd w:id="1901"/>
          <w:p w14:paraId="656B0DA1" w14:textId="77777777" w:rsidR="005B6B34" w:rsidRPr="005B6B34" w:rsidRDefault="005B6B34" w:rsidP="002D3C05">
            <w:pPr>
              <w:keepNext/>
              <w:spacing w:after="0" w:line="256" w:lineRule="auto"/>
              <w:mirrorIndents/>
              <w:rPr>
                <w:rFonts w:eastAsia="Arial" w:cs="Segoe UI Light"/>
                <w:b/>
                <w:szCs w:val="20"/>
                <w:lang w:val="en-US" w:eastAsia="ja-JP"/>
              </w:rPr>
            </w:pPr>
            <w:r w:rsidRPr="005B6B34">
              <w:rPr>
                <w:rFonts w:cs="Segoe UI Light"/>
                <w:b/>
                <w:szCs w:val="20"/>
                <w:lang w:val="en-US"/>
              </w:rPr>
              <w:t>Category</w:t>
            </w:r>
          </w:p>
        </w:tc>
        <w:tc>
          <w:tcPr>
            <w:tcW w:w="909" w:type="pct"/>
            <w:tcBorders>
              <w:left w:val="nil"/>
              <w:bottom w:val="single" w:sz="4" w:space="0" w:color="000000" w:themeColor="text1"/>
              <w:right w:val="nil"/>
            </w:tcBorders>
            <w:hideMark/>
          </w:tcPr>
          <w:p w14:paraId="656B0DA2" w14:textId="77777777" w:rsidR="005B6B34" w:rsidRPr="005B6B34" w:rsidRDefault="005B6B34" w:rsidP="002D3C05">
            <w:pPr>
              <w:keepNext/>
              <w:spacing w:after="0" w:line="256" w:lineRule="auto"/>
              <w:mirrorIndents/>
              <w:rPr>
                <w:rFonts w:eastAsia="Arial" w:cs="Segoe UI Light"/>
                <w:b/>
                <w:szCs w:val="20"/>
                <w:lang w:val="en-US" w:eastAsia="ja-JP"/>
              </w:rPr>
            </w:pPr>
            <w:r w:rsidRPr="005B6B34">
              <w:rPr>
                <w:rFonts w:cs="Segoe UI Light"/>
                <w:b/>
                <w:iCs/>
                <w:szCs w:val="20"/>
                <w:lang w:val="en-US"/>
              </w:rPr>
              <w:t xml:space="preserve">Provisions under </w:t>
            </w:r>
            <w:r w:rsidR="002D3C05">
              <w:rPr>
                <w:rFonts w:cs="Segoe UI Light"/>
                <w:b/>
                <w:iCs/>
                <w:szCs w:val="20"/>
                <w:lang w:val="en-US"/>
              </w:rPr>
              <w:t xml:space="preserve">           </w:t>
            </w:r>
            <w:r w:rsidRPr="005B6B34">
              <w:rPr>
                <w:rFonts w:cs="Segoe UI Light"/>
                <w:b/>
                <w:iCs/>
                <w:szCs w:val="20"/>
                <w:lang w:val="en-US"/>
              </w:rPr>
              <w:t>EP Act 1970</w:t>
            </w:r>
          </w:p>
        </w:tc>
        <w:tc>
          <w:tcPr>
            <w:tcW w:w="910" w:type="pct"/>
            <w:tcBorders>
              <w:left w:val="nil"/>
              <w:bottom w:val="single" w:sz="4" w:space="0" w:color="000000" w:themeColor="text1"/>
              <w:right w:val="nil"/>
            </w:tcBorders>
            <w:hideMark/>
          </w:tcPr>
          <w:p w14:paraId="656B0DA3" w14:textId="77777777" w:rsidR="005B6B34" w:rsidRPr="005B6B34" w:rsidRDefault="005B6B34" w:rsidP="002D3C05">
            <w:pPr>
              <w:keepNext/>
              <w:spacing w:after="0" w:line="256" w:lineRule="auto"/>
              <w:mirrorIndents/>
              <w:rPr>
                <w:rFonts w:eastAsia="Arial" w:cs="Segoe UI Light"/>
                <w:b/>
                <w:szCs w:val="20"/>
                <w:lang w:val="en-US" w:eastAsia="ja-JP"/>
              </w:rPr>
            </w:pPr>
            <w:r w:rsidRPr="005B6B34">
              <w:rPr>
                <w:rFonts w:cs="Segoe UI Light"/>
                <w:b/>
                <w:iCs/>
                <w:szCs w:val="20"/>
                <w:lang w:val="en-US"/>
              </w:rPr>
              <w:t xml:space="preserve">Regulations </w:t>
            </w:r>
          </w:p>
        </w:tc>
        <w:tc>
          <w:tcPr>
            <w:tcW w:w="1363" w:type="pct"/>
            <w:tcBorders>
              <w:left w:val="nil"/>
              <w:bottom w:val="single" w:sz="4" w:space="0" w:color="000000" w:themeColor="text1"/>
              <w:right w:val="nil"/>
            </w:tcBorders>
            <w:hideMark/>
          </w:tcPr>
          <w:p w14:paraId="656B0DA4" w14:textId="77777777" w:rsidR="005B6B34" w:rsidRPr="005B6B34" w:rsidRDefault="005B6B34" w:rsidP="002D3C05">
            <w:pPr>
              <w:keepNext/>
              <w:spacing w:after="0" w:line="256" w:lineRule="auto"/>
              <w:mirrorIndents/>
              <w:rPr>
                <w:rFonts w:eastAsia="Arial" w:cs="Segoe UI Light"/>
                <w:b/>
                <w:szCs w:val="20"/>
                <w:lang w:val="en-US" w:eastAsia="ja-JP"/>
              </w:rPr>
            </w:pPr>
            <w:r w:rsidRPr="005B6B34">
              <w:rPr>
                <w:rFonts w:cs="Segoe UI Light"/>
                <w:b/>
                <w:iCs/>
                <w:szCs w:val="20"/>
                <w:lang w:val="en-US"/>
              </w:rPr>
              <w:t xml:space="preserve">Other subordinate instruments </w:t>
            </w:r>
          </w:p>
        </w:tc>
        <w:tc>
          <w:tcPr>
            <w:tcW w:w="909" w:type="pct"/>
            <w:tcBorders>
              <w:left w:val="nil"/>
              <w:bottom w:val="single" w:sz="4" w:space="0" w:color="000000" w:themeColor="text1"/>
              <w:right w:val="nil"/>
            </w:tcBorders>
            <w:hideMark/>
          </w:tcPr>
          <w:p w14:paraId="656B0DA5" w14:textId="77777777" w:rsidR="005B6B34" w:rsidRPr="005B6B34" w:rsidRDefault="005B6B34" w:rsidP="002D3C05">
            <w:pPr>
              <w:keepNext/>
              <w:spacing w:after="0" w:line="256" w:lineRule="auto"/>
              <w:mirrorIndents/>
              <w:rPr>
                <w:rFonts w:eastAsia="Arial" w:cs="Segoe UI Light"/>
                <w:b/>
                <w:szCs w:val="20"/>
                <w:lang w:val="en-US" w:eastAsia="ja-JP"/>
              </w:rPr>
            </w:pPr>
          </w:p>
        </w:tc>
      </w:tr>
      <w:tr w:rsidR="002D3C05" w:rsidRPr="005B6B34" w14:paraId="656B0DB1" w14:textId="77777777" w:rsidTr="002D3C05">
        <w:tc>
          <w:tcPr>
            <w:tcW w:w="909" w:type="pct"/>
            <w:tcBorders>
              <w:top w:val="single" w:sz="4" w:space="0" w:color="000000" w:themeColor="text1"/>
              <w:left w:val="nil"/>
              <w:bottom w:val="nil"/>
              <w:right w:val="nil"/>
            </w:tcBorders>
            <w:hideMark/>
          </w:tcPr>
          <w:p w14:paraId="656B0DA7" w14:textId="77777777" w:rsidR="005B6B34" w:rsidRPr="005B6B34" w:rsidRDefault="005B6B34" w:rsidP="002D3C05">
            <w:pPr>
              <w:spacing w:after="0" w:line="256" w:lineRule="auto"/>
              <w:mirrorIndents/>
              <w:rPr>
                <w:rFonts w:cs="Segoe UI Light"/>
                <w:b/>
                <w:szCs w:val="20"/>
                <w:lang w:val="en-US"/>
              </w:rPr>
            </w:pPr>
            <w:r w:rsidRPr="00D4650A">
              <w:rPr>
                <w:rFonts w:cs="Segoe UI Light"/>
                <w:b/>
                <w:szCs w:val="20"/>
                <w:lang w:val="en-US"/>
              </w:rPr>
              <w:t>Commercial</w:t>
            </w:r>
            <w:r w:rsidR="00CA592B">
              <w:rPr>
                <w:rFonts w:cs="Segoe UI Light"/>
                <w:b/>
                <w:szCs w:val="20"/>
                <w:lang w:val="en-US"/>
              </w:rPr>
              <w:t xml:space="preserve">, </w:t>
            </w:r>
            <w:r w:rsidR="00CA592B" w:rsidRPr="00D4650A">
              <w:rPr>
                <w:rFonts w:cs="Segoe UI Light"/>
                <w:b/>
                <w:szCs w:val="20"/>
                <w:lang w:val="en-US"/>
              </w:rPr>
              <w:t>i</w:t>
            </w:r>
            <w:r w:rsidR="00CA592B">
              <w:rPr>
                <w:rFonts w:cs="Segoe UI Light"/>
                <w:b/>
                <w:szCs w:val="20"/>
                <w:lang w:val="en-US"/>
              </w:rPr>
              <w:t>n</w:t>
            </w:r>
            <w:r w:rsidR="00CA592B" w:rsidRPr="00D4650A">
              <w:rPr>
                <w:rFonts w:cs="Segoe UI Light"/>
                <w:b/>
                <w:szCs w:val="20"/>
                <w:lang w:val="en-US"/>
              </w:rPr>
              <w:t>dustrial</w:t>
            </w:r>
            <w:r w:rsidR="0012015E">
              <w:rPr>
                <w:rFonts w:cs="Segoe UI Light"/>
                <w:b/>
                <w:szCs w:val="20"/>
                <w:lang w:val="en-US"/>
              </w:rPr>
              <w:t xml:space="preserve"> </w:t>
            </w:r>
            <w:r w:rsidR="00457400">
              <w:rPr>
                <w:rFonts w:cs="Segoe UI Light"/>
                <w:b/>
                <w:szCs w:val="20"/>
                <w:lang w:val="en-US"/>
              </w:rPr>
              <w:t xml:space="preserve">  </w:t>
            </w:r>
            <w:r w:rsidR="0012015E">
              <w:rPr>
                <w:rFonts w:cs="Segoe UI Light"/>
                <w:b/>
                <w:szCs w:val="20"/>
                <w:lang w:val="en-US"/>
              </w:rPr>
              <w:t>and trade (</w:t>
            </w:r>
            <w:r w:rsidR="00CA592B">
              <w:rPr>
                <w:rFonts w:cs="Segoe UI Light"/>
                <w:b/>
                <w:szCs w:val="20"/>
                <w:lang w:val="en-US"/>
              </w:rPr>
              <w:t>CIT</w:t>
            </w:r>
            <w:r w:rsidR="0012015E">
              <w:rPr>
                <w:rFonts w:cs="Segoe UI Light"/>
                <w:b/>
                <w:szCs w:val="20"/>
                <w:lang w:val="en-US"/>
              </w:rPr>
              <w:t>)</w:t>
            </w:r>
            <w:r w:rsidRPr="00D4650A">
              <w:rPr>
                <w:rFonts w:cs="Segoe UI Light"/>
                <w:b/>
                <w:szCs w:val="20"/>
                <w:lang w:val="en-US"/>
              </w:rPr>
              <w:t xml:space="preserve"> noise</w:t>
            </w:r>
          </w:p>
        </w:tc>
        <w:tc>
          <w:tcPr>
            <w:tcW w:w="909" w:type="pct"/>
            <w:tcBorders>
              <w:top w:val="single" w:sz="4" w:space="0" w:color="000000" w:themeColor="text1"/>
              <w:left w:val="nil"/>
              <w:bottom w:val="nil"/>
              <w:right w:val="nil"/>
            </w:tcBorders>
          </w:tcPr>
          <w:p w14:paraId="656B0DA8" w14:textId="77777777" w:rsidR="00457400" w:rsidRDefault="00457400" w:rsidP="002D3C05">
            <w:pPr>
              <w:spacing w:after="0" w:line="256" w:lineRule="auto"/>
              <w:mirrorIndents/>
              <w:rPr>
                <w:rFonts w:cs="Segoe UI Light"/>
                <w:iCs/>
                <w:szCs w:val="20"/>
                <w:lang w:val="en-US"/>
              </w:rPr>
            </w:pPr>
            <w:r>
              <w:rPr>
                <w:rFonts w:cs="Segoe UI Light"/>
                <w:iCs/>
                <w:szCs w:val="20"/>
                <w:lang w:val="en-US"/>
              </w:rPr>
              <w:t>Section 16</w:t>
            </w:r>
          </w:p>
          <w:p w14:paraId="656B0DA9" w14:textId="77777777" w:rsidR="00457400" w:rsidRDefault="00457400" w:rsidP="002D3C05">
            <w:pPr>
              <w:spacing w:after="0" w:line="256" w:lineRule="auto"/>
              <w:mirrorIndents/>
              <w:rPr>
                <w:rFonts w:cs="Segoe UI Light"/>
                <w:iCs/>
                <w:szCs w:val="20"/>
                <w:lang w:val="en-US"/>
              </w:rPr>
            </w:pPr>
            <w:r>
              <w:rPr>
                <w:rFonts w:cs="Segoe UI Light"/>
                <w:iCs/>
                <w:szCs w:val="20"/>
                <w:lang w:val="en-US"/>
              </w:rPr>
              <w:t>Section 17(1)</w:t>
            </w:r>
          </w:p>
          <w:p w14:paraId="656B0DAA" w14:textId="77777777" w:rsidR="005B6B34" w:rsidRPr="005B6B34" w:rsidRDefault="005B6B34" w:rsidP="002D3C05">
            <w:pPr>
              <w:spacing w:after="0" w:line="256" w:lineRule="auto"/>
              <w:mirrorIndents/>
              <w:rPr>
                <w:rFonts w:eastAsia="Arial" w:cs="Segoe UI Light"/>
                <w:szCs w:val="20"/>
                <w:lang w:val="en-US" w:eastAsia="ja-JP"/>
              </w:rPr>
            </w:pPr>
            <w:r w:rsidRPr="005B6B34">
              <w:rPr>
                <w:rFonts w:cs="Segoe UI Light"/>
                <w:iCs/>
                <w:szCs w:val="20"/>
                <w:lang w:val="en-US"/>
              </w:rPr>
              <w:t>Section 46</w:t>
            </w:r>
          </w:p>
          <w:p w14:paraId="656B0DAB" w14:textId="77777777" w:rsidR="00457400" w:rsidRDefault="00457400" w:rsidP="002D3C05">
            <w:pPr>
              <w:spacing w:after="0" w:line="256" w:lineRule="auto"/>
              <w:mirrorIndents/>
              <w:rPr>
                <w:rFonts w:cs="Segoe UI Light"/>
                <w:iCs/>
                <w:szCs w:val="20"/>
                <w:lang w:val="en-US"/>
              </w:rPr>
            </w:pPr>
            <w:r>
              <w:rPr>
                <w:rFonts w:cs="Segoe UI Light"/>
                <w:iCs/>
                <w:szCs w:val="20"/>
                <w:lang w:val="en-US"/>
              </w:rPr>
              <w:t>Section 48</w:t>
            </w:r>
          </w:p>
          <w:p w14:paraId="656B0DAC" w14:textId="77777777" w:rsidR="005B6B34" w:rsidRPr="005B6B34" w:rsidRDefault="005B6B34" w:rsidP="002D3C05">
            <w:pPr>
              <w:spacing w:after="0" w:line="256" w:lineRule="auto"/>
              <w:mirrorIndents/>
              <w:rPr>
                <w:rFonts w:cs="Segoe UI Light"/>
                <w:iCs/>
                <w:szCs w:val="20"/>
                <w:lang w:val="en-US"/>
              </w:rPr>
            </w:pPr>
            <w:r w:rsidRPr="005B6B34">
              <w:rPr>
                <w:rFonts w:cs="Segoe UI Light"/>
                <w:iCs/>
                <w:szCs w:val="20"/>
                <w:lang w:val="en-US"/>
              </w:rPr>
              <w:t>Section 31A</w:t>
            </w:r>
          </w:p>
        </w:tc>
        <w:tc>
          <w:tcPr>
            <w:tcW w:w="910" w:type="pct"/>
            <w:tcBorders>
              <w:top w:val="single" w:sz="4" w:space="0" w:color="000000" w:themeColor="text1"/>
              <w:left w:val="nil"/>
              <w:bottom w:val="nil"/>
              <w:right w:val="nil"/>
            </w:tcBorders>
            <w:hideMark/>
          </w:tcPr>
          <w:p w14:paraId="656B0DAD" w14:textId="77777777" w:rsidR="005B6B34" w:rsidRPr="005B6B34" w:rsidRDefault="005B6B34" w:rsidP="002D3C05">
            <w:pPr>
              <w:spacing w:after="0" w:line="256" w:lineRule="auto"/>
              <w:mirrorIndents/>
              <w:jc w:val="center"/>
              <w:rPr>
                <w:rFonts w:cs="Segoe UI Light"/>
                <w:iCs/>
                <w:szCs w:val="20"/>
                <w:lang w:val="en-US"/>
              </w:rPr>
            </w:pPr>
            <w:r w:rsidRPr="005B6B34">
              <w:rPr>
                <w:rFonts w:cs="Segoe UI Light"/>
                <w:iCs/>
                <w:szCs w:val="20"/>
                <w:lang w:val="en-US"/>
              </w:rPr>
              <w:t>n/a</w:t>
            </w:r>
          </w:p>
        </w:tc>
        <w:tc>
          <w:tcPr>
            <w:tcW w:w="1363" w:type="pct"/>
            <w:tcBorders>
              <w:top w:val="single" w:sz="4" w:space="0" w:color="000000" w:themeColor="text1"/>
              <w:left w:val="nil"/>
              <w:bottom w:val="nil"/>
              <w:right w:val="nil"/>
            </w:tcBorders>
            <w:hideMark/>
          </w:tcPr>
          <w:p w14:paraId="656B0DAE" w14:textId="77777777" w:rsidR="005B6B34" w:rsidRPr="005B6B34" w:rsidRDefault="005B6B34" w:rsidP="00F77C1B">
            <w:pPr>
              <w:spacing w:after="0" w:line="256" w:lineRule="auto"/>
              <w:mirrorIndents/>
              <w:rPr>
                <w:rFonts w:cs="Segoe UI Light"/>
                <w:iCs/>
                <w:szCs w:val="20"/>
                <w:lang w:val="en-US"/>
              </w:rPr>
            </w:pPr>
            <w:r w:rsidRPr="005B6B34">
              <w:rPr>
                <w:rFonts w:cs="Segoe UI Light"/>
                <w:iCs/>
                <w:szCs w:val="20"/>
                <w:lang w:val="en-US"/>
              </w:rPr>
              <w:t xml:space="preserve">SEPP (Control of Noise from Commerce, Industry and Trade) – SEPP </w:t>
            </w:r>
          </w:p>
          <w:p w14:paraId="656B0DAF" w14:textId="77777777" w:rsidR="005B6B34" w:rsidRPr="005B6B34" w:rsidRDefault="005B6B34" w:rsidP="002D3C05">
            <w:pPr>
              <w:spacing w:after="0" w:line="256" w:lineRule="auto"/>
              <w:mirrorIndents/>
              <w:rPr>
                <w:rFonts w:cs="Segoe UI Light"/>
                <w:iCs/>
                <w:szCs w:val="20"/>
                <w:lang w:val="en-US"/>
              </w:rPr>
            </w:pPr>
            <w:r w:rsidRPr="005B6B34">
              <w:rPr>
                <w:rFonts w:cs="Segoe UI Light"/>
                <w:iCs/>
                <w:szCs w:val="20"/>
                <w:lang w:val="en-US"/>
              </w:rPr>
              <w:t>N-1</w:t>
            </w:r>
          </w:p>
        </w:tc>
        <w:tc>
          <w:tcPr>
            <w:tcW w:w="909" w:type="pct"/>
            <w:tcBorders>
              <w:top w:val="single" w:sz="4" w:space="0" w:color="000000" w:themeColor="text1"/>
              <w:left w:val="nil"/>
              <w:bottom w:val="nil"/>
              <w:right w:val="nil"/>
            </w:tcBorders>
            <w:hideMark/>
          </w:tcPr>
          <w:p w14:paraId="656B0DB0" w14:textId="77777777" w:rsidR="005B6B34" w:rsidRPr="00457400" w:rsidRDefault="005B6B34" w:rsidP="002D3C05">
            <w:pPr>
              <w:pStyle w:val="ListParagraph"/>
              <w:spacing w:after="0" w:line="257" w:lineRule="auto"/>
              <w:ind w:left="470"/>
              <w:mirrorIndents/>
              <w:rPr>
                <w:rFonts w:cs="Segoe UI Light"/>
                <w:szCs w:val="20"/>
                <w:lang w:val="en-US"/>
              </w:rPr>
            </w:pPr>
          </w:p>
        </w:tc>
      </w:tr>
      <w:tr w:rsidR="005B6B34" w:rsidRPr="005B6B34" w14:paraId="656B0DB3" w14:textId="77777777" w:rsidTr="005B6B34">
        <w:tc>
          <w:tcPr>
            <w:tcW w:w="5000" w:type="pct"/>
            <w:gridSpan w:val="5"/>
            <w:tcBorders>
              <w:top w:val="nil"/>
              <w:left w:val="nil"/>
              <w:bottom w:val="single" w:sz="4" w:space="0" w:color="000000" w:themeColor="text1"/>
              <w:right w:val="nil"/>
            </w:tcBorders>
            <w:hideMark/>
          </w:tcPr>
          <w:p w14:paraId="656B0DB2" w14:textId="67D4C5AC" w:rsidR="005B6B34" w:rsidRPr="005B6B34" w:rsidRDefault="005B6B34" w:rsidP="00037AF8">
            <w:pPr>
              <w:spacing w:after="0" w:line="256" w:lineRule="auto"/>
              <w:mirrorIndents/>
              <w:rPr>
                <w:rFonts w:cs="Segoe UI Light"/>
                <w:iCs/>
                <w:szCs w:val="20"/>
                <w:lang w:val="en-US"/>
              </w:rPr>
            </w:pPr>
            <w:r w:rsidRPr="00B20D33">
              <w:rPr>
                <w:rFonts w:cs="Segoe UI Light"/>
                <w:b/>
                <w:szCs w:val="20"/>
                <w:lang w:val="en-US"/>
              </w:rPr>
              <w:t>Key requirements under current regulatory framework:</w:t>
            </w:r>
            <w:r w:rsidRPr="005B6B34">
              <w:rPr>
                <w:rFonts w:cs="Segoe UI Light"/>
                <w:szCs w:val="20"/>
                <w:lang w:val="en-US"/>
              </w:rPr>
              <w:t xml:space="preserve"> </w:t>
            </w:r>
            <w:r w:rsidRPr="00D4650A">
              <w:rPr>
                <w:rFonts w:cs="Segoe UI Light"/>
                <w:szCs w:val="20"/>
                <w:lang w:val="en-US"/>
              </w:rPr>
              <w:t>SEPP N-1 requires new</w:t>
            </w:r>
            <w:r w:rsidR="00457400">
              <w:rPr>
                <w:rFonts w:cs="Segoe UI Light"/>
                <w:szCs w:val="20"/>
                <w:lang w:val="en-US"/>
              </w:rPr>
              <w:t>,</w:t>
            </w:r>
            <w:r w:rsidRPr="00D4650A">
              <w:rPr>
                <w:rFonts w:cs="Segoe UI Light"/>
                <w:szCs w:val="20"/>
                <w:lang w:val="en-US"/>
              </w:rPr>
              <w:t xml:space="preserve"> proposed </w:t>
            </w:r>
            <w:r w:rsidR="00457400">
              <w:rPr>
                <w:rFonts w:cs="Segoe UI Light"/>
                <w:szCs w:val="20"/>
                <w:lang w:val="en-US"/>
              </w:rPr>
              <w:t xml:space="preserve">and existing CIT </w:t>
            </w:r>
            <w:r w:rsidR="00CA592B">
              <w:rPr>
                <w:rFonts w:cs="Segoe UI Light"/>
                <w:szCs w:val="20"/>
                <w:lang w:val="en-US"/>
              </w:rPr>
              <w:t xml:space="preserve">premises </w:t>
            </w:r>
            <w:r w:rsidR="004C5502">
              <w:rPr>
                <w:rFonts w:cs="Segoe UI Light"/>
                <w:szCs w:val="20"/>
                <w:lang w:val="en-US"/>
              </w:rPr>
              <w:t xml:space="preserve">to </w:t>
            </w:r>
            <w:r w:rsidR="005C0F4A">
              <w:rPr>
                <w:rFonts w:cs="Segoe UI Light"/>
                <w:szCs w:val="20"/>
                <w:lang w:val="en-US"/>
              </w:rPr>
              <w:t xml:space="preserve">control </w:t>
            </w:r>
            <w:r w:rsidR="00CA592B">
              <w:rPr>
                <w:rFonts w:cs="Segoe UI Light"/>
                <w:szCs w:val="20"/>
                <w:lang w:val="en-US"/>
              </w:rPr>
              <w:t xml:space="preserve">noise levels </w:t>
            </w:r>
            <w:r w:rsidR="005C0F4A">
              <w:rPr>
                <w:rFonts w:cs="Segoe UI Light"/>
                <w:szCs w:val="20"/>
                <w:lang w:val="en-US"/>
              </w:rPr>
              <w:t xml:space="preserve">so that they do not </w:t>
            </w:r>
            <w:r w:rsidRPr="00D4650A">
              <w:rPr>
                <w:rFonts w:cs="Segoe UI Light"/>
                <w:szCs w:val="20"/>
                <w:lang w:val="en-US"/>
              </w:rPr>
              <w:t xml:space="preserve">exceed the noise limits </w:t>
            </w:r>
            <w:r w:rsidR="004C5502">
              <w:rPr>
                <w:rFonts w:cs="Segoe UI Light"/>
                <w:szCs w:val="20"/>
                <w:lang w:val="en-US"/>
              </w:rPr>
              <w:t xml:space="preserve">as determined </w:t>
            </w:r>
            <w:r w:rsidRPr="00D4650A">
              <w:rPr>
                <w:rFonts w:cs="Segoe UI Light"/>
                <w:szCs w:val="20"/>
                <w:lang w:val="en-US"/>
              </w:rPr>
              <w:t>in the policy.</w:t>
            </w:r>
            <w:r w:rsidRPr="005B6B34">
              <w:rPr>
                <w:rFonts w:cs="Segoe UI Light"/>
                <w:szCs w:val="20"/>
                <w:lang w:val="en-US"/>
              </w:rPr>
              <w:t xml:space="preserve"> </w:t>
            </w:r>
            <w:r w:rsidRPr="00D4650A">
              <w:rPr>
                <w:rFonts w:cs="Segoe UI Light"/>
                <w:szCs w:val="20"/>
                <w:lang w:val="en-US"/>
              </w:rPr>
              <w:t>SEPP N-</w:t>
            </w:r>
            <w:r w:rsidR="00DB58C8">
              <w:rPr>
                <w:rFonts w:cs="Segoe UI Light"/>
                <w:szCs w:val="20"/>
                <w:lang w:val="en-US"/>
              </w:rPr>
              <w:t>1</w:t>
            </w:r>
            <w:r w:rsidRPr="00D4650A">
              <w:rPr>
                <w:rFonts w:cs="Segoe UI Light"/>
                <w:szCs w:val="20"/>
                <w:lang w:val="en-US"/>
              </w:rPr>
              <w:t xml:space="preserve">1 </w:t>
            </w:r>
            <w:r w:rsidRPr="005B6B34">
              <w:rPr>
                <w:rFonts w:cs="Segoe UI Light"/>
                <w:szCs w:val="20"/>
                <w:lang w:val="en-US"/>
              </w:rPr>
              <w:t xml:space="preserve">provides a </w:t>
            </w:r>
            <w:r w:rsidRPr="00D4650A">
              <w:rPr>
                <w:rFonts w:cs="Segoe UI Light"/>
                <w:szCs w:val="20"/>
                <w:lang w:val="en-US"/>
              </w:rPr>
              <w:t xml:space="preserve">methodology for establishing limits for </w:t>
            </w:r>
            <w:r w:rsidR="004C5502">
              <w:rPr>
                <w:rFonts w:cs="Segoe UI Light"/>
                <w:szCs w:val="20"/>
                <w:lang w:val="en-US"/>
              </w:rPr>
              <w:t xml:space="preserve">noise emitted from </w:t>
            </w:r>
            <w:r w:rsidR="00CA592B">
              <w:rPr>
                <w:rFonts w:cs="Segoe UI Light"/>
                <w:szCs w:val="20"/>
                <w:lang w:val="en-US"/>
              </w:rPr>
              <w:t>CIT</w:t>
            </w:r>
            <w:r w:rsidRPr="00D4650A">
              <w:rPr>
                <w:rFonts w:cs="Segoe UI Light"/>
                <w:szCs w:val="20"/>
                <w:lang w:val="en-US"/>
              </w:rPr>
              <w:t xml:space="preserve"> premises</w:t>
            </w:r>
            <w:r w:rsidRPr="005B6B34">
              <w:rPr>
                <w:rFonts w:cs="Segoe UI Light"/>
                <w:szCs w:val="20"/>
                <w:lang w:val="en-US"/>
              </w:rPr>
              <w:t xml:space="preserve"> in</w:t>
            </w:r>
            <w:r w:rsidRPr="00D4650A">
              <w:rPr>
                <w:rFonts w:cs="Segoe UI Light"/>
                <w:szCs w:val="20"/>
                <w:lang w:val="en-US"/>
              </w:rPr>
              <w:t xml:space="preserve"> </w:t>
            </w:r>
            <w:r w:rsidRPr="005B6B34">
              <w:rPr>
                <w:rFonts w:cs="Segoe UI Light"/>
                <w:szCs w:val="20"/>
                <w:lang w:val="en-US"/>
              </w:rPr>
              <w:t>u</w:t>
            </w:r>
            <w:r w:rsidRPr="00D4650A">
              <w:rPr>
                <w:rFonts w:cs="Segoe UI Light"/>
                <w:szCs w:val="20"/>
                <w:lang w:val="en-US"/>
              </w:rPr>
              <w:t xml:space="preserve">rban </w:t>
            </w:r>
            <w:r w:rsidR="004C5502">
              <w:rPr>
                <w:rFonts w:cs="Segoe UI Light"/>
                <w:szCs w:val="20"/>
                <w:lang w:val="en-US"/>
              </w:rPr>
              <w:t>locations</w:t>
            </w:r>
            <w:r w:rsidRPr="00D4650A">
              <w:rPr>
                <w:rFonts w:cs="Segoe UI Light"/>
                <w:szCs w:val="20"/>
                <w:lang w:val="en-US"/>
              </w:rPr>
              <w:t xml:space="preserve">. </w:t>
            </w:r>
            <w:r w:rsidR="004C5502">
              <w:rPr>
                <w:rFonts w:cs="Segoe UI Light"/>
                <w:szCs w:val="20"/>
                <w:lang w:val="en-US"/>
              </w:rPr>
              <w:t xml:space="preserve">The </w:t>
            </w:r>
            <w:r w:rsidR="00170775" w:rsidRPr="00D4650A">
              <w:rPr>
                <w:rFonts w:cs="Segoe UI Light"/>
                <w:szCs w:val="20"/>
                <w:lang w:val="en-US"/>
              </w:rPr>
              <w:t>N</w:t>
            </w:r>
            <w:r w:rsidR="00170775">
              <w:rPr>
                <w:rFonts w:cs="Segoe UI Light"/>
                <w:szCs w:val="20"/>
                <w:lang w:val="en-US"/>
              </w:rPr>
              <w:t xml:space="preserve">oise from </w:t>
            </w:r>
            <w:r w:rsidR="00170775" w:rsidRPr="00D4650A">
              <w:rPr>
                <w:rFonts w:cs="Segoe UI Light"/>
                <w:szCs w:val="20"/>
                <w:lang w:val="en-US"/>
              </w:rPr>
              <w:t>I</w:t>
            </w:r>
            <w:r w:rsidR="00170775">
              <w:rPr>
                <w:rFonts w:cs="Segoe UI Light"/>
                <w:szCs w:val="20"/>
                <w:lang w:val="en-US"/>
              </w:rPr>
              <w:t xml:space="preserve">ndustry in </w:t>
            </w:r>
            <w:r w:rsidR="00170775" w:rsidRPr="00D4650A">
              <w:rPr>
                <w:rFonts w:cs="Segoe UI Light"/>
                <w:szCs w:val="20"/>
                <w:lang w:val="en-US"/>
              </w:rPr>
              <w:t>R</w:t>
            </w:r>
            <w:r w:rsidR="00170775">
              <w:rPr>
                <w:rFonts w:cs="Segoe UI Light"/>
                <w:szCs w:val="20"/>
                <w:lang w:val="en-US"/>
              </w:rPr>
              <w:t xml:space="preserve">egional </w:t>
            </w:r>
            <w:r w:rsidR="00170775" w:rsidRPr="00D4650A">
              <w:rPr>
                <w:rFonts w:cs="Segoe UI Light"/>
                <w:szCs w:val="20"/>
                <w:lang w:val="en-US"/>
              </w:rPr>
              <w:t>V</w:t>
            </w:r>
            <w:r w:rsidR="00170775">
              <w:rPr>
                <w:rFonts w:cs="Segoe UI Light"/>
                <w:szCs w:val="20"/>
                <w:lang w:val="en-US"/>
              </w:rPr>
              <w:t xml:space="preserve">ictoria (NIRV) </w:t>
            </w:r>
            <w:r w:rsidR="004C5502">
              <w:rPr>
                <w:rFonts w:cs="Segoe UI Light"/>
                <w:szCs w:val="20"/>
                <w:lang w:val="en-US"/>
              </w:rPr>
              <w:t>guideline</w:t>
            </w:r>
            <w:r w:rsidRPr="00D4650A">
              <w:rPr>
                <w:rFonts w:cs="Segoe UI Light"/>
                <w:szCs w:val="20"/>
                <w:lang w:val="en-US"/>
              </w:rPr>
              <w:t xml:space="preserve"> provides </w:t>
            </w:r>
            <w:r w:rsidR="00170775">
              <w:rPr>
                <w:rFonts w:cs="Segoe UI Light"/>
                <w:szCs w:val="20"/>
                <w:lang w:val="en-US"/>
              </w:rPr>
              <w:t>recommended noise levels</w:t>
            </w:r>
            <w:r w:rsidR="00741319">
              <w:rPr>
                <w:rFonts w:cs="Segoe UI Light"/>
                <w:szCs w:val="20"/>
                <w:lang w:val="en-US"/>
              </w:rPr>
              <w:t xml:space="preserve"> </w:t>
            </w:r>
            <w:r w:rsidRPr="00D4650A">
              <w:rPr>
                <w:rFonts w:cs="Segoe UI Light"/>
                <w:szCs w:val="20"/>
                <w:lang w:val="en-US"/>
              </w:rPr>
              <w:t>for industry in regional Victoria.</w:t>
            </w:r>
            <w:r w:rsidR="004C5502">
              <w:rPr>
                <w:rFonts w:cs="Segoe UI Light"/>
                <w:szCs w:val="20"/>
                <w:lang w:val="en-US"/>
              </w:rPr>
              <w:t xml:space="preserve"> The methods in the NIRV guideline are non-statutory.</w:t>
            </w:r>
          </w:p>
        </w:tc>
      </w:tr>
      <w:tr w:rsidR="002D3C05" w:rsidRPr="005B6B34" w14:paraId="656B0DBD" w14:textId="77777777" w:rsidTr="00037AF8">
        <w:trPr>
          <w:trHeight w:val="327"/>
        </w:trPr>
        <w:tc>
          <w:tcPr>
            <w:tcW w:w="0" w:type="pct"/>
            <w:tcBorders>
              <w:top w:val="single" w:sz="4" w:space="0" w:color="000000" w:themeColor="text1"/>
              <w:left w:val="nil"/>
              <w:bottom w:val="nil"/>
              <w:right w:val="nil"/>
            </w:tcBorders>
            <w:hideMark/>
          </w:tcPr>
          <w:p w14:paraId="656B0DB4" w14:textId="77777777" w:rsidR="005B6B34" w:rsidRPr="005B6B34" w:rsidRDefault="005B6B34" w:rsidP="008048CF">
            <w:pPr>
              <w:spacing w:after="0" w:line="256" w:lineRule="auto"/>
              <w:mirrorIndents/>
              <w:rPr>
                <w:rFonts w:cs="Segoe UI Light"/>
                <w:b/>
                <w:szCs w:val="20"/>
                <w:lang w:val="en-US"/>
              </w:rPr>
            </w:pPr>
            <w:r w:rsidRPr="00D4650A">
              <w:rPr>
                <w:rFonts w:cs="Segoe UI Light"/>
                <w:b/>
                <w:szCs w:val="20"/>
                <w:lang w:val="en-US"/>
              </w:rPr>
              <w:t>Entertainment venue noise</w:t>
            </w:r>
          </w:p>
        </w:tc>
        <w:tc>
          <w:tcPr>
            <w:tcW w:w="0" w:type="pct"/>
            <w:tcBorders>
              <w:top w:val="single" w:sz="4" w:space="0" w:color="000000" w:themeColor="text1"/>
              <w:left w:val="nil"/>
              <w:bottom w:val="nil"/>
              <w:right w:val="nil"/>
            </w:tcBorders>
          </w:tcPr>
          <w:p w14:paraId="656B0DB5" w14:textId="77777777" w:rsidR="005B6B34" w:rsidRPr="008048CF" w:rsidRDefault="005B6B34" w:rsidP="008048CF">
            <w:pPr>
              <w:spacing w:after="0" w:line="256" w:lineRule="auto"/>
              <w:mirrorIndents/>
              <w:rPr>
                <w:rFonts w:eastAsia="Arial" w:cs="Segoe UI Light"/>
                <w:szCs w:val="20"/>
                <w:lang w:val="fr-FR" w:eastAsia="ja-JP"/>
              </w:rPr>
            </w:pPr>
            <w:r w:rsidRPr="008048CF">
              <w:rPr>
                <w:rFonts w:cs="Segoe UI Light"/>
                <w:szCs w:val="20"/>
                <w:lang w:val="fr-FR"/>
              </w:rPr>
              <w:t>Section 46</w:t>
            </w:r>
          </w:p>
          <w:p w14:paraId="656B0DB6" w14:textId="77777777" w:rsidR="005B6B34" w:rsidRPr="008048CF" w:rsidRDefault="005B6B34" w:rsidP="008048CF">
            <w:pPr>
              <w:spacing w:after="0" w:line="256" w:lineRule="auto"/>
              <w:mirrorIndents/>
              <w:rPr>
                <w:rFonts w:cs="Segoe UI Light"/>
                <w:szCs w:val="20"/>
                <w:lang w:val="fr-FR"/>
              </w:rPr>
            </w:pPr>
            <w:r w:rsidRPr="008048CF">
              <w:rPr>
                <w:rFonts w:cs="Segoe UI Light"/>
                <w:szCs w:val="20"/>
                <w:lang w:val="fr-FR"/>
              </w:rPr>
              <w:t>Section 48</w:t>
            </w:r>
            <w:r w:rsidR="004C5502" w:rsidRPr="008048CF">
              <w:rPr>
                <w:rFonts w:cs="Segoe UI Light"/>
                <w:szCs w:val="20"/>
                <w:lang w:val="fr-FR"/>
              </w:rPr>
              <w:t>A</w:t>
            </w:r>
            <w:r w:rsidRPr="008048CF">
              <w:rPr>
                <w:rFonts w:cs="Segoe UI Light"/>
                <w:szCs w:val="20"/>
                <w:lang w:val="fr-FR"/>
              </w:rPr>
              <w:t>B</w:t>
            </w:r>
          </w:p>
          <w:p w14:paraId="656B0DB7" w14:textId="77777777" w:rsidR="004C5502" w:rsidRPr="008048CF" w:rsidRDefault="004C5502" w:rsidP="008048CF">
            <w:pPr>
              <w:spacing w:after="0" w:line="256" w:lineRule="auto"/>
              <w:mirrorIndents/>
              <w:rPr>
                <w:rFonts w:cs="Segoe UI Light"/>
                <w:szCs w:val="20"/>
                <w:lang w:val="fr-FR"/>
              </w:rPr>
            </w:pPr>
            <w:r w:rsidRPr="008048CF">
              <w:rPr>
                <w:rFonts w:cs="Segoe UI Light"/>
                <w:szCs w:val="20"/>
                <w:lang w:val="fr-FR"/>
              </w:rPr>
              <w:t>Section 16</w:t>
            </w:r>
          </w:p>
          <w:p w14:paraId="656B0DB8" w14:textId="77777777" w:rsidR="004C5502" w:rsidRPr="008048CF" w:rsidRDefault="004C5502" w:rsidP="008048CF">
            <w:pPr>
              <w:spacing w:after="0" w:line="256" w:lineRule="auto"/>
              <w:mirrorIndents/>
              <w:rPr>
                <w:rFonts w:cs="Segoe UI Light"/>
                <w:szCs w:val="20"/>
                <w:lang w:val="fr-FR"/>
              </w:rPr>
            </w:pPr>
            <w:r w:rsidRPr="008048CF">
              <w:rPr>
                <w:rFonts w:cs="Segoe UI Light"/>
                <w:szCs w:val="20"/>
                <w:lang w:val="fr-FR"/>
              </w:rPr>
              <w:t>Section 17(1)</w:t>
            </w:r>
          </w:p>
          <w:p w14:paraId="656B0DB9" w14:textId="77777777" w:rsidR="005B6B34" w:rsidRPr="008048CF" w:rsidRDefault="004C5502" w:rsidP="008048CF">
            <w:pPr>
              <w:spacing w:after="0" w:line="256" w:lineRule="auto"/>
              <w:mirrorIndents/>
              <w:rPr>
                <w:rFonts w:cs="Segoe UI Light"/>
                <w:szCs w:val="20"/>
                <w:lang w:val="fr-FR"/>
              </w:rPr>
            </w:pPr>
            <w:r w:rsidRPr="008048CF">
              <w:rPr>
                <w:rFonts w:cs="Segoe UI Light"/>
                <w:szCs w:val="20"/>
                <w:lang w:val="fr-FR"/>
              </w:rPr>
              <w:t>Section 48</w:t>
            </w:r>
          </w:p>
        </w:tc>
        <w:tc>
          <w:tcPr>
            <w:tcW w:w="0" w:type="pct"/>
            <w:tcBorders>
              <w:top w:val="single" w:sz="4" w:space="0" w:color="000000" w:themeColor="text1"/>
              <w:left w:val="nil"/>
              <w:bottom w:val="nil"/>
              <w:right w:val="nil"/>
            </w:tcBorders>
            <w:hideMark/>
          </w:tcPr>
          <w:p w14:paraId="656B0DBA" w14:textId="77777777" w:rsidR="005B6B34" w:rsidRPr="005B6B34" w:rsidRDefault="005B6B34" w:rsidP="008048CF">
            <w:pPr>
              <w:spacing w:after="0" w:line="256" w:lineRule="auto"/>
              <w:mirrorIndents/>
              <w:jc w:val="center"/>
              <w:rPr>
                <w:rFonts w:cs="Segoe UI Light"/>
                <w:iCs/>
                <w:szCs w:val="20"/>
                <w:lang w:val="en-US"/>
              </w:rPr>
            </w:pPr>
            <w:r w:rsidRPr="005B6B34">
              <w:rPr>
                <w:rFonts w:cs="Segoe UI Light"/>
                <w:iCs/>
                <w:szCs w:val="20"/>
                <w:lang w:val="en-US"/>
              </w:rPr>
              <w:t>n/a</w:t>
            </w:r>
          </w:p>
        </w:tc>
        <w:tc>
          <w:tcPr>
            <w:tcW w:w="0" w:type="pct"/>
            <w:tcBorders>
              <w:top w:val="single" w:sz="4" w:space="0" w:color="000000" w:themeColor="text1"/>
              <w:left w:val="nil"/>
              <w:bottom w:val="nil"/>
              <w:right w:val="nil"/>
            </w:tcBorders>
            <w:hideMark/>
          </w:tcPr>
          <w:p w14:paraId="656B0DBB" w14:textId="77777777" w:rsidR="005B6B34" w:rsidRPr="005B6B34" w:rsidRDefault="005B6B34" w:rsidP="008048CF">
            <w:pPr>
              <w:spacing w:after="0" w:line="256" w:lineRule="auto"/>
              <w:mirrorIndents/>
              <w:rPr>
                <w:rFonts w:eastAsia="Arial" w:cs="Segoe UI Light"/>
                <w:szCs w:val="20"/>
                <w:lang w:val="en-US" w:eastAsia="ja-JP"/>
              </w:rPr>
            </w:pPr>
            <w:r w:rsidRPr="005B6B34">
              <w:rPr>
                <w:rFonts w:cs="Segoe UI Light"/>
                <w:iCs/>
                <w:szCs w:val="20"/>
                <w:lang w:val="en-US"/>
              </w:rPr>
              <w:t>SEPP (Control of Music Noise from Public Premises) – SEPP N-2</w:t>
            </w:r>
          </w:p>
        </w:tc>
        <w:tc>
          <w:tcPr>
            <w:tcW w:w="0" w:type="pct"/>
            <w:tcBorders>
              <w:top w:val="single" w:sz="4" w:space="0" w:color="000000" w:themeColor="text1"/>
              <w:left w:val="nil"/>
              <w:bottom w:val="nil"/>
              <w:right w:val="nil"/>
            </w:tcBorders>
            <w:hideMark/>
          </w:tcPr>
          <w:p w14:paraId="656B0DBC" w14:textId="77777777" w:rsidR="005B6B34" w:rsidRPr="009605DB" w:rsidRDefault="005B6B34" w:rsidP="008048CF">
            <w:pPr>
              <w:spacing w:after="0" w:line="256" w:lineRule="auto"/>
              <w:ind w:left="720"/>
              <w:mirrorIndents/>
              <w:rPr>
                <w:rFonts w:cs="Segoe UI Light"/>
                <w:szCs w:val="20"/>
                <w:lang w:val="en-US"/>
              </w:rPr>
            </w:pPr>
          </w:p>
        </w:tc>
      </w:tr>
      <w:tr w:rsidR="005B6B34" w:rsidRPr="005B6B34" w14:paraId="656B0DBF" w14:textId="77777777" w:rsidTr="005B6B34">
        <w:trPr>
          <w:trHeight w:val="650"/>
        </w:trPr>
        <w:tc>
          <w:tcPr>
            <w:tcW w:w="5000" w:type="pct"/>
            <w:gridSpan w:val="5"/>
            <w:tcBorders>
              <w:top w:val="nil"/>
              <w:left w:val="nil"/>
              <w:bottom w:val="single" w:sz="4" w:space="0" w:color="000000" w:themeColor="text1"/>
              <w:right w:val="nil"/>
            </w:tcBorders>
            <w:hideMark/>
          </w:tcPr>
          <w:p w14:paraId="656B0DBE" w14:textId="5034EBB4" w:rsidR="005B6B34" w:rsidRPr="005B6B34" w:rsidRDefault="005B6B34" w:rsidP="00F77C1B">
            <w:pPr>
              <w:pStyle w:val="ListParagraph"/>
              <w:numPr>
                <w:ilvl w:val="0"/>
                <w:numId w:val="15"/>
              </w:numPr>
              <w:spacing w:after="0" w:line="256" w:lineRule="auto"/>
              <w:ind w:left="0" w:hanging="177"/>
              <w:mirrorIndents/>
              <w:rPr>
                <w:rFonts w:cs="Segoe UI Light"/>
                <w:iCs/>
                <w:szCs w:val="20"/>
                <w:lang w:val="en-US"/>
              </w:rPr>
            </w:pPr>
            <w:r w:rsidRPr="00B20D33">
              <w:rPr>
                <w:rFonts w:cs="Segoe UI Light"/>
                <w:b/>
                <w:szCs w:val="20"/>
              </w:rPr>
              <w:t>Key requirements</w:t>
            </w:r>
            <w:r w:rsidRPr="005B6B34">
              <w:rPr>
                <w:rFonts w:cs="Segoe UI Light"/>
                <w:szCs w:val="20"/>
              </w:rPr>
              <w:t xml:space="preserve">: SEPP N-2 aims </w:t>
            </w:r>
            <w:r w:rsidR="00170775" w:rsidRPr="005B6B34">
              <w:rPr>
                <w:rFonts w:cs="Segoe UI Light"/>
                <w:szCs w:val="20"/>
              </w:rPr>
              <w:t>t</w:t>
            </w:r>
            <w:r w:rsidR="00170775">
              <w:rPr>
                <w:rFonts w:cs="Segoe UI Light"/>
                <w:szCs w:val="20"/>
              </w:rPr>
              <w:t>o control music noise levels</w:t>
            </w:r>
            <w:r w:rsidRPr="005B6B34">
              <w:rPr>
                <w:rFonts w:cs="Segoe UI Light"/>
                <w:szCs w:val="20"/>
              </w:rPr>
              <w:t>, while recognising the community demand for a wide range of musical entertainment. SEPP N-2 provide</w:t>
            </w:r>
            <w:r w:rsidR="004C5502">
              <w:rPr>
                <w:rFonts w:cs="Segoe UI Light"/>
                <w:szCs w:val="20"/>
              </w:rPr>
              <w:t>s</w:t>
            </w:r>
            <w:r w:rsidRPr="005B6B34">
              <w:rPr>
                <w:rFonts w:cs="Segoe UI Light"/>
                <w:szCs w:val="20"/>
              </w:rPr>
              <w:t xml:space="preserve"> a methodology for establishing noise limits </w:t>
            </w:r>
            <w:r w:rsidR="00CA592B">
              <w:rPr>
                <w:rFonts w:cs="Segoe UI Light"/>
                <w:szCs w:val="20"/>
              </w:rPr>
              <w:t>and restriction</w:t>
            </w:r>
            <w:r w:rsidR="00580B9D">
              <w:rPr>
                <w:rFonts w:cs="Segoe UI Light"/>
                <w:szCs w:val="20"/>
              </w:rPr>
              <w:t>s</w:t>
            </w:r>
            <w:r w:rsidR="00CA592B">
              <w:rPr>
                <w:rFonts w:cs="Segoe UI Light"/>
                <w:szCs w:val="20"/>
              </w:rPr>
              <w:t xml:space="preserve"> on operating time </w:t>
            </w:r>
            <w:r w:rsidRPr="005B6B34">
              <w:rPr>
                <w:rFonts w:cs="Segoe UI Light"/>
                <w:szCs w:val="20"/>
              </w:rPr>
              <w:t xml:space="preserve">for </w:t>
            </w:r>
            <w:r w:rsidR="004C5502">
              <w:rPr>
                <w:rFonts w:cs="Segoe UI Light"/>
                <w:szCs w:val="20"/>
              </w:rPr>
              <w:t xml:space="preserve">musical </w:t>
            </w:r>
            <w:r w:rsidRPr="005B6B34">
              <w:rPr>
                <w:rFonts w:cs="Segoe UI Light"/>
                <w:szCs w:val="20"/>
              </w:rPr>
              <w:t xml:space="preserve">activities undertaken in </w:t>
            </w:r>
            <w:r w:rsidR="004C5502">
              <w:rPr>
                <w:rFonts w:cs="Segoe UI Light"/>
                <w:szCs w:val="20"/>
              </w:rPr>
              <w:t>a public premises</w:t>
            </w:r>
            <w:r w:rsidR="00170775">
              <w:rPr>
                <w:rFonts w:cs="Segoe UI Light"/>
                <w:szCs w:val="20"/>
              </w:rPr>
              <w:t xml:space="preserve"> (both indoor and outdoor)</w:t>
            </w:r>
            <w:r w:rsidRPr="005B6B34">
              <w:rPr>
                <w:rFonts w:cs="Segoe UI Light"/>
                <w:szCs w:val="20"/>
              </w:rPr>
              <w:t>.</w:t>
            </w:r>
            <w:r w:rsidR="004C5502">
              <w:rPr>
                <w:rFonts w:cs="Segoe UI Light"/>
                <w:szCs w:val="20"/>
              </w:rPr>
              <w:t xml:space="preserve"> SEPP N-2 applies in the whole of Victoria. </w:t>
            </w:r>
          </w:p>
        </w:tc>
      </w:tr>
      <w:tr w:rsidR="002D3C05" w:rsidRPr="005B6B34" w14:paraId="656B0DC8" w14:textId="77777777" w:rsidTr="002D3C05">
        <w:tc>
          <w:tcPr>
            <w:tcW w:w="909" w:type="pct"/>
            <w:tcBorders>
              <w:top w:val="single" w:sz="4" w:space="0" w:color="000000" w:themeColor="text1"/>
              <w:left w:val="nil"/>
              <w:bottom w:val="nil"/>
              <w:right w:val="nil"/>
            </w:tcBorders>
            <w:hideMark/>
          </w:tcPr>
          <w:p w14:paraId="656B0DC0" w14:textId="77777777" w:rsidR="005B6B34" w:rsidRPr="005B6B34" w:rsidRDefault="005B6B34" w:rsidP="008048CF">
            <w:pPr>
              <w:keepNext/>
              <w:spacing w:after="0" w:line="257" w:lineRule="auto"/>
              <w:mirrorIndents/>
              <w:rPr>
                <w:rFonts w:eastAsia="Arial" w:cs="Segoe UI Light"/>
                <w:b/>
                <w:szCs w:val="20"/>
                <w:lang w:val="en-US" w:eastAsia="ja-JP"/>
              </w:rPr>
            </w:pPr>
            <w:r w:rsidRPr="00D4650A">
              <w:rPr>
                <w:rFonts w:cs="Segoe UI Light"/>
                <w:b/>
                <w:szCs w:val="20"/>
                <w:lang w:val="en-US"/>
              </w:rPr>
              <w:t xml:space="preserve">Residential noise </w:t>
            </w:r>
          </w:p>
        </w:tc>
        <w:tc>
          <w:tcPr>
            <w:tcW w:w="909" w:type="pct"/>
            <w:tcBorders>
              <w:top w:val="single" w:sz="4" w:space="0" w:color="000000" w:themeColor="text1"/>
              <w:left w:val="nil"/>
              <w:bottom w:val="nil"/>
              <w:right w:val="nil"/>
            </w:tcBorders>
          </w:tcPr>
          <w:p w14:paraId="656B0DC1" w14:textId="77777777" w:rsidR="005B6B34" w:rsidRPr="005B6B34" w:rsidRDefault="005B6B34" w:rsidP="008048CF">
            <w:pPr>
              <w:keepNext/>
              <w:spacing w:after="0" w:line="257" w:lineRule="auto"/>
              <w:mirrorIndents/>
              <w:rPr>
                <w:rFonts w:eastAsia="Arial" w:cs="Segoe UI Light"/>
                <w:szCs w:val="20"/>
                <w:lang w:val="en-US" w:eastAsia="ja-JP"/>
              </w:rPr>
            </w:pPr>
            <w:r w:rsidRPr="005B6B34">
              <w:rPr>
                <w:rFonts w:cs="Segoe UI Light"/>
                <w:iCs/>
                <w:szCs w:val="20"/>
                <w:lang w:val="en-US"/>
              </w:rPr>
              <w:t>Section 48A</w:t>
            </w:r>
          </w:p>
          <w:p w14:paraId="656B0DC2" w14:textId="77777777" w:rsidR="005B6B34" w:rsidRDefault="005B6B34" w:rsidP="008048CF">
            <w:pPr>
              <w:keepNext/>
              <w:spacing w:after="0" w:line="257" w:lineRule="auto"/>
              <w:mirrorIndents/>
              <w:rPr>
                <w:rFonts w:cs="Segoe UI Light"/>
                <w:iCs/>
                <w:szCs w:val="20"/>
                <w:lang w:val="en-US"/>
              </w:rPr>
            </w:pPr>
            <w:r w:rsidRPr="005B6B34">
              <w:rPr>
                <w:rFonts w:cs="Segoe UI Light"/>
                <w:iCs/>
                <w:szCs w:val="20"/>
                <w:lang w:val="en-US"/>
              </w:rPr>
              <w:t>Section 48B</w:t>
            </w:r>
          </w:p>
          <w:p w14:paraId="656B0DC3" w14:textId="77777777" w:rsidR="004C5502" w:rsidRPr="005B6B34" w:rsidRDefault="004C5502" w:rsidP="008048CF">
            <w:pPr>
              <w:keepNext/>
              <w:spacing w:after="0" w:line="257" w:lineRule="auto"/>
              <w:mirrorIndents/>
              <w:rPr>
                <w:rFonts w:eastAsia="Arial" w:cs="Segoe UI Light"/>
                <w:szCs w:val="20"/>
                <w:lang w:val="en-US" w:eastAsia="ja-JP"/>
              </w:rPr>
            </w:pPr>
            <w:r>
              <w:rPr>
                <w:rFonts w:cs="Segoe UI Light"/>
                <w:iCs/>
                <w:szCs w:val="20"/>
                <w:lang w:val="en-US"/>
              </w:rPr>
              <w:t>Section 71</w:t>
            </w:r>
          </w:p>
          <w:p w14:paraId="656B0DC4" w14:textId="77777777" w:rsidR="005B6B34" w:rsidRPr="005B6B34" w:rsidRDefault="005B6B34" w:rsidP="008048CF">
            <w:pPr>
              <w:pStyle w:val="ListParagraph"/>
              <w:keepNext/>
              <w:spacing w:after="0" w:line="257" w:lineRule="auto"/>
              <w:ind w:left="0"/>
              <w:mirrorIndents/>
              <w:rPr>
                <w:rFonts w:eastAsia="Arial" w:cs="Segoe UI Light"/>
                <w:szCs w:val="20"/>
                <w:lang w:val="en-US" w:eastAsia="ja-JP"/>
              </w:rPr>
            </w:pPr>
          </w:p>
        </w:tc>
        <w:tc>
          <w:tcPr>
            <w:tcW w:w="910" w:type="pct"/>
            <w:tcBorders>
              <w:top w:val="single" w:sz="4" w:space="0" w:color="000000" w:themeColor="text1"/>
              <w:left w:val="nil"/>
              <w:bottom w:val="nil"/>
              <w:right w:val="nil"/>
            </w:tcBorders>
            <w:hideMark/>
          </w:tcPr>
          <w:p w14:paraId="656B0DC5" w14:textId="77777777" w:rsidR="005B6B34" w:rsidRPr="005B6B34" w:rsidRDefault="005B6B34" w:rsidP="008048CF">
            <w:pPr>
              <w:keepNext/>
              <w:spacing w:after="0" w:line="257" w:lineRule="auto"/>
              <w:mirrorIndents/>
              <w:rPr>
                <w:rFonts w:eastAsia="Arial" w:cs="Segoe UI Light"/>
                <w:szCs w:val="20"/>
                <w:lang w:val="en-US" w:eastAsia="ja-JP"/>
              </w:rPr>
            </w:pPr>
            <w:r w:rsidRPr="005B6B34">
              <w:rPr>
                <w:rFonts w:cs="Segoe UI Light"/>
                <w:iCs/>
                <w:szCs w:val="20"/>
                <w:lang w:val="en-US"/>
              </w:rPr>
              <w:t>Environment Protection (Residential Noise) Regulations 2018</w:t>
            </w:r>
          </w:p>
        </w:tc>
        <w:tc>
          <w:tcPr>
            <w:tcW w:w="1363" w:type="pct"/>
            <w:tcBorders>
              <w:top w:val="single" w:sz="4" w:space="0" w:color="000000" w:themeColor="text1"/>
              <w:left w:val="nil"/>
              <w:bottom w:val="nil"/>
              <w:right w:val="nil"/>
            </w:tcBorders>
            <w:hideMark/>
          </w:tcPr>
          <w:p w14:paraId="656B0DC6" w14:textId="77777777" w:rsidR="005B6B34" w:rsidRPr="005B6B34" w:rsidRDefault="005B6B34" w:rsidP="008048CF">
            <w:pPr>
              <w:keepNext/>
              <w:spacing w:after="0" w:line="257" w:lineRule="auto"/>
              <w:mirrorIndents/>
              <w:jc w:val="center"/>
              <w:rPr>
                <w:rFonts w:eastAsia="Arial" w:cs="Segoe UI Light"/>
                <w:szCs w:val="20"/>
                <w:lang w:val="en-US" w:eastAsia="ja-JP"/>
              </w:rPr>
            </w:pPr>
            <w:r w:rsidRPr="005B6B34">
              <w:rPr>
                <w:rFonts w:cs="Segoe UI Light"/>
                <w:iCs/>
                <w:szCs w:val="20"/>
                <w:lang w:val="en-US"/>
              </w:rPr>
              <w:t>n/a</w:t>
            </w:r>
          </w:p>
        </w:tc>
        <w:tc>
          <w:tcPr>
            <w:tcW w:w="909" w:type="pct"/>
            <w:tcBorders>
              <w:top w:val="single" w:sz="4" w:space="0" w:color="000000" w:themeColor="text1"/>
              <w:left w:val="nil"/>
              <w:bottom w:val="nil"/>
              <w:right w:val="nil"/>
            </w:tcBorders>
            <w:hideMark/>
          </w:tcPr>
          <w:p w14:paraId="656B0DC7" w14:textId="77777777" w:rsidR="005B6B34" w:rsidRPr="005B6B34" w:rsidRDefault="005B6B34" w:rsidP="008048CF">
            <w:pPr>
              <w:pStyle w:val="ListParagraph"/>
              <w:keepNext/>
              <w:spacing w:after="0" w:line="257" w:lineRule="auto"/>
              <w:ind w:left="470"/>
              <w:mirrorIndents/>
              <w:rPr>
                <w:rFonts w:eastAsia="Arial" w:cs="Segoe UI Light"/>
                <w:szCs w:val="20"/>
                <w:lang w:val="en-US" w:eastAsia="ja-JP"/>
              </w:rPr>
            </w:pPr>
          </w:p>
        </w:tc>
      </w:tr>
      <w:tr w:rsidR="005B6B34" w:rsidRPr="005B6B34" w14:paraId="656B0DCA" w14:textId="77777777" w:rsidTr="008048CF">
        <w:trPr>
          <w:trHeight w:val="571"/>
        </w:trPr>
        <w:tc>
          <w:tcPr>
            <w:tcW w:w="5000" w:type="pct"/>
            <w:gridSpan w:val="5"/>
            <w:tcBorders>
              <w:top w:val="nil"/>
              <w:left w:val="nil"/>
              <w:bottom w:val="single" w:sz="4" w:space="0" w:color="000000" w:themeColor="text1"/>
              <w:right w:val="nil"/>
            </w:tcBorders>
            <w:hideMark/>
          </w:tcPr>
          <w:p w14:paraId="656B0DC9" w14:textId="77777777" w:rsidR="005B6B34" w:rsidRPr="005B6B34" w:rsidRDefault="005B6B34" w:rsidP="004A2442">
            <w:pPr>
              <w:pStyle w:val="ListParagraph"/>
              <w:numPr>
                <w:ilvl w:val="0"/>
                <w:numId w:val="15"/>
              </w:numPr>
              <w:spacing w:after="0" w:line="256" w:lineRule="auto"/>
              <w:ind w:left="0" w:hanging="177"/>
              <w:mirrorIndents/>
              <w:rPr>
                <w:rFonts w:cs="Segoe UI Light"/>
                <w:iCs/>
                <w:szCs w:val="20"/>
                <w:lang w:val="en-US"/>
              </w:rPr>
            </w:pPr>
            <w:r w:rsidRPr="00B20D33">
              <w:rPr>
                <w:rFonts w:cs="Segoe UI Light"/>
                <w:b/>
                <w:szCs w:val="20"/>
              </w:rPr>
              <w:t>Key requirements</w:t>
            </w:r>
            <w:r w:rsidRPr="005B6B34">
              <w:rPr>
                <w:rFonts w:cs="Segoe UI Light"/>
                <w:szCs w:val="20"/>
              </w:rPr>
              <w:t>: the Regulations apply to noise from residential premises and residential premises under construction, listing specific types of equipment and their prohibited times. Noise is unreasonable if certain items are audible inside a neighbouring residence during prohibited times.</w:t>
            </w:r>
          </w:p>
        </w:tc>
      </w:tr>
    </w:tbl>
    <w:p w14:paraId="656B0DCB" w14:textId="77777777" w:rsidR="005B6B34" w:rsidRPr="005B6B34" w:rsidRDefault="005B6B34" w:rsidP="005B6B34">
      <w:pPr>
        <w:tabs>
          <w:tab w:val="left" w:pos="5231"/>
        </w:tabs>
        <w:mirrorIndents/>
        <w:rPr>
          <w:rFonts w:cs="Segoe UI Light"/>
          <w:szCs w:val="20"/>
          <w:lang w:eastAsia="ja-JP"/>
        </w:rPr>
      </w:pPr>
    </w:p>
    <w:p w14:paraId="656B0DCC" w14:textId="77777777" w:rsidR="005B6B34" w:rsidRPr="005B6B34" w:rsidRDefault="005B6B34" w:rsidP="005B6B34">
      <w:pPr>
        <w:rPr>
          <w:rFonts w:cs="Segoe UI Light"/>
          <w:szCs w:val="20"/>
        </w:rPr>
      </w:pPr>
      <w:r w:rsidRPr="005B6B34">
        <w:rPr>
          <w:rFonts w:cs="Segoe UI Light"/>
          <w:szCs w:val="20"/>
        </w:rPr>
        <w:t>These regulations and SEPP</w:t>
      </w:r>
      <w:r w:rsidR="003B3984">
        <w:rPr>
          <w:rFonts w:cs="Segoe UI Light"/>
          <w:szCs w:val="20"/>
        </w:rPr>
        <w:t>s</w:t>
      </w:r>
      <w:r w:rsidRPr="005B6B34">
        <w:rPr>
          <w:rFonts w:cs="Segoe UI Light"/>
          <w:szCs w:val="20"/>
        </w:rPr>
        <w:t xml:space="preserve"> will no longer have effect when the new legislation takes effect. </w:t>
      </w:r>
      <w:r w:rsidR="00CA592B">
        <w:rPr>
          <w:rFonts w:cs="Segoe UI Light"/>
          <w:szCs w:val="20"/>
        </w:rPr>
        <w:t xml:space="preserve">However, the state of knowledge developed under the existing legislative and regulatory framework will continue to </w:t>
      </w:r>
      <w:r w:rsidR="00F53713" w:rsidRPr="00D4650A">
        <w:rPr>
          <w:rFonts w:cs="Segoe UI Light"/>
          <w:szCs w:val="20"/>
        </w:rPr>
        <w:t>inform duty holders’ management responses with respect to the emission of noise</w:t>
      </w:r>
      <w:r w:rsidR="00C97BDA">
        <w:rPr>
          <w:rFonts w:cs="Segoe UI Light"/>
          <w:szCs w:val="20"/>
        </w:rPr>
        <w:t xml:space="preserve"> (see section 3.1)</w:t>
      </w:r>
      <w:r w:rsidR="00DC7A63">
        <w:rPr>
          <w:rFonts w:cs="Segoe UI Light"/>
          <w:szCs w:val="20"/>
        </w:rPr>
        <w:t xml:space="preserve">. </w:t>
      </w:r>
    </w:p>
    <w:p w14:paraId="656B0DCD" w14:textId="77777777" w:rsidR="005B6B34" w:rsidRPr="00341E1F" w:rsidRDefault="005B6B34" w:rsidP="005B6B34">
      <w:pPr>
        <w:tabs>
          <w:tab w:val="left" w:pos="5231"/>
        </w:tabs>
        <w:mirrorIndents/>
        <w:rPr>
          <w:rFonts w:eastAsia="Arial" w:cs="Segoe UI Light"/>
          <w:szCs w:val="20"/>
        </w:rPr>
      </w:pPr>
      <w:r w:rsidRPr="00341E1F">
        <w:rPr>
          <w:rFonts w:cs="Segoe UI Light"/>
          <w:bCs/>
          <w:szCs w:val="20"/>
          <w:lang w:eastAsia="ja-JP"/>
        </w:rPr>
        <w:t xml:space="preserve">A range of other instruments exist outside of the EP Act 1970 </w:t>
      </w:r>
      <w:r w:rsidR="003B3984">
        <w:rPr>
          <w:rFonts w:cs="Segoe UI Light"/>
          <w:bCs/>
          <w:szCs w:val="20"/>
          <w:lang w:eastAsia="ja-JP"/>
        </w:rPr>
        <w:t>and the</w:t>
      </w:r>
      <w:r w:rsidR="003B3984" w:rsidRPr="00341E1F">
        <w:rPr>
          <w:rFonts w:cs="Segoe UI Light"/>
          <w:bCs/>
          <w:szCs w:val="20"/>
          <w:lang w:eastAsia="ja-JP"/>
        </w:rPr>
        <w:t xml:space="preserve"> </w:t>
      </w:r>
      <w:r w:rsidRPr="00341E1F">
        <w:rPr>
          <w:rFonts w:cs="Segoe UI Light"/>
          <w:bCs/>
          <w:szCs w:val="20"/>
          <w:lang w:eastAsia="ja-JP"/>
        </w:rPr>
        <w:t xml:space="preserve">new EP legislation that </w:t>
      </w:r>
      <w:r w:rsidR="003B3984">
        <w:rPr>
          <w:rFonts w:cs="Segoe UI Light"/>
          <w:bCs/>
          <w:szCs w:val="20"/>
          <w:lang w:eastAsia="ja-JP"/>
        </w:rPr>
        <w:t>regulate</w:t>
      </w:r>
      <w:r w:rsidRPr="00341E1F">
        <w:rPr>
          <w:rFonts w:cs="Segoe UI Light"/>
          <w:bCs/>
          <w:szCs w:val="20"/>
          <w:lang w:eastAsia="ja-JP"/>
        </w:rPr>
        <w:t xml:space="preserve"> various types of noise, and include:</w:t>
      </w:r>
      <w:r w:rsidRPr="00341E1F">
        <w:rPr>
          <w:rFonts w:cs="Segoe UI Light"/>
          <w:bCs/>
          <w:szCs w:val="20"/>
          <w:vertAlign w:val="superscript"/>
        </w:rPr>
        <w:footnoteReference w:id="266"/>
      </w:r>
    </w:p>
    <w:p w14:paraId="656B0DCE" w14:textId="77777777" w:rsidR="005B6B34" w:rsidRPr="005B6B34" w:rsidRDefault="005B6B34" w:rsidP="004A2442">
      <w:pPr>
        <w:pStyle w:val="Bullet1"/>
        <w:numPr>
          <w:ilvl w:val="0"/>
          <w:numId w:val="26"/>
        </w:numPr>
        <w:rPr>
          <w:rFonts w:cs="Segoe UI Light"/>
          <w:szCs w:val="20"/>
        </w:rPr>
      </w:pPr>
      <w:r w:rsidRPr="005B6B34">
        <w:rPr>
          <w:rFonts w:cs="Segoe UI Light"/>
          <w:b/>
          <w:szCs w:val="20"/>
        </w:rPr>
        <w:t>Commercial and industrial noise -</w:t>
      </w:r>
      <w:r w:rsidRPr="005B6B34">
        <w:rPr>
          <w:rFonts w:cs="Segoe UI Light"/>
          <w:szCs w:val="20"/>
        </w:rPr>
        <w:t xml:space="preserve"> </w:t>
      </w:r>
      <w:r w:rsidR="003B3984">
        <w:rPr>
          <w:rFonts w:cs="Segoe UI Light"/>
          <w:szCs w:val="20"/>
        </w:rPr>
        <w:t xml:space="preserve"> The </w:t>
      </w:r>
      <w:r w:rsidRPr="005B6B34">
        <w:rPr>
          <w:rFonts w:cs="Segoe UI Light"/>
          <w:i/>
          <w:szCs w:val="20"/>
        </w:rPr>
        <w:t>Planning and Environment Act 1987</w:t>
      </w:r>
      <w:r w:rsidRPr="005B6B34">
        <w:rPr>
          <w:rFonts w:cs="Segoe UI Light"/>
          <w:szCs w:val="20"/>
        </w:rPr>
        <w:t xml:space="preserve"> (</w:t>
      </w:r>
      <w:r w:rsidR="003B3984">
        <w:rPr>
          <w:rFonts w:cs="Segoe UI Light"/>
          <w:szCs w:val="20"/>
        </w:rPr>
        <w:t xml:space="preserve">which </w:t>
      </w:r>
      <w:r w:rsidRPr="005B6B34">
        <w:rPr>
          <w:rFonts w:cs="Segoe UI Light"/>
          <w:szCs w:val="20"/>
        </w:rPr>
        <w:t xml:space="preserve">provides </w:t>
      </w:r>
      <w:r w:rsidR="00B20D33">
        <w:rPr>
          <w:rFonts w:cs="Segoe UI Light"/>
          <w:szCs w:val="20"/>
        </w:rPr>
        <w:t xml:space="preserve">a </w:t>
      </w:r>
      <w:r w:rsidRPr="005B6B34">
        <w:rPr>
          <w:rFonts w:cs="Segoe UI Light"/>
          <w:szCs w:val="20"/>
        </w:rPr>
        <w:t>framework for integrating land use and development</w:t>
      </w:r>
      <w:r w:rsidR="00B20D33">
        <w:rPr>
          <w:rFonts w:cs="Segoe UI Light"/>
          <w:szCs w:val="20"/>
        </w:rPr>
        <w:t xml:space="preserve"> controls and</w:t>
      </w:r>
      <w:r w:rsidRPr="005B6B34">
        <w:rPr>
          <w:rFonts w:cs="Segoe UI Light"/>
          <w:szCs w:val="20"/>
        </w:rPr>
        <w:t xml:space="preserve"> </w:t>
      </w:r>
      <w:r w:rsidR="00B20D33">
        <w:rPr>
          <w:rFonts w:cs="Segoe UI Light"/>
          <w:szCs w:val="20"/>
        </w:rPr>
        <w:t>application of</w:t>
      </w:r>
      <w:r w:rsidR="003B3984">
        <w:rPr>
          <w:rFonts w:cs="Segoe UI Light"/>
          <w:szCs w:val="20"/>
        </w:rPr>
        <w:t xml:space="preserve"> </w:t>
      </w:r>
      <w:r w:rsidRPr="005B6B34">
        <w:rPr>
          <w:rFonts w:cs="Segoe UI Light"/>
          <w:szCs w:val="20"/>
        </w:rPr>
        <w:t xml:space="preserve">SEPP N-1 or NIRV) and </w:t>
      </w:r>
      <w:r w:rsidRPr="005B6B34">
        <w:rPr>
          <w:rFonts w:cs="Segoe UI Light"/>
          <w:i/>
          <w:szCs w:val="20"/>
        </w:rPr>
        <w:t>Occupational Health and Safety Regulations 2007</w:t>
      </w:r>
      <w:r w:rsidRPr="005B6B34">
        <w:rPr>
          <w:rFonts w:cs="Segoe UI Light"/>
          <w:szCs w:val="20"/>
        </w:rPr>
        <w:t xml:space="preserve"> (</w:t>
      </w:r>
      <w:r w:rsidR="003B3984">
        <w:rPr>
          <w:rFonts w:cs="Segoe UI Light"/>
          <w:szCs w:val="20"/>
        </w:rPr>
        <w:t xml:space="preserve">which </w:t>
      </w:r>
      <w:r w:rsidRPr="005B6B34">
        <w:rPr>
          <w:rFonts w:cs="Segoe UI Light"/>
          <w:szCs w:val="20"/>
        </w:rPr>
        <w:t>limits noise exposure for the protection of staff).</w:t>
      </w:r>
    </w:p>
    <w:p w14:paraId="656B0DCF" w14:textId="77777777" w:rsidR="005B6B34" w:rsidRPr="005B6B34" w:rsidRDefault="005B6B34" w:rsidP="004A2442">
      <w:pPr>
        <w:pStyle w:val="Bullet1"/>
        <w:numPr>
          <w:ilvl w:val="0"/>
          <w:numId w:val="26"/>
        </w:numPr>
        <w:rPr>
          <w:rFonts w:cs="Segoe UI Light"/>
          <w:szCs w:val="20"/>
        </w:rPr>
      </w:pPr>
      <w:r w:rsidRPr="005B6B34">
        <w:rPr>
          <w:rFonts w:cs="Segoe UI Light"/>
          <w:b/>
          <w:szCs w:val="20"/>
        </w:rPr>
        <w:t>Entertainment venues</w:t>
      </w:r>
      <w:r w:rsidRPr="005B6B34">
        <w:rPr>
          <w:rFonts w:cs="Segoe UI Light"/>
          <w:szCs w:val="20"/>
        </w:rPr>
        <w:t xml:space="preserve"> – </w:t>
      </w:r>
      <w:r w:rsidRPr="005B6B34">
        <w:rPr>
          <w:rFonts w:cs="Segoe UI Light"/>
          <w:i/>
          <w:szCs w:val="20"/>
        </w:rPr>
        <w:t>Liquor Control Reform Act 1998</w:t>
      </w:r>
      <w:r w:rsidRPr="005B6B34">
        <w:rPr>
          <w:rFonts w:cs="Segoe UI Light"/>
          <w:szCs w:val="20"/>
        </w:rPr>
        <w:t xml:space="preserve"> (LCR Act), </w:t>
      </w:r>
      <w:r w:rsidRPr="005B6B34">
        <w:rPr>
          <w:rFonts w:cs="Segoe UI Light"/>
          <w:i/>
          <w:szCs w:val="20"/>
        </w:rPr>
        <w:t xml:space="preserve">Planning and Environment Act 1987 </w:t>
      </w:r>
      <w:r w:rsidRPr="005B6B34">
        <w:rPr>
          <w:rFonts w:cs="Segoe UI Light"/>
          <w:szCs w:val="20"/>
        </w:rPr>
        <w:t xml:space="preserve">(council planning permit conditions can apply SEPP N-2) and </w:t>
      </w:r>
      <w:r w:rsidRPr="005B6B34">
        <w:rPr>
          <w:rFonts w:cs="Segoe UI Light"/>
          <w:i/>
          <w:szCs w:val="20"/>
        </w:rPr>
        <w:t>Occupational Health and Safety Regulations 2007</w:t>
      </w:r>
      <w:r w:rsidRPr="005B6B34">
        <w:rPr>
          <w:rFonts w:cs="Segoe UI Light"/>
          <w:szCs w:val="20"/>
        </w:rPr>
        <w:t xml:space="preserve"> (</w:t>
      </w:r>
      <w:r w:rsidR="003B3984">
        <w:rPr>
          <w:rFonts w:cs="Segoe UI Light"/>
          <w:szCs w:val="20"/>
        </w:rPr>
        <w:t xml:space="preserve">which </w:t>
      </w:r>
      <w:r w:rsidRPr="005B6B34">
        <w:rPr>
          <w:rFonts w:cs="Segoe UI Light"/>
          <w:szCs w:val="20"/>
        </w:rPr>
        <w:t>limits noise exposure for the protection of staff).</w:t>
      </w:r>
    </w:p>
    <w:p w14:paraId="656B0DD0" w14:textId="77777777" w:rsidR="005B6B34" w:rsidRPr="005B6B34" w:rsidRDefault="005B6B34" w:rsidP="004A2442">
      <w:pPr>
        <w:pStyle w:val="Bullet1"/>
        <w:numPr>
          <w:ilvl w:val="0"/>
          <w:numId w:val="26"/>
        </w:numPr>
        <w:rPr>
          <w:rFonts w:cs="Segoe UI Light"/>
          <w:szCs w:val="20"/>
        </w:rPr>
      </w:pPr>
      <w:r w:rsidRPr="005B6B34">
        <w:rPr>
          <w:rFonts w:cs="Segoe UI Light"/>
          <w:b/>
          <w:szCs w:val="20"/>
          <w:lang w:eastAsia="ja-JP"/>
        </w:rPr>
        <w:t xml:space="preserve">Residential noise - </w:t>
      </w:r>
      <w:r w:rsidRPr="005B6B34">
        <w:rPr>
          <w:rFonts w:cs="Segoe UI Light"/>
          <w:szCs w:val="20"/>
        </w:rPr>
        <w:t xml:space="preserve">Local government bylaws, </w:t>
      </w:r>
      <w:r w:rsidRPr="005B6B34">
        <w:rPr>
          <w:rFonts w:cs="Segoe UI Light"/>
          <w:i/>
          <w:szCs w:val="20"/>
        </w:rPr>
        <w:t>Public Health and Wellbeing Act 2008, Domestic Animals Act 1994, Planning and Environment Act 1987</w:t>
      </w:r>
      <w:r w:rsidR="00DC7A63">
        <w:rPr>
          <w:rFonts w:cs="Segoe UI Light"/>
          <w:szCs w:val="20"/>
        </w:rPr>
        <w:t xml:space="preserve">. </w:t>
      </w:r>
    </w:p>
    <w:p w14:paraId="656B0DD1" w14:textId="77777777" w:rsidR="005B6B34" w:rsidRPr="005B6B34" w:rsidRDefault="005B6B34" w:rsidP="004A2442">
      <w:pPr>
        <w:pStyle w:val="Bullet1"/>
        <w:numPr>
          <w:ilvl w:val="0"/>
          <w:numId w:val="26"/>
        </w:numPr>
        <w:rPr>
          <w:rFonts w:cs="Segoe UI Light"/>
          <w:szCs w:val="20"/>
        </w:rPr>
      </w:pPr>
      <w:r w:rsidRPr="005B6B34">
        <w:rPr>
          <w:rFonts w:cs="Segoe UI Light"/>
          <w:b/>
          <w:szCs w:val="20"/>
        </w:rPr>
        <w:t xml:space="preserve">Transport noise – </w:t>
      </w:r>
      <w:r w:rsidRPr="005B6B34">
        <w:rPr>
          <w:rFonts w:cs="Segoe UI Light"/>
          <w:szCs w:val="20"/>
        </w:rPr>
        <w:t xml:space="preserve">Local laws, the (former) Department of Economic Development, Transport, Jobs and Resources (DEDTJR) Passenger Rail Infrastructure Noise Policy (2013), VicRoads </w:t>
      </w:r>
      <w:r w:rsidR="004C5502" w:rsidRPr="008048CF">
        <w:rPr>
          <w:rFonts w:cs="Segoe UI Light"/>
          <w:szCs w:val="20"/>
        </w:rPr>
        <w:t xml:space="preserve">Traffic </w:t>
      </w:r>
      <w:r w:rsidR="004C5502">
        <w:rPr>
          <w:rFonts w:cs="Segoe UI Light"/>
          <w:szCs w:val="20"/>
        </w:rPr>
        <w:t>N</w:t>
      </w:r>
      <w:r w:rsidR="004C5502" w:rsidRPr="008048CF">
        <w:rPr>
          <w:rFonts w:cs="Segoe UI Light"/>
          <w:szCs w:val="20"/>
        </w:rPr>
        <w:t xml:space="preserve">oise </w:t>
      </w:r>
      <w:r w:rsidR="004C5502">
        <w:rPr>
          <w:rFonts w:cs="Segoe UI Light"/>
          <w:szCs w:val="20"/>
        </w:rPr>
        <w:t>R</w:t>
      </w:r>
      <w:r w:rsidR="004C5502" w:rsidRPr="008048CF">
        <w:rPr>
          <w:rFonts w:cs="Segoe UI Light"/>
          <w:szCs w:val="20"/>
        </w:rPr>
        <w:t xml:space="preserve">eduction </w:t>
      </w:r>
      <w:r w:rsidR="004C5502">
        <w:rPr>
          <w:rFonts w:cs="Segoe UI Light"/>
          <w:szCs w:val="20"/>
        </w:rPr>
        <w:t>P</w:t>
      </w:r>
      <w:r w:rsidR="004C5502" w:rsidRPr="008048CF">
        <w:rPr>
          <w:rFonts w:cs="Segoe UI Light"/>
          <w:szCs w:val="20"/>
        </w:rPr>
        <w:t>olicy</w:t>
      </w:r>
      <w:r w:rsidRPr="005B6B34">
        <w:rPr>
          <w:rFonts w:cs="Segoe UI Light"/>
          <w:szCs w:val="20"/>
        </w:rPr>
        <w:t xml:space="preserve"> and accompanying guidance material.</w:t>
      </w:r>
    </w:p>
    <w:p w14:paraId="656B0DD2" w14:textId="77777777" w:rsidR="005B6B34" w:rsidRPr="005B6B34" w:rsidRDefault="005B6B34" w:rsidP="005B6B34">
      <w:pPr>
        <w:rPr>
          <w:rFonts w:cs="Segoe UI Light"/>
          <w:szCs w:val="20"/>
        </w:rPr>
      </w:pPr>
      <w:r w:rsidRPr="005B6B34">
        <w:rPr>
          <w:rFonts w:cs="Segoe UI Light"/>
          <w:szCs w:val="20"/>
        </w:rPr>
        <w:t>More detail o</w:t>
      </w:r>
      <w:r w:rsidR="003B3984">
        <w:rPr>
          <w:rFonts w:cs="Segoe UI Light"/>
          <w:szCs w:val="20"/>
        </w:rPr>
        <w:t>n</w:t>
      </w:r>
      <w:r w:rsidRPr="005B6B34">
        <w:rPr>
          <w:rFonts w:cs="Segoe UI Light"/>
          <w:szCs w:val="20"/>
        </w:rPr>
        <w:t xml:space="preserve"> the current noise regulatory framework outside the </w:t>
      </w:r>
      <w:r w:rsidRPr="005B6B34">
        <w:rPr>
          <w:rFonts w:cs="Segoe UI Light"/>
          <w:szCs w:val="20"/>
          <w:lang w:eastAsia="ja-JP"/>
        </w:rPr>
        <w:t>EP Act 1970</w:t>
      </w:r>
      <w:r w:rsidRPr="005B6B34">
        <w:rPr>
          <w:rFonts w:cs="Segoe UI Light"/>
          <w:szCs w:val="20"/>
        </w:rPr>
        <w:t xml:space="preserve"> is included in Appendix </w:t>
      </w:r>
      <w:r w:rsidR="005F58DF">
        <w:rPr>
          <w:rFonts w:cs="Segoe UI Light"/>
          <w:szCs w:val="20"/>
        </w:rPr>
        <w:t>2</w:t>
      </w:r>
      <w:r w:rsidRPr="005B6B34">
        <w:rPr>
          <w:rFonts w:cs="Segoe UI Light"/>
          <w:szCs w:val="20"/>
        </w:rPr>
        <w:t xml:space="preserve">. </w:t>
      </w:r>
    </w:p>
    <w:p w14:paraId="656B0DD3" w14:textId="77777777" w:rsidR="005B6B34" w:rsidRPr="005B6B34" w:rsidRDefault="005B6B34" w:rsidP="00982D63">
      <w:pPr>
        <w:pStyle w:val="Heading2"/>
      </w:pPr>
      <w:r w:rsidRPr="005B6B34">
        <w:t xml:space="preserve">New EP legislation </w:t>
      </w:r>
    </w:p>
    <w:p w14:paraId="656B0DD4" w14:textId="77777777" w:rsidR="005B6B34" w:rsidRPr="005B6B34" w:rsidRDefault="005B6B34" w:rsidP="00D4650A">
      <w:pPr>
        <w:spacing w:after="0"/>
        <w:mirrorIndents/>
        <w:rPr>
          <w:rFonts w:cs="Segoe UI Light"/>
          <w:szCs w:val="20"/>
        </w:rPr>
      </w:pPr>
      <w:r w:rsidRPr="005B6B34">
        <w:rPr>
          <w:rFonts w:cs="Segoe UI Light"/>
          <w:szCs w:val="20"/>
        </w:rPr>
        <w:t>In addition to the GED, Part 7.6 of the new EP legislation establishes duties and penalties on the control and emission of unreasonable and aggravated noise, including:</w:t>
      </w:r>
    </w:p>
    <w:p w14:paraId="656B0DD5" w14:textId="77777777" w:rsidR="005B6B34" w:rsidRPr="005B6B34" w:rsidRDefault="00C95E3F" w:rsidP="004A2442">
      <w:pPr>
        <w:pStyle w:val="Bullet1"/>
        <w:numPr>
          <w:ilvl w:val="0"/>
          <w:numId w:val="26"/>
        </w:numPr>
        <w:rPr>
          <w:rFonts w:cs="Segoe UI Light"/>
          <w:szCs w:val="20"/>
        </w:rPr>
      </w:pPr>
      <w:r>
        <w:rPr>
          <w:rFonts w:cs="Segoe UI Light"/>
          <w:szCs w:val="20"/>
        </w:rPr>
        <w:t>P</w:t>
      </w:r>
      <w:r w:rsidR="005B6B34" w:rsidRPr="005B6B34">
        <w:rPr>
          <w:rFonts w:cs="Segoe UI Light"/>
          <w:szCs w:val="20"/>
        </w:rPr>
        <w:t>rohibition of unreasonable noise from a place or premises that are not residential premises</w:t>
      </w:r>
    </w:p>
    <w:p w14:paraId="656B0DD6" w14:textId="77777777" w:rsidR="005B6B34" w:rsidRPr="005B6B34" w:rsidRDefault="00C95E3F" w:rsidP="004A2442">
      <w:pPr>
        <w:pStyle w:val="Bullet1"/>
        <w:numPr>
          <w:ilvl w:val="0"/>
          <w:numId w:val="26"/>
        </w:numPr>
        <w:rPr>
          <w:rFonts w:cs="Segoe UI Light"/>
          <w:szCs w:val="20"/>
        </w:rPr>
      </w:pPr>
      <w:r>
        <w:rPr>
          <w:rFonts w:cs="Segoe UI Light"/>
          <w:szCs w:val="20"/>
        </w:rPr>
        <w:t>P</w:t>
      </w:r>
      <w:r w:rsidR="005B6B34" w:rsidRPr="005B6B34">
        <w:rPr>
          <w:rFonts w:cs="Segoe UI Light"/>
          <w:szCs w:val="20"/>
        </w:rPr>
        <w:t>rohibition of unreasonable noise from residential premises and provision of civil penalties for contravention</w:t>
      </w:r>
    </w:p>
    <w:p w14:paraId="656B0DD7" w14:textId="77777777" w:rsidR="005B6B34" w:rsidRPr="005B6B34" w:rsidRDefault="00C95E3F" w:rsidP="004A2442">
      <w:pPr>
        <w:pStyle w:val="Bullet1"/>
        <w:numPr>
          <w:ilvl w:val="0"/>
          <w:numId w:val="26"/>
        </w:numPr>
        <w:rPr>
          <w:rFonts w:cs="Segoe UI Light"/>
          <w:szCs w:val="20"/>
        </w:rPr>
      </w:pPr>
      <w:r>
        <w:rPr>
          <w:rFonts w:cs="Segoe UI Light"/>
          <w:szCs w:val="20"/>
        </w:rPr>
        <w:t>M</w:t>
      </w:r>
      <w:r w:rsidR="005B6B34" w:rsidRPr="005B6B34">
        <w:rPr>
          <w:rFonts w:cs="Segoe UI Light"/>
          <w:szCs w:val="20"/>
        </w:rPr>
        <w:t>anagement of unreasonable noise emitted from an entertainment venue and provision of penalties for contravention</w:t>
      </w:r>
    </w:p>
    <w:p w14:paraId="656B0DD8" w14:textId="77777777" w:rsidR="005B6B34" w:rsidRPr="005B6B34" w:rsidRDefault="00C95E3F" w:rsidP="004A2442">
      <w:pPr>
        <w:pStyle w:val="Bullet1"/>
        <w:numPr>
          <w:ilvl w:val="0"/>
          <w:numId w:val="26"/>
        </w:numPr>
        <w:rPr>
          <w:rFonts w:cs="Segoe UI Light"/>
          <w:szCs w:val="20"/>
        </w:rPr>
      </w:pPr>
      <w:r>
        <w:rPr>
          <w:rFonts w:cs="Segoe UI Light"/>
          <w:szCs w:val="20"/>
        </w:rPr>
        <w:t>P</w:t>
      </w:r>
      <w:r w:rsidR="005B6B34" w:rsidRPr="005B6B34">
        <w:rPr>
          <w:rFonts w:cs="Segoe UI Light"/>
          <w:szCs w:val="20"/>
        </w:rPr>
        <w:t>rohibition of emission of aggravated noise and provision of civil penalties for contravention.</w:t>
      </w:r>
    </w:p>
    <w:p w14:paraId="656B0DD9" w14:textId="77777777" w:rsidR="005B6B34" w:rsidRPr="005B6B34" w:rsidRDefault="005B6B34" w:rsidP="005B6B34">
      <w:pPr>
        <w:mirrorIndents/>
        <w:rPr>
          <w:rFonts w:cs="Segoe UI Light"/>
          <w:szCs w:val="20"/>
        </w:rPr>
      </w:pPr>
      <w:r w:rsidRPr="005B6B34">
        <w:rPr>
          <w:rFonts w:cs="Segoe UI Light"/>
          <w:szCs w:val="20"/>
        </w:rPr>
        <w:t>The new EP legislation allows for penalties to be applied to persons and/or corporate bodies committing offences in relation to the emission of unreasonable or aggravated noise.</w:t>
      </w:r>
    </w:p>
    <w:p w14:paraId="656B0DDA" w14:textId="77777777" w:rsidR="005B6B34" w:rsidRPr="005B6B34" w:rsidRDefault="005B6B34" w:rsidP="005B6B34">
      <w:pPr>
        <w:mirrorIndents/>
        <w:rPr>
          <w:rFonts w:cs="Segoe UI Light"/>
          <w:szCs w:val="20"/>
        </w:rPr>
      </w:pPr>
      <w:r w:rsidRPr="005B6B34">
        <w:rPr>
          <w:rFonts w:cs="Segoe UI Light"/>
          <w:szCs w:val="20"/>
        </w:rPr>
        <w:t>The new EP legislation defines noise as both sound and vibration. It defines unreasonable noise as noise that is unreasonable having regard to the following:</w:t>
      </w:r>
    </w:p>
    <w:p w14:paraId="656B0DDB" w14:textId="77777777" w:rsidR="005B6B34" w:rsidRPr="005B6B34" w:rsidRDefault="00C3076F" w:rsidP="00C3076F">
      <w:pPr>
        <w:pStyle w:val="ListParagraph"/>
        <w:numPr>
          <w:ilvl w:val="0"/>
          <w:numId w:val="104"/>
        </w:numPr>
        <w:ind w:left="709" w:hanging="425"/>
        <w:mirrorIndents/>
        <w:rPr>
          <w:rFonts w:cs="Segoe UI Light"/>
          <w:szCs w:val="20"/>
        </w:rPr>
      </w:pPr>
      <w:r>
        <w:rPr>
          <w:rFonts w:cs="Segoe UI Light"/>
          <w:szCs w:val="20"/>
        </w:rPr>
        <w:t>I</w:t>
      </w:r>
      <w:r w:rsidR="005B6B34" w:rsidRPr="005B6B34">
        <w:rPr>
          <w:rFonts w:cs="Segoe UI Light"/>
          <w:szCs w:val="20"/>
        </w:rPr>
        <w:t>ts volume, intensity or duration</w:t>
      </w:r>
    </w:p>
    <w:p w14:paraId="656B0DDC" w14:textId="77777777" w:rsidR="005B6B34" w:rsidRPr="005B6B34" w:rsidRDefault="00C3076F" w:rsidP="00C3076F">
      <w:pPr>
        <w:pStyle w:val="ListParagraph"/>
        <w:numPr>
          <w:ilvl w:val="0"/>
          <w:numId w:val="104"/>
        </w:numPr>
        <w:ind w:left="709" w:hanging="425"/>
        <w:mirrorIndents/>
        <w:rPr>
          <w:rFonts w:cs="Segoe UI Light"/>
          <w:szCs w:val="20"/>
        </w:rPr>
      </w:pPr>
      <w:r>
        <w:rPr>
          <w:rFonts w:cs="Segoe UI Light"/>
          <w:szCs w:val="20"/>
        </w:rPr>
        <w:t>I</w:t>
      </w:r>
      <w:r w:rsidR="005B6B34" w:rsidRPr="005B6B34">
        <w:rPr>
          <w:rFonts w:cs="Segoe UI Light"/>
          <w:szCs w:val="20"/>
        </w:rPr>
        <w:t>ts character</w:t>
      </w:r>
    </w:p>
    <w:p w14:paraId="656B0DDD" w14:textId="77777777" w:rsidR="005B6B34" w:rsidRPr="005B6B34" w:rsidRDefault="00C3076F" w:rsidP="00C3076F">
      <w:pPr>
        <w:pStyle w:val="ListParagraph"/>
        <w:numPr>
          <w:ilvl w:val="0"/>
          <w:numId w:val="104"/>
        </w:numPr>
        <w:ind w:left="709" w:hanging="425"/>
        <w:mirrorIndents/>
        <w:rPr>
          <w:rFonts w:cs="Segoe UI Light"/>
          <w:szCs w:val="20"/>
        </w:rPr>
      </w:pPr>
      <w:r>
        <w:rPr>
          <w:rFonts w:cs="Segoe UI Light"/>
          <w:szCs w:val="20"/>
        </w:rPr>
        <w:t>T</w:t>
      </w:r>
      <w:r w:rsidR="005B6B34" w:rsidRPr="005B6B34">
        <w:rPr>
          <w:rFonts w:cs="Segoe UI Light"/>
          <w:szCs w:val="20"/>
        </w:rPr>
        <w:t>he time, place and other circumstances in which it is emitted</w:t>
      </w:r>
    </w:p>
    <w:p w14:paraId="656B0DDE" w14:textId="77777777" w:rsidR="009716AD" w:rsidRDefault="00C3076F" w:rsidP="00C3076F">
      <w:pPr>
        <w:pStyle w:val="ListParagraph"/>
        <w:numPr>
          <w:ilvl w:val="0"/>
          <w:numId w:val="104"/>
        </w:numPr>
        <w:ind w:left="709" w:hanging="425"/>
        <w:mirrorIndents/>
        <w:rPr>
          <w:rFonts w:cs="Segoe UI Light"/>
          <w:szCs w:val="20"/>
        </w:rPr>
      </w:pPr>
      <w:r>
        <w:rPr>
          <w:rFonts w:cs="Segoe UI Light"/>
          <w:szCs w:val="20"/>
        </w:rPr>
        <w:t>H</w:t>
      </w:r>
      <w:r w:rsidR="005B6B34" w:rsidRPr="005B6B34">
        <w:rPr>
          <w:rFonts w:cs="Segoe UI Light"/>
          <w:szCs w:val="20"/>
        </w:rPr>
        <w:t>ow often it is emitted</w:t>
      </w:r>
    </w:p>
    <w:p w14:paraId="656B0DDF" w14:textId="77777777" w:rsidR="005B6B34" w:rsidRPr="005B6B34" w:rsidRDefault="00C3076F" w:rsidP="00C3076F">
      <w:pPr>
        <w:pStyle w:val="ListParagraph"/>
        <w:numPr>
          <w:ilvl w:val="0"/>
          <w:numId w:val="104"/>
        </w:numPr>
        <w:ind w:left="709" w:hanging="425"/>
        <w:mirrorIndents/>
        <w:rPr>
          <w:rFonts w:cs="Segoe UI Light"/>
          <w:szCs w:val="20"/>
        </w:rPr>
      </w:pPr>
      <w:r>
        <w:rPr>
          <w:rFonts w:cs="Segoe UI Light"/>
          <w:szCs w:val="20"/>
        </w:rPr>
        <w:t>A</w:t>
      </w:r>
      <w:r w:rsidR="009716AD" w:rsidRPr="009716AD">
        <w:rPr>
          <w:rFonts w:cs="Segoe UI Light"/>
          <w:szCs w:val="20"/>
        </w:rPr>
        <w:t>ny prescribed factors or if it is prescribed to be unreasonable noise</w:t>
      </w:r>
      <w:r w:rsidR="005B6B34" w:rsidRPr="005B6B34">
        <w:rPr>
          <w:rFonts w:cs="Segoe UI Light"/>
          <w:szCs w:val="20"/>
        </w:rPr>
        <w:t>.</w:t>
      </w:r>
    </w:p>
    <w:p w14:paraId="656B0DE0" w14:textId="77777777" w:rsidR="005B6B34" w:rsidRPr="005B6B34" w:rsidRDefault="005B6B34" w:rsidP="005B6B34">
      <w:pPr>
        <w:mirrorIndents/>
        <w:rPr>
          <w:rFonts w:cs="Segoe UI Light"/>
          <w:szCs w:val="20"/>
          <w:lang w:val="en-US" w:eastAsia="ja-JP"/>
        </w:rPr>
      </w:pPr>
      <w:r w:rsidRPr="005B6B34">
        <w:rPr>
          <w:rFonts w:cs="Segoe UI Light"/>
          <w:szCs w:val="20"/>
          <w:lang w:val="en-US" w:eastAsia="ja-JP"/>
        </w:rPr>
        <w:t>Under Section 167</w:t>
      </w:r>
      <w:r w:rsidR="003B3984">
        <w:rPr>
          <w:rFonts w:cs="Segoe UI Light"/>
          <w:szCs w:val="20"/>
          <w:lang w:val="en-US" w:eastAsia="ja-JP"/>
        </w:rPr>
        <w:t xml:space="preserve"> of the new EP legislation</w:t>
      </w:r>
      <w:r w:rsidRPr="005B6B34">
        <w:rPr>
          <w:rFonts w:cs="Segoe UI Light"/>
          <w:szCs w:val="20"/>
          <w:lang w:val="en-US" w:eastAsia="ja-JP"/>
        </w:rPr>
        <w:t>, which establishes provisions for unreasonable noise from residential premises, a person is taken to emit an unreasonable noise if the person uses a prescribed item except in a case of emergency:</w:t>
      </w:r>
    </w:p>
    <w:p w14:paraId="656B0DE1" w14:textId="77777777" w:rsidR="005B6B34" w:rsidRPr="005B6B34" w:rsidRDefault="00C3076F" w:rsidP="00C3076F">
      <w:pPr>
        <w:pStyle w:val="ListParagraph"/>
        <w:numPr>
          <w:ilvl w:val="0"/>
          <w:numId w:val="105"/>
        </w:numPr>
        <w:ind w:left="709" w:hanging="425"/>
        <w:mirrorIndents/>
        <w:rPr>
          <w:rFonts w:cs="Segoe UI Light"/>
          <w:szCs w:val="20"/>
        </w:rPr>
      </w:pPr>
      <w:r>
        <w:rPr>
          <w:rFonts w:cs="Segoe UI Light"/>
          <w:szCs w:val="20"/>
        </w:rPr>
        <w:t>A</w:t>
      </w:r>
      <w:r w:rsidR="005B6B34" w:rsidRPr="005B6B34">
        <w:rPr>
          <w:rFonts w:cs="Segoe UI Light"/>
          <w:szCs w:val="20"/>
        </w:rPr>
        <w:t>t any time prescribed as a prohibited time; and</w:t>
      </w:r>
    </w:p>
    <w:p w14:paraId="656B0DE2" w14:textId="77777777" w:rsidR="005B6B34" w:rsidRPr="005B6B34" w:rsidRDefault="00C3076F" w:rsidP="00C3076F">
      <w:pPr>
        <w:pStyle w:val="ListParagraph"/>
        <w:numPr>
          <w:ilvl w:val="0"/>
          <w:numId w:val="105"/>
        </w:numPr>
        <w:ind w:left="709" w:hanging="425"/>
        <w:mirrorIndents/>
        <w:rPr>
          <w:rFonts w:cs="Segoe UI Light"/>
          <w:szCs w:val="20"/>
        </w:rPr>
      </w:pPr>
      <w:r>
        <w:rPr>
          <w:rFonts w:cs="Segoe UI Light"/>
          <w:szCs w:val="20"/>
        </w:rPr>
        <w:t>I</w:t>
      </w:r>
      <w:r w:rsidR="005B6B34" w:rsidRPr="005B6B34">
        <w:rPr>
          <w:rFonts w:cs="Segoe UI Light"/>
          <w:szCs w:val="20"/>
        </w:rPr>
        <w:t>f noise emitted by that item can be heard in a habitable room in residential premises other than premises in which the item is being used, whether or not a window or door in that room is open.</w:t>
      </w:r>
    </w:p>
    <w:p w14:paraId="656B0DE3" w14:textId="05A8B2B3" w:rsidR="005B6B34" w:rsidRPr="005B6B34" w:rsidRDefault="005B6B34" w:rsidP="00495D28">
      <w:pPr>
        <w:mirrorIndents/>
        <w:rPr>
          <w:rFonts w:cs="Segoe UI Light"/>
          <w:szCs w:val="20"/>
        </w:rPr>
      </w:pPr>
      <w:r w:rsidRPr="005B6B34">
        <w:rPr>
          <w:rFonts w:cs="Segoe UI Light"/>
          <w:szCs w:val="20"/>
        </w:rPr>
        <w:t xml:space="preserve">The new EP </w:t>
      </w:r>
      <w:r w:rsidR="009E7868" w:rsidRPr="005B6B34">
        <w:rPr>
          <w:rFonts w:cs="Segoe UI Light"/>
          <w:szCs w:val="20"/>
        </w:rPr>
        <w:t>legislation</w:t>
      </w:r>
      <w:r w:rsidR="009E7868">
        <w:rPr>
          <w:rFonts w:cs="Segoe UI Light"/>
          <w:szCs w:val="20"/>
        </w:rPr>
        <w:t xml:space="preserve"> amends the definition of residential premises under Section 165 to</w:t>
      </w:r>
      <w:r w:rsidR="009E7868" w:rsidRPr="005B6B34">
        <w:rPr>
          <w:rFonts w:cs="Segoe UI Light"/>
          <w:szCs w:val="20"/>
        </w:rPr>
        <w:t xml:space="preserve"> explicitly</w:t>
      </w:r>
      <w:r w:rsidR="009E7868">
        <w:rPr>
          <w:rFonts w:cs="Segoe UI Light"/>
          <w:szCs w:val="20"/>
        </w:rPr>
        <w:t xml:space="preserve"> exclude</w:t>
      </w:r>
      <w:r w:rsidR="009E7868" w:rsidRPr="005B6B34">
        <w:rPr>
          <w:rFonts w:cs="Segoe UI Light"/>
          <w:szCs w:val="20"/>
        </w:rPr>
        <w:t xml:space="preserve">  noise from</w:t>
      </w:r>
      <w:r w:rsidR="009E7868">
        <w:rPr>
          <w:rFonts w:cs="Segoe UI Light"/>
          <w:szCs w:val="20"/>
        </w:rPr>
        <w:t xml:space="preserve"> residential</w:t>
      </w:r>
      <w:r w:rsidR="009E7868" w:rsidRPr="005B6B34">
        <w:rPr>
          <w:rFonts w:cs="Segoe UI Light"/>
          <w:szCs w:val="20"/>
        </w:rPr>
        <w:t xml:space="preserve"> construction activity.</w:t>
      </w:r>
      <w:r w:rsidR="009E7868">
        <w:rPr>
          <w:rFonts w:cs="Segoe UI Light"/>
          <w:szCs w:val="20"/>
        </w:rPr>
        <w:t xml:space="preserve"> The effect of this change is that noise from construction or demolition of a residential premises will no longer be regulated as a residential noise source under Section 167</w:t>
      </w:r>
      <w:r w:rsidRPr="005B6B34">
        <w:rPr>
          <w:rFonts w:cs="Segoe UI Light"/>
          <w:szCs w:val="20"/>
        </w:rPr>
        <w:t xml:space="preserve">. However, the unreasonable noise provision under Section 166 provides a mechanism for </w:t>
      </w:r>
      <w:r w:rsidR="000514DD">
        <w:rPr>
          <w:rFonts w:cs="Segoe UI Light"/>
          <w:szCs w:val="20"/>
        </w:rPr>
        <w:t>EPA</w:t>
      </w:r>
      <w:r w:rsidRPr="005B6B34">
        <w:rPr>
          <w:rFonts w:cs="Segoe UI Light"/>
          <w:szCs w:val="20"/>
        </w:rPr>
        <w:t xml:space="preserve"> and residential noise enforcement officers to apply an unreasonable noise test to construction activities.</w:t>
      </w:r>
      <w:r w:rsidR="00495D28" w:rsidRPr="00495D28">
        <w:t xml:space="preserve"> </w:t>
      </w:r>
      <w:r w:rsidR="00495D28" w:rsidRPr="005B6B34">
        <w:t>The new EP legislation also does not define prescribed items or prohibited times for unreasonable noise.</w:t>
      </w:r>
      <w:r w:rsidR="003A4B3B">
        <w:t xml:space="preserve"> In practice, this means that noise enforcement officers will need to demonstrate the occurrence of unreasonable noise prior to enforcing the unreasonable noise provisions.</w:t>
      </w:r>
    </w:p>
    <w:p w14:paraId="656B0DE4" w14:textId="0651F56A" w:rsidR="00ED74A2" w:rsidRDefault="009716AD" w:rsidP="00ED74A2">
      <w:pPr>
        <w:mirrorIndents/>
      </w:pPr>
      <w:r>
        <w:t>T</w:t>
      </w:r>
      <w:r w:rsidR="005B6B34" w:rsidRPr="005B6B34">
        <w:t>he new EP legislation does not define aggravated noise or outline a methodology for establishing aggravated noise</w:t>
      </w:r>
      <w:r>
        <w:t xml:space="preserve">, however, </w:t>
      </w:r>
      <w:r w:rsidR="00C97BDA">
        <w:t xml:space="preserve">it does provide that </w:t>
      </w:r>
      <w:r>
        <w:t>aggravated noise can be prescribed in regulations under the new EP legislation</w:t>
      </w:r>
      <w:r w:rsidR="005B6B34" w:rsidRPr="005B6B34">
        <w:t xml:space="preserve">. </w:t>
      </w:r>
    </w:p>
    <w:p w14:paraId="656B0DE5" w14:textId="77777777" w:rsidR="005B6B34" w:rsidRPr="005B6B34" w:rsidRDefault="005B6B34" w:rsidP="00982D63">
      <w:pPr>
        <w:pStyle w:val="Heading2"/>
      </w:pPr>
      <w:r w:rsidRPr="005B6B34">
        <w:t>Nature and extent of problem</w:t>
      </w:r>
    </w:p>
    <w:p w14:paraId="656B0DE6" w14:textId="77777777" w:rsidR="005B6B34" w:rsidRDefault="005B6B34" w:rsidP="008048CF">
      <w:pPr>
        <w:pStyle w:val="Heading3"/>
        <w:ind w:left="720"/>
        <w:rPr>
          <w:rFonts w:cs="Segoe UI Light"/>
        </w:rPr>
      </w:pPr>
      <w:r w:rsidRPr="008048CF">
        <w:t>Residual</w:t>
      </w:r>
      <w:r w:rsidRPr="005B6B34">
        <w:rPr>
          <w:rFonts w:cs="Segoe UI Light"/>
        </w:rPr>
        <w:t xml:space="preserve"> risk</w:t>
      </w:r>
    </w:p>
    <w:p w14:paraId="656B0DE7" w14:textId="77777777" w:rsidR="00F77C1B" w:rsidRPr="008048CF" w:rsidRDefault="00F77C1B" w:rsidP="008048CF">
      <w:pPr>
        <w:autoSpaceDE w:val="0"/>
        <w:autoSpaceDN w:val="0"/>
        <w:adjustRightInd w:val="0"/>
        <w:spacing w:line="240" w:lineRule="auto"/>
        <w:mirrorIndents/>
        <w:rPr>
          <w:rFonts w:cs="Segoe UI Light"/>
          <w:szCs w:val="20"/>
          <w:lang w:val="en-US" w:eastAsia="ja-JP"/>
        </w:rPr>
      </w:pPr>
      <w:r w:rsidRPr="008048CF">
        <w:rPr>
          <w:rFonts w:cs="Segoe UI Light"/>
          <w:szCs w:val="20"/>
          <w:lang w:val="en-US" w:eastAsia="ja-JP"/>
        </w:rPr>
        <w:t>The residual risks in relation to noise are:</w:t>
      </w:r>
    </w:p>
    <w:p w14:paraId="656B0DE8" w14:textId="77777777" w:rsidR="00F77C1B" w:rsidRPr="008048CF" w:rsidRDefault="00F77C1B" w:rsidP="008048CF">
      <w:pPr>
        <w:pStyle w:val="ListParagraph"/>
        <w:numPr>
          <w:ilvl w:val="0"/>
          <w:numId w:val="237"/>
        </w:numPr>
        <w:autoSpaceDE w:val="0"/>
        <w:autoSpaceDN w:val="0"/>
        <w:adjustRightInd w:val="0"/>
        <w:spacing w:line="240" w:lineRule="auto"/>
        <w:mirrorIndents/>
        <w:rPr>
          <w:rFonts w:cs="Segoe UI Light"/>
          <w:szCs w:val="20"/>
          <w:lang w:val="en-US" w:eastAsia="ja-JP"/>
        </w:rPr>
      </w:pPr>
      <w:r w:rsidRPr="008048CF">
        <w:rPr>
          <w:rFonts w:cs="Segoe UI Light"/>
          <w:szCs w:val="20"/>
          <w:lang w:val="en-US" w:eastAsia="ja-JP"/>
        </w:rPr>
        <w:t>A lack of consistency and certainty with respect to how duty holders need to comply with the unreasonable and aggravated noise requirements in the new EP legislation, leading to failure to meet their duties and unnecessary costs to both duty holders and EPA</w:t>
      </w:r>
      <w:r w:rsidR="00DC7A63">
        <w:rPr>
          <w:rFonts w:cs="Segoe UI Light"/>
          <w:szCs w:val="20"/>
          <w:lang w:val="en-US" w:eastAsia="ja-JP"/>
        </w:rPr>
        <w:t xml:space="preserve">. </w:t>
      </w:r>
    </w:p>
    <w:p w14:paraId="656B0DE9" w14:textId="77777777" w:rsidR="00F77C1B" w:rsidRPr="00F77C1B" w:rsidRDefault="00F77C1B" w:rsidP="008048CF">
      <w:pPr>
        <w:pStyle w:val="ListParagraph"/>
        <w:numPr>
          <w:ilvl w:val="0"/>
          <w:numId w:val="237"/>
        </w:numPr>
        <w:autoSpaceDE w:val="0"/>
        <w:autoSpaceDN w:val="0"/>
        <w:adjustRightInd w:val="0"/>
        <w:spacing w:line="240" w:lineRule="auto"/>
        <w:mirrorIndents/>
      </w:pPr>
      <w:r w:rsidRPr="008048CF">
        <w:rPr>
          <w:rFonts w:cs="Segoe UI Light"/>
          <w:szCs w:val="20"/>
          <w:lang w:val="en-US" w:eastAsia="ja-JP"/>
        </w:rPr>
        <w:t>This lack of certainty means that the civil penalty provisions under the new EP legislation will be difficult to enforce without prescription under regulation.</w:t>
      </w:r>
    </w:p>
    <w:p w14:paraId="656B0DEA" w14:textId="77777777" w:rsidR="005B6B34" w:rsidRPr="005B6B34" w:rsidRDefault="009F5994" w:rsidP="005B6B34">
      <w:pPr>
        <w:autoSpaceDE w:val="0"/>
        <w:autoSpaceDN w:val="0"/>
        <w:adjustRightInd w:val="0"/>
        <w:spacing w:line="240" w:lineRule="auto"/>
        <w:mirrorIndents/>
        <w:rPr>
          <w:rFonts w:cs="Segoe UI Light"/>
          <w:szCs w:val="20"/>
          <w:lang w:val="en-US" w:eastAsia="ja-JP"/>
        </w:rPr>
      </w:pPr>
      <w:r>
        <w:rPr>
          <w:rFonts w:cs="Segoe UI Light"/>
          <w:szCs w:val="20"/>
          <w:lang w:val="en-US" w:eastAsia="ja-JP"/>
        </w:rPr>
        <w:t>A</w:t>
      </w:r>
      <w:r w:rsidR="00C1798C">
        <w:rPr>
          <w:rFonts w:cs="Segoe UI Light"/>
          <w:szCs w:val="20"/>
          <w:lang w:val="en-US" w:eastAsia="ja-JP"/>
        </w:rPr>
        <w:t xml:space="preserve"> significant residual risk </w:t>
      </w:r>
      <w:r>
        <w:rPr>
          <w:rFonts w:cs="Segoe UI Light"/>
          <w:szCs w:val="20"/>
          <w:lang w:val="en-US" w:eastAsia="ja-JP"/>
        </w:rPr>
        <w:t>exists</w:t>
      </w:r>
      <w:r w:rsidR="00C1798C">
        <w:rPr>
          <w:rFonts w:cs="Segoe UI Light"/>
          <w:szCs w:val="20"/>
          <w:lang w:val="en-US" w:eastAsia="ja-JP"/>
        </w:rPr>
        <w:t xml:space="preserve"> because t</w:t>
      </w:r>
      <w:r w:rsidR="005B6B34" w:rsidRPr="005B6B34">
        <w:rPr>
          <w:rFonts w:cs="Segoe UI Light"/>
          <w:szCs w:val="20"/>
          <w:lang w:val="en-US" w:eastAsia="ja-JP"/>
        </w:rPr>
        <w:t xml:space="preserve">he new </w:t>
      </w:r>
      <w:r w:rsidR="005B6B34" w:rsidRPr="005B6B34">
        <w:rPr>
          <w:rFonts w:cs="Segoe UI Light"/>
          <w:szCs w:val="20"/>
        </w:rPr>
        <w:t>EP legislation</w:t>
      </w:r>
      <w:r w:rsidR="005B6B34" w:rsidRPr="005B6B34">
        <w:rPr>
          <w:rFonts w:cs="Segoe UI Light"/>
          <w:szCs w:val="20"/>
          <w:lang w:val="en-US" w:eastAsia="ja-JP"/>
        </w:rPr>
        <w:t xml:space="preserve"> does not prescribe how noise limits for </w:t>
      </w:r>
      <w:r w:rsidR="009716AD">
        <w:rPr>
          <w:rFonts w:cs="Segoe UI Light"/>
          <w:szCs w:val="20"/>
          <w:lang w:val="en-US" w:eastAsia="ja-JP"/>
        </w:rPr>
        <w:t>CIT</w:t>
      </w:r>
      <w:r w:rsidR="005B6B34" w:rsidRPr="005B6B34" w:rsidDel="002F5AD5">
        <w:rPr>
          <w:rFonts w:cs="Segoe UI Light"/>
          <w:szCs w:val="20"/>
          <w:lang w:val="en-US" w:eastAsia="ja-JP"/>
        </w:rPr>
        <w:t xml:space="preserve"> </w:t>
      </w:r>
      <w:r w:rsidR="005B6B34" w:rsidRPr="005B6B34">
        <w:rPr>
          <w:rFonts w:cs="Segoe UI Light"/>
          <w:szCs w:val="20"/>
          <w:lang w:val="en-US" w:eastAsia="ja-JP"/>
        </w:rPr>
        <w:t xml:space="preserve">premises, entertainment venues and residential premises are established or measured with respect to the unreasonable and aggravated noise </w:t>
      </w:r>
      <w:r w:rsidR="00F77C1B">
        <w:rPr>
          <w:rFonts w:cs="Segoe UI Light"/>
          <w:szCs w:val="20"/>
          <w:lang w:val="en-US" w:eastAsia="ja-JP"/>
        </w:rPr>
        <w:t>requirements</w:t>
      </w:r>
      <w:r w:rsidR="005B6B34" w:rsidRPr="005B6B34">
        <w:rPr>
          <w:rFonts w:cs="Segoe UI Light"/>
          <w:szCs w:val="20"/>
          <w:lang w:val="en-US" w:eastAsia="ja-JP"/>
        </w:rPr>
        <w:t>. Specifically, the new EP legislation does not:</w:t>
      </w:r>
    </w:p>
    <w:p w14:paraId="656B0DEB" w14:textId="77777777" w:rsidR="005B6B34" w:rsidRPr="00037AF8" w:rsidRDefault="00C3076F" w:rsidP="00037AF8">
      <w:pPr>
        <w:pStyle w:val="ListParagraph"/>
        <w:numPr>
          <w:ilvl w:val="0"/>
          <w:numId w:val="237"/>
        </w:numPr>
        <w:autoSpaceDE w:val="0"/>
        <w:autoSpaceDN w:val="0"/>
        <w:adjustRightInd w:val="0"/>
        <w:spacing w:line="240" w:lineRule="auto"/>
        <w:mirrorIndents/>
        <w:rPr>
          <w:rFonts w:cs="Segoe UI Light"/>
          <w:szCs w:val="20"/>
          <w:lang w:val="en-US" w:eastAsia="ja-JP"/>
        </w:rPr>
      </w:pPr>
      <w:r w:rsidRPr="00037AF8">
        <w:rPr>
          <w:rFonts w:cs="Segoe UI Light"/>
          <w:szCs w:val="20"/>
          <w:lang w:val="en-US" w:eastAsia="ja-JP"/>
        </w:rPr>
        <w:t>P</w:t>
      </w:r>
      <w:r w:rsidR="005B6B34" w:rsidRPr="00037AF8">
        <w:rPr>
          <w:rFonts w:cs="Segoe UI Light"/>
          <w:szCs w:val="20"/>
          <w:lang w:val="en-US" w:eastAsia="ja-JP"/>
        </w:rPr>
        <w:t xml:space="preserve">rescribe a clear methodology for measuring and establishing noise limits for activities undertaken by </w:t>
      </w:r>
      <w:r w:rsidR="00C642B3" w:rsidRPr="00037AF8">
        <w:rPr>
          <w:rFonts w:cs="Segoe UI Light"/>
          <w:szCs w:val="20"/>
          <w:lang w:val="en-US" w:eastAsia="ja-JP"/>
        </w:rPr>
        <w:t xml:space="preserve">CIT </w:t>
      </w:r>
      <w:r w:rsidR="005B6B34" w:rsidRPr="00037AF8">
        <w:rPr>
          <w:rFonts w:cs="Segoe UI Light"/>
          <w:szCs w:val="20"/>
          <w:lang w:val="en-US" w:eastAsia="ja-JP"/>
        </w:rPr>
        <w:t xml:space="preserve">businesses, entertainment venues and residents. </w:t>
      </w:r>
    </w:p>
    <w:p w14:paraId="656B0DEC" w14:textId="77777777" w:rsidR="005B6B34" w:rsidRPr="00037AF8" w:rsidRDefault="00C3076F" w:rsidP="00037AF8">
      <w:pPr>
        <w:pStyle w:val="ListParagraph"/>
        <w:numPr>
          <w:ilvl w:val="0"/>
          <w:numId w:val="237"/>
        </w:numPr>
        <w:autoSpaceDE w:val="0"/>
        <w:autoSpaceDN w:val="0"/>
        <w:adjustRightInd w:val="0"/>
        <w:spacing w:line="240" w:lineRule="auto"/>
        <w:mirrorIndents/>
        <w:rPr>
          <w:rFonts w:cs="Segoe UI Light"/>
          <w:szCs w:val="20"/>
          <w:lang w:val="en-US" w:eastAsia="ja-JP"/>
        </w:rPr>
      </w:pPr>
      <w:r w:rsidRPr="00037AF8">
        <w:rPr>
          <w:rFonts w:cs="Segoe UI Light"/>
          <w:szCs w:val="20"/>
          <w:lang w:val="en-US" w:eastAsia="ja-JP"/>
        </w:rPr>
        <w:t>D</w:t>
      </w:r>
      <w:r w:rsidR="005B6B34" w:rsidRPr="00037AF8">
        <w:rPr>
          <w:rFonts w:cs="Segoe UI Light"/>
          <w:szCs w:val="20"/>
          <w:lang w:val="en-US" w:eastAsia="ja-JP"/>
        </w:rPr>
        <w:t>istinguish between ‘urban’ and ‘rural’ areas with respect to establishing background levels of noise</w:t>
      </w:r>
      <w:r w:rsidR="00AD4F3F" w:rsidRPr="00037AF8">
        <w:rPr>
          <w:rFonts w:cs="Segoe UI Light"/>
          <w:szCs w:val="20"/>
          <w:lang w:val="en-US" w:eastAsia="ja-JP"/>
        </w:rPr>
        <w:t xml:space="preserve"> and calculating noise limits.</w:t>
      </w:r>
      <w:r w:rsidR="005B6B34" w:rsidRPr="00037AF8">
        <w:rPr>
          <w:rFonts w:cs="Segoe UI Light"/>
          <w:szCs w:val="20"/>
          <w:lang w:val="en-US" w:eastAsia="ja-JP"/>
        </w:rPr>
        <w:t xml:space="preserve"> </w:t>
      </w:r>
    </w:p>
    <w:p w14:paraId="656B0DED" w14:textId="77777777" w:rsidR="005B6B34" w:rsidRPr="00037AF8" w:rsidRDefault="00C3076F" w:rsidP="00037AF8">
      <w:pPr>
        <w:pStyle w:val="ListParagraph"/>
        <w:numPr>
          <w:ilvl w:val="0"/>
          <w:numId w:val="237"/>
        </w:numPr>
        <w:autoSpaceDE w:val="0"/>
        <w:autoSpaceDN w:val="0"/>
        <w:adjustRightInd w:val="0"/>
        <w:spacing w:line="240" w:lineRule="auto"/>
        <w:mirrorIndents/>
        <w:rPr>
          <w:rFonts w:cs="Segoe UI Light"/>
          <w:szCs w:val="20"/>
          <w:lang w:val="en-US" w:eastAsia="ja-JP"/>
        </w:rPr>
      </w:pPr>
      <w:r w:rsidRPr="00037AF8">
        <w:rPr>
          <w:rFonts w:cs="Segoe UI Light"/>
          <w:szCs w:val="20"/>
          <w:lang w:val="en-US" w:eastAsia="ja-JP"/>
        </w:rPr>
        <w:t>P</w:t>
      </w:r>
      <w:r w:rsidR="005B6B34" w:rsidRPr="00037AF8">
        <w:rPr>
          <w:rFonts w:cs="Segoe UI Light"/>
          <w:szCs w:val="20"/>
          <w:lang w:val="en-US" w:eastAsia="ja-JP"/>
        </w:rPr>
        <w:t>rescribe any items or</w:t>
      </w:r>
      <w:r w:rsidR="00495D28" w:rsidRPr="00037AF8">
        <w:rPr>
          <w:rFonts w:cs="Segoe UI Light"/>
          <w:szCs w:val="20"/>
          <w:lang w:val="en-US" w:eastAsia="ja-JP"/>
        </w:rPr>
        <w:t xml:space="preserve"> relevant operating</w:t>
      </w:r>
      <w:r w:rsidR="005B6B34" w:rsidRPr="00037AF8">
        <w:rPr>
          <w:rFonts w:cs="Segoe UI Light"/>
          <w:szCs w:val="20"/>
          <w:lang w:val="en-US" w:eastAsia="ja-JP"/>
        </w:rPr>
        <w:t xml:space="preserve"> times with respect to sources of noise </w:t>
      </w:r>
      <w:r w:rsidR="00495D28" w:rsidRPr="00037AF8">
        <w:rPr>
          <w:rFonts w:cs="Segoe UI Light"/>
          <w:szCs w:val="20"/>
          <w:lang w:val="en-US" w:eastAsia="ja-JP"/>
        </w:rPr>
        <w:t xml:space="preserve">from residential premises </w:t>
      </w:r>
      <w:r w:rsidR="005B6B34" w:rsidRPr="00037AF8">
        <w:rPr>
          <w:rFonts w:cs="Segoe UI Light"/>
          <w:szCs w:val="20"/>
          <w:lang w:val="en-US" w:eastAsia="ja-JP"/>
        </w:rPr>
        <w:t xml:space="preserve">under the unreasonable noise provisions </w:t>
      </w:r>
    </w:p>
    <w:p w14:paraId="656B0DEE" w14:textId="77777777" w:rsidR="005B6B34" w:rsidRPr="00037AF8" w:rsidRDefault="00C3076F" w:rsidP="00037AF8">
      <w:pPr>
        <w:pStyle w:val="ListParagraph"/>
        <w:numPr>
          <w:ilvl w:val="0"/>
          <w:numId w:val="237"/>
        </w:numPr>
        <w:autoSpaceDE w:val="0"/>
        <w:autoSpaceDN w:val="0"/>
        <w:adjustRightInd w:val="0"/>
        <w:spacing w:line="240" w:lineRule="auto"/>
        <w:mirrorIndents/>
        <w:rPr>
          <w:rFonts w:cs="Segoe UI Light"/>
          <w:szCs w:val="20"/>
          <w:lang w:val="en-US" w:eastAsia="ja-JP"/>
        </w:rPr>
      </w:pPr>
      <w:r w:rsidRPr="00037AF8">
        <w:rPr>
          <w:rFonts w:cs="Segoe UI Light"/>
          <w:szCs w:val="20"/>
          <w:lang w:val="en-US" w:eastAsia="ja-JP"/>
        </w:rPr>
        <w:t>P</w:t>
      </w:r>
      <w:r w:rsidR="005B6B34" w:rsidRPr="00037AF8">
        <w:rPr>
          <w:rFonts w:cs="Segoe UI Light"/>
          <w:szCs w:val="20"/>
          <w:lang w:val="en-US" w:eastAsia="ja-JP"/>
        </w:rPr>
        <w:t xml:space="preserve">rescribe a clear definition of aggravated noise with respect to noise from </w:t>
      </w:r>
      <w:r w:rsidR="00C642B3" w:rsidRPr="00037AF8">
        <w:rPr>
          <w:rFonts w:cs="Segoe UI Light"/>
          <w:szCs w:val="20"/>
          <w:lang w:val="en-US" w:eastAsia="ja-JP"/>
        </w:rPr>
        <w:t>CIT</w:t>
      </w:r>
      <w:r w:rsidR="005B6B34" w:rsidRPr="00037AF8">
        <w:rPr>
          <w:rFonts w:cs="Segoe UI Light"/>
          <w:szCs w:val="20"/>
          <w:lang w:val="en-US" w:eastAsia="ja-JP"/>
        </w:rPr>
        <w:t xml:space="preserve"> premises, entertainment venues and residential premises.</w:t>
      </w:r>
    </w:p>
    <w:p w14:paraId="656B0DEF" w14:textId="77777777" w:rsidR="005B6B34" w:rsidRPr="005B6B34" w:rsidDel="00C1798C" w:rsidRDefault="005B6B34" w:rsidP="005B6B34">
      <w:pPr>
        <w:pStyle w:val="Bullet1"/>
        <w:ind w:left="0" w:firstLine="0"/>
        <w:rPr>
          <w:rFonts w:cs="Segoe UI Light"/>
          <w:szCs w:val="20"/>
        </w:rPr>
      </w:pPr>
      <w:r w:rsidRPr="005B6B34" w:rsidDel="00C1798C">
        <w:rPr>
          <w:rFonts w:cs="Segoe UI Light"/>
          <w:szCs w:val="20"/>
        </w:rPr>
        <w:t xml:space="preserve">A </w:t>
      </w:r>
      <w:r w:rsidR="009716AD" w:rsidDel="00C1798C">
        <w:rPr>
          <w:rFonts w:cs="Segoe UI Light"/>
          <w:szCs w:val="20"/>
        </w:rPr>
        <w:t>measurable</w:t>
      </w:r>
      <w:r w:rsidRPr="005B6B34" w:rsidDel="00C1798C">
        <w:rPr>
          <w:rFonts w:cs="Segoe UI Light"/>
          <w:szCs w:val="20"/>
        </w:rPr>
        <w:t xml:space="preserve"> framework for establishing noise limits for businesses, entertainment venues and residents is currently provided by SEPP N1, SEPP N2 and the Residential Noise Regulations.</w:t>
      </w:r>
    </w:p>
    <w:p w14:paraId="656B0DF0" w14:textId="77777777" w:rsidR="005B6B34" w:rsidRPr="005B6B34" w:rsidRDefault="009F5994" w:rsidP="005B6B34">
      <w:pPr>
        <w:autoSpaceDE w:val="0"/>
        <w:autoSpaceDN w:val="0"/>
        <w:adjustRightInd w:val="0"/>
        <w:spacing w:line="240" w:lineRule="auto"/>
        <w:mirrorIndents/>
        <w:rPr>
          <w:rFonts w:cs="Segoe UI Light"/>
          <w:szCs w:val="20"/>
        </w:rPr>
      </w:pPr>
      <w:r>
        <w:rPr>
          <w:rFonts w:cs="Segoe UI Light"/>
          <w:szCs w:val="20"/>
        </w:rPr>
        <w:t>In the absence of regulations to support the new EP legislation there is likely to be</w:t>
      </w:r>
      <w:r w:rsidR="005B6B34" w:rsidRPr="005B6B34">
        <w:rPr>
          <w:rFonts w:cs="Segoe UI Light"/>
          <w:szCs w:val="20"/>
        </w:rPr>
        <w:t xml:space="preserve"> significant uncertainty as to what constitutes ‘unreasonable’ and ‘aggravated’ noise</w:t>
      </w:r>
      <w:r w:rsidRPr="009F5994">
        <w:rPr>
          <w:rFonts w:cs="Segoe UI Light"/>
          <w:szCs w:val="20"/>
        </w:rPr>
        <w:t xml:space="preserve"> </w:t>
      </w:r>
      <w:r w:rsidRPr="005B6B34">
        <w:rPr>
          <w:rFonts w:cs="Segoe UI Light"/>
          <w:szCs w:val="20"/>
        </w:rPr>
        <w:t xml:space="preserve">from </w:t>
      </w:r>
      <w:r>
        <w:rPr>
          <w:rFonts w:cs="Segoe UI Light"/>
          <w:szCs w:val="20"/>
        </w:rPr>
        <w:t>CIT</w:t>
      </w:r>
      <w:r w:rsidRPr="005B6B34">
        <w:rPr>
          <w:rFonts w:cs="Segoe UI Light"/>
          <w:szCs w:val="20"/>
        </w:rPr>
        <w:t xml:space="preserve"> premises, entertainment venues and residential premises</w:t>
      </w:r>
      <w:r w:rsidR="005B6B34" w:rsidRPr="005B6B34">
        <w:rPr>
          <w:rFonts w:cs="Segoe UI Light"/>
          <w:szCs w:val="20"/>
        </w:rPr>
        <w:t>, and how such noise should be managed giving consideration to volume, intensity, time, duration, place and character.</w:t>
      </w:r>
      <w:r w:rsidR="00337671">
        <w:rPr>
          <w:rFonts w:cs="Segoe UI Light"/>
          <w:szCs w:val="20"/>
        </w:rPr>
        <w:t xml:space="preserve"> </w:t>
      </w:r>
      <w:r w:rsidR="00C1798C">
        <w:rPr>
          <w:rFonts w:cs="Segoe UI Light"/>
          <w:szCs w:val="20"/>
        </w:rPr>
        <w:t>This is likely to result</w:t>
      </w:r>
      <w:r w:rsidR="00C1798C" w:rsidRPr="005B6B34">
        <w:rPr>
          <w:rFonts w:cs="Segoe UI Light"/>
          <w:szCs w:val="20"/>
        </w:rPr>
        <w:t xml:space="preserve"> in increased risk to human health and detrimental community amenity outcomes. </w:t>
      </w:r>
      <w:r w:rsidR="005B6B34" w:rsidRPr="005B6B34">
        <w:rPr>
          <w:rFonts w:cs="Segoe UI Light"/>
          <w:szCs w:val="20"/>
        </w:rPr>
        <w:t>Furthermore, sufficient effect cannot be given to the civil penalty provisions</w:t>
      </w:r>
      <w:r w:rsidR="00F77C1B">
        <w:rPr>
          <w:rFonts w:cs="Segoe UI Light"/>
          <w:szCs w:val="20"/>
        </w:rPr>
        <w:t xml:space="preserve"> under</w:t>
      </w:r>
      <w:r w:rsidR="005B6B34" w:rsidRPr="005B6B34">
        <w:rPr>
          <w:rFonts w:cs="Segoe UI Light"/>
          <w:szCs w:val="20"/>
        </w:rPr>
        <w:t xml:space="preserve"> the new EP legislation without a clear definition of unreasonable and aggravated noise. </w:t>
      </w:r>
    </w:p>
    <w:p w14:paraId="656B0DF1" w14:textId="37AB4615" w:rsidR="005B6B34" w:rsidRPr="005B6B34" w:rsidRDefault="001303C9" w:rsidP="005B6B34">
      <w:pPr>
        <w:autoSpaceDE w:val="0"/>
        <w:autoSpaceDN w:val="0"/>
        <w:adjustRightInd w:val="0"/>
        <w:spacing w:line="240" w:lineRule="auto"/>
        <w:mirrorIndents/>
        <w:rPr>
          <w:rFonts w:cs="Segoe UI Light"/>
          <w:szCs w:val="20"/>
        </w:rPr>
      </w:pPr>
      <w:r>
        <w:rPr>
          <w:rFonts w:cs="Segoe UI Light"/>
          <w:szCs w:val="20"/>
        </w:rPr>
        <w:t>In addition,</w:t>
      </w:r>
      <w:r w:rsidR="005B6B34" w:rsidRPr="005B6B34">
        <w:rPr>
          <w:rFonts w:cs="Segoe UI Light"/>
          <w:szCs w:val="20"/>
        </w:rPr>
        <w:t xml:space="preserve"> it is also possible that some </w:t>
      </w:r>
      <w:r w:rsidR="000A7BE2">
        <w:rPr>
          <w:rFonts w:cs="Segoe UI Light"/>
          <w:szCs w:val="20"/>
        </w:rPr>
        <w:t>duty holders</w:t>
      </w:r>
      <w:r w:rsidR="005B6B34" w:rsidRPr="005B6B34">
        <w:rPr>
          <w:rFonts w:cs="Segoe UI Light"/>
          <w:szCs w:val="20"/>
        </w:rPr>
        <w:t xml:space="preserve"> might over-comply in order to </w:t>
      </w:r>
      <w:r w:rsidR="005B6B34" w:rsidRPr="005B6B34">
        <w:rPr>
          <w:rFonts w:cs="Segoe UI Light"/>
          <w:szCs w:val="20"/>
          <w:lang w:val="en-US" w:eastAsia="ja-JP"/>
        </w:rPr>
        <w:t>avoid the costs associated with managing and responding to complaints in the absence of a framework for establishing noise limits</w:t>
      </w:r>
      <w:r w:rsidR="005B6B34" w:rsidRPr="005B6B34">
        <w:rPr>
          <w:rFonts w:cs="Segoe UI Light"/>
          <w:szCs w:val="20"/>
        </w:rPr>
        <w:t>.</w:t>
      </w:r>
    </w:p>
    <w:p w14:paraId="656B0DF2" w14:textId="77777777" w:rsidR="005B6B34" w:rsidRPr="005B6B34" w:rsidRDefault="005B6B34" w:rsidP="005B6B34">
      <w:pPr>
        <w:autoSpaceDE w:val="0"/>
        <w:autoSpaceDN w:val="0"/>
        <w:adjustRightInd w:val="0"/>
        <w:spacing w:line="240" w:lineRule="auto"/>
        <w:mirrorIndents/>
        <w:rPr>
          <w:rFonts w:cs="Segoe UI Light"/>
          <w:szCs w:val="20"/>
        </w:rPr>
      </w:pPr>
      <w:r w:rsidRPr="005B6B34">
        <w:rPr>
          <w:rFonts w:cs="Segoe UI Light"/>
          <w:szCs w:val="20"/>
        </w:rPr>
        <w:t>These outcomes are possible due to the characteristics of noise pollution:</w:t>
      </w:r>
    </w:p>
    <w:p w14:paraId="656B0DF3" w14:textId="40AC592A" w:rsidR="005B6B34" w:rsidRPr="00037AF8" w:rsidRDefault="00C3076F" w:rsidP="00037AF8">
      <w:pPr>
        <w:pStyle w:val="ListParagraph"/>
        <w:numPr>
          <w:ilvl w:val="0"/>
          <w:numId w:val="237"/>
        </w:numPr>
        <w:autoSpaceDE w:val="0"/>
        <w:autoSpaceDN w:val="0"/>
        <w:adjustRightInd w:val="0"/>
        <w:spacing w:line="240" w:lineRule="auto"/>
        <w:mirrorIndents/>
        <w:rPr>
          <w:rFonts w:cs="Segoe UI Light"/>
          <w:szCs w:val="20"/>
          <w:lang w:val="en-US" w:eastAsia="ja-JP"/>
        </w:rPr>
      </w:pPr>
      <w:r w:rsidRPr="00037AF8">
        <w:rPr>
          <w:rFonts w:cs="Segoe UI Light"/>
          <w:szCs w:val="20"/>
          <w:lang w:val="en-US" w:eastAsia="ja-JP"/>
        </w:rPr>
        <w:t>N</w:t>
      </w:r>
      <w:r w:rsidR="005B6B34" w:rsidRPr="00037AF8">
        <w:rPr>
          <w:rFonts w:cs="Segoe UI Light"/>
          <w:szCs w:val="20"/>
          <w:lang w:val="en-US" w:eastAsia="ja-JP"/>
        </w:rPr>
        <w:t xml:space="preserve">oise pollution is often </w:t>
      </w:r>
      <w:r w:rsidR="000A7BE2">
        <w:rPr>
          <w:rFonts w:cs="Segoe UI Light"/>
          <w:szCs w:val="20"/>
          <w:lang w:val="en-US" w:eastAsia="ja-JP"/>
        </w:rPr>
        <w:t>diffuse</w:t>
      </w:r>
      <w:r w:rsidR="000A7BE2" w:rsidRPr="00037AF8">
        <w:rPr>
          <w:rFonts w:cs="Segoe UI Light"/>
          <w:szCs w:val="20"/>
          <w:lang w:val="en-US" w:eastAsia="ja-JP"/>
        </w:rPr>
        <w:t xml:space="preserve"> </w:t>
      </w:r>
      <w:r w:rsidR="005B6B34" w:rsidRPr="00037AF8">
        <w:rPr>
          <w:rFonts w:cs="Segoe UI Light"/>
          <w:szCs w:val="20"/>
          <w:lang w:val="en-US" w:eastAsia="ja-JP"/>
        </w:rPr>
        <w:t>and non-cumulative over time (it will dissipate the moment the activity has ended), making enforcement extremely complex</w:t>
      </w:r>
    </w:p>
    <w:p w14:paraId="656B0DF4" w14:textId="77777777" w:rsidR="005B6B34" w:rsidRPr="00037AF8" w:rsidRDefault="00C3076F" w:rsidP="00037AF8">
      <w:pPr>
        <w:pStyle w:val="ListParagraph"/>
        <w:numPr>
          <w:ilvl w:val="0"/>
          <w:numId w:val="237"/>
        </w:numPr>
        <w:autoSpaceDE w:val="0"/>
        <w:autoSpaceDN w:val="0"/>
        <w:adjustRightInd w:val="0"/>
        <w:spacing w:line="240" w:lineRule="auto"/>
        <w:mirrorIndents/>
        <w:rPr>
          <w:rFonts w:cs="Segoe UI Light"/>
          <w:szCs w:val="20"/>
          <w:lang w:val="en-US" w:eastAsia="ja-JP"/>
        </w:rPr>
      </w:pPr>
      <w:r w:rsidRPr="00037AF8">
        <w:rPr>
          <w:rFonts w:cs="Segoe UI Light"/>
          <w:szCs w:val="20"/>
          <w:lang w:val="en-US" w:eastAsia="ja-JP"/>
        </w:rPr>
        <w:t>T</w:t>
      </w:r>
      <w:r w:rsidR="005B6B34" w:rsidRPr="00037AF8">
        <w:rPr>
          <w:rFonts w:cs="Segoe UI Light"/>
          <w:szCs w:val="20"/>
          <w:lang w:val="en-US" w:eastAsia="ja-JP"/>
        </w:rPr>
        <w:t xml:space="preserve">he risk to human health and/or environment (native fauna) </w:t>
      </w:r>
      <w:r w:rsidR="00792CA0" w:rsidRPr="00037AF8">
        <w:rPr>
          <w:rFonts w:cs="Segoe UI Light"/>
          <w:szCs w:val="20"/>
          <w:lang w:val="en-US" w:eastAsia="ja-JP"/>
        </w:rPr>
        <w:t xml:space="preserve">is often </w:t>
      </w:r>
      <w:r w:rsidR="005B6B34" w:rsidRPr="00037AF8">
        <w:rPr>
          <w:rFonts w:cs="Segoe UI Light"/>
          <w:szCs w:val="20"/>
          <w:lang w:val="en-US" w:eastAsia="ja-JP"/>
        </w:rPr>
        <w:t xml:space="preserve">not immediately clear to the person creating noise pollution. </w:t>
      </w:r>
    </w:p>
    <w:p w14:paraId="656B0DF5" w14:textId="77777777" w:rsidR="00337671" w:rsidRPr="005B6B34" w:rsidRDefault="00337671" w:rsidP="003A4B3B">
      <w:pPr>
        <w:pStyle w:val="Bullet1"/>
        <w:ind w:left="0" w:firstLine="0"/>
        <w:rPr>
          <w:rFonts w:cs="Segoe UI Light"/>
          <w:szCs w:val="20"/>
        </w:rPr>
      </w:pPr>
      <w:r>
        <w:rPr>
          <w:rFonts w:cs="Segoe UI Light"/>
          <w:szCs w:val="20"/>
        </w:rPr>
        <w:t xml:space="preserve">Overall, it is difficult to estimate the extent of </w:t>
      </w:r>
      <w:r w:rsidR="00615769">
        <w:rPr>
          <w:rFonts w:cs="Segoe UI Light"/>
          <w:szCs w:val="20"/>
        </w:rPr>
        <w:t xml:space="preserve">the </w:t>
      </w:r>
      <w:r>
        <w:rPr>
          <w:rFonts w:cs="Segoe UI Light"/>
          <w:szCs w:val="20"/>
        </w:rPr>
        <w:t>residual risk</w:t>
      </w:r>
      <w:r w:rsidR="00615769">
        <w:rPr>
          <w:rFonts w:cs="Segoe UI Light"/>
          <w:szCs w:val="20"/>
        </w:rPr>
        <w:t xml:space="preserve"> associated with </w:t>
      </w:r>
      <w:r w:rsidR="00615769" w:rsidRPr="005B6B34">
        <w:rPr>
          <w:rFonts w:cs="Segoe UI Light"/>
          <w:szCs w:val="20"/>
        </w:rPr>
        <w:t>‘unreasonable’ and ‘aggravated’ noise</w:t>
      </w:r>
      <w:r w:rsidR="00615769" w:rsidRPr="009F5994">
        <w:rPr>
          <w:rFonts w:cs="Segoe UI Light"/>
          <w:szCs w:val="20"/>
        </w:rPr>
        <w:t xml:space="preserve"> </w:t>
      </w:r>
      <w:r w:rsidR="00615769" w:rsidRPr="005B6B34">
        <w:rPr>
          <w:rFonts w:cs="Segoe UI Light"/>
          <w:szCs w:val="20"/>
        </w:rPr>
        <w:t xml:space="preserve">from </w:t>
      </w:r>
      <w:r w:rsidR="00615769">
        <w:rPr>
          <w:rFonts w:cs="Segoe UI Light"/>
          <w:szCs w:val="20"/>
        </w:rPr>
        <w:t>CIT</w:t>
      </w:r>
      <w:r w:rsidR="00615769" w:rsidRPr="005B6B34">
        <w:rPr>
          <w:rFonts w:cs="Segoe UI Light"/>
          <w:szCs w:val="20"/>
        </w:rPr>
        <w:t xml:space="preserve"> premises, entertainment venues and residential premises</w:t>
      </w:r>
      <w:r w:rsidR="00B05634">
        <w:rPr>
          <w:rFonts w:cs="Segoe UI Light"/>
          <w:szCs w:val="20"/>
        </w:rPr>
        <w:t>.</w:t>
      </w:r>
      <w:r w:rsidR="00615769">
        <w:rPr>
          <w:rFonts w:cs="Segoe UI Light"/>
          <w:szCs w:val="20"/>
        </w:rPr>
        <w:t xml:space="preserve"> However, it seems reasonable to conclude that this risk is significant.</w:t>
      </w:r>
    </w:p>
    <w:p w14:paraId="656B0DF6" w14:textId="77777777" w:rsidR="005B6B34" w:rsidRDefault="00337671" w:rsidP="005B6B34">
      <w:pPr>
        <w:autoSpaceDE w:val="0"/>
        <w:autoSpaceDN w:val="0"/>
        <w:adjustRightInd w:val="0"/>
        <w:spacing w:line="240" w:lineRule="auto"/>
        <w:mirrorIndents/>
        <w:rPr>
          <w:rFonts w:cs="Segoe UI Light"/>
          <w:szCs w:val="20"/>
        </w:rPr>
      </w:pPr>
      <w:r>
        <w:rPr>
          <w:rFonts w:cs="Segoe UI Light"/>
          <w:szCs w:val="20"/>
        </w:rPr>
        <w:t>Further discussion of the residual risk is provided in the following sections.</w:t>
      </w:r>
    </w:p>
    <w:p w14:paraId="656B0DF7" w14:textId="77777777" w:rsidR="005B6B34" w:rsidRPr="005B6B34" w:rsidRDefault="005B6B34" w:rsidP="005B6B34">
      <w:pPr>
        <w:autoSpaceDE w:val="0"/>
        <w:autoSpaceDN w:val="0"/>
        <w:adjustRightInd w:val="0"/>
        <w:spacing w:line="240" w:lineRule="auto"/>
        <w:mirrorIndents/>
        <w:rPr>
          <w:rFonts w:cs="Segoe UI Light"/>
          <w:b/>
          <w:i/>
          <w:szCs w:val="20"/>
        </w:rPr>
      </w:pPr>
      <w:r w:rsidRPr="005B6B34">
        <w:rPr>
          <w:rFonts w:cs="Segoe UI Light"/>
          <w:b/>
          <w:i/>
          <w:szCs w:val="20"/>
        </w:rPr>
        <w:t xml:space="preserve">Burden of establishing framework falls to businesses and residents </w:t>
      </w:r>
    </w:p>
    <w:p w14:paraId="656B0DF8" w14:textId="2EE56950" w:rsidR="005B6B34" w:rsidRPr="005B6B34" w:rsidRDefault="005B6B34" w:rsidP="00D4650A">
      <w:pPr>
        <w:autoSpaceDE w:val="0"/>
        <w:autoSpaceDN w:val="0"/>
        <w:adjustRightInd w:val="0"/>
        <w:spacing w:line="240" w:lineRule="auto"/>
        <w:mirrorIndents/>
        <w:rPr>
          <w:rFonts w:cs="Segoe UI Light"/>
          <w:szCs w:val="20"/>
        </w:rPr>
      </w:pPr>
      <w:r w:rsidRPr="005B6B34">
        <w:rPr>
          <w:rFonts w:cs="Segoe UI Light"/>
          <w:szCs w:val="20"/>
        </w:rPr>
        <w:t xml:space="preserve">Compliance with noise provisions is primarily complaints driven – action against a </w:t>
      </w:r>
      <w:r w:rsidR="000A7BE2">
        <w:rPr>
          <w:rFonts w:cs="Segoe UI Light"/>
          <w:szCs w:val="20"/>
        </w:rPr>
        <w:t>duty holder</w:t>
      </w:r>
      <w:r w:rsidRPr="005B6B34">
        <w:rPr>
          <w:rFonts w:cs="Segoe UI Light"/>
          <w:szCs w:val="20"/>
        </w:rPr>
        <w:t xml:space="preserve"> is typically only commenced once a complaint has been made. Under the current regulatory regime there is a clear framework within which to assess any formal business, entertainment venue or residential noise complaint.</w:t>
      </w:r>
    </w:p>
    <w:p w14:paraId="656B0DF9" w14:textId="77777777" w:rsidR="005B6B34" w:rsidRPr="005B6B34" w:rsidRDefault="005B6B34" w:rsidP="00D4650A">
      <w:pPr>
        <w:autoSpaceDE w:val="0"/>
        <w:autoSpaceDN w:val="0"/>
        <w:adjustRightInd w:val="0"/>
        <w:spacing w:line="240" w:lineRule="auto"/>
        <w:mirrorIndents/>
        <w:rPr>
          <w:rFonts w:cs="Segoe UI Light"/>
          <w:szCs w:val="20"/>
        </w:rPr>
      </w:pPr>
      <w:r w:rsidRPr="005B6B34">
        <w:rPr>
          <w:rFonts w:cs="Segoe UI Light"/>
          <w:szCs w:val="20"/>
        </w:rPr>
        <w:t xml:space="preserve">In the absence of a prescribed threshold to determine the specific circumstances that give rise to ‘unreasonable’ noise, there is likely to be a significant burden on any duty holder responding to any formal complaint. </w:t>
      </w:r>
    </w:p>
    <w:p w14:paraId="656B0DFA" w14:textId="77777777" w:rsidR="005B6B34" w:rsidRPr="005B6B34" w:rsidRDefault="005B6B34" w:rsidP="00D4650A">
      <w:pPr>
        <w:autoSpaceDE w:val="0"/>
        <w:autoSpaceDN w:val="0"/>
        <w:adjustRightInd w:val="0"/>
        <w:spacing w:line="240" w:lineRule="auto"/>
        <w:mirrorIndents/>
        <w:rPr>
          <w:rFonts w:cs="Segoe UI Light"/>
          <w:szCs w:val="20"/>
        </w:rPr>
      </w:pPr>
      <w:r w:rsidRPr="005B6B34">
        <w:rPr>
          <w:rFonts w:cs="Segoe UI Light"/>
          <w:szCs w:val="20"/>
        </w:rPr>
        <w:t xml:space="preserve">A duty holder may seek to dispute the complaint through legal means, incurring legal and acoustic expertise fees (in addition to the fees incurred by the authority </w:t>
      </w:r>
      <w:r w:rsidR="00F53713">
        <w:rPr>
          <w:rFonts w:cs="Segoe UI Light"/>
          <w:szCs w:val="20"/>
        </w:rPr>
        <w:t>pursuing</w:t>
      </w:r>
      <w:r w:rsidR="00F53713" w:rsidRPr="005B6B34">
        <w:rPr>
          <w:rFonts w:cs="Segoe UI Light"/>
          <w:szCs w:val="20"/>
        </w:rPr>
        <w:t xml:space="preserve"> </w:t>
      </w:r>
      <w:r w:rsidRPr="005B6B34">
        <w:rPr>
          <w:rFonts w:cs="Segoe UI Light"/>
          <w:szCs w:val="20"/>
        </w:rPr>
        <w:t xml:space="preserve">the penalty). While over time a range of precedents are likely to be established for the full range of business and residential activities, such court proceedings: </w:t>
      </w:r>
    </w:p>
    <w:p w14:paraId="656B0DFB" w14:textId="77777777" w:rsidR="005B6B34" w:rsidRPr="005B6B34" w:rsidRDefault="00C3076F" w:rsidP="004A2442">
      <w:pPr>
        <w:pStyle w:val="ListParagraph"/>
        <w:numPr>
          <w:ilvl w:val="0"/>
          <w:numId w:val="106"/>
        </w:numPr>
        <w:rPr>
          <w:rFonts w:cs="Segoe UI Light"/>
          <w:szCs w:val="20"/>
        </w:rPr>
      </w:pPr>
      <w:r>
        <w:rPr>
          <w:rFonts w:cs="Segoe UI Light"/>
          <w:szCs w:val="20"/>
        </w:rPr>
        <w:t>A</w:t>
      </w:r>
      <w:r w:rsidR="005B6B34" w:rsidRPr="005B6B34">
        <w:rPr>
          <w:rFonts w:cs="Segoe UI Light"/>
          <w:szCs w:val="20"/>
        </w:rPr>
        <w:t xml:space="preserve">re likely to </w:t>
      </w:r>
      <w:r w:rsidR="00F53713">
        <w:rPr>
          <w:rFonts w:cs="Segoe UI Light"/>
          <w:szCs w:val="20"/>
        </w:rPr>
        <w:t xml:space="preserve">impose a </w:t>
      </w:r>
      <w:r w:rsidR="005B6B34" w:rsidRPr="005B6B34">
        <w:rPr>
          <w:rFonts w:cs="Segoe UI Light"/>
          <w:szCs w:val="20"/>
        </w:rPr>
        <w:t xml:space="preserve">significant burden </w:t>
      </w:r>
      <w:r w:rsidR="00F53713">
        <w:rPr>
          <w:rFonts w:cs="Segoe UI Light"/>
          <w:szCs w:val="20"/>
        </w:rPr>
        <w:t xml:space="preserve">on </w:t>
      </w:r>
      <w:r w:rsidR="005B6B34" w:rsidRPr="005B6B34">
        <w:rPr>
          <w:rFonts w:cs="Segoe UI Light"/>
          <w:szCs w:val="20"/>
        </w:rPr>
        <w:t xml:space="preserve">early defendants who will bear a disproportionate cost of establishing legal precedents </w:t>
      </w:r>
    </w:p>
    <w:p w14:paraId="656B0DFC" w14:textId="77777777" w:rsidR="005B6B34" w:rsidRPr="005B6B34" w:rsidRDefault="00C3076F" w:rsidP="004A2442">
      <w:pPr>
        <w:pStyle w:val="ListParagraph"/>
        <w:numPr>
          <w:ilvl w:val="0"/>
          <w:numId w:val="106"/>
        </w:numPr>
        <w:rPr>
          <w:rFonts w:cs="Segoe UI Light"/>
          <w:szCs w:val="20"/>
        </w:rPr>
      </w:pPr>
      <w:r>
        <w:rPr>
          <w:rFonts w:cs="Segoe UI Light"/>
          <w:szCs w:val="20"/>
        </w:rPr>
        <w:t>M</w:t>
      </w:r>
      <w:r w:rsidR="005B6B34" w:rsidRPr="005B6B34">
        <w:rPr>
          <w:rFonts w:cs="Segoe UI Light"/>
          <w:szCs w:val="20"/>
        </w:rPr>
        <w:t>ay impose significant costs without due consideration to broader flow-on effects</w:t>
      </w:r>
    </w:p>
    <w:p w14:paraId="656B0DFD" w14:textId="77777777" w:rsidR="005B6B34" w:rsidRPr="005B6B34" w:rsidRDefault="00C3076F" w:rsidP="004A2442">
      <w:pPr>
        <w:pStyle w:val="ListParagraph"/>
        <w:numPr>
          <w:ilvl w:val="0"/>
          <w:numId w:val="106"/>
        </w:numPr>
        <w:rPr>
          <w:rFonts w:cs="Segoe UI Light"/>
          <w:szCs w:val="20"/>
        </w:rPr>
      </w:pPr>
      <w:r>
        <w:rPr>
          <w:rFonts w:cs="Segoe UI Light"/>
          <w:szCs w:val="20"/>
        </w:rPr>
        <w:t>M</w:t>
      </w:r>
      <w:r w:rsidR="005B6B34" w:rsidRPr="005B6B34">
        <w:rPr>
          <w:rFonts w:cs="Segoe UI Light"/>
          <w:szCs w:val="20"/>
        </w:rPr>
        <w:t xml:space="preserve">ay result in unintended outcomes (such as bakeries being unwilling to operate during early morning periods due to costs involved in attenuating early morning noise emissions) </w:t>
      </w:r>
    </w:p>
    <w:p w14:paraId="656B0DFE" w14:textId="77777777" w:rsidR="005B6B34" w:rsidRPr="005B6B34" w:rsidRDefault="00C3076F" w:rsidP="004A2442">
      <w:pPr>
        <w:pStyle w:val="ListParagraph"/>
        <w:numPr>
          <w:ilvl w:val="0"/>
          <w:numId w:val="106"/>
        </w:numPr>
        <w:rPr>
          <w:rFonts w:cs="Segoe UI Light"/>
          <w:szCs w:val="20"/>
        </w:rPr>
      </w:pPr>
      <w:r>
        <w:rPr>
          <w:rFonts w:cs="Segoe UI Light"/>
          <w:szCs w:val="20"/>
        </w:rPr>
        <w:t>A</w:t>
      </w:r>
      <w:r w:rsidR="005B6B34" w:rsidRPr="005B6B34">
        <w:rPr>
          <w:rFonts w:cs="Segoe UI Light"/>
          <w:szCs w:val="20"/>
        </w:rPr>
        <w:t>re unlikely to proceed in a timely fashion</w:t>
      </w:r>
    </w:p>
    <w:p w14:paraId="656B0DFF" w14:textId="77777777" w:rsidR="005B6B34" w:rsidRPr="005B6B34" w:rsidRDefault="00C3076F" w:rsidP="004A2442">
      <w:pPr>
        <w:pStyle w:val="ListParagraph"/>
        <w:numPr>
          <w:ilvl w:val="0"/>
          <w:numId w:val="106"/>
        </w:numPr>
        <w:rPr>
          <w:rFonts w:cs="Segoe UI Light"/>
          <w:szCs w:val="20"/>
        </w:rPr>
      </w:pPr>
      <w:r>
        <w:rPr>
          <w:rFonts w:cs="Segoe UI Light"/>
          <w:szCs w:val="20"/>
        </w:rPr>
        <w:t>M</w:t>
      </w:r>
      <w:r w:rsidR="005B6B34" w:rsidRPr="005B6B34">
        <w:rPr>
          <w:rFonts w:cs="Segoe UI Light"/>
          <w:szCs w:val="20"/>
        </w:rPr>
        <w:t xml:space="preserve">ay not </w:t>
      </w:r>
      <w:r w:rsidR="00495D28">
        <w:rPr>
          <w:rFonts w:cs="Segoe UI Light"/>
          <w:szCs w:val="20"/>
        </w:rPr>
        <w:t>fully consider the technical complexity of noise relevant acoustic issues in the determination process</w:t>
      </w:r>
      <w:r w:rsidR="005B6B34" w:rsidRPr="005B6B34">
        <w:rPr>
          <w:rFonts w:cs="Segoe UI Light"/>
          <w:szCs w:val="20"/>
        </w:rPr>
        <w:t xml:space="preserve">. </w:t>
      </w:r>
    </w:p>
    <w:p w14:paraId="656B0E00" w14:textId="77777777" w:rsidR="005B6B34" w:rsidRPr="005B6B34" w:rsidRDefault="005B6B34" w:rsidP="00D4650A">
      <w:pPr>
        <w:pStyle w:val="Default"/>
        <w:spacing w:after="120"/>
        <w:mirrorIndents/>
        <w:rPr>
          <w:rFonts w:ascii="Segoe UI Light" w:hAnsi="Segoe UI Light" w:cs="Segoe UI Light"/>
          <w:sz w:val="20"/>
          <w:szCs w:val="20"/>
        </w:rPr>
      </w:pPr>
      <w:r w:rsidRPr="00D4650A">
        <w:rPr>
          <w:rFonts w:ascii="Segoe UI Light" w:hAnsi="Segoe UI Light" w:cs="Segoe UI Light"/>
          <w:sz w:val="20"/>
          <w:szCs w:val="20"/>
        </w:rPr>
        <w:t>Alternatively, duty holders may seek to resolve the complaint through avoiding the activity</w:t>
      </w:r>
      <w:r w:rsidR="00F53713">
        <w:rPr>
          <w:rFonts w:ascii="Segoe UI Light" w:hAnsi="Segoe UI Light" w:cs="Segoe UI Light"/>
          <w:sz w:val="20"/>
          <w:szCs w:val="20"/>
        </w:rPr>
        <w:t>,</w:t>
      </w:r>
      <w:r w:rsidRPr="00D4650A">
        <w:rPr>
          <w:rFonts w:ascii="Segoe UI Light" w:hAnsi="Segoe UI Light" w:cs="Segoe UI Light"/>
          <w:sz w:val="20"/>
          <w:szCs w:val="20"/>
        </w:rPr>
        <w:t xml:space="preserve"> reducing the time and duration of the activity</w:t>
      </w:r>
      <w:r w:rsidR="00F53713">
        <w:rPr>
          <w:rFonts w:ascii="Segoe UI Light" w:hAnsi="Segoe UI Light" w:cs="Segoe UI Light"/>
          <w:sz w:val="20"/>
          <w:szCs w:val="20"/>
        </w:rPr>
        <w:t>,</w:t>
      </w:r>
      <w:r w:rsidRPr="00D4650A">
        <w:rPr>
          <w:rFonts w:ascii="Segoe UI Light" w:hAnsi="Segoe UI Light" w:cs="Segoe UI Light"/>
          <w:sz w:val="20"/>
          <w:szCs w:val="20"/>
        </w:rPr>
        <w:t xml:space="preserve"> or investing in noise management and attenuation activities beyond what a prescribed unreasonable threshold would require. </w:t>
      </w:r>
    </w:p>
    <w:p w14:paraId="656B0E01" w14:textId="77777777" w:rsidR="005B6B34" w:rsidRPr="005B6B34" w:rsidRDefault="005B6B34" w:rsidP="00D4650A">
      <w:pPr>
        <w:pStyle w:val="Default"/>
        <w:spacing w:after="120"/>
        <w:mirrorIndents/>
        <w:rPr>
          <w:rFonts w:ascii="Segoe UI Light" w:hAnsi="Segoe UI Light" w:cs="Segoe UI Light"/>
          <w:sz w:val="20"/>
          <w:szCs w:val="20"/>
        </w:rPr>
      </w:pPr>
      <w:r w:rsidRPr="00D4650A">
        <w:rPr>
          <w:rFonts w:ascii="Segoe UI Light" w:hAnsi="Segoe UI Light" w:cs="Segoe UI Light"/>
          <w:sz w:val="20"/>
          <w:szCs w:val="20"/>
        </w:rPr>
        <w:t xml:space="preserve">The cost of abatement of noise emissions in such circumstances </w:t>
      </w:r>
      <w:r w:rsidR="00792CA0">
        <w:rPr>
          <w:rFonts w:ascii="Segoe UI Light" w:hAnsi="Segoe UI Light" w:cs="Segoe UI Light"/>
          <w:sz w:val="20"/>
          <w:szCs w:val="20"/>
        </w:rPr>
        <w:t>can</w:t>
      </w:r>
      <w:r w:rsidRPr="00D4650A">
        <w:rPr>
          <w:rFonts w:ascii="Segoe UI Light" w:hAnsi="Segoe UI Light" w:cs="Segoe UI Light"/>
          <w:sz w:val="20"/>
          <w:szCs w:val="20"/>
        </w:rPr>
        <w:t xml:space="preserve"> be significant. Costs </w:t>
      </w:r>
      <w:r w:rsidR="00792CA0">
        <w:rPr>
          <w:rFonts w:ascii="Segoe UI Light" w:hAnsi="Segoe UI Light" w:cs="Segoe UI Light"/>
          <w:sz w:val="20"/>
          <w:szCs w:val="20"/>
        </w:rPr>
        <w:t>incurred by</w:t>
      </w:r>
      <w:r w:rsidRPr="00D4650A">
        <w:rPr>
          <w:rFonts w:ascii="Segoe UI Light" w:hAnsi="Segoe UI Light" w:cs="Segoe UI Light"/>
          <w:sz w:val="20"/>
          <w:szCs w:val="20"/>
        </w:rPr>
        <w:t xml:space="preserve"> industry, businesses and residents may not be commensurate with the risks, particularly where there is likely to be a low risk of harm to human health. Furthermore, unnecessary costs may be imposed in circumstances or activities which should be </w:t>
      </w:r>
      <w:r w:rsidR="00F53713">
        <w:rPr>
          <w:rFonts w:ascii="Segoe UI Light" w:hAnsi="Segoe UI Light" w:cs="Segoe UI Light"/>
          <w:sz w:val="20"/>
          <w:szCs w:val="20"/>
        </w:rPr>
        <w:t>excluded</w:t>
      </w:r>
      <w:r w:rsidR="00F53713" w:rsidRPr="00D4650A">
        <w:rPr>
          <w:rFonts w:ascii="Segoe UI Light" w:hAnsi="Segoe UI Light" w:cs="Segoe UI Light"/>
          <w:sz w:val="20"/>
          <w:szCs w:val="20"/>
        </w:rPr>
        <w:t xml:space="preserve"> </w:t>
      </w:r>
      <w:r w:rsidRPr="00D4650A">
        <w:rPr>
          <w:rFonts w:ascii="Segoe UI Light" w:hAnsi="Segoe UI Light" w:cs="Segoe UI Light"/>
          <w:sz w:val="20"/>
          <w:szCs w:val="20"/>
        </w:rPr>
        <w:t>(</w:t>
      </w:r>
      <w:r w:rsidR="000857FE">
        <w:rPr>
          <w:rFonts w:ascii="Segoe UI Light" w:hAnsi="Segoe UI Light" w:cs="Segoe UI Light"/>
          <w:sz w:val="20"/>
          <w:szCs w:val="20"/>
        </w:rPr>
        <w:t>e.g</w:t>
      </w:r>
      <w:r w:rsidR="006B5332">
        <w:rPr>
          <w:rFonts w:ascii="Segoe UI Light" w:hAnsi="Segoe UI Light" w:cs="Segoe UI Light"/>
          <w:sz w:val="20"/>
          <w:szCs w:val="20"/>
        </w:rPr>
        <w:t xml:space="preserve">. </w:t>
      </w:r>
      <w:r w:rsidR="002D3C05">
        <w:rPr>
          <w:rFonts w:ascii="Segoe UI Light" w:hAnsi="Segoe UI Light" w:cs="Segoe UI Light"/>
          <w:sz w:val="20"/>
          <w:szCs w:val="20"/>
        </w:rPr>
        <w:t>v</w:t>
      </w:r>
      <w:r w:rsidR="006B5332">
        <w:rPr>
          <w:rFonts w:ascii="Segoe UI Light" w:hAnsi="Segoe UI Light" w:cs="Segoe UI Light"/>
          <w:sz w:val="20"/>
          <w:szCs w:val="20"/>
        </w:rPr>
        <w:t xml:space="preserve">oices, crowds, </w:t>
      </w:r>
      <w:r w:rsidR="004907B9">
        <w:rPr>
          <w:rFonts w:ascii="Segoe UI Light" w:hAnsi="Segoe UI Light" w:cs="Segoe UI Light"/>
          <w:sz w:val="20"/>
          <w:szCs w:val="20"/>
        </w:rPr>
        <w:t>construction noise, aircraft)</w:t>
      </w:r>
      <w:r w:rsidR="00C97BDA">
        <w:rPr>
          <w:rFonts w:ascii="Segoe UI Light" w:hAnsi="Segoe UI Light" w:cs="Segoe UI Light"/>
          <w:sz w:val="20"/>
          <w:szCs w:val="20"/>
        </w:rPr>
        <w:t>.</w:t>
      </w:r>
    </w:p>
    <w:p w14:paraId="656B0E02" w14:textId="77777777" w:rsidR="005B6B34" w:rsidRPr="005B6B34" w:rsidRDefault="005B6B34" w:rsidP="00D4650A">
      <w:pPr>
        <w:pStyle w:val="Default"/>
        <w:spacing w:after="120"/>
        <w:mirrorIndents/>
        <w:rPr>
          <w:rFonts w:ascii="Segoe UI Light" w:hAnsi="Segoe UI Light" w:cs="Segoe UI Light"/>
          <w:sz w:val="20"/>
          <w:szCs w:val="20"/>
        </w:rPr>
      </w:pPr>
      <w:r w:rsidRPr="005B6B34">
        <w:rPr>
          <w:rFonts w:ascii="Segoe UI Light" w:hAnsi="Segoe UI Light" w:cs="Segoe UI Light"/>
          <w:sz w:val="20"/>
          <w:szCs w:val="20"/>
        </w:rPr>
        <w:t>A possible consequence is that businesses may</w:t>
      </w:r>
      <w:r w:rsidR="00F53713">
        <w:rPr>
          <w:rFonts w:ascii="Segoe UI Light" w:hAnsi="Segoe UI Light" w:cs="Segoe UI Light"/>
          <w:sz w:val="20"/>
          <w:szCs w:val="20"/>
        </w:rPr>
        <w:t>, over</w:t>
      </w:r>
      <w:r w:rsidR="00580B9D">
        <w:rPr>
          <w:rFonts w:ascii="Segoe UI Light" w:hAnsi="Segoe UI Light" w:cs="Segoe UI Light"/>
          <w:sz w:val="20"/>
          <w:szCs w:val="20"/>
        </w:rPr>
        <w:t xml:space="preserve"> </w:t>
      </w:r>
      <w:r w:rsidR="00F53713">
        <w:rPr>
          <w:rFonts w:ascii="Segoe UI Light" w:hAnsi="Segoe UI Light" w:cs="Segoe UI Light"/>
          <w:sz w:val="20"/>
          <w:szCs w:val="20"/>
        </w:rPr>
        <w:t>time,</w:t>
      </w:r>
      <w:r w:rsidRPr="005B6B34">
        <w:rPr>
          <w:rFonts w:ascii="Segoe UI Light" w:hAnsi="Segoe UI Light" w:cs="Segoe UI Light"/>
          <w:sz w:val="20"/>
          <w:szCs w:val="20"/>
        </w:rPr>
        <w:t xml:space="preserve"> over-comply with the new EP legislation to avoid the costs associated with managing and responding to complaints. However, it is difficult to estimate the extent to which this will occur.</w:t>
      </w:r>
      <w:r w:rsidRPr="00D4650A">
        <w:rPr>
          <w:rFonts w:ascii="Segoe UI Light" w:hAnsi="Segoe UI Light" w:cs="Segoe UI Light"/>
          <w:sz w:val="20"/>
          <w:szCs w:val="20"/>
        </w:rPr>
        <w:t xml:space="preserve"> </w:t>
      </w:r>
    </w:p>
    <w:p w14:paraId="656B0E03" w14:textId="77777777" w:rsidR="005B6B34" w:rsidRPr="005B6B34" w:rsidRDefault="005B6B34" w:rsidP="00D4650A">
      <w:pPr>
        <w:pStyle w:val="Default"/>
        <w:spacing w:after="120"/>
        <w:mirrorIndents/>
        <w:rPr>
          <w:rFonts w:ascii="Segoe UI Light" w:hAnsi="Segoe UI Light" w:cs="Segoe UI Light"/>
          <w:sz w:val="20"/>
          <w:szCs w:val="20"/>
        </w:rPr>
      </w:pPr>
      <w:r w:rsidRPr="00D4650A">
        <w:rPr>
          <w:rFonts w:ascii="Segoe UI Light" w:hAnsi="Segoe UI Light" w:cs="Segoe UI Light"/>
          <w:sz w:val="20"/>
          <w:szCs w:val="20"/>
        </w:rPr>
        <w:t>It is also important to note that while the current SEPP N-1, SEPP N-2 and Residential Noise Regulations will no longer be enforceable with respect to civil penalties, the state of knowledge established under the</w:t>
      </w:r>
      <w:r w:rsidR="00C97BDA">
        <w:rPr>
          <w:rFonts w:ascii="Segoe UI Light" w:hAnsi="Segoe UI Light" w:cs="Segoe UI Light"/>
          <w:sz w:val="20"/>
          <w:szCs w:val="20"/>
        </w:rPr>
        <w:t>se</w:t>
      </w:r>
      <w:r w:rsidRPr="00D4650A">
        <w:rPr>
          <w:rFonts w:ascii="Segoe UI Light" w:hAnsi="Segoe UI Light" w:cs="Segoe UI Light"/>
          <w:sz w:val="20"/>
          <w:szCs w:val="20"/>
        </w:rPr>
        <w:t xml:space="preserve"> policies and regulations will continue to inform duty holders’ management responses with respect to the emission of noise. As discussed in section 3.1, this state of knowledge means that there is an understanding of what good environmental practice or good management of an environmental harm currently looks like. However, this does not mean that all duty holders would act in the same manner in response to this understanding, and new entrants to the industry may not be aware of this existing knowledge at all. The impact of this knowledge is expected to decline over time. </w:t>
      </w:r>
    </w:p>
    <w:p w14:paraId="656B0E04" w14:textId="77777777" w:rsidR="005B6B34" w:rsidRPr="005B6B34" w:rsidRDefault="005B6B34" w:rsidP="00B64C13">
      <w:pPr>
        <w:pStyle w:val="Default"/>
        <w:keepNext/>
        <w:spacing w:after="120"/>
        <w:mirrorIndents/>
        <w:rPr>
          <w:rFonts w:ascii="Segoe UI Light" w:hAnsi="Segoe UI Light" w:cs="Segoe UI Light"/>
          <w:b/>
          <w:i/>
          <w:sz w:val="20"/>
          <w:szCs w:val="20"/>
          <w:lang w:val="en-US" w:eastAsia="ja-JP"/>
        </w:rPr>
      </w:pPr>
      <w:r w:rsidRPr="00D4650A">
        <w:rPr>
          <w:rFonts w:ascii="Segoe UI Light" w:hAnsi="Segoe UI Light" w:cs="Segoe UI Light"/>
          <w:b/>
          <w:i/>
          <w:sz w:val="20"/>
          <w:szCs w:val="20"/>
          <w:lang w:val="en-US" w:eastAsia="ja-JP"/>
        </w:rPr>
        <w:t>Burden on premises that do not receive complaints from surrounding neighbours</w:t>
      </w:r>
    </w:p>
    <w:p w14:paraId="656B0E05" w14:textId="77777777" w:rsidR="005B6B34" w:rsidRPr="005B6B34" w:rsidRDefault="005B6B34" w:rsidP="00D4650A">
      <w:pPr>
        <w:pStyle w:val="Default"/>
        <w:spacing w:after="120"/>
        <w:mirrorIndents/>
        <w:rPr>
          <w:rFonts w:ascii="Segoe UI Light" w:hAnsi="Segoe UI Light" w:cs="Segoe UI Light"/>
          <w:sz w:val="20"/>
          <w:szCs w:val="20"/>
        </w:rPr>
      </w:pPr>
      <w:r w:rsidRPr="00D4650A">
        <w:rPr>
          <w:rFonts w:ascii="Segoe UI Light" w:hAnsi="Segoe UI Light" w:cs="Segoe UI Light"/>
          <w:sz w:val="20"/>
          <w:szCs w:val="20"/>
          <w:lang w:val="en-US" w:eastAsia="ja-JP"/>
        </w:rPr>
        <w:t xml:space="preserve">The absence of a clear and explicit framework for establishing noise levels may also result in under-compliance and increase in emission of unreasonable and aggravated noise. Due to the nature of noise pollution, </w:t>
      </w:r>
      <w:r w:rsidRPr="00D4650A">
        <w:rPr>
          <w:rFonts w:ascii="Segoe UI Light" w:hAnsi="Segoe UI Light" w:cs="Segoe UI Light"/>
          <w:sz w:val="20"/>
          <w:szCs w:val="20"/>
        </w:rPr>
        <w:t xml:space="preserve">businesses may not seek to comply with the new EP legislation until a complaint is raised. </w:t>
      </w:r>
    </w:p>
    <w:p w14:paraId="656B0E06" w14:textId="77777777" w:rsidR="005B6B34" w:rsidRPr="005B6B34" w:rsidRDefault="005B6B34" w:rsidP="00D4650A">
      <w:pPr>
        <w:pStyle w:val="Default"/>
        <w:spacing w:after="120"/>
        <w:mirrorIndents/>
        <w:rPr>
          <w:rFonts w:ascii="Segoe UI Light" w:hAnsi="Segoe UI Light" w:cs="Segoe UI Light"/>
          <w:sz w:val="20"/>
          <w:szCs w:val="20"/>
        </w:rPr>
      </w:pPr>
      <w:r w:rsidRPr="00D4650A">
        <w:rPr>
          <w:rFonts w:ascii="Segoe UI Light" w:hAnsi="Segoe UI Light" w:cs="Segoe UI Light"/>
          <w:sz w:val="20"/>
          <w:szCs w:val="20"/>
        </w:rPr>
        <w:t xml:space="preserve">This may result in an increased risk to human health. It could be presumed that complaints would be triggered when noise emissions are deemed to be an issue by surrounding neighbours, </w:t>
      </w:r>
      <w:r w:rsidR="00F53713">
        <w:rPr>
          <w:rFonts w:ascii="Segoe UI Light" w:hAnsi="Segoe UI Light" w:cs="Segoe UI Light"/>
          <w:sz w:val="20"/>
          <w:szCs w:val="20"/>
        </w:rPr>
        <w:t>who may have an expectation</w:t>
      </w:r>
      <w:r w:rsidRPr="00D4650A">
        <w:rPr>
          <w:rFonts w:ascii="Segoe UI Light" w:hAnsi="Segoe UI Light" w:cs="Segoe UI Light"/>
          <w:sz w:val="20"/>
          <w:szCs w:val="20"/>
        </w:rPr>
        <w:t xml:space="preserve"> that noise pollution will cease</w:t>
      </w:r>
      <w:r w:rsidR="00F53713">
        <w:rPr>
          <w:rFonts w:ascii="Segoe UI Light" w:hAnsi="Segoe UI Light" w:cs="Segoe UI Light"/>
          <w:sz w:val="20"/>
          <w:szCs w:val="20"/>
        </w:rPr>
        <w:t xml:space="preserve"> or reduce following their complaint</w:t>
      </w:r>
      <w:r w:rsidRPr="00D4650A">
        <w:rPr>
          <w:rFonts w:ascii="Segoe UI Light" w:hAnsi="Segoe UI Light" w:cs="Segoe UI Light"/>
          <w:sz w:val="20"/>
          <w:szCs w:val="20"/>
        </w:rPr>
        <w:t xml:space="preserve">. However, uncertainty </w:t>
      </w:r>
      <w:r w:rsidR="00C97BDA">
        <w:rPr>
          <w:rFonts w:ascii="Segoe UI Light" w:hAnsi="Segoe UI Light" w:cs="Segoe UI Light"/>
          <w:sz w:val="20"/>
          <w:szCs w:val="20"/>
        </w:rPr>
        <w:t>about</w:t>
      </w:r>
      <w:r w:rsidRPr="00D4650A">
        <w:rPr>
          <w:rFonts w:ascii="Segoe UI Light" w:hAnsi="Segoe UI Light" w:cs="Segoe UI Light"/>
          <w:sz w:val="20"/>
          <w:szCs w:val="20"/>
        </w:rPr>
        <w:t xml:space="preserve"> what constitutes ‘unreasonable’ or ‘aggravated’ noise may also impede the ability of government, councils and police to enforce compliance, including civil penalties. The ability of EPA, police and local council officers to address noise issues would be limited to the powers provided under the new EP legislation. That is, EPA, police and local council officers could issue a direction or a civil penalty to stop unreasonable or aggravated noise, but may be required to provide evidence to support the penalty per the definition in the new EP legislation. EPA, police and local government officers would need to exercise judgement to determine whether a noise incident could be considered unreasonable or aggravated. This</w:t>
      </w:r>
      <w:r w:rsidRPr="005B6B34">
        <w:rPr>
          <w:rFonts w:ascii="Segoe UI Light" w:hAnsi="Segoe UI Light" w:cs="Segoe UI Light"/>
          <w:sz w:val="20"/>
          <w:szCs w:val="20"/>
        </w:rPr>
        <w:t xml:space="preserve"> may result in some noise pollution not being addressed, and also may result in increased administrative and enforcement costs to government.</w:t>
      </w:r>
    </w:p>
    <w:p w14:paraId="656B0E07" w14:textId="77777777" w:rsidR="005B6B34" w:rsidRPr="005B6B34" w:rsidRDefault="005B6B34" w:rsidP="005B6B34">
      <w:pPr>
        <w:pStyle w:val="Default"/>
        <w:spacing w:after="120"/>
        <w:mirrorIndents/>
        <w:rPr>
          <w:rFonts w:ascii="Segoe UI Light" w:hAnsi="Segoe UI Light" w:cs="Segoe UI Light"/>
          <w:sz w:val="20"/>
          <w:szCs w:val="20"/>
        </w:rPr>
      </w:pPr>
      <w:r w:rsidRPr="00D4650A">
        <w:rPr>
          <w:rFonts w:ascii="Segoe UI Light" w:hAnsi="Segoe UI Light" w:cs="Segoe UI Light"/>
          <w:sz w:val="20"/>
          <w:szCs w:val="20"/>
        </w:rPr>
        <w:t xml:space="preserve">Overall, regulatory uncertainty is likely to result in </w:t>
      </w:r>
      <w:r w:rsidRPr="005B6B34">
        <w:rPr>
          <w:rFonts w:ascii="Segoe UI Light" w:hAnsi="Segoe UI Light" w:cs="Segoe UI Light"/>
          <w:sz w:val="20"/>
          <w:szCs w:val="20"/>
        </w:rPr>
        <w:t>a lack of clarity and uncertainty for duty holders with respect to their noise emission and management responsibilities, leading to businesses not meeting their responsibilities, or incurring unreasonably high costs in order to meet their duties.</w:t>
      </w:r>
    </w:p>
    <w:p w14:paraId="656B0E08" w14:textId="77777777" w:rsidR="005B6B34" w:rsidRPr="005B6B34" w:rsidRDefault="005B6B34" w:rsidP="00D4650A">
      <w:pPr>
        <w:pStyle w:val="Default"/>
        <w:spacing w:after="120"/>
        <w:mirrorIndents/>
        <w:rPr>
          <w:rFonts w:ascii="Segoe UI Light" w:hAnsi="Segoe UI Light" w:cs="Segoe UI Light"/>
          <w:sz w:val="20"/>
          <w:szCs w:val="20"/>
        </w:rPr>
      </w:pPr>
      <w:r w:rsidRPr="00D4650A">
        <w:rPr>
          <w:rFonts w:ascii="Segoe UI Light" w:hAnsi="Segoe UI Light" w:cs="Segoe UI Light"/>
          <w:sz w:val="20"/>
          <w:szCs w:val="20"/>
        </w:rPr>
        <w:t xml:space="preserve">The absence of a well-defined and clear noise limit methodology, including prescribed items at prohibited  times for residential premises, means there is a risk that the GED and noise provisions cannot adequately prevent or enforce ‘unreasonable’ or ‘aggravated’ noise, leading to ineffective and inefficient compliance with the new EP legislation. </w:t>
      </w:r>
    </w:p>
    <w:p w14:paraId="656B0E09" w14:textId="77777777" w:rsidR="005B6B34" w:rsidRPr="005B6B34" w:rsidRDefault="005B6B34" w:rsidP="008048CF">
      <w:pPr>
        <w:pStyle w:val="Heading3"/>
        <w:ind w:left="720"/>
        <w:rPr>
          <w:rFonts w:cs="Segoe UI Light"/>
        </w:rPr>
      </w:pPr>
      <w:r w:rsidRPr="005B6B34">
        <w:rPr>
          <w:rFonts w:cs="Segoe UI Light"/>
        </w:rPr>
        <w:t>Size of problem</w:t>
      </w:r>
    </w:p>
    <w:p w14:paraId="656B0E0A" w14:textId="77777777" w:rsidR="005B6B34" w:rsidRPr="005B6B34" w:rsidRDefault="005B6B34" w:rsidP="005B6B34">
      <w:pPr>
        <w:pStyle w:val="Default"/>
        <w:spacing w:after="120"/>
        <w:mirrorIndents/>
        <w:rPr>
          <w:rFonts w:ascii="Segoe UI Light" w:hAnsi="Segoe UI Light" w:cs="Segoe UI Light"/>
          <w:sz w:val="20"/>
          <w:szCs w:val="20"/>
        </w:rPr>
      </w:pPr>
      <w:r w:rsidRPr="005B6B34">
        <w:rPr>
          <w:rFonts w:ascii="Segoe UI Light" w:hAnsi="Segoe UI Light" w:cs="Segoe UI Light"/>
          <w:sz w:val="20"/>
          <w:szCs w:val="20"/>
        </w:rPr>
        <w:t>It is difficult to quantify or reliably estimate the size of the risk posed by noise pollution in Victoria due to the nature of noise pollution and the fact that c</w:t>
      </w:r>
      <w:r w:rsidRPr="00D4650A">
        <w:rPr>
          <w:rFonts w:ascii="Segoe UI Light" w:hAnsi="Segoe UI Light" w:cs="Segoe UI Light"/>
          <w:sz w:val="20"/>
          <w:szCs w:val="20"/>
        </w:rPr>
        <w:t xml:space="preserve">ompliance </w:t>
      </w:r>
      <w:r w:rsidRPr="005B6B34">
        <w:rPr>
          <w:rFonts w:ascii="Segoe UI Light" w:hAnsi="Segoe UI Light" w:cs="Segoe UI Light"/>
          <w:sz w:val="20"/>
          <w:szCs w:val="20"/>
        </w:rPr>
        <w:t xml:space="preserve">under Victoria’s existing </w:t>
      </w:r>
      <w:r w:rsidRPr="00D4650A">
        <w:rPr>
          <w:rFonts w:ascii="Segoe UI Light" w:hAnsi="Segoe UI Light" w:cs="Segoe UI Light"/>
          <w:sz w:val="20"/>
          <w:szCs w:val="20"/>
        </w:rPr>
        <w:t xml:space="preserve">noise provisions </w:t>
      </w:r>
      <w:r w:rsidRPr="005B6B34">
        <w:rPr>
          <w:rFonts w:ascii="Segoe UI Light" w:hAnsi="Segoe UI Light" w:cs="Segoe UI Light"/>
          <w:sz w:val="20"/>
          <w:szCs w:val="20"/>
        </w:rPr>
        <w:t xml:space="preserve">is </w:t>
      </w:r>
      <w:r w:rsidRPr="00D4650A">
        <w:rPr>
          <w:rFonts w:ascii="Segoe UI Light" w:hAnsi="Segoe UI Light" w:cs="Segoe UI Light"/>
          <w:sz w:val="20"/>
          <w:szCs w:val="20"/>
        </w:rPr>
        <w:t>primarily complaints driven</w:t>
      </w:r>
      <w:r w:rsidRPr="005B6B34">
        <w:rPr>
          <w:rFonts w:ascii="Segoe UI Light" w:hAnsi="Segoe UI Light" w:cs="Segoe UI Light"/>
          <w:sz w:val="20"/>
          <w:szCs w:val="20"/>
        </w:rPr>
        <w:t>.</w:t>
      </w:r>
    </w:p>
    <w:p w14:paraId="656B0E0B" w14:textId="77777777" w:rsidR="005B6B34" w:rsidRPr="005B6B34" w:rsidRDefault="005B6B34" w:rsidP="00D4650A">
      <w:pPr>
        <w:pStyle w:val="Default"/>
        <w:spacing w:after="120"/>
        <w:mirrorIndents/>
        <w:rPr>
          <w:rFonts w:ascii="Segoe UI Light" w:hAnsi="Segoe UI Light" w:cs="Segoe UI Light"/>
          <w:sz w:val="20"/>
          <w:szCs w:val="20"/>
        </w:rPr>
      </w:pPr>
      <w:r w:rsidRPr="005B6B34">
        <w:rPr>
          <w:rFonts w:ascii="Segoe UI Light" w:hAnsi="Segoe UI Light" w:cs="Segoe UI Light"/>
          <w:sz w:val="20"/>
          <w:szCs w:val="20"/>
        </w:rPr>
        <w:t xml:space="preserve">However, the number of complaints received by authorities responsible for enforcing noise provides a useful indication. A recent report commissioned by </w:t>
      </w:r>
      <w:r w:rsidR="000514DD">
        <w:rPr>
          <w:rFonts w:ascii="Segoe UI Light" w:hAnsi="Segoe UI Light" w:cs="Segoe UI Light"/>
          <w:sz w:val="20"/>
          <w:szCs w:val="20"/>
        </w:rPr>
        <w:t>EPA</w:t>
      </w:r>
      <w:r w:rsidRPr="005B6B34">
        <w:rPr>
          <w:rFonts w:ascii="Segoe UI Light" w:hAnsi="Segoe UI Light" w:cs="Segoe UI Light"/>
          <w:sz w:val="20"/>
          <w:szCs w:val="20"/>
        </w:rPr>
        <w:t xml:space="preserve"> estimated that Victoria Police receive an estimated 50,000 </w:t>
      </w:r>
      <w:r w:rsidRPr="00D4650A">
        <w:rPr>
          <w:rFonts w:ascii="Segoe UI Light" w:hAnsi="Segoe UI Light" w:cs="Segoe UI Light"/>
          <w:sz w:val="20"/>
          <w:szCs w:val="20"/>
        </w:rPr>
        <w:t>noise complaints annual</w:t>
      </w:r>
      <w:r w:rsidR="00F53713">
        <w:rPr>
          <w:rFonts w:ascii="Segoe UI Light" w:hAnsi="Segoe UI Light" w:cs="Segoe UI Light"/>
          <w:sz w:val="20"/>
          <w:szCs w:val="20"/>
        </w:rPr>
        <w:t>ly</w:t>
      </w:r>
      <w:r w:rsidRPr="00D4650A">
        <w:rPr>
          <w:rFonts w:ascii="Segoe UI Light" w:hAnsi="Segoe UI Light" w:cs="Segoe UI Light"/>
          <w:sz w:val="20"/>
          <w:szCs w:val="20"/>
        </w:rPr>
        <w:t>, while councils collectively receive approximately 20,000 to 100,000 complaints annually.</w:t>
      </w:r>
      <w:r w:rsidRPr="005B6B34">
        <w:rPr>
          <w:rStyle w:val="FootnoteReference"/>
          <w:rFonts w:ascii="Segoe UI Light" w:hAnsi="Segoe UI Light" w:cs="Segoe UI Light"/>
          <w:sz w:val="20"/>
          <w:szCs w:val="20"/>
        </w:rPr>
        <w:footnoteReference w:id="267"/>
      </w:r>
      <w:r w:rsidRPr="00D4650A">
        <w:rPr>
          <w:rFonts w:ascii="Segoe UI Light" w:hAnsi="Segoe UI Light" w:cs="Segoe UI Light"/>
          <w:sz w:val="20"/>
          <w:szCs w:val="20"/>
        </w:rPr>
        <w:t xml:space="preserve"> In addition, </w:t>
      </w:r>
      <w:r w:rsidR="000514DD">
        <w:rPr>
          <w:rFonts w:ascii="Segoe UI Light" w:hAnsi="Segoe UI Light" w:cs="Segoe UI Light"/>
          <w:sz w:val="20"/>
          <w:szCs w:val="20"/>
        </w:rPr>
        <w:t>EPA</w:t>
      </w:r>
      <w:r w:rsidRPr="00D4650A">
        <w:rPr>
          <w:rFonts w:ascii="Segoe UI Light" w:hAnsi="Segoe UI Light" w:cs="Segoe UI Light"/>
          <w:sz w:val="20"/>
          <w:szCs w:val="20"/>
        </w:rPr>
        <w:t xml:space="preserve"> has received an average of 2,000 noise complaints a year over the past five years.</w:t>
      </w:r>
      <w:r w:rsidRPr="005B6B34">
        <w:rPr>
          <w:rStyle w:val="FootnoteReference"/>
          <w:rFonts w:ascii="Segoe UI Light" w:hAnsi="Segoe UI Light" w:cs="Segoe UI Light"/>
          <w:sz w:val="20"/>
          <w:szCs w:val="20"/>
        </w:rPr>
        <w:footnoteReference w:id="268"/>
      </w:r>
    </w:p>
    <w:p w14:paraId="656B0E0C" w14:textId="77777777" w:rsidR="005B6B34" w:rsidRPr="005B6B34" w:rsidRDefault="005B6B34" w:rsidP="00D4650A">
      <w:pPr>
        <w:pStyle w:val="Default"/>
        <w:spacing w:after="120"/>
        <w:mirrorIndents/>
        <w:rPr>
          <w:rFonts w:ascii="Segoe UI Light" w:hAnsi="Segoe UI Light" w:cs="Segoe UI Light"/>
          <w:sz w:val="20"/>
          <w:szCs w:val="20"/>
        </w:rPr>
      </w:pPr>
      <w:r w:rsidRPr="005B6B34">
        <w:rPr>
          <w:rFonts w:ascii="Segoe UI Light" w:hAnsi="Segoe UI Light" w:cs="Segoe UI Light"/>
          <w:sz w:val="20"/>
          <w:szCs w:val="20"/>
        </w:rPr>
        <w:t>It is likely that complaints data underestimates noise pollution in Victoria. It is common for people who suffer noise annoyance or disturbance to not lodge a formal complaint for a variety of reasons, including the common</w:t>
      </w:r>
      <w:r w:rsidR="00C97BDA">
        <w:rPr>
          <w:rFonts w:ascii="Segoe UI Light" w:hAnsi="Segoe UI Light" w:cs="Segoe UI Light"/>
          <w:sz w:val="20"/>
          <w:szCs w:val="20"/>
        </w:rPr>
        <w:t>ly</w:t>
      </w:r>
      <w:r w:rsidRPr="005B6B34">
        <w:rPr>
          <w:rFonts w:ascii="Segoe UI Light" w:hAnsi="Segoe UI Light" w:cs="Segoe UI Light"/>
          <w:sz w:val="20"/>
          <w:szCs w:val="20"/>
        </w:rPr>
        <w:t xml:space="preserve"> held view that complaining would not resolve the noise issue.</w:t>
      </w:r>
      <w:r w:rsidRPr="005B6B34">
        <w:rPr>
          <w:rStyle w:val="FootnoteReference"/>
          <w:rFonts w:ascii="Segoe UI Light" w:hAnsi="Segoe UI Light" w:cs="Segoe UI Light"/>
          <w:sz w:val="20"/>
          <w:szCs w:val="20"/>
        </w:rPr>
        <w:footnoteReference w:id="269"/>
      </w:r>
      <w:r w:rsidRPr="005B6B34">
        <w:rPr>
          <w:rFonts w:ascii="Segoe UI Light" w:hAnsi="Segoe UI Light" w:cs="Segoe UI Light"/>
          <w:sz w:val="20"/>
          <w:szCs w:val="20"/>
        </w:rPr>
        <w:t xml:space="preserve"> </w:t>
      </w:r>
    </w:p>
    <w:p w14:paraId="656B0E0D" w14:textId="77777777" w:rsidR="005B6B34" w:rsidRPr="005B6B34" w:rsidRDefault="005B6B34" w:rsidP="00D4650A">
      <w:pPr>
        <w:pStyle w:val="Default"/>
        <w:spacing w:after="120"/>
        <w:mirrorIndents/>
        <w:rPr>
          <w:rFonts w:ascii="Segoe UI Light" w:eastAsiaTheme="minorHAnsi" w:hAnsi="Segoe UI Light" w:cs="Segoe UI Light"/>
          <w:color w:val="auto"/>
          <w:sz w:val="20"/>
          <w:szCs w:val="20"/>
          <w:lang w:eastAsia="en-US"/>
        </w:rPr>
      </w:pPr>
      <w:r w:rsidRPr="00D4650A">
        <w:rPr>
          <w:rFonts w:ascii="Segoe UI Light" w:hAnsi="Segoe UI Light" w:cs="Segoe UI Light"/>
          <w:sz w:val="20"/>
          <w:szCs w:val="20"/>
        </w:rPr>
        <w:t>The</w:t>
      </w:r>
      <w:r w:rsidRPr="005B6B34">
        <w:rPr>
          <w:rFonts w:ascii="Segoe UI Light" w:eastAsiaTheme="minorHAnsi" w:hAnsi="Segoe UI Light" w:cs="Segoe UI Light"/>
          <w:color w:val="auto"/>
          <w:sz w:val="20"/>
          <w:szCs w:val="20"/>
          <w:lang w:eastAsia="en-US"/>
        </w:rPr>
        <w:t xml:space="preserve"> three most common sources of noise addressed by regulators in Victoria are music noise, industrial noise and neighbourhood noise. However, the extent to which regulators respond to these noise sources varies significantly. For example, music from entertainment venues is the dominant noise issue for inner city metropolitan councils, Victoria Police and the Victorian Commission for Gambling and Liquor Regulation (VCGLR). In contrast, noise</w:t>
      </w:r>
      <w:r w:rsidR="00792CA0">
        <w:rPr>
          <w:rFonts w:ascii="Segoe UI Light" w:eastAsiaTheme="minorHAnsi" w:hAnsi="Segoe UI Light" w:cs="Segoe UI Light"/>
          <w:color w:val="auto"/>
          <w:sz w:val="20"/>
          <w:szCs w:val="20"/>
          <w:lang w:eastAsia="en-US"/>
        </w:rPr>
        <w:t xml:space="preserve"> complaints</w:t>
      </w:r>
      <w:r w:rsidRPr="005B6B34">
        <w:rPr>
          <w:rFonts w:ascii="Segoe UI Light" w:eastAsiaTheme="minorHAnsi" w:hAnsi="Segoe UI Light" w:cs="Segoe UI Light"/>
          <w:color w:val="auto"/>
          <w:sz w:val="20"/>
          <w:szCs w:val="20"/>
          <w:lang w:eastAsia="en-US"/>
        </w:rPr>
        <w:t xml:space="preserve"> from entertainment venues is </w:t>
      </w:r>
      <w:r w:rsidR="00F53713">
        <w:rPr>
          <w:rFonts w:ascii="Segoe UI Light" w:eastAsiaTheme="minorHAnsi" w:hAnsi="Segoe UI Light" w:cs="Segoe UI Light"/>
          <w:color w:val="auto"/>
          <w:sz w:val="20"/>
          <w:szCs w:val="20"/>
          <w:lang w:eastAsia="en-US"/>
        </w:rPr>
        <w:t>less frequent</w:t>
      </w:r>
      <w:r w:rsidRPr="005B6B34">
        <w:rPr>
          <w:rFonts w:ascii="Segoe UI Light" w:eastAsiaTheme="minorHAnsi" w:hAnsi="Segoe UI Light" w:cs="Segoe UI Light"/>
          <w:color w:val="auto"/>
          <w:sz w:val="20"/>
          <w:szCs w:val="20"/>
          <w:lang w:eastAsia="en-US"/>
        </w:rPr>
        <w:t xml:space="preserve"> in regional Victoria, where residential noise is generally the largest noise issue. The issue of </w:t>
      </w:r>
      <w:r w:rsidR="00F53713">
        <w:rPr>
          <w:rFonts w:ascii="Segoe UI Light" w:eastAsiaTheme="minorHAnsi" w:hAnsi="Segoe UI Light" w:cs="Segoe UI Light"/>
          <w:color w:val="auto"/>
          <w:sz w:val="20"/>
          <w:szCs w:val="20"/>
          <w:lang w:eastAsia="en-US"/>
        </w:rPr>
        <w:t xml:space="preserve">CIT </w:t>
      </w:r>
      <w:r w:rsidRPr="005B6B34">
        <w:rPr>
          <w:rFonts w:ascii="Segoe UI Light" w:eastAsiaTheme="minorHAnsi" w:hAnsi="Segoe UI Light" w:cs="Segoe UI Light"/>
          <w:color w:val="auto"/>
          <w:sz w:val="20"/>
          <w:szCs w:val="20"/>
          <w:lang w:eastAsia="en-US"/>
        </w:rPr>
        <w:t>noise is typically a concern resulting from increas</w:t>
      </w:r>
      <w:r w:rsidR="00F53713">
        <w:rPr>
          <w:rFonts w:ascii="Segoe UI Light" w:eastAsiaTheme="minorHAnsi" w:hAnsi="Segoe UI Light" w:cs="Segoe UI Light"/>
          <w:color w:val="auto"/>
          <w:sz w:val="20"/>
          <w:szCs w:val="20"/>
          <w:lang w:eastAsia="en-US"/>
        </w:rPr>
        <w:t xml:space="preserve">ed </w:t>
      </w:r>
      <w:r w:rsidRPr="005B6B34">
        <w:rPr>
          <w:rFonts w:ascii="Segoe UI Light" w:eastAsiaTheme="minorHAnsi" w:hAnsi="Segoe UI Light" w:cs="Segoe UI Light"/>
          <w:color w:val="auto"/>
          <w:sz w:val="20"/>
          <w:szCs w:val="20"/>
          <w:lang w:eastAsia="en-US"/>
        </w:rPr>
        <w:t>residential development in close proximity to long-established industrial areas in inner Melbourne.</w:t>
      </w:r>
      <w:r w:rsidRPr="005B6B34">
        <w:rPr>
          <w:rStyle w:val="FootnoteReference"/>
          <w:rFonts w:ascii="Segoe UI Light" w:eastAsiaTheme="minorHAnsi" w:hAnsi="Segoe UI Light" w:cs="Segoe UI Light"/>
          <w:color w:val="auto"/>
          <w:sz w:val="20"/>
          <w:szCs w:val="20"/>
          <w:lang w:eastAsia="en-US"/>
        </w:rPr>
        <w:footnoteReference w:id="270"/>
      </w:r>
      <w:r w:rsidRPr="005B6B34">
        <w:rPr>
          <w:rFonts w:ascii="Segoe UI Light" w:eastAsiaTheme="minorHAnsi" w:hAnsi="Segoe UI Light" w:cs="Segoe UI Light"/>
          <w:color w:val="auto"/>
          <w:sz w:val="20"/>
          <w:szCs w:val="20"/>
          <w:lang w:eastAsia="en-US"/>
        </w:rPr>
        <w:t xml:space="preserve"> </w:t>
      </w:r>
    </w:p>
    <w:p w14:paraId="656B0E0E" w14:textId="77777777" w:rsidR="005B6B34" w:rsidRPr="005B6B34" w:rsidRDefault="005B6B34" w:rsidP="005B6B34">
      <w:pPr>
        <w:pStyle w:val="Default"/>
        <w:spacing w:after="120"/>
        <w:mirrorIndents/>
        <w:rPr>
          <w:rFonts w:ascii="Segoe UI Light" w:hAnsi="Segoe UI Light" w:cs="Segoe UI Light"/>
          <w:sz w:val="20"/>
          <w:szCs w:val="20"/>
        </w:rPr>
      </w:pPr>
      <w:r w:rsidRPr="005B6B34">
        <w:rPr>
          <w:rFonts w:ascii="Segoe UI Light" w:hAnsi="Segoe UI Light" w:cs="Segoe UI Light"/>
          <w:sz w:val="20"/>
          <w:szCs w:val="20"/>
        </w:rPr>
        <w:t xml:space="preserve">The management of noise is also a considerable issue for duty holders. In a recent study commissioned by </w:t>
      </w:r>
      <w:r w:rsidR="000514DD">
        <w:rPr>
          <w:rFonts w:ascii="Segoe UI Light" w:hAnsi="Segoe UI Light" w:cs="Segoe UI Light"/>
          <w:sz w:val="20"/>
          <w:szCs w:val="20"/>
        </w:rPr>
        <w:t>EPA</w:t>
      </w:r>
      <w:r w:rsidRPr="005B6B34">
        <w:rPr>
          <w:rFonts w:ascii="Segoe UI Light" w:hAnsi="Segoe UI Light" w:cs="Segoe UI Light"/>
          <w:sz w:val="20"/>
          <w:szCs w:val="20"/>
        </w:rPr>
        <w:t xml:space="preserve">, 81% of entertainment venues and 88% of </w:t>
      </w:r>
      <w:r w:rsidR="00C642B3">
        <w:rPr>
          <w:rFonts w:ascii="Segoe UI Light" w:hAnsi="Segoe UI Light" w:cs="Segoe UI Light"/>
          <w:sz w:val="20"/>
          <w:szCs w:val="20"/>
        </w:rPr>
        <w:t>CIT</w:t>
      </w:r>
      <w:r w:rsidRPr="005B6B34">
        <w:rPr>
          <w:rFonts w:ascii="Segoe UI Light" w:hAnsi="Segoe UI Light" w:cs="Segoe UI Light"/>
          <w:sz w:val="20"/>
          <w:szCs w:val="20"/>
        </w:rPr>
        <w:t xml:space="preserve"> businesses indicated that noise management was an issue for their business.</w:t>
      </w:r>
      <w:r w:rsidRPr="005B6B34">
        <w:rPr>
          <w:rStyle w:val="FootnoteReference"/>
          <w:rFonts w:ascii="Segoe UI Light" w:hAnsi="Segoe UI Light" w:cs="Segoe UI Light"/>
          <w:sz w:val="20"/>
          <w:szCs w:val="20"/>
        </w:rPr>
        <w:footnoteReference w:id="271"/>
      </w:r>
      <w:r w:rsidRPr="005B6B34">
        <w:rPr>
          <w:rFonts w:ascii="Segoe UI Light" w:hAnsi="Segoe UI Light" w:cs="Segoe UI Light"/>
          <w:sz w:val="20"/>
          <w:szCs w:val="20"/>
        </w:rPr>
        <w:t xml:space="preserve"> </w:t>
      </w:r>
    </w:p>
    <w:p w14:paraId="656B0E0F" w14:textId="77777777" w:rsidR="005B6B34" w:rsidRPr="005B6B34" w:rsidRDefault="005B6B34" w:rsidP="008048CF">
      <w:pPr>
        <w:pStyle w:val="Heading3"/>
        <w:ind w:left="720"/>
        <w:rPr>
          <w:rFonts w:cs="Segoe UI Light"/>
        </w:rPr>
      </w:pPr>
      <w:r w:rsidRPr="005B6B34">
        <w:rPr>
          <w:rFonts w:cs="Segoe UI Light"/>
        </w:rPr>
        <w:t>Harms</w:t>
      </w:r>
    </w:p>
    <w:p w14:paraId="656B0E10" w14:textId="77777777" w:rsidR="00495D28" w:rsidRDefault="00495D28" w:rsidP="00ED74A2">
      <w:pPr>
        <w:pStyle w:val="Default"/>
        <w:spacing w:after="120"/>
        <w:mirrorIndents/>
        <w:rPr>
          <w:rFonts w:ascii="Segoe UI Light" w:eastAsiaTheme="minorHAnsi" w:hAnsi="Segoe UI Light" w:cs="Segoe UI Light"/>
          <w:color w:val="auto"/>
          <w:sz w:val="20"/>
          <w:szCs w:val="20"/>
          <w:lang w:eastAsia="en-US"/>
        </w:rPr>
      </w:pPr>
      <w:r>
        <w:rPr>
          <w:rFonts w:ascii="Segoe UI Light" w:eastAsiaTheme="minorHAnsi" w:hAnsi="Segoe UI Light" w:cs="Segoe UI Light"/>
          <w:color w:val="auto"/>
          <w:sz w:val="20"/>
          <w:szCs w:val="20"/>
          <w:lang w:eastAsia="en-US"/>
        </w:rPr>
        <w:t>There is limited primary research conducted in Victoria that examines the costs of noise pollution.</w:t>
      </w:r>
      <w:r w:rsidR="0059263B">
        <w:rPr>
          <w:rFonts w:ascii="Segoe UI Light" w:eastAsiaTheme="minorHAnsi" w:hAnsi="Segoe UI Light" w:cs="Segoe UI Light"/>
          <w:color w:val="auto"/>
          <w:sz w:val="20"/>
          <w:szCs w:val="20"/>
          <w:lang w:eastAsia="en-US"/>
        </w:rPr>
        <w:t xml:space="preserve"> </w:t>
      </w:r>
    </w:p>
    <w:p w14:paraId="656B0E11" w14:textId="77777777" w:rsidR="005B6B34" w:rsidRDefault="005B6B34" w:rsidP="00ED74A2">
      <w:pPr>
        <w:pStyle w:val="Default"/>
        <w:spacing w:after="120"/>
        <w:mirrorIndents/>
        <w:rPr>
          <w:rFonts w:ascii="Segoe UI Light" w:eastAsiaTheme="minorHAnsi" w:hAnsi="Segoe UI Light" w:cs="Segoe UI Light"/>
          <w:color w:val="auto"/>
          <w:sz w:val="20"/>
          <w:szCs w:val="20"/>
          <w:lang w:eastAsia="en-US"/>
        </w:rPr>
      </w:pPr>
      <w:r w:rsidRPr="00ED74A2">
        <w:rPr>
          <w:rFonts w:ascii="Segoe UI Light" w:eastAsiaTheme="minorHAnsi" w:hAnsi="Segoe UI Light" w:cs="Segoe UI Light"/>
          <w:color w:val="auto"/>
          <w:sz w:val="20"/>
          <w:szCs w:val="20"/>
          <w:lang w:eastAsia="en-US"/>
        </w:rPr>
        <w:t>However, there is a large body of international evidence that demonstrates the detrimental impacts of noise on health when levels exceed particular thresholds. For example, exposure to noise may lead to a range of adverse health impacts, loss of amenity, and reduced productivity. Harmful noise exposure is also linked to a range of social impacts; annoyance or stress caused by prolonged exposure to noise can contribute to aggressive or anti-social conduct, and possibly breakdown of relationships.</w:t>
      </w:r>
      <w:r w:rsidRPr="00ED74A2">
        <w:rPr>
          <w:rFonts w:ascii="Segoe UI Light" w:eastAsiaTheme="minorHAnsi" w:hAnsi="Segoe UI Light"/>
          <w:color w:val="auto"/>
          <w:sz w:val="20"/>
          <w:vertAlign w:val="superscript"/>
          <w:lang w:eastAsia="en-US"/>
        </w:rPr>
        <w:footnoteReference w:id="272"/>
      </w:r>
    </w:p>
    <w:p w14:paraId="656B0E12" w14:textId="77777777" w:rsidR="005B6B34" w:rsidRPr="005B6B34" w:rsidRDefault="005B6B34" w:rsidP="00037AF8">
      <w:pPr>
        <w:autoSpaceDE w:val="0"/>
        <w:autoSpaceDN w:val="0"/>
        <w:adjustRightInd w:val="0"/>
        <w:spacing w:line="240" w:lineRule="auto"/>
        <w:rPr>
          <w:rFonts w:cs="Segoe UI Light"/>
          <w:szCs w:val="20"/>
        </w:rPr>
      </w:pPr>
      <w:r w:rsidRPr="005B6B34">
        <w:rPr>
          <w:rFonts w:cs="Segoe UI Light"/>
          <w:szCs w:val="20"/>
        </w:rPr>
        <w:t>A 2011 WHO study of the burden of disease due to environmental noise in Europe found that there is sufficient evidence from large-scale epidemiological studies linking the population’s exposure to environmental noise with adverse health effects. Therefore, environmental noise should be considered not only as a cause of nuisance but also a concern for public health and environmental health</w:t>
      </w:r>
      <w:r w:rsidRPr="00D4650A">
        <w:rPr>
          <w:rFonts w:cs="Segoe UI Light"/>
          <w:szCs w:val="20"/>
        </w:rPr>
        <w:t>.</w:t>
      </w:r>
      <w:r w:rsidRPr="005B6B34">
        <w:rPr>
          <w:rStyle w:val="FootnoteReference"/>
          <w:rFonts w:cs="Segoe UI Light"/>
          <w:szCs w:val="20"/>
        </w:rPr>
        <w:footnoteReference w:id="273"/>
      </w:r>
      <w:r w:rsidRPr="00D4650A">
        <w:rPr>
          <w:rFonts w:cs="Segoe UI Light"/>
          <w:szCs w:val="20"/>
          <w:vertAlign w:val="superscript"/>
        </w:rPr>
        <w:t xml:space="preserve"> </w:t>
      </w:r>
      <w:r w:rsidRPr="005B6B34">
        <w:rPr>
          <w:rFonts w:cs="Segoe UI Light"/>
          <w:szCs w:val="20"/>
        </w:rPr>
        <w:t>The main health impacts of excess noise exposure are:</w:t>
      </w:r>
      <w:r w:rsidRPr="005B6B34">
        <w:rPr>
          <w:rFonts w:eastAsia="Arial,MS Mincho" w:cs="Segoe UI Light"/>
          <w:szCs w:val="20"/>
          <w:vertAlign w:val="superscript"/>
        </w:rPr>
        <w:footnoteReference w:id="274"/>
      </w:r>
      <w:r w:rsidRPr="005B6B34">
        <w:rPr>
          <w:rFonts w:eastAsia="Arial,MS Mincho" w:cs="Segoe UI Light"/>
          <w:szCs w:val="20"/>
          <w:vertAlign w:val="superscript"/>
        </w:rPr>
        <w:t>,</w:t>
      </w:r>
      <w:r w:rsidRPr="00ED74A2">
        <w:rPr>
          <w:rFonts w:eastAsia="Arial,MS Mincho" w:cs="Segoe UI Light"/>
          <w:szCs w:val="20"/>
          <w:vertAlign w:val="superscript"/>
        </w:rPr>
        <w:footnoteReference w:id="275"/>
      </w:r>
    </w:p>
    <w:p w14:paraId="656B0E13" w14:textId="77777777" w:rsidR="005B6B34" w:rsidRPr="005B6B34" w:rsidRDefault="00C3076F" w:rsidP="004A2442">
      <w:pPr>
        <w:pStyle w:val="Bullet1"/>
        <w:numPr>
          <w:ilvl w:val="0"/>
          <w:numId w:val="26"/>
        </w:numPr>
        <w:rPr>
          <w:rFonts w:cs="Segoe UI Light"/>
          <w:szCs w:val="20"/>
        </w:rPr>
      </w:pPr>
      <w:r>
        <w:rPr>
          <w:rFonts w:cs="Segoe UI Light"/>
          <w:szCs w:val="20"/>
        </w:rPr>
        <w:t>A</w:t>
      </w:r>
      <w:r w:rsidR="005B6B34" w:rsidRPr="005B6B34">
        <w:rPr>
          <w:rFonts w:cs="Segoe UI Light"/>
          <w:szCs w:val="20"/>
        </w:rPr>
        <w:t>nnoyance and adverse effects on quality of life</w:t>
      </w:r>
    </w:p>
    <w:p w14:paraId="656B0E14" w14:textId="77777777" w:rsidR="005B6B34" w:rsidRPr="005B6B34" w:rsidRDefault="00C3076F" w:rsidP="004A2442">
      <w:pPr>
        <w:pStyle w:val="Bullet1"/>
        <w:numPr>
          <w:ilvl w:val="0"/>
          <w:numId w:val="26"/>
        </w:numPr>
        <w:rPr>
          <w:rFonts w:cs="Segoe UI Light"/>
          <w:szCs w:val="20"/>
        </w:rPr>
      </w:pPr>
      <w:r>
        <w:rPr>
          <w:rFonts w:cs="Segoe UI Light"/>
          <w:szCs w:val="20"/>
        </w:rPr>
        <w:t>S</w:t>
      </w:r>
      <w:r w:rsidR="005B6B34" w:rsidRPr="005B6B34">
        <w:rPr>
          <w:rFonts w:cs="Segoe UI Light"/>
          <w:szCs w:val="20"/>
        </w:rPr>
        <w:t>leep disturbance</w:t>
      </w:r>
    </w:p>
    <w:p w14:paraId="656B0E15" w14:textId="77777777" w:rsidR="005B6B34" w:rsidRPr="005B6B34" w:rsidRDefault="00C3076F" w:rsidP="004A2442">
      <w:pPr>
        <w:pStyle w:val="Bullet1"/>
        <w:numPr>
          <w:ilvl w:val="0"/>
          <w:numId w:val="26"/>
        </w:numPr>
        <w:rPr>
          <w:rFonts w:cs="Segoe UI Light"/>
          <w:szCs w:val="20"/>
        </w:rPr>
      </w:pPr>
      <w:r>
        <w:rPr>
          <w:rFonts w:cs="Segoe UI Light"/>
          <w:szCs w:val="20"/>
        </w:rPr>
        <w:t>H</w:t>
      </w:r>
      <w:r w:rsidR="005B6B34" w:rsidRPr="005B6B34">
        <w:rPr>
          <w:rFonts w:cs="Segoe UI Light"/>
          <w:szCs w:val="20"/>
        </w:rPr>
        <w:t>igher risk of cardiovascular disease</w:t>
      </w:r>
    </w:p>
    <w:p w14:paraId="656B0E16" w14:textId="77777777" w:rsidR="005B6B34" w:rsidRPr="005B6B34" w:rsidRDefault="00C3076F" w:rsidP="004A2442">
      <w:pPr>
        <w:pStyle w:val="Bullet1"/>
        <w:numPr>
          <w:ilvl w:val="0"/>
          <w:numId w:val="26"/>
        </w:numPr>
        <w:rPr>
          <w:rFonts w:cs="Segoe UI Light"/>
          <w:szCs w:val="20"/>
        </w:rPr>
      </w:pPr>
      <w:r>
        <w:rPr>
          <w:rFonts w:cs="Segoe UI Light"/>
          <w:szCs w:val="20"/>
        </w:rPr>
        <w:t>N</w:t>
      </w:r>
      <w:r w:rsidR="005B6B34" w:rsidRPr="005B6B34">
        <w:rPr>
          <w:rFonts w:cs="Segoe UI Light"/>
          <w:szCs w:val="20"/>
        </w:rPr>
        <w:t>egative impacts on performance and learning of school children</w:t>
      </w:r>
    </w:p>
    <w:p w14:paraId="656B0E17" w14:textId="77777777" w:rsidR="005B6B34" w:rsidRPr="005B6B34" w:rsidRDefault="00C3076F" w:rsidP="004A2442">
      <w:pPr>
        <w:pStyle w:val="Bullet1"/>
        <w:numPr>
          <w:ilvl w:val="0"/>
          <w:numId w:val="26"/>
        </w:numPr>
        <w:rPr>
          <w:rFonts w:cs="Segoe UI Light"/>
          <w:szCs w:val="20"/>
        </w:rPr>
      </w:pPr>
      <w:r>
        <w:rPr>
          <w:rFonts w:cs="Segoe UI Light"/>
          <w:szCs w:val="20"/>
        </w:rPr>
        <w:t>M</w:t>
      </w:r>
      <w:r w:rsidR="005B6B34" w:rsidRPr="005B6B34">
        <w:rPr>
          <w:rFonts w:cs="Segoe UI Light"/>
          <w:szCs w:val="20"/>
        </w:rPr>
        <w:t>ental health</w:t>
      </w:r>
    </w:p>
    <w:p w14:paraId="656B0E18" w14:textId="77777777" w:rsidR="005B6B34" w:rsidRPr="005B6B34" w:rsidRDefault="00C3076F" w:rsidP="004A2442">
      <w:pPr>
        <w:pStyle w:val="Bullet1"/>
        <w:numPr>
          <w:ilvl w:val="0"/>
          <w:numId w:val="26"/>
        </w:numPr>
        <w:rPr>
          <w:rFonts w:cs="Segoe UI Light"/>
          <w:szCs w:val="20"/>
        </w:rPr>
      </w:pPr>
      <w:r>
        <w:rPr>
          <w:rFonts w:cs="Segoe UI Light"/>
          <w:szCs w:val="20"/>
        </w:rPr>
        <w:t>H</w:t>
      </w:r>
      <w:r w:rsidR="005B6B34" w:rsidRPr="005B6B34">
        <w:rPr>
          <w:rFonts w:cs="Segoe UI Light"/>
          <w:szCs w:val="20"/>
        </w:rPr>
        <w:t>earing impairment.</w:t>
      </w:r>
    </w:p>
    <w:p w14:paraId="656B0E19" w14:textId="77777777" w:rsidR="00495D28" w:rsidRPr="00ED74A2" w:rsidRDefault="00495D28" w:rsidP="008048CF">
      <w:pPr>
        <w:pStyle w:val="Default"/>
        <w:spacing w:after="120"/>
        <w:mirrorIndents/>
        <w:rPr>
          <w:rFonts w:ascii="Segoe UI Light" w:eastAsiaTheme="minorHAnsi" w:hAnsi="Segoe UI Light" w:cs="Segoe UI Light"/>
          <w:color w:val="auto"/>
          <w:sz w:val="20"/>
          <w:szCs w:val="20"/>
          <w:lang w:eastAsia="en-US"/>
        </w:rPr>
      </w:pPr>
      <w:r w:rsidRPr="00495D28">
        <w:rPr>
          <w:rFonts w:ascii="Segoe UI Light" w:eastAsiaTheme="minorHAnsi" w:hAnsi="Segoe UI Light" w:cs="Segoe UI Light"/>
          <w:color w:val="auto"/>
          <w:sz w:val="20"/>
          <w:szCs w:val="20"/>
          <w:lang w:eastAsia="en-US"/>
        </w:rPr>
        <w:t xml:space="preserve">The Commonwealth Environmental Health Standing Committee, of which the Victorian Department of Health and Human Services is a member, released an update to its 2014 report “The Health effects of Environmental Noise” in 2018. The Report includes a systematic review of international evidence on the influence of environmental noise on sleep, cardiovascular disease and cognitive outcomes that further supports the findings of the </w:t>
      </w:r>
      <w:r w:rsidR="00C97BDA">
        <w:rPr>
          <w:rFonts w:ascii="Segoe UI Light" w:eastAsiaTheme="minorHAnsi" w:hAnsi="Segoe UI Light" w:cs="Segoe UI Light"/>
          <w:color w:val="auto"/>
          <w:sz w:val="20"/>
          <w:szCs w:val="20"/>
          <w:lang w:eastAsia="en-US"/>
        </w:rPr>
        <w:t>WHO</w:t>
      </w:r>
      <w:r w:rsidRPr="00495D28">
        <w:rPr>
          <w:rFonts w:ascii="Segoe UI Light" w:eastAsiaTheme="minorHAnsi" w:hAnsi="Segoe UI Light" w:cs="Segoe UI Light"/>
          <w:color w:val="auto"/>
          <w:sz w:val="20"/>
          <w:szCs w:val="20"/>
          <w:lang w:eastAsia="en-US"/>
        </w:rPr>
        <w:t>.</w:t>
      </w:r>
    </w:p>
    <w:p w14:paraId="656B0E1A" w14:textId="77777777" w:rsidR="00ED74A2" w:rsidRDefault="005B6B34" w:rsidP="00ED74A2">
      <w:pPr>
        <w:rPr>
          <w:rFonts w:cs="Segoe UI Light"/>
          <w:szCs w:val="20"/>
          <w:vertAlign w:val="superscript"/>
        </w:rPr>
      </w:pPr>
      <w:r w:rsidRPr="00ED74A2">
        <w:t>A</w:t>
      </w:r>
      <w:r w:rsidRPr="00D4650A">
        <w:rPr>
          <w:rFonts w:cs="Segoe UI Light"/>
          <w:szCs w:val="20"/>
        </w:rPr>
        <w:t xml:space="preserve"> </w:t>
      </w:r>
      <w:r w:rsidR="002D58E3">
        <w:rPr>
          <w:rFonts w:cs="Segoe UI Light"/>
          <w:szCs w:val="20"/>
        </w:rPr>
        <w:t xml:space="preserve">separate </w:t>
      </w:r>
      <w:r w:rsidRPr="00D4650A">
        <w:rPr>
          <w:rFonts w:cs="Segoe UI Light"/>
          <w:szCs w:val="20"/>
        </w:rPr>
        <w:t xml:space="preserve">WHO study based on data from </w:t>
      </w:r>
      <w:r w:rsidR="00B64C13">
        <w:rPr>
          <w:rFonts w:cs="Segoe UI Light"/>
          <w:szCs w:val="20"/>
        </w:rPr>
        <w:t>eight</w:t>
      </w:r>
      <w:r w:rsidRPr="00D4650A">
        <w:rPr>
          <w:rFonts w:cs="Segoe UI Light"/>
          <w:szCs w:val="20"/>
        </w:rPr>
        <w:t xml:space="preserve"> selected countries (Belgium, Finland, France, Germany, Italy, the Netherlands, Norway, and the United Kingdom) covered a broad range of exposures considered significant for public health, individual risk, societal concern, </w:t>
      </w:r>
      <w:r w:rsidR="004E0F1F">
        <w:rPr>
          <w:rFonts w:cs="Segoe UI Light"/>
          <w:szCs w:val="20"/>
        </w:rPr>
        <w:t>and the</w:t>
      </w:r>
      <w:r w:rsidR="004E0F1F" w:rsidRPr="00D4650A">
        <w:rPr>
          <w:rFonts w:cs="Segoe UI Light"/>
          <w:szCs w:val="20"/>
        </w:rPr>
        <w:t xml:space="preserve"> </w:t>
      </w:r>
      <w:r w:rsidRPr="00D4650A">
        <w:rPr>
          <w:rFonts w:cs="Segoe UI Light"/>
          <w:szCs w:val="20"/>
        </w:rPr>
        <w:t xml:space="preserve">economy. </w:t>
      </w:r>
      <w:r w:rsidRPr="005B6B34">
        <w:rPr>
          <w:rFonts w:cs="Segoe UI Light"/>
          <w:szCs w:val="20"/>
        </w:rPr>
        <w:t>The study found that traffic noise has the third largest environmental impact on overall public health, behind ambient fine particles and second hand smoke problems.</w:t>
      </w:r>
      <w:r w:rsidRPr="005B6B34">
        <w:rPr>
          <w:rStyle w:val="FootnoteReference"/>
          <w:rFonts w:cs="Segoe UI Light"/>
          <w:szCs w:val="20"/>
        </w:rPr>
        <w:footnoteReference w:id="276"/>
      </w:r>
      <w:r w:rsidRPr="005B6B34">
        <w:rPr>
          <w:rFonts w:cs="Segoe UI Light"/>
          <w:szCs w:val="20"/>
          <w:vertAlign w:val="superscript"/>
        </w:rPr>
        <w:t xml:space="preserve"> </w:t>
      </w:r>
    </w:p>
    <w:p w14:paraId="656B0E1B" w14:textId="77777777" w:rsidR="005B6B34" w:rsidRPr="00341E1F" w:rsidRDefault="005B6B34" w:rsidP="008048CF">
      <w:pPr>
        <w:pStyle w:val="Heading3"/>
        <w:ind w:left="720"/>
        <w:rPr>
          <w:rFonts w:cs="Segoe UI Light"/>
        </w:rPr>
      </w:pPr>
      <w:r w:rsidRPr="00341E1F">
        <w:rPr>
          <w:rFonts w:cs="Segoe UI Light"/>
        </w:rPr>
        <w:t>Costs</w:t>
      </w:r>
    </w:p>
    <w:p w14:paraId="656B0E1C" w14:textId="77777777" w:rsidR="005B6B34" w:rsidRDefault="005B6B34" w:rsidP="005B6B34">
      <w:r>
        <w:t xml:space="preserve">The nature of noise, as reported above, makes it very difficult to estimate costs to human health and the environment. There is </w:t>
      </w:r>
      <w:r w:rsidR="002D58E3">
        <w:t>limited data on the cost of noise pollution to the economy in Victoria. The major limitations of the data include uncertainty of the estimates and the constraints on the transferability to local contexts. A</w:t>
      </w:r>
      <w:r>
        <w:t xml:space="preserve"> recent UK study estimated that the potential productivity cost of prevailing levels of environmental noise at £2 billion – £4 billion (AUD$3.6 – 7.2 billion) per year in England in 2014 prices. The main causes of this cost were:</w:t>
      </w:r>
      <w:r>
        <w:rPr>
          <w:vertAlign w:val="superscript"/>
        </w:rPr>
        <w:footnoteReference w:id="277"/>
      </w:r>
    </w:p>
    <w:p w14:paraId="656B0E1D" w14:textId="77777777" w:rsidR="005B6B34" w:rsidRDefault="00C3076F" w:rsidP="004A2442">
      <w:pPr>
        <w:pStyle w:val="Bullet1"/>
        <w:numPr>
          <w:ilvl w:val="0"/>
          <w:numId w:val="26"/>
        </w:numPr>
      </w:pPr>
      <w:r>
        <w:t>N</w:t>
      </w:r>
      <w:r w:rsidR="005B6B34">
        <w:t>oise-related sleep disturbance and the resulting effect on productivity</w:t>
      </w:r>
    </w:p>
    <w:p w14:paraId="656B0E1E" w14:textId="77777777" w:rsidR="005B6B34" w:rsidRDefault="00C3076F" w:rsidP="004A2442">
      <w:pPr>
        <w:pStyle w:val="Bullet1"/>
        <w:numPr>
          <w:ilvl w:val="0"/>
          <w:numId w:val="26"/>
        </w:numPr>
      </w:pPr>
      <w:r>
        <w:t>E</w:t>
      </w:r>
      <w:r w:rsidR="005B6B34">
        <w:t>ffects of noise on academic performance and the link to lifetime earnings</w:t>
      </w:r>
    </w:p>
    <w:p w14:paraId="656B0E1F" w14:textId="77777777" w:rsidR="005B6B34" w:rsidRPr="005B6B34" w:rsidRDefault="00C3076F" w:rsidP="004A2442">
      <w:pPr>
        <w:pStyle w:val="Bullet1"/>
        <w:numPr>
          <w:ilvl w:val="0"/>
          <w:numId w:val="26"/>
        </w:numPr>
      </w:pPr>
      <w:r>
        <w:t>N</w:t>
      </w:r>
      <w:r w:rsidR="005B6B34">
        <w:t>oise, health and productivity, focusing on the potential economic consequences of noise related ill health.</w:t>
      </w:r>
      <w:r w:rsidR="005B6B34" w:rsidRPr="005B6B34">
        <w:rPr>
          <w:rFonts w:ascii="Times New Roman" w:hAnsi="Times New Roman" w:cs="Times New Roman"/>
          <w:sz w:val="24"/>
          <w:szCs w:val="24"/>
          <w:lang w:eastAsia="en-AU"/>
        </w:rPr>
        <w:t xml:space="preserve"> </w:t>
      </w:r>
    </w:p>
    <w:p w14:paraId="656B0E20" w14:textId="77777777" w:rsidR="00AC428C" w:rsidRDefault="00AC428C" w:rsidP="00AC428C">
      <w:pPr>
        <w:rPr>
          <w:rFonts w:ascii="Verdana" w:hAnsi="Verdana"/>
          <w:sz w:val="18"/>
        </w:rPr>
      </w:pPr>
      <w:r>
        <w:rPr>
          <w:rFonts w:cs="Segoe UI Light"/>
          <w:szCs w:val="20"/>
        </w:rPr>
        <w:t xml:space="preserve">A </w:t>
      </w:r>
      <w:r w:rsidRPr="00AC428C">
        <w:rPr>
          <w:rFonts w:cs="Segoe UI Light"/>
          <w:szCs w:val="20"/>
        </w:rPr>
        <w:t xml:space="preserve">2015 study by the University of Michigan estimated that over 100 million Americans are exposed to unhealthy levels </w:t>
      </w:r>
      <w:r>
        <w:rPr>
          <w:rFonts w:cs="Segoe UI Light"/>
          <w:szCs w:val="20"/>
        </w:rPr>
        <w:t xml:space="preserve">of noise. </w:t>
      </w:r>
      <w:r w:rsidRPr="00AC428C">
        <w:rPr>
          <w:rFonts w:cs="Segoe UI Light"/>
          <w:szCs w:val="20"/>
        </w:rPr>
        <w:t xml:space="preserve">The analysis </w:t>
      </w:r>
      <w:r>
        <w:rPr>
          <w:rFonts w:cs="Segoe UI Light"/>
          <w:szCs w:val="20"/>
        </w:rPr>
        <w:t xml:space="preserve">indicated </w:t>
      </w:r>
      <w:r w:rsidRPr="00AC428C">
        <w:rPr>
          <w:rFonts w:cs="Segoe UI Light"/>
          <w:szCs w:val="20"/>
        </w:rPr>
        <w:t xml:space="preserve">that a 5dB noise reduction scenario </w:t>
      </w:r>
      <w:r>
        <w:rPr>
          <w:rFonts w:cs="Segoe UI Light"/>
          <w:szCs w:val="20"/>
        </w:rPr>
        <w:t>may</w:t>
      </w:r>
      <w:r w:rsidRPr="00AC428C">
        <w:rPr>
          <w:rFonts w:cs="Segoe UI Light"/>
          <w:szCs w:val="20"/>
        </w:rPr>
        <w:t xml:space="preserve"> reduce the prevalence of hypertension by 1.4% and coronary heart disease by 1.8%</w:t>
      </w:r>
      <w:r w:rsidR="00DC7A63">
        <w:rPr>
          <w:rFonts w:cs="Segoe UI Light"/>
          <w:szCs w:val="20"/>
        </w:rPr>
        <w:t xml:space="preserve">. </w:t>
      </w:r>
      <w:r w:rsidRPr="00AC428C">
        <w:rPr>
          <w:rFonts w:cs="Segoe UI Light"/>
          <w:szCs w:val="20"/>
        </w:rPr>
        <w:t xml:space="preserve">The </w:t>
      </w:r>
      <w:r>
        <w:rPr>
          <w:rFonts w:cs="Segoe UI Light"/>
          <w:szCs w:val="20"/>
        </w:rPr>
        <w:t xml:space="preserve">study estimated that </w:t>
      </w:r>
      <w:r w:rsidRPr="00AC428C">
        <w:rPr>
          <w:rFonts w:cs="Segoe UI Light"/>
          <w:szCs w:val="20"/>
        </w:rPr>
        <w:t xml:space="preserve">annual economic benefit of reduced hypertension and heart disease alone </w:t>
      </w:r>
      <w:r>
        <w:rPr>
          <w:rFonts w:cs="Segoe UI Light"/>
          <w:szCs w:val="20"/>
        </w:rPr>
        <w:t xml:space="preserve">were approximately </w:t>
      </w:r>
      <w:r w:rsidRPr="00AC428C">
        <w:rPr>
          <w:rFonts w:cs="Segoe UI Light"/>
          <w:szCs w:val="20"/>
        </w:rPr>
        <w:t>US$3.9</w:t>
      </w:r>
      <w:r>
        <w:rPr>
          <w:rFonts w:cs="Segoe UI Light"/>
          <w:szCs w:val="20"/>
        </w:rPr>
        <w:t xml:space="preserve"> billion</w:t>
      </w:r>
      <w:r w:rsidRPr="00AC428C">
        <w:rPr>
          <w:rFonts w:cs="Segoe UI Light"/>
          <w:szCs w:val="20"/>
        </w:rPr>
        <w:t xml:space="preserve"> (approximately </w:t>
      </w:r>
      <w:r>
        <w:rPr>
          <w:rFonts w:cs="Segoe UI Light"/>
          <w:szCs w:val="20"/>
        </w:rPr>
        <w:t>A</w:t>
      </w:r>
      <w:r w:rsidR="00C97BDA">
        <w:rPr>
          <w:rFonts w:cs="Segoe UI Light"/>
          <w:szCs w:val="20"/>
        </w:rPr>
        <w:t>UD</w:t>
      </w:r>
      <w:r w:rsidRPr="00AC428C">
        <w:rPr>
          <w:rFonts w:cs="Segoe UI Light"/>
          <w:szCs w:val="20"/>
        </w:rPr>
        <w:t>$5.6</w:t>
      </w:r>
      <w:r>
        <w:rPr>
          <w:rFonts w:cs="Segoe UI Light"/>
          <w:szCs w:val="20"/>
        </w:rPr>
        <w:t xml:space="preserve"> billion</w:t>
      </w:r>
      <w:r w:rsidRPr="00AC428C">
        <w:rPr>
          <w:rFonts w:cs="Segoe UI Light"/>
          <w:szCs w:val="20"/>
        </w:rPr>
        <w:t>).</w:t>
      </w:r>
      <w:r>
        <w:rPr>
          <w:rStyle w:val="FootnoteReference"/>
          <w:rFonts w:cs="Segoe UI Light"/>
          <w:szCs w:val="20"/>
        </w:rPr>
        <w:footnoteReference w:id="278"/>
      </w:r>
      <w:r>
        <w:rPr>
          <w:rFonts w:ascii="Verdana" w:hAnsi="Verdana"/>
          <w:sz w:val="18"/>
        </w:rPr>
        <w:t xml:space="preserve"> </w:t>
      </w:r>
    </w:p>
    <w:p w14:paraId="656B0E21" w14:textId="77777777" w:rsidR="005B6B34" w:rsidRPr="005B6B34" w:rsidRDefault="005B6B34" w:rsidP="00D4650A">
      <w:pPr>
        <w:spacing w:before="120"/>
        <w:rPr>
          <w:rFonts w:cs="Segoe UI Light"/>
          <w:color w:val="333333"/>
          <w:szCs w:val="20"/>
          <w:lang w:val="en"/>
        </w:rPr>
      </w:pPr>
      <w:r w:rsidRPr="005B6B34">
        <w:rPr>
          <w:rFonts w:cs="Segoe UI Light"/>
          <w:szCs w:val="20"/>
        </w:rPr>
        <w:t>The mental health related costs to society of noise exposure (from all sources) are also large. While limited quantitative analysis has been undertaken in Australia, a 2007 study on traffic noise based on European data concluded that the cost of excess noise exposure is equivalent to approximately 0.4% of GDP in the 22 European Union countries studied</w:t>
      </w:r>
      <w:r w:rsidRPr="005B6B34">
        <w:rPr>
          <w:rFonts w:cs="Segoe UI Light"/>
          <w:color w:val="333333"/>
          <w:szCs w:val="20"/>
          <w:lang w:val="en"/>
        </w:rPr>
        <w:t>.</w:t>
      </w:r>
      <w:r w:rsidRPr="005B6B34">
        <w:rPr>
          <w:rFonts w:cs="Segoe UI Light"/>
          <w:color w:val="333333"/>
          <w:szCs w:val="20"/>
          <w:vertAlign w:val="superscript"/>
          <w:lang w:val="en"/>
        </w:rPr>
        <w:footnoteReference w:id="279"/>
      </w:r>
    </w:p>
    <w:p w14:paraId="656B0E22" w14:textId="77777777" w:rsidR="005B6B34" w:rsidRPr="005B6B34" w:rsidRDefault="005B6B34" w:rsidP="00D4650A">
      <w:pPr>
        <w:rPr>
          <w:rFonts w:cs="Segoe UI Light"/>
          <w:szCs w:val="20"/>
        </w:rPr>
      </w:pPr>
      <w:r w:rsidRPr="005B6B34">
        <w:rPr>
          <w:rFonts w:cs="Segoe UI Light"/>
          <w:szCs w:val="20"/>
        </w:rPr>
        <w:t xml:space="preserve">The costs to businesses from managing and abating </w:t>
      </w:r>
      <w:r w:rsidRPr="00D4650A">
        <w:rPr>
          <w:rFonts w:cs="Segoe UI Light"/>
          <w:szCs w:val="20"/>
        </w:rPr>
        <w:t>noise</w:t>
      </w:r>
      <w:r w:rsidRPr="005B6B34">
        <w:rPr>
          <w:rFonts w:cs="Segoe UI Light"/>
          <w:szCs w:val="20"/>
        </w:rPr>
        <w:t xml:space="preserve"> </w:t>
      </w:r>
      <w:r w:rsidR="00BB6539">
        <w:rPr>
          <w:rFonts w:cs="Segoe UI Light"/>
          <w:szCs w:val="20"/>
        </w:rPr>
        <w:t>(although different to the cost of the noise itself)</w:t>
      </w:r>
      <w:r w:rsidRPr="005B6B34">
        <w:rPr>
          <w:rFonts w:cs="Segoe UI Light"/>
          <w:szCs w:val="20"/>
        </w:rPr>
        <w:t xml:space="preserve"> can also be significant. </w:t>
      </w:r>
      <w:r w:rsidRPr="00D4650A">
        <w:rPr>
          <w:rFonts w:cs="Segoe UI Light"/>
          <w:szCs w:val="20"/>
        </w:rPr>
        <w:t>Costs can be direct (such as the costs of installing noise reducing barriers) or indirect (such as altering the times of activities).</w:t>
      </w:r>
      <w:r w:rsidRPr="005B6B34">
        <w:rPr>
          <w:rFonts w:cs="Segoe UI Light"/>
          <w:szCs w:val="20"/>
        </w:rPr>
        <w:t xml:space="preserve"> </w:t>
      </w:r>
      <w:r w:rsidRPr="00D4650A">
        <w:rPr>
          <w:rFonts w:cs="Segoe UI Light"/>
          <w:szCs w:val="20"/>
        </w:rPr>
        <w:t>The costs of managing noise vary considerably between businesses pending the nature of industry, nature of noise emissions, and the scale of the business. The costs to</w:t>
      </w:r>
      <w:r w:rsidR="004E0F1F">
        <w:rPr>
          <w:rFonts w:cs="Segoe UI Light"/>
          <w:szCs w:val="20"/>
        </w:rPr>
        <w:t xml:space="preserve"> Victorian</w:t>
      </w:r>
      <w:r w:rsidRPr="00D4650A">
        <w:rPr>
          <w:rFonts w:cs="Segoe UI Light"/>
          <w:szCs w:val="20"/>
        </w:rPr>
        <w:t xml:space="preserve"> </w:t>
      </w:r>
      <w:r w:rsidR="00C642B3">
        <w:rPr>
          <w:rFonts w:cs="Segoe UI Light"/>
          <w:szCs w:val="20"/>
        </w:rPr>
        <w:t>CIT</w:t>
      </w:r>
      <w:r w:rsidRPr="00D4650A">
        <w:rPr>
          <w:rFonts w:cs="Segoe UI Light"/>
          <w:szCs w:val="20"/>
        </w:rPr>
        <w:t xml:space="preserve"> businesses of managing noise can range from as low as $20,000 to $8.5 million per annum, while </w:t>
      </w:r>
      <w:r w:rsidRPr="005B6B34">
        <w:rPr>
          <w:rFonts w:cs="Segoe UI Light"/>
          <w:szCs w:val="20"/>
        </w:rPr>
        <w:t>the average annual cost of managing noise for entertainment venues was approximately $51,000 and could be as high as $250,000 per annum.</w:t>
      </w:r>
      <w:r w:rsidRPr="005B6B34">
        <w:rPr>
          <w:rStyle w:val="FootnoteReference"/>
          <w:rFonts w:cs="Segoe UI Light"/>
          <w:szCs w:val="20"/>
        </w:rPr>
        <w:footnoteReference w:id="280"/>
      </w:r>
      <w:r w:rsidRPr="00D4650A">
        <w:rPr>
          <w:rStyle w:val="FootnoteReference"/>
          <w:rFonts w:cs="Segoe UI Light"/>
          <w:szCs w:val="20"/>
        </w:rPr>
        <w:t xml:space="preserve"> </w:t>
      </w:r>
    </w:p>
    <w:p w14:paraId="656B0E23" w14:textId="77777777" w:rsidR="005B6B34" w:rsidRPr="005B6B34" w:rsidRDefault="005B6B34" w:rsidP="005B6B34">
      <w:pPr>
        <w:pStyle w:val="Default"/>
        <w:spacing w:after="120"/>
        <w:mirrorIndents/>
        <w:rPr>
          <w:rFonts w:ascii="Segoe UI Light" w:eastAsiaTheme="minorHAnsi" w:hAnsi="Segoe UI Light" w:cs="Segoe UI Light"/>
          <w:color w:val="auto"/>
          <w:sz w:val="20"/>
          <w:szCs w:val="20"/>
          <w:lang w:eastAsia="en-US"/>
        </w:rPr>
      </w:pPr>
      <w:r w:rsidRPr="005B6B34">
        <w:rPr>
          <w:rFonts w:ascii="Segoe UI Light" w:eastAsiaTheme="minorHAnsi" w:hAnsi="Segoe UI Light" w:cs="Segoe UI Light"/>
          <w:color w:val="auto"/>
          <w:sz w:val="20"/>
          <w:szCs w:val="20"/>
          <w:lang w:eastAsia="en-US"/>
        </w:rPr>
        <w:t xml:space="preserve">Costs to government from enforcing and monitoring compliance are also considerable. For example, Victoria Police report that a </w:t>
      </w:r>
      <w:r w:rsidRPr="005B6B34">
        <w:rPr>
          <w:rFonts w:ascii="Segoe UI Light" w:hAnsi="Segoe UI Light" w:cs="Segoe UI Light"/>
          <w:sz w:val="20"/>
          <w:szCs w:val="20"/>
        </w:rPr>
        <w:t>quarter of its liquor licensing unit’s time, which includes six full-time equivalent staff, is devoted to addressing noise issues.</w:t>
      </w:r>
      <w:r w:rsidRPr="005B6B34">
        <w:rPr>
          <w:rStyle w:val="FootnoteReference"/>
          <w:rFonts w:ascii="Segoe UI Light" w:hAnsi="Segoe UI Light" w:cs="Segoe UI Light"/>
          <w:sz w:val="20"/>
          <w:szCs w:val="20"/>
        </w:rPr>
        <w:footnoteReference w:id="281"/>
      </w:r>
      <w:r w:rsidR="00145ED1">
        <w:rPr>
          <w:rFonts w:ascii="Segoe UI Light" w:hAnsi="Segoe UI Light" w:cs="Segoe UI Light"/>
          <w:sz w:val="20"/>
          <w:szCs w:val="20"/>
        </w:rPr>
        <w:t xml:space="preserve"> Assuming an average </w:t>
      </w:r>
      <w:r w:rsidR="001303C9">
        <w:rPr>
          <w:rFonts w:ascii="Segoe UI Light" w:hAnsi="Segoe UI Light" w:cs="Segoe UI Light"/>
          <w:sz w:val="20"/>
          <w:szCs w:val="20"/>
        </w:rPr>
        <w:t>f</w:t>
      </w:r>
      <w:r w:rsidR="00145ED1">
        <w:rPr>
          <w:rFonts w:ascii="Segoe UI Light" w:hAnsi="Segoe UI Light" w:cs="Segoe UI Light"/>
          <w:sz w:val="20"/>
          <w:szCs w:val="20"/>
        </w:rPr>
        <w:t xml:space="preserve">irst </w:t>
      </w:r>
      <w:r w:rsidR="001303C9">
        <w:rPr>
          <w:rFonts w:ascii="Segoe UI Light" w:hAnsi="Segoe UI Light" w:cs="Segoe UI Light"/>
          <w:sz w:val="20"/>
          <w:szCs w:val="20"/>
        </w:rPr>
        <w:t>c</w:t>
      </w:r>
      <w:r w:rsidR="00145ED1">
        <w:rPr>
          <w:rFonts w:ascii="Segoe UI Light" w:hAnsi="Segoe UI Light" w:cs="Segoe UI Light"/>
          <w:sz w:val="20"/>
          <w:szCs w:val="20"/>
        </w:rPr>
        <w:t>onstable salary of $76,418.50, this equates to almost $460,000.</w:t>
      </w:r>
      <w:r w:rsidR="00145ED1">
        <w:rPr>
          <w:rStyle w:val="FootnoteReference"/>
          <w:rFonts w:ascii="Segoe UI Light" w:hAnsi="Segoe UI Light" w:cs="Segoe UI Light"/>
          <w:sz w:val="20"/>
          <w:szCs w:val="20"/>
        </w:rPr>
        <w:footnoteReference w:id="282"/>
      </w:r>
    </w:p>
    <w:p w14:paraId="656B0E24" w14:textId="77777777" w:rsidR="005B6B34" w:rsidRPr="005B6B34" w:rsidRDefault="004E0F1F" w:rsidP="005B6B34">
      <w:pPr>
        <w:pStyle w:val="Default"/>
        <w:spacing w:after="120"/>
        <w:mirrorIndents/>
        <w:rPr>
          <w:rFonts w:ascii="Segoe UI Light" w:eastAsiaTheme="minorHAnsi" w:hAnsi="Segoe UI Light" w:cs="Segoe UI Light"/>
          <w:color w:val="auto"/>
          <w:sz w:val="20"/>
          <w:szCs w:val="20"/>
          <w:lang w:eastAsia="en-US"/>
        </w:rPr>
      </w:pPr>
      <w:r>
        <w:rPr>
          <w:rFonts w:ascii="Segoe UI Light" w:eastAsiaTheme="minorHAnsi" w:hAnsi="Segoe UI Light" w:cs="Segoe UI Light"/>
          <w:color w:val="auto"/>
          <w:sz w:val="20"/>
          <w:szCs w:val="20"/>
          <w:lang w:eastAsia="en-US"/>
        </w:rPr>
        <w:t>Councils also incur costs</w:t>
      </w:r>
      <w:r w:rsidR="005B6B34" w:rsidRPr="005B6B34">
        <w:rPr>
          <w:rFonts w:ascii="Segoe UI Light" w:eastAsiaTheme="minorHAnsi" w:hAnsi="Segoe UI Light" w:cs="Segoe UI Light"/>
          <w:color w:val="auto"/>
          <w:sz w:val="20"/>
          <w:szCs w:val="20"/>
          <w:lang w:eastAsia="en-US"/>
        </w:rPr>
        <w:t xml:space="preserve">. </w:t>
      </w:r>
      <w:bookmarkStart w:id="1902" w:name="_Hlk516916922"/>
      <w:r w:rsidR="005B6B34" w:rsidRPr="005B6B34">
        <w:rPr>
          <w:rFonts w:ascii="Segoe UI Light" w:eastAsiaTheme="minorHAnsi" w:hAnsi="Segoe UI Light" w:cs="Segoe UI Light"/>
          <w:color w:val="auto"/>
          <w:sz w:val="20"/>
          <w:szCs w:val="20"/>
          <w:lang w:eastAsia="en-US"/>
        </w:rPr>
        <w:t xml:space="preserve">For example, </w:t>
      </w:r>
      <w:r w:rsidR="005B6B34" w:rsidRPr="00D4650A">
        <w:rPr>
          <w:rFonts w:ascii="Segoe UI Light" w:eastAsiaTheme="minorHAnsi" w:hAnsi="Segoe UI Light" w:cs="Segoe UI Light"/>
          <w:color w:val="auto"/>
          <w:sz w:val="20"/>
          <w:szCs w:val="20"/>
          <w:lang w:eastAsia="en-US"/>
        </w:rPr>
        <w:t>Mornington Peninsula Shire Council</w:t>
      </w:r>
      <w:r w:rsidR="005B6B34" w:rsidRPr="005B6B34">
        <w:rPr>
          <w:rFonts w:ascii="Segoe UI Light" w:eastAsiaTheme="minorHAnsi" w:hAnsi="Segoe UI Light" w:cs="Segoe UI Light"/>
          <w:color w:val="auto"/>
          <w:sz w:val="20"/>
          <w:szCs w:val="20"/>
          <w:lang w:eastAsia="en-US"/>
        </w:rPr>
        <w:t xml:space="preserve">’s </w:t>
      </w:r>
      <w:bookmarkEnd w:id="1902"/>
      <w:r w:rsidR="005B6B34" w:rsidRPr="00D4650A">
        <w:rPr>
          <w:rFonts w:ascii="Segoe UI Light" w:eastAsiaTheme="minorHAnsi" w:hAnsi="Segoe UI Light" w:cs="Segoe UI Light"/>
          <w:color w:val="auto"/>
          <w:sz w:val="20"/>
          <w:szCs w:val="20"/>
          <w:lang w:eastAsia="en-US"/>
        </w:rPr>
        <w:t xml:space="preserve">Environment Protection Unit provides noise advice and investigate and control a range of noise issues. The council receives approximately 1,000 complaints regarding noise a year, with the </w:t>
      </w:r>
      <w:r w:rsidR="005B6B34" w:rsidRPr="005B6B34">
        <w:rPr>
          <w:rFonts w:ascii="Segoe UI Light" w:eastAsiaTheme="minorHAnsi" w:hAnsi="Segoe UI Light" w:cs="Segoe UI Light"/>
          <w:color w:val="auto"/>
          <w:sz w:val="20"/>
          <w:szCs w:val="20"/>
          <w:lang w:eastAsia="en-US"/>
        </w:rPr>
        <w:t xml:space="preserve">majority </w:t>
      </w:r>
      <w:r w:rsidR="005B6B34" w:rsidRPr="00D4650A">
        <w:rPr>
          <w:rFonts w:ascii="Segoe UI Light" w:eastAsiaTheme="minorHAnsi" w:hAnsi="Segoe UI Light" w:cs="Segoe UI Light"/>
          <w:color w:val="auto"/>
          <w:sz w:val="20"/>
          <w:szCs w:val="20"/>
          <w:lang w:eastAsia="en-US"/>
        </w:rPr>
        <w:t xml:space="preserve">during the </w:t>
      </w:r>
      <w:r w:rsidR="005B6B34" w:rsidRPr="005B6B34">
        <w:rPr>
          <w:rFonts w:ascii="Segoe UI Light" w:eastAsiaTheme="minorHAnsi" w:hAnsi="Segoe UI Light" w:cs="Segoe UI Light"/>
          <w:color w:val="auto"/>
          <w:sz w:val="20"/>
          <w:szCs w:val="20"/>
          <w:lang w:eastAsia="en-US"/>
        </w:rPr>
        <w:t xml:space="preserve">peak tourist </w:t>
      </w:r>
      <w:r w:rsidR="005B6B34" w:rsidRPr="00D4650A">
        <w:rPr>
          <w:rFonts w:ascii="Segoe UI Light" w:eastAsiaTheme="minorHAnsi" w:hAnsi="Segoe UI Light" w:cs="Segoe UI Light"/>
          <w:color w:val="auto"/>
          <w:sz w:val="20"/>
          <w:szCs w:val="20"/>
          <w:lang w:eastAsia="en-US"/>
        </w:rPr>
        <w:t xml:space="preserve">summer months. </w:t>
      </w:r>
      <w:r w:rsidR="005B6B34" w:rsidRPr="005B6B34">
        <w:rPr>
          <w:rFonts w:ascii="Segoe UI Light" w:eastAsiaTheme="minorHAnsi" w:hAnsi="Segoe UI Light" w:cs="Segoe UI Light"/>
          <w:color w:val="auto"/>
          <w:sz w:val="20"/>
          <w:szCs w:val="20"/>
          <w:lang w:eastAsia="en-US"/>
        </w:rPr>
        <w:t xml:space="preserve">Council has estimated that it dedicates </w:t>
      </w:r>
      <w:r w:rsidR="005B6B34" w:rsidRPr="00D4650A">
        <w:rPr>
          <w:rFonts w:ascii="Segoe UI Light" w:eastAsiaTheme="minorHAnsi" w:hAnsi="Segoe UI Light" w:cs="Segoe UI Light"/>
          <w:color w:val="auto"/>
          <w:sz w:val="20"/>
          <w:szCs w:val="20"/>
          <w:lang w:eastAsia="en-US"/>
        </w:rPr>
        <w:t>approximately 0.33 FTE over a full year.</w:t>
      </w:r>
      <w:r w:rsidR="005B6B34" w:rsidRPr="005B6B34">
        <w:rPr>
          <w:rFonts w:ascii="Segoe UI Light" w:eastAsiaTheme="minorHAnsi" w:hAnsi="Segoe UI Light" w:cs="Segoe UI Light"/>
          <w:color w:val="auto"/>
          <w:sz w:val="20"/>
          <w:szCs w:val="20"/>
          <w:lang w:eastAsia="en-US"/>
        </w:rPr>
        <w:t xml:space="preserve"> There are additional costs </w:t>
      </w:r>
      <w:r w:rsidR="005B6B34" w:rsidRPr="00D4650A">
        <w:rPr>
          <w:rFonts w:ascii="Segoe UI Light" w:eastAsiaTheme="minorHAnsi" w:hAnsi="Segoe UI Light" w:cs="Segoe UI Light"/>
          <w:color w:val="auto"/>
          <w:sz w:val="20"/>
          <w:szCs w:val="20"/>
          <w:lang w:eastAsia="en-US"/>
        </w:rPr>
        <w:t xml:space="preserve">associated with training ($1,000 per annum over three years), purchasing </w:t>
      </w:r>
      <w:r w:rsidR="005B6B34" w:rsidRPr="005B6B34">
        <w:rPr>
          <w:rFonts w:ascii="Segoe UI Light" w:eastAsiaTheme="minorHAnsi" w:hAnsi="Segoe UI Light" w:cs="Segoe UI Light"/>
          <w:color w:val="auto"/>
          <w:sz w:val="20"/>
          <w:szCs w:val="20"/>
          <w:lang w:eastAsia="en-US"/>
        </w:rPr>
        <w:t xml:space="preserve">equipment </w:t>
      </w:r>
      <w:r w:rsidR="005B6B34" w:rsidRPr="00D4650A">
        <w:rPr>
          <w:rFonts w:ascii="Segoe UI Light" w:eastAsiaTheme="minorHAnsi" w:hAnsi="Segoe UI Light" w:cs="Segoe UI Light"/>
          <w:color w:val="auto"/>
          <w:sz w:val="20"/>
          <w:szCs w:val="20"/>
          <w:lang w:eastAsia="en-US"/>
        </w:rPr>
        <w:t>($22,000 one-off), laboratory calibration every two years ($1,200 per occurrence) and an annual software licence ($400 per annum).</w:t>
      </w:r>
      <w:r w:rsidR="005B6B34" w:rsidRPr="005B6B34">
        <w:rPr>
          <w:rStyle w:val="FootnoteReference"/>
          <w:rFonts w:ascii="Segoe UI Light" w:eastAsiaTheme="minorHAnsi" w:hAnsi="Segoe UI Light" w:cs="Segoe UI Light"/>
          <w:color w:val="auto"/>
          <w:sz w:val="20"/>
          <w:szCs w:val="20"/>
          <w:lang w:eastAsia="en-US"/>
        </w:rPr>
        <w:footnoteReference w:id="283"/>
      </w:r>
    </w:p>
    <w:p w14:paraId="656B0E25" w14:textId="77777777" w:rsidR="005B6B34" w:rsidRPr="005B6B34" w:rsidRDefault="005B6B34" w:rsidP="00982D63">
      <w:pPr>
        <w:pStyle w:val="Heading2"/>
        <w:rPr>
          <w:rFonts w:cs="Segoe UI Light"/>
          <w:szCs w:val="20"/>
        </w:rPr>
      </w:pPr>
      <w:r w:rsidRPr="00341E1F">
        <w:t>Assessment</w:t>
      </w:r>
    </w:p>
    <w:p w14:paraId="656B0E26" w14:textId="77777777" w:rsidR="005B6B34" w:rsidRPr="005B6B34" w:rsidRDefault="005B6B34" w:rsidP="005B6B34">
      <w:pPr>
        <w:rPr>
          <w:rFonts w:cs="Segoe UI Light"/>
          <w:szCs w:val="20"/>
        </w:rPr>
      </w:pPr>
      <w:r w:rsidRPr="005B6B34">
        <w:rPr>
          <w:rFonts w:cs="Segoe UI Light"/>
          <w:szCs w:val="20"/>
        </w:rPr>
        <w:t xml:space="preserve">This section assesses the feasible options for addressing the </w:t>
      </w:r>
      <w:r w:rsidR="004E0F1F">
        <w:rPr>
          <w:rFonts w:cs="Segoe UI Light"/>
          <w:szCs w:val="20"/>
        </w:rPr>
        <w:t xml:space="preserve">three </w:t>
      </w:r>
      <w:r w:rsidRPr="005B6B34">
        <w:rPr>
          <w:rFonts w:cs="Segoe UI Light"/>
          <w:szCs w:val="20"/>
        </w:rPr>
        <w:t xml:space="preserve">different problem areas: </w:t>
      </w:r>
    </w:p>
    <w:p w14:paraId="656B0E27" w14:textId="77777777" w:rsidR="005B6B34" w:rsidRPr="005B6B34" w:rsidRDefault="00C3076F" w:rsidP="004A2442">
      <w:pPr>
        <w:pStyle w:val="ListParagraph"/>
        <w:numPr>
          <w:ilvl w:val="0"/>
          <w:numId w:val="107"/>
        </w:numPr>
        <w:rPr>
          <w:rFonts w:cs="Segoe UI Light"/>
          <w:szCs w:val="20"/>
        </w:rPr>
      </w:pPr>
      <w:r>
        <w:rPr>
          <w:rFonts w:cs="Segoe UI Light"/>
          <w:szCs w:val="20"/>
        </w:rPr>
        <w:t>N</w:t>
      </w:r>
      <w:r w:rsidR="005B6B34" w:rsidRPr="005B6B34">
        <w:rPr>
          <w:rFonts w:cs="Segoe UI Light"/>
          <w:szCs w:val="20"/>
        </w:rPr>
        <w:t xml:space="preserve">oise from </w:t>
      </w:r>
      <w:r w:rsidR="0059263B">
        <w:rPr>
          <w:rFonts w:cs="Segoe UI Light"/>
          <w:szCs w:val="20"/>
        </w:rPr>
        <w:t>CIT</w:t>
      </w:r>
      <w:r w:rsidR="005B6B34" w:rsidRPr="005B6B34">
        <w:rPr>
          <w:rFonts w:cs="Segoe UI Light"/>
          <w:szCs w:val="20"/>
        </w:rPr>
        <w:t xml:space="preserve"> premises</w:t>
      </w:r>
    </w:p>
    <w:p w14:paraId="656B0E28" w14:textId="77777777" w:rsidR="005B6B34" w:rsidRPr="005B6B34" w:rsidRDefault="00C3076F" w:rsidP="004A2442">
      <w:pPr>
        <w:pStyle w:val="ListParagraph"/>
        <w:numPr>
          <w:ilvl w:val="0"/>
          <w:numId w:val="107"/>
        </w:numPr>
        <w:rPr>
          <w:rFonts w:cs="Segoe UI Light"/>
          <w:szCs w:val="20"/>
        </w:rPr>
      </w:pPr>
      <w:r>
        <w:rPr>
          <w:rFonts w:cs="Segoe UI Light"/>
          <w:szCs w:val="20"/>
        </w:rPr>
        <w:t>N</w:t>
      </w:r>
      <w:r w:rsidR="005B6B34" w:rsidRPr="005B6B34">
        <w:rPr>
          <w:rFonts w:cs="Segoe UI Light"/>
          <w:szCs w:val="20"/>
        </w:rPr>
        <w:t>oise from entertainment venues</w:t>
      </w:r>
    </w:p>
    <w:p w14:paraId="656B0E29" w14:textId="77777777" w:rsidR="005B6B34" w:rsidRPr="005B6B34" w:rsidRDefault="00C3076F" w:rsidP="004A2442">
      <w:pPr>
        <w:pStyle w:val="ListParagraph"/>
        <w:numPr>
          <w:ilvl w:val="0"/>
          <w:numId w:val="107"/>
        </w:numPr>
        <w:rPr>
          <w:rFonts w:cs="Segoe UI Light"/>
          <w:szCs w:val="20"/>
        </w:rPr>
      </w:pPr>
      <w:r>
        <w:rPr>
          <w:rFonts w:cs="Segoe UI Light"/>
          <w:szCs w:val="20"/>
        </w:rPr>
        <w:t>N</w:t>
      </w:r>
      <w:r w:rsidR="005B6B34" w:rsidRPr="005B6B34">
        <w:rPr>
          <w:rFonts w:cs="Segoe UI Light"/>
          <w:szCs w:val="20"/>
        </w:rPr>
        <w:t>oise from residential premises.</w:t>
      </w:r>
    </w:p>
    <w:p w14:paraId="656B0E2A" w14:textId="77777777" w:rsidR="005B6B34" w:rsidRPr="00341E1F" w:rsidRDefault="005B6B34" w:rsidP="00037AF8">
      <w:pPr>
        <w:pStyle w:val="Heading3"/>
        <w:ind w:left="720"/>
      </w:pPr>
      <w:r w:rsidRPr="00341E1F">
        <w:t>Assessment method</w:t>
      </w:r>
    </w:p>
    <w:p w14:paraId="656B0E2B" w14:textId="77777777" w:rsidR="005B6B34" w:rsidRPr="005B6B34" w:rsidRDefault="005B6B34" w:rsidP="005B6B34">
      <w:pPr>
        <w:rPr>
          <w:rFonts w:cs="Segoe UI Light"/>
          <w:szCs w:val="20"/>
        </w:rPr>
      </w:pPr>
      <w:r w:rsidRPr="005B6B34">
        <w:rPr>
          <w:rFonts w:cs="Segoe UI Light"/>
          <w:szCs w:val="20"/>
        </w:rPr>
        <w:t xml:space="preserve">MCA is used to assess options for the noise problem area because insufficient information is available to allow a fully quantitative CBA to be undertaken. </w:t>
      </w:r>
    </w:p>
    <w:p w14:paraId="656B0E2C" w14:textId="77777777" w:rsidR="005B6B34" w:rsidRPr="00341E1F" w:rsidRDefault="005B6B34" w:rsidP="00982D63">
      <w:pPr>
        <w:pStyle w:val="Heading2"/>
      </w:pPr>
      <w:r w:rsidRPr="005B6B34">
        <w:t xml:space="preserve">Noise from </w:t>
      </w:r>
      <w:r w:rsidR="00C642B3">
        <w:t>CIT</w:t>
      </w:r>
      <w:r w:rsidRPr="005B6B34">
        <w:t xml:space="preserve"> premises</w:t>
      </w:r>
    </w:p>
    <w:p w14:paraId="656B0E2D" w14:textId="77777777" w:rsidR="005B6B34" w:rsidRPr="005B6B34" w:rsidRDefault="005B6B34" w:rsidP="008048CF">
      <w:pPr>
        <w:pStyle w:val="Heading3"/>
        <w:ind w:left="720"/>
      </w:pPr>
      <w:r w:rsidRPr="005B6B34">
        <w:t>Options</w:t>
      </w:r>
    </w:p>
    <w:p w14:paraId="656B0E2E" w14:textId="77777777" w:rsidR="005B6B34" w:rsidRPr="005B6B34" w:rsidRDefault="005B6B34" w:rsidP="005B6B34">
      <w:pPr>
        <w:mirrorIndents/>
        <w:rPr>
          <w:rFonts w:cs="Segoe UI Light"/>
          <w:szCs w:val="20"/>
        </w:rPr>
      </w:pPr>
      <w:r w:rsidRPr="005B6B34">
        <w:rPr>
          <w:rFonts w:cs="Segoe UI Light"/>
          <w:szCs w:val="20"/>
        </w:rPr>
        <w:t xml:space="preserve">The options considered in addressing the residual risk associated with the emission of noise from </w:t>
      </w:r>
      <w:r w:rsidR="0059263B">
        <w:rPr>
          <w:rFonts w:cs="Segoe UI Light"/>
          <w:szCs w:val="20"/>
        </w:rPr>
        <w:t>CIT</w:t>
      </w:r>
      <w:r w:rsidRPr="005B6B34">
        <w:rPr>
          <w:rFonts w:cs="Segoe UI Light"/>
          <w:szCs w:val="20"/>
        </w:rPr>
        <w:t xml:space="preserve"> premises under the unreasonable and aggravated noise provisions are:</w:t>
      </w:r>
    </w:p>
    <w:p w14:paraId="656B0E2F" w14:textId="77777777" w:rsidR="005B6B34" w:rsidRPr="005B6B34" w:rsidRDefault="005B6B34" w:rsidP="004A2442">
      <w:pPr>
        <w:pStyle w:val="Bullet1"/>
        <w:numPr>
          <w:ilvl w:val="0"/>
          <w:numId w:val="26"/>
        </w:numPr>
        <w:tabs>
          <w:tab w:val="left" w:pos="720"/>
        </w:tabs>
        <w:rPr>
          <w:rFonts w:cs="Segoe UI Light"/>
          <w:szCs w:val="20"/>
        </w:rPr>
      </w:pPr>
      <w:r w:rsidRPr="00D4650A">
        <w:rPr>
          <w:rFonts w:cs="Segoe UI Light"/>
          <w:b/>
          <w:szCs w:val="20"/>
        </w:rPr>
        <w:t xml:space="preserve">Base </w:t>
      </w:r>
      <w:r w:rsidRPr="005B6B34">
        <w:rPr>
          <w:rFonts w:cs="Segoe UI Light"/>
          <w:b/>
          <w:szCs w:val="20"/>
        </w:rPr>
        <w:t>C</w:t>
      </w:r>
      <w:r w:rsidRPr="00D4650A">
        <w:rPr>
          <w:rFonts w:cs="Segoe UI Light"/>
          <w:b/>
          <w:szCs w:val="20"/>
        </w:rPr>
        <w:t>ase - do nothing:</w:t>
      </w:r>
      <w:r w:rsidRPr="005B6B34">
        <w:rPr>
          <w:rFonts w:cs="Segoe UI Light"/>
          <w:szCs w:val="20"/>
        </w:rPr>
        <w:t xml:space="preserve"> no regulations to </w:t>
      </w:r>
      <w:r w:rsidR="004E0F1F" w:rsidRPr="005B6B34">
        <w:rPr>
          <w:rFonts w:cs="Segoe UI Light"/>
          <w:szCs w:val="20"/>
        </w:rPr>
        <w:t>compl</w:t>
      </w:r>
      <w:r w:rsidR="004E0F1F">
        <w:rPr>
          <w:rFonts w:cs="Segoe UI Light"/>
          <w:szCs w:val="20"/>
        </w:rPr>
        <w:t>e</w:t>
      </w:r>
      <w:r w:rsidR="004E0F1F" w:rsidRPr="005B6B34">
        <w:rPr>
          <w:rFonts w:cs="Segoe UI Light"/>
          <w:szCs w:val="20"/>
        </w:rPr>
        <w:t xml:space="preserve">ment </w:t>
      </w:r>
      <w:r w:rsidRPr="005B6B34">
        <w:rPr>
          <w:rFonts w:cs="Segoe UI Light"/>
          <w:szCs w:val="20"/>
        </w:rPr>
        <w:t xml:space="preserve">the GED and unreasonable and aggravated noise provisions with respect to </w:t>
      </w:r>
      <w:r w:rsidR="00C642B3">
        <w:rPr>
          <w:rFonts w:cs="Segoe UI Light"/>
          <w:szCs w:val="20"/>
        </w:rPr>
        <w:t>CIT</w:t>
      </w:r>
      <w:r w:rsidRPr="005B6B34">
        <w:rPr>
          <w:rFonts w:cs="Segoe UI Light"/>
          <w:szCs w:val="20"/>
        </w:rPr>
        <w:t xml:space="preserve"> businesses.</w:t>
      </w:r>
    </w:p>
    <w:p w14:paraId="656B0E30" w14:textId="77777777" w:rsidR="005B6B34" w:rsidRPr="00BA59E6" w:rsidRDefault="005B6B34" w:rsidP="004A2442">
      <w:pPr>
        <w:pStyle w:val="Bullet1"/>
        <w:numPr>
          <w:ilvl w:val="0"/>
          <w:numId w:val="26"/>
        </w:numPr>
        <w:tabs>
          <w:tab w:val="left" w:pos="720"/>
        </w:tabs>
        <w:rPr>
          <w:rFonts w:cs="Segoe UI Light"/>
          <w:b/>
          <w:szCs w:val="20"/>
        </w:rPr>
      </w:pPr>
      <w:r w:rsidRPr="00D4650A">
        <w:rPr>
          <w:rFonts w:cs="Segoe UI Light"/>
          <w:b/>
          <w:szCs w:val="20"/>
        </w:rPr>
        <w:t>Option 1 – prescrib</w:t>
      </w:r>
      <w:r w:rsidRPr="005B6B34">
        <w:rPr>
          <w:rFonts w:cs="Segoe UI Light"/>
          <w:b/>
          <w:szCs w:val="20"/>
        </w:rPr>
        <w:t>e</w:t>
      </w:r>
      <w:r w:rsidRPr="00D4650A">
        <w:rPr>
          <w:rFonts w:cs="Segoe UI Light"/>
          <w:b/>
          <w:szCs w:val="20"/>
        </w:rPr>
        <w:t xml:space="preserve"> a </w:t>
      </w:r>
      <w:r w:rsidRPr="005B6B34">
        <w:rPr>
          <w:rFonts w:cs="Segoe UI Light"/>
          <w:b/>
          <w:szCs w:val="20"/>
        </w:rPr>
        <w:t xml:space="preserve">framework for establishing noise limits for </w:t>
      </w:r>
      <w:r w:rsidR="00C642B3">
        <w:rPr>
          <w:rFonts w:cs="Segoe UI Light"/>
          <w:b/>
          <w:szCs w:val="20"/>
        </w:rPr>
        <w:t>CIT</w:t>
      </w:r>
      <w:r w:rsidRPr="005B6B34">
        <w:rPr>
          <w:rFonts w:cs="Segoe UI Light"/>
          <w:b/>
          <w:szCs w:val="20"/>
        </w:rPr>
        <w:t xml:space="preserve"> premises in urban and rural areas and define aggravated noise: </w:t>
      </w:r>
      <w:r w:rsidRPr="005B6B34">
        <w:rPr>
          <w:rFonts w:cs="Segoe UI Light"/>
          <w:szCs w:val="20"/>
        </w:rPr>
        <w:t xml:space="preserve">Option 1 involves prescribing a framework that establishes noise limits for </w:t>
      </w:r>
      <w:r w:rsidR="002D58E3">
        <w:rPr>
          <w:rFonts w:cs="Segoe UI Light"/>
          <w:szCs w:val="20"/>
        </w:rPr>
        <w:t xml:space="preserve">emissions from </w:t>
      </w:r>
      <w:r w:rsidR="00C642B3">
        <w:rPr>
          <w:rFonts w:cs="Segoe UI Light"/>
          <w:szCs w:val="20"/>
        </w:rPr>
        <w:t>CIT</w:t>
      </w:r>
      <w:r w:rsidRPr="005B6B34">
        <w:rPr>
          <w:rFonts w:cs="Segoe UI Light"/>
          <w:szCs w:val="20"/>
        </w:rPr>
        <w:t xml:space="preserve"> businesses based on the existing SEPP N1 and NIRV framework, including prescribing noise sources that will not be </w:t>
      </w:r>
      <w:r w:rsidR="002D58E3">
        <w:rPr>
          <w:rFonts w:cs="Segoe UI Light"/>
          <w:szCs w:val="20"/>
        </w:rPr>
        <w:t xml:space="preserve">assessed using the regulatory framework due to the nature of the noise (such as mobile noise sources). These sources may still be considered </w:t>
      </w:r>
      <w:r w:rsidRPr="005B6B34">
        <w:rPr>
          <w:rFonts w:cs="Segoe UI Light"/>
          <w:szCs w:val="20"/>
        </w:rPr>
        <w:t xml:space="preserve">unreasonable </w:t>
      </w:r>
      <w:r w:rsidR="002D58E3">
        <w:rPr>
          <w:rFonts w:cs="Segoe UI Light"/>
          <w:szCs w:val="20"/>
        </w:rPr>
        <w:t xml:space="preserve">under the unreasonable </w:t>
      </w:r>
      <w:r w:rsidRPr="005B6B34">
        <w:rPr>
          <w:rFonts w:cs="Segoe UI Light"/>
          <w:szCs w:val="20"/>
        </w:rPr>
        <w:t xml:space="preserve">noise provision under the new EP legislation. Option 1 also involves defining aggravated noise from </w:t>
      </w:r>
      <w:r w:rsidR="00C642B3">
        <w:rPr>
          <w:rFonts w:cs="Segoe UI Light"/>
          <w:szCs w:val="20"/>
        </w:rPr>
        <w:t>CIT</w:t>
      </w:r>
      <w:r w:rsidRPr="005B6B34">
        <w:rPr>
          <w:rFonts w:cs="Segoe UI Light"/>
          <w:szCs w:val="20"/>
        </w:rPr>
        <w:t xml:space="preserve"> premises, and defining ‘urban’ and ‘rural’ areas with respect to the application of unreasonable and aggravated noise provisions under the new EP legislation. </w:t>
      </w:r>
    </w:p>
    <w:p w14:paraId="656B0E31" w14:textId="77777777" w:rsidR="00BA59E6" w:rsidRPr="00BA59E6" w:rsidRDefault="00AB67FC" w:rsidP="006027BE">
      <w:pPr>
        <w:pStyle w:val="ListParagraph"/>
        <w:rPr>
          <w:rFonts w:cs="Segoe UI Light"/>
          <w:szCs w:val="20"/>
        </w:rPr>
      </w:pPr>
      <w:r w:rsidRPr="006027BE">
        <w:rPr>
          <w:rFonts w:cs="Segoe UI Light"/>
          <w:szCs w:val="20"/>
        </w:rPr>
        <w:t xml:space="preserve">In addition to the above, </w:t>
      </w:r>
      <w:r w:rsidR="00BA59E6" w:rsidRPr="00BA59E6">
        <w:rPr>
          <w:rFonts w:cs="Segoe UI Light"/>
          <w:szCs w:val="20"/>
        </w:rPr>
        <w:t xml:space="preserve">Option 1 </w:t>
      </w:r>
      <w:r w:rsidRPr="006027BE">
        <w:rPr>
          <w:rFonts w:cs="Segoe UI Light"/>
          <w:szCs w:val="20"/>
        </w:rPr>
        <w:t>will prescribe</w:t>
      </w:r>
      <w:r w:rsidR="00BA59E6" w:rsidRPr="00BA59E6">
        <w:rPr>
          <w:rFonts w:cs="Segoe UI Light"/>
          <w:szCs w:val="20"/>
        </w:rPr>
        <w:t xml:space="preserve"> the Urban Growth Boundary (UGB) for Melbourne under the </w:t>
      </w:r>
      <w:r w:rsidR="00BA59E6" w:rsidRPr="00BA59E6">
        <w:rPr>
          <w:rFonts w:cs="Segoe UI Light"/>
          <w:i/>
          <w:szCs w:val="20"/>
        </w:rPr>
        <w:t>Planning and Environment Act 1987</w:t>
      </w:r>
      <w:r w:rsidR="00BA59E6" w:rsidRPr="006027BE">
        <w:rPr>
          <w:rFonts w:cs="Segoe UI Light"/>
          <w:szCs w:val="20"/>
        </w:rPr>
        <w:t xml:space="preserve"> </w:t>
      </w:r>
      <w:r w:rsidR="006027BE" w:rsidRPr="006027BE">
        <w:rPr>
          <w:rFonts w:cs="Segoe UI Light"/>
          <w:szCs w:val="20"/>
        </w:rPr>
        <w:t>and</w:t>
      </w:r>
      <w:r w:rsidR="00BA59E6" w:rsidRPr="00BA59E6">
        <w:rPr>
          <w:rFonts w:cs="Segoe UI Light"/>
          <w:szCs w:val="20"/>
        </w:rPr>
        <w:t xml:space="preserve"> any regional centre with a population of over 7,000 as </w:t>
      </w:r>
      <w:r w:rsidRPr="006027BE">
        <w:rPr>
          <w:rFonts w:cs="Segoe UI Light"/>
          <w:szCs w:val="20"/>
        </w:rPr>
        <w:t>‘</w:t>
      </w:r>
      <w:r w:rsidR="00BA59E6" w:rsidRPr="00BA59E6">
        <w:rPr>
          <w:rFonts w:cs="Segoe UI Light"/>
          <w:szCs w:val="20"/>
        </w:rPr>
        <w:t xml:space="preserve">urban </w:t>
      </w:r>
      <w:r w:rsidRPr="006027BE">
        <w:rPr>
          <w:rFonts w:cs="Segoe UI Light"/>
          <w:szCs w:val="20"/>
        </w:rPr>
        <w:t>area</w:t>
      </w:r>
      <w:r w:rsidR="006027BE" w:rsidRPr="006027BE">
        <w:rPr>
          <w:rFonts w:cs="Segoe UI Light"/>
          <w:szCs w:val="20"/>
        </w:rPr>
        <w:t>s</w:t>
      </w:r>
      <w:r w:rsidRPr="006027BE">
        <w:rPr>
          <w:rFonts w:cs="Segoe UI Light"/>
          <w:szCs w:val="20"/>
        </w:rPr>
        <w:t>’</w:t>
      </w:r>
      <w:r w:rsidR="006027BE" w:rsidRPr="006027BE">
        <w:rPr>
          <w:rFonts w:cs="Segoe UI Light"/>
          <w:szCs w:val="20"/>
        </w:rPr>
        <w:t xml:space="preserve"> for the purposes of selecting the appropriate methodology </w:t>
      </w:r>
      <w:r w:rsidR="00BA59E6" w:rsidRPr="00BA59E6">
        <w:rPr>
          <w:rFonts w:cs="Segoe UI Light"/>
          <w:szCs w:val="20"/>
        </w:rPr>
        <w:t xml:space="preserve">of </w:t>
      </w:r>
      <w:r w:rsidR="006027BE" w:rsidRPr="006027BE">
        <w:rPr>
          <w:rFonts w:cs="Segoe UI Light"/>
          <w:szCs w:val="20"/>
        </w:rPr>
        <w:t>assessing compliance with unreasonable and aggravated noise from CIT premises.</w:t>
      </w:r>
      <w:r w:rsidRPr="006027BE">
        <w:rPr>
          <w:rFonts w:cs="Segoe UI Light"/>
          <w:szCs w:val="20"/>
        </w:rPr>
        <w:t xml:space="preserve"> </w:t>
      </w:r>
      <w:r w:rsidR="00BA59E6" w:rsidRPr="00BA59E6">
        <w:rPr>
          <w:rFonts w:cs="Segoe UI Light"/>
          <w:szCs w:val="20"/>
        </w:rPr>
        <w:t xml:space="preserve">All other areas within Victoria would be deemed ‘rural areas’. </w:t>
      </w:r>
    </w:p>
    <w:p w14:paraId="656B0E32" w14:textId="77777777" w:rsidR="005B6B34" w:rsidRPr="005B6B34" w:rsidRDefault="005B6B34" w:rsidP="004A2442">
      <w:pPr>
        <w:pStyle w:val="Bullet1"/>
        <w:numPr>
          <w:ilvl w:val="0"/>
          <w:numId w:val="26"/>
        </w:numPr>
        <w:tabs>
          <w:tab w:val="left" w:pos="720"/>
        </w:tabs>
        <w:rPr>
          <w:rFonts w:cs="Segoe UI Light"/>
          <w:szCs w:val="20"/>
        </w:rPr>
      </w:pPr>
      <w:r w:rsidRPr="005B6B34">
        <w:rPr>
          <w:rFonts w:cs="Segoe UI Light"/>
          <w:b/>
          <w:szCs w:val="20"/>
        </w:rPr>
        <w:t xml:space="preserve">Option 2 - </w:t>
      </w:r>
      <w:r w:rsidRPr="00D4650A">
        <w:rPr>
          <w:rFonts w:cs="Segoe UI Light"/>
          <w:b/>
          <w:szCs w:val="20"/>
        </w:rPr>
        <w:t xml:space="preserve">Option 1 plus </w:t>
      </w:r>
      <w:r w:rsidRPr="005B6B34">
        <w:rPr>
          <w:rFonts w:cs="Segoe UI Light"/>
          <w:b/>
          <w:szCs w:val="20"/>
        </w:rPr>
        <w:t>selected improvements</w:t>
      </w:r>
      <w:r w:rsidRPr="00D4650A">
        <w:rPr>
          <w:rFonts w:cs="Segoe UI Light"/>
          <w:b/>
          <w:szCs w:val="20"/>
        </w:rPr>
        <w:t>:</w:t>
      </w:r>
      <w:r w:rsidRPr="005B6B34">
        <w:rPr>
          <w:rFonts w:cs="Segoe UI Light"/>
          <w:szCs w:val="20"/>
        </w:rPr>
        <w:t xml:space="preserve"> Option 2, in addition to the prescribed regulations under Option 1, also includes a range of selected improvements to the existing SEPP N1 and NIRV noise frameworks</w:t>
      </w:r>
      <w:r w:rsidR="00E065E5">
        <w:rPr>
          <w:rFonts w:cs="Segoe UI Light"/>
          <w:szCs w:val="20"/>
        </w:rPr>
        <w:t xml:space="preserve"> to reduce mismanagement and improve transparency</w:t>
      </w:r>
      <w:r w:rsidRPr="005B6B34">
        <w:rPr>
          <w:rFonts w:cs="Segoe UI Light"/>
          <w:szCs w:val="20"/>
        </w:rPr>
        <w:t>, including:</w:t>
      </w:r>
    </w:p>
    <w:p w14:paraId="0743C9F6" w14:textId="539E6671" w:rsidR="0082413C" w:rsidRDefault="0082413C" w:rsidP="0082413C">
      <w:pPr>
        <w:pStyle w:val="Bullet1"/>
        <w:numPr>
          <w:ilvl w:val="1"/>
          <w:numId w:val="26"/>
        </w:numPr>
        <w:tabs>
          <w:tab w:val="left" w:pos="720"/>
        </w:tabs>
        <w:rPr>
          <w:rFonts w:cs="Segoe UI Light"/>
          <w:szCs w:val="20"/>
        </w:rPr>
      </w:pPr>
      <w:r>
        <w:rPr>
          <w:rFonts w:cs="Segoe UI Light"/>
          <w:szCs w:val="20"/>
        </w:rPr>
        <w:t>A</w:t>
      </w:r>
      <w:r w:rsidRPr="005B6B34">
        <w:rPr>
          <w:rFonts w:cs="Segoe UI Light"/>
          <w:szCs w:val="20"/>
        </w:rPr>
        <w:t>ligning</w:t>
      </w:r>
      <w:r>
        <w:rPr>
          <w:rFonts w:cs="Segoe UI Light"/>
          <w:szCs w:val="20"/>
        </w:rPr>
        <w:t xml:space="preserve"> the Saturday evening period (with respect to the application of noise limits) with the  evening period for Monday to Friday. This will apply to all of Victoria.</w:t>
      </w:r>
    </w:p>
    <w:p w14:paraId="656B0E34" w14:textId="77777777" w:rsidR="005B6B34" w:rsidRPr="005B6B34" w:rsidRDefault="00C3076F" w:rsidP="004A2442">
      <w:pPr>
        <w:pStyle w:val="Bullet1"/>
        <w:numPr>
          <w:ilvl w:val="1"/>
          <w:numId w:val="26"/>
        </w:numPr>
        <w:tabs>
          <w:tab w:val="left" w:pos="720"/>
        </w:tabs>
        <w:rPr>
          <w:rFonts w:cs="Segoe UI Light"/>
          <w:szCs w:val="20"/>
        </w:rPr>
      </w:pPr>
      <w:r>
        <w:rPr>
          <w:rFonts w:cs="Segoe UI Light"/>
          <w:szCs w:val="20"/>
        </w:rPr>
        <w:t>E</w:t>
      </w:r>
      <w:r w:rsidR="005B6B34" w:rsidRPr="005B6B34">
        <w:rPr>
          <w:rFonts w:cs="Segoe UI Light"/>
          <w:szCs w:val="20"/>
        </w:rPr>
        <w:t>stablishing a night time noise limit of 55 dB</w:t>
      </w:r>
      <w:r w:rsidR="002D58E3">
        <w:rPr>
          <w:rFonts w:cs="Segoe UI Light"/>
          <w:szCs w:val="20"/>
        </w:rPr>
        <w:t xml:space="preserve"> for emissions from CIT premises</w:t>
      </w:r>
    </w:p>
    <w:p w14:paraId="656B0E35" w14:textId="77777777" w:rsidR="005B6B34" w:rsidRPr="005B6B34" w:rsidRDefault="00C3076F" w:rsidP="004A2442">
      <w:pPr>
        <w:pStyle w:val="Bullet1"/>
        <w:numPr>
          <w:ilvl w:val="1"/>
          <w:numId w:val="26"/>
        </w:numPr>
        <w:tabs>
          <w:tab w:val="left" w:pos="720"/>
        </w:tabs>
        <w:rPr>
          <w:rFonts w:cs="Segoe UI Light"/>
          <w:szCs w:val="20"/>
        </w:rPr>
      </w:pPr>
      <w:r>
        <w:rPr>
          <w:rFonts w:cs="Segoe UI Light"/>
          <w:szCs w:val="20"/>
        </w:rPr>
        <w:t>P</w:t>
      </w:r>
      <w:r w:rsidR="005B6B34" w:rsidRPr="005B6B34">
        <w:rPr>
          <w:rFonts w:cs="Segoe UI Light"/>
          <w:szCs w:val="20"/>
        </w:rPr>
        <w:t xml:space="preserve">rescribing a new requirement for </w:t>
      </w:r>
      <w:r w:rsidR="00C642B3">
        <w:rPr>
          <w:rFonts w:cs="Segoe UI Light"/>
          <w:szCs w:val="20"/>
        </w:rPr>
        <w:t>CIT</w:t>
      </w:r>
      <w:r w:rsidR="005B6B34" w:rsidRPr="005B6B34">
        <w:rPr>
          <w:rFonts w:cs="Segoe UI Light"/>
          <w:szCs w:val="20"/>
        </w:rPr>
        <w:t xml:space="preserve"> </w:t>
      </w:r>
      <w:r w:rsidR="002D58E3">
        <w:rPr>
          <w:rFonts w:cs="Segoe UI Light"/>
          <w:szCs w:val="20"/>
        </w:rPr>
        <w:t xml:space="preserve">premises </w:t>
      </w:r>
      <w:r w:rsidR="005B6B34" w:rsidRPr="005B6B34">
        <w:rPr>
          <w:rFonts w:cs="Segoe UI Light"/>
          <w:szCs w:val="20"/>
        </w:rPr>
        <w:t>to manage emissions of frequency</w:t>
      </w:r>
      <w:r w:rsidR="00DA6C13">
        <w:rPr>
          <w:rFonts w:cs="Segoe UI Light"/>
          <w:szCs w:val="20"/>
        </w:rPr>
        <w:t xml:space="preserve"> spectrum</w:t>
      </w:r>
      <w:r w:rsidR="005B6B34" w:rsidRPr="005B6B34">
        <w:rPr>
          <w:rFonts w:cs="Segoe UI Light"/>
          <w:szCs w:val="20"/>
        </w:rPr>
        <w:t xml:space="preserve"> noise</w:t>
      </w:r>
    </w:p>
    <w:p w14:paraId="656B0E36" w14:textId="77777777" w:rsidR="00FD78FE" w:rsidRDefault="00C3076F" w:rsidP="008048CF">
      <w:pPr>
        <w:pStyle w:val="Bullet1"/>
        <w:numPr>
          <w:ilvl w:val="1"/>
          <w:numId w:val="26"/>
        </w:numPr>
        <w:tabs>
          <w:tab w:val="left" w:pos="720"/>
        </w:tabs>
        <w:rPr>
          <w:rFonts w:cs="Segoe UI Light"/>
          <w:szCs w:val="20"/>
        </w:rPr>
      </w:pPr>
      <w:r>
        <w:rPr>
          <w:rFonts w:cs="Segoe UI Light"/>
          <w:szCs w:val="20"/>
        </w:rPr>
        <w:t>E</w:t>
      </w:r>
      <w:r w:rsidR="005B6B34" w:rsidRPr="005B6B34">
        <w:rPr>
          <w:rFonts w:cs="Segoe UI Light"/>
          <w:szCs w:val="20"/>
        </w:rPr>
        <w:t xml:space="preserve">xpanding prescribed noise sensitive areas as outlined in SEPP N1 and NIRV to include childcare centres, kindergartens, and primary and secondary schools within urban areas and tourist areas and camping and caravan parks in rural areas </w:t>
      </w:r>
    </w:p>
    <w:p w14:paraId="656B0E39" w14:textId="77777777" w:rsidR="00E065E5" w:rsidRPr="00E065E5" w:rsidRDefault="00C3076F">
      <w:pPr>
        <w:pStyle w:val="Bullet1"/>
        <w:numPr>
          <w:ilvl w:val="1"/>
          <w:numId w:val="26"/>
        </w:numPr>
        <w:tabs>
          <w:tab w:val="left" w:pos="720"/>
        </w:tabs>
        <w:rPr>
          <w:rFonts w:cs="Segoe UI Light"/>
          <w:szCs w:val="20"/>
        </w:rPr>
      </w:pPr>
      <w:r>
        <w:rPr>
          <w:rFonts w:cstheme="minorHAnsi"/>
          <w:szCs w:val="20"/>
        </w:rPr>
        <w:t>I</w:t>
      </w:r>
      <w:r w:rsidR="00E065E5">
        <w:rPr>
          <w:rFonts w:cstheme="minorHAnsi"/>
          <w:szCs w:val="20"/>
        </w:rPr>
        <w:t>ncreasing statutory guidance on certain sources of noise.</w:t>
      </w:r>
    </w:p>
    <w:p w14:paraId="656B0E3A" w14:textId="77777777" w:rsidR="008048CF" w:rsidRDefault="00C6094E" w:rsidP="005B6B34">
      <w:pPr>
        <w:rPr>
          <w:rFonts w:cstheme="minorHAnsi"/>
          <w:szCs w:val="20"/>
        </w:rPr>
      </w:pPr>
      <w:r>
        <w:rPr>
          <w:rFonts w:cstheme="minorHAnsi"/>
          <w:szCs w:val="20"/>
        </w:rPr>
        <w:t xml:space="preserve">Regarding other potential options, the SEPP review identified a number of potential options (other than those above) to reduce mismanagement and improve transparency. These included increasing the number of noise sensitive areas, greater controls on land-use to support consideration of noise impacts on noise sensitive areas and increasing statutory guidance on certain sources of noise. </w:t>
      </w:r>
      <w:r w:rsidR="008048CF">
        <w:rPr>
          <w:rFonts w:cstheme="minorHAnsi"/>
          <w:szCs w:val="20"/>
        </w:rPr>
        <w:t>However, t</w:t>
      </w:r>
      <w:r>
        <w:rPr>
          <w:rFonts w:cstheme="minorHAnsi"/>
          <w:szCs w:val="20"/>
        </w:rPr>
        <w:t xml:space="preserve">he above options to increase regulation </w:t>
      </w:r>
      <w:r w:rsidR="00C97BDA">
        <w:rPr>
          <w:rFonts w:cstheme="minorHAnsi"/>
          <w:szCs w:val="20"/>
        </w:rPr>
        <w:t>are</w:t>
      </w:r>
      <w:r>
        <w:rPr>
          <w:rFonts w:cstheme="minorHAnsi"/>
          <w:szCs w:val="20"/>
        </w:rPr>
        <w:t xml:space="preserve"> considered a proportionate, evidence-based response, balancing the likely future increased impact of noise, the need to protect human health and the environment, and the potential impost on duty holders. </w:t>
      </w:r>
    </w:p>
    <w:p w14:paraId="656B0E3B" w14:textId="77777777" w:rsidR="005B6B34" w:rsidRPr="005B6B34" w:rsidRDefault="00F25B16" w:rsidP="005B6B34">
      <w:pPr>
        <w:rPr>
          <w:rFonts w:cs="Segoe UI Light"/>
          <w:szCs w:val="20"/>
        </w:rPr>
      </w:pPr>
      <w:r>
        <w:rPr>
          <w:rFonts w:cstheme="minorHAnsi"/>
          <w:szCs w:val="20"/>
        </w:rPr>
        <w:t>EPA and DELWP consider that g</w:t>
      </w:r>
      <w:r w:rsidR="00C6094E">
        <w:rPr>
          <w:rFonts w:cstheme="minorHAnsi"/>
          <w:szCs w:val="20"/>
        </w:rPr>
        <w:t>uidance material alone is not an appropriate option for addressing residual risks associated with unreasonable and aggravated noise provisions under the new EP legislation. This is because a prescribed noise limit framework is required to give effect to the noise and aggravated noise provisions with respect to CIT premises, and to reduce mismanagement by duty holders seeking to avoid obligations. The GED alone cannot adequately define the specific factors that need to be considered to enable the aggravated or unreasonable noise provisions to apply. Lastly, contravention of these provisions results in a civil penalty to the duty holder, and non-statutory guidance is insufficient to give full effect to the civil penalty provisions under the new EP legislation.</w:t>
      </w:r>
    </w:p>
    <w:p w14:paraId="656B0E3C" w14:textId="77777777" w:rsidR="005B6B34" w:rsidRPr="005B6B34" w:rsidRDefault="00D4650A" w:rsidP="008048CF">
      <w:pPr>
        <w:pStyle w:val="Heading3"/>
        <w:ind w:left="720"/>
      </w:pPr>
      <w:r>
        <w:t>MCA</w:t>
      </w:r>
    </w:p>
    <w:p w14:paraId="656B0E3D" w14:textId="77777777" w:rsidR="005B6B34" w:rsidRPr="005B6B34" w:rsidRDefault="005B6B34" w:rsidP="000E7C5E">
      <w:pPr>
        <w:pStyle w:val="Heading4un-numbered"/>
        <w:rPr>
          <w:rFonts w:cs="Segoe UI Light"/>
          <w:szCs w:val="20"/>
        </w:rPr>
      </w:pPr>
      <w:r w:rsidRPr="005B6B34">
        <w:rPr>
          <w:rFonts w:cs="Segoe UI Light"/>
          <w:szCs w:val="20"/>
        </w:rPr>
        <w:t>Effectiveness</w:t>
      </w:r>
    </w:p>
    <w:p w14:paraId="656B0E3E" w14:textId="77777777" w:rsidR="005B6B34" w:rsidRPr="005B6B34" w:rsidRDefault="005B6B34" w:rsidP="005B6B34">
      <w:pPr>
        <w:rPr>
          <w:rFonts w:cs="Segoe UI Light"/>
          <w:szCs w:val="20"/>
        </w:rPr>
      </w:pPr>
      <w:r w:rsidRPr="00D4650A">
        <w:rPr>
          <w:rFonts w:cs="Segoe UI Light"/>
          <w:b/>
          <w:szCs w:val="20"/>
        </w:rPr>
        <w:t xml:space="preserve">Option 1 </w:t>
      </w:r>
      <w:r w:rsidR="0012130F">
        <w:rPr>
          <w:rFonts w:cs="Segoe UI Light"/>
          <w:b/>
          <w:szCs w:val="20"/>
        </w:rPr>
        <w:t>(</w:t>
      </w:r>
      <w:r w:rsidR="0012130F" w:rsidRPr="00D4650A">
        <w:rPr>
          <w:rFonts w:cs="Segoe UI Light"/>
          <w:b/>
          <w:szCs w:val="20"/>
        </w:rPr>
        <w:t>prescrib</w:t>
      </w:r>
      <w:r w:rsidR="0012130F" w:rsidRPr="005B6B34">
        <w:rPr>
          <w:rFonts w:cs="Segoe UI Light"/>
          <w:b/>
          <w:szCs w:val="20"/>
        </w:rPr>
        <w:t>e</w:t>
      </w:r>
      <w:r w:rsidR="0012130F" w:rsidRPr="00D4650A">
        <w:rPr>
          <w:rFonts w:cs="Segoe UI Light"/>
          <w:b/>
          <w:szCs w:val="20"/>
        </w:rPr>
        <w:t xml:space="preserve"> a </w:t>
      </w:r>
      <w:r w:rsidR="0012130F" w:rsidRPr="005B6B34">
        <w:rPr>
          <w:rFonts w:cs="Segoe UI Light"/>
          <w:b/>
          <w:szCs w:val="20"/>
        </w:rPr>
        <w:t xml:space="preserve">framework for establishing noise limits for </w:t>
      </w:r>
      <w:r w:rsidR="0012130F">
        <w:rPr>
          <w:rFonts w:cs="Segoe UI Light"/>
          <w:b/>
          <w:szCs w:val="20"/>
        </w:rPr>
        <w:t>CIT</w:t>
      </w:r>
      <w:r w:rsidR="0012130F" w:rsidRPr="005B6B34">
        <w:rPr>
          <w:rFonts w:cs="Segoe UI Light"/>
          <w:b/>
          <w:szCs w:val="20"/>
        </w:rPr>
        <w:t xml:space="preserve"> premises in urban and rural areas and define aggravated noise</w:t>
      </w:r>
      <w:r w:rsidR="0012130F">
        <w:rPr>
          <w:rFonts w:cs="Segoe UI Light"/>
          <w:b/>
          <w:szCs w:val="20"/>
        </w:rPr>
        <w:t>)</w:t>
      </w:r>
      <w:r w:rsidR="0012130F" w:rsidRPr="005B6B34">
        <w:rPr>
          <w:rFonts w:cs="Segoe UI Light"/>
          <w:szCs w:val="20"/>
        </w:rPr>
        <w:t xml:space="preserve"> </w:t>
      </w:r>
      <w:r w:rsidRPr="005B6B34">
        <w:rPr>
          <w:rFonts w:cs="Segoe UI Light"/>
          <w:szCs w:val="20"/>
        </w:rPr>
        <w:t xml:space="preserve">will establish a clear and defensible noise framework for </w:t>
      </w:r>
      <w:r w:rsidR="00C642B3">
        <w:rPr>
          <w:rFonts w:cs="Segoe UI Light"/>
          <w:szCs w:val="20"/>
        </w:rPr>
        <w:t>CIT</w:t>
      </w:r>
      <w:r w:rsidRPr="005B6B34">
        <w:rPr>
          <w:rFonts w:cs="Segoe UI Light"/>
          <w:szCs w:val="20"/>
        </w:rPr>
        <w:t xml:space="preserve"> businesses that: </w:t>
      </w:r>
    </w:p>
    <w:p w14:paraId="656B0E3F" w14:textId="77777777" w:rsidR="005B6B34" w:rsidRPr="005B6B34" w:rsidRDefault="00C3076F" w:rsidP="004A2442">
      <w:pPr>
        <w:pStyle w:val="Bullet1"/>
        <w:numPr>
          <w:ilvl w:val="0"/>
          <w:numId w:val="26"/>
        </w:numPr>
        <w:rPr>
          <w:rFonts w:cs="Segoe UI Light"/>
          <w:szCs w:val="20"/>
        </w:rPr>
      </w:pPr>
      <w:r>
        <w:rPr>
          <w:rFonts w:cs="Segoe UI Light"/>
          <w:szCs w:val="20"/>
        </w:rPr>
        <w:t>P</w:t>
      </w:r>
      <w:r w:rsidR="005B6B34" w:rsidRPr="005B6B34">
        <w:rPr>
          <w:rFonts w:cs="Segoe UI Light"/>
          <w:szCs w:val="20"/>
        </w:rPr>
        <w:t xml:space="preserve">rescribes a clear methodology for measuring and establishing noise limits for </w:t>
      </w:r>
      <w:r w:rsidR="00C642B3">
        <w:rPr>
          <w:rFonts w:cs="Segoe UI Light"/>
          <w:szCs w:val="20"/>
        </w:rPr>
        <w:t>CIT</w:t>
      </w:r>
      <w:r w:rsidR="005B6B34" w:rsidRPr="005B6B34">
        <w:rPr>
          <w:rFonts w:cs="Segoe UI Light"/>
          <w:szCs w:val="20"/>
        </w:rPr>
        <w:t xml:space="preserve"> businesses </w:t>
      </w:r>
    </w:p>
    <w:p w14:paraId="656B0E40" w14:textId="77777777" w:rsidR="005B6B34" w:rsidRPr="005B6B34" w:rsidRDefault="00C3076F" w:rsidP="004A2442">
      <w:pPr>
        <w:pStyle w:val="Bullet1"/>
        <w:numPr>
          <w:ilvl w:val="0"/>
          <w:numId w:val="26"/>
        </w:numPr>
        <w:rPr>
          <w:rFonts w:cs="Segoe UI Light"/>
          <w:szCs w:val="20"/>
        </w:rPr>
      </w:pPr>
      <w:r>
        <w:rPr>
          <w:rFonts w:cs="Segoe UI Light"/>
          <w:szCs w:val="20"/>
        </w:rPr>
        <w:t>C</w:t>
      </w:r>
      <w:r w:rsidR="005B6B34" w:rsidRPr="005B6B34">
        <w:rPr>
          <w:rFonts w:cs="Segoe UI Light"/>
          <w:szCs w:val="20"/>
        </w:rPr>
        <w:t xml:space="preserve">learly distinguishes between ‘urban’ and ‘rural’ areas with respect to establishing </w:t>
      </w:r>
      <w:r w:rsidR="0012130F">
        <w:rPr>
          <w:rFonts w:cs="Segoe UI Light"/>
          <w:szCs w:val="20"/>
        </w:rPr>
        <w:t>appropriate noise limits for each area</w:t>
      </w:r>
      <w:r w:rsidR="005B6B34" w:rsidRPr="005B6B34">
        <w:rPr>
          <w:rFonts w:cs="Segoe UI Light"/>
          <w:szCs w:val="20"/>
        </w:rPr>
        <w:t xml:space="preserve"> </w:t>
      </w:r>
    </w:p>
    <w:p w14:paraId="656B0E41" w14:textId="77777777" w:rsidR="005B6B34" w:rsidRPr="005B6B34" w:rsidRDefault="00C3076F" w:rsidP="004A2442">
      <w:pPr>
        <w:pStyle w:val="Bullet1"/>
        <w:numPr>
          <w:ilvl w:val="0"/>
          <w:numId w:val="26"/>
        </w:numPr>
        <w:rPr>
          <w:rFonts w:cs="Segoe UI Light"/>
          <w:szCs w:val="20"/>
        </w:rPr>
      </w:pPr>
      <w:r>
        <w:rPr>
          <w:rFonts w:cs="Segoe UI Light"/>
          <w:szCs w:val="20"/>
        </w:rPr>
        <w:t>P</w:t>
      </w:r>
      <w:r w:rsidR="005B6B34" w:rsidRPr="005B6B34">
        <w:rPr>
          <w:rFonts w:cs="Segoe UI Light"/>
          <w:szCs w:val="20"/>
        </w:rPr>
        <w:t xml:space="preserve">rescribes </w:t>
      </w:r>
      <w:r w:rsidR="008E35ED">
        <w:rPr>
          <w:rFonts w:cs="Segoe UI Light"/>
          <w:szCs w:val="20"/>
        </w:rPr>
        <w:t xml:space="preserve">operating times (Day, Evening and Night) </w:t>
      </w:r>
      <w:r w:rsidR="005B6B34" w:rsidRPr="005B6B34">
        <w:rPr>
          <w:rFonts w:cs="Segoe UI Light"/>
          <w:szCs w:val="20"/>
        </w:rPr>
        <w:t xml:space="preserve">with respect to sources of noise under the unreasonable and aggravated noise provisions </w:t>
      </w:r>
    </w:p>
    <w:p w14:paraId="656B0E42" w14:textId="77777777" w:rsidR="005B6B34" w:rsidRPr="005B6B34" w:rsidRDefault="00C3076F" w:rsidP="004A2442">
      <w:pPr>
        <w:pStyle w:val="Bullet1"/>
        <w:numPr>
          <w:ilvl w:val="0"/>
          <w:numId w:val="26"/>
        </w:numPr>
        <w:rPr>
          <w:rFonts w:cs="Segoe UI Light"/>
          <w:szCs w:val="20"/>
        </w:rPr>
      </w:pPr>
      <w:r>
        <w:rPr>
          <w:rFonts w:cs="Segoe UI Light"/>
          <w:szCs w:val="20"/>
        </w:rPr>
        <w:t>D</w:t>
      </w:r>
      <w:r w:rsidR="005B6B34" w:rsidRPr="005B6B34">
        <w:rPr>
          <w:rFonts w:cs="Segoe UI Light"/>
          <w:szCs w:val="20"/>
        </w:rPr>
        <w:t xml:space="preserve">efines aggravated noise with respect to noise from </w:t>
      </w:r>
      <w:r w:rsidR="00C642B3">
        <w:rPr>
          <w:rFonts w:cs="Segoe UI Light"/>
          <w:szCs w:val="20"/>
        </w:rPr>
        <w:t>CIT</w:t>
      </w:r>
      <w:r w:rsidR="005B6B34" w:rsidRPr="005B6B34">
        <w:rPr>
          <w:rFonts w:cs="Segoe UI Light"/>
          <w:szCs w:val="20"/>
        </w:rPr>
        <w:t xml:space="preserve"> premises.</w:t>
      </w:r>
    </w:p>
    <w:p w14:paraId="656B0E43" w14:textId="77777777" w:rsidR="005B6B34" w:rsidRPr="005B6B34" w:rsidRDefault="005B6B34" w:rsidP="00D4650A">
      <w:pPr>
        <w:rPr>
          <w:rFonts w:cs="Segoe UI Light"/>
          <w:szCs w:val="20"/>
        </w:rPr>
      </w:pPr>
      <w:r w:rsidRPr="00D4650A">
        <w:rPr>
          <w:rFonts w:cs="Segoe UI Light"/>
          <w:szCs w:val="20"/>
        </w:rPr>
        <w:t xml:space="preserve">Relative to the </w:t>
      </w:r>
      <w:r w:rsidR="000514DD">
        <w:rPr>
          <w:rFonts w:cs="Segoe UI Light"/>
          <w:szCs w:val="20"/>
        </w:rPr>
        <w:t>Base Case</w:t>
      </w:r>
      <w:r w:rsidRPr="00D4650A">
        <w:rPr>
          <w:rFonts w:cs="Segoe UI Light"/>
          <w:szCs w:val="20"/>
        </w:rPr>
        <w:t xml:space="preserve">, </w:t>
      </w:r>
      <w:r w:rsidRPr="005B6B34">
        <w:rPr>
          <w:rFonts w:cs="Segoe UI Light"/>
          <w:szCs w:val="20"/>
        </w:rPr>
        <w:t xml:space="preserve">Option 1 is considered to provide greater clarity and certainty for </w:t>
      </w:r>
      <w:r w:rsidR="00C642B3">
        <w:rPr>
          <w:rFonts w:cs="Segoe UI Light"/>
          <w:szCs w:val="20"/>
        </w:rPr>
        <w:t>CIT</w:t>
      </w:r>
      <w:r w:rsidRPr="005B6B34">
        <w:rPr>
          <w:rFonts w:cs="Segoe UI Light"/>
          <w:szCs w:val="20"/>
        </w:rPr>
        <w:t xml:space="preserve"> businesses with respect to </w:t>
      </w:r>
      <w:r w:rsidRPr="00D4650A">
        <w:rPr>
          <w:rFonts w:cs="Segoe UI Light"/>
          <w:szCs w:val="20"/>
        </w:rPr>
        <w:t xml:space="preserve">what constitutes ‘unreasonable’ and ‘aggravated’ noise, what </w:t>
      </w:r>
      <w:r w:rsidRPr="005B6B34">
        <w:rPr>
          <w:rFonts w:cs="Segoe UI Light"/>
          <w:szCs w:val="20"/>
        </w:rPr>
        <w:t xml:space="preserve">their </w:t>
      </w:r>
      <w:r w:rsidRPr="00D4650A">
        <w:rPr>
          <w:rFonts w:cs="Segoe UI Light"/>
          <w:szCs w:val="20"/>
        </w:rPr>
        <w:t xml:space="preserve">respective </w:t>
      </w:r>
      <w:r w:rsidRPr="005B6B34">
        <w:rPr>
          <w:rFonts w:cs="Segoe UI Light"/>
          <w:szCs w:val="20"/>
        </w:rPr>
        <w:t>noise emission and management responsibilities</w:t>
      </w:r>
      <w:r w:rsidRPr="00D4650A">
        <w:rPr>
          <w:rFonts w:cs="Segoe UI Light"/>
          <w:szCs w:val="20"/>
        </w:rPr>
        <w:t xml:space="preserve"> are, and how </w:t>
      </w:r>
      <w:r w:rsidRPr="005B6B34">
        <w:rPr>
          <w:rFonts w:cs="Segoe UI Light"/>
          <w:szCs w:val="20"/>
        </w:rPr>
        <w:t xml:space="preserve">noise from </w:t>
      </w:r>
      <w:r w:rsidR="00C642B3">
        <w:rPr>
          <w:rFonts w:cs="Segoe UI Light"/>
          <w:szCs w:val="20"/>
        </w:rPr>
        <w:t>CIT</w:t>
      </w:r>
      <w:r w:rsidRPr="005B6B34">
        <w:rPr>
          <w:rFonts w:cs="Segoe UI Light"/>
          <w:szCs w:val="20"/>
        </w:rPr>
        <w:t xml:space="preserve"> premises should be managed </w:t>
      </w:r>
      <w:r w:rsidR="002F5AD5">
        <w:rPr>
          <w:rFonts w:cs="Segoe UI Light"/>
          <w:szCs w:val="20"/>
        </w:rPr>
        <w:t>in respect of</w:t>
      </w:r>
      <w:r w:rsidRPr="005B6B34">
        <w:rPr>
          <w:rFonts w:cs="Segoe UI Light"/>
          <w:szCs w:val="20"/>
        </w:rPr>
        <w:t xml:space="preserve"> volume, intensity, time, duration, place and character</w:t>
      </w:r>
      <w:r w:rsidR="00DC7A63">
        <w:rPr>
          <w:rFonts w:cs="Segoe UI Light"/>
          <w:szCs w:val="20"/>
        </w:rPr>
        <w:t xml:space="preserve">. </w:t>
      </w:r>
    </w:p>
    <w:p w14:paraId="656B0E44" w14:textId="77777777" w:rsidR="005B6B34" w:rsidRPr="005B6B34" w:rsidRDefault="005B6B34" w:rsidP="00D4650A">
      <w:pPr>
        <w:rPr>
          <w:rFonts w:cs="Segoe UI Light"/>
          <w:szCs w:val="20"/>
        </w:rPr>
      </w:pPr>
      <w:r w:rsidRPr="00341E1F">
        <w:rPr>
          <w:rFonts w:cs="Segoe UI Light"/>
          <w:b/>
          <w:szCs w:val="20"/>
        </w:rPr>
        <w:t>Option 1</w:t>
      </w:r>
      <w:r w:rsidRPr="00D4650A">
        <w:rPr>
          <w:rFonts w:cs="Segoe UI Light"/>
          <w:szCs w:val="20"/>
        </w:rPr>
        <w:t xml:space="preserve"> gives effect to the unreasonable and aggravated noise </w:t>
      </w:r>
      <w:r w:rsidRPr="005B6B34">
        <w:rPr>
          <w:rFonts w:cs="Segoe UI Light"/>
          <w:szCs w:val="20"/>
        </w:rPr>
        <w:t>provision</w:t>
      </w:r>
      <w:r w:rsidR="00341E1F">
        <w:rPr>
          <w:rFonts w:cs="Segoe UI Light"/>
          <w:szCs w:val="20"/>
        </w:rPr>
        <w:t>s and civil penalty provisions</w:t>
      </w:r>
      <w:r w:rsidRPr="00D4650A">
        <w:rPr>
          <w:rFonts w:cs="Segoe UI Light"/>
          <w:szCs w:val="20"/>
        </w:rPr>
        <w:t xml:space="preserve"> in the new EP legislation</w:t>
      </w:r>
      <w:r w:rsidR="00341E1F">
        <w:rPr>
          <w:rFonts w:cs="Segoe UI Light"/>
          <w:szCs w:val="20"/>
        </w:rPr>
        <w:t xml:space="preserve">. In doing so, it </w:t>
      </w:r>
      <w:r w:rsidRPr="00D4650A">
        <w:rPr>
          <w:rFonts w:cs="Segoe UI Light"/>
          <w:szCs w:val="20"/>
        </w:rPr>
        <w:t xml:space="preserve">supports the prevention, compliance and enforcement of unreasonable and aggravated noise from </w:t>
      </w:r>
      <w:r w:rsidR="00C642B3">
        <w:rPr>
          <w:rFonts w:cs="Segoe UI Light"/>
          <w:szCs w:val="20"/>
        </w:rPr>
        <w:t>CIT</w:t>
      </w:r>
      <w:r w:rsidRPr="00D4650A">
        <w:rPr>
          <w:rFonts w:cs="Segoe UI Light"/>
          <w:szCs w:val="20"/>
        </w:rPr>
        <w:t xml:space="preserve"> businesses. </w:t>
      </w:r>
    </w:p>
    <w:p w14:paraId="656B0E45" w14:textId="77777777" w:rsidR="005B6B34" w:rsidRPr="005B6B34" w:rsidRDefault="005B6B34" w:rsidP="00D4650A">
      <w:pPr>
        <w:rPr>
          <w:rFonts w:cs="Segoe UI Light"/>
          <w:szCs w:val="20"/>
        </w:rPr>
      </w:pPr>
      <w:r w:rsidRPr="00D4650A">
        <w:rPr>
          <w:rFonts w:cs="Segoe UI Light"/>
          <w:szCs w:val="20"/>
        </w:rPr>
        <w:t xml:space="preserve">Given the nature of noise, it is difficult to quantify the likely impacts on human health associated with </w:t>
      </w:r>
      <w:r w:rsidRPr="00341E1F">
        <w:rPr>
          <w:rFonts w:cs="Segoe UI Light"/>
          <w:b/>
          <w:szCs w:val="20"/>
        </w:rPr>
        <w:t>Option 1</w:t>
      </w:r>
      <w:r w:rsidR="00341E1F">
        <w:rPr>
          <w:rFonts w:cs="Segoe UI Light"/>
          <w:b/>
          <w:szCs w:val="20"/>
        </w:rPr>
        <w:t xml:space="preserve">. </w:t>
      </w:r>
      <w:r w:rsidR="00341E1F" w:rsidRPr="00341E1F">
        <w:rPr>
          <w:rFonts w:cs="Segoe UI Light"/>
          <w:szCs w:val="20"/>
        </w:rPr>
        <w:t>Overall,</w:t>
      </w:r>
      <w:r w:rsidR="00341E1F">
        <w:rPr>
          <w:rFonts w:cs="Segoe UI Light"/>
          <w:b/>
          <w:szCs w:val="20"/>
        </w:rPr>
        <w:t xml:space="preserve"> </w:t>
      </w:r>
      <w:r w:rsidR="00341E1F" w:rsidRPr="00341E1F">
        <w:rPr>
          <w:rFonts w:cs="Segoe UI Light"/>
          <w:szCs w:val="20"/>
        </w:rPr>
        <w:t>it</w:t>
      </w:r>
      <w:r w:rsidRPr="00D4650A">
        <w:rPr>
          <w:rFonts w:cs="Segoe UI Light"/>
          <w:szCs w:val="20"/>
        </w:rPr>
        <w:t xml:space="preserve"> is expected to reduce the emission and incidence of unreasonable and aggravated noise, and in turn reduce human health impacts associated with noise annoyance and noise disturbance relative to the </w:t>
      </w:r>
      <w:r w:rsidR="000514DD">
        <w:rPr>
          <w:rFonts w:cs="Segoe UI Light"/>
          <w:szCs w:val="20"/>
        </w:rPr>
        <w:t>Base Case</w:t>
      </w:r>
      <w:r w:rsidRPr="00D4650A">
        <w:rPr>
          <w:rFonts w:cs="Segoe UI Light"/>
          <w:szCs w:val="20"/>
        </w:rPr>
        <w:t xml:space="preserve">. </w:t>
      </w:r>
      <w:r w:rsidRPr="005B6B34">
        <w:rPr>
          <w:rFonts w:cs="Segoe UI Light"/>
          <w:szCs w:val="20"/>
        </w:rPr>
        <w:t xml:space="preserve">Overall, a score of +4 is given relative to the </w:t>
      </w:r>
      <w:r w:rsidR="000514DD">
        <w:rPr>
          <w:rFonts w:cs="Segoe UI Light"/>
          <w:szCs w:val="20"/>
        </w:rPr>
        <w:t>Base Case</w:t>
      </w:r>
      <w:r w:rsidRPr="005B6B34">
        <w:rPr>
          <w:rFonts w:cs="Segoe UI Light"/>
          <w:szCs w:val="20"/>
        </w:rPr>
        <w:t>.</w:t>
      </w:r>
    </w:p>
    <w:p w14:paraId="656B0E46" w14:textId="77777777" w:rsidR="005B6B34" w:rsidRPr="005B6B34" w:rsidRDefault="005B6B34" w:rsidP="005B6B34">
      <w:pPr>
        <w:rPr>
          <w:rFonts w:cs="Segoe UI Light"/>
          <w:szCs w:val="20"/>
        </w:rPr>
      </w:pPr>
      <w:r w:rsidRPr="00D4650A">
        <w:rPr>
          <w:rFonts w:cs="Segoe UI Light"/>
          <w:b/>
          <w:szCs w:val="20"/>
        </w:rPr>
        <w:t xml:space="preserve">Option 2 </w:t>
      </w:r>
      <w:r w:rsidR="0012130F">
        <w:rPr>
          <w:rFonts w:cs="Segoe UI Light"/>
          <w:b/>
          <w:szCs w:val="20"/>
        </w:rPr>
        <w:t>(</w:t>
      </w:r>
      <w:r w:rsidR="0012130F" w:rsidRPr="00D4650A">
        <w:rPr>
          <w:rFonts w:cs="Segoe UI Light"/>
          <w:b/>
          <w:szCs w:val="20"/>
        </w:rPr>
        <w:t xml:space="preserve">Option 1 plus </w:t>
      </w:r>
      <w:r w:rsidR="0012130F" w:rsidRPr="005B6B34">
        <w:rPr>
          <w:rFonts w:cs="Segoe UI Light"/>
          <w:b/>
          <w:szCs w:val="20"/>
        </w:rPr>
        <w:t>selected improvements</w:t>
      </w:r>
      <w:r w:rsidR="0012130F">
        <w:rPr>
          <w:rFonts w:cs="Segoe UI Light"/>
          <w:b/>
          <w:szCs w:val="20"/>
        </w:rPr>
        <w:t>)</w:t>
      </w:r>
      <w:r w:rsidRPr="005B6B34">
        <w:rPr>
          <w:rFonts w:cs="Segoe UI Light"/>
          <w:szCs w:val="20"/>
        </w:rPr>
        <w:t xml:space="preserve"> is expected to enhance the management and prevention of unreasonable and aggravated noise relative to Option 1 and the Base Case. However, it is not possible to say with certainty the extent to which Option 2 will reduce risks to human health relative to Option 1.</w:t>
      </w:r>
    </w:p>
    <w:p w14:paraId="656B0E47" w14:textId="77777777" w:rsidR="005B6B34" w:rsidRPr="005B6B34" w:rsidRDefault="005B6B34" w:rsidP="005B6B34">
      <w:pPr>
        <w:rPr>
          <w:rFonts w:cs="Segoe UI Light"/>
          <w:szCs w:val="20"/>
        </w:rPr>
      </w:pPr>
      <w:r w:rsidRPr="00D4650A">
        <w:rPr>
          <w:rFonts w:cs="Segoe UI Light"/>
          <w:szCs w:val="20"/>
        </w:rPr>
        <w:t xml:space="preserve">By aligning weekday and Saturday times, </w:t>
      </w:r>
      <w:r w:rsidRPr="00D4650A">
        <w:rPr>
          <w:rFonts w:cs="Segoe UI Light"/>
          <w:b/>
          <w:szCs w:val="20"/>
        </w:rPr>
        <w:t>Option 2</w:t>
      </w:r>
      <w:r w:rsidRPr="00D4650A">
        <w:rPr>
          <w:rFonts w:cs="Segoe UI Light"/>
          <w:szCs w:val="20"/>
        </w:rPr>
        <w:t xml:space="preserve"> align</w:t>
      </w:r>
      <w:r w:rsidR="00341E1F">
        <w:rPr>
          <w:rFonts w:cs="Segoe UI Light"/>
          <w:szCs w:val="20"/>
        </w:rPr>
        <w:t>s</w:t>
      </w:r>
      <w:r w:rsidRPr="00D4650A">
        <w:rPr>
          <w:rFonts w:cs="Segoe UI Light"/>
          <w:szCs w:val="20"/>
        </w:rPr>
        <w:t xml:space="preserve"> Victoria with other Australian jurisdictions with respect to the management of noise. Prescribing changes to </w:t>
      </w:r>
      <w:r w:rsidRPr="005B6B34">
        <w:rPr>
          <w:rFonts w:cs="Segoe UI Light"/>
          <w:szCs w:val="20"/>
        </w:rPr>
        <w:t xml:space="preserve">Saturday </w:t>
      </w:r>
      <w:r w:rsidRPr="00D4650A">
        <w:rPr>
          <w:rFonts w:cs="Segoe UI Light"/>
          <w:szCs w:val="20"/>
        </w:rPr>
        <w:t xml:space="preserve">noise limits would reflect the community’s changing expectations regarding the types of activities </w:t>
      </w:r>
      <w:r w:rsidRPr="005B6B34">
        <w:rPr>
          <w:rFonts w:cs="Segoe UI Light"/>
          <w:szCs w:val="20"/>
        </w:rPr>
        <w:t>undertaken on Saturday afternoons</w:t>
      </w:r>
      <w:r w:rsidR="00C97BDA">
        <w:rPr>
          <w:rFonts w:cs="Segoe UI Light"/>
          <w:szCs w:val="20"/>
        </w:rPr>
        <w:t xml:space="preserve"> - </w:t>
      </w:r>
      <w:r w:rsidRPr="005B6B34">
        <w:rPr>
          <w:rFonts w:cs="Segoe UI Light"/>
          <w:szCs w:val="20"/>
        </w:rPr>
        <w:t xml:space="preserve">activities that are more aligned with a busy community and commercial activities. However, this change may increase the community’s exposure to noise on Saturdays. </w:t>
      </w:r>
      <w:r w:rsidR="00341E1F">
        <w:rPr>
          <w:rFonts w:cs="Segoe UI Light"/>
          <w:szCs w:val="20"/>
        </w:rPr>
        <w:t>T</w:t>
      </w:r>
      <w:r w:rsidRPr="005B6B34">
        <w:rPr>
          <w:rFonts w:cs="Segoe UI Light"/>
          <w:szCs w:val="20"/>
        </w:rPr>
        <w:t>here is no evidence</w:t>
      </w:r>
      <w:r w:rsidR="00341E1F">
        <w:rPr>
          <w:rFonts w:cs="Segoe UI Light"/>
          <w:szCs w:val="20"/>
        </w:rPr>
        <w:t>, however,</w:t>
      </w:r>
      <w:r w:rsidRPr="005B6B34">
        <w:rPr>
          <w:rFonts w:cs="Segoe UI Light"/>
          <w:szCs w:val="20"/>
        </w:rPr>
        <w:t xml:space="preserve"> that businesses are forced to close on Saturdays because of noise requirements</w:t>
      </w:r>
      <w:r w:rsidR="00341E1F">
        <w:rPr>
          <w:rFonts w:cs="Segoe UI Light"/>
          <w:szCs w:val="20"/>
        </w:rPr>
        <w:t>. A</w:t>
      </w:r>
      <w:r w:rsidRPr="005B6B34">
        <w:rPr>
          <w:rFonts w:cs="Segoe UI Light"/>
          <w:szCs w:val="20"/>
        </w:rPr>
        <w:t>s such</w:t>
      </w:r>
      <w:r w:rsidR="00341E1F">
        <w:rPr>
          <w:rFonts w:cs="Segoe UI Light"/>
          <w:szCs w:val="20"/>
        </w:rPr>
        <w:t>,</w:t>
      </w:r>
      <w:r w:rsidRPr="005B6B34">
        <w:rPr>
          <w:rFonts w:cs="Segoe UI Light"/>
          <w:szCs w:val="20"/>
        </w:rPr>
        <w:t xml:space="preserve"> for the majority of locations across Victoria there would </w:t>
      </w:r>
      <w:r w:rsidR="00341E1F">
        <w:rPr>
          <w:rFonts w:cs="Segoe UI Light"/>
          <w:szCs w:val="20"/>
        </w:rPr>
        <w:t xml:space="preserve">likely </w:t>
      </w:r>
      <w:r w:rsidRPr="005B6B34">
        <w:rPr>
          <w:rFonts w:cs="Segoe UI Light"/>
          <w:szCs w:val="20"/>
        </w:rPr>
        <w:t>be limited change in business activity</w:t>
      </w:r>
      <w:r w:rsidR="00341E1F">
        <w:rPr>
          <w:rFonts w:cs="Segoe UI Light"/>
          <w:szCs w:val="20"/>
        </w:rPr>
        <w:t xml:space="preserve"> and accompanying noise emissions</w:t>
      </w:r>
      <w:r w:rsidRPr="005B6B34">
        <w:rPr>
          <w:rFonts w:cs="Segoe UI Light"/>
          <w:szCs w:val="20"/>
        </w:rPr>
        <w:t>.</w:t>
      </w:r>
      <w:r w:rsidRPr="005B6B34">
        <w:rPr>
          <w:rStyle w:val="FootnoteReference"/>
          <w:rFonts w:cs="Segoe UI Light"/>
          <w:szCs w:val="20"/>
        </w:rPr>
        <w:footnoteReference w:id="284"/>
      </w:r>
      <w:r w:rsidRPr="005B6B34">
        <w:rPr>
          <w:rFonts w:cs="Segoe UI Light"/>
          <w:szCs w:val="20"/>
        </w:rPr>
        <w:t xml:space="preserve"> </w:t>
      </w:r>
    </w:p>
    <w:p w14:paraId="656B0E48" w14:textId="17A8B3F3" w:rsidR="005B6B34" w:rsidRPr="005B6B34" w:rsidRDefault="005B6B34" w:rsidP="005B6B34">
      <w:pPr>
        <w:rPr>
          <w:rFonts w:cs="Segoe UI Light"/>
          <w:szCs w:val="20"/>
        </w:rPr>
      </w:pPr>
      <w:r w:rsidRPr="00D4650A">
        <w:rPr>
          <w:rFonts w:cs="Segoe UI Light"/>
          <w:b/>
          <w:szCs w:val="20"/>
        </w:rPr>
        <w:t>Option 2</w:t>
      </w:r>
      <w:r w:rsidRPr="005B6B34">
        <w:rPr>
          <w:rFonts w:cs="Segoe UI Light"/>
          <w:szCs w:val="20"/>
        </w:rPr>
        <w:t xml:space="preserve">, by introducing </w:t>
      </w:r>
      <w:r w:rsidRPr="00D4650A">
        <w:rPr>
          <w:rFonts w:cs="Segoe UI Light"/>
          <w:szCs w:val="20"/>
        </w:rPr>
        <w:t xml:space="preserve">a noise limit of 55 dB (the level at which noise is considered </w:t>
      </w:r>
      <w:r w:rsidR="00EA2B0D">
        <w:rPr>
          <w:rFonts w:cs="Segoe UI Light"/>
          <w:szCs w:val="20"/>
        </w:rPr>
        <w:t xml:space="preserve">to </w:t>
      </w:r>
      <w:r w:rsidR="00CF7E2C">
        <w:rPr>
          <w:rFonts w:cs="Segoe UI Light"/>
          <w:szCs w:val="20"/>
        </w:rPr>
        <w:t xml:space="preserve">impact </w:t>
      </w:r>
      <w:r w:rsidRPr="00D4650A">
        <w:rPr>
          <w:rFonts w:cs="Segoe UI Light"/>
          <w:szCs w:val="20"/>
        </w:rPr>
        <w:t>health) during night periods</w:t>
      </w:r>
      <w:r w:rsidRPr="005B6B34">
        <w:rPr>
          <w:rFonts w:cs="Segoe UI Light"/>
          <w:szCs w:val="20"/>
        </w:rPr>
        <w:t>,</w:t>
      </w:r>
      <w:r w:rsidRPr="00D4650A">
        <w:rPr>
          <w:rFonts w:cs="Segoe UI Light"/>
          <w:szCs w:val="20"/>
        </w:rPr>
        <w:t xml:space="preserve"> will protect the community from noise emissions over and above Option 1 and the </w:t>
      </w:r>
      <w:r w:rsidR="000514DD">
        <w:rPr>
          <w:rFonts w:cs="Segoe UI Light"/>
          <w:szCs w:val="20"/>
        </w:rPr>
        <w:t>Base Case</w:t>
      </w:r>
      <w:r w:rsidRPr="00D4650A">
        <w:rPr>
          <w:rFonts w:cs="Segoe UI Light"/>
          <w:szCs w:val="20"/>
        </w:rPr>
        <w:t>. However, this improvement is expected to be marginal, as a review of industry noise assessments indicates only 1.4% of all sites exceed the 55 dB limit.</w:t>
      </w:r>
      <w:r w:rsidRPr="005B6B34">
        <w:rPr>
          <w:rStyle w:val="FootnoteReference"/>
          <w:rFonts w:cs="Segoe UI Light"/>
          <w:szCs w:val="20"/>
        </w:rPr>
        <w:footnoteReference w:id="285"/>
      </w:r>
    </w:p>
    <w:p w14:paraId="656B0E49" w14:textId="77777777" w:rsidR="005B6B34" w:rsidRPr="005B6B34" w:rsidRDefault="005B6B34" w:rsidP="005B6B34">
      <w:pPr>
        <w:rPr>
          <w:rFonts w:cs="Segoe UI Light"/>
          <w:szCs w:val="20"/>
        </w:rPr>
      </w:pPr>
      <w:r w:rsidRPr="00D4650A">
        <w:rPr>
          <w:rFonts w:cs="Segoe UI Light"/>
          <w:b/>
          <w:szCs w:val="20"/>
        </w:rPr>
        <w:t>Option 2</w:t>
      </w:r>
      <w:r w:rsidR="003C64CC">
        <w:rPr>
          <w:rFonts w:cs="Segoe UI Light"/>
          <w:szCs w:val="20"/>
        </w:rPr>
        <w:t xml:space="preserve"> will also enhance</w:t>
      </w:r>
      <w:r w:rsidRPr="005B6B34">
        <w:rPr>
          <w:rFonts w:cs="Segoe UI Light"/>
          <w:szCs w:val="20"/>
        </w:rPr>
        <w:t xml:space="preserve"> protections to reduce the community’s exposure to frequency</w:t>
      </w:r>
      <w:r w:rsidR="00616B47">
        <w:rPr>
          <w:rFonts w:cs="Segoe UI Light"/>
          <w:szCs w:val="20"/>
        </w:rPr>
        <w:t xml:space="preserve"> spectrum</w:t>
      </w:r>
      <w:r w:rsidRPr="005B6B34">
        <w:rPr>
          <w:rFonts w:cs="Segoe UI Light"/>
          <w:szCs w:val="20"/>
        </w:rPr>
        <w:t xml:space="preserve"> noise relative to Option 1 and the </w:t>
      </w:r>
      <w:r w:rsidR="000514DD">
        <w:rPr>
          <w:rFonts w:cs="Segoe UI Light"/>
          <w:szCs w:val="20"/>
        </w:rPr>
        <w:t>Base Case</w:t>
      </w:r>
      <w:r w:rsidRPr="005B6B34">
        <w:rPr>
          <w:rFonts w:cs="Segoe UI Light"/>
          <w:szCs w:val="20"/>
        </w:rPr>
        <w:t>. Epidemiological research on frequency</w:t>
      </w:r>
      <w:r w:rsidR="00616B47">
        <w:rPr>
          <w:rFonts w:cs="Segoe UI Light"/>
          <w:szCs w:val="20"/>
        </w:rPr>
        <w:t xml:space="preserve"> spectrum</w:t>
      </w:r>
      <w:r w:rsidRPr="005B6B34">
        <w:rPr>
          <w:rFonts w:cs="Segoe UI Light"/>
          <w:szCs w:val="20"/>
        </w:rPr>
        <w:t xml:space="preserve"> noise and health effects is scarce and </w:t>
      </w:r>
      <w:r w:rsidR="002F5AD5">
        <w:rPr>
          <w:rFonts w:cs="Segoe UI Light"/>
          <w:szCs w:val="20"/>
        </w:rPr>
        <w:t>can suffer</w:t>
      </w:r>
      <w:r w:rsidRPr="005B6B34">
        <w:rPr>
          <w:rFonts w:cs="Segoe UI Light"/>
          <w:szCs w:val="20"/>
        </w:rPr>
        <w:t xml:space="preserve"> from a range of methodological shortcomings. However, it is recognised that there are benefits to reducing exposure to</w:t>
      </w:r>
      <w:r w:rsidR="0092548E">
        <w:rPr>
          <w:rFonts w:cs="Segoe UI Light"/>
          <w:szCs w:val="20"/>
        </w:rPr>
        <w:t xml:space="preserve"> </w:t>
      </w:r>
      <w:r w:rsidRPr="005B6B34">
        <w:rPr>
          <w:rFonts w:cs="Segoe UI Light"/>
          <w:szCs w:val="20"/>
        </w:rPr>
        <w:t>frequency</w:t>
      </w:r>
      <w:r w:rsidR="0092548E">
        <w:rPr>
          <w:rFonts w:cs="Segoe UI Light"/>
          <w:szCs w:val="20"/>
        </w:rPr>
        <w:t xml:space="preserve"> spectrum</w:t>
      </w:r>
      <w:r w:rsidRPr="005B6B34">
        <w:rPr>
          <w:rFonts w:cs="Segoe UI Light"/>
          <w:szCs w:val="20"/>
        </w:rPr>
        <w:t xml:space="preserve"> noise, and that some people in particular are more susceptible to adverse effects from frequency</w:t>
      </w:r>
      <w:r w:rsidR="0092548E">
        <w:rPr>
          <w:rFonts w:cs="Segoe UI Light"/>
          <w:szCs w:val="20"/>
        </w:rPr>
        <w:t xml:space="preserve"> spectrum</w:t>
      </w:r>
      <w:r w:rsidRPr="005B6B34">
        <w:rPr>
          <w:rFonts w:cs="Segoe UI Light"/>
          <w:szCs w:val="20"/>
        </w:rPr>
        <w:t xml:space="preserve"> noise, including disturbance from the throbbing and vibration sensations caused.</w:t>
      </w:r>
      <w:r w:rsidRPr="005B6B34">
        <w:rPr>
          <w:rStyle w:val="FootnoteReference"/>
          <w:rFonts w:cs="Segoe UI Light"/>
          <w:szCs w:val="20"/>
        </w:rPr>
        <w:footnoteReference w:id="286"/>
      </w:r>
      <w:r w:rsidRPr="005B6B34" w:rsidDel="00370331">
        <w:rPr>
          <w:rFonts w:cs="Segoe UI Light"/>
          <w:szCs w:val="20"/>
        </w:rPr>
        <w:t xml:space="preserve"> </w:t>
      </w:r>
      <w:r w:rsidR="00A93A49">
        <w:rPr>
          <w:rFonts w:cs="Segoe UI Light"/>
          <w:szCs w:val="20"/>
        </w:rPr>
        <w:t>I</w:t>
      </w:r>
      <w:r w:rsidRPr="005B6B34">
        <w:rPr>
          <w:rFonts w:cs="Segoe UI Light"/>
          <w:szCs w:val="20"/>
        </w:rPr>
        <w:t xml:space="preserve">t is </w:t>
      </w:r>
      <w:r w:rsidRPr="005B6B34" w:rsidDel="00370331">
        <w:rPr>
          <w:rFonts w:cs="Segoe UI Light"/>
          <w:szCs w:val="20"/>
        </w:rPr>
        <w:t>not possible</w:t>
      </w:r>
      <w:r w:rsidRPr="005B6B34">
        <w:rPr>
          <w:rFonts w:cs="Segoe UI Light"/>
          <w:szCs w:val="20"/>
        </w:rPr>
        <w:t xml:space="preserve"> to estimate the extent to which </w:t>
      </w:r>
      <w:r w:rsidRPr="003C64CC">
        <w:rPr>
          <w:rFonts w:cs="Segoe UI Light"/>
          <w:b/>
          <w:szCs w:val="20"/>
        </w:rPr>
        <w:t>Option 2</w:t>
      </w:r>
      <w:r w:rsidRPr="005B6B34">
        <w:rPr>
          <w:rFonts w:cs="Segoe UI Light"/>
          <w:szCs w:val="20"/>
        </w:rPr>
        <w:t xml:space="preserve"> will reduce exposure to frequency</w:t>
      </w:r>
      <w:r w:rsidR="005F25B6">
        <w:rPr>
          <w:rFonts w:cs="Segoe UI Light"/>
          <w:szCs w:val="20"/>
        </w:rPr>
        <w:t xml:space="preserve"> spectrum</w:t>
      </w:r>
      <w:r w:rsidRPr="005B6B34">
        <w:rPr>
          <w:rFonts w:cs="Segoe UI Light"/>
          <w:szCs w:val="20"/>
        </w:rPr>
        <w:t xml:space="preserve"> noise relative to Option 1</w:t>
      </w:r>
      <w:r w:rsidR="00A93A49">
        <w:rPr>
          <w:rFonts w:cs="Segoe UI Light"/>
          <w:szCs w:val="20"/>
        </w:rPr>
        <w:t xml:space="preserve">, as managing frequency spectrum noise has not previously been an obligation of </w:t>
      </w:r>
      <w:r w:rsidR="00601FC0">
        <w:rPr>
          <w:rFonts w:cs="Segoe UI Light"/>
          <w:szCs w:val="20"/>
        </w:rPr>
        <w:t>the regulatory framework for noise</w:t>
      </w:r>
      <w:r w:rsidRPr="005B6B34">
        <w:rPr>
          <w:rFonts w:cs="Segoe UI Light"/>
          <w:szCs w:val="20"/>
        </w:rPr>
        <w:t xml:space="preserve">. </w:t>
      </w:r>
    </w:p>
    <w:p w14:paraId="656B0E4A" w14:textId="77777777" w:rsidR="005B6B34" w:rsidRPr="005B6B34" w:rsidRDefault="005B6B34" w:rsidP="00D4650A">
      <w:pPr>
        <w:rPr>
          <w:rFonts w:cs="Segoe UI Light"/>
          <w:szCs w:val="20"/>
        </w:rPr>
      </w:pPr>
      <w:r w:rsidRPr="00D4650A">
        <w:rPr>
          <w:rFonts w:cs="Segoe UI Light"/>
          <w:szCs w:val="20"/>
        </w:rPr>
        <w:t xml:space="preserve">Lastly, </w:t>
      </w:r>
      <w:r w:rsidRPr="00D4650A">
        <w:rPr>
          <w:rFonts w:cs="Segoe UI Light"/>
          <w:b/>
          <w:szCs w:val="20"/>
        </w:rPr>
        <w:t>Option 2</w:t>
      </w:r>
      <w:r w:rsidRPr="00D4650A">
        <w:rPr>
          <w:rFonts w:cs="Segoe UI Light"/>
          <w:szCs w:val="20"/>
        </w:rPr>
        <w:t xml:space="preserve"> will prescribe protection to a range of additional beneficial uses, assisting to reduce the community’s exposure to </w:t>
      </w:r>
      <w:r w:rsidR="0012130F">
        <w:rPr>
          <w:rFonts w:cs="Segoe UI Light"/>
          <w:szCs w:val="20"/>
        </w:rPr>
        <w:t>CIT</w:t>
      </w:r>
      <w:r w:rsidR="0012130F" w:rsidRPr="00D4650A">
        <w:rPr>
          <w:rFonts w:cs="Segoe UI Light"/>
          <w:szCs w:val="20"/>
        </w:rPr>
        <w:t xml:space="preserve"> </w:t>
      </w:r>
      <w:r w:rsidRPr="00D4650A">
        <w:rPr>
          <w:rFonts w:cs="Segoe UI Light"/>
          <w:szCs w:val="20"/>
        </w:rPr>
        <w:t>noise in these new noise sensitive areas over and above Option</w:t>
      </w:r>
      <w:r w:rsidR="002F5AD5">
        <w:rPr>
          <w:rFonts w:cs="Segoe UI Light"/>
          <w:szCs w:val="20"/>
        </w:rPr>
        <w:t xml:space="preserve"> </w:t>
      </w:r>
      <w:r w:rsidRPr="00D4650A">
        <w:rPr>
          <w:rFonts w:cs="Segoe UI Light"/>
          <w:szCs w:val="20"/>
        </w:rPr>
        <w:t xml:space="preserve">1 and the </w:t>
      </w:r>
      <w:r w:rsidR="000514DD">
        <w:rPr>
          <w:rFonts w:cs="Segoe UI Light"/>
          <w:szCs w:val="20"/>
        </w:rPr>
        <w:t>Base Case</w:t>
      </w:r>
      <w:r w:rsidRPr="00D4650A">
        <w:rPr>
          <w:rFonts w:cs="Segoe UI Light"/>
          <w:szCs w:val="20"/>
        </w:rPr>
        <w:t xml:space="preserve">. </w:t>
      </w:r>
    </w:p>
    <w:p w14:paraId="656B0E4B" w14:textId="77777777" w:rsidR="005B6B34" w:rsidRPr="005B6B34" w:rsidRDefault="005B6B34" w:rsidP="00D4650A">
      <w:pPr>
        <w:rPr>
          <w:rFonts w:cs="Segoe UI Light"/>
          <w:szCs w:val="20"/>
        </w:rPr>
      </w:pPr>
      <w:r w:rsidRPr="00D4650A">
        <w:rPr>
          <w:rFonts w:cs="Segoe UI Light"/>
          <w:szCs w:val="20"/>
        </w:rPr>
        <w:t>Overall, w</w:t>
      </w:r>
      <w:r w:rsidRPr="005B6B34">
        <w:rPr>
          <w:rFonts w:cs="Segoe UI Light"/>
          <w:szCs w:val="20"/>
        </w:rPr>
        <w:t xml:space="preserve">hile it is not possible to quantify the reduced harm to human health, the effectiveness of </w:t>
      </w:r>
      <w:r w:rsidRPr="005B6B34">
        <w:rPr>
          <w:rFonts w:cs="Segoe UI Light"/>
          <w:b/>
          <w:szCs w:val="20"/>
        </w:rPr>
        <w:t>Option 2</w:t>
      </w:r>
      <w:r w:rsidRPr="005B6B34">
        <w:rPr>
          <w:rFonts w:cs="Segoe UI Light"/>
          <w:szCs w:val="20"/>
        </w:rPr>
        <w:t xml:space="preserve"> </w:t>
      </w:r>
      <w:r w:rsidR="002F5AD5">
        <w:rPr>
          <w:rFonts w:cs="Segoe UI Light"/>
          <w:szCs w:val="20"/>
        </w:rPr>
        <w:t>will</w:t>
      </w:r>
      <w:r w:rsidRPr="005B6B34">
        <w:rPr>
          <w:rFonts w:cs="Segoe UI Light"/>
          <w:szCs w:val="20"/>
        </w:rPr>
        <w:t xml:space="preserve"> be high</w:t>
      </w:r>
      <w:r w:rsidRPr="00D4650A">
        <w:rPr>
          <w:rFonts w:cs="Segoe UI Light"/>
          <w:szCs w:val="20"/>
        </w:rPr>
        <w:t>er</w:t>
      </w:r>
      <w:r w:rsidRPr="005B6B34">
        <w:rPr>
          <w:rFonts w:cs="Segoe UI Light"/>
          <w:szCs w:val="20"/>
        </w:rPr>
        <w:t xml:space="preserve"> </w:t>
      </w:r>
      <w:r w:rsidR="002F5AD5">
        <w:rPr>
          <w:rFonts w:cs="Segoe UI Light"/>
          <w:szCs w:val="20"/>
        </w:rPr>
        <w:t>than</w:t>
      </w:r>
      <w:r w:rsidRPr="005B6B34">
        <w:rPr>
          <w:rFonts w:cs="Segoe UI Light"/>
          <w:szCs w:val="20"/>
        </w:rPr>
        <w:t xml:space="preserve"> </w:t>
      </w:r>
      <w:r w:rsidRPr="0012130F">
        <w:rPr>
          <w:rFonts w:cs="Segoe UI Light"/>
          <w:b/>
          <w:szCs w:val="20"/>
        </w:rPr>
        <w:t>Option 1</w:t>
      </w:r>
      <w:r w:rsidRPr="00D4650A">
        <w:rPr>
          <w:rFonts w:cs="Segoe UI Light"/>
          <w:szCs w:val="20"/>
        </w:rPr>
        <w:t xml:space="preserve"> and </w:t>
      </w:r>
      <w:r w:rsidRPr="005B6B34">
        <w:rPr>
          <w:rFonts w:cs="Segoe UI Light"/>
          <w:szCs w:val="20"/>
        </w:rPr>
        <w:t xml:space="preserve">the Base Case. Overall, a score of </w:t>
      </w:r>
      <w:r w:rsidRPr="00D4650A">
        <w:rPr>
          <w:rFonts w:cs="Segoe UI Light"/>
          <w:szCs w:val="20"/>
        </w:rPr>
        <w:t>+</w:t>
      </w:r>
      <w:r w:rsidRPr="005B6B34">
        <w:rPr>
          <w:rFonts w:cs="Segoe UI Light"/>
          <w:szCs w:val="20"/>
        </w:rPr>
        <w:t>7</w:t>
      </w:r>
      <w:r w:rsidRPr="00D4650A">
        <w:rPr>
          <w:rFonts w:cs="Segoe UI Light"/>
          <w:szCs w:val="20"/>
        </w:rPr>
        <w:t xml:space="preserve"> is given</w:t>
      </w:r>
      <w:r w:rsidR="0012130F">
        <w:rPr>
          <w:rFonts w:cs="Segoe UI Light"/>
          <w:szCs w:val="20"/>
        </w:rPr>
        <w:t xml:space="preserve"> to </w:t>
      </w:r>
      <w:r w:rsidR="0012130F" w:rsidRPr="0012130F">
        <w:rPr>
          <w:rFonts w:cs="Segoe UI Light"/>
          <w:b/>
          <w:szCs w:val="20"/>
        </w:rPr>
        <w:t>Option 2</w:t>
      </w:r>
      <w:r w:rsidRPr="005B6B34">
        <w:rPr>
          <w:rFonts w:cs="Segoe UI Light"/>
          <w:szCs w:val="20"/>
        </w:rPr>
        <w:t>.</w:t>
      </w:r>
    </w:p>
    <w:p w14:paraId="656B0E4C" w14:textId="77777777" w:rsidR="005B6B34" w:rsidRPr="005B6B34" w:rsidRDefault="005B6B34" w:rsidP="000E7C5E">
      <w:pPr>
        <w:pStyle w:val="Heading4un-numbered"/>
        <w:rPr>
          <w:rFonts w:cs="Segoe UI Light"/>
          <w:szCs w:val="20"/>
        </w:rPr>
      </w:pPr>
      <w:r w:rsidRPr="00CE36FD">
        <w:rPr>
          <w:rFonts w:cs="Segoe UI Light"/>
          <w:szCs w:val="20"/>
        </w:rPr>
        <w:t>Cost</w:t>
      </w:r>
    </w:p>
    <w:p w14:paraId="656B0E4D" w14:textId="77777777" w:rsidR="005B6B34" w:rsidRPr="000E7C5E" w:rsidRDefault="005B6B34" w:rsidP="00037AF8">
      <w:pPr>
        <w:spacing w:after="0"/>
        <w:rPr>
          <w:rFonts w:cs="Segoe UI Light"/>
          <w:i/>
          <w:szCs w:val="20"/>
        </w:rPr>
      </w:pPr>
      <w:r w:rsidRPr="000E7C5E">
        <w:rPr>
          <w:rFonts w:cs="Segoe UI Light"/>
          <w:i/>
          <w:szCs w:val="20"/>
        </w:rPr>
        <w:t>Cost to duty holders</w:t>
      </w:r>
    </w:p>
    <w:p w14:paraId="656B0E4E" w14:textId="77777777" w:rsidR="005B6B34" w:rsidRPr="005B6B34" w:rsidRDefault="005B6B34" w:rsidP="005B6B34">
      <w:pPr>
        <w:rPr>
          <w:rFonts w:cs="Segoe UI Light"/>
          <w:szCs w:val="20"/>
        </w:rPr>
      </w:pPr>
      <w:r w:rsidRPr="005B6B34">
        <w:rPr>
          <w:rFonts w:cs="Segoe UI Light"/>
          <w:b/>
          <w:bCs/>
          <w:iCs/>
          <w:szCs w:val="20"/>
        </w:rPr>
        <w:t xml:space="preserve">Option 1 </w:t>
      </w:r>
      <w:r w:rsidRPr="005B6B34">
        <w:rPr>
          <w:rFonts w:cs="Segoe UI Light"/>
          <w:bCs/>
          <w:iCs/>
          <w:szCs w:val="20"/>
        </w:rPr>
        <w:t xml:space="preserve">will provide duty holders and regulators with greater certainty and clarity with respect to the obligations under the unreasonable and aggravated noise provisions. </w:t>
      </w:r>
    </w:p>
    <w:p w14:paraId="656B0E4F" w14:textId="77777777" w:rsidR="005B6B34" w:rsidRPr="005B6B34" w:rsidRDefault="005B6B34" w:rsidP="000E7C5E">
      <w:pPr>
        <w:rPr>
          <w:rFonts w:cs="Segoe UI Light"/>
          <w:szCs w:val="20"/>
        </w:rPr>
      </w:pPr>
      <w:r w:rsidRPr="00D4650A">
        <w:rPr>
          <w:rFonts w:cs="Segoe UI Light"/>
          <w:b/>
          <w:szCs w:val="20"/>
        </w:rPr>
        <w:t>Option 1</w:t>
      </w:r>
      <w:r w:rsidRPr="005B6B34">
        <w:rPr>
          <w:rFonts w:cs="Segoe UI Light"/>
          <w:szCs w:val="20"/>
        </w:rPr>
        <w:t xml:space="preserve"> may reduce the burden on duty holders from resolving noise complaints through legal means (e.g. Victorian Civil and Administration Tribunal</w:t>
      </w:r>
      <w:r w:rsidR="00C97BDA">
        <w:rPr>
          <w:rFonts w:cs="Segoe UI Light"/>
          <w:szCs w:val="20"/>
        </w:rPr>
        <w:t>, VCAT</w:t>
      </w:r>
      <w:r w:rsidRPr="005B6B34">
        <w:rPr>
          <w:rFonts w:cs="Segoe UI Light"/>
          <w:szCs w:val="20"/>
        </w:rPr>
        <w:t xml:space="preserve">) and incurring </w:t>
      </w:r>
      <w:r w:rsidR="00293432">
        <w:rPr>
          <w:rFonts w:cs="Segoe UI Light"/>
          <w:szCs w:val="20"/>
        </w:rPr>
        <w:t xml:space="preserve">accompanying </w:t>
      </w:r>
      <w:r w:rsidRPr="005B6B34">
        <w:rPr>
          <w:rFonts w:cs="Segoe UI Light"/>
          <w:szCs w:val="20"/>
        </w:rPr>
        <w:t xml:space="preserve">legal fees and acoustic consultant fees. By way of example, the typical fee for an acoustic assessment is in the order of $10,000, although this is highly dependent on </w:t>
      </w:r>
      <w:r w:rsidR="002F5AD5">
        <w:rPr>
          <w:rFonts w:cs="Segoe UI Light"/>
          <w:szCs w:val="20"/>
        </w:rPr>
        <w:t xml:space="preserve">the </w:t>
      </w:r>
      <w:r w:rsidRPr="005B6B34">
        <w:rPr>
          <w:rFonts w:cs="Segoe UI Light"/>
          <w:szCs w:val="20"/>
        </w:rPr>
        <w:t>specific scope of work required.</w:t>
      </w:r>
      <w:r w:rsidRPr="005B6B34">
        <w:rPr>
          <w:rStyle w:val="FootnoteReference"/>
          <w:rFonts w:cs="Segoe UI Light"/>
          <w:szCs w:val="20"/>
        </w:rPr>
        <w:footnoteReference w:id="287"/>
      </w:r>
    </w:p>
    <w:p w14:paraId="656B0E50" w14:textId="77777777" w:rsidR="005B6B34" w:rsidRPr="005B6B34" w:rsidRDefault="005B6B34" w:rsidP="005B6B34">
      <w:pPr>
        <w:rPr>
          <w:rFonts w:cs="Segoe UI Light"/>
          <w:szCs w:val="20"/>
        </w:rPr>
      </w:pPr>
      <w:r w:rsidRPr="005B6B34">
        <w:rPr>
          <w:rFonts w:cs="Segoe UI Light"/>
          <w:szCs w:val="20"/>
        </w:rPr>
        <w:t xml:space="preserve">By providing greater certainty, </w:t>
      </w:r>
      <w:r w:rsidRPr="00293432">
        <w:rPr>
          <w:rFonts w:cs="Segoe UI Light"/>
          <w:b/>
          <w:szCs w:val="20"/>
        </w:rPr>
        <w:t xml:space="preserve">Option 1 </w:t>
      </w:r>
      <w:r w:rsidRPr="005B6B34">
        <w:rPr>
          <w:rFonts w:cs="Segoe UI Light"/>
          <w:szCs w:val="20"/>
        </w:rPr>
        <w:t xml:space="preserve">also avoids the risk that duty holders may seek to resolve the complaint through avoiding the activity, reducing the time and duration of the activity or investing in (potentially) unnecessary noise management and attenuation activities beyond what a prescribed unreasonable threshold would require. Attenuation activities may involve equipment replacement and upgrade, plant redesign, and process management. Attenuation costs can be significant and vary widely depending on the activity being undertaken; a recent report commissioned by </w:t>
      </w:r>
      <w:r w:rsidR="000514DD">
        <w:rPr>
          <w:rFonts w:cs="Segoe UI Light"/>
          <w:szCs w:val="20"/>
        </w:rPr>
        <w:t>EPA</w:t>
      </w:r>
      <w:r w:rsidRPr="005B6B34">
        <w:rPr>
          <w:rFonts w:cs="Segoe UI Light"/>
          <w:szCs w:val="20"/>
        </w:rPr>
        <w:t xml:space="preserve"> identified attenuation costs varying from approximately a few thousand dollars to well over a million dollars. </w:t>
      </w:r>
      <w:r w:rsidRPr="005B6B34">
        <w:rPr>
          <w:rStyle w:val="FootnoteReference"/>
          <w:rFonts w:cs="Segoe UI Light"/>
          <w:szCs w:val="20"/>
        </w:rPr>
        <w:footnoteReference w:id="288"/>
      </w:r>
      <w:r w:rsidRPr="005B6B34">
        <w:rPr>
          <w:rFonts w:cs="Segoe UI Light"/>
          <w:szCs w:val="20"/>
        </w:rPr>
        <w:t xml:space="preserve"> </w:t>
      </w:r>
    </w:p>
    <w:p w14:paraId="656B0E51" w14:textId="77777777" w:rsidR="005B6B34" w:rsidRPr="008033E0" w:rsidRDefault="005B6B34" w:rsidP="008033E0">
      <w:pPr>
        <w:rPr>
          <w:rFonts w:cs="Segoe UI Light"/>
          <w:szCs w:val="20"/>
        </w:rPr>
      </w:pPr>
      <w:r w:rsidRPr="00D4650A">
        <w:rPr>
          <w:rFonts w:cs="Segoe UI Light"/>
          <w:b/>
          <w:szCs w:val="20"/>
        </w:rPr>
        <w:t>Option 1</w:t>
      </w:r>
      <w:r w:rsidR="000B22C7">
        <w:rPr>
          <w:rFonts w:cs="Segoe UI Light"/>
          <w:szCs w:val="20"/>
        </w:rPr>
        <w:t xml:space="preserve"> </w:t>
      </w:r>
      <w:r w:rsidRPr="005B6B34">
        <w:rPr>
          <w:rFonts w:cs="Segoe UI Light"/>
          <w:szCs w:val="20"/>
        </w:rPr>
        <w:t xml:space="preserve">may also induce greater compliance by duty holders, such as purchasing noise compliant equipment, resulting in duty holders incurring some additional attenuation costs over and above the </w:t>
      </w:r>
      <w:r w:rsidR="000514DD">
        <w:rPr>
          <w:rFonts w:cs="Segoe UI Light"/>
          <w:szCs w:val="20"/>
        </w:rPr>
        <w:t>Base Case</w:t>
      </w:r>
      <w:r w:rsidRPr="005B6B34">
        <w:rPr>
          <w:rFonts w:cs="Segoe UI Light"/>
          <w:szCs w:val="20"/>
        </w:rPr>
        <w:t xml:space="preserve">. </w:t>
      </w:r>
      <w:r w:rsidR="00DA14F7">
        <w:rPr>
          <w:rFonts w:cs="Segoe UI Light"/>
          <w:szCs w:val="20"/>
        </w:rPr>
        <w:t>While there will be an existing state of knowledge underpinning duty holder behaviour</w:t>
      </w:r>
      <w:r w:rsidR="00AB67FC">
        <w:rPr>
          <w:rFonts w:cs="Segoe UI Light"/>
          <w:szCs w:val="20"/>
        </w:rPr>
        <w:t xml:space="preserve"> and compliance</w:t>
      </w:r>
      <w:r w:rsidR="00DA14F7">
        <w:rPr>
          <w:rFonts w:cs="Segoe UI Light"/>
          <w:szCs w:val="20"/>
        </w:rPr>
        <w:t>, s</w:t>
      </w:r>
      <w:r w:rsidR="00A215FF" w:rsidRPr="00DA14F7">
        <w:rPr>
          <w:rFonts w:cs="Segoe UI Light"/>
          <w:szCs w:val="20"/>
        </w:rPr>
        <w:t xml:space="preserve">ome duty holders may </w:t>
      </w:r>
      <w:r w:rsidR="00AB67FC">
        <w:rPr>
          <w:rFonts w:cs="Segoe UI Light"/>
          <w:szCs w:val="20"/>
        </w:rPr>
        <w:t xml:space="preserve">face additional compliance costs due to the revised urban area boundary. A small proportion of duty holders will </w:t>
      </w:r>
      <w:r w:rsidR="00A215FF">
        <w:rPr>
          <w:rFonts w:cs="Segoe UI Light"/>
          <w:szCs w:val="20"/>
        </w:rPr>
        <w:t xml:space="preserve">now </w:t>
      </w:r>
      <w:r w:rsidR="00A215FF" w:rsidRPr="00DA14F7">
        <w:rPr>
          <w:rFonts w:cs="Segoe UI Light"/>
          <w:szCs w:val="20"/>
        </w:rPr>
        <w:t xml:space="preserve">need to </w:t>
      </w:r>
      <w:r w:rsidR="008033E0" w:rsidRPr="00DA14F7">
        <w:rPr>
          <w:rFonts w:cs="Segoe UI Light"/>
          <w:szCs w:val="20"/>
        </w:rPr>
        <w:t>comply with noise limits relevant to urban areas</w:t>
      </w:r>
      <w:r w:rsidR="00AB67FC">
        <w:rPr>
          <w:rFonts w:cs="Segoe UI Light"/>
          <w:szCs w:val="20"/>
        </w:rPr>
        <w:t>,</w:t>
      </w:r>
      <w:r w:rsidR="008033E0" w:rsidRPr="00DA14F7">
        <w:rPr>
          <w:rFonts w:cs="Segoe UI Light"/>
          <w:szCs w:val="20"/>
        </w:rPr>
        <w:t xml:space="preserve"> where previously compliance was to non-statutory rural limits</w:t>
      </w:r>
      <w:r w:rsidR="00AB67FC">
        <w:rPr>
          <w:rFonts w:cs="Segoe UI Light"/>
          <w:szCs w:val="20"/>
        </w:rPr>
        <w:t>.</w:t>
      </w:r>
      <w:r w:rsidR="00DA14F7">
        <w:rPr>
          <w:rFonts w:cs="Segoe UI Light"/>
          <w:szCs w:val="20"/>
        </w:rPr>
        <w:t xml:space="preserve"> Furthermore, duty holders in</w:t>
      </w:r>
      <w:r w:rsidR="00AB67FC">
        <w:rPr>
          <w:rFonts w:cs="Segoe UI Light"/>
          <w:szCs w:val="20"/>
        </w:rPr>
        <w:t xml:space="preserve"> rural areas will now be bound by statutory noise limits, where previously rural area noise limits were addressed through guidance</w:t>
      </w:r>
      <w:r w:rsidR="00DC7A63">
        <w:rPr>
          <w:rFonts w:cs="Segoe UI Light"/>
          <w:szCs w:val="20"/>
        </w:rPr>
        <w:t xml:space="preserve">. </w:t>
      </w:r>
    </w:p>
    <w:p w14:paraId="656B0E52" w14:textId="77777777" w:rsidR="005B6B34" w:rsidRPr="005B6B34" w:rsidRDefault="005B6B34" w:rsidP="005B6B34">
      <w:pPr>
        <w:rPr>
          <w:rFonts w:cs="Segoe UI Light"/>
          <w:szCs w:val="20"/>
        </w:rPr>
      </w:pPr>
      <w:r w:rsidRPr="005B6B34">
        <w:rPr>
          <w:rFonts w:cs="Segoe UI Light"/>
          <w:szCs w:val="20"/>
        </w:rPr>
        <w:t>However, given the nature of noise and the lack of data</w:t>
      </w:r>
      <w:r w:rsidR="00BA59E6">
        <w:rPr>
          <w:rFonts w:cs="Segoe UI Light"/>
          <w:szCs w:val="20"/>
        </w:rPr>
        <w:t xml:space="preserve"> on the final attenuation solutions of premises which have been deemed to be emitting unreasonable noise</w:t>
      </w:r>
      <w:r w:rsidRPr="005B6B34">
        <w:rPr>
          <w:rFonts w:cs="Segoe UI Light"/>
          <w:szCs w:val="20"/>
        </w:rPr>
        <w:t>, it is not possible to estimate the number of duty holders affected</w:t>
      </w:r>
      <w:r w:rsidR="00293432">
        <w:rPr>
          <w:rFonts w:cs="Segoe UI Light"/>
          <w:szCs w:val="20"/>
        </w:rPr>
        <w:t>, the number of unreasonable or aggravated noise incidents avoided,</w:t>
      </w:r>
      <w:r w:rsidRPr="005B6B34">
        <w:rPr>
          <w:rFonts w:cs="Segoe UI Light"/>
          <w:szCs w:val="20"/>
        </w:rPr>
        <w:t xml:space="preserve"> or the likely costs to duty holders. It is likely that some duty holders may avoid some costs, while some duty holders may incur additional costs. </w:t>
      </w:r>
    </w:p>
    <w:p w14:paraId="656B0E53" w14:textId="77777777" w:rsidR="005B6B34" w:rsidRPr="005B6B34" w:rsidRDefault="00293432" w:rsidP="005B6B34">
      <w:pPr>
        <w:rPr>
          <w:rFonts w:cs="Segoe UI Light"/>
          <w:szCs w:val="20"/>
        </w:rPr>
      </w:pPr>
      <w:r>
        <w:rPr>
          <w:rFonts w:cs="Segoe UI Light"/>
          <w:szCs w:val="20"/>
        </w:rPr>
        <w:t>I</w:t>
      </w:r>
      <w:r w:rsidR="005B6B34" w:rsidRPr="005B6B34">
        <w:rPr>
          <w:rFonts w:cs="Segoe UI Light"/>
          <w:szCs w:val="20"/>
        </w:rPr>
        <w:t xml:space="preserve">t is likely that </w:t>
      </w:r>
      <w:r w:rsidR="005B6B34" w:rsidRPr="00D4650A">
        <w:rPr>
          <w:rFonts w:cs="Segoe UI Light"/>
          <w:b/>
          <w:szCs w:val="20"/>
        </w:rPr>
        <w:t>Option 1</w:t>
      </w:r>
      <w:r w:rsidR="005B6B34" w:rsidRPr="005B6B34">
        <w:rPr>
          <w:rFonts w:cs="Segoe UI Light"/>
          <w:szCs w:val="20"/>
        </w:rPr>
        <w:t xml:space="preserve"> will greatly assist small businesses in complying with noise provisions under the new EP legislation. </w:t>
      </w:r>
      <w:r w:rsidR="00713BFC">
        <w:rPr>
          <w:rFonts w:cs="Segoe UI Light"/>
          <w:szCs w:val="20"/>
        </w:rPr>
        <w:t>During consultations, stakeholders suggested that s</w:t>
      </w:r>
      <w:r w:rsidR="005B6B34" w:rsidRPr="005B6B34">
        <w:rPr>
          <w:rFonts w:cs="Segoe UI Light"/>
          <w:szCs w:val="20"/>
        </w:rPr>
        <w:t xml:space="preserve">mall businesses </w:t>
      </w:r>
      <w:r w:rsidR="002F5AD5">
        <w:rPr>
          <w:rFonts w:cs="Segoe UI Light"/>
          <w:szCs w:val="20"/>
        </w:rPr>
        <w:t>typically have limited</w:t>
      </w:r>
      <w:r w:rsidR="005B6B34" w:rsidRPr="005B6B34">
        <w:rPr>
          <w:rFonts w:cs="Segoe UI Light"/>
          <w:szCs w:val="20"/>
        </w:rPr>
        <w:t xml:space="preserve"> in-house resources to manage noise issues or the resources to engage acoustic consultants. </w:t>
      </w:r>
    </w:p>
    <w:p w14:paraId="656B0E54" w14:textId="77777777" w:rsidR="005B6B34" w:rsidRPr="005B6B34" w:rsidRDefault="005B6B34" w:rsidP="005B6B34">
      <w:pPr>
        <w:rPr>
          <w:rFonts w:cs="Segoe UI Light"/>
          <w:szCs w:val="20"/>
        </w:rPr>
      </w:pPr>
      <w:r w:rsidRPr="00D4650A">
        <w:rPr>
          <w:rFonts w:cs="Segoe UI Light"/>
          <w:b/>
          <w:szCs w:val="20"/>
        </w:rPr>
        <w:t xml:space="preserve">Option 2 </w:t>
      </w:r>
      <w:r w:rsidRPr="00D4650A">
        <w:rPr>
          <w:rFonts w:cs="Segoe UI Light"/>
          <w:szCs w:val="20"/>
        </w:rPr>
        <w:t>is</w:t>
      </w:r>
      <w:r w:rsidRPr="005B6B34">
        <w:rPr>
          <w:rFonts w:cs="Segoe UI Light"/>
          <w:b/>
          <w:szCs w:val="20"/>
        </w:rPr>
        <w:t xml:space="preserve"> </w:t>
      </w:r>
      <w:r w:rsidRPr="005B6B34">
        <w:rPr>
          <w:rFonts w:cs="Segoe UI Light"/>
          <w:szCs w:val="20"/>
        </w:rPr>
        <w:t>expected to result in a higher regulatory burden to duty holders relative to Option 1 due to the additional requirement to:</w:t>
      </w:r>
    </w:p>
    <w:p w14:paraId="656B0E55" w14:textId="77777777" w:rsidR="005B6B34" w:rsidRPr="005B6B34" w:rsidRDefault="00C3076F" w:rsidP="004A2442">
      <w:pPr>
        <w:pStyle w:val="ListParagraph"/>
        <w:numPr>
          <w:ilvl w:val="0"/>
          <w:numId w:val="65"/>
        </w:numPr>
        <w:rPr>
          <w:rFonts w:cs="Segoe UI Light"/>
          <w:szCs w:val="20"/>
        </w:rPr>
      </w:pPr>
      <w:r>
        <w:rPr>
          <w:rFonts w:cs="Segoe UI Light"/>
          <w:szCs w:val="20"/>
        </w:rPr>
        <w:t>M</w:t>
      </w:r>
      <w:r w:rsidR="005B6B34" w:rsidRPr="005B6B34">
        <w:rPr>
          <w:rFonts w:cs="Segoe UI Light"/>
          <w:szCs w:val="20"/>
        </w:rPr>
        <w:t>anage and attenuate low frequency noise</w:t>
      </w:r>
    </w:p>
    <w:p w14:paraId="656B0E56" w14:textId="77777777" w:rsidR="005B6B34" w:rsidRPr="005B6B34" w:rsidRDefault="00C3076F" w:rsidP="004A2442">
      <w:pPr>
        <w:pStyle w:val="ListParagraph"/>
        <w:numPr>
          <w:ilvl w:val="0"/>
          <w:numId w:val="65"/>
        </w:numPr>
        <w:rPr>
          <w:rFonts w:cs="Segoe UI Light"/>
          <w:szCs w:val="20"/>
        </w:rPr>
      </w:pPr>
      <w:r>
        <w:rPr>
          <w:rFonts w:cs="Segoe UI Light"/>
          <w:szCs w:val="20"/>
        </w:rPr>
        <w:t>M</w:t>
      </w:r>
      <w:r w:rsidR="005B6B34" w:rsidRPr="005B6B34">
        <w:rPr>
          <w:rFonts w:cs="Segoe UI Light"/>
          <w:szCs w:val="20"/>
        </w:rPr>
        <w:t xml:space="preserve">eet a night time </w:t>
      </w:r>
      <w:r w:rsidR="00075F6A">
        <w:rPr>
          <w:rFonts w:cs="Segoe UI Light"/>
          <w:szCs w:val="20"/>
        </w:rPr>
        <w:t xml:space="preserve">noise </w:t>
      </w:r>
      <w:r w:rsidR="005B6B34" w:rsidRPr="005B6B34">
        <w:rPr>
          <w:rFonts w:cs="Segoe UI Light"/>
          <w:szCs w:val="20"/>
        </w:rPr>
        <w:t>limit of 55 dB</w:t>
      </w:r>
    </w:p>
    <w:p w14:paraId="656B0E57" w14:textId="77777777" w:rsidR="005B6B34" w:rsidRPr="005B6B34" w:rsidRDefault="00C3076F" w:rsidP="004A2442">
      <w:pPr>
        <w:pStyle w:val="ListParagraph"/>
        <w:numPr>
          <w:ilvl w:val="0"/>
          <w:numId w:val="65"/>
        </w:numPr>
        <w:rPr>
          <w:rFonts w:cs="Segoe UI Light"/>
          <w:szCs w:val="20"/>
        </w:rPr>
      </w:pPr>
      <w:r>
        <w:rPr>
          <w:rFonts w:cs="Segoe UI Light"/>
          <w:szCs w:val="20"/>
        </w:rPr>
        <w:t>M</w:t>
      </w:r>
      <w:r w:rsidR="005B6B34" w:rsidRPr="005B6B34">
        <w:rPr>
          <w:rFonts w:cs="Segoe UI Light"/>
          <w:szCs w:val="20"/>
        </w:rPr>
        <w:t>anage noise with respect to an expanded list of noise sensitive areas (e.g. childcare centres</w:t>
      </w:r>
      <w:r w:rsidR="00A215FF">
        <w:rPr>
          <w:rFonts w:cs="Segoe UI Light"/>
          <w:szCs w:val="20"/>
        </w:rPr>
        <w:t xml:space="preserve">, kindergartens, </w:t>
      </w:r>
      <w:r w:rsidR="005B6B34" w:rsidRPr="005B6B34">
        <w:rPr>
          <w:rFonts w:cs="Segoe UI Light"/>
          <w:szCs w:val="20"/>
        </w:rPr>
        <w:t xml:space="preserve">and </w:t>
      </w:r>
      <w:r w:rsidR="00A215FF">
        <w:rPr>
          <w:rFonts w:cs="Segoe UI Light"/>
          <w:szCs w:val="20"/>
        </w:rPr>
        <w:t>tourist establishments, caravan parks and camping grounds in rural areas</w:t>
      </w:r>
      <w:r w:rsidR="005B6B34" w:rsidRPr="005B6B34">
        <w:rPr>
          <w:rFonts w:cs="Segoe UI Light"/>
          <w:szCs w:val="20"/>
        </w:rPr>
        <w:t>).</w:t>
      </w:r>
    </w:p>
    <w:p w14:paraId="656B0E58" w14:textId="77777777" w:rsidR="005B6B34" w:rsidRPr="005B6B34" w:rsidRDefault="005B6B34" w:rsidP="005B6B34">
      <w:pPr>
        <w:rPr>
          <w:rFonts w:cs="Segoe UI Light"/>
          <w:szCs w:val="20"/>
        </w:rPr>
      </w:pPr>
      <w:r w:rsidRPr="005B6B34">
        <w:rPr>
          <w:rFonts w:cs="Segoe UI Light"/>
          <w:szCs w:val="20"/>
        </w:rPr>
        <w:t xml:space="preserve">The above requirements will likely result in additional acoustic consulting fees, noise assessment and attenuation costs for some duty holders. Interviews with acoustic </w:t>
      </w:r>
      <w:r w:rsidR="00293432">
        <w:rPr>
          <w:rFonts w:cs="Segoe UI Light"/>
          <w:szCs w:val="20"/>
        </w:rPr>
        <w:t xml:space="preserve">consultants noted that attenuating </w:t>
      </w:r>
      <w:r w:rsidRPr="005B6B34">
        <w:rPr>
          <w:rFonts w:cs="Segoe UI Light"/>
          <w:szCs w:val="20"/>
        </w:rPr>
        <w:t xml:space="preserve">frequency </w:t>
      </w:r>
      <w:r w:rsidR="00E55A56">
        <w:rPr>
          <w:rFonts w:cs="Segoe UI Light"/>
          <w:szCs w:val="20"/>
        </w:rPr>
        <w:t xml:space="preserve">spectrum </w:t>
      </w:r>
      <w:r w:rsidRPr="005B6B34">
        <w:rPr>
          <w:rFonts w:cs="Segoe UI Light"/>
          <w:szCs w:val="20"/>
        </w:rPr>
        <w:t>noise emissions, for example, can potentially be very expensive (i.e. over $100,000). It is not possible to estimate the number or location of duty holders affected</w:t>
      </w:r>
      <w:r w:rsidR="000B22C7">
        <w:rPr>
          <w:rFonts w:cs="Segoe UI Light"/>
          <w:szCs w:val="20"/>
        </w:rPr>
        <w:t>, or the likely number of unreasonable or aggravated noise incidents avoided under Option 2.</w:t>
      </w:r>
      <w:r w:rsidRPr="005B6B34">
        <w:rPr>
          <w:rFonts w:cs="Segoe UI Light"/>
          <w:szCs w:val="20"/>
        </w:rPr>
        <w:t xml:space="preserve"> However, these costs are </w:t>
      </w:r>
      <w:r w:rsidR="00544B9C">
        <w:rPr>
          <w:rFonts w:cs="Segoe UI Light"/>
          <w:szCs w:val="20"/>
        </w:rPr>
        <w:t>un</w:t>
      </w:r>
      <w:r w:rsidRPr="005B6B34">
        <w:rPr>
          <w:rFonts w:cs="Segoe UI Light"/>
          <w:szCs w:val="20"/>
        </w:rPr>
        <w:t xml:space="preserve">likely to impact a significant number of duty holders. For example, </w:t>
      </w:r>
      <w:r w:rsidRPr="00D4650A">
        <w:rPr>
          <w:rFonts w:cs="Segoe UI Light"/>
          <w:szCs w:val="20"/>
        </w:rPr>
        <w:t xml:space="preserve">an EPA assessment of night time </w:t>
      </w:r>
      <w:r w:rsidR="00075F6A">
        <w:rPr>
          <w:rFonts w:cs="Segoe UI Light"/>
          <w:szCs w:val="20"/>
        </w:rPr>
        <w:t>noise limits</w:t>
      </w:r>
      <w:r w:rsidRPr="00D4650A">
        <w:rPr>
          <w:rFonts w:cs="Segoe UI Light"/>
          <w:szCs w:val="20"/>
        </w:rPr>
        <w:t xml:space="preserve"> found only 1.4% of sites assessed had limits greater than 55 dB.</w:t>
      </w:r>
      <w:r w:rsidRPr="005B6B34">
        <w:rPr>
          <w:rStyle w:val="FootnoteReference"/>
          <w:rFonts w:cs="Segoe UI Light"/>
          <w:szCs w:val="20"/>
        </w:rPr>
        <w:footnoteReference w:id="289"/>
      </w:r>
      <w:r w:rsidRPr="00D4650A">
        <w:rPr>
          <w:rFonts w:cs="Segoe UI Light"/>
          <w:szCs w:val="20"/>
        </w:rPr>
        <w:t xml:space="preserve"> Overall, </w:t>
      </w:r>
      <w:r w:rsidRPr="00293432">
        <w:rPr>
          <w:rFonts w:cs="Segoe UI Light"/>
          <w:b/>
          <w:szCs w:val="20"/>
        </w:rPr>
        <w:t>Option 2</w:t>
      </w:r>
      <w:r w:rsidRPr="00D4650A">
        <w:rPr>
          <w:rFonts w:cs="Segoe UI Light"/>
          <w:szCs w:val="20"/>
        </w:rPr>
        <w:t xml:space="preserve"> is expected to result in higher costs to duty holders relative to Option 1 and the </w:t>
      </w:r>
      <w:r w:rsidR="000514DD">
        <w:rPr>
          <w:rFonts w:cs="Segoe UI Light"/>
          <w:szCs w:val="20"/>
        </w:rPr>
        <w:t>Base Case</w:t>
      </w:r>
      <w:r w:rsidR="007C1783">
        <w:rPr>
          <w:rFonts w:cs="Segoe UI Light"/>
          <w:szCs w:val="20"/>
        </w:rPr>
        <w:t>, although the exact size of this increase is unknown.</w:t>
      </w:r>
    </w:p>
    <w:p w14:paraId="656B0E59" w14:textId="77777777" w:rsidR="005B6B34" w:rsidRPr="00037AF8" w:rsidRDefault="005B6B34" w:rsidP="00037AF8">
      <w:pPr>
        <w:spacing w:after="0"/>
        <w:rPr>
          <w:rFonts w:cs="Segoe UI Light"/>
          <w:i/>
          <w:szCs w:val="20"/>
        </w:rPr>
      </w:pPr>
      <w:r w:rsidRPr="00037AF8">
        <w:rPr>
          <w:rFonts w:cs="Segoe UI Light"/>
          <w:i/>
          <w:szCs w:val="20"/>
        </w:rPr>
        <w:t>Cost to government</w:t>
      </w:r>
    </w:p>
    <w:p w14:paraId="656B0E5A" w14:textId="77777777" w:rsidR="005B6B34" w:rsidRPr="005B6B34" w:rsidRDefault="005B6B34" w:rsidP="005B6B34">
      <w:pPr>
        <w:rPr>
          <w:rFonts w:cs="Segoe UI Light"/>
          <w:szCs w:val="20"/>
        </w:rPr>
      </w:pPr>
      <w:r w:rsidRPr="005B6B34">
        <w:rPr>
          <w:rFonts w:cs="Segoe UI Light"/>
          <w:b/>
          <w:szCs w:val="20"/>
        </w:rPr>
        <w:t>Option 1</w:t>
      </w:r>
      <w:r w:rsidRPr="005B6B34">
        <w:rPr>
          <w:rFonts w:cs="Segoe UI Light"/>
          <w:szCs w:val="20"/>
        </w:rPr>
        <w:t xml:space="preserve"> is expected to reduce the administrative burden of </w:t>
      </w:r>
      <w:r w:rsidR="000514DD">
        <w:rPr>
          <w:rFonts w:cs="Segoe UI Light"/>
          <w:szCs w:val="20"/>
        </w:rPr>
        <w:t>EPA</w:t>
      </w:r>
      <w:r w:rsidRPr="005B6B34">
        <w:rPr>
          <w:rFonts w:cs="Segoe UI Light"/>
          <w:szCs w:val="20"/>
        </w:rPr>
        <w:t xml:space="preserve">, local councils and the Victoria Police in managing and enforcing noise provisions under the new EP legislation relative to the </w:t>
      </w:r>
      <w:r w:rsidR="000514DD">
        <w:rPr>
          <w:rFonts w:cs="Segoe UI Light"/>
          <w:szCs w:val="20"/>
        </w:rPr>
        <w:t>Base Case</w:t>
      </w:r>
      <w:r w:rsidRPr="005B6B34">
        <w:rPr>
          <w:rFonts w:cs="Segoe UI Light"/>
          <w:szCs w:val="20"/>
        </w:rPr>
        <w:t>.</w:t>
      </w:r>
    </w:p>
    <w:p w14:paraId="656B0E5B" w14:textId="77777777" w:rsidR="005B6B34" w:rsidRPr="005B6B34" w:rsidRDefault="005B6B34" w:rsidP="005B6B34">
      <w:pPr>
        <w:rPr>
          <w:rFonts w:cs="Segoe UI Light"/>
          <w:szCs w:val="20"/>
        </w:rPr>
      </w:pPr>
      <w:r w:rsidRPr="005B6B34">
        <w:rPr>
          <w:rFonts w:cs="Segoe UI Light"/>
          <w:szCs w:val="20"/>
        </w:rPr>
        <w:t xml:space="preserve">As reported above, there are an estimated 70,000 to 150,000 noise complaints received annually across government </w:t>
      </w:r>
      <w:r w:rsidR="00544B9C">
        <w:rPr>
          <w:rFonts w:cs="Segoe UI Light"/>
          <w:szCs w:val="20"/>
        </w:rPr>
        <w:t xml:space="preserve">agencies </w:t>
      </w:r>
      <w:r w:rsidRPr="005B6B34">
        <w:rPr>
          <w:rFonts w:cs="Segoe UI Light"/>
          <w:szCs w:val="20"/>
        </w:rPr>
        <w:t xml:space="preserve">(EPA, councils, Victoria Police). </w:t>
      </w:r>
      <w:r w:rsidRPr="005B6B34">
        <w:rPr>
          <w:rFonts w:cs="Segoe UI Light"/>
          <w:b/>
          <w:szCs w:val="20"/>
        </w:rPr>
        <w:t>Option 1</w:t>
      </w:r>
      <w:r w:rsidRPr="005B6B34">
        <w:rPr>
          <w:rFonts w:cs="Segoe UI Light"/>
          <w:szCs w:val="20"/>
        </w:rPr>
        <w:t xml:space="preserve"> will provide regulators with greater ability to enforce </w:t>
      </w:r>
      <w:r w:rsidR="000B22C7">
        <w:rPr>
          <w:rFonts w:cs="Segoe UI Light"/>
          <w:szCs w:val="20"/>
        </w:rPr>
        <w:t xml:space="preserve">unreasonable and </w:t>
      </w:r>
      <w:r w:rsidRPr="005B6B34">
        <w:rPr>
          <w:rFonts w:cs="Segoe UI Light"/>
          <w:szCs w:val="20"/>
        </w:rPr>
        <w:t xml:space="preserve">aggravated noise. While it is not possible to estimate the impact on duty holder behaviour under </w:t>
      </w:r>
      <w:r w:rsidRPr="005B6B34">
        <w:rPr>
          <w:rFonts w:cs="Segoe UI Light"/>
          <w:b/>
          <w:szCs w:val="20"/>
        </w:rPr>
        <w:t>Option 1</w:t>
      </w:r>
      <w:r w:rsidRPr="005B6B34">
        <w:rPr>
          <w:rFonts w:cs="Segoe UI Light"/>
          <w:szCs w:val="20"/>
        </w:rPr>
        <w:t xml:space="preserve"> relative to the </w:t>
      </w:r>
      <w:r w:rsidR="000514DD">
        <w:rPr>
          <w:rFonts w:cs="Segoe UI Light"/>
          <w:szCs w:val="20"/>
        </w:rPr>
        <w:t>Base Case</w:t>
      </w:r>
      <w:r w:rsidRPr="005B6B34">
        <w:rPr>
          <w:rFonts w:cs="Segoe UI Light"/>
          <w:szCs w:val="20"/>
        </w:rPr>
        <w:t xml:space="preserve">, it is clear that </w:t>
      </w:r>
      <w:r w:rsidRPr="005B6B34">
        <w:rPr>
          <w:rFonts w:cs="Segoe UI Light"/>
          <w:b/>
          <w:szCs w:val="20"/>
        </w:rPr>
        <w:t>Option 1</w:t>
      </w:r>
      <w:r w:rsidRPr="005B6B34">
        <w:rPr>
          <w:rFonts w:cs="Segoe UI Light"/>
          <w:szCs w:val="20"/>
        </w:rPr>
        <w:t xml:space="preserve"> will support the continued monitoring and enforcement of </w:t>
      </w:r>
      <w:r w:rsidR="00C642B3">
        <w:rPr>
          <w:rFonts w:cs="Segoe UI Light"/>
          <w:szCs w:val="20"/>
        </w:rPr>
        <w:t>CIT</w:t>
      </w:r>
      <w:r w:rsidRPr="005B6B34">
        <w:rPr>
          <w:rFonts w:cs="Segoe UI Light"/>
          <w:szCs w:val="20"/>
        </w:rPr>
        <w:t xml:space="preserve"> noise emissions by providing a transparent, defensible measurable framework. This is likely to reduce the administrative burden on government in managing and enforcing unreasonable and aggravated noise, by reducing the need to engage acoustic specialists and legal advice to enforce noise emissions relative to the </w:t>
      </w:r>
      <w:r w:rsidR="000514DD">
        <w:rPr>
          <w:rFonts w:cs="Segoe UI Light"/>
          <w:szCs w:val="20"/>
        </w:rPr>
        <w:t>Base Case</w:t>
      </w:r>
      <w:r w:rsidRPr="005B6B34">
        <w:rPr>
          <w:rFonts w:cs="Segoe UI Light"/>
          <w:szCs w:val="20"/>
        </w:rPr>
        <w:t>. Option 1 will broadly involve the translation of SEPP N1 and NIRV frameworks, and is therefore not expected to represent a significant cost to government to implement.</w:t>
      </w:r>
    </w:p>
    <w:p w14:paraId="656B0E5C" w14:textId="77777777" w:rsidR="005B6B34" w:rsidRPr="005B6B34" w:rsidRDefault="005B6B34" w:rsidP="005B6B34">
      <w:pPr>
        <w:rPr>
          <w:rFonts w:cs="Segoe UI Light"/>
          <w:szCs w:val="20"/>
        </w:rPr>
      </w:pPr>
      <w:r w:rsidRPr="005B6B34">
        <w:rPr>
          <w:rFonts w:cs="Segoe UI Light"/>
          <w:b/>
          <w:szCs w:val="20"/>
        </w:rPr>
        <w:t xml:space="preserve">Option 2 </w:t>
      </w:r>
      <w:r w:rsidRPr="005B6B34">
        <w:rPr>
          <w:rFonts w:cs="Segoe UI Light"/>
          <w:szCs w:val="20"/>
        </w:rPr>
        <w:t xml:space="preserve">is expected to </w:t>
      </w:r>
      <w:r w:rsidR="00075F6A">
        <w:rPr>
          <w:rFonts w:cs="Segoe UI Light"/>
          <w:szCs w:val="20"/>
        </w:rPr>
        <w:t>lead</w:t>
      </w:r>
      <w:r w:rsidRPr="005B6B34">
        <w:rPr>
          <w:rFonts w:cs="Segoe UI Light"/>
          <w:szCs w:val="20"/>
        </w:rPr>
        <w:t xml:space="preserve"> to a slightly higher administrative burden on regulators </w:t>
      </w:r>
      <w:r w:rsidR="00544B9C">
        <w:rPr>
          <w:rFonts w:cs="Segoe UI Light"/>
          <w:szCs w:val="20"/>
        </w:rPr>
        <w:t>due to the</w:t>
      </w:r>
      <w:r w:rsidRPr="005B6B34">
        <w:rPr>
          <w:rFonts w:cs="Segoe UI Light"/>
          <w:szCs w:val="20"/>
        </w:rPr>
        <w:t xml:space="preserve"> need to monitor and enforce frequency </w:t>
      </w:r>
      <w:r w:rsidR="00E55A56">
        <w:rPr>
          <w:rFonts w:cs="Segoe UI Light"/>
          <w:szCs w:val="20"/>
        </w:rPr>
        <w:t>spectrum</w:t>
      </w:r>
      <w:r w:rsidRPr="005B6B34">
        <w:rPr>
          <w:rFonts w:cs="Segoe UI Light"/>
          <w:szCs w:val="20"/>
        </w:rPr>
        <w:t xml:space="preserve"> noise, additional noise sensitive areas and </w:t>
      </w:r>
      <w:r w:rsidR="00075F6A">
        <w:rPr>
          <w:rFonts w:cs="Segoe UI Light"/>
          <w:szCs w:val="20"/>
        </w:rPr>
        <w:t>compliance with new</w:t>
      </w:r>
      <w:r w:rsidRPr="005B6B34">
        <w:rPr>
          <w:rFonts w:cs="Segoe UI Light"/>
          <w:szCs w:val="20"/>
        </w:rPr>
        <w:t xml:space="preserve"> night time noise </w:t>
      </w:r>
      <w:r w:rsidR="00075F6A">
        <w:rPr>
          <w:rFonts w:cs="Segoe UI Light"/>
          <w:szCs w:val="20"/>
        </w:rPr>
        <w:t>limits</w:t>
      </w:r>
      <w:r w:rsidRPr="005B6B34">
        <w:rPr>
          <w:rFonts w:cs="Segoe UI Light"/>
          <w:szCs w:val="20"/>
        </w:rPr>
        <w:t>.</w:t>
      </w:r>
    </w:p>
    <w:p w14:paraId="656B0E5D" w14:textId="77777777" w:rsidR="005B6B34" w:rsidRPr="00037AF8" w:rsidRDefault="005B6B34" w:rsidP="00037AF8">
      <w:pPr>
        <w:spacing w:after="0"/>
        <w:rPr>
          <w:rFonts w:cs="Segoe UI Light"/>
          <w:i/>
          <w:szCs w:val="20"/>
        </w:rPr>
      </w:pPr>
      <w:r w:rsidRPr="00037AF8">
        <w:rPr>
          <w:rFonts w:cs="Segoe UI Light"/>
          <w:i/>
          <w:szCs w:val="20"/>
        </w:rPr>
        <w:t>Overall cost summary</w:t>
      </w:r>
    </w:p>
    <w:p w14:paraId="656B0E5E" w14:textId="77777777" w:rsidR="005B6B34" w:rsidRPr="005B6B34" w:rsidRDefault="005B6B34" w:rsidP="005B6B34">
      <w:pPr>
        <w:rPr>
          <w:rFonts w:cs="Segoe UI Light"/>
          <w:szCs w:val="20"/>
        </w:rPr>
      </w:pPr>
      <w:r w:rsidRPr="005B6B34">
        <w:rPr>
          <w:rFonts w:cs="Segoe UI Light"/>
          <w:szCs w:val="20"/>
        </w:rPr>
        <w:t>Under</w:t>
      </w:r>
      <w:r w:rsidRPr="005B6B34">
        <w:rPr>
          <w:rFonts w:cs="Segoe UI Light"/>
          <w:b/>
          <w:szCs w:val="20"/>
        </w:rPr>
        <w:t xml:space="preserve"> Option 1 </w:t>
      </w:r>
      <w:r w:rsidRPr="00D4650A">
        <w:rPr>
          <w:rFonts w:cs="Segoe UI Light"/>
          <w:szCs w:val="20"/>
        </w:rPr>
        <w:t>there</w:t>
      </w:r>
      <w:r w:rsidRPr="005B6B34">
        <w:rPr>
          <w:rFonts w:cs="Segoe UI Light"/>
          <w:b/>
          <w:szCs w:val="20"/>
        </w:rPr>
        <w:t xml:space="preserve"> </w:t>
      </w:r>
      <w:r w:rsidRPr="00D4650A">
        <w:rPr>
          <w:rFonts w:cs="Segoe UI Light"/>
          <w:szCs w:val="20"/>
        </w:rPr>
        <w:t xml:space="preserve">will be a range of duty holders who will have lower compliance costs relative to the </w:t>
      </w:r>
      <w:r w:rsidR="000514DD">
        <w:rPr>
          <w:rFonts w:cs="Segoe UI Light"/>
          <w:szCs w:val="20"/>
        </w:rPr>
        <w:t>Base Case</w:t>
      </w:r>
      <w:r w:rsidRPr="00D4650A">
        <w:rPr>
          <w:rFonts w:cs="Segoe UI Light"/>
          <w:szCs w:val="20"/>
        </w:rPr>
        <w:t xml:space="preserve">, however this is likely to be offset by increased compliance costs to other duty holders. There is significant uncertainty with respect to the impact on duty holders, and this will depend on the nature of activities, the existing attenuation processes in place, and proximity of businesses to noise sensitive areas. However, </w:t>
      </w:r>
      <w:r w:rsidRPr="00D4650A">
        <w:rPr>
          <w:rFonts w:cs="Segoe UI Light"/>
          <w:b/>
          <w:szCs w:val="20"/>
        </w:rPr>
        <w:t>Option 1</w:t>
      </w:r>
      <w:r w:rsidRPr="00D4650A">
        <w:rPr>
          <w:rFonts w:cs="Segoe UI Light"/>
          <w:szCs w:val="20"/>
        </w:rPr>
        <w:t xml:space="preserve"> is expected to reduce administrative and monitoring </w:t>
      </w:r>
      <w:r w:rsidRPr="005B6B34">
        <w:rPr>
          <w:rFonts w:cs="Segoe UI Light"/>
          <w:szCs w:val="20"/>
        </w:rPr>
        <w:t xml:space="preserve">costs to government </w:t>
      </w:r>
      <w:r w:rsidRPr="00D4650A">
        <w:rPr>
          <w:rFonts w:cs="Segoe UI Light"/>
          <w:szCs w:val="20"/>
        </w:rPr>
        <w:t xml:space="preserve">relative to the </w:t>
      </w:r>
      <w:r w:rsidR="000514DD">
        <w:rPr>
          <w:rFonts w:cs="Segoe UI Light"/>
          <w:szCs w:val="20"/>
        </w:rPr>
        <w:t>Base Case</w:t>
      </w:r>
      <w:r w:rsidRPr="00D4650A">
        <w:rPr>
          <w:rFonts w:cs="Segoe UI Light"/>
          <w:szCs w:val="20"/>
        </w:rPr>
        <w:t xml:space="preserve">. </w:t>
      </w:r>
      <w:r w:rsidRPr="005B6B34">
        <w:rPr>
          <w:rFonts w:cs="Segoe UI Light"/>
          <w:szCs w:val="20"/>
        </w:rPr>
        <w:t xml:space="preserve">A score </w:t>
      </w:r>
      <w:r w:rsidRPr="00D4650A">
        <w:rPr>
          <w:rFonts w:cs="Segoe UI Light"/>
          <w:szCs w:val="20"/>
        </w:rPr>
        <w:t>of +</w:t>
      </w:r>
      <w:r w:rsidRPr="005B6B34">
        <w:rPr>
          <w:rFonts w:cs="Segoe UI Light"/>
          <w:szCs w:val="20"/>
        </w:rPr>
        <w:t>3 is given compared to the Base Case.</w:t>
      </w:r>
    </w:p>
    <w:p w14:paraId="656B0E5F" w14:textId="77777777" w:rsidR="005B6B34" w:rsidRPr="005B6B34" w:rsidRDefault="005B6B34" w:rsidP="005B6B34">
      <w:pPr>
        <w:rPr>
          <w:rFonts w:cs="Segoe UI Light"/>
          <w:szCs w:val="20"/>
        </w:rPr>
      </w:pPr>
      <w:r w:rsidRPr="005B6B34">
        <w:rPr>
          <w:rFonts w:cs="Segoe UI Light"/>
          <w:b/>
          <w:szCs w:val="20"/>
        </w:rPr>
        <w:t>Option 2</w:t>
      </w:r>
      <w:r w:rsidRPr="005B6B34">
        <w:rPr>
          <w:rFonts w:cs="Segoe UI Light"/>
          <w:szCs w:val="20"/>
        </w:rPr>
        <w:t xml:space="preserve"> </w:t>
      </w:r>
      <w:r w:rsidRPr="00D4650A">
        <w:rPr>
          <w:rFonts w:cs="Segoe UI Light"/>
          <w:szCs w:val="20"/>
        </w:rPr>
        <w:t>is</w:t>
      </w:r>
      <w:r w:rsidRPr="005B6B34">
        <w:rPr>
          <w:rFonts w:cs="Segoe UI Light"/>
          <w:b/>
          <w:szCs w:val="20"/>
        </w:rPr>
        <w:t xml:space="preserve"> </w:t>
      </w:r>
      <w:r w:rsidRPr="00D4650A">
        <w:rPr>
          <w:rFonts w:cs="Segoe UI Light"/>
          <w:szCs w:val="20"/>
        </w:rPr>
        <w:t xml:space="preserve">expected to reduce administrative and monitoring costs to government relative to the </w:t>
      </w:r>
      <w:r w:rsidR="000514DD">
        <w:rPr>
          <w:rFonts w:cs="Segoe UI Light"/>
          <w:szCs w:val="20"/>
        </w:rPr>
        <w:t>Base Case</w:t>
      </w:r>
      <w:r w:rsidRPr="00D4650A">
        <w:rPr>
          <w:rFonts w:cs="Segoe UI Light"/>
          <w:szCs w:val="20"/>
        </w:rPr>
        <w:t xml:space="preserve">, but </w:t>
      </w:r>
      <w:r w:rsidR="00544B9C">
        <w:rPr>
          <w:rFonts w:cs="Segoe UI Light"/>
          <w:szCs w:val="20"/>
        </w:rPr>
        <w:t>costs will</w:t>
      </w:r>
      <w:r w:rsidRPr="00D4650A">
        <w:rPr>
          <w:rFonts w:cs="Segoe UI Light"/>
          <w:szCs w:val="20"/>
        </w:rPr>
        <w:t xml:space="preserve"> be slightly higher than Option 1. </w:t>
      </w:r>
      <w:r w:rsidRPr="000B22C7">
        <w:rPr>
          <w:rFonts w:cs="Segoe UI Light"/>
          <w:b/>
          <w:szCs w:val="20"/>
        </w:rPr>
        <w:t xml:space="preserve">Option 2 </w:t>
      </w:r>
      <w:r w:rsidRPr="00D4650A">
        <w:rPr>
          <w:rFonts w:cs="Segoe UI Light"/>
          <w:szCs w:val="20"/>
        </w:rPr>
        <w:t xml:space="preserve">is also expected to result in slightly higher costs to duty holders relative to Option 1 and the </w:t>
      </w:r>
      <w:r w:rsidR="000514DD">
        <w:rPr>
          <w:rFonts w:cs="Segoe UI Light"/>
          <w:szCs w:val="20"/>
        </w:rPr>
        <w:t>Base Case</w:t>
      </w:r>
      <w:r w:rsidRPr="00D4650A">
        <w:rPr>
          <w:rFonts w:cs="Segoe UI Light"/>
          <w:szCs w:val="20"/>
        </w:rPr>
        <w:t xml:space="preserve">. </w:t>
      </w:r>
      <w:r w:rsidRPr="005B6B34">
        <w:rPr>
          <w:rFonts w:cs="Segoe UI Light"/>
          <w:szCs w:val="20"/>
        </w:rPr>
        <w:t xml:space="preserve">A score </w:t>
      </w:r>
      <w:r w:rsidRPr="00D4650A">
        <w:rPr>
          <w:rFonts w:cs="Segoe UI Light"/>
          <w:szCs w:val="20"/>
        </w:rPr>
        <w:t>of</w:t>
      </w:r>
      <w:r w:rsidRPr="005B6B34">
        <w:rPr>
          <w:rFonts w:cs="Segoe UI Light"/>
          <w:szCs w:val="20"/>
        </w:rPr>
        <w:t xml:space="preserve"> +1 is given compared to the Base Case.</w:t>
      </w:r>
    </w:p>
    <w:p w14:paraId="656B0E60" w14:textId="77777777" w:rsidR="005B6B34" w:rsidRPr="005B6B34" w:rsidRDefault="005B6B34" w:rsidP="00F25B16">
      <w:pPr>
        <w:pStyle w:val="Heading3"/>
        <w:ind w:left="720"/>
      </w:pPr>
      <w:r w:rsidRPr="005B6B34">
        <w:t>MCA summary</w:t>
      </w:r>
    </w:p>
    <w:p w14:paraId="656B0E61" w14:textId="77777777" w:rsidR="005B6B34" w:rsidRPr="005B6B34" w:rsidRDefault="005B6B34" w:rsidP="00D4650A">
      <w:pPr>
        <w:mirrorIndents/>
        <w:rPr>
          <w:rFonts w:cs="Segoe UI Light"/>
          <w:szCs w:val="20"/>
        </w:rPr>
      </w:pPr>
      <w:r w:rsidRPr="005B6B34">
        <w:rPr>
          <w:rFonts w:cs="Segoe UI Light"/>
          <w:szCs w:val="20"/>
        </w:rPr>
        <w:t xml:space="preserve">The preferred option to address the residual risk is </w:t>
      </w:r>
      <w:r w:rsidRPr="005B6B34">
        <w:rPr>
          <w:rFonts w:cs="Segoe UI Light"/>
          <w:b/>
          <w:szCs w:val="20"/>
        </w:rPr>
        <w:t>Option 2 (Option 1 plus selected improvements)</w:t>
      </w:r>
      <w:r w:rsidRPr="005B6B34">
        <w:rPr>
          <w:rFonts w:cs="Segoe UI Light"/>
          <w:szCs w:val="20"/>
        </w:rPr>
        <w:t xml:space="preserve">. This option is expected to best support EPA and other regulators to manage and enforce unreasonable and aggravated noise from </w:t>
      </w:r>
      <w:r w:rsidR="00C642B3">
        <w:rPr>
          <w:rFonts w:cs="Segoe UI Light"/>
          <w:szCs w:val="20"/>
        </w:rPr>
        <w:t>CIT</w:t>
      </w:r>
      <w:r w:rsidRPr="005B6B34">
        <w:rPr>
          <w:rFonts w:cs="Segoe UI Light"/>
          <w:szCs w:val="20"/>
        </w:rPr>
        <w:t xml:space="preserve"> premises, and achieve the greatest reduction in unreasonable and aggravated noises incidence relative to the </w:t>
      </w:r>
      <w:r w:rsidR="000514DD">
        <w:rPr>
          <w:rFonts w:cs="Segoe UI Light"/>
          <w:szCs w:val="20"/>
        </w:rPr>
        <w:t>Base Case</w:t>
      </w:r>
      <w:r w:rsidRPr="005B6B34">
        <w:rPr>
          <w:rFonts w:cs="Segoe UI Light"/>
          <w:szCs w:val="20"/>
        </w:rPr>
        <w:t xml:space="preserve">. </w:t>
      </w:r>
      <w:r w:rsidRPr="000B22C7">
        <w:rPr>
          <w:rFonts w:cs="Segoe UI Light"/>
          <w:b/>
          <w:szCs w:val="20"/>
        </w:rPr>
        <w:t>Option 2</w:t>
      </w:r>
      <w:r w:rsidRPr="00D4650A">
        <w:rPr>
          <w:rFonts w:cs="Segoe UI Light"/>
          <w:szCs w:val="20"/>
        </w:rPr>
        <w:t xml:space="preserve"> </w:t>
      </w:r>
      <w:r w:rsidRPr="005B6B34">
        <w:rPr>
          <w:rFonts w:cs="Segoe UI Light"/>
          <w:szCs w:val="20"/>
        </w:rPr>
        <w:t xml:space="preserve">is </w:t>
      </w:r>
      <w:r w:rsidR="00E065E5">
        <w:rPr>
          <w:rFonts w:cs="Segoe UI Light"/>
          <w:szCs w:val="20"/>
        </w:rPr>
        <w:t xml:space="preserve">preferred, as it is </w:t>
      </w:r>
      <w:r w:rsidRPr="005B6B34">
        <w:rPr>
          <w:rFonts w:cs="Segoe UI Light"/>
          <w:szCs w:val="20"/>
        </w:rPr>
        <w:t xml:space="preserve">expected to achieve </w:t>
      </w:r>
      <w:r w:rsidR="000B22C7">
        <w:rPr>
          <w:rFonts w:cs="Segoe UI Light"/>
          <w:szCs w:val="20"/>
        </w:rPr>
        <w:t xml:space="preserve">the greatest </w:t>
      </w:r>
      <w:r w:rsidRPr="005B6B34">
        <w:rPr>
          <w:rFonts w:cs="Segoe UI Light"/>
          <w:szCs w:val="20"/>
        </w:rPr>
        <w:t xml:space="preserve">reduced risks to human health. </w:t>
      </w:r>
    </w:p>
    <w:p w14:paraId="656B0E62" w14:textId="77777777" w:rsidR="005B6B34" w:rsidRPr="005B6B34" w:rsidRDefault="005B6B34" w:rsidP="00D4650A">
      <w:pPr>
        <w:pStyle w:val="Caption"/>
        <w:rPr>
          <w:rFonts w:cs="Segoe UI Light"/>
          <w:sz w:val="20"/>
          <w:szCs w:val="20"/>
        </w:rPr>
      </w:pPr>
      <w:r w:rsidRPr="005B6B34">
        <w:rPr>
          <w:rFonts w:cs="Segoe UI Light"/>
          <w:sz w:val="20"/>
          <w:szCs w:val="20"/>
        </w:rPr>
        <w:t xml:space="preserve">Table </w:t>
      </w:r>
      <w:r w:rsidRPr="005B6B34">
        <w:rPr>
          <w:rFonts w:cs="Segoe UI Light"/>
          <w:color w:val="2B579A"/>
          <w:sz w:val="20"/>
          <w:szCs w:val="20"/>
          <w:shd w:val="clear" w:color="auto" w:fill="E6E6E6"/>
        </w:rPr>
        <w:fldChar w:fldCharType="begin"/>
      </w:r>
      <w:r w:rsidRPr="005B6B34">
        <w:rPr>
          <w:rFonts w:cs="Segoe UI Light"/>
          <w:sz w:val="20"/>
          <w:szCs w:val="20"/>
        </w:rPr>
        <w:instrText xml:space="preserve"> STYLEREF 1 \s </w:instrText>
      </w:r>
      <w:r w:rsidRPr="005B6B34">
        <w:rPr>
          <w:rFonts w:cs="Segoe UI Light"/>
          <w:color w:val="2B579A"/>
          <w:sz w:val="20"/>
          <w:szCs w:val="20"/>
          <w:shd w:val="clear" w:color="auto" w:fill="E6E6E6"/>
        </w:rPr>
        <w:fldChar w:fldCharType="separate"/>
      </w:r>
      <w:r w:rsidR="00B11C1E">
        <w:rPr>
          <w:rFonts w:cs="Segoe UI Light"/>
          <w:noProof/>
          <w:sz w:val="20"/>
          <w:szCs w:val="20"/>
        </w:rPr>
        <w:t>14</w:t>
      </w:r>
      <w:r w:rsidRPr="005B6B34">
        <w:rPr>
          <w:rFonts w:cs="Segoe UI Light"/>
          <w:color w:val="2B579A"/>
          <w:sz w:val="20"/>
          <w:szCs w:val="20"/>
          <w:shd w:val="clear" w:color="auto" w:fill="E6E6E6"/>
        </w:rPr>
        <w:fldChar w:fldCharType="end"/>
      </w:r>
      <w:r w:rsidRPr="005B6B34">
        <w:rPr>
          <w:rFonts w:cs="Segoe UI Light"/>
          <w:sz w:val="20"/>
          <w:szCs w:val="20"/>
        </w:rPr>
        <w:noBreakHyphen/>
      </w:r>
      <w:r w:rsidR="00997CFA">
        <w:rPr>
          <w:rFonts w:cs="Segoe UI Light"/>
          <w:color w:val="2B579A"/>
          <w:sz w:val="20"/>
          <w:szCs w:val="20"/>
          <w:shd w:val="clear" w:color="auto" w:fill="E6E6E6"/>
        </w:rPr>
        <w:fldChar w:fldCharType="begin"/>
      </w:r>
      <w:r w:rsidR="00997CFA">
        <w:rPr>
          <w:rFonts w:cs="Segoe UI Light"/>
          <w:sz w:val="20"/>
          <w:szCs w:val="20"/>
        </w:rPr>
        <w:instrText xml:space="preserve"> SEQ Table \* ARABIC \s 1 </w:instrText>
      </w:r>
      <w:r w:rsidR="00997CFA">
        <w:rPr>
          <w:rFonts w:cs="Segoe UI Light"/>
          <w:color w:val="2B579A"/>
          <w:sz w:val="20"/>
          <w:szCs w:val="20"/>
          <w:shd w:val="clear" w:color="auto" w:fill="E6E6E6"/>
        </w:rPr>
        <w:fldChar w:fldCharType="separate"/>
      </w:r>
      <w:r w:rsidR="00B11C1E">
        <w:rPr>
          <w:rFonts w:cs="Segoe UI Light"/>
          <w:noProof/>
          <w:sz w:val="20"/>
          <w:szCs w:val="20"/>
        </w:rPr>
        <w:t>2</w:t>
      </w:r>
      <w:r w:rsidR="00997CFA">
        <w:rPr>
          <w:rFonts w:cs="Segoe UI Light"/>
          <w:color w:val="2B579A"/>
          <w:sz w:val="20"/>
          <w:szCs w:val="20"/>
          <w:shd w:val="clear" w:color="auto" w:fill="E6E6E6"/>
        </w:rPr>
        <w:fldChar w:fldCharType="end"/>
      </w:r>
      <w:r w:rsidRPr="005B6B34">
        <w:rPr>
          <w:rFonts w:cs="Segoe UI Light"/>
          <w:sz w:val="20"/>
          <w:szCs w:val="20"/>
        </w:rPr>
        <w:t xml:space="preserve"> Summary of MCA assessment for </w:t>
      </w:r>
      <w:r w:rsidR="00C642B3">
        <w:rPr>
          <w:rFonts w:cs="Segoe UI Light"/>
          <w:sz w:val="20"/>
          <w:szCs w:val="20"/>
        </w:rPr>
        <w:t>CIT</w:t>
      </w:r>
      <w:r w:rsidRPr="005B6B34">
        <w:rPr>
          <w:rFonts w:cs="Segoe UI Light"/>
          <w:sz w:val="20"/>
          <w:szCs w:val="20"/>
        </w:rPr>
        <w:t xml:space="preserve"> premises</w:t>
      </w:r>
    </w:p>
    <w:tbl>
      <w:tblPr>
        <w:tblStyle w:val="Deloittetable"/>
        <w:tblW w:w="0" w:type="auto"/>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
      <w:tblGrid>
        <w:gridCol w:w="4551"/>
        <w:gridCol w:w="2318"/>
        <w:gridCol w:w="2486"/>
      </w:tblGrid>
      <w:tr w:rsidR="005B6B34" w:rsidRPr="005B6B34" w14:paraId="656B0E66" w14:textId="77777777" w:rsidTr="002D3C05">
        <w:trPr>
          <w:cnfStyle w:val="100000000000" w:firstRow="1" w:lastRow="0" w:firstColumn="0" w:lastColumn="0" w:oddVBand="0" w:evenVBand="0" w:oddHBand="0" w:evenHBand="0" w:firstRowFirstColumn="0" w:firstRowLastColumn="0" w:lastRowFirstColumn="0" w:lastRowLastColumn="0"/>
          <w:trHeight w:val="285"/>
        </w:trPr>
        <w:tc>
          <w:tcPr>
            <w:tcW w:w="0" w:type="dxa"/>
            <w:tcBorders>
              <w:left w:val="nil"/>
              <w:right w:val="nil"/>
            </w:tcBorders>
            <w:noWrap/>
            <w:hideMark/>
          </w:tcPr>
          <w:p w14:paraId="656B0E63" w14:textId="77777777" w:rsidR="005B6B34" w:rsidRPr="005B6B34" w:rsidRDefault="00713BFC">
            <w:pPr>
              <w:rPr>
                <w:rFonts w:cs="Segoe UI Light"/>
                <w:sz w:val="18"/>
              </w:rPr>
            </w:pPr>
            <w:r w:rsidRPr="005B6B34">
              <w:rPr>
                <w:rFonts w:eastAsia="Times New Roman" w:cs="Segoe UI Light"/>
                <w:b/>
                <w:bCs/>
                <w:color w:val="000000"/>
                <w:sz w:val="18"/>
                <w:lang w:eastAsia="en-AU"/>
              </w:rPr>
              <w:t>Criteria</w:t>
            </w:r>
            <w:r w:rsidR="002D3C05">
              <w:rPr>
                <w:rFonts w:eastAsia="Times New Roman" w:cs="Segoe UI Light"/>
                <w:b/>
                <w:bCs/>
                <w:color w:val="000000"/>
                <w:sz w:val="18"/>
                <w:lang w:eastAsia="en-AU"/>
              </w:rPr>
              <w:t xml:space="preserve"> (and weight)</w:t>
            </w:r>
          </w:p>
        </w:tc>
        <w:tc>
          <w:tcPr>
            <w:tcW w:w="0" w:type="dxa"/>
            <w:tcBorders>
              <w:left w:val="nil"/>
              <w:right w:val="nil"/>
            </w:tcBorders>
            <w:noWrap/>
            <w:hideMark/>
          </w:tcPr>
          <w:p w14:paraId="656B0E64" w14:textId="77777777" w:rsidR="005B6B34" w:rsidRPr="005B6B34" w:rsidRDefault="005B6B34" w:rsidP="002D3C05">
            <w:pPr>
              <w:spacing w:after="0" w:line="240" w:lineRule="auto"/>
              <w:jc w:val="right"/>
              <w:rPr>
                <w:rFonts w:eastAsia="Times New Roman" w:cs="Segoe UI Light"/>
                <w:b/>
                <w:bCs/>
                <w:color w:val="000000"/>
                <w:sz w:val="18"/>
                <w:lang w:eastAsia="en-AU"/>
              </w:rPr>
            </w:pPr>
            <w:r w:rsidRPr="005B6B34">
              <w:rPr>
                <w:rFonts w:eastAsia="Times New Roman" w:cs="Segoe UI Light"/>
                <w:b/>
                <w:bCs/>
                <w:color w:val="000000"/>
                <w:sz w:val="18"/>
                <w:lang w:eastAsia="en-AU"/>
              </w:rPr>
              <w:t>Option 1</w:t>
            </w:r>
          </w:p>
        </w:tc>
        <w:tc>
          <w:tcPr>
            <w:tcW w:w="0" w:type="dxa"/>
            <w:tcBorders>
              <w:left w:val="nil"/>
              <w:right w:val="nil"/>
            </w:tcBorders>
            <w:noWrap/>
            <w:hideMark/>
          </w:tcPr>
          <w:p w14:paraId="656B0E65" w14:textId="77777777" w:rsidR="005B6B34" w:rsidRPr="005B6B34" w:rsidRDefault="005B6B34" w:rsidP="002D3C05">
            <w:pPr>
              <w:spacing w:after="0" w:line="240" w:lineRule="auto"/>
              <w:jc w:val="right"/>
              <w:rPr>
                <w:rFonts w:eastAsia="Times New Roman" w:cs="Segoe UI Light"/>
                <w:b/>
                <w:bCs/>
                <w:color w:val="000000"/>
                <w:sz w:val="18"/>
                <w:lang w:eastAsia="en-AU"/>
              </w:rPr>
            </w:pPr>
            <w:r w:rsidRPr="005B6B34">
              <w:rPr>
                <w:rFonts w:eastAsia="Times New Roman" w:cs="Segoe UI Light"/>
                <w:b/>
                <w:bCs/>
                <w:color w:val="000000"/>
                <w:sz w:val="18"/>
                <w:lang w:eastAsia="en-AU"/>
              </w:rPr>
              <w:t>Option 2</w:t>
            </w:r>
          </w:p>
        </w:tc>
      </w:tr>
      <w:tr w:rsidR="005B6B34" w:rsidRPr="005B6B34" w14:paraId="656B0E6A" w14:textId="77777777" w:rsidTr="002D3C05">
        <w:trPr>
          <w:trHeight w:val="465"/>
        </w:trPr>
        <w:tc>
          <w:tcPr>
            <w:tcW w:w="0" w:type="dxa"/>
            <w:tcBorders>
              <w:left w:val="nil"/>
              <w:bottom w:val="single" w:sz="4" w:space="0" w:color="000000" w:themeColor="text1"/>
              <w:right w:val="nil"/>
            </w:tcBorders>
            <w:noWrap/>
            <w:hideMark/>
          </w:tcPr>
          <w:p w14:paraId="656B0E67" w14:textId="77777777" w:rsidR="005B6B34" w:rsidRPr="005B6B34" w:rsidRDefault="005B6B34">
            <w:pPr>
              <w:spacing w:after="0" w:line="240" w:lineRule="auto"/>
              <w:rPr>
                <w:rFonts w:eastAsia="Times New Roman" w:cs="Segoe UI Light"/>
                <w:b/>
                <w:bCs/>
                <w:color w:val="000000"/>
                <w:sz w:val="18"/>
                <w:lang w:eastAsia="en-AU"/>
              </w:rPr>
            </w:pPr>
          </w:p>
        </w:tc>
        <w:tc>
          <w:tcPr>
            <w:tcW w:w="0" w:type="dxa"/>
            <w:tcBorders>
              <w:left w:val="nil"/>
              <w:bottom w:val="single" w:sz="4" w:space="0" w:color="000000" w:themeColor="text1"/>
              <w:right w:val="nil"/>
            </w:tcBorders>
            <w:hideMark/>
          </w:tcPr>
          <w:p w14:paraId="656B0E68" w14:textId="77777777" w:rsidR="005B6B34" w:rsidRPr="005B6B34" w:rsidRDefault="005B6B34" w:rsidP="002D3C05">
            <w:pPr>
              <w:spacing w:after="0" w:line="240" w:lineRule="auto"/>
              <w:jc w:val="right"/>
              <w:rPr>
                <w:rFonts w:eastAsia="Times New Roman" w:cs="Segoe UI Light"/>
                <w:color w:val="000000"/>
                <w:sz w:val="18"/>
                <w:lang w:eastAsia="en-AU"/>
              </w:rPr>
            </w:pPr>
            <w:r w:rsidRPr="005B6B34">
              <w:rPr>
                <w:rFonts w:eastAsia="Times New Roman" w:cs="Segoe UI Light"/>
                <w:color w:val="000000"/>
                <w:sz w:val="18"/>
                <w:lang w:eastAsia="en-AU"/>
              </w:rPr>
              <w:t>Framework and aggravated noise definition</w:t>
            </w:r>
          </w:p>
        </w:tc>
        <w:tc>
          <w:tcPr>
            <w:tcW w:w="0" w:type="dxa"/>
            <w:tcBorders>
              <w:left w:val="nil"/>
              <w:bottom w:val="single" w:sz="4" w:space="0" w:color="000000" w:themeColor="text1"/>
              <w:right w:val="nil"/>
            </w:tcBorders>
            <w:hideMark/>
          </w:tcPr>
          <w:p w14:paraId="656B0E69" w14:textId="77777777" w:rsidR="005B6B34" w:rsidRPr="005B6B34" w:rsidRDefault="005B6B34" w:rsidP="002D3C05">
            <w:pPr>
              <w:spacing w:after="0" w:line="240" w:lineRule="auto"/>
              <w:jc w:val="right"/>
              <w:rPr>
                <w:rFonts w:eastAsia="Times New Roman" w:cs="Segoe UI Light"/>
                <w:color w:val="000000"/>
                <w:sz w:val="18"/>
                <w:lang w:eastAsia="en-AU"/>
              </w:rPr>
            </w:pPr>
            <w:r w:rsidRPr="005B6B34">
              <w:rPr>
                <w:rFonts w:eastAsia="Times New Roman" w:cs="Segoe UI Light"/>
                <w:color w:val="000000"/>
                <w:sz w:val="18"/>
                <w:lang w:eastAsia="en-AU"/>
              </w:rPr>
              <w:t>Option 1 plus selected improvements</w:t>
            </w:r>
          </w:p>
        </w:tc>
      </w:tr>
      <w:tr w:rsidR="005B6B34" w:rsidRPr="005B6B34" w14:paraId="656B0E6E" w14:textId="77777777" w:rsidTr="005B6B34">
        <w:trPr>
          <w:trHeight w:val="285"/>
        </w:trPr>
        <w:tc>
          <w:tcPr>
            <w:tcW w:w="4551" w:type="dxa"/>
            <w:tcBorders>
              <w:top w:val="single" w:sz="4" w:space="0" w:color="000000" w:themeColor="text1"/>
              <w:left w:val="nil"/>
              <w:bottom w:val="single" w:sz="4" w:space="0" w:color="000000" w:themeColor="text1"/>
              <w:right w:val="nil"/>
            </w:tcBorders>
            <w:noWrap/>
            <w:hideMark/>
          </w:tcPr>
          <w:p w14:paraId="656B0E6B" w14:textId="77777777" w:rsidR="005B6B34" w:rsidRPr="005B6B34" w:rsidRDefault="005B6B34">
            <w:pPr>
              <w:spacing w:after="0" w:line="240" w:lineRule="auto"/>
              <w:rPr>
                <w:rFonts w:eastAsia="Times New Roman" w:cs="Segoe UI Light"/>
                <w:color w:val="000000"/>
                <w:sz w:val="18"/>
                <w:lang w:eastAsia="en-AU"/>
              </w:rPr>
            </w:pPr>
            <w:r w:rsidRPr="005B6B34">
              <w:rPr>
                <w:rFonts w:eastAsia="Times New Roman" w:cs="Segoe UI Light"/>
                <w:color w:val="000000"/>
                <w:sz w:val="18"/>
                <w:lang w:eastAsia="en-AU"/>
              </w:rPr>
              <w:t>Effectiveness</w:t>
            </w:r>
            <w:r w:rsidR="002D3C05">
              <w:rPr>
                <w:rFonts w:eastAsia="Times New Roman" w:cs="Segoe UI Light"/>
                <w:color w:val="000000"/>
                <w:sz w:val="18"/>
                <w:lang w:eastAsia="en-AU"/>
              </w:rPr>
              <w:t xml:space="preserve"> (50%)</w:t>
            </w:r>
          </w:p>
        </w:tc>
        <w:tc>
          <w:tcPr>
            <w:tcW w:w="2318" w:type="dxa"/>
            <w:tcBorders>
              <w:top w:val="single" w:sz="4" w:space="0" w:color="000000" w:themeColor="text1"/>
              <w:left w:val="nil"/>
              <w:bottom w:val="single" w:sz="4" w:space="0" w:color="000000" w:themeColor="text1"/>
              <w:right w:val="nil"/>
            </w:tcBorders>
            <w:noWrap/>
            <w:hideMark/>
          </w:tcPr>
          <w:p w14:paraId="656B0E6C" w14:textId="77777777" w:rsidR="005B6B34" w:rsidRPr="005B6B34" w:rsidRDefault="005B6B34" w:rsidP="002D3C05">
            <w:pPr>
              <w:spacing w:after="0" w:line="240" w:lineRule="auto"/>
              <w:jc w:val="right"/>
              <w:rPr>
                <w:rFonts w:eastAsia="Times New Roman" w:cs="Segoe UI Light"/>
                <w:color w:val="000000"/>
                <w:sz w:val="18"/>
                <w:lang w:eastAsia="en-AU"/>
              </w:rPr>
            </w:pPr>
            <w:r w:rsidRPr="005B6B34">
              <w:rPr>
                <w:rFonts w:eastAsia="Times New Roman" w:cs="Segoe UI Light"/>
                <w:color w:val="000000"/>
                <w:sz w:val="18"/>
                <w:lang w:eastAsia="en-AU"/>
              </w:rPr>
              <w:t>4</w:t>
            </w:r>
          </w:p>
        </w:tc>
        <w:tc>
          <w:tcPr>
            <w:tcW w:w="2486" w:type="dxa"/>
            <w:tcBorders>
              <w:top w:val="single" w:sz="4" w:space="0" w:color="000000" w:themeColor="text1"/>
              <w:left w:val="nil"/>
              <w:bottom w:val="single" w:sz="4" w:space="0" w:color="000000" w:themeColor="text1"/>
              <w:right w:val="nil"/>
            </w:tcBorders>
            <w:noWrap/>
            <w:hideMark/>
          </w:tcPr>
          <w:p w14:paraId="656B0E6D" w14:textId="77777777" w:rsidR="005B6B34" w:rsidRPr="005B6B34" w:rsidRDefault="005B6B34" w:rsidP="002D3C05">
            <w:pPr>
              <w:spacing w:after="0" w:line="240" w:lineRule="auto"/>
              <w:jc w:val="right"/>
              <w:rPr>
                <w:rFonts w:eastAsia="Times New Roman" w:cs="Segoe UI Light"/>
                <w:color w:val="000000"/>
                <w:sz w:val="18"/>
                <w:lang w:eastAsia="en-AU"/>
              </w:rPr>
            </w:pPr>
            <w:r w:rsidRPr="005B6B34">
              <w:rPr>
                <w:rFonts w:eastAsia="Times New Roman" w:cs="Segoe UI Light"/>
                <w:color w:val="000000"/>
                <w:sz w:val="18"/>
                <w:lang w:eastAsia="en-AU"/>
              </w:rPr>
              <w:t>7</w:t>
            </w:r>
          </w:p>
        </w:tc>
      </w:tr>
      <w:tr w:rsidR="005B6B34" w:rsidRPr="005B6B34" w14:paraId="656B0E72" w14:textId="77777777" w:rsidTr="005B6B34">
        <w:trPr>
          <w:trHeight w:val="285"/>
        </w:trPr>
        <w:tc>
          <w:tcPr>
            <w:tcW w:w="4551" w:type="dxa"/>
            <w:tcBorders>
              <w:top w:val="single" w:sz="4" w:space="0" w:color="000000" w:themeColor="text1"/>
              <w:left w:val="nil"/>
              <w:bottom w:val="single" w:sz="4" w:space="0" w:color="000000" w:themeColor="text1"/>
              <w:right w:val="nil"/>
            </w:tcBorders>
            <w:noWrap/>
            <w:hideMark/>
          </w:tcPr>
          <w:p w14:paraId="656B0E6F" w14:textId="77777777" w:rsidR="005B6B34" w:rsidRPr="005B6B34" w:rsidRDefault="005B6B34">
            <w:pPr>
              <w:spacing w:after="0" w:line="240" w:lineRule="auto"/>
              <w:rPr>
                <w:rFonts w:eastAsia="Times New Roman" w:cs="Segoe UI Light"/>
                <w:color w:val="000000"/>
                <w:sz w:val="18"/>
                <w:lang w:eastAsia="en-AU"/>
              </w:rPr>
            </w:pPr>
            <w:r w:rsidRPr="005B6B34">
              <w:rPr>
                <w:rFonts w:eastAsia="Times New Roman" w:cs="Segoe UI Light"/>
                <w:color w:val="000000"/>
                <w:sz w:val="18"/>
                <w:lang w:eastAsia="en-AU"/>
              </w:rPr>
              <w:t>Cost</w:t>
            </w:r>
            <w:r w:rsidR="002D3C05">
              <w:rPr>
                <w:rFonts w:eastAsia="Times New Roman" w:cs="Segoe UI Light"/>
                <w:color w:val="000000"/>
                <w:sz w:val="18"/>
                <w:lang w:eastAsia="en-AU"/>
              </w:rPr>
              <w:t xml:space="preserve"> (50%)</w:t>
            </w:r>
          </w:p>
        </w:tc>
        <w:tc>
          <w:tcPr>
            <w:tcW w:w="2318" w:type="dxa"/>
            <w:tcBorders>
              <w:top w:val="single" w:sz="4" w:space="0" w:color="000000" w:themeColor="text1"/>
              <w:left w:val="nil"/>
              <w:bottom w:val="single" w:sz="4" w:space="0" w:color="000000" w:themeColor="text1"/>
              <w:right w:val="nil"/>
            </w:tcBorders>
            <w:noWrap/>
            <w:hideMark/>
          </w:tcPr>
          <w:p w14:paraId="656B0E70" w14:textId="77777777" w:rsidR="005B6B34" w:rsidRPr="005B6B34" w:rsidRDefault="005B6B34" w:rsidP="002D3C05">
            <w:pPr>
              <w:spacing w:after="0" w:line="240" w:lineRule="auto"/>
              <w:jc w:val="right"/>
              <w:rPr>
                <w:rFonts w:eastAsia="Times New Roman" w:cs="Segoe UI Light"/>
                <w:color w:val="000000"/>
                <w:sz w:val="18"/>
                <w:lang w:eastAsia="en-AU"/>
              </w:rPr>
            </w:pPr>
            <w:r w:rsidRPr="005B6B34">
              <w:rPr>
                <w:rFonts w:eastAsia="Times New Roman" w:cs="Segoe UI Light"/>
                <w:color w:val="000000"/>
                <w:sz w:val="18"/>
                <w:lang w:eastAsia="en-AU"/>
              </w:rPr>
              <w:t>3</w:t>
            </w:r>
          </w:p>
        </w:tc>
        <w:tc>
          <w:tcPr>
            <w:tcW w:w="2486" w:type="dxa"/>
            <w:tcBorders>
              <w:top w:val="single" w:sz="4" w:space="0" w:color="000000" w:themeColor="text1"/>
              <w:left w:val="nil"/>
              <w:bottom w:val="single" w:sz="4" w:space="0" w:color="000000" w:themeColor="text1"/>
              <w:right w:val="nil"/>
            </w:tcBorders>
            <w:noWrap/>
            <w:hideMark/>
          </w:tcPr>
          <w:p w14:paraId="656B0E71" w14:textId="77777777" w:rsidR="005B6B34" w:rsidRPr="005B6B34" w:rsidRDefault="005B6B34" w:rsidP="002D3C05">
            <w:pPr>
              <w:spacing w:after="0" w:line="240" w:lineRule="auto"/>
              <w:jc w:val="right"/>
              <w:rPr>
                <w:rFonts w:eastAsia="Times New Roman" w:cs="Segoe UI Light"/>
                <w:color w:val="000000"/>
                <w:sz w:val="18"/>
                <w:lang w:eastAsia="en-AU"/>
              </w:rPr>
            </w:pPr>
            <w:r w:rsidRPr="005B6B34">
              <w:rPr>
                <w:rFonts w:eastAsia="Times New Roman" w:cs="Segoe UI Light"/>
                <w:color w:val="000000"/>
                <w:sz w:val="18"/>
                <w:lang w:eastAsia="en-AU"/>
              </w:rPr>
              <w:t>1</w:t>
            </w:r>
          </w:p>
        </w:tc>
      </w:tr>
      <w:tr w:rsidR="005B6B34" w:rsidRPr="005B6B34" w14:paraId="656B0E76" w14:textId="77777777" w:rsidTr="005B6B34">
        <w:trPr>
          <w:trHeight w:val="285"/>
        </w:trPr>
        <w:tc>
          <w:tcPr>
            <w:tcW w:w="4551" w:type="dxa"/>
            <w:tcBorders>
              <w:top w:val="single" w:sz="4" w:space="0" w:color="000000" w:themeColor="text1"/>
              <w:left w:val="nil"/>
              <w:bottom w:val="single" w:sz="4" w:space="0" w:color="000000" w:themeColor="text1"/>
              <w:right w:val="nil"/>
            </w:tcBorders>
            <w:noWrap/>
            <w:hideMark/>
          </w:tcPr>
          <w:p w14:paraId="656B0E73" w14:textId="77777777" w:rsidR="005B6B34" w:rsidRPr="005B6B34" w:rsidRDefault="005B6B34">
            <w:pPr>
              <w:spacing w:after="0" w:line="240" w:lineRule="auto"/>
              <w:rPr>
                <w:rFonts w:eastAsia="Times New Roman" w:cs="Segoe UI Light"/>
                <w:b/>
                <w:bCs/>
                <w:color w:val="000000"/>
                <w:sz w:val="18"/>
                <w:lang w:eastAsia="en-AU"/>
              </w:rPr>
            </w:pPr>
            <w:r w:rsidRPr="005B6B34">
              <w:rPr>
                <w:rFonts w:eastAsia="Times New Roman" w:cs="Segoe UI Light"/>
                <w:b/>
                <w:bCs/>
                <w:color w:val="000000"/>
                <w:sz w:val="18"/>
                <w:lang w:eastAsia="en-AU"/>
              </w:rPr>
              <w:t xml:space="preserve">Total </w:t>
            </w:r>
            <w:r w:rsidR="002D3C05">
              <w:rPr>
                <w:rFonts w:eastAsia="Times New Roman" w:cs="Segoe UI Light"/>
                <w:b/>
                <w:bCs/>
                <w:color w:val="000000"/>
                <w:sz w:val="18"/>
                <w:lang w:eastAsia="en-AU"/>
              </w:rPr>
              <w:t xml:space="preserve">weighted </w:t>
            </w:r>
            <w:r w:rsidRPr="005B6B34">
              <w:rPr>
                <w:rFonts w:eastAsia="Times New Roman" w:cs="Segoe UI Light"/>
                <w:b/>
                <w:bCs/>
                <w:color w:val="000000"/>
                <w:sz w:val="18"/>
                <w:lang w:eastAsia="en-AU"/>
              </w:rPr>
              <w:t>score</w:t>
            </w:r>
          </w:p>
        </w:tc>
        <w:tc>
          <w:tcPr>
            <w:tcW w:w="2318" w:type="dxa"/>
            <w:tcBorders>
              <w:top w:val="single" w:sz="4" w:space="0" w:color="000000" w:themeColor="text1"/>
              <w:left w:val="nil"/>
              <w:bottom w:val="single" w:sz="4" w:space="0" w:color="000000" w:themeColor="text1"/>
              <w:right w:val="nil"/>
            </w:tcBorders>
            <w:noWrap/>
            <w:hideMark/>
          </w:tcPr>
          <w:p w14:paraId="656B0E74" w14:textId="77777777" w:rsidR="005B6B34" w:rsidRPr="005B6B34" w:rsidRDefault="00F25B16" w:rsidP="002D3C05">
            <w:pPr>
              <w:spacing w:after="0" w:line="240" w:lineRule="auto"/>
              <w:jc w:val="right"/>
              <w:rPr>
                <w:rFonts w:eastAsia="Times New Roman" w:cs="Segoe UI Light"/>
                <w:b/>
                <w:bCs/>
                <w:color w:val="000000"/>
                <w:sz w:val="18"/>
                <w:lang w:eastAsia="en-AU"/>
              </w:rPr>
            </w:pPr>
            <w:r>
              <w:rPr>
                <w:rFonts w:eastAsia="Times New Roman" w:cs="Segoe UI Light"/>
                <w:b/>
                <w:bCs/>
                <w:color w:val="000000"/>
                <w:sz w:val="18"/>
                <w:lang w:eastAsia="en-AU"/>
              </w:rPr>
              <w:t>3.5</w:t>
            </w:r>
          </w:p>
        </w:tc>
        <w:tc>
          <w:tcPr>
            <w:tcW w:w="2486" w:type="dxa"/>
            <w:tcBorders>
              <w:top w:val="single" w:sz="4" w:space="0" w:color="000000" w:themeColor="text1"/>
              <w:left w:val="nil"/>
              <w:bottom w:val="single" w:sz="4" w:space="0" w:color="000000" w:themeColor="text1"/>
              <w:right w:val="nil"/>
            </w:tcBorders>
            <w:noWrap/>
            <w:hideMark/>
          </w:tcPr>
          <w:p w14:paraId="656B0E75" w14:textId="77777777" w:rsidR="005B6B34" w:rsidRPr="005B6B34" w:rsidRDefault="00F25B16" w:rsidP="002D3C05">
            <w:pPr>
              <w:spacing w:after="0" w:line="240" w:lineRule="auto"/>
              <w:jc w:val="right"/>
              <w:rPr>
                <w:rFonts w:eastAsia="Times New Roman" w:cs="Segoe UI Light"/>
                <w:b/>
                <w:bCs/>
                <w:color w:val="000000"/>
                <w:sz w:val="18"/>
                <w:lang w:eastAsia="en-AU"/>
              </w:rPr>
            </w:pPr>
            <w:r>
              <w:rPr>
                <w:rFonts w:eastAsia="Times New Roman" w:cs="Segoe UI Light"/>
                <w:b/>
                <w:bCs/>
                <w:color w:val="000000"/>
                <w:sz w:val="18"/>
                <w:lang w:eastAsia="en-AU"/>
              </w:rPr>
              <w:t>4</w:t>
            </w:r>
          </w:p>
        </w:tc>
      </w:tr>
    </w:tbl>
    <w:p w14:paraId="656B0E77" w14:textId="77777777" w:rsidR="005B6B34" w:rsidRPr="005B6B34" w:rsidRDefault="005B6B34" w:rsidP="005B6B34">
      <w:pPr>
        <w:rPr>
          <w:rFonts w:cs="Segoe UI Light"/>
          <w:szCs w:val="20"/>
        </w:rPr>
      </w:pPr>
    </w:p>
    <w:p w14:paraId="656B0E78" w14:textId="77777777" w:rsidR="005B6B34" w:rsidRPr="005B6B34" w:rsidRDefault="005B6B34" w:rsidP="00982D63">
      <w:pPr>
        <w:pStyle w:val="Heading2"/>
      </w:pPr>
      <w:r w:rsidRPr="005B6B34">
        <w:t>Noise from entertainment venues</w:t>
      </w:r>
    </w:p>
    <w:p w14:paraId="656B0E79" w14:textId="77777777" w:rsidR="005B6B34" w:rsidRPr="005B6B34" w:rsidRDefault="005B6B34" w:rsidP="00F25B16">
      <w:pPr>
        <w:pStyle w:val="Heading3"/>
        <w:ind w:left="720"/>
      </w:pPr>
      <w:r w:rsidRPr="005B6B34">
        <w:t>Options</w:t>
      </w:r>
    </w:p>
    <w:p w14:paraId="656B0E7A" w14:textId="77777777" w:rsidR="005B6B34" w:rsidRPr="005B6B34" w:rsidRDefault="005B6B34" w:rsidP="005B6B34">
      <w:pPr>
        <w:mirrorIndents/>
        <w:rPr>
          <w:rFonts w:cs="Segoe UI Light"/>
          <w:szCs w:val="20"/>
        </w:rPr>
      </w:pPr>
      <w:r w:rsidRPr="005B6B34">
        <w:rPr>
          <w:rFonts w:cs="Segoe UI Light"/>
          <w:szCs w:val="20"/>
        </w:rPr>
        <w:t>The options considered in addressing the residual risk associated with the emission of noise from entertainment venues under the unreasonable and aggravated noise provisions are:</w:t>
      </w:r>
    </w:p>
    <w:p w14:paraId="656B0E7B" w14:textId="77777777" w:rsidR="005B6B34" w:rsidRPr="005B6B34" w:rsidRDefault="005B6B34" w:rsidP="004A2442">
      <w:pPr>
        <w:pStyle w:val="Bullet1"/>
        <w:numPr>
          <w:ilvl w:val="0"/>
          <w:numId w:val="26"/>
        </w:numPr>
        <w:tabs>
          <w:tab w:val="left" w:pos="720"/>
        </w:tabs>
        <w:rPr>
          <w:rFonts w:cs="Segoe UI Light"/>
          <w:szCs w:val="20"/>
        </w:rPr>
      </w:pPr>
      <w:r w:rsidRPr="00D4650A">
        <w:rPr>
          <w:rFonts w:cs="Segoe UI Light"/>
          <w:b/>
          <w:szCs w:val="20"/>
        </w:rPr>
        <w:t xml:space="preserve">Base </w:t>
      </w:r>
      <w:r w:rsidRPr="005B6B34">
        <w:rPr>
          <w:rFonts w:cs="Segoe UI Light"/>
          <w:b/>
          <w:szCs w:val="20"/>
        </w:rPr>
        <w:t>C</w:t>
      </w:r>
      <w:r w:rsidRPr="00D4650A">
        <w:rPr>
          <w:rFonts w:cs="Segoe UI Light"/>
          <w:b/>
          <w:szCs w:val="20"/>
        </w:rPr>
        <w:t xml:space="preserve">ase </w:t>
      </w:r>
      <w:r w:rsidRPr="005B6B34">
        <w:rPr>
          <w:rFonts w:cs="Segoe UI Light"/>
          <w:b/>
          <w:szCs w:val="20"/>
        </w:rPr>
        <w:t>–</w:t>
      </w:r>
      <w:r w:rsidRPr="00D4650A">
        <w:rPr>
          <w:rFonts w:cs="Segoe UI Light"/>
          <w:b/>
          <w:szCs w:val="20"/>
        </w:rPr>
        <w:t xml:space="preserve"> do nothing:</w:t>
      </w:r>
      <w:r w:rsidRPr="005B6B34">
        <w:rPr>
          <w:rFonts w:cs="Segoe UI Light"/>
          <w:szCs w:val="20"/>
        </w:rPr>
        <w:t xml:space="preserve"> no regulations to compl</w:t>
      </w:r>
      <w:r w:rsidR="004E0F1F">
        <w:rPr>
          <w:rFonts w:cs="Segoe UI Light"/>
          <w:szCs w:val="20"/>
        </w:rPr>
        <w:t>e</w:t>
      </w:r>
      <w:r w:rsidRPr="005B6B34">
        <w:rPr>
          <w:rFonts w:cs="Segoe UI Light"/>
          <w:szCs w:val="20"/>
        </w:rPr>
        <w:t>ment the GED and unreasonable and aggravated noise provisions with respect to entertainment venues.</w:t>
      </w:r>
    </w:p>
    <w:p w14:paraId="656B0E7C" w14:textId="77777777" w:rsidR="005B6B34" w:rsidRPr="005B6B34" w:rsidRDefault="005B6B34" w:rsidP="004F0A99">
      <w:pPr>
        <w:pStyle w:val="Bullet1"/>
        <w:keepNext/>
        <w:numPr>
          <w:ilvl w:val="0"/>
          <w:numId w:val="26"/>
        </w:numPr>
        <w:tabs>
          <w:tab w:val="left" w:pos="720"/>
        </w:tabs>
        <w:ind w:left="714" w:hanging="357"/>
        <w:rPr>
          <w:rFonts w:cs="Segoe UI Light"/>
          <w:szCs w:val="20"/>
        </w:rPr>
      </w:pPr>
      <w:r w:rsidRPr="00D4650A">
        <w:rPr>
          <w:rFonts w:cs="Segoe UI Light"/>
          <w:b/>
          <w:szCs w:val="20"/>
        </w:rPr>
        <w:t>Option 1 – prescrib</w:t>
      </w:r>
      <w:r w:rsidRPr="005B6B34">
        <w:rPr>
          <w:rFonts w:cs="Segoe UI Light"/>
          <w:b/>
          <w:szCs w:val="20"/>
        </w:rPr>
        <w:t>e</w:t>
      </w:r>
      <w:r w:rsidRPr="00D4650A">
        <w:rPr>
          <w:rFonts w:cs="Segoe UI Light"/>
          <w:b/>
          <w:szCs w:val="20"/>
        </w:rPr>
        <w:t xml:space="preserve"> a </w:t>
      </w:r>
      <w:r w:rsidRPr="005B6B34">
        <w:rPr>
          <w:rFonts w:cs="Segoe UI Light"/>
          <w:b/>
          <w:szCs w:val="20"/>
        </w:rPr>
        <w:t xml:space="preserve">framework for establishing noise limits for entertainment premises and define aggravated noise: </w:t>
      </w:r>
      <w:r w:rsidRPr="005B6B34">
        <w:rPr>
          <w:rFonts w:cs="Segoe UI Light"/>
          <w:szCs w:val="20"/>
        </w:rPr>
        <w:t>Option 1 involves prescribing a framework that establishes noise limits for entertainment venues based on the existing SEPP N2 framework. Option 1 also involves defining aggravated noise from entertainment venues and implementing a range of selected improvements to the existing SEPP N2 framework, including:</w:t>
      </w:r>
    </w:p>
    <w:p w14:paraId="656B0E7D" w14:textId="77777777" w:rsidR="005B6B34" w:rsidRPr="005B6B34" w:rsidRDefault="00C97BDA" w:rsidP="004A2442">
      <w:pPr>
        <w:pStyle w:val="Bullet1"/>
        <w:numPr>
          <w:ilvl w:val="1"/>
          <w:numId w:val="26"/>
        </w:numPr>
        <w:tabs>
          <w:tab w:val="left" w:pos="720"/>
        </w:tabs>
        <w:rPr>
          <w:rFonts w:cs="Segoe UI Light"/>
          <w:szCs w:val="20"/>
        </w:rPr>
      </w:pPr>
      <w:r>
        <w:rPr>
          <w:rFonts w:cs="Segoe UI Light"/>
          <w:szCs w:val="20"/>
        </w:rPr>
        <w:t>S</w:t>
      </w:r>
      <w:r w:rsidR="005B6B34" w:rsidRPr="005B6B34">
        <w:rPr>
          <w:rFonts w:cs="Segoe UI Light"/>
          <w:szCs w:val="20"/>
        </w:rPr>
        <w:t xml:space="preserve">treamlining day and night operating periods </w:t>
      </w:r>
    </w:p>
    <w:p w14:paraId="656B0E7E" w14:textId="77777777" w:rsidR="005B6B34" w:rsidRPr="005B6B34" w:rsidRDefault="00C97BDA" w:rsidP="004A2442">
      <w:pPr>
        <w:pStyle w:val="Bullet1"/>
        <w:numPr>
          <w:ilvl w:val="1"/>
          <w:numId w:val="26"/>
        </w:numPr>
        <w:tabs>
          <w:tab w:val="left" w:pos="720"/>
        </w:tabs>
        <w:rPr>
          <w:rFonts w:cs="Segoe UI Light"/>
          <w:szCs w:val="20"/>
        </w:rPr>
      </w:pPr>
      <w:r>
        <w:rPr>
          <w:rFonts w:cs="Segoe UI Light"/>
          <w:szCs w:val="20"/>
        </w:rPr>
        <w:t>E</w:t>
      </w:r>
      <w:r w:rsidR="005B6B34" w:rsidRPr="005B6B34">
        <w:rPr>
          <w:rFonts w:cs="Segoe UI Light"/>
          <w:szCs w:val="20"/>
        </w:rPr>
        <w:t>xpanding prescribed noise sensitive areas as outlined in SEPP N2 to include childcare centres, kindergartens, and primary and secondary schools and tourist</w:t>
      </w:r>
      <w:r w:rsidR="00A215FF">
        <w:rPr>
          <w:rFonts w:cs="Segoe UI Light"/>
          <w:szCs w:val="20"/>
        </w:rPr>
        <w:t xml:space="preserve"> establishments, caravan parks and camping grounds in rural areas</w:t>
      </w:r>
      <w:r w:rsidR="005B6B34" w:rsidRPr="005B6B34">
        <w:rPr>
          <w:rFonts w:cs="Segoe UI Light"/>
          <w:szCs w:val="20"/>
        </w:rPr>
        <w:t xml:space="preserve">. </w:t>
      </w:r>
    </w:p>
    <w:p w14:paraId="656B0E7F" w14:textId="77777777" w:rsidR="005B6B34" w:rsidRPr="005B6B34" w:rsidRDefault="00BD7478" w:rsidP="005B6B34">
      <w:pPr>
        <w:rPr>
          <w:rFonts w:cs="Segoe UI Light"/>
          <w:szCs w:val="20"/>
        </w:rPr>
      </w:pPr>
      <w:r>
        <w:rPr>
          <w:rFonts w:cs="Segoe UI Light"/>
          <w:szCs w:val="20"/>
        </w:rPr>
        <w:t>O</w:t>
      </w:r>
      <w:r w:rsidR="005B6B34" w:rsidRPr="00D4650A">
        <w:rPr>
          <w:rFonts w:cs="Segoe UI Light"/>
          <w:szCs w:val="20"/>
        </w:rPr>
        <w:t>nly one option has been considered with respect to entertainment venues</w:t>
      </w:r>
      <w:r>
        <w:rPr>
          <w:rFonts w:cs="Segoe UI Light"/>
          <w:szCs w:val="20"/>
        </w:rPr>
        <w:t xml:space="preserve"> because</w:t>
      </w:r>
      <w:r w:rsidR="005B6B34" w:rsidRPr="00D4650A">
        <w:rPr>
          <w:rFonts w:cs="Segoe UI Light"/>
          <w:szCs w:val="20"/>
        </w:rPr>
        <w:t>:</w:t>
      </w:r>
    </w:p>
    <w:p w14:paraId="656B0E80" w14:textId="77777777" w:rsidR="005F512B" w:rsidRDefault="00C3076F" w:rsidP="004A2442">
      <w:pPr>
        <w:pStyle w:val="Bullet1"/>
        <w:numPr>
          <w:ilvl w:val="0"/>
          <w:numId w:val="26"/>
        </w:numPr>
        <w:rPr>
          <w:rFonts w:cs="Segoe UI Light"/>
          <w:szCs w:val="20"/>
        </w:rPr>
      </w:pPr>
      <w:r>
        <w:rPr>
          <w:rFonts w:cs="Segoe UI Light"/>
          <w:szCs w:val="20"/>
        </w:rPr>
        <w:t>S</w:t>
      </w:r>
      <w:r w:rsidR="005B6B34" w:rsidRPr="005B6B34">
        <w:rPr>
          <w:rFonts w:cs="Segoe UI Light"/>
          <w:szCs w:val="20"/>
        </w:rPr>
        <w:t xml:space="preserve">elected improvements to the existing SEPP N2 framework are likely to only have an incremental </w:t>
      </w:r>
      <w:r w:rsidR="005B6B34" w:rsidRPr="00D4650A">
        <w:rPr>
          <w:rFonts w:cs="Segoe UI Light"/>
          <w:szCs w:val="20"/>
        </w:rPr>
        <w:t xml:space="preserve">impact </w:t>
      </w:r>
      <w:r w:rsidR="005B6B34" w:rsidRPr="005B6B34">
        <w:rPr>
          <w:rFonts w:cs="Segoe UI Light"/>
          <w:szCs w:val="20"/>
        </w:rPr>
        <w:t>on human health relative to translating the existing SEPP N</w:t>
      </w:r>
      <w:r w:rsidR="005B6B34" w:rsidRPr="00D4650A">
        <w:rPr>
          <w:rFonts w:cs="Segoe UI Light"/>
          <w:szCs w:val="20"/>
        </w:rPr>
        <w:t>2 framework</w:t>
      </w:r>
      <w:r w:rsidR="005B6B34" w:rsidRPr="005B6B34">
        <w:rPr>
          <w:rFonts w:cs="Segoe UI Light"/>
          <w:szCs w:val="20"/>
        </w:rPr>
        <w:t xml:space="preserve"> into regulation</w:t>
      </w:r>
    </w:p>
    <w:p w14:paraId="656B0E81" w14:textId="77777777" w:rsidR="005B6B34" w:rsidRPr="005B6B34" w:rsidRDefault="00C3076F" w:rsidP="004A2442">
      <w:pPr>
        <w:pStyle w:val="Bullet1"/>
        <w:numPr>
          <w:ilvl w:val="0"/>
          <w:numId w:val="26"/>
        </w:numPr>
        <w:rPr>
          <w:rFonts w:cs="Segoe UI Light"/>
          <w:szCs w:val="20"/>
        </w:rPr>
      </w:pPr>
      <w:r>
        <w:rPr>
          <w:rFonts w:cs="Segoe UI Light"/>
          <w:szCs w:val="20"/>
        </w:rPr>
        <w:t>T</w:t>
      </w:r>
      <w:r w:rsidR="005B6B34" w:rsidRPr="005B6B34">
        <w:rPr>
          <w:rFonts w:cs="Segoe UI Light"/>
          <w:szCs w:val="20"/>
        </w:rPr>
        <w:t>he lack of data around the impacts on human health associated with noise from entertainment venues, combined with the nature of noise, makes it challenging to quantify or estimate the likely incremental difference between (a) an option that seeks to only translate the SEPP N2 framework and (b) an option that translates the SEPP N2 framework with selected improvements.</w:t>
      </w:r>
    </w:p>
    <w:p w14:paraId="656B0E82" w14:textId="77777777" w:rsidR="005B6B34" w:rsidRPr="005B6B34" w:rsidRDefault="00C6094E" w:rsidP="005B6B34">
      <w:pPr>
        <w:rPr>
          <w:rFonts w:cs="Segoe UI Light"/>
          <w:szCs w:val="20"/>
        </w:rPr>
      </w:pPr>
      <w:r>
        <w:rPr>
          <w:rFonts w:cstheme="minorHAnsi"/>
          <w:szCs w:val="20"/>
        </w:rPr>
        <w:t>As with noise from CIT premises, the options for improvement of the current SEPP N-2 framework are considered proportionate and are primarily designed to increase transparency to support improved outcomes in relation to the impact of noise on human health and the environment.</w:t>
      </w:r>
      <w:r w:rsidRPr="00D4650A">
        <w:rPr>
          <w:rFonts w:cs="Segoe UI Light"/>
          <w:szCs w:val="20"/>
        </w:rPr>
        <w:t xml:space="preserve"> </w:t>
      </w:r>
      <w:r>
        <w:rPr>
          <w:rFonts w:cs="Segoe UI Light"/>
          <w:szCs w:val="20"/>
        </w:rPr>
        <w:t>G</w:t>
      </w:r>
      <w:r w:rsidR="005B6B34" w:rsidRPr="005B6B34">
        <w:rPr>
          <w:rFonts w:cs="Segoe UI Light"/>
          <w:szCs w:val="20"/>
        </w:rPr>
        <w:t xml:space="preserve">uidance material </w:t>
      </w:r>
      <w:r>
        <w:rPr>
          <w:rFonts w:cs="Segoe UI Light"/>
          <w:szCs w:val="20"/>
        </w:rPr>
        <w:t xml:space="preserve">alone </w:t>
      </w:r>
      <w:r w:rsidR="005B6B34" w:rsidRPr="005B6B34">
        <w:rPr>
          <w:rFonts w:cs="Segoe UI Light"/>
          <w:szCs w:val="20"/>
        </w:rPr>
        <w:t xml:space="preserve">is </w:t>
      </w:r>
      <w:r w:rsidR="005F512B">
        <w:rPr>
          <w:rFonts w:cs="Segoe UI Light"/>
          <w:szCs w:val="20"/>
        </w:rPr>
        <w:t xml:space="preserve">not </w:t>
      </w:r>
      <w:r w:rsidR="005B6B34" w:rsidRPr="005B6B34">
        <w:rPr>
          <w:rFonts w:cs="Segoe UI Light"/>
          <w:szCs w:val="20"/>
        </w:rPr>
        <w:t xml:space="preserve">considered to be </w:t>
      </w:r>
      <w:r w:rsidR="005F512B">
        <w:rPr>
          <w:rFonts w:cs="Segoe UI Light"/>
          <w:szCs w:val="20"/>
        </w:rPr>
        <w:t xml:space="preserve">an </w:t>
      </w:r>
      <w:r w:rsidR="005B6B34" w:rsidRPr="005B6B34">
        <w:rPr>
          <w:rFonts w:cs="Segoe UI Light"/>
          <w:szCs w:val="20"/>
        </w:rPr>
        <w:t xml:space="preserve">appropriate option for addressing residual risks associated with noise provisions under the new EP legislation. A prescribed noise limit framework is required to give effect to the unreasonable and aggravated noise provisions with respect to </w:t>
      </w:r>
      <w:r w:rsidR="005B6B34" w:rsidRPr="00D4650A">
        <w:rPr>
          <w:rFonts w:cs="Segoe UI Light"/>
          <w:szCs w:val="20"/>
        </w:rPr>
        <w:t xml:space="preserve">entertainment venues, </w:t>
      </w:r>
      <w:r w:rsidR="005B6B34" w:rsidRPr="005B6B34">
        <w:rPr>
          <w:rFonts w:cs="Segoe UI Light"/>
          <w:szCs w:val="20"/>
        </w:rPr>
        <w:t>and non-statutory guidance will be insufficient to give full effect to the civil penalty provisions under the new EP</w:t>
      </w:r>
      <w:r w:rsidR="004F0A99">
        <w:rPr>
          <w:rFonts w:cs="Segoe UI Light"/>
          <w:szCs w:val="20"/>
        </w:rPr>
        <w:t> </w:t>
      </w:r>
      <w:r w:rsidR="005B6B34" w:rsidRPr="005B6B34">
        <w:rPr>
          <w:rFonts w:cs="Segoe UI Light"/>
          <w:szCs w:val="20"/>
        </w:rPr>
        <w:t xml:space="preserve">legislation. </w:t>
      </w:r>
    </w:p>
    <w:p w14:paraId="656B0E83" w14:textId="77777777" w:rsidR="005B6B34" w:rsidRPr="005B6B34" w:rsidRDefault="00D4650A" w:rsidP="00F25B16">
      <w:pPr>
        <w:pStyle w:val="Heading3"/>
        <w:ind w:left="720"/>
      </w:pPr>
      <w:r>
        <w:t>MCA</w:t>
      </w:r>
    </w:p>
    <w:p w14:paraId="656B0E84" w14:textId="77777777" w:rsidR="005B6B34" w:rsidRPr="005B6B34" w:rsidRDefault="005B6B34" w:rsidP="000E7C5E">
      <w:pPr>
        <w:pStyle w:val="Heading4un-numbered"/>
        <w:rPr>
          <w:rFonts w:cs="Segoe UI Light"/>
          <w:szCs w:val="20"/>
        </w:rPr>
      </w:pPr>
      <w:r w:rsidRPr="005B6B34">
        <w:rPr>
          <w:rFonts w:cs="Segoe UI Light"/>
          <w:szCs w:val="20"/>
        </w:rPr>
        <w:t>Effectiveness</w:t>
      </w:r>
    </w:p>
    <w:p w14:paraId="656B0E85" w14:textId="77777777" w:rsidR="005B6B34" w:rsidRPr="005B6B34" w:rsidRDefault="005B6B34" w:rsidP="005B6B34">
      <w:pPr>
        <w:rPr>
          <w:rFonts w:cs="Segoe UI Light"/>
          <w:szCs w:val="20"/>
        </w:rPr>
      </w:pPr>
      <w:r w:rsidRPr="005B6B34">
        <w:rPr>
          <w:rFonts w:cs="Segoe UI Light"/>
          <w:b/>
          <w:szCs w:val="20"/>
        </w:rPr>
        <w:t xml:space="preserve">Option 1 </w:t>
      </w:r>
      <w:r w:rsidRPr="005B6B34">
        <w:rPr>
          <w:rFonts w:cs="Segoe UI Light"/>
          <w:szCs w:val="20"/>
        </w:rPr>
        <w:t xml:space="preserve">will establish a clear and defensible </w:t>
      </w:r>
      <w:r w:rsidRPr="00D4650A">
        <w:rPr>
          <w:rFonts w:cs="Segoe UI Light"/>
          <w:szCs w:val="20"/>
        </w:rPr>
        <w:t xml:space="preserve">noise </w:t>
      </w:r>
      <w:r w:rsidRPr="005B6B34">
        <w:rPr>
          <w:rFonts w:cs="Segoe UI Light"/>
          <w:szCs w:val="20"/>
        </w:rPr>
        <w:t xml:space="preserve">framework for </w:t>
      </w:r>
      <w:r w:rsidRPr="00D4650A">
        <w:rPr>
          <w:rFonts w:cs="Segoe UI Light"/>
          <w:szCs w:val="20"/>
        </w:rPr>
        <w:t>entertainment venues</w:t>
      </w:r>
      <w:r w:rsidRPr="005B6B34">
        <w:rPr>
          <w:rFonts w:cs="Segoe UI Light"/>
          <w:szCs w:val="20"/>
        </w:rPr>
        <w:t xml:space="preserve"> that: </w:t>
      </w:r>
    </w:p>
    <w:p w14:paraId="656B0E86" w14:textId="77777777" w:rsidR="005B6B34" w:rsidRPr="005B6B34" w:rsidRDefault="00C3076F" w:rsidP="004A2442">
      <w:pPr>
        <w:pStyle w:val="Bullet1"/>
        <w:numPr>
          <w:ilvl w:val="0"/>
          <w:numId w:val="26"/>
        </w:numPr>
        <w:rPr>
          <w:rFonts w:cs="Segoe UI Light"/>
          <w:szCs w:val="20"/>
        </w:rPr>
      </w:pPr>
      <w:r>
        <w:rPr>
          <w:rFonts w:cs="Segoe UI Light"/>
          <w:szCs w:val="20"/>
        </w:rPr>
        <w:t>P</w:t>
      </w:r>
      <w:r w:rsidR="005B6B34" w:rsidRPr="005B6B34">
        <w:rPr>
          <w:rFonts w:cs="Segoe UI Light"/>
          <w:szCs w:val="20"/>
        </w:rPr>
        <w:t xml:space="preserve">rescribes a clear methodology for measuring and establishing noise limits for </w:t>
      </w:r>
      <w:r w:rsidR="005B6B34" w:rsidRPr="00D4650A">
        <w:rPr>
          <w:rFonts w:cs="Segoe UI Light"/>
          <w:szCs w:val="20"/>
        </w:rPr>
        <w:t>entertainment venues</w:t>
      </w:r>
      <w:r w:rsidR="005B6B34" w:rsidRPr="005B6B34">
        <w:rPr>
          <w:rFonts w:cs="Segoe UI Light"/>
          <w:szCs w:val="20"/>
        </w:rPr>
        <w:t xml:space="preserve"> </w:t>
      </w:r>
    </w:p>
    <w:p w14:paraId="656B0E87" w14:textId="77777777" w:rsidR="005B6B34" w:rsidRPr="005B6B34" w:rsidRDefault="00C3076F" w:rsidP="004A2442">
      <w:pPr>
        <w:pStyle w:val="Bullet1"/>
        <w:numPr>
          <w:ilvl w:val="0"/>
          <w:numId w:val="26"/>
        </w:numPr>
        <w:rPr>
          <w:rFonts w:cs="Segoe UI Light"/>
          <w:szCs w:val="20"/>
        </w:rPr>
      </w:pPr>
      <w:r>
        <w:rPr>
          <w:rFonts w:cs="Segoe UI Light"/>
          <w:szCs w:val="20"/>
        </w:rPr>
        <w:t>D</w:t>
      </w:r>
      <w:r w:rsidR="005B6B34" w:rsidRPr="00D4650A">
        <w:rPr>
          <w:rFonts w:cs="Segoe UI Light"/>
          <w:szCs w:val="20"/>
        </w:rPr>
        <w:t>efines aggravated noise with respect to entertainment venues</w:t>
      </w:r>
    </w:p>
    <w:p w14:paraId="656B0E88" w14:textId="77777777" w:rsidR="005B6B34" w:rsidRPr="005B6B34" w:rsidRDefault="00C3076F" w:rsidP="004A2442">
      <w:pPr>
        <w:pStyle w:val="Bullet1"/>
        <w:numPr>
          <w:ilvl w:val="0"/>
          <w:numId w:val="26"/>
        </w:numPr>
        <w:rPr>
          <w:rFonts w:cs="Segoe UI Light"/>
          <w:szCs w:val="20"/>
        </w:rPr>
      </w:pPr>
      <w:r>
        <w:rPr>
          <w:rFonts w:cs="Segoe UI Light"/>
          <w:szCs w:val="20"/>
        </w:rPr>
        <w:t>P</w:t>
      </w:r>
      <w:r w:rsidR="005B6B34" w:rsidRPr="005B6B34">
        <w:rPr>
          <w:rFonts w:cs="Segoe UI Light"/>
          <w:szCs w:val="20"/>
        </w:rPr>
        <w:t xml:space="preserve">rescribes </w:t>
      </w:r>
      <w:r w:rsidR="005B6B34" w:rsidRPr="00D4650A">
        <w:rPr>
          <w:rFonts w:cs="Segoe UI Light"/>
          <w:szCs w:val="20"/>
        </w:rPr>
        <w:t>noise limits and</w:t>
      </w:r>
      <w:r w:rsidR="00A215FF">
        <w:rPr>
          <w:rFonts w:cs="Segoe UI Light"/>
          <w:szCs w:val="20"/>
        </w:rPr>
        <w:t xml:space="preserve"> relevant operating</w:t>
      </w:r>
      <w:r w:rsidR="005B6B34" w:rsidRPr="00D4650A">
        <w:rPr>
          <w:rFonts w:cs="Segoe UI Light"/>
          <w:szCs w:val="20"/>
        </w:rPr>
        <w:t xml:space="preserve"> </w:t>
      </w:r>
      <w:r w:rsidR="005B6B34" w:rsidRPr="005B6B34">
        <w:rPr>
          <w:rFonts w:cs="Segoe UI Light"/>
          <w:szCs w:val="20"/>
        </w:rPr>
        <w:t xml:space="preserve">times with respect </w:t>
      </w:r>
      <w:r w:rsidR="00A215FF">
        <w:rPr>
          <w:rFonts w:cs="Segoe UI Light"/>
          <w:szCs w:val="20"/>
        </w:rPr>
        <w:t xml:space="preserve">to </w:t>
      </w:r>
      <w:r w:rsidR="005B6B34" w:rsidRPr="00D4650A">
        <w:rPr>
          <w:rFonts w:cs="Segoe UI Light"/>
          <w:szCs w:val="20"/>
        </w:rPr>
        <w:t>indoor and outdoor entertainment venues.</w:t>
      </w:r>
      <w:r w:rsidR="005B6B34" w:rsidRPr="005B6B34">
        <w:rPr>
          <w:rFonts w:cs="Segoe UI Light"/>
          <w:szCs w:val="20"/>
        </w:rPr>
        <w:t xml:space="preserve"> </w:t>
      </w:r>
    </w:p>
    <w:p w14:paraId="656B0E89" w14:textId="77777777" w:rsidR="005B6B34" w:rsidRPr="005B6B34" w:rsidRDefault="005B6B34" w:rsidP="005B6B34">
      <w:pPr>
        <w:rPr>
          <w:rFonts w:cs="Segoe UI Light"/>
          <w:szCs w:val="20"/>
        </w:rPr>
      </w:pPr>
      <w:r w:rsidRPr="005B6B34">
        <w:rPr>
          <w:rFonts w:cs="Segoe UI Light"/>
          <w:szCs w:val="20"/>
        </w:rPr>
        <w:t xml:space="preserve">Relative to the </w:t>
      </w:r>
      <w:r w:rsidR="000514DD">
        <w:rPr>
          <w:rFonts w:cs="Segoe UI Light"/>
          <w:szCs w:val="20"/>
        </w:rPr>
        <w:t>Base Case</w:t>
      </w:r>
      <w:r w:rsidRPr="005B6B34">
        <w:rPr>
          <w:rFonts w:cs="Segoe UI Light"/>
          <w:szCs w:val="20"/>
        </w:rPr>
        <w:t xml:space="preserve">, </w:t>
      </w:r>
      <w:r w:rsidRPr="00D4650A">
        <w:rPr>
          <w:rFonts w:cs="Segoe UI Light"/>
          <w:b/>
          <w:szCs w:val="20"/>
        </w:rPr>
        <w:t>Option 1</w:t>
      </w:r>
      <w:r w:rsidRPr="005B6B34">
        <w:rPr>
          <w:rFonts w:cs="Segoe UI Light"/>
          <w:szCs w:val="20"/>
        </w:rPr>
        <w:t xml:space="preserve"> is considered to provide significantly greater clarity and certainty for </w:t>
      </w:r>
      <w:r w:rsidRPr="00D4650A">
        <w:rPr>
          <w:rFonts w:cs="Segoe UI Light"/>
          <w:szCs w:val="20"/>
        </w:rPr>
        <w:t>entertainment venues</w:t>
      </w:r>
      <w:r w:rsidRPr="005B6B34">
        <w:rPr>
          <w:rFonts w:cs="Segoe UI Light"/>
          <w:szCs w:val="20"/>
        </w:rPr>
        <w:t xml:space="preserve"> with respect to what constitutes ‘unreasonable’ and ‘aggravated’ noise</w:t>
      </w:r>
      <w:r w:rsidRPr="00D4650A">
        <w:rPr>
          <w:rFonts w:cs="Segoe UI Light"/>
          <w:szCs w:val="20"/>
        </w:rPr>
        <w:t xml:space="preserve"> and</w:t>
      </w:r>
      <w:r w:rsidRPr="005B6B34">
        <w:rPr>
          <w:rFonts w:cs="Segoe UI Light"/>
          <w:szCs w:val="20"/>
        </w:rPr>
        <w:t xml:space="preserve"> what their respective noise emission and management responsibilities are. </w:t>
      </w:r>
      <w:r w:rsidR="007C1783">
        <w:rPr>
          <w:rFonts w:cs="Segoe UI Light"/>
          <w:szCs w:val="20"/>
        </w:rPr>
        <w:t>This was supported during stakeholder consultations</w:t>
      </w:r>
      <w:r w:rsidR="00DC7A63">
        <w:rPr>
          <w:rFonts w:cs="Segoe UI Light"/>
          <w:szCs w:val="20"/>
        </w:rPr>
        <w:t xml:space="preserve">. </w:t>
      </w:r>
    </w:p>
    <w:p w14:paraId="656B0E8A" w14:textId="77777777" w:rsidR="005B6B34" w:rsidRPr="005B6B34" w:rsidRDefault="005B6B34" w:rsidP="005B6B34">
      <w:pPr>
        <w:rPr>
          <w:rFonts w:cs="Segoe UI Light"/>
          <w:szCs w:val="20"/>
        </w:rPr>
      </w:pPr>
      <w:r w:rsidRPr="005B6B34">
        <w:rPr>
          <w:rFonts w:cs="Segoe UI Light"/>
          <w:szCs w:val="20"/>
        </w:rPr>
        <w:t xml:space="preserve">In doing so, </w:t>
      </w:r>
      <w:r w:rsidRPr="00D4650A">
        <w:rPr>
          <w:rFonts w:cs="Segoe UI Light"/>
          <w:b/>
          <w:szCs w:val="20"/>
        </w:rPr>
        <w:t>Option 1</w:t>
      </w:r>
      <w:r w:rsidRPr="005B6B34">
        <w:rPr>
          <w:rFonts w:cs="Segoe UI Light"/>
          <w:szCs w:val="20"/>
        </w:rPr>
        <w:t xml:space="preserve"> gives effect to the unreasonable and aggravated noise provisions, and civil penalty provisions, in the new EP legislation and supports the prevention, compliance and enforcement of unreasonable and aggravated noise from </w:t>
      </w:r>
      <w:r w:rsidRPr="00D4650A">
        <w:rPr>
          <w:rFonts w:cs="Segoe UI Light"/>
          <w:szCs w:val="20"/>
        </w:rPr>
        <w:t xml:space="preserve">entertainment venues. </w:t>
      </w:r>
    </w:p>
    <w:p w14:paraId="656B0E8B" w14:textId="77777777" w:rsidR="005B6B34" w:rsidRPr="005B6B34" w:rsidRDefault="005B6B34" w:rsidP="005B6B34">
      <w:pPr>
        <w:rPr>
          <w:rFonts w:cs="Segoe UI Light"/>
          <w:szCs w:val="20"/>
        </w:rPr>
      </w:pPr>
      <w:r w:rsidRPr="005B6B34">
        <w:rPr>
          <w:rFonts w:cs="Segoe UI Light"/>
          <w:szCs w:val="20"/>
        </w:rPr>
        <w:t>In 2018, there were an estimated 22,500 liquor licences held in Victoria</w:t>
      </w:r>
      <w:r w:rsidRPr="005B6B34">
        <w:rPr>
          <w:rStyle w:val="FootnoteReference"/>
          <w:rFonts w:cs="Segoe UI Light"/>
          <w:szCs w:val="20"/>
        </w:rPr>
        <w:footnoteReference w:id="290"/>
      </w:r>
      <w:r w:rsidRPr="005B6B34">
        <w:rPr>
          <w:rFonts w:cs="Segoe UI Light"/>
          <w:szCs w:val="20"/>
        </w:rPr>
        <w:t xml:space="preserve"> and 553 live venues hosting around 73,000 live music performances in Greater Melbourne.</w:t>
      </w:r>
      <w:r w:rsidRPr="005F512B">
        <w:rPr>
          <w:rFonts w:cs="Segoe UI Light"/>
          <w:szCs w:val="20"/>
          <w:vertAlign w:val="superscript"/>
        </w:rPr>
        <w:footnoteReference w:id="291"/>
      </w:r>
      <w:r w:rsidRPr="005F512B">
        <w:rPr>
          <w:rFonts w:cs="Segoe UI Light"/>
          <w:szCs w:val="20"/>
          <w:vertAlign w:val="superscript"/>
        </w:rPr>
        <w:t xml:space="preserve"> </w:t>
      </w:r>
      <w:r w:rsidRPr="005B6B34">
        <w:rPr>
          <w:rFonts w:cs="Segoe UI Light"/>
          <w:szCs w:val="20"/>
        </w:rPr>
        <w:t xml:space="preserve">Relative to the </w:t>
      </w:r>
      <w:r w:rsidR="000514DD">
        <w:rPr>
          <w:rFonts w:cs="Segoe UI Light"/>
          <w:szCs w:val="20"/>
        </w:rPr>
        <w:t>Base Case</w:t>
      </w:r>
      <w:r w:rsidRPr="005B6B34">
        <w:rPr>
          <w:rFonts w:cs="Segoe UI Light"/>
          <w:szCs w:val="20"/>
        </w:rPr>
        <w:t xml:space="preserve">, </w:t>
      </w:r>
      <w:r w:rsidRPr="005F512B">
        <w:rPr>
          <w:rFonts w:cs="Segoe UI Light"/>
          <w:b/>
          <w:szCs w:val="20"/>
        </w:rPr>
        <w:t>Option 1</w:t>
      </w:r>
      <w:r w:rsidRPr="00D4650A">
        <w:rPr>
          <w:rFonts w:cs="Segoe UI Light"/>
          <w:szCs w:val="20"/>
        </w:rPr>
        <w:t xml:space="preserve"> is expected to reduce the emission and incidence of unreasonable and aggravated noise from entertainment venues, and in turn reduce detrimental human health impacts associated with noise annoyance and noise disturbance. However, it is not possible to quantify the likely impacts on human health, or estimate the number of venues likely to engage in behaviour change. </w:t>
      </w:r>
      <w:r w:rsidRPr="005B6B34">
        <w:rPr>
          <w:rFonts w:cs="Segoe UI Light"/>
          <w:szCs w:val="20"/>
        </w:rPr>
        <w:t xml:space="preserve">Overall, a score of +7 is given relative to the </w:t>
      </w:r>
      <w:r w:rsidR="000514DD">
        <w:rPr>
          <w:rFonts w:cs="Segoe UI Light"/>
          <w:szCs w:val="20"/>
        </w:rPr>
        <w:t>Base Case</w:t>
      </w:r>
      <w:r w:rsidRPr="005B6B34">
        <w:rPr>
          <w:rFonts w:cs="Segoe UI Light"/>
          <w:szCs w:val="20"/>
        </w:rPr>
        <w:t>.</w:t>
      </w:r>
    </w:p>
    <w:p w14:paraId="656B0E8C" w14:textId="77777777" w:rsidR="005B6B34" w:rsidRPr="005B6B34" w:rsidRDefault="005B6B34" w:rsidP="000E7C5E">
      <w:pPr>
        <w:pStyle w:val="Heading4un-numbered"/>
        <w:rPr>
          <w:rFonts w:cs="Segoe UI Light"/>
          <w:szCs w:val="20"/>
        </w:rPr>
      </w:pPr>
      <w:r w:rsidRPr="005B6B34">
        <w:t>Cost</w:t>
      </w:r>
    </w:p>
    <w:p w14:paraId="656B0E8D" w14:textId="77777777" w:rsidR="005B6B34" w:rsidRPr="000E7C5E" w:rsidRDefault="005B6B34" w:rsidP="00D4650A">
      <w:pPr>
        <w:keepNext/>
        <w:rPr>
          <w:rFonts w:cs="Segoe UI Light"/>
          <w:i/>
          <w:szCs w:val="20"/>
        </w:rPr>
      </w:pPr>
      <w:r w:rsidRPr="000E7C5E">
        <w:rPr>
          <w:rFonts w:cs="Segoe UI Light"/>
          <w:i/>
          <w:szCs w:val="20"/>
        </w:rPr>
        <w:t>Cost to duty holders</w:t>
      </w:r>
    </w:p>
    <w:p w14:paraId="656B0E8E" w14:textId="77777777" w:rsidR="005B6B34" w:rsidRPr="005B6B34" w:rsidRDefault="005B6B34" w:rsidP="005B6B34">
      <w:pPr>
        <w:rPr>
          <w:rFonts w:cs="Segoe UI Light"/>
          <w:szCs w:val="20"/>
        </w:rPr>
      </w:pPr>
      <w:r w:rsidRPr="005B6B34">
        <w:rPr>
          <w:rFonts w:cs="Segoe UI Light"/>
          <w:b/>
          <w:szCs w:val="20"/>
        </w:rPr>
        <w:t>Option 1</w:t>
      </w:r>
      <w:r w:rsidRPr="005B6B34">
        <w:rPr>
          <w:rFonts w:cs="Segoe UI Light"/>
          <w:szCs w:val="20"/>
        </w:rPr>
        <w:t xml:space="preserve"> may reduce the burden on duty holders from resolving noise complaints through legal means (e.g. </w:t>
      </w:r>
      <w:r w:rsidR="005F512B">
        <w:rPr>
          <w:rFonts w:cs="Segoe UI Light"/>
          <w:szCs w:val="20"/>
        </w:rPr>
        <w:t>VCAT</w:t>
      </w:r>
      <w:r w:rsidRPr="005B6B34">
        <w:rPr>
          <w:rFonts w:cs="Segoe UI Light"/>
          <w:szCs w:val="20"/>
        </w:rPr>
        <w:t xml:space="preserve">) and incurring legal fees and acoustic consultant fees. By providing greater certainty, </w:t>
      </w:r>
      <w:r w:rsidRPr="00D4650A">
        <w:rPr>
          <w:rFonts w:cs="Segoe UI Light"/>
          <w:b/>
          <w:szCs w:val="20"/>
        </w:rPr>
        <w:t>Option 1</w:t>
      </w:r>
      <w:r w:rsidRPr="005B6B34">
        <w:rPr>
          <w:rFonts w:cs="Segoe UI Light"/>
          <w:szCs w:val="20"/>
        </w:rPr>
        <w:t xml:space="preserve"> also avoids the risk that duty holders may seek to resolve the complaint through avoiding the activity, reducing the time and duration of the activity or investing in (potentially) unnecessary noise management and attenuation activities beyond what a prescribed unreasonable threshold would require. Attenuation activities may involve installing noise limiters, undertaking building upgrades, engaging acoustic advice and undertaking noise surveys.</w:t>
      </w:r>
    </w:p>
    <w:p w14:paraId="656B0E8F" w14:textId="77777777" w:rsidR="005B6B34" w:rsidRPr="005B6B34" w:rsidRDefault="005B6B34" w:rsidP="005B6B34">
      <w:pPr>
        <w:rPr>
          <w:rFonts w:cs="Segoe UI Light"/>
          <w:szCs w:val="20"/>
        </w:rPr>
      </w:pPr>
      <w:r w:rsidRPr="005B6B34">
        <w:rPr>
          <w:rFonts w:cs="Segoe UI Light"/>
          <w:szCs w:val="20"/>
        </w:rPr>
        <w:t>Attenuation costs can be significant and vary widely depending on the activity being undertaken; the average costs incurred by entertainment venues for such activities are:</w:t>
      </w:r>
      <w:r w:rsidRPr="005B6B34">
        <w:rPr>
          <w:rStyle w:val="FootnoteReference"/>
          <w:rFonts w:cs="Segoe UI Light"/>
          <w:szCs w:val="20"/>
        </w:rPr>
        <w:footnoteReference w:id="292"/>
      </w:r>
    </w:p>
    <w:p w14:paraId="656B0E90" w14:textId="77777777" w:rsidR="005B6B34" w:rsidRPr="005B6B34" w:rsidRDefault="005B6B34" w:rsidP="004A2442">
      <w:pPr>
        <w:pStyle w:val="ListParagraph"/>
        <w:numPr>
          <w:ilvl w:val="0"/>
          <w:numId w:val="108"/>
        </w:numPr>
        <w:rPr>
          <w:rFonts w:cs="Segoe UI Light"/>
          <w:szCs w:val="20"/>
        </w:rPr>
      </w:pPr>
      <w:r w:rsidRPr="005B6B34">
        <w:rPr>
          <w:rFonts w:cs="Segoe UI Light"/>
          <w:szCs w:val="20"/>
        </w:rPr>
        <w:t xml:space="preserve">$7,000 </w:t>
      </w:r>
      <w:r w:rsidR="007C1783">
        <w:rPr>
          <w:rFonts w:cs="Segoe UI Light"/>
          <w:szCs w:val="20"/>
        </w:rPr>
        <w:t>–</w:t>
      </w:r>
      <w:r w:rsidRPr="005B6B34">
        <w:rPr>
          <w:rFonts w:cs="Segoe UI Light"/>
          <w:szCs w:val="20"/>
        </w:rPr>
        <w:t xml:space="preserve"> </w:t>
      </w:r>
      <w:r w:rsidR="007C1783">
        <w:rPr>
          <w:rFonts w:cs="Segoe UI Light"/>
          <w:szCs w:val="20"/>
        </w:rPr>
        <w:t>music amplifier and system</w:t>
      </w:r>
      <w:r w:rsidRPr="005B6B34">
        <w:rPr>
          <w:rFonts w:cs="Segoe UI Light"/>
          <w:szCs w:val="20"/>
        </w:rPr>
        <w:t xml:space="preserve"> noise limiter</w:t>
      </w:r>
    </w:p>
    <w:p w14:paraId="656B0E91" w14:textId="77777777" w:rsidR="005B6B34" w:rsidRPr="005B6B34" w:rsidRDefault="005B6B34" w:rsidP="004A2442">
      <w:pPr>
        <w:pStyle w:val="ListParagraph"/>
        <w:numPr>
          <w:ilvl w:val="0"/>
          <w:numId w:val="108"/>
        </w:numPr>
        <w:rPr>
          <w:rFonts w:cs="Segoe UI Light"/>
          <w:szCs w:val="20"/>
        </w:rPr>
      </w:pPr>
      <w:r w:rsidRPr="005B6B34">
        <w:rPr>
          <w:rFonts w:cs="Segoe UI Light"/>
          <w:szCs w:val="20"/>
        </w:rPr>
        <w:t xml:space="preserve">$32,000 for building upgrades </w:t>
      </w:r>
      <w:r w:rsidR="007C1783">
        <w:rPr>
          <w:rFonts w:cs="Segoe UI Light"/>
          <w:szCs w:val="20"/>
        </w:rPr>
        <w:t>such as insulation, installation of curtains, upgrade of doors etc.</w:t>
      </w:r>
    </w:p>
    <w:p w14:paraId="656B0E92" w14:textId="77777777" w:rsidR="005B6B34" w:rsidRPr="005B6B34" w:rsidRDefault="005B6B34" w:rsidP="004A2442">
      <w:pPr>
        <w:pStyle w:val="ListParagraph"/>
        <w:numPr>
          <w:ilvl w:val="0"/>
          <w:numId w:val="108"/>
        </w:numPr>
        <w:rPr>
          <w:rFonts w:cs="Segoe UI Light"/>
          <w:szCs w:val="20"/>
        </w:rPr>
      </w:pPr>
      <w:r w:rsidRPr="005B6B34">
        <w:rPr>
          <w:rFonts w:cs="Segoe UI Light"/>
          <w:szCs w:val="20"/>
        </w:rPr>
        <w:t xml:space="preserve">$20,000 for </w:t>
      </w:r>
      <w:r w:rsidR="007C1783">
        <w:rPr>
          <w:rFonts w:cs="Segoe UI Light"/>
          <w:szCs w:val="20"/>
        </w:rPr>
        <w:t xml:space="preserve">an </w:t>
      </w:r>
      <w:r w:rsidRPr="005B6B34">
        <w:rPr>
          <w:rFonts w:cs="Segoe UI Light"/>
          <w:szCs w:val="20"/>
        </w:rPr>
        <w:t xml:space="preserve">acoustic </w:t>
      </w:r>
      <w:r w:rsidR="007C1783">
        <w:rPr>
          <w:rFonts w:cs="Segoe UI Light"/>
          <w:szCs w:val="20"/>
        </w:rPr>
        <w:t>assessment</w:t>
      </w:r>
      <w:r w:rsidRPr="005B6B34">
        <w:rPr>
          <w:rFonts w:cs="Segoe UI Light"/>
          <w:szCs w:val="20"/>
        </w:rPr>
        <w:t>.</w:t>
      </w:r>
    </w:p>
    <w:p w14:paraId="656B0E93" w14:textId="77777777" w:rsidR="005B6B34" w:rsidRPr="005B6B34" w:rsidRDefault="005B6B34" w:rsidP="005B6B34">
      <w:pPr>
        <w:rPr>
          <w:rFonts w:cs="Segoe UI Light"/>
          <w:szCs w:val="20"/>
        </w:rPr>
      </w:pPr>
      <w:r w:rsidRPr="005B6B34">
        <w:rPr>
          <w:rFonts w:cs="Segoe UI Light"/>
          <w:b/>
          <w:szCs w:val="20"/>
        </w:rPr>
        <w:t>Option 1</w:t>
      </w:r>
      <w:r w:rsidR="005F512B">
        <w:rPr>
          <w:rFonts w:cs="Segoe UI Light"/>
          <w:szCs w:val="20"/>
        </w:rPr>
        <w:t xml:space="preserve"> </w:t>
      </w:r>
      <w:r w:rsidRPr="005B6B34">
        <w:rPr>
          <w:rFonts w:cs="Segoe UI Light"/>
          <w:szCs w:val="20"/>
        </w:rPr>
        <w:t xml:space="preserve">may also induce greater compliance by duty holders, resulting in additional attenuation costs over and above the </w:t>
      </w:r>
      <w:r w:rsidR="000514DD">
        <w:rPr>
          <w:rFonts w:cs="Segoe UI Light"/>
          <w:szCs w:val="20"/>
        </w:rPr>
        <w:t>Base Case</w:t>
      </w:r>
      <w:r w:rsidRPr="005B6B34">
        <w:rPr>
          <w:rFonts w:cs="Segoe UI Light"/>
          <w:szCs w:val="20"/>
        </w:rPr>
        <w:t xml:space="preserve">. </w:t>
      </w:r>
    </w:p>
    <w:p w14:paraId="656B0E94" w14:textId="77777777" w:rsidR="005B6B34" w:rsidRPr="005B6B34" w:rsidRDefault="005B6B34" w:rsidP="005B6B34">
      <w:pPr>
        <w:rPr>
          <w:rFonts w:cs="Segoe UI Light"/>
          <w:szCs w:val="20"/>
        </w:rPr>
      </w:pPr>
      <w:r w:rsidRPr="005B6B34">
        <w:rPr>
          <w:rFonts w:cs="Segoe UI Light"/>
          <w:szCs w:val="20"/>
        </w:rPr>
        <w:t xml:space="preserve">However, it is not possible to estimate the number of entertainment venues affected or the likely costs to duty holders. It is likely that some duty holders may avoid some costs, while some duty holders may incur additional costs. </w:t>
      </w:r>
    </w:p>
    <w:p w14:paraId="656B0E95" w14:textId="77777777" w:rsidR="005B6B34" w:rsidRPr="005B6B34" w:rsidRDefault="005F512B" w:rsidP="005B6B34">
      <w:pPr>
        <w:rPr>
          <w:rFonts w:cs="Segoe UI Light"/>
          <w:szCs w:val="20"/>
        </w:rPr>
      </w:pPr>
      <w:r>
        <w:rPr>
          <w:rFonts w:cs="Segoe UI Light"/>
          <w:szCs w:val="20"/>
        </w:rPr>
        <w:t>I</w:t>
      </w:r>
      <w:r w:rsidR="005B6B34" w:rsidRPr="005B6B34">
        <w:rPr>
          <w:rFonts w:cs="Segoe UI Light"/>
          <w:szCs w:val="20"/>
        </w:rPr>
        <w:t xml:space="preserve">t is likely that </w:t>
      </w:r>
      <w:r w:rsidR="005B6B34" w:rsidRPr="005B6B34">
        <w:rPr>
          <w:rFonts w:cs="Segoe UI Light"/>
          <w:b/>
          <w:szCs w:val="20"/>
        </w:rPr>
        <w:t>Option 1</w:t>
      </w:r>
      <w:r w:rsidR="005B6B34" w:rsidRPr="005B6B34">
        <w:rPr>
          <w:rFonts w:cs="Segoe UI Light"/>
          <w:szCs w:val="20"/>
        </w:rPr>
        <w:t xml:space="preserve"> will greatly assist smaller entertainment venues in complying with noise provisions by providing greater clarity and certainty around their responsibilities under the new EP legislation. </w:t>
      </w:r>
    </w:p>
    <w:p w14:paraId="656B0E96" w14:textId="77777777" w:rsidR="005B6B34" w:rsidRPr="000E7C5E" w:rsidRDefault="005B6B34" w:rsidP="00037AF8">
      <w:pPr>
        <w:spacing w:after="0"/>
        <w:rPr>
          <w:rFonts w:cs="Segoe UI Light"/>
          <w:i/>
          <w:szCs w:val="20"/>
        </w:rPr>
      </w:pPr>
      <w:r w:rsidRPr="000E7C5E">
        <w:rPr>
          <w:rFonts w:cs="Segoe UI Light"/>
          <w:i/>
          <w:szCs w:val="20"/>
        </w:rPr>
        <w:t>Cost to government</w:t>
      </w:r>
    </w:p>
    <w:p w14:paraId="656B0E97" w14:textId="77777777" w:rsidR="005B6B34" w:rsidRPr="005B6B34" w:rsidRDefault="005B6B34" w:rsidP="005B6B34">
      <w:pPr>
        <w:rPr>
          <w:rFonts w:cs="Segoe UI Light"/>
          <w:szCs w:val="20"/>
        </w:rPr>
      </w:pPr>
      <w:r w:rsidRPr="005B6B34">
        <w:rPr>
          <w:rFonts w:cs="Segoe UI Light"/>
          <w:b/>
          <w:szCs w:val="20"/>
        </w:rPr>
        <w:t>Option 1</w:t>
      </w:r>
      <w:r w:rsidRPr="005B6B34">
        <w:rPr>
          <w:rFonts w:cs="Segoe UI Light"/>
          <w:szCs w:val="20"/>
        </w:rPr>
        <w:t xml:space="preserve"> is expected to reduce the administrative burden of </w:t>
      </w:r>
      <w:r w:rsidR="000514DD">
        <w:rPr>
          <w:rFonts w:cs="Segoe UI Light"/>
          <w:szCs w:val="20"/>
        </w:rPr>
        <w:t>EPA</w:t>
      </w:r>
      <w:r w:rsidRPr="005B6B34">
        <w:rPr>
          <w:rFonts w:cs="Segoe UI Light"/>
          <w:szCs w:val="20"/>
        </w:rPr>
        <w:t xml:space="preserve">, local councils and the Victoria Police in managing and enforcing noise from entertainment venues relative to the </w:t>
      </w:r>
      <w:r w:rsidR="000514DD">
        <w:rPr>
          <w:rFonts w:cs="Segoe UI Light"/>
          <w:szCs w:val="20"/>
        </w:rPr>
        <w:t>Base Case</w:t>
      </w:r>
      <w:r w:rsidRPr="005B6B34">
        <w:rPr>
          <w:rFonts w:cs="Segoe UI Light"/>
          <w:szCs w:val="20"/>
        </w:rPr>
        <w:t>.</w:t>
      </w:r>
    </w:p>
    <w:p w14:paraId="656B0E98" w14:textId="77777777" w:rsidR="005B6B34" w:rsidRPr="005B6B34" w:rsidRDefault="005B6B34" w:rsidP="005B6B34">
      <w:pPr>
        <w:rPr>
          <w:rFonts w:cs="Segoe UI Light"/>
          <w:szCs w:val="20"/>
        </w:rPr>
      </w:pPr>
      <w:r w:rsidRPr="00D4650A">
        <w:rPr>
          <w:rFonts w:cs="Segoe UI Light"/>
          <w:szCs w:val="20"/>
        </w:rPr>
        <w:t>As reported above, a quarter of the Victoria Police’s liquor licensing unit’s time is devoted to responding to noise complaints.</w:t>
      </w:r>
      <w:r w:rsidRPr="005B6B34">
        <w:rPr>
          <w:rFonts w:cs="Segoe UI Light"/>
          <w:szCs w:val="20"/>
        </w:rPr>
        <w:t xml:space="preserve"> Furthermore, a significant proportion of the estimated 70,000 to 150,000 noise complaints received annually across government (EPA, councils, Victoria Police) relate to noise</w:t>
      </w:r>
      <w:r w:rsidR="005F512B">
        <w:rPr>
          <w:rFonts w:cs="Segoe UI Light"/>
          <w:szCs w:val="20"/>
        </w:rPr>
        <w:t xml:space="preserve"> from entertainment venues</w:t>
      </w:r>
      <w:r w:rsidRPr="005B6B34">
        <w:rPr>
          <w:rFonts w:cs="Segoe UI Light"/>
          <w:szCs w:val="20"/>
        </w:rPr>
        <w:t xml:space="preserve">. </w:t>
      </w:r>
      <w:r w:rsidRPr="005B6B34">
        <w:rPr>
          <w:rFonts w:cs="Segoe UI Light"/>
          <w:b/>
          <w:szCs w:val="20"/>
        </w:rPr>
        <w:t>Option 1</w:t>
      </w:r>
      <w:r w:rsidRPr="005B6B34">
        <w:rPr>
          <w:rFonts w:cs="Segoe UI Light"/>
          <w:szCs w:val="20"/>
        </w:rPr>
        <w:t xml:space="preserve"> will also provide regulators with greater ability to enforce aggravated noise. While it is not possible to estimate the impact on duty holder behaviour under </w:t>
      </w:r>
      <w:r w:rsidRPr="005B6B34">
        <w:rPr>
          <w:rFonts w:cs="Segoe UI Light"/>
          <w:b/>
          <w:szCs w:val="20"/>
        </w:rPr>
        <w:t>Option 1</w:t>
      </w:r>
      <w:r w:rsidRPr="005B6B34">
        <w:rPr>
          <w:rFonts w:cs="Segoe UI Light"/>
          <w:szCs w:val="20"/>
        </w:rPr>
        <w:t xml:space="preserve"> relative to the </w:t>
      </w:r>
      <w:r w:rsidR="000514DD">
        <w:rPr>
          <w:rFonts w:cs="Segoe UI Light"/>
          <w:szCs w:val="20"/>
        </w:rPr>
        <w:t>Base Case</w:t>
      </w:r>
      <w:r w:rsidRPr="005B6B34">
        <w:rPr>
          <w:rFonts w:cs="Segoe UI Light"/>
          <w:szCs w:val="20"/>
        </w:rPr>
        <w:t xml:space="preserve">, it is clear that </w:t>
      </w:r>
      <w:r w:rsidRPr="005B6B34">
        <w:rPr>
          <w:rFonts w:cs="Segoe UI Light"/>
          <w:b/>
          <w:szCs w:val="20"/>
        </w:rPr>
        <w:t>Option 1</w:t>
      </w:r>
      <w:r w:rsidRPr="005B6B34">
        <w:rPr>
          <w:rFonts w:cs="Segoe UI Light"/>
          <w:szCs w:val="20"/>
        </w:rPr>
        <w:t xml:space="preserve"> will support the continued monitoring and enforcement of entertainment venue noise emissions by providing a transparent, defensible measurable framework. This is likely to reduce the administrative burden on government (in particular inner Melbourne councils) in managing and enforcing unreasonab</w:t>
      </w:r>
      <w:r w:rsidR="005F512B">
        <w:rPr>
          <w:rFonts w:cs="Segoe UI Light"/>
          <w:szCs w:val="20"/>
        </w:rPr>
        <w:t>le and aggravated noise. Option </w:t>
      </w:r>
      <w:r w:rsidRPr="005B6B34">
        <w:rPr>
          <w:rFonts w:cs="Segoe UI Light"/>
          <w:szCs w:val="20"/>
        </w:rPr>
        <w:t>1 will broadly involve the translation of the SEPP N2 framework, and therefore its implementation is not expected to represent a significant cost to government.</w:t>
      </w:r>
    </w:p>
    <w:p w14:paraId="656B0E99" w14:textId="77777777" w:rsidR="005B6B34" w:rsidRPr="000E7C5E" w:rsidRDefault="005B6B34" w:rsidP="00037AF8">
      <w:pPr>
        <w:keepNext/>
        <w:spacing w:after="0"/>
        <w:rPr>
          <w:rFonts w:cs="Segoe UI Light"/>
          <w:i/>
          <w:szCs w:val="20"/>
        </w:rPr>
      </w:pPr>
      <w:r w:rsidRPr="000E7C5E">
        <w:rPr>
          <w:rFonts w:cs="Segoe UI Light"/>
          <w:i/>
          <w:szCs w:val="20"/>
        </w:rPr>
        <w:t>Overall cost summary</w:t>
      </w:r>
    </w:p>
    <w:p w14:paraId="656B0E9A" w14:textId="77777777" w:rsidR="005B6B34" w:rsidRPr="005B6B34" w:rsidRDefault="005B6B34" w:rsidP="005B6B34">
      <w:pPr>
        <w:rPr>
          <w:rFonts w:cs="Segoe UI Light"/>
          <w:szCs w:val="20"/>
        </w:rPr>
      </w:pPr>
      <w:r w:rsidRPr="005B6B34">
        <w:rPr>
          <w:rFonts w:cs="Segoe UI Light"/>
          <w:szCs w:val="20"/>
        </w:rPr>
        <w:t>Under</w:t>
      </w:r>
      <w:r w:rsidR="00C97BDA">
        <w:rPr>
          <w:rFonts w:cs="Segoe UI Light"/>
          <w:b/>
          <w:szCs w:val="20"/>
        </w:rPr>
        <w:t xml:space="preserve"> </w:t>
      </w:r>
      <w:r w:rsidRPr="005B6B34">
        <w:rPr>
          <w:rFonts w:cs="Segoe UI Light"/>
          <w:b/>
          <w:szCs w:val="20"/>
        </w:rPr>
        <w:t>Option 1</w:t>
      </w:r>
      <w:r w:rsidR="00C97BDA">
        <w:rPr>
          <w:rFonts w:cs="Segoe UI Light"/>
          <w:b/>
          <w:szCs w:val="20"/>
        </w:rPr>
        <w:t>,</w:t>
      </w:r>
      <w:r w:rsidRPr="005B6B34">
        <w:rPr>
          <w:rFonts w:cs="Segoe UI Light"/>
          <w:szCs w:val="20"/>
        </w:rPr>
        <w:t xml:space="preserve"> there</w:t>
      </w:r>
      <w:r w:rsidRPr="005B6B34">
        <w:rPr>
          <w:rFonts w:cs="Segoe UI Light"/>
          <w:b/>
          <w:szCs w:val="20"/>
        </w:rPr>
        <w:t xml:space="preserve"> </w:t>
      </w:r>
      <w:r w:rsidRPr="00D4650A">
        <w:rPr>
          <w:rFonts w:cs="Segoe UI Light"/>
          <w:szCs w:val="20"/>
        </w:rPr>
        <w:t>may</w:t>
      </w:r>
      <w:r w:rsidRPr="005B6B34">
        <w:rPr>
          <w:rFonts w:cs="Segoe UI Light"/>
          <w:b/>
          <w:szCs w:val="20"/>
        </w:rPr>
        <w:t xml:space="preserve"> </w:t>
      </w:r>
      <w:r w:rsidRPr="005B6B34">
        <w:rPr>
          <w:rFonts w:cs="Segoe UI Light"/>
          <w:szCs w:val="20"/>
        </w:rPr>
        <w:t xml:space="preserve">be duty holders with lower compliance costs relative to the </w:t>
      </w:r>
      <w:r w:rsidR="000514DD">
        <w:rPr>
          <w:rFonts w:cs="Segoe UI Light"/>
          <w:szCs w:val="20"/>
        </w:rPr>
        <w:t>Base Case</w:t>
      </w:r>
      <w:r w:rsidRPr="005B6B34">
        <w:rPr>
          <w:rFonts w:cs="Segoe UI Light"/>
          <w:szCs w:val="20"/>
        </w:rPr>
        <w:t xml:space="preserve">, however this may be offset by increased compliance costs for other duty holders. There is significant uncertainty with respect to the impact on duty holders, and this will depend on the nature of activities, the existing attenuation processes in place, and the location of the venue. Overall, </w:t>
      </w:r>
      <w:r w:rsidRPr="005B6B34">
        <w:rPr>
          <w:rFonts w:cs="Segoe UI Light"/>
          <w:b/>
          <w:szCs w:val="20"/>
        </w:rPr>
        <w:t>Option 1</w:t>
      </w:r>
      <w:r w:rsidRPr="005B6B34">
        <w:rPr>
          <w:rFonts w:cs="Segoe UI Light"/>
          <w:szCs w:val="20"/>
        </w:rPr>
        <w:t xml:space="preserve"> is expected to have a neutral impact on costs to duty holders. However, </w:t>
      </w:r>
      <w:r w:rsidRPr="005B6B34">
        <w:rPr>
          <w:rFonts w:cs="Segoe UI Light"/>
          <w:b/>
          <w:szCs w:val="20"/>
        </w:rPr>
        <w:t>Option 1</w:t>
      </w:r>
      <w:r w:rsidRPr="005B6B34">
        <w:rPr>
          <w:rFonts w:cs="Segoe UI Light"/>
          <w:szCs w:val="20"/>
        </w:rPr>
        <w:t xml:space="preserve"> is expected to reduce administrative and monitoring costs to government relative to the </w:t>
      </w:r>
      <w:r w:rsidR="000514DD">
        <w:rPr>
          <w:rFonts w:cs="Segoe UI Light"/>
          <w:szCs w:val="20"/>
        </w:rPr>
        <w:t>Base Case</w:t>
      </w:r>
      <w:r w:rsidRPr="005B6B34">
        <w:rPr>
          <w:rFonts w:cs="Segoe UI Light"/>
          <w:szCs w:val="20"/>
        </w:rPr>
        <w:t>. A score of +3 is given compared to the Base Case.</w:t>
      </w:r>
    </w:p>
    <w:p w14:paraId="656B0E9B" w14:textId="77777777" w:rsidR="005B6B34" w:rsidRPr="005B6B34" w:rsidRDefault="005B6B34" w:rsidP="00F25B16">
      <w:pPr>
        <w:pStyle w:val="Heading3"/>
        <w:ind w:left="720"/>
      </w:pPr>
      <w:r w:rsidRPr="005B6B34">
        <w:t>MCA summary</w:t>
      </w:r>
    </w:p>
    <w:p w14:paraId="656B0E9C" w14:textId="77777777" w:rsidR="005B6B34" w:rsidRPr="005B6B34" w:rsidRDefault="005B6B34" w:rsidP="005B6B34">
      <w:pPr>
        <w:spacing w:after="0"/>
        <w:rPr>
          <w:rFonts w:cs="Segoe UI Light"/>
          <w:szCs w:val="20"/>
        </w:rPr>
      </w:pPr>
      <w:r w:rsidRPr="00D4650A">
        <w:rPr>
          <w:rFonts w:cs="Segoe UI Light"/>
          <w:bCs/>
          <w:szCs w:val="20"/>
        </w:rPr>
        <w:t xml:space="preserve">Option 1 is </w:t>
      </w:r>
      <w:r w:rsidR="00B1519D">
        <w:rPr>
          <w:rFonts w:cs="Segoe UI Light"/>
          <w:bCs/>
          <w:szCs w:val="20"/>
        </w:rPr>
        <w:t>proposed</w:t>
      </w:r>
      <w:r w:rsidR="00B1519D" w:rsidRPr="00D4650A">
        <w:rPr>
          <w:rFonts w:cs="Segoe UI Light"/>
          <w:bCs/>
          <w:szCs w:val="20"/>
        </w:rPr>
        <w:t xml:space="preserve"> </w:t>
      </w:r>
      <w:r w:rsidRPr="00D4650A">
        <w:rPr>
          <w:rFonts w:cs="Segoe UI Light"/>
          <w:bCs/>
          <w:szCs w:val="20"/>
        </w:rPr>
        <w:t xml:space="preserve">over the </w:t>
      </w:r>
      <w:r w:rsidR="000514DD">
        <w:rPr>
          <w:rFonts w:cs="Segoe UI Light"/>
          <w:bCs/>
          <w:szCs w:val="20"/>
        </w:rPr>
        <w:t>Base Case</w:t>
      </w:r>
      <w:r w:rsidRPr="005B6B34">
        <w:rPr>
          <w:rFonts w:cs="Segoe UI Light"/>
          <w:b/>
          <w:bCs/>
          <w:szCs w:val="20"/>
        </w:rPr>
        <w:t xml:space="preserve">. </w:t>
      </w:r>
      <w:r w:rsidR="005F512B">
        <w:rPr>
          <w:rFonts w:cs="Segoe UI Light"/>
          <w:b/>
          <w:bCs/>
          <w:szCs w:val="20"/>
        </w:rPr>
        <w:t xml:space="preserve">Option 1 </w:t>
      </w:r>
      <w:r w:rsidR="005F512B" w:rsidRPr="005B6B34">
        <w:rPr>
          <w:rFonts w:cs="Segoe UI Light"/>
          <w:szCs w:val="20"/>
        </w:rPr>
        <w:t>give</w:t>
      </w:r>
      <w:r w:rsidR="00AB017E">
        <w:rPr>
          <w:rFonts w:cs="Segoe UI Light"/>
          <w:szCs w:val="20"/>
        </w:rPr>
        <w:t>s</w:t>
      </w:r>
      <w:r w:rsidR="005F512B">
        <w:rPr>
          <w:rFonts w:cs="Segoe UI Light"/>
          <w:szCs w:val="20"/>
        </w:rPr>
        <w:t xml:space="preserve"> </w:t>
      </w:r>
      <w:r w:rsidR="005F512B" w:rsidRPr="005B6B34">
        <w:rPr>
          <w:rFonts w:cs="Segoe UI Light"/>
          <w:szCs w:val="20"/>
        </w:rPr>
        <w:t>effect to the unreasonable and aggravated noise provisions</w:t>
      </w:r>
      <w:r w:rsidR="005F512B">
        <w:rPr>
          <w:rFonts w:cs="Segoe UI Light"/>
          <w:szCs w:val="20"/>
        </w:rPr>
        <w:t xml:space="preserve"> with respect to entertainment venues, and support</w:t>
      </w:r>
      <w:r w:rsidR="00C97BDA">
        <w:rPr>
          <w:rFonts w:cs="Segoe UI Light"/>
          <w:szCs w:val="20"/>
        </w:rPr>
        <w:t>s</w:t>
      </w:r>
      <w:r w:rsidR="005F512B" w:rsidRPr="005B6B34">
        <w:rPr>
          <w:rFonts w:cs="Segoe UI Light"/>
          <w:szCs w:val="20"/>
        </w:rPr>
        <w:t xml:space="preserve"> the prevention, compliance and enforcement of unreasonable and aggravated noise</w:t>
      </w:r>
      <w:r w:rsidR="005F512B">
        <w:rPr>
          <w:rFonts w:cs="Segoe UI Light"/>
          <w:szCs w:val="20"/>
        </w:rPr>
        <w:t>.</w:t>
      </w:r>
      <w:r w:rsidR="005F512B" w:rsidRPr="005B6B34">
        <w:rPr>
          <w:rFonts w:cs="Segoe UI Light"/>
          <w:szCs w:val="20"/>
        </w:rPr>
        <w:t xml:space="preserve"> </w:t>
      </w:r>
      <w:r w:rsidR="005F512B">
        <w:rPr>
          <w:rFonts w:cs="Segoe UI Light"/>
          <w:b/>
          <w:bCs/>
          <w:szCs w:val="20"/>
        </w:rPr>
        <w:t xml:space="preserve">Option 1 </w:t>
      </w:r>
      <w:r w:rsidR="005F512B" w:rsidRPr="005F512B">
        <w:rPr>
          <w:rFonts w:cs="Segoe UI Light"/>
          <w:bCs/>
          <w:szCs w:val="20"/>
        </w:rPr>
        <w:t>will</w:t>
      </w:r>
      <w:r w:rsidR="005F512B">
        <w:rPr>
          <w:rFonts w:cs="Segoe UI Light"/>
          <w:b/>
          <w:bCs/>
          <w:szCs w:val="20"/>
        </w:rPr>
        <w:t xml:space="preserve"> </w:t>
      </w:r>
      <w:r w:rsidR="005F512B" w:rsidRPr="005B6B34">
        <w:rPr>
          <w:rFonts w:cs="Segoe UI Light"/>
          <w:szCs w:val="20"/>
        </w:rPr>
        <w:t xml:space="preserve">reduce the administrative burden of </w:t>
      </w:r>
      <w:r w:rsidR="000514DD">
        <w:rPr>
          <w:rFonts w:cs="Segoe UI Light"/>
          <w:szCs w:val="20"/>
        </w:rPr>
        <w:t>EPA</w:t>
      </w:r>
      <w:r w:rsidR="005F512B" w:rsidRPr="005B6B34">
        <w:rPr>
          <w:rFonts w:cs="Segoe UI Light"/>
          <w:szCs w:val="20"/>
        </w:rPr>
        <w:t>, local councils and the Victoria Police</w:t>
      </w:r>
      <w:r w:rsidR="004F0A99">
        <w:rPr>
          <w:rFonts w:cs="Segoe UI Light"/>
          <w:szCs w:val="20"/>
        </w:rPr>
        <w:t>.</w:t>
      </w:r>
      <w:r w:rsidR="005F512B">
        <w:rPr>
          <w:rFonts w:cs="Segoe UI Light"/>
          <w:b/>
          <w:bCs/>
          <w:szCs w:val="20"/>
        </w:rPr>
        <w:t xml:space="preserve"> </w:t>
      </w:r>
    </w:p>
    <w:p w14:paraId="656B0E9D" w14:textId="77777777" w:rsidR="005B6B34" w:rsidRPr="005B6B34" w:rsidRDefault="005B6B34" w:rsidP="00D4650A">
      <w:pPr>
        <w:pStyle w:val="Caption"/>
        <w:rPr>
          <w:rFonts w:cs="Segoe UI Light"/>
          <w:sz w:val="20"/>
          <w:szCs w:val="20"/>
        </w:rPr>
      </w:pPr>
      <w:r w:rsidRPr="005B6B34">
        <w:rPr>
          <w:rFonts w:cs="Segoe UI Light"/>
          <w:sz w:val="20"/>
          <w:szCs w:val="20"/>
        </w:rPr>
        <w:t xml:space="preserve">Table </w:t>
      </w:r>
      <w:r w:rsidRPr="005B6B34">
        <w:rPr>
          <w:rFonts w:cs="Segoe UI Light"/>
          <w:color w:val="2B579A"/>
          <w:sz w:val="20"/>
          <w:szCs w:val="20"/>
          <w:shd w:val="clear" w:color="auto" w:fill="E6E6E6"/>
        </w:rPr>
        <w:fldChar w:fldCharType="begin"/>
      </w:r>
      <w:r w:rsidRPr="005B6B34">
        <w:rPr>
          <w:rFonts w:cs="Segoe UI Light"/>
          <w:sz w:val="20"/>
          <w:szCs w:val="20"/>
        </w:rPr>
        <w:instrText xml:space="preserve"> STYLEREF 1 \s </w:instrText>
      </w:r>
      <w:r w:rsidRPr="005B6B34">
        <w:rPr>
          <w:rFonts w:cs="Segoe UI Light"/>
          <w:color w:val="2B579A"/>
          <w:sz w:val="20"/>
          <w:szCs w:val="20"/>
          <w:shd w:val="clear" w:color="auto" w:fill="E6E6E6"/>
        </w:rPr>
        <w:fldChar w:fldCharType="separate"/>
      </w:r>
      <w:r w:rsidR="00B11C1E">
        <w:rPr>
          <w:rFonts w:cs="Segoe UI Light"/>
          <w:noProof/>
          <w:sz w:val="20"/>
          <w:szCs w:val="20"/>
        </w:rPr>
        <w:t>14</w:t>
      </w:r>
      <w:r w:rsidRPr="005B6B34">
        <w:rPr>
          <w:rFonts w:cs="Segoe UI Light"/>
          <w:color w:val="2B579A"/>
          <w:sz w:val="20"/>
          <w:szCs w:val="20"/>
          <w:shd w:val="clear" w:color="auto" w:fill="E6E6E6"/>
        </w:rPr>
        <w:fldChar w:fldCharType="end"/>
      </w:r>
      <w:r w:rsidRPr="005B6B34">
        <w:rPr>
          <w:rFonts w:cs="Segoe UI Light"/>
          <w:sz w:val="20"/>
          <w:szCs w:val="20"/>
        </w:rPr>
        <w:noBreakHyphen/>
      </w:r>
      <w:r w:rsidR="00997CFA">
        <w:rPr>
          <w:rFonts w:cs="Segoe UI Light"/>
          <w:color w:val="2B579A"/>
          <w:sz w:val="20"/>
          <w:szCs w:val="20"/>
          <w:shd w:val="clear" w:color="auto" w:fill="E6E6E6"/>
        </w:rPr>
        <w:fldChar w:fldCharType="begin"/>
      </w:r>
      <w:r w:rsidR="00997CFA">
        <w:rPr>
          <w:rFonts w:cs="Segoe UI Light"/>
          <w:sz w:val="20"/>
          <w:szCs w:val="20"/>
        </w:rPr>
        <w:instrText xml:space="preserve"> SEQ Table \* ARABIC \s 1 </w:instrText>
      </w:r>
      <w:r w:rsidR="00997CFA">
        <w:rPr>
          <w:rFonts w:cs="Segoe UI Light"/>
          <w:color w:val="2B579A"/>
          <w:sz w:val="20"/>
          <w:szCs w:val="20"/>
          <w:shd w:val="clear" w:color="auto" w:fill="E6E6E6"/>
        </w:rPr>
        <w:fldChar w:fldCharType="separate"/>
      </w:r>
      <w:r w:rsidR="00B11C1E">
        <w:rPr>
          <w:rFonts w:cs="Segoe UI Light"/>
          <w:noProof/>
          <w:sz w:val="20"/>
          <w:szCs w:val="20"/>
        </w:rPr>
        <w:t>3</w:t>
      </w:r>
      <w:r w:rsidR="00997CFA">
        <w:rPr>
          <w:rFonts w:cs="Segoe UI Light"/>
          <w:color w:val="2B579A"/>
          <w:sz w:val="20"/>
          <w:szCs w:val="20"/>
          <w:shd w:val="clear" w:color="auto" w:fill="E6E6E6"/>
        </w:rPr>
        <w:fldChar w:fldCharType="end"/>
      </w:r>
      <w:r w:rsidRPr="005B6B34">
        <w:rPr>
          <w:rFonts w:cs="Segoe UI Light"/>
          <w:sz w:val="20"/>
          <w:szCs w:val="20"/>
        </w:rPr>
        <w:t xml:space="preserve"> Summary of MCA assessment for entertainment venues</w:t>
      </w:r>
    </w:p>
    <w:tbl>
      <w:tblPr>
        <w:tblStyle w:val="Deloittetable1"/>
        <w:tblW w:w="7336" w:type="dxa"/>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
      <w:tblGrid>
        <w:gridCol w:w="4860"/>
        <w:gridCol w:w="2476"/>
      </w:tblGrid>
      <w:tr w:rsidR="005B6B34" w:rsidRPr="005B6B34" w14:paraId="656B0EA0" w14:textId="77777777" w:rsidTr="002D3C05">
        <w:trPr>
          <w:cnfStyle w:val="100000000000" w:firstRow="1" w:lastRow="0" w:firstColumn="0" w:lastColumn="0" w:oddVBand="0" w:evenVBand="0" w:oddHBand="0" w:evenHBand="0" w:firstRowFirstColumn="0" w:firstRowLastColumn="0" w:lastRowFirstColumn="0" w:lastRowLastColumn="0"/>
          <w:trHeight w:val="155"/>
        </w:trPr>
        <w:tc>
          <w:tcPr>
            <w:tcW w:w="0" w:type="dxa"/>
            <w:tcBorders>
              <w:left w:val="nil"/>
              <w:right w:val="nil"/>
            </w:tcBorders>
            <w:noWrap/>
            <w:hideMark/>
          </w:tcPr>
          <w:p w14:paraId="656B0E9E" w14:textId="77777777" w:rsidR="005B6B34" w:rsidRPr="005B6B34" w:rsidRDefault="005B6B34">
            <w:pPr>
              <w:rPr>
                <w:rFonts w:cs="Segoe UI Light"/>
                <w:sz w:val="18"/>
              </w:rPr>
            </w:pPr>
          </w:p>
        </w:tc>
        <w:tc>
          <w:tcPr>
            <w:tcW w:w="0" w:type="dxa"/>
            <w:tcBorders>
              <w:left w:val="nil"/>
              <w:right w:val="nil"/>
            </w:tcBorders>
            <w:noWrap/>
            <w:hideMark/>
          </w:tcPr>
          <w:p w14:paraId="656B0E9F" w14:textId="77777777" w:rsidR="005B6B34" w:rsidRPr="005B6B34" w:rsidRDefault="005B6B34" w:rsidP="002D3C05">
            <w:pPr>
              <w:spacing w:after="0" w:line="240" w:lineRule="auto"/>
              <w:jc w:val="right"/>
              <w:rPr>
                <w:rFonts w:eastAsia="Times New Roman" w:cs="Segoe UI Light"/>
                <w:b/>
                <w:bCs/>
                <w:color w:val="000000"/>
                <w:sz w:val="18"/>
                <w:lang w:eastAsia="en-AU"/>
              </w:rPr>
            </w:pPr>
            <w:r w:rsidRPr="005B6B34">
              <w:rPr>
                <w:rFonts w:eastAsia="Times New Roman" w:cs="Segoe UI Light"/>
                <w:b/>
                <w:bCs/>
                <w:color w:val="000000"/>
                <w:sz w:val="18"/>
                <w:lang w:eastAsia="en-AU"/>
              </w:rPr>
              <w:t>Option 1</w:t>
            </w:r>
          </w:p>
        </w:tc>
      </w:tr>
      <w:tr w:rsidR="005B6B34" w:rsidRPr="005B6B34" w14:paraId="656B0EA3" w14:textId="77777777" w:rsidTr="002D3C05">
        <w:trPr>
          <w:trHeight w:val="465"/>
        </w:trPr>
        <w:tc>
          <w:tcPr>
            <w:tcW w:w="0" w:type="dxa"/>
            <w:tcBorders>
              <w:left w:val="nil"/>
              <w:bottom w:val="single" w:sz="4" w:space="0" w:color="000000" w:themeColor="text1"/>
              <w:right w:val="nil"/>
            </w:tcBorders>
            <w:noWrap/>
            <w:hideMark/>
          </w:tcPr>
          <w:p w14:paraId="656B0EA1" w14:textId="77777777" w:rsidR="005B6B34" w:rsidRPr="005B6B34" w:rsidRDefault="005B6B34">
            <w:pPr>
              <w:spacing w:after="0" w:line="240" w:lineRule="auto"/>
              <w:rPr>
                <w:rFonts w:eastAsia="Times New Roman" w:cs="Segoe UI Light"/>
                <w:b/>
                <w:bCs/>
                <w:color w:val="000000"/>
                <w:sz w:val="18"/>
                <w:lang w:eastAsia="en-AU"/>
              </w:rPr>
            </w:pPr>
            <w:r w:rsidRPr="005B6B34">
              <w:rPr>
                <w:rFonts w:eastAsia="Times New Roman" w:cs="Segoe UI Light"/>
                <w:b/>
                <w:bCs/>
                <w:color w:val="000000"/>
                <w:sz w:val="18"/>
                <w:lang w:eastAsia="en-AU"/>
              </w:rPr>
              <w:t>Criteria</w:t>
            </w:r>
            <w:r w:rsidR="002D3C05">
              <w:rPr>
                <w:rFonts w:eastAsia="Times New Roman" w:cs="Segoe UI Light"/>
                <w:b/>
                <w:bCs/>
                <w:color w:val="000000"/>
                <w:sz w:val="18"/>
                <w:lang w:eastAsia="en-AU"/>
              </w:rPr>
              <w:t xml:space="preserve"> (and weight)</w:t>
            </w:r>
          </w:p>
        </w:tc>
        <w:tc>
          <w:tcPr>
            <w:tcW w:w="0" w:type="dxa"/>
            <w:tcBorders>
              <w:left w:val="nil"/>
              <w:bottom w:val="single" w:sz="4" w:space="0" w:color="000000" w:themeColor="text1"/>
              <w:right w:val="nil"/>
            </w:tcBorders>
            <w:hideMark/>
          </w:tcPr>
          <w:p w14:paraId="656B0EA2" w14:textId="77777777" w:rsidR="005B6B34" w:rsidRPr="005B6B34" w:rsidRDefault="005B6B34" w:rsidP="002D3C05">
            <w:pPr>
              <w:spacing w:after="0" w:line="240" w:lineRule="auto"/>
              <w:jc w:val="right"/>
              <w:rPr>
                <w:rFonts w:eastAsia="Times New Roman" w:cs="Segoe UI Light"/>
                <w:color w:val="000000"/>
                <w:sz w:val="18"/>
                <w:lang w:eastAsia="en-AU"/>
              </w:rPr>
            </w:pPr>
            <w:r w:rsidRPr="005B6B34">
              <w:rPr>
                <w:rFonts w:eastAsia="Times New Roman" w:cs="Segoe UI Light"/>
                <w:color w:val="000000"/>
                <w:sz w:val="18"/>
                <w:lang w:eastAsia="en-AU"/>
              </w:rPr>
              <w:t>Framework and aggravated noise definition</w:t>
            </w:r>
          </w:p>
        </w:tc>
      </w:tr>
      <w:tr w:rsidR="005B6B34" w:rsidRPr="005B6B34" w14:paraId="656B0EA6" w14:textId="77777777" w:rsidTr="005B6B34">
        <w:trPr>
          <w:trHeight w:val="285"/>
        </w:trPr>
        <w:tc>
          <w:tcPr>
            <w:tcW w:w="4860" w:type="dxa"/>
            <w:tcBorders>
              <w:top w:val="single" w:sz="4" w:space="0" w:color="000000" w:themeColor="text1"/>
              <w:left w:val="nil"/>
              <w:bottom w:val="single" w:sz="4" w:space="0" w:color="000000" w:themeColor="text1"/>
              <w:right w:val="nil"/>
            </w:tcBorders>
            <w:noWrap/>
            <w:hideMark/>
          </w:tcPr>
          <w:p w14:paraId="656B0EA4" w14:textId="77777777" w:rsidR="005B6B34" w:rsidRPr="005B6B34" w:rsidRDefault="005B6B34">
            <w:pPr>
              <w:spacing w:after="0" w:line="240" w:lineRule="auto"/>
              <w:rPr>
                <w:rFonts w:eastAsia="Times New Roman" w:cs="Segoe UI Light"/>
                <w:color w:val="000000"/>
                <w:sz w:val="18"/>
                <w:lang w:eastAsia="en-AU"/>
              </w:rPr>
            </w:pPr>
            <w:r w:rsidRPr="005B6B34">
              <w:rPr>
                <w:rFonts w:eastAsia="Times New Roman" w:cs="Segoe UI Light"/>
                <w:color w:val="000000"/>
                <w:sz w:val="18"/>
                <w:lang w:eastAsia="en-AU"/>
              </w:rPr>
              <w:t>Effectiveness</w:t>
            </w:r>
            <w:r w:rsidR="002D3C05">
              <w:rPr>
                <w:rFonts w:eastAsia="Times New Roman" w:cs="Segoe UI Light"/>
                <w:color w:val="000000"/>
                <w:sz w:val="18"/>
                <w:lang w:eastAsia="en-AU"/>
              </w:rPr>
              <w:t xml:space="preserve"> (50%)</w:t>
            </w:r>
          </w:p>
        </w:tc>
        <w:tc>
          <w:tcPr>
            <w:tcW w:w="2476" w:type="dxa"/>
            <w:tcBorders>
              <w:top w:val="single" w:sz="4" w:space="0" w:color="000000" w:themeColor="text1"/>
              <w:left w:val="nil"/>
              <w:bottom w:val="single" w:sz="4" w:space="0" w:color="000000" w:themeColor="text1"/>
              <w:right w:val="nil"/>
            </w:tcBorders>
            <w:noWrap/>
            <w:hideMark/>
          </w:tcPr>
          <w:p w14:paraId="656B0EA5" w14:textId="77777777" w:rsidR="005B6B34" w:rsidRPr="005B6B34" w:rsidRDefault="005B6B34" w:rsidP="002D3C05">
            <w:pPr>
              <w:spacing w:after="0" w:line="240" w:lineRule="auto"/>
              <w:jc w:val="right"/>
              <w:rPr>
                <w:rFonts w:eastAsia="Times New Roman" w:cs="Segoe UI Light"/>
                <w:color w:val="000000"/>
                <w:sz w:val="18"/>
                <w:lang w:eastAsia="en-AU"/>
              </w:rPr>
            </w:pPr>
            <w:r w:rsidRPr="005B6B34">
              <w:rPr>
                <w:rFonts w:eastAsia="Times New Roman" w:cs="Segoe UI Light"/>
                <w:color w:val="000000"/>
                <w:sz w:val="18"/>
                <w:lang w:eastAsia="en-AU"/>
              </w:rPr>
              <w:t>7</w:t>
            </w:r>
          </w:p>
        </w:tc>
      </w:tr>
      <w:tr w:rsidR="005B6B34" w:rsidRPr="005B6B34" w14:paraId="656B0EA9" w14:textId="77777777" w:rsidTr="005B6B34">
        <w:trPr>
          <w:trHeight w:val="285"/>
        </w:trPr>
        <w:tc>
          <w:tcPr>
            <w:tcW w:w="4860" w:type="dxa"/>
            <w:tcBorders>
              <w:top w:val="single" w:sz="4" w:space="0" w:color="000000" w:themeColor="text1"/>
              <w:left w:val="nil"/>
              <w:bottom w:val="single" w:sz="4" w:space="0" w:color="000000" w:themeColor="text1"/>
              <w:right w:val="nil"/>
            </w:tcBorders>
            <w:noWrap/>
            <w:hideMark/>
          </w:tcPr>
          <w:p w14:paraId="656B0EA7" w14:textId="77777777" w:rsidR="005B6B34" w:rsidRPr="005B6B34" w:rsidRDefault="005B6B34">
            <w:pPr>
              <w:spacing w:after="0" w:line="240" w:lineRule="auto"/>
              <w:rPr>
                <w:rFonts w:eastAsia="Times New Roman" w:cs="Segoe UI Light"/>
                <w:color w:val="000000"/>
                <w:sz w:val="18"/>
                <w:lang w:eastAsia="en-AU"/>
              </w:rPr>
            </w:pPr>
            <w:r w:rsidRPr="005B6B34">
              <w:rPr>
                <w:rFonts w:eastAsia="Times New Roman" w:cs="Segoe UI Light"/>
                <w:color w:val="000000"/>
                <w:sz w:val="18"/>
                <w:lang w:eastAsia="en-AU"/>
              </w:rPr>
              <w:t>Cost</w:t>
            </w:r>
            <w:r w:rsidR="002D3C05">
              <w:rPr>
                <w:rFonts w:eastAsia="Times New Roman" w:cs="Segoe UI Light"/>
                <w:color w:val="000000"/>
                <w:sz w:val="18"/>
                <w:lang w:eastAsia="en-AU"/>
              </w:rPr>
              <w:t xml:space="preserve"> (50%)</w:t>
            </w:r>
          </w:p>
        </w:tc>
        <w:tc>
          <w:tcPr>
            <w:tcW w:w="2476" w:type="dxa"/>
            <w:tcBorders>
              <w:top w:val="single" w:sz="4" w:space="0" w:color="000000" w:themeColor="text1"/>
              <w:left w:val="nil"/>
              <w:bottom w:val="single" w:sz="4" w:space="0" w:color="000000" w:themeColor="text1"/>
              <w:right w:val="nil"/>
            </w:tcBorders>
            <w:noWrap/>
            <w:hideMark/>
          </w:tcPr>
          <w:p w14:paraId="656B0EA8" w14:textId="77777777" w:rsidR="005B6B34" w:rsidRPr="005B6B34" w:rsidRDefault="005B6B34" w:rsidP="002D3C05">
            <w:pPr>
              <w:spacing w:after="0" w:line="240" w:lineRule="auto"/>
              <w:jc w:val="right"/>
              <w:rPr>
                <w:rFonts w:eastAsia="Times New Roman" w:cs="Segoe UI Light"/>
                <w:color w:val="000000"/>
                <w:sz w:val="18"/>
                <w:lang w:eastAsia="en-AU"/>
              </w:rPr>
            </w:pPr>
            <w:r w:rsidRPr="005B6B34">
              <w:rPr>
                <w:rFonts w:eastAsia="Times New Roman" w:cs="Segoe UI Light"/>
                <w:color w:val="000000"/>
                <w:sz w:val="18"/>
                <w:lang w:eastAsia="en-AU"/>
              </w:rPr>
              <w:t>3</w:t>
            </w:r>
          </w:p>
        </w:tc>
      </w:tr>
      <w:tr w:rsidR="005B6B34" w:rsidRPr="005B6B34" w14:paraId="656B0EAC" w14:textId="77777777" w:rsidTr="005B6B34">
        <w:trPr>
          <w:trHeight w:val="285"/>
        </w:trPr>
        <w:tc>
          <w:tcPr>
            <w:tcW w:w="4860" w:type="dxa"/>
            <w:tcBorders>
              <w:top w:val="single" w:sz="4" w:space="0" w:color="000000" w:themeColor="text1"/>
              <w:left w:val="nil"/>
              <w:bottom w:val="single" w:sz="4" w:space="0" w:color="000000" w:themeColor="text1"/>
              <w:right w:val="nil"/>
            </w:tcBorders>
            <w:noWrap/>
            <w:hideMark/>
          </w:tcPr>
          <w:p w14:paraId="656B0EAA" w14:textId="77777777" w:rsidR="005B6B34" w:rsidRPr="005B6B34" w:rsidRDefault="005B6B34">
            <w:pPr>
              <w:spacing w:after="0" w:line="240" w:lineRule="auto"/>
              <w:rPr>
                <w:rFonts w:eastAsia="Times New Roman" w:cs="Segoe UI Light"/>
                <w:b/>
                <w:bCs/>
                <w:color w:val="000000"/>
                <w:sz w:val="18"/>
                <w:lang w:eastAsia="en-AU"/>
              </w:rPr>
            </w:pPr>
            <w:r w:rsidRPr="005B6B34">
              <w:rPr>
                <w:rFonts w:eastAsia="Times New Roman" w:cs="Segoe UI Light"/>
                <w:b/>
                <w:bCs/>
                <w:color w:val="000000"/>
                <w:sz w:val="18"/>
                <w:lang w:eastAsia="en-AU"/>
              </w:rPr>
              <w:t xml:space="preserve">Total </w:t>
            </w:r>
            <w:r w:rsidR="002D3C05">
              <w:rPr>
                <w:rFonts w:eastAsia="Times New Roman" w:cs="Segoe UI Light"/>
                <w:b/>
                <w:bCs/>
                <w:color w:val="000000"/>
                <w:sz w:val="18"/>
                <w:lang w:eastAsia="en-AU"/>
              </w:rPr>
              <w:t xml:space="preserve">weighted </w:t>
            </w:r>
            <w:r w:rsidRPr="005B6B34">
              <w:rPr>
                <w:rFonts w:eastAsia="Times New Roman" w:cs="Segoe UI Light"/>
                <w:b/>
                <w:bCs/>
                <w:color w:val="000000"/>
                <w:sz w:val="18"/>
                <w:lang w:eastAsia="en-AU"/>
              </w:rPr>
              <w:t>score</w:t>
            </w:r>
          </w:p>
        </w:tc>
        <w:tc>
          <w:tcPr>
            <w:tcW w:w="2476" w:type="dxa"/>
            <w:tcBorders>
              <w:top w:val="single" w:sz="4" w:space="0" w:color="000000" w:themeColor="text1"/>
              <w:left w:val="nil"/>
              <w:bottom w:val="single" w:sz="4" w:space="0" w:color="000000" w:themeColor="text1"/>
              <w:right w:val="nil"/>
            </w:tcBorders>
            <w:noWrap/>
            <w:hideMark/>
          </w:tcPr>
          <w:p w14:paraId="656B0EAB" w14:textId="77777777" w:rsidR="005B6B34" w:rsidRPr="005B6B34" w:rsidRDefault="00F25B16" w:rsidP="002D3C05">
            <w:pPr>
              <w:spacing w:after="0" w:line="240" w:lineRule="auto"/>
              <w:jc w:val="right"/>
              <w:rPr>
                <w:rFonts w:eastAsia="Times New Roman" w:cs="Segoe UI Light"/>
                <w:b/>
                <w:bCs/>
                <w:color w:val="000000"/>
                <w:sz w:val="18"/>
                <w:lang w:eastAsia="en-AU"/>
              </w:rPr>
            </w:pPr>
            <w:r>
              <w:rPr>
                <w:rFonts w:eastAsia="Times New Roman" w:cs="Segoe UI Light"/>
                <w:b/>
                <w:bCs/>
                <w:color w:val="000000"/>
                <w:sz w:val="18"/>
                <w:lang w:eastAsia="en-AU"/>
              </w:rPr>
              <w:t>5</w:t>
            </w:r>
          </w:p>
        </w:tc>
      </w:tr>
    </w:tbl>
    <w:p w14:paraId="656B0EAD" w14:textId="77777777" w:rsidR="005B6B34" w:rsidRPr="005B6B34" w:rsidRDefault="005B6B34" w:rsidP="005B6B34">
      <w:pPr>
        <w:rPr>
          <w:rFonts w:cs="Segoe UI Light"/>
          <w:szCs w:val="20"/>
        </w:rPr>
      </w:pPr>
    </w:p>
    <w:p w14:paraId="656B0EAE" w14:textId="77777777" w:rsidR="005B6B34" w:rsidRPr="005B6B34" w:rsidRDefault="005B6B34" w:rsidP="00982D63">
      <w:pPr>
        <w:pStyle w:val="Heading2"/>
      </w:pPr>
      <w:r w:rsidRPr="00341E1F">
        <w:t xml:space="preserve">Noise from residential </w:t>
      </w:r>
      <w:r w:rsidR="00341E1F">
        <w:t>premises</w:t>
      </w:r>
    </w:p>
    <w:p w14:paraId="656B0EAF" w14:textId="77777777" w:rsidR="005B6B34" w:rsidRPr="005B6B34" w:rsidRDefault="005B6B34" w:rsidP="00F25B16">
      <w:pPr>
        <w:pStyle w:val="Heading3"/>
        <w:ind w:left="720"/>
      </w:pPr>
      <w:r w:rsidRPr="005B6B34">
        <w:t>Options</w:t>
      </w:r>
    </w:p>
    <w:p w14:paraId="656B0EB0" w14:textId="77777777" w:rsidR="005B6B34" w:rsidRPr="005B6B34" w:rsidRDefault="005B6B34" w:rsidP="005B6B34">
      <w:pPr>
        <w:mirrorIndents/>
        <w:rPr>
          <w:rFonts w:cs="Segoe UI Light"/>
          <w:szCs w:val="20"/>
        </w:rPr>
      </w:pPr>
      <w:r w:rsidRPr="005B6B34">
        <w:rPr>
          <w:rFonts w:cs="Segoe UI Light"/>
          <w:szCs w:val="20"/>
        </w:rPr>
        <w:t>The options considered in addressing the residual risk associated with the emission of noise from residential premises under the unreasonable and aggravated noise provisions are:</w:t>
      </w:r>
    </w:p>
    <w:p w14:paraId="656B0EB1" w14:textId="77777777" w:rsidR="005B6B34" w:rsidRPr="005B6B34" w:rsidRDefault="005B6B34" w:rsidP="004A2442">
      <w:pPr>
        <w:pStyle w:val="Bullet1"/>
        <w:numPr>
          <w:ilvl w:val="0"/>
          <w:numId w:val="26"/>
        </w:numPr>
        <w:tabs>
          <w:tab w:val="left" w:pos="720"/>
        </w:tabs>
        <w:rPr>
          <w:rFonts w:cs="Segoe UI Light"/>
          <w:szCs w:val="20"/>
        </w:rPr>
      </w:pPr>
      <w:r w:rsidRPr="00D4650A">
        <w:rPr>
          <w:rFonts w:cs="Segoe UI Light"/>
          <w:b/>
          <w:szCs w:val="20"/>
        </w:rPr>
        <w:t xml:space="preserve">Base </w:t>
      </w:r>
      <w:r w:rsidRPr="005B6B34">
        <w:rPr>
          <w:rFonts w:cs="Segoe UI Light"/>
          <w:b/>
          <w:szCs w:val="20"/>
        </w:rPr>
        <w:t>C</w:t>
      </w:r>
      <w:r w:rsidRPr="00D4650A">
        <w:rPr>
          <w:rFonts w:cs="Segoe UI Light"/>
          <w:b/>
          <w:szCs w:val="20"/>
        </w:rPr>
        <w:t>ase - do nothing:</w:t>
      </w:r>
      <w:r w:rsidRPr="005B6B34">
        <w:rPr>
          <w:rFonts w:cs="Segoe UI Light"/>
          <w:szCs w:val="20"/>
        </w:rPr>
        <w:t xml:space="preserve"> no regulations to compl</w:t>
      </w:r>
      <w:r w:rsidR="004E0F1F">
        <w:rPr>
          <w:rFonts w:cs="Segoe UI Light"/>
          <w:szCs w:val="20"/>
        </w:rPr>
        <w:t>e</w:t>
      </w:r>
      <w:r w:rsidRPr="005B6B34">
        <w:rPr>
          <w:rFonts w:cs="Segoe UI Light"/>
          <w:szCs w:val="20"/>
        </w:rPr>
        <w:t>ment the GED and unreasonable and aggravated noise provisions with respect to residential premises.</w:t>
      </w:r>
    </w:p>
    <w:p w14:paraId="656B0EB2" w14:textId="77777777" w:rsidR="005B6B34" w:rsidRPr="005B6B34" w:rsidRDefault="005B6B34" w:rsidP="004A2442">
      <w:pPr>
        <w:pStyle w:val="Bullet1"/>
        <w:numPr>
          <w:ilvl w:val="0"/>
          <w:numId w:val="26"/>
        </w:numPr>
        <w:tabs>
          <w:tab w:val="left" w:pos="720"/>
        </w:tabs>
        <w:rPr>
          <w:rFonts w:cs="Segoe UI Light"/>
          <w:b/>
          <w:szCs w:val="20"/>
        </w:rPr>
      </w:pPr>
      <w:r w:rsidRPr="00D4650A">
        <w:rPr>
          <w:rFonts w:cs="Segoe UI Light"/>
          <w:b/>
          <w:szCs w:val="20"/>
        </w:rPr>
        <w:t>Option 1 – prescrib</w:t>
      </w:r>
      <w:r w:rsidRPr="005B6B34">
        <w:rPr>
          <w:rFonts w:cs="Segoe UI Light"/>
          <w:b/>
          <w:szCs w:val="20"/>
        </w:rPr>
        <w:t>e</w:t>
      </w:r>
      <w:r w:rsidRPr="00D4650A">
        <w:rPr>
          <w:rFonts w:cs="Segoe UI Light"/>
          <w:b/>
          <w:szCs w:val="20"/>
        </w:rPr>
        <w:t xml:space="preserve"> </w:t>
      </w:r>
      <w:r w:rsidRPr="005B6B34">
        <w:rPr>
          <w:rFonts w:cs="Segoe UI Light"/>
          <w:b/>
          <w:szCs w:val="20"/>
        </w:rPr>
        <w:t xml:space="preserve">specific items and prohibited times for residential premises and define aggravated noise: </w:t>
      </w:r>
      <w:r w:rsidRPr="005B6B34">
        <w:rPr>
          <w:rFonts w:cs="Segoe UI Light"/>
          <w:szCs w:val="20"/>
        </w:rPr>
        <w:t xml:space="preserve">Option 1 involves prescribing Section 6 (prescribed items and prohibited times) of the Environment Protection Regulations (Residential Noise) 2018 </w:t>
      </w:r>
      <w:r w:rsidR="00C97BDA">
        <w:rPr>
          <w:rFonts w:cs="Segoe UI Light"/>
          <w:szCs w:val="20"/>
        </w:rPr>
        <w:t xml:space="preserve">with </w:t>
      </w:r>
      <w:r w:rsidRPr="005B6B34">
        <w:rPr>
          <w:rFonts w:cs="Segoe UI Light"/>
          <w:szCs w:val="20"/>
        </w:rPr>
        <w:t xml:space="preserve">respect to the application of unreasonable noise provisions under the new EP legislation and defining aggravated noise from residential premises. Option 1 also involves selected additions to Section 6 of the Environment Protection </w:t>
      </w:r>
      <w:r w:rsidR="004F0A99" w:rsidRPr="005B6B34">
        <w:rPr>
          <w:rFonts w:cs="Segoe UI Light"/>
          <w:szCs w:val="20"/>
        </w:rPr>
        <w:t xml:space="preserve">(Residential Noise) </w:t>
      </w:r>
      <w:r w:rsidRPr="005B6B34">
        <w:rPr>
          <w:rFonts w:cs="Segoe UI Light"/>
          <w:szCs w:val="20"/>
        </w:rPr>
        <w:t>Regulations 2018, specifically:</w:t>
      </w:r>
    </w:p>
    <w:p w14:paraId="656B0EB3" w14:textId="77777777" w:rsidR="005B6B34" w:rsidRPr="005B6B34" w:rsidRDefault="00C97BDA" w:rsidP="004A2442">
      <w:pPr>
        <w:pStyle w:val="Bullet1"/>
        <w:numPr>
          <w:ilvl w:val="1"/>
          <w:numId w:val="26"/>
        </w:numPr>
        <w:tabs>
          <w:tab w:val="left" w:pos="720"/>
        </w:tabs>
        <w:rPr>
          <w:rFonts w:cs="Segoe UI Light"/>
          <w:szCs w:val="20"/>
        </w:rPr>
      </w:pPr>
      <w:r>
        <w:rPr>
          <w:rFonts w:cs="Segoe UI Light"/>
          <w:szCs w:val="20"/>
        </w:rPr>
        <w:t>I</w:t>
      </w:r>
      <w:r w:rsidR="005B6B34" w:rsidRPr="005B6B34">
        <w:rPr>
          <w:rFonts w:cs="Segoe UI Light"/>
          <w:szCs w:val="20"/>
        </w:rPr>
        <w:t>nclusion of an exemption for air condition</w:t>
      </w:r>
      <w:r w:rsidR="00A215FF">
        <w:rPr>
          <w:rFonts w:cs="Segoe UI Light"/>
          <w:szCs w:val="20"/>
        </w:rPr>
        <w:t>er</w:t>
      </w:r>
      <w:r w:rsidR="005B6B34" w:rsidRPr="005B6B34">
        <w:rPr>
          <w:rFonts w:cs="Segoe UI Light"/>
          <w:szCs w:val="20"/>
        </w:rPr>
        <w:t>s on heat health alert days</w:t>
      </w:r>
      <w:r w:rsidR="00F556FB">
        <w:rPr>
          <w:rFonts w:cs="Segoe UI Light"/>
          <w:szCs w:val="20"/>
        </w:rPr>
        <w:t xml:space="preserve">, as determined by the Department of Health and Human Services </w:t>
      </w:r>
      <w:r w:rsidR="00824586">
        <w:rPr>
          <w:rFonts w:cs="Segoe UI Light"/>
          <w:szCs w:val="20"/>
        </w:rPr>
        <w:t>(Victoria).</w:t>
      </w:r>
      <w:r w:rsidR="005B6B34" w:rsidRPr="005B6B34">
        <w:rPr>
          <w:rFonts w:cs="Segoe UI Light"/>
          <w:szCs w:val="20"/>
        </w:rPr>
        <w:t xml:space="preserve"> </w:t>
      </w:r>
    </w:p>
    <w:p w14:paraId="656B0EB4" w14:textId="77777777" w:rsidR="005B6B34" w:rsidRPr="005B6B34" w:rsidRDefault="00C97BDA" w:rsidP="004A2442">
      <w:pPr>
        <w:pStyle w:val="Bullet1"/>
        <w:numPr>
          <w:ilvl w:val="1"/>
          <w:numId w:val="26"/>
        </w:numPr>
        <w:tabs>
          <w:tab w:val="left" w:pos="720"/>
        </w:tabs>
        <w:rPr>
          <w:rFonts w:cs="Segoe UI Light"/>
          <w:b/>
          <w:szCs w:val="20"/>
        </w:rPr>
      </w:pPr>
      <w:r>
        <w:rPr>
          <w:rFonts w:cs="Segoe UI Light"/>
          <w:szCs w:val="20"/>
        </w:rPr>
        <w:t>I</w:t>
      </w:r>
      <w:r w:rsidR="005B6B34" w:rsidRPr="005B6B34">
        <w:rPr>
          <w:rFonts w:cs="Segoe UI Light"/>
          <w:szCs w:val="20"/>
        </w:rPr>
        <w:t xml:space="preserve">nclusion of vessels and personal watercraft </w:t>
      </w:r>
      <w:r w:rsidR="004F0A99">
        <w:rPr>
          <w:rFonts w:cs="Segoe UI Light"/>
          <w:szCs w:val="20"/>
        </w:rPr>
        <w:t xml:space="preserve">in residential premises (i.e. where engines are idling or maintenance is being undertaken) </w:t>
      </w:r>
      <w:r w:rsidR="005B6B34" w:rsidRPr="005B6B34">
        <w:rPr>
          <w:rFonts w:cs="Segoe UI Light"/>
          <w:szCs w:val="20"/>
        </w:rPr>
        <w:t xml:space="preserve">to align with existing internal combustion vehicles. </w:t>
      </w:r>
    </w:p>
    <w:p w14:paraId="656B0EB5" w14:textId="77777777" w:rsidR="005B6B34" w:rsidRPr="005B6B34" w:rsidRDefault="00BD7478" w:rsidP="005B6B34">
      <w:pPr>
        <w:rPr>
          <w:rFonts w:cs="Segoe UI Light"/>
          <w:szCs w:val="20"/>
        </w:rPr>
      </w:pPr>
      <w:r>
        <w:rPr>
          <w:rFonts w:cs="Segoe UI Light"/>
          <w:szCs w:val="20"/>
        </w:rPr>
        <w:t>Again, only</w:t>
      </w:r>
      <w:r w:rsidR="005B6B34" w:rsidRPr="005B6B34">
        <w:rPr>
          <w:rFonts w:cs="Segoe UI Light"/>
          <w:szCs w:val="20"/>
        </w:rPr>
        <w:t xml:space="preserve"> one option has been considered with respect to addressing the residual risk associated with residential noise</w:t>
      </w:r>
      <w:r>
        <w:rPr>
          <w:rFonts w:cs="Segoe UI Light"/>
          <w:szCs w:val="20"/>
        </w:rPr>
        <w:t xml:space="preserve"> because</w:t>
      </w:r>
      <w:r w:rsidR="005B6B34" w:rsidRPr="005B6B34">
        <w:rPr>
          <w:rFonts w:cs="Segoe UI Light"/>
          <w:szCs w:val="20"/>
        </w:rPr>
        <w:t>:</w:t>
      </w:r>
    </w:p>
    <w:p w14:paraId="656B0EB6" w14:textId="77777777" w:rsidR="005B6B34" w:rsidRPr="005B6B34" w:rsidRDefault="00572F04" w:rsidP="004A2442">
      <w:pPr>
        <w:pStyle w:val="Bullet1"/>
        <w:numPr>
          <w:ilvl w:val="0"/>
          <w:numId w:val="26"/>
        </w:numPr>
        <w:rPr>
          <w:rFonts w:cs="Segoe UI Light"/>
          <w:szCs w:val="20"/>
        </w:rPr>
      </w:pPr>
      <w:r>
        <w:rPr>
          <w:rFonts w:cs="Segoe UI Light"/>
          <w:szCs w:val="20"/>
        </w:rPr>
        <w:t>F</w:t>
      </w:r>
      <w:r w:rsidRPr="005B6B34">
        <w:rPr>
          <w:rFonts w:cs="Segoe UI Light"/>
          <w:szCs w:val="20"/>
        </w:rPr>
        <w:t xml:space="preserve">rom </w:t>
      </w:r>
      <w:r w:rsidR="005B6B34" w:rsidRPr="005B6B34">
        <w:rPr>
          <w:rFonts w:cs="Segoe UI Light"/>
          <w:szCs w:val="20"/>
        </w:rPr>
        <w:t xml:space="preserve">a practical perspective, it is likely that the translation of Section 6 of the Environment Protection </w:t>
      </w:r>
      <w:r w:rsidR="004F0A99" w:rsidRPr="005B6B34">
        <w:rPr>
          <w:rFonts w:cs="Segoe UI Light"/>
          <w:szCs w:val="20"/>
        </w:rPr>
        <w:t xml:space="preserve">(Residential Noise) </w:t>
      </w:r>
      <w:r w:rsidR="005B6B34" w:rsidRPr="005B6B34">
        <w:rPr>
          <w:rFonts w:cs="Segoe UI Light"/>
          <w:szCs w:val="20"/>
        </w:rPr>
        <w:t xml:space="preserve">Regulations 2018 and selected additions would be implemented as a single regulatory package </w:t>
      </w:r>
    </w:p>
    <w:p w14:paraId="656B0EB7" w14:textId="77777777" w:rsidR="005B6B34" w:rsidRPr="005B6B34" w:rsidRDefault="00572F04" w:rsidP="004A2442">
      <w:pPr>
        <w:pStyle w:val="Bullet1"/>
        <w:numPr>
          <w:ilvl w:val="0"/>
          <w:numId w:val="26"/>
        </w:numPr>
        <w:rPr>
          <w:rFonts w:cs="Segoe UI Light"/>
          <w:szCs w:val="20"/>
        </w:rPr>
      </w:pPr>
      <w:r>
        <w:rPr>
          <w:rFonts w:cs="Segoe UI Light"/>
          <w:szCs w:val="20"/>
        </w:rPr>
        <w:t>S</w:t>
      </w:r>
      <w:r w:rsidRPr="005B6B34">
        <w:rPr>
          <w:rFonts w:cs="Segoe UI Light"/>
          <w:szCs w:val="20"/>
        </w:rPr>
        <w:t xml:space="preserve">elected </w:t>
      </w:r>
      <w:r w:rsidR="005B6B34" w:rsidRPr="005B6B34">
        <w:rPr>
          <w:rFonts w:cs="Segoe UI Light"/>
          <w:szCs w:val="20"/>
        </w:rPr>
        <w:t>additions to the existing residential noise framework are likely to only have an incremental impact on human health relative to translating the existing framework into regulation</w:t>
      </w:r>
    </w:p>
    <w:p w14:paraId="656B0EB8" w14:textId="77777777" w:rsidR="005B6B34" w:rsidRPr="005B6B34" w:rsidRDefault="00572F04" w:rsidP="004A2442">
      <w:pPr>
        <w:pStyle w:val="Bullet1"/>
        <w:numPr>
          <w:ilvl w:val="0"/>
          <w:numId w:val="26"/>
        </w:numPr>
        <w:rPr>
          <w:rFonts w:cs="Segoe UI Light"/>
          <w:szCs w:val="20"/>
        </w:rPr>
      </w:pPr>
      <w:r>
        <w:rPr>
          <w:rFonts w:cs="Segoe UI Light"/>
          <w:szCs w:val="20"/>
        </w:rPr>
        <w:t>T</w:t>
      </w:r>
      <w:r w:rsidRPr="005B6B34">
        <w:rPr>
          <w:rFonts w:cs="Segoe UI Light"/>
          <w:szCs w:val="20"/>
        </w:rPr>
        <w:t xml:space="preserve">he </w:t>
      </w:r>
      <w:r w:rsidR="005B6B34" w:rsidRPr="005B6B34">
        <w:rPr>
          <w:rFonts w:cs="Segoe UI Light"/>
          <w:szCs w:val="20"/>
        </w:rPr>
        <w:t>lack of data around the impacts on human health associated with residential noise, combined with the nature of noise, makes it challenging to quantify or estimate the likely incremental difference between (a) an option that seeks to only translate the Section 6 of the existing residential noise framework and (b) an option that includes additional improvements.</w:t>
      </w:r>
      <w:r w:rsidR="00824586">
        <w:rPr>
          <w:rFonts w:cs="Segoe UI Light"/>
          <w:szCs w:val="20"/>
        </w:rPr>
        <w:t xml:space="preserve"> However</w:t>
      </w:r>
      <w:r w:rsidR="00B85F77">
        <w:rPr>
          <w:rFonts w:cs="Segoe UI Light"/>
          <w:szCs w:val="20"/>
        </w:rPr>
        <w:t>,</w:t>
      </w:r>
      <w:r w:rsidR="00824586">
        <w:rPr>
          <w:rFonts w:cs="Segoe UI Light"/>
          <w:szCs w:val="20"/>
        </w:rPr>
        <w:t xml:space="preserve"> in the case of the improvements for the residential noise framework, the inclusions reflect </w:t>
      </w:r>
      <w:r w:rsidR="00B55D0A">
        <w:rPr>
          <w:rFonts w:cs="Segoe UI Light"/>
          <w:szCs w:val="20"/>
        </w:rPr>
        <w:t>feedback received during the 2017 review of the current Environment Protection (Residential Noise) Regulations 2018. In this way it is predicted that the changes will result in a measurable reduction in complaints to EPA</w:t>
      </w:r>
      <w:r w:rsidR="00824586">
        <w:rPr>
          <w:rFonts w:cs="Segoe UI Light"/>
          <w:szCs w:val="20"/>
        </w:rPr>
        <w:t xml:space="preserve"> and </w:t>
      </w:r>
      <w:r w:rsidR="00B55D0A">
        <w:rPr>
          <w:rFonts w:cs="Segoe UI Light"/>
          <w:szCs w:val="20"/>
        </w:rPr>
        <w:t>other relevant authorities in the future.</w:t>
      </w:r>
    </w:p>
    <w:p w14:paraId="656B0EB9" w14:textId="77777777" w:rsidR="005B6B34" w:rsidRPr="005B6B34" w:rsidRDefault="005B6B34" w:rsidP="005B6B34">
      <w:pPr>
        <w:rPr>
          <w:rFonts w:cs="Segoe UI Light"/>
          <w:szCs w:val="20"/>
        </w:rPr>
      </w:pPr>
      <w:r w:rsidRPr="005B6B34">
        <w:rPr>
          <w:rFonts w:cs="Segoe UI Light"/>
          <w:szCs w:val="20"/>
        </w:rPr>
        <w:t xml:space="preserve">Furthermore, guidance material is </w:t>
      </w:r>
      <w:r w:rsidR="00E87B54">
        <w:rPr>
          <w:rFonts w:cs="Segoe UI Light"/>
          <w:szCs w:val="20"/>
        </w:rPr>
        <w:t xml:space="preserve">not </w:t>
      </w:r>
      <w:r w:rsidRPr="005B6B34">
        <w:rPr>
          <w:rFonts w:cs="Segoe UI Light"/>
          <w:szCs w:val="20"/>
        </w:rPr>
        <w:t xml:space="preserve">considered to be </w:t>
      </w:r>
      <w:r w:rsidR="00E87B54">
        <w:rPr>
          <w:rFonts w:cs="Segoe UI Light"/>
          <w:szCs w:val="20"/>
        </w:rPr>
        <w:t xml:space="preserve">an </w:t>
      </w:r>
      <w:r w:rsidRPr="005B6B34">
        <w:rPr>
          <w:rFonts w:cs="Segoe UI Light"/>
          <w:szCs w:val="20"/>
        </w:rPr>
        <w:t>appropriate option for addressing residual risks associated with unreasonable and aggravated noise provisions under the new EP legislation. A prescribed noise limit framework is required to give effect to the unreasonable and aggravated noise provisions with respect to residential premises</w:t>
      </w:r>
      <w:r w:rsidR="00B1519D">
        <w:rPr>
          <w:rFonts w:cs="Segoe UI Light"/>
          <w:szCs w:val="20"/>
        </w:rPr>
        <w:t xml:space="preserve">. Furthermore, civil penalty provisions under the new EP legislation cannot be enforced via </w:t>
      </w:r>
      <w:r w:rsidRPr="005B6B34">
        <w:rPr>
          <w:rFonts w:cs="Segoe UI Light"/>
          <w:szCs w:val="20"/>
        </w:rPr>
        <w:t xml:space="preserve">non-statutory guidance. </w:t>
      </w:r>
    </w:p>
    <w:p w14:paraId="656B0EBA" w14:textId="77777777" w:rsidR="005B6B34" w:rsidRPr="005B6B34" w:rsidRDefault="00D4650A" w:rsidP="00D66FCE">
      <w:pPr>
        <w:pStyle w:val="Heading3"/>
        <w:ind w:left="720"/>
      </w:pPr>
      <w:r>
        <w:t>MCA</w:t>
      </w:r>
    </w:p>
    <w:p w14:paraId="656B0EBB" w14:textId="77777777" w:rsidR="005B6B34" w:rsidRPr="005B6B34" w:rsidRDefault="005B6B34" w:rsidP="000E7C5E">
      <w:pPr>
        <w:pStyle w:val="Heading4un-numbered"/>
        <w:rPr>
          <w:rFonts w:cs="Segoe UI Light"/>
          <w:szCs w:val="20"/>
        </w:rPr>
      </w:pPr>
      <w:r w:rsidRPr="005B6B34">
        <w:rPr>
          <w:rFonts w:cs="Segoe UI Light"/>
          <w:szCs w:val="20"/>
        </w:rPr>
        <w:t>Effectiveness</w:t>
      </w:r>
    </w:p>
    <w:p w14:paraId="656B0EBC" w14:textId="77777777" w:rsidR="005B6B34" w:rsidRPr="005B6B34" w:rsidRDefault="005B6B34" w:rsidP="005B6B34">
      <w:pPr>
        <w:rPr>
          <w:rFonts w:cs="Segoe UI Light"/>
          <w:szCs w:val="20"/>
        </w:rPr>
      </w:pPr>
      <w:r w:rsidRPr="005B6B34">
        <w:rPr>
          <w:rFonts w:cs="Segoe UI Light"/>
          <w:b/>
          <w:szCs w:val="20"/>
        </w:rPr>
        <w:t xml:space="preserve">Option 1 </w:t>
      </w:r>
      <w:r w:rsidRPr="005B6B34">
        <w:rPr>
          <w:rFonts w:cs="Segoe UI Light"/>
          <w:szCs w:val="20"/>
        </w:rPr>
        <w:t xml:space="preserve">will provide greater clarity and certainty for </w:t>
      </w:r>
      <w:r w:rsidRPr="00D4650A">
        <w:rPr>
          <w:rFonts w:cs="Segoe UI Light"/>
          <w:szCs w:val="20"/>
        </w:rPr>
        <w:t xml:space="preserve">residential premises </w:t>
      </w:r>
      <w:r w:rsidRPr="005B6B34">
        <w:rPr>
          <w:rFonts w:cs="Segoe UI Light"/>
          <w:szCs w:val="20"/>
        </w:rPr>
        <w:t xml:space="preserve">with respect to what constitutes ‘unreasonable’ and ‘aggravated’ noise and what </w:t>
      </w:r>
      <w:r w:rsidRPr="00D4650A">
        <w:rPr>
          <w:rFonts w:cs="Segoe UI Light"/>
          <w:szCs w:val="20"/>
        </w:rPr>
        <w:t xml:space="preserve">the </w:t>
      </w:r>
      <w:r w:rsidRPr="005B6B34">
        <w:rPr>
          <w:rFonts w:cs="Segoe UI Light"/>
          <w:szCs w:val="20"/>
        </w:rPr>
        <w:t xml:space="preserve">respective noise emission and management responsibilities </w:t>
      </w:r>
      <w:r w:rsidRPr="00D4650A">
        <w:rPr>
          <w:rFonts w:cs="Segoe UI Light"/>
          <w:szCs w:val="20"/>
        </w:rPr>
        <w:t>of residential premises are</w:t>
      </w:r>
      <w:r w:rsidR="00DC7A63">
        <w:rPr>
          <w:rFonts w:cs="Segoe UI Light"/>
          <w:szCs w:val="20"/>
        </w:rPr>
        <w:t xml:space="preserve">. </w:t>
      </w:r>
    </w:p>
    <w:p w14:paraId="656B0EBD" w14:textId="4D41EB97" w:rsidR="005B6B34" w:rsidRPr="005B6B34" w:rsidRDefault="005B6B34" w:rsidP="005B6B34">
      <w:pPr>
        <w:rPr>
          <w:rFonts w:cs="Segoe UI Light"/>
          <w:szCs w:val="20"/>
        </w:rPr>
      </w:pPr>
      <w:r w:rsidRPr="005B6B34">
        <w:rPr>
          <w:rFonts w:cs="Segoe UI Light"/>
          <w:b/>
          <w:szCs w:val="20"/>
        </w:rPr>
        <w:t>Option 1</w:t>
      </w:r>
      <w:r w:rsidRPr="005B6B34">
        <w:rPr>
          <w:rFonts w:cs="Segoe UI Light"/>
          <w:szCs w:val="20"/>
        </w:rPr>
        <w:t xml:space="preserve"> </w:t>
      </w:r>
      <w:r w:rsidR="005C568C">
        <w:rPr>
          <w:rFonts w:cs="Segoe UI Light"/>
          <w:szCs w:val="20"/>
        </w:rPr>
        <w:t>will give</w:t>
      </w:r>
      <w:r w:rsidRPr="005B6B34">
        <w:rPr>
          <w:rFonts w:cs="Segoe UI Light"/>
          <w:szCs w:val="20"/>
        </w:rPr>
        <w:t xml:space="preserve"> effect to the unreasonable and aggravated noise provisions, and civil penalty provisions, in the new EP legislation and supports the prevention, compliance and enforcement of unreasonable and aggravated noise from </w:t>
      </w:r>
      <w:r w:rsidRPr="00D4650A">
        <w:rPr>
          <w:rFonts w:cs="Segoe UI Light"/>
          <w:szCs w:val="20"/>
        </w:rPr>
        <w:t>residential premises</w:t>
      </w:r>
      <w:r w:rsidRPr="005B6B34">
        <w:rPr>
          <w:rFonts w:cs="Segoe UI Light"/>
          <w:szCs w:val="20"/>
        </w:rPr>
        <w:t xml:space="preserve">. </w:t>
      </w:r>
      <w:r w:rsidRPr="00D4650A">
        <w:rPr>
          <w:rFonts w:cs="Segoe UI Light"/>
          <w:b/>
          <w:szCs w:val="20"/>
        </w:rPr>
        <w:t>Option 1</w:t>
      </w:r>
      <w:r w:rsidRPr="005B6B34">
        <w:rPr>
          <w:rFonts w:cs="Segoe UI Light"/>
          <w:szCs w:val="20"/>
        </w:rPr>
        <w:t xml:space="preserve"> also </w:t>
      </w:r>
      <w:r w:rsidR="002107BD">
        <w:t xml:space="preserve">translates </w:t>
      </w:r>
      <w:r w:rsidR="00C97BDA">
        <w:t xml:space="preserve">into regulation </w:t>
      </w:r>
      <w:r w:rsidR="002107BD">
        <w:t>the Environment Protection (Residential Noise) Regulations 2018 that already state that the prohibited times relating to air conditioning will not apply at any time when a heat health alert is in effect. This</w:t>
      </w:r>
      <w:r w:rsidRPr="005B6B34">
        <w:rPr>
          <w:rFonts w:cs="Segoe UI Light"/>
          <w:szCs w:val="20"/>
        </w:rPr>
        <w:t xml:space="preserve"> </w:t>
      </w:r>
      <w:r w:rsidR="002107BD">
        <w:rPr>
          <w:rFonts w:cs="Segoe UI Light"/>
          <w:szCs w:val="20"/>
        </w:rPr>
        <w:t xml:space="preserve">will enable </w:t>
      </w:r>
      <w:r w:rsidRPr="005B6B34">
        <w:rPr>
          <w:rFonts w:cs="Segoe UI Light"/>
          <w:szCs w:val="20"/>
        </w:rPr>
        <w:t xml:space="preserve">households to maintain reasonable comfort and avoid human health </w:t>
      </w:r>
      <w:r w:rsidR="00382A52" w:rsidRPr="005B6B34">
        <w:rPr>
          <w:rFonts w:cs="Segoe UI Light"/>
          <w:szCs w:val="20"/>
        </w:rPr>
        <w:t>impacts</w:t>
      </w:r>
      <w:r w:rsidR="00382A52">
        <w:rPr>
          <w:rFonts w:cs="Segoe UI Light"/>
          <w:szCs w:val="20"/>
        </w:rPr>
        <w:t>, without the concern of non-compliance with the noise regulations</w:t>
      </w:r>
      <w:r w:rsidR="00382A52" w:rsidRPr="004947FF">
        <w:rPr>
          <w:rFonts w:cs="Segoe UI Light"/>
          <w:szCs w:val="20"/>
        </w:rPr>
        <w:t xml:space="preserve"> </w:t>
      </w:r>
      <w:r w:rsidR="00382A52" w:rsidRPr="005B6B34">
        <w:rPr>
          <w:rFonts w:cs="Segoe UI Light"/>
          <w:szCs w:val="20"/>
        </w:rPr>
        <w:t>during periods of extreme heat.</w:t>
      </w:r>
      <w:r w:rsidRPr="005B6B34">
        <w:rPr>
          <w:rFonts w:cs="Segoe UI Light"/>
          <w:szCs w:val="20"/>
        </w:rPr>
        <w:t xml:space="preserve">. </w:t>
      </w:r>
    </w:p>
    <w:p w14:paraId="656B0EBE" w14:textId="77777777" w:rsidR="005B6B34" w:rsidRPr="005B6B34" w:rsidRDefault="005B6B34" w:rsidP="005B6B34">
      <w:pPr>
        <w:rPr>
          <w:rFonts w:cs="Segoe UI Light"/>
          <w:szCs w:val="20"/>
        </w:rPr>
      </w:pPr>
      <w:r w:rsidRPr="005B6B34">
        <w:rPr>
          <w:rFonts w:cs="Segoe UI Light"/>
          <w:szCs w:val="20"/>
        </w:rPr>
        <w:t xml:space="preserve">In addition, </w:t>
      </w:r>
      <w:r w:rsidRPr="00D4650A">
        <w:rPr>
          <w:rFonts w:cs="Segoe UI Light"/>
          <w:b/>
          <w:szCs w:val="20"/>
        </w:rPr>
        <w:t>Option 1</w:t>
      </w:r>
      <w:r w:rsidRPr="005B6B34">
        <w:rPr>
          <w:rFonts w:cs="Segoe UI Light"/>
          <w:szCs w:val="20"/>
        </w:rPr>
        <w:t xml:space="preserve"> will assist in addressing the forecast increase in the residential noise problem due to greater medium/high density living and establishing a common community understanding of what is and isn’t reasonable noise.</w:t>
      </w:r>
    </w:p>
    <w:p w14:paraId="656B0EBF" w14:textId="2B3037FF" w:rsidR="005B6B34" w:rsidRPr="005B6B34" w:rsidRDefault="005B6B34" w:rsidP="00D4650A">
      <w:pPr>
        <w:rPr>
          <w:rFonts w:cs="Segoe UI Light"/>
          <w:szCs w:val="20"/>
        </w:rPr>
      </w:pPr>
      <w:r w:rsidRPr="005B6B34">
        <w:rPr>
          <w:rFonts w:cs="Segoe UI Light"/>
          <w:szCs w:val="20"/>
        </w:rPr>
        <w:t xml:space="preserve">Relative to the </w:t>
      </w:r>
      <w:r w:rsidR="000514DD">
        <w:rPr>
          <w:rFonts w:cs="Segoe UI Light"/>
          <w:szCs w:val="20"/>
        </w:rPr>
        <w:t>Base Case</w:t>
      </w:r>
      <w:r w:rsidRPr="005B6B34">
        <w:rPr>
          <w:rFonts w:cs="Segoe UI Light"/>
          <w:szCs w:val="20"/>
        </w:rPr>
        <w:t xml:space="preserve">, </w:t>
      </w:r>
      <w:r w:rsidRPr="00D4650A">
        <w:rPr>
          <w:rFonts w:cs="Segoe UI Light"/>
          <w:b/>
          <w:szCs w:val="20"/>
        </w:rPr>
        <w:t>Option 1</w:t>
      </w:r>
      <w:r w:rsidRPr="005B6B34">
        <w:rPr>
          <w:rFonts w:cs="Segoe UI Light"/>
          <w:szCs w:val="20"/>
        </w:rPr>
        <w:t xml:space="preserve"> is </w:t>
      </w:r>
      <w:r w:rsidRPr="00D4650A">
        <w:rPr>
          <w:rFonts w:cs="Segoe UI Light"/>
          <w:szCs w:val="20"/>
        </w:rPr>
        <w:t>anticipated</w:t>
      </w:r>
      <w:r w:rsidRPr="005B6B34">
        <w:rPr>
          <w:rFonts w:cs="Segoe UI Light"/>
          <w:szCs w:val="20"/>
        </w:rPr>
        <w:t xml:space="preserve"> to reduce the emission and incidence of unreasonable and aggravated noise from </w:t>
      </w:r>
      <w:r w:rsidRPr="00D4650A">
        <w:rPr>
          <w:rFonts w:cs="Segoe UI Light"/>
          <w:szCs w:val="20"/>
        </w:rPr>
        <w:t>residential premises</w:t>
      </w:r>
      <w:r w:rsidRPr="005B6B34">
        <w:rPr>
          <w:rFonts w:cs="Segoe UI Light"/>
          <w:szCs w:val="20"/>
        </w:rPr>
        <w:t xml:space="preserve">, and in turn reduce detrimental human health impacts associated with noise annoyance and noise disturbance. However, it is not possible to quantify the likely impacts on human health, or estimate the </w:t>
      </w:r>
      <w:r w:rsidRPr="00D4650A">
        <w:rPr>
          <w:rFonts w:cs="Segoe UI Light"/>
          <w:szCs w:val="20"/>
        </w:rPr>
        <w:t xml:space="preserve">number of residential premises </w:t>
      </w:r>
      <w:r w:rsidRPr="005B6B34">
        <w:rPr>
          <w:rFonts w:cs="Segoe UI Light"/>
          <w:szCs w:val="20"/>
        </w:rPr>
        <w:t>likely to engage in behaviour change</w:t>
      </w:r>
      <w:r w:rsidRPr="00D4650A">
        <w:rPr>
          <w:rFonts w:cs="Segoe UI Light"/>
          <w:szCs w:val="20"/>
        </w:rPr>
        <w:t xml:space="preserve"> relative to the </w:t>
      </w:r>
      <w:r w:rsidR="000514DD">
        <w:rPr>
          <w:rFonts w:cs="Segoe UI Light"/>
          <w:szCs w:val="20"/>
        </w:rPr>
        <w:t>Base Case</w:t>
      </w:r>
      <w:r w:rsidRPr="005B6B34">
        <w:rPr>
          <w:rFonts w:cs="Segoe UI Light"/>
          <w:szCs w:val="20"/>
        </w:rPr>
        <w:t xml:space="preserve">. </w:t>
      </w:r>
      <w:r w:rsidR="00B1519D">
        <w:rPr>
          <w:rFonts w:cs="Segoe UI Light"/>
          <w:szCs w:val="20"/>
        </w:rPr>
        <w:t xml:space="preserve">Option 1 gives full effect to the new EP legislation with respect to the management of noise from </w:t>
      </w:r>
      <w:r w:rsidR="00382A52">
        <w:rPr>
          <w:rFonts w:cs="Segoe UI Light"/>
          <w:szCs w:val="20"/>
        </w:rPr>
        <w:t>residential premises</w:t>
      </w:r>
      <w:r w:rsidR="00B1519D">
        <w:rPr>
          <w:rFonts w:cs="Segoe UI Light"/>
          <w:szCs w:val="20"/>
        </w:rPr>
        <w:t xml:space="preserve">. </w:t>
      </w:r>
      <w:r w:rsidRPr="005B6B34">
        <w:rPr>
          <w:rFonts w:cs="Segoe UI Light"/>
          <w:szCs w:val="20"/>
        </w:rPr>
        <w:t xml:space="preserve">Overall, a score of +7 is given relative to the </w:t>
      </w:r>
      <w:r w:rsidR="000514DD">
        <w:rPr>
          <w:rFonts w:cs="Segoe UI Light"/>
          <w:szCs w:val="20"/>
        </w:rPr>
        <w:t>Base Case</w:t>
      </w:r>
      <w:r w:rsidRPr="005B6B34">
        <w:rPr>
          <w:rFonts w:cs="Segoe UI Light"/>
          <w:szCs w:val="20"/>
        </w:rPr>
        <w:t>.</w:t>
      </w:r>
    </w:p>
    <w:p w14:paraId="656B0EC0" w14:textId="77777777" w:rsidR="005B6B34" w:rsidRPr="005B6B34" w:rsidRDefault="005B6B34" w:rsidP="000E7C5E">
      <w:pPr>
        <w:pStyle w:val="Heading4un-numbered"/>
        <w:rPr>
          <w:rFonts w:cs="Segoe UI Light"/>
          <w:szCs w:val="20"/>
        </w:rPr>
      </w:pPr>
      <w:r w:rsidRPr="005B6B34">
        <w:t>Cost</w:t>
      </w:r>
    </w:p>
    <w:p w14:paraId="656B0EC1" w14:textId="77777777" w:rsidR="005B6B34" w:rsidRPr="000E7C5E" w:rsidRDefault="005B6B34" w:rsidP="00037AF8">
      <w:pPr>
        <w:spacing w:after="0"/>
        <w:rPr>
          <w:rFonts w:cs="Segoe UI Light"/>
          <w:i/>
          <w:szCs w:val="20"/>
        </w:rPr>
      </w:pPr>
      <w:r w:rsidRPr="000E7C5E">
        <w:rPr>
          <w:rFonts w:cs="Segoe UI Light"/>
          <w:i/>
          <w:szCs w:val="20"/>
        </w:rPr>
        <w:t>Cost to duty holders</w:t>
      </w:r>
    </w:p>
    <w:p w14:paraId="656B0EC2" w14:textId="77777777" w:rsidR="005B6B34" w:rsidRPr="005B6B34" w:rsidRDefault="005B6B34" w:rsidP="005B6B34">
      <w:pPr>
        <w:rPr>
          <w:rFonts w:cs="Segoe UI Light"/>
          <w:szCs w:val="20"/>
        </w:rPr>
      </w:pPr>
      <w:r w:rsidRPr="005B6B34">
        <w:rPr>
          <w:rFonts w:cs="Segoe UI Light"/>
          <w:b/>
          <w:szCs w:val="20"/>
        </w:rPr>
        <w:t>Option 1</w:t>
      </w:r>
      <w:r w:rsidRPr="005B6B34">
        <w:rPr>
          <w:rFonts w:cs="Segoe UI Light"/>
          <w:szCs w:val="20"/>
        </w:rPr>
        <w:t xml:space="preserve"> </w:t>
      </w:r>
      <w:r w:rsidRPr="00D4650A">
        <w:rPr>
          <w:rFonts w:cs="Segoe UI Light"/>
          <w:szCs w:val="20"/>
        </w:rPr>
        <w:t>will also</w:t>
      </w:r>
      <w:r w:rsidRPr="005B6B34">
        <w:rPr>
          <w:rFonts w:cs="Segoe UI Light"/>
          <w:szCs w:val="20"/>
        </w:rPr>
        <w:t xml:space="preserve"> reduce </w:t>
      </w:r>
      <w:r w:rsidRPr="00D4650A">
        <w:rPr>
          <w:rFonts w:cs="Segoe UI Light"/>
          <w:szCs w:val="20"/>
        </w:rPr>
        <w:t xml:space="preserve">requirement for </w:t>
      </w:r>
      <w:r w:rsidRPr="005B6B34">
        <w:rPr>
          <w:rFonts w:cs="Segoe UI Light"/>
          <w:szCs w:val="20"/>
        </w:rPr>
        <w:t xml:space="preserve">duty holders </w:t>
      </w:r>
      <w:r w:rsidRPr="00D4650A">
        <w:rPr>
          <w:rFonts w:cs="Segoe UI Light"/>
          <w:szCs w:val="20"/>
        </w:rPr>
        <w:t xml:space="preserve">to resolve </w:t>
      </w:r>
      <w:r w:rsidRPr="005B6B34">
        <w:rPr>
          <w:rFonts w:cs="Segoe UI Light"/>
          <w:szCs w:val="20"/>
        </w:rPr>
        <w:t xml:space="preserve">noise complaints through legal means (e.g. </w:t>
      </w:r>
      <w:r w:rsidRPr="00D4650A">
        <w:rPr>
          <w:rFonts w:cs="Segoe UI Light"/>
          <w:szCs w:val="20"/>
        </w:rPr>
        <w:t>VCAT</w:t>
      </w:r>
      <w:r w:rsidRPr="005B6B34">
        <w:rPr>
          <w:rFonts w:cs="Segoe UI Light"/>
          <w:szCs w:val="20"/>
        </w:rPr>
        <w:t xml:space="preserve">) </w:t>
      </w:r>
      <w:r w:rsidRPr="00D4650A">
        <w:rPr>
          <w:rFonts w:cs="Segoe UI Light"/>
          <w:szCs w:val="20"/>
        </w:rPr>
        <w:t xml:space="preserve">and other less efficient means. </w:t>
      </w:r>
      <w:r w:rsidRPr="005B6B34">
        <w:rPr>
          <w:rFonts w:cs="Segoe UI Light"/>
          <w:szCs w:val="20"/>
        </w:rPr>
        <w:t xml:space="preserve">By providing greater certainty, </w:t>
      </w:r>
      <w:r w:rsidRPr="005B6B34">
        <w:rPr>
          <w:rFonts w:cs="Segoe UI Light"/>
          <w:b/>
          <w:szCs w:val="20"/>
        </w:rPr>
        <w:t>Option 1</w:t>
      </w:r>
      <w:r w:rsidRPr="005B6B34">
        <w:rPr>
          <w:rFonts w:cs="Segoe UI Light"/>
          <w:szCs w:val="20"/>
        </w:rPr>
        <w:t xml:space="preserve"> also avoids the risk that </w:t>
      </w:r>
      <w:r w:rsidRPr="00D4650A">
        <w:rPr>
          <w:rFonts w:cs="Segoe UI Light"/>
          <w:szCs w:val="20"/>
        </w:rPr>
        <w:t xml:space="preserve">residents </w:t>
      </w:r>
      <w:r w:rsidRPr="005B6B34">
        <w:rPr>
          <w:rFonts w:cs="Segoe UI Light"/>
          <w:szCs w:val="20"/>
        </w:rPr>
        <w:t>seek to resolve the complaint through avoiding the activity</w:t>
      </w:r>
      <w:r w:rsidRPr="00D4650A">
        <w:rPr>
          <w:rFonts w:cs="Segoe UI Light"/>
          <w:szCs w:val="20"/>
        </w:rPr>
        <w:t xml:space="preserve"> </w:t>
      </w:r>
      <w:r w:rsidRPr="005B6B34">
        <w:rPr>
          <w:rFonts w:cs="Segoe UI Light"/>
          <w:szCs w:val="20"/>
        </w:rPr>
        <w:t xml:space="preserve">or investing in (potentially) unnecessary noise management and attenuation activities </w:t>
      </w:r>
    </w:p>
    <w:p w14:paraId="656B0EC3" w14:textId="77777777" w:rsidR="005B6B34" w:rsidRPr="005B6B34" w:rsidRDefault="005B6B34" w:rsidP="005B6B34">
      <w:pPr>
        <w:rPr>
          <w:rFonts w:cs="Segoe UI Light"/>
          <w:szCs w:val="20"/>
        </w:rPr>
      </w:pPr>
      <w:r w:rsidRPr="005B6B34">
        <w:rPr>
          <w:rFonts w:cs="Segoe UI Light"/>
          <w:szCs w:val="20"/>
        </w:rPr>
        <w:t>It is not possible to estimate the number of</w:t>
      </w:r>
      <w:r w:rsidRPr="00D4650A">
        <w:rPr>
          <w:rFonts w:cs="Segoe UI Light"/>
          <w:szCs w:val="20"/>
        </w:rPr>
        <w:t xml:space="preserve"> residential premises (or number of people) likely to be </w:t>
      </w:r>
      <w:r w:rsidRPr="005B6B34">
        <w:rPr>
          <w:rFonts w:cs="Segoe UI Light"/>
          <w:szCs w:val="20"/>
        </w:rPr>
        <w:t>affected or the likely costs to duty holders</w:t>
      </w:r>
      <w:r w:rsidRPr="00D4650A">
        <w:rPr>
          <w:rFonts w:cs="Segoe UI Light"/>
          <w:szCs w:val="20"/>
        </w:rPr>
        <w:t xml:space="preserve"> under </w:t>
      </w:r>
      <w:r w:rsidRPr="00D4650A">
        <w:rPr>
          <w:rFonts w:cs="Segoe UI Light"/>
          <w:b/>
          <w:szCs w:val="20"/>
        </w:rPr>
        <w:t>Option 1</w:t>
      </w:r>
      <w:r w:rsidRPr="005B6B34">
        <w:rPr>
          <w:rFonts w:cs="Segoe UI Light"/>
          <w:szCs w:val="20"/>
        </w:rPr>
        <w:t xml:space="preserve">. It is likely that some duty holders may avoid some costs, while some duty holders may incur additional costs. </w:t>
      </w:r>
    </w:p>
    <w:p w14:paraId="656B0EC4" w14:textId="77777777" w:rsidR="005B6B34" w:rsidRPr="000E7C5E" w:rsidRDefault="005B6B34" w:rsidP="00037AF8">
      <w:pPr>
        <w:spacing w:after="0"/>
        <w:rPr>
          <w:rFonts w:cs="Segoe UI Light"/>
          <w:i/>
          <w:szCs w:val="20"/>
        </w:rPr>
      </w:pPr>
      <w:r w:rsidRPr="000E7C5E">
        <w:rPr>
          <w:rFonts w:cs="Segoe UI Light"/>
          <w:i/>
          <w:szCs w:val="20"/>
        </w:rPr>
        <w:t>Cost to government</w:t>
      </w:r>
    </w:p>
    <w:p w14:paraId="656B0EC5" w14:textId="77777777" w:rsidR="005B6B34" w:rsidRPr="005B6B34" w:rsidRDefault="005B6B34" w:rsidP="005B6B34">
      <w:pPr>
        <w:rPr>
          <w:rFonts w:cs="Segoe UI Light"/>
          <w:szCs w:val="20"/>
        </w:rPr>
      </w:pPr>
      <w:r w:rsidRPr="005B6B34">
        <w:rPr>
          <w:rFonts w:cs="Segoe UI Light"/>
          <w:b/>
          <w:szCs w:val="20"/>
        </w:rPr>
        <w:t>Option 1</w:t>
      </w:r>
      <w:r w:rsidRPr="005B6B34">
        <w:rPr>
          <w:rFonts w:cs="Segoe UI Light"/>
          <w:szCs w:val="20"/>
        </w:rPr>
        <w:t xml:space="preserve"> is expected to reduce the administrative burden of local council officers and the Victoria Police in managing and enforcing noise from residential premises relative to the </w:t>
      </w:r>
      <w:r w:rsidR="000514DD">
        <w:rPr>
          <w:rFonts w:cs="Segoe UI Light"/>
          <w:szCs w:val="20"/>
        </w:rPr>
        <w:t>Base Case</w:t>
      </w:r>
      <w:r w:rsidRPr="005B6B34">
        <w:rPr>
          <w:rFonts w:cs="Segoe UI Light"/>
          <w:szCs w:val="20"/>
        </w:rPr>
        <w:t>.</w:t>
      </w:r>
    </w:p>
    <w:p w14:paraId="656B0EC6" w14:textId="77777777" w:rsidR="005B6B34" w:rsidRPr="005B6B34" w:rsidRDefault="005B6B34" w:rsidP="005B6B34">
      <w:pPr>
        <w:rPr>
          <w:rFonts w:cs="Segoe UI Light"/>
          <w:szCs w:val="20"/>
        </w:rPr>
      </w:pPr>
      <w:r w:rsidRPr="00D4650A">
        <w:rPr>
          <w:rFonts w:cs="Segoe UI Light"/>
          <w:szCs w:val="20"/>
        </w:rPr>
        <w:t xml:space="preserve">Under </w:t>
      </w:r>
      <w:r w:rsidRPr="00D4650A">
        <w:rPr>
          <w:rFonts w:cs="Segoe UI Light"/>
          <w:b/>
          <w:szCs w:val="20"/>
        </w:rPr>
        <w:t>Option 1</w:t>
      </w:r>
      <w:r w:rsidRPr="00D4650A">
        <w:rPr>
          <w:rFonts w:cs="Segoe UI Light"/>
          <w:szCs w:val="20"/>
        </w:rPr>
        <w:t>, council officers and policy officer</w:t>
      </w:r>
      <w:r w:rsidR="00E57E3C">
        <w:rPr>
          <w:rFonts w:cs="Segoe UI Light"/>
          <w:szCs w:val="20"/>
        </w:rPr>
        <w:t>s</w:t>
      </w:r>
      <w:r w:rsidRPr="00D4650A">
        <w:rPr>
          <w:rFonts w:cs="Segoe UI Light"/>
          <w:szCs w:val="20"/>
        </w:rPr>
        <w:t xml:space="preserve"> would have clear guidance available as to what constitutes unreasonable and aggravated noise. Furthermore, council officers and police officers would not have to rely on the subjective definitions of unreasonable noise contained in the new EP legislation, leading to the avoidance of time consuming and less effective enforcement activity, such as pursuing enforcement via VCAT.</w:t>
      </w:r>
      <w:r w:rsidRPr="005B6B34">
        <w:rPr>
          <w:rFonts w:cs="Segoe UI Light"/>
          <w:szCs w:val="20"/>
        </w:rPr>
        <w:t xml:space="preserve"> </w:t>
      </w:r>
    </w:p>
    <w:p w14:paraId="656B0EC7" w14:textId="732E2277" w:rsidR="005B6B34" w:rsidRPr="005B6B34" w:rsidRDefault="005B6B34" w:rsidP="005B6B34">
      <w:pPr>
        <w:rPr>
          <w:rFonts w:cs="Segoe UI Light"/>
          <w:szCs w:val="20"/>
        </w:rPr>
      </w:pPr>
      <w:r w:rsidRPr="005B6B34">
        <w:rPr>
          <w:rFonts w:cs="Segoe UI Light"/>
          <w:szCs w:val="20"/>
        </w:rPr>
        <w:t xml:space="preserve">Overall, </w:t>
      </w:r>
      <w:r w:rsidRPr="00D4650A">
        <w:rPr>
          <w:rFonts w:cs="Segoe UI Light"/>
          <w:b/>
          <w:szCs w:val="20"/>
        </w:rPr>
        <w:t>Option 1</w:t>
      </w:r>
      <w:r w:rsidRPr="005B6B34">
        <w:rPr>
          <w:rFonts w:cs="Segoe UI Light"/>
          <w:szCs w:val="20"/>
        </w:rPr>
        <w:t xml:space="preserve"> is likely to reduce the administrative burden on local government authorities and Victoria Police in managing and enforcing unreasonable and aggravated noise from residential premises. Option 1 will broadly involve the translation of existing prescribed items and prohibited times under the Environment Protection Regulations (Residential Noise) 2018, and as such </w:t>
      </w:r>
      <w:r w:rsidR="005C568C">
        <w:rPr>
          <w:rFonts w:cs="Segoe UI Light"/>
          <w:szCs w:val="20"/>
        </w:rPr>
        <w:t>the cost of i</w:t>
      </w:r>
      <w:r w:rsidRPr="005B6B34">
        <w:rPr>
          <w:rFonts w:cs="Segoe UI Light"/>
          <w:szCs w:val="20"/>
        </w:rPr>
        <w:t xml:space="preserve">ts implementation is </w:t>
      </w:r>
      <w:r w:rsidR="005C568C">
        <w:rPr>
          <w:rFonts w:cs="Segoe UI Light"/>
          <w:szCs w:val="20"/>
        </w:rPr>
        <w:t xml:space="preserve">likely to </w:t>
      </w:r>
      <w:r w:rsidR="00382A52">
        <w:rPr>
          <w:rFonts w:cs="Segoe UI Light"/>
          <w:szCs w:val="20"/>
        </w:rPr>
        <w:t xml:space="preserve">be </w:t>
      </w:r>
      <w:r w:rsidR="005C568C">
        <w:rPr>
          <w:rFonts w:cs="Segoe UI Light"/>
          <w:szCs w:val="20"/>
        </w:rPr>
        <w:t>minor.</w:t>
      </w:r>
    </w:p>
    <w:p w14:paraId="656B0EC8" w14:textId="77777777" w:rsidR="005B6B34" w:rsidRPr="000E7C5E" w:rsidRDefault="005B6B34" w:rsidP="00037AF8">
      <w:pPr>
        <w:keepNext/>
        <w:spacing w:after="0"/>
        <w:rPr>
          <w:rFonts w:cs="Segoe UI Light"/>
          <w:i/>
          <w:szCs w:val="20"/>
        </w:rPr>
      </w:pPr>
      <w:r w:rsidRPr="000E7C5E">
        <w:rPr>
          <w:rFonts w:cs="Segoe UI Light"/>
          <w:i/>
          <w:szCs w:val="20"/>
        </w:rPr>
        <w:t>Overall cost summary</w:t>
      </w:r>
    </w:p>
    <w:p w14:paraId="656B0EC9" w14:textId="77777777" w:rsidR="005B6B34" w:rsidRPr="005B6B34" w:rsidRDefault="005B6B34" w:rsidP="005B6B34">
      <w:pPr>
        <w:rPr>
          <w:rFonts w:cs="Segoe UI Light"/>
          <w:szCs w:val="20"/>
        </w:rPr>
      </w:pPr>
      <w:r w:rsidRPr="005B6B34">
        <w:rPr>
          <w:rFonts w:cs="Segoe UI Light"/>
          <w:szCs w:val="20"/>
        </w:rPr>
        <w:t xml:space="preserve">Overall, </w:t>
      </w:r>
      <w:r w:rsidRPr="005B6B34">
        <w:rPr>
          <w:rFonts w:cs="Segoe UI Light"/>
          <w:b/>
          <w:szCs w:val="20"/>
        </w:rPr>
        <w:t>Option 1</w:t>
      </w:r>
      <w:r w:rsidRPr="005B6B34">
        <w:rPr>
          <w:rFonts w:cs="Segoe UI Light"/>
          <w:szCs w:val="20"/>
        </w:rPr>
        <w:t xml:space="preserve"> is expected to have a neutral impact on costs to duty holders. However, </w:t>
      </w:r>
      <w:r w:rsidRPr="005B6B34">
        <w:rPr>
          <w:rFonts w:cs="Segoe UI Light"/>
          <w:b/>
          <w:szCs w:val="20"/>
        </w:rPr>
        <w:t>Option 1</w:t>
      </w:r>
      <w:r w:rsidRPr="005B6B34">
        <w:rPr>
          <w:rFonts w:cs="Segoe UI Light"/>
          <w:szCs w:val="20"/>
        </w:rPr>
        <w:t xml:space="preserve"> is expected to </w:t>
      </w:r>
      <w:r w:rsidRPr="00D4650A">
        <w:rPr>
          <w:rFonts w:cs="Segoe UI Light"/>
          <w:szCs w:val="20"/>
        </w:rPr>
        <w:t xml:space="preserve">significantly </w:t>
      </w:r>
      <w:r w:rsidRPr="005B6B34">
        <w:rPr>
          <w:rFonts w:cs="Segoe UI Light"/>
          <w:szCs w:val="20"/>
        </w:rPr>
        <w:t xml:space="preserve">reduce </w:t>
      </w:r>
      <w:r w:rsidR="005C568C" w:rsidRPr="005B6B34">
        <w:rPr>
          <w:rFonts w:cs="Segoe UI Light"/>
          <w:szCs w:val="20"/>
        </w:rPr>
        <w:t>administrative</w:t>
      </w:r>
      <w:r w:rsidRPr="005B6B34">
        <w:rPr>
          <w:rFonts w:cs="Segoe UI Light"/>
          <w:szCs w:val="20"/>
        </w:rPr>
        <w:t xml:space="preserve"> and monitoring costs to </w:t>
      </w:r>
      <w:r w:rsidRPr="00D4650A">
        <w:rPr>
          <w:rFonts w:cs="Segoe UI Light"/>
          <w:szCs w:val="20"/>
        </w:rPr>
        <w:t xml:space="preserve">local </w:t>
      </w:r>
      <w:r w:rsidR="00E57E3C">
        <w:rPr>
          <w:rFonts w:cs="Segoe UI Light"/>
          <w:szCs w:val="20"/>
        </w:rPr>
        <w:t>councils</w:t>
      </w:r>
      <w:r w:rsidRPr="00D4650A">
        <w:rPr>
          <w:rFonts w:cs="Segoe UI Light"/>
          <w:szCs w:val="20"/>
        </w:rPr>
        <w:t xml:space="preserve"> and Victoria Police </w:t>
      </w:r>
      <w:r w:rsidRPr="005B6B34">
        <w:rPr>
          <w:rFonts w:cs="Segoe UI Light"/>
          <w:szCs w:val="20"/>
        </w:rPr>
        <w:t xml:space="preserve">relative to the </w:t>
      </w:r>
      <w:r w:rsidR="000514DD">
        <w:rPr>
          <w:rFonts w:cs="Segoe UI Light"/>
          <w:szCs w:val="20"/>
        </w:rPr>
        <w:t>Base Case</w:t>
      </w:r>
      <w:r w:rsidRPr="005B6B34">
        <w:rPr>
          <w:rFonts w:cs="Segoe UI Light"/>
          <w:szCs w:val="20"/>
        </w:rPr>
        <w:t>. A score of +</w:t>
      </w:r>
      <w:r w:rsidRPr="00D4650A">
        <w:rPr>
          <w:rFonts w:cs="Segoe UI Light"/>
          <w:szCs w:val="20"/>
        </w:rPr>
        <w:t>5</w:t>
      </w:r>
      <w:r w:rsidRPr="005B6B34">
        <w:rPr>
          <w:rFonts w:cs="Segoe UI Light"/>
          <w:szCs w:val="20"/>
        </w:rPr>
        <w:t xml:space="preserve"> is given compared to the Base Case.</w:t>
      </w:r>
    </w:p>
    <w:p w14:paraId="656B0ECA" w14:textId="77777777" w:rsidR="005B6B34" w:rsidRPr="005B6B34" w:rsidRDefault="005B6B34" w:rsidP="00F25B16">
      <w:pPr>
        <w:pStyle w:val="Heading3"/>
        <w:ind w:left="720"/>
      </w:pPr>
      <w:r w:rsidRPr="005B6B34">
        <w:t>MCA summary</w:t>
      </w:r>
    </w:p>
    <w:p w14:paraId="656B0ECB" w14:textId="77777777" w:rsidR="005C568C" w:rsidRPr="005B6B34" w:rsidRDefault="005C568C" w:rsidP="005C568C">
      <w:pPr>
        <w:spacing w:after="0"/>
        <w:rPr>
          <w:rFonts w:cs="Segoe UI Light"/>
          <w:szCs w:val="20"/>
        </w:rPr>
      </w:pPr>
      <w:r w:rsidRPr="005C568C">
        <w:rPr>
          <w:rFonts w:cs="Segoe UI Light"/>
          <w:b/>
          <w:bCs/>
          <w:szCs w:val="20"/>
        </w:rPr>
        <w:t>Option 1</w:t>
      </w:r>
      <w:r w:rsidRPr="00D4650A">
        <w:rPr>
          <w:rFonts w:cs="Segoe UI Light"/>
          <w:bCs/>
          <w:szCs w:val="20"/>
        </w:rPr>
        <w:t xml:space="preserve"> is preferred over the </w:t>
      </w:r>
      <w:r w:rsidR="000514DD">
        <w:rPr>
          <w:rFonts w:cs="Segoe UI Light"/>
          <w:bCs/>
          <w:szCs w:val="20"/>
        </w:rPr>
        <w:t>Base Case</w:t>
      </w:r>
      <w:r w:rsidRPr="005B6B34">
        <w:rPr>
          <w:rFonts w:cs="Segoe UI Light"/>
          <w:b/>
          <w:bCs/>
          <w:szCs w:val="20"/>
        </w:rPr>
        <w:t xml:space="preserve">. </w:t>
      </w:r>
      <w:r>
        <w:rPr>
          <w:rFonts w:cs="Segoe UI Light"/>
          <w:b/>
          <w:bCs/>
          <w:szCs w:val="20"/>
        </w:rPr>
        <w:t xml:space="preserve">Option 1 </w:t>
      </w:r>
      <w:r w:rsidRPr="005B6B34">
        <w:rPr>
          <w:rFonts w:cs="Segoe UI Light"/>
          <w:szCs w:val="20"/>
        </w:rPr>
        <w:t>give</w:t>
      </w:r>
      <w:r>
        <w:rPr>
          <w:rFonts w:cs="Segoe UI Light"/>
          <w:szCs w:val="20"/>
        </w:rPr>
        <w:t xml:space="preserve">s </w:t>
      </w:r>
      <w:r w:rsidRPr="005B6B34">
        <w:rPr>
          <w:rFonts w:cs="Segoe UI Light"/>
          <w:szCs w:val="20"/>
        </w:rPr>
        <w:t>effect to the unreasonable and aggravated noise provisions</w:t>
      </w:r>
      <w:r>
        <w:rPr>
          <w:rFonts w:cs="Segoe UI Light"/>
          <w:szCs w:val="20"/>
        </w:rPr>
        <w:t xml:space="preserve"> with respect to residential premises, and support</w:t>
      </w:r>
      <w:r w:rsidR="00E57E3C">
        <w:rPr>
          <w:rFonts w:cs="Segoe UI Light"/>
          <w:szCs w:val="20"/>
        </w:rPr>
        <w:t>s</w:t>
      </w:r>
      <w:r w:rsidRPr="005B6B34">
        <w:rPr>
          <w:rFonts w:cs="Segoe UI Light"/>
          <w:szCs w:val="20"/>
        </w:rPr>
        <w:t xml:space="preserve"> the prevention, compliance and enforcement of unreasonable and aggravated noise</w:t>
      </w:r>
      <w:r>
        <w:rPr>
          <w:rFonts w:cs="Segoe UI Light"/>
          <w:szCs w:val="20"/>
        </w:rPr>
        <w:t>.</w:t>
      </w:r>
      <w:r w:rsidRPr="005B6B34">
        <w:rPr>
          <w:rFonts w:cs="Segoe UI Light"/>
          <w:szCs w:val="20"/>
        </w:rPr>
        <w:t xml:space="preserve"> </w:t>
      </w:r>
      <w:r>
        <w:rPr>
          <w:rFonts w:cs="Segoe UI Light"/>
          <w:b/>
          <w:bCs/>
          <w:szCs w:val="20"/>
        </w:rPr>
        <w:t xml:space="preserve">Option 1 </w:t>
      </w:r>
      <w:r w:rsidRPr="005F512B">
        <w:rPr>
          <w:rFonts w:cs="Segoe UI Light"/>
          <w:bCs/>
          <w:szCs w:val="20"/>
        </w:rPr>
        <w:t>will</w:t>
      </w:r>
      <w:r>
        <w:rPr>
          <w:rFonts w:cs="Segoe UI Light"/>
          <w:b/>
          <w:bCs/>
          <w:szCs w:val="20"/>
        </w:rPr>
        <w:t xml:space="preserve"> </w:t>
      </w:r>
      <w:r w:rsidRPr="005B6B34">
        <w:rPr>
          <w:rFonts w:cs="Segoe UI Light"/>
          <w:szCs w:val="20"/>
        </w:rPr>
        <w:t>reduce the administrative burden of local councils and the Victoria Police</w:t>
      </w:r>
      <w:r>
        <w:rPr>
          <w:rFonts w:cs="Segoe UI Light"/>
          <w:szCs w:val="20"/>
        </w:rPr>
        <w:t>, and is likely to be easily implemented.</w:t>
      </w:r>
      <w:r>
        <w:rPr>
          <w:rFonts w:cs="Segoe UI Light"/>
          <w:b/>
          <w:bCs/>
          <w:szCs w:val="20"/>
        </w:rPr>
        <w:t xml:space="preserve"> </w:t>
      </w:r>
      <w:r w:rsidRPr="00D4650A">
        <w:rPr>
          <w:rFonts w:cs="Segoe UI Light"/>
          <w:b/>
          <w:szCs w:val="20"/>
        </w:rPr>
        <w:t>Option 1</w:t>
      </w:r>
      <w:r w:rsidRPr="005B6B34">
        <w:rPr>
          <w:rFonts w:cs="Segoe UI Light"/>
          <w:szCs w:val="20"/>
        </w:rPr>
        <w:t xml:space="preserve"> is </w:t>
      </w:r>
      <w:r>
        <w:rPr>
          <w:rFonts w:cs="Segoe UI Light"/>
          <w:szCs w:val="20"/>
        </w:rPr>
        <w:t xml:space="preserve">also expected </w:t>
      </w:r>
      <w:r w:rsidRPr="005B6B34">
        <w:rPr>
          <w:rFonts w:cs="Segoe UI Light"/>
          <w:szCs w:val="20"/>
        </w:rPr>
        <w:t>to reduce human health impacts associated with noise annoyance and noise disturbance</w:t>
      </w:r>
      <w:r>
        <w:rPr>
          <w:rFonts w:cs="Segoe UI Light"/>
          <w:szCs w:val="20"/>
        </w:rPr>
        <w:t>.</w:t>
      </w:r>
    </w:p>
    <w:p w14:paraId="656B0ECC" w14:textId="77777777" w:rsidR="005B6B34" w:rsidRPr="00F25B16" w:rsidRDefault="005B6B34" w:rsidP="005B6B34">
      <w:pPr>
        <w:pStyle w:val="Caption"/>
        <w:rPr>
          <w:rFonts w:cs="Segoe UI Light"/>
          <w:sz w:val="18"/>
          <w:szCs w:val="20"/>
        </w:rPr>
      </w:pPr>
      <w:r w:rsidRPr="00F25B16">
        <w:rPr>
          <w:rFonts w:cs="Segoe UI Light"/>
          <w:iCs w:val="0"/>
          <w:sz w:val="18"/>
          <w:szCs w:val="20"/>
        </w:rPr>
        <w:t xml:space="preserve">Table </w:t>
      </w:r>
      <w:r w:rsidRPr="00F25B16">
        <w:rPr>
          <w:rFonts w:cs="Segoe UI Light"/>
          <w:color w:val="2B579A"/>
          <w:sz w:val="18"/>
          <w:szCs w:val="20"/>
          <w:shd w:val="clear" w:color="auto" w:fill="E6E6E6"/>
        </w:rPr>
        <w:fldChar w:fldCharType="begin"/>
      </w:r>
      <w:r w:rsidRPr="00F25B16">
        <w:rPr>
          <w:rFonts w:cs="Segoe UI Light"/>
          <w:iCs w:val="0"/>
          <w:sz w:val="18"/>
          <w:szCs w:val="20"/>
        </w:rPr>
        <w:instrText xml:space="preserve"> STYLEREF 1 \s </w:instrText>
      </w:r>
      <w:r w:rsidRPr="00F25B16">
        <w:rPr>
          <w:rFonts w:cs="Segoe UI Light"/>
          <w:color w:val="2B579A"/>
          <w:sz w:val="18"/>
          <w:szCs w:val="20"/>
          <w:shd w:val="clear" w:color="auto" w:fill="E6E6E6"/>
        </w:rPr>
        <w:fldChar w:fldCharType="separate"/>
      </w:r>
      <w:r w:rsidR="00B11C1E">
        <w:rPr>
          <w:rFonts w:cs="Segoe UI Light"/>
          <w:iCs w:val="0"/>
          <w:noProof/>
          <w:sz w:val="18"/>
          <w:szCs w:val="20"/>
        </w:rPr>
        <w:t>14</w:t>
      </w:r>
      <w:r w:rsidRPr="00F25B16">
        <w:rPr>
          <w:rFonts w:cs="Segoe UI Light"/>
          <w:color w:val="2B579A"/>
          <w:sz w:val="18"/>
          <w:szCs w:val="20"/>
          <w:shd w:val="clear" w:color="auto" w:fill="E6E6E6"/>
        </w:rPr>
        <w:fldChar w:fldCharType="end"/>
      </w:r>
      <w:r w:rsidRPr="00F25B16">
        <w:rPr>
          <w:rFonts w:cs="Segoe UI Light"/>
          <w:iCs w:val="0"/>
          <w:sz w:val="18"/>
          <w:szCs w:val="20"/>
        </w:rPr>
        <w:noBreakHyphen/>
      </w:r>
      <w:r w:rsidR="00997CFA" w:rsidRPr="00F25B16">
        <w:rPr>
          <w:rFonts w:cs="Segoe UI Light"/>
          <w:color w:val="2B579A"/>
          <w:sz w:val="18"/>
          <w:szCs w:val="20"/>
          <w:shd w:val="clear" w:color="auto" w:fill="E6E6E6"/>
        </w:rPr>
        <w:fldChar w:fldCharType="begin"/>
      </w:r>
      <w:r w:rsidR="00997CFA" w:rsidRPr="00F25B16">
        <w:rPr>
          <w:rFonts w:cs="Segoe UI Light"/>
          <w:iCs w:val="0"/>
          <w:sz w:val="18"/>
          <w:szCs w:val="20"/>
        </w:rPr>
        <w:instrText xml:space="preserve"> SEQ Table \* ARABIC \s 1 </w:instrText>
      </w:r>
      <w:r w:rsidR="00997CFA" w:rsidRPr="00F25B16">
        <w:rPr>
          <w:rFonts w:cs="Segoe UI Light"/>
          <w:color w:val="2B579A"/>
          <w:sz w:val="18"/>
          <w:szCs w:val="20"/>
          <w:shd w:val="clear" w:color="auto" w:fill="E6E6E6"/>
        </w:rPr>
        <w:fldChar w:fldCharType="separate"/>
      </w:r>
      <w:r w:rsidR="00B11C1E">
        <w:rPr>
          <w:rFonts w:cs="Segoe UI Light"/>
          <w:iCs w:val="0"/>
          <w:noProof/>
          <w:sz w:val="18"/>
          <w:szCs w:val="20"/>
        </w:rPr>
        <w:t>4</w:t>
      </w:r>
      <w:r w:rsidR="00997CFA" w:rsidRPr="00F25B16">
        <w:rPr>
          <w:rFonts w:cs="Segoe UI Light"/>
          <w:color w:val="2B579A"/>
          <w:sz w:val="18"/>
          <w:szCs w:val="20"/>
          <w:shd w:val="clear" w:color="auto" w:fill="E6E6E6"/>
        </w:rPr>
        <w:fldChar w:fldCharType="end"/>
      </w:r>
      <w:r w:rsidRPr="00F25B16">
        <w:rPr>
          <w:rFonts w:cs="Segoe UI Light"/>
          <w:iCs w:val="0"/>
          <w:sz w:val="18"/>
          <w:szCs w:val="20"/>
        </w:rPr>
        <w:t xml:space="preserve"> Summary of MCA assessment for residential premises</w:t>
      </w:r>
    </w:p>
    <w:tbl>
      <w:tblPr>
        <w:tblStyle w:val="Deloittetable"/>
        <w:tblW w:w="7336" w:type="dxa"/>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
      <w:tblGrid>
        <w:gridCol w:w="4860"/>
        <w:gridCol w:w="2476"/>
      </w:tblGrid>
      <w:tr w:rsidR="005B6B34" w:rsidRPr="005B6B34" w14:paraId="656B0ECF" w14:textId="77777777" w:rsidTr="002D3C05">
        <w:trPr>
          <w:cnfStyle w:val="100000000000" w:firstRow="1" w:lastRow="0" w:firstColumn="0" w:lastColumn="0" w:oddVBand="0" w:evenVBand="0" w:oddHBand="0" w:evenHBand="0" w:firstRowFirstColumn="0" w:firstRowLastColumn="0" w:lastRowFirstColumn="0" w:lastRowLastColumn="0"/>
          <w:trHeight w:val="285"/>
        </w:trPr>
        <w:tc>
          <w:tcPr>
            <w:tcW w:w="0" w:type="dxa"/>
            <w:tcBorders>
              <w:left w:val="nil"/>
              <w:right w:val="nil"/>
            </w:tcBorders>
            <w:noWrap/>
            <w:hideMark/>
          </w:tcPr>
          <w:p w14:paraId="656B0ECD" w14:textId="77777777" w:rsidR="005B6B34" w:rsidRPr="005B6B34" w:rsidRDefault="005B6B34">
            <w:pPr>
              <w:rPr>
                <w:rFonts w:cs="Segoe UI Light"/>
                <w:sz w:val="18"/>
              </w:rPr>
            </w:pPr>
          </w:p>
        </w:tc>
        <w:tc>
          <w:tcPr>
            <w:tcW w:w="0" w:type="dxa"/>
            <w:tcBorders>
              <w:left w:val="nil"/>
              <w:right w:val="nil"/>
            </w:tcBorders>
            <w:noWrap/>
            <w:hideMark/>
          </w:tcPr>
          <w:p w14:paraId="656B0ECE" w14:textId="77777777" w:rsidR="005B6B34" w:rsidRPr="005B6B34" w:rsidRDefault="005B6B34" w:rsidP="002D3C05">
            <w:pPr>
              <w:spacing w:after="0" w:line="240" w:lineRule="auto"/>
              <w:jc w:val="right"/>
              <w:rPr>
                <w:rFonts w:eastAsia="Times New Roman" w:cs="Segoe UI Light"/>
                <w:b/>
                <w:bCs/>
                <w:color w:val="000000"/>
                <w:sz w:val="18"/>
                <w:lang w:eastAsia="en-AU"/>
              </w:rPr>
            </w:pPr>
            <w:r w:rsidRPr="005B6B34">
              <w:rPr>
                <w:rFonts w:eastAsia="Times New Roman" w:cs="Segoe UI Light"/>
                <w:b/>
                <w:bCs/>
                <w:color w:val="000000"/>
                <w:sz w:val="18"/>
                <w:lang w:eastAsia="en-AU"/>
              </w:rPr>
              <w:t>Option 1</w:t>
            </w:r>
          </w:p>
        </w:tc>
      </w:tr>
      <w:tr w:rsidR="005B6B34" w:rsidRPr="005B6B34" w14:paraId="656B0ED2" w14:textId="77777777" w:rsidTr="002D3C05">
        <w:trPr>
          <w:trHeight w:val="465"/>
        </w:trPr>
        <w:tc>
          <w:tcPr>
            <w:tcW w:w="0" w:type="dxa"/>
            <w:tcBorders>
              <w:left w:val="nil"/>
              <w:bottom w:val="single" w:sz="4" w:space="0" w:color="000000" w:themeColor="text1"/>
              <w:right w:val="nil"/>
            </w:tcBorders>
            <w:noWrap/>
            <w:hideMark/>
          </w:tcPr>
          <w:p w14:paraId="656B0ED0" w14:textId="77777777" w:rsidR="005B6B34" w:rsidRPr="005B6B34" w:rsidRDefault="005B6B34">
            <w:pPr>
              <w:spacing w:after="0" w:line="240" w:lineRule="auto"/>
              <w:rPr>
                <w:rFonts w:eastAsia="Times New Roman" w:cs="Segoe UI Light"/>
                <w:b/>
                <w:bCs/>
                <w:color w:val="000000"/>
                <w:sz w:val="18"/>
                <w:lang w:eastAsia="en-AU"/>
              </w:rPr>
            </w:pPr>
            <w:r w:rsidRPr="005B6B34">
              <w:rPr>
                <w:rFonts w:eastAsia="Times New Roman" w:cs="Segoe UI Light"/>
                <w:b/>
                <w:bCs/>
                <w:color w:val="000000"/>
                <w:sz w:val="18"/>
                <w:lang w:eastAsia="en-AU"/>
              </w:rPr>
              <w:t>Criteria</w:t>
            </w:r>
            <w:r w:rsidR="00F25B16">
              <w:rPr>
                <w:rFonts w:eastAsia="Times New Roman" w:cs="Segoe UI Light"/>
                <w:b/>
                <w:bCs/>
                <w:color w:val="000000"/>
                <w:sz w:val="18"/>
                <w:lang w:eastAsia="en-AU"/>
              </w:rPr>
              <w:t xml:space="preserve"> (and weight)</w:t>
            </w:r>
          </w:p>
        </w:tc>
        <w:tc>
          <w:tcPr>
            <w:tcW w:w="0" w:type="dxa"/>
            <w:tcBorders>
              <w:left w:val="nil"/>
              <w:bottom w:val="single" w:sz="4" w:space="0" w:color="000000" w:themeColor="text1"/>
              <w:right w:val="nil"/>
            </w:tcBorders>
            <w:hideMark/>
          </w:tcPr>
          <w:p w14:paraId="656B0ED1" w14:textId="77777777" w:rsidR="005B6B34" w:rsidRPr="005B6B34" w:rsidRDefault="005B6B34" w:rsidP="002D3C05">
            <w:pPr>
              <w:spacing w:after="0" w:line="240" w:lineRule="auto"/>
              <w:jc w:val="right"/>
              <w:rPr>
                <w:rFonts w:eastAsia="Times New Roman" w:cs="Segoe UI Light"/>
                <w:color w:val="000000"/>
                <w:sz w:val="18"/>
                <w:lang w:eastAsia="en-AU"/>
              </w:rPr>
            </w:pPr>
            <w:r w:rsidRPr="005B6B34">
              <w:rPr>
                <w:rFonts w:eastAsia="Times New Roman" w:cs="Segoe UI Light"/>
                <w:color w:val="000000"/>
                <w:sz w:val="18"/>
                <w:lang w:eastAsia="en-AU"/>
              </w:rPr>
              <w:t>Framework and aggravated noise definition</w:t>
            </w:r>
          </w:p>
        </w:tc>
      </w:tr>
      <w:tr w:rsidR="005B6B34" w:rsidRPr="005B6B34" w14:paraId="656B0ED5" w14:textId="77777777" w:rsidTr="005B6B34">
        <w:trPr>
          <w:trHeight w:val="285"/>
        </w:trPr>
        <w:tc>
          <w:tcPr>
            <w:tcW w:w="4860" w:type="dxa"/>
            <w:tcBorders>
              <w:top w:val="single" w:sz="4" w:space="0" w:color="000000" w:themeColor="text1"/>
              <w:left w:val="nil"/>
              <w:bottom w:val="single" w:sz="4" w:space="0" w:color="000000" w:themeColor="text1"/>
              <w:right w:val="nil"/>
            </w:tcBorders>
            <w:noWrap/>
            <w:hideMark/>
          </w:tcPr>
          <w:p w14:paraId="656B0ED3" w14:textId="77777777" w:rsidR="005B6B34" w:rsidRPr="005B6B34" w:rsidRDefault="005B6B34">
            <w:pPr>
              <w:spacing w:after="0" w:line="240" w:lineRule="auto"/>
              <w:rPr>
                <w:rFonts w:eastAsia="Times New Roman" w:cs="Segoe UI Light"/>
                <w:color w:val="000000"/>
                <w:sz w:val="18"/>
                <w:lang w:eastAsia="en-AU"/>
              </w:rPr>
            </w:pPr>
            <w:r w:rsidRPr="005B6B34">
              <w:rPr>
                <w:rFonts w:eastAsia="Times New Roman" w:cs="Segoe UI Light"/>
                <w:color w:val="000000"/>
                <w:sz w:val="18"/>
                <w:lang w:eastAsia="en-AU"/>
              </w:rPr>
              <w:t>Effectiveness</w:t>
            </w:r>
            <w:r w:rsidR="00F25B16">
              <w:rPr>
                <w:rFonts w:eastAsia="Times New Roman" w:cs="Segoe UI Light"/>
                <w:color w:val="000000"/>
                <w:sz w:val="18"/>
                <w:lang w:eastAsia="en-AU"/>
              </w:rPr>
              <w:t xml:space="preserve"> (50%)</w:t>
            </w:r>
          </w:p>
        </w:tc>
        <w:tc>
          <w:tcPr>
            <w:tcW w:w="2476" w:type="dxa"/>
            <w:tcBorders>
              <w:top w:val="single" w:sz="4" w:space="0" w:color="000000" w:themeColor="text1"/>
              <w:left w:val="nil"/>
              <w:bottom w:val="single" w:sz="4" w:space="0" w:color="000000" w:themeColor="text1"/>
              <w:right w:val="nil"/>
            </w:tcBorders>
            <w:noWrap/>
            <w:hideMark/>
          </w:tcPr>
          <w:p w14:paraId="656B0ED4" w14:textId="77777777" w:rsidR="005B6B34" w:rsidRPr="005B6B34" w:rsidRDefault="005B6B34" w:rsidP="002D3C05">
            <w:pPr>
              <w:spacing w:after="0" w:line="240" w:lineRule="auto"/>
              <w:jc w:val="right"/>
              <w:rPr>
                <w:rFonts w:eastAsia="Times New Roman" w:cs="Segoe UI Light"/>
                <w:color w:val="000000"/>
                <w:sz w:val="18"/>
                <w:lang w:eastAsia="en-AU"/>
              </w:rPr>
            </w:pPr>
            <w:r w:rsidRPr="005B6B34">
              <w:rPr>
                <w:rFonts w:eastAsia="Times New Roman" w:cs="Segoe UI Light"/>
                <w:color w:val="000000"/>
                <w:sz w:val="18"/>
                <w:lang w:eastAsia="en-AU"/>
              </w:rPr>
              <w:t>7</w:t>
            </w:r>
          </w:p>
        </w:tc>
      </w:tr>
      <w:tr w:rsidR="005B6B34" w:rsidRPr="005B6B34" w14:paraId="656B0ED8" w14:textId="77777777" w:rsidTr="005B6B34">
        <w:trPr>
          <w:trHeight w:val="285"/>
        </w:trPr>
        <w:tc>
          <w:tcPr>
            <w:tcW w:w="4860" w:type="dxa"/>
            <w:tcBorders>
              <w:top w:val="single" w:sz="4" w:space="0" w:color="000000" w:themeColor="text1"/>
              <w:left w:val="nil"/>
              <w:bottom w:val="single" w:sz="4" w:space="0" w:color="000000" w:themeColor="text1"/>
              <w:right w:val="nil"/>
            </w:tcBorders>
            <w:noWrap/>
            <w:hideMark/>
          </w:tcPr>
          <w:p w14:paraId="656B0ED6" w14:textId="77777777" w:rsidR="005B6B34" w:rsidRPr="005B6B34" w:rsidRDefault="005B6B34">
            <w:pPr>
              <w:spacing w:after="0" w:line="240" w:lineRule="auto"/>
              <w:rPr>
                <w:rFonts w:eastAsia="Times New Roman" w:cs="Segoe UI Light"/>
                <w:color w:val="000000"/>
                <w:sz w:val="18"/>
                <w:lang w:eastAsia="en-AU"/>
              </w:rPr>
            </w:pPr>
            <w:r w:rsidRPr="005B6B34">
              <w:rPr>
                <w:rFonts w:eastAsia="Times New Roman" w:cs="Segoe UI Light"/>
                <w:color w:val="000000"/>
                <w:sz w:val="18"/>
                <w:lang w:eastAsia="en-AU"/>
              </w:rPr>
              <w:t>Cost</w:t>
            </w:r>
            <w:r w:rsidR="00F25B16">
              <w:rPr>
                <w:rFonts w:eastAsia="Times New Roman" w:cs="Segoe UI Light"/>
                <w:color w:val="000000"/>
                <w:sz w:val="18"/>
                <w:lang w:eastAsia="en-AU"/>
              </w:rPr>
              <w:t xml:space="preserve"> (50%)</w:t>
            </w:r>
          </w:p>
        </w:tc>
        <w:tc>
          <w:tcPr>
            <w:tcW w:w="2476" w:type="dxa"/>
            <w:tcBorders>
              <w:top w:val="single" w:sz="4" w:space="0" w:color="000000" w:themeColor="text1"/>
              <w:left w:val="nil"/>
              <w:bottom w:val="single" w:sz="4" w:space="0" w:color="000000" w:themeColor="text1"/>
              <w:right w:val="nil"/>
            </w:tcBorders>
            <w:noWrap/>
            <w:hideMark/>
          </w:tcPr>
          <w:p w14:paraId="656B0ED7" w14:textId="77777777" w:rsidR="005B6B34" w:rsidRPr="005B6B34" w:rsidRDefault="005B6B34" w:rsidP="002D3C05">
            <w:pPr>
              <w:spacing w:after="0" w:line="240" w:lineRule="auto"/>
              <w:jc w:val="right"/>
              <w:rPr>
                <w:rFonts w:eastAsia="Times New Roman" w:cs="Segoe UI Light"/>
                <w:color w:val="000000"/>
                <w:sz w:val="18"/>
                <w:lang w:eastAsia="en-AU"/>
              </w:rPr>
            </w:pPr>
            <w:r w:rsidRPr="005B6B34">
              <w:rPr>
                <w:rFonts w:eastAsia="Times New Roman" w:cs="Segoe UI Light"/>
                <w:color w:val="000000"/>
                <w:sz w:val="18"/>
                <w:lang w:eastAsia="en-AU"/>
              </w:rPr>
              <w:t>5</w:t>
            </w:r>
          </w:p>
        </w:tc>
      </w:tr>
      <w:tr w:rsidR="005B6B34" w:rsidRPr="005B6B34" w14:paraId="656B0EDB" w14:textId="77777777" w:rsidTr="005B6B34">
        <w:trPr>
          <w:trHeight w:val="285"/>
        </w:trPr>
        <w:tc>
          <w:tcPr>
            <w:tcW w:w="4860" w:type="dxa"/>
            <w:tcBorders>
              <w:top w:val="single" w:sz="4" w:space="0" w:color="000000" w:themeColor="text1"/>
              <w:left w:val="nil"/>
              <w:bottom w:val="single" w:sz="4" w:space="0" w:color="000000" w:themeColor="text1"/>
              <w:right w:val="nil"/>
            </w:tcBorders>
            <w:noWrap/>
            <w:hideMark/>
          </w:tcPr>
          <w:p w14:paraId="656B0ED9" w14:textId="77777777" w:rsidR="005B6B34" w:rsidRPr="005B6B34" w:rsidRDefault="005B6B34">
            <w:pPr>
              <w:spacing w:after="0" w:line="240" w:lineRule="auto"/>
              <w:rPr>
                <w:rFonts w:eastAsia="Times New Roman" w:cs="Segoe UI Light"/>
                <w:b/>
                <w:bCs/>
                <w:color w:val="000000"/>
                <w:sz w:val="18"/>
                <w:lang w:eastAsia="en-AU"/>
              </w:rPr>
            </w:pPr>
            <w:r w:rsidRPr="005B6B34">
              <w:rPr>
                <w:rFonts w:eastAsia="Times New Roman" w:cs="Segoe UI Light"/>
                <w:b/>
                <w:bCs/>
                <w:color w:val="000000"/>
                <w:sz w:val="18"/>
                <w:lang w:eastAsia="en-AU"/>
              </w:rPr>
              <w:t xml:space="preserve">Total </w:t>
            </w:r>
            <w:r w:rsidR="00F25B16">
              <w:rPr>
                <w:rFonts w:eastAsia="Times New Roman" w:cs="Segoe UI Light"/>
                <w:b/>
                <w:bCs/>
                <w:color w:val="000000"/>
                <w:sz w:val="18"/>
                <w:lang w:eastAsia="en-AU"/>
              </w:rPr>
              <w:t xml:space="preserve">weighted </w:t>
            </w:r>
            <w:r w:rsidRPr="005B6B34">
              <w:rPr>
                <w:rFonts w:eastAsia="Times New Roman" w:cs="Segoe UI Light"/>
                <w:b/>
                <w:bCs/>
                <w:color w:val="000000"/>
                <w:sz w:val="18"/>
                <w:lang w:eastAsia="en-AU"/>
              </w:rPr>
              <w:t>score</w:t>
            </w:r>
          </w:p>
        </w:tc>
        <w:tc>
          <w:tcPr>
            <w:tcW w:w="2476" w:type="dxa"/>
            <w:tcBorders>
              <w:top w:val="single" w:sz="4" w:space="0" w:color="000000" w:themeColor="text1"/>
              <w:left w:val="nil"/>
              <w:bottom w:val="single" w:sz="4" w:space="0" w:color="000000" w:themeColor="text1"/>
              <w:right w:val="nil"/>
            </w:tcBorders>
            <w:noWrap/>
            <w:hideMark/>
          </w:tcPr>
          <w:p w14:paraId="656B0EDA" w14:textId="77777777" w:rsidR="005B6B34" w:rsidRPr="005B6B34" w:rsidRDefault="00F25B16" w:rsidP="002D3C05">
            <w:pPr>
              <w:spacing w:after="0" w:line="240" w:lineRule="auto"/>
              <w:jc w:val="right"/>
              <w:rPr>
                <w:rFonts w:eastAsia="Times New Roman" w:cs="Segoe UI Light"/>
                <w:b/>
                <w:bCs/>
                <w:color w:val="000000"/>
                <w:sz w:val="18"/>
                <w:lang w:eastAsia="en-AU"/>
              </w:rPr>
            </w:pPr>
            <w:r>
              <w:rPr>
                <w:rFonts w:eastAsia="Times New Roman" w:cs="Segoe UI Light"/>
                <w:b/>
                <w:bCs/>
                <w:color w:val="000000"/>
                <w:sz w:val="18"/>
                <w:lang w:eastAsia="en-AU"/>
              </w:rPr>
              <w:t>6</w:t>
            </w:r>
          </w:p>
        </w:tc>
      </w:tr>
    </w:tbl>
    <w:p w14:paraId="656B0EDC" w14:textId="77777777" w:rsidR="005B6B34" w:rsidRPr="005B6B34" w:rsidRDefault="005B6B34" w:rsidP="005B6B34">
      <w:pPr>
        <w:pStyle w:val="CommentText"/>
        <w:rPr>
          <w:rFonts w:cs="Segoe UI Light"/>
        </w:rPr>
      </w:pPr>
    </w:p>
    <w:p w14:paraId="656B0EDD" w14:textId="77777777" w:rsidR="008E1D2B" w:rsidRDefault="00DB2091" w:rsidP="008E1D2B">
      <w:pPr>
        <w:pStyle w:val="Heading1"/>
      </w:pPr>
      <w:bookmarkStart w:id="1903" w:name="_Ref288705"/>
      <w:bookmarkStart w:id="1904" w:name="_Toc342685"/>
      <w:bookmarkStart w:id="1905" w:name="_Toc10018336"/>
      <w:bookmarkStart w:id="1906" w:name="_Toc10021443"/>
      <w:bookmarkStart w:id="1907" w:name="_Toc10021857"/>
      <w:bookmarkStart w:id="1908" w:name="_Toc12892341"/>
      <w:bookmarkStart w:id="1909" w:name="_Toc536055011"/>
      <w:bookmarkStart w:id="1910" w:name="_Ref536136662"/>
      <w:bookmarkStart w:id="1911" w:name="_Ref536455158"/>
      <w:bookmarkStart w:id="1912" w:name="_Ref536458152"/>
      <w:bookmarkStart w:id="1913" w:name="_Ref536465718"/>
      <w:bookmarkStart w:id="1914" w:name="_Ref536465724"/>
      <w:bookmarkStart w:id="1915" w:name="_Toc536807110"/>
      <w:r>
        <w:t>Vehicle emissi</w:t>
      </w:r>
      <w:r w:rsidR="008E1D2B">
        <w:t>ons</w:t>
      </w:r>
      <w:bookmarkEnd w:id="1903"/>
      <w:bookmarkEnd w:id="1904"/>
      <w:bookmarkEnd w:id="1905"/>
      <w:bookmarkEnd w:id="1906"/>
      <w:bookmarkEnd w:id="1907"/>
      <w:bookmarkEnd w:id="1908"/>
    </w:p>
    <w:p w14:paraId="656B0EDE" w14:textId="77777777" w:rsidR="00A976EF" w:rsidRPr="00040A06" w:rsidRDefault="00A976EF" w:rsidP="00A976EF">
      <w:pPr>
        <w:mirrorIndents/>
        <w:rPr>
          <w:b/>
          <w:color w:val="808080" w:themeColor="background1" w:themeShade="80"/>
        </w:rPr>
      </w:pPr>
      <w:r w:rsidRPr="00E41BF3">
        <w:rPr>
          <w:b/>
          <w:color w:val="808080" w:themeColor="background1" w:themeShade="80"/>
        </w:rPr>
        <w:t xml:space="preserve">This chapter </w:t>
      </w:r>
      <w:r>
        <w:rPr>
          <w:b/>
          <w:color w:val="808080" w:themeColor="background1" w:themeShade="80"/>
        </w:rPr>
        <w:t xml:space="preserve">outlines the problem of emissions from vehicles in Victoria, and </w:t>
      </w:r>
      <w:r w:rsidR="00AF5948">
        <w:rPr>
          <w:b/>
          <w:color w:val="808080" w:themeColor="background1" w:themeShade="80"/>
        </w:rPr>
        <w:t>assesses the proposal to</w:t>
      </w:r>
      <w:r>
        <w:rPr>
          <w:b/>
          <w:color w:val="808080" w:themeColor="background1" w:themeShade="80"/>
        </w:rPr>
        <w:t xml:space="preserve"> </w:t>
      </w:r>
      <w:r w:rsidR="007C5677">
        <w:rPr>
          <w:b/>
          <w:color w:val="808080" w:themeColor="background1" w:themeShade="80"/>
        </w:rPr>
        <w:t xml:space="preserve">incorporate existing Motor Vehicle Regulations into the </w:t>
      </w:r>
      <w:r w:rsidR="00AF5948">
        <w:rPr>
          <w:b/>
          <w:color w:val="808080" w:themeColor="background1" w:themeShade="80"/>
        </w:rPr>
        <w:t>proposed</w:t>
      </w:r>
      <w:r w:rsidR="007C5677">
        <w:rPr>
          <w:b/>
          <w:color w:val="808080" w:themeColor="background1" w:themeShade="80"/>
        </w:rPr>
        <w:t xml:space="preserve"> Regulations</w:t>
      </w:r>
      <w:r w:rsidR="00AF5948">
        <w:rPr>
          <w:b/>
          <w:color w:val="808080" w:themeColor="background1" w:themeShade="80"/>
        </w:rPr>
        <w:t>.</w:t>
      </w:r>
    </w:p>
    <w:p w14:paraId="656B0EDF" w14:textId="77777777" w:rsidR="00A976EF" w:rsidRPr="00E41BF3" w:rsidRDefault="00A976EF" w:rsidP="00A976EF">
      <w:pPr>
        <w:mirrorIndents/>
        <w:rPr>
          <w:color w:val="808080" w:themeColor="background1" w:themeShade="80"/>
        </w:rPr>
      </w:pPr>
      <w:r w:rsidRPr="00B70E30">
        <w:rPr>
          <w:rFonts w:cs="Segoe UI Light"/>
          <w:noProof/>
          <w:color w:val="2B579A"/>
          <w:shd w:val="clear" w:color="auto" w:fill="E6E6E6"/>
          <w:lang w:eastAsia="en-AU"/>
        </w:rPr>
        <mc:AlternateContent>
          <mc:Choice Requires="wps">
            <w:drawing>
              <wp:inline distT="0" distB="0" distL="0" distR="0" wp14:anchorId="656B1EC0" wp14:editId="656B1EC1">
                <wp:extent cx="5940425" cy="4206240"/>
                <wp:effectExtent l="0" t="0" r="22225" b="22860"/>
                <wp:docPr id="36" name="Rectangle 36"/>
                <wp:cNvGraphicFramePr/>
                <a:graphic xmlns:a="http://schemas.openxmlformats.org/drawingml/2006/main">
                  <a:graphicData uri="http://schemas.microsoft.com/office/word/2010/wordprocessingShape">
                    <wps:wsp>
                      <wps:cNvSpPr/>
                      <wps:spPr bwMode="gray">
                        <a:xfrm>
                          <a:off x="0" y="0"/>
                          <a:ext cx="5940425" cy="4206240"/>
                        </a:xfrm>
                        <a:prstGeom prst="rect">
                          <a:avLst/>
                        </a:prstGeom>
                        <a:solidFill>
                          <a:schemeClr val="bg2"/>
                        </a:solidFill>
                        <a:ln w="19050" algn="ctr">
                          <a:solidFill>
                            <a:srgbClr val="62B5E5"/>
                          </a:solidFill>
                          <a:miter lim="800000"/>
                          <a:headEnd/>
                          <a:tailEnd/>
                        </a:ln>
                      </wps:spPr>
                      <wps:txbx>
                        <w:txbxContent>
                          <w:p w14:paraId="656B222C" w14:textId="77777777" w:rsidR="00E752DE" w:rsidRPr="007553F2" w:rsidRDefault="00E752DE" w:rsidP="00A976EF">
                            <w:pPr>
                              <w:ind w:right="262"/>
                              <w:rPr>
                                <w:rFonts w:cs="Segoe UI Light"/>
                                <w:b/>
                                <w:color w:val="FF0000"/>
                              </w:rPr>
                            </w:pPr>
                            <w:r w:rsidRPr="005D5854">
                              <w:rPr>
                                <w:rFonts w:cs="Segoe UI Light"/>
                                <w:b/>
                                <w:color w:val="012169" w:themeColor="accent4"/>
                              </w:rPr>
                              <w:t>Key points:</w:t>
                            </w:r>
                          </w:p>
                          <w:p w14:paraId="656B222D" w14:textId="77777777" w:rsidR="00E752DE" w:rsidRPr="00E6726F" w:rsidRDefault="00E752DE" w:rsidP="004A2442">
                            <w:pPr>
                              <w:pStyle w:val="ListParagraph"/>
                              <w:numPr>
                                <w:ilvl w:val="0"/>
                                <w:numId w:val="62"/>
                              </w:numPr>
                              <w:ind w:right="262"/>
                              <w:mirrorIndents/>
                              <w:rPr>
                                <w:rFonts w:cs="Segoe UI Light"/>
                              </w:rPr>
                            </w:pPr>
                            <w:r w:rsidRPr="00E6726F">
                              <w:t>Motor vehicles, although an important part of everyday life, are a significant source of air pollution emissions (including greenhouse gases) and noise.</w:t>
                            </w:r>
                          </w:p>
                          <w:p w14:paraId="656B222E" w14:textId="77777777" w:rsidR="00E752DE" w:rsidRPr="00040A06" w:rsidRDefault="00E752DE" w:rsidP="004A2442">
                            <w:pPr>
                              <w:pStyle w:val="ListParagraph"/>
                              <w:numPr>
                                <w:ilvl w:val="0"/>
                                <w:numId w:val="62"/>
                              </w:numPr>
                              <w:ind w:right="262"/>
                              <w:mirrorIndents/>
                              <w:rPr>
                                <w:rFonts w:cs="Segoe UI Light"/>
                              </w:rPr>
                            </w:pPr>
                            <w:r w:rsidRPr="00E6726F">
                              <w:t xml:space="preserve">The </w:t>
                            </w:r>
                            <w:r w:rsidRPr="00E6726F">
                              <w:rPr>
                                <w:i/>
                              </w:rPr>
                              <w:t xml:space="preserve">Environment Protection (Vehicle Emissions) Regulations 2013 </w:t>
                            </w:r>
                            <w:r w:rsidRPr="00E6726F">
                              <w:t xml:space="preserve">set various air and noise emission requirements for in-service light vehicles (under 4.5 tonnes gross vehicle mass). </w:t>
                            </w:r>
                          </w:p>
                          <w:p w14:paraId="656B222F" w14:textId="77777777" w:rsidR="00E752DE" w:rsidRPr="00B05634" w:rsidRDefault="00E752DE" w:rsidP="004A2442">
                            <w:pPr>
                              <w:pStyle w:val="ListParagraph"/>
                              <w:numPr>
                                <w:ilvl w:val="0"/>
                                <w:numId w:val="62"/>
                              </w:numPr>
                              <w:ind w:right="262"/>
                              <w:mirrorIndents/>
                              <w:rPr>
                                <w:rFonts w:cs="Segoe UI Light"/>
                              </w:rPr>
                            </w:pPr>
                            <w:r w:rsidRPr="00E6726F">
                              <w:t xml:space="preserve">The </w:t>
                            </w:r>
                            <w:r>
                              <w:t xml:space="preserve">new EP legislation makes clear the intention of the Victorian Government - to continue to regulate vehicle emissions in a similar manner, by including a </w:t>
                            </w:r>
                            <w:r w:rsidRPr="00911769">
                              <w:t>provision to save</w:t>
                            </w:r>
                            <w:r>
                              <w:t xml:space="preserve"> </w:t>
                            </w:r>
                            <w:r w:rsidRPr="00E6726F">
                              <w:t xml:space="preserve">the </w:t>
                            </w:r>
                            <w:r w:rsidRPr="00E6726F">
                              <w:rPr>
                                <w:i/>
                              </w:rPr>
                              <w:t>Environment Protection (Vehicle Emissions) Regulations 2013</w:t>
                            </w:r>
                            <w:r w:rsidRPr="00302D8D">
                              <w:t>. This</w:t>
                            </w:r>
                            <w:r w:rsidRPr="00E6726F">
                              <w:t xml:space="preserve"> means that, </w:t>
                            </w:r>
                            <w:r>
                              <w:t>in the absence of</w:t>
                            </w:r>
                            <w:r w:rsidRPr="00E6726F">
                              <w:t xml:space="preserve"> fu</w:t>
                            </w:r>
                            <w:r>
                              <w:t xml:space="preserve">rther government intervention, these regulations </w:t>
                            </w:r>
                            <w:r w:rsidRPr="00E6726F">
                              <w:t xml:space="preserve">remain in force under the </w:t>
                            </w:r>
                            <w:r>
                              <w:t xml:space="preserve">new EP legislation </w:t>
                            </w:r>
                            <w:r w:rsidRPr="00E6726F">
                              <w:t>until t</w:t>
                            </w:r>
                            <w:r w:rsidRPr="00B05634">
                              <w:t xml:space="preserve">hey sunset in December 2023. </w:t>
                            </w:r>
                          </w:p>
                          <w:p w14:paraId="656B2230" w14:textId="77777777" w:rsidR="00E752DE" w:rsidRPr="00F25B16" w:rsidRDefault="00E752DE" w:rsidP="002D3C05">
                            <w:pPr>
                              <w:pStyle w:val="ListParagraph"/>
                              <w:numPr>
                                <w:ilvl w:val="0"/>
                                <w:numId w:val="62"/>
                              </w:numPr>
                              <w:ind w:right="262"/>
                              <w:mirrorIndents/>
                            </w:pPr>
                            <w:r w:rsidRPr="00F25B16">
                              <w:t xml:space="preserve">The residual risk is that reliance on the </w:t>
                            </w:r>
                            <w:r w:rsidRPr="00F25B16">
                              <w:rPr>
                                <w:i/>
                              </w:rPr>
                              <w:t>Environment Protection (Vehicle Emissions) Regulations 2013</w:t>
                            </w:r>
                            <w:r w:rsidRPr="00F25B16">
                              <w:t xml:space="preserve"> under the new EP legislation may result in a complex and confusing legislative structure for duty holders and EPA officers, which may result in a small increase in regulatory burden for businesses and EPA. </w:t>
                            </w:r>
                          </w:p>
                          <w:p w14:paraId="656B2231" w14:textId="6817A140" w:rsidR="00E752DE" w:rsidRPr="00E6726F" w:rsidRDefault="00E752DE" w:rsidP="004A2442">
                            <w:pPr>
                              <w:pStyle w:val="ListParagraph"/>
                              <w:numPr>
                                <w:ilvl w:val="0"/>
                                <w:numId w:val="62"/>
                              </w:numPr>
                              <w:ind w:right="262"/>
                              <w:mirrorIndents/>
                              <w:rPr>
                                <w:rFonts w:cs="Segoe UI Light"/>
                              </w:rPr>
                            </w:pPr>
                            <w:r w:rsidRPr="00040A06">
                              <w:rPr>
                                <w:rFonts w:cs="Segoe UI Light"/>
                              </w:rPr>
                              <w:t xml:space="preserve">Translating the </w:t>
                            </w:r>
                            <w:r w:rsidRPr="00E6726F">
                              <w:rPr>
                                <w:i/>
                              </w:rPr>
                              <w:t xml:space="preserve">Environment Protection (Vehicle Emissions) Regulations 2013 </w:t>
                            </w:r>
                            <w:r w:rsidRPr="00E6726F">
                              <w:t>into the proposed Environment Protection Regulations 20</w:t>
                            </w:r>
                            <w:r>
                              <w:t>19</w:t>
                            </w:r>
                            <w:r w:rsidRPr="00E6726F">
                              <w:t xml:space="preserve"> overcomes this limitation. </w:t>
                            </w:r>
                          </w:p>
                          <w:p w14:paraId="656B2232" w14:textId="77777777" w:rsidR="00E752DE" w:rsidRPr="00E6726F" w:rsidRDefault="00E752DE" w:rsidP="004A2442">
                            <w:pPr>
                              <w:pStyle w:val="ListParagraph"/>
                              <w:numPr>
                                <w:ilvl w:val="0"/>
                                <w:numId w:val="62"/>
                              </w:numPr>
                              <w:ind w:right="262"/>
                              <w:mirrorIndents/>
                              <w:rPr>
                                <w:rFonts w:cs="Segoe UI Light"/>
                              </w:rPr>
                            </w:pPr>
                            <w:r w:rsidRPr="00040A06">
                              <w:rPr>
                                <w:rFonts w:cs="Segoe UI Light"/>
                              </w:rPr>
                              <w:t xml:space="preserve">The current reform of subordinate legislation also presents an opportunity to </w:t>
                            </w:r>
                            <w:r w:rsidRPr="00E6726F">
                              <w:t xml:space="preserve">incorporate </w:t>
                            </w:r>
                            <w:r>
                              <w:t xml:space="preserve">relatively minor changes to ensure consistency with the national motor vehicle rules, and to ensure the regulatory requirements apply consistently to all duty holders </w:t>
                            </w:r>
                            <w:r w:rsidRPr="00E6726F">
                              <w:t>without adding any additional burden</w:t>
                            </w:r>
                            <w:r>
                              <w:t xml:space="preserve"> on them</w:t>
                            </w:r>
                            <w:r w:rsidRPr="00E6726F">
                              <w:t>.</w:t>
                            </w:r>
                          </w:p>
                          <w:p w14:paraId="656B2233" w14:textId="40A92DB1" w:rsidR="00E752DE" w:rsidRPr="00040A06" w:rsidRDefault="00E752DE" w:rsidP="004A2442">
                            <w:pPr>
                              <w:pStyle w:val="ListParagraph"/>
                              <w:numPr>
                                <w:ilvl w:val="0"/>
                                <w:numId w:val="62"/>
                              </w:numPr>
                              <w:ind w:right="262"/>
                              <w:mirrorIndents/>
                              <w:rPr>
                                <w:rFonts w:cs="Segoe UI Light"/>
                              </w:rPr>
                            </w:pPr>
                            <w:r w:rsidRPr="00E6726F">
                              <w:t xml:space="preserve">As such, the preferred approach is to incorporate </w:t>
                            </w:r>
                            <w:r>
                              <w:t xml:space="preserve">these </w:t>
                            </w:r>
                            <w:r w:rsidRPr="00E6726F">
                              <w:t>change</w:t>
                            </w:r>
                            <w:r>
                              <w:t>s</w:t>
                            </w:r>
                            <w:r w:rsidRPr="00E6726F">
                              <w:t xml:space="preserve"> when t</w:t>
                            </w:r>
                            <w:r w:rsidRPr="00040A06">
                              <w:rPr>
                                <w:rFonts w:cs="Segoe UI Light"/>
                              </w:rPr>
                              <w:t xml:space="preserve">ranslating the </w:t>
                            </w:r>
                            <w:r w:rsidRPr="00E6726F">
                              <w:rPr>
                                <w:i/>
                              </w:rPr>
                              <w:t xml:space="preserve">Environment Protection (Vehicle Emissions) Regulations 2013 </w:t>
                            </w:r>
                            <w:r w:rsidRPr="00E6726F">
                              <w:t>into the proposed Environment Protection Regulations 20</w:t>
                            </w:r>
                            <w:r>
                              <w:t>19.</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56B1EC0" id="Rectangle 36" o:spid="_x0000_s1078" style="width:467.75pt;height:331.2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" fillcolor="#e7e6e6 [3214]" strokecolor="#62b5e5" strokeweight="1.5pt">
                <v:textbox inset="7pt,7pt,7pt,7pt">
                  <w:txbxContent>
                    <w:p w14:paraId="656B222C" w14:textId="77777777" w:rsidR="00E752DE" w:rsidRPr="007553F2" w:rsidRDefault="00E752DE" w:rsidP="00A976EF">
                      <w:pPr>
                        <w:ind w:right="262"/>
                        <w:rPr>
                          <w:rFonts w:cs="Segoe UI Light"/>
                          <w:b/>
                          <w:color w:val="FF0000"/>
                        </w:rPr>
                      </w:pPr>
                      <w:r w:rsidRPr="005D5854">
                        <w:rPr>
                          <w:rFonts w:cs="Segoe UI Light"/>
                          <w:b/>
                          <w:color w:val="012169" w:themeColor="accent4"/>
                        </w:rPr>
                        <w:t>Key points:</w:t>
                      </w:r>
                    </w:p>
                    <w:p w14:paraId="656B222D" w14:textId="77777777" w:rsidR="00E752DE" w:rsidRPr="00E6726F" w:rsidRDefault="00E752DE" w:rsidP="004A2442">
                      <w:pPr>
                        <w:pStyle w:val="ListParagraph"/>
                        <w:numPr>
                          <w:ilvl w:val="0"/>
                          <w:numId w:val="62"/>
                        </w:numPr>
                        <w:ind w:right="262"/>
                        <w:mirrorIndents/>
                        <w:rPr>
                          <w:rFonts w:cs="Segoe UI Light"/>
                        </w:rPr>
                      </w:pPr>
                      <w:r w:rsidRPr="00E6726F">
                        <w:t>Motor vehicles, although an important part of everyday life, are a significant source of air pollution emissions (including greenhouse gases) and noise.</w:t>
                      </w:r>
                    </w:p>
                    <w:p w14:paraId="656B222E" w14:textId="77777777" w:rsidR="00E752DE" w:rsidRPr="00040A06" w:rsidRDefault="00E752DE" w:rsidP="004A2442">
                      <w:pPr>
                        <w:pStyle w:val="ListParagraph"/>
                        <w:numPr>
                          <w:ilvl w:val="0"/>
                          <w:numId w:val="62"/>
                        </w:numPr>
                        <w:ind w:right="262"/>
                        <w:mirrorIndents/>
                        <w:rPr>
                          <w:rFonts w:cs="Segoe UI Light"/>
                        </w:rPr>
                      </w:pPr>
                      <w:r w:rsidRPr="00E6726F">
                        <w:t xml:space="preserve">The </w:t>
                      </w:r>
                      <w:r w:rsidRPr="00E6726F">
                        <w:rPr>
                          <w:i/>
                        </w:rPr>
                        <w:t xml:space="preserve">Environment Protection (Vehicle Emissions) Regulations 2013 </w:t>
                      </w:r>
                      <w:r w:rsidRPr="00E6726F">
                        <w:t xml:space="preserve">set various air and noise emission requirements for in-service light vehicles (under 4.5 tonnes gross vehicle mass). </w:t>
                      </w:r>
                    </w:p>
                    <w:p w14:paraId="656B222F" w14:textId="77777777" w:rsidR="00E752DE" w:rsidRPr="00B05634" w:rsidRDefault="00E752DE" w:rsidP="004A2442">
                      <w:pPr>
                        <w:pStyle w:val="ListParagraph"/>
                        <w:numPr>
                          <w:ilvl w:val="0"/>
                          <w:numId w:val="62"/>
                        </w:numPr>
                        <w:ind w:right="262"/>
                        <w:mirrorIndents/>
                        <w:rPr>
                          <w:rFonts w:cs="Segoe UI Light"/>
                        </w:rPr>
                      </w:pPr>
                      <w:r w:rsidRPr="00E6726F">
                        <w:t xml:space="preserve">The </w:t>
                      </w:r>
                      <w:r>
                        <w:t xml:space="preserve">new EP legislation makes clear the intention of the Victorian Government - to continue to regulate vehicle emissions in a similar manner, by including a </w:t>
                      </w:r>
                      <w:r w:rsidRPr="00911769">
                        <w:t>provision to save</w:t>
                      </w:r>
                      <w:r>
                        <w:t xml:space="preserve"> </w:t>
                      </w:r>
                      <w:r w:rsidRPr="00E6726F">
                        <w:t xml:space="preserve">the </w:t>
                      </w:r>
                      <w:r w:rsidRPr="00E6726F">
                        <w:rPr>
                          <w:i/>
                        </w:rPr>
                        <w:t>Environment Protection (Vehicle Emissions) Regulations 2013</w:t>
                      </w:r>
                      <w:r w:rsidRPr="00302D8D">
                        <w:t>. This</w:t>
                      </w:r>
                      <w:r w:rsidRPr="00E6726F">
                        <w:t xml:space="preserve"> means that, </w:t>
                      </w:r>
                      <w:r>
                        <w:t>in the absence of</w:t>
                      </w:r>
                      <w:r w:rsidRPr="00E6726F">
                        <w:t xml:space="preserve"> fu</w:t>
                      </w:r>
                      <w:r>
                        <w:t xml:space="preserve">rther government intervention, these regulations </w:t>
                      </w:r>
                      <w:r w:rsidRPr="00E6726F">
                        <w:t xml:space="preserve">remain in force under the </w:t>
                      </w:r>
                      <w:r>
                        <w:t xml:space="preserve">new EP legislation </w:t>
                      </w:r>
                      <w:r w:rsidRPr="00E6726F">
                        <w:t>until t</w:t>
                      </w:r>
                      <w:r w:rsidRPr="00B05634">
                        <w:t xml:space="preserve">hey sunset in December 2023. </w:t>
                      </w:r>
                    </w:p>
                    <w:p w14:paraId="656B2230" w14:textId="77777777" w:rsidR="00E752DE" w:rsidRPr="00F25B16" w:rsidRDefault="00E752DE" w:rsidP="002D3C05">
                      <w:pPr>
                        <w:pStyle w:val="ListParagraph"/>
                        <w:numPr>
                          <w:ilvl w:val="0"/>
                          <w:numId w:val="62"/>
                        </w:numPr>
                        <w:ind w:right="262"/>
                        <w:mirrorIndents/>
                      </w:pPr>
                      <w:r w:rsidRPr="00F25B16">
                        <w:t xml:space="preserve">The residual risk is that reliance on the </w:t>
                      </w:r>
                      <w:r w:rsidRPr="00F25B16">
                        <w:rPr>
                          <w:i/>
                        </w:rPr>
                        <w:t>Environment Protection (Vehicle Emissions) Regulations 2013</w:t>
                      </w:r>
                      <w:r w:rsidRPr="00F25B16">
                        <w:t xml:space="preserve"> under the new EP legislation may result in a complex and confusing legislative structure for duty holders and EPA officers, which may result in a small increase in regulatory burden for businesses and EPA. </w:t>
                      </w:r>
                    </w:p>
                    <w:p w14:paraId="656B2231" w14:textId="6817A140" w:rsidR="00E752DE" w:rsidRPr="00E6726F" w:rsidRDefault="00E752DE" w:rsidP="004A2442">
                      <w:pPr>
                        <w:pStyle w:val="ListParagraph"/>
                        <w:numPr>
                          <w:ilvl w:val="0"/>
                          <w:numId w:val="62"/>
                        </w:numPr>
                        <w:ind w:right="262"/>
                        <w:mirrorIndents/>
                        <w:rPr>
                          <w:rFonts w:cs="Segoe UI Light"/>
                        </w:rPr>
                      </w:pPr>
                      <w:r w:rsidRPr="00040A06">
                        <w:rPr>
                          <w:rFonts w:cs="Segoe UI Light"/>
                        </w:rPr>
                        <w:t xml:space="preserve">Translating the </w:t>
                      </w:r>
                      <w:r w:rsidRPr="00E6726F">
                        <w:rPr>
                          <w:i/>
                        </w:rPr>
                        <w:t xml:space="preserve">Environment Protection (Vehicle Emissions) Regulations 2013 </w:t>
                      </w:r>
                      <w:r w:rsidRPr="00E6726F">
                        <w:t>into the proposed Environment Protection Regulations 20</w:t>
                      </w:r>
                      <w:r>
                        <w:t>19</w:t>
                      </w:r>
                      <w:r w:rsidRPr="00E6726F">
                        <w:t xml:space="preserve"> overcomes this limitation. </w:t>
                      </w:r>
                    </w:p>
                    <w:p w14:paraId="656B2232" w14:textId="77777777" w:rsidR="00E752DE" w:rsidRPr="00E6726F" w:rsidRDefault="00E752DE" w:rsidP="004A2442">
                      <w:pPr>
                        <w:pStyle w:val="ListParagraph"/>
                        <w:numPr>
                          <w:ilvl w:val="0"/>
                          <w:numId w:val="62"/>
                        </w:numPr>
                        <w:ind w:right="262"/>
                        <w:mirrorIndents/>
                        <w:rPr>
                          <w:rFonts w:cs="Segoe UI Light"/>
                        </w:rPr>
                      </w:pPr>
                      <w:r w:rsidRPr="00040A06">
                        <w:rPr>
                          <w:rFonts w:cs="Segoe UI Light"/>
                        </w:rPr>
                        <w:t xml:space="preserve">The current reform of subordinate legislation also presents an opportunity to </w:t>
                      </w:r>
                      <w:r w:rsidRPr="00E6726F">
                        <w:t xml:space="preserve">incorporate </w:t>
                      </w:r>
                      <w:r>
                        <w:t xml:space="preserve">relatively minor changes to ensure consistency with the national motor vehicle rules, and to ensure the regulatory requirements apply consistently to all duty holders </w:t>
                      </w:r>
                      <w:r w:rsidRPr="00E6726F">
                        <w:t>without adding any additional burden</w:t>
                      </w:r>
                      <w:r>
                        <w:t xml:space="preserve"> on them</w:t>
                      </w:r>
                      <w:r w:rsidRPr="00E6726F">
                        <w:t>.</w:t>
                      </w:r>
                    </w:p>
                    <w:p w14:paraId="656B2233" w14:textId="40A92DB1" w:rsidR="00E752DE" w:rsidRPr="00040A06" w:rsidRDefault="00E752DE" w:rsidP="004A2442">
                      <w:pPr>
                        <w:pStyle w:val="ListParagraph"/>
                        <w:numPr>
                          <w:ilvl w:val="0"/>
                          <w:numId w:val="62"/>
                        </w:numPr>
                        <w:ind w:right="262"/>
                        <w:mirrorIndents/>
                        <w:rPr>
                          <w:rFonts w:cs="Segoe UI Light"/>
                        </w:rPr>
                      </w:pPr>
                      <w:r w:rsidRPr="00E6726F">
                        <w:t xml:space="preserve">As such, the preferred approach is to incorporate </w:t>
                      </w:r>
                      <w:r>
                        <w:t xml:space="preserve">these </w:t>
                      </w:r>
                      <w:r w:rsidRPr="00E6726F">
                        <w:t>change</w:t>
                      </w:r>
                      <w:r>
                        <w:t>s</w:t>
                      </w:r>
                      <w:r w:rsidRPr="00E6726F">
                        <w:t xml:space="preserve"> when t</w:t>
                      </w:r>
                      <w:r w:rsidRPr="00040A06">
                        <w:rPr>
                          <w:rFonts w:cs="Segoe UI Light"/>
                        </w:rPr>
                        <w:t xml:space="preserve">ranslating the </w:t>
                      </w:r>
                      <w:r w:rsidRPr="00E6726F">
                        <w:rPr>
                          <w:i/>
                        </w:rPr>
                        <w:t xml:space="preserve">Environment Protection (Vehicle Emissions) Regulations 2013 </w:t>
                      </w:r>
                      <w:r w:rsidRPr="00E6726F">
                        <w:t>into the proposed Environment Protection Regulations 20</w:t>
                      </w:r>
                      <w:r>
                        <w:t>19.</w:t>
                      </w:r>
                    </w:p>
                  </w:txbxContent>
                </v:textbox>
                <w10:anchorlock/>
              </v:rect>
            </w:pict>
          </mc:Fallback>
        </mc:AlternateContent>
      </w:r>
    </w:p>
    <w:p w14:paraId="656B0EE0" w14:textId="77777777" w:rsidR="00A976EF" w:rsidRDefault="00A976EF" w:rsidP="00982D63">
      <w:pPr>
        <w:pStyle w:val="Heading2"/>
      </w:pPr>
      <w:r>
        <w:t>Background</w:t>
      </w:r>
    </w:p>
    <w:p w14:paraId="656B0EE1" w14:textId="77777777" w:rsidR="008E1D2B" w:rsidRDefault="008E1D2B" w:rsidP="00ED173F">
      <w:r>
        <w:t>Motor vehicles are an important part of modern life. They provide a high degree of personal mobility and are critical to the movement of goods and services. There were 4.9 million vehicles registered in Victoria in 2018.</w:t>
      </w:r>
      <w:r>
        <w:rPr>
          <w:rStyle w:val="FootnoteReference"/>
        </w:rPr>
        <w:footnoteReference w:id="293"/>
      </w:r>
      <w:r>
        <w:t xml:space="preserve"> </w:t>
      </w:r>
    </w:p>
    <w:p w14:paraId="656B0EE2" w14:textId="77777777" w:rsidR="008E1D2B" w:rsidRDefault="0003129D" w:rsidP="00ED173F">
      <w:r>
        <w:t>Yet m</w:t>
      </w:r>
      <w:r w:rsidR="008E1D2B">
        <w:t>otor vehicles are a significant source of air pollution emissions (including greenhouse gases) and noise.</w:t>
      </w:r>
      <w:r w:rsidR="00A976EF">
        <w:t xml:space="preserve"> </w:t>
      </w:r>
    </w:p>
    <w:p w14:paraId="656B0EE3" w14:textId="77777777" w:rsidR="00FF6A6D" w:rsidRPr="00ED173F" w:rsidRDefault="008E1D2B" w:rsidP="00ED173F">
      <w:pPr>
        <w:rPr>
          <w:rFonts w:ascii="Arial" w:hAnsi="Arial" w:cs="Arial"/>
          <w:color w:val="555555"/>
          <w:sz w:val="21"/>
          <w:szCs w:val="21"/>
        </w:rPr>
      </w:pPr>
      <w:r>
        <w:t xml:space="preserve">Air pollutants from </w:t>
      </w:r>
      <w:r w:rsidR="008905BD">
        <w:t>the use of</w:t>
      </w:r>
      <w:r>
        <w:t xml:space="preserve"> motor vehicles include </w:t>
      </w:r>
      <w:r w:rsidR="00596CF3">
        <w:t xml:space="preserve">volatile organic compounds (VOCs) such as </w:t>
      </w:r>
      <w:r>
        <w:t>oxides of nitrogen (NO</w:t>
      </w:r>
      <w:r w:rsidR="00FF6A6D">
        <w:t>x</w:t>
      </w:r>
      <w:r>
        <w:t>) and hydrocarbons (HCs</w:t>
      </w:r>
      <w:r w:rsidR="00CB538C">
        <w:t>)</w:t>
      </w:r>
      <w:r w:rsidR="00596CF3">
        <w:t>,</w:t>
      </w:r>
      <w:r w:rsidR="00596CF3" w:rsidDel="00596CF3">
        <w:t xml:space="preserve"> </w:t>
      </w:r>
      <w:r>
        <w:t>both of which</w:t>
      </w:r>
      <w:r w:rsidR="00596CF3">
        <w:t xml:space="preserve"> can, in high enough quantities,</w:t>
      </w:r>
      <w:r>
        <w:t xml:space="preserve"> contrib</w:t>
      </w:r>
      <w:r w:rsidR="0003129D">
        <w:t>ute to visible summer time haze.</w:t>
      </w:r>
      <w:r>
        <w:t xml:space="preserve"> </w:t>
      </w:r>
      <w:r w:rsidR="009F0719">
        <w:t>Motor vehicles emit greenhouse gases, including carbon dioxide (CO</w:t>
      </w:r>
      <w:r w:rsidR="009F0719" w:rsidRPr="000E7C5E">
        <w:rPr>
          <w:vertAlign w:val="subscript"/>
        </w:rPr>
        <w:t>2</w:t>
      </w:r>
      <w:r w:rsidR="009F0719">
        <w:t xml:space="preserve">). </w:t>
      </w:r>
      <w:r>
        <w:t xml:space="preserve">They also </w:t>
      </w:r>
      <w:r w:rsidR="009F0719">
        <w:t xml:space="preserve">account for </w:t>
      </w:r>
      <w:r>
        <w:t>a considerable proportion of airborne particles (particulate matter). Fine particles are</w:t>
      </w:r>
      <w:r w:rsidR="00280D5F">
        <w:t xml:space="preserve"> often</w:t>
      </w:r>
      <w:r>
        <w:t xml:space="preserve"> visible as brown winter haze. Vehicles are also sources of invisible emissions, including carbon monoxide (CO). Emissions from in-service motor vehicles (i.e. vehicles on the road) significantly contribute to regional and local air pollution. </w:t>
      </w:r>
      <w:r w:rsidR="00A908E5">
        <w:rPr>
          <w:rStyle w:val="FootnoteReference"/>
          <w:i/>
        </w:rPr>
        <w:footnoteReference w:id="294"/>
      </w:r>
    </w:p>
    <w:p w14:paraId="656B0EE4" w14:textId="77777777" w:rsidR="008E1D2B" w:rsidRDefault="008E1D2B" w:rsidP="008E1D2B">
      <w:r>
        <w:t>There are also air emissions associated with petrol</w:t>
      </w:r>
      <w:r w:rsidR="008905BD">
        <w:t xml:space="preserve"> even when vehicles are not in use</w:t>
      </w:r>
      <w:r>
        <w:t xml:space="preserve">. Petrol easily evaporates, causing dangerous HCs to be present in the air. This evaporation occurs within storage tanks at petrol stations and within the petrol tanks of cars. Petrol vapour escapes when the petrol tank of a car is being filled. HCs can also be emitted through evaporation from a vehicle when running and stationary. </w:t>
      </w:r>
    </w:p>
    <w:p w14:paraId="656B0EE5" w14:textId="77777777" w:rsidR="00A976EF" w:rsidRDefault="00A976EF" w:rsidP="00A976EF">
      <w:r>
        <w:t xml:space="preserve">Motor vehicles are </w:t>
      </w:r>
      <w:r w:rsidR="0042094A">
        <w:t xml:space="preserve">a </w:t>
      </w:r>
      <w:r>
        <w:t xml:space="preserve">major source of urban air </w:t>
      </w:r>
      <w:r w:rsidRPr="00A908E5">
        <w:t xml:space="preserve">pollution </w:t>
      </w:r>
      <w:r w:rsidR="0042094A" w:rsidRPr="00040A06">
        <w:t>in urban areas</w:t>
      </w:r>
      <w:r w:rsidRPr="00A908E5">
        <w:t>.</w:t>
      </w:r>
      <w:r w:rsidRPr="00A908E5">
        <w:rPr>
          <w:rStyle w:val="FootnoteReference"/>
        </w:rPr>
        <w:footnoteReference w:id="295"/>
      </w:r>
      <w:r w:rsidRPr="00A908E5">
        <w:t xml:space="preserve"> In Melb</w:t>
      </w:r>
      <w:r>
        <w:t>ourne in 2006</w:t>
      </w:r>
      <w:r w:rsidR="00675AB2">
        <w:t>,</w:t>
      </w:r>
      <w:r w:rsidR="00BB090D">
        <w:rPr>
          <w:rStyle w:val="FootnoteReference"/>
        </w:rPr>
        <w:footnoteReference w:id="296"/>
      </w:r>
      <w:r>
        <w:t xml:space="preserve"> motor vehicle emissions contributed the following levels of pollutants to the overall air quality:</w:t>
      </w:r>
    </w:p>
    <w:p w14:paraId="656B0EE6" w14:textId="77777777" w:rsidR="00A976EF" w:rsidRDefault="00A976EF" w:rsidP="004A2442">
      <w:pPr>
        <w:pStyle w:val="Bullet1"/>
        <w:numPr>
          <w:ilvl w:val="0"/>
          <w:numId w:val="71"/>
        </w:numPr>
      </w:pPr>
      <w:r>
        <w:t>72 per cent of all CO emissions</w:t>
      </w:r>
      <w:r w:rsidR="009D1BE7">
        <w:t>.</w:t>
      </w:r>
    </w:p>
    <w:p w14:paraId="656B0EE7" w14:textId="77777777" w:rsidR="00A976EF" w:rsidRDefault="00A976EF" w:rsidP="004A2442">
      <w:pPr>
        <w:pStyle w:val="Bullet1"/>
        <w:numPr>
          <w:ilvl w:val="0"/>
          <w:numId w:val="71"/>
        </w:numPr>
      </w:pPr>
      <w:r>
        <w:t>70 per cent of all NOx emissions</w:t>
      </w:r>
      <w:r w:rsidR="009D1BE7">
        <w:t>.</w:t>
      </w:r>
    </w:p>
    <w:p w14:paraId="656B0EE8" w14:textId="77777777" w:rsidR="00A976EF" w:rsidRDefault="00A976EF" w:rsidP="004A2442">
      <w:pPr>
        <w:pStyle w:val="Bullet1"/>
        <w:numPr>
          <w:ilvl w:val="0"/>
          <w:numId w:val="71"/>
        </w:numPr>
      </w:pPr>
      <w:r>
        <w:t>28 per cent of all volatile organic compounds HC emissions</w:t>
      </w:r>
      <w:r w:rsidR="009D1BE7">
        <w:t>.</w:t>
      </w:r>
    </w:p>
    <w:p w14:paraId="656B0EE9" w14:textId="77777777" w:rsidR="00A976EF" w:rsidRDefault="00A976EF" w:rsidP="004A2442">
      <w:pPr>
        <w:pStyle w:val="Bullet1"/>
        <w:numPr>
          <w:ilvl w:val="0"/>
          <w:numId w:val="71"/>
        </w:numPr>
      </w:pPr>
      <w:r>
        <w:t>31 per cent of all emissions of PM</w:t>
      </w:r>
      <w:r w:rsidRPr="002E14C2">
        <w:rPr>
          <w:vertAlign w:val="subscript"/>
        </w:rPr>
        <w:t>2.5</w:t>
      </w:r>
      <w:r w:rsidR="009D1BE7">
        <w:t>.</w:t>
      </w:r>
    </w:p>
    <w:p w14:paraId="656B0EEA" w14:textId="77777777" w:rsidR="00D86B80" w:rsidRPr="00040A06" w:rsidRDefault="00A976EF" w:rsidP="004A2442">
      <w:pPr>
        <w:pStyle w:val="Bullet1"/>
        <w:numPr>
          <w:ilvl w:val="0"/>
          <w:numId w:val="71"/>
        </w:numPr>
      </w:pPr>
      <w:r>
        <w:t>27 per cent of all emissions of PM</w:t>
      </w:r>
      <w:r w:rsidRPr="002E14C2">
        <w:rPr>
          <w:vertAlign w:val="subscript"/>
        </w:rPr>
        <w:t>10</w:t>
      </w:r>
      <w:r w:rsidR="009D1BE7">
        <w:t>.</w:t>
      </w:r>
    </w:p>
    <w:p w14:paraId="656B0EEB" w14:textId="77777777" w:rsidR="00A976EF" w:rsidRDefault="00D86B80" w:rsidP="004A2442">
      <w:pPr>
        <w:pStyle w:val="Bullet1"/>
        <w:numPr>
          <w:ilvl w:val="0"/>
          <w:numId w:val="71"/>
        </w:numPr>
      </w:pPr>
      <w:r>
        <w:t xml:space="preserve">6 per cent of all </w:t>
      </w:r>
      <w:r w:rsidR="00A908E5">
        <w:t>sulfur dioxide (</w:t>
      </w:r>
      <w:r>
        <w:t>SO2</w:t>
      </w:r>
      <w:r w:rsidR="00A908E5">
        <w:t>)</w:t>
      </w:r>
      <w:r>
        <w:t xml:space="preserve"> emissions.</w:t>
      </w:r>
    </w:p>
    <w:p w14:paraId="656B0EEC" w14:textId="77777777" w:rsidR="00FF6A6D" w:rsidRPr="00FF6A6D" w:rsidRDefault="00FF6A6D" w:rsidP="00982D63">
      <w:pPr>
        <w:pStyle w:val="Heading2"/>
      </w:pPr>
      <w:r>
        <w:t xml:space="preserve">Current </w:t>
      </w:r>
      <w:r w:rsidRPr="00374234">
        <w:t>legislative and regulatory framework</w:t>
      </w:r>
    </w:p>
    <w:p w14:paraId="656B0EED" w14:textId="77777777" w:rsidR="00FF6A6D" w:rsidRDefault="00FF6A6D" w:rsidP="00FF6A6D">
      <w:r w:rsidRPr="00864F09">
        <w:t xml:space="preserve">Current air pollution requirements </w:t>
      </w:r>
      <w:r>
        <w:t>for vehicles under</w:t>
      </w:r>
      <w:r w:rsidRPr="00864F09">
        <w:t xml:space="preserve"> the </w:t>
      </w:r>
      <w:r>
        <w:t xml:space="preserve">EP Act 1970 are established in the </w:t>
      </w:r>
      <w:r w:rsidRPr="00ED173F">
        <w:rPr>
          <w:i/>
        </w:rPr>
        <w:t>Environment Protection (Vehicle Emissions) Regulations 2013</w:t>
      </w:r>
      <w:r w:rsidR="00D14A44">
        <w:t xml:space="preserve"> (Vehicle Emissions Regulations)</w:t>
      </w:r>
      <w:r>
        <w:t>. The</w:t>
      </w:r>
      <w:r w:rsidR="00AC64E3">
        <w:t xml:space="preserve"> </w:t>
      </w:r>
      <w:r w:rsidR="00D14A44">
        <w:t>Vehicle Emissions Regulations</w:t>
      </w:r>
      <w:r>
        <w:t xml:space="preserve"> set various air and noise emission requirements for in-service light vehicles (under</w:t>
      </w:r>
      <w:r w:rsidR="00D74BA5">
        <w:t xml:space="preserve"> 4.5 tonnes gross vehicle mass). The </w:t>
      </w:r>
      <w:r w:rsidR="00AC64E3">
        <w:t>R</w:t>
      </w:r>
      <w:r w:rsidR="00D74BA5">
        <w:t>egulations:</w:t>
      </w:r>
    </w:p>
    <w:p w14:paraId="656B0EEE" w14:textId="77777777" w:rsidR="00D74BA5" w:rsidRPr="0042094A" w:rsidRDefault="00D74BA5" w:rsidP="004A2442">
      <w:pPr>
        <w:pStyle w:val="Bullet1"/>
        <w:numPr>
          <w:ilvl w:val="0"/>
          <w:numId w:val="71"/>
        </w:numPr>
      </w:pPr>
      <w:r w:rsidRPr="0042094A">
        <w:t>Prescribe a visibility standard for smoke.</w:t>
      </w:r>
    </w:p>
    <w:p w14:paraId="656B0EEF" w14:textId="77777777" w:rsidR="00D74BA5" w:rsidRPr="00E63FB8" w:rsidRDefault="00D74BA5" w:rsidP="004A2442">
      <w:pPr>
        <w:pStyle w:val="Bullet1"/>
        <w:numPr>
          <w:ilvl w:val="0"/>
          <w:numId w:val="71"/>
        </w:numPr>
      </w:pPr>
      <w:r w:rsidRPr="00E63FB8">
        <w:t>Set limits on air emissions: CO and HC in petrol vehicles and opacity, NOx and PM in diesel vehicles.</w:t>
      </w:r>
    </w:p>
    <w:p w14:paraId="656B0EF0" w14:textId="77777777" w:rsidR="00D74BA5" w:rsidRPr="00E63FB8" w:rsidRDefault="00D74BA5" w:rsidP="004A2442">
      <w:pPr>
        <w:pStyle w:val="Bullet1"/>
        <w:numPr>
          <w:ilvl w:val="0"/>
          <w:numId w:val="71"/>
        </w:numPr>
      </w:pPr>
      <w:r w:rsidRPr="00E63FB8">
        <w:t xml:space="preserve">Set limits for noise emissions (including incorporating the in-service </w:t>
      </w:r>
      <w:r w:rsidR="00A908E5">
        <w:t xml:space="preserve">vehicle </w:t>
      </w:r>
      <w:r w:rsidRPr="00E63FB8">
        <w:t xml:space="preserve">requirements for </w:t>
      </w:r>
      <w:r w:rsidR="00C2610A">
        <w:t>Australian Design Rules (</w:t>
      </w:r>
      <w:r w:rsidRPr="00E63FB8">
        <w:t>ADR</w:t>
      </w:r>
      <w:r w:rsidR="00C2610A">
        <w:t>)</w:t>
      </w:r>
      <w:r w:rsidRPr="00E63FB8">
        <w:t xml:space="preserve"> 83/00 compliant vehicles).</w:t>
      </w:r>
    </w:p>
    <w:p w14:paraId="656B0EF1" w14:textId="77777777" w:rsidR="00D74BA5" w:rsidRPr="007C5677" w:rsidRDefault="00D74BA5" w:rsidP="004A2442">
      <w:pPr>
        <w:pStyle w:val="Bullet1"/>
        <w:numPr>
          <w:ilvl w:val="0"/>
          <w:numId w:val="71"/>
        </w:numPr>
      </w:pPr>
      <w:r w:rsidRPr="007C5677">
        <w:t>Prescribe noise testing methods.</w:t>
      </w:r>
    </w:p>
    <w:p w14:paraId="656B0EF2" w14:textId="77777777" w:rsidR="00D74BA5" w:rsidRPr="0042094A" w:rsidRDefault="00D74BA5" w:rsidP="004A2442">
      <w:pPr>
        <w:pStyle w:val="Bullet1"/>
        <w:numPr>
          <w:ilvl w:val="0"/>
          <w:numId w:val="71"/>
        </w:numPr>
      </w:pPr>
      <w:r w:rsidRPr="0042094A">
        <w:t>Prohibit the resale of motor vehicles exceeding prescribed standards or containing temporary noise defeat devices.</w:t>
      </w:r>
    </w:p>
    <w:p w14:paraId="656B0EF3" w14:textId="77777777" w:rsidR="00D74BA5" w:rsidRPr="0042094A" w:rsidRDefault="00D74BA5" w:rsidP="004A2442">
      <w:pPr>
        <w:pStyle w:val="Bullet1"/>
        <w:numPr>
          <w:ilvl w:val="0"/>
          <w:numId w:val="71"/>
        </w:numPr>
      </w:pPr>
      <w:r w:rsidRPr="0042094A">
        <w:t>Prohibit the use or installation of temporary noise defeat devices.</w:t>
      </w:r>
    </w:p>
    <w:p w14:paraId="656B0EF4" w14:textId="77777777" w:rsidR="00D74BA5" w:rsidRPr="0042094A" w:rsidRDefault="00D74BA5" w:rsidP="004A2442">
      <w:pPr>
        <w:pStyle w:val="Bullet1"/>
        <w:numPr>
          <w:ilvl w:val="0"/>
          <w:numId w:val="71"/>
        </w:numPr>
      </w:pPr>
      <w:r w:rsidRPr="0042094A">
        <w:t>Prescribe fuel vapour pressure standards for regulated petrol producers, exemptions and requirements for record keeping and reporting.</w:t>
      </w:r>
    </w:p>
    <w:p w14:paraId="656B0EF5" w14:textId="77777777" w:rsidR="00D74BA5" w:rsidRPr="0042094A" w:rsidRDefault="00D74BA5" w:rsidP="004A2442">
      <w:pPr>
        <w:pStyle w:val="Bullet1"/>
        <w:numPr>
          <w:ilvl w:val="0"/>
          <w:numId w:val="71"/>
        </w:numPr>
      </w:pPr>
      <w:r w:rsidRPr="0042094A">
        <w:t>Prescribe the requirements for noise test labelling on motorcycles and trikes</w:t>
      </w:r>
      <w:r w:rsidR="00D86B80">
        <w:t>.</w:t>
      </w:r>
    </w:p>
    <w:p w14:paraId="656B0EF6" w14:textId="77777777" w:rsidR="00AB3DEE" w:rsidRDefault="00AB3DEE" w:rsidP="00ED173F">
      <w:r>
        <w:t xml:space="preserve">These Regulations operate in a broader </w:t>
      </w:r>
      <w:r w:rsidR="0042094A">
        <w:t xml:space="preserve">national </w:t>
      </w:r>
      <w:r>
        <w:t xml:space="preserve">regulatory landscape that also includes: </w:t>
      </w:r>
    </w:p>
    <w:p w14:paraId="656B0EF7" w14:textId="77777777" w:rsidR="00AB3DEE" w:rsidRDefault="00AB3DEE" w:rsidP="004A2442">
      <w:pPr>
        <w:pStyle w:val="Bullet1"/>
        <w:numPr>
          <w:ilvl w:val="0"/>
          <w:numId w:val="71"/>
        </w:numPr>
      </w:pPr>
      <w:r w:rsidRPr="00040A06">
        <w:rPr>
          <w:b/>
        </w:rPr>
        <w:t>National vehicle standards</w:t>
      </w:r>
      <w:r>
        <w:t>, which sets emission and noise standards for new vehicles (at point of manufacture or import) a</w:t>
      </w:r>
      <w:r w:rsidR="00AE599B">
        <w:t>s</w:t>
      </w:r>
      <w:r>
        <w:t xml:space="preserve"> set by the ADRs</w:t>
      </w:r>
      <w:r w:rsidR="0042094A">
        <w:t>.</w:t>
      </w:r>
    </w:p>
    <w:p w14:paraId="656B0EF8" w14:textId="77777777" w:rsidR="00AB3DEE" w:rsidRDefault="00AB3DEE" w:rsidP="004A2442">
      <w:pPr>
        <w:pStyle w:val="Bullet1"/>
        <w:numPr>
          <w:ilvl w:val="0"/>
          <w:numId w:val="71"/>
        </w:numPr>
      </w:pPr>
      <w:r w:rsidRPr="00040A06">
        <w:rPr>
          <w:b/>
        </w:rPr>
        <w:t xml:space="preserve">Australian </w:t>
      </w:r>
      <w:r w:rsidR="007E397A">
        <w:rPr>
          <w:b/>
        </w:rPr>
        <w:t xml:space="preserve">Light </w:t>
      </w:r>
      <w:r w:rsidRPr="00040A06">
        <w:rPr>
          <w:b/>
        </w:rPr>
        <w:t>Vehicle Standards Rules (A</w:t>
      </w:r>
      <w:r w:rsidR="007E397A">
        <w:rPr>
          <w:b/>
        </w:rPr>
        <w:t>L</w:t>
      </w:r>
      <w:r w:rsidRPr="00040A06">
        <w:rPr>
          <w:b/>
        </w:rPr>
        <w:t>VSRs)</w:t>
      </w:r>
      <w:r w:rsidRPr="00040A06">
        <w:t>,</w:t>
      </w:r>
      <w:r>
        <w:t xml:space="preserve"> which set emission and noise standards and apply once a </w:t>
      </w:r>
      <w:r w:rsidR="007E397A">
        <w:t xml:space="preserve">light </w:t>
      </w:r>
      <w:r>
        <w:t>vehicle becomes an in-service vehicle (i.e. once it is sold to the consumer for use)</w:t>
      </w:r>
      <w:r w:rsidR="0042094A">
        <w:t>.</w:t>
      </w:r>
    </w:p>
    <w:p w14:paraId="656B0EF9" w14:textId="77777777" w:rsidR="00AB3DEE" w:rsidRDefault="00AB3DEE" w:rsidP="004A2442">
      <w:pPr>
        <w:pStyle w:val="Bullet1"/>
        <w:numPr>
          <w:ilvl w:val="0"/>
          <w:numId w:val="71"/>
        </w:numPr>
      </w:pPr>
      <w:r w:rsidRPr="00040A06">
        <w:rPr>
          <w:b/>
        </w:rPr>
        <w:t>Fuel quality Standards</w:t>
      </w:r>
      <w:r>
        <w:t xml:space="preserve">, which are set by the Commonwealth under the </w:t>
      </w:r>
      <w:r w:rsidRPr="00040A06">
        <w:rPr>
          <w:i/>
        </w:rPr>
        <w:t>Fuel Quality Standards Act 2000</w:t>
      </w:r>
      <w:r w:rsidR="0042094A" w:rsidRPr="00040A06">
        <w:t>.</w:t>
      </w:r>
    </w:p>
    <w:p w14:paraId="656B0EFA" w14:textId="77777777" w:rsidR="00AB3DEE" w:rsidRDefault="00AB3DEE" w:rsidP="004A2442">
      <w:pPr>
        <w:pStyle w:val="Bullet1"/>
        <w:numPr>
          <w:ilvl w:val="0"/>
          <w:numId w:val="71"/>
        </w:numPr>
      </w:pPr>
      <w:r w:rsidRPr="00040A06">
        <w:rPr>
          <w:b/>
        </w:rPr>
        <w:t>National Environment Protection (Diesel Vehicle Emissions) Measure</w:t>
      </w:r>
      <w:r>
        <w:t xml:space="preserve"> – which provides guidance and administrative measures, for developing programs to minimise the deterioration in exhaust emissions performance, or </w:t>
      </w:r>
      <w:r w:rsidR="00675AB2">
        <w:t xml:space="preserve">improving </w:t>
      </w:r>
      <w:r>
        <w:t>exhaust emissions performance, from diesel vehicles while they are in</w:t>
      </w:r>
      <w:r w:rsidR="009D1BE7">
        <w:t>-</w:t>
      </w:r>
      <w:r>
        <w:t>service.</w:t>
      </w:r>
    </w:p>
    <w:p w14:paraId="656B0EFB" w14:textId="77777777" w:rsidR="00AB3DEE" w:rsidRDefault="00AB3DEE" w:rsidP="004A2442">
      <w:pPr>
        <w:pStyle w:val="Bullet1"/>
        <w:numPr>
          <w:ilvl w:val="0"/>
          <w:numId w:val="71"/>
        </w:numPr>
      </w:pPr>
      <w:r w:rsidRPr="00040A06">
        <w:rPr>
          <w:b/>
        </w:rPr>
        <w:t>The Heavy Vehicle National Law</w:t>
      </w:r>
      <w:r w:rsidR="009D1BE7">
        <w:t>,</w:t>
      </w:r>
      <w:r>
        <w:t xml:space="preserve"> which sets emission and noise standards for vehicles with a </w:t>
      </w:r>
      <w:r w:rsidR="009D1BE7">
        <w:t>gross vehicle mass (</w:t>
      </w:r>
      <w:r>
        <w:t>GVM</w:t>
      </w:r>
      <w:r w:rsidR="009D1BE7">
        <w:t>)</w:t>
      </w:r>
      <w:r>
        <w:t xml:space="preserve"> exceeding 4.5 tonnes.</w:t>
      </w:r>
    </w:p>
    <w:p w14:paraId="656B0EFC" w14:textId="77777777" w:rsidR="00D74BA5" w:rsidRDefault="00D74BA5" w:rsidP="00ED173F">
      <w:r w:rsidRPr="00D74BA5">
        <w:t xml:space="preserve">The </w:t>
      </w:r>
      <w:r w:rsidR="00D14A44">
        <w:t>Vehicle Emissions Regulations</w:t>
      </w:r>
      <w:r w:rsidR="00AB3DEE">
        <w:rPr>
          <w:i/>
        </w:rPr>
        <w:t xml:space="preserve"> </w:t>
      </w:r>
      <w:r w:rsidRPr="00D74BA5">
        <w:t xml:space="preserve">do not apply to new or heavy vehicles (over 4.5 tonnes </w:t>
      </w:r>
      <w:r w:rsidR="009D1BE7">
        <w:t>GVM).</w:t>
      </w:r>
      <w:r w:rsidR="009278F6">
        <w:t xml:space="preserve"> These </w:t>
      </w:r>
      <w:r w:rsidRPr="00D74BA5">
        <w:t>are regulated under the</w:t>
      </w:r>
      <w:r w:rsidR="009F0719">
        <w:t xml:space="preserve"> Commonwealth’s</w:t>
      </w:r>
      <w:r w:rsidRPr="00D74BA5">
        <w:t xml:space="preserve"> </w:t>
      </w:r>
      <w:r w:rsidR="00437523" w:rsidRPr="00040A06">
        <w:rPr>
          <w:i/>
        </w:rPr>
        <w:t>Motor Vehicle Standards Act 1989</w:t>
      </w:r>
      <w:r w:rsidR="00437523">
        <w:t xml:space="preserve"> via the </w:t>
      </w:r>
      <w:r w:rsidR="009D1BE7">
        <w:t>ADR</w:t>
      </w:r>
      <w:r w:rsidRPr="00D74BA5">
        <w:t xml:space="preserve"> and the Heavy Vehicle National Law, respectively.</w:t>
      </w:r>
      <w:r w:rsidR="0042094A">
        <w:t xml:space="preserve"> </w:t>
      </w:r>
    </w:p>
    <w:p w14:paraId="656B0EFD" w14:textId="77777777" w:rsidR="00166A36" w:rsidRDefault="009F0719" w:rsidP="00166A36">
      <w:r>
        <w:t>Within Victoria, e</w:t>
      </w:r>
      <w:r w:rsidR="00166A36">
        <w:t>nforcement of air and noise emissions from motor vehicles is administered through EPA’s motor vehicle program. EPA uses a variety of enforcement tools to regulate motor vehicle emissions, including:</w:t>
      </w:r>
    </w:p>
    <w:p w14:paraId="656B0EFE" w14:textId="77777777" w:rsidR="00166A36" w:rsidRDefault="00166A36" w:rsidP="00675AB2">
      <w:pPr>
        <w:pStyle w:val="Bullet1"/>
        <w:numPr>
          <w:ilvl w:val="0"/>
          <w:numId w:val="16"/>
        </w:numPr>
        <w:ind w:left="709"/>
      </w:pPr>
      <w:r>
        <w:t xml:space="preserve">Notices which require a vehicle owner to have their vehicle tested at an approved testing facility. </w:t>
      </w:r>
    </w:p>
    <w:p w14:paraId="656B0EFF" w14:textId="77777777" w:rsidR="00166A36" w:rsidRDefault="00166A36" w:rsidP="00675AB2">
      <w:pPr>
        <w:pStyle w:val="Bullet1"/>
        <w:numPr>
          <w:ilvl w:val="0"/>
          <w:numId w:val="16"/>
        </w:numPr>
        <w:ind w:left="709"/>
      </w:pPr>
      <w:r>
        <w:t xml:space="preserve">Notices of intention to suspend which allows for the suspension of the vehicle’s registration for continued non-compliance. </w:t>
      </w:r>
    </w:p>
    <w:p w14:paraId="656B0F00" w14:textId="77777777" w:rsidR="00166A36" w:rsidRDefault="00166A36" w:rsidP="00675AB2">
      <w:pPr>
        <w:pStyle w:val="Bullet1"/>
        <w:numPr>
          <w:ilvl w:val="0"/>
          <w:numId w:val="16"/>
        </w:numPr>
        <w:ind w:left="709"/>
      </w:pPr>
      <w:r>
        <w:t>Official warnings which do not carry a financial penalty but can lead to further sanctions.</w:t>
      </w:r>
    </w:p>
    <w:p w14:paraId="656B0F01" w14:textId="77777777" w:rsidR="00166A36" w:rsidRDefault="00166A36" w:rsidP="00675AB2">
      <w:pPr>
        <w:pStyle w:val="Bullet1"/>
        <w:numPr>
          <w:ilvl w:val="0"/>
          <w:numId w:val="16"/>
        </w:numPr>
        <w:ind w:left="709"/>
      </w:pPr>
      <w:r>
        <w:t>Infringement notices which impose a financial penalty.</w:t>
      </w:r>
    </w:p>
    <w:p w14:paraId="656B0F02" w14:textId="77777777" w:rsidR="00166A36" w:rsidRDefault="00166A36" w:rsidP="00675AB2">
      <w:pPr>
        <w:pStyle w:val="Bullet1"/>
        <w:numPr>
          <w:ilvl w:val="0"/>
          <w:numId w:val="16"/>
        </w:numPr>
        <w:ind w:left="709"/>
      </w:pPr>
      <w:r>
        <w:t xml:space="preserve">Prosecutions which allow the courts to decide if an offence has been committed and impose the appropriate penalty. </w:t>
      </w:r>
    </w:p>
    <w:p w14:paraId="656B0F03" w14:textId="77777777" w:rsidR="00166A36" w:rsidRDefault="00166A36" w:rsidP="00166A36">
      <w:r>
        <w:t xml:space="preserve">Other agencies, such as Victoria Police and VicRoads also have some role in enforcement. For example, Victoria </w:t>
      </w:r>
      <w:r w:rsidR="009D1BE7">
        <w:t>P</w:t>
      </w:r>
      <w:r>
        <w:t xml:space="preserve">olice may report a noisy vehicle to EPA. EPA is also reliant on the powers of Victoria Police </w:t>
      </w:r>
      <w:r w:rsidR="009278F6">
        <w:t>to lawfully stop a vehicle. O</w:t>
      </w:r>
      <w:r>
        <w:t>nce stopped</w:t>
      </w:r>
      <w:r w:rsidR="009278F6">
        <w:t>, a vehicle</w:t>
      </w:r>
      <w:r>
        <w:t xml:space="preserve"> can be inspected by EPA </w:t>
      </w:r>
      <w:r w:rsidR="009D1BE7">
        <w:t>a</w:t>
      </w:r>
      <w:r>
        <w:t>uthorised officers.</w:t>
      </w:r>
    </w:p>
    <w:p w14:paraId="656B0F04" w14:textId="77777777" w:rsidR="00EC700C" w:rsidRDefault="004C6915" w:rsidP="00982D63">
      <w:pPr>
        <w:pStyle w:val="Heading2"/>
      </w:pPr>
      <w:r>
        <w:t>New EP legislation</w:t>
      </w:r>
    </w:p>
    <w:p w14:paraId="656B0F05" w14:textId="77777777" w:rsidR="00CD67C6" w:rsidRDefault="00EC700C" w:rsidP="00CD67C6">
      <w:pPr>
        <w:rPr>
          <w:szCs w:val="20"/>
        </w:rPr>
      </w:pPr>
      <w:r>
        <w:t>Aside from the GED, there are no</w:t>
      </w:r>
      <w:r w:rsidR="007F669D">
        <w:t xml:space="preserve"> specific</w:t>
      </w:r>
      <w:r>
        <w:t xml:space="preserve"> duties </w:t>
      </w:r>
      <w:r w:rsidR="00071784">
        <w:t xml:space="preserve">or offences </w:t>
      </w:r>
      <w:r>
        <w:t>related to vehicle emissions</w:t>
      </w:r>
      <w:r w:rsidR="00071784">
        <w:t>, either noise or air,</w:t>
      </w:r>
      <w:r>
        <w:t xml:space="preserve"> in the </w:t>
      </w:r>
      <w:r w:rsidR="00130BC3">
        <w:t xml:space="preserve">new EP </w:t>
      </w:r>
      <w:r w:rsidR="004457C2">
        <w:t>l</w:t>
      </w:r>
      <w:r w:rsidR="00130BC3">
        <w:t>egislation</w:t>
      </w:r>
      <w:r>
        <w:t xml:space="preserve">. </w:t>
      </w:r>
      <w:r w:rsidR="00CD67C6">
        <w:t>The GED</w:t>
      </w:r>
      <w:r w:rsidR="00CD67C6" w:rsidRPr="004D210C">
        <w:t xml:space="preserve"> </w:t>
      </w:r>
      <w:r w:rsidR="00CD67C6">
        <w:t xml:space="preserve">would apply to operators of vehicles, however offences for breaches of the GED do not apply to </w:t>
      </w:r>
      <w:r w:rsidR="00CD67C6" w:rsidRPr="004D210C">
        <w:t>all persons</w:t>
      </w:r>
      <w:r w:rsidR="00CD67C6">
        <w:t xml:space="preserve"> - </w:t>
      </w:r>
      <w:r w:rsidR="00CD67C6" w:rsidRPr="004D210C">
        <w:t>only those conducting a business or undertaking</w:t>
      </w:r>
      <w:r w:rsidR="00CD67C6">
        <w:t xml:space="preserve">. </w:t>
      </w:r>
    </w:p>
    <w:p w14:paraId="656B0F06" w14:textId="77777777" w:rsidR="00071784" w:rsidRDefault="00071784" w:rsidP="00ED173F">
      <w:r>
        <w:t xml:space="preserve">The Act does, however, give powers to a police officer or officer authorised under the Road Safety Act 1986 to: </w:t>
      </w:r>
    </w:p>
    <w:p w14:paraId="656B0F07" w14:textId="77777777" w:rsidR="00071784" w:rsidRPr="00BD481A" w:rsidRDefault="00C3076F" w:rsidP="004A2442">
      <w:pPr>
        <w:pStyle w:val="Bullet1"/>
        <w:numPr>
          <w:ilvl w:val="0"/>
          <w:numId w:val="71"/>
        </w:numPr>
      </w:pPr>
      <w:r>
        <w:t>L</w:t>
      </w:r>
      <w:r w:rsidR="00071784" w:rsidRPr="00BD481A">
        <w:t xml:space="preserve">awfully stop and </w:t>
      </w:r>
      <w:r w:rsidR="00071784" w:rsidRPr="00040A06">
        <w:t>conduct any inspection, measurement or test in relation to the motor vehicle, for the purpose of performing a function or duty or exercising a power under this Act.</w:t>
      </w:r>
    </w:p>
    <w:p w14:paraId="656B0F08" w14:textId="77777777" w:rsidR="000A206E" w:rsidRDefault="00C3076F" w:rsidP="004A2442">
      <w:pPr>
        <w:pStyle w:val="Bullet1"/>
        <w:numPr>
          <w:ilvl w:val="0"/>
          <w:numId w:val="71"/>
        </w:numPr>
      </w:pPr>
      <w:r>
        <w:t>A</w:t>
      </w:r>
      <w:r w:rsidR="00071784" w:rsidRPr="00BD481A">
        <w:t>nd</w:t>
      </w:r>
      <w:r w:rsidR="000A206E" w:rsidRPr="00BD481A">
        <w:t xml:space="preserve"> sign a report </w:t>
      </w:r>
      <w:r w:rsidR="00071784" w:rsidRPr="00BD481A">
        <w:t>outlining</w:t>
      </w:r>
      <w:r w:rsidR="000A206E" w:rsidRPr="00BD481A">
        <w:t xml:space="preserve"> that </w:t>
      </w:r>
      <w:r w:rsidR="000A206E" w:rsidRPr="00040A06">
        <w:t>(a) the motor vehicle did not comply with a provision of this Act or the regulations; or (b) the motor vehicle was used on a highway; or (c) a specified person was the driver of the motor vehicle.</w:t>
      </w:r>
      <w:r w:rsidR="00EC700C" w:rsidRPr="00040A06">
        <w:t xml:space="preserve"> </w:t>
      </w:r>
    </w:p>
    <w:p w14:paraId="656B0F09" w14:textId="77777777" w:rsidR="000A206E" w:rsidRDefault="00A12A44" w:rsidP="002D3C05">
      <w:r>
        <w:t>The</w:t>
      </w:r>
      <w:r w:rsidR="00BD481A">
        <w:t xml:space="preserve"> EP Act 2017 </w:t>
      </w:r>
      <w:r>
        <w:t>saves</w:t>
      </w:r>
      <w:r w:rsidR="00BD481A">
        <w:t xml:space="preserve"> the </w:t>
      </w:r>
      <w:r w:rsidR="00D14A44">
        <w:t>Vehicle Emissions Regulations</w:t>
      </w:r>
      <w:r>
        <w:t>.</w:t>
      </w:r>
      <w:r w:rsidR="00BD481A">
        <w:t xml:space="preserve"> This means that</w:t>
      </w:r>
      <w:r w:rsidR="0042094A">
        <w:t xml:space="preserve">, </w:t>
      </w:r>
      <w:r>
        <w:t>in the absence of further government intervention</w:t>
      </w:r>
      <w:r w:rsidR="0042094A">
        <w:t>,</w:t>
      </w:r>
      <w:r w:rsidR="00BD481A">
        <w:t xml:space="preserve"> they </w:t>
      </w:r>
      <w:r>
        <w:t>r</w:t>
      </w:r>
      <w:r w:rsidR="00BD481A">
        <w:t xml:space="preserve">emain in </w:t>
      </w:r>
      <w:r w:rsidR="0042094A">
        <w:t xml:space="preserve">force </w:t>
      </w:r>
      <w:r w:rsidR="00BD481A">
        <w:t xml:space="preserve">under the </w:t>
      </w:r>
      <w:r w:rsidR="00130BC3">
        <w:t xml:space="preserve">new EP </w:t>
      </w:r>
      <w:r w:rsidR="004457C2">
        <w:t>l</w:t>
      </w:r>
      <w:r w:rsidR="00130BC3">
        <w:t>egislation</w:t>
      </w:r>
      <w:r w:rsidR="007F669D">
        <w:t xml:space="preserve"> </w:t>
      </w:r>
      <w:r w:rsidR="00596CF3">
        <w:t xml:space="preserve">until </w:t>
      </w:r>
      <w:r w:rsidR="007F669D">
        <w:t>10 December 2023 or, if the regulations are revoked before that date, on th</w:t>
      </w:r>
      <w:r w:rsidR="000A206E">
        <w:t xml:space="preserve">e day on which </w:t>
      </w:r>
      <w:r>
        <w:t>t</w:t>
      </w:r>
      <w:r w:rsidR="000A206E">
        <w:t xml:space="preserve">hey are revoked. </w:t>
      </w:r>
    </w:p>
    <w:p w14:paraId="656B0F0A" w14:textId="77777777" w:rsidR="00FF6A6D" w:rsidRDefault="0003129D" w:rsidP="00982D63">
      <w:pPr>
        <w:pStyle w:val="Heading2"/>
      </w:pPr>
      <w:r>
        <w:t>Nature and extent of problem</w:t>
      </w:r>
    </w:p>
    <w:p w14:paraId="656B0F0B" w14:textId="77777777" w:rsidR="0003129D" w:rsidRDefault="0003129D" w:rsidP="00F25B16">
      <w:pPr>
        <w:pStyle w:val="Heading3"/>
        <w:ind w:left="720"/>
      </w:pPr>
      <w:r>
        <w:t>Residual risk</w:t>
      </w:r>
    </w:p>
    <w:p w14:paraId="656B0F0C" w14:textId="77777777" w:rsidR="00E0671F" w:rsidRPr="002D3C05" w:rsidRDefault="00E0671F" w:rsidP="00E0671F">
      <w:r w:rsidRPr="002D3C05">
        <w:t xml:space="preserve">The residual risk is that </w:t>
      </w:r>
      <w:r w:rsidRPr="002D3C05">
        <w:rPr>
          <w:rFonts w:cs="Arial"/>
        </w:rPr>
        <w:t xml:space="preserve">reliance on the existing Vehicle Emissions Regulations under the new EP legislation may result in a complex and confusing legislative structure for duty holders and EPA officers alike, which may result in a small increase in regulatory burden for businesses and EPA. </w:t>
      </w:r>
    </w:p>
    <w:p w14:paraId="656B0F0D" w14:textId="77777777" w:rsidR="00FF6A6D" w:rsidRDefault="00794804" w:rsidP="00794804">
      <w:r>
        <w:t>Vehicle pollution, like many other forms of pollution, is a negative externa</w:t>
      </w:r>
      <w:r w:rsidR="00251CB8">
        <w:t xml:space="preserve">lity. </w:t>
      </w:r>
      <w:r w:rsidR="00A12A44">
        <w:t>T</w:t>
      </w:r>
      <w:r w:rsidR="00FF6A6D">
        <w:t xml:space="preserve">he impacts </w:t>
      </w:r>
      <w:r w:rsidR="00572F04">
        <w:t xml:space="preserve">of </w:t>
      </w:r>
      <w:r w:rsidR="00251CB8">
        <w:t>the pollution</w:t>
      </w:r>
      <w:r w:rsidR="00572F04">
        <w:t xml:space="preserve"> largely</w:t>
      </w:r>
      <w:r w:rsidR="00251CB8">
        <w:t xml:space="preserve"> </w:t>
      </w:r>
      <w:r w:rsidR="00FF6A6D">
        <w:t xml:space="preserve">affect people other than those </w:t>
      </w:r>
      <w:r w:rsidR="00251CB8">
        <w:t>operating the motor vehicle</w:t>
      </w:r>
      <w:r w:rsidR="00BD481A">
        <w:t xml:space="preserve">. This means that, unless the pollution </w:t>
      </w:r>
      <w:r>
        <w:t>stem</w:t>
      </w:r>
      <w:r w:rsidR="00572F04">
        <w:t>s</w:t>
      </w:r>
      <w:r>
        <w:t xml:space="preserve"> from an issue which impacts</w:t>
      </w:r>
      <w:r w:rsidR="00BD481A">
        <w:t xml:space="preserve"> the vehicle’s running costs</w:t>
      </w:r>
      <w:r>
        <w:t xml:space="preserve">, or </w:t>
      </w:r>
      <w:r w:rsidR="00572F04">
        <w:t xml:space="preserve">is </w:t>
      </w:r>
      <w:r>
        <w:t>a nuisance to the driver themselves,</w:t>
      </w:r>
      <w:r w:rsidR="00FF6A6D">
        <w:t xml:space="preserve"> there is generally </w:t>
      </w:r>
      <w:r>
        <w:t xml:space="preserve">limited </w:t>
      </w:r>
      <w:r w:rsidR="00FF6A6D">
        <w:t xml:space="preserve">incentive for a driver to voluntarily reduce emissions. </w:t>
      </w:r>
      <w:r>
        <w:t xml:space="preserve">Without </w:t>
      </w:r>
      <w:r w:rsidR="00251CB8">
        <w:t xml:space="preserve">some form of </w:t>
      </w:r>
      <w:r w:rsidR="00421B29">
        <w:t xml:space="preserve">government </w:t>
      </w:r>
      <w:r w:rsidR="00251CB8">
        <w:t>intervention</w:t>
      </w:r>
      <w:r>
        <w:t xml:space="preserve">, the existence of externalities can encourage activities that result in a negative burden on external parties. </w:t>
      </w:r>
    </w:p>
    <w:p w14:paraId="656B0F0E" w14:textId="77777777" w:rsidR="007C07AA" w:rsidRDefault="00EC700C" w:rsidP="0084401D">
      <w:r>
        <w:t xml:space="preserve">The GED </w:t>
      </w:r>
      <w:r w:rsidRPr="00EC700C">
        <w:t xml:space="preserve">will </w:t>
      </w:r>
      <w:r>
        <w:t xml:space="preserve">be unlikely to </w:t>
      </w:r>
      <w:r w:rsidRPr="00EC700C">
        <w:t>provide adequate protection</w:t>
      </w:r>
      <w:r>
        <w:t xml:space="preserve"> against the harms of motor vehicle emissions</w:t>
      </w:r>
      <w:r w:rsidRPr="00EC700C">
        <w:t xml:space="preserve">. The environmental and health impacts posed by vehicle emissions and noise are cumulative </w:t>
      </w:r>
      <w:r>
        <w:t xml:space="preserve">in nature, </w:t>
      </w:r>
      <w:r w:rsidR="00AF14EB">
        <w:t xml:space="preserve">meaning that </w:t>
      </w:r>
      <w:r w:rsidRPr="00EC700C">
        <w:t>an individual’s level of pollution</w:t>
      </w:r>
      <w:r w:rsidR="0084401D">
        <w:t xml:space="preserve"> is unlikely </w:t>
      </w:r>
      <w:r w:rsidRPr="00EC700C">
        <w:t xml:space="preserve">on its own </w:t>
      </w:r>
      <w:r w:rsidR="0084401D">
        <w:t xml:space="preserve">to </w:t>
      </w:r>
      <w:r w:rsidRPr="00EC700C">
        <w:t xml:space="preserve">trigger an obligation under the </w:t>
      </w:r>
      <w:r>
        <w:t>GED</w:t>
      </w:r>
      <w:r w:rsidRPr="00EC700C">
        <w:t xml:space="preserve">. </w:t>
      </w:r>
      <w:r w:rsidR="00BB090D">
        <w:t xml:space="preserve">Furthermore, </w:t>
      </w:r>
      <w:r w:rsidR="00AF14EB">
        <w:t xml:space="preserve">there would be no offences for breaching the GED for individuals who are operating </w:t>
      </w:r>
      <w:r w:rsidR="00BB090D">
        <w:t xml:space="preserve">vehicles for personal use, since </w:t>
      </w:r>
      <w:r w:rsidR="003C54E3">
        <w:t xml:space="preserve">a </w:t>
      </w:r>
      <w:r w:rsidR="00BB090D">
        <w:t>GED offence c</w:t>
      </w:r>
      <w:r w:rsidR="003C54E3">
        <w:t>a</w:t>
      </w:r>
      <w:r w:rsidR="00BB090D">
        <w:t>n only</w:t>
      </w:r>
      <w:r w:rsidR="003C54E3">
        <w:t xml:space="preserve"> </w:t>
      </w:r>
      <w:r w:rsidR="00BB090D">
        <w:t xml:space="preserve">be </w:t>
      </w:r>
      <w:r w:rsidR="003C54E3">
        <w:t xml:space="preserve">committed by a person </w:t>
      </w:r>
      <w:r w:rsidR="00A908E5">
        <w:t>conducting a business or</w:t>
      </w:r>
      <w:r w:rsidR="00BB090D">
        <w:t xml:space="preserve"> an</w:t>
      </w:r>
      <w:r w:rsidR="00A908E5">
        <w:t xml:space="preserve"> </w:t>
      </w:r>
      <w:r w:rsidR="00BB090D">
        <w:t>u</w:t>
      </w:r>
      <w:r w:rsidR="00A908E5">
        <w:t>ndertaking</w:t>
      </w:r>
      <w:r w:rsidR="00BB090D">
        <w:t>.</w:t>
      </w:r>
    </w:p>
    <w:p w14:paraId="656B0F0F" w14:textId="77777777" w:rsidR="0048555D" w:rsidRDefault="0048555D" w:rsidP="0084401D">
      <w:r>
        <w:t xml:space="preserve">The Vehicle Emissions Regulations, which will remain in force until 2023, will address the vehicle pollution risk until that year. </w:t>
      </w:r>
    </w:p>
    <w:p w14:paraId="656B0F10" w14:textId="77777777" w:rsidR="0048555D" w:rsidRDefault="0048555D" w:rsidP="0048555D">
      <w:pPr>
        <w:rPr>
          <w:rFonts w:cs="Arial"/>
        </w:rPr>
      </w:pPr>
      <w:r>
        <w:rPr>
          <w:rFonts w:cs="Arial"/>
        </w:rPr>
        <w:t>In the absence of government intervention, the Vehicle Emissions Regulations would operate alongside the proposed Regulations in support of the new EP legislation. B</w:t>
      </w:r>
      <w:r w:rsidRPr="19F51F10">
        <w:rPr>
          <w:rFonts w:cs="Arial"/>
        </w:rPr>
        <w:t xml:space="preserve">y virtue of </w:t>
      </w:r>
      <w:r>
        <w:rPr>
          <w:rFonts w:cs="Arial"/>
        </w:rPr>
        <w:t xml:space="preserve">saving </w:t>
      </w:r>
      <w:r w:rsidRPr="19F51F10">
        <w:rPr>
          <w:rFonts w:cs="Arial"/>
        </w:rPr>
        <w:t>the</w:t>
      </w:r>
      <w:r>
        <w:rPr>
          <w:rFonts w:cs="Arial"/>
        </w:rPr>
        <w:t xml:space="preserve"> </w:t>
      </w:r>
      <w:r>
        <w:t xml:space="preserve">Vehicle Emissions Regulations </w:t>
      </w:r>
      <w:r w:rsidRPr="19F51F10">
        <w:rPr>
          <w:rFonts w:cs="Arial"/>
        </w:rPr>
        <w:t>until 10 December 2023, the associated off</w:t>
      </w:r>
      <w:r>
        <w:rPr>
          <w:rFonts w:cs="Arial"/>
        </w:rPr>
        <w:t>ence provisions in the EP Act 1970 would also be retained. R</w:t>
      </w:r>
      <w:r w:rsidRPr="19F51F10">
        <w:rPr>
          <w:rFonts w:cs="Arial"/>
        </w:rPr>
        <w:t xml:space="preserve">eliance on these provisions </w:t>
      </w:r>
      <w:r>
        <w:rPr>
          <w:rFonts w:cs="Arial"/>
        </w:rPr>
        <w:t xml:space="preserve">may </w:t>
      </w:r>
      <w:r w:rsidRPr="19F51F10">
        <w:rPr>
          <w:rFonts w:cs="Arial"/>
        </w:rPr>
        <w:t>result in a complex and confusing legislative structure for duty holders and EPA officers alike.</w:t>
      </w:r>
      <w:r>
        <w:rPr>
          <w:rFonts w:cs="Arial"/>
        </w:rPr>
        <w:t xml:space="preserve"> This compromises the objective of establishing a modernised and streamlined legislative framework and is likely to result in some increase in regulatory burden</w:t>
      </w:r>
      <w:r w:rsidR="0060760B">
        <w:rPr>
          <w:rFonts w:cs="Arial"/>
        </w:rPr>
        <w:t xml:space="preserve"> for businesses</w:t>
      </w:r>
      <w:r>
        <w:rPr>
          <w:rFonts w:cs="Arial"/>
        </w:rPr>
        <w:t xml:space="preserve"> and costs to EPA; albeit quite small. </w:t>
      </w:r>
    </w:p>
    <w:p w14:paraId="656B0F11" w14:textId="77777777" w:rsidR="0003129D" w:rsidRDefault="0003129D" w:rsidP="00F25B16">
      <w:pPr>
        <w:pStyle w:val="Heading3"/>
        <w:ind w:left="720"/>
      </w:pPr>
      <w:r>
        <w:t>Harms</w:t>
      </w:r>
    </w:p>
    <w:p w14:paraId="656B0F12" w14:textId="77777777" w:rsidR="006D4359" w:rsidRPr="00626828" w:rsidRDefault="008007E9" w:rsidP="00F25B16">
      <w:r>
        <w:t xml:space="preserve">This section describes the broad harms from vehicle emissions. It is noted that the problem of vehicle emissions will be mostly addressed </w:t>
      </w:r>
      <w:r w:rsidR="00ED18D4">
        <w:t xml:space="preserve">until 2023, </w:t>
      </w:r>
      <w:r w:rsidR="00761754">
        <w:t xml:space="preserve">even </w:t>
      </w:r>
      <w:r>
        <w:t xml:space="preserve">if there is no further intervention </w:t>
      </w:r>
      <w:r w:rsidR="00F25B16">
        <w:t>(</w:t>
      </w:r>
      <w:r>
        <w:t>i.e. in which case the current Vehicles Emissions Regulations will remain in place until the end of 2023</w:t>
      </w:r>
      <w:r w:rsidR="00F25B16">
        <w:t>)</w:t>
      </w:r>
      <w:r>
        <w:t>.</w:t>
      </w:r>
    </w:p>
    <w:p w14:paraId="656B0F13" w14:textId="77777777" w:rsidR="007C07AA" w:rsidRDefault="0003129D" w:rsidP="0003129D">
      <w:r>
        <w:t xml:space="preserve">Noise and air emissions from vehicles impact human health and the environment. </w:t>
      </w:r>
    </w:p>
    <w:p w14:paraId="656B0F14" w14:textId="77777777" w:rsidR="0003129D" w:rsidRDefault="007C07AA" w:rsidP="0003129D">
      <w:r>
        <w:t xml:space="preserve">These air pollutants </w:t>
      </w:r>
      <w:r w:rsidR="0003129D">
        <w:t>have detrimental health impacts</w:t>
      </w:r>
      <w:r>
        <w:t xml:space="preserve">, </w:t>
      </w:r>
      <w:r w:rsidR="0003129D">
        <w:t>are precursors to the formation of ozone</w:t>
      </w:r>
      <w:r>
        <w:t>,</w:t>
      </w:r>
      <w:r w:rsidR="0003129D">
        <w:t xml:space="preserve"> and are often visible as brown winter haze. Emissions from in-service motor vehicles can contribute to poor health (adversely affecting acute and chronic health conditions) and the loss of amenity (for example, odour and poor visibility). </w:t>
      </w:r>
    </w:p>
    <w:p w14:paraId="656B0F15" w14:textId="77777777" w:rsidR="00E63FB8" w:rsidRDefault="00E63FB8" w:rsidP="00E63FB8">
      <w:r w:rsidRPr="00FD51C5">
        <w:t xml:space="preserve">In </w:t>
      </w:r>
      <w:r w:rsidR="00080A0C">
        <w:t xml:space="preserve">a </w:t>
      </w:r>
      <w:r w:rsidRPr="00FD51C5">
        <w:t>2005</w:t>
      </w:r>
      <w:r w:rsidR="00080A0C">
        <w:t xml:space="preserve"> study (the most recent known national study)</w:t>
      </w:r>
      <w:r w:rsidRPr="00FD51C5">
        <w:t xml:space="preserve">, the economic cost of motor vehicle air pollution </w:t>
      </w:r>
      <w:r w:rsidRPr="0003129D">
        <w:rPr>
          <w:szCs w:val="20"/>
        </w:rPr>
        <w:t xml:space="preserve">on health </w:t>
      </w:r>
      <w:r w:rsidRPr="00FD51C5">
        <w:t xml:space="preserve">in Australia </w:t>
      </w:r>
      <w:r w:rsidR="00EA2B0D" w:rsidRPr="00FD51C5">
        <w:t>w</w:t>
      </w:r>
      <w:r w:rsidR="00EA2B0D">
        <w:t>as</w:t>
      </w:r>
      <w:r w:rsidR="00EA2B0D" w:rsidRPr="00FD51C5">
        <w:t xml:space="preserve"> </w:t>
      </w:r>
      <w:r w:rsidRPr="00FD51C5">
        <w:t>estimated to be appro</w:t>
      </w:r>
      <w:r>
        <w:t>ximately $2.7</w:t>
      </w:r>
      <w:r w:rsidR="0048555D">
        <w:t xml:space="preserve"> </w:t>
      </w:r>
      <w:r>
        <w:t>billion each</w:t>
      </w:r>
      <w:r w:rsidR="0048555D">
        <w:t xml:space="preserve"> </w:t>
      </w:r>
      <w:r>
        <w:t>year.</w:t>
      </w:r>
      <w:r w:rsidRPr="00FD51C5">
        <w:rPr>
          <w:vertAlign w:val="superscript"/>
        </w:rPr>
        <w:footnoteReference w:id="297"/>
      </w:r>
      <w:r w:rsidR="00421B29">
        <w:t xml:space="preserve"> Compared to 2005, vehicles today are more efficient and use cleaner fuels, meaning that they typically emit less air pollutants, however this improvement has likely been (at least partially) offset by an increase in the number of vehicles operating in Victoria</w:t>
      </w:r>
      <w:r w:rsidR="00EA2B0D">
        <w:t xml:space="preserve"> and an increase in the number of people exposed to the pollutants</w:t>
      </w:r>
      <w:r w:rsidR="00421B29">
        <w:t xml:space="preserve">. </w:t>
      </w:r>
    </w:p>
    <w:p w14:paraId="656B0F16" w14:textId="77777777" w:rsidR="00A976EF" w:rsidRDefault="00A976EF" w:rsidP="00040A06">
      <w:r>
        <w:t xml:space="preserve">Noisy vehicles can cause annoyance, sleep disturbance and other health impacts </w:t>
      </w:r>
      <w:r w:rsidR="0042094A">
        <w:t>associated with elevated sound levels. Elevated noise can cause hearing impairment, hypertension, ischemic heart disease, annoyance, sleep disturbance, and impacts on the immune system. The effects of noise from motor vehicles includes sleep disturbances (which may also have long term health impacts), amenity (affecting liveability and wellbeing), annoyance (increasing stress), and decreased social cohesion.</w:t>
      </w:r>
      <w:r w:rsidR="00080A0C" w:rsidRPr="00080A0C">
        <w:rPr>
          <w:rStyle w:val="FootnoteReference"/>
          <w:i/>
        </w:rPr>
        <w:t xml:space="preserve"> </w:t>
      </w:r>
      <w:r w:rsidR="00080A0C" w:rsidRPr="00CB1191">
        <w:rPr>
          <w:rStyle w:val="FootnoteReference"/>
        </w:rPr>
        <w:footnoteReference w:id="298"/>
      </w:r>
    </w:p>
    <w:p w14:paraId="656B0F17" w14:textId="77777777" w:rsidR="008E1D2B" w:rsidRDefault="00E63FB8" w:rsidP="00ED173F">
      <w:r>
        <w:t>EPA conducted a survey of 799 Victorians</w:t>
      </w:r>
      <w:r w:rsidR="00421B29">
        <w:t xml:space="preserve"> between 2011 and 2012</w:t>
      </w:r>
      <w:r>
        <w:t>, with 23 per cent of Victorians indicating that they had been disturbed in the home by road traffic from individual vehicles. A similar number (25 per cent) indicated busy roads as a source of disturbances in the home.</w:t>
      </w:r>
      <w:r w:rsidRPr="00E63FB8">
        <w:t xml:space="preserve"> </w:t>
      </w:r>
      <w:r>
        <w:t>The average level of disturbance reported by Victorians (excluding those that were not disturbed) was moderate at 5.9 out of 10. However, almost half of those disturbed by these two sources (57 per cent for busy roads, 59 per cent for individual vehicles) were very to extremely disturbed.</w:t>
      </w:r>
      <w:r>
        <w:rPr>
          <w:rStyle w:val="FootnoteReference"/>
        </w:rPr>
        <w:footnoteReference w:id="299"/>
      </w:r>
      <w:r>
        <w:t xml:space="preserve"> </w:t>
      </w:r>
    </w:p>
    <w:p w14:paraId="656B0F18" w14:textId="77777777" w:rsidR="007F669D" w:rsidRDefault="007F669D" w:rsidP="00982D63">
      <w:pPr>
        <w:pStyle w:val="Heading2"/>
      </w:pPr>
      <w:r>
        <w:t xml:space="preserve">Options </w:t>
      </w:r>
    </w:p>
    <w:p w14:paraId="656B0F19" w14:textId="77777777" w:rsidR="009278F6" w:rsidRDefault="0048555D" w:rsidP="00302D8D">
      <w:r>
        <w:t>Three</w:t>
      </w:r>
      <w:r w:rsidR="005C4E52">
        <w:t xml:space="preserve"> </w:t>
      </w:r>
      <w:r w:rsidR="00166A36">
        <w:t xml:space="preserve">options </w:t>
      </w:r>
      <w:r>
        <w:t xml:space="preserve">are </w:t>
      </w:r>
      <w:r w:rsidR="00166A36">
        <w:t xml:space="preserve">considered </w:t>
      </w:r>
      <w:r>
        <w:t xml:space="preserve">in this RIS </w:t>
      </w:r>
      <w:r w:rsidR="00E541F5">
        <w:t xml:space="preserve">for addressing motor vehicle pollution </w:t>
      </w:r>
      <w:r>
        <w:t>in Victoria</w:t>
      </w:r>
      <w:r w:rsidR="00E541F5">
        <w:t xml:space="preserve">. </w:t>
      </w:r>
      <w:r w:rsidR="009278F6">
        <w:t>Under each of the</w:t>
      </w:r>
      <w:r w:rsidR="00DF78B4">
        <w:t>se</w:t>
      </w:r>
      <w:r w:rsidR="009278F6">
        <w:t xml:space="preserve"> options, </w:t>
      </w:r>
      <w:r w:rsidR="00D14A44">
        <w:t>the Vehicle Emissions Regulations</w:t>
      </w:r>
      <w:r w:rsidR="00D14A44" w:rsidDel="00D14A44">
        <w:t xml:space="preserve"> </w:t>
      </w:r>
      <w:r w:rsidR="00D14A44">
        <w:t>remain in force</w:t>
      </w:r>
      <w:r w:rsidR="009278F6">
        <w:t xml:space="preserve"> in Victoria with the commencement of the new </w:t>
      </w:r>
      <w:r w:rsidR="00DF78B4">
        <w:t>EP legislation</w:t>
      </w:r>
      <w:r w:rsidR="009278F6">
        <w:t xml:space="preserve">. </w:t>
      </w:r>
      <w:r w:rsidR="000B008F">
        <w:t>No options consider a scenario where</w:t>
      </w:r>
      <w:r w:rsidR="00BA30C4">
        <w:t xml:space="preserve"> </w:t>
      </w:r>
      <w:r w:rsidR="00520B77">
        <w:t>Vehicle Emissions Regulations</w:t>
      </w:r>
      <w:r w:rsidR="00BA30C4">
        <w:t xml:space="preserve"> </w:t>
      </w:r>
      <w:r w:rsidR="000B008F">
        <w:t>do not exist</w:t>
      </w:r>
      <w:r w:rsidR="00BA30C4">
        <w:t xml:space="preserve"> in Victoria</w:t>
      </w:r>
      <w:r w:rsidR="009278F6">
        <w:t xml:space="preserve">. This is </w:t>
      </w:r>
      <w:r w:rsidR="00730E58">
        <w:t>primarily for two reasons</w:t>
      </w:r>
      <w:r w:rsidR="000B008F">
        <w:t xml:space="preserve">. </w:t>
      </w:r>
      <w:r w:rsidR="00730E58">
        <w:t xml:space="preserve">Firstly, the </w:t>
      </w:r>
      <w:r w:rsidR="00D14A44">
        <w:t>Vehicle Emissions Regulations</w:t>
      </w:r>
      <w:r w:rsidR="00D14A44" w:rsidRPr="001A43F2" w:rsidDel="00D14A44">
        <w:rPr>
          <w:i/>
        </w:rPr>
        <w:t xml:space="preserve"> </w:t>
      </w:r>
      <w:r w:rsidR="00730E58">
        <w:t xml:space="preserve">generate a significant net benefit for Victoria. </w:t>
      </w:r>
      <w:r w:rsidR="009278F6">
        <w:t xml:space="preserve">The </w:t>
      </w:r>
      <w:r w:rsidR="00080A0C">
        <w:t xml:space="preserve">2013 </w:t>
      </w:r>
      <w:r w:rsidR="00730E58">
        <w:t>Regulatory Impact Statement</w:t>
      </w:r>
      <w:r w:rsidR="00730E58" w:rsidRPr="00CB1191">
        <w:rPr>
          <w:rStyle w:val="FootnoteReference"/>
        </w:rPr>
        <w:footnoteReference w:id="300"/>
      </w:r>
      <w:r w:rsidR="00730E58" w:rsidRPr="00302D8D">
        <w:rPr>
          <w:i/>
        </w:rPr>
        <w:t xml:space="preserve"> </w:t>
      </w:r>
      <w:r w:rsidR="000B008F">
        <w:t>estima</w:t>
      </w:r>
      <w:r w:rsidR="00730E58">
        <w:t xml:space="preserve">ted </w:t>
      </w:r>
      <w:r w:rsidR="000B008F">
        <w:t>the</w:t>
      </w:r>
      <w:r w:rsidR="00730E58">
        <w:t xml:space="preserve"> net benefit attributable to avoided noise was </w:t>
      </w:r>
      <w:r w:rsidR="00D14A44">
        <w:t>$</w:t>
      </w:r>
      <w:r w:rsidR="001608B6">
        <w:t>4</w:t>
      </w:r>
      <w:r w:rsidR="00730E58">
        <w:t>.</w:t>
      </w:r>
      <w:r w:rsidR="001608B6">
        <w:t>2</w:t>
      </w:r>
      <w:r w:rsidR="00730E58">
        <w:t xml:space="preserve"> million over 10 years, while the net benefit attributable to avoided air pollution was $</w:t>
      </w:r>
      <w:r w:rsidR="001608B6">
        <w:t>61</w:t>
      </w:r>
      <w:r w:rsidR="00730E58">
        <w:t>.</w:t>
      </w:r>
      <w:r w:rsidR="001608B6">
        <w:t>1</w:t>
      </w:r>
      <w:r w:rsidR="00730E58">
        <w:t xml:space="preserve"> million</w:t>
      </w:r>
      <w:r w:rsidR="00AE599B">
        <w:t xml:space="preserve"> (</w:t>
      </w:r>
      <w:r w:rsidR="001608B6">
        <w:t xml:space="preserve">when converted to </w:t>
      </w:r>
      <w:r w:rsidR="00AE599B">
        <w:t>real $201</w:t>
      </w:r>
      <w:r w:rsidR="001608B6">
        <w:t>9</w:t>
      </w:r>
      <w:r w:rsidR="00AE599B">
        <w:t>)</w:t>
      </w:r>
      <w:r w:rsidR="00730E58">
        <w:t xml:space="preserve">. </w:t>
      </w:r>
      <w:r w:rsidR="00D14A44">
        <w:t>T</w:t>
      </w:r>
      <w:r w:rsidR="00730E58">
        <w:t xml:space="preserve">hese values only reflect the quantifiable benefits. Avoided emissions from petrol vehicles will also have benefits that </w:t>
      </w:r>
      <w:r w:rsidR="00D14A44">
        <w:t>were not</w:t>
      </w:r>
      <w:r w:rsidR="00730E58">
        <w:t xml:space="preserve"> quantified in th</w:t>
      </w:r>
      <w:r w:rsidR="00D14A44">
        <w:t>e</w:t>
      </w:r>
      <w:r w:rsidR="00730E58">
        <w:t xml:space="preserve"> </w:t>
      </w:r>
      <w:r w:rsidR="00D14A44">
        <w:t xml:space="preserve">2013 </w:t>
      </w:r>
      <w:r w:rsidR="00730E58">
        <w:t>RIS, including benefits to the natural environment.</w:t>
      </w:r>
    </w:p>
    <w:p w14:paraId="656B0F1A" w14:textId="77777777" w:rsidR="00730E58" w:rsidRDefault="00730E58" w:rsidP="00302D8D">
      <w:r>
        <w:t xml:space="preserve">Secondly, </w:t>
      </w:r>
      <w:r w:rsidR="00E541F5">
        <w:t xml:space="preserve">by including a provision in the </w:t>
      </w:r>
      <w:r w:rsidR="00130BC3">
        <w:t>new EP legislation</w:t>
      </w:r>
      <w:r w:rsidR="00E541F5">
        <w:t xml:space="preserve"> to save the </w:t>
      </w:r>
      <w:r w:rsidR="00D14A44">
        <w:t>Vehicle Emissions Regulations</w:t>
      </w:r>
      <w:r w:rsidR="00E541F5">
        <w:t xml:space="preserve">, </w:t>
      </w:r>
      <w:r>
        <w:t xml:space="preserve">the Victorian </w:t>
      </w:r>
      <w:r w:rsidR="00E541F5">
        <w:t xml:space="preserve">Government has stated a clear policy intention for these vehicle emissions to continue to be regulated under the new legislative framework. </w:t>
      </w:r>
    </w:p>
    <w:p w14:paraId="656B0F1B" w14:textId="77777777" w:rsidR="00BA30C4" w:rsidRDefault="00BA30C4" w:rsidP="00302D8D">
      <w:r>
        <w:t>In developing these options for the control of vehicle emissions, EPA review</w:t>
      </w:r>
      <w:r w:rsidR="00825105">
        <w:t>ed</w:t>
      </w:r>
      <w:r>
        <w:t xml:space="preserve"> the regulations to identify areas for potential improvement</w:t>
      </w:r>
      <w:r w:rsidR="00825105">
        <w:t xml:space="preserve"> and identified potential </w:t>
      </w:r>
      <w:r w:rsidR="00B255D5">
        <w:t>change</w:t>
      </w:r>
      <w:r w:rsidR="002F3941">
        <w:t>s</w:t>
      </w:r>
      <w:r w:rsidR="00B255D5">
        <w:t xml:space="preserve"> </w:t>
      </w:r>
      <w:r w:rsidR="00825105">
        <w:t xml:space="preserve">(which </w:t>
      </w:r>
      <w:r w:rsidR="002F3941">
        <w:t>are</w:t>
      </w:r>
      <w:r w:rsidR="00825105">
        <w:t xml:space="preserve"> incorporated in the options). </w:t>
      </w:r>
      <w:r w:rsidR="00E94F9F">
        <w:t>Other minor potential improvements identified require further data on who would be affected or can be progressed as non-regulatory options, for example, updating guidelines</w:t>
      </w:r>
      <w:r w:rsidR="00B255D5">
        <w:t>.</w:t>
      </w:r>
      <w:r w:rsidR="00825105">
        <w:t xml:space="preserve"> </w:t>
      </w:r>
    </w:p>
    <w:p w14:paraId="656B0F1C" w14:textId="77777777" w:rsidR="00E541F5" w:rsidRPr="007F669D" w:rsidRDefault="00E541F5" w:rsidP="00302D8D">
      <w:r>
        <w:t>The three options considered for addressing pollution of motor vehicles are outlined below:</w:t>
      </w:r>
    </w:p>
    <w:p w14:paraId="656B0F1D" w14:textId="77777777" w:rsidR="007F669D" w:rsidRDefault="001F544F" w:rsidP="00F25B16">
      <w:pPr>
        <w:pStyle w:val="Heading3"/>
        <w:ind w:left="720"/>
      </w:pPr>
      <w:r>
        <w:t>Option 1 – do nothing (</w:t>
      </w:r>
      <w:r w:rsidR="00BF2C24">
        <w:t>Base Case</w:t>
      </w:r>
      <w:r>
        <w:t>)</w:t>
      </w:r>
    </w:p>
    <w:p w14:paraId="656B0F1E" w14:textId="77777777" w:rsidR="007F669D" w:rsidRPr="00543E69" w:rsidRDefault="00543E69" w:rsidP="00543E69">
      <w:pPr>
        <w:rPr>
          <w:b/>
        </w:rPr>
      </w:pPr>
      <w:r>
        <w:t xml:space="preserve">Under the </w:t>
      </w:r>
      <w:r w:rsidR="00BF2C24">
        <w:t>Base Case</w:t>
      </w:r>
      <w:r>
        <w:t xml:space="preserve">, the </w:t>
      </w:r>
      <w:r w:rsidR="00D14A44">
        <w:t>Vehicle Emissions Regulations</w:t>
      </w:r>
      <w:r w:rsidR="00D14A44" w:rsidDel="00D14A44">
        <w:t xml:space="preserve"> </w:t>
      </w:r>
      <w:r>
        <w:t xml:space="preserve">remain in force from the commencement of the </w:t>
      </w:r>
      <w:r w:rsidR="00130BC3">
        <w:t xml:space="preserve">new EP legislation </w:t>
      </w:r>
      <w:r w:rsidR="00D14A44">
        <w:t>until</w:t>
      </w:r>
      <w:r>
        <w:t xml:space="preserve"> 10 December 2023</w:t>
      </w:r>
      <w:r w:rsidR="00071784">
        <w:t xml:space="preserve"> (when they are due to sunset)</w:t>
      </w:r>
      <w:r>
        <w:t xml:space="preserve">. </w:t>
      </w:r>
      <w:r w:rsidR="00EF6FDE">
        <w:t xml:space="preserve">Should they sunset, the Vehicle Emissions Regulations would no longer continue to have effect in Victoria beyond 2023. </w:t>
      </w:r>
    </w:p>
    <w:p w14:paraId="656B0F1F" w14:textId="77777777" w:rsidR="007F669D" w:rsidRDefault="007F669D" w:rsidP="00F25B16">
      <w:pPr>
        <w:pStyle w:val="Heading3"/>
        <w:ind w:left="720"/>
      </w:pPr>
      <w:r>
        <w:t xml:space="preserve">Option </w:t>
      </w:r>
      <w:r w:rsidR="001F544F">
        <w:t>2</w:t>
      </w:r>
      <w:r>
        <w:t xml:space="preserve"> – Translate the Vehicle Emissions Regulations into </w:t>
      </w:r>
      <w:r w:rsidR="00D14A44">
        <w:t>the proposed Regulations</w:t>
      </w:r>
    </w:p>
    <w:p w14:paraId="656B0F20" w14:textId="77777777" w:rsidR="009F0B8B" w:rsidRDefault="00543E69" w:rsidP="00543E69">
      <w:r>
        <w:t xml:space="preserve">Under </w:t>
      </w:r>
      <w:r w:rsidR="00071784">
        <w:t>this</w:t>
      </w:r>
      <w:r>
        <w:t xml:space="preserve"> option, the </w:t>
      </w:r>
      <w:r w:rsidR="00D14A44">
        <w:t>Vehicle Emissions Regulations</w:t>
      </w:r>
      <w:r w:rsidR="00D14A44" w:rsidDel="00D14A44">
        <w:t xml:space="preserve"> </w:t>
      </w:r>
      <w:r>
        <w:t xml:space="preserve">are translated into the </w:t>
      </w:r>
      <w:r w:rsidR="00D14A44">
        <w:t>proposed Regulations</w:t>
      </w:r>
      <w:r w:rsidR="00071784">
        <w:t xml:space="preserve">, </w:t>
      </w:r>
      <w:r w:rsidR="00166A36">
        <w:t>along with some relevant provisions</w:t>
      </w:r>
      <w:r w:rsidR="004E4425">
        <w:t xml:space="preserve"> and offences</w:t>
      </w:r>
      <w:r w:rsidR="00166A36">
        <w:t xml:space="preserve"> within the </w:t>
      </w:r>
      <w:r w:rsidR="00D14A44">
        <w:t>EP Act 1970</w:t>
      </w:r>
      <w:r w:rsidR="00166A36">
        <w:t xml:space="preserve"> that operate in conjunction with the Regulations</w:t>
      </w:r>
      <w:r w:rsidR="00071784">
        <w:t>.</w:t>
      </w:r>
      <w:r>
        <w:t xml:space="preserve"> </w:t>
      </w:r>
      <w:r w:rsidR="004E4425" w:rsidRPr="004E4425">
        <w:t xml:space="preserve">Some of the motor vehicle offences in the </w:t>
      </w:r>
      <w:r w:rsidR="00D14A44">
        <w:t>EP Act 1970</w:t>
      </w:r>
      <w:r w:rsidR="004E4425" w:rsidRPr="004E4425">
        <w:t xml:space="preserve"> (which has a maximum penalty of 2,400 penalty </w:t>
      </w:r>
      <w:r w:rsidR="00675AB2">
        <w:t>units</w:t>
      </w:r>
      <w:r w:rsidR="004E4425" w:rsidRPr="004E4425">
        <w:t xml:space="preserve">) have a penalty higher than what is allowable under Regulations (maximum of 100 penalty </w:t>
      </w:r>
      <w:r w:rsidR="00675AB2">
        <w:t>units</w:t>
      </w:r>
      <w:r w:rsidR="004E4425" w:rsidRPr="004E4425">
        <w:t>). As such, penalties would need to be adjusted accordingly.</w:t>
      </w:r>
    </w:p>
    <w:p w14:paraId="656B0F21" w14:textId="77777777" w:rsidR="00071784" w:rsidRPr="00543E69" w:rsidRDefault="00E63FB8" w:rsidP="00543E69">
      <w:pPr>
        <w:rPr>
          <w:b/>
        </w:rPr>
      </w:pPr>
      <w:r>
        <w:t>T</w:t>
      </w:r>
      <w:r w:rsidR="00071784">
        <w:t xml:space="preserve">he </w:t>
      </w:r>
      <w:r w:rsidR="00D14A44">
        <w:t>Vehicle Emissions Regulations</w:t>
      </w:r>
      <w:r w:rsidR="00D14A44" w:rsidDel="00D14A44">
        <w:t xml:space="preserve"> </w:t>
      </w:r>
      <w:r w:rsidR="00071784">
        <w:t xml:space="preserve">(within the </w:t>
      </w:r>
      <w:r>
        <w:t xml:space="preserve">proposed </w:t>
      </w:r>
      <w:r w:rsidR="00071784" w:rsidRPr="00071784">
        <w:t>Regulations</w:t>
      </w:r>
      <w:r w:rsidR="00071784">
        <w:t xml:space="preserve">) would remain in force until 2030 (when they would be due to sunset). </w:t>
      </w:r>
    </w:p>
    <w:p w14:paraId="656B0F22" w14:textId="77777777" w:rsidR="007F669D" w:rsidRDefault="007F669D" w:rsidP="00F25B16">
      <w:pPr>
        <w:pStyle w:val="Heading3"/>
        <w:ind w:left="720"/>
      </w:pPr>
      <w:r>
        <w:t xml:space="preserve">Option </w:t>
      </w:r>
      <w:r w:rsidR="001F544F">
        <w:t>3</w:t>
      </w:r>
      <w:r>
        <w:t xml:space="preserve"> – Translate the</w:t>
      </w:r>
      <w:r w:rsidR="00890DC3">
        <w:t xml:space="preserve"> </w:t>
      </w:r>
      <w:r>
        <w:t xml:space="preserve">Vehicle Emissions Regulations into the </w:t>
      </w:r>
      <w:r w:rsidR="00080A0C">
        <w:t>proposed Regulations</w:t>
      </w:r>
      <w:r>
        <w:t xml:space="preserve">, with </w:t>
      </w:r>
      <w:r w:rsidR="00F25B16">
        <w:t>s</w:t>
      </w:r>
      <w:r w:rsidR="00C36F1B">
        <w:t xml:space="preserve">ome </w:t>
      </w:r>
      <w:r>
        <w:t>amendments</w:t>
      </w:r>
    </w:p>
    <w:p w14:paraId="656B0F23" w14:textId="77777777" w:rsidR="009F0B8B" w:rsidRPr="001A43F2" w:rsidRDefault="00071784" w:rsidP="009F0B8B">
      <w:pPr>
        <w:rPr>
          <w:b/>
        </w:rPr>
      </w:pPr>
      <w:r>
        <w:t xml:space="preserve">Under this option, the </w:t>
      </w:r>
      <w:r w:rsidR="00751EE0">
        <w:t>Vehicle Emissions Regulations</w:t>
      </w:r>
      <w:r>
        <w:t xml:space="preserve"> are translated into the </w:t>
      </w:r>
      <w:r w:rsidR="00751EE0">
        <w:t>proposed Regulations</w:t>
      </w:r>
      <w:r>
        <w:t xml:space="preserve">, </w:t>
      </w:r>
      <w:r w:rsidR="00166A36">
        <w:t>along with some</w:t>
      </w:r>
      <w:r w:rsidR="00751EE0">
        <w:t xml:space="preserve"> relevant provisions and offences within the EP Act 1970 that operate in conjunction with the Regulations</w:t>
      </w:r>
      <w:r w:rsidR="00751EE0" w:rsidDel="00751EE0">
        <w:t xml:space="preserve"> </w:t>
      </w:r>
      <w:r w:rsidR="004E4425">
        <w:t xml:space="preserve">(as per Option 2). </w:t>
      </w:r>
    </w:p>
    <w:p w14:paraId="656B0F24" w14:textId="77777777" w:rsidR="00AA5964" w:rsidRDefault="009F0B8B" w:rsidP="00166A36">
      <w:r>
        <w:t xml:space="preserve">Option 3 differs from </w:t>
      </w:r>
      <w:r w:rsidR="004E4425">
        <w:t>O</w:t>
      </w:r>
      <w:r>
        <w:t xml:space="preserve">ption 2, in that the </w:t>
      </w:r>
      <w:r w:rsidR="00751EE0">
        <w:t xml:space="preserve">proposed </w:t>
      </w:r>
      <w:r>
        <w:t xml:space="preserve">Regulations would incorporate the following </w:t>
      </w:r>
      <w:r w:rsidR="00830D76">
        <w:t>change</w:t>
      </w:r>
      <w:r w:rsidR="00830D76" w:rsidDel="007E397A">
        <w:t>s</w:t>
      </w:r>
      <w:r w:rsidR="009042C5">
        <w:t>:</w:t>
      </w:r>
    </w:p>
    <w:p w14:paraId="656B0F25" w14:textId="77777777" w:rsidR="00F66B1D" w:rsidRPr="007C5677" w:rsidRDefault="00AA5964" w:rsidP="00F25B16">
      <w:pPr>
        <w:pStyle w:val="ListParagraph"/>
        <w:numPr>
          <w:ilvl w:val="0"/>
          <w:numId w:val="220"/>
        </w:numPr>
      </w:pPr>
      <w:r>
        <w:t>A</w:t>
      </w:r>
      <w:r w:rsidR="000254E3" w:rsidRPr="007C5677">
        <w:t>dopt</w:t>
      </w:r>
      <w:r w:rsidR="009042C5">
        <w:t>ion of</w:t>
      </w:r>
      <w:r w:rsidR="000254E3" w:rsidRPr="007C5677">
        <w:t xml:space="preserve"> a consistent approach to testing diesel air emissions </w:t>
      </w:r>
      <w:r w:rsidR="00751EE0">
        <w:t>with</w:t>
      </w:r>
      <w:r w:rsidR="000254E3" w:rsidRPr="007C5677">
        <w:t xml:space="preserve"> the </w:t>
      </w:r>
      <w:r w:rsidR="009F0B8B" w:rsidRPr="00040A06">
        <w:t>ALVSRs</w:t>
      </w:r>
      <w:r w:rsidR="00EC5F5B">
        <w:t>,</w:t>
      </w:r>
      <w:r w:rsidR="00F66B1D" w:rsidRPr="00A30506">
        <w:rPr>
          <w:i/>
        </w:rPr>
        <w:t xml:space="preserve"> </w:t>
      </w:r>
      <w:r w:rsidR="00EC5F5B" w:rsidRPr="00A30506">
        <w:rPr>
          <w:i/>
        </w:rPr>
        <w:t>w</w:t>
      </w:r>
      <w:r w:rsidR="00EC5F5B">
        <w:rPr>
          <w:iCs/>
        </w:rPr>
        <w:t xml:space="preserve">hich are </w:t>
      </w:r>
      <w:r w:rsidR="000254E3" w:rsidRPr="000254E3">
        <w:rPr>
          <w:iCs/>
        </w:rPr>
        <w:t xml:space="preserve">model rules developed by the </w:t>
      </w:r>
      <w:r w:rsidR="000254E3" w:rsidRPr="00A30506">
        <w:rPr>
          <w:i/>
          <w:iCs/>
        </w:rPr>
        <w:t>National Transport Commission</w:t>
      </w:r>
      <w:r w:rsidR="00751EE0">
        <w:rPr>
          <w:iCs/>
        </w:rPr>
        <w:t xml:space="preserve"> (see section 15.2)</w:t>
      </w:r>
      <w:r w:rsidR="000254E3" w:rsidRPr="00A30506">
        <w:rPr>
          <w:i/>
          <w:iCs/>
        </w:rPr>
        <w:t>.</w:t>
      </w:r>
      <w:r w:rsidR="000254E3">
        <w:rPr>
          <w:iCs/>
        </w:rPr>
        <w:t xml:space="preserve"> </w:t>
      </w:r>
      <w:r w:rsidR="00EC5F5B">
        <w:rPr>
          <w:iCs/>
        </w:rPr>
        <w:t xml:space="preserve">The approach is known as the DT80 test cycle. The DT80 test cycle is currently referenced in the </w:t>
      </w:r>
      <w:r w:rsidR="00EC5F5B">
        <w:t xml:space="preserve">Vehicle Emissions Regulations, but </w:t>
      </w:r>
      <w:r w:rsidR="009F0B8B">
        <w:t xml:space="preserve">is not </w:t>
      </w:r>
      <w:r w:rsidR="00EC5F5B">
        <w:t>r</w:t>
      </w:r>
      <w:r w:rsidR="009F0B8B">
        <w:t>eferenced back to the ALVSRs.</w:t>
      </w:r>
    </w:p>
    <w:p w14:paraId="656B0F26" w14:textId="77777777" w:rsidR="009042C5" w:rsidRPr="007C5677" w:rsidRDefault="009042C5" w:rsidP="00F25B16">
      <w:pPr>
        <w:pStyle w:val="ListParagraph"/>
        <w:numPr>
          <w:ilvl w:val="0"/>
          <w:numId w:val="220"/>
        </w:numPr>
      </w:pPr>
      <w:r>
        <w:t>Restricting the sale or supply of in-service spark ignition engine vehicles that do not meet the prescribed hydrocarbon limits</w:t>
      </w:r>
      <w:r w:rsidR="00C36F1B">
        <w:t>. These limits are already prescribed in the Vehicle Emissions Regulations</w:t>
      </w:r>
      <w:r>
        <w:t xml:space="preserve">. The current </w:t>
      </w:r>
      <w:r w:rsidRPr="00F25B16">
        <w:rPr>
          <w:i/>
        </w:rPr>
        <w:t>Environment Protection Act 1970</w:t>
      </w:r>
      <w:r>
        <w:t xml:space="preserve"> (and </w:t>
      </w:r>
      <w:r w:rsidRPr="002E0185">
        <w:t>Vehicle Emission</w:t>
      </w:r>
      <w:r w:rsidR="00C36F1B" w:rsidRPr="00F25B16">
        <w:t>s</w:t>
      </w:r>
      <w:r w:rsidRPr="00C36F1B">
        <w:t xml:space="preserve"> Regulations</w:t>
      </w:r>
      <w:r w:rsidR="00C36F1B">
        <w:t>)</w:t>
      </w:r>
      <w:r w:rsidRPr="00F25B16">
        <w:rPr>
          <w:i/>
        </w:rPr>
        <w:t xml:space="preserve"> </w:t>
      </w:r>
      <w:r>
        <w:t>restrict the sale of vehicles that do not comply with the visibility and carbon monoxide limit</w:t>
      </w:r>
      <w:r w:rsidR="00C36F1B">
        <w:t>,</w:t>
      </w:r>
      <w:r>
        <w:t xml:space="preserve"> but do not make the same requirement for the hydrocarbon limit. This option would extend the current restrictions on the use of vehicles that do not comply with the hydrocarbon limit to also apply to their sale and supply. Note that while there are no existing restrictions on the sale of in-service diesel vehicles that do not comply with the relevant NOx, particle and opacity limits, this restriction would naturally already be in place through the Australian Light Vehicle Standards Rules 2015, which are intended to apply to in-service vehicles.</w:t>
      </w:r>
    </w:p>
    <w:p w14:paraId="656B0F27" w14:textId="2B3893D8" w:rsidR="001F544F" w:rsidRPr="00040A06" w:rsidRDefault="00166A36" w:rsidP="00166A36">
      <w:pPr>
        <w:rPr>
          <w:b/>
        </w:rPr>
      </w:pPr>
      <w:r>
        <w:t xml:space="preserve">The Vehicle Emissions </w:t>
      </w:r>
      <w:r w:rsidR="00665145">
        <w:t>R</w:t>
      </w:r>
      <w:r>
        <w:t xml:space="preserve">egulations (within the proposed </w:t>
      </w:r>
      <w:r w:rsidRPr="00071784">
        <w:t xml:space="preserve">Environment Protection Regulations </w:t>
      </w:r>
      <w:r w:rsidR="006633BC" w:rsidRPr="00071784">
        <w:t>20</w:t>
      </w:r>
      <w:r w:rsidR="006633BC">
        <w:t>19</w:t>
      </w:r>
      <w:r>
        <w:t xml:space="preserve">) would remain in force until 2030 (when they would be due to sunset). </w:t>
      </w:r>
    </w:p>
    <w:p w14:paraId="656B0F28" w14:textId="77777777" w:rsidR="001F544F" w:rsidRDefault="001F544F" w:rsidP="00982D63">
      <w:pPr>
        <w:pStyle w:val="Heading2"/>
      </w:pPr>
      <w:r>
        <w:t>Assessment</w:t>
      </w:r>
    </w:p>
    <w:p w14:paraId="656B0F29" w14:textId="77777777" w:rsidR="00911769" w:rsidRPr="00ED2142" w:rsidRDefault="00911769" w:rsidP="00F25B16">
      <w:pPr>
        <w:pStyle w:val="Heading3"/>
        <w:ind w:left="720"/>
      </w:pPr>
      <w:r w:rsidRPr="00ED2142">
        <w:t>Assessment method</w:t>
      </w:r>
    </w:p>
    <w:p w14:paraId="656B0F2A" w14:textId="77777777" w:rsidR="00911769" w:rsidRPr="00911769" w:rsidRDefault="00ED2142" w:rsidP="00040A06">
      <w:r>
        <w:t>A qualitative assessment has been undertaken reflecting the lack of recent data that is available</w:t>
      </w:r>
      <w:r w:rsidR="00665145">
        <w:t>,</w:t>
      </w:r>
      <w:r>
        <w:t xml:space="preserve"> and the proportionately small nature of the </w:t>
      </w:r>
      <w:r w:rsidR="00665145">
        <w:t xml:space="preserve">changes to </w:t>
      </w:r>
      <w:r>
        <w:t>regulations being proposed.</w:t>
      </w:r>
    </w:p>
    <w:p w14:paraId="656B0F2B" w14:textId="77777777" w:rsidR="001F544F" w:rsidRPr="00ED2142" w:rsidRDefault="001F544F" w:rsidP="00F25B16">
      <w:pPr>
        <w:pStyle w:val="Heading3"/>
        <w:ind w:left="720"/>
      </w:pPr>
      <w:r w:rsidRPr="00ED2142">
        <w:t xml:space="preserve">Option 1 </w:t>
      </w:r>
      <w:r w:rsidR="00911769" w:rsidRPr="00ED2142">
        <w:t>- do nothing (</w:t>
      </w:r>
      <w:r w:rsidR="00BF2C24">
        <w:t>Base Case</w:t>
      </w:r>
      <w:r w:rsidR="00911769" w:rsidRPr="00ED2142">
        <w:t>)</w:t>
      </w:r>
    </w:p>
    <w:p w14:paraId="656B0F2C" w14:textId="77777777" w:rsidR="009F0B8B" w:rsidRDefault="00ED2142" w:rsidP="00B50993">
      <w:pPr>
        <w:rPr>
          <w:rFonts w:cs="Arial"/>
        </w:rPr>
      </w:pPr>
      <w:r>
        <w:rPr>
          <w:rFonts w:cs="Arial"/>
        </w:rPr>
        <w:t xml:space="preserve">Under the </w:t>
      </w:r>
      <w:r w:rsidR="00BF2C24">
        <w:rPr>
          <w:rFonts w:cs="Arial"/>
        </w:rPr>
        <w:t>Base Case</w:t>
      </w:r>
      <w:r>
        <w:rPr>
          <w:rFonts w:cs="Arial"/>
        </w:rPr>
        <w:t xml:space="preserve">, the risk of vehicle pollution is addressed because the Vehicle Emissions Regulations remain in force, however there is a complex legislative structure that could impose costs on both businesses and EPA in terms of understanding and administering the regulations. </w:t>
      </w:r>
      <w:r w:rsidR="00B50993">
        <w:rPr>
          <w:rFonts w:cs="Arial"/>
        </w:rPr>
        <w:t>B</w:t>
      </w:r>
      <w:r w:rsidR="00B50993" w:rsidRPr="19F51F10">
        <w:rPr>
          <w:rFonts w:cs="Arial"/>
        </w:rPr>
        <w:t xml:space="preserve">y virtue of </w:t>
      </w:r>
      <w:r w:rsidR="00B50993">
        <w:rPr>
          <w:rFonts w:cs="Arial"/>
        </w:rPr>
        <w:t xml:space="preserve">saving the </w:t>
      </w:r>
      <w:r w:rsidR="00B50993">
        <w:t xml:space="preserve">Vehicle Emissions Regulations </w:t>
      </w:r>
      <w:r w:rsidR="00B50993" w:rsidRPr="19F51F10">
        <w:rPr>
          <w:rFonts w:cs="Arial"/>
        </w:rPr>
        <w:t>until 2023, the associated off</w:t>
      </w:r>
      <w:r w:rsidR="00B50993">
        <w:rPr>
          <w:rFonts w:cs="Arial"/>
        </w:rPr>
        <w:t>ence provisions in the EP Act 1970 would also be retained.</w:t>
      </w:r>
    </w:p>
    <w:p w14:paraId="656B0F2D" w14:textId="77777777" w:rsidR="00ED2142" w:rsidRDefault="00B50993" w:rsidP="0048555D">
      <w:pPr>
        <w:rPr>
          <w:rFonts w:cs="Arial"/>
        </w:rPr>
      </w:pPr>
      <w:r>
        <w:t xml:space="preserve">Option 1 also does </w:t>
      </w:r>
      <w:r w:rsidR="00533027">
        <w:t>not take advantage of the opportunity to make improvements</w:t>
      </w:r>
      <w:r w:rsidR="00AF14EB">
        <w:t xml:space="preserve"> to the current Vehicle Emissions Regulations</w:t>
      </w:r>
      <w:r w:rsidR="00533027">
        <w:rPr>
          <w:i/>
        </w:rPr>
        <w:t>.</w:t>
      </w:r>
      <w:r w:rsidR="00533027" w:rsidRPr="000E7C5E">
        <w:t xml:space="preserve"> </w:t>
      </w:r>
      <w:r w:rsidR="00533027">
        <w:rPr>
          <w:rFonts w:cs="Arial"/>
        </w:rPr>
        <w:t xml:space="preserve">This </w:t>
      </w:r>
      <w:r>
        <w:rPr>
          <w:rFonts w:cs="Arial"/>
        </w:rPr>
        <w:t xml:space="preserve">could </w:t>
      </w:r>
      <w:r w:rsidR="00533027">
        <w:rPr>
          <w:rFonts w:cs="Arial"/>
        </w:rPr>
        <w:t xml:space="preserve">result in </w:t>
      </w:r>
      <w:r w:rsidR="00ED2142">
        <w:rPr>
          <w:rFonts w:cs="Arial"/>
        </w:rPr>
        <w:t xml:space="preserve">costs </w:t>
      </w:r>
      <w:r w:rsidR="000B008F">
        <w:rPr>
          <w:rFonts w:cs="Arial"/>
        </w:rPr>
        <w:t>to</w:t>
      </w:r>
      <w:r w:rsidR="00533027">
        <w:rPr>
          <w:rFonts w:cs="Arial"/>
        </w:rPr>
        <w:t xml:space="preserve"> businesses and EPA </w:t>
      </w:r>
      <w:r w:rsidR="00ED2142">
        <w:rPr>
          <w:rFonts w:cs="Arial"/>
        </w:rPr>
        <w:t xml:space="preserve">due to </w:t>
      </w:r>
      <w:r w:rsidR="007E397A">
        <w:rPr>
          <w:rFonts w:cs="Arial"/>
        </w:rPr>
        <w:t xml:space="preserve">the </w:t>
      </w:r>
      <w:r w:rsidR="000B008F">
        <w:rPr>
          <w:rFonts w:cs="Arial"/>
        </w:rPr>
        <w:t>in</w:t>
      </w:r>
      <w:r w:rsidR="007E397A">
        <w:rPr>
          <w:rFonts w:cs="Arial"/>
        </w:rPr>
        <w:t xml:space="preserve">consistent </w:t>
      </w:r>
      <w:r w:rsidR="00ED2142">
        <w:rPr>
          <w:iCs/>
        </w:rPr>
        <w:t>approach to testing diesel emissions</w:t>
      </w:r>
      <w:r w:rsidR="007E397A">
        <w:rPr>
          <w:iCs/>
        </w:rPr>
        <w:t xml:space="preserve"> between the current </w:t>
      </w:r>
      <w:r w:rsidR="007E397A">
        <w:t>Vehicle Emissions Regulations</w:t>
      </w:r>
      <w:r w:rsidR="007E397A">
        <w:rPr>
          <w:iCs/>
        </w:rPr>
        <w:t xml:space="preserve"> and the ALVSRs</w:t>
      </w:r>
      <w:r w:rsidR="00ED2142">
        <w:rPr>
          <w:iCs/>
        </w:rPr>
        <w:t>.</w:t>
      </w:r>
      <w:r w:rsidR="00533027">
        <w:rPr>
          <w:iCs/>
        </w:rPr>
        <w:t xml:space="preserve"> These costs are likely, however, to be quite small.</w:t>
      </w:r>
    </w:p>
    <w:p w14:paraId="656B0F2E" w14:textId="77777777" w:rsidR="00911769" w:rsidRPr="00ED2142" w:rsidRDefault="00911769" w:rsidP="00F25B16">
      <w:pPr>
        <w:pStyle w:val="Heading3"/>
        <w:ind w:left="720"/>
      </w:pPr>
      <w:r w:rsidRPr="00ED2142">
        <w:t>Option 2 – Translate the Vehicle Emissions Regulations into the proposed</w:t>
      </w:r>
      <w:r w:rsidR="00B50993">
        <w:t xml:space="preserve"> Regulations</w:t>
      </w:r>
      <w:r w:rsidRPr="00ED2142">
        <w:t xml:space="preserve"> </w:t>
      </w:r>
    </w:p>
    <w:p w14:paraId="656B0F2F" w14:textId="77777777" w:rsidR="00830D76" w:rsidRDefault="00533027" w:rsidP="00166A36">
      <w:r w:rsidRPr="00040A06">
        <w:t>The benefit of Option 2</w:t>
      </w:r>
      <w:r w:rsidR="00830D76">
        <w:t xml:space="preserve"> relative to Option 1</w:t>
      </w:r>
      <w:r>
        <w:t xml:space="preserve"> is that it creates a</w:t>
      </w:r>
      <w:r w:rsidR="00830D76" w:rsidRPr="00830D76">
        <w:t xml:space="preserve"> simplified legislative structure by housing all regulations </w:t>
      </w:r>
      <w:r w:rsidR="00830D76">
        <w:t>within a single set</w:t>
      </w:r>
      <w:r w:rsidR="00830D76" w:rsidRPr="00830D76">
        <w:t>.</w:t>
      </w:r>
      <w:r w:rsidR="00830D76">
        <w:t xml:space="preserve"> In doing so, it </w:t>
      </w:r>
      <w:r w:rsidR="00DF6131">
        <w:t xml:space="preserve">may (albeit slightly) </w:t>
      </w:r>
      <w:r w:rsidR="004D7C61">
        <w:t xml:space="preserve">reduce regulatory burden </w:t>
      </w:r>
      <w:r w:rsidR="00830D76">
        <w:t xml:space="preserve">for duty holders </w:t>
      </w:r>
      <w:r w:rsidR="004D7C61">
        <w:t>by making it easier to</w:t>
      </w:r>
      <w:r w:rsidR="00830D76">
        <w:t xml:space="preserve"> interpret and understand where to find their obligations. </w:t>
      </w:r>
      <w:r w:rsidR="00DF6131">
        <w:t xml:space="preserve">In reducing legislative complexity, it may also result in a small improvement in compliance, and therefore improve environmental outcomes. Furthermore, the simplified structure might make it </w:t>
      </w:r>
      <w:r w:rsidR="004D7C61">
        <w:t>easier for EPA to administer the new EP legislation, thus reducing government costs.</w:t>
      </w:r>
    </w:p>
    <w:p w14:paraId="656B0F30" w14:textId="77777777" w:rsidR="00533027" w:rsidRDefault="00533027" w:rsidP="00166A36">
      <w:r>
        <w:t>In addition, by translating the Vehicle Emissions Regulations into the proposed Regulations, the requirements would not cease in 2023. Rather, they would continue for 10 years until they sunset as part of the proposed Regulations. This could reduce costs for government in terms of the need to review and remake new vehicles emissions regulations under the new framework</w:t>
      </w:r>
      <w:r w:rsidR="00DC7A63">
        <w:t xml:space="preserve">. </w:t>
      </w:r>
    </w:p>
    <w:p w14:paraId="656B0F31" w14:textId="77777777" w:rsidR="00830D76" w:rsidRPr="00040A06" w:rsidRDefault="00830D76" w:rsidP="00166A36">
      <w:pPr>
        <w:rPr>
          <w:i/>
        </w:rPr>
      </w:pPr>
      <w:r>
        <w:t xml:space="preserve">Overall, the burden imposed on duty holder </w:t>
      </w:r>
      <w:r w:rsidR="00533027">
        <w:t xml:space="preserve">and government </w:t>
      </w:r>
      <w:r>
        <w:t>of this approach would be</w:t>
      </w:r>
      <w:r w:rsidR="00533027">
        <w:t xml:space="preserve"> reduced slightly</w:t>
      </w:r>
      <w:r>
        <w:t xml:space="preserve">, </w:t>
      </w:r>
      <w:r w:rsidR="00533027">
        <w:t xml:space="preserve">with no change to how the pollution risk is addressed compared to the </w:t>
      </w:r>
      <w:r w:rsidR="00BF2C24">
        <w:t>Base Case</w:t>
      </w:r>
      <w:r>
        <w:t>.</w:t>
      </w:r>
      <w:r w:rsidR="00533027">
        <w:rPr>
          <w:iCs/>
        </w:rPr>
        <w:t xml:space="preserve"> </w:t>
      </w:r>
    </w:p>
    <w:p w14:paraId="656B0F32" w14:textId="77777777" w:rsidR="00911769" w:rsidRDefault="00911769" w:rsidP="00F25B16">
      <w:pPr>
        <w:pStyle w:val="Heading3"/>
        <w:ind w:left="720"/>
      </w:pPr>
      <w:r>
        <w:t xml:space="preserve">Option 3 – Translate the Vehicle Emissions Regulations into the </w:t>
      </w:r>
      <w:r w:rsidR="00B50993">
        <w:t xml:space="preserve">proposed </w:t>
      </w:r>
      <w:r>
        <w:t xml:space="preserve">Regulations, with </w:t>
      </w:r>
      <w:r w:rsidR="00B50993">
        <w:t xml:space="preserve">some </w:t>
      </w:r>
      <w:r w:rsidR="00C36F1B">
        <w:t>amendments</w:t>
      </w:r>
    </w:p>
    <w:p w14:paraId="656B0F33" w14:textId="77777777" w:rsidR="00AA5964" w:rsidRDefault="00830D76" w:rsidP="00040A06">
      <w:r>
        <w:t>Option 3 capture</w:t>
      </w:r>
      <w:r w:rsidR="00533027">
        <w:t>s</w:t>
      </w:r>
      <w:r>
        <w:t xml:space="preserve"> the same benefits of Option 2, </w:t>
      </w:r>
      <w:r w:rsidR="000450AF">
        <w:t>except for the following additional benefits</w:t>
      </w:r>
    </w:p>
    <w:p w14:paraId="656B0F34" w14:textId="77777777" w:rsidR="000450AF" w:rsidRPr="004C77A7" w:rsidRDefault="00AA5964" w:rsidP="00D66FCE">
      <w:pPr>
        <w:pStyle w:val="ListParagraph"/>
        <w:numPr>
          <w:ilvl w:val="0"/>
          <w:numId w:val="368"/>
        </w:numPr>
      </w:pPr>
      <w:r>
        <w:t>C</w:t>
      </w:r>
      <w:r w:rsidR="007E397A">
        <w:t>onsisten</w:t>
      </w:r>
      <w:r w:rsidR="000450AF">
        <w:t>cy in the</w:t>
      </w:r>
      <w:r w:rsidR="007E397A">
        <w:t xml:space="preserve"> approach </w:t>
      </w:r>
      <w:r w:rsidR="000450AF">
        <w:t>for</w:t>
      </w:r>
      <w:r w:rsidR="007E397A">
        <w:t xml:space="preserve"> testing diesel air emissions as the ALVSRs</w:t>
      </w:r>
      <w:r w:rsidR="00830D76">
        <w:t xml:space="preserve">. </w:t>
      </w:r>
      <w:r w:rsidR="007E397A">
        <w:t>By r</w:t>
      </w:r>
      <w:r w:rsidR="007E397A" w:rsidRPr="007E397A">
        <w:t>eferencing the ALVSRs when defining the DT80 test cycle</w:t>
      </w:r>
      <w:r w:rsidR="007E397A">
        <w:t xml:space="preserve">, this </w:t>
      </w:r>
      <w:r w:rsidR="007E397A" w:rsidRPr="007E397A">
        <w:t>will ensure consistency between Victorian regulations and the national emission and noise standards for in-service vehicle</w:t>
      </w:r>
      <w:r w:rsidR="001608B6">
        <w:t>s</w:t>
      </w:r>
      <w:r w:rsidR="007E397A" w:rsidRPr="007E397A">
        <w:t xml:space="preserve">. </w:t>
      </w:r>
      <w:r w:rsidR="00731697">
        <w:t>This will add n</w:t>
      </w:r>
      <w:r w:rsidR="00731697" w:rsidRPr="00731697">
        <w:t>o additional burden</w:t>
      </w:r>
      <w:r w:rsidR="00731697">
        <w:t xml:space="preserve"> to duty holders</w:t>
      </w:r>
      <w:r w:rsidR="00731697" w:rsidRPr="00731697">
        <w:t xml:space="preserve">, since the </w:t>
      </w:r>
      <w:r w:rsidR="009C2B45" w:rsidRPr="004C77A7">
        <w:t xml:space="preserve">DT80 test cycle is the </w:t>
      </w:r>
      <w:r w:rsidR="009C2B45" w:rsidRPr="00F25B16">
        <w:t>nationally agreed test</w:t>
      </w:r>
      <w:r w:rsidR="009C2B45" w:rsidRPr="004C77A7">
        <w:t xml:space="preserve"> for </w:t>
      </w:r>
      <w:r w:rsidR="009C2B45" w:rsidRPr="00F25B16">
        <w:t>in-service</w:t>
      </w:r>
      <w:r w:rsidR="009C2B45" w:rsidRPr="004C77A7">
        <w:t xml:space="preserve"> diesel vehicles</w:t>
      </w:r>
      <w:r w:rsidR="00146B6B" w:rsidRPr="004C77A7">
        <w:t>.</w:t>
      </w:r>
    </w:p>
    <w:p w14:paraId="656B0F35" w14:textId="09AD8778" w:rsidR="00146B6B" w:rsidRDefault="000450AF" w:rsidP="00F25B16">
      <w:pPr>
        <w:pStyle w:val="ListParagraph"/>
        <w:numPr>
          <w:ilvl w:val="0"/>
          <w:numId w:val="216"/>
        </w:numPr>
      </w:pPr>
      <w:r>
        <w:t xml:space="preserve">Ensuring the air emission limit requirements that </w:t>
      </w:r>
      <w:r w:rsidR="00C36F1B">
        <w:t xml:space="preserve">would </w:t>
      </w:r>
      <w:r>
        <w:t xml:space="preserve">apply to vehicle users also apply to sellers and suppliers. As previously discussed, the only genuine change regarding the sale of in-service vehicles is the new requirement that spark ignition engine vehicles meet the hydrocarbon emission limit. It is anticipated that the impact of this change will be negligible given that the consumer law protections likely already apply </w:t>
      </w:r>
      <w:r w:rsidR="00F13648">
        <w:t xml:space="preserve">in many instances </w:t>
      </w:r>
      <w:r>
        <w:t>(requiring that a seller or supplier of an in-service spark ignition vehicle complies with legal requirements related to its use, i.e. the existing hydrocarbon limits)</w:t>
      </w:r>
      <w:r w:rsidR="00DC7A63">
        <w:t xml:space="preserve">. </w:t>
      </w:r>
    </w:p>
    <w:p w14:paraId="656B0F36" w14:textId="77777777" w:rsidR="00ED2142" w:rsidRPr="00665145" w:rsidRDefault="00080A0C" w:rsidP="00C640AB">
      <w:pPr>
        <w:pStyle w:val="Heading3"/>
        <w:ind w:left="720"/>
      </w:pPr>
      <w:r>
        <w:t>Preferred approach</w:t>
      </w:r>
    </w:p>
    <w:p w14:paraId="656B0F37" w14:textId="77777777" w:rsidR="00EC5F5B" w:rsidRDefault="00665145" w:rsidP="00040A06">
      <w:pPr>
        <w:pStyle w:val="Bullet1"/>
        <w:ind w:left="0" w:firstLine="0"/>
      </w:pPr>
      <w:r>
        <w:t xml:space="preserve">Both </w:t>
      </w:r>
      <w:r w:rsidR="00572F04">
        <w:t xml:space="preserve">Options </w:t>
      </w:r>
      <w:r>
        <w:t>2 and 3 are preferred to Option</w:t>
      </w:r>
      <w:r w:rsidR="000F1056">
        <w:t xml:space="preserve"> </w:t>
      </w:r>
      <w:r>
        <w:t>1 (</w:t>
      </w:r>
      <w:r w:rsidR="00BF2C24">
        <w:t>Base Case</w:t>
      </w:r>
      <w:r>
        <w:t xml:space="preserve">) because they provide a streamlined, less complex legislative structure which is likely to result in a small reduction in costs for businesses and EPA. </w:t>
      </w:r>
      <w:r w:rsidR="00830D76">
        <w:t xml:space="preserve">On balance, Option 3 is the preferred approach, because </w:t>
      </w:r>
      <w:r w:rsidR="0077061C">
        <w:t xml:space="preserve">the proposed </w:t>
      </w:r>
      <w:r w:rsidR="00830D76">
        <w:t>change</w:t>
      </w:r>
      <w:r w:rsidR="000450AF">
        <w:t>s</w:t>
      </w:r>
      <w:r w:rsidR="00830D76">
        <w:t xml:space="preserve"> </w:t>
      </w:r>
      <w:r w:rsidR="0077061C">
        <w:t>provides some additional</w:t>
      </w:r>
      <w:r w:rsidR="00A84496">
        <w:t xml:space="preserve"> benefit,</w:t>
      </w:r>
      <w:r w:rsidR="0077061C">
        <w:t xml:space="preserve"> over and above the benefits of </w:t>
      </w:r>
      <w:r w:rsidR="00A84496">
        <w:t xml:space="preserve">Option 2, without increasing costs or adding extra burden on duty holders. </w:t>
      </w:r>
    </w:p>
    <w:p w14:paraId="656B0F38" w14:textId="77777777" w:rsidR="007F669D" w:rsidRPr="008E1D2B" w:rsidRDefault="007F669D" w:rsidP="00ED173F"/>
    <w:p w14:paraId="656B0F39" w14:textId="77777777" w:rsidR="008E1D2B" w:rsidRDefault="008E1D2B" w:rsidP="008E1D2B">
      <w:pPr>
        <w:spacing w:after="0"/>
        <w:rPr>
          <w:rFonts w:ascii="Verdana" w:eastAsiaTheme="majorEastAsia" w:hAnsi="Verdana" w:cstheme="majorBidi"/>
          <w:bCs/>
          <w:sz w:val="60"/>
          <w:szCs w:val="28"/>
        </w:rPr>
      </w:pPr>
      <w:r>
        <w:rPr>
          <w:rFonts w:ascii="Verdana" w:eastAsiaTheme="majorEastAsia" w:hAnsi="Verdana" w:cstheme="majorBidi"/>
          <w:bCs/>
          <w:sz w:val="60"/>
          <w:szCs w:val="28"/>
        </w:rPr>
        <w:br w:type="page"/>
      </w:r>
    </w:p>
    <w:p w14:paraId="656B0F3A" w14:textId="630F8EA7" w:rsidR="00D4567D" w:rsidRPr="00D4567D" w:rsidRDefault="00D4567D" w:rsidP="00ED173F">
      <w:pPr>
        <w:pStyle w:val="Heading1"/>
      </w:pPr>
      <w:bookmarkStart w:id="1916" w:name="_Ref288774"/>
      <w:bookmarkStart w:id="1917" w:name="_Toc342686"/>
      <w:bookmarkStart w:id="1918" w:name="_Toc10021444"/>
      <w:bookmarkStart w:id="1919" w:name="_Toc10018337"/>
      <w:bookmarkStart w:id="1920" w:name="_Toc10021858"/>
      <w:bookmarkStart w:id="1921" w:name="_Toc12892342"/>
      <w:r w:rsidRPr="00D4567D">
        <w:t>Cost recovery and fees analysis</w:t>
      </w:r>
      <w:bookmarkEnd w:id="1916"/>
      <w:bookmarkEnd w:id="1917"/>
      <w:bookmarkEnd w:id="1918"/>
      <w:bookmarkEnd w:id="1919"/>
      <w:bookmarkEnd w:id="1920"/>
      <w:bookmarkEnd w:id="1921"/>
    </w:p>
    <w:p w14:paraId="4BFB1D0E" w14:textId="77777777" w:rsidR="001433A1" w:rsidRPr="009B2611" w:rsidRDefault="001433A1" w:rsidP="001433A1">
      <w:pPr>
        <w:pStyle w:val="Heading2"/>
      </w:pPr>
      <w:bookmarkStart w:id="1922" w:name="_Toc536055013"/>
      <w:bookmarkStart w:id="1923" w:name="_Toc536807111"/>
      <w:bookmarkStart w:id="1924" w:name="_Ref288807"/>
      <w:bookmarkStart w:id="1925" w:name="_Toc342687"/>
      <w:bookmarkEnd w:id="1909"/>
      <w:bookmarkEnd w:id="1910"/>
      <w:bookmarkEnd w:id="1911"/>
      <w:bookmarkEnd w:id="1912"/>
      <w:bookmarkEnd w:id="1913"/>
      <w:bookmarkEnd w:id="1914"/>
      <w:bookmarkEnd w:id="1915"/>
      <w:bookmarkEnd w:id="1922"/>
      <w:bookmarkEnd w:id="1923"/>
      <w:r w:rsidRPr="009B2611">
        <w:t>Legal authority</w:t>
      </w:r>
    </w:p>
    <w:p w14:paraId="7B96813E" w14:textId="77777777" w:rsidR="001433A1" w:rsidRPr="009B2611" w:rsidRDefault="001433A1" w:rsidP="001433A1">
      <w:pPr>
        <w:rPr>
          <w:rFonts w:cs="Segoe UI Light"/>
          <w:szCs w:val="20"/>
        </w:rPr>
      </w:pPr>
      <w:r w:rsidRPr="009B2611">
        <w:rPr>
          <w:rFonts w:cs="Segoe UI Light"/>
          <w:szCs w:val="20"/>
        </w:rPr>
        <w:t>The new EP legislation enables EPA to charge fees to recover the costs associated with undertaking permissions and other activities. Specifically, it provides for EPA to prescribe fees for the following:</w:t>
      </w:r>
    </w:p>
    <w:p w14:paraId="57E91B96"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Application for development licences, operating licences, pilot project licences, p</w:t>
      </w:r>
      <w:r w:rsidRPr="0031288A">
        <w:rPr>
          <w:rFonts w:cs="Segoe UI Light"/>
          <w:szCs w:val="20"/>
        </w:rPr>
        <w:t xml:space="preserve">ermits </w:t>
      </w:r>
      <w:r w:rsidRPr="006C6339">
        <w:rPr>
          <w:rFonts w:cs="Segoe UI Light"/>
          <w:szCs w:val="20"/>
        </w:rPr>
        <w:t>and</w:t>
      </w:r>
      <w:r>
        <w:rPr>
          <w:rFonts w:cs="Segoe UI Light"/>
          <w:szCs w:val="20"/>
        </w:rPr>
        <w:t xml:space="preserve"> </w:t>
      </w:r>
      <w:r w:rsidRPr="009B2611">
        <w:rPr>
          <w:rFonts w:cs="Segoe UI Light"/>
          <w:szCs w:val="20"/>
        </w:rPr>
        <w:t>registrations (s50(1)(b))</w:t>
      </w:r>
      <w:r w:rsidRPr="00BC1A0C">
        <w:rPr>
          <w:rFonts w:cs="Segoe UI Light"/>
          <w:szCs w:val="20"/>
          <w:vertAlign w:val="superscript"/>
        </w:rPr>
        <w:footnoteReference w:id="301"/>
      </w:r>
    </w:p>
    <w:p w14:paraId="24D43145"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Transfer of development licences, operating licences, pilot project licences and permits (s56(3)(b))</w:t>
      </w:r>
    </w:p>
    <w:p w14:paraId="7B72ED7E"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Amendment of development licences, operating licences, pilot project licences and permits (s57(3)(b))</w:t>
      </w:r>
    </w:p>
    <w:p w14:paraId="030DFB48"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Surrender of development licences, operating licences, pilot project licences and permits (s59(3)(b))</w:t>
      </w:r>
    </w:p>
    <w:p w14:paraId="4A6D9A0D" w14:textId="77777777" w:rsidR="001433A1" w:rsidRPr="009B2611" w:rsidRDefault="001433A1" w:rsidP="001433A1">
      <w:pPr>
        <w:pStyle w:val="ListParagraph"/>
        <w:numPr>
          <w:ilvl w:val="0"/>
          <w:numId w:val="174"/>
        </w:numPr>
        <w:spacing w:after="160"/>
        <w:rPr>
          <w:rFonts w:cs="Segoe UI Light"/>
          <w:szCs w:val="20"/>
        </w:rPr>
      </w:pPr>
      <w:r>
        <w:rPr>
          <w:rFonts w:cs="Segoe UI Light"/>
          <w:szCs w:val="20"/>
        </w:rPr>
        <w:t>D</w:t>
      </w:r>
      <w:r w:rsidRPr="009B2611">
        <w:rPr>
          <w:rFonts w:cs="Segoe UI Light"/>
          <w:szCs w:val="20"/>
        </w:rPr>
        <w:t>evelopment licence and operating licence</w:t>
      </w:r>
      <w:r>
        <w:rPr>
          <w:rFonts w:cs="Segoe UI Light"/>
          <w:szCs w:val="20"/>
        </w:rPr>
        <w:t xml:space="preserve"> exemptions</w:t>
      </w:r>
      <w:r w:rsidRPr="009B2611">
        <w:rPr>
          <w:rFonts w:cs="Segoe UI Light"/>
          <w:szCs w:val="20"/>
        </w:rPr>
        <w:t xml:space="preserve"> (s80(3)(c))</w:t>
      </w:r>
    </w:p>
    <w:p w14:paraId="69BBB499"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Permit exemptions (s68(2)(c), s82(2)(c), s83(2)(c))</w:t>
      </w:r>
    </w:p>
    <w:p w14:paraId="610C3430"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Renewal of permits and registrations (s84(3)(b), s86(3)(b))</w:t>
      </w:r>
    </w:p>
    <w:p w14:paraId="2C3AF0C7"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Appointment of environmental auditors (s191(3)(c), s198(2)(d))</w:t>
      </w:r>
    </w:p>
    <w:p w14:paraId="6C33C5E0"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Review of preliminary risk screen assessment statements and reports (s217(1))</w:t>
      </w:r>
    </w:p>
    <w:p w14:paraId="193B1C70"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Review of environmental audit statements and reports (s217(2))</w:t>
      </w:r>
    </w:p>
    <w:p w14:paraId="0BBEA41F"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Applications by prohibited persons to engage in prescribed activity (s90(2)(d))</w:t>
      </w:r>
    </w:p>
    <w:p w14:paraId="2BAAEBEA"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 xml:space="preserve">Applications </w:t>
      </w:r>
      <w:r>
        <w:rPr>
          <w:rFonts w:cs="Segoe UI Light"/>
          <w:szCs w:val="20"/>
        </w:rPr>
        <w:t>for</w:t>
      </w:r>
      <w:r w:rsidRPr="009B2611">
        <w:rPr>
          <w:rFonts w:cs="Segoe UI Light"/>
          <w:szCs w:val="20"/>
        </w:rPr>
        <w:t xml:space="preserve"> authoris</w:t>
      </w:r>
      <w:r>
        <w:rPr>
          <w:rFonts w:cs="Segoe UI Light"/>
          <w:szCs w:val="20"/>
        </w:rPr>
        <w:t>ation of the</w:t>
      </w:r>
      <w:r w:rsidRPr="009B2611">
        <w:rPr>
          <w:rFonts w:cs="Segoe UI Light"/>
          <w:szCs w:val="20"/>
        </w:rPr>
        <w:t xml:space="preserve"> emergency storage, use etc. of waste (s157(4)(b))</w:t>
      </w:r>
    </w:p>
    <w:p w14:paraId="572941C1"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Submission of proposed better environment plans (s181(3)(c))</w:t>
      </w:r>
    </w:p>
    <w:p w14:paraId="64CC6978"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Appointment of analysts and prescribed roles (s245(5))</w:t>
      </w:r>
    </w:p>
    <w:p w14:paraId="10F71110"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Application to vary or revoke site management order (s277(2))</w:t>
      </w:r>
    </w:p>
    <w:p w14:paraId="71565EF0"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Public access to the Public Register (s457(1)(b))</w:t>
      </w:r>
    </w:p>
    <w:p w14:paraId="19850C02" w14:textId="77777777" w:rsidR="001433A1" w:rsidRPr="009B2611" w:rsidRDefault="001433A1" w:rsidP="001433A1">
      <w:pPr>
        <w:pStyle w:val="ListParagraph"/>
        <w:numPr>
          <w:ilvl w:val="0"/>
          <w:numId w:val="174"/>
        </w:numPr>
        <w:spacing w:after="160"/>
        <w:rPr>
          <w:rFonts w:cs="Segoe UI Light"/>
          <w:szCs w:val="20"/>
        </w:rPr>
      </w:pPr>
      <w:r w:rsidRPr="009B2611">
        <w:rPr>
          <w:rFonts w:cs="Segoe UI Light"/>
          <w:szCs w:val="20"/>
        </w:rPr>
        <w:t>Application for exemption from any provision of the regulations or of a legislative instrument made under the Act in accordance with s459 (s459(3))</w:t>
      </w:r>
      <w:r w:rsidRPr="000E7C5E">
        <w:rPr>
          <w:rFonts w:cs="Segoe UI Light"/>
          <w:szCs w:val="20"/>
        </w:rPr>
        <w:t xml:space="preserve"> </w:t>
      </w:r>
    </w:p>
    <w:p w14:paraId="202A7515" w14:textId="77777777" w:rsidR="001433A1" w:rsidRPr="00CE519E" w:rsidRDefault="001433A1" w:rsidP="001433A1">
      <w:pPr>
        <w:pStyle w:val="ListParagraph"/>
        <w:numPr>
          <w:ilvl w:val="0"/>
          <w:numId w:val="174"/>
        </w:numPr>
        <w:spacing w:after="160"/>
        <w:rPr>
          <w:rFonts w:cs="Segoe UI Light"/>
          <w:szCs w:val="20"/>
        </w:rPr>
      </w:pPr>
      <w:r w:rsidRPr="009B2611">
        <w:rPr>
          <w:rFonts w:cs="Segoe UI Light"/>
          <w:szCs w:val="20"/>
        </w:rPr>
        <w:t>The doing of an act or providing of a service under the Act (s465(2)(c)(i)).</w:t>
      </w:r>
    </w:p>
    <w:p w14:paraId="17DA5DA1" w14:textId="77777777" w:rsidR="001433A1" w:rsidRPr="00CE519E" w:rsidRDefault="001433A1" w:rsidP="001433A1">
      <w:pPr>
        <w:spacing w:after="160"/>
        <w:rPr>
          <w:rFonts w:cs="Segoe UI Light"/>
          <w:szCs w:val="20"/>
        </w:rPr>
      </w:pPr>
      <w:r w:rsidRPr="009B2611">
        <w:rPr>
          <w:rFonts w:cs="Segoe UI Light"/>
          <w:szCs w:val="20"/>
        </w:rPr>
        <w:t xml:space="preserve">Under s55, the holder of a permission must also pay any prescribed fee at the prescribed time or for the prescribed period. </w:t>
      </w:r>
    </w:p>
    <w:p w14:paraId="2F46A967" w14:textId="77777777" w:rsidR="001433A1" w:rsidRPr="009B2611" w:rsidRDefault="001433A1" w:rsidP="001433A1">
      <w:pPr>
        <w:spacing w:after="160"/>
        <w:rPr>
          <w:rFonts w:cs="Segoe UI Light"/>
          <w:szCs w:val="20"/>
        </w:rPr>
      </w:pPr>
      <w:r w:rsidRPr="009B2611">
        <w:rPr>
          <w:rFonts w:cs="Segoe UI Light"/>
          <w:szCs w:val="20"/>
        </w:rPr>
        <w:t>In addition to prescribed fees, EPA is able to charge for the following:</w:t>
      </w:r>
    </w:p>
    <w:p w14:paraId="44DDABEF" w14:textId="77777777" w:rsidR="001433A1" w:rsidRPr="00BC1A0C" w:rsidRDefault="001433A1" w:rsidP="001433A1">
      <w:pPr>
        <w:pStyle w:val="ListParagraph"/>
        <w:numPr>
          <w:ilvl w:val="0"/>
          <w:numId w:val="174"/>
        </w:numPr>
        <w:spacing w:after="160"/>
        <w:rPr>
          <w:rFonts w:cs="Segoe UI Light"/>
          <w:szCs w:val="20"/>
        </w:rPr>
      </w:pPr>
      <w:r w:rsidRPr="00BC1A0C">
        <w:rPr>
          <w:rFonts w:cs="Segoe UI Light"/>
          <w:szCs w:val="20"/>
        </w:rPr>
        <w:t>Reasonable costs incurred by EPA that are associated with financial assurances (s224)</w:t>
      </w:r>
    </w:p>
    <w:p w14:paraId="0719CFA9" w14:textId="77777777" w:rsidR="001433A1" w:rsidRPr="00CE519E" w:rsidRDefault="001433A1" w:rsidP="001433A1">
      <w:pPr>
        <w:pStyle w:val="ListParagraph"/>
        <w:numPr>
          <w:ilvl w:val="0"/>
          <w:numId w:val="174"/>
        </w:numPr>
        <w:spacing w:after="160"/>
        <w:rPr>
          <w:rFonts w:cs="Segoe UI Light"/>
          <w:szCs w:val="20"/>
        </w:rPr>
      </w:pPr>
      <w:r w:rsidRPr="00CE519E">
        <w:rPr>
          <w:rFonts w:cs="Segoe UI Light"/>
          <w:szCs w:val="20"/>
        </w:rPr>
        <w:t>Environmental protection levies (s91)</w:t>
      </w:r>
    </w:p>
    <w:p w14:paraId="04404616" w14:textId="77777777" w:rsidR="001433A1" w:rsidRPr="00CE519E" w:rsidRDefault="001433A1" w:rsidP="001433A1">
      <w:pPr>
        <w:pStyle w:val="ListParagraph"/>
        <w:numPr>
          <w:ilvl w:val="0"/>
          <w:numId w:val="174"/>
        </w:numPr>
        <w:spacing w:after="160"/>
        <w:rPr>
          <w:rFonts w:cs="Segoe UI Light"/>
          <w:szCs w:val="20"/>
        </w:rPr>
      </w:pPr>
      <w:r w:rsidRPr="00CE519E">
        <w:rPr>
          <w:rFonts w:cs="Segoe UI Light"/>
          <w:szCs w:val="20"/>
        </w:rPr>
        <w:t>Waste levies (s145).</w:t>
      </w:r>
    </w:p>
    <w:p w14:paraId="30CD7C9B" w14:textId="77777777" w:rsidR="001433A1" w:rsidRPr="009B2611" w:rsidRDefault="001433A1" w:rsidP="001433A1">
      <w:pPr>
        <w:spacing w:after="160"/>
        <w:rPr>
          <w:rFonts w:cs="Segoe UI Light"/>
          <w:szCs w:val="20"/>
        </w:rPr>
      </w:pPr>
      <w:r w:rsidRPr="009B2611">
        <w:rPr>
          <w:rFonts w:cs="Segoe UI Light"/>
          <w:szCs w:val="20"/>
        </w:rPr>
        <w:t xml:space="preserve">Environment protection levies (s91(1)) are set </w:t>
      </w:r>
      <w:r>
        <w:rPr>
          <w:rFonts w:cs="Segoe UI Light"/>
          <w:szCs w:val="20"/>
        </w:rPr>
        <w:t xml:space="preserve">directly </w:t>
      </w:r>
      <w:r w:rsidRPr="009B2611">
        <w:rPr>
          <w:rFonts w:cs="Segoe UI Light"/>
          <w:szCs w:val="20"/>
        </w:rPr>
        <w:t xml:space="preserve">by the new EP legislation at the rate of 3 per cent of the fee prescribed for permissions activities. </w:t>
      </w:r>
    </w:p>
    <w:p w14:paraId="56320C24" w14:textId="77777777" w:rsidR="001433A1" w:rsidRPr="009B2611" w:rsidRDefault="001433A1" w:rsidP="001433A1">
      <w:pPr>
        <w:autoSpaceDE w:val="0"/>
        <w:autoSpaceDN w:val="0"/>
        <w:adjustRightInd w:val="0"/>
        <w:spacing w:before="120" w:after="0" w:line="240" w:lineRule="auto"/>
        <w:rPr>
          <w:rFonts w:cs="Segoe UI Light"/>
          <w:szCs w:val="20"/>
        </w:rPr>
      </w:pPr>
      <w:r w:rsidRPr="009B2611">
        <w:rPr>
          <w:rFonts w:cs="Segoe UI Light"/>
          <w:szCs w:val="20"/>
        </w:rPr>
        <w:t>The waste levy is an amount prescribed by the regulations. If regulations are not prescribed, the waste levy for each tonne of waste (o</w:t>
      </w:r>
      <w:r>
        <w:rPr>
          <w:rFonts w:cs="Segoe UI Light"/>
          <w:szCs w:val="20"/>
        </w:rPr>
        <w:t>t</w:t>
      </w:r>
      <w:r w:rsidRPr="009B2611">
        <w:rPr>
          <w:rFonts w:cs="Segoe UI Light"/>
          <w:szCs w:val="20"/>
        </w:rPr>
        <w:t>her than priority waste) is set in Schedule 2 of the legislation.</w:t>
      </w:r>
    </w:p>
    <w:p w14:paraId="5908A601" w14:textId="77777777" w:rsidR="001433A1" w:rsidRPr="009B2611" w:rsidRDefault="001433A1" w:rsidP="001433A1">
      <w:pPr>
        <w:spacing w:before="120" w:after="0"/>
        <w:rPr>
          <w:rFonts w:cs="Segoe UI Light"/>
          <w:szCs w:val="20"/>
        </w:rPr>
      </w:pPr>
      <w:r w:rsidRPr="009B2611">
        <w:rPr>
          <w:rFonts w:cs="Segoe UI Light"/>
          <w:szCs w:val="20"/>
        </w:rPr>
        <w:t xml:space="preserve">EPA currently </w:t>
      </w:r>
      <w:r>
        <w:rPr>
          <w:rFonts w:cs="Segoe UI Light"/>
          <w:szCs w:val="20"/>
        </w:rPr>
        <w:t>sets</w:t>
      </w:r>
      <w:r w:rsidRPr="009B2611">
        <w:rPr>
          <w:rFonts w:cs="Segoe UI Light"/>
          <w:szCs w:val="20"/>
        </w:rPr>
        <w:t xml:space="preserve"> fees under the EP Act 1970 and </w:t>
      </w:r>
      <w:r>
        <w:rPr>
          <w:rFonts w:cs="Segoe UI Light"/>
          <w:szCs w:val="20"/>
        </w:rPr>
        <w:t xml:space="preserve">prescribes fees under </w:t>
      </w:r>
      <w:r w:rsidRPr="009B2611">
        <w:rPr>
          <w:rFonts w:cs="Segoe UI Light"/>
          <w:szCs w:val="20"/>
        </w:rPr>
        <w:t xml:space="preserve">the </w:t>
      </w:r>
      <w:r w:rsidRPr="009B2611">
        <w:rPr>
          <w:rFonts w:cs="Segoe UI Light"/>
          <w:i/>
          <w:szCs w:val="20"/>
        </w:rPr>
        <w:t xml:space="preserve">Environment Protection (Fees) Regulations 2012 </w:t>
      </w:r>
      <w:r w:rsidRPr="009B2611">
        <w:rPr>
          <w:rFonts w:cs="Segoe UI Light"/>
          <w:szCs w:val="20"/>
        </w:rPr>
        <w:t xml:space="preserve">(EP (Fees) </w:t>
      </w:r>
      <w:r w:rsidRPr="0031288A">
        <w:rPr>
          <w:rFonts w:cs="Segoe UI Light"/>
          <w:szCs w:val="20"/>
        </w:rPr>
        <w:t xml:space="preserve">Regulations </w:t>
      </w:r>
      <w:r w:rsidRPr="006C6339">
        <w:rPr>
          <w:rFonts w:cs="Segoe UI Light"/>
          <w:szCs w:val="20"/>
        </w:rPr>
        <w:t>2012</w:t>
      </w:r>
      <w:r w:rsidRPr="0031288A">
        <w:rPr>
          <w:rFonts w:cs="Segoe UI Light"/>
          <w:szCs w:val="20"/>
        </w:rPr>
        <w:t>) fo</w:t>
      </w:r>
      <w:r w:rsidRPr="009B2611">
        <w:rPr>
          <w:rFonts w:cs="Segoe UI Light"/>
          <w:szCs w:val="20"/>
        </w:rPr>
        <w:t xml:space="preserve">r most of the items that the </w:t>
      </w:r>
      <w:r w:rsidRPr="009B2611" w:rsidDel="000D139E">
        <w:rPr>
          <w:rFonts w:cs="Segoe UI Light"/>
          <w:szCs w:val="20"/>
        </w:rPr>
        <w:t xml:space="preserve">new </w:t>
      </w:r>
      <w:r w:rsidRPr="009B2611">
        <w:rPr>
          <w:rFonts w:cs="Segoe UI Light"/>
          <w:szCs w:val="20"/>
        </w:rPr>
        <w:t>EP legislation enables fees to be charged for. Although some of the fees proposed are not new, their impact must be considered in this RIS and a full cost recovery analysis undertaken.</w:t>
      </w:r>
    </w:p>
    <w:p w14:paraId="3BD567E7" w14:textId="77777777" w:rsidR="001433A1" w:rsidRPr="009B2611" w:rsidRDefault="001433A1" w:rsidP="001433A1">
      <w:pPr>
        <w:pStyle w:val="Heading2"/>
      </w:pPr>
      <w:r w:rsidRPr="009B2611">
        <w:t xml:space="preserve">Cost recovery considerations </w:t>
      </w:r>
    </w:p>
    <w:p w14:paraId="04FFE635" w14:textId="77777777" w:rsidR="001433A1" w:rsidRPr="009B2611" w:rsidRDefault="001433A1" w:rsidP="001433A1">
      <w:pPr>
        <w:spacing w:after="80"/>
        <w:rPr>
          <w:rFonts w:cs="Segoe UI Light"/>
          <w:szCs w:val="20"/>
        </w:rPr>
      </w:pPr>
      <w:r w:rsidRPr="009B2611">
        <w:rPr>
          <w:rFonts w:cs="Segoe UI Light"/>
          <w:szCs w:val="20"/>
        </w:rPr>
        <w:t>The key issues in respect of cost recovery and fee setting are:</w:t>
      </w:r>
    </w:p>
    <w:p w14:paraId="682F3833" w14:textId="77777777" w:rsidR="001433A1" w:rsidRPr="009B2611" w:rsidRDefault="001433A1" w:rsidP="001433A1">
      <w:pPr>
        <w:numPr>
          <w:ilvl w:val="0"/>
          <w:numId w:val="43"/>
        </w:numPr>
        <w:spacing w:after="0"/>
        <w:rPr>
          <w:rFonts w:cs="Segoe UI Light"/>
          <w:szCs w:val="20"/>
        </w:rPr>
      </w:pPr>
      <w:r w:rsidRPr="009B2611">
        <w:rPr>
          <w:rFonts w:cs="Segoe UI Light"/>
          <w:szCs w:val="20"/>
        </w:rPr>
        <w:t>Whether fees should be established, and if so what level of cost recovery they should achieve.</w:t>
      </w:r>
    </w:p>
    <w:p w14:paraId="768BD829" w14:textId="77777777" w:rsidR="001433A1" w:rsidRPr="009B2611" w:rsidRDefault="001433A1" w:rsidP="001433A1">
      <w:pPr>
        <w:numPr>
          <w:ilvl w:val="0"/>
          <w:numId w:val="43"/>
        </w:numPr>
        <w:spacing w:after="0"/>
        <w:rPr>
          <w:rFonts w:cs="Segoe UI Light"/>
          <w:szCs w:val="20"/>
        </w:rPr>
      </w:pPr>
      <w:r w:rsidRPr="009B2611">
        <w:rPr>
          <w:rFonts w:cs="Segoe UI Light"/>
          <w:szCs w:val="20"/>
        </w:rPr>
        <w:t>The costs base and efficiency of costs.</w:t>
      </w:r>
    </w:p>
    <w:p w14:paraId="6DF0A2B7" w14:textId="77777777" w:rsidR="001433A1" w:rsidRPr="009B2611" w:rsidRDefault="001433A1" w:rsidP="001433A1">
      <w:pPr>
        <w:numPr>
          <w:ilvl w:val="0"/>
          <w:numId w:val="43"/>
        </w:numPr>
        <w:rPr>
          <w:rFonts w:cs="Segoe UI Light"/>
          <w:szCs w:val="20"/>
        </w:rPr>
      </w:pPr>
      <w:r w:rsidRPr="009B2611">
        <w:rPr>
          <w:rFonts w:cs="Segoe UI Light"/>
          <w:szCs w:val="20"/>
        </w:rPr>
        <w:t>The structure and level of the fees.</w:t>
      </w:r>
    </w:p>
    <w:p w14:paraId="439F3034" w14:textId="77777777" w:rsidR="001433A1" w:rsidRPr="009B2611" w:rsidRDefault="001433A1" w:rsidP="001433A1">
      <w:pPr>
        <w:spacing w:after="160"/>
        <w:rPr>
          <w:rFonts w:cs="Segoe UI Light"/>
          <w:szCs w:val="20"/>
        </w:rPr>
      </w:pPr>
      <w:r w:rsidRPr="009B2611">
        <w:rPr>
          <w:rFonts w:cs="Segoe UI Light"/>
          <w:szCs w:val="20"/>
        </w:rPr>
        <w:t xml:space="preserve">Cost recovery principles generally support the concept that those who utilise services </w:t>
      </w:r>
      <w:r>
        <w:rPr>
          <w:rFonts w:cs="Segoe UI Light"/>
          <w:szCs w:val="20"/>
        </w:rPr>
        <w:t xml:space="preserve">(or give rise to the need for a regulatory activity) </w:t>
      </w:r>
      <w:r w:rsidRPr="009B2611">
        <w:rPr>
          <w:rFonts w:cs="Segoe UI Light"/>
          <w:szCs w:val="20"/>
        </w:rPr>
        <w:t xml:space="preserve">pay for the cost of those services, rather than have them funded by others </w:t>
      </w:r>
      <w:r>
        <w:rPr>
          <w:rFonts w:cs="Segoe UI Light"/>
          <w:szCs w:val="20"/>
        </w:rPr>
        <w:t>(</w:t>
      </w:r>
      <w:r w:rsidRPr="009B2611">
        <w:rPr>
          <w:rFonts w:cs="Segoe UI Light"/>
          <w:szCs w:val="20"/>
        </w:rPr>
        <w:t>typically through general taxation</w:t>
      </w:r>
      <w:r>
        <w:rPr>
          <w:rFonts w:cs="Segoe UI Light"/>
          <w:szCs w:val="20"/>
        </w:rPr>
        <w:t>)</w:t>
      </w:r>
      <w:r w:rsidRPr="009B2611">
        <w:rPr>
          <w:rFonts w:cs="Segoe UI Light"/>
          <w:szCs w:val="20"/>
        </w:rPr>
        <w:t>. Under full cost recovery, taxpayers do not subsidise those who use the service, or impose the costs, which are to be recovered.</w:t>
      </w:r>
    </w:p>
    <w:p w14:paraId="4D09201E" w14:textId="77777777" w:rsidR="001433A1" w:rsidRPr="009B2611" w:rsidRDefault="001433A1" w:rsidP="001433A1">
      <w:pPr>
        <w:spacing w:after="160"/>
        <w:rPr>
          <w:rFonts w:cs="Segoe UI Light"/>
          <w:szCs w:val="20"/>
        </w:rPr>
      </w:pPr>
      <w:r w:rsidRPr="009B2611">
        <w:rPr>
          <w:rFonts w:cs="Segoe UI Light"/>
          <w:szCs w:val="20"/>
        </w:rPr>
        <w:t>Cost recovery can advance both equity and efficiency objectives, although in some cases these objectives may need to be balanced against each other. General</w:t>
      </w:r>
      <w:r>
        <w:rPr>
          <w:rFonts w:cs="Segoe UI Light"/>
          <w:szCs w:val="20"/>
        </w:rPr>
        <w:t xml:space="preserve"> Victorian</w:t>
      </w:r>
      <w:r w:rsidRPr="009B2611">
        <w:rPr>
          <w:rFonts w:cs="Segoe UI Light"/>
          <w:szCs w:val="20"/>
        </w:rPr>
        <w:t xml:space="preserve"> government policy is that unless there is good reason not to, regulatory fees and user charges should be set on a full cost recovery basis.</w:t>
      </w:r>
      <w:r w:rsidRPr="009B2611">
        <w:rPr>
          <w:rFonts w:cs="Segoe UI Light"/>
          <w:szCs w:val="20"/>
          <w:vertAlign w:val="superscript"/>
        </w:rPr>
        <w:footnoteReference w:id="302"/>
      </w:r>
      <w:r w:rsidRPr="009B2611">
        <w:rPr>
          <w:rFonts w:cs="Segoe UI Light"/>
          <w:szCs w:val="20"/>
        </w:rPr>
        <w:t xml:space="preserve"> Full cost represents the value of all the resources used or consumed in the provision of an output or activity. In particular</w:t>
      </w:r>
      <w:r>
        <w:rPr>
          <w:rFonts w:cs="Segoe UI Light"/>
          <w:szCs w:val="20"/>
        </w:rPr>
        <w:t xml:space="preserve"> full cost recovery</w:t>
      </w:r>
      <w:r w:rsidRPr="009B2611">
        <w:rPr>
          <w:rFonts w:cs="Segoe UI Light"/>
          <w:szCs w:val="20"/>
        </w:rPr>
        <w:t>:</w:t>
      </w:r>
    </w:p>
    <w:p w14:paraId="722207F2" w14:textId="77777777" w:rsidR="001433A1" w:rsidRPr="009B2611" w:rsidRDefault="001433A1" w:rsidP="001433A1">
      <w:pPr>
        <w:numPr>
          <w:ilvl w:val="0"/>
          <w:numId w:val="43"/>
        </w:numPr>
        <w:rPr>
          <w:rFonts w:cs="Segoe UI Light"/>
          <w:szCs w:val="20"/>
        </w:rPr>
      </w:pPr>
      <w:r>
        <w:rPr>
          <w:rFonts w:cs="Segoe UI Light"/>
          <w:szCs w:val="20"/>
        </w:rPr>
        <w:t>P</w:t>
      </w:r>
      <w:r w:rsidRPr="009B2611">
        <w:rPr>
          <w:rFonts w:cs="Segoe UI Light"/>
          <w:szCs w:val="20"/>
        </w:rPr>
        <w:t>romotes the efficient allocation of resources by sending the appropriate price signals about the value of all the resources being used in the provision of government goods, services and/or regulatory activities; and</w:t>
      </w:r>
    </w:p>
    <w:p w14:paraId="1E97C215" w14:textId="77777777" w:rsidR="001433A1" w:rsidRPr="009B2611" w:rsidRDefault="001433A1" w:rsidP="001433A1">
      <w:pPr>
        <w:numPr>
          <w:ilvl w:val="0"/>
          <w:numId w:val="43"/>
        </w:numPr>
        <w:rPr>
          <w:rFonts w:cs="Segoe UI Light"/>
          <w:szCs w:val="20"/>
        </w:rPr>
      </w:pPr>
      <w:r>
        <w:rPr>
          <w:rFonts w:cs="Segoe UI Light"/>
          <w:szCs w:val="20"/>
        </w:rPr>
        <w:t>E</w:t>
      </w:r>
      <w:r w:rsidRPr="009B2611">
        <w:rPr>
          <w:rFonts w:cs="Segoe UI Light"/>
          <w:szCs w:val="20"/>
        </w:rPr>
        <w:t>nsures that those that have benefited from government-provided goods and services, or those that give rise to the need for government regulation, pay the associated cost (those parties that do not benefit or take part in a regulated activity do not have to bear the costs).</w:t>
      </w:r>
    </w:p>
    <w:p w14:paraId="3EFD5A26" w14:textId="77777777" w:rsidR="001433A1" w:rsidRPr="009B2611" w:rsidRDefault="001433A1" w:rsidP="001433A1">
      <w:pPr>
        <w:rPr>
          <w:rFonts w:cs="Segoe UI Light"/>
          <w:szCs w:val="20"/>
        </w:rPr>
      </w:pPr>
      <w:r w:rsidRPr="009B2611">
        <w:rPr>
          <w:rFonts w:cs="Segoe UI Light"/>
          <w:szCs w:val="20"/>
        </w:rPr>
        <w:t xml:space="preserve">The principle of fully internalising the costs of regulation is supported by the Department of Treasury and Finance’s </w:t>
      </w:r>
      <w:r w:rsidRPr="009B2611">
        <w:rPr>
          <w:rFonts w:cs="Segoe UI Light"/>
          <w:i/>
          <w:szCs w:val="20"/>
        </w:rPr>
        <w:t>Cost Recovery Guidelines</w:t>
      </w:r>
      <w:r w:rsidRPr="009B2611">
        <w:rPr>
          <w:rFonts w:cs="Segoe UI Light"/>
          <w:szCs w:val="20"/>
        </w:rPr>
        <w:t xml:space="preserve"> which states that costs should be recovered directly</w:t>
      </w:r>
      <w:r>
        <w:rPr>
          <w:rFonts w:cs="Segoe UI Light"/>
          <w:szCs w:val="20"/>
        </w:rPr>
        <w:t>,</w:t>
      </w:r>
      <w:r w:rsidRPr="009B2611">
        <w:rPr>
          <w:rFonts w:cs="Segoe UI Light"/>
          <w:szCs w:val="20"/>
        </w:rPr>
        <w:t xml:space="preserve"> where possible, “</w:t>
      </w:r>
      <w:r w:rsidRPr="009B2611">
        <w:rPr>
          <w:rFonts w:cs="Segoe UI Light"/>
          <w:i/>
          <w:szCs w:val="20"/>
        </w:rPr>
        <w:t>from those that benefit from, or whose actions give rise to the need for, the government good/service/activity.”</w:t>
      </w:r>
      <w:r w:rsidRPr="009B2611">
        <w:rPr>
          <w:rFonts w:cs="Segoe UI Light"/>
          <w:i/>
          <w:szCs w:val="20"/>
          <w:vertAlign w:val="superscript"/>
        </w:rPr>
        <w:t xml:space="preserve"> </w:t>
      </w:r>
      <w:r w:rsidRPr="009B2611">
        <w:rPr>
          <w:rFonts w:cs="Segoe UI Light"/>
          <w:szCs w:val="20"/>
          <w:vertAlign w:val="superscript"/>
        </w:rPr>
        <w:footnoteReference w:id="303"/>
      </w:r>
    </w:p>
    <w:p w14:paraId="18783854" w14:textId="77777777" w:rsidR="001433A1" w:rsidRPr="009B2611" w:rsidRDefault="001433A1" w:rsidP="001433A1">
      <w:pPr>
        <w:spacing w:after="170"/>
        <w:rPr>
          <w:rFonts w:cs="Segoe UI Light"/>
          <w:szCs w:val="20"/>
        </w:rPr>
      </w:pPr>
      <w:r w:rsidRPr="009B2611">
        <w:rPr>
          <w:rFonts w:cs="Segoe UI Light"/>
          <w:szCs w:val="20"/>
        </w:rPr>
        <w:t xml:space="preserve">The </w:t>
      </w:r>
      <w:r w:rsidRPr="009B2611">
        <w:rPr>
          <w:rFonts w:cs="Segoe UI Light"/>
          <w:i/>
          <w:szCs w:val="20"/>
        </w:rPr>
        <w:t>Cost Recovery Guidelines</w:t>
      </w:r>
      <w:r w:rsidRPr="009B2611">
        <w:rPr>
          <w:rFonts w:cs="Segoe UI Light"/>
          <w:szCs w:val="20"/>
        </w:rPr>
        <w:t xml:space="preserve"> also recognise that there are situations where it may be desirable to recover less than full costs, or not to recover costs at all. Examples include circumstances where:</w:t>
      </w:r>
    </w:p>
    <w:p w14:paraId="57159DCB" w14:textId="77777777" w:rsidR="001433A1" w:rsidRPr="009B2611" w:rsidRDefault="001433A1" w:rsidP="001433A1">
      <w:pPr>
        <w:numPr>
          <w:ilvl w:val="0"/>
          <w:numId w:val="43"/>
        </w:numPr>
        <w:spacing w:after="0"/>
        <w:rPr>
          <w:rFonts w:cs="Segoe UI Light"/>
          <w:szCs w:val="20"/>
        </w:rPr>
      </w:pPr>
      <w:r w:rsidRPr="009B2611">
        <w:rPr>
          <w:rFonts w:cs="Segoe UI Light"/>
          <w:szCs w:val="20"/>
        </w:rPr>
        <w:t>Practical implementation issues make cost recovery infeasible.</w:t>
      </w:r>
    </w:p>
    <w:p w14:paraId="7353662F" w14:textId="77777777" w:rsidR="001433A1" w:rsidRPr="009B2611" w:rsidRDefault="001433A1" w:rsidP="001433A1">
      <w:pPr>
        <w:numPr>
          <w:ilvl w:val="0"/>
          <w:numId w:val="43"/>
        </w:numPr>
        <w:spacing w:after="0"/>
        <w:rPr>
          <w:rFonts w:cs="Segoe UI Light"/>
          <w:szCs w:val="20"/>
        </w:rPr>
      </w:pPr>
      <w:r w:rsidRPr="009B2611">
        <w:rPr>
          <w:rFonts w:cs="Segoe UI Light"/>
          <w:szCs w:val="20"/>
        </w:rPr>
        <w:t>There are benefits to unrelated third parties (sometimes referred to as ‘positive externalities’).</w:t>
      </w:r>
    </w:p>
    <w:p w14:paraId="6184196D" w14:textId="77777777" w:rsidR="001433A1" w:rsidRPr="009B2611" w:rsidRDefault="001433A1" w:rsidP="001433A1">
      <w:pPr>
        <w:numPr>
          <w:ilvl w:val="0"/>
          <w:numId w:val="43"/>
        </w:numPr>
        <w:spacing w:after="0"/>
        <w:rPr>
          <w:rFonts w:cs="Segoe UI Light"/>
          <w:szCs w:val="20"/>
        </w:rPr>
      </w:pPr>
      <w:r w:rsidRPr="009B2611">
        <w:rPr>
          <w:rFonts w:cs="Segoe UI Light"/>
          <w:szCs w:val="20"/>
        </w:rPr>
        <w:t>Social policy or vertical equity considerations are considered to outweigh the efficiency objectives associated with full cost recovery.</w:t>
      </w:r>
    </w:p>
    <w:p w14:paraId="23D04A48" w14:textId="77777777" w:rsidR="001433A1" w:rsidRPr="009B2611" w:rsidRDefault="001433A1" w:rsidP="001433A1">
      <w:pPr>
        <w:numPr>
          <w:ilvl w:val="0"/>
          <w:numId w:val="43"/>
        </w:numPr>
        <w:rPr>
          <w:rFonts w:cs="Segoe UI Light"/>
          <w:szCs w:val="20"/>
        </w:rPr>
      </w:pPr>
      <w:r w:rsidRPr="009B2611">
        <w:rPr>
          <w:rFonts w:cs="Segoe UI Light"/>
          <w:szCs w:val="20"/>
        </w:rPr>
        <w:t>Full cost</w:t>
      </w:r>
      <w:r w:rsidRPr="009B2611">
        <w:rPr>
          <w:rFonts w:cs="Segoe UI Light"/>
          <w:szCs w:val="20"/>
        </w:rPr>
        <w:noBreakHyphen/>
        <w:t>recovery might adversely affect the achievement of other government policy objectives.</w:t>
      </w:r>
    </w:p>
    <w:p w14:paraId="08BE8447" w14:textId="77777777" w:rsidR="001433A1" w:rsidRPr="009B2611" w:rsidRDefault="001433A1" w:rsidP="001433A1">
      <w:pPr>
        <w:rPr>
          <w:rFonts w:cs="Segoe UI Light"/>
          <w:szCs w:val="20"/>
          <w:lang w:eastAsia="en-AU"/>
        </w:rPr>
      </w:pPr>
      <w:r w:rsidRPr="009B2611">
        <w:rPr>
          <w:rFonts w:cs="Segoe UI Light"/>
          <w:szCs w:val="20"/>
        </w:rPr>
        <w:t xml:space="preserve">The </w:t>
      </w:r>
      <w:r w:rsidRPr="009B2611">
        <w:rPr>
          <w:rFonts w:cs="Segoe UI Light"/>
          <w:i/>
          <w:szCs w:val="20"/>
        </w:rPr>
        <w:t>Victorian Guide to Regulation</w:t>
      </w:r>
      <w:r w:rsidRPr="009B2611">
        <w:rPr>
          <w:rFonts w:cs="Segoe UI Light"/>
          <w:szCs w:val="20"/>
        </w:rPr>
        <w:t xml:space="preserve"> requires that, where proposed regulations impose fees or charges, the proposed fees be assessed against the principles in the </w:t>
      </w:r>
      <w:r w:rsidRPr="009B2611">
        <w:rPr>
          <w:rFonts w:cs="Segoe UI Light"/>
          <w:i/>
          <w:szCs w:val="20"/>
        </w:rPr>
        <w:t>Cost Recovery Guidelines</w:t>
      </w:r>
      <w:r w:rsidRPr="009B2611">
        <w:rPr>
          <w:rFonts w:cs="Segoe UI Light"/>
          <w:szCs w:val="20"/>
        </w:rPr>
        <w:t xml:space="preserve">. </w:t>
      </w:r>
      <w:r w:rsidRPr="009B2611">
        <w:rPr>
          <w:rFonts w:cs="Segoe UI Light"/>
          <w:szCs w:val="20"/>
          <w:lang w:eastAsia="en-AU"/>
        </w:rPr>
        <w:t xml:space="preserve">The </w:t>
      </w:r>
      <w:r w:rsidRPr="009B2611">
        <w:rPr>
          <w:rFonts w:cs="Segoe UI Light"/>
          <w:i/>
          <w:szCs w:val="20"/>
          <w:lang w:eastAsia="en-AU"/>
        </w:rPr>
        <w:t>Cost Recovery Guidelines</w:t>
      </w:r>
      <w:r w:rsidRPr="009B2611">
        <w:rPr>
          <w:rFonts w:cs="Segoe UI Light"/>
          <w:szCs w:val="20"/>
          <w:lang w:eastAsia="en-AU"/>
        </w:rPr>
        <w:t xml:space="preserve"> suggest 10 key steps should be examined:</w:t>
      </w:r>
    </w:p>
    <w:tbl>
      <w:tblPr>
        <w:tblStyle w:val="TableGrid10"/>
        <w:tblW w:w="0" w:type="auto"/>
        <w:tblInd w:w="720" w:type="dxa"/>
        <w:tblLook w:val="04A0" w:firstRow="1" w:lastRow="0" w:firstColumn="1" w:lastColumn="0" w:noHBand="0" w:noVBand="1"/>
      </w:tblPr>
      <w:tblGrid>
        <w:gridCol w:w="959"/>
        <w:gridCol w:w="7477"/>
      </w:tblGrid>
      <w:tr w:rsidR="001433A1" w:rsidRPr="009B2611" w14:paraId="73E6DCEA" w14:textId="77777777" w:rsidTr="001433A1">
        <w:trPr>
          <w:cnfStyle w:val="100000000000" w:firstRow="1" w:lastRow="0" w:firstColumn="0" w:lastColumn="0" w:oddVBand="0" w:evenVBand="0" w:oddHBand="0" w:evenHBand="0" w:firstRowFirstColumn="0" w:firstRowLastColumn="0" w:lastRowFirstColumn="0" w:lastRowLastColumn="0"/>
        </w:trPr>
        <w:tc>
          <w:tcPr>
            <w:tcW w:w="9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E53C49" w14:textId="77777777" w:rsidR="001433A1" w:rsidRPr="009B2611" w:rsidRDefault="001433A1" w:rsidP="001433A1">
            <w:pPr>
              <w:spacing w:after="0" w:line="240" w:lineRule="auto"/>
              <w:rPr>
                <w:rFonts w:cs="Segoe UI Light"/>
                <w:szCs w:val="20"/>
              </w:rPr>
            </w:pPr>
            <w:r w:rsidRPr="009B2611">
              <w:rPr>
                <w:rFonts w:cs="Segoe UI Light"/>
                <w:szCs w:val="20"/>
              </w:rPr>
              <w:t>Step 1</w:t>
            </w:r>
          </w:p>
        </w:tc>
        <w:tc>
          <w:tcPr>
            <w:tcW w:w="74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46819A" w14:textId="77777777" w:rsidR="001433A1" w:rsidRPr="009B2611" w:rsidRDefault="001433A1" w:rsidP="001433A1">
            <w:pPr>
              <w:spacing w:after="0" w:line="240" w:lineRule="auto"/>
              <w:rPr>
                <w:rFonts w:cs="Segoe UI Light"/>
                <w:szCs w:val="20"/>
              </w:rPr>
            </w:pPr>
            <w:r w:rsidRPr="009B2611">
              <w:rPr>
                <w:rFonts w:cs="Segoe UI Light"/>
                <w:szCs w:val="20"/>
              </w:rPr>
              <w:t>Is the provision of the output or level of regulation appropriate?</w:t>
            </w:r>
          </w:p>
        </w:tc>
      </w:tr>
      <w:tr w:rsidR="001433A1" w:rsidRPr="009B2611" w14:paraId="15EB0AAC" w14:textId="77777777" w:rsidTr="001433A1">
        <w:tc>
          <w:tcPr>
            <w:tcW w:w="959" w:type="dxa"/>
          </w:tcPr>
          <w:p w14:paraId="7AB5F364" w14:textId="77777777" w:rsidR="001433A1" w:rsidRPr="009B2611" w:rsidRDefault="001433A1" w:rsidP="001433A1">
            <w:pPr>
              <w:spacing w:after="0" w:line="240" w:lineRule="auto"/>
              <w:rPr>
                <w:rFonts w:cs="Segoe UI Light"/>
                <w:szCs w:val="20"/>
              </w:rPr>
            </w:pPr>
            <w:r w:rsidRPr="009B2611">
              <w:rPr>
                <w:rFonts w:cs="Segoe UI Light"/>
                <w:szCs w:val="20"/>
              </w:rPr>
              <w:t>Step 2</w:t>
            </w:r>
          </w:p>
        </w:tc>
        <w:tc>
          <w:tcPr>
            <w:tcW w:w="7477" w:type="dxa"/>
          </w:tcPr>
          <w:p w14:paraId="3147433B" w14:textId="77777777" w:rsidR="001433A1" w:rsidRPr="009B2611" w:rsidRDefault="001433A1" w:rsidP="001433A1">
            <w:pPr>
              <w:spacing w:after="0" w:line="240" w:lineRule="auto"/>
              <w:rPr>
                <w:rFonts w:cs="Segoe UI Light"/>
                <w:szCs w:val="20"/>
              </w:rPr>
            </w:pPr>
            <w:r w:rsidRPr="009B2611">
              <w:rPr>
                <w:rFonts w:cs="Segoe UI Light"/>
                <w:szCs w:val="20"/>
              </w:rPr>
              <w:t>What is the nature of the output or regulation?</w:t>
            </w:r>
          </w:p>
        </w:tc>
      </w:tr>
      <w:tr w:rsidR="001433A1" w:rsidRPr="009B2611" w14:paraId="65771B87" w14:textId="77777777" w:rsidTr="001433A1">
        <w:tc>
          <w:tcPr>
            <w:tcW w:w="959" w:type="dxa"/>
          </w:tcPr>
          <w:p w14:paraId="750532F6" w14:textId="77777777" w:rsidR="001433A1" w:rsidRPr="009B2611" w:rsidRDefault="001433A1" w:rsidP="001433A1">
            <w:pPr>
              <w:spacing w:after="0" w:line="240" w:lineRule="auto"/>
              <w:rPr>
                <w:rFonts w:cs="Segoe UI Light"/>
                <w:szCs w:val="20"/>
              </w:rPr>
            </w:pPr>
            <w:r w:rsidRPr="009B2611">
              <w:rPr>
                <w:rFonts w:cs="Segoe UI Light"/>
                <w:szCs w:val="20"/>
              </w:rPr>
              <w:t>Step 3</w:t>
            </w:r>
          </w:p>
        </w:tc>
        <w:tc>
          <w:tcPr>
            <w:tcW w:w="7477" w:type="dxa"/>
          </w:tcPr>
          <w:p w14:paraId="6380F656" w14:textId="77777777" w:rsidR="001433A1" w:rsidRPr="009B2611" w:rsidRDefault="001433A1" w:rsidP="001433A1">
            <w:pPr>
              <w:spacing w:after="0" w:line="240" w:lineRule="auto"/>
              <w:rPr>
                <w:rFonts w:cs="Segoe UI Light"/>
                <w:szCs w:val="20"/>
              </w:rPr>
            </w:pPr>
            <w:r w:rsidRPr="009B2611">
              <w:rPr>
                <w:rFonts w:cs="Segoe UI Light"/>
                <w:szCs w:val="20"/>
              </w:rPr>
              <w:t>Who could be charged?</w:t>
            </w:r>
          </w:p>
        </w:tc>
      </w:tr>
      <w:tr w:rsidR="001433A1" w:rsidRPr="009B2611" w14:paraId="40C20C3A" w14:textId="77777777" w:rsidTr="001433A1">
        <w:tc>
          <w:tcPr>
            <w:tcW w:w="959" w:type="dxa"/>
          </w:tcPr>
          <w:p w14:paraId="25680587" w14:textId="77777777" w:rsidR="001433A1" w:rsidRPr="009B2611" w:rsidRDefault="001433A1" w:rsidP="001433A1">
            <w:pPr>
              <w:spacing w:after="0" w:line="240" w:lineRule="auto"/>
              <w:rPr>
                <w:rFonts w:cs="Segoe UI Light"/>
                <w:szCs w:val="20"/>
              </w:rPr>
            </w:pPr>
            <w:r w:rsidRPr="009B2611">
              <w:rPr>
                <w:rFonts w:cs="Segoe UI Light"/>
                <w:szCs w:val="20"/>
              </w:rPr>
              <w:t>Step 4</w:t>
            </w:r>
          </w:p>
        </w:tc>
        <w:tc>
          <w:tcPr>
            <w:tcW w:w="7477" w:type="dxa"/>
          </w:tcPr>
          <w:p w14:paraId="22A8CCB5" w14:textId="77777777" w:rsidR="001433A1" w:rsidRPr="009B2611" w:rsidRDefault="001433A1" w:rsidP="001433A1">
            <w:pPr>
              <w:spacing w:after="0" w:line="240" w:lineRule="auto"/>
              <w:rPr>
                <w:rFonts w:cs="Segoe UI Light"/>
                <w:szCs w:val="20"/>
              </w:rPr>
            </w:pPr>
            <w:r w:rsidRPr="009B2611">
              <w:rPr>
                <w:rFonts w:cs="Segoe UI Light"/>
                <w:szCs w:val="20"/>
              </w:rPr>
              <w:t>Is charging feasible, practical and legal?</w:t>
            </w:r>
          </w:p>
        </w:tc>
      </w:tr>
      <w:tr w:rsidR="001433A1" w:rsidRPr="009B2611" w14:paraId="0ADB3E3A" w14:textId="77777777" w:rsidTr="001433A1">
        <w:tc>
          <w:tcPr>
            <w:tcW w:w="959" w:type="dxa"/>
          </w:tcPr>
          <w:p w14:paraId="6F5BEA0E" w14:textId="77777777" w:rsidR="001433A1" w:rsidRPr="009B2611" w:rsidRDefault="001433A1" w:rsidP="001433A1">
            <w:pPr>
              <w:spacing w:after="0" w:line="240" w:lineRule="auto"/>
              <w:rPr>
                <w:rFonts w:cs="Segoe UI Light"/>
                <w:szCs w:val="20"/>
              </w:rPr>
            </w:pPr>
            <w:r w:rsidRPr="009B2611">
              <w:rPr>
                <w:rFonts w:cs="Segoe UI Light"/>
                <w:szCs w:val="20"/>
              </w:rPr>
              <w:t>Step 5</w:t>
            </w:r>
          </w:p>
        </w:tc>
        <w:tc>
          <w:tcPr>
            <w:tcW w:w="7477" w:type="dxa"/>
          </w:tcPr>
          <w:p w14:paraId="342F04E3" w14:textId="77777777" w:rsidR="001433A1" w:rsidRPr="009B2611" w:rsidRDefault="001433A1" w:rsidP="001433A1">
            <w:pPr>
              <w:spacing w:after="0" w:line="240" w:lineRule="auto"/>
              <w:rPr>
                <w:rFonts w:cs="Segoe UI Light"/>
                <w:szCs w:val="20"/>
              </w:rPr>
            </w:pPr>
            <w:r w:rsidRPr="009B2611">
              <w:rPr>
                <w:rFonts w:cs="Segoe UI Light"/>
                <w:szCs w:val="20"/>
              </w:rPr>
              <w:t>Is full cost recovery appropriate?</w:t>
            </w:r>
          </w:p>
        </w:tc>
      </w:tr>
      <w:tr w:rsidR="001433A1" w:rsidRPr="009B2611" w14:paraId="6F28D0C8" w14:textId="77777777" w:rsidTr="001433A1">
        <w:tc>
          <w:tcPr>
            <w:tcW w:w="959" w:type="dxa"/>
          </w:tcPr>
          <w:p w14:paraId="17EEEEAB" w14:textId="77777777" w:rsidR="001433A1" w:rsidRPr="009B2611" w:rsidRDefault="001433A1" w:rsidP="001433A1">
            <w:pPr>
              <w:spacing w:after="0" w:line="240" w:lineRule="auto"/>
              <w:rPr>
                <w:rFonts w:cs="Segoe UI Light"/>
                <w:szCs w:val="20"/>
              </w:rPr>
            </w:pPr>
            <w:r w:rsidRPr="009B2611">
              <w:rPr>
                <w:rFonts w:cs="Segoe UI Light"/>
                <w:szCs w:val="20"/>
              </w:rPr>
              <w:t>Step 6</w:t>
            </w:r>
          </w:p>
        </w:tc>
        <w:tc>
          <w:tcPr>
            <w:tcW w:w="7477" w:type="dxa"/>
          </w:tcPr>
          <w:p w14:paraId="4446E76B" w14:textId="77777777" w:rsidR="001433A1" w:rsidRPr="009B2611" w:rsidRDefault="001433A1" w:rsidP="001433A1">
            <w:pPr>
              <w:spacing w:after="0" w:line="240" w:lineRule="auto"/>
              <w:rPr>
                <w:rFonts w:cs="Segoe UI Light"/>
                <w:szCs w:val="20"/>
              </w:rPr>
            </w:pPr>
            <w:r w:rsidRPr="009B2611">
              <w:rPr>
                <w:rFonts w:cs="Segoe UI Light"/>
                <w:szCs w:val="20"/>
              </w:rPr>
              <w:t>Which costs should be recovered?</w:t>
            </w:r>
          </w:p>
        </w:tc>
      </w:tr>
      <w:tr w:rsidR="001433A1" w:rsidRPr="009B2611" w14:paraId="7EED2856" w14:textId="77777777" w:rsidTr="001433A1">
        <w:tc>
          <w:tcPr>
            <w:tcW w:w="959" w:type="dxa"/>
          </w:tcPr>
          <w:p w14:paraId="0BDE6B7D" w14:textId="77777777" w:rsidR="001433A1" w:rsidRPr="009B2611" w:rsidRDefault="001433A1" w:rsidP="001433A1">
            <w:pPr>
              <w:spacing w:after="0" w:line="240" w:lineRule="auto"/>
              <w:rPr>
                <w:rFonts w:cs="Segoe UI Light"/>
                <w:szCs w:val="20"/>
              </w:rPr>
            </w:pPr>
            <w:r w:rsidRPr="009B2611">
              <w:rPr>
                <w:rFonts w:cs="Segoe UI Light"/>
                <w:szCs w:val="20"/>
              </w:rPr>
              <w:t>Step 7</w:t>
            </w:r>
          </w:p>
        </w:tc>
        <w:tc>
          <w:tcPr>
            <w:tcW w:w="7477" w:type="dxa"/>
          </w:tcPr>
          <w:p w14:paraId="6ECE645D" w14:textId="77777777" w:rsidR="001433A1" w:rsidRPr="009B2611" w:rsidRDefault="001433A1" w:rsidP="001433A1">
            <w:pPr>
              <w:spacing w:after="0" w:line="240" w:lineRule="auto"/>
              <w:rPr>
                <w:rFonts w:cs="Segoe UI Light"/>
                <w:szCs w:val="20"/>
              </w:rPr>
            </w:pPr>
            <w:r w:rsidRPr="009B2611">
              <w:rPr>
                <w:rFonts w:cs="Segoe UI Light"/>
                <w:szCs w:val="20"/>
              </w:rPr>
              <w:t>How should charges be structured?</w:t>
            </w:r>
          </w:p>
        </w:tc>
      </w:tr>
      <w:tr w:rsidR="001433A1" w:rsidRPr="009B2611" w14:paraId="2F045073" w14:textId="77777777" w:rsidTr="001433A1">
        <w:tc>
          <w:tcPr>
            <w:tcW w:w="959" w:type="dxa"/>
          </w:tcPr>
          <w:p w14:paraId="6B316273" w14:textId="77777777" w:rsidR="001433A1" w:rsidRPr="009B2611" w:rsidRDefault="001433A1" w:rsidP="001433A1">
            <w:pPr>
              <w:spacing w:after="0" w:line="240" w:lineRule="auto"/>
              <w:rPr>
                <w:rFonts w:cs="Segoe UI Light"/>
                <w:szCs w:val="20"/>
              </w:rPr>
            </w:pPr>
            <w:r w:rsidRPr="009B2611">
              <w:rPr>
                <w:rFonts w:cs="Segoe UI Light"/>
                <w:szCs w:val="20"/>
              </w:rPr>
              <w:t>Step 8</w:t>
            </w:r>
          </w:p>
        </w:tc>
        <w:tc>
          <w:tcPr>
            <w:tcW w:w="7477" w:type="dxa"/>
          </w:tcPr>
          <w:p w14:paraId="609AD5AE" w14:textId="77777777" w:rsidR="001433A1" w:rsidRPr="009B2611" w:rsidRDefault="001433A1" w:rsidP="001433A1">
            <w:pPr>
              <w:spacing w:after="0" w:line="240" w:lineRule="auto"/>
              <w:rPr>
                <w:rFonts w:cs="Segoe UI Light"/>
                <w:szCs w:val="20"/>
              </w:rPr>
            </w:pPr>
            <w:r w:rsidRPr="009B2611">
              <w:rPr>
                <w:rFonts w:cs="Segoe UI Light"/>
                <w:szCs w:val="20"/>
              </w:rPr>
              <w:t>Are cost recovery charges based on efficient costs?</w:t>
            </w:r>
          </w:p>
        </w:tc>
      </w:tr>
      <w:tr w:rsidR="001433A1" w:rsidRPr="009B2611" w14:paraId="787DF057" w14:textId="77777777" w:rsidTr="001433A1">
        <w:tc>
          <w:tcPr>
            <w:tcW w:w="959" w:type="dxa"/>
          </w:tcPr>
          <w:p w14:paraId="538F1641" w14:textId="77777777" w:rsidR="001433A1" w:rsidRPr="009B2611" w:rsidRDefault="001433A1" w:rsidP="001433A1">
            <w:pPr>
              <w:spacing w:after="0" w:line="240" w:lineRule="auto"/>
              <w:rPr>
                <w:rFonts w:cs="Segoe UI Light"/>
                <w:szCs w:val="20"/>
              </w:rPr>
            </w:pPr>
            <w:r w:rsidRPr="009B2611">
              <w:rPr>
                <w:rFonts w:cs="Segoe UI Light"/>
                <w:szCs w:val="20"/>
              </w:rPr>
              <w:t>Step 9</w:t>
            </w:r>
          </w:p>
        </w:tc>
        <w:tc>
          <w:tcPr>
            <w:tcW w:w="7477" w:type="dxa"/>
          </w:tcPr>
          <w:p w14:paraId="3355AA95" w14:textId="77777777" w:rsidR="001433A1" w:rsidRPr="009B2611" w:rsidRDefault="001433A1" w:rsidP="001433A1">
            <w:pPr>
              <w:spacing w:after="0" w:line="240" w:lineRule="auto"/>
              <w:rPr>
                <w:rFonts w:cs="Segoe UI Light"/>
                <w:szCs w:val="20"/>
              </w:rPr>
            </w:pPr>
            <w:r w:rsidRPr="009B2611">
              <w:rPr>
                <w:rFonts w:cs="Segoe UI Light"/>
                <w:szCs w:val="20"/>
              </w:rPr>
              <w:t>What is the importance of consultation?</w:t>
            </w:r>
          </w:p>
        </w:tc>
      </w:tr>
      <w:tr w:rsidR="001433A1" w:rsidRPr="009B2611" w14:paraId="0E051C55" w14:textId="77777777" w:rsidTr="001433A1">
        <w:tc>
          <w:tcPr>
            <w:tcW w:w="959" w:type="dxa"/>
          </w:tcPr>
          <w:p w14:paraId="127A2E1F" w14:textId="77777777" w:rsidR="001433A1" w:rsidRPr="009B2611" w:rsidRDefault="001433A1" w:rsidP="001433A1">
            <w:pPr>
              <w:spacing w:after="0" w:line="240" w:lineRule="auto"/>
              <w:rPr>
                <w:rFonts w:cs="Segoe UI Light"/>
                <w:szCs w:val="20"/>
              </w:rPr>
            </w:pPr>
            <w:r w:rsidRPr="009B2611">
              <w:rPr>
                <w:rFonts w:cs="Segoe UI Light"/>
                <w:szCs w:val="20"/>
              </w:rPr>
              <w:t>Step 10</w:t>
            </w:r>
          </w:p>
        </w:tc>
        <w:tc>
          <w:tcPr>
            <w:tcW w:w="7477" w:type="dxa"/>
          </w:tcPr>
          <w:p w14:paraId="7448201E" w14:textId="77777777" w:rsidR="001433A1" w:rsidRPr="009B2611" w:rsidRDefault="001433A1" w:rsidP="001433A1">
            <w:pPr>
              <w:spacing w:after="0" w:line="240" w:lineRule="auto"/>
              <w:rPr>
                <w:rFonts w:cs="Segoe UI Light"/>
                <w:szCs w:val="20"/>
              </w:rPr>
            </w:pPr>
            <w:r w:rsidRPr="009B2611">
              <w:rPr>
                <w:rFonts w:cs="Segoe UI Light"/>
                <w:szCs w:val="20"/>
              </w:rPr>
              <w:t>How should cost recovery arrangements be monitored and reviewed?</w:t>
            </w:r>
          </w:p>
        </w:tc>
      </w:tr>
    </w:tbl>
    <w:p w14:paraId="751C9F0D" w14:textId="77777777" w:rsidR="001433A1" w:rsidRPr="009B2611" w:rsidRDefault="001433A1" w:rsidP="001433A1">
      <w:pPr>
        <w:pStyle w:val="Heading2"/>
        <w:rPr>
          <w:rFonts w:cs="Segoe UI Light"/>
        </w:rPr>
      </w:pPr>
      <w:r w:rsidRPr="009B2611">
        <w:t>Context</w:t>
      </w:r>
    </w:p>
    <w:p w14:paraId="660E9C13" w14:textId="77777777" w:rsidR="001433A1" w:rsidRPr="009B2611" w:rsidRDefault="001433A1" w:rsidP="001433A1">
      <w:pPr>
        <w:pStyle w:val="Heading3"/>
        <w:ind w:left="720"/>
      </w:pPr>
      <w:r w:rsidRPr="009B2611">
        <w:t>Current fees arrangements</w:t>
      </w:r>
    </w:p>
    <w:p w14:paraId="59866389" w14:textId="77777777" w:rsidR="001433A1" w:rsidRPr="009B2611" w:rsidRDefault="001433A1" w:rsidP="001433A1">
      <w:pPr>
        <w:autoSpaceDE w:val="0"/>
        <w:autoSpaceDN w:val="0"/>
        <w:adjustRightInd w:val="0"/>
        <w:spacing w:line="240" w:lineRule="auto"/>
        <w:rPr>
          <w:rFonts w:cs="Segoe UI Light"/>
          <w:szCs w:val="20"/>
        </w:rPr>
      </w:pPr>
      <w:r>
        <w:rPr>
          <w:rFonts w:cs="Segoe UI Light"/>
          <w:szCs w:val="20"/>
        </w:rPr>
        <w:t>The EP Act 1970 sets fees for application for a research, development and demonstration approval, appointment of environmental auditors and application for accreditation.</w:t>
      </w:r>
      <w:r>
        <w:rPr>
          <w:rStyle w:val="FootnoteReference"/>
          <w:rFonts w:cs="Segoe UI Light"/>
          <w:szCs w:val="20"/>
        </w:rPr>
        <w:footnoteReference w:id="304"/>
      </w:r>
      <w:r>
        <w:rPr>
          <w:rFonts w:cs="Segoe UI Light"/>
          <w:szCs w:val="20"/>
        </w:rPr>
        <w:t xml:space="preserve"> </w:t>
      </w:r>
      <w:r w:rsidRPr="009B2611">
        <w:rPr>
          <w:rFonts w:cs="Segoe UI Light"/>
          <w:szCs w:val="20"/>
        </w:rPr>
        <w:t xml:space="preserve">The EP (Fees) Regulations 2012, as enabled under the EP Act 1970, </w:t>
      </w:r>
      <w:r>
        <w:rPr>
          <w:rFonts w:cs="Segoe UI Light"/>
          <w:szCs w:val="20"/>
        </w:rPr>
        <w:t>additionally prescribe</w:t>
      </w:r>
      <w:r w:rsidRPr="009B2611">
        <w:rPr>
          <w:rFonts w:cs="Segoe UI Light"/>
          <w:szCs w:val="20"/>
        </w:rPr>
        <w:t xml:space="preserve"> fees for:</w:t>
      </w:r>
    </w:p>
    <w:p w14:paraId="13A5686C" w14:textId="77777777" w:rsidR="001433A1" w:rsidRPr="00CE519E" w:rsidRDefault="001433A1" w:rsidP="001433A1">
      <w:pPr>
        <w:pStyle w:val="ListParagraph"/>
        <w:numPr>
          <w:ilvl w:val="0"/>
          <w:numId w:val="173"/>
        </w:numPr>
        <w:autoSpaceDE w:val="0"/>
        <w:autoSpaceDN w:val="0"/>
        <w:adjustRightInd w:val="0"/>
        <w:spacing w:line="240" w:lineRule="auto"/>
        <w:rPr>
          <w:rFonts w:cs="Segoe UI Light"/>
          <w:szCs w:val="20"/>
        </w:rPr>
      </w:pPr>
      <w:r w:rsidRPr="00BC1A0C">
        <w:rPr>
          <w:rFonts w:cs="Segoe UI Light"/>
          <w:szCs w:val="20"/>
        </w:rPr>
        <w:t>Works approvals.</w:t>
      </w:r>
    </w:p>
    <w:p w14:paraId="4BA3AF0E" w14:textId="77777777" w:rsidR="001433A1" w:rsidRPr="00CE519E" w:rsidRDefault="001433A1" w:rsidP="001433A1">
      <w:pPr>
        <w:pStyle w:val="ListParagraph"/>
        <w:numPr>
          <w:ilvl w:val="0"/>
          <w:numId w:val="173"/>
        </w:numPr>
        <w:autoSpaceDE w:val="0"/>
        <w:autoSpaceDN w:val="0"/>
        <w:adjustRightInd w:val="0"/>
        <w:spacing w:line="240" w:lineRule="auto"/>
        <w:rPr>
          <w:rFonts w:cs="Segoe UI Light"/>
          <w:szCs w:val="20"/>
        </w:rPr>
      </w:pPr>
      <w:r w:rsidRPr="00CE519E">
        <w:rPr>
          <w:rFonts w:cs="Segoe UI Light"/>
          <w:szCs w:val="20"/>
        </w:rPr>
        <w:t>Licences.</w:t>
      </w:r>
    </w:p>
    <w:p w14:paraId="617F9249" w14:textId="77777777" w:rsidR="001433A1" w:rsidRPr="00CE519E" w:rsidRDefault="001433A1" w:rsidP="001433A1">
      <w:pPr>
        <w:pStyle w:val="ListParagraph"/>
        <w:numPr>
          <w:ilvl w:val="0"/>
          <w:numId w:val="173"/>
        </w:numPr>
        <w:autoSpaceDE w:val="0"/>
        <w:autoSpaceDN w:val="0"/>
        <w:adjustRightInd w:val="0"/>
        <w:spacing w:line="240" w:lineRule="auto"/>
        <w:rPr>
          <w:rFonts w:cs="Segoe UI Light"/>
          <w:szCs w:val="20"/>
        </w:rPr>
      </w:pPr>
      <w:r w:rsidRPr="00CE519E">
        <w:rPr>
          <w:rFonts w:cs="Segoe UI Light"/>
          <w:szCs w:val="20"/>
        </w:rPr>
        <w:t>Waste transport permits.</w:t>
      </w:r>
    </w:p>
    <w:p w14:paraId="761BF16E" w14:textId="77777777" w:rsidR="001433A1" w:rsidRPr="00CE519E" w:rsidRDefault="001433A1" w:rsidP="001433A1">
      <w:pPr>
        <w:pStyle w:val="ListParagraph"/>
        <w:numPr>
          <w:ilvl w:val="0"/>
          <w:numId w:val="173"/>
        </w:numPr>
        <w:autoSpaceDE w:val="0"/>
        <w:autoSpaceDN w:val="0"/>
        <w:adjustRightInd w:val="0"/>
        <w:spacing w:line="240" w:lineRule="auto"/>
        <w:rPr>
          <w:rFonts w:cs="Segoe UI Light"/>
          <w:szCs w:val="20"/>
        </w:rPr>
      </w:pPr>
      <w:r w:rsidRPr="00CE519E">
        <w:rPr>
          <w:rFonts w:cs="Segoe UI Light"/>
          <w:szCs w:val="20"/>
        </w:rPr>
        <w:t>Environmental audits.</w:t>
      </w:r>
    </w:p>
    <w:p w14:paraId="2909ECEB" w14:textId="77777777" w:rsidR="001433A1" w:rsidRPr="009B2611" w:rsidRDefault="001433A1" w:rsidP="001433A1">
      <w:pPr>
        <w:autoSpaceDE w:val="0"/>
        <w:autoSpaceDN w:val="0"/>
        <w:adjustRightInd w:val="0"/>
        <w:spacing w:line="240" w:lineRule="auto"/>
        <w:rPr>
          <w:rFonts w:cs="Segoe UI Light"/>
          <w:szCs w:val="20"/>
        </w:rPr>
      </w:pPr>
      <w:r w:rsidRPr="009B2611">
        <w:rPr>
          <w:rFonts w:cs="Segoe UI Light"/>
          <w:szCs w:val="20"/>
        </w:rPr>
        <w:t xml:space="preserve">EPA’s ability under the EP Act 1970 to charge fees on a cost-recovery basis is constrained in some instances by caps </w:t>
      </w:r>
      <w:r>
        <w:rPr>
          <w:rFonts w:cs="Segoe UI Light"/>
          <w:szCs w:val="20"/>
        </w:rPr>
        <w:t>that are set in this legislation</w:t>
      </w:r>
      <w:r w:rsidRPr="009B2611">
        <w:rPr>
          <w:rFonts w:cs="Segoe UI Light"/>
          <w:szCs w:val="20"/>
        </w:rPr>
        <w:t xml:space="preserve">. </w:t>
      </w:r>
    </w:p>
    <w:p w14:paraId="7CD2B2D5" w14:textId="7DB26405" w:rsidR="001433A1" w:rsidRPr="009B2611" w:rsidRDefault="001433A1" w:rsidP="001433A1">
      <w:pPr>
        <w:autoSpaceDE w:val="0"/>
        <w:autoSpaceDN w:val="0"/>
        <w:adjustRightInd w:val="0"/>
        <w:spacing w:line="240" w:lineRule="auto"/>
        <w:rPr>
          <w:rFonts w:cs="Segoe UI Light"/>
          <w:szCs w:val="20"/>
        </w:rPr>
      </w:pPr>
      <w:r w:rsidRPr="009B2611">
        <w:rPr>
          <w:rFonts w:cs="Segoe UI Light"/>
          <w:szCs w:val="20"/>
        </w:rPr>
        <w:t>I</w:t>
      </w:r>
      <w:r w:rsidRPr="009B2611">
        <w:t>n 2017–18,</w:t>
      </w:r>
      <w:r w:rsidRPr="009B2611">
        <w:rPr>
          <w:rFonts w:cs="Segoe UI Light"/>
          <w:szCs w:val="20"/>
        </w:rPr>
        <w:t xml:space="preserve"> regulatory fees </w:t>
      </w:r>
      <w:r w:rsidRPr="0031288A">
        <w:rPr>
          <w:rFonts w:cs="Segoe UI Light"/>
          <w:szCs w:val="20"/>
        </w:rPr>
        <w:t xml:space="preserve">collected </w:t>
      </w:r>
      <w:r w:rsidRPr="00CF611A">
        <w:rPr>
          <w:rFonts w:cs="Segoe UI Light"/>
          <w:szCs w:val="20"/>
        </w:rPr>
        <w:t>by EPA totalled</w:t>
      </w:r>
      <w:r w:rsidRPr="0031288A">
        <w:rPr>
          <w:rFonts w:cs="Segoe UI Light"/>
          <w:szCs w:val="20"/>
        </w:rPr>
        <w:t xml:space="preserve"> </w:t>
      </w:r>
      <w:r w:rsidRPr="00785A28">
        <w:rPr>
          <w:rFonts w:cs="Segoe UI Light"/>
          <w:szCs w:val="20"/>
        </w:rPr>
        <w:t>$14.7</w:t>
      </w:r>
      <w:r w:rsidRPr="009B2611">
        <w:rPr>
          <w:rFonts w:cs="Segoe UI Light"/>
          <w:szCs w:val="20"/>
        </w:rPr>
        <w:t xml:space="preserve"> million.</w:t>
      </w:r>
      <w:r w:rsidRPr="009B2611">
        <w:rPr>
          <w:rFonts w:cs="Segoe UI Light"/>
          <w:szCs w:val="20"/>
          <w:vertAlign w:val="superscript"/>
        </w:rPr>
        <w:footnoteReference w:id="305"/>
      </w:r>
      <w:r w:rsidRPr="009B2611">
        <w:rPr>
          <w:rFonts w:cs="Segoe UI Light"/>
          <w:szCs w:val="20"/>
        </w:rPr>
        <w:t xml:space="preserve"> </w:t>
      </w:r>
      <w:r w:rsidRPr="009B2611">
        <w:rPr>
          <w:rFonts w:cs="Segoe UI Light"/>
          <w:color w:val="2B579A"/>
          <w:szCs w:val="20"/>
          <w:shd w:val="clear" w:color="auto" w:fill="E6E6E6"/>
        </w:rPr>
        <w:fldChar w:fldCharType="begin"/>
      </w:r>
      <w:r w:rsidRPr="009B2611">
        <w:rPr>
          <w:rFonts w:cs="Segoe UI Light"/>
          <w:szCs w:val="20"/>
        </w:rPr>
        <w:instrText xml:space="preserve"> REF _Ref7706073 \h </w:instrText>
      </w:r>
      <w:r>
        <w:rPr>
          <w:rFonts w:cs="Segoe UI Light"/>
          <w:szCs w:val="20"/>
        </w:rPr>
        <w:instrText xml:space="preserve"> \* MERGEFORMAT </w:instrText>
      </w:r>
      <w:r w:rsidRPr="009B2611">
        <w:rPr>
          <w:rFonts w:cs="Segoe UI Light"/>
          <w:color w:val="2B579A"/>
          <w:szCs w:val="20"/>
          <w:shd w:val="clear" w:color="auto" w:fill="E6E6E6"/>
        </w:rPr>
      </w:r>
      <w:r w:rsidRPr="009B2611">
        <w:rPr>
          <w:rFonts w:cs="Segoe UI Light"/>
          <w:color w:val="2B579A"/>
          <w:szCs w:val="20"/>
          <w:shd w:val="clear" w:color="auto" w:fill="E6E6E6"/>
        </w:rPr>
        <w:fldChar w:fldCharType="end"/>
      </w:r>
      <w:r w:rsidRPr="009B2611">
        <w:rPr>
          <w:rFonts w:cs="Segoe UI Light"/>
          <w:szCs w:val="20"/>
        </w:rPr>
        <w:t xml:space="preserve"> </w:t>
      </w:r>
      <w:r w:rsidR="000620C0">
        <w:rPr>
          <w:rFonts w:cs="Segoe UI Light"/>
          <w:szCs w:val="20"/>
        </w:rPr>
        <w:t xml:space="preserve"> Table 16.1 </w:t>
      </w:r>
      <w:r w:rsidRPr="009B2611">
        <w:rPr>
          <w:rFonts w:cs="Segoe UI Light"/>
          <w:szCs w:val="20"/>
        </w:rPr>
        <w:t>provides a breakdown of total fees collected in 2016-17 and 2017-18. Although EPA determines and administers these fees, the revenues are paid into the Consolidated Fund except for:</w:t>
      </w:r>
    </w:p>
    <w:p w14:paraId="3A238FD0" w14:textId="77777777" w:rsidR="001433A1" w:rsidRPr="009B2611" w:rsidRDefault="001433A1" w:rsidP="001433A1">
      <w:pPr>
        <w:numPr>
          <w:ilvl w:val="0"/>
          <w:numId w:val="43"/>
        </w:numPr>
        <w:spacing w:after="0"/>
        <w:rPr>
          <w:rFonts w:cs="Segoe UI Light"/>
          <w:szCs w:val="20"/>
        </w:rPr>
      </w:pPr>
      <w:r w:rsidRPr="009B2611">
        <w:rPr>
          <w:rFonts w:cs="Segoe UI Light"/>
          <w:szCs w:val="20"/>
        </w:rPr>
        <w:t xml:space="preserve">Fees paid to and administered by municipal councils for </w:t>
      </w:r>
      <w:r w:rsidRPr="00EC4444">
        <w:rPr>
          <w:rFonts w:cs="Segoe UI Light"/>
          <w:szCs w:val="20"/>
        </w:rPr>
        <w:t xml:space="preserve">permits to construct, install or alter </w:t>
      </w:r>
      <w:r w:rsidRPr="009B2611">
        <w:rPr>
          <w:rFonts w:cs="Segoe UI Light"/>
          <w:szCs w:val="20"/>
        </w:rPr>
        <w:t xml:space="preserve">septic tank </w:t>
      </w:r>
      <w:r>
        <w:rPr>
          <w:rFonts w:cs="Segoe UI Light"/>
          <w:szCs w:val="20"/>
        </w:rPr>
        <w:t>systems</w:t>
      </w:r>
      <w:r w:rsidRPr="009B2611">
        <w:rPr>
          <w:rFonts w:cs="Segoe UI Light"/>
          <w:szCs w:val="20"/>
        </w:rPr>
        <w:t>, which the council may retain.</w:t>
      </w:r>
    </w:p>
    <w:p w14:paraId="0150F0EA" w14:textId="77777777" w:rsidR="001433A1" w:rsidRPr="009B2611" w:rsidRDefault="001433A1" w:rsidP="001433A1">
      <w:pPr>
        <w:numPr>
          <w:ilvl w:val="0"/>
          <w:numId w:val="43"/>
        </w:numPr>
        <w:rPr>
          <w:rFonts w:cs="Segoe UI Light"/>
          <w:szCs w:val="20"/>
        </w:rPr>
      </w:pPr>
      <w:r w:rsidRPr="009B2611">
        <w:rPr>
          <w:rFonts w:cs="Segoe UI Light"/>
          <w:szCs w:val="20"/>
        </w:rPr>
        <w:t xml:space="preserve">Fees environmental auditors pay to EPA, which EPA retains. </w:t>
      </w:r>
    </w:p>
    <w:p w14:paraId="1936E606"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1</w:t>
      </w:r>
      <w:r>
        <w:rPr>
          <w:color w:val="75787B" w:themeColor="accent6"/>
          <w:sz w:val="17"/>
          <w:shd w:val="clear" w:color="auto" w:fill="E6E6E6"/>
        </w:rPr>
        <w:fldChar w:fldCharType="end"/>
      </w:r>
      <w:r w:rsidRPr="009B2611">
        <w:rPr>
          <w:iCs/>
          <w:color w:val="75787B" w:themeColor="accent6"/>
          <w:sz w:val="17"/>
        </w:rPr>
        <w:t>: Fees collected by the EPA</w:t>
      </w:r>
    </w:p>
    <w:tbl>
      <w:tblPr>
        <w:tblStyle w:val="Deloittetable"/>
        <w:tblW w:w="5000" w:type="pct"/>
        <w:tblLook w:val="04A0" w:firstRow="1" w:lastRow="0" w:firstColumn="1" w:lastColumn="0" w:noHBand="0" w:noVBand="1"/>
      </w:tblPr>
      <w:tblGrid>
        <w:gridCol w:w="4764"/>
        <w:gridCol w:w="2256"/>
        <w:gridCol w:w="2335"/>
      </w:tblGrid>
      <w:tr w:rsidR="001433A1" w:rsidRPr="009B2611" w14:paraId="60047BFF" w14:textId="77777777" w:rsidTr="001433A1">
        <w:trPr>
          <w:cnfStyle w:val="100000000000" w:firstRow="1" w:lastRow="0" w:firstColumn="0" w:lastColumn="0" w:oddVBand="0" w:evenVBand="0" w:oddHBand="0" w:evenHBand="0" w:firstRowFirstColumn="0" w:firstRowLastColumn="0" w:lastRowFirstColumn="0" w:lastRowLastColumn="0"/>
          <w:tblHeader/>
        </w:trPr>
        <w:tc>
          <w:tcPr>
            <w:tcW w:w="2546" w:type="pct"/>
          </w:tcPr>
          <w:p w14:paraId="6A2343AD" w14:textId="77777777" w:rsidR="001433A1" w:rsidRPr="009B2611" w:rsidRDefault="001433A1" w:rsidP="001433A1">
            <w:pPr>
              <w:spacing w:after="0" w:line="240" w:lineRule="auto"/>
              <w:rPr>
                <w:rFonts w:cs="Segoe UI Light"/>
                <w:b/>
                <w:color w:val="62B5E5" w:themeColor="accent3"/>
                <w:sz w:val="18"/>
              </w:rPr>
            </w:pPr>
            <w:r w:rsidRPr="009B2611">
              <w:rPr>
                <w:rFonts w:cs="Segoe UI Light"/>
                <w:b/>
                <w:color w:val="62B5E5" w:themeColor="accent3"/>
                <w:sz w:val="18"/>
              </w:rPr>
              <w:t>Type</w:t>
            </w:r>
          </w:p>
        </w:tc>
        <w:tc>
          <w:tcPr>
            <w:tcW w:w="1206" w:type="pct"/>
          </w:tcPr>
          <w:p w14:paraId="65E844D6" w14:textId="77777777" w:rsidR="001433A1" w:rsidRPr="009B2611" w:rsidRDefault="001433A1" w:rsidP="001433A1">
            <w:pPr>
              <w:spacing w:after="0" w:line="240" w:lineRule="auto"/>
              <w:rPr>
                <w:rFonts w:cs="Segoe UI Light"/>
                <w:b/>
                <w:color w:val="62B5E5" w:themeColor="accent3"/>
                <w:sz w:val="18"/>
              </w:rPr>
            </w:pPr>
            <w:r w:rsidRPr="009B2611">
              <w:rPr>
                <w:rFonts w:cs="Segoe UI Light"/>
                <w:b/>
                <w:color w:val="62B5E5" w:themeColor="accent3"/>
                <w:sz w:val="18"/>
              </w:rPr>
              <w:t>2017-18</w:t>
            </w:r>
          </w:p>
        </w:tc>
        <w:tc>
          <w:tcPr>
            <w:tcW w:w="1248" w:type="pct"/>
          </w:tcPr>
          <w:p w14:paraId="1AA5A700" w14:textId="77777777" w:rsidR="001433A1" w:rsidRPr="009B2611" w:rsidRDefault="001433A1" w:rsidP="001433A1">
            <w:pPr>
              <w:spacing w:after="0" w:line="240" w:lineRule="auto"/>
              <w:rPr>
                <w:rFonts w:cs="Segoe UI Light"/>
                <w:b/>
                <w:color w:val="62B5E5" w:themeColor="accent3"/>
                <w:sz w:val="18"/>
              </w:rPr>
            </w:pPr>
            <w:r w:rsidRPr="009B2611">
              <w:rPr>
                <w:rFonts w:cs="Segoe UI Light"/>
                <w:b/>
                <w:color w:val="62B5E5" w:themeColor="accent3"/>
                <w:sz w:val="18"/>
              </w:rPr>
              <w:t>2016-17</w:t>
            </w:r>
          </w:p>
        </w:tc>
      </w:tr>
      <w:tr w:rsidR="001433A1" w:rsidRPr="009B2611" w14:paraId="75B3FDAE" w14:textId="77777777" w:rsidTr="001433A1">
        <w:tc>
          <w:tcPr>
            <w:tcW w:w="2546" w:type="pct"/>
            <w:vAlign w:val="bottom"/>
          </w:tcPr>
          <w:p w14:paraId="2715CD0A" w14:textId="77777777" w:rsidR="001433A1" w:rsidRPr="009B2611" w:rsidRDefault="001433A1" w:rsidP="001433A1">
            <w:pPr>
              <w:spacing w:after="0" w:line="240" w:lineRule="auto"/>
              <w:rPr>
                <w:rFonts w:cs="Segoe UI Light"/>
                <w:color w:val="00B0F0"/>
                <w:sz w:val="18"/>
              </w:rPr>
            </w:pPr>
            <w:r w:rsidRPr="009B2611">
              <w:rPr>
                <w:rFonts w:cs="Segoe UI Light"/>
                <w:color w:val="000000"/>
                <w:sz w:val="18"/>
              </w:rPr>
              <w:t>Licence fees</w:t>
            </w:r>
          </w:p>
        </w:tc>
        <w:tc>
          <w:tcPr>
            <w:tcW w:w="1206" w:type="pct"/>
            <w:vAlign w:val="bottom"/>
          </w:tcPr>
          <w:p w14:paraId="0A67C596" w14:textId="77777777" w:rsidR="001433A1" w:rsidRPr="009B2611" w:rsidRDefault="001433A1" w:rsidP="001433A1">
            <w:pPr>
              <w:spacing w:after="0" w:line="240" w:lineRule="auto"/>
              <w:rPr>
                <w:rFonts w:cs="Segoe UI Light"/>
                <w:sz w:val="18"/>
              </w:rPr>
            </w:pPr>
            <w:r w:rsidRPr="009B2611">
              <w:rPr>
                <w:rFonts w:cs="Segoe UI Light"/>
                <w:color w:val="000000"/>
                <w:sz w:val="18"/>
              </w:rPr>
              <w:t>12,062,661</w:t>
            </w:r>
          </w:p>
        </w:tc>
        <w:tc>
          <w:tcPr>
            <w:tcW w:w="1248" w:type="pct"/>
            <w:vAlign w:val="bottom"/>
          </w:tcPr>
          <w:p w14:paraId="4A13D3DF" w14:textId="77777777" w:rsidR="001433A1" w:rsidRPr="009B2611" w:rsidRDefault="001433A1" w:rsidP="001433A1">
            <w:pPr>
              <w:spacing w:after="0" w:line="240" w:lineRule="auto"/>
              <w:rPr>
                <w:rFonts w:cs="Segoe UI Light"/>
                <w:sz w:val="18"/>
              </w:rPr>
            </w:pPr>
            <w:r w:rsidRPr="009B2611">
              <w:rPr>
                <w:rFonts w:cs="Segoe UI Light"/>
                <w:color w:val="000000"/>
                <w:sz w:val="18"/>
              </w:rPr>
              <w:t>12,772,902</w:t>
            </w:r>
          </w:p>
        </w:tc>
      </w:tr>
      <w:tr w:rsidR="001433A1" w:rsidRPr="009B2611" w14:paraId="1DE4CB7F" w14:textId="77777777" w:rsidTr="001433A1">
        <w:trPr>
          <w:trHeight w:val="16"/>
        </w:trPr>
        <w:tc>
          <w:tcPr>
            <w:tcW w:w="2546" w:type="pct"/>
            <w:vAlign w:val="bottom"/>
          </w:tcPr>
          <w:p w14:paraId="1517FD17" w14:textId="77777777" w:rsidR="001433A1" w:rsidRPr="009B2611" w:rsidRDefault="001433A1" w:rsidP="001433A1">
            <w:pPr>
              <w:spacing w:after="0" w:line="240" w:lineRule="auto"/>
              <w:rPr>
                <w:rFonts w:cs="Segoe UI Light"/>
                <w:color w:val="00B0F0"/>
                <w:sz w:val="18"/>
              </w:rPr>
            </w:pPr>
            <w:r w:rsidRPr="009B2611">
              <w:rPr>
                <w:rFonts w:cs="Segoe UI Light"/>
                <w:color w:val="000000"/>
                <w:sz w:val="18"/>
              </w:rPr>
              <w:t>Works approval fees</w:t>
            </w:r>
          </w:p>
        </w:tc>
        <w:tc>
          <w:tcPr>
            <w:tcW w:w="1206" w:type="pct"/>
            <w:vAlign w:val="bottom"/>
          </w:tcPr>
          <w:p w14:paraId="54551F04" w14:textId="77777777" w:rsidR="001433A1" w:rsidRPr="009B2611" w:rsidRDefault="001433A1" w:rsidP="001433A1">
            <w:pPr>
              <w:spacing w:after="0" w:line="240" w:lineRule="auto"/>
              <w:rPr>
                <w:rFonts w:cs="Segoe UI Light"/>
                <w:sz w:val="18"/>
              </w:rPr>
            </w:pPr>
            <w:r w:rsidRPr="009B2611">
              <w:rPr>
                <w:rFonts w:cs="Segoe UI Light"/>
                <w:color w:val="000000"/>
                <w:sz w:val="18"/>
              </w:rPr>
              <w:t>248,350</w:t>
            </w:r>
          </w:p>
        </w:tc>
        <w:tc>
          <w:tcPr>
            <w:tcW w:w="1248" w:type="pct"/>
            <w:vAlign w:val="bottom"/>
          </w:tcPr>
          <w:p w14:paraId="6093B71D" w14:textId="77777777" w:rsidR="001433A1" w:rsidRPr="009B2611" w:rsidRDefault="001433A1" w:rsidP="001433A1">
            <w:pPr>
              <w:spacing w:after="0" w:line="240" w:lineRule="auto"/>
              <w:rPr>
                <w:rFonts w:cs="Segoe UI Light"/>
                <w:sz w:val="18"/>
              </w:rPr>
            </w:pPr>
            <w:r w:rsidRPr="009B2611">
              <w:rPr>
                <w:rFonts w:cs="Segoe UI Light"/>
                <w:color w:val="000000"/>
                <w:sz w:val="18"/>
              </w:rPr>
              <w:t>477,919</w:t>
            </w:r>
          </w:p>
        </w:tc>
      </w:tr>
      <w:tr w:rsidR="001433A1" w:rsidRPr="009B2611" w14:paraId="4E5C8C47" w14:textId="77777777" w:rsidTr="001433A1">
        <w:tc>
          <w:tcPr>
            <w:tcW w:w="2546" w:type="pct"/>
            <w:vAlign w:val="bottom"/>
          </w:tcPr>
          <w:p w14:paraId="6D5F998E" w14:textId="77777777" w:rsidR="001433A1" w:rsidRPr="009B2611" w:rsidRDefault="001433A1" w:rsidP="001433A1">
            <w:pPr>
              <w:spacing w:after="0" w:line="240" w:lineRule="auto"/>
              <w:rPr>
                <w:rFonts w:cs="Segoe UI Light"/>
                <w:color w:val="00B0F0"/>
                <w:sz w:val="18"/>
              </w:rPr>
            </w:pPr>
            <w:r w:rsidRPr="009B2611">
              <w:rPr>
                <w:rFonts w:cs="Segoe UI Light"/>
                <w:color w:val="000000"/>
                <w:sz w:val="18"/>
              </w:rPr>
              <w:t>RDD application fees</w:t>
            </w:r>
          </w:p>
        </w:tc>
        <w:tc>
          <w:tcPr>
            <w:tcW w:w="1206" w:type="pct"/>
            <w:vAlign w:val="bottom"/>
          </w:tcPr>
          <w:p w14:paraId="0792D54D" w14:textId="77777777" w:rsidR="001433A1" w:rsidRPr="009B2611" w:rsidRDefault="001433A1" w:rsidP="001433A1">
            <w:pPr>
              <w:spacing w:after="0" w:line="240" w:lineRule="auto"/>
              <w:rPr>
                <w:rFonts w:cs="Segoe UI Light"/>
                <w:sz w:val="18"/>
              </w:rPr>
            </w:pPr>
            <w:r w:rsidRPr="009B2611">
              <w:rPr>
                <w:rFonts w:cs="Segoe UI Light"/>
                <w:color w:val="000000"/>
                <w:sz w:val="18"/>
              </w:rPr>
              <w:t>2,597</w:t>
            </w:r>
          </w:p>
        </w:tc>
        <w:tc>
          <w:tcPr>
            <w:tcW w:w="1248" w:type="pct"/>
            <w:vAlign w:val="bottom"/>
          </w:tcPr>
          <w:p w14:paraId="270D9010" w14:textId="77777777" w:rsidR="001433A1" w:rsidRPr="009B2611" w:rsidRDefault="001433A1" w:rsidP="001433A1">
            <w:pPr>
              <w:spacing w:after="0" w:line="240" w:lineRule="auto"/>
              <w:rPr>
                <w:rFonts w:cs="Segoe UI Light"/>
                <w:sz w:val="18"/>
              </w:rPr>
            </w:pPr>
            <w:r w:rsidRPr="009B2611">
              <w:rPr>
                <w:rFonts w:cs="Segoe UI Light"/>
                <w:color w:val="000000"/>
                <w:sz w:val="18"/>
              </w:rPr>
              <w:t>5,834</w:t>
            </w:r>
          </w:p>
        </w:tc>
      </w:tr>
      <w:tr w:rsidR="001433A1" w:rsidRPr="009B2611" w14:paraId="1DCBEB6F" w14:textId="77777777" w:rsidTr="001433A1">
        <w:tc>
          <w:tcPr>
            <w:tcW w:w="2546" w:type="pct"/>
            <w:vAlign w:val="bottom"/>
          </w:tcPr>
          <w:p w14:paraId="4F7E7129" w14:textId="77777777" w:rsidR="001433A1" w:rsidRPr="009B2611" w:rsidRDefault="001433A1" w:rsidP="001433A1">
            <w:pPr>
              <w:spacing w:after="0" w:line="240" w:lineRule="auto"/>
              <w:rPr>
                <w:rFonts w:cs="Segoe UI Light"/>
                <w:color w:val="00B0F0"/>
                <w:sz w:val="18"/>
              </w:rPr>
            </w:pPr>
            <w:r w:rsidRPr="009B2611">
              <w:rPr>
                <w:rFonts w:cs="Segoe UI Light"/>
                <w:color w:val="000000"/>
                <w:sz w:val="18"/>
              </w:rPr>
              <w:t>Waste transport permit fees</w:t>
            </w:r>
          </w:p>
        </w:tc>
        <w:tc>
          <w:tcPr>
            <w:tcW w:w="1206" w:type="pct"/>
            <w:vAlign w:val="bottom"/>
          </w:tcPr>
          <w:p w14:paraId="40C804EA" w14:textId="77777777" w:rsidR="001433A1" w:rsidRPr="009B2611" w:rsidRDefault="001433A1" w:rsidP="001433A1">
            <w:pPr>
              <w:spacing w:after="0" w:line="240" w:lineRule="auto"/>
              <w:rPr>
                <w:rFonts w:cs="Segoe UI Light"/>
                <w:color w:val="00B0F0"/>
                <w:sz w:val="18"/>
              </w:rPr>
            </w:pPr>
            <w:r w:rsidRPr="009B2611">
              <w:rPr>
                <w:rFonts w:cs="Segoe UI Light"/>
                <w:color w:val="000000"/>
                <w:sz w:val="18"/>
              </w:rPr>
              <w:t>1,694,263</w:t>
            </w:r>
          </w:p>
        </w:tc>
        <w:tc>
          <w:tcPr>
            <w:tcW w:w="1248" w:type="pct"/>
            <w:vAlign w:val="bottom"/>
          </w:tcPr>
          <w:p w14:paraId="547168BD" w14:textId="77777777" w:rsidR="001433A1" w:rsidRPr="009B2611" w:rsidRDefault="001433A1" w:rsidP="001433A1">
            <w:pPr>
              <w:spacing w:after="0" w:line="240" w:lineRule="auto"/>
              <w:rPr>
                <w:rFonts w:cs="Segoe UI Light"/>
                <w:sz w:val="18"/>
              </w:rPr>
            </w:pPr>
            <w:r w:rsidRPr="009B2611">
              <w:rPr>
                <w:rFonts w:cs="Segoe UI Light"/>
                <w:color w:val="000000"/>
                <w:sz w:val="18"/>
              </w:rPr>
              <w:t>1,340,668</w:t>
            </w:r>
          </w:p>
        </w:tc>
      </w:tr>
      <w:tr w:rsidR="001433A1" w:rsidRPr="009B2611" w14:paraId="31309F8D" w14:textId="77777777" w:rsidTr="001433A1">
        <w:tc>
          <w:tcPr>
            <w:tcW w:w="2546" w:type="pct"/>
            <w:vAlign w:val="bottom"/>
          </w:tcPr>
          <w:p w14:paraId="3313D3D2" w14:textId="77777777" w:rsidR="001433A1" w:rsidRPr="009B2611" w:rsidRDefault="001433A1" w:rsidP="001433A1">
            <w:pPr>
              <w:spacing w:after="0" w:line="240" w:lineRule="auto"/>
              <w:rPr>
                <w:rFonts w:cs="Segoe UI Light"/>
                <w:color w:val="00B0F0"/>
                <w:sz w:val="18"/>
              </w:rPr>
            </w:pPr>
            <w:r w:rsidRPr="009B2611">
              <w:rPr>
                <w:rFonts w:cs="Segoe UI Light"/>
                <w:color w:val="000000"/>
                <w:sz w:val="18"/>
              </w:rPr>
              <w:t>Transport certificate fees</w:t>
            </w:r>
          </w:p>
        </w:tc>
        <w:tc>
          <w:tcPr>
            <w:tcW w:w="1206" w:type="pct"/>
            <w:vAlign w:val="bottom"/>
          </w:tcPr>
          <w:p w14:paraId="1AB1F89B" w14:textId="77777777" w:rsidR="001433A1" w:rsidRPr="009B2611" w:rsidRDefault="001433A1" w:rsidP="001433A1">
            <w:pPr>
              <w:spacing w:after="0" w:line="240" w:lineRule="auto"/>
              <w:rPr>
                <w:rFonts w:cs="Segoe UI Light"/>
                <w:color w:val="00B0F0"/>
                <w:sz w:val="18"/>
              </w:rPr>
            </w:pPr>
            <w:r w:rsidRPr="009B2611">
              <w:rPr>
                <w:rFonts w:cs="Segoe UI Light"/>
                <w:color w:val="000000"/>
                <w:sz w:val="18"/>
              </w:rPr>
              <w:t>648,514</w:t>
            </w:r>
          </w:p>
        </w:tc>
        <w:tc>
          <w:tcPr>
            <w:tcW w:w="1248" w:type="pct"/>
            <w:vAlign w:val="bottom"/>
          </w:tcPr>
          <w:p w14:paraId="389B1991" w14:textId="77777777" w:rsidR="001433A1" w:rsidRPr="009B2611" w:rsidRDefault="001433A1" w:rsidP="001433A1">
            <w:pPr>
              <w:spacing w:after="0" w:line="240" w:lineRule="auto"/>
              <w:rPr>
                <w:rFonts w:cs="Segoe UI Light"/>
                <w:sz w:val="18"/>
              </w:rPr>
            </w:pPr>
            <w:r w:rsidRPr="009B2611">
              <w:rPr>
                <w:rFonts w:cs="Segoe UI Light"/>
                <w:color w:val="000000"/>
                <w:sz w:val="18"/>
              </w:rPr>
              <w:t>517,543</w:t>
            </w:r>
          </w:p>
        </w:tc>
      </w:tr>
      <w:tr w:rsidR="001433A1" w:rsidRPr="009B2611" w14:paraId="3E32EB63" w14:textId="77777777" w:rsidTr="001433A1">
        <w:tc>
          <w:tcPr>
            <w:tcW w:w="2546" w:type="pct"/>
            <w:vAlign w:val="bottom"/>
          </w:tcPr>
          <w:p w14:paraId="3165AFD4" w14:textId="77777777" w:rsidR="001433A1" w:rsidRPr="009B2611" w:rsidRDefault="001433A1" w:rsidP="001433A1">
            <w:pPr>
              <w:spacing w:after="0" w:line="240" w:lineRule="auto"/>
              <w:rPr>
                <w:rFonts w:cs="Segoe UI Light"/>
                <w:color w:val="00B0F0"/>
                <w:sz w:val="18"/>
              </w:rPr>
            </w:pPr>
            <w:r w:rsidRPr="009B2611">
              <w:rPr>
                <w:rFonts w:cs="Segoe UI Light"/>
                <w:color w:val="000000"/>
                <w:sz w:val="18"/>
              </w:rPr>
              <w:t>Environmental auditor appointment fees</w:t>
            </w:r>
          </w:p>
        </w:tc>
        <w:tc>
          <w:tcPr>
            <w:tcW w:w="1206" w:type="pct"/>
            <w:vAlign w:val="bottom"/>
          </w:tcPr>
          <w:p w14:paraId="2517160F" w14:textId="77777777" w:rsidR="001433A1" w:rsidRPr="009B2611" w:rsidRDefault="001433A1" w:rsidP="001433A1">
            <w:pPr>
              <w:spacing w:after="0" w:line="240" w:lineRule="auto"/>
              <w:rPr>
                <w:rFonts w:cs="Segoe UI Light"/>
                <w:color w:val="00B0F0"/>
                <w:sz w:val="18"/>
              </w:rPr>
            </w:pPr>
            <w:r w:rsidRPr="009B2611">
              <w:rPr>
                <w:rFonts w:cs="Segoe UI Light"/>
                <w:color w:val="000000"/>
                <w:sz w:val="18"/>
              </w:rPr>
              <w:t>48,300</w:t>
            </w:r>
          </w:p>
        </w:tc>
        <w:tc>
          <w:tcPr>
            <w:tcW w:w="1248" w:type="pct"/>
            <w:vAlign w:val="bottom"/>
          </w:tcPr>
          <w:p w14:paraId="01B60037" w14:textId="77777777" w:rsidR="001433A1" w:rsidRPr="009B2611" w:rsidRDefault="001433A1" w:rsidP="001433A1">
            <w:pPr>
              <w:spacing w:after="0" w:line="240" w:lineRule="auto"/>
              <w:rPr>
                <w:rFonts w:cs="Segoe UI Light"/>
                <w:sz w:val="18"/>
              </w:rPr>
            </w:pPr>
            <w:r w:rsidRPr="009B2611">
              <w:rPr>
                <w:rFonts w:cs="Segoe UI Light"/>
                <w:color w:val="000000"/>
                <w:sz w:val="18"/>
              </w:rPr>
              <w:t>26,068</w:t>
            </w:r>
          </w:p>
        </w:tc>
      </w:tr>
      <w:tr w:rsidR="001433A1" w:rsidRPr="009B2611" w14:paraId="6DBE59C3" w14:textId="77777777" w:rsidTr="001433A1">
        <w:tc>
          <w:tcPr>
            <w:tcW w:w="2546" w:type="pct"/>
            <w:vAlign w:val="bottom"/>
          </w:tcPr>
          <w:p w14:paraId="427D11A7" w14:textId="77777777" w:rsidR="001433A1" w:rsidRPr="009B2611" w:rsidRDefault="001433A1" w:rsidP="001433A1">
            <w:pPr>
              <w:spacing w:after="0" w:line="240" w:lineRule="auto"/>
              <w:rPr>
                <w:rFonts w:cs="Segoe UI Light"/>
                <w:color w:val="00B0F0"/>
                <w:sz w:val="18"/>
              </w:rPr>
            </w:pPr>
            <w:r>
              <w:rPr>
                <w:rFonts w:cs="Segoe UI Light"/>
                <w:color w:val="000000"/>
                <w:sz w:val="18"/>
              </w:rPr>
              <w:t>O</w:t>
            </w:r>
            <w:r w:rsidRPr="009B2611">
              <w:rPr>
                <w:rFonts w:cs="Segoe UI Light"/>
                <w:color w:val="000000"/>
                <w:sz w:val="18"/>
              </w:rPr>
              <w:t>ther fees</w:t>
            </w:r>
          </w:p>
        </w:tc>
        <w:tc>
          <w:tcPr>
            <w:tcW w:w="1206" w:type="pct"/>
            <w:vAlign w:val="bottom"/>
          </w:tcPr>
          <w:p w14:paraId="531B1898" w14:textId="77777777" w:rsidR="001433A1" w:rsidRPr="009B2611" w:rsidRDefault="001433A1" w:rsidP="001433A1">
            <w:pPr>
              <w:spacing w:after="0" w:line="240" w:lineRule="auto"/>
              <w:rPr>
                <w:rFonts w:cs="Segoe UI Light"/>
                <w:color w:val="00B0F0"/>
                <w:sz w:val="18"/>
              </w:rPr>
            </w:pPr>
            <w:r w:rsidRPr="009B2611">
              <w:rPr>
                <w:rFonts w:cs="Segoe UI Light"/>
                <w:color w:val="000000"/>
                <w:sz w:val="18"/>
              </w:rPr>
              <w:t>1,356</w:t>
            </w:r>
          </w:p>
        </w:tc>
        <w:tc>
          <w:tcPr>
            <w:tcW w:w="1248" w:type="pct"/>
            <w:vAlign w:val="bottom"/>
          </w:tcPr>
          <w:p w14:paraId="518B72C2" w14:textId="77777777" w:rsidR="001433A1" w:rsidRPr="009B2611" w:rsidRDefault="001433A1" w:rsidP="001433A1">
            <w:pPr>
              <w:spacing w:after="0" w:line="240" w:lineRule="auto"/>
              <w:rPr>
                <w:rFonts w:cs="Segoe UI Light"/>
                <w:sz w:val="18"/>
              </w:rPr>
            </w:pPr>
            <w:r w:rsidRPr="009B2611">
              <w:rPr>
                <w:rFonts w:cs="Segoe UI Light"/>
                <w:color w:val="000000"/>
                <w:sz w:val="18"/>
              </w:rPr>
              <w:t>4,722</w:t>
            </w:r>
          </w:p>
        </w:tc>
      </w:tr>
      <w:tr w:rsidR="001433A1" w:rsidRPr="009B2611" w14:paraId="08FA10CE" w14:textId="77777777" w:rsidTr="001433A1">
        <w:tc>
          <w:tcPr>
            <w:tcW w:w="2546" w:type="pct"/>
            <w:vAlign w:val="bottom"/>
          </w:tcPr>
          <w:p w14:paraId="3A866D26" w14:textId="77777777" w:rsidR="001433A1" w:rsidRPr="009B2611" w:rsidRDefault="001433A1" w:rsidP="001433A1">
            <w:pPr>
              <w:spacing w:after="0" w:line="240" w:lineRule="auto"/>
              <w:rPr>
                <w:rFonts w:cs="Segoe UI Light"/>
                <w:b/>
                <w:color w:val="00B0F0"/>
                <w:sz w:val="18"/>
              </w:rPr>
            </w:pPr>
            <w:r w:rsidRPr="009B2611">
              <w:rPr>
                <w:rFonts w:cs="Segoe UI Light"/>
                <w:b/>
                <w:color w:val="000000"/>
                <w:sz w:val="18"/>
              </w:rPr>
              <w:t xml:space="preserve">Total </w:t>
            </w:r>
          </w:p>
        </w:tc>
        <w:tc>
          <w:tcPr>
            <w:tcW w:w="1206" w:type="pct"/>
            <w:vAlign w:val="bottom"/>
          </w:tcPr>
          <w:p w14:paraId="52162671" w14:textId="77777777" w:rsidR="001433A1" w:rsidRPr="009B2611" w:rsidRDefault="001433A1" w:rsidP="001433A1">
            <w:pPr>
              <w:spacing w:after="0" w:line="240" w:lineRule="auto"/>
              <w:rPr>
                <w:rFonts w:cs="Segoe UI Light"/>
                <w:b/>
                <w:color w:val="00B0F0"/>
                <w:sz w:val="18"/>
              </w:rPr>
            </w:pPr>
            <w:r w:rsidRPr="009B2611">
              <w:rPr>
                <w:rFonts w:cs="Segoe UI Light"/>
                <w:b/>
                <w:color w:val="000000"/>
                <w:sz w:val="18"/>
              </w:rPr>
              <w:t>14,706,041</w:t>
            </w:r>
          </w:p>
        </w:tc>
        <w:tc>
          <w:tcPr>
            <w:tcW w:w="1248" w:type="pct"/>
            <w:vAlign w:val="bottom"/>
          </w:tcPr>
          <w:p w14:paraId="36CD9C83" w14:textId="77777777" w:rsidR="001433A1" w:rsidRPr="009B2611" w:rsidRDefault="001433A1" w:rsidP="001433A1">
            <w:pPr>
              <w:spacing w:after="0" w:line="240" w:lineRule="auto"/>
              <w:rPr>
                <w:rFonts w:cs="Segoe UI Light"/>
                <w:b/>
                <w:sz w:val="18"/>
              </w:rPr>
            </w:pPr>
            <w:r w:rsidRPr="009B2611">
              <w:rPr>
                <w:rFonts w:cs="Segoe UI Light"/>
                <w:b/>
                <w:color w:val="000000"/>
                <w:sz w:val="18"/>
              </w:rPr>
              <w:t>15,145,656</w:t>
            </w:r>
          </w:p>
        </w:tc>
      </w:tr>
    </w:tbl>
    <w:p w14:paraId="7C635FB0" w14:textId="77777777" w:rsidR="001433A1" w:rsidRPr="009B2611" w:rsidRDefault="001433A1" w:rsidP="001433A1">
      <w:pPr>
        <w:rPr>
          <w:rFonts w:cs="Segoe UI Light"/>
          <w:sz w:val="16"/>
          <w:szCs w:val="16"/>
        </w:rPr>
      </w:pPr>
      <w:r w:rsidRPr="009B2611">
        <w:rPr>
          <w:rFonts w:cs="Segoe UI Light"/>
          <w:sz w:val="16"/>
          <w:szCs w:val="16"/>
        </w:rPr>
        <w:t>Source: Data provided by the EPA</w:t>
      </w:r>
    </w:p>
    <w:p w14:paraId="0B5ACD44" w14:textId="77777777" w:rsidR="001433A1" w:rsidRPr="009B2611" w:rsidRDefault="001433A1" w:rsidP="001433A1">
      <w:pPr>
        <w:rPr>
          <w:rFonts w:cs="Segoe UI Light"/>
          <w:szCs w:val="20"/>
        </w:rPr>
      </w:pPr>
      <w:r w:rsidRPr="009B2611">
        <w:rPr>
          <w:rFonts w:cs="Segoe UI Light"/>
          <w:szCs w:val="20"/>
        </w:rPr>
        <w:t>Th</w:t>
      </w:r>
      <w:r>
        <w:rPr>
          <w:rFonts w:cs="Segoe UI Light"/>
          <w:szCs w:val="20"/>
        </w:rPr>
        <w:t>e</w:t>
      </w:r>
      <w:r w:rsidRPr="009B2611">
        <w:rPr>
          <w:rFonts w:cs="Segoe UI Light"/>
          <w:szCs w:val="20"/>
        </w:rPr>
        <w:t xml:space="preserve"> $14.7 million collected in 2017-18 compares to annual costs forecast in EPA’s 2012 Fees RIS of $13.4 million (in $2011-12)</w:t>
      </w:r>
      <w:r>
        <w:rPr>
          <w:rFonts w:cs="Segoe UI Light"/>
          <w:szCs w:val="20"/>
        </w:rPr>
        <w:t>,</w:t>
      </w:r>
      <w:r w:rsidRPr="009B2611">
        <w:rPr>
          <w:rFonts w:cs="Segoe UI Light"/>
          <w:szCs w:val="20"/>
          <w:vertAlign w:val="superscript"/>
        </w:rPr>
        <w:footnoteReference w:id="306"/>
      </w:r>
      <w:r w:rsidRPr="009B2611">
        <w:rPr>
          <w:rFonts w:cs="Segoe UI Light"/>
          <w:szCs w:val="20"/>
        </w:rPr>
        <w:t xml:space="preserve"> which is approximately $15</w:t>
      </w:r>
      <w:r>
        <w:rPr>
          <w:rFonts w:cs="Segoe UI Light"/>
          <w:szCs w:val="20"/>
        </w:rPr>
        <w:t>.4</w:t>
      </w:r>
      <w:r w:rsidRPr="009B2611">
        <w:rPr>
          <w:rFonts w:cs="Segoe UI Light"/>
          <w:szCs w:val="20"/>
        </w:rPr>
        <w:t xml:space="preserve"> million in 201</w:t>
      </w:r>
      <w:r>
        <w:rPr>
          <w:rFonts w:cs="Segoe UI Light"/>
          <w:szCs w:val="20"/>
        </w:rPr>
        <w:t>8</w:t>
      </w:r>
      <w:r w:rsidRPr="009B2611">
        <w:rPr>
          <w:rFonts w:cs="Segoe UI Light"/>
          <w:szCs w:val="20"/>
        </w:rPr>
        <w:t>-1</w:t>
      </w:r>
      <w:r>
        <w:rPr>
          <w:rFonts w:cs="Segoe UI Light"/>
          <w:szCs w:val="20"/>
        </w:rPr>
        <w:t>9</w:t>
      </w:r>
      <w:r w:rsidRPr="009B2611">
        <w:rPr>
          <w:rFonts w:cs="Segoe UI Light"/>
          <w:szCs w:val="20"/>
        </w:rPr>
        <w:t xml:space="preserve"> dollars</w:t>
      </w:r>
      <w:r>
        <w:rPr>
          <w:rFonts w:cs="Segoe UI Light"/>
          <w:szCs w:val="20"/>
        </w:rPr>
        <w:t>.</w:t>
      </w:r>
      <w:r w:rsidRPr="009B2611">
        <w:rPr>
          <w:rFonts w:cs="Segoe UI Light"/>
          <w:szCs w:val="20"/>
          <w:vertAlign w:val="superscript"/>
        </w:rPr>
        <w:footnoteReference w:id="307"/>
      </w:r>
      <w:r w:rsidRPr="009B2611">
        <w:rPr>
          <w:rFonts w:cs="Segoe UI Light"/>
          <w:szCs w:val="20"/>
        </w:rPr>
        <w:t xml:space="preserve"> </w:t>
      </w:r>
    </w:p>
    <w:p w14:paraId="35815397" w14:textId="77777777" w:rsidR="001433A1" w:rsidRPr="009B2611" w:rsidRDefault="001433A1" w:rsidP="001433A1">
      <w:pPr>
        <w:autoSpaceDE w:val="0"/>
        <w:autoSpaceDN w:val="0"/>
        <w:adjustRightInd w:val="0"/>
        <w:spacing w:line="240" w:lineRule="auto"/>
        <w:rPr>
          <w:rFonts w:cs="Segoe UI Light"/>
          <w:szCs w:val="20"/>
        </w:rPr>
      </w:pPr>
      <w:r w:rsidRPr="009B2611">
        <w:rPr>
          <w:rFonts w:cs="Segoe UI Light"/>
          <w:szCs w:val="20"/>
        </w:rPr>
        <w:t>In addition to fees, a landfill levy is payable by those licensed premises that deposit municipal waste or prescribed industrial waste to land. The levy is aimed at environment protection and fostering environmentally sustainable use of resources, and best practice in waste management. EPA passes on all landfill levies it collects to DELWP which distributes the funds to regional waste and resource recovery groups (RWRRGs), Sustainability Victoria and EPA</w:t>
      </w:r>
      <w:r w:rsidRPr="009B2611">
        <w:rPr>
          <w:rFonts w:ascii="Arial" w:hAnsi="Arial" w:cs="Arial"/>
          <w:color w:val="555555"/>
          <w:sz w:val="21"/>
          <w:szCs w:val="21"/>
          <w:lang w:val="en"/>
        </w:rPr>
        <w:t xml:space="preserve">. </w:t>
      </w:r>
    </w:p>
    <w:p w14:paraId="3D708FF0" w14:textId="77777777" w:rsidR="001433A1" w:rsidRPr="009B2611" w:rsidRDefault="001433A1" w:rsidP="001433A1">
      <w:pPr>
        <w:rPr>
          <w:rFonts w:cs="Segoe UI Light"/>
          <w:szCs w:val="20"/>
        </w:rPr>
      </w:pPr>
      <w:r w:rsidRPr="009B2611">
        <w:rPr>
          <w:rFonts w:cs="Segoe UI Light"/>
          <w:szCs w:val="20"/>
        </w:rPr>
        <w:t>The EP Act 1970 also establishes an environment protection levy for premises that are subject to licence fees. This is paid over and above the licence fee. It is calculated at 3% of the annual licence fee. As with the landfill levy, this levy is set in the Act and not in the EP (Fees) Regulations 2012.</w:t>
      </w:r>
      <w:r>
        <w:rPr>
          <w:rFonts w:cs="Segoe UI Light"/>
          <w:szCs w:val="20"/>
        </w:rPr>
        <w:t xml:space="preserve"> </w:t>
      </w:r>
      <w:r w:rsidRPr="00946728">
        <w:rPr>
          <w:rFonts w:cs="Segoe UI Light"/>
          <w:szCs w:val="20"/>
        </w:rPr>
        <w:t xml:space="preserve">It is noted that the environment protection levy has been rolled over from the EP Act 1970 on the basis that the EPA’s funding model wasn’t within scope of the Act review. Recommendation 21.1 of the </w:t>
      </w:r>
      <w:r>
        <w:rPr>
          <w:rFonts w:cs="Segoe UI Light"/>
          <w:szCs w:val="20"/>
        </w:rPr>
        <w:t>EPA</w:t>
      </w:r>
      <w:r w:rsidRPr="00946728">
        <w:rPr>
          <w:rFonts w:cs="Segoe UI Light"/>
          <w:szCs w:val="20"/>
        </w:rPr>
        <w:t xml:space="preserve"> inquiry was to ‘develop a new funding model for the EPA that provides greater revenue certainty and stability, and reduces reliance on funding sources with conflicts of interest…’</w:t>
      </w:r>
      <w:r>
        <w:rPr>
          <w:rFonts w:cs="Segoe UI Light"/>
          <w:szCs w:val="20"/>
        </w:rPr>
        <w:t xml:space="preserve"> </w:t>
      </w:r>
      <w:r w:rsidRPr="00946728">
        <w:rPr>
          <w:rFonts w:cs="Segoe UI Light"/>
          <w:szCs w:val="20"/>
        </w:rPr>
        <w:t xml:space="preserve">The </w:t>
      </w:r>
      <w:r>
        <w:rPr>
          <w:rFonts w:cs="Segoe UI Light"/>
          <w:szCs w:val="20"/>
        </w:rPr>
        <w:t xml:space="preserve">Victorian </w:t>
      </w:r>
      <w:r w:rsidRPr="00946728">
        <w:rPr>
          <w:rFonts w:cs="Segoe UI Light"/>
          <w:szCs w:val="20"/>
        </w:rPr>
        <w:t xml:space="preserve">Government supported this recommendation and </w:t>
      </w:r>
      <w:r w:rsidRPr="00C640AB">
        <w:rPr>
          <w:rFonts w:cs="Segoe UI Light"/>
          <w:szCs w:val="20"/>
        </w:rPr>
        <w:t>the environment protection levy is currently being considered as part of work being undertaken on implementing a revised funding model</w:t>
      </w:r>
      <w:r>
        <w:rPr>
          <w:rFonts w:cs="Segoe UI Light"/>
          <w:szCs w:val="20"/>
        </w:rPr>
        <w:t>.</w:t>
      </w:r>
    </w:p>
    <w:p w14:paraId="224EB9FD" w14:textId="77777777" w:rsidR="001433A1" w:rsidRPr="009B2611" w:rsidRDefault="001433A1" w:rsidP="001433A1">
      <w:pPr>
        <w:pStyle w:val="Heading3"/>
        <w:ind w:left="720"/>
      </w:pPr>
      <w:r w:rsidRPr="009B2611">
        <w:t xml:space="preserve">EPA Inquiry </w:t>
      </w:r>
    </w:p>
    <w:p w14:paraId="4141E38B" w14:textId="77777777" w:rsidR="001433A1" w:rsidRPr="009B2611" w:rsidRDefault="001433A1" w:rsidP="001433A1">
      <w:pPr>
        <w:rPr>
          <w:rFonts w:cs="Segoe UI Light"/>
          <w:szCs w:val="20"/>
        </w:rPr>
      </w:pPr>
      <w:r w:rsidRPr="009B2611">
        <w:rPr>
          <w:rFonts w:cs="Segoe UI Light"/>
          <w:szCs w:val="20"/>
        </w:rPr>
        <w:t>The EPA Inquiry reported on the ability of EPA’s current governance structures and funding arrangements to enable it to effectively and efficiently discharge its powers, perform its duties and implement its required functions. This included consideration of best practice principles for funding an independent regulator, Department of Treasury and Finance fees and charges guidelines, and the economic literature on best practice in setting environmental fees and levies. The EPA Inquiry also considered expert advice and reports commissioned by EPA and DELWP on EPA’s current cost base and future funding options, including the potential for increased cost recovery.</w:t>
      </w:r>
    </w:p>
    <w:p w14:paraId="17C33406" w14:textId="77777777" w:rsidR="001433A1" w:rsidRPr="009B2611" w:rsidRDefault="001433A1" w:rsidP="001433A1">
      <w:pPr>
        <w:rPr>
          <w:rFonts w:cs="Segoe UI Light"/>
          <w:szCs w:val="20"/>
        </w:rPr>
      </w:pPr>
      <w:r w:rsidRPr="009B2611">
        <w:rPr>
          <w:rFonts w:cs="Segoe UI Light"/>
          <w:szCs w:val="20"/>
        </w:rPr>
        <w:t>The EPA Inquiry made several recommendations in regard to licencing and other regulatory fees</w:t>
      </w:r>
      <w:r>
        <w:rPr>
          <w:rFonts w:cs="Segoe UI Light"/>
          <w:szCs w:val="20"/>
        </w:rPr>
        <w:t>, one of which stated</w:t>
      </w:r>
      <w:r w:rsidRPr="009B2611">
        <w:rPr>
          <w:rFonts w:cs="Segoe UI Light"/>
          <w:szCs w:val="20"/>
        </w:rPr>
        <w:t>:</w:t>
      </w:r>
    </w:p>
    <w:p w14:paraId="36AF8C91" w14:textId="77777777" w:rsidR="001433A1" w:rsidRPr="009B2611" w:rsidRDefault="001433A1" w:rsidP="001433A1">
      <w:pPr>
        <w:numPr>
          <w:ilvl w:val="0"/>
          <w:numId w:val="44"/>
        </w:numPr>
        <w:contextualSpacing/>
        <w:textboxTightWrap w:val="allLines"/>
        <w:rPr>
          <w:rFonts w:cs="Segoe UI Light"/>
          <w:szCs w:val="20"/>
        </w:rPr>
      </w:pPr>
      <w:r w:rsidRPr="009B2611">
        <w:rPr>
          <w:rFonts w:cs="Segoe UI Light"/>
          <w:szCs w:val="20"/>
        </w:rPr>
        <w:t>EPA’s funding arrangements should reflect a greater cost recovery component. Provided costs are reasonable and efficient, greater reliance on cost recovery fees and charges better aligns EPA’s funding with its core functions and improves accountability to regulated entities for the regulatory services it provides.</w:t>
      </w:r>
      <w:r w:rsidRPr="009B2611">
        <w:rPr>
          <w:rFonts w:cs="Segoe UI Light"/>
          <w:szCs w:val="20"/>
          <w:vertAlign w:val="superscript"/>
        </w:rPr>
        <w:footnoteReference w:id="308"/>
      </w:r>
    </w:p>
    <w:p w14:paraId="07B06DF9" w14:textId="77777777" w:rsidR="001433A1" w:rsidRPr="00C640AB" w:rsidRDefault="001433A1" w:rsidP="001433A1">
      <w:pPr>
        <w:spacing w:before="240"/>
      </w:pPr>
      <w:r w:rsidRPr="009B2611">
        <w:t>The Inquiry Report noted that a recent review by PwC Australia found disparities remain between fees and the cost of providing services. In particular, the review found evidence of significant under recovery of some costs – for example actual costs incurred to assess works approvals w</w:t>
      </w:r>
      <w:r>
        <w:t>ere</w:t>
      </w:r>
      <w:r w:rsidRPr="009B2611">
        <w:t xml:space="preserve"> estimated to be up to four times greater than the fee revenue.</w:t>
      </w:r>
      <w:r w:rsidRPr="009B2611">
        <w:rPr>
          <w:vertAlign w:val="superscript"/>
        </w:rPr>
        <w:footnoteReference w:id="309"/>
      </w:r>
      <w:r w:rsidRPr="009B2611">
        <w:t xml:space="preserve"> EPA noted that further work is necessary to refine cost estimates, but that there is scope for </w:t>
      </w:r>
      <w:r w:rsidRPr="00C640AB">
        <w:t>better recovering costs from works approval and licensing activities.</w:t>
      </w:r>
      <w:r w:rsidRPr="00C640AB">
        <w:rPr>
          <w:vertAlign w:val="superscript"/>
        </w:rPr>
        <w:footnoteReference w:id="310"/>
      </w:r>
    </w:p>
    <w:p w14:paraId="16778E06" w14:textId="77777777" w:rsidR="001433A1" w:rsidRPr="00C640AB" w:rsidRDefault="001433A1" w:rsidP="001433A1">
      <w:pPr>
        <w:autoSpaceDE w:val="0"/>
        <w:autoSpaceDN w:val="0"/>
        <w:adjustRightInd w:val="0"/>
        <w:spacing w:line="240" w:lineRule="auto"/>
        <w:rPr>
          <w:rFonts w:eastAsiaTheme="minorEastAsia" w:cs="Segoe UI Light"/>
          <w:szCs w:val="20"/>
          <w:lang w:val="en-GB"/>
        </w:rPr>
      </w:pPr>
      <w:r w:rsidRPr="00C640AB">
        <w:rPr>
          <w:rFonts w:cs="Segoe UI Light"/>
        </w:rPr>
        <w:t xml:space="preserve">The EPA Inquiry also recommended that the Government </w:t>
      </w:r>
      <w:r w:rsidRPr="00C640AB">
        <w:t>“Remove the current barriers to introducing a load-based licensing scheme (licence fees restricted to cost recovery and fee caps) from the Environment Protection Act 1970 and actively consider their use, together with the full suite of economic instruments available to the EPA.”</w:t>
      </w:r>
      <w:r w:rsidRPr="00C640AB">
        <w:rPr>
          <w:rFonts w:cs="Segoe UI Light"/>
        </w:rPr>
        <w:t xml:space="preserve"> </w:t>
      </w:r>
      <w:r w:rsidRPr="00C640AB">
        <w:rPr>
          <w:rStyle w:val="FootnoteReference"/>
          <w:rFonts w:cs="Segoe UI Light"/>
        </w:rPr>
        <w:footnoteReference w:id="311"/>
      </w:r>
      <w:r w:rsidRPr="00C640AB">
        <w:rPr>
          <w:rFonts w:cs="Segoe UI Light"/>
        </w:rPr>
        <w:t xml:space="preserve"> A load-based licensing scheme would involve allowing licence fees to be set at a level beyond cost-recovery and removing the fee caps in the legislation.</w:t>
      </w:r>
      <w:r w:rsidRPr="00C640AB">
        <w:rPr>
          <w:rFonts w:cs="Segoe UI Light"/>
          <w:vertAlign w:val="superscript"/>
        </w:rPr>
        <w:footnoteReference w:id="312"/>
      </w:r>
      <w:r w:rsidRPr="00C640AB">
        <w:rPr>
          <w:rFonts w:cs="Segoe UI Light"/>
        </w:rPr>
        <w:t xml:space="preserve"> </w:t>
      </w:r>
      <w:r w:rsidRPr="00C640AB">
        <w:rPr>
          <w:rFonts w:eastAsiaTheme="minorEastAsia" w:cs="Segoe UI Light"/>
          <w:szCs w:val="20"/>
          <w:lang w:val="en-GB"/>
        </w:rPr>
        <w:t>The Government’s response to the EPA Inquiry stated that the Government will implement a funding model for EPA that is more predictable and that supports EPA to deliver its core functions and activities, ensure stakeholder confidence, maintain EPA’s independence, and be adequate and transparent.</w:t>
      </w:r>
      <w:r w:rsidRPr="00C640AB">
        <w:rPr>
          <w:rFonts w:eastAsiaTheme="minorEastAsia" w:cs="Segoe UI Light"/>
          <w:szCs w:val="20"/>
          <w:vertAlign w:val="superscript"/>
        </w:rPr>
        <w:footnoteReference w:id="313"/>
      </w:r>
      <w:r w:rsidRPr="00C640AB">
        <w:rPr>
          <w:rFonts w:eastAsiaTheme="minorEastAsia" w:cs="Segoe UI Light"/>
          <w:szCs w:val="20"/>
          <w:lang w:val="en-GB"/>
        </w:rPr>
        <w:t xml:space="preserve"> It also committed the Government and EPA to assess the application of economic instruments where they may be appropriate tools for specific problems, or to drive better performance and practice. The Government indicated it would remove barriers to load-based licencing, enabling it to be considered as one possible tool to efficiently achieve desired regulatory outcomes as part of an integrated toolkit.</w:t>
      </w:r>
      <w:r w:rsidRPr="00C640AB">
        <w:rPr>
          <w:rFonts w:eastAsiaTheme="minorEastAsia" w:cs="Segoe UI Light"/>
          <w:szCs w:val="20"/>
          <w:vertAlign w:val="superscript"/>
        </w:rPr>
        <w:footnoteReference w:id="314"/>
      </w:r>
      <w:r w:rsidRPr="00C640AB">
        <w:rPr>
          <w:rFonts w:eastAsiaTheme="minorEastAsia" w:cs="Segoe UI Light"/>
          <w:szCs w:val="20"/>
          <w:lang w:val="en-GB"/>
        </w:rPr>
        <w:t xml:space="preserve"> </w:t>
      </w:r>
    </w:p>
    <w:p w14:paraId="0390483C" w14:textId="77777777" w:rsidR="001433A1" w:rsidRPr="009B2611" w:rsidRDefault="001433A1" w:rsidP="001433A1">
      <w:pPr>
        <w:widowControl w:val="0"/>
        <w:tabs>
          <w:tab w:val="left" w:pos="340"/>
        </w:tabs>
        <w:suppressAutoHyphens/>
        <w:autoSpaceDE w:val="0"/>
        <w:autoSpaceDN w:val="0"/>
        <w:adjustRightInd w:val="0"/>
        <w:spacing w:after="90" w:line="280" w:lineRule="atLeast"/>
        <w:textAlignment w:val="center"/>
        <w:rPr>
          <w:rFonts w:eastAsiaTheme="minorEastAsia" w:cs="Segoe UI Light"/>
          <w:szCs w:val="20"/>
          <w:lang w:val="en-GB"/>
        </w:rPr>
      </w:pPr>
      <w:r w:rsidRPr="00C640AB">
        <w:rPr>
          <w:rFonts w:eastAsiaTheme="minorEastAsia" w:cs="Segoe UI Light"/>
          <w:szCs w:val="20"/>
          <w:lang w:val="en-GB"/>
        </w:rPr>
        <w:t xml:space="preserve">EPA will undertake a </w:t>
      </w:r>
      <w:r w:rsidRPr="00C640AB">
        <w:rPr>
          <w:rFonts w:cs="Segoe UI Light"/>
          <w:szCs w:val="20"/>
        </w:rPr>
        <w:t>future review of the fees, following a period of experience under the new EP legislation. This will allow EPA to determine the appropriateness of other economic instruments including a load-based licencing scheme. The future fees review is discussed further below.</w:t>
      </w:r>
    </w:p>
    <w:p w14:paraId="512FE749" w14:textId="77777777" w:rsidR="001433A1" w:rsidRPr="009B2611" w:rsidRDefault="001433A1" w:rsidP="001433A1">
      <w:pPr>
        <w:pStyle w:val="Heading2"/>
        <w:rPr>
          <w:rFonts w:cs="Segoe UI Light"/>
        </w:rPr>
      </w:pPr>
      <w:r w:rsidRPr="009B2611">
        <w:t>Rationale for government intervention</w:t>
      </w:r>
    </w:p>
    <w:p w14:paraId="35C8ABEB" w14:textId="77777777" w:rsidR="001433A1" w:rsidRPr="009B2611" w:rsidRDefault="001433A1" w:rsidP="001433A1">
      <w:pPr>
        <w:keepNext/>
        <w:keepLines/>
      </w:pPr>
      <w:r w:rsidRPr="009B2611">
        <w:t xml:space="preserve">Best practice regulation aims to address failures pertaining to market outcomes at minimum cost to consumers and industry. In order to make a case for government intervention, the problem the proposed Regulations are seeking to address must be established. </w:t>
      </w:r>
    </w:p>
    <w:p w14:paraId="6E782C63" w14:textId="77777777" w:rsidR="001433A1" w:rsidRPr="009B2611" w:rsidRDefault="001433A1" w:rsidP="001433A1">
      <w:r w:rsidRPr="009B2611">
        <w:t>In this context, assessing the nature and extent of the problem should consider the need for fees on a ‘first principles’ basis, that is, to consider whether fees are needed to recover EPA’s costs at all (as opposed to assessing whether they should be kept, amended or removed). The Base Case therefore is a scenario where EPA does not charge fees for its activities associated with administering permissions and other assessment activities.</w:t>
      </w:r>
      <w:r w:rsidRPr="009B2611">
        <w:rPr>
          <w:vertAlign w:val="superscript"/>
        </w:rPr>
        <w:footnoteReference w:id="315"/>
      </w:r>
      <w:r w:rsidRPr="009B2611">
        <w:t xml:space="preserve"> Under this scenario, EPA would be required to make up the revenue shortfall from general taxpayer funded sources.</w:t>
      </w:r>
    </w:p>
    <w:p w14:paraId="134BBFE3" w14:textId="77777777" w:rsidR="001433A1" w:rsidRPr="009B2611" w:rsidRDefault="001433A1" w:rsidP="001433A1">
      <w:pPr>
        <w:rPr>
          <w:rFonts w:cs="Segoe UI Light"/>
          <w:szCs w:val="20"/>
        </w:rPr>
      </w:pPr>
      <w:r w:rsidRPr="009B2611">
        <w:rPr>
          <w:rFonts w:cs="Segoe UI Light"/>
          <w:szCs w:val="20"/>
        </w:rPr>
        <w:t xml:space="preserve">There is a strong case that fees should fully recover EPA’s costs of administering the permissions framework and other assessment activities from parties required to hold permissions or that give rise to the need for these regulatory activities. This is because the assessment costs incurred by </w:t>
      </w:r>
      <w:r>
        <w:rPr>
          <w:rFonts w:cs="Segoe UI Light"/>
          <w:szCs w:val="20"/>
        </w:rPr>
        <w:t>EPA</w:t>
      </w:r>
      <w:r w:rsidRPr="009B2611">
        <w:rPr>
          <w:rFonts w:cs="Segoe UI Light"/>
          <w:szCs w:val="20"/>
        </w:rPr>
        <w:t xml:space="preserve"> and the benefits to industry should be fully internalised by the industry that gives rise to the need for the regulation in the first place. There are few sound public policy reasons for the general public to fund costs imposed by private actors. The </w:t>
      </w:r>
      <w:r>
        <w:rPr>
          <w:rFonts w:cs="Segoe UI Light"/>
          <w:szCs w:val="20"/>
        </w:rPr>
        <w:t xml:space="preserve">most relevant </w:t>
      </w:r>
      <w:r w:rsidRPr="009B2611">
        <w:rPr>
          <w:rFonts w:cs="Segoe UI Light"/>
          <w:szCs w:val="20"/>
        </w:rPr>
        <w:t>reason here, as outlined in the cost recovery guidelines</w:t>
      </w:r>
      <w:r w:rsidRPr="009B2611">
        <w:rPr>
          <w:rFonts w:cs="Segoe UI Light"/>
          <w:szCs w:val="20"/>
          <w:vertAlign w:val="superscript"/>
        </w:rPr>
        <w:footnoteReference w:id="316"/>
      </w:r>
      <w:r w:rsidRPr="009B2611">
        <w:rPr>
          <w:rFonts w:cs="Segoe UI Light"/>
          <w:szCs w:val="20"/>
        </w:rPr>
        <w:t xml:space="preserve"> </w:t>
      </w:r>
      <w:r>
        <w:rPr>
          <w:rFonts w:cs="Segoe UI Light"/>
          <w:szCs w:val="20"/>
        </w:rPr>
        <w:t>is</w:t>
      </w:r>
      <w:r w:rsidRPr="009B2611">
        <w:rPr>
          <w:rFonts w:cs="Segoe UI Light"/>
          <w:szCs w:val="20"/>
        </w:rPr>
        <w:t xml:space="preserve"> “where full cost charging could undermine other objectives”. For instance, charging individuals for access to the public register of permission holders </w:t>
      </w:r>
      <w:r>
        <w:rPr>
          <w:rFonts w:cs="Segoe UI Light"/>
          <w:szCs w:val="20"/>
        </w:rPr>
        <w:t xml:space="preserve">can </w:t>
      </w:r>
      <w:r w:rsidRPr="009B2611">
        <w:rPr>
          <w:rFonts w:cs="Segoe UI Light"/>
          <w:szCs w:val="20"/>
        </w:rPr>
        <w:t>undermine transparency</w:t>
      </w:r>
      <w:r>
        <w:rPr>
          <w:rFonts w:cs="Segoe UI Light"/>
          <w:szCs w:val="20"/>
        </w:rPr>
        <w:t xml:space="preserve"> about </w:t>
      </w:r>
      <w:r w:rsidRPr="009B2611">
        <w:rPr>
          <w:rFonts w:cs="Segoe UI Light"/>
          <w:szCs w:val="20"/>
        </w:rPr>
        <w:t>the public’s ability to understand who holds current EPA permissions. Further:</w:t>
      </w:r>
    </w:p>
    <w:p w14:paraId="5C0D2CEC" w14:textId="77777777" w:rsidR="001433A1" w:rsidRPr="009B2611" w:rsidRDefault="001433A1" w:rsidP="001433A1">
      <w:pPr>
        <w:numPr>
          <w:ilvl w:val="0"/>
          <w:numId w:val="44"/>
        </w:numPr>
        <w:contextualSpacing/>
        <w:textboxTightWrap w:val="allLines"/>
        <w:rPr>
          <w:rFonts w:cs="Segoe UI Light"/>
          <w:szCs w:val="20"/>
        </w:rPr>
      </w:pPr>
      <w:r w:rsidRPr="009B2611">
        <w:rPr>
          <w:rFonts w:cs="Segoe UI Light"/>
          <w:szCs w:val="20"/>
        </w:rPr>
        <w:t>Imposing fees ensures that only ‘genuine’ applicants apply, effectively sets a minimum financial requirement for applicants, and helps improve the quality of licence applications.</w:t>
      </w:r>
    </w:p>
    <w:p w14:paraId="00814230" w14:textId="77777777" w:rsidR="001433A1" w:rsidRDefault="001433A1" w:rsidP="001433A1">
      <w:pPr>
        <w:numPr>
          <w:ilvl w:val="0"/>
          <w:numId w:val="44"/>
        </w:numPr>
        <w:autoSpaceDE w:val="0"/>
        <w:autoSpaceDN w:val="0"/>
        <w:adjustRightInd w:val="0"/>
        <w:spacing w:line="240" w:lineRule="auto"/>
        <w:contextualSpacing/>
        <w:textboxTightWrap w:val="allLines"/>
        <w:rPr>
          <w:rFonts w:cs="Segoe UI Light"/>
          <w:szCs w:val="20"/>
        </w:rPr>
      </w:pPr>
      <w:r w:rsidRPr="009B2611">
        <w:rPr>
          <w:rFonts w:cs="Segoe UI Light"/>
          <w:szCs w:val="20"/>
        </w:rPr>
        <w:t xml:space="preserve">Many applicants also benefit from the </w:t>
      </w:r>
      <w:r>
        <w:rPr>
          <w:rFonts w:cs="Segoe UI Light"/>
          <w:szCs w:val="20"/>
        </w:rPr>
        <w:t xml:space="preserve">approval </w:t>
      </w:r>
      <w:r w:rsidRPr="009B2611">
        <w:rPr>
          <w:rFonts w:cs="Segoe UI Light"/>
          <w:szCs w:val="20"/>
        </w:rPr>
        <w:t xml:space="preserve">process as the </w:t>
      </w:r>
      <w:r>
        <w:rPr>
          <w:rFonts w:cs="Segoe UI Light"/>
          <w:szCs w:val="20"/>
        </w:rPr>
        <w:t xml:space="preserve">permissioning framework </w:t>
      </w:r>
      <w:r w:rsidRPr="009B2611">
        <w:rPr>
          <w:rFonts w:cs="Segoe UI Light"/>
          <w:szCs w:val="20"/>
        </w:rPr>
        <w:t xml:space="preserve">creates a barrier for entry to </w:t>
      </w:r>
      <w:r>
        <w:rPr>
          <w:rFonts w:cs="Segoe UI Light"/>
          <w:szCs w:val="20"/>
        </w:rPr>
        <w:t xml:space="preserve">a </w:t>
      </w:r>
      <w:r w:rsidRPr="009B2611">
        <w:rPr>
          <w:rFonts w:cs="Segoe UI Light"/>
          <w:szCs w:val="20"/>
        </w:rPr>
        <w:t>sector or activity – for example, individuals must hold a licence to receive prescribed industrial waste</w:t>
      </w:r>
      <w:r>
        <w:rPr>
          <w:rFonts w:cs="Segoe UI Light"/>
          <w:szCs w:val="20"/>
        </w:rPr>
        <w:t xml:space="preserve"> or a permit to</w:t>
      </w:r>
      <w:r w:rsidRPr="009B2611">
        <w:rPr>
          <w:rFonts w:cs="Segoe UI Light"/>
          <w:szCs w:val="20"/>
        </w:rPr>
        <w:t xml:space="preserve"> transport </w:t>
      </w:r>
      <w:r>
        <w:rPr>
          <w:rFonts w:cs="Segoe UI Light"/>
          <w:szCs w:val="20"/>
        </w:rPr>
        <w:t xml:space="preserve">certain types </w:t>
      </w:r>
      <w:r w:rsidRPr="009B2611">
        <w:rPr>
          <w:rFonts w:cs="Segoe UI Light"/>
          <w:szCs w:val="20"/>
        </w:rPr>
        <w:t xml:space="preserve">of </w:t>
      </w:r>
      <w:r>
        <w:rPr>
          <w:rFonts w:cs="Segoe UI Light"/>
          <w:szCs w:val="20"/>
        </w:rPr>
        <w:t xml:space="preserve">reportable priority </w:t>
      </w:r>
      <w:r w:rsidRPr="009B2611">
        <w:rPr>
          <w:rFonts w:cs="Segoe UI Light"/>
          <w:szCs w:val="20"/>
        </w:rPr>
        <w:t xml:space="preserve">waste. </w:t>
      </w:r>
    </w:p>
    <w:p w14:paraId="79D4E6DA" w14:textId="77777777" w:rsidR="001433A1" w:rsidRDefault="001433A1" w:rsidP="001433A1">
      <w:pPr>
        <w:numPr>
          <w:ilvl w:val="0"/>
          <w:numId w:val="44"/>
        </w:numPr>
        <w:autoSpaceDE w:val="0"/>
        <w:autoSpaceDN w:val="0"/>
        <w:adjustRightInd w:val="0"/>
        <w:spacing w:line="240" w:lineRule="auto"/>
        <w:contextualSpacing/>
        <w:textboxTightWrap w:val="allLines"/>
        <w:rPr>
          <w:rFonts w:cs="Segoe UI Light"/>
          <w:szCs w:val="20"/>
        </w:rPr>
      </w:pPr>
      <w:r>
        <w:rPr>
          <w:rFonts w:cs="Segoe UI Light"/>
          <w:szCs w:val="20"/>
        </w:rPr>
        <w:t xml:space="preserve">Without </w:t>
      </w:r>
      <w:r w:rsidRPr="009B2611">
        <w:rPr>
          <w:rFonts w:cs="Segoe UI Light"/>
          <w:szCs w:val="20"/>
        </w:rPr>
        <w:t>fees</w:t>
      </w:r>
      <w:r>
        <w:rPr>
          <w:rFonts w:cs="Segoe UI Light"/>
          <w:szCs w:val="20"/>
        </w:rPr>
        <w:t xml:space="preserve">, </w:t>
      </w:r>
      <w:r w:rsidRPr="009B2611">
        <w:rPr>
          <w:rFonts w:cs="Segoe UI Light"/>
          <w:szCs w:val="20"/>
        </w:rPr>
        <w:t xml:space="preserve">regulated parties </w:t>
      </w:r>
      <w:r>
        <w:rPr>
          <w:rFonts w:cs="Segoe UI Light"/>
          <w:szCs w:val="20"/>
        </w:rPr>
        <w:t xml:space="preserve">would not receive </w:t>
      </w:r>
      <w:r w:rsidRPr="009B2611">
        <w:rPr>
          <w:rFonts w:cs="Segoe UI Light"/>
          <w:szCs w:val="20"/>
        </w:rPr>
        <w:t>appropriate price signals about the value of all the resources being used to regulate their industries.</w:t>
      </w:r>
    </w:p>
    <w:p w14:paraId="77A93AF8" w14:textId="77777777" w:rsidR="001433A1" w:rsidRPr="009B2611" w:rsidRDefault="001433A1" w:rsidP="001433A1">
      <w:pPr>
        <w:pStyle w:val="Heading2"/>
        <w:rPr>
          <w:rFonts w:ascii="Verdana" w:hAnsi="Verdana"/>
          <w:sz w:val="18"/>
        </w:rPr>
      </w:pPr>
      <w:r w:rsidRPr="009B2611">
        <w:t>EPA’s recoverable costs</w:t>
      </w:r>
    </w:p>
    <w:p w14:paraId="3248388D" w14:textId="77777777" w:rsidR="001433A1" w:rsidRPr="009B2611" w:rsidRDefault="001433A1" w:rsidP="001433A1">
      <w:pPr>
        <w:pStyle w:val="Heading3"/>
        <w:ind w:left="720"/>
      </w:pPr>
      <w:r w:rsidRPr="009B2611">
        <w:t>Cost base</w:t>
      </w:r>
    </w:p>
    <w:p w14:paraId="17AE47D3" w14:textId="77777777" w:rsidR="001433A1" w:rsidRPr="009B2611" w:rsidRDefault="001433A1" w:rsidP="001433A1">
      <w:pPr>
        <w:keepNext/>
        <w:keepLines/>
        <w:rPr>
          <w:rFonts w:ascii="Verdana" w:eastAsiaTheme="majorEastAsia" w:hAnsi="Verdana" w:cstheme="majorBidi"/>
          <w:b/>
          <w:bCs/>
          <w:sz w:val="18"/>
        </w:rPr>
      </w:pPr>
      <w:r w:rsidRPr="009B2611">
        <w:t xml:space="preserve">Deriving fees that align with cost recovery principles requires: </w:t>
      </w:r>
    </w:p>
    <w:p w14:paraId="140631E3" w14:textId="77777777" w:rsidR="001433A1" w:rsidRPr="009B2611" w:rsidRDefault="001433A1" w:rsidP="001433A1">
      <w:pPr>
        <w:numPr>
          <w:ilvl w:val="0"/>
          <w:numId w:val="45"/>
        </w:numPr>
        <w:spacing w:after="0"/>
      </w:pPr>
      <w:r>
        <w:t>E</w:t>
      </w:r>
      <w:r w:rsidRPr="009B2611">
        <w:t>stablishing a cost base</w:t>
      </w:r>
    </w:p>
    <w:p w14:paraId="4CB488D6" w14:textId="77777777" w:rsidR="001433A1" w:rsidRDefault="001433A1" w:rsidP="001433A1">
      <w:pPr>
        <w:numPr>
          <w:ilvl w:val="0"/>
          <w:numId w:val="45"/>
        </w:numPr>
        <w:spacing w:after="0"/>
      </w:pPr>
      <w:r>
        <w:t>Ensuring cost recovery charges are based on efficient costs</w:t>
      </w:r>
    </w:p>
    <w:p w14:paraId="44F25C7F" w14:textId="77777777" w:rsidR="001433A1" w:rsidRPr="009B2611" w:rsidRDefault="001433A1" w:rsidP="001433A1">
      <w:pPr>
        <w:numPr>
          <w:ilvl w:val="0"/>
          <w:numId w:val="45"/>
        </w:numPr>
        <w:spacing w:after="240"/>
      </w:pPr>
      <w:r>
        <w:t xml:space="preserve">Activity-based costing </w:t>
      </w:r>
      <w:r w:rsidRPr="009B2611">
        <w:t>(where possible), to help determine fee relativities (for example, an activity that takes long</w:t>
      </w:r>
      <w:r>
        <w:t>er</w:t>
      </w:r>
      <w:r w:rsidRPr="009B2611">
        <w:t xml:space="preserve"> should have </w:t>
      </w:r>
      <w:r>
        <w:t xml:space="preserve">a higher </w:t>
      </w:r>
      <w:r w:rsidRPr="009B2611">
        <w:t>fee</w:t>
      </w:r>
      <w:r>
        <w:t>, and vice-versa</w:t>
      </w:r>
      <w:r w:rsidRPr="009B2611">
        <w:t>).</w:t>
      </w:r>
    </w:p>
    <w:p w14:paraId="20D35D6A" w14:textId="77777777" w:rsidR="001433A1" w:rsidRPr="009B2611" w:rsidRDefault="001433A1" w:rsidP="001433A1">
      <w:r>
        <w:rPr>
          <w:noProof/>
          <w:color w:val="2B579A"/>
          <w:lang w:eastAsia="en-AU"/>
        </w:rPr>
        <mc:AlternateContent>
          <mc:Choice Requires="wps">
            <w:drawing>
              <wp:anchor distT="0" distB="0" distL="114300" distR="114300" simplePos="0" relativeHeight="251658283" behindDoc="0" locked="0" layoutInCell="1" allowOverlap="1" wp14:anchorId="332B0E4C" wp14:editId="15D0407F">
                <wp:simplePos x="0" y="0"/>
                <wp:positionH relativeFrom="column">
                  <wp:posOffset>132715</wp:posOffset>
                </wp:positionH>
                <wp:positionV relativeFrom="paragraph">
                  <wp:posOffset>1213485</wp:posOffset>
                </wp:positionV>
                <wp:extent cx="2089150" cy="1219200"/>
                <wp:effectExtent l="0" t="0" r="25400" b="19050"/>
                <wp:wrapNone/>
                <wp:docPr id="1700302047" name="Rectangle 1700302047"/>
                <wp:cNvGraphicFramePr/>
                <a:graphic xmlns:a="http://schemas.openxmlformats.org/drawingml/2006/main">
                  <a:graphicData uri="http://schemas.microsoft.com/office/word/2010/wordprocessingShape">
                    <wps:wsp>
                      <wps:cNvSpPr/>
                      <wps:spPr bwMode="gray">
                        <a:xfrm>
                          <a:off x="0" y="0"/>
                          <a:ext cx="2089150" cy="1219200"/>
                        </a:xfrm>
                        <a:prstGeom prst="rect">
                          <a:avLst/>
                        </a:prstGeom>
                        <a:solidFill>
                          <a:schemeClr val="bg1"/>
                        </a:solidFill>
                        <a:ln w="19050" algn="ctr">
                          <a:solidFill>
                            <a:schemeClr val="accent3"/>
                          </a:solidFill>
                          <a:miter lim="800000"/>
                          <a:headEnd/>
                          <a:tailEnd/>
                        </a:ln>
                      </wps:spPr>
                      <wps:txbx>
                        <w:txbxContent>
                          <w:p w14:paraId="4CD99EF1" w14:textId="77777777" w:rsidR="00E752DE" w:rsidRPr="00037AF8" w:rsidRDefault="00E752DE" w:rsidP="001433A1">
                            <w:pPr>
                              <w:spacing w:after="0"/>
                              <w:jc w:val="center"/>
                              <w:rPr>
                                <w:rFonts w:asciiTheme="minorHAnsi" w:hAnsiTheme="minorHAnsi"/>
                                <w:b/>
                                <w:color w:val="012169" w:themeColor="accent4"/>
                                <w:szCs w:val="20"/>
                              </w:rPr>
                            </w:pPr>
                            <w:r w:rsidRPr="00037AF8">
                              <w:rPr>
                                <w:rFonts w:asciiTheme="minorHAnsi" w:hAnsiTheme="minorHAnsi"/>
                                <w:b/>
                                <w:color w:val="012169" w:themeColor="accent4"/>
                                <w:szCs w:val="20"/>
                              </w:rPr>
                              <w:t>Cost recovery prices</w:t>
                            </w:r>
                          </w:p>
                          <w:p w14:paraId="53B3701F" w14:textId="77777777" w:rsidR="00E752DE" w:rsidRPr="00037AF8" w:rsidRDefault="00E752DE" w:rsidP="001433A1">
                            <w:pPr>
                              <w:spacing w:after="0"/>
                              <w:rPr>
                                <w:rFonts w:asciiTheme="minorHAnsi" w:hAnsiTheme="minorHAnsi"/>
                                <w:sz w:val="15"/>
                                <w:szCs w:val="15"/>
                              </w:rPr>
                            </w:pPr>
                            <w:r w:rsidRPr="00037AF8">
                              <w:rPr>
                                <w:rFonts w:asciiTheme="minorHAnsi" w:hAnsiTheme="minorHAnsi"/>
                                <w:sz w:val="15"/>
                                <w:szCs w:val="15"/>
                              </w:rPr>
                              <w:t>Fee structures can then be designed such that they are cost reflective, and fully recover costs, if the activity-based cost estimates and the cost base are in alignment.</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2B0E4C" id="Rectangle 1700302047" o:spid="_x0000_s1079" style="position:absolute;margin-left:10.45pt;margin-top:95.55pt;width:164.5pt;height:96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" fillcolor="white [3212]" strokecolor="#62b5e5 [3206]" strokeweight="1.5pt">
                <v:textbox inset="7pt,7pt,7pt,7pt">
                  <w:txbxContent>
                    <w:p w14:paraId="4CD99EF1" w14:textId="77777777" w:rsidR="00E752DE" w:rsidRPr="00037AF8" w:rsidRDefault="00E752DE" w:rsidP="001433A1">
                      <w:pPr>
                        <w:spacing w:after="0"/>
                        <w:jc w:val="center"/>
                        <w:rPr>
                          <w:rFonts w:asciiTheme="minorHAnsi" w:hAnsiTheme="minorHAnsi"/>
                          <w:b/>
                          <w:color w:val="012169" w:themeColor="accent4"/>
                          <w:szCs w:val="20"/>
                        </w:rPr>
                      </w:pPr>
                      <w:r w:rsidRPr="00037AF8">
                        <w:rPr>
                          <w:rFonts w:asciiTheme="minorHAnsi" w:hAnsiTheme="minorHAnsi"/>
                          <w:b/>
                          <w:color w:val="012169" w:themeColor="accent4"/>
                          <w:szCs w:val="20"/>
                        </w:rPr>
                        <w:t>Cost recovery prices</w:t>
                      </w:r>
                    </w:p>
                    <w:p w14:paraId="53B3701F" w14:textId="77777777" w:rsidR="00E752DE" w:rsidRPr="00037AF8" w:rsidRDefault="00E752DE" w:rsidP="001433A1">
                      <w:pPr>
                        <w:spacing w:after="0"/>
                        <w:rPr>
                          <w:rFonts w:asciiTheme="minorHAnsi" w:hAnsiTheme="minorHAnsi"/>
                          <w:sz w:val="15"/>
                          <w:szCs w:val="15"/>
                        </w:rPr>
                      </w:pPr>
                      <w:r w:rsidRPr="00037AF8">
                        <w:rPr>
                          <w:rFonts w:asciiTheme="minorHAnsi" w:hAnsiTheme="minorHAnsi"/>
                          <w:sz w:val="15"/>
                          <w:szCs w:val="15"/>
                        </w:rPr>
                        <w:t>Fee structures can then be designed such that they are cost reflective, and fully recover costs, if the activity-based cost estimates and the cost base are in alignment.</w:t>
                      </w:r>
                    </w:p>
                  </w:txbxContent>
                </v:textbox>
              </v:rect>
            </w:pict>
          </mc:Fallback>
        </mc:AlternateContent>
      </w:r>
      <w:r w:rsidRPr="00D2274C">
        <w:rPr>
          <w:noProof/>
          <w:color w:val="2B579A"/>
          <w:shd w:val="clear" w:color="auto" w:fill="E6E6E6"/>
          <w:lang w:eastAsia="en-AU"/>
        </w:rPr>
        <w:drawing>
          <wp:inline distT="0" distB="0" distL="0" distR="0" wp14:anchorId="7146F52A" wp14:editId="4A3852D4">
            <wp:extent cx="6232472" cy="3489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36533" cy="3492234"/>
                    </a:xfrm>
                    <a:prstGeom prst="rect">
                      <a:avLst/>
                    </a:prstGeom>
                    <a:noFill/>
                    <a:ln>
                      <a:noFill/>
                    </a:ln>
                  </pic:spPr>
                </pic:pic>
              </a:graphicData>
            </a:graphic>
          </wp:inline>
        </w:drawing>
      </w:r>
    </w:p>
    <w:p w14:paraId="67B366D9" w14:textId="77777777" w:rsidR="001433A1" w:rsidRDefault="001433A1" w:rsidP="001433A1">
      <w:pPr>
        <w:rPr>
          <w:szCs w:val="20"/>
        </w:rPr>
      </w:pPr>
    </w:p>
    <w:p w14:paraId="687D8DA3" w14:textId="77777777" w:rsidR="001433A1" w:rsidRPr="009B2611" w:rsidRDefault="001433A1" w:rsidP="001433A1">
      <w:pPr>
        <w:rPr>
          <w:szCs w:val="20"/>
        </w:rPr>
      </w:pPr>
      <w:r w:rsidRPr="009B2611">
        <w:rPr>
          <w:szCs w:val="20"/>
        </w:rPr>
        <w:t xml:space="preserve">To estimate costs, EPA has used the </w:t>
      </w:r>
      <w:r>
        <w:rPr>
          <w:szCs w:val="20"/>
        </w:rPr>
        <w:t>f</w:t>
      </w:r>
      <w:r w:rsidRPr="009B2611">
        <w:rPr>
          <w:szCs w:val="20"/>
        </w:rPr>
        <w:t xml:space="preserve">ully </w:t>
      </w:r>
      <w:r>
        <w:rPr>
          <w:szCs w:val="20"/>
        </w:rPr>
        <w:t>d</w:t>
      </w:r>
      <w:r w:rsidRPr="009B2611">
        <w:rPr>
          <w:szCs w:val="20"/>
        </w:rPr>
        <w:t xml:space="preserve">istributed </w:t>
      </w:r>
      <w:r>
        <w:rPr>
          <w:szCs w:val="20"/>
        </w:rPr>
        <w:t>c</w:t>
      </w:r>
      <w:r w:rsidRPr="009B2611">
        <w:rPr>
          <w:szCs w:val="20"/>
        </w:rPr>
        <w:t xml:space="preserve">osts methodology outlined in the </w:t>
      </w:r>
      <w:r w:rsidRPr="009B2611">
        <w:rPr>
          <w:i/>
          <w:szCs w:val="20"/>
        </w:rPr>
        <w:t>Cost Recovery Guidelines</w:t>
      </w:r>
      <w:r w:rsidRPr="009B2611">
        <w:rPr>
          <w:szCs w:val="20"/>
        </w:rPr>
        <w:t xml:space="preserve">. This includes direct (e.g. staff costs) and indirect costs (e.g. on-costs and overheads). </w:t>
      </w:r>
    </w:p>
    <w:p w14:paraId="33AF9B41" w14:textId="77777777" w:rsidR="001433A1" w:rsidRPr="009B2611" w:rsidRDefault="001433A1" w:rsidP="001433A1">
      <w:pPr>
        <w:rPr>
          <w:szCs w:val="20"/>
        </w:rPr>
      </w:pPr>
      <w:r w:rsidRPr="009B2611">
        <w:rPr>
          <w:szCs w:val="20"/>
        </w:rPr>
        <w:t xml:space="preserve">EPA has </w:t>
      </w:r>
      <w:r w:rsidRPr="00C640AB">
        <w:rPr>
          <w:szCs w:val="20"/>
        </w:rPr>
        <w:t>estimated direct costs for most fee types using a bottom up approach. EPA has developed detailed process maps for over 60 processes that are used in the administration of its cost recoverable activities. Some of these are related to sub-processes where there is variation in assessment times for definable activities (for example, processing times can differ depending on whether an application is of greater or lesser complexity). The process maps outline each process used to undertake an activity and estimates of the staff effort and input costs required for each process. The key processes that are costed</w:t>
      </w:r>
      <w:r w:rsidRPr="009B2611">
        <w:rPr>
          <w:szCs w:val="20"/>
        </w:rPr>
        <w:t xml:space="preserve"> across different fee types include:</w:t>
      </w:r>
    </w:p>
    <w:p w14:paraId="72E3DBCF" w14:textId="77777777" w:rsidR="001433A1" w:rsidRPr="009B2611" w:rsidRDefault="001433A1" w:rsidP="001433A1">
      <w:pPr>
        <w:numPr>
          <w:ilvl w:val="0"/>
          <w:numId w:val="53"/>
        </w:numPr>
        <w:contextualSpacing/>
        <w:textboxTightWrap w:val="allLines"/>
      </w:pPr>
      <w:r w:rsidRPr="009B2611">
        <w:t xml:space="preserve">Application planning and advice </w:t>
      </w:r>
    </w:p>
    <w:p w14:paraId="2A74942E" w14:textId="77777777" w:rsidR="001433A1" w:rsidRPr="009B2611" w:rsidRDefault="001433A1" w:rsidP="001433A1">
      <w:pPr>
        <w:numPr>
          <w:ilvl w:val="0"/>
          <w:numId w:val="53"/>
        </w:numPr>
        <w:contextualSpacing/>
        <w:textboxTightWrap w:val="allLines"/>
      </w:pPr>
      <w:r w:rsidRPr="009B2611">
        <w:t>Receipt of applications</w:t>
      </w:r>
    </w:p>
    <w:p w14:paraId="5565657A" w14:textId="77777777" w:rsidR="001433A1" w:rsidRPr="009B2611" w:rsidRDefault="001433A1" w:rsidP="001433A1">
      <w:pPr>
        <w:numPr>
          <w:ilvl w:val="0"/>
          <w:numId w:val="53"/>
        </w:numPr>
        <w:contextualSpacing/>
        <w:textboxTightWrap w:val="allLines"/>
      </w:pPr>
      <w:r w:rsidRPr="009B2611">
        <w:t>Processing of application fee</w:t>
      </w:r>
    </w:p>
    <w:p w14:paraId="2DF2DF13" w14:textId="77777777" w:rsidR="001433A1" w:rsidRPr="009B2611" w:rsidRDefault="001433A1" w:rsidP="001433A1">
      <w:pPr>
        <w:numPr>
          <w:ilvl w:val="0"/>
          <w:numId w:val="53"/>
        </w:numPr>
        <w:contextualSpacing/>
        <w:textboxTightWrap w:val="allLines"/>
      </w:pPr>
      <w:r w:rsidRPr="009B2611">
        <w:t>Assessment of applications, including technical assessment</w:t>
      </w:r>
    </w:p>
    <w:p w14:paraId="5964A901" w14:textId="77777777" w:rsidR="001433A1" w:rsidRPr="009B2611" w:rsidRDefault="001433A1" w:rsidP="001433A1">
      <w:pPr>
        <w:numPr>
          <w:ilvl w:val="0"/>
          <w:numId w:val="53"/>
        </w:numPr>
        <w:contextualSpacing/>
        <w:textboxTightWrap w:val="allLines"/>
      </w:pPr>
      <w:r w:rsidRPr="009B2611">
        <w:t>Request</w:t>
      </w:r>
      <w:r>
        <w:t>ing</w:t>
      </w:r>
      <w:r w:rsidRPr="009B2611">
        <w:t xml:space="preserve"> further information from </w:t>
      </w:r>
      <w:r>
        <w:t>applicants</w:t>
      </w:r>
    </w:p>
    <w:p w14:paraId="05B461AF" w14:textId="77777777" w:rsidR="001433A1" w:rsidRPr="009B2611" w:rsidRDefault="001433A1" w:rsidP="001433A1">
      <w:pPr>
        <w:numPr>
          <w:ilvl w:val="0"/>
          <w:numId w:val="53"/>
        </w:numPr>
        <w:contextualSpacing/>
        <w:textboxTightWrap w:val="allLines"/>
      </w:pPr>
      <w:r w:rsidRPr="009B2611">
        <w:t>Decision / determine assessment outcome</w:t>
      </w:r>
    </w:p>
    <w:p w14:paraId="741433A3" w14:textId="77777777" w:rsidR="001433A1" w:rsidRPr="009B2611" w:rsidRDefault="001433A1" w:rsidP="001433A1">
      <w:pPr>
        <w:numPr>
          <w:ilvl w:val="0"/>
          <w:numId w:val="53"/>
        </w:numPr>
        <w:contextualSpacing/>
        <w:textboxTightWrap w:val="allLines"/>
      </w:pPr>
      <w:r w:rsidRPr="009B2611">
        <w:t>Licences:</w:t>
      </w:r>
    </w:p>
    <w:p w14:paraId="460DF5D7" w14:textId="77777777" w:rsidR="001433A1" w:rsidRPr="009B2611" w:rsidRDefault="001433A1" w:rsidP="001433A1">
      <w:pPr>
        <w:numPr>
          <w:ilvl w:val="1"/>
          <w:numId w:val="53"/>
        </w:numPr>
        <w:spacing w:after="160" w:line="259" w:lineRule="auto"/>
        <w:ind w:left="993" w:hanging="284"/>
        <w:contextualSpacing/>
      </w:pPr>
      <w:r w:rsidRPr="009B2611">
        <w:t xml:space="preserve">Draft licence document </w:t>
      </w:r>
    </w:p>
    <w:p w14:paraId="209D1C3D" w14:textId="77777777" w:rsidR="001433A1" w:rsidRPr="009B2611" w:rsidRDefault="001433A1" w:rsidP="001433A1">
      <w:pPr>
        <w:numPr>
          <w:ilvl w:val="1"/>
          <w:numId w:val="53"/>
        </w:numPr>
        <w:spacing w:after="160" w:line="259" w:lineRule="auto"/>
        <w:ind w:left="993" w:hanging="284"/>
        <w:contextualSpacing/>
      </w:pPr>
      <w:r w:rsidRPr="009B2611">
        <w:t>Approve and issue statutory document</w:t>
      </w:r>
    </w:p>
    <w:p w14:paraId="46510F8D" w14:textId="77777777" w:rsidR="001433A1" w:rsidRPr="009B2611" w:rsidRDefault="001433A1" w:rsidP="001433A1">
      <w:pPr>
        <w:numPr>
          <w:ilvl w:val="0"/>
          <w:numId w:val="53"/>
        </w:numPr>
        <w:spacing w:after="0"/>
        <w:contextualSpacing/>
        <w:textboxTightWrap w:val="allLines"/>
      </w:pPr>
      <w:r w:rsidRPr="009B2611">
        <w:t>Permits:</w:t>
      </w:r>
    </w:p>
    <w:p w14:paraId="2ECE6153" w14:textId="77777777" w:rsidR="001433A1" w:rsidRPr="000E7C5E" w:rsidRDefault="001433A1" w:rsidP="001433A1">
      <w:pPr>
        <w:numPr>
          <w:ilvl w:val="1"/>
          <w:numId w:val="45"/>
        </w:numPr>
        <w:spacing w:after="0"/>
        <w:ind w:left="993" w:hanging="284"/>
        <w:rPr>
          <w:szCs w:val="20"/>
        </w:rPr>
      </w:pPr>
      <w:r w:rsidRPr="009002DA">
        <w:rPr>
          <w:szCs w:val="20"/>
        </w:rPr>
        <w:t>Create and issue permits</w:t>
      </w:r>
    </w:p>
    <w:p w14:paraId="3E788378" w14:textId="77777777" w:rsidR="001433A1" w:rsidRPr="000E7C5E" w:rsidRDefault="001433A1" w:rsidP="001433A1">
      <w:pPr>
        <w:numPr>
          <w:ilvl w:val="1"/>
          <w:numId w:val="45"/>
        </w:numPr>
        <w:spacing w:after="0"/>
        <w:ind w:left="993" w:hanging="284"/>
        <w:rPr>
          <w:szCs w:val="20"/>
        </w:rPr>
      </w:pPr>
      <w:r w:rsidRPr="000E7C5E">
        <w:rPr>
          <w:szCs w:val="20"/>
        </w:rPr>
        <w:t>Appeal process.</w:t>
      </w:r>
    </w:p>
    <w:p w14:paraId="30587606" w14:textId="77777777" w:rsidR="001433A1" w:rsidRPr="000E7C5E" w:rsidRDefault="001433A1" w:rsidP="001433A1">
      <w:pPr>
        <w:shd w:val="clear" w:color="auto" w:fill="FFFFFF"/>
        <w:spacing w:before="120" w:line="240" w:lineRule="auto"/>
        <w:textAlignment w:val="baseline"/>
        <w:rPr>
          <w:rFonts w:cs="Segoe UI Light"/>
          <w:szCs w:val="20"/>
        </w:rPr>
      </w:pPr>
      <w:r w:rsidRPr="000E7C5E">
        <w:rPr>
          <w:rFonts w:cs="Segoe UI Light"/>
          <w:szCs w:val="20"/>
        </w:rPr>
        <w:t xml:space="preserve">An example of the process map steps is provided for development licence applications in Appendix </w:t>
      </w:r>
      <w:r>
        <w:rPr>
          <w:rFonts w:cs="Segoe UI Light"/>
          <w:szCs w:val="20"/>
        </w:rPr>
        <w:t>6</w:t>
      </w:r>
      <w:r w:rsidRPr="000E7C5E">
        <w:rPr>
          <w:rFonts w:cs="Segoe UI Light"/>
          <w:szCs w:val="20"/>
        </w:rPr>
        <w:t>.</w:t>
      </w:r>
    </w:p>
    <w:p w14:paraId="4CB49F71" w14:textId="6A68F5EF" w:rsidR="001433A1" w:rsidRPr="000E7C5E" w:rsidRDefault="001433A1" w:rsidP="001433A1">
      <w:pPr>
        <w:shd w:val="clear" w:color="auto" w:fill="FFFFFF"/>
        <w:spacing w:before="120" w:line="240" w:lineRule="auto"/>
        <w:textAlignment w:val="baseline"/>
        <w:rPr>
          <w:rFonts w:cs="Segoe UI Light"/>
          <w:szCs w:val="20"/>
        </w:rPr>
      </w:pPr>
      <w:r w:rsidRPr="000E7C5E">
        <w:rPr>
          <w:rFonts w:cs="Segoe UI Light"/>
          <w:szCs w:val="20"/>
        </w:rPr>
        <w:t xml:space="preserve">A summary of the key cost estimates is also provided in Appendix </w:t>
      </w:r>
      <w:r>
        <w:rPr>
          <w:rFonts w:cs="Segoe UI Light"/>
          <w:szCs w:val="20"/>
        </w:rPr>
        <w:t>7</w:t>
      </w:r>
      <w:r w:rsidRPr="000E7C5E">
        <w:rPr>
          <w:rFonts w:cs="Segoe UI Light"/>
          <w:szCs w:val="20"/>
        </w:rPr>
        <w:t xml:space="preserve"> for </w:t>
      </w:r>
      <w:r w:rsidRPr="00785A28">
        <w:rPr>
          <w:rFonts w:cs="Segoe UI Light"/>
          <w:szCs w:val="20"/>
        </w:rPr>
        <w:t xml:space="preserve">each fee type, including average time spent on each process </w:t>
      </w:r>
      <w:r w:rsidRPr="0031288A">
        <w:rPr>
          <w:rFonts w:cs="Segoe UI Light"/>
          <w:szCs w:val="20"/>
        </w:rPr>
        <w:t xml:space="preserve">and average cost for each process, along with estimated volumes. </w:t>
      </w:r>
      <w:r w:rsidR="0031288A" w:rsidRPr="00CF611A">
        <w:t xml:space="preserve">Changes to current fee levels are presented in Appendix 8. These changes include proposed changes to fee design and fee unit levels based on a review, in accordance with the </w:t>
      </w:r>
      <w:r w:rsidR="0031288A" w:rsidRPr="00CF611A">
        <w:rPr>
          <w:i/>
          <w:iCs/>
        </w:rPr>
        <w:t>Cost Recovery Guidelines,</w:t>
      </w:r>
      <w:r w:rsidR="0031288A" w:rsidRPr="00CF611A">
        <w:t xml:space="preserve"> of the activities undertaken by EPA as part of assessing applications</w:t>
      </w:r>
      <w:r w:rsidR="0031288A" w:rsidRPr="00785A28">
        <w:rPr>
          <w:rFonts w:cs="Segoe UI Light"/>
          <w:szCs w:val="20"/>
        </w:rPr>
        <w:t>.</w:t>
      </w:r>
    </w:p>
    <w:p w14:paraId="48559508" w14:textId="5C45C09F" w:rsidR="001433A1" w:rsidRPr="009B2611" w:rsidRDefault="001433A1" w:rsidP="001433A1">
      <w:pPr>
        <w:rPr>
          <w:szCs w:val="20"/>
        </w:rPr>
      </w:pPr>
      <w:r w:rsidRPr="009B2611">
        <w:rPr>
          <w:szCs w:val="20"/>
        </w:rPr>
        <w:t xml:space="preserve">Wage costs are sourced from </w:t>
      </w:r>
      <w:r w:rsidRPr="00CF611A">
        <w:rPr>
          <w:szCs w:val="20"/>
        </w:rPr>
        <w:t>Victorian Public Service Enterprise Agreement 2016 - Schedule B (1 July 2018). On top of wage rates, on-costs are calculated at an additional 16.5%, and overheads costs at an additional 50%, resulting in a total wage multiplier of 1.75.</w:t>
      </w:r>
      <w:r w:rsidRPr="00CF611A">
        <w:rPr>
          <w:rStyle w:val="FootnoteReference"/>
          <w:szCs w:val="20"/>
        </w:rPr>
        <w:footnoteReference w:id="317"/>
      </w:r>
    </w:p>
    <w:p w14:paraId="16432BBA" w14:textId="77777777" w:rsidR="001433A1" w:rsidRDefault="001433A1" w:rsidP="001433A1">
      <w:pPr>
        <w:rPr>
          <w:szCs w:val="20"/>
          <w:highlight w:val="cyan"/>
        </w:rPr>
      </w:pPr>
      <w:r w:rsidRPr="009B2611">
        <w:rPr>
          <w:szCs w:val="20"/>
        </w:rPr>
        <w:t xml:space="preserve">The ground up process mapping approach has not been used for </w:t>
      </w:r>
      <w:r>
        <w:rPr>
          <w:szCs w:val="20"/>
        </w:rPr>
        <w:t>a</w:t>
      </w:r>
      <w:r w:rsidRPr="009B2611">
        <w:rPr>
          <w:szCs w:val="20"/>
        </w:rPr>
        <w:t xml:space="preserve"> number of regulatory activities</w:t>
      </w:r>
      <w:r>
        <w:rPr>
          <w:szCs w:val="20"/>
        </w:rPr>
        <w:t>, which are relevantly identified throughout the chapter</w:t>
      </w:r>
      <w:r w:rsidRPr="009B2611">
        <w:rPr>
          <w:szCs w:val="20"/>
        </w:rPr>
        <w:t xml:space="preserve">. </w:t>
      </w:r>
      <w:r>
        <w:rPr>
          <w:szCs w:val="20"/>
        </w:rPr>
        <w:t xml:space="preserve">The decision to undertake or not undertake </w:t>
      </w:r>
      <w:r>
        <w:t>ground up process mapping took into account the proportionality of the analysis and whether the fee relates to new permissions or instruments which are currently not undertaken.</w:t>
      </w:r>
    </w:p>
    <w:p w14:paraId="29F12D8D" w14:textId="77777777" w:rsidR="001433A1" w:rsidRPr="009B2611" w:rsidRDefault="001433A1" w:rsidP="001433A1">
      <w:pPr>
        <w:rPr>
          <w:szCs w:val="20"/>
        </w:rPr>
      </w:pPr>
      <w:r w:rsidRPr="0059278D">
        <w:rPr>
          <w:szCs w:val="20"/>
        </w:rPr>
        <w:t xml:space="preserve">Note, the rationale for not undertaking detailed process mapping for annual operating licence fees is specifically discussed </w:t>
      </w:r>
      <w:r>
        <w:rPr>
          <w:szCs w:val="20"/>
        </w:rPr>
        <w:t>below</w:t>
      </w:r>
      <w:r w:rsidRPr="0059278D">
        <w:rPr>
          <w:szCs w:val="20"/>
        </w:rPr>
        <w:t>.</w:t>
      </w:r>
    </w:p>
    <w:p w14:paraId="246D4FCB" w14:textId="77777777" w:rsidR="001433A1" w:rsidRPr="009B2611" w:rsidRDefault="001433A1" w:rsidP="001433A1">
      <w:pPr>
        <w:rPr>
          <w:rFonts w:cs="Segoe UI Light"/>
          <w:szCs w:val="20"/>
        </w:rPr>
      </w:pPr>
      <w:r w:rsidRPr="009B2611">
        <w:rPr>
          <w:rFonts w:cs="Segoe UI Light"/>
          <w:szCs w:val="20"/>
        </w:rPr>
        <w:t xml:space="preserve">The costs of any functions that are not a fundamental part of, or directly related to the output are excluded from the cost base. </w:t>
      </w:r>
      <w:r>
        <w:rPr>
          <w:rFonts w:cs="Segoe UI Light"/>
          <w:szCs w:val="20"/>
        </w:rPr>
        <w:t xml:space="preserve">Consistent with the </w:t>
      </w:r>
      <w:r>
        <w:rPr>
          <w:rFonts w:cs="Segoe UI Light"/>
          <w:i/>
          <w:szCs w:val="20"/>
        </w:rPr>
        <w:t>Cost Recovery Guidelines</w:t>
      </w:r>
      <w:r w:rsidRPr="009B2611">
        <w:rPr>
          <w:rFonts w:cs="Segoe UI Light"/>
          <w:szCs w:val="20"/>
        </w:rPr>
        <w:t>, costs associated with the broad development of policy/regulation and general parliamentary servicing roles of government are excluded.</w:t>
      </w:r>
    </w:p>
    <w:p w14:paraId="109AE2DC" w14:textId="77777777" w:rsidR="001433A1" w:rsidRPr="009B2611" w:rsidRDefault="001433A1" w:rsidP="001433A1">
      <w:pPr>
        <w:rPr>
          <w:rFonts w:cs="Segoe UI Light"/>
          <w:szCs w:val="20"/>
        </w:rPr>
      </w:pPr>
      <w:r w:rsidRPr="009B2611">
        <w:rPr>
          <w:rFonts w:cs="Segoe UI Light"/>
          <w:szCs w:val="20"/>
        </w:rPr>
        <w:t>EPA undertakes a range of other core activities that are not cost recoverable</w:t>
      </w:r>
      <w:r>
        <w:rPr>
          <w:rFonts w:cs="Segoe UI Light"/>
          <w:szCs w:val="20"/>
        </w:rPr>
        <w:t xml:space="preserve">. </w:t>
      </w:r>
      <w:r>
        <w:t xml:space="preserve">These activities </w:t>
      </w:r>
      <w:r w:rsidRPr="009B2611">
        <w:t>form part of the EPA’s broad objectives and are typically not related to an identifiable regulatory task, industry, or business</w:t>
      </w:r>
      <w:r w:rsidRPr="009B2611">
        <w:rPr>
          <w:rFonts w:cs="Segoe UI Light"/>
          <w:szCs w:val="20"/>
        </w:rPr>
        <w:t xml:space="preserve">. </w:t>
      </w:r>
      <w:r>
        <w:rPr>
          <w:rFonts w:cs="Segoe UI Light"/>
          <w:szCs w:val="20"/>
        </w:rPr>
        <w:t xml:space="preserve">The outputs from these activities are accessible and beneficial to the broader community, and as such, are not suitable for cost recovery. </w:t>
      </w:r>
      <w:r w:rsidRPr="009B2611">
        <w:rPr>
          <w:rFonts w:cs="Segoe UI Light"/>
          <w:szCs w:val="20"/>
        </w:rPr>
        <w:t xml:space="preserve">These include the following functions: </w:t>
      </w:r>
    </w:p>
    <w:p w14:paraId="20FDC9AC" w14:textId="77777777" w:rsidR="001433A1" w:rsidRPr="00AB2207" w:rsidRDefault="001433A1" w:rsidP="001433A1">
      <w:pPr>
        <w:numPr>
          <w:ilvl w:val="0"/>
          <w:numId w:val="45"/>
        </w:numPr>
        <w:spacing w:after="0"/>
        <w:rPr>
          <w:szCs w:val="20"/>
        </w:rPr>
      </w:pPr>
      <w:r w:rsidRPr="00AB2207">
        <w:rPr>
          <w:szCs w:val="20"/>
        </w:rPr>
        <w:t>EPA Airwatch</w:t>
      </w:r>
    </w:p>
    <w:p w14:paraId="432E845B" w14:textId="77777777" w:rsidR="001433A1" w:rsidRPr="000E7C5E" w:rsidRDefault="001433A1" w:rsidP="001433A1">
      <w:pPr>
        <w:numPr>
          <w:ilvl w:val="0"/>
          <w:numId w:val="45"/>
        </w:numPr>
        <w:spacing w:after="0"/>
        <w:rPr>
          <w:szCs w:val="20"/>
        </w:rPr>
      </w:pPr>
      <w:r w:rsidRPr="000E7C5E">
        <w:rPr>
          <w:szCs w:val="20"/>
        </w:rPr>
        <w:t>Monitoring of Victoria’s air</w:t>
      </w:r>
    </w:p>
    <w:p w14:paraId="6A986BBA" w14:textId="77777777" w:rsidR="001433A1" w:rsidRPr="000E7C5E" w:rsidRDefault="001433A1" w:rsidP="001433A1">
      <w:pPr>
        <w:numPr>
          <w:ilvl w:val="0"/>
          <w:numId w:val="45"/>
        </w:numPr>
        <w:spacing w:after="0"/>
        <w:rPr>
          <w:szCs w:val="20"/>
        </w:rPr>
      </w:pPr>
      <w:r w:rsidRPr="000E7C5E">
        <w:rPr>
          <w:szCs w:val="20"/>
        </w:rPr>
        <w:t>Monitoring of Victoria’s marine environment</w:t>
      </w:r>
    </w:p>
    <w:p w14:paraId="7469A226" w14:textId="77777777" w:rsidR="001433A1" w:rsidRPr="000E7C5E" w:rsidRDefault="001433A1" w:rsidP="001433A1">
      <w:pPr>
        <w:numPr>
          <w:ilvl w:val="0"/>
          <w:numId w:val="45"/>
        </w:numPr>
        <w:spacing w:after="0"/>
        <w:rPr>
          <w:szCs w:val="20"/>
        </w:rPr>
      </w:pPr>
      <w:r w:rsidRPr="000E7C5E">
        <w:rPr>
          <w:szCs w:val="20"/>
        </w:rPr>
        <w:t>Beach report</w:t>
      </w:r>
    </w:p>
    <w:p w14:paraId="137E7502" w14:textId="77777777" w:rsidR="001433A1" w:rsidRPr="000E7C5E" w:rsidRDefault="001433A1" w:rsidP="001433A1">
      <w:pPr>
        <w:numPr>
          <w:ilvl w:val="0"/>
          <w:numId w:val="45"/>
        </w:numPr>
        <w:spacing w:after="0"/>
        <w:rPr>
          <w:szCs w:val="20"/>
        </w:rPr>
      </w:pPr>
      <w:r w:rsidRPr="000E7C5E">
        <w:rPr>
          <w:szCs w:val="20"/>
        </w:rPr>
        <w:t>Yarra Watch</w:t>
      </w:r>
    </w:p>
    <w:p w14:paraId="755B8219" w14:textId="77777777" w:rsidR="001433A1" w:rsidRPr="000E7C5E" w:rsidRDefault="001433A1" w:rsidP="001433A1">
      <w:pPr>
        <w:numPr>
          <w:ilvl w:val="0"/>
          <w:numId w:val="45"/>
        </w:numPr>
        <w:spacing w:after="0"/>
        <w:rPr>
          <w:szCs w:val="20"/>
        </w:rPr>
      </w:pPr>
      <w:r w:rsidRPr="000E7C5E">
        <w:rPr>
          <w:szCs w:val="20"/>
        </w:rPr>
        <w:t>Monitoring of Port Phillip Bay</w:t>
      </w:r>
    </w:p>
    <w:p w14:paraId="529AF802" w14:textId="77777777" w:rsidR="001433A1" w:rsidRPr="000E7C5E" w:rsidRDefault="001433A1" w:rsidP="001433A1">
      <w:pPr>
        <w:numPr>
          <w:ilvl w:val="0"/>
          <w:numId w:val="45"/>
        </w:numPr>
        <w:spacing w:after="0"/>
        <w:rPr>
          <w:szCs w:val="20"/>
        </w:rPr>
      </w:pPr>
      <w:r w:rsidRPr="000E7C5E">
        <w:rPr>
          <w:szCs w:val="20"/>
        </w:rPr>
        <w:t>The Hazelwood closure and the Hazelwood recovery effort.</w:t>
      </w:r>
    </w:p>
    <w:p w14:paraId="1E29598B" w14:textId="77777777" w:rsidR="001433A1" w:rsidRPr="00AB2207" w:rsidRDefault="001433A1" w:rsidP="001433A1">
      <w:pPr>
        <w:shd w:val="clear" w:color="auto" w:fill="FFFFFF"/>
        <w:spacing w:before="120" w:line="240" w:lineRule="auto"/>
        <w:textAlignment w:val="baseline"/>
        <w:rPr>
          <w:rFonts w:cs="Segoe UI Light"/>
          <w:szCs w:val="20"/>
        </w:rPr>
      </w:pPr>
      <w:r w:rsidRPr="000E7C5E">
        <w:rPr>
          <w:rFonts w:cs="Segoe UI Light"/>
          <w:szCs w:val="20"/>
        </w:rPr>
        <w:t xml:space="preserve">Detailed assumptions used in this fees chapter are provided in Appendix </w:t>
      </w:r>
      <w:r>
        <w:rPr>
          <w:rFonts w:cs="Segoe UI Light"/>
          <w:szCs w:val="20"/>
        </w:rPr>
        <w:t>9</w:t>
      </w:r>
      <w:r w:rsidRPr="000E7C5E">
        <w:rPr>
          <w:rFonts w:cs="Segoe UI Light"/>
          <w:szCs w:val="20"/>
        </w:rPr>
        <w:t>.</w:t>
      </w:r>
    </w:p>
    <w:p w14:paraId="335CE3CB" w14:textId="77777777" w:rsidR="001433A1" w:rsidRPr="009B2611" w:rsidRDefault="001433A1" w:rsidP="001433A1">
      <w:pPr>
        <w:pStyle w:val="Heading3"/>
        <w:ind w:left="720"/>
      </w:pPr>
      <w:r w:rsidRPr="009B2611">
        <w:t>Efficient costs</w:t>
      </w:r>
    </w:p>
    <w:p w14:paraId="0D9BA25D" w14:textId="77777777" w:rsidR="001433A1" w:rsidRPr="009B2611" w:rsidRDefault="001433A1" w:rsidP="001433A1">
      <w:pPr>
        <w:rPr>
          <w:szCs w:val="20"/>
        </w:rPr>
      </w:pPr>
      <w:r w:rsidRPr="009B2611">
        <w:rPr>
          <w:szCs w:val="20"/>
        </w:rPr>
        <w:t xml:space="preserve">EPA’s estimated costs are based on extensive consultation with its own business units, and </w:t>
      </w:r>
      <w:r>
        <w:rPr>
          <w:szCs w:val="20"/>
        </w:rPr>
        <w:t xml:space="preserve">the </w:t>
      </w:r>
      <w:r w:rsidRPr="009B2611">
        <w:rPr>
          <w:szCs w:val="20"/>
        </w:rPr>
        <w:t xml:space="preserve">development of </w:t>
      </w:r>
      <w:r>
        <w:rPr>
          <w:szCs w:val="20"/>
        </w:rPr>
        <w:t>detailed</w:t>
      </w:r>
      <w:r w:rsidRPr="009B2611">
        <w:rPr>
          <w:szCs w:val="20"/>
        </w:rPr>
        <w:t xml:space="preserve"> process mapping of its activities.</w:t>
      </w:r>
      <w:r>
        <w:rPr>
          <w:szCs w:val="20"/>
        </w:rPr>
        <w:t xml:space="preserve"> EPA believes these costs are efficient. The EPA Inquiry examined how EPA performs its functions and did not find any issues in this area.</w:t>
      </w:r>
      <w:r w:rsidRPr="00072E80">
        <w:rPr>
          <w:szCs w:val="20"/>
          <w:vertAlign w:val="superscript"/>
        </w:rPr>
        <w:t xml:space="preserve"> </w:t>
      </w:r>
      <w:r w:rsidRPr="009B2611">
        <w:rPr>
          <w:szCs w:val="20"/>
          <w:vertAlign w:val="superscript"/>
        </w:rPr>
        <w:footnoteReference w:id="318"/>
      </w:r>
      <w:r>
        <w:rPr>
          <w:szCs w:val="20"/>
        </w:rPr>
        <w:t xml:space="preserve"> It is also important to note that EPA’s recoverable costs have not increased materially since the previous review of fees in 2012. While benchmarking can sometimes be used to assess efficiency of costs, it is not considered appropriate in this case because of differences across jurisdictions, including differences in regulations, compliance and enforcement approaches, fee design and objectives such as level of cost recovery. It is also difficult to obtain cost information for regulators in other jurisdictions. </w:t>
      </w:r>
    </w:p>
    <w:p w14:paraId="26B0856E" w14:textId="77777777" w:rsidR="001433A1" w:rsidRPr="009B2611" w:rsidRDefault="001433A1" w:rsidP="001433A1">
      <w:pPr>
        <w:pStyle w:val="Heading3"/>
        <w:ind w:left="720"/>
      </w:pPr>
      <w:bookmarkStart w:id="1926" w:name="_Ref16612238"/>
      <w:r w:rsidRPr="009B2611">
        <w:t>Level of cost recovery</w:t>
      </w:r>
      <w:bookmarkEnd w:id="1926"/>
    </w:p>
    <w:p w14:paraId="5CFB96EA" w14:textId="77777777" w:rsidR="001433A1" w:rsidRPr="009B2611" w:rsidRDefault="001433A1" w:rsidP="001433A1">
      <w:pPr>
        <w:rPr>
          <w:szCs w:val="20"/>
        </w:rPr>
      </w:pPr>
      <w:r w:rsidRPr="009B2611">
        <w:rPr>
          <w:szCs w:val="20"/>
        </w:rPr>
        <w:t>EPA proposes a departure from full cost recovery in the following cases:</w:t>
      </w:r>
    </w:p>
    <w:p w14:paraId="3AD97390" w14:textId="77777777" w:rsidR="001433A1" w:rsidRPr="009B2611" w:rsidRDefault="001433A1" w:rsidP="001433A1">
      <w:pPr>
        <w:numPr>
          <w:ilvl w:val="0"/>
          <w:numId w:val="45"/>
        </w:numPr>
        <w:spacing w:after="0"/>
        <w:rPr>
          <w:szCs w:val="20"/>
        </w:rPr>
      </w:pPr>
      <w:r w:rsidRPr="009B2611">
        <w:rPr>
          <w:szCs w:val="20"/>
        </w:rPr>
        <w:t>Zero cost recovery:</w:t>
      </w:r>
    </w:p>
    <w:p w14:paraId="43332C03" w14:textId="77777777" w:rsidR="001433A1" w:rsidRDefault="001433A1" w:rsidP="001433A1">
      <w:pPr>
        <w:numPr>
          <w:ilvl w:val="1"/>
          <w:numId w:val="45"/>
        </w:numPr>
        <w:spacing w:after="0"/>
        <w:ind w:left="993" w:hanging="284"/>
        <w:rPr>
          <w:szCs w:val="20"/>
        </w:rPr>
      </w:pPr>
      <w:r>
        <w:rPr>
          <w:szCs w:val="20"/>
        </w:rPr>
        <w:t>Development and pilot project licences: surrender</w:t>
      </w:r>
    </w:p>
    <w:p w14:paraId="1D2C3A9F" w14:textId="77777777" w:rsidR="001433A1" w:rsidRPr="009B2611" w:rsidRDefault="001433A1" w:rsidP="001433A1">
      <w:pPr>
        <w:numPr>
          <w:ilvl w:val="1"/>
          <w:numId w:val="45"/>
        </w:numPr>
        <w:spacing w:after="0"/>
        <w:ind w:left="993" w:hanging="284"/>
        <w:rPr>
          <w:szCs w:val="20"/>
        </w:rPr>
      </w:pPr>
      <w:r w:rsidRPr="009B2611">
        <w:rPr>
          <w:szCs w:val="20"/>
        </w:rPr>
        <w:t xml:space="preserve">Registrations (except </w:t>
      </w:r>
      <w:r>
        <w:rPr>
          <w:szCs w:val="20"/>
        </w:rPr>
        <w:t>reportable priority waste transport</w:t>
      </w:r>
      <w:r w:rsidRPr="009B2611">
        <w:rPr>
          <w:szCs w:val="20"/>
        </w:rPr>
        <w:t>): application, renewal</w:t>
      </w:r>
    </w:p>
    <w:p w14:paraId="44D19CD6" w14:textId="77777777" w:rsidR="001433A1" w:rsidRPr="009B2611" w:rsidRDefault="001433A1" w:rsidP="001433A1">
      <w:pPr>
        <w:numPr>
          <w:ilvl w:val="1"/>
          <w:numId w:val="45"/>
        </w:numPr>
        <w:spacing w:after="0"/>
        <w:ind w:left="993" w:hanging="284"/>
        <w:rPr>
          <w:szCs w:val="20"/>
        </w:rPr>
      </w:pPr>
      <w:r w:rsidRPr="009B2611">
        <w:rPr>
          <w:szCs w:val="20"/>
        </w:rPr>
        <w:t>Emergency storage, use etc. of waste (</w:t>
      </w:r>
      <w:r>
        <w:rPr>
          <w:szCs w:val="20"/>
        </w:rPr>
        <w:t xml:space="preserve">except emergency </w:t>
      </w:r>
      <w:r w:rsidRPr="009B2611">
        <w:rPr>
          <w:szCs w:val="20"/>
        </w:rPr>
        <w:t>commissioning, repair, decommissioning or dismantling of plant or equipment)</w:t>
      </w:r>
    </w:p>
    <w:p w14:paraId="387A84A0" w14:textId="77777777" w:rsidR="001433A1" w:rsidRPr="00785A28" w:rsidRDefault="001433A1" w:rsidP="001433A1">
      <w:pPr>
        <w:numPr>
          <w:ilvl w:val="1"/>
          <w:numId w:val="45"/>
        </w:numPr>
        <w:spacing w:after="0"/>
        <w:ind w:left="993" w:hanging="284"/>
        <w:rPr>
          <w:szCs w:val="20"/>
        </w:rPr>
      </w:pPr>
      <w:r w:rsidRPr="00CF611A">
        <w:rPr>
          <w:szCs w:val="20"/>
        </w:rPr>
        <w:t>Appointment of motor vehicle testers as the holder of a prescribed role</w:t>
      </w:r>
    </w:p>
    <w:p w14:paraId="4F3EC185" w14:textId="77777777" w:rsidR="001433A1" w:rsidRPr="009B2611" w:rsidRDefault="001433A1" w:rsidP="001433A1">
      <w:pPr>
        <w:numPr>
          <w:ilvl w:val="1"/>
          <w:numId w:val="45"/>
        </w:numPr>
        <w:spacing w:after="0"/>
        <w:ind w:left="993" w:hanging="284"/>
        <w:rPr>
          <w:szCs w:val="20"/>
        </w:rPr>
      </w:pPr>
      <w:r w:rsidRPr="009B2611">
        <w:rPr>
          <w:szCs w:val="20"/>
        </w:rPr>
        <w:t>Public access to Public Register</w:t>
      </w:r>
    </w:p>
    <w:p w14:paraId="3592EB86" w14:textId="77777777" w:rsidR="001433A1" w:rsidRPr="00BC1A0C" w:rsidRDefault="001433A1" w:rsidP="001433A1">
      <w:pPr>
        <w:numPr>
          <w:ilvl w:val="1"/>
          <w:numId w:val="45"/>
        </w:numPr>
        <w:spacing w:after="0"/>
        <w:ind w:left="993" w:hanging="284"/>
        <w:rPr>
          <w:szCs w:val="20"/>
        </w:rPr>
      </w:pPr>
      <w:r>
        <w:rPr>
          <w:szCs w:val="20"/>
        </w:rPr>
        <w:t>Application for e</w:t>
      </w:r>
      <w:r w:rsidRPr="009B2611">
        <w:rPr>
          <w:szCs w:val="20"/>
        </w:rPr>
        <w:t>nvironmental audit</w:t>
      </w:r>
      <w:r>
        <w:rPr>
          <w:szCs w:val="20"/>
        </w:rPr>
        <w:t>or appointment</w:t>
      </w:r>
      <w:r w:rsidRPr="009B2611">
        <w:rPr>
          <w:szCs w:val="20"/>
        </w:rPr>
        <w:t xml:space="preserve"> (in accordance with the provisions of the Commonwealth </w:t>
      </w:r>
      <w:r w:rsidRPr="00EE3F36">
        <w:rPr>
          <w:i/>
          <w:szCs w:val="20"/>
        </w:rPr>
        <w:t>Mutual Recognition Act 1992</w:t>
      </w:r>
      <w:r w:rsidRPr="009B2611">
        <w:rPr>
          <w:szCs w:val="20"/>
        </w:rPr>
        <w:t xml:space="preserve">). </w:t>
      </w:r>
    </w:p>
    <w:p w14:paraId="60625635" w14:textId="77777777" w:rsidR="001433A1" w:rsidRPr="009B2611" w:rsidRDefault="001433A1" w:rsidP="001433A1">
      <w:pPr>
        <w:numPr>
          <w:ilvl w:val="0"/>
          <w:numId w:val="45"/>
        </w:numPr>
        <w:spacing w:after="0"/>
        <w:rPr>
          <w:szCs w:val="20"/>
        </w:rPr>
      </w:pPr>
      <w:r w:rsidRPr="009B2611">
        <w:rPr>
          <w:szCs w:val="20"/>
        </w:rPr>
        <w:t>Partial cost recovery:</w:t>
      </w:r>
    </w:p>
    <w:p w14:paraId="379229FD" w14:textId="77777777" w:rsidR="001433A1" w:rsidRPr="009B2611" w:rsidRDefault="001433A1" w:rsidP="001433A1">
      <w:pPr>
        <w:numPr>
          <w:ilvl w:val="1"/>
          <w:numId w:val="45"/>
        </w:numPr>
        <w:spacing w:after="0"/>
        <w:ind w:left="993" w:hanging="284"/>
        <w:rPr>
          <w:szCs w:val="20"/>
        </w:rPr>
      </w:pPr>
      <w:r w:rsidRPr="009B2611">
        <w:rPr>
          <w:szCs w:val="20"/>
        </w:rPr>
        <w:t>Development licence: application</w:t>
      </w:r>
    </w:p>
    <w:p w14:paraId="7D61969D" w14:textId="77777777" w:rsidR="001433A1" w:rsidRPr="009B2611" w:rsidRDefault="001433A1" w:rsidP="001433A1">
      <w:pPr>
        <w:numPr>
          <w:ilvl w:val="0"/>
          <w:numId w:val="45"/>
        </w:numPr>
        <w:spacing w:after="0"/>
        <w:rPr>
          <w:szCs w:val="20"/>
        </w:rPr>
      </w:pPr>
      <w:r w:rsidRPr="009B2611">
        <w:rPr>
          <w:szCs w:val="20"/>
        </w:rPr>
        <w:t>Over-recovery of costs</w:t>
      </w:r>
    </w:p>
    <w:p w14:paraId="23DBFEB9" w14:textId="77777777" w:rsidR="001433A1" w:rsidRPr="009B2611" w:rsidRDefault="001433A1" w:rsidP="001433A1">
      <w:pPr>
        <w:numPr>
          <w:ilvl w:val="1"/>
          <w:numId w:val="45"/>
        </w:numPr>
        <w:spacing w:after="0"/>
        <w:ind w:left="993" w:hanging="284"/>
        <w:rPr>
          <w:szCs w:val="20"/>
        </w:rPr>
      </w:pPr>
      <w:r>
        <w:rPr>
          <w:szCs w:val="20"/>
        </w:rPr>
        <w:t>O</w:t>
      </w:r>
      <w:r w:rsidRPr="009B2611">
        <w:rPr>
          <w:szCs w:val="20"/>
        </w:rPr>
        <w:t xml:space="preserve">perating licence: </w:t>
      </w:r>
      <w:r>
        <w:rPr>
          <w:szCs w:val="20"/>
        </w:rPr>
        <w:t>annual fees.</w:t>
      </w:r>
    </w:p>
    <w:p w14:paraId="49C7B215" w14:textId="77777777" w:rsidR="001433A1" w:rsidRPr="009B2611" w:rsidRDefault="001433A1" w:rsidP="001433A1">
      <w:pPr>
        <w:shd w:val="clear" w:color="auto" w:fill="FFFFFF"/>
        <w:spacing w:before="120" w:line="240" w:lineRule="auto"/>
        <w:textAlignment w:val="baseline"/>
        <w:rPr>
          <w:rFonts w:cs="Segoe UI Light"/>
          <w:szCs w:val="20"/>
        </w:rPr>
      </w:pPr>
      <w:r w:rsidRPr="009B2611">
        <w:rPr>
          <w:rFonts w:cs="Segoe UI Light"/>
          <w:szCs w:val="20"/>
        </w:rPr>
        <w:t xml:space="preserve">The </w:t>
      </w:r>
      <w:r w:rsidRPr="009B2611">
        <w:rPr>
          <w:rFonts w:cs="Segoe UI Light"/>
          <w:i/>
          <w:szCs w:val="20"/>
        </w:rPr>
        <w:t>Cost Recovery Guidelines (p.7)</w:t>
      </w:r>
      <w:r w:rsidRPr="009B2611">
        <w:rPr>
          <w:rFonts w:cs="Segoe UI Light"/>
          <w:szCs w:val="20"/>
        </w:rPr>
        <w:t xml:space="preserve"> state that:</w:t>
      </w:r>
    </w:p>
    <w:p w14:paraId="0D07B649" w14:textId="77777777" w:rsidR="001433A1" w:rsidRPr="009B2611" w:rsidRDefault="001433A1" w:rsidP="001433A1">
      <w:pPr>
        <w:spacing w:after="0"/>
        <w:ind w:left="720"/>
        <w:rPr>
          <w:rFonts w:cs="Segoe UI Light"/>
          <w:i/>
          <w:szCs w:val="20"/>
        </w:rPr>
      </w:pPr>
      <w:r w:rsidRPr="009B2611">
        <w:rPr>
          <w:rFonts w:cs="Segoe UI Light"/>
          <w:i/>
          <w:szCs w:val="20"/>
        </w:rPr>
        <w:t xml:space="preserve">general government policy is that regulatory fees and user charges should be set on a full cost </w:t>
      </w:r>
    </w:p>
    <w:p w14:paraId="7BE8BC26" w14:textId="77777777" w:rsidR="001433A1" w:rsidRPr="009B2611" w:rsidRDefault="001433A1" w:rsidP="001433A1">
      <w:pPr>
        <w:spacing w:after="0"/>
        <w:ind w:left="720"/>
        <w:rPr>
          <w:rFonts w:cs="Segoe UI Light"/>
          <w:i/>
          <w:szCs w:val="20"/>
        </w:rPr>
      </w:pPr>
      <w:r w:rsidRPr="009B2611">
        <w:rPr>
          <w:rFonts w:cs="Segoe UI Light"/>
          <w:i/>
          <w:szCs w:val="20"/>
        </w:rPr>
        <w:t xml:space="preserve">recovery basis because it ensures that both efficiency and equity objectives are met. Full cost </w:t>
      </w:r>
    </w:p>
    <w:p w14:paraId="2A86EF66" w14:textId="77777777" w:rsidR="001433A1" w:rsidRPr="009B2611" w:rsidRDefault="001433A1" w:rsidP="001433A1">
      <w:pPr>
        <w:ind w:left="720"/>
        <w:rPr>
          <w:rFonts w:cs="Segoe UI Light"/>
          <w:i/>
          <w:szCs w:val="20"/>
        </w:rPr>
      </w:pPr>
      <w:r w:rsidRPr="009B2611">
        <w:rPr>
          <w:rFonts w:cs="Segoe UI Light"/>
          <w:i/>
          <w:szCs w:val="20"/>
        </w:rPr>
        <w:t>represents the value of all the resources used or consumed in the provision of an output or activity.</w:t>
      </w:r>
      <w:r w:rsidRPr="009B2611" w:rsidDel="00D41893">
        <w:rPr>
          <w:rFonts w:cs="Segoe UI Light"/>
        </w:rPr>
        <w:t xml:space="preserve"> </w:t>
      </w:r>
    </w:p>
    <w:p w14:paraId="159ADD9F" w14:textId="77777777" w:rsidR="001433A1" w:rsidRPr="009B2611" w:rsidRDefault="001433A1" w:rsidP="001433A1">
      <w:pPr>
        <w:rPr>
          <w:rFonts w:cs="Segoe UI Light"/>
          <w:szCs w:val="20"/>
        </w:rPr>
      </w:pPr>
      <w:r w:rsidRPr="009B2611">
        <w:rPr>
          <w:rFonts w:cs="Segoe UI Light"/>
          <w:szCs w:val="20"/>
        </w:rPr>
        <w:t>However, there may be</w:t>
      </w:r>
      <w:r w:rsidRPr="009B2611">
        <w:rPr>
          <w:szCs w:val="20"/>
        </w:rPr>
        <w:t xml:space="preserve"> circumstances in which a departure from the full cost principle may be justified (which may require making a trade-off between efficiency, equity and other policy considerations):</w:t>
      </w:r>
    </w:p>
    <w:p w14:paraId="7134CDC3" w14:textId="77777777" w:rsidR="001433A1" w:rsidRPr="009B2611" w:rsidRDefault="001433A1" w:rsidP="001433A1">
      <w:pPr>
        <w:numPr>
          <w:ilvl w:val="0"/>
          <w:numId w:val="45"/>
        </w:numPr>
        <w:spacing w:after="0"/>
        <w:rPr>
          <w:szCs w:val="20"/>
        </w:rPr>
      </w:pPr>
      <w:r w:rsidRPr="009B2611">
        <w:rPr>
          <w:szCs w:val="20"/>
        </w:rPr>
        <w:t>Where merit goods are being provided or where activities generate benefits to unrelated third parties.</w:t>
      </w:r>
    </w:p>
    <w:p w14:paraId="11C6AA1A" w14:textId="77777777" w:rsidR="001433A1" w:rsidRPr="009B2611" w:rsidRDefault="001433A1" w:rsidP="001433A1">
      <w:pPr>
        <w:numPr>
          <w:ilvl w:val="0"/>
          <w:numId w:val="45"/>
        </w:numPr>
        <w:spacing w:after="0"/>
        <w:rPr>
          <w:szCs w:val="20"/>
        </w:rPr>
      </w:pPr>
      <w:r w:rsidRPr="009B2611">
        <w:rPr>
          <w:szCs w:val="20"/>
        </w:rPr>
        <w:t>Where objectives of income redistribution or social insurance are important.</w:t>
      </w:r>
    </w:p>
    <w:p w14:paraId="0D786F74" w14:textId="77777777" w:rsidR="001433A1" w:rsidRPr="009B2611" w:rsidRDefault="001433A1" w:rsidP="001433A1">
      <w:pPr>
        <w:numPr>
          <w:ilvl w:val="0"/>
          <w:numId w:val="45"/>
        </w:numPr>
        <w:spacing w:after="0"/>
        <w:rPr>
          <w:szCs w:val="20"/>
        </w:rPr>
      </w:pPr>
      <w:r w:rsidRPr="009B2611">
        <w:rPr>
          <w:szCs w:val="20"/>
        </w:rPr>
        <w:t>Where concessions are deemed appropriate.</w:t>
      </w:r>
    </w:p>
    <w:p w14:paraId="60587DF8" w14:textId="77777777" w:rsidR="001433A1" w:rsidRPr="009B2611" w:rsidRDefault="001433A1" w:rsidP="001433A1">
      <w:pPr>
        <w:numPr>
          <w:ilvl w:val="0"/>
          <w:numId w:val="45"/>
        </w:numPr>
        <w:spacing w:after="0"/>
        <w:rPr>
          <w:szCs w:val="20"/>
        </w:rPr>
      </w:pPr>
      <w:r w:rsidRPr="009B2611">
        <w:rPr>
          <w:szCs w:val="20"/>
        </w:rPr>
        <w:t>Where full cost recovery may undermine innovation and product development.</w:t>
      </w:r>
    </w:p>
    <w:p w14:paraId="3DE58236" w14:textId="77777777" w:rsidR="001433A1" w:rsidRPr="009B2611" w:rsidRDefault="001433A1" w:rsidP="001433A1">
      <w:pPr>
        <w:numPr>
          <w:ilvl w:val="0"/>
          <w:numId w:val="45"/>
        </w:numPr>
        <w:spacing w:after="0"/>
        <w:rPr>
          <w:szCs w:val="20"/>
        </w:rPr>
      </w:pPr>
      <w:r w:rsidRPr="009B2611">
        <w:rPr>
          <w:szCs w:val="20"/>
        </w:rPr>
        <w:t>Where the government is providing goods and services on a commercial basis in competition with the private sector.</w:t>
      </w:r>
    </w:p>
    <w:p w14:paraId="28C139C5" w14:textId="77777777" w:rsidR="001433A1" w:rsidRPr="009B2611" w:rsidRDefault="001433A1" w:rsidP="001433A1">
      <w:pPr>
        <w:numPr>
          <w:ilvl w:val="0"/>
          <w:numId w:val="45"/>
        </w:numPr>
        <w:rPr>
          <w:szCs w:val="20"/>
        </w:rPr>
      </w:pPr>
      <w:r w:rsidRPr="009B2611">
        <w:rPr>
          <w:szCs w:val="20"/>
        </w:rPr>
        <w:t>Where full cost charging could undermine other objectives.</w:t>
      </w:r>
    </w:p>
    <w:p w14:paraId="17D2007A" w14:textId="77777777" w:rsidR="001433A1" w:rsidRPr="009B2611" w:rsidRDefault="001433A1" w:rsidP="001433A1">
      <w:pPr>
        <w:rPr>
          <w:szCs w:val="20"/>
        </w:rPr>
      </w:pPr>
      <w:r w:rsidRPr="009B2611">
        <w:rPr>
          <w:szCs w:val="20"/>
        </w:rPr>
        <w:t xml:space="preserve">The </w:t>
      </w:r>
      <w:r w:rsidRPr="009B2611">
        <w:rPr>
          <w:rFonts w:cs="Segoe UI Light"/>
          <w:i/>
          <w:szCs w:val="20"/>
        </w:rPr>
        <w:t xml:space="preserve">Cost Recovery </w:t>
      </w:r>
      <w:r w:rsidRPr="009B2611">
        <w:rPr>
          <w:i/>
          <w:szCs w:val="20"/>
        </w:rPr>
        <w:t>Guidelines</w:t>
      </w:r>
      <w:r w:rsidRPr="009B2611">
        <w:rPr>
          <w:szCs w:val="20"/>
        </w:rPr>
        <w:t xml:space="preserve"> state that consideration could be given to a regime of partial cost recovery (if it can be demonstrated that a lower than full cost recovery does not jeopardise other objectives), and/or to rely on other funding sources (e.g. general taxation) to finance the government activity.</w:t>
      </w:r>
      <w:r w:rsidRPr="00791E7E">
        <w:t xml:space="preserve"> </w:t>
      </w:r>
    </w:p>
    <w:p w14:paraId="6E690DDA" w14:textId="77777777" w:rsidR="001433A1" w:rsidRDefault="001433A1" w:rsidP="001433A1">
      <w:pPr>
        <w:rPr>
          <w:szCs w:val="20"/>
        </w:rPr>
      </w:pPr>
      <w:r>
        <w:rPr>
          <w:szCs w:val="20"/>
        </w:rPr>
        <w:t>Table 16-2</w:t>
      </w:r>
      <w:r w:rsidRPr="009B2611">
        <w:rPr>
          <w:szCs w:val="20"/>
        </w:rPr>
        <w:t xml:space="preserve"> sets out the reasons for the zero </w:t>
      </w:r>
      <w:r w:rsidRPr="00B05634">
        <w:rPr>
          <w:szCs w:val="20"/>
        </w:rPr>
        <w:t xml:space="preserve">cost recovery cases. </w:t>
      </w:r>
      <w:r w:rsidRPr="00C640AB">
        <w:rPr>
          <w:szCs w:val="20"/>
        </w:rPr>
        <w:t>Costs of these activities are expected to be immaterial compared to EPA’s recoverable cost base. Some costs may be shared with other non-fee activities – for example the public register will be closely linked to EPA’s IT processes.</w:t>
      </w:r>
      <w:r>
        <w:rPr>
          <w:szCs w:val="20"/>
        </w:rPr>
        <w:t xml:space="preserve"> </w:t>
      </w:r>
    </w:p>
    <w:p w14:paraId="4F45539D"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2</w:t>
      </w:r>
      <w:r>
        <w:rPr>
          <w:color w:val="75787B" w:themeColor="accent6"/>
          <w:sz w:val="17"/>
          <w:shd w:val="clear" w:color="auto" w:fill="E6E6E6"/>
        </w:rPr>
        <w:fldChar w:fldCharType="end"/>
      </w:r>
      <w:r w:rsidRPr="009B2611">
        <w:rPr>
          <w:iCs/>
          <w:color w:val="75787B" w:themeColor="accent6"/>
          <w:sz w:val="17"/>
        </w:rPr>
        <w:t xml:space="preserve"> No fee (zero cost recovery)</w:t>
      </w:r>
    </w:p>
    <w:tbl>
      <w:tblPr>
        <w:tblStyle w:val="Deloittetable"/>
        <w:tblpPr w:leftFromText="180" w:rightFromText="180" w:vertAnchor="text" w:horzAnchor="margin" w:tblpY="18"/>
        <w:tblW w:w="5228" w:type="pct"/>
        <w:tblLook w:val="04A0" w:firstRow="1" w:lastRow="0" w:firstColumn="1" w:lastColumn="0" w:noHBand="0" w:noVBand="1"/>
      </w:tblPr>
      <w:tblGrid>
        <w:gridCol w:w="2352"/>
        <w:gridCol w:w="7430"/>
      </w:tblGrid>
      <w:tr w:rsidR="001433A1" w:rsidRPr="009B2611" w14:paraId="2C8A1E11" w14:textId="77777777" w:rsidTr="001433A1">
        <w:trPr>
          <w:cnfStyle w:val="100000000000" w:firstRow="1" w:lastRow="0" w:firstColumn="0" w:lastColumn="0" w:oddVBand="0" w:evenVBand="0" w:oddHBand="0" w:evenHBand="0" w:firstRowFirstColumn="0" w:firstRowLastColumn="0" w:lastRowFirstColumn="0" w:lastRowLastColumn="0"/>
          <w:tblHeader/>
        </w:trPr>
        <w:tc>
          <w:tcPr>
            <w:tcW w:w="1202" w:type="pct"/>
          </w:tcPr>
          <w:p w14:paraId="31A58BC6" w14:textId="77777777" w:rsidR="001433A1" w:rsidRPr="009B2611" w:rsidRDefault="001433A1" w:rsidP="001433A1">
            <w:pPr>
              <w:spacing w:after="0" w:line="440" w:lineRule="atLeast"/>
              <w:rPr>
                <w:b/>
                <w:sz w:val="18"/>
              </w:rPr>
            </w:pPr>
            <w:r>
              <w:rPr>
                <w:b/>
                <w:sz w:val="18"/>
              </w:rPr>
              <w:t>Activity</w:t>
            </w:r>
          </w:p>
        </w:tc>
        <w:tc>
          <w:tcPr>
            <w:tcW w:w="3798" w:type="pct"/>
          </w:tcPr>
          <w:p w14:paraId="36EFE753" w14:textId="77777777" w:rsidR="001433A1" w:rsidRPr="009B2611" w:rsidRDefault="001433A1" w:rsidP="001433A1">
            <w:pPr>
              <w:spacing w:after="0" w:line="440" w:lineRule="atLeast"/>
              <w:rPr>
                <w:b/>
                <w:sz w:val="18"/>
              </w:rPr>
            </w:pPr>
            <w:r w:rsidRPr="009B2611">
              <w:rPr>
                <w:b/>
                <w:sz w:val="18"/>
              </w:rPr>
              <w:t>Analysis</w:t>
            </w:r>
          </w:p>
        </w:tc>
      </w:tr>
      <w:tr w:rsidR="001433A1" w:rsidRPr="009B2611" w14:paraId="1AFA5528" w14:textId="77777777" w:rsidTr="001433A1">
        <w:tc>
          <w:tcPr>
            <w:tcW w:w="1202" w:type="pct"/>
          </w:tcPr>
          <w:p w14:paraId="49B02D85" w14:textId="77777777" w:rsidR="001433A1" w:rsidRDefault="001433A1" w:rsidP="001433A1">
            <w:pPr>
              <w:autoSpaceDE w:val="0"/>
              <w:autoSpaceDN w:val="0"/>
              <w:adjustRightInd w:val="0"/>
              <w:spacing w:after="0" w:line="240" w:lineRule="auto"/>
              <w:rPr>
                <w:rFonts w:cs="Segoe UI Light"/>
                <w:sz w:val="18"/>
              </w:rPr>
            </w:pPr>
            <w:r w:rsidRPr="009B2611">
              <w:rPr>
                <w:rFonts w:cs="Segoe UI Light"/>
                <w:sz w:val="18"/>
              </w:rPr>
              <w:t>Registrations (except</w:t>
            </w:r>
            <w:r>
              <w:rPr>
                <w:rFonts w:cs="Segoe UI Light"/>
                <w:sz w:val="18"/>
              </w:rPr>
              <w:t xml:space="preserve"> reportable priority waste transport</w:t>
            </w:r>
            <w:r w:rsidRPr="009B2611">
              <w:rPr>
                <w:rFonts w:cs="Segoe UI Light"/>
                <w:sz w:val="18"/>
              </w:rPr>
              <w:t xml:space="preserve">): application, </w:t>
            </w:r>
          </w:p>
          <w:p w14:paraId="06CF1BC4" w14:textId="77777777" w:rsidR="001433A1" w:rsidRPr="009B2611" w:rsidRDefault="001433A1" w:rsidP="001433A1">
            <w:pPr>
              <w:autoSpaceDE w:val="0"/>
              <w:autoSpaceDN w:val="0"/>
              <w:adjustRightInd w:val="0"/>
              <w:spacing w:after="0" w:line="240" w:lineRule="auto"/>
              <w:rPr>
                <w:rFonts w:cs="Segoe UI Light"/>
                <w:sz w:val="18"/>
              </w:rPr>
            </w:pPr>
            <w:r w:rsidRPr="009B2611">
              <w:rPr>
                <w:rFonts w:cs="Segoe UI Light"/>
                <w:sz w:val="18"/>
              </w:rPr>
              <w:t>renewal</w:t>
            </w:r>
          </w:p>
        </w:tc>
        <w:tc>
          <w:tcPr>
            <w:tcW w:w="3798" w:type="pct"/>
          </w:tcPr>
          <w:p w14:paraId="5268D684" w14:textId="77777777" w:rsidR="001433A1" w:rsidRPr="009B2611" w:rsidRDefault="001433A1" w:rsidP="001433A1">
            <w:pPr>
              <w:autoSpaceDE w:val="0"/>
              <w:autoSpaceDN w:val="0"/>
              <w:adjustRightInd w:val="0"/>
              <w:spacing w:after="0" w:line="240" w:lineRule="auto"/>
              <w:rPr>
                <w:rFonts w:cs="Segoe UI Light"/>
                <w:sz w:val="18"/>
              </w:rPr>
            </w:pPr>
            <w:r w:rsidRPr="009B2611">
              <w:rPr>
                <w:rFonts w:cs="Segoe UI Light"/>
                <w:sz w:val="18"/>
              </w:rPr>
              <w:t>EPA may set prescribed fee</w:t>
            </w:r>
            <w:r>
              <w:rPr>
                <w:rFonts w:cs="Segoe UI Light"/>
                <w:sz w:val="18"/>
              </w:rPr>
              <w:t>s</w:t>
            </w:r>
            <w:r w:rsidRPr="009B2611">
              <w:rPr>
                <w:rFonts w:cs="Segoe UI Light"/>
                <w:sz w:val="18"/>
              </w:rPr>
              <w:t xml:space="preserve"> for registration applications and renewals under sections 50(1)(b) and 86(3)(b) of </w:t>
            </w:r>
            <w:r w:rsidRPr="00C640AB">
              <w:rPr>
                <w:rFonts w:cs="Segoe UI Light"/>
                <w:sz w:val="18"/>
              </w:rPr>
              <w:t>the new EP legislation</w:t>
            </w:r>
            <w:r w:rsidRPr="009B2611">
              <w:rPr>
                <w:rFonts w:cs="Segoe UI Light"/>
                <w:sz w:val="18"/>
              </w:rPr>
              <w:t xml:space="preserve">. </w:t>
            </w:r>
            <w:r>
              <w:rPr>
                <w:rFonts w:cs="Segoe UI Light"/>
                <w:sz w:val="18"/>
              </w:rPr>
              <w:t>Although the estimated fee would be small for this activity, n</w:t>
            </w:r>
            <w:r w:rsidRPr="009B2611">
              <w:rPr>
                <w:rFonts w:cs="Segoe UI Light"/>
                <w:sz w:val="18"/>
              </w:rPr>
              <w:t>o fee is being proposed in order to encourage registration uptake</w:t>
            </w:r>
            <w:r>
              <w:rPr>
                <w:rFonts w:cs="Segoe UI Light"/>
                <w:sz w:val="18"/>
              </w:rPr>
              <w:t xml:space="preserve">. This </w:t>
            </w:r>
            <w:r w:rsidRPr="009B2611">
              <w:rPr>
                <w:rFonts w:cs="Segoe UI Light"/>
                <w:sz w:val="18"/>
              </w:rPr>
              <w:t xml:space="preserve">will enable EPA to support duty-holders to comply with the general duty and raise the state of knowledge about the new legislative framework. EPA has estimated that the registration application process, expected to occur online, will cost EPA approximately $24-38 per applicant. Although there is uncertainty around the number of registrations, total cost is estimated to be approximately $6,000 </w:t>
            </w:r>
            <w:r>
              <w:rPr>
                <w:rFonts w:cs="Segoe UI Light"/>
                <w:sz w:val="18"/>
              </w:rPr>
              <w:t xml:space="preserve">per year </w:t>
            </w:r>
            <w:r w:rsidRPr="009B2611">
              <w:rPr>
                <w:rFonts w:cs="Segoe UI Light"/>
                <w:sz w:val="18"/>
              </w:rPr>
              <w:t>(for both new applications and renewals)</w:t>
            </w:r>
            <w:r>
              <w:rPr>
                <w:rFonts w:cs="Segoe UI Light"/>
                <w:sz w:val="18"/>
              </w:rPr>
              <w:t xml:space="preserve">. </w:t>
            </w:r>
          </w:p>
        </w:tc>
      </w:tr>
      <w:tr w:rsidR="001433A1" w:rsidRPr="009B2611" w14:paraId="1CEFBA09" w14:textId="77777777" w:rsidTr="001433A1">
        <w:trPr>
          <w:trHeight w:val="601"/>
        </w:trPr>
        <w:tc>
          <w:tcPr>
            <w:tcW w:w="1202" w:type="pct"/>
          </w:tcPr>
          <w:p w14:paraId="10A192C9" w14:textId="77777777" w:rsidR="001433A1" w:rsidRDefault="001433A1" w:rsidP="001433A1">
            <w:pPr>
              <w:autoSpaceDE w:val="0"/>
              <w:autoSpaceDN w:val="0"/>
              <w:adjustRightInd w:val="0"/>
              <w:spacing w:after="0" w:line="240" w:lineRule="auto"/>
              <w:rPr>
                <w:rFonts w:cs="Segoe UI Light"/>
                <w:sz w:val="18"/>
              </w:rPr>
            </w:pPr>
            <w:r w:rsidRPr="009B2611">
              <w:rPr>
                <w:rFonts w:cs="Segoe UI Light"/>
                <w:sz w:val="18"/>
              </w:rPr>
              <w:t>Emergency storage, use etc</w:t>
            </w:r>
            <w:r>
              <w:rPr>
                <w:rFonts w:cs="Segoe UI Light"/>
                <w:sz w:val="18"/>
              </w:rPr>
              <w:t xml:space="preserve">. </w:t>
            </w:r>
          </w:p>
          <w:p w14:paraId="2188E5CA" w14:textId="77777777" w:rsidR="001433A1" w:rsidRPr="009B2611" w:rsidRDefault="001433A1" w:rsidP="001433A1">
            <w:pPr>
              <w:autoSpaceDE w:val="0"/>
              <w:autoSpaceDN w:val="0"/>
              <w:adjustRightInd w:val="0"/>
              <w:spacing w:after="0" w:line="240" w:lineRule="auto"/>
              <w:rPr>
                <w:rFonts w:cs="Segoe UI Light"/>
                <w:sz w:val="18"/>
              </w:rPr>
            </w:pPr>
            <w:r w:rsidRPr="009B2611">
              <w:rPr>
                <w:rFonts w:cs="Segoe UI Light"/>
                <w:sz w:val="18"/>
              </w:rPr>
              <w:t>of waste</w:t>
            </w:r>
          </w:p>
        </w:tc>
        <w:tc>
          <w:tcPr>
            <w:tcW w:w="3798" w:type="pct"/>
          </w:tcPr>
          <w:p w14:paraId="1BE435C6" w14:textId="77777777" w:rsidR="001433A1" w:rsidRPr="009B2611" w:rsidRDefault="001433A1" w:rsidP="001433A1">
            <w:pPr>
              <w:autoSpaceDE w:val="0"/>
              <w:autoSpaceDN w:val="0"/>
              <w:adjustRightInd w:val="0"/>
              <w:spacing w:after="0" w:line="240" w:lineRule="auto"/>
              <w:rPr>
                <w:rFonts w:cs="Segoe UI Light"/>
                <w:sz w:val="18"/>
              </w:rPr>
            </w:pPr>
            <w:r w:rsidRPr="009B2611">
              <w:rPr>
                <w:rFonts w:cs="Segoe UI Light"/>
                <w:sz w:val="18"/>
              </w:rPr>
              <w:t>EPA may set a prescribed fee for an application for authorisation for emergency storage, use etc. of wa</w:t>
            </w:r>
            <w:r>
              <w:rPr>
                <w:rFonts w:cs="Segoe UI Light"/>
                <w:sz w:val="18"/>
              </w:rPr>
              <w:t xml:space="preserve">ste under section 245(5) of </w:t>
            </w:r>
            <w:r w:rsidRPr="00C640AB">
              <w:rPr>
                <w:rFonts w:cs="Segoe UI Light"/>
                <w:sz w:val="18"/>
              </w:rPr>
              <w:t>the new EP legislation</w:t>
            </w:r>
            <w:r w:rsidRPr="009B2611">
              <w:rPr>
                <w:rFonts w:cs="Segoe UI Light"/>
                <w:sz w:val="18"/>
              </w:rPr>
              <w:t xml:space="preserve">. No fee is being proposed to provide an efficient approval pathway in cases of genuine emergency and in order to not discourage authorisation from being sought (which may be subject to such conditions as EPA considers appropriate). It is estimated that there will be 36 applications per year costing around $700 each, with a total cost of </w:t>
            </w:r>
            <w:r>
              <w:rPr>
                <w:rFonts w:cs="Segoe UI Light"/>
                <w:sz w:val="18"/>
              </w:rPr>
              <w:t>around</w:t>
            </w:r>
            <w:r w:rsidRPr="009B2611">
              <w:rPr>
                <w:rFonts w:cs="Segoe UI Light"/>
                <w:sz w:val="18"/>
              </w:rPr>
              <w:t xml:space="preserve"> $25,000 a year.</w:t>
            </w:r>
            <w:r w:rsidRPr="000E7C5E">
              <w:rPr>
                <w:rFonts w:cs="Segoe UI Light"/>
                <w:sz w:val="18"/>
              </w:rPr>
              <w:t xml:space="preserve"> </w:t>
            </w:r>
          </w:p>
        </w:tc>
      </w:tr>
      <w:tr w:rsidR="001433A1" w:rsidRPr="009B2611" w14:paraId="19D7C2FB" w14:textId="77777777" w:rsidTr="00CF611A">
        <w:trPr>
          <w:trHeight w:val="601"/>
        </w:trPr>
        <w:tc>
          <w:tcPr>
            <w:tcW w:w="0" w:type="pct"/>
            <w:shd w:val="clear" w:color="auto" w:fill="auto"/>
          </w:tcPr>
          <w:p w14:paraId="33C09B3A" w14:textId="77777777" w:rsidR="001433A1" w:rsidRPr="00785A28" w:rsidRDefault="001433A1" w:rsidP="001433A1">
            <w:pPr>
              <w:autoSpaceDE w:val="0"/>
              <w:autoSpaceDN w:val="0"/>
              <w:adjustRightInd w:val="0"/>
              <w:spacing w:after="0" w:line="240" w:lineRule="auto"/>
              <w:rPr>
                <w:rFonts w:cs="Segoe UI Light"/>
                <w:sz w:val="18"/>
              </w:rPr>
            </w:pPr>
            <w:r w:rsidRPr="00CF611A">
              <w:rPr>
                <w:rFonts w:cs="Segoe UI Light"/>
                <w:sz w:val="18"/>
              </w:rPr>
              <w:t>Appointment of motor vehicle testers as the holder of a prescribed role</w:t>
            </w:r>
          </w:p>
        </w:tc>
        <w:tc>
          <w:tcPr>
            <w:tcW w:w="0" w:type="pct"/>
            <w:shd w:val="clear" w:color="auto" w:fill="auto"/>
          </w:tcPr>
          <w:p w14:paraId="7F0FBD22" w14:textId="3DB8A6B5" w:rsidR="001433A1" w:rsidRPr="00785A28" w:rsidRDefault="001433A1" w:rsidP="001433A1">
            <w:pPr>
              <w:autoSpaceDE w:val="0"/>
              <w:autoSpaceDN w:val="0"/>
              <w:adjustRightInd w:val="0"/>
              <w:spacing w:after="0" w:line="240" w:lineRule="auto"/>
              <w:rPr>
                <w:rFonts w:cs="Segoe UI Light"/>
                <w:sz w:val="18"/>
              </w:rPr>
            </w:pPr>
            <w:r w:rsidRPr="00CF611A">
              <w:rPr>
                <w:rFonts w:cs="Segoe UI Light"/>
                <w:sz w:val="18"/>
              </w:rPr>
              <w:t>EPA may set prescribed fees for applications for appointment as the holder of a prescribed role under section 245(5) of the new EP legislation. No fee is being proposed in order to encourage new applicants and prevent creating a barrier to entry, particularly in regional areas where the current tester network is not comprehensive. This will enable EPA to support compliance with the requirements of the motor vehicle emissions regulations relating to noise and visible emissions. EPA has estimated that the appointment application process, will cost EPA approximately $1</w:t>
            </w:r>
            <w:r w:rsidR="009160C8" w:rsidRPr="00CF611A">
              <w:rPr>
                <w:rFonts w:cs="Segoe UI Light"/>
                <w:sz w:val="18"/>
              </w:rPr>
              <w:t>,</w:t>
            </w:r>
            <w:r w:rsidRPr="00CF611A">
              <w:rPr>
                <w:rFonts w:cs="Segoe UI Light"/>
                <w:sz w:val="18"/>
              </w:rPr>
              <w:t>581 per applicant. Total cost is estimated to be approximately $4</w:t>
            </w:r>
            <w:r w:rsidR="009160C8" w:rsidRPr="00CF611A">
              <w:rPr>
                <w:rFonts w:cs="Segoe UI Light"/>
                <w:sz w:val="18"/>
              </w:rPr>
              <w:t>,</w:t>
            </w:r>
            <w:r w:rsidRPr="00CF611A">
              <w:rPr>
                <w:rFonts w:cs="Segoe UI Light"/>
                <w:sz w:val="18"/>
              </w:rPr>
              <w:t>750 per year.</w:t>
            </w:r>
          </w:p>
        </w:tc>
      </w:tr>
      <w:tr w:rsidR="001433A1" w:rsidRPr="009B2611" w14:paraId="31DBBB02" w14:textId="77777777" w:rsidTr="001433A1">
        <w:tc>
          <w:tcPr>
            <w:tcW w:w="1202" w:type="pct"/>
          </w:tcPr>
          <w:p w14:paraId="055FD3F4" w14:textId="77777777" w:rsidR="001433A1" w:rsidRPr="009B2611" w:rsidRDefault="001433A1" w:rsidP="001433A1">
            <w:pPr>
              <w:autoSpaceDE w:val="0"/>
              <w:autoSpaceDN w:val="0"/>
              <w:adjustRightInd w:val="0"/>
              <w:spacing w:after="0" w:line="240" w:lineRule="auto"/>
              <w:rPr>
                <w:rFonts w:cs="Segoe UI Light"/>
                <w:sz w:val="18"/>
              </w:rPr>
            </w:pPr>
            <w:r w:rsidRPr="009B2611">
              <w:rPr>
                <w:rFonts w:cs="Segoe UI Light"/>
                <w:sz w:val="18"/>
              </w:rPr>
              <w:t>Public access to Public Register.</w:t>
            </w:r>
          </w:p>
        </w:tc>
        <w:tc>
          <w:tcPr>
            <w:tcW w:w="3798" w:type="pct"/>
          </w:tcPr>
          <w:p w14:paraId="4852F708" w14:textId="77777777" w:rsidR="001433A1" w:rsidRPr="009B2611" w:rsidRDefault="001433A1" w:rsidP="001433A1">
            <w:pPr>
              <w:autoSpaceDE w:val="0"/>
              <w:autoSpaceDN w:val="0"/>
              <w:adjustRightInd w:val="0"/>
              <w:spacing w:after="0" w:line="240" w:lineRule="auto"/>
              <w:rPr>
                <w:rFonts w:cs="Segoe UI Light"/>
                <w:sz w:val="18"/>
              </w:rPr>
            </w:pPr>
            <w:r>
              <w:rPr>
                <w:rFonts w:cs="Segoe UI Light"/>
                <w:sz w:val="18"/>
              </w:rPr>
              <w:t>Part 14.5 of</w:t>
            </w:r>
            <w:r w:rsidRPr="00C640AB">
              <w:rPr>
                <w:rFonts w:cs="Segoe UI Light"/>
                <w:sz w:val="18"/>
              </w:rPr>
              <w:t xml:space="preserve"> the new EP legislation </w:t>
            </w:r>
            <w:r w:rsidRPr="009B2611">
              <w:rPr>
                <w:rFonts w:cs="Segoe UI Light"/>
                <w:sz w:val="18"/>
              </w:rPr>
              <w:t xml:space="preserve">requires the EPA to establish and maintain a Public Register in which is recorded the details of decisions, authorisations or documents made, issued, granted or prepared under </w:t>
            </w:r>
            <w:r>
              <w:rPr>
                <w:rFonts w:cs="Segoe UI Light"/>
                <w:sz w:val="18"/>
              </w:rPr>
              <w:t>the</w:t>
            </w:r>
            <w:r w:rsidRPr="00C640AB">
              <w:rPr>
                <w:rFonts w:cs="Segoe UI Light"/>
                <w:sz w:val="18"/>
              </w:rPr>
              <w:t xml:space="preserve"> new EP legislation</w:t>
            </w:r>
            <w:r w:rsidRPr="009B2611">
              <w:rPr>
                <w:rFonts w:cs="Segoe UI Light"/>
                <w:sz w:val="18"/>
              </w:rPr>
              <w:t xml:space="preserve"> including, but not limited to, enforceable undertakings, permissions, exemptions, site management orders and better environment plans. EPA has the power to charge a fee under s457(1)(b), however no fee is proposed to be charged as a fee may discourage members of the community from searching for information about specific organisations, specific circumstances or events, and specific properties. The EPA Inquiry Report noted that “Our consultations and social research revealed that the community views information as critically important for accountability – for judging and trusting EPA’s performance.” Recommendation 5.4 of the Inquiry included “Accountability and access to decision making, noting the importance of procedural fairness, transparency and access to information”. Access to the public register may also give members of the community access to information about a site they are interested in, for example whether </w:t>
            </w:r>
            <w:r w:rsidRPr="000E7C5E">
              <w:rPr>
                <w:rFonts w:cs="Segoe UI Light"/>
                <w:sz w:val="18"/>
              </w:rPr>
              <w:t>the site is affected by contamination or pollution. As members of the community might not be able to access such information otherwise, no fee is important to ensure equity of access.</w:t>
            </w:r>
            <w:r w:rsidRPr="009B2611">
              <w:rPr>
                <w:rFonts w:cs="Segoe UI Light"/>
                <w:sz w:val="18"/>
              </w:rPr>
              <w:t xml:space="preserve"> The costs of providing access to the public register are expected to be minor, particular given that some information will be accessible via EPA’S website</w:t>
            </w:r>
            <w:r>
              <w:rPr>
                <w:rFonts w:cs="Segoe UI Light"/>
                <w:sz w:val="18"/>
              </w:rPr>
              <w:t xml:space="preserve">.  </w:t>
            </w:r>
          </w:p>
        </w:tc>
      </w:tr>
      <w:tr w:rsidR="001433A1" w:rsidRPr="009B2611" w14:paraId="1B6DB6BD" w14:textId="77777777" w:rsidTr="001433A1">
        <w:tc>
          <w:tcPr>
            <w:tcW w:w="1202" w:type="pct"/>
          </w:tcPr>
          <w:p w14:paraId="55A2120B" w14:textId="77777777" w:rsidR="001433A1" w:rsidRDefault="001433A1" w:rsidP="001433A1">
            <w:pPr>
              <w:autoSpaceDE w:val="0"/>
              <w:autoSpaceDN w:val="0"/>
              <w:adjustRightInd w:val="0"/>
              <w:spacing w:after="0" w:line="240" w:lineRule="auto"/>
              <w:rPr>
                <w:rFonts w:cs="Segoe UI Light"/>
                <w:sz w:val="18"/>
              </w:rPr>
            </w:pPr>
            <w:r>
              <w:rPr>
                <w:rFonts w:cs="Segoe UI Light"/>
                <w:sz w:val="18"/>
              </w:rPr>
              <w:t xml:space="preserve">Development licence and </w:t>
            </w:r>
          </w:p>
          <w:p w14:paraId="459B136D" w14:textId="77777777" w:rsidR="001433A1" w:rsidRDefault="001433A1" w:rsidP="001433A1">
            <w:pPr>
              <w:autoSpaceDE w:val="0"/>
              <w:autoSpaceDN w:val="0"/>
              <w:adjustRightInd w:val="0"/>
              <w:spacing w:after="0" w:line="240" w:lineRule="auto"/>
              <w:rPr>
                <w:rFonts w:cs="Segoe UI Light"/>
                <w:sz w:val="18"/>
              </w:rPr>
            </w:pPr>
            <w:r>
              <w:rPr>
                <w:rFonts w:cs="Segoe UI Light"/>
                <w:sz w:val="18"/>
              </w:rPr>
              <w:t xml:space="preserve">pilot project licence: </w:t>
            </w:r>
          </w:p>
          <w:p w14:paraId="694517DC" w14:textId="77777777" w:rsidR="001433A1" w:rsidRPr="009B2611" w:rsidRDefault="001433A1" w:rsidP="001433A1">
            <w:pPr>
              <w:autoSpaceDE w:val="0"/>
              <w:autoSpaceDN w:val="0"/>
              <w:adjustRightInd w:val="0"/>
              <w:spacing w:after="0" w:line="240" w:lineRule="auto"/>
              <w:rPr>
                <w:rFonts w:cs="Segoe UI Light"/>
                <w:sz w:val="18"/>
              </w:rPr>
            </w:pPr>
            <w:r>
              <w:rPr>
                <w:rFonts w:cs="Segoe UI Light"/>
                <w:sz w:val="18"/>
              </w:rPr>
              <w:t>surrender</w:t>
            </w:r>
          </w:p>
        </w:tc>
        <w:tc>
          <w:tcPr>
            <w:tcW w:w="3798" w:type="pct"/>
          </w:tcPr>
          <w:p w14:paraId="1AB135E8" w14:textId="77777777" w:rsidR="001433A1" w:rsidRDefault="001433A1" w:rsidP="001433A1">
            <w:pPr>
              <w:autoSpaceDE w:val="0"/>
              <w:autoSpaceDN w:val="0"/>
              <w:adjustRightInd w:val="0"/>
              <w:spacing w:after="0" w:line="240" w:lineRule="auto"/>
              <w:rPr>
                <w:rFonts w:cs="Segoe UI Light"/>
                <w:sz w:val="18"/>
              </w:rPr>
            </w:pPr>
            <w:r w:rsidRPr="008B25FC">
              <w:rPr>
                <w:rFonts w:cs="Segoe UI Light"/>
                <w:sz w:val="18"/>
              </w:rPr>
              <w:t>If a licence holder ceases undertaking the activity for which the licence was issued, there might be ongoing environmental impacts. It is important that the licence is surrendered so EPA can assess whether the licence holder has complied with the GED and with their licence conditions, and whether any further action by the licence holder is required, for example decommissioning activities.</w:t>
            </w:r>
            <w:r>
              <w:t xml:space="preserve"> </w:t>
            </w:r>
            <w:r w:rsidRPr="002E7CEC">
              <w:rPr>
                <w:rFonts w:cs="Segoe UI Light"/>
                <w:sz w:val="18"/>
              </w:rPr>
              <w:t>Duty holders are unlikely to apply for surrender but charging a fee to surrender their licence would further discourage them</w:t>
            </w:r>
            <w:r>
              <w:rPr>
                <w:rFonts w:cs="Segoe UI Light"/>
                <w:sz w:val="18"/>
              </w:rPr>
              <w:t>.</w:t>
            </w:r>
          </w:p>
        </w:tc>
      </w:tr>
      <w:tr w:rsidR="001433A1" w:rsidRPr="009B2611" w14:paraId="1E82F1EB" w14:textId="77777777" w:rsidTr="001433A1">
        <w:tc>
          <w:tcPr>
            <w:tcW w:w="1202" w:type="pct"/>
          </w:tcPr>
          <w:p w14:paraId="5B081FA4" w14:textId="77777777" w:rsidR="001433A1" w:rsidRDefault="001433A1" w:rsidP="001433A1">
            <w:pPr>
              <w:autoSpaceDE w:val="0"/>
              <w:autoSpaceDN w:val="0"/>
              <w:adjustRightInd w:val="0"/>
              <w:spacing w:after="0" w:line="240" w:lineRule="auto"/>
              <w:rPr>
                <w:rFonts w:cs="Segoe UI Light"/>
                <w:sz w:val="18"/>
              </w:rPr>
            </w:pPr>
            <w:bookmarkStart w:id="1927" w:name="_Hlk15896638"/>
            <w:r w:rsidRPr="00C640AB">
              <w:rPr>
                <w:rFonts w:cs="Segoe UI Light"/>
                <w:sz w:val="18"/>
              </w:rPr>
              <w:t>Application for environmental auditor appointme</w:t>
            </w:r>
            <w:r w:rsidRPr="00785A28">
              <w:rPr>
                <w:rFonts w:cs="Segoe UI Light"/>
                <w:sz w:val="18"/>
              </w:rPr>
              <w:t>nt (</w:t>
            </w:r>
            <w:r w:rsidRPr="00CF611A">
              <w:rPr>
                <w:rFonts w:cs="Segoe UI Light"/>
                <w:sz w:val="18"/>
              </w:rPr>
              <w:t>in accordance with the provisions of the Commonwealth Mutual Recognition Act 1992</w:t>
            </w:r>
            <w:r w:rsidRPr="00C640AB">
              <w:rPr>
                <w:rFonts w:cs="Segoe UI Light"/>
                <w:sz w:val="18"/>
              </w:rPr>
              <w:t>)</w:t>
            </w:r>
            <w:bookmarkEnd w:id="1927"/>
          </w:p>
        </w:tc>
        <w:tc>
          <w:tcPr>
            <w:tcW w:w="3798" w:type="pct"/>
          </w:tcPr>
          <w:p w14:paraId="61B2AC25" w14:textId="77777777" w:rsidR="001433A1" w:rsidRDefault="001433A1" w:rsidP="001433A1">
            <w:pPr>
              <w:autoSpaceDE w:val="0"/>
              <w:autoSpaceDN w:val="0"/>
              <w:adjustRightInd w:val="0"/>
              <w:spacing w:after="0" w:line="240" w:lineRule="auto"/>
              <w:rPr>
                <w:rFonts w:cs="Segoe UI Light"/>
                <w:sz w:val="18"/>
              </w:rPr>
            </w:pPr>
            <w:r w:rsidRPr="009B2611">
              <w:rPr>
                <w:rFonts w:cs="Segoe UI Light"/>
                <w:sz w:val="18"/>
              </w:rPr>
              <w:t xml:space="preserve">EPA may set </w:t>
            </w:r>
            <w:r>
              <w:rPr>
                <w:rFonts w:cs="Segoe UI Light"/>
                <w:sz w:val="18"/>
              </w:rPr>
              <w:t xml:space="preserve">a </w:t>
            </w:r>
            <w:r w:rsidRPr="009B2611">
              <w:rPr>
                <w:rFonts w:cs="Segoe UI Light"/>
                <w:sz w:val="18"/>
              </w:rPr>
              <w:t xml:space="preserve">prescribed fee for an application for </w:t>
            </w:r>
            <w:r>
              <w:rPr>
                <w:rFonts w:cs="Segoe UI Light"/>
                <w:sz w:val="18"/>
              </w:rPr>
              <w:t xml:space="preserve">appointment as environmental auditor under section 191(3) of </w:t>
            </w:r>
            <w:r w:rsidRPr="00CB51FF">
              <w:rPr>
                <w:rFonts w:cs="Segoe UI Light"/>
                <w:sz w:val="18"/>
              </w:rPr>
              <w:t>the new EP legislation</w:t>
            </w:r>
            <w:r w:rsidRPr="009B2611">
              <w:rPr>
                <w:rFonts w:cs="Segoe UI Light"/>
                <w:sz w:val="18"/>
              </w:rPr>
              <w:t>.</w:t>
            </w:r>
            <w:r>
              <w:rPr>
                <w:rFonts w:cs="Segoe UI Light"/>
                <w:sz w:val="18"/>
              </w:rPr>
              <w:t xml:space="preserve"> </w:t>
            </w:r>
            <w:r w:rsidRPr="00C640AB">
              <w:rPr>
                <w:rFonts w:cs="Segoe UI Light"/>
                <w:sz w:val="18"/>
              </w:rPr>
              <w:t xml:space="preserve">For auditors </w:t>
            </w:r>
            <w:r w:rsidRPr="00CF611A">
              <w:rPr>
                <w:rFonts w:cs="Segoe UI Light"/>
                <w:sz w:val="18"/>
              </w:rPr>
              <w:t>who</w:t>
            </w:r>
            <w:r w:rsidRPr="00C640AB">
              <w:rPr>
                <w:rFonts w:cs="Segoe UI Light"/>
                <w:sz w:val="18"/>
              </w:rPr>
              <w:t xml:space="preserve"> have been appointed in another jurisdiction, the majority of the costs associated with an application would have already been borne. As such, imposing a fee to recover costs incurred by EPA for this activity would be at odds with the purpose of the Mutual Recognition Act 1992 (i.e. ‘promoting the goal of freedom of movement of goods and service providers in a national market in Australia’).</w:t>
            </w:r>
          </w:p>
        </w:tc>
      </w:tr>
    </w:tbl>
    <w:p w14:paraId="20877C1F" w14:textId="77777777" w:rsidR="001433A1" w:rsidRPr="009B2611" w:rsidRDefault="001433A1" w:rsidP="001433A1">
      <w:pPr>
        <w:rPr>
          <w:rFonts w:cs="Segoe UI Light"/>
          <w:sz w:val="18"/>
        </w:rPr>
      </w:pPr>
    </w:p>
    <w:p w14:paraId="08B16A23" w14:textId="77777777" w:rsidR="001433A1" w:rsidRPr="00037AF8" w:rsidRDefault="001433A1" w:rsidP="001433A1">
      <w:pPr>
        <w:rPr>
          <w:rFonts w:cs="Segoe UI Light"/>
          <w:b/>
          <w:i/>
          <w:szCs w:val="20"/>
        </w:rPr>
      </w:pPr>
      <w:r w:rsidRPr="00037AF8">
        <w:rPr>
          <w:rFonts w:cs="Segoe UI Light"/>
          <w:b/>
          <w:i/>
          <w:szCs w:val="20"/>
        </w:rPr>
        <w:t>Development licence applications and operating licence annual fees</w:t>
      </w:r>
    </w:p>
    <w:p w14:paraId="19416F06" w14:textId="77777777" w:rsidR="001433A1" w:rsidRPr="009B2611" w:rsidRDefault="001433A1" w:rsidP="001433A1">
      <w:r w:rsidRPr="009B2611">
        <w:t xml:space="preserve">Previously known in the EP Act 1970 as </w:t>
      </w:r>
      <w:r>
        <w:t>‘w</w:t>
      </w:r>
      <w:r w:rsidRPr="009B2611">
        <w:t xml:space="preserve">orks </w:t>
      </w:r>
      <w:r>
        <w:t>a</w:t>
      </w:r>
      <w:r w:rsidRPr="009B2611">
        <w:t>pprovals</w:t>
      </w:r>
      <w:r>
        <w:t>’</w:t>
      </w:r>
      <w:r w:rsidRPr="009B2611">
        <w:rPr>
          <w:szCs w:val="20"/>
        </w:rPr>
        <w:t xml:space="preserve">, </w:t>
      </w:r>
      <w:r>
        <w:rPr>
          <w:szCs w:val="20"/>
        </w:rPr>
        <w:t xml:space="preserve">the EP Legislation provides that a person must not engage in one or more of the following activities except as authorised by a </w:t>
      </w:r>
      <w:r w:rsidRPr="009B2611">
        <w:rPr>
          <w:i/>
          <w:szCs w:val="20"/>
        </w:rPr>
        <w:t>development licence</w:t>
      </w:r>
      <w:r>
        <w:rPr>
          <w:szCs w:val="20"/>
        </w:rPr>
        <w:t xml:space="preserve"> in respect of the activity</w:t>
      </w:r>
      <w:r w:rsidRPr="009B2611">
        <w:rPr>
          <w:szCs w:val="20"/>
        </w:rPr>
        <w:t>:</w:t>
      </w:r>
    </w:p>
    <w:p w14:paraId="7E4CF665" w14:textId="77777777" w:rsidR="001433A1" w:rsidRPr="006012D4" w:rsidRDefault="001433A1" w:rsidP="001433A1">
      <w:pPr>
        <w:numPr>
          <w:ilvl w:val="0"/>
          <w:numId w:val="124"/>
        </w:numPr>
        <w:contextualSpacing/>
        <w:textboxTightWrap w:val="allLines"/>
      </w:pPr>
      <w:r>
        <w:rPr>
          <w:szCs w:val="20"/>
        </w:rPr>
        <w:t>T</w:t>
      </w:r>
      <w:r w:rsidRPr="009B2611">
        <w:rPr>
          <w:szCs w:val="20"/>
        </w:rPr>
        <w:t>he construction or installation of plant or equipment</w:t>
      </w:r>
      <w:r>
        <w:rPr>
          <w:szCs w:val="20"/>
        </w:rPr>
        <w:t xml:space="preserve"> for a prescribed development activity</w:t>
      </w:r>
      <w:r w:rsidRPr="009B2611">
        <w:rPr>
          <w:szCs w:val="20"/>
        </w:rPr>
        <w:t xml:space="preserve">, or </w:t>
      </w:r>
    </w:p>
    <w:p w14:paraId="699569E3" w14:textId="77777777" w:rsidR="001433A1" w:rsidRPr="009B2611" w:rsidRDefault="001433A1" w:rsidP="001433A1">
      <w:pPr>
        <w:numPr>
          <w:ilvl w:val="0"/>
          <w:numId w:val="124"/>
        </w:numPr>
        <w:contextualSpacing/>
        <w:textboxTightWrap w:val="allLines"/>
      </w:pPr>
      <w:r>
        <w:rPr>
          <w:szCs w:val="20"/>
        </w:rPr>
        <w:t>T</w:t>
      </w:r>
      <w:r w:rsidRPr="009B2611">
        <w:rPr>
          <w:szCs w:val="20"/>
        </w:rPr>
        <w:t>he development of processes or systems for a prescribed development activity, or</w:t>
      </w:r>
    </w:p>
    <w:p w14:paraId="240C2A91" w14:textId="77777777" w:rsidR="001433A1" w:rsidRPr="009B2611" w:rsidRDefault="001433A1" w:rsidP="001433A1">
      <w:pPr>
        <w:numPr>
          <w:ilvl w:val="0"/>
          <w:numId w:val="124"/>
        </w:numPr>
        <w:contextualSpacing/>
        <w:textboxTightWrap w:val="allLines"/>
      </w:pPr>
      <w:r>
        <w:rPr>
          <w:szCs w:val="20"/>
        </w:rPr>
        <w:t>T</w:t>
      </w:r>
      <w:r w:rsidRPr="009B2611">
        <w:rPr>
          <w:szCs w:val="20"/>
        </w:rPr>
        <w:t>he modification, other than general maintenance, of plant, equipment, processes or systems for a prescribed development activity or of the operation of a prescribed development activity:</w:t>
      </w:r>
    </w:p>
    <w:p w14:paraId="01C9D53F" w14:textId="77777777" w:rsidR="001433A1" w:rsidRPr="009B2611" w:rsidRDefault="001433A1" w:rsidP="001433A1">
      <w:pPr>
        <w:numPr>
          <w:ilvl w:val="1"/>
          <w:numId w:val="124"/>
        </w:numPr>
        <w:ind w:left="993" w:hanging="284"/>
        <w:contextualSpacing/>
        <w:textboxTightWrap w:val="allLines"/>
      </w:pPr>
      <w:r>
        <w:rPr>
          <w:szCs w:val="20"/>
        </w:rPr>
        <w:t>I</w:t>
      </w:r>
      <w:r w:rsidRPr="009B2611">
        <w:rPr>
          <w:szCs w:val="20"/>
        </w:rPr>
        <w:t>f the modification creates a risk of material harm to human health or the environment from pollution or waste; or</w:t>
      </w:r>
    </w:p>
    <w:p w14:paraId="370679D3" w14:textId="77777777" w:rsidR="001433A1" w:rsidRPr="00AB2207" w:rsidRDefault="001433A1" w:rsidP="001433A1">
      <w:pPr>
        <w:numPr>
          <w:ilvl w:val="1"/>
          <w:numId w:val="45"/>
        </w:numPr>
        <w:spacing w:after="0"/>
        <w:ind w:left="993" w:hanging="284"/>
        <w:rPr>
          <w:szCs w:val="20"/>
        </w:rPr>
      </w:pPr>
      <w:r>
        <w:rPr>
          <w:szCs w:val="20"/>
        </w:rPr>
        <w:t>I</w:t>
      </w:r>
      <w:r w:rsidRPr="009B2611">
        <w:rPr>
          <w:szCs w:val="20"/>
        </w:rPr>
        <w:t>n prescribed circumstances.</w:t>
      </w:r>
    </w:p>
    <w:p w14:paraId="0E7C6661" w14:textId="77777777" w:rsidR="001433A1" w:rsidRPr="009B2611" w:rsidRDefault="001433A1" w:rsidP="001433A1">
      <w:pPr>
        <w:ind w:left="993"/>
        <w:contextualSpacing/>
        <w:textboxTightWrap w:val="allLines"/>
      </w:pPr>
    </w:p>
    <w:p w14:paraId="55704FBC" w14:textId="77777777" w:rsidR="001433A1" w:rsidRPr="009B2611" w:rsidRDefault="001433A1" w:rsidP="001433A1">
      <w:pPr>
        <w:rPr>
          <w:rFonts w:cs="Segoe UI Light"/>
          <w:szCs w:val="20"/>
        </w:rPr>
      </w:pPr>
      <w:r>
        <w:rPr>
          <w:szCs w:val="24"/>
        </w:rPr>
        <w:t>Previously known in the EP Act 1970 as ‘</w:t>
      </w:r>
      <w:r w:rsidRPr="00EE3F36">
        <w:rPr>
          <w:szCs w:val="24"/>
        </w:rPr>
        <w:t>licenses</w:t>
      </w:r>
      <w:r>
        <w:rPr>
          <w:szCs w:val="24"/>
        </w:rPr>
        <w:t>’, t</w:t>
      </w:r>
      <w:r w:rsidRPr="006012D4">
        <w:rPr>
          <w:szCs w:val="24"/>
        </w:rPr>
        <w:t>he</w:t>
      </w:r>
      <w:r>
        <w:rPr>
          <w:szCs w:val="24"/>
        </w:rPr>
        <w:t xml:space="preserve"> EP Legislation provides that</w:t>
      </w:r>
      <w:r w:rsidRPr="009B2611">
        <w:rPr>
          <w:szCs w:val="24"/>
        </w:rPr>
        <w:t xml:space="preserve"> a person must not engage in a prescribed operating activity except as authorised by an </w:t>
      </w:r>
      <w:r w:rsidRPr="009B2611">
        <w:rPr>
          <w:i/>
          <w:szCs w:val="24"/>
        </w:rPr>
        <w:t>operating licence</w:t>
      </w:r>
      <w:r w:rsidRPr="009B2611">
        <w:rPr>
          <w:szCs w:val="24"/>
        </w:rPr>
        <w:t xml:space="preserve"> in respect of the activity (see Chapter 6 of this RIS for discussion of proposed cohorts). </w:t>
      </w:r>
      <w:r w:rsidRPr="009B2611">
        <w:rPr>
          <w:rFonts w:cs="Segoe UI Light"/>
          <w:szCs w:val="20"/>
        </w:rPr>
        <w:t xml:space="preserve">Licences impose conditions on the regulated activity in order to protect the environment. Compliance with the conditions is monitored by EPA. </w:t>
      </w:r>
    </w:p>
    <w:p w14:paraId="50AFB77D" w14:textId="77777777" w:rsidR="001433A1" w:rsidRPr="009B2611" w:rsidRDefault="001433A1" w:rsidP="001433A1">
      <w:pPr>
        <w:rPr>
          <w:rFonts w:cs="Segoe UI Light"/>
          <w:sz w:val="18"/>
        </w:rPr>
      </w:pPr>
      <w:r w:rsidRPr="009B2611">
        <w:rPr>
          <w:rFonts w:cs="Segoe UI Light"/>
          <w:szCs w:val="20"/>
        </w:rPr>
        <w:t>EPA’s preferred fee option for both development licence applications and almost al</w:t>
      </w:r>
      <w:r>
        <w:rPr>
          <w:rFonts w:cs="Segoe UI Light"/>
          <w:szCs w:val="20"/>
        </w:rPr>
        <w:t>l</w:t>
      </w:r>
      <w:r>
        <w:rPr>
          <w:rStyle w:val="FootnoteReference"/>
          <w:rFonts w:cs="Segoe UI Light"/>
          <w:szCs w:val="20"/>
        </w:rPr>
        <w:footnoteReference w:id="319"/>
      </w:r>
      <w:r>
        <w:rPr>
          <w:rFonts w:cs="Segoe UI Light"/>
          <w:szCs w:val="20"/>
        </w:rPr>
        <w:t xml:space="preserve"> </w:t>
      </w:r>
      <w:r w:rsidRPr="009B2611">
        <w:rPr>
          <w:rFonts w:cs="Segoe UI Light"/>
          <w:szCs w:val="20"/>
        </w:rPr>
        <w:t xml:space="preserve">operating licence annual </w:t>
      </w:r>
      <w:r>
        <w:rPr>
          <w:rFonts w:cs="Segoe UI Light"/>
          <w:szCs w:val="20"/>
        </w:rPr>
        <w:t>fees</w:t>
      </w:r>
      <w:r w:rsidRPr="009B2611">
        <w:rPr>
          <w:rFonts w:cs="Segoe UI Light"/>
          <w:szCs w:val="20"/>
        </w:rPr>
        <w:t xml:space="preserve"> is to maintain the existing fees set under the EP Act 1970. </w:t>
      </w:r>
      <w:r>
        <w:rPr>
          <w:rFonts w:cs="Segoe UI Light"/>
          <w:szCs w:val="20"/>
        </w:rPr>
        <w:t xml:space="preserve">Together these account for over </w:t>
      </w:r>
      <w:r w:rsidRPr="00273534">
        <w:rPr>
          <w:rFonts w:cs="Segoe UI Light"/>
          <w:szCs w:val="20"/>
        </w:rPr>
        <w:t>80%</w:t>
      </w:r>
      <w:r>
        <w:rPr>
          <w:rFonts w:cs="Segoe UI Light"/>
          <w:szCs w:val="20"/>
        </w:rPr>
        <w:t xml:space="preserve"> of EPA’s total fee revenue. </w:t>
      </w:r>
      <w:r w:rsidRPr="009B2611">
        <w:rPr>
          <w:rFonts w:cs="Segoe UI Light"/>
          <w:szCs w:val="20"/>
        </w:rPr>
        <w:t xml:space="preserve">A significant under-recovery of development licence costs will be </w:t>
      </w:r>
      <w:r>
        <w:rPr>
          <w:rFonts w:cs="Segoe UI Light"/>
          <w:szCs w:val="20"/>
        </w:rPr>
        <w:t>recouped</w:t>
      </w:r>
      <w:r w:rsidRPr="009B2611">
        <w:rPr>
          <w:rFonts w:cs="Segoe UI Light"/>
          <w:szCs w:val="20"/>
        </w:rPr>
        <w:t xml:space="preserve"> </w:t>
      </w:r>
      <w:r>
        <w:rPr>
          <w:rFonts w:cs="Segoe UI Light"/>
          <w:szCs w:val="20"/>
        </w:rPr>
        <w:t>from</w:t>
      </w:r>
      <w:r w:rsidRPr="009B2611">
        <w:rPr>
          <w:rFonts w:cs="Segoe UI Light"/>
          <w:szCs w:val="20"/>
        </w:rPr>
        <w:t xml:space="preserve"> operating licence</w:t>
      </w:r>
      <w:r>
        <w:rPr>
          <w:rFonts w:cs="Segoe UI Light"/>
          <w:szCs w:val="20"/>
        </w:rPr>
        <w:t xml:space="preserve"> annual fee</w:t>
      </w:r>
      <w:r w:rsidRPr="009B2611">
        <w:rPr>
          <w:rFonts w:cs="Segoe UI Light"/>
          <w:szCs w:val="20"/>
        </w:rPr>
        <w:t>s which will over-recover their cost of administration. This is the arrangement currently in place.</w:t>
      </w:r>
    </w:p>
    <w:p w14:paraId="001F083C" w14:textId="7DAC1EE7" w:rsidR="001433A1" w:rsidRPr="009B2611" w:rsidRDefault="001433A1" w:rsidP="001433A1">
      <w:pPr>
        <w:rPr>
          <w:rFonts w:cs="Segoe UI Light"/>
          <w:szCs w:val="20"/>
        </w:rPr>
      </w:pPr>
      <w:r w:rsidRPr="009B2611">
        <w:rPr>
          <w:rFonts w:cs="Segoe UI Light"/>
          <w:szCs w:val="20"/>
        </w:rPr>
        <w:t>There are expected to be approximately 30 development licence applications a year. Under the preferred fee structure for development licence applications, costs total $1.</w:t>
      </w:r>
      <w:r w:rsidR="00A636F9">
        <w:rPr>
          <w:rFonts w:cs="Segoe UI Light"/>
          <w:szCs w:val="20"/>
        </w:rPr>
        <w:t>6</w:t>
      </w:r>
      <w:r w:rsidRPr="009B2611">
        <w:rPr>
          <w:rFonts w:cs="Segoe UI Light"/>
          <w:szCs w:val="20"/>
        </w:rPr>
        <w:t xml:space="preserve"> million, while fee revenue is expected to total $0.6 million, </w:t>
      </w:r>
      <w:r>
        <w:rPr>
          <w:rFonts w:cs="Segoe UI Light"/>
          <w:szCs w:val="20"/>
        </w:rPr>
        <w:t>meaning</w:t>
      </w:r>
      <w:r w:rsidRPr="009B2611">
        <w:rPr>
          <w:rFonts w:cs="Segoe UI Light"/>
          <w:szCs w:val="20"/>
        </w:rPr>
        <w:t xml:space="preserve"> a cost recovery percentage of 37%. </w:t>
      </w:r>
    </w:p>
    <w:p w14:paraId="418BA6C3" w14:textId="6D6A5906" w:rsidR="001433A1" w:rsidRPr="009B2611" w:rsidRDefault="001433A1" w:rsidP="001433A1">
      <w:pPr>
        <w:rPr>
          <w:rFonts w:cs="Segoe UI Light"/>
          <w:szCs w:val="20"/>
        </w:rPr>
      </w:pPr>
      <w:r w:rsidRPr="009B2611">
        <w:rPr>
          <w:rFonts w:cs="Segoe UI Light"/>
          <w:szCs w:val="20"/>
        </w:rPr>
        <w:t>As noted above, EPA has not calculated the costs of administering</w:t>
      </w:r>
      <w:r>
        <w:rPr>
          <w:rFonts w:cs="Segoe UI Light"/>
          <w:szCs w:val="20"/>
        </w:rPr>
        <w:t xml:space="preserve"> operating </w:t>
      </w:r>
      <w:r w:rsidRPr="009B2611">
        <w:rPr>
          <w:rFonts w:cs="Segoe UI Light"/>
          <w:szCs w:val="20"/>
        </w:rPr>
        <w:t>licence</w:t>
      </w:r>
      <w:r>
        <w:rPr>
          <w:rFonts w:cs="Segoe UI Light"/>
          <w:szCs w:val="20"/>
        </w:rPr>
        <w:t xml:space="preserve"> annual fees</w:t>
      </w:r>
      <w:r w:rsidRPr="009B2611">
        <w:rPr>
          <w:rFonts w:cs="Segoe UI Light"/>
          <w:szCs w:val="20"/>
        </w:rPr>
        <w:t xml:space="preserve"> from the ground up using </w:t>
      </w:r>
      <w:r>
        <w:rPr>
          <w:rFonts w:cs="Segoe UI Light"/>
          <w:szCs w:val="20"/>
        </w:rPr>
        <w:t xml:space="preserve">detailed </w:t>
      </w:r>
      <w:r w:rsidRPr="009B2611">
        <w:rPr>
          <w:rFonts w:cs="Segoe UI Light"/>
          <w:szCs w:val="20"/>
        </w:rPr>
        <w:t>process map</w:t>
      </w:r>
      <w:r>
        <w:rPr>
          <w:rFonts w:cs="Segoe UI Light"/>
          <w:szCs w:val="20"/>
        </w:rPr>
        <w:t xml:space="preserve">pings, </w:t>
      </w:r>
      <w:r w:rsidRPr="009B2611">
        <w:rPr>
          <w:rFonts w:cs="Segoe UI Light"/>
          <w:szCs w:val="20"/>
        </w:rPr>
        <w:t xml:space="preserve">due to lack of </w:t>
      </w:r>
      <w:r w:rsidRPr="00C640AB">
        <w:rPr>
          <w:rFonts w:cs="Segoe UI Light"/>
          <w:szCs w:val="20"/>
        </w:rPr>
        <w:t>data</w:t>
      </w:r>
      <w:r w:rsidRPr="009B2611">
        <w:rPr>
          <w:rFonts w:cs="Segoe UI Light"/>
          <w:szCs w:val="20"/>
        </w:rPr>
        <w:t xml:space="preserve">. </w:t>
      </w:r>
      <w:r>
        <w:rPr>
          <w:rFonts w:cs="Segoe UI Light"/>
          <w:szCs w:val="20"/>
        </w:rPr>
        <w:t>The best available data</w:t>
      </w:r>
      <w:r w:rsidRPr="009B2611">
        <w:rPr>
          <w:rFonts w:cs="Segoe UI Light"/>
          <w:szCs w:val="20"/>
        </w:rPr>
        <w:t xml:space="preserve"> </w:t>
      </w:r>
      <w:r>
        <w:rPr>
          <w:rFonts w:cs="Segoe UI Light"/>
          <w:szCs w:val="20"/>
        </w:rPr>
        <w:t xml:space="preserve">for </w:t>
      </w:r>
      <w:r w:rsidRPr="009B2611">
        <w:rPr>
          <w:rFonts w:cs="Segoe UI Light"/>
          <w:szCs w:val="20"/>
        </w:rPr>
        <w:t>estimat</w:t>
      </w:r>
      <w:r>
        <w:rPr>
          <w:rFonts w:cs="Segoe UI Light"/>
          <w:szCs w:val="20"/>
        </w:rPr>
        <w:t>ing the</w:t>
      </w:r>
      <w:r w:rsidRPr="009B2611">
        <w:rPr>
          <w:rFonts w:cs="Segoe UI Light"/>
          <w:szCs w:val="20"/>
        </w:rPr>
        <w:t xml:space="preserve"> cost </w:t>
      </w:r>
      <w:r>
        <w:rPr>
          <w:rFonts w:cs="Segoe UI Light"/>
          <w:szCs w:val="20"/>
        </w:rPr>
        <w:t>of</w:t>
      </w:r>
      <w:r w:rsidRPr="009B2611">
        <w:rPr>
          <w:rFonts w:cs="Segoe UI Light"/>
          <w:szCs w:val="20"/>
        </w:rPr>
        <w:t xml:space="preserve"> administering this licence </w:t>
      </w:r>
      <w:r>
        <w:rPr>
          <w:rFonts w:cs="Segoe UI Light"/>
          <w:szCs w:val="20"/>
        </w:rPr>
        <w:t xml:space="preserve">is </w:t>
      </w:r>
      <w:r w:rsidRPr="009B2611">
        <w:rPr>
          <w:rFonts w:cs="Segoe UI Light"/>
          <w:szCs w:val="20"/>
        </w:rPr>
        <w:t>presented in EPA’s 2012 Fees RIS</w:t>
      </w:r>
      <w:r>
        <w:rPr>
          <w:rFonts w:cs="Segoe UI Light"/>
          <w:szCs w:val="20"/>
        </w:rPr>
        <w:t>,</w:t>
      </w:r>
      <w:r w:rsidRPr="009B2611">
        <w:rPr>
          <w:rFonts w:cs="Segoe UI Light"/>
          <w:szCs w:val="20"/>
          <w:vertAlign w:val="superscript"/>
        </w:rPr>
        <w:footnoteReference w:id="320"/>
      </w:r>
      <w:r w:rsidRPr="009B2611">
        <w:rPr>
          <w:rFonts w:cs="Segoe UI Light"/>
          <w:szCs w:val="20"/>
        </w:rPr>
        <w:t xml:space="preserve"> with some adjustments to certain components reflecting new EPA analysis. This has resulted in an estimated annual cost of $9,4</w:t>
      </w:r>
      <w:r w:rsidR="00FF1C9E">
        <w:rPr>
          <w:rFonts w:cs="Segoe UI Light"/>
          <w:szCs w:val="20"/>
        </w:rPr>
        <w:t>78,241</w:t>
      </w:r>
      <w:r w:rsidRPr="009B2611">
        <w:rPr>
          <w:rFonts w:cs="Segoe UI Light"/>
          <w:szCs w:val="20"/>
        </w:rPr>
        <w:t xml:space="preserve"> for administering </w:t>
      </w:r>
      <w:r>
        <w:rPr>
          <w:rFonts w:cs="Segoe UI Light"/>
          <w:szCs w:val="20"/>
        </w:rPr>
        <w:t>operating</w:t>
      </w:r>
      <w:r w:rsidRPr="009B2611">
        <w:rPr>
          <w:rFonts w:cs="Segoe UI Light"/>
          <w:szCs w:val="20"/>
        </w:rPr>
        <w:t xml:space="preserve"> licence</w:t>
      </w:r>
      <w:r>
        <w:rPr>
          <w:rFonts w:cs="Segoe UI Light"/>
          <w:szCs w:val="20"/>
        </w:rPr>
        <w:t>s</w:t>
      </w:r>
      <w:r w:rsidRPr="009B2611">
        <w:rPr>
          <w:rFonts w:cs="Segoe UI Light"/>
          <w:szCs w:val="20"/>
        </w:rPr>
        <w:t xml:space="preserve">. This includes the administrative costs associated </w:t>
      </w:r>
      <w:r>
        <w:rPr>
          <w:rFonts w:cs="Segoe UI Light"/>
          <w:szCs w:val="20"/>
        </w:rPr>
        <w:t xml:space="preserve">with assessing </w:t>
      </w:r>
      <w:r w:rsidRPr="009B2611">
        <w:rPr>
          <w:rFonts w:cs="Segoe UI Light"/>
          <w:szCs w:val="20"/>
        </w:rPr>
        <w:t>applications, the issuing of licences, ongoing guidance and advice to licensees, compliance, monitoring, inspections and some aspects of investigation and enforcement.</w:t>
      </w:r>
      <w:r w:rsidRPr="009B2611" w:rsidDel="00BD61A5">
        <w:rPr>
          <w:rFonts w:cs="Segoe UI Light"/>
          <w:szCs w:val="20"/>
          <w:highlight w:val="yellow"/>
        </w:rPr>
        <w:t xml:space="preserve"> </w:t>
      </w:r>
    </w:p>
    <w:p w14:paraId="25894CD4" w14:textId="77777777" w:rsidR="001433A1" w:rsidRPr="009B2611" w:rsidRDefault="001433A1" w:rsidP="001433A1">
      <w:pPr>
        <w:rPr>
          <w:rFonts w:cs="Segoe UI Light"/>
          <w:szCs w:val="20"/>
        </w:rPr>
      </w:pPr>
      <w:r w:rsidRPr="009B2611">
        <w:rPr>
          <w:rFonts w:cs="Segoe UI Light"/>
          <w:szCs w:val="20"/>
        </w:rPr>
        <w:t xml:space="preserve">In regard to the </w:t>
      </w:r>
      <w:r>
        <w:rPr>
          <w:rFonts w:cs="Segoe UI Light"/>
          <w:szCs w:val="20"/>
        </w:rPr>
        <w:t>cost recovery</w:t>
      </w:r>
      <w:r w:rsidRPr="009B2611">
        <w:rPr>
          <w:rFonts w:cs="Segoe UI Light"/>
          <w:szCs w:val="20"/>
        </w:rPr>
        <w:t xml:space="preserve"> approach noted above, the 2012 Fees RIS</w:t>
      </w:r>
      <w:r w:rsidRPr="00A0507B">
        <w:rPr>
          <w:rFonts w:cs="Segoe UI Light"/>
          <w:szCs w:val="20"/>
        </w:rPr>
        <w:t xml:space="preserve"> </w:t>
      </w:r>
      <w:r w:rsidRPr="009B2611">
        <w:rPr>
          <w:rFonts w:cs="Segoe UI Light"/>
          <w:szCs w:val="20"/>
        </w:rPr>
        <w:t>observed:</w:t>
      </w:r>
    </w:p>
    <w:p w14:paraId="1F55158B" w14:textId="77777777" w:rsidR="001433A1" w:rsidRPr="009B2611" w:rsidRDefault="001433A1" w:rsidP="001433A1">
      <w:pPr>
        <w:ind w:left="720"/>
        <w:rPr>
          <w:rFonts w:cs="Segoe UI Light"/>
          <w:i/>
          <w:szCs w:val="20"/>
        </w:rPr>
      </w:pPr>
      <w:r w:rsidRPr="009B2611">
        <w:rPr>
          <w:rFonts w:cs="Segoe UI Light"/>
          <w:i/>
          <w:szCs w:val="20"/>
        </w:rPr>
        <w:t xml:space="preserve">Given the large amount currently under-recovered from works approvals, it is proposed that the balance required should be collected from licensees; in other words, this amount is added to the cost base of licences. When fees are designed, ‘cross-subsidies’ should generally be avoided. However, in the present case, there is a strong nexus between works approvals and licences. It makes sense to charge licensees for the cost of their works approval over the life of their activity, rather than as an upfront cost, because the latter approach could create a barrier to entry for smaller businesses. </w:t>
      </w:r>
    </w:p>
    <w:p w14:paraId="1E2835A3" w14:textId="77777777" w:rsidR="001433A1" w:rsidRPr="009B2611" w:rsidRDefault="001433A1" w:rsidP="001433A1">
      <w:pPr>
        <w:ind w:left="720"/>
        <w:rPr>
          <w:rFonts w:cs="Segoe UI Light"/>
          <w:i/>
          <w:szCs w:val="20"/>
        </w:rPr>
      </w:pPr>
      <w:r w:rsidRPr="009B2611">
        <w:rPr>
          <w:rFonts w:cs="Segoe UI Light"/>
          <w:i/>
          <w:szCs w:val="20"/>
        </w:rPr>
        <w:t>In a practical sense, the works approval could be viewed as the first stage of the licensing process. In fact, there are no fees charged for licence applications, on the basis that all licensees would have undergone a works approval assessment prior to applying for a licence. By cost recovering an element of the works approval via annual licences, costs are spread over a number of years (on average) and large up-front fees are avoided. While all licensees would contribute to the cost recovery of ‘new’ works approvals, in the past licensees have benefited from the significant under-recovery of these fees.</w:t>
      </w:r>
      <w:r w:rsidRPr="009B2611">
        <w:rPr>
          <w:rFonts w:cs="Segoe UI Light"/>
          <w:i/>
          <w:szCs w:val="20"/>
          <w:vertAlign w:val="superscript"/>
        </w:rPr>
        <w:footnoteReference w:id="321"/>
      </w:r>
    </w:p>
    <w:p w14:paraId="079E7447" w14:textId="77777777" w:rsidR="001433A1" w:rsidRDefault="001433A1" w:rsidP="001433A1">
      <w:pPr>
        <w:rPr>
          <w:rFonts w:cs="Segoe UI Light"/>
          <w:szCs w:val="20"/>
        </w:rPr>
      </w:pPr>
      <w:r w:rsidRPr="009B2611">
        <w:rPr>
          <w:rFonts w:cs="Segoe UI Light"/>
          <w:szCs w:val="20"/>
        </w:rPr>
        <w:t xml:space="preserve">There is a need to review this arrangement, particularly </w:t>
      </w:r>
      <w:r>
        <w:rPr>
          <w:rFonts w:cs="Segoe UI Light"/>
          <w:szCs w:val="20"/>
        </w:rPr>
        <w:t xml:space="preserve">as </w:t>
      </w:r>
      <w:r w:rsidRPr="009B2611">
        <w:rPr>
          <w:rFonts w:cs="Segoe UI Light"/>
          <w:szCs w:val="20"/>
        </w:rPr>
        <w:t>the two fees represent the largest components of EPA’s fees revenue</w:t>
      </w:r>
      <w:r>
        <w:rPr>
          <w:rFonts w:cs="Segoe UI Light"/>
          <w:szCs w:val="20"/>
        </w:rPr>
        <w:t>. It is important to note that the</w:t>
      </w:r>
      <w:r>
        <w:t xml:space="preserve"> </w:t>
      </w:r>
      <w:r w:rsidRPr="005911A5">
        <w:rPr>
          <w:i/>
          <w:iCs/>
        </w:rPr>
        <w:t>Cost Recovery Guidelines</w:t>
      </w:r>
      <w:r>
        <w:t xml:space="preserve"> state that cross-subsidies should be avoided. </w:t>
      </w:r>
      <w:r>
        <w:rPr>
          <w:rFonts w:cs="Segoe UI Light"/>
          <w:szCs w:val="20"/>
        </w:rPr>
        <w:t>However, EPA considers that it is more appropriate to maintain this arrangement at this time, until a future review of the fees is undertaken, following a period of experience under the new EP legislation. This will allow EPA to determine the appropriateness of a load-based licencing scheme as per Recommendation 16.1 of the EPA Inquiry. Existing arrangements are</w:t>
      </w:r>
      <w:r w:rsidRPr="009B2611">
        <w:rPr>
          <w:rFonts w:cs="Segoe UI Light"/>
          <w:szCs w:val="20"/>
        </w:rPr>
        <w:t xml:space="preserve"> also preferred as </w:t>
      </w:r>
      <w:r>
        <w:rPr>
          <w:rFonts w:cs="Segoe UI Light"/>
          <w:szCs w:val="20"/>
        </w:rPr>
        <w:t>they are</w:t>
      </w:r>
      <w:r w:rsidRPr="009B2611">
        <w:rPr>
          <w:rFonts w:cs="Segoe UI Light"/>
          <w:szCs w:val="20"/>
        </w:rPr>
        <w:t xml:space="preserve"> predictable and stable for current operating licence holders, particularly during this time of significant change to the environmental protection framework. </w:t>
      </w:r>
    </w:p>
    <w:p w14:paraId="64DF74E6" w14:textId="77777777" w:rsidR="001433A1" w:rsidRDefault="001433A1" w:rsidP="001433A1">
      <w:pPr>
        <w:rPr>
          <w:rFonts w:cs="Segoe UI Light"/>
          <w:szCs w:val="20"/>
        </w:rPr>
      </w:pPr>
      <w:r w:rsidRPr="009B2611">
        <w:rPr>
          <w:rFonts w:cs="Segoe UI Light"/>
          <w:szCs w:val="20"/>
        </w:rPr>
        <w:t xml:space="preserve">In advance of the future fees review, EPA intends to collect data on costs incurred across different activities and monitor the permission cohorts in order to develop a better understanding of its fee revenues and costs. Information to enable a more detailed review of operating licence fees is currently not available, primarily due to </w:t>
      </w:r>
      <w:r>
        <w:rPr>
          <w:rFonts w:cs="Segoe UI Light"/>
          <w:szCs w:val="20"/>
        </w:rPr>
        <w:t xml:space="preserve">timing and costs not being tracked for </w:t>
      </w:r>
      <w:r w:rsidRPr="009B2611">
        <w:rPr>
          <w:rFonts w:cs="Segoe UI Light"/>
          <w:szCs w:val="20"/>
        </w:rPr>
        <w:t>licensing activities. Improved data collection will be critical to EPA undertaking a detailed review of this fee in</w:t>
      </w:r>
      <w:r>
        <w:rPr>
          <w:rFonts w:cs="Segoe UI Light"/>
          <w:szCs w:val="20"/>
        </w:rPr>
        <w:t xml:space="preserve"> the </w:t>
      </w:r>
      <w:r w:rsidRPr="009B2611">
        <w:rPr>
          <w:rFonts w:cs="Segoe UI Light"/>
          <w:szCs w:val="20"/>
        </w:rPr>
        <w:t>future.</w:t>
      </w:r>
    </w:p>
    <w:p w14:paraId="6B9482BB" w14:textId="77777777" w:rsidR="001433A1" w:rsidRPr="00CB51FF" w:rsidRDefault="001433A1" w:rsidP="001433A1">
      <w:r>
        <w:t>As outlined in the Evaluation Strategy in Chapter 18, as part of the implementation process for the proposed Regulations, EPA will undertake a review of existing data sources to assess gaps in data and identify areas and strategies for improvement.</w:t>
      </w:r>
      <w:r w:rsidRPr="00433AC5">
        <w:t xml:space="preserve"> </w:t>
      </w:r>
      <w:r>
        <w:t>Table 18</w:t>
      </w:r>
      <w:r w:rsidRPr="00433AC5">
        <w:t xml:space="preserve">-2 refers to broad evaluation timeframes, including for </w:t>
      </w:r>
      <w:r>
        <w:t>a future fees/</w:t>
      </w:r>
      <w:r w:rsidRPr="00433AC5">
        <w:t>cost recovery review.</w:t>
      </w:r>
    </w:p>
    <w:p w14:paraId="3B681E58" w14:textId="77777777" w:rsidR="001433A1" w:rsidRPr="009B2611" w:rsidRDefault="001433A1" w:rsidP="001433A1">
      <w:pPr>
        <w:pStyle w:val="Heading2"/>
      </w:pPr>
      <w:bookmarkStart w:id="1928" w:name="_Ref16607337"/>
      <w:r w:rsidRPr="009B2611">
        <w:t>Broad fee design options considered in this RIS</w:t>
      </w:r>
      <w:bookmarkEnd w:id="1928"/>
    </w:p>
    <w:p w14:paraId="2460EAB7" w14:textId="77777777" w:rsidR="001433A1" w:rsidRPr="009B2611" w:rsidRDefault="001433A1" w:rsidP="001433A1">
      <w:pPr>
        <w:rPr>
          <w:rFonts w:cs="Segoe UI Light"/>
          <w:szCs w:val="20"/>
        </w:rPr>
      </w:pPr>
      <w:r w:rsidRPr="009B2611">
        <w:rPr>
          <w:rFonts w:cs="Segoe UI Light"/>
          <w:szCs w:val="20"/>
        </w:rPr>
        <w:t>Feasible broad fee design options include fees set at a flat rate, different variable structures, and a combination of these structures. These options are discussed below.</w:t>
      </w:r>
    </w:p>
    <w:p w14:paraId="351932AB" w14:textId="77777777" w:rsidR="001433A1" w:rsidRPr="009B2611" w:rsidRDefault="001433A1" w:rsidP="001433A1">
      <w:pPr>
        <w:spacing w:after="0"/>
        <w:rPr>
          <w:rFonts w:cs="Segoe UI Light"/>
          <w:b/>
          <w:szCs w:val="20"/>
        </w:rPr>
      </w:pPr>
      <w:r w:rsidRPr="009B2611">
        <w:rPr>
          <w:rFonts w:cs="Segoe UI Light"/>
          <w:b/>
          <w:szCs w:val="20"/>
        </w:rPr>
        <w:t>Option 1 — Flat fee, same for all parties</w:t>
      </w:r>
    </w:p>
    <w:p w14:paraId="22B988D7" w14:textId="77777777" w:rsidR="001433A1" w:rsidRPr="009B2611" w:rsidRDefault="001433A1" w:rsidP="001433A1">
      <w:pPr>
        <w:rPr>
          <w:rFonts w:cs="Segoe UI Light"/>
          <w:szCs w:val="20"/>
        </w:rPr>
      </w:pPr>
      <w:r w:rsidRPr="009B2611">
        <w:rPr>
          <w:rFonts w:cs="Segoe UI Light"/>
          <w:szCs w:val="20"/>
        </w:rPr>
        <w:t xml:space="preserve">Flat fees are set by calculating a simple average of costs across </w:t>
      </w:r>
      <w:r>
        <w:rPr>
          <w:rFonts w:cs="Segoe UI Light"/>
          <w:szCs w:val="20"/>
        </w:rPr>
        <w:t>applicants</w:t>
      </w:r>
      <w:r w:rsidRPr="009B2611">
        <w:rPr>
          <w:rFonts w:cs="Segoe UI Light"/>
          <w:szCs w:val="20"/>
        </w:rPr>
        <w:t>. The advantages of this approach are that it recovers all costs of delivering the services (assuming full cost recovery), and it is simple to understand and administer.</w:t>
      </w:r>
    </w:p>
    <w:p w14:paraId="42C354DB" w14:textId="77777777" w:rsidR="001433A1" w:rsidRPr="009B2611" w:rsidRDefault="001433A1" w:rsidP="001433A1">
      <w:pPr>
        <w:rPr>
          <w:rFonts w:cs="Segoe UI Light"/>
          <w:szCs w:val="20"/>
        </w:rPr>
      </w:pPr>
      <w:r w:rsidRPr="009B2611">
        <w:rPr>
          <w:rFonts w:cs="Segoe UI Light"/>
          <w:szCs w:val="20"/>
        </w:rPr>
        <w:t>Flat fees are generally more suitable for homogenous and repetitive processes. A potential disadvantage is that the parties that give rise to specific costs might not bear those costs if some parties cost a lot more for EPA to regulate than others. A flat fee might also disadvantage parties that have less ability to pay - small businesses in particular - and thus may present a barrier to entry, impacting competition.</w:t>
      </w:r>
    </w:p>
    <w:p w14:paraId="5A9B2A9A" w14:textId="77777777" w:rsidR="001433A1" w:rsidRPr="009B2611" w:rsidRDefault="001433A1" w:rsidP="001433A1">
      <w:pPr>
        <w:spacing w:after="0"/>
        <w:rPr>
          <w:rFonts w:cs="Segoe UI Light"/>
          <w:b/>
          <w:szCs w:val="20"/>
        </w:rPr>
      </w:pPr>
      <w:r w:rsidRPr="009B2611">
        <w:rPr>
          <w:rFonts w:cs="Segoe UI Light"/>
          <w:b/>
          <w:szCs w:val="20"/>
        </w:rPr>
        <w:t>Option 2 — Variable fees</w:t>
      </w:r>
    </w:p>
    <w:p w14:paraId="0DBE3602" w14:textId="77777777" w:rsidR="001433A1" w:rsidRPr="0098301E" w:rsidRDefault="001433A1" w:rsidP="001433A1">
      <w:pPr>
        <w:rPr>
          <w:rFonts w:cs="Segoe UI Light"/>
          <w:szCs w:val="20"/>
        </w:rPr>
      </w:pPr>
      <w:r w:rsidRPr="00017799">
        <w:rPr>
          <w:rFonts w:cs="Segoe UI Light"/>
          <w:szCs w:val="20"/>
        </w:rPr>
        <w:t>Where processes have a greater degree of variability, predicting regulatory costs becomes more difficult. Some parties may also impose substantively higher regulatory</w:t>
      </w:r>
      <w:r w:rsidRPr="00763FA4">
        <w:rPr>
          <w:rFonts w:cs="Segoe UI Light"/>
          <w:szCs w:val="20"/>
        </w:rPr>
        <w:t xml:space="preserve"> costs than others. A variable fee structure enables fees to be set that more accurately recover costs from those parties that impose the costs.</w:t>
      </w:r>
    </w:p>
    <w:p w14:paraId="552A98F5" w14:textId="77777777" w:rsidR="001433A1" w:rsidRPr="009B2611" w:rsidRDefault="001433A1" w:rsidP="001433A1">
      <w:pPr>
        <w:rPr>
          <w:rFonts w:cs="Segoe UI Light"/>
          <w:szCs w:val="20"/>
        </w:rPr>
      </w:pPr>
      <w:r w:rsidRPr="00017799">
        <w:rPr>
          <w:rFonts w:cs="Segoe UI Light"/>
          <w:szCs w:val="20"/>
        </w:rPr>
        <w:t xml:space="preserve">A disadvantage of a variable fee structure is that it is more difficult to design and administer. It </w:t>
      </w:r>
      <w:r>
        <w:rPr>
          <w:rFonts w:cs="Segoe UI Light"/>
          <w:szCs w:val="20"/>
        </w:rPr>
        <w:t>can</w:t>
      </w:r>
      <w:r w:rsidRPr="00017799">
        <w:rPr>
          <w:rFonts w:cs="Segoe UI Light"/>
          <w:szCs w:val="20"/>
        </w:rPr>
        <w:t xml:space="preserve"> also more difficult for regulated parties to understand and for applicants to predict in advance</w:t>
      </w:r>
      <w:r>
        <w:rPr>
          <w:rFonts w:cs="Segoe UI Light"/>
          <w:szCs w:val="20"/>
        </w:rPr>
        <w:t xml:space="preserve"> (depending on the basis for the variation)</w:t>
      </w:r>
      <w:r w:rsidRPr="00455FFD">
        <w:rPr>
          <w:rFonts w:cs="Segoe UI Light"/>
          <w:szCs w:val="20"/>
        </w:rPr>
        <w:t>,</w:t>
      </w:r>
      <w:r w:rsidRPr="00017799">
        <w:rPr>
          <w:rFonts w:cs="Segoe UI Light"/>
          <w:szCs w:val="20"/>
        </w:rPr>
        <w:t xml:space="preserve"> which might impose a barrier to entry</w:t>
      </w:r>
      <w:r w:rsidRPr="00763FA4">
        <w:rPr>
          <w:rFonts w:cs="Segoe UI Light"/>
          <w:szCs w:val="20"/>
        </w:rPr>
        <w:t>.</w:t>
      </w:r>
      <w:r w:rsidRPr="009B2611">
        <w:rPr>
          <w:rFonts w:cs="Segoe UI Light"/>
          <w:szCs w:val="20"/>
        </w:rPr>
        <w:t xml:space="preserve"> </w:t>
      </w:r>
    </w:p>
    <w:p w14:paraId="5E3ACB9D" w14:textId="77777777" w:rsidR="001433A1" w:rsidRPr="009B2611" w:rsidRDefault="001433A1" w:rsidP="001433A1">
      <w:pPr>
        <w:rPr>
          <w:rFonts w:cs="Segoe UI Light"/>
          <w:szCs w:val="20"/>
        </w:rPr>
      </w:pPr>
      <w:r w:rsidRPr="009B2611">
        <w:rPr>
          <w:rFonts w:cs="Segoe UI Light"/>
          <w:szCs w:val="20"/>
        </w:rPr>
        <w:t xml:space="preserve">Different variable </w:t>
      </w:r>
      <w:r>
        <w:rPr>
          <w:rFonts w:cs="Segoe UI Light"/>
          <w:szCs w:val="20"/>
        </w:rPr>
        <w:t xml:space="preserve">fee </w:t>
      </w:r>
      <w:r w:rsidRPr="009B2611">
        <w:rPr>
          <w:rFonts w:cs="Segoe UI Light"/>
          <w:szCs w:val="20"/>
        </w:rPr>
        <w:t>structures are considered in this RIS:</w:t>
      </w:r>
    </w:p>
    <w:p w14:paraId="10A2335C" w14:textId="77777777" w:rsidR="001433A1" w:rsidRPr="009B2611" w:rsidRDefault="001433A1" w:rsidP="001433A1">
      <w:pPr>
        <w:numPr>
          <w:ilvl w:val="0"/>
          <w:numId w:val="46"/>
        </w:numPr>
        <w:spacing w:after="170"/>
        <w:contextualSpacing/>
        <w:textboxTightWrap w:val="allLines"/>
        <w:rPr>
          <w:rFonts w:cs="Segoe UI Light"/>
          <w:szCs w:val="20"/>
        </w:rPr>
      </w:pPr>
      <w:r w:rsidRPr="009B2611">
        <w:rPr>
          <w:rFonts w:cs="Segoe UI Light"/>
          <w:b/>
          <w:szCs w:val="20"/>
        </w:rPr>
        <w:t>Tiered structures that have multiple fixed fee levels based on different levels of assessment complexity.</w:t>
      </w:r>
      <w:r w:rsidRPr="009B2611">
        <w:rPr>
          <w:rFonts w:cs="Segoe UI Light"/>
          <w:szCs w:val="20"/>
        </w:rPr>
        <w:t xml:space="preserve"> These structures can capture different levels of time and effort required by EPA to process applications and the fee charged is likely to be more predictable than a full</w:t>
      </w:r>
      <w:r>
        <w:rPr>
          <w:rFonts w:cs="Segoe UI Light"/>
          <w:szCs w:val="20"/>
        </w:rPr>
        <w:t>y</w:t>
      </w:r>
      <w:r w:rsidRPr="009B2611">
        <w:rPr>
          <w:rFonts w:cs="Segoe UI Light"/>
          <w:szCs w:val="20"/>
        </w:rPr>
        <w:t xml:space="preserve"> variable </w:t>
      </w:r>
      <w:r>
        <w:rPr>
          <w:rFonts w:cs="Segoe UI Light"/>
          <w:szCs w:val="20"/>
        </w:rPr>
        <w:t xml:space="preserve">fee </w:t>
      </w:r>
      <w:r w:rsidRPr="009B2611">
        <w:rPr>
          <w:rFonts w:cs="Segoe UI Light"/>
          <w:szCs w:val="20"/>
        </w:rPr>
        <w:t xml:space="preserve">structure. However, it does not capture regulatory effort as accurately as </w:t>
      </w:r>
      <w:r>
        <w:rPr>
          <w:rFonts w:cs="Segoe UI Light"/>
          <w:szCs w:val="20"/>
        </w:rPr>
        <w:t xml:space="preserve">a </w:t>
      </w:r>
      <w:r w:rsidRPr="009B2611">
        <w:rPr>
          <w:rFonts w:cs="Segoe UI Light"/>
          <w:szCs w:val="20"/>
        </w:rPr>
        <w:t xml:space="preserve">fully variable fee structures, particularly </w:t>
      </w:r>
      <w:r>
        <w:rPr>
          <w:rFonts w:cs="Segoe UI Light"/>
          <w:szCs w:val="20"/>
        </w:rPr>
        <w:t xml:space="preserve">where fees are charged at </w:t>
      </w:r>
      <w:r w:rsidRPr="009B2611">
        <w:rPr>
          <w:rFonts w:cs="Segoe UI Light"/>
          <w:szCs w:val="20"/>
        </w:rPr>
        <w:t xml:space="preserve">an hourly rate. </w:t>
      </w:r>
    </w:p>
    <w:p w14:paraId="3999046C" w14:textId="77777777" w:rsidR="001433A1" w:rsidRPr="009B2611" w:rsidRDefault="001433A1" w:rsidP="001433A1">
      <w:pPr>
        <w:numPr>
          <w:ilvl w:val="0"/>
          <w:numId w:val="46"/>
        </w:numPr>
        <w:spacing w:after="170"/>
        <w:contextualSpacing/>
        <w:textboxTightWrap w:val="allLines"/>
        <w:rPr>
          <w:rFonts w:cs="Segoe UI Light"/>
          <w:szCs w:val="20"/>
        </w:rPr>
      </w:pPr>
      <w:r w:rsidRPr="009B2611">
        <w:rPr>
          <w:rFonts w:cs="Segoe UI Light"/>
          <w:b/>
          <w:szCs w:val="20"/>
        </w:rPr>
        <w:t xml:space="preserve">Fully variable </w:t>
      </w:r>
      <w:r>
        <w:rPr>
          <w:rFonts w:cs="Segoe UI Light"/>
          <w:b/>
          <w:szCs w:val="20"/>
        </w:rPr>
        <w:t xml:space="preserve">fee </w:t>
      </w:r>
      <w:r w:rsidRPr="009B2611">
        <w:rPr>
          <w:rFonts w:cs="Segoe UI Light"/>
          <w:b/>
          <w:szCs w:val="20"/>
        </w:rPr>
        <w:t>structures</w:t>
      </w:r>
      <w:r w:rsidRPr="009B2611">
        <w:rPr>
          <w:rFonts w:cs="Segoe UI Light"/>
          <w:szCs w:val="20"/>
        </w:rPr>
        <w:t>:</w:t>
      </w:r>
    </w:p>
    <w:p w14:paraId="3E4B7F52" w14:textId="77777777" w:rsidR="001433A1" w:rsidRDefault="001433A1" w:rsidP="001433A1">
      <w:pPr>
        <w:numPr>
          <w:ilvl w:val="1"/>
          <w:numId w:val="124"/>
        </w:numPr>
        <w:ind w:left="993" w:hanging="284"/>
        <w:contextualSpacing/>
        <w:textboxTightWrap w:val="allLines"/>
        <w:rPr>
          <w:rFonts w:cs="Segoe UI Light"/>
          <w:szCs w:val="20"/>
        </w:rPr>
      </w:pPr>
      <w:r w:rsidRPr="006E325F">
        <w:rPr>
          <w:rFonts w:cs="Segoe UI Light"/>
          <w:b/>
          <w:szCs w:val="20"/>
        </w:rPr>
        <w:t>Fee based on volumes of discharges or pollutant emissions.</w:t>
      </w:r>
      <w:r w:rsidRPr="006E325F">
        <w:rPr>
          <w:rFonts w:cs="Segoe UI Light"/>
          <w:szCs w:val="20"/>
        </w:rPr>
        <w:t xml:space="preserve"> In the case of operating licence annual fee</w:t>
      </w:r>
      <w:r w:rsidRPr="00CF274C">
        <w:rPr>
          <w:rFonts w:cs="Segoe UI Light"/>
          <w:szCs w:val="20"/>
        </w:rPr>
        <w:t xml:space="preserve">s, </w:t>
      </w:r>
      <w:r w:rsidRPr="0039486B">
        <w:rPr>
          <w:rFonts w:cs="Segoe UI Light"/>
          <w:szCs w:val="20"/>
        </w:rPr>
        <w:t>smaller licensees with lower</w:t>
      </w:r>
      <w:r w:rsidRPr="006E325F">
        <w:rPr>
          <w:rFonts w:cs="Segoe UI Light"/>
          <w:szCs w:val="20"/>
        </w:rPr>
        <w:t xml:space="preserve"> discharges or pollutant emissions would be charged a lower fee than those with larger discharges or pollutant emissions. The higher the discharge or emission levels in the licence, the more closely EPA will monitor activities to ensure they are not negatively impacting the environment. Volume of discharges or pollutant emissions is a proxy for where EPA spends its time and effort on administrative and compliance/enforcement activities</w:t>
      </w:r>
      <w:r>
        <w:rPr>
          <w:rFonts w:cs="Segoe UI Light"/>
          <w:szCs w:val="20"/>
        </w:rPr>
        <w:t>, although noting there is some uncertainty about the extent to which this relationship holds.</w:t>
      </w:r>
    </w:p>
    <w:p w14:paraId="71604FB1" w14:textId="77777777" w:rsidR="001433A1" w:rsidRPr="006E325F" w:rsidRDefault="001433A1" w:rsidP="001433A1">
      <w:pPr>
        <w:numPr>
          <w:ilvl w:val="1"/>
          <w:numId w:val="124"/>
        </w:numPr>
        <w:ind w:left="993" w:hanging="284"/>
        <w:contextualSpacing/>
        <w:textboxTightWrap w:val="allLines"/>
        <w:rPr>
          <w:rFonts w:cs="Segoe UI Light"/>
          <w:szCs w:val="20"/>
        </w:rPr>
      </w:pPr>
      <w:r w:rsidRPr="006E325F">
        <w:rPr>
          <w:rFonts w:cs="Segoe UI Light"/>
          <w:b/>
          <w:szCs w:val="20"/>
        </w:rPr>
        <w:t>Fee calculated as a specified % of the estimated value of works.</w:t>
      </w:r>
      <w:r w:rsidRPr="006E325F">
        <w:rPr>
          <w:rFonts w:cs="Segoe UI Light"/>
          <w:szCs w:val="20"/>
        </w:rPr>
        <w:t xml:space="preserve"> In the case of development licences</w:t>
      </w:r>
      <w:r w:rsidRPr="00CF274C">
        <w:rPr>
          <w:rFonts w:cs="Segoe UI Light"/>
          <w:szCs w:val="20"/>
        </w:rPr>
        <w:t>,</w:t>
      </w:r>
      <w:r w:rsidRPr="0039486B">
        <w:rPr>
          <w:rFonts w:cs="Segoe UI Light"/>
          <w:szCs w:val="20"/>
        </w:rPr>
        <w:t xml:space="preserve"> works value is a proxy for </w:t>
      </w:r>
      <w:r w:rsidRPr="00BB1EE7">
        <w:rPr>
          <w:rFonts w:cs="Segoe UI Light"/>
          <w:szCs w:val="20"/>
        </w:rPr>
        <w:t xml:space="preserve">where EPA spends its time and effort </w:t>
      </w:r>
      <w:r w:rsidRPr="001E046C">
        <w:rPr>
          <w:rFonts w:cs="Segoe UI Light"/>
          <w:szCs w:val="20"/>
        </w:rPr>
        <w:t>on administrative and compliance/enforcement activities</w:t>
      </w:r>
      <w:r w:rsidRPr="00E05DB0">
        <w:rPr>
          <w:rFonts w:cs="Segoe UI Light"/>
          <w:szCs w:val="20"/>
        </w:rPr>
        <w:t xml:space="preserve">. </w:t>
      </w:r>
      <w:r w:rsidRPr="006E325F">
        <w:rPr>
          <w:rFonts w:cs="Segoe UI Light"/>
          <w:szCs w:val="20"/>
        </w:rPr>
        <w:t>However, In the case of pilot project licences, works value may not be available, and as such is an unsuitable metric</w:t>
      </w:r>
      <w:r>
        <w:rPr>
          <w:rFonts w:cs="Segoe UI Light"/>
          <w:szCs w:val="20"/>
        </w:rPr>
        <w:t xml:space="preserve">. </w:t>
      </w:r>
      <w:r>
        <w:t xml:space="preserve">The purpose of a pilot project licence is to </w:t>
      </w:r>
      <w:r w:rsidRPr="00406BF9">
        <w:t>test a proposed technology, demonstrate a product’s quality, establish process optimisation and monitor environmental performance</w:t>
      </w:r>
      <w:r>
        <w:t>. Given the fundamental difference between such activities and prescribed development activities, estimated cost of works is simply not relevant.</w:t>
      </w:r>
    </w:p>
    <w:p w14:paraId="16DE3084" w14:textId="70F38BD5" w:rsidR="001433A1" w:rsidRPr="009B2611" w:rsidRDefault="001433A1" w:rsidP="001433A1">
      <w:pPr>
        <w:numPr>
          <w:ilvl w:val="1"/>
          <w:numId w:val="124"/>
        </w:numPr>
        <w:ind w:left="993" w:hanging="284"/>
        <w:contextualSpacing/>
        <w:textboxTightWrap w:val="allLines"/>
        <w:rPr>
          <w:rFonts w:cs="Segoe UI Light"/>
          <w:szCs w:val="20"/>
        </w:rPr>
      </w:pPr>
      <w:r w:rsidRPr="009B2611">
        <w:rPr>
          <w:rFonts w:cs="Segoe UI Light"/>
          <w:b/>
          <w:szCs w:val="20"/>
        </w:rPr>
        <w:t>Fully variable structure based on charging an hourly rate</w:t>
      </w:r>
      <w:r w:rsidRPr="009B2611">
        <w:rPr>
          <w:rFonts w:cs="Segoe UI Light"/>
          <w:szCs w:val="20"/>
        </w:rPr>
        <w:t>. This structure most accurately captures the time and effort spent by EPA in processing applications. Disadvantage</w:t>
      </w:r>
      <w:r>
        <w:rPr>
          <w:rFonts w:cs="Segoe UI Light"/>
          <w:szCs w:val="20"/>
        </w:rPr>
        <w:t>s</w:t>
      </w:r>
      <w:r w:rsidRPr="009B2611">
        <w:rPr>
          <w:rFonts w:cs="Segoe UI Light"/>
          <w:szCs w:val="20"/>
        </w:rPr>
        <w:t xml:space="preserve"> are that the fee charged is likely to be less predictable than for other variable fee structures, and some parties may also be charged a very high fee for complex applications</w:t>
      </w:r>
      <w:r>
        <w:rPr>
          <w:rFonts w:cs="Segoe UI Light"/>
          <w:szCs w:val="20"/>
        </w:rPr>
        <w:t>, which might reduce affordability/ability to pay and potentially reduce investment and innovation</w:t>
      </w:r>
      <w:r w:rsidRPr="009B2611">
        <w:rPr>
          <w:rFonts w:cs="Segoe UI Light"/>
          <w:szCs w:val="20"/>
        </w:rPr>
        <w:t>.</w:t>
      </w:r>
      <w:r>
        <w:rPr>
          <w:rFonts w:cs="Segoe UI Light"/>
          <w:szCs w:val="20"/>
        </w:rPr>
        <w:t xml:space="preserve"> </w:t>
      </w:r>
      <w:r w:rsidRPr="00D81932">
        <w:rPr>
          <w:rFonts w:cs="Segoe UI Light"/>
          <w:szCs w:val="20"/>
        </w:rPr>
        <w:t xml:space="preserve">It is also possible that an hourly rate approach might provide a disincentive for </w:t>
      </w:r>
      <w:r>
        <w:rPr>
          <w:rFonts w:cs="Segoe UI Light"/>
          <w:szCs w:val="20"/>
        </w:rPr>
        <w:t>a regulator</w:t>
      </w:r>
      <w:r w:rsidRPr="00D81932">
        <w:rPr>
          <w:rFonts w:cs="Segoe UI Light"/>
          <w:szCs w:val="20"/>
        </w:rPr>
        <w:t xml:space="preserve"> to process applications efficiently as it will no longer face the additional cost of more slowly processed applications</w:t>
      </w:r>
      <w:r>
        <w:rPr>
          <w:rFonts w:cs="Segoe UI Light"/>
          <w:szCs w:val="20"/>
        </w:rPr>
        <w:t xml:space="preserve">. However, this is not considered a likely outcome for EPA due to legislated timeframes for </w:t>
      </w:r>
      <w:r w:rsidRPr="002D676C">
        <w:rPr>
          <w:rFonts w:cs="Segoe UI Light"/>
          <w:bCs/>
        </w:rPr>
        <w:t xml:space="preserve">some </w:t>
      </w:r>
      <w:r w:rsidRPr="00950AFE">
        <w:rPr>
          <w:rFonts w:cs="Segoe UI Light"/>
        </w:rPr>
        <w:t xml:space="preserve">applications </w:t>
      </w:r>
      <w:r w:rsidRPr="002D676C">
        <w:rPr>
          <w:rFonts w:cs="Segoe UI Light"/>
          <w:bCs/>
        </w:rPr>
        <w:t>and due to there being other disincentives for delaying consideration of applications, such as needing to meet community, business and Government expectations</w:t>
      </w:r>
      <w:r>
        <w:rPr>
          <w:rFonts w:cs="Segoe UI Light"/>
          <w:b/>
          <w:bCs/>
        </w:rPr>
        <w:t>.</w:t>
      </w:r>
      <w:r>
        <w:rPr>
          <w:rFonts w:cs="Segoe UI Light"/>
          <w:szCs w:val="20"/>
        </w:rPr>
        <w:t xml:space="preserve">. Furthermore, as outlined in section </w:t>
      </w:r>
      <w:r>
        <w:rPr>
          <w:rFonts w:cs="Segoe UI Light"/>
          <w:szCs w:val="20"/>
        </w:rPr>
        <w:fldChar w:fldCharType="begin"/>
      </w:r>
      <w:r>
        <w:rPr>
          <w:rFonts w:cs="Segoe UI Light"/>
          <w:szCs w:val="20"/>
        </w:rPr>
        <w:instrText xml:space="preserve"> REF _Ref13205948 \r \h </w:instrText>
      </w:r>
      <w:r>
        <w:rPr>
          <w:rFonts w:cs="Segoe UI Light"/>
          <w:szCs w:val="20"/>
        </w:rPr>
      </w:r>
      <w:r>
        <w:rPr>
          <w:rFonts w:cs="Segoe UI Light"/>
          <w:szCs w:val="20"/>
        </w:rPr>
        <w:fldChar w:fldCharType="separate"/>
      </w:r>
      <w:r w:rsidR="004C6C15">
        <w:rPr>
          <w:rFonts w:cs="Segoe UI Light"/>
          <w:szCs w:val="20"/>
        </w:rPr>
        <w:t>1.1.1</w:t>
      </w:r>
      <w:r>
        <w:rPr>
          <w:rFonts w:cs="Segoe UI Light"/>
          <w:szCs w:val="20"/>
        </w:rPr>
        <w:fldChar w:fldCharType="end"/>
      </w:r>
      <w:r>
        <w:rPr>
          <w:rFonts w:cs="Segoe UI Light"/>
          <w:szCs w:val="20"/>
        </w:rPr>
        <w:t xml:space="preserve">, the EPA Inquiry did not find any issues in relation to EPA’s cost efficiency. </w:t>
      </w:r>
    </w:p>
    <w:p w14:paraId="64F7EB21" w14:textId="77777777" w:rsidR="001433A1" w:rsidRDefault="001433A1" w:rsidP="001433A1">
      <w:pPr>
        <w:ind w:left="993"/>
        <w:contextualSpacing/>
        <w:textboxTightWrap w:val="allLines"/>
        <w:rPr>
          <w:rFonts w:cs="Segoe UI Light"/>
          <w:szCs w:val="20"/>
        </w:rPr>
      </w:pPr>
    </w:p>
    <w:p w14:paraId="16042D27" w14:textId="77777777" w:rsidR="001433A1" w:rsidRPr="009B2611" w:rsidRDefault="001433A1" w:rsidP="001433A1">
      <w:pPr>
        <w:spacing w:before="120" w:after="0"/>
        <w:rPr>
          <w:b/>
        </w:rPr>
      </w:pPr>
      <w:r w:rsidRPr="009B2611">
        <w:rPr>
          <w:b/>
        </w:rPr>
        <w:t xml:space="preserve">Option 3 – Fixed fee (tiered or same for all parties) </w:t>
      </w:r>
      <w:r w:rsidRPr="009B2611">
        <w:rPr>
          <w:b/>
          <w:u w:val="single"/>
        </w:rPr>
        <w:t>plus</w:t>
      </w:r>
      <w:r w:rsidRPr="009B2611">
        <w:rPr>
          <w:b/>
        </w:rPr>
        <w:t xml:space="preserve"> variable fee</w:t>
      </w:r>
    </w:p>
    <w:p w14:paraId="3944F4AE" w14:textId="77777777" w:rsidR="001433A1" w:rsidRPr="009B2611" w:rsidRDefault="001433A1" w:rsidP="001433A1">
      <w:r w:rsidRPr="009B2611">
        <w:t xml:space="preserve">This option combines both a fixed fee and variable fee. The fixed fee reflects </w:t>
      </w:r>
      <w:r>
        <w:t xml:space="preserve">that </w:t>
      </w:r>
      <w:r w:rsidRPr="009B2611">
        <w:t>a minimum amount of time and effort that the EPA usually spends on an application is known in advance</w:t>
      </w:r>
      <w:r>
        <w:t xml:space="preserve"> (including for smaller/low risk applications)</w:t>
      </w:r>
      <w:r w:rsidRPr="009B2611">
        <w:t>. The variable fee component enables the fee charged to accurately reflect the time and effort required by EPA to process each application.</w:t>
      </w:r>
    </w:p>
    <w:p w14:paraId="256B83F1" w14:textId="77777777" w:rsidR="001433A1" w:rsidRPr="009B2611" w:rsidRDefault="001433A1" w:rsidP="001433A1">
      <w:pPr>
        <w:spacing w:after="0"/>
        <w:rPr>
          <w:b/>
        </w:rPr>
      </w:pPr>
      <w:r w:rsidRPr="009B2611">
        <w:rPr>
          <w:b/>
        </w:rPr>
        <w:t xml:space="preserve">Option 4 – Fixed fee plus variable fee, or just variable fee options </w:t>
      </w:r>
      <w:r w:rsidRPr="009B2611">
        <w:rPr>
          <w:b/>
          <w:u w:val="single"/>
        </w:rPr>
        <w:t>with maximum cap</w:t>
      </w:r>
    </w:p>
    <w:p w14:paraId="28B16807" w14:textId="77777777" w:rsidR="001433A1" w:rsidRPr="009B2611" w:rsidRDefault="001433A1" w:rsidP="001433A1">
      <w:pPr>
        <w:rPr>
          <w:rFonts w:cs="Segoe UI Light"/>
          <w:szCs w:val="20"/>
        </w:rPr>
      </w:pPr>
      <w:r w:rsidRPr="009B2611">
        <w:rPr>
          <w:rFonts w:cs="Segoe UI Light"/>
          <w:szCs w:val="20"/>
        </w:rPr>
        <w:t xml:space="preserve">A </w:t>
      </w:r>
      <w:r>
        <w:rPr>
          <w:rFonts w:cs="Segoe UI Light"/>
          <w:szCs w:val="20"/>
        </w:rPr>
        <w:t xml:space="preserve">fee </w:t>
      </w:r>
      <w:r w:rsidRPr="009B2611">
        <w:rPr>
          <w:rFonts w:cs="Segoe UI Light"/>
          <w:szCs w:val="20"/>
        </w:rPr>
        <w:t xml:space="preserve">cap recognises that there is a certain maximum amount of time and effort expected to be </w:t>
      </w:r>
      <w:r>
        <w:rPr>
          <w:rFonts w:cs="Segoe UI Light"/>
          <w:szCs w:val="20"/>
        </w:rPr>
        <w:t xml:space="preserve">required by the EPA to process </w:t>
      </w:r>
      <w:r w:rsidRPr="009B2611">
        <w:rPr>
          <w:rFonts w:cs="Segoe UI Light"/>
          <w:szCs w:val="20"/>
        </w:rPr>
        <w:t xml:space="preserve">applications </w:t>
      </w:r>
      <w:r>
        <w:rPr>
          <w:rFonts w:cs="Segoe UI Light"/>
          <w:szCs w:val="20"/>
        </w:rPr>
        <w:t>(</w:t>
      </w:r>
      <w:r w:rsidRPr="009B2611">
        <w:rPr>
          <w:rFonts w:cs="Segoe UI Light"/>
          <w:szCs w:val="20"/>
        </w:rPr>
        <w:t>regardless of size and complexity of the project or activity being undertaken</w:t>
      </w:r>
      <w:r>
        <w:rPr>
          <w:rFonts w:cs="Segoe UI Light"/>
          <w:szCs w:val="20"/>
        </w:rPr>
        <w:t>)</w:t>
      </w:r>
      <w:r w:rsidRPr="009B2611">
        <w:rPr>
          <w:rFonts w:cs="Segoe UI Light"/>
          <w:szCs w:val="20"/>
        </w:rPr>
        <w:t xml:space="preserve">. </w:t>
      </w:r>
      <w:r>
        <w:rPr>
          <w:rFonts w:cs="Segoe UI Light"/>
          <w:szCs w:val="20"/>
        </w:rPr>
        <w:t xml:space="preserve">Imposing a maximum fee also </w:t>
      </w:r>
      <w:r w:rsidRPr="009B2611">
        <w:rPr>
          <w:rFonts w:cs="Segoe UI Light"/>
          <w:szCs w:val="20"/>
        </w:rPr>
        <w:t>provides a degree of certainty for applicants who will know their maximum fee exposure.</w:t>
      </w:r>
    </w:p>
    <w:p w14:paraId="38F0A637" w14:textId="77777777" w:rsidR="001433A1" w:rsidRPr="009B2611" w:rsidRDefault="001433A1" w:rsidP="001433A1">
      <w:pPr>
        <w:rPr>
          <w:rFonts w:cs="Segoe UI Light"/>
          <w:szCs w:val="20"/>
        </w:rPr>
      </w:pPr>
      <w:r w:rsidRPr="009B2611">
        <w:rPr>
          <w:rFonts w:cs="Segoe UI Light"/>
          <w:szCs w:val="20"/>
        </w:rPr>
        <w:t>This fee structure is currently used for works approval applications, where the fee charged is the greater of 1% of the works value or a flat fee</w:t>
      </w:r>
      <w:r>
        <w:rPr>
          <w:rFonts w:cs="Segoe UI Light"/>
          <w:szCs w:val="20"/>
        </w:rPr>
        <w:t xml:space="preserve"> of 81.83 fee units</w:t>
      </w:r>
      <w:r w:rsidRPr="009B2611">
        <w:rPr>
          <w:rFonts w:cs="Segoe UI Light"/>
          <w:szCs w:val="20"/>
        </w:rPr>
        <w:t xml:space="preserve"> capped at 4,500 fee units. </w:t>
      </w:r>
      <w:r>
        <w:rPr>
          <w:rFonts w:cs="Segoe UI Light"/>
          <w:szCs w:val="20"/>
        </w:rPr>
        <w:t>T</w:t>
      </w:r>
      <w:r w:rsidRPr="009B2611">
        <w:rPr>
          <w:rFonts w:cs="Segoe UI Light"/>
          <w:szCs w:val="20"/>
        </w:rPr>
        <w:t xml:space="preserve">he maximum fee is based on a cap set in the </w:t>
      </w:r>
      <w:r>
        <w:rPr>
          <w:rFonts w:cs="Segoe UI Light"/>
          <w:szCs w:val="20"/>
        </w:rPr>
        <w:t>EP Act 1970</w:t>
      </w:r>
      <w:r w:rsidRPr="009B2611">
        <w:rPr>
          <w:rFonts w:cs="Segoe UI Light"/>
          <w:szCs w:val="20"/>
        </w:rPr>
        <w:t xml:space="preserve"> and not based on the maximum cost incurred </w:t>
      </w:r>
      <w:r>
        <w:rPr>
          <w:rFonts w:cs="Segoe UI Light"/>
          <w:szCs w:val="20"/>
        </w:rPr>
        <w:t>in assessing</w:t>
      </w:r>
      <w:r w:rsidRPr="009B2611">
        <w:rPr>
          <w:rFonts w:cs="Segoe UI Light"/>
          <w:szCs w:val="20"/>
        </w:rPr>
        <w:t xml:space="preserve"> </w:t>
      </w:r>
      <w:r>
        <w:rPr>
          <w:rFonts w:cs="Segoe UI Light"/>
          <w:szCs w:val="20"/>
        </w:rPr>
        <w:t>an application for works approval</w:t>
      </w:r>
      <w:r w:rsidRPr="009B2611">
        <w:rPr>
          <w:rFonts w:cs="Segoe UI Light"/>
          <w:szCs w:val="20"/>
        </w:rPr>
        <w:t xml:space="preserve">. In this instance, </w:t>
      </w:r>
      <w:r>
        <w:rPr>
          <w:rFonts w:cs="Segoe UI Light"/>
          <w:szCs w:val="20"/>
        </w:rPr>
        <w:t xml:space="preserve">a relatively higher proportion of costs are recovered from </w:t>
      </w:r>
      <w:r w:rsidRPr="009B2611">
        <w:rPr>
          <w:rFonts w:cs="Segoe UI Light"/>
          <w:szCs w:val="20"/>
        </w:rPr>
        <w:t xml:space="preserve">low and medium complexity applicants </w:t>
      </w:r>
      <w:r>
        <w:rPr>
          <w:rFonts w:cs="Segoe UI Light"/>
          <w:szCs w:val="20"/>
        </w:rPr>
        <w:t xml:space="preserve">compared to higher </w:t>
      </w:r>
      <w:r w:rsidRPr="009B2611">
        <w:rPr>
          <w:rFonts w:cs="Segoe UI Light"/>
          <w:szCs w:val="20"/>
        </w:rPr>
        <w:t xml:space="preserve">complexity applicants. </w:t>
      </w:r>
    </w:p>
    <w:p w14:paraId="03256560" w14:textId="77777777" w:rsidR="001433A1" w:rsidRPr="009B2611" w:rsidRDefault="001433A1" w:rsidP="001433A1">
      <w:pPr>
        <w:spacing w:after="0"/>
        <w:rPr>
          <w:rFonts w:cs="Segoe UI Light"/>
          <w:b/>
          <w:szCs w:val="20"/>
        </w:rPr>
      </w:pPr>
      <w:r w:rsidRPr="009B2611">
        <w:rPr>
          <w:rFonts w:cs="Segoe UI Light"/>
          <w:b/>
          <w:szCs w:val="20"/>
        </w:rPr>
        <w:t>Introduction of a load-based licencing scheme</w:t>
      </w:r>
    </w:p>
    <w:p w14:paraId="4CAEBBBD" w14:textId="77777777" w:rsidR="001433A1" w:rsidRPr="009B2611" w:rsidRDefault="001433A1" w:rsidP="001433A1">
      <w:r w:rsidRPr="009B2611">
        <w:t xml:space="preserve">As noted above, the Inquiry Report recommended introduction of a load-based licensing scheme. This approach involves allowing licence fees to be set at a level beyond cost-recovery. It is noted that the new EP legislation provides a head of power for establishing a load-based licensing scheme, with section 465(2) enabling </w:t>
      </w:r>
      <w:r>
        <w:t xml:space="preserve">the Governor in Council to make </w:t>
      </w:r>
      <w:r w:rsidRPr="009B2611">
        <w:t>regulations prescribing fees including, but not limited to:</w:t>
      </w:r>
    </w:p>
    <w:p w14:paraId="66650D6A" w14:textId="77777777" w:rsidR="001433A1" w:rsidRPr="009B2611" w:rsidRDefault="001433A1" w:rsidP="001433A1">
      <w:pPr>
        <w:keepNext/>
        <w:keepLines/>
        <w:numPr>
          <w:ilvl w:val="0"/>
          <w:numId w:val="125"/>
        </w:numPr>
        <w:spacing w:after="0"/>
      </w:pPr>
      <w:r w:rsidRPr="009B2611">
        <w:t>Fees for the doing an act or providing a service under this Act; and</w:t>
      </w:r>
    </w:p>
    <w:p w14:paraId="4DC07E7D" w14:textId="77777777" w:rsidR="001433A1" w:rsidRPr="009B2611" w:rsidRDefault="001433A1" w:rsidP="001433A1">
      <w:pPr>
        <w:keepNext/>
        <w:keepLines/>
        <w:numPr>
          <w:ilvl w:val="0"/>
          <w:numId w:val="125"/>
        </w:numPr>
      </w:pPr>
      <w:r w:rsidRPr="009B2611">
        <w:t>In the case of fees prescribed for operating licences, fees that are higher than the cost of administration of, or provision of, services in connection with operating licences.</w:t>
      </w:r>
    </w:p>
    <w:p w14:paraId="6CC15939" w14:textId="77777777" w:rsidR="001433A1" w:rsidRPr="009B2611" w:rsidRDefault="001433A1" w:rsidP="001433A1">
      <w:pPr>
        <w:rPr>
          <w:rFonts w:cs="Segoe UI Light"/>
          <w:szCs w:val="20"/>
        </w:rPr>
      </w:pPr>
      <w:r w:rsidRPr="009B2611">
        <w:rPr>
          <w:rFonts w:cs="Segoe UI Light"/>
          <w:szCs w:val="20"/>
        </w:rPr>
        <w:t xml:space="preserve">While </w:t>
      </w:r>
      <w:r>
        <w:rPr>
          <w:rFonts w:cs="Segoe UI Light"/>
          <w:szCs w:val="20"/>
        </w:rPr>
        <w:t xml:space="preserve">the Government is committed to </w:t>
      </w:r>
      <w:r w:rsidRPr="009B2611">
        <w:rPr>
          <w:rFonts w:cs="Segoe UI Light"/>
          <w:szCs w:val="20"/>
        </w:rPr>
        <w:t xml:space="preserve">EPA </w:t>
      </w:r>
      <w:r>
        <w:rPr>
          <w:rFonts w:cs="Segoe UI Light"/>
          <w:szCs w:val="20"/>
        </w:rPr>
        <w:t xml:space="preserve">considering </w:t>
      </w:r>
      <w:r w:rsidRPr="009B2611">
        <w:rPr>
          <w:rFonts w:cs="Segoe UI Light"/>
          <w:szCs w:val="20"/>
        </w:rPr>
        <w:t xml:space="preserve">the </w:t>
      </w:r>
      <w:r>
        <w:rPr>
          <w:rFonts w:cs="Segoe UI Light"/>
          <w:szCs w:val="20"/>
        </w:rPr>
        <w:t xml:space="preserve">establishment </w:t>
      </w:r>
      <w:r w:rsidRPr="009B2611">
        <w:rPr>
          <w:rFonts w:cs="Segoe UI Light"/>
          <w:szCs w:val="20"/>
        </w:rPr>
        <w:t xml:space="preserve">of a load-based licensing scheme, this will </w:t>
      </w:r>
      <w:r>
        <w:rPr>
          <w:rFonts w:cs="Segoe UI Light"/>
          <w:szCs w:val="20"/>
        </w:rPr>
        <w:t xml:space="preserve">be considered as part of a review of fees that is intended to be undertaken prior to sunsetting of the Regulations. </w:t>
      </w:r>
      <w:r w:rsidRPr="009B2611">
        <w:rPr>
          <w:rFonts w:cs="Segoe UI Light"/>
          <w:szCs w:val="20"/>
        </w:rPr>
        <w:t xml:space="preserve">This will allow time to develop appropriate mechanisms to assess risk from emissions and </w:t>
      </w:r>
      <w:r>
        <w:rPr>
          <w:rFonts w:cs="Segoe UI Light"/>
          <w:szCs w:val="20"/>
        </w:rPr>
        <w:t xml:space="preserve">to develop </w:t>
      </w:r>
      <w:r w:rsidRPr="009B2611">
        <w:rPr>
          <w:rFonts w:cs="Segoe UI Light"/>
          <w:szCs w:val="20"/>
        </w:rPr>
        <w:t>better economic instruments to encourage good performance. Hence this option is not considered in this RIS.</w:t>
      </w:r>
    </w:p>
    <w:p w14:paraId="5088DB6A" w14:textId="77777777" w:rsidR="001433A1" w:rsidRPr="009B2611" w:rsidRDefault="001433A1" w:rsidP="001433A1">
      <w:pPr>
        <w:pStyle w:val="Heading2"/>
      </w:pPr>
      <w:r w:rsidRPr="009B2611">
        <w:t>Assessment approach</w:t>
      </w:r>
    </w:p>
    <w:p w14:paraId="2D564727" w14:textId="77777777" w:rsidR="001433A1" w:rsidRPr="009B2611" w:rsidRDefault="001433A1" w:rsidP="001433A1">
      <w:pPr>
        <w:rPr>
          <w:rFonts w:cs="Segoe UI Light"/>
          <w:szCs w:val="20"/>
        </w:rPr>
      </w:pPr>
      <w:r w:rsidRPr="009B2611">
        <w:rPr>
          <w:rFonts w:cs="Segoe UI Light"/>
          <w:szCs w:val="20"/>
        </w:rPr>
        <w:t xml:space="preserve">The permissions and activities </w:t>
      </w:r>
      <w:r>
        <w:rPr>
          <w:rFonts w:cs="Segoe UI Light"/>
          <w:szCs w:val="20"/>
        </w:rPr>
        <w:t>for which</w:t>
      </w:r>
      <w:r w:rsidRPr="009B2611">
        <w:rPr>
          <w:rFonts w:cs="Segoe UI Light"/>
          <w:szCs w:val="20"/>
        </w:rPr>
        <w:t xml:space="preserve"> fees</w:t>
      </w:r>
      <w:r>
        <w:rPr>
          <w:rFonts w:cs="Segoe UI Light"/>
          <w:szCs w:val="20"/>
        </w:rPr>
        <w:t xml:space="preserve"> are able to be prescribed under the new EP legislation</w:t>
      </w:r>
      <w:r w:rsidRPr="009B2611">
        <w:rPr>
          <w:rFonts w:cs="Segoe UI Light"/>
          <w:szCs w:val="20"/>
        </w:rPr>
        <w:t xml:space="preserve"> vary significantly in the nature of the regulatory service being provided, the amount of revenue to be collected, and other characteristics such as variability and homogeneity of the regulatory processes and costs involved. </w:t>
      </w:r>
    </w:p>
    <w:p w14:paraId="61F46E3F" w14:textId="77777777" w:rsidR="001433A1" w:rsidRPr="009B2611" w:rsidRDefault="001433A1" w:rsidP="001433A1">
      <w:pPr>
        <w:rPr>
          <w:rFonts w:cs="Segoe UI Light"/>
          <w:szCs w:val="20"/>
        </w:rPr>
      </w:pPr>
      <w:r w:rsidRPr="009B2611">
        <w:rPr>
          <w:rFonts w:cs="Segoe UI Light"/>
          <w:szCs w:val="20"/>
        </w:rPr>
        <w:t>Those permissions and activities that are more complex, less homogenous or repetitive, and/or impose higher administrative costs on EPA or higher costs on businesses have been subject to a more detailed analysis in this RIS to determine the preferred option. Permissions and activities in this category include:</w:t>
      </w:r>
    </w:p>
    <w:p w14:paraId="793640DF" w14:textId="77777777" w:rsidR="001433A1" w:rsidRPr="009B2611" w:rsidRDefault="001433A1" w:rsidP="001433A1">
      <w:pPr>
        <w:numPr>
          <w:ilvl w:val="0"/>
          <w:numId w:val="89"/>
        </w:numPr>
        <w:spacing w:after="0" w:line="240" w:lineRule="auto"/>
        <w:rPr>
          <w:rFonts w:cs="Segoe UI Light"/>
          <w:szCs w:val="20"/>
        </w:rPr>
      </w:pPr>
      <w:r w:rsidRPr="009B2611">
        <w:rPr>
          <w:rFonts w:cs="Segoe UI Light"/>
          <w:szCs w:val="20"/>
        </w:rPr>
        <w:t xml:space="preserve">Operating licence: annual </w:t>
      </w:r>
      <w:r>
        <w:rPr>
          <w:rFonts w:cs="Segoe UI Light"/>
          <w:szCs w:val="20"/>
        </w:rPr>
        <w:t>fees</w:t>
      </w:r>
      <w:r w:rsidRPr="009B2611">
        <w:rPr>
          <w:rFonts w:cs="Segoe UI Light"/>
          <w:szCs w:val="20"/>
        </w:rPr>
        <w:t>.</w:t>
      </w:r>
    </w:p>
    <w:p w14:paraId="3163B0FC" w14:textId="77777777" w:rsidR="001433A1" w:rsidRPr="009B2611" w:rsidRDefault="001433A1" w:rsidP="001433A1">
      <w:pPr>
        <w:numPr>
          <w:ilvl w:val="0"/>
          <w:numId w:val="89"/>
        </w:numPr>
        <w:spacing w:after="0" w:line="240" w:lineRule="auto"/>
        <w:rPr>
          <w:rFonts w:cs="Segoe UI Light"/>
          <w:szCs w:val="20"/>
        </w:rPr>
      </w:pPr>
      <w:r w:rsidRPr="009B2611">
        <w:rPr>
          <w:rFonts w:cs="Segoe UI Light"/>
          <w:szCs w:val="20"/>
        </w:rPr>
        <w:t>Development licence: applications.</w:t>
      </w:r>
    </w:p>
    <w:p w14:paraId="588984B1" w14:textId="77777777" w:rsidR="001433A1" w:rsidRPr="009B2611" w:rsidRDefault="001433A1" w:rsidP="001433A1">
      <w:pPr>
        <w:numPr>
          <w:ilvl w:val="0"/>
          <w:numId w:val="89"/>
        </w:numPr>
        <w:spacing w:after="0" w:line="240" w:lineRule="auto"/>
        <w:rPr>
          <w:rFonts w:cs="Segoe UI Light"/>
          <w:szCs w:val="20"/>
        </w:rPr>
      </w:pPr>
      <w:r w:rsidRPr="009B2611">
        <w:rPr>
          <w:rFonts w:cs="Segoe UI Light"/>
          <w:szCs w:val="20"/>
        </w:rPr>
        <w:t>Pilot project licence: applications</w:t>
      </w:r>
    </w:p>
    <w:p w14:paraId="2EB46FA4" w14:textId="77777777" w:rsidR="001433A1" w:rsidRPr="009B2611" w:rsidRDefault="001433A1" w:rsidP="001433A1">
      <w:pPr>
        <w:numPr>
          <w:ilvl w:val="0"/>
          <w:numId w:val="89"/>
        </w:numPr>
        <w:spacing w:after="0" w:line="240" w:lineRule="auto"/>
        <w:rPr>
          <w:rFonts w:cs="Segoe UI Light"/>
          <w:szCs w:val="20"/>
        </w:rPr>
      </w:pPr>
      <w:r w:rsidRPr="009B2611">
        <w:rPr>
          <w:rFonts w:cs="Segoe UI Light"/>
          <w:szCs w:val="20"/>
        </w:rPr>
        <w:t>Permit to transport reportable priority waste: applications</w:t>
      </w:r>
      <w:r>
        <w:rPr>
          <w:rFonts w:cs="Segoe UI Light"/>
          <w:szCs w:val="20"/>
        </w:rPr>
        <w:t xml:space="preserve"> (including temporary)</w:t>
      </w:r>
      <w:r w:rsidRPr="009B2611">
        <w:rPr>
          <w:rFonts w:cs="Segoe UI Light"/>
          <w:szCs w:val="20"/>
        </w:rPr>
        <w:t>.</w:t>
      </w:r>
    </w:p>
    <w:p w14:paraId="5B2BAB49" w14:textId="77777777" w:rsidR="001433A1" w:rsidRPr="009B2611" w:rsidRDefault="001433A1" w:rsidP="001433A1">
      <w:pPr>
        <w:numPr>
          <w:ilvl w:val="0"/>
          <w:numId w:val="89"/>
        </w:numPr>
        <w:spacing w:after="0" w:line="240" w:lineRule="auto"/>
        <w:rPr>
          <w:rFonts w:cs="Segoe UI Light"/>
          <w:szCs w:val="20"/>
        </w:rPr>
      </w:pPr>
      <w:r w:rsidRPr="009B2611">
        <w:rPr>
          <w:rFonts w:cs="Segoe UI Light"/>
          <w:szCs w:val="20"/>
        </w:rPr>
        <w:t>Council-issued permit: application for permit to construct</w:t>
      </w:r>
      <w:r>
        <w:rPr>
          <w:rFonts w:cs="Segoe UI Light"/>
          <w:szCs w:val="20"/>
        </w:rPr>
        <w:t xml:space="preserve">, install </w:t>
      </w:r>
      <w:r w:rsidRPr="009B2611">
        <w:rPr>
          <w:rFonts w:cs="Segoe UI Light"/>
          <w:szCs w:val="20"/>
        </w:rPr>
        <w:t>or alter an on-site wastewater management system.</w:t>
      </w:r>
    </w:p>
    <w:p w14:paraId="3556FF04" w14:textId="77777777" w:rsidR="001433A1" w:rsidRPr="009B2611" w:rsidRDefault="001433A1" w:rsidP="001433A1">
      <w:pPr>
        <w:numPr>
          <w:ilvl w:val="0"/>
          <w:numId w:val="89"/>
        </w:numPr>
        <w:spacing w:after="0" w:line="240" w:lineRule="auto"/>
        <w:rPr>
          <w:rFonts w:cs="Segoe UI Light"/>
          <w:szCs w:val="20"/>
        </w:rPr>
      </w:pPr>
      <w:r w:rsidRPr="009B2611">
        <w:rPr>
          <w:rFonts w:cs="Segoe UI Light"/>
          <w:szCs w:val="20"/>
        </w:rPr>
        <w:t>Authority-issued permit</w:t>
      </w:r>
      <w:r>
        <w:rPr>
          <w:rFonts w:cs="Segoe UI Light"/>
          <w:szCs w:val="20"/>
        </w:rPr>
        <w:t xml:space="preserve"> (except transport of reportable priority waste)</w:t>
      </w:r>
      <w:r w:rsidRPr="009B2611">
        <w:rPr>
          <w:rFonts w:cs="Segoe UI Light"/>
          <w:szCs w:val="20"/>
        </w:rPr>
        <w:t>: applications.</w:t>
      </w:r>
    </w:p>
    <w:p w14:paraId="6581FAB7" w14:textId="23E63F6E" w:rsidR="001433A1" w:rsidRPr="009B2611" w:rsidRDefault="001433A1" w:rsidP="001433A1">
      <w:pPr>
        <w:spacing w:before="120"/>
        <w:rPr>
          <w:rFonts w:cs="Segoe UI Light"/>
          <w:szCs w:val="20"/>
        </w:rPr>
      </w:pPr>
      <w:r w:rsidRPr="009B2611">
        <w:t xml:space="preserve">Less detailed analysis has been undertaken for other permissions and activities where </w:t>
      </w:r>
      <w:r w:rsidRPr="009B2611">
        <w:rPr>
          <w:rFonts w:cs="Segoe UI Light"/>
          <w:szCs w:val="20"/>
        </w:rPr>
        <w:t xml:space="preserve">more than one feasible, distinct option does not exist. </w:t>
      </w:r>
      <w:r>
        <w:rPr>
          <w:rFonts w:cs="Segoe UI Light"/>
          <w:szCs w:val="20"/>
        </w:rPr>
        <w:t>Unlike those fees subject to more detailed analysis, these fees are typically more homogenous and repetitive (thus suited to a simple flat fee structure) and/</w:t>
      </w:r>
      <w:r w:rsidRPr="009B2611">
        <w:rPr>
          <w:rFonts w:cs="Segoe UI Light"/>
          <w:szCs w:val="20"/>
        </w:rPr>
        <w:t xml:space="preserve">or impose </w:t>
      </w:r>
      <w:r>
        <w:rPr>
          <w:rFonts w:cs="Segoe UI Light"/>
          <w:szCs w:val="20"/>
        </w:rPr>
        <w:t>lower</w:t>
      </w:r>
      <w:r w:rsidRPr="009B2611">
        <w:rPr>
          <w:rFonts w:cs="Segoe UI Light"/>
          <w:szCs w:val="20"/>
        </w:rPr>
        <w:t xml:space="preserve"> administrative costs on EPA</w:t>
      </w:r>
      <w:r>
        <w:rPr>
          <w:rFonts w:cs="Segoe UI Light"/>
          <w:szCs w:val="20"/>
        </w:rPr>
        <w:t xml:space="preserve">. </w:t>
      </w:r>
      <w:r w:rsidRPr="009B2611">
        <w:rPr>
          <w:rFonts w:cs="Segoe UI Light"/>
          <w:szCs w:val="20"/>
        </w:rPr>
        <w:t xml:space="preserve">Revenue collected for these fee categories is expected to total about </w:t>
      </w:r>
      <w:r w:rsidRPr="00273534">
        <w:rPr>
          <w:rFonts w:cs="Segoe UI Light"/>
          <w:szCs w:val="20"/>
        </w:rPr>
        <w:t>$</w:t>
      </w:r>
      <w:r w:rsidR="00934384">
        <w:rPr>
          <w:rFonts w:cs="Segoe UI Light"/>
          <w:szCs w:val="20"/>
        </w:rPr>
        <w:t>1.8</w:t>
      </w:r>
      <w:r w:rsidRPr="009B2611">
        <w:rPr>
          <w:rFonts w:cs="Segoe UI Light"/>
          <w:szCs w:val="20"/>
        </w:rPr>
        <w:t xml:space="preserve"> million annually, less than </w:t>
      </w:r>
      <w:r w:rsidRPr="00273534">
        <w:rPr>
          <w:rFonts w:cs="Segoe UI Light"/>
          <w:szCs w:val="20"/>
        </w:rPr>
        <w:t>20%</w:t>
      </w:r>
      <w:r w:rsidRPr="009B2611">
        <w:rPr>
          <w:rFonts w:cs="Segoe UI Light"/>
          <w:szCs w:val="20"/>
        </w:rPr>
        <w:t xml:space="preserve"> of EPA’s total fee revenue. Permissions and activities in this category include:</w:t>
      </w:r>
    </w:p>
    <w:p w14:paraId="467C3C83" w14:textId="77777777" w:rsidR="001433A1" w:rsidRPr="009B2611" w:rsidRDefault="001433A1" w:rsidP="001433A1">
      <w:pPr>
        <w:numPr>
          <w:ilvl w:val="0"/>
          <w:numId w:val="90"/>
        </w:numPr>
        <w:contextualSpacing/>
        <w:textboxTightWrap w:val="allLines"/>
        <w:rPr>
          <w:rFonts w:cs="Segoe UI Light"/>
          <w:szCs w:val="20"/>
        </w:rPr>
      </w:pPr>
      <w:r w:rsidRPr="009B2611">
        <w:rPr>
          <w:rFonts w:cs="Segoe UI Light"/>
          <w:szCs w:val="20"/>
        </w:rPr>
        <w:t>Development licence</w:t>
      </w:r>
      <w:r>
        <w:rPr>
          <w:rFonts w:cs="Segoe UI Light"/>
          <w:szCs w:val="20"/>
        </w:rPr>
        <w:t>:</w:t>
      </w:r>
      <w:r w:rsidRPr="009B2611">
        <w:rPr>
          <w:rFonts w:cs="Segoe UI Light"/>
          <w:szCs w:val="20"/>
        </w:rPr>
        <w:t xml:space="preserve"> amendment, transfer, exemption</w:t>
      </w:r>
    </w:p>
    <w:p w14:paraId="272A3500" w14:textId="77777777" w:rsidR="001433A1" w:rsidRPr="009B2611" w:rsidRDefault="001433A1" w:rsidP="001433A1">
      <w:pPr>
        <w:numPr>
          <w:ilvl w:val="0"/>
          <w:numId w:val="90"/>
        </w:numPr>
        <w:contextualSpacing/>
        <w:textboxTightWrap w:val="allLines"/>
        <w:rPr>
          <w:rFonts w:cs="Segoe UI Light"/>
          <w:szCs w:val="20"/>
        </w:rPr>
      </w:pPr>
      <w:r w:rsidRPr="009B2611">
        <w:rPr>
          <w:rFonts w:cs="Segoe UI Light"/>
          <w:szCs w:val="20"/>
        </w:rPr>
        <w:t>Pilot project licence</w:t>
      </w:r>
      <w:r>
        <w:rPr>
          <w:rFonts w:cs="Segoe UI Light"/>
          <w:szCs w:val="20"/>
        </w:rPr>
        <w:t>:</w:t>
      </w:r>
      <w:r w:rsidRPr="009B2611">
        <w:rPr>
          <w:rFonts w:cs="Segoe UI Light"/>
          <w:szCs w:val="20"/>
        </w:rPr>
        <w:t xml:space="preserve"> amendment, transfer</w:t>
      </w:r>
    </w:p>
    <w:p w14:paraId="193FF873" w14:textId="77777777" w:rsidR="001433A1" w:rsidRPr="009B2611" w:rsidRDefault="001433A1" w:rsidP="001433A1">
      <w:pPr>
        <w:numPr>
          <w:ilvl w:val="0"/>
          <w:numId w:val="90"/>
        </w:numPr>
        <w:contextualSpacing/>
        <w:textboxTightWrap w:val="allLines"/>
        <w:rPr>
          <w:rFonts w:cs="Segoe UI Light"/>
          <w:szCs w:val="20"/>
        </w:rPr>
      </w:pPr>
      <w:r w:rsidRPr="009B2611">
        <w:rPr>
          <w:rFonts w:cs="Segoe UI Light"/>
          <w:szCs w:val="20"/>
        </w:rPr>
        <w:t>Operating licence</w:t>
      </w:r>
      <w:r>
        <w:rPr>
          <w:rFonts w:cs="Segoe UI Light"/>
          <w:szCs w:val="20"/>
        </w:rPr>
        <w:t>:</w:t>
      </w:r>
      <w:r w:rsidRPr="009B2611">
        <w:rPr>
          <w:rFonts w:cs="Segoe UI Light"/>
          <w:szCs w:val="20"/>
        </w:rPr>
        <w:t xml:space="preserve"> application</w:t>
      </w:r>
      <w:r>
        <w:rPr>
          <w:rFonts w:cs="Segoe UI Light"/>
          <w:szCs w:val="20"/>
        </w:rPr>
        <w:t>,</w:t>
      </w:r>
      <w:r w:rsidRPr="009B2611">
        <w:rPr>
          <w:rFonts w:cs="Segoe UI Light"/>
          <w:szCs w:val="20"/>
        </w:rPr>
        <w:t xml:space="preserve"> amendment, transfer, surrender, exemption</w:t>
      </w:r>
    </w:p>
    <w:p w14:paraId="462B1723" w14:textId="77777777" w:rsidR="001433A1" w:rsidRDefault="001433A1" w:rsidP="001433A1">
      <w:pPr>
        <w:numPr>
          <w:ilvl w:val="0"/>
          <w:numId w:val="90"/>
        </w:numPr>
        <w:contextualSpacing/>
        <w:textboxTightWrap w:val="allLines"/>
        <w:rPr>
          <w:rFonts w:cs="Segoe UI Light"/>
          <w:szCs w:val="20"/>
        </w:rPr>
      </w:pPr>
      <w:r w:rsidRPr="009B2611">
        <w:rPr>
          <w:rFonts w:cs="Segoe UI Light"/>
          <w:szCs w:val="20"/>
        </w:rPr>
        <w:t>Permit to transport reportable priority waste</w:t>
      </w:r>
      <w:r>
        <w:rPr>
          <w:rFonts w:cs="Segoe UI Light"/>
          <w:szCs w:val="20"/>
        </w:rPr>
        <w:t>:</w:t>
      </w:r>
      <w:r w:rsidRPr="009B2611">
        <w:rPr>
          <w:rFonts w:cs="Segoe UI Light"/>
          <w:szCs w:val="20"/>
        </w:rPr>
        <w:t xml:space="preserve"> amendment, transfer, surrender, exemption, </w:t>
      </w:r>
      <w:bookmarkStart w:id="1929" w:name="_Hlk15900647"/>
      <w:r w:rsidRPr="009B2611">
        <w:rPr>
          <w:rFonts w:cs="Segoe UI Light"/>
          <w:szCs w:val="20"/>
        </w:rPr>
        <w:t>exemption (</w:t>
      </w:r>
      <w:r>
        <w:rPr>
          <w:rFonts w:cs="Segoe UI Light"/>
          <w:szCs w:val="20"/>
        </w:rPr>
        <w:t>due to holding a valid authorisation in another jurisdiction</w:t>
      </w:r>
      <w:r w:rsidRPr="009B2611">
        <w:rPr>
          <w:rFonts w:cs="Segoe UI Light"/>
          <w:szCs w:val="20"/>
        </w:rPr>
        <w:t>)</w:t>
      </w:r>
      <w:bookmarkEnd w:id="1929"/>
      <w:r>
        <w:rPr>
          <w:rFonts w:cs="Segoe UI Light"/>
          <w:szCs w:val="20"/>
        </w:rPr>
        <w:t>, renewal</w:t>
      </w:r>
    </w:p>
    <w:p w14:paraId="7E237EDD" w14:textId="77777777" w:rsidR="001433A1" w:rsidRDefault="001433A1" w:rsidP="001433A1">
      <w:pPr>
        <w:numPr>
          <w:ilvl w:val="0"/>
          <w:numId w:val="90"/>
        </w:numPr>
        <w:contextualSpacing/>
        <w:textboxTightWrap w:val="allLines"/>
        <w:rPr>
          <w:rFonts w:cs="Segoe UI Light"/>
          <w:szCs w:val="20"/>
        </w:rPr>
      </w:pPr>
      <w:r>
        <w:rPr>
          <w:rFonts w:cs="Segoe UI Light"/>
          <w:szCs w:val="20"/>
        </w:rPr>
        <w:t>Authority-issued permit (except transport of reportable priority waste): amendment, transfer, surrender, exemption, renewal</w:t>
      </w:r>
    </w:p>
    <w:p w14:paraId="32C6ECBB" w14:textId="77777777" w:rsidR="001433A1" w:rsidRDefault="001433A1" w:rsidP="001433A1">
      <w:pPr>
        <w:numPr>
          <w:ilvl w:val="0"/>
          <w:numId w:val="90"/>
        </w:numPr>
        <w:contextualSpacing/>
        <w:textboxTightWrap w:val="allLines"/>
        <w:rPr>
          <w:rFonts w:cs="Segoe UI Light"/>
          <w:szCs w:val="20"/>
        </w:rPr>
      </w:pPr>
      <w:r>
        <w:rPr>
          <w:rFonts w:cs="Segoe UI Light"/>
          <w:szCs w:val="20"/>
        </w:rPr>
        <w:t>Council-issued permit: application for exemption from permit to construct, install or alter an on-site wastewater management system</w:t>
      </w:r>
    </w:p>
    <w:p w14:paraId="147492EF" w14:textId="77777777" w:rsidR="001433A1" w:rsidRPr="009B2611" w:rsidRDefault="001433A1" w:rsidP="001433A1">
      <w:pPr>
        <w:numPr>
          <w:ilvl w:val="0"/>
          <w:numId w:val="90"/>
        </w:numPr>
        <w:contextualSpacing/>
        <w:textboxTightWrap w:val="allLines"/>
        <w:rPr>
          <w:rFonts w:cs="Segoe UI Light"/>
          <w:szCs w:val="20"/>
        </w:rPr>
      </w:pPr>
      <w:r>
        <w:rPr>
          <w:rFonts w:cs="Segoe UI Light"/>
          <w:szCs w:val="20"/>
        </w:rPr>
        <w:t>Registration to transport reportable priority waste: application, renewal</w:t>
      </w:r>
    </w:p>
    <w:p w14:paraId="57359BDC" w14:textId="77777777" w:rsidR="001433A1" w:rsidRPr="009B2611" w:rsidRDefault="001433A1" w:rsidP="001433A1">
      <w:pPr>
        <w:numPr>
          <w:ilvl w:val="0"/>
          <w:numId w:val="90"/>
        </w:numPr>
        <w:contextualSpacing/>
        <w:textboxTightWrap w:val="allLines"/>
        <w:rPr>
          <w:rFonts w:cs="Segoe UI Light"/>
          <w:szCs w:val="20"/>
        </w:rPr>
      </w:pPr>
      <w:r w:rsidRPr="009B2611">
        <w:rPr>
          <w:rFonts w:cs="Segoe UI Light"/>
          <w:szCs w:val="20"/>
        </w:rPr>
        <w:t>Environmental audit system</w:t>
      </w:r>
      <w:r>
        <w:rPr>
          <w:rFonts w:cs="Segoe UI Light"/>
          <w:szCs w:val="20"/>
        </w:rPr>
        <w:t>:</w:t>
      </w:r>
      <w:r w:rsidRPr="009B2611">
        <w:rPr>
          <w:rFonts w:cs="Segoe UI Light"/>
          <w:szCs w:val="20"/>
        </w:rPr>
        <w:t xml:space="preserve"> appointment, reappointment, preliminary risk screen assessment statement and report, environmental audit statement and report</w:t>
      </w:r>
    </w:p>
    <w:p w14:paraId="3EA93A3D" w14:textId="77777777" w:rsidR="001433A1" w:rsidRPr="009B2611" w:rsidRDefault="001433A1" w:rsidP="001433A1">
      <w:pPr>
        <w:numPr>
          <w:ilvl w:val="0"/>
          <w:numId w:val="90"/>
        </w:numPr>
        <w:contextualSpacing/>
        <w:textboxTightWrap w:val="allLines"/>
        <w:rPr>
          <w:rFonts w:cs="Segoe UI Light"/>
          <w:szCs w:val="20"/>
        </w:rPr>
      </w:pPr>
      <w:r w:rsidRPr="009B2611">
        <w:rPr>
          <w:rFonts w:cs="Segoe UI Light"/>
          <w:szCs w:val="20"/>
        </w:rPr>
        <w:t>Authority may authorise emergency storage, use etc. of waste</w:t>
      </w:r>
      <w:r>
        <w:rPr>
          <w:rFonts w:cs="Segoe UI Light"/>
          <w:szCs w:val="20"/>
        </w:rPr>
        <w:t>:</w:t>
      </w:r>
      <w:r w:rsidRPr="009B2611">
        <w:rPr>
          <w:rFonts w:cs="Segoe UI Light"/>
          <w:szCs w:val="20"/>
        </w:rPr>
        <w:t xml:space="preserve"> commissioning (as distinct from emergency storage</w:t>
      </w:r>
      <w:r w:rsidRPr="00FF1C9E">
        <w:rPr>
          <w:rFonts w:cs="Segoe UI Light"/>
          <w:szCs w:val="20"/>
        </w:rPr>
        <w:t>, use etc.</w:t>
      </w:r>
      <w:r w:rsidRPr="00785A28">
        <w:rPr>
          <w:rFonts w:cs="Segoe UI Light"/>
          <w:szCs w:val="20"/>
        </w:rPr>
        <w:t xml:space="preserve"> of waste</w:t>
      </w:r>
      <w:r w:rsidRPr="009B2611">
        <w:rPr>
          <w:rFonts w:cs="Segoe UI Light"/>
          <w:szCs w:val="20"/>
        </w:rPr>
        <w:t xml:space="preserve"> for which it is not proposed to set a fee)</w:t>
      </w:r>
    </w:p>
    <w:p w14:paraId="7D2BFE8A" w14:textId="77777777" w:rsidR="001433A1" w:rsidRPr="009B2611" w:rsidRDefault="001433A1" w:rsidP="001433A1">
      <w:pPr>
        <w:numPr>
          <w:ilvl w:val="0"/>
          <w:numId w:val="90"/>
        </w:numPr>
        <w:contextualSpacing/>
        <w:textboxTightWrap w:val="allLines"/>
        <w:rPr>
          <w:rFonts w:cs="Segoe UI Light"/>
          <w:szCs w:val="20"/>
        </w:rPr>
      </w:pPr>
      <w:r w:rsidRPr="009B2611">
        <w:rPr>
          <w:rFonts w:cs="Segoe UI Light"/>
          <w:szCs w:val="20"/>
        </w:rPr>
        <w:t>Better environment plans</w:t>
      </w:r>
      <w:r>
        <w:rPr>
          <w:rFonts w:cs="Segoe UI Light"/>
          <w:szCs w:val="20"/>
        </w:rPr>
        <w:t>:</w:t>
      </w:r>
      <w:r w:rsidRPr="009B2611">
        <w:rPr>
          <w:rFonts w:cs="Segoe UI Light"/>
          <w:szCs w:val="20"/>
        </w:rPr>
        <w:t xml:space="preserve"> submission, amendment, </w:t>
      </w:r>
      <w:r w:rsidRPr="00785A28">
        <w:rPr>
          <w:rFonts w:cs="Segoe UI Light"/>
          <w:szCs w:val="20"/>
        </w:rPr>
        <w:t xml:space="preserve">services to </w:t>
      </w:r>
      <w:r w:rsidRPr="00FF1C9E">
        <w:rPr>
          <w:rFonts w:cs="Segoe UI Light"/>
          <w:szCs w:val="20"/>
        </w:rPr>
        <w:t>advise or assist</w:t>
      </w:r>
      <w:r w:rsidRPr="00785A28">
        <w:rPr>
          <w:rFonts w:cs="Segoe UI Light"/>
          <w:szCs w:val="20"/>
        </w:rPr>
        <w:t xml:space="preserve"> a person </w:t>
      </w:r>
      <w:r w:rsidRPr="00FF1C9E">
        <w:rPr>
          <w:rFonts w:cs="Segoe UI Light"/>
          <w:szCs w:val="20"/>
        </w:rPr>
        <w:t>to prepare</w:t>
      </w:r>
      <w:r w:rsidRPr="00DE68D8">
        <w:rPr>
          <w:rFonts w:cs="Segoe UI Light"/>
          <w:szCs w:val="20"/>
        </w:rPr>
        <w:t xml:space="preserve"> a proposed better environment plan</w:t>
      </w:r>
    </w:p>
    <w:p w14:paraId="1BD0DFCF" w14:textId="77777777" w:rsidR="001433A1" w:rsidRPr="009B2611" w:rsidRDefault="001433A1" w:rsidP="001433A1">
      <w:pPr>
        <w:numPr>
          <w:ilvl w:val="0"/>
          <w:numId w:val="90"/>
        </w:numPr>
        <w:contextualSpacing/>
        <w:textboxTightWrap w:val="allLines"/>
        <w:rPr>
          <w:rFonts w:cs="Segoe UI Light"/>
          <w:szCs w:val="20"/>
        </w:rPr>
      </w:pPr>
      <w:r w:rsidRPr="009B2611">
        <w:rPr>
          <w:rFonts w:cs="Segoe UI Light"/>
          <w:szCs w:val="20"/>
        </w:rPr>
        <w:t>Authority may appoint analysts and prescribed roles</w:t>
      </w:r>
      <w:r>
        <w:rPr>
          <w:rFonts w:cs="Segoe UI Light"/>
          <w:szCs w:val="20"/>
        </w:rPr>
        <w:t>:</w:t>
      </w:r>
      <w:r w:rsidRPr="009B2611">
        <w:rPr>
          <w:rFonts w:cs="Segoe UI Light"/>
          <w:szCs w:val="20"/>
        </w:rPr>
        <w:t xml:space="preserve"> appointment as accredited consigner</w:t>
      </w:r>
    </w:p>
    <w:p w14:paraId="3726BC6D" w14:textId="77777777" w:rsidR="001433A1" w:rsidRPr="009B2611" w:rsidRDefault="001433A1" w:rsidP="001433A1">
      <w:pPr>
        <w:numPr>
          <w:ilvl w:val="0"/>
          <w:numId w:val="90"/>
        </w:numPr>
        <w:contextualSpacing/>
        <w:textboxTightWrap w:val="allLines"/>
        <w:rPr>
          <w:rFonts w:cs="Segoe UI Light"/>
          <w:szCs w:val="20"/>
        </w:rPr>
      </w:pPr>
      <w:r w:rsidRPr="009B2611">
        <w:rPr>
          <w:rFonts w:cs="Segoe UI Light"/>
          <w:szCs w:val="20"/>
        </w:rPr>
        <w:t>Application to vary or revoke site management order</w:t>
      </w:r>
    </w:p>
    <w:p w14:paraId="64176C39" w14:textId="77777777" w:rsidR="001433A1" w:rsidRPr="009B2611" w:rsidRDefault="001433A1" w:rsidP="001433A1">
      <w:pPr>
        <w:numPr>
          <w:ilvl w:val="0"/>
          <w:numId w:val="90"/>
        </w:numPr>
        <w:contextualSpacing/>
        <w:textboxTightWrap w:val="allLines"/>
        <w:rPr>
          <w:rFonts w:cs="Segoe UI Light"/>
          <w:szCs w:val="20"/>
        </w:rPr>
      </w:pPr>
      <w:r w:rsidRPr="009B2611">
        <w:rPr>
          <w:rFonts w:cs="Segoe UI Light"/>
          <w:szCs w:val="20"/>
        </w:rPr>
        <w:t>Exemption</w:t>
      </w:r>
      <w:r w:rsidRPr="009B2611">
        <w:t xml:space="preserve"> </w:t>
      </w:r>
      <w:r w:rsidRPr="009B2611">
        <w:rPr>
          <w:rFonts w:cs="Segoe UI Light"/>
          <w:szCs w:val="20"/>
        </w:rPr>
        <w:t>from a</w:t>
      </w:r>
      <w:r>
        <w:rPr>
          <w:rFonts w:cs="Segoe UI Light"/>
          <w:szCs w:val="20"/>
        </w:rPr>
        <w:t>ny</w:t>
      </w:r>
      <w:r w:rsidRPr="009B2611">
        <w:rPr>
          <w:rFonts w:cs="Segoe UI Light"/>
          <w:szCs w:val="20"/>
        </w:rPr>
        <w:t xml:space="preserve"> provision</w:t>
      </w:r>
      <w:r>
        <w:rPr>
          <w:rFonts w:cs="Segoe UI Light"/>
          <w:szCs w:val="20"/>
        </w:rPr>
        <w:t>s</w:t>
      </w:r>
      <w:r w:rsidRPr="009B2611">
        <w:rPr>
          <w:rFonts w:cs="Segoe UI Light"/>
          <w:szCs w:val="20"/>
        </w:rPr>
        <w:t xml:space="preserve"> of the regulations or a legislative instrument</w:t>
      </w:r>
      <w:r>
        <w:rPr>
          <w:rFonts w:cs="Segoe UI Light"/>
          <w:szCs w:val="20"/>
        </w:rPr>
        <w:t xml:space="preserve"> made under the Act</w:t>
      </w:r>
    </w:p>
    <w:p w14:paraId="719FC39C" w14:textId="77777777" w:rsidR="001433A1" w:rsidRPr="009B2611" w:rsidRDefault="001433A1" w:rsidP="001433A1">
      <w:pPr>
        <w:numPr>
          <w:ilvl w:val="0"/>
          <w:numId w:val="90"/>
        </w:numPr>
        <w:contextualSpacing/>
        <w:textboxTightWrap w:val="allLines"/>
        <w:rPr>
          <w:rFonts w:cs="Segoe UI Light"/>
          <w:szCs w:val="20"/>
        </w:rPr>
      </w:pPr>
      <w:r w:rsidRPr="009B2611">
        <w:rPr>
          <w:rFonts w:cs="Segoe UI Light"/>
          <w:szCs w:val="20"/>
        </w:rPr>
        <w:t>Financial assurance</w:t>
      </w:r>
      <w:r>
        <w:rPr>
          <w:rFonts w:cs="Segoe UI Light"/>
          <w:szCs w:val="20"/>
        </w:rPr>
        <w:t>:</w:t>
      </w:r>
      <w:r w:rsidRPr="009B2611">
        <w:rPr>
          <w:rFonts w:cs="Segoe UI Light"/>
          <w:szCs w:val="20"/>
        </w:rPr>
        <w:t xml:space="preserve"> request review of form of a financial assurance, application for release of financial assurance.</w:t>
      </w:r>
    </w:p>
    <w:p w14:paraId="19203002" w14:textId="1236495B" w:rsidR="001433A1" w:rsidRPr="009B2611" w:rsidRDefault="001433A1" w:rsidP="001433A1">
      <w:pPr>
        <w:spacing w:before="240"/>
      </w:pPr>
      <w:r w:rsidRPr="009B2611">
        <w:t>Proposed fees for these permissions and activities are discussed in section</w:t>
      </w:r>
      <w:r w:rsidR="00785A28">
        <w:t xml:space="preserve"> </w:t>
      </w:r>
      <w:r w:rsidR="00785A28">
        <w:fldChar w:fldCharType="begin"/>
      </w:r>
      <w:r w:rsidR="00785A28">
        <w:instrText xml:space="preserve"> REF _Ref16607159 \r \h </w:instrText>
      </w:r>
      <w:r w:rsidR="00785A28">
        <w:fldChar w:fldCharType="separate"/>
      </w:r>
      <w:r w:rsidR="00B11C1E">
        <w:t>16.9</w:t>
      </w:r>
      <w:r w:rsidR="00785A28">
        <w:fldChar w:fldCharType="end"/>
      </w:r>
      <w:r w:rsidR="00785A28">
        <w:t>.</w:t>
      </w:r>
      <w:r w:rsidRPr="009B2611">
        <w:t xml:space="preserve"> </w:t>
      </w:r>
    </w:p>
    <w:p w14:paraId="02DE8BC8" w14:textId="77777777" w:rsidR="001433A1" w:rsidRPr="009B2611" w:rsidRDefault="001433A1" w:rsidP="001433A1">
      <w:pPr>
        <w:pStyle w:val="Heading2"/>
      </w:pPr>
      <w:r w:rsidRPr="009B2611">
        <w:t>Detailed assessment</w:t>
      </w:r>
    </w:p>
    <w:p w14:paraId="2EA51CF9" w14:textId="77777777" w:rsidR="001433A1" w:rsidRPr="009B2611" w:rsidRDefault="001433A1" w:rsidP="001433A1">
      <w:pPr>
        <w:pStyle w:val="Heading3"/>
        <w:ind w:left="720"/>
      </w:pPr>
      <w:r w:rsidRPr="009B2611">
        <w:t>MCA method</w:t>
      </w:r>
    </w:p>
    <w:p w14:paraId="0F554179" w14:textId="77777777" w:rsidR="001433A1" w:rsidRPr="009B2611" w:rsidRDefault="001433A1" w:rsidP="001433A1">
      <w:r>
        <w:t>F</w:t>
      </w:r>
      <w:r w:rsidRPr="009B2611">
        <w:t>ees that are subject to detailed analysis</w:t>
      </w:r>
      <w:r>
        <w:t>, except for operating licence annual fees,</w:t>
      </w:r>
      <w:r w:rsidRPr="009B2611">
        <w:t xml:space="preserve"> have been assessed using MCA. A discussion of MCA is provided in the introduction to Part 2 of this RIS. Options have been assessed against the criteria outlined in the table below. </w:t>
      </w:r>
      <w:r>
        <w:t>These criteria are also used as an analytical framework to support the discussion of preferred fees for which a detailed analysis has not been undertaken</w:t>
      </w:r>
      <w:r w:rsidRPr="003129D8">
        <w:t>.</w:t>
      </w:r>
      <w:r>
        <w:t xml:space="preserve"> A weighting of </w:t>
      </w:r>
      <w:r w:rsidRPr="003129D8">
        <w:t>35</w:t>
      </w:r>
      <w:r>
        <w:t>%/35%/30%</w:t>
      </w:r>
      <w:r w:rsidRPr="003129D8">
        <w:t xml:space="preserve"> </w:t>
      </w:r>
      <w:r>
        <w:t>has been adopted, reflecting that “Cost reflectivity” and “Equity”</w:t>
      </w:r>
      <w:r w:rsidRPr="003129D8">
        <w:t xml:space="preserve"> objectives are arguably slightly more important </w:t>
      </w:r>
      <w:r>
        <w:t>than “</w:t>
      </w:r>
      <w:r w:rsidRPr="003129D8">
        <w:t>Simple and easy to understand and administer</w:t>
      </w:r>
      <w:r>
        <w:t>”. The latter criteria is still weighted strongly because if</w:t>
      </w:r>
      <w:r w:rsidRPr="003129D8">
        <w:t xml:space="preserve"> businesses don’t understand or are uncertain about the fees they might be required to pay, particularly where those fees are significant, this could adversely in</w:t>
      </w:r>
      <w:r>
        <w:t>fluence business decisions. In addition, the</w:t>
      </w:r>
      <w:r w:rsidRPr="003129D8">
        <w:t xml:space="preserve"> EPA will be </w:t>
      </w:r>
      <w:r>
        <w:t xml:space="preserve">imposing a large range of fees and charges </w:t>
      </w:r>
      <w:r w:rsidRPr="003129D8">
        <w:t xml:space="preserve">and it needs to ensure that its </w:t>
      </w:r>
      <w:r>
        <w:t xml:space="preserve">charging </w:t>
      </w:r>
      <w:r w:rsidRPr="003129D8">
        <w:t>systems and processes</w:t>
      </w:r>
      <w:r>
        <w:t xml:space="preserve"> are not too complex and costly to administer. </w:t>
      </w:r>
    </w:p>
    <w:p w14:paraId="54BD6E3C" w14:textId="77777777" w:rsidR="001433A1" w:rsidRPr="009B2611" w:rsidRDefault="001433A1" w:rsidP="001433A1">
      <w:pPr>
        <w:keepNext/>
        <w:keepLines/>
        <w:spacing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3</w:t>
      </w:r>
      <w:r>
        <w:rPr>
          <w:color w:val="75787B" w:themeColor="accent6"/>
          <w:sz w:val="17"/>
          <w:shd w:val="clear" w:color="auto" w:fill="E6E6E6"/>
        </w:rPr>
        <w:fldChar w:fldCharType="end"/>
      </w:r>
      <w:r w:rsidRPr="009B2611">
        <w:rPr>
          <w:iCs/>
          <w:color w:val="75787B" w:themeColor="accent6"/>
          <w:sz w:val="17"/>
        </w:rPr>
        <w:t xml:space="preserve"> MCA criteria and weightings</w:t>
      </w:r>
    </w:p>
    <w:tbl>
      <w:tblPr>
        <w:tblStyle w:val="Deloittetable"/>
        <w:tblW w:w="5000" w:type="pct"/>
        <w:tblLayout w:type="fixed"/>
        <w:tblLook w:val="04A0" w:firstRow="1" w:lastRow="0" w:firstColumn="1" w:lastColumn="0" w:noHBand="0" w:noVBand="1"/>
      </w:tblPr>
      <w:tblGrid>
        <w:gridCol w:w="1418"/>
        <w:gridCol w:w="6663"/>
        <w:gridCol w:w="1274"/>
      </w:tblGrid>
      <w:tr w:rsidR="001433A1" w:rsidRPr="009B2611" w14:paraId="023A5EAA" w14:textId="77777777" w:rsidTr="00FF1C9E">
        <w:trPr>
          <w:cnfStyle w:val="100000000000" w:firstRow="1" w:lastRow="0" w:firstColumn="0" w:lastColumn="0" w:oddVBand="0" w:evenVBand="0" w:oddHBand="0" w:evenHBand="0" w:firstRowFirstColumn="0" w:firstRowLastColumn="0" w:lastRowFirstColumn="0" w:lastRowLastColumn="0"/>
        </w:trPr>
        <w:tc>
          <w:tcPr>
            <w:tcW w:w="758" w:type="pct"/>
          </w:tcPr>
          <w:p w14:paraId="023AE53E" w14:textId="77777777" w:rsidR="001433A1" w:rsidRPr="009B2611" w:rsidRDefault="001433A1" w:rsidP="001433A1">
            <w:pPr>
              <w:spacing w:after="0" w:line="440" w:lineRule="atLeast"/>
              <w:rPr>
                <w:b/>
                <w:sz w:val="18"/>
              </w:rPr>
            </w:pPr>
            <w:r w:rsidRPr="009B2611">
              <w:rPr>
                <w:b/>
                <w:sz w:val="18"/>
              </w:rPr>
              <w:t>Criteria</w:t>
            </w:r>
          </w:p>
        </w:tc>
        <w:tc>
          <w:tcPr>
            <w:tcW w:w="3561" w:type="pct"/>
          </w:tcPr>
          <w:p w14:paraId="28792F27" w14:textId="77777777" w:rsidR="001433A1" w:rsidRPr="009B2611" w:rsidRDefault="001433A1" w:rsidP="001433A1">
            <w:pPr>
              <w:spacing w:after="0" w:line="440" w:lineRule="atLeast"/>
              <w:rPr>
                <w:b/>
                <w:sz w:val="18"/>
              </w:rPr>
            </w:pPr>
            <w:r w:rsidRPr="009B2611">
              <w:rPr>
                <w:b/>
                <w:sz w:val="18"/>
              </w:rPr>
              <w:t xml:space="preserve">Description </w:t>
            </w:r>
          </w:p>
        </w:tc>
        <w:tc>
          <w:tcPr>
            <w:tcW w:w="681" w:type="pct"/>
          </w:tcPr>
          <w:p w14:paraId="4C12A46A" w14:textId="77777777" w:rsidR="001433A1" w:rsidRPr="009B2611" w:rsidRDefault="001433A1" w:rsidP="001433A1">
            <w:pPr>
              <w:spacing w:after="0" w:line="440" w:lineRule="atLeast"/>
              <w:jc w:val="center"/>
              <w:rPr>
                <w:b/>
                <w:sz w:val="18"/>
              </w:rPr>
            </w:pPr>
            <w:r w:rsidRPr="009B2611">
              <w:rPr>
                <w:b/>
                <w:sz w:val="18"/>
              </w:rPr>
              <w:t>Weighting</w:t>
            </w:r>
          </w:p>
        </w:tc>
      </w:tr>
      <w:tr w:rsidR="001433A1" w:rsidRPr="009B2611" w14:paraId="6D56DE21" w14:textId="77777777" w:rsidTr="00FF1C9E">
        <w:tc>
          <w:tcPr>
            <w:tcW w:w="758" w:type="pct"/>
          </w:tcPr>
          <w:p w14:paraId="144E3F4E" w14:textId="77777777" w:rsidR="001433A1" w:rsidRPr="009B2611" w:rsidRDefault="001433A1" w:rsidP="001433A1">
            <w:pPr>
              <w:spacing w:after="0" w:line="240" w:lineRule="auto"/>
              <w:rPr>
                <w:sz w:val="18"/>
              </w:rPr>
            </w:pPr>
            <w:r w:rsidRPr="009B2611">
              <w:rPr>
                <w:sz w:val="18"/>
              </w:rPr>
              <w:t>Cost reflectivity</w:t>
            </w:r>
          </w:p>
        </w:tc>
        <w:tc>
          <w:tcPr>
            <w:tcW w:w="3561" w:type="pct"/>
          </w:tcPr>
          <w:p w14:paraId="18DF58E0" w14:textId="77777777" w:rsidR="001433A1" w:rsidRPr="009B2611" w:rsidRDefault="001433A1" w:rsidP="00FF1C9E">
            <w:pPr>
              <w:numPr>
                <w:ilvl w:val="0"/>
                <w:numId w:val="90"/>
              </w:numPr>
              <w:spacing w:after="0" w:line="240" w:lineRule="auto"/>
              <w:contextualSpacing/>
              <w:jc w:val="both"/>
              <w:textboxTightWrap w:val="allLines"/>
              <w:rPr>
                <w:sz w:val="18"/>
              </w:rPr>
            </w:pPr>
            <w:r>
              <w:rPr>
                <w:sz w:val="18"/>
              </w:rPr>
              <w:t>T</w:t>
            </w:r>
            <w:r w:rsidRPr="009B2611">
              <w:rPr>
                <w:sz w:val="18"/>
              </w:rPr>
              <w:t>he extent to which the total fees charged reflect the total costs of providing those services</w:t>
            </w:r>
          </w:p>
        </w:tc>
        <w:tc>
          <w:tcPr>
            <w:tcW w:w="681" w:type="pct"/>
          </w:tcPr>
          <w:p w14:paraId="4B614312" w14:textId="77777777" w:rsidR="001433A1" w:rsidRPr="009B2611" w:rsidRDefault="001433A1" w:rsidP="001433A1">
            <w:pPr>
              <w:spacing w:after="0" w:line="440" w:lineRule="atLeast"/>
              <w:jc w:val="center"/>
              <w:rPr>
                <w:sz w:val="18"/>
              </w:rPr>
            </w:pPr>
            <w:r w:rsidRPr="009B2611">
              <w:rPr>
                <w:sz w:val="18"/>
              </w:rPr>
              <w:t>3</w:t>
            </w:r>
            <w:r>
              <w:rPr>
                <w:sz w:val="18"/>
              </w:rPr>
              <w:t>5</w:t>
            </w:r>
            <w:r w:rsidRPr="009B2611">
              <w:rPr>
                <w:sz w:val="18"/>
              </w:rPr>
              <w:t>%</w:t>
            </w:r>
          </w:p>
        </w:tc>
      </w:tr>
      <w:tr w:rsidR="001433A1" w:rsidRPr="009B2611" w14:paraId="37C681E8" w14:textId="77777777" w:rsidTr="00FF1C9E">
        <w:tc>
          <w:tcPr>
            <w:tcW w:w="758" w:type="pct"/>
          </w:tcPr>
          <w:p w14:paraId="38949AF7" w14:textId="77777777" w:rsidR="001433A1" w:rsidRPr="009B2611" w:rsidRDefault="001433A1" w:rsidP="001433A1">
            <w:pPr>
              <w:spacing w:after="0" w:line="240" w:lineRule="auto"/>
              <w:rPr>
                <w:sz w:val="18"/>
              </w:rPr>
            </w:pPr>
            <w:r w:rsidRPr="009B2611">
              <w:rPr>
                <w:sz w:val="18"/>
              </w:rPr>
              <w:t>Equity</w:t>
            </w:r>
          </w:p>
        </w:tc>
        <w:tc>
          <w:tcPr>
            <w:tcW w:w="3561" w:type="pct"/>
          </w:tcPr>
          <w:p w14:paraId="3809BCB0" w14:textId="77777777" w:rsidR="001433A1" w:rsidRPr="009B2611" w:rsidRDefault="001433A1" w:rsidP="00FF1C9E">
            <w:pPr>
              <w:numPr>
                <w:ilvl w:val="0"/>
                <w:numId w:val="90"/>
              </w:numPr>
              <w:spacing w:after="0" w:line="240" w:lineRule="auto"/>
              <w:contextualSpacing/>
              <w:jc w:val="both"/>
              <w:textboxTightWrap w:val="allLines"/>
              <w:rPr>
                <w:sz w:val="18"/>
              </w:rPr>
            </w:pPr>
            <w:r>
              <w:rPr>
                <w:sz w:val="18"/>
              </w:rPr>
              <w:t>T</w:t>
            </w:r>
            <w:r w:rsidRPr="009B2611">
              <w:rPr>
                <w:sz w:val="18"/>
              </w:rPr>
              <w:t>he degree to which the parties that give rise to specific costs bear (only) those costs</w:t>
            </w:r>
          </w:p>
          <w:p w14:paraId="6898864D" w14:textId="77777777" w:rsidR="001433A1" w:rsidRDefault="001433A1" w:rsidP="00FF1C9E">
            <w:pPr>
              <w:numPr>
                <w:ilvl w:val="0"/>
                <w:numId w:val="90"/>
              </w:numPr>
              <w:spacing w:after="0" w:line="240" w:lineRule="auto"/>
              <w:contextualSpacing/>
              <w:jc w:val="both"/>
              <w:textboxTightWrap w:val="allLines"/>
              <w:rPr>
                <w:sz w:val="18"/>
              </w:rPr>
            </w:pPr>
            <w:r>
              <w:rPr>
                <w:sz w:val="18"/>
              </w:rPr>
              <w:t>T</w:t>
            </w:r>
            <w:r w:rsidRPr="009B2611">
              <w:rPr>
                <w:sz w:val="18"/>
              </w:rPr>
              <w:t>he extent to which fees take into account the ability to pay and not present a barrier to entry, particularly for small businesses</w:t>
            </w:r>
          </w:p>
          <w:p w14:paraId="3E65140F" w14:textId="77777777" w:rsidR="001433A1" w:rsidRPr="00803033" w:rsidRDefault="001433A1" w:rsidP="00FF1C9E">
            <w:pPr>
              <w:spacing w:after="0" w:line="240" w:lineRule="auto"/>
              <w:ind w:left="360"/>
              <w:contextualSpacing/>
              <w:jc w:val="both"/>
              <w:textboxTightWrap w:val="allLines"/>
              <w:rPr>
                <w:sz w:val="18"/>
              </w:rPr>
            </w:pPr>
            <w:r w:rsidRPr="00017799">
              <w:rPr>
                <w:sz w:val="18"/>
              </w:rPr>
              <w:t>There can</w:t>
            </w:r>
            <w:r>
              <w:rPr>
                <w:sz w:val="18"/>
              </w:rPr>
              <w:t>,</w:t>
            </w:r>
            <w:r w:rsidRPr="00017799">
              <w:rPr>
                <w:sz w:val="18"/>
              </w:rPr>
              <w:t xml:space="preserve"> in some cases</w:t>
            </w:r>
            <w:r>
              <w:rPr>
                <w:sz w:val="18"/>
              </w:rPr>
              <w:t>,</w:t>
            </w:r>
            <w:r w:rsidRPr="00017799">
              <w:rPr>
                <w:sz w:val="18"/>
              </w:rPr>
              <w:t xml:space="preserve"> be tension between these two aspects of equity. The MCAs reflect these opposing impacts in the qualitative discussion and when giving a score for this criterion.</w:t>
            </w:r>
          </w:p>
        </w:tc>
        <w:tc>
          <w:tcPr>
            <w:tcW w:w="681" w:type="pct"/>
          </w:tcPr>
          <w:p w14:paraId="46BF665B" w14:textId="77777777" w:rsidR="001433A1" w:rsidRPr="009B2611" w:rsidRDefault="001433A1" w:rsidP="001433A1">
            <w:pPr>
              <w:spacing w:after="0" w:line="240" w:lineRule="auto"/>
              <w:jc w:val="center"/>
              <w:rPr>
                <w:sz w:val="18"/>
              </w:rPr>
            </w:pPr>
            <w:r w:rsidRPr="009B2611">
              <w:rPr>
                <w:sz w:val="18"/>
              </w:rPr>
              <w:t>3</w:t>
            </w:r>
            <w:r>
              <w:rPr>
                <w:sz w:val="18"/>
              </w:rPr>
              <w:t>5</w:t>
            </w:r>
            <w:r w:rsidRPr="009B2611">
              <w:rPr>
                <w:sz w:val="18"/>
              </w:rPr>
              <w:t>%</w:t>
            </w:r>
          </w:p>
        </w:tc>
      </w:tr>
      <w:tr w:rsidR="001433A1" w:rsidRPr="009B2611" w14:paraId="2C90172A" w14:textId="77777777" w:rsidTr="00FF1C9E">
        <w:tc>
          <w:tcPr>
            <w:tcW w:w="758" w:type="pct"/>
          </w:tcPr>
          <w:p w14:paraId="55727ABF" w14:textId="77777777" w:rsidR="001433A1" w:rsidRPr="009B2611" w:rsidRDefault="001433A1" w:rsidP="001433A1">
            <w:pPr>
              <w:spacing w:after="0" w:line="240" w:lineRule="auto"/>
              <w:rPr>
                <w:sz w:val="18"/>
              </w:rPr>
            </w:pPr>
            <w:r w:rsidRPr="009B2611">
              <w:rPr>
                <w:sz w:val="18"/>
              </w:rPr>
              <w:t xml:space="preserve">Simple and easy to </w:t>
            </w:r>
            <w:r>
              <w:rPr>
                <w:sz w:val="18"/>
              </w:rPr>
              <w:t xml:space="preserve">understand and </w:t>
            </w:r>
            <w:r w:rsidRPr="009B2611">
              <w:rPr>
                <w:sz w:val="18"/>
              </w:rPr>
              <w:t>administer</w:t>
            </w:r>
          </w:p>
        </w:tc>
        <w:tc>
          <w:tcPr>
            <w:tcW w:w="3561" w:type="pct"/>
          </w:tcPr>
          <w:p w14:paraId="23DBC695" w14:textId="77777777" w:rsidR="001433A1" w:rsidRPr="009B2611" w:rsidRDefault="001433A1" w:rsidP="00FF1C9E">
            <w:pPr>
              <w:numPr>
                <w:ilvl w:val="0"/>
                <w:numId w:val="47"/>
              </w:numPr>
              <w:spacing w:after="0" w:line="240" w:lineRule="auto"/>
              <w:ind w:left="703" w:hanging="425"/>
              <w:contextualSpacing/>
              <w:jc w:val="both"/>
              <w:textboxTightWrap w:val="allLines"/>
              <w:rPr>
                <w:sz w:val="18"/>
              </w:rPr>
            </w:pPr>
            <w:r>
              <w:rPr>
                <w:sz w:val="18"/>
              </w:rPr>
              <w:t>T</w:t>
            </w:r>
            <w:r w:rsidRPr="009B2611">
              <w:rPr>
                <w:sz w:val="18"/>
              </w:rPr>
              <w:t>he ability to easily determine what fee applies in various situations (including ability for businesses to understand fees in advance)</w:t>
            </w:r>
          </w:p>
          <w:p w14:paraId="415E09C3" w14:textId="77777777" w:rsidR="001433A1" w:rsidRPr="009B2611" w:rsidRDefault="001433A1" w:rsidP="00FF1C9E">
            <w:pPr>
              <w:numPr>
                <w:ilvl w:val="0"/>
                <w:numId w:val="47"/>
              </w:numPr>
              <w:spacing w:after="0" w:line="240" w:lineRule="auto"/>
              <w:ind w:left="703" w:hanging="425"/>
              <w:contextualSpacing/>
              <w:jc w:val="both"/>
              <w:textboxTightWrap w:val="allLines"/>
              <w:rPr>
                <w:sz w:val="18"/>
              </w:rPr>
            </w:pPr>
            <w:r>
              <w:rPr>
                <w:sz w:val="18"/>
              </w:rPr>
              <w:t>T</w:t>
            </w:r>
            <w:r w:rsidRPr="009B2611">
              <w:rPr>
                <w:sz w:val="18"/>
              </w:rPr>
              <w:t>he level of administrative costs associated with calculating and levying fees</w:t>
            </w:r>
          </w:p>
        </w:tc>
        <w:tc>
          <w:tcPr>
            <w:tcW w:w="681" w:type="pct"/>
          </w:tcPr>
          <w:p w14:paraId="4FA94A31" w14:textId="77777777" w:rsidR="001433A1" w:rsidRPr="009B2611" w:rsidRDefault="001433A1" w:rsidP="001433A1">
            <w:pPr>
              <w:spacing w:after="0" w:line="240" w:lineRule="auto"/>
              <w:jc w:val="center"/>
              <w:rPr>
                <w:sz w:val="18"/>
              </w:rPr>
            </w:pPr>
            <w:r w:rsidRPr="009B2611">
              <w:rPr>
                <w:sz w:val="18"/>
              </w:rPr>
              <w:t>3</w:t>
            </w:r>
            <w:r>
              <w:rPr>
                <w:sz w:val="18"/>
              </w:rPr>
              <w:t>0</w:t>
            </w:r>
            <w:r w:rsidRPr="009B2611">
              <w:rPr>
                <w:sz w:val="18"/>
              </w:rPr>
              <w:t>%</w:t>
            </w:r>
          </w:p>
        </w:tc>
      </w:tr>
    </w:tbl>
    <w:p w14:paraId="2ED5662C" w14:textId="77777777" w:rsidR="001433A1" w:rsidRPr="009B2611" w:rsidRDefault="001433A1" w:rsidP="001433A1">
      <w:pPr>
        <w:spacing w:after="0"/>
        <w:rPr>
          <w:rFonts w:cs="Segoe UI Light"/>
        </w:rPr>
      </w:pPr>
    </w:p>
    <w:p w14:paraId="4BBD7D80" w14:textId="77777777" w:rsidR="001433A1" w:rsidRPr="009B2611" w:rsidRDefault="001433A1" w:rsidP="001433A1">
      <w:pPr>
        <w:spacing w:after="0"/>
      </w:pPr>
      <w:r w:rsidRPr="009B2611">
        <w:t xml:space="preserve">The criteria rating scale has a range of –10 to +10, where a score of zero represents no change from the Base Case. The Base Case is the scenario where there are no regulations accompanying the new EP legislation. Given that </w:t>
      </w:r>
      <w:r>
        <w:t xml:space="preserve">for </w:t>
      </w:r>
      <w:r w:rsidRPr="009B2611">
        <w:t>the processes considered here</w:t>
      </w:r>
      <w:r>
        <w:t>,</w:t>
      </w:r>
      <w:r w:rsidRPr="009B2611">
        <w:t xml:space="preserve"> the new EP legislation does not set fee amounts, the </w:t>
      </w:r>
      <w:r>
        <w:t>B</w:t>
      </w:r>
      <w:r w:rsidRPr="009B2611">
        <w:t xml:space="preserve">ase </w:t>
      </w:r>
      <w:r>
        <w:t>C</w:t>
      </w:r>
      <w:r w:rsidRPr="009B2611">
        <w:t>ase for all fee categories is that no fee is charged.</w:t>
      </w:r>
    </w:p>
    <w:p w14:paraId="3F847755"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4</w:t>
      </w:r>
      <w:r>
        <w:rPr>
          <w:color w:val="75787B" w:themeColor="accent6"/>
          <w:sz w:val="17"/>
          <w:shd w:val="clear" w:color="auto" w:fill="E6E6E6"/>
        </w:rPr>
        <w:fldChar w:fldCharType="end"/>
      </w:r>
      <w:r w:rsidRPr="009B2611">
        <w:rPr>
          <w:iCs/>
          <w:color w:val="75787B" w:themeColor="accent6"/>
          <w:sz w:val="17"/>
        </w:rPr>
        <w:t xml:space="preserve"> MCA Scale</w:t>
      </w:r>
    </w:p>
    <w:tbl>
      <w:tblPr>
        <w:tblStyle w:val="Deloittetable"/>
        <w:tblW w:w="4536" w:type="dxa"/>
        <w:tblLayout w:type="fixed"/>
        <w:tblLook w:val="04A0" w:firstRow="1" w:lastRow="0" w:firstColumn="1" w:lastColumn="0" w:noHBand="0" w:noVBand="1"/>
      </w:tblPr>
      <w:tblGrid>
        <w:gridCol w:w="1134"/>
        <w:gridCol w:w="3402"/>
      </w:tblGrid>
      <w:tr w:rsidR="001433A1" w:rsidRPr="009B2611" w14:paraId="12DD7A86" w14:textId="77777777" w:rsidTr="001433A1">
        <w:trPr>
          <w:cnfStyle w:val="100000000000" w:firstRow="1" w:lastRow="0" w:firstColumn="0" w:lastColumn="0" w:oddVBand="0" w:evenVBand="0" w:oddHBand="0" w:evenHBand="0" w:firstRowFirstColumn="0" w:firstRowLastColumn="0" w:lastRowFirstColumn="0" w:lastRowLastColumn="0"/>
        </w:trPr>
        <w:tc>
          <w:tcPr>
            <w:tcW w:w="1134" w:type="dxa"/>
          </w:tcPr>
          <w:p w14:paraId="57E2DDEE" w14:textId="77777777" w:rsidR="001433A1" w:rsidRPr="009B2611" w:rsidRDefault="001433A1" w:rsidP="001433A1">
            <w:pPr>
              <w:spacing w:after="0" w:line="240" w:lineRule="auto"/>
              <w:rPr>
                <w:rFonts w:eastAsia="Times New Roman" w:cs="Segoe UI Light"/>
                <w:b/>
                <w:sz w:val="18"/>
                <w:lang w:val="en-US"/>
              </w:rPr>
            </w:pPr>
            <w:r w:rsidRPr="009B2611">
              <w:rPr>
                <w:rFonts w:eastAsia="Times New Roman" w:cs="Segoe UI Light"/>
                <w:b/>
                <w:sz w:val="18"/>
                <w:lang w:val="en-US"/>
              </w:rPr>
              <w:t>Score</w:t>
            </w:r>
          </w:p>
        </w:tc>
        <w:tc>
          <w:tcPr>
            <w:tcW w:w="3402" w:type="dxa"/>
          </w:tcPr>
          <w:p w14:paraId="3568DC70" w14:textId="77777777" w:rsidR="001433A1" w:rsidRPr="009B2611" w:rsidRDefault="001433A1" w:rsidP="001433A1">
            <w:pPr>
              <w:spacing w:after="0" w:line="240" w:lineRule="auto"/>
              <w:rPr>
                <w:rFonts w:eastAsia="Times New Roman" w:cs="Segoe UI Light"/>
                <w:b/>
                <w:sz w:val="18"/>
                <w:lang w:val="en-US"/>
              </w:rPr>
            </w:pPr>
            <w:r w:rsidRPr="009B2611">
              <w:rPr>
                <w:rFonts w:cs="Segoe UI Light"/>
                <w:b/>
                <w:sz w:val="18"/>
              </w:rPr>
              <w:t>Description</w:t>
            </w:r>
          </w:p>
        </w:tc>
      </w:tr>
      <w:tr w:rsidR="001433A1" w:rsidRPr="009B2611" w14:paraId="2887D61A" w14:textId="77777777" w:rsidTr="001433A1">
        <w:tc>
          <w:tcPr>
            <w:tcW w:w="1134" w:type="dxa"/>
          </w:tcPr>
          <w:p w14:paraId="55B2253E" w14:textId="77777777" w:rsidR="001433A1" w:rsidRPr="009B2611" w:rsidRDefault="001433A1" w:rsidP="001433A1">
            <w:pPr>
              <w:tabs>
                <w:tab w:val="left" w:pos="3011"/>
              </w:tabs>
              <w:spacing w:after="0" w:line="240" w:lineRule="auto"/>
              <w:ind w:right="-249"/>
              <w:jc w:val="both"/>
              <w:rPr>
                <w:rFonts w:cs="Segoe UI Light"/>
                <w:sz w:val="18"/>
              </w:rPr>
            </w:pPr>
            <w:r w:rsidRPr="009B2611">
              <w:rPr>
                <w:rFonts w:cs="Segoe UI Light"/>
                <w:sz w:val="18"/>
              </w:rPr>
              <w:t>-10</w:t>
            </w:r>
          </w:p>
        </w:tc>
        <w:tc>
          <w:tcPr>
            <w:tcW w:w="3402" w:type="dxa"/>
          </w:tcPr>
          <w:p w14:paraId="2E4BAF10" w14:textId="77777777" w:rsidR="001433A1" w:rsidRPr="009B2611" w:rsidRDefault="001433A1" w:rsidP="001433A1">
            <w:pPr>
              <w:tabs>
                <w:tab w:val="left" w:pos="3011"/>
              </w:tabs>
              <w:spacing w:after="0" w:line="240" w:lineRule="auto"/>
              <w:ind w:right="-249"/>
              <w:jc w:val="both"/>
              <w:rPr>
                <w:rFonts w:cs="Segoe UI Light"/>
                <w:sz w:val="18"/>
              </w:rPr>
            </w:pPr>
            <w:r w:rsidRPr="009B2611">
              <w:rPr>
                <w:rFonts w:cs="Segoe UI Light"/>
                <w:sz w:val="18"/>
              </w:rPr>
              <w:t>Much worse than the Base Case</w:t>
            </w:r>
          </w:p>
        </w:tc>
      </w:tr>
      <w:tr w:rsidR="001433A1" w:rsidRPr="009B2611" w14:paraId="48C23A44" w14:textId="77777777" w:rsidTr="001433A1">
        <w:tc>
          <w:tcPr>
            <w:tcW w:w="1134" w:type="dxa"/>
          </w:tcPr>
          <w:p w14:paraId="7E2D5C63" w14:textId="77777777" w:rsidR="001433A1" w:rsidRPr="009B2611" w:rsidRDefault="001433A1" w:rsidP="001433A1">
            <w:pPr>
              <w:tabs>
                <w:tab w:val="left" w:pos="3011"/>
              </w:tabs>
              <w:spacing w:after="0" w:line="240" w:lineRule="auto"/>
              <w:ind w:right="-249"/>
              <w:jc w:val="both"/>
              <w:rPr>
                <w:rFonts w:cs="Segoe UI Light"/>
                <w:sz w:val="18"/>
              </w:rPr>
            </w:pPr>
            <w:r w:rsidRPr="009B2611">
              <w:rPr>
                <w:rFonts w:cs="Segoe UI Light"/>
                <w:sz w:val="18"/>
              </w:rPr>
              <w:t>-5</w:t>
            </w:r>
          </w:p>
        </w:tc>
        <w:tc>
          <w:tcPr>
            <w:tcW w:w="3402" w:type="dxa"/>
          </w:tcPr>
          <w:p w14:paraId="2D3E43F8" w14:textId="77777777" w:rsidR="001433A1" w:rsidRPr="009B2611" w:rsidRDefault="001433A1" w:rsidP="001433A1">
            <w:pPr>
              <w:tabs>
                <w:tab w:val="left" w:pos="3011"/>
              </w:tabs>
              <w:spacing w:after="0" w:line="240" w:lineRule="auto"/>
              <w:ind w:right="-249"/>
              <w:jc w:val="both"/>
              <w:rPr>
                <w:rFonts w:cs="Segoe UI Light"/>
                <w:sz w:val="18"/>
              </w:rPr>
            </w:pPr>
            <w:r w:rsidRPr="009B2611">
              <w:rPr>
                <w:rFonts w:cs="Segoe UI Light"/>
                <w:sz w:val="18"/>
              </w:rPr>
              <w:t>Somewhat worse than the Base Case</w:t>
            </w:r>
          </w:p>
        </w:tc>
      </w:tr>
      <w:tr w:rsidR="001433A1" w:rsidRPr="009B2611" w14:paraId="220821DD" w14:textId="77777777" w:rsidTr="001433A1">
        <w:tc>
          <w:tcPr>
            <w:tcW w:w="1134" w:type="dxa"/>
          </w:tcPr>
          <w:p w14:paraId="5E420CE1" w14:textId="77777777" w:rsidR="001433A1" w:rsidRPr="009B2611" w:rsidRDefault="001433A1" w:rsidP="001433A1">
            <w:pPr>
              <w:tabs>
                <w:tab w:val="left" w:pos="3011"/>
              </w:tabs>
              <w:spacing w:after="0" w:line="240" w:lineRule="auto"/>
              <w:ind w:right="-249"/>
              <w:jc w:val="both"/>
              <w:rPr>
                <w:rFonts w:cs="Segoe UI Light"/>
                <w:sz w:val="18"/>
              </w:rPr>
            </w:pPr>
            <w:r w:rsidRPr="009B2611">
              <w:rPr>
                <w:rFonts w:cs="Segoe UI Light"/>
                <w:sz w:val="18"/>
              </w:rPr>
              <w:t>0</w:t>
            </w:r>
          </w:p>
        </w:tc>
        <w:tc>
          <w:tcPr>
            <w:tcW w:w="3402" w:type="dxa"/>
          </w:tcPr>
          <w:p w14:paraId="26F50D33" w14:textId="77777777" w:rsidR="001433A1" w:rsidRPr="009B2611" w:rsidRDefault="001433A1" w:rsidP="001433A1">
            <w:pPr>
              <w:tabs>
                <w:tab w:val="left" w:pos="3011"/>
              </w:tabs>
              <w:spacing w:after="0" w:line="240" w:lineRule="auto"/>
              <w:ind w:right="-249"/>
              <w:jc w:val="both"/>
              <w:rPr>
                <w:rFonts w:cs="Segoe UI Light"/>
                <w:sz w:val="18"/>
              </w:rPr>
            </w:pPr>
            <w:r w:rsidRPr="009B2611">
              <w:rPr>
                <w:rFonts w:cs="Segoe UI Light"/>
                <w:sz w:val="18"/>
              </w:rPr>
              <w:t>No change from the Base Case</w:t>
            </w:r>
          </w:p>
        </w:tc>
      </w:tr>
      <w:tr w:rsidR="001433A1" w:rsidRPr="009B2611" w14:paraId="4383D63E" w14:textId="77777777" w:rsidTr="001433A1">
        <w:tc>
          <w:tcPr>
            <w:tcW w:w="1134" w:type="dxa"/>
          </w:tcPr>
          <w:p w14:paraId="2D07E7F0" w14:textId="77777777" w:rsidR="001433A1" w:rsidRPr="009B2611" w:rsidRDefault="001433A1" w:rsidP="001433A1">
            <w:pPr>
              <w:tabs>
                <w:tab w:val="left" w:pos="3011"/>
              </w:tabs>
              <w:spacing w:after="0" w:line="240" w:lineRule="auto"/>
              <w:ind w:right="-249"/>
              <w:jc w:val="both"/>
              <w:rPr>
                <w:rFonts w:cs="Segoe UI Light"/>
                <w:sz w:val="18"/>
              </w:rPr>
            </w:pPr>
            <w:r w:rsidRPr="009B2611">
              <w:rPr>
                <w:rFonts w:cs="Segoe UI Light"/>
                <w:sz w:val="18"/>
              </w:rPr>
              <w:t>+5</w:t>
            </w:r>
          </w:p>
        </w:tc>
        <w:tc>
          <w:tcPr>
            <w:tcW w:w="3402" w:type="dxa"/>
          </w:tcPr>
          <w:p w14:paraId="2359B50F" w14:textId="77777777" w:rsidR="001433A1" w:rsidRPr="009B2611" w:rsidRDefault="001433A1" w:rsidP="001433A1">
            <w:pPr>
              <w:tabs>
                <w:tab w:val="left" w:pos="3011"/>
              </w:tabs>
              <w:spacing w:after="0" w:line="240" w:lineRule="auto"/>
              <w:ind w:right="-249"/>
              <w:jc w:val="both"/>
              <w:rPr>
                <w:rFonts w:cs="Segoe UI Light"/>
                <w:sz w:val="18"/>
              </w:rPr>
            </w:pPr>
            <w:r w:rsidRPr="009B2611">
              <w:rPr>
                <w:rFonts w:cs="Segoe UI Light"/>
                <w:sz w:val="18"/>
              </w:rPr>
              <w:t>Somewhat better than the Base Case</w:t>
            </w:r>
          </w:p>
        </w:tc>
      </w:tr>
      <w:tr w:rsidR="001433A1" w:rsidRPr="009B2611" w14:paraId="5B2F6418" w14:textId="77777777" w:rsidTr="001433A1">
        <w:tc>
          <w:tcPr>
            <w:tcW w:w="1134" w:type="dxa"/>
          </w:tcPr>
          <w:p w14:paraId="33BEE18A" w14:textId="77777777" w:rsidR="001433A1" w:rsidRPr="009B2611" w:rsidRDefault="001433A1" w:rsidP="001433A1">
            <w:pPr>
              <w:tabs>
                <w:tab w:val="left" w:pos="3011"/>
              </w:tabs>
              <w:spacing w:after="0" w:line="240" w:lineRule="auto"/>
              <w:ind w:right="-249"/>
              <w:jc w:val="both"/>
              <w:rPr>
                <w:rFonts w:cs="Segoe UI Light"/>
                <w:sz w:val="18"/>
              </w:rPr>
            </w:pPr>
            <w:r w:rsidRPr="009B2611">
              <w:rPr>
                <w:rFonts w:cs="Segoe UI Light"/>
                <w:sz w:val="18"/>
              </w:rPr>
              <w:t>+10</w:t>
            </w:r>
          </w:p>
        </w:tc>
        <w:tc>
          <w:tcPr>
            <w:tcW w:w="3402" w:type="dxa"/>
          </w:tcPr>
          <w:p w14:paraId="3CDF3CE1" w14:textId="77777777" w:rsidR="001433A1" w:rsidRPr="009B2611" w:rsidRDefault="001433A1" w:rsidP="001433A1">
            <w:pPr>
              <w:tabs>
                <w:tab w:val="left" w:pos="3011"/>
              </w:tabs>
              <w:spacing w:after="0" w:line="240" w:lineRule="auto"/>
              <w:ind w:right="-249"/>
              <w:jc w:val="both"/>
              <w:rPr>
                <w:rFonts w:cs="Segoe UI Light"/>
                <w:sz w:val="18"/>
              </w:rPr>
            </w:pPr>
            <w:r w:rsidRPr="009B2611">
              <w:rPr>
                <w:rFonts w:cs="Segoe UI Light"/>
                <w:sz w:val="18"/>
              </w:rPr>
              <w:t>Much better than the Base Case</w:t>
            </w:r>
          </w:p>
        </w:tc>
      </w:tr>
    </w:tbl>
    <w:p w14:paraId="441FDD30" w14:textId="77777777" w:rsidR="001433A1" w:rsidRPr="009B2611" w:rsidRDefault="001433A1" w:rsidP="001433A1">
      <w:pPr>
        <w:spacing w:after="60"/>
        <w:contextualSpacing/>
      </w:pPr>
    </w:p>
    <w:p w14:paraId="15754691" w14:textId="77777777" w:rsidR="001433A1" w:rsidRDefault="001433A1" w:rsidP="001433A1">
      <w:pPr>
        <w:pStyle w:val="Heading3"/>
        <w:ind w:left="720"/>
      </w:pPr>
      <w:r w:rsidRPr="009B2611">
        <w:t xml:space="preserve">Operating licence annual </w:t>
      </w:r>
      <w:r>
        <w:t>fees</w:t>
      </w:r>
      <w:r w:rsidRPr="009B2611">
        <w:t xml:space="preserve"> (s55)</w:t>
      </w:r>
    </w:p>
    <w:p w14:paraId="4F20F121" w14:textId="77777777" w:rsidR="001433A1" w:rsidRPr="00037AF8" w:rsidRDefault="001433A1" w:rsidP="001433A1">
      <w:r w:rsidRPr="00037AF8">
        <w:t>The estimated number of operating licence annual renewals is 662 per year.</w:t>
      </w:r>
    </w:p>
    <w:p w14:paraId="3DCF71A1" w14:textId="77777777" w:rsidR="001433A1" w:rsidRPr="009B2611" w:rsidRDefault="001433A1" w:rsidP="001433A1">
      <w:r w:rsidRPr="009B2611">
        <w:t>An MCA has not been undertaken for operating licence annual renewals, for the following reasons:</w:t>
      </w:r>
    </w:p>
    <w:p w14:paraId="5A4703E1" w14:textId="0145526D" w:rsidR="001433A1" w:rsidRPr="009B2611" w:rsidRDefault="001433A1" w:rsidP="001433A1">
      <w:pPr>
        <w:numPr>
          <w:ilvl w:val="0"/>
          <w:numId w:val="127"/>
        </w:numPr>
        <w:contextualSpacing/>
        <w:textboxTightWrap w:val="allLines"/>
      </w:pPr>
      <w:r w:rsidRPr="009B2611">
        <w:t xml:space="preserve">As noted above, EPA’s position is that operating licence annual </w:t>
      </w:r>
      <w:r>
        <w:t>fees</w:t>
      </w:r>
      <w:r w:rsidRPr="009B2611">
        <w:t xml:space="preserve"> will not be changed in advance of </w:t>
      </w:r>
      <w:r>
        <w:t xml:space="preserve">the </w:t>
      </w:r>
      <w:r w:rsidRPr="009B2611">
        <w:t>review of fees</w:t>
      </w:r>
      <w:r>
        <w:t>, where consideration will be given to the appropriateness of a load-based licensing scheme</w:t>
      </w:r>
      <w:r w:rsidRPr="009B2611">
        <w:t>.</w:t>
      </w:r>
      <w:r>
        <w:t xml:space="preserve"> This matter will be considered as part of a future review of fees (see </w:t>
      </w:r>
      <w:r w:rsidRPr="00FF1C9E">
        <w:t>section</w:t>
      </w:r>
      <w:r w:rsidR="00785A28">
        <w:t xml:space="preserve"> </w:t>
      </w:r>
      <w:r w:rsidR="00785A28">
        <w:fldChar w:fldCharType="begin"/>
      </w:r>
      <w:r w:rsidR="00785A28">
        <w:instrText xml:space="preserve"> REF _Ref16607337 \r \h </w:instrText>
      </w:r>
      <w:r w:rsidR="00785A28">
        <w:fldChar w:fldCharType="separate"/>
      </w:r>
      <w:r w:rsidR="00B11C1E">
        <w:t>16.6</w:t>
      </w:r>
      <w:r w:rsidR="00785A28">
        <w:fldChar w:fldCharType="end"/>
      </w:r>
      <w:r>
        <w:t>).</w:t>
      </w:r>
    </w:p>
    <w:p w14:paraId="716CB922" w14:textId="77777777" w:rsidR="001433A1" w:rsidRDefault="001433A1" w:rsidP="001433A1">
      <w:pPr>
        <w:numPr>
          <w:ilvl w:val="0"/>
          <w:numId w:val="127"/>
        </w:numPr>
        <w:contextualSpacing/>
        <w:textboxTightWrap w:val="allLines"/>
      </w:pPr>
      <w:r w:rsidRPr="009B2611">
        <w:t>There is inadequate data to undertake detailed modelling</w:t>
      </w:r>
      <w:r>
        <w:t xml:space="preserve"> of </w:t>
      </w:r>
      <w:r w:rsidRPr="009B2611">
        <w:t>feasible alternatives</w:t>
      </w:r>
      <w:r>
        <w:t xml:space="preserve"> for operating licence annual fees</w:t>
      </w:r>
      <w:r w:rsidRPr="009B2611">
        <w:t>.</w:t>
      </w:r>
    </w:p>
    <w:p w14:paraId="73074ADB" w14:textId="77777777" w:rsidR="001433A1" w:rsidRPr="009B2611" w:rsidRDefault="001433A1" w:rsidP="001433A1">
      <w:pPr>
        <w:ind w:left="720"/>
        <w:contextualSpacing/>
        <w:textboxTightWrap w:val="allLines"/>
      </w:pPr>
    </w:p>
    <w:p w14:paraId="79CF96FC" w14:textId="77777777" w:rsidR="001433A1" w:rsidRPr="009B2611" w:rsidRDefault="001433A1" w:rsidP="001433A1">
      <w:pPr>
        <w:spacing w:before="120" w:after="170"/>
      </w:pPr>
      <w:r w:rsidRPr="009B2611">
        <w:t xml:space="preserve">The preferred option for these reasons is to maintain the current fee structure, which consists of a base or minimum fee based on industry type (incorporating risk) and </w:t>
      </w:r>
      <w:r>
        <w:t xml:space="preserve">volumetric component fees </w:t>
      </w:r>
      <w:r w:rsidRPr="009B2611">
        <w:t xml:space="preserve">based on type and volume of pollutants/emissions. The base fee charged depends on which </w:t>
      </w:r>
      <w:r w:rsidRPr="00FF1C9E">
        <w:t>prescribed</w:t>
      </w:r>
      <w:r>
        <w:t xml:space="preserve"> </w:t>
      </w:r>
      <w:r w:rsidRPr="009B2611">
        <w:t xml:space="preserve">activity category the licence fits into. Eleven different base fees are currently set across different </w:t>
      </w:r>
      <w:r w:rsidRPr="00FF1C9E">
        <w:t>prescribed</w:t>
      </w:r>
      <w:r>
        <w:t xml:space="preserve"> </w:t>
      </w:r>
      <w:r w:rsidRPr="009B2611">
        <w:t>activity categories, and in some cases the</w:t>
      </w:r>
      <w:r>
        <w:t>y</w:t>
      </w:r>
      <w:r w:rsidRPr="009B2611">
        <w:t xml:space="preserve"> are set according to size or volume. Category 1 represents the lowest risk while category 11 represents the highest. The </w:t>
      </w:r>
      <w:r>
        <w:t xml:space="preserve">component </w:t>
      </w:r>
      <w:r w:rsidRPr="009B2611">
        <w:t>fees take into account the risks inherent in the emission of certain pollutants on the receiving environment (land, water, and air), as well as the relative risk associated with the volume of pollutants emitted.</w:t>
      </w:r>
    </w:p>
    <w:p w14:paraId="2BE04340" w14:textId="77777777" w:rsidR="001433A1" w:rsidRPr="009B2611" w:rsidRDefault="001433A1" w:rsidP="001433A1">
      <w:pPr>
        <w:spacing w:after="170"/>
      </w:pPr>
      <w:r w:rsidRPr="009B2611">
        <w:t xml:space="preserve">Advantages of this fee structure are that, if designed with appropriate base and volumetric components, it will ensure that 100% of costs are recovered. It reflects risk to human health and the environment by taking into account the type of activity being undertaken as well as the risks associated with greater volumes of pollutants emitted. This volumetric component means </w:t>
      </w:r>
      <w:r>
        <w:t xml:space="preserve">that </w:t>
      </w:r>
      <w:r w:rsidRPr="009B2611">
        <w:t xml:space="preserve">larger licence holders </w:t>
      </w:r>
      <w:r>
        <w:t xml:space="preserve">are more likely to be charged </w:t>
      </w:r>
      <w:r w:rsidRPr="009B2611">
        <w:t>a higher cost compared to smaller licence holders</w:t>
      </w:r>
      <w:r>
        <w:t xml:space="preserve"> (assuming </w:t>
      </w:r>
      <w:r w:rsidRPr="009B2611">
        <w:t>that higher volumes of pollut</w:t>
      </w:r>
      <w:r>
        <w:t>ants</w:t>
      </w:r>
      <w:r w:rsidRPr="009B2611">
        <w:t xml:space="preserve"> are emitted by larger licence holders</w:t>
      </w:r>
      <w:r>
        <w:t>)</w:t>
      </w:r>
      <w:r w:rsidRPr="009B2611">
        <w:t xml:space="preserve">. The base </w:t>
      </w:r>
      <w:r>
        <w:t xml:space="preserve">fee </w:t>
      </w:r>
      <w:r w:rsidRPr="009B2611">
        <w:t>component of this fee also means that it avoids the risk of significantly under-recovering costs for licence holders with very low volume</w:t>
      </w:r>
      <w:r>
        <w:t>s</w:t>
      </w:r>
      <w:r w:rsidRPr="009B2611">
        <w:t xml:space="preserve"> of pollutant</w:t>
      </w:r>
      <w:r>
        <w:t xml:space="preserve"> emissions </w:t>
      </w:r>
      <w:r w:rsidRPr="009B2611">
        <w:t xml:space="preserve">but which still give rise to administrative costs and compliance costs for EPA. </w:t>
      </w:r>
    </w:p>
    <w:p w14:paraId="5580B1E9" w14:textId="77777777" w:rsidR="001433A1" w:rsidRPr="009B2611" w:rsidRDefault="001433A1" w:rsidP="001433A1">
      <w:r w:rsidRPr="009B2611">
        <w:t>In relation to other fee options:</w:t>
      </w:r>
    </w:p>
    <w:p w14:paraId="4536124F" w14:textId="77777777" w:rsidR="001433A1" w:rsidRDefault="001433A1" w:rsidP="001433A1">
      <w:pPr>
        <w:numPr>
          <w:ilvl w:val="0"/>
          <w:numId w:val="127"/>
        </w:numPr>
        <w:contextualSpacing/>
        <w:textboxTightWrap w:val="allLines"/>
      </w:pPr>
      <w:r w:rsidRPr="009B2611">
        <w:t>A flat fee structure, while simple, has not been considered because it would result in very high fees for all licences, including smaller/less complex licences</w:t>
      </w:r>
      <w:r>
        <w:t xml:space="preserve"> (thus reducing ability to pay)</w:t>
      </w:r>
      <w:r w:rsidRPr="009B2611">
        <w:t>. Approximately two-thirds of licensees currently pay fees of less than $10,000.</w:t>
      </w:r>
      <w:r w:rsidRPr="009B2611">
        <w:rPr>
          <w:vertAlign w:val="superscript"/>
        </w:rPr>
        <w:footnoteReference w:id="322"/>
      </w:r>
      <w:r w:rsidRPr="009B2611">
        <w:t xml:space="preserve"> </w:t>
      </w:r>
    </w:p>
    <w:p w14:paraId="4669324C" w14:textId="77777777" w:rsidR="001433A1" w:rsidRPr="009B2611" w:rsidRDefault="001433A1" w:rsidP="001433A1">
      <w:pPr>
        <w:numPr>
          <w:ilvl w:val="0"/>
          <w:numId w:val="127"/>
        </w:numPr>
        <w:contextualSpacing/>
        <w:textboxTightWrap w:val="allLines"/>
      </w:pPr>
      <w:r w:rsidRPr="009B2611">
        <w:t xml:space="preserve">A base fee plus hourly rate has not been considered because it would involve a very high requirement for EPA staff to allocate work hours to hundreds of individual licences. This detailed level of allocation of time, and the IT system required to support this, is unlikely to be </w:t>
      </w:r>
      <w:r>
        <w:t>simple and easy to administer</w:t>
      </w:r>
      <w:r w:rsidRPr="009B2611">
        <w:t xml:space="preserve"> for EPA.</w:t>
      </w:r>
    </w:p>
    <w:p w14:paraId="4CBB6008" w14:textId="77777777" w:rsidR="001433A1" w:rsidRPr="009B2611" w:rsidRDefault="001433A1" w:rsidP="001433A1">
      <w:pPr>
        <w:pStyle w:val="Heading3"/>
        <w:ind w:left="720"/>
      </w:pPr>
      <w:bookmarkStart w:id="1930" w:name="_Ref16613090"/>
      <w:r w:rsidRPr="009B2611">
        <w:t>Development licence applications (s50(1)(b))</w:t>
      </w:r>
      <w:bookmarkEnd w:id="1930"/>
    </w:p>
    <w:p w14:paraId="4B5FE541" w14:textId="77777777" w:rsidR="001433A1" w:rsidRPr="009B2611" w:rsidRDefault="001433A1" w:rsidP="001433A1">
      <w:r w:rsidRPr="009B2611">
        <w:t>There are approximately 30 development licence applications per year. A development application costs, on average, $50,000 for EPA to administer.</w:t>
      </w:r>
    </w:p>
    <w:p w14:paraId="38EAB9FE" w14:textId="77777777" w:rsidR="001433A1" w:rsidRPr="009B2611" w:rsidRDefault="001433A1" w:rsidP="001433A1">
      <w:r w:rsidRPr="009B2611">
        <w:t>The options considered for the MCA are set out below:</w:t>
      </w:r>
    </w:p>
    <w:p w14:paraId="1FEE14C6" w14:textId="1C0692D1" w:rsidR="001433A1" w:rsidRPr="009B2611" w:rsidRDefault="001433A1" w:rsidP="001433A1">
      <w:pPr>
        <w:numPr>
          <w:ilvl w:val="0"/>
          <w:numId w:val="126"/>
        </w:numPr>
        <w:spacing w:after="170"/>
        <w:contextualSpacing/>
      </w:pPr>
      <w:r w:rsidRPr="009B2611">
        <w:rPr>
          <w:b/>
        </w:rPr>
        <w:t>Option 1a</w:t>
      </w:r>
      <w:r w:rsidRPr="009B2611">
        <w:t xml:space="preserve">: </w:t>
      </w:r>
      <w:r w:rsidRPr="009B2611">
        <w:rPr>
          <w:b/>
        </w:rPr>
        <w:t>Percentage of works value, 100% cost recovery -</w:t>
      </w:r>
      <w:r w:rsidRPr="009B2611">
        <w:t xml:space="preserve"> The fee is set at the greater </w:t>
      </w:r>
      <w:r w:rsidRPr="004C2731">
        <w:t>of 2</w:t>
      </w:r>
      <w:r w:rsidR="00105015">
        <w:t>.4</w:t>
      </w:r>
      <w:r w:rsidRPr="009B2611">
        <w:t xml:space="preserve"> of the estimated value of works or a flat fee of 81.83 fee units, capped at </w:t>
      </w:r>
      <w:r w:rsidRPr="00FF1C9E">
        <w:t>13,935.27</w:t>
      </w:r>
      <w:r w:rsidRPr="009B2611">
        <w:t xml:space="preserve"> fee units</w:t>
      </w:r>
      <w:r>
        <w:t xml:space="preserve"> (</w:t>
      </w:r>
      <w:r w:rsidRPr="009B2611">
        <w:t xml:space="preserve">results in overall full cost recovery). </w:t>
      </w:r>
    </w:p>
    <w:p w14:paraId="0B9FBF0F" w14:textId="33CA84BF" w:rsidR="001433A1" w:rsidRPr="00235852" w:rsidRDefault="001433A1" w:rsidP="001433A1">
      <w:pPr>
        <w:numPr>
          <w:ilvl w:val="0"/>
          <w:numId w:val="126"/>
        </w:numPr>
        <w:spacing w:after="170"/>
        <w:contextualSpacing/>
      </w:pPr>
      <w:r w:rsidRPr="009B2611">
        <w:rPr>
          <w:b/>
        </w:rPr>
        <w:t>Option 1b</w:t>
      </w:r>
      <w:r w:rsidRPr="009B2611">
        <w:t xml:space="preserve">: </w:t>
      </w:r>
      <w:r w:rsidRPr="009B2611">
        <w:rPr>
          <w:b/>
        </w:rPr>
        <w:t>Percentage of works value, partial cost recovery -</w:t>
      </w:r>
      <w:r w:rsidRPr="009B2611">
        <w:t xml:space="preserve"> The fee is set at the greater of 1% of the estimated value of works or a flat fee of 81.83 fee units, capped at 4,500 fee units</w:t>
      </w:r>
      <w:r>
        <w:t xml:space="preserve"> (results in </w:t>
      </w:r>
      <w:r w:rsidRPr="009B2611">
        <w:t xml:space="preserve">37% </w:t>
      </w:r>
      <w:r>
        <w:t xml:space="preserve">of costs recovered for the development licence fee, with the remaining </w:t>
      </w:r>
      <w:r w:rsidRPr="00235852">
        <w:t xml:space="preserve">63% of the cost base for development licences recovered via the operating licence annual fee - see discussion in </w:t>
      </w:r>
      <w:r w:rsidR="000D65D7" w:rsidRPr="00235852">
        <w:fldChar w:fldCharType="begin"/>
      </w:r>
      <w:r w:rsidR="000D65D7" w:rsidRPr="00235852">
        <w:instrText xml:space="preserve"> REF _Ref16612238 \r \h </w:instrText>
      </w:r>
      <w:r w:rsidR="00235852">
        <w:instrText xml:space="preserve"> \* MERGEFORMAT </w:instrText>
      </w:r>
      <w:r w:rsidR="000D65D7" w:rsidRPr="00235852">
        <w:fldChar w:fldCharType="separate"/>
      </w:r>
      <w:r w:rsidR="000D65D7" w:rsidRPr="00235852">
        <w:t>16.5.3</w:t>
      </w:r>
      <w:r w:rsidR="000D65D7" w:rsidRPr="00235852">
        <w:fldChar w:fldCharType="end"/>
      </w:r>
      <w:r w:rsidRPr="00235852">
        <w:t>). This is similar to Option 1a, but with a lower percentage of value of works, and lower fee cap, which has been chosen as it is the same as the current fee structure for works approval applications.</w:t>
      </w:r>
      <w:r>
        <w:t xml:space="preserve"> EPA’s preference to maintain the current approach for development licence </w:t>
      </w:r>
      <w:r w:rsidRPr="00FF1C9E">
        <w:t>application fee</w:t>
      </w:r>
      <w:r w:rsidRPr="00235852">
        <w:t xml:space="preserve">s (and operating licence annual fees, to which </w:t>
      </w:r>
      <w:r w:rsidRPr="00FF1C9E">
        <w:t xml:space="preserve">development licence applications are </w:t>
      </w:r>
      <w:r w:rsidRPr="00235852">
        <w:t xml:space="preserve">strongly linked) was discussed in section </w:t>
      </w:r>
      <w:r w:rsidR="00785A28" w:rsidRPr="00235852">
        <w:fldChar w:fldCharType="begin"/>
      </w:r>
      <w:r w:rsidR="00785A28" w:rsidRPr="00235852">
        <w:instrText xml:space="preserve"> REF _Ref16612238 \r \h </w:instrText>
      </w:r>
      <w:r w:rsidR="00235852">
        <w:instrText xml:space="preserve"> \* MERGEFORMAT </w:instrText>
      </w:r>
      <w:r w:rsidR="00785A28" w:rsidRPr="00235852">
        <w:fldChar w:fldCharType="separate"/>
      </w:r>
      <w:r w:rsidR="00B11C1E" w:rsidRPr="00235852">
        <w:t>16.5.3</w:t>
      </w:r>
      <w:r w:rsidR="00785A28" w:rsidRPr="00235852">
        <w:fldChar w:fldCharType="end"/>
      </w:r>
      <w:r w:rsidRPr="00235852">
        <w:t xml:space="preserve">. </w:t>
      </w:r>
    </w:p>
    <w:p w14:paraId="0A714EBC" w14:textId="77777777" w:rsidR="001433A1" w:rsidRPr="00037AF8" w:rsidRDefault="001433A1" w:rsidP="001433A1">
      <w:pPr>
        <w:spacing w:after="170"/>
        <w:ind w:left="720"/>
        <w:contextualSpacing/>
      </w:pPr>
      <w:r w:rsidRPr="004D7E16">
        <w:rPr>
          <w:b/>
        </w:rPr>
        <w:t>Option 2</w:t>
      </w:r>
      <w:r w:rsidRPr="009B2611">
        <w:t xml:space="preserve">: </w:t>
      </w:r>
      <w:r w:rsidRPr="004D7E16">
        <w:rPr>
          <w:b/>
        </w:rPr>
        <w:t>Base fee plus hourly rate -</w:t>
      </w:r>
      <w:r w:rsidRPr="009B2611">
        <w:t xml:space="preserve"> Flat fee plus an hourly rate for assessments exceeding 1</w:t>
      </w:r>
      <w:r>
        <w:t>41</w:t>
      </w:r>
      <w:r w:rsidRPr="009B2611">
        <w:t xml:space="preserve"> hours, with a specified maximum fee (results in full cost recovery).</w:t>
      </w:r>
      <w:r>
        <w:t xml:space="preserve"> The hours chosen is based on detailed process mapping undertaken, with 141 hours the best estimate of the minimum amount of time likely to be required for EPA to assess a development licence application.</w:t>
      </w:r>
    </w:p>
    <w:p w14:paraId="37E64330" w14:textId="77777777" w:rsidR="001433A1" w:rsidRDefault="001433A1" w:rsidP="001433A1">
      <w:pPr>
        <w:numPr>
          <w:ilvl w:val="0"/>
          <w:numId w:val="126"/>
        </w:numPr>
        <w:spacing w:after="170"/>
        <w:contextualSpacing/>
      </w:pPr>
      <w:r w:rsidRPr="004D7E16">
        <w:rPr>
          <w:b/>
        </w:rPr>
        <w:t>Option 3</w:t>
      </w:r>
      <w:r w:rsidRPr="009B2611">
        <w:t xml:space="preserve">: </w:t>
      </w:r>
      <w:r w:rsidRPr="004D7E16">
        <w:rPr>
          <w:b/>
        </w:rPr>
        <w:t>Tiered fee structure –</w:t>
      </w:r>
      <w:r w:rsidRPr="009B2611">
        <w:t xml:space="preserve"> The fee is set based on </w:t>
      </w:r>
      <w:r>
        <w:t>s</w:t>
      </w:r>
      <w:r w:rsidRPr="009B2611">
        <w:t xml:space="preserve">tandard, </w:t>
      </w:r>
      <w:r>
        <w:t>c</w:t>
      </w:r>
      <w:r w:rsidRPr="009B2611">
        <w:t xml:space="preserve">omplex and </w:t>
      </w:r>
      <w:r>
        <w:t>f</w:t>
      </w:r>
      <w:r w:rsidRPr="009B2611">
        <w:t xml:space="preserve">ast </w:t>
      </w:r>
      <w:r>
        <w:t>t</w:t>
      </w:r>
      <w:r w:rsidRPr="009B2611">
        <w:t>rack applications (</w:t>
      </w:r>
      <w:r>
        <w:t xml:space="preserve">and </w:t>
      </w:r>
      <w:r w:rsidRPr="009B2611">
        <w:t>results in full cost recovery).</w:t>
      </w:r>
      <w:r w:rsidRPr="004D7E16">
        <w:rPr>
          <w:rFonts w:ascii="Verdana" w:hAnsi="Verdana"/>
          <w:sz w:val="18"/>
        </w:rPr>
        <w:t xml:space="preserve"> </w:t>
      </w:r>
      <w:r w:rsidRPr="003257DD">
        <w:t xml:space="preserve">The three different </w:t>
      </w:r>
      <w:r w:rsidRPr="00FF1C9E">
        <w:t>tiers</w:t>
      </w:r>
      <w:r w:rsidRPr="003257DD">
        <w:t xml:space="preserve"> refer to the pathway for the application’s assessment by the EPA. A fast track approval is used for proposals that have a low impact on the environment and community, using standard technology. Standard works approvals have medium to high potential impact on the environment and/or significant third</w:t>
      </w:r>
      <w:r>
        <w:t>-</w:t>
      </w:r>
      <w:r w:rsidRPr="003257DD">
        <w:t>party interest</w:t>
      </w:r>
      <w:r>
        <w:t>. They also</w:t>
      </w:r>
      <w:r w:rsidRPr="00AB2633">
        <w:t xml:space="preserve"> take longer (4 months v</w:t>
      </w:r>
      <w:r>
        <w:t>ersus</w:t>
      </w:r>
      <w:r w:rsidRPr="003257DD">
        <w:t xml:space="preserve"> 6 weeks for f</w:t>
      </w:r>
      <w:r w:rsidRPr="00AB2633">
        <w:t xml:space="preserve">ast track). A </w:t>
      </w:r>
      <w:r>
        <w:t>c</w:t>
      </w:r>
      <w:r w:rsidRPr="003257DD">
        <w:t xml:space="preserve">omplex application </w:t>
      </w:r>
      <w:r>
        <w:t>typically involves</w:t>
      </w:r>
      <w:r w:rsidRPr="003257DD">
        <w:t xml:space="preserve"> higher environmental impact, third</w:t>
      </w:r>
      <w:r>
        <w:t>-</w:t>
      </w:r>
      <w:r w:rsidRPr="003257DD">
        <w:t>party interest</w:t>
      </w:r>
      <w:r>
        <w:t>,</w:t>
      </w:r>
      <w:r w:rsidRPr="003257DD">
        <w:t xml:space="preserve"> and/or the application of unproven technology </w:t>
      </w:r>
      <w:r>
        <w:t>and takes approximately</w:t>
      </w:r>
      <w:r w:rsidRPr="00AB2633">
        <w:t xml:space="preserve"> </w:t>
      </w:r>
      <w:r w:rsidRPr="003257DD">
        <w:t>twice as long to assess by EPA compared to the average standard approval</w:t>
      </w:r>
      <w:r>
        <w:t xml:space="preserve"> </w:t>
      </w:r>
      <w:r w:rsidRPr="00FF1C9E">
        <w:t>(8 months versus 4 months)</w:t>
      </w:r>
      <w:r w:rsidRPr="00785A28">
        <w:t>.</w:t>
      </w:r>
      <w:r w:rsidRPr="003257DD">
        <w:t xml:space="preserve"> </w:t>
      </w:r>
    </w:p>
    <w:p w14:paraId="17AC4774" w14:textId="77777777" w:rsidR="001433A1" w:rsidRPr="003257DD" w:rsidRDefault="001433A1" w:rsidP="001433A1">
      <w:pPr>
        <w:spacing w:after="170"/>
        <w:ind w:left="720"/>
        <w:contextualSpacing/>
      </w:pPr>
    </w:p>
    <w:p w14:paraId="473DFDC3" w14:textId="77777777" w:rsidR="001433A1" w:rsidRPr="009B2611" w:rsidRDefault="001433A1" w:rsidP="001433A1">
      <w:r w:rsidRPr="009B2611">
        <w:t>For the percentage of works value options, 1% has been chosen for the status quo option (1b) since it is consistent with the current approach, and seems reasonable given previous modelling shows that higher percentage levels would result in over-recovery of costs for some mid-range works value projects</w:t>
      </w:r>
      <w:r>
        <w:t>.</w:t>
      </w:r>
      <w:r w:rsidRPr="009B2611">
        <w:rPr>
          <w:vertAlign w:val="superscript"/>
        </w:rPr>
        <w:footnoteReference w:id="323"/>
      </w:r>
      <w:r w:rsidRPr="009B2611">
        <w:t xml:space="preserve"> For Option 1a, however, raising the fee cap alone to achieve full cost recovery is not an appropriate approach as this would result in some </w:t>
      </w:r>
      <w:r>
        <w:t xml:space="preserve">applicants </w:t>
      </w:r>
      <w:r w:rsidRPr="009B2611">
        <w:t>(</w:t>
      </w:r>
      <w:r>
        <w:t xml:space="preserve">those with higher estimated </w:t>
      </w:r>
      <w:r w:rsidRPr="009B2611">
        <w:t>works</w:t>
      </w:r>
      <w:r>
        <w:t xml:space="preserve"> values</w:t>
      </w:r>
      <w:r w:rsidRPr="009B2611">
        <w:t xml:space="preserve">) paying fees that far exceed what the cost recovery analysis determined would be the maximum costs associated with a development licence application. To achieve total cost recovery, both the fee cap and the percentage of works value </w:t>
      </w:r>
      <w:r>
        <w:t xml:space="preserve">have </w:t>
      </w:r>
      <w:r w:rsidRPr="009B2611">
        <w:t>been increased to the point at which full cost recovery is achieved</w:t>
      </w:r>
      <w:r>
        <w:t xml:space="preserve">. </w:t>
      </w:r>
    </w:p>
    <w:p w14:paraId="303D0CC4" w14:textId="77777777" w:rsidR="001433A1" w:rsidRPr="009B2611" w:rsidRDefault="001433A1" w:rsidP="001433A1">
      <w:r w:rsidRPr="009B2611">
        <w:t xml:space="preserve">A flat fee structure has not been considered because it would result in very high fees (estimated at approximately $50,000 per application) for all applications, including smaller/less complex applications. This is not feasible on the basis of both individual ability to pay and the principle of ensuring that parties bear only their </w:t>
      </w:r>
      <w:r>
        <w:t xml:space="preserve">own </w:t>
      </w:r>
      <w:r w:rsidRPr="009B2611">
        <w:t xml:space="preserve">costs. </w:t>
      </w:r>
    </w:p>
    <w:p w14:paraId="311F7666" w14:textId="36263F3F" w:rsidR="001433A1" w:rsidRPr="009B2611" w:rsidRDefault="00FF1C9E" w:rsidP="001433A1">
      <w:bookmarkStart w:id="1931" w:name="_Hlk15904658"/>
      <w:r>
        <w:t>Table 16.5</w:t>
      </w:r>
      <w:r w:rsidR="001433A1" w:rsidRPr="00017799">
        <w:fldChar w:fldCharType="begin"/>
      </w:r>
      <w:r w:rsidR="001433A1" w:rsidRPr="00017799">
        <w:instrText xml:space="preserve"> REF _Ref10477688 \h </w:instrText>
      </w:r>
      <w:r w:rsidR="001433A1">
        <w:instrText xml:space="preserve"> \* MERGEFORMAT </w:instrText>
      </w:r>
      <w:r w:rsidR="001433A1" w:rsidRPr="00017799">
        <w:fldChar w:fldCharType="end"/>
      </w:r>
      <w:r w:rsidR="001433A1" w:rsidRPr="002E0185">
        <w:t xml:space="preserve"> shows the</w:t>
      </w:r>
      <w:r w:rsidR="001433A1" w:rsidRPr="00BE69BC">
        <w:rPr>
          <w:szCs w:val="20"/>
        </w:rPr>
        <w:t xml:space="preserve"> modelled</w:t>
      </w:r>
      <w:r w:rsidR="001433A1" w:rsidRPr="009B2611">
        <w:t xml:space="preserve"> fees for development licence applications</w:t>
      </w:r>
      <w:r w:rsidR="001433A1">
        <w:t xml:space="preserve">. </w:t>
      </w:r>
      <w:bookmarkEnd w:id="1931"/>
    </w:p>
    <w:p w14:paraId="1F0DED91" w14:textId="77777777" w:rsidR="001433A1" w:rsidRPr="009B2611" w:rsidRDefault="001433A1" w:rsidP="001433A1">
      <w:pPr>
        <w:spacing w:before="120" w:after="0"/>
        <w:rPr>
          <w:rFonts w:cs="Segoe UI Light"/>
          <w:szCs w:val="20"/>
        </w:rPr>
      </w:pPr>
    </w:p>
    <w:p w14:paraId="745F843A" w14:textId="77777777" w:rsidR="001433A1" w:rsidRPr="009B2611" w:rsidRDefault="001433A1" w:rsidP="001433A1">
      <w:pPr>
        <w:spacing w:before="120" w:after="0"/>
        <w:rPr>
          <w:rFonts w:cs="Segoe UI Light"/>
          <w:szCs w:val="20"/>
        </w:rPr>
        <w:sectPr w:rsidR="001433A1" w:rsidRPr="009B2611" w:rsidSect="0081263E">
          <w:headerReference w:type="even" r:id="rId72"/>
          <w:headerReference w:type="default" r:id="rId73"/>
          <w:footerReference w:type="even" r:id="rId74"/>
          <w:footerReference w:type="default" r:id="rId75"/>
          <w:headerReference w:type="first" r:id="rId76"/>
          <w:footerReference w:type="first" r:id="rId77"/>
          <w:pgSz w:w="11906" w:h="16838" w:code="9"/>
          <w:pgMar w:top="1985" w:right="1700" w:bottom="1134" w:left="851" w:header="680" w:footer="425" w:gutter="0"/>
          <w:cols w:space="284"/>
          <w:titlePg/>
          <w:docGrid w:linePitch="360"/>
        </w:sectPr>
      </w:pPr>
    </w:p>
    <w:p w14:paraId="0F6099E3" w14:textId="77777777" w:rsidR="001433A1" w:rsidRPr="009B2611" w:rsidRDefault="001433A1" w:rsidP="001433A1">
      <w:pPr>
        <w:spacing w:before="120" w:after="0"/>
        <w:rPr>
          <w:rFonts w:cs="Segoe UI Light"/>
          <w:szCs w:val="20"/>
        </w:rPr>
      </w:pPr>
    </w:p>
    <w:p w14:paraId="07FC53D6"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5</w:t>
      </w:r>
      <w:r>
        <w:rPr>
          <w:color w:val="75787B" w:themeColor="accent6"/>
          <w:sz w:val="17"/>
          <w:shd w:val="clear" w:color="auto" w:fill="E6E6E6"/>
        </w:rPr>
        <w:fldChar w:fldCharType="end"/>
      </w:r>
      <w:r w:rsidRPr="009B2611">
        <w:rPr>
          <w:iCs/>
          <w:color w:val="75787B" w:themeColor="accent6"/>
          <w:sz w:val="17"/>
        </w:rPr>
        <w:t>: Modelled fees for development licence applications</w:t>
      </w:r>
    </w:p>
    <w:tbl>
      <w:tblPr>
        <w:tblStyle w:val="Deloittetable"/>
        <w:tblW w:w="0" w:type="auto"/>
        <w:tblLook w:val="04A0" w:firstRow="1" w:lastRow="0" w:firstColumn="1" w:lastColumn="0" w:noHBand="0" w:noVBand="1"/>
      </w:tblPr>
      <w:tblGrid>
        <w:gridCol w:w="1985"/>
        <w:gridCol w:w="2933"/>
        <w:gridCol w:w="2934"/>
        <w:gridCol w:w="2933"/>
        <w:gridCol w:w="2934"/>
      </w:tblGrid>
      <w:tr w:rsidR="001433A1" w:rsidRPr="00F2756B" w14:paraId="35F0C895" w14:textId="77777777" w:rsidTr="001433A1">
        <w:trPr>
          <w:cnfStyle w:val="100000000000" w:firstRow="1" w:lastRow="0" w:firstColumn="0" w:lastColumn="0" w:oddVBand="0" w:evenVBand="0" w:oddHBand="0" w:evenHBand="0" w:firstRowFirstColumn="0" w:firstRowLastColumn="0" w:lastRowFirstColumn="0" w:lastRowLastColumn="0"/>
        </w:trPr>
        <w:tc>
          <w:tcPr>
            <w:tcW w:w="1985" w:type="dxa"/>
          </w:tcPr>
          <w:p w14:paraId="7628FF52" w14:textId="77777777" w:rsidR="001433A1" w:rsidRPr="00017799" w:rsidRDefault="001433A1" w:rsidP="001433A1">
            <w:pPr>
              <w:spacing w:line="440" w:lineRule="atLeast"/>
              <w:rPr>
                <w:rFonts w:cs="Segoe UI Light"/>
                <w:sz w:val="18"/>
              </w:rPr>
            </w:pPr>
          </w:p>
        </w:tc>
        <w:tc>
          <w:tcPr>
            <w:tcW w:w="2933" w:type="dxa"/>
          </w:tcPr>
          <w:p w14:paraId="1DD7F10A" w14:textId="77777777" w:rsidR="001433A1" w:rsidRPr="00017799" w:rsidRDefault="001433A1" w:rsidP="001433A1">
            <w:pPr>
              <w:spacing w:line="240" w:lineRule="auto"/>
              <w:ind w:left="113"/>
              <w:rPr>
                <w:rFonts w:cs="Segoe UI Light"/>
                <w:b/>
                <w:sz w:val="18"/>
              </w:rPr>
            </w:pPr>
            <w:r w:rsidRPr="00017799">
              <w:rPr>
                <w:b/>
                <w:sz w:val="18"/>
              </w:rPr>
              <w:t>Option 1a - Percentage of works value - 100% cost recovery</w:t>
            </w:r>
          </w:p>
        </w:tc>
        <w:tc>
          <w:tcPr>
            <w:tcW w:w="2934" w:type="dxa"/>
          </w:tcPr>
          <w:p w14:paraId="0046D70A" w14:textId="77777777" w:rsidR="001433A1" w:rsidRPr="00017799" w:rsidRDefault="001433A1" w:rsidP="001433A1">
            <w:pPr>
              <w:spacing w:line="240" w:lineRule="auto"/>
              <w:ind w:left="113"/>
              <w:rPr>
                <w:rFonts w:cs="Segoe UI Light"/>
                <w:b/>
                <w:sz w:val="18"/>
              </w:rPr>
            </w:pPr>
            <w:r w:rsidRPr="00017799">
              <w:rPr>
                <w:b/>
                <w:sz w:val="18"/>
              </w:rPr>
              <w:t>Option 1b - Percentage of works value - Partial cost recovery</w:t>
            </w:r>
          </w:p>
        </w:tc>
        <w:tc>
          <w:tcPr>
            <w:tcW w:w="2933" w:type="dxa"/>
          </w:tcPr>
          <w:p w14:paraId="38B45C45" w14:textId="77777777" w:rsidR="001433A1" w:rsidRPr="00017799" w:rsidRDefault="001433A1" w:rsidP="001433A1">
            <w:pPr>
              <w:spacing w:line="240" w:lineRule="auto"/>
              <w:ind w:left="113"/>
              <w:rPr>
                <w:rFonts w:cs="Segoe UI Light"/>
                <w:b/>
                <w:sz w:val="18"/>
              </w:rPr>
            </w:pPr>
            <w:r w:rsidRPr="00017799">
              <w:rPr>
                <w:b/>
                <w:sz w:val="18"/>
              </w:rPr>
              <w:t>Option 2 - Base fee plus hourly rate</w:t>
            </w:r>
          </w:p>
        </w:tc>
        <w:tc>
          <w:tcPr>
            <w:tcW w:w="2934" w:type="dxa"/>
          </w:tcPr>
          <w:p w14:paraId="7A44A166" w14:textId="77777777" w:rsidR="001433A1" w:rsidRPr="00017799" w:rsidRDefault="001433A1" w:rsidP="001433A1">
            <w:pPr>
              <w:spacing w:line="240" w:lineRule="auto"/>
              <w:rPr>
                <w:rFonts w:cs="Segoe UI Light"/>
                <w:b/>
                <w:sz w:val="18"/>
              </w:rPr>
            </w:pPr>
            <w:r w:rsidRPr="00017799">
              <w:rPr>
                <w:b/>
                <w:sz w:val="18"/>
              </w:rPr>
              <w:t>Option 3 - Tiered fee structure</w:t>
            </w:r>
          </w:p>
        </w:tc>
      </w:tr>
      <w:tr w:rsidR="001433A1" w:rsidRPr="00F2756B" w14:paraId="2C10E7FF" w14:textId="77777777" w:rsidTr="001433A1">
        <w:trPr>
          <w:trHeight w:val="449"/>
        </w:trPr>
        <w:tc>
          <w:tcPr>
            <w:tcW w:w="1985" w:type="dxa"/>
            <w:vAlign w:val="center"/>
          </w:tcPr>
          <w:p w14:paraId="714BBFC9" w14:textId="77777777" w:rsidR="001433A1" w:rsidRPr="00017799" w:rsidRDefault="001433A1" w:rsidP="001433A1">
            <w:pPr>
              <w:spacing w:after="0" w:line="240" w:lineRule="auto"/>
              <w:rPr>
                <w:b/>
                <w:sz w:val="18"/>
              </w:rPr>
            </w:pPr>
            <w:r w:rsidRPr="00017799">
              <w:rPr>
                <w:b/>
                <w:sz w:val="18"/>
              </w:rPr>
              <w:t>Standard application</w:t>
            </w:r>
          </w:p>
        </w:tc>
        <w:tc>
          <w:tcPr>
            <w:tcW w:w="2933" w:type="dxa"/>
            <w:vMerge w:val="restart"/>
            <w:tcBorders>
              <w:left w:val="nil"/>
              <w:bottom w:val="single" w:sz="4" w:space="0" w:color="000000" w:themeColor="text1"/>
              <w:right w:val="nil"/>
            </w:tcBorders>
            <w:vAlign w:val="center"/>
          </w:tcPr>
          <w:p w14:paraId="0209830D" w14:textId="0A11D6A0" w:rsidR="001433A1" w:rsidRPr="00017799" w:rsidRDefault="001433A1" w:rsidP="00105015">
            <w:pPr>
              <w:spacing w:after="0" w:line="240" w:lineRule="auto"/>
              <w:ind w:left="113"/>
              <w:rPr>
                <w:rFonts w:cs="Segoe UI Light"/>
                <w:sz w:val="18"/>
              </w:rPr>
            </w:pPr>
            <w:r>
              <w:rPr>
                <w:sz w:val="18"/>
              </w:rPr>
              <w:t xml:space="preserve">Greater of </w:t>
            </w:r>
            <w:r w:rsidRPr="00BE3FB9">
              <w:rPr>
                <w:sz w:val="18"/>
              </w:rPr>
              <w:t>2.</w:t>
            </w:r>
            <w:r w:rsidR="00105015">
              <w:rPr>
                <w:sz w:val="18"/>
              </w:rPr>
              <w:t>4</w:t>
            </w:r>
            <w:r w:rsidRPr="00BE3FB9">
              <w:rPr>
                <w:sz w:val="18"/>
              </w:rPr>
              <w:t xml:space="preserve"> of the value of works or a flat fee of $1,182 (81.83 fee units), capped at </w:t>
            </w:r>
            <w:r w:rsidRPr="007E352A">
              <w:rPr>
                <w:sz w:val="18"/>
              </w:rPr>
              <w:t>$201,364.70</w:t>
            </w:r>
            <w:r w:rsidRPr="00BE3FB9">
              <w:rPr>
                <w:sz w:val="18"/>
              </w:rPr>
              <w:t xml:space="preserve"> (</w:t>
            </w:r>
            <w:r w:rsidRPr="007E352A">
              <w:rPr>
                <w:sz w:val="18"/>
              </w:rPr>
              <w:t>13,935.27</w:t>
            </w:r>
            <w:r w:rsidRPr="00BE3FB9">
              <w:rPr>
                <w:sz w:val="18"/>
              </w:rPr>
              <w:t xml:space="preserve"> fee units)</w:t>
            </w:r>
            <w:r>
              <w:rPr>
                <w:sz w:val="18"/>
              </w:rPr>
              <w:t xml:space="preserve"> </w:t>
            </w:r>
          </w:p>
        </w:tc>
        <w:tc>
          <w:tcPr>
            <w:tcW w:w="2934" w:type="dxa"/>
            <w:vMerge w:val="restart"/>
            <w:tcBorders>
              <w:left w:val="nil"/>
              <w:bottom w:val="single" w:sz="4" w:space="0" w:color="000000" w:themeColor="text1"/>
              <w:right w:val="nil"/>
            </w:tcBorders>
            <w:vAlign w:val="center"/>
          </w:tcPr>
          <w:p w14:paraId="41F5351B" w14:textId="77777777" w:rsidR="001433A1" w:rsidRPr="00017799" w:rsidRDefault="001433A1" w:rsidP="001433A1">
            <w:pPr>
              <w:spacing w:after="0" w:line="240" w:lineRule="auto"/>
              <w:ind w:left="113"/>
              <w:rPr>
                <w:rFonts w:cs="Segoe UI Light"/>
                <w:sz w:val="18"/>
              </w:rPr>
            </w:pPr>
            <w:r>
              <w:rPr>
                <w:sz w:val="18"/>
              </w:rPr>
              <w:t>Greater of 1% of the value of works or a flat fee of $1,182 (81.83 fee units), capped at $62,025 (4,500 fee units)</w:t>
            </w:r>
          </w:p>
        </w:tc>
        <w:tc>
          <w:tcPr>
            <w:tcW w:w="2933" w:type="dxa"/>
            <w:vMerge w:val="restart"/>
            <w:tcBorders>
              <w:left w:val="nil"/>
              <w:bottom w:val="single" w:sz="4" w:space="0" w:color="000000" w:themeColor="text1"/>
              <w:right w:val="nil"/>
            </w:tcBorders>
            <w:vAlign w:val="center"/>
          </w:tcPr>
          <w:p w14:paraId="77032D2A" w14:textId="77777777" w:rsidR="001433A1" w:rsidRPr="00017799" w:rsidRDefault="001433A1" w:rsidP="001433A1">
            <w:pPr>
              <w:spacing w:after="0" w:line="240" w:lineRule="auto"/>
              <w:ind w:left="113"/>
              <w:rPr>
                <w:rFonts w:cs="Segoe UI Light"/>
                <w:sz w:val="18"/>
              </w:rPr>
            </w:pPr>
            <w:r>
              <w:rPr>
                <w:sz w:val="18"/>
              </w:rPr>
              <w:t>Flat fee of $14,399.86 (996.53 fee units) plus an hourly rate of $98.98 (6.85 fee units) for assessments exceeding 141 hours, with a maximum fee of $178,884.21 (12,379.53 fee units)</w:t>
            </w:r>
          </w:p>
        </w:tc>
        <w:tc>
          <w:tcPr>
            <w:tcW w:w="2934" w:type="dxa"/>
            <w:tcBorders>
              <w:left w:val="nil"/>
              <w:bottom w:val="single" w:sz="4" w:space="0" w:color="000000" w:themeColor="text1"/>
              <w:right w:val="nil"/>
            </w:tcBorders>
            <w:vAlign w:val="center"/>
          </w:tcPr>
          <w:p w14:paraId="4FE8ABBA" w14:textId="77777777" w:rsidR="001433A1" w:rsidRPr="00017799" w:rsidRDefault="001433A1" w:rsidP="001433A1">
            <w:pPr>
              <w:spacing w:after="0" w:line="240" w:lineRule="auto"/>
              <w:rPr>
                <w:rFonts w:cs="Segoe UI Light"/>
                <w:sz w:val="18"/>
              </w:rPr>
            </w:pPr>
            <w:r>
              <w:rPr>
                <w:sz w:val="18"/>
              </w:rPr>
              <w:t>$19,767.74 (1,368.01 fee units)</w:t>
            </w:r>
          </w:p>
        </w:tc>
      </w:tr>
      <w:tr w:rsidR="001433A1" w:rsidRPr="00F2756B" w14:paraId="44B69AA0" w14:textId="77777777" w:rsidTr="001433A1">
        <w:trPr>
          <w:trHeight w:val="449"/>
        </w:trPr>
        <w:tc>
          <w:tcPr>
            <w:tcW w:w="1985" w:type="dxa"/>
            <w:vAlign w:val="center"/>
          </w:tcPr>
          <w:p w14:paraId="1FA0EAEB" w14:textId="77777777" w:rsidR="001433A1" w:rsidRPr="00017799" w:rsidRDefault="001433A1" w:rsidP="001433A1">
            <w:pPr>
              <w:spacing w:after="0" w:line="240" w:lineRule="auto"/>
              <w:rPr>
                <w:b/>
                <w:sz w:val="18"/>
              </w:rPr>
            </w:pPr>
            <w:r w:rsidRPr="00017799">
              <w:rPr>
                <w:b/>
                <w:sz w:val="18"/>
              </w:rPr>
              <w:t xml:space="preserve">Complex application </w:t>
            </w:r>
          </w:p>
        </w:tc>
        <w:tc>
          <w:tcPr>
            <w:tcW w:w="2933" w:type="dxa"/>
            <w:vMerge/>
            <w:tcBorders>
              <w:top w:val="single" w:sz="24" w:space="0" w:color="62B5E5" w:themeColor="accent3"/>
              <w:left w:val="nil"/>
              <w:bottom w:val="single" w:sz="4" w:space="0" w:color="000000" w:themeColor="text1"/>
              <w:right w:val="nil"/>
            </w:tcBorders>
            <w:vAlign w:val="center"/>
          </w:tcPr>
          <w:p w14:paraId="7B610592" w14:textId="77777777" w:rsidR="001433A1" w:rsidRPr="00017799" w:rsidRDefault="001433A1" w:rsidP="001433A1">
            <w:pPr>
              <w:spacing w:after="0" w:line="240" w:lineRule="auto"/>
              <w:rPr>
                <w:rFonts w:cs="Segoe UI Light"/>
                <w:sz w:val="18"/>
              </w:rPr>
            </w:pPr>
          </w:p>
        </w:tc>
        <w:tc>
          <w:tcPr>
            <w:tcW w:w="2934" w:type="dxa"/>
            <w:vMerge/>
            <w:tcBorders>
              <w:top w:val="single" w:sz="24" w:space="0" w:color="62B5E5" w:themeColor="accent3"/>
              <w:left w:val="nil"/>
              <w:bottom w:val="single" w:sz="4" w:space="0" w:color="000000" w:themeColor="text1"/>
              <w:right w:val="nil"/>
            </w:tcBorders>
            <w:vAlign w:val="center"/>
          </w:tcPr>
          <w:p w14:paraId="541FA7D3" w14:textId="77777777" w:rsidR="001433A1" w:rsidRPr="00017799" w:rsidRDefault="001433A1" w:rsidP="001433A1">
            <w:pPr>
              <w:spacing w:after="0" w:line="240" w:lineRule="auto"/>
              <w:rPr>
                <w:rFonts w:cs="Segoe UI Light"/>
                <w:sz w:val="18"/>
              </w:rPr>
            </w:pPr>
          </w:p>
        </w:tc>
        <w:tc>
          <w:tcPr>
            <w:tcW w:w="2933" w:type="dxa"/>
            <w:vMerge/>
            <w:tcBorders>
              <w:top w:val="single" w:sz="24" w:space="0" w:color="62B5E5" w:themeColor="accent3"/>
              <w:left w:val="nil"/>
              <w:bottom w:val="single" w:sz="4" w:space="0" w:color="000000" w:themeColor="text1"/>
              <w:right w:val="nil"/>
            </w:tcBorders>
            <w:vAlign w:val="center"/>
          </w:tcPr>
          <w:p w14:paraId="5D76382C" w14:textId="77777777" w:rsidR="001433A1" w:rsidRPr="00017799" w:rsidRDefault="001433A1" w:rsidP="001433A1">
            <w:pPr>
              <w:spacing w:after="0" w:line="240" w:lineRule="auto"/>
              <w:rPr>
                <w:rFonts w:cs="Segoe UI Light"/>
                <w:sz w:val="18"/>
              </w:rPr>
            </w:pPr>
          </w:p>
        </w:tc>
        <w:tc>
          <w:tcPr>
            <w:tcW w:w="2934" w:type="dxa"/>
            <w:tcBorders>
              <w:top w:val="single" w:sz="4" w:space="0" w:color="000000" w:themeColor="text1"/>
              <w:left w:val="nil"/>
              <w:bottom w:val="single" w:sz="4" w:space="0" w:color="000000" w:themeColor="text1"/>
              <w:right w:val="nil"/>
            </w:tcBorders>
            <w:vAlign w:val="center"/>
          </w:tcPr>
          <w:p w14:paraId="1B55C6C1" w14:textId="77777777" w:rsidR="001433A1" w:rsidRPr="00017799" w:rsidRDefault="001433A1" w:rsidP="001433A1">
            <w:pPr>
              <w:spacing w:after="0" w:line="240" w:lineRule="auto"/>
              <w:rPr>
                <w:rFonts w:cs="Segoe UI Light"/>
                <w:sz w:val="18"/>
              </w:rPr>
            </w:pPr>
            <w:r>
              <w:rPr>
                <w:sz w:val="18"/>
              </w:rPr>
              <w:t>$80,722.61 (5,586.34 fee units)</w:t>
            </w:r>
          </w:p>
        </w:tc>
      </w:tr>
      <w:tr w:rsidR="001433A1" w:rsidRPr="00F2756B" w14:paraId="403F26DE" w14:textId="77777777" w:rsidTr="001433A1">
        <w:trPr>
          <w:trHeight w:val="450"/>
        </w:trPr>
        <w:tc>
          <w:tcPr>
            <w:tcW w:w="1985" w:type="dxa"/>
            <w:vAlign w:val="center"/>
          </w:tcPr>
          <w:p w14:paraId="2C56D507" w14:textId="77777777" w:rsidR="001433A1" w:rsidRPr="00017799" w:rsidRDefault="001433A1" w:rsidP="001433A1">
            <w:pPr>
              <w:spacing w:after="0" w:line="240" w:lineRule="auto"/>
              <w:rPr>
                <w:b/>
                <w:sz w:val="18"/>
              </w:rPr>
            </w:pPr>
            <w:r w:rsidRPr="00017799">
              <w:rPr>
                <w:b/>
                <w:sz w:val="18"/>
              </w:rPr>
              <w:t xml:space="preserve">Fast-track application </w:t>
            </w:r>
          </w:p>
        </w:tc>
        <w:tc>
          <w:tcPr>
            <w:tcW w:w="2933" w:type="dxa"/>
            <w:vMerge/>
            <w:tcBorders>
              <w:top w:val="single" w:sz="24" w:space="0" w:color="62B5E5" w:themeColor="accent3"/>
              <w:left w:val="nil"/>
              <w:bottom w:val="single" w:sz="4" w:space="0" w:color="000000" w:themeColor="text1"/>
              <w:right w:val="nil"/>
            </w:tcBorders>
            <w:vAlign w:val="center"/>
          </w:tcPr>
          <w:p w14:paraId="1A372C69" w14:textId="77777777" w:rsidR="001433A1" w:rsidRPr="00017799" w:rsidRDefault="001433A1" w:rsidP="001433A1">
            <w:pPr>
              <w:spacing w:after="0" w:line="240" w:lineRule="auto"/>
              <w:rPr>
                <w:rFonts w:cs="Segoe UI Light"/>
                <w:sz w:val="18"/>
              </w:rPr>
            </w:pPr>
          </w:p>
        </w:tc>
        <w:tc>
          <w:tcPr>
            <w:tcW w:w="2934" w:type="dxa"/>
            <w:vMerge/>
            <w:tcBorders>
              <w:top w:val="single" w:sz="24" w:space="0" w:color="62B5E5" w:themeColor="accent3"/>
              <w:left w:val="nil"/>
              <w:bottom w:val="single" w:sz="4" w:space="0" w:color="000000" w:themeColor="text1"/>
              <w:right w:val="nil"/>
            </w:tcBorders>
            <w:vAlign w:val="center"/>
          </w:tcPr>
          <w:p w14:paraId="51AF7AD4" w14:textId="77777777" w:rsidR="001433A1" w:rsidRPr="00017799" w:rsidRDefault="001433A1" w:rsidP="001433A1">
            <w:pPr>
              <w:spacing w:after="0" w:line="240" w:lineRule="auto"/>
              <w:rPr>
                <w:rFonts w:cs="Segoe UI Light"/>
                <w:sz w:val="18"/>
              </w:rPr>
            </w:pPr>
          </w:p>
        </w:tc>
        <w:tc>
          <w:tcPr>
            <w:tcW w:w="2933" w:type="dxa"/>
            <w:vMerge/>
            <w:tcBorders>
              <w:top w:val="single" w:sz="24" w:space="0" w:color="62B5E5" w:themeColor="accent3"/>
              <w:left w:val="nil"/>
              <w:bottom w:val="single" w:sz="4" w:space="0" w:color="000000" w:themeColor="text1"/>
              <w:right w:val="nil"/>
            </w:tcBorders>
            <w:vAlign w:val="center"/>
          </w:tcPr>
          <w:p w14:paraId="54080A2E" w14:textId="77777777" w:rsidR="001433A1" w:rsidRPr="00017799" w:rsidRDefault="001433A1" w:rsidP="001433A1">
            <w:pPr>
              <w:spacing w:after="0" w:line="240" w:lineRule="auto"/>
              <w:rPr>
                <w:rFonts w:cs="Segoe UI Light"/>
                <w:sz w:val="18"/>
              </w:rPr>
            </w:pPr>
          </w:p>
        </w:tc>
        <w:tc>
          <w:tcPr>
            <w:tcW w:w="2934" w:type="dxa"/>
            <w:tcBorders>
              <w:top w:val="single" w:sz="4" w:space="0" w:color="000000" w:themeColor="text1"/>
              <w:left w:val="nil"/>
              <w:bottom w:val="single" w:sz="4" w:space="0" w:color="000000" w:themeColor="text1"/>
              <w:right w:val="nil"/>
            </w:tcBorders>
            <w:vAlign w:val="center"/>
          </w:tcPr>
          <w:p w14:paraId="537B6784" w14:textId="77777777" w:rsidR="001433A1" w:rsidRPr="00017799" w:rsidRDefault="001433A1" w:rsidP="001433A1">
            <w:pPr>
              <w:spacing w:after="0" w:line="240" w:lineRule="auto"/>
              <w:rPr>
                <w:rFonts w:cs="Segoe UI Light"/>
                <w:sz w:val="18"/>
              </w:rPr>
            </w:pPr>
            <w:r>
              <w:rPr>
                <w:sz w:val="18"/>
              </w:rPr>
              <w:t>$146,115.94 (10,111.83 fee units)</w:t>
            </w:r>
          </w:p>
        </w:tc>
      </w:tr>
    </w:tbl>
    <w:p w14:paraId="51C2EC69" w14:textId="77777777" w:rsidR="001433A1" w:rsidRPr="009B2611" w:rsidRDefault="001433A1" w:rsidP="001433A1">
      <w:pPr>
        <w:rPr>
          <w:sz w:val="18"/>
        </w:rPr>
      </w:pPr>
      <w:r w:rsidRPr="009B2611">
        <w:rPr>
          <w:sz w:val="18"/>
        </w:rPr>
        <w:t xml:space="preserve">Note: Fees based on EPA estimates for the time taken and costs involved with completing administrative processes and compliance and enforcement activities. See Appendices </w:t>
      </w:r>
      <w:r>
        <w:rPr>
          <w:sz w:val="18"/>
        </w:rPr>
        <w:t>6-9</w:t>
      </w:r>
      <w:r w:rsidRPr="009B2611">
        <w:rPr>
          <w:sz w:val="18"/>
        </w:rPr>
        <w:t xml:space="preserve"> for more information. Options 1a and 1b based on the value of works approval applications submitted over three years from 2015-16 through 2017-18. </w:t>
      </w:r>
      <w:r>
        <w:rPr>
          <w:sz w:val="18"/>
        </w:rPr>
        <w:t>Fee units are given in 2018-19 fee unit values.</w:t>
      </w:r>
    </w:p>
    <w:p w14:paraId="3DF46936" w14:textId="77777777" w:rsidR="001433A1" w:rsidRPr="009B2611" w:rsidRDefault="001433A1" w:rsidP="001433A1">
      <w:pPr>
        <w:rPr>
          <w:rFonts w:cs="Segoe UI Light"/>
          <w:szCs w:val="20"/>
        </w:rPr>
      </w:pPr>
    </w:p>
    <w:p w14:paraId="64751A20" w14:textId="77777777" w:rsidR="001433A1" w:rsidRPr="009B2611" w:rsidRDefault="001433A1" w:rsidP="001433A1">
      <w:pPr>
        <w:rPr>
          <w:rFonts w:cs="Segoe UI Light"/>
          <w:szCs w:val="20"/>
        </w:rPr>
      </w:pPr>
    </w:p>
    <w:p w14:paraId="7B7831D6" w14:textId="77777777" w:rsidR="001433A1" w:rsidRPr="009B2611" w:rsidRDefault="001433A1" w:rsidP="001433A1">
      <w:pPr>
        <w:rPr>
          <w:rFonts w:cs="Segoe UI Light"/>
          <w:szCs w:val="20"/>
        </w:rPr>
      </w:pPr>
    </w:p>
    <w:p w14:paraId="4D1CD461" w14:textId="77777777" w:rsidR="001433A1" w:rsidRPr="009B2611" w:rsidRDefault="001433A1" w:rsidP="001433A1">
      <w:pPr>
        <w:rPr>
          <w:rFonts w:cs="Segoe UI Light"/>
          <w:szCs w:val="20"/>
        </w:rPr>
        <w:sectPr w:rsidR="001433A1" w:rsidRPr="009B2611" w:rsidSect="005C623D">
          <w:pgSz w:w="16838" w:h="11906" w:orient="landscape" w:code="9"/>
          <w:pgMar w:top="851" w:right="1985" w:bottom="1700" w:left="1134" w:header="680" w:footer="425" w:gutter="0"/>
          <w:cols w:space="284"/>
          <w:titlePg/>
          <w:docGrid w:linePitch="360"/>
        </w:sectPr>
      </w:pPr>
    </w:p>
    <w:p w14:paraId="660C6DF8" w14:textId="77777777" w:rsidR="001433A1" w:rsidRPr="009B2611" w:rsidRDefault="001433A1" w:rsidP="001433A1">
      <w:pPr>
        <w:pStyle w:val="Heading4un-numbered"/>
      </w:pPr>
      <w:r w:rsidRPr="009B2611">
        <w:t xml:space="preserve">Option 1a and 1b: Percentage of works value </w:t>
      </w:r>
    </w:p>
    <w:p w14:paraId="05E3B00B" w14:textId="77777777" w:rsidR="001433A1" w:rsidRPr="009B2611" w:rsidRDefault="001433A1" w:rsidP="001433A1">
      <w:r w:rsidRPr="009B2611">
        <w:t xml:space="preserve">Options 1a and 1b (works value options) are assessed together as the fee design is largely the same. </w:t>
      </w:r>
    </w:p>
    <w:p w14:paraId="0AE54D86" w14:textId="77777777" w:rsidR="001433A1" w:rsidRPr="000E14BB" w:rsidRDefault="001433A1" w:rsidP="001433A1">
      <w:pPr>
        <w:spacing w:after="0"/>
        <w:rPr>
          <w:i/>
        </w:rPr>
      </w:pPr>
      <w:r w:rsidRPr="000E14BB">
        <w:rPr>
          <w:i/>
        </w:rPr>
        <w:t>Cost reflectivity</w:t>
      </w:r>
    </w:p>
    <w:p w14:paraId="19DBB1A6" w14:textId="77777777" w:rsidR="001433A1" w:rsidRDefault="001433A1" w:rsidP="001433A1">
      <w:r w:rsidRPr="009B2611">
        <w:t xml:space="preserve">Under Option 1b, as discussed </w:t>
      </w:r>
      <w:r>
        <w:t>above</w:t>
      </w:r>
      <w:r w:rsidRPr="009B2611">
        <w:t xml:space="preserve">, 63% of the cost base for development licences is recovered via the operating licence annual fee. For this reason, in practice there is full cost recovery of this cost to EPA, albeit via another fee type. </w:t>
      </w:r>
    </w:p>
    <w:p w14:paraId="1C3AE7FA" w14:textId="278B1474" w:rsidR="001433A1" w:rsidRDefault="001433A1" w:rsidP="001433A1">
      <w:pPr>
        <w:rPr>
          <w:rFonts w:ascii="Arial" w:hAnsi="Arial" w:cs="Arial"/>
          <w:color w:val="0000FF"/>
          <w:szCs w:val="20"/>
        </w:rPr>
      </w:pPr>
      <w:r>
        <w:t xml:space="preserve">It is noted that EPA has not reported any concerns with the current works value-based fee arrangements in regard to applicants underestimating works value and therefore paying a lower fee, or substantial changes in works value impacting EPA’s costs. It is also noted that the </w:t>
      </w:r>
      <w:r w:rsidRPr="00037AF8">
        <w:t xml:space="preserve">proposed Regulations refer to the estimated costs as meaning the ‘…amount that the applicant </w:t>
      </w:r>
      <w:r w:rsidRPr="00037AF8">
        <w:rPr>
          <w:b/>
        </w:rPr>
        <w:t>reasonably</w:t>
      </w:r>
      <w:r w:rsidRPr="00037AF8">
        <w:t xml:space="preserve"> estimates is required to carry out the prescribed development activity to which the application for a development licence relates…’ (emphasis added). In addition, EPA has significant experience with the typically estimated costs of certain types of development activities which means the </w:t>
      </w:r>
      <w:r w:rsidR="00785A28">
        <w:t xml:space="preserve">likelihood </w:t>
      </w:r>
      <w:r w:rsidRPr="00037AF8">
        <w:t>of significantly incorr</w:t>
      </w:r>
      <w:r>
        <w:t>e</w:t>
      </w:r>
      <w:r w:rsidRPr="00037AF8">
        <w:t>ct works value estimations are reduced. Also, if a development activity fundamentally changes (as may be indicated by an increase in costs), the development licence may require amendment or potentially a new development licence could be required.</w:t>
      </w:r>
    </w:p>
    <w:p w14:paraId="1AE21DEA" w14:textId="77777777" w:rsidR="001433A1" w:rsidRPr="009B2611" w:rsidRDefault="001433A1" w:rsidP="001433A1">
      <w:r>
        <w:t>For</w:t>
      </w:r>
      <w:r w:rsidRPr="009B2611">
        <w:t xml:space="preserve"> the purpose of comparison, a score of +10 is given </w:t>
      </w:r>
      <w:r>
        <w:t xml:space="preserve">to Option 1b </w:t>
      </w:r>
      <w:r w:rsidRPr="009B2611">
        <w:t>compared to the Base Case. Option 1a scores highly on this criteri</w:t>
      </w:r>
      <w:r>
        <w:t>on</w:t>
      </w:r>
      <w:r w:rsidRPr="009B2611">
        <w:t xml:space="preserve"> as it fully recovers costs and is also given a score of +10.</w:t>
      </w:r>
    </w:p>
    <w:p w14:paraId="6FA26768" w14:textId="77777777" w:rsidR="001433A1" w:rsidRDefault="001433A1" w:rsidP="001433A1">
      <w:pPr>
        <w:spacing w:after="0"/>
      </w:pPr>
      <w:r>
        <w:rPr>
          <w:i/>
        </w:rPr>
        <w:t>Equity</w:t>
      </w:r>
    </w:p>
    <w:p w14:paraId="4465F2F9" w14:textId="77777777" w:rsidR="001433A1" w:rsidRPr="00AA102F" w:rsidRDefault="001433A1" w:rsidP="001433A1">
      <w:r w:rsidRPr="009B2611">
        <w:t xml:space="preserve">By setting a higher fee cap, Option 1a results in high charges for some applicants with higher works values compared to the lower fee cap under Option 1b. Increasing the fee cap under Option 1a results in a significant number of </w:t>
      </w:r>
      <w:r w:rsidRPr="00AA102F">
        <w:t>applicants with higher works values paying a higher fee (smaller developments are not impacted). The maximum fee under Option 1a ($</w:t>
      </w:r>
      <w:r w:rsidRPr="007E352A">
        <w:t>201,364.70</w:t>
      </w:r>
      <w:r w:rsidRPr="00AA102F">
        <w:t>)</w:t>
      </w:r>
      <w:r>
        <w:t xml:space="preserve"> which</w:t>
      </w:r>
      <w:r w:rsidRPr="00AA102F">
        <w:t xml:space="preserve"> is three times as high as for Option 1b ($62,025). Based on data from 2015-16 to 2017-18, only a small number of applications would actually </w:t>
      </w:r>
      <w:r>
        <w:t>reach</w:t>
      </w:r>
      <w:r w:rsidRPr="00AA102F">
        <w:t xml:space="preserve"> the higher cap:</w:t>
      </w:r>
    </w:p>
    <w:p w14:paraId="16270D68" w14:textId="77777777" w:rsidR="001433A1" w:rsidRDefault="001433A1" w:rsidP="001433A1">
      <w:pPr>
        <w:pStyle w:val="ListParagraph"/>
        <w:numPr>
          <w:ilvl w:val="0"/>
          <w:numId w:val="223"/>
        </w:numPr>
        <w:ind w:left="709" w:hanging="283"/>
      </w:pPr>
      <w:r w:rsidRPr="00AA102F">
        <w:t xml:space="preserve">13% of applications hit the maximum fee (cap) under Option 1a. </w:t>
      </w:r>
    </w:p>
    <w:p w14:paraId="733A052D" w14:textId="77777777" w:rsidR="001433A1" w:rsidRDefault="001433A1" w:rsidP="001433A1">
      <w:pPr>
        <w:pStyle w:val="ListParagraph"/>
        <w:numPr>
          <w:ilvl w:val="0"/>
          <w:numId w:val="223"/>
        </w:numPr>
        <w:ind w:left="709" w:hanging="283"/>
      </w:pPr>
      <w:r w:rsidRPr="00AA102F">
        <w:t>16% of applications hit the cap under Option 1b.</w:t>
      </w:r>
    </w:p>
    <w:p w14:paraId="13E58A9C" w14:textId="77777777" w:rsidR="001433A1" w:rsidRDefault="001433A1" w:rsidP="001433A1">
      <w:r w:rsidRPr="009B2611">
        <w:t xml:space="preserve">EPA considers works value a reasonable proxy for administrative effort required to assess applications, noting that costs can also be heavily influenced by the type of technology being proposed and the quality of the application. If </w:t>
      </w:r>
      <w:r>
        <w:t xml:space="preserve">it is assumed that </w:t>
      </w:r>
      <w:r w:rsidRPr="009B2611">
        <w:t xml:space="preserve">costs incurred by EPA increase with works value at all levels of works value, this means charges are likely to better reflect the extent that parties that give rise to specific costs bear those costs. </w:t>
      </w:r>
      <w:r>
        <w:t>However, t</w:t>
      </w:r>
      <w:r w:rsidRPr="009B2611">
        <w:t xml:space="preserve">here is some uncertainty about how strong the relationship is between works value and </w:t>
      </w:r>
      <w:r>
        <w:t>costs incurred by EPA</w:t>
      </w:r>
      <w:r w:rsidRPr="009B2611">
        <w:t xml:space="preserve"> as works value increases to very high levels</w:t>
      </w:r>
      <w:r>
        <w:t xml:space="preserve"> (i.e. the relationship is not necessarily the same at high levels of work value as it is at lower levels of work value). EPA process mapping for development licences suggests that the likely cost for a complex development application is significantly less than $</w:t>
      </w:r>
      <w:r w:rsidRPr="007E352A">
        <w:t>201,364.70</w:t>
      </w:r>
      <w:r>
        <w:t xml:space="preserve"> (noting also complexity is not necessarily reflected in works value). </w:t>
      </w:r>
      <w:r w:rsidRPr="00AA102F">
        <w:t>There</w:t>
      </w:r>
      <w:r>
        <w:t>fore, it is possible</w:t>
      </w:r>
      <w:r w:rsidRPr="00AA102F">
        <w:t xml:space="preserve"> </w:t>
      </w:r>
      <w:r>
        <w:t xml:space="preserve">that the significantly </w:t>
      </w:r>
      <w:r w:rsidRPr="00AA102F">
        <w:t>high</w:t>
      </w:r>
      <w:r>
        <w:t>er</w:t>
      </w:r>
      <w:r w:rsidRPr="00AA102F">
        <w:t xml:space="preserve"> fees for these applicants</w:t>
      </w:r>
      <w:r w:rsidRPr="009B2611">
        <w:t xml:space="preserve">, based on works value, </w:t>
      </w:r>
      <w:r>
        <w:t xml:space="preserve">are higher than the </w:t>
      </w:r>
      <w:r w:rsidRPr="009B2611">
        <w:t>costs to EPA of administering these licences.</w:t>
      </w:r>
      <w:r>
        <w:t xml:space="preserve"> </w:t>
      </w:r>
    </w:p>
    <w:p w14:paraId="68032E81" w14:textId="77777777" w:rsidR="001433A1" w:rsidRPr="009B2611" w:rsidRDefault="001433A1" w:rsidP="001433A1">
      <w:r w:rsidRPr="009B2611">
        <w:t>In terms of ability to pay,</w:t>
      </w:r>
      <w:r>
        <w:t xml:space="preserve"> </w:t>
      </w:r>
      <w:r w:rsidRPr="009B2611">
        <w:t xml:space="preserve">the works value options take into account ability to pay </w:t>
      </w:r>
      <w:r>
        <w:t>more than the other options as a</w:t>
      </w:r>
      <w:r w:rsidRPr="009B2611">
        <w:t xml:space="preserve"> significantly lower fee is charged for the smallest developments than under Option</w:t>
      </w:r>
      <w:r>
        <w:t>s</w:t>
      </w:r>
      <w:r w:rsidRPr="009B2611">
        <w:t xml:space="preserve"> 2 and 3 (reducing </w:t>
      </w:r>
      <w:r>
        <w:t>any</w:t>
      </w:r>
      <w:r w:rsidRPr="009B2611">
        <w:t xml:space="preserve"> barrier</w:t>
      </w:r>
      <w:r>
        <w:t>s</w:t>
      </w:r>
      <w:r w:rsidRPr="009B2611">
        <w:t xml:space="preserve"> to entry). </w:t>
      </w:r>
      <w:r>
        <w:t>While the higher cap does not impact most applicants, it significantly impacts a small number of applicants with high works values (a $62,025 fee cap versus a $</w:t>
      </w:r>
      <w:r w:rsidRPr="007E352A">
        <w:t>201,364.70</w:t>
      </w:r>
      <w:r>
        <w:t xml:space="preserve"> fee cap). </w:t>
      </w:r>
      <w:r w:rsidRPr="00AA102F">
        <w:t>This might create a barrier to entry for the largest projects and discourage investment and innovation</w:t>
      </w:r>
      <w:r>
        <w:t xml:space="preserve"> </w:t>
      </w:r>
      <w:r w:rsidRPr="00AA102F">
        <w:t>(although noting that no specific evidence is available to inform how significant such an impact migh</w:t>
      </w:r>
      <w:r>
        <w:t>t be).</w:t>
      </w:r>
    </w:p>
    <w:p w14:paraId="5D1BEEAB" w14:textId="77777777" w:rsidR="001433A1" w:rsidRPr="009B2611" w:rsidRDefault="001433A1" w:rsidP="001433A1">
      <w:r>
        <w:t>It is</w:t>
      </w:r>
      <w:r w:rsidRPr="009B2611">
        <w:t xml:space="preserve"> important to consider the impact of the cross-subsidy between development licence</w:t>
      </w:r>
      <w:r>
        <w:t xml:space="preserve"> application</w:t>
      </w:r>
      <w:r w:rsidRPr="009B2611">
        <w:t>s and operating licence annual</w:t>
      </w:r>
      <w:r>
        <w:t xml:space="preserve"> fees</w:t>
      </w:r>
      <w:r w:rsidRPr="009B2611">
        <w:t xml:space="preserve">. The regulatory activities are very closely related, with the cohorts very similar. </w:t>
      </w:r>
      <w:r>
        <w:t>The vast majority of</w:t>
      </w:r>
      <w:r w:rsidRPr="009B2611">
        <w:t xml:space="preserve"> development licence applications end up holding an operating licence and paying an </w:t>
      </w:r>
      <w:r>
        <w:t xml:space="preserve">operating licence </w:t>
      </w:r>
      <w:r w:rsidRPr="009B2611">
        <w:t xml:space="preserve">annual fee. This might not always be the case though e.g. </w:t>
      </w:r>
      <w:r>
        <w:t xml:space="preserve">not all </w:t>
      </w:r>
      <w:r w:rsidRPr="007E352A">
        <w:t>prescribed</w:t>
      </w:r>
      <w:r>
        <w:t xml:space="preserve"> activities, where a development licence is required, require an operating licence. </w:t>
      </w:r>
      <w:r w:rsidRPr="009B2611">
        <w:t xml:space="preserve">In such cases, operating licence holders subsidise development licence applications. </w:t>
      </w:r>
      <w:r>
        <w:t>However, only a very small number are expected to fall into this category, which means the practical impact of the cross-subsidy is very small.</w:t>
      </w:r>
      <w:r>
        <w:rPr>
          <w:rStyle w:val="FootnoteReference"/>
        </w:rPr>
        <w:footnoteReference w:id="324"/>
      </w:r>
    </w:p>
    <w:p w14:paraId="139FEDDD" w14:textId="77777777" w:rsidR="001433A1" w:rsidRDefault="001433A1" w:rsidP="001433A1">
      <w:r>
        <w:t>Overall</w:t>
      </w:r>
      <w:r w:rsidRPr="009B2611">
        <w:t xml:space="preserve">, Option 1a is </w:t>
      </w:r>
      <w:r>
        <w:t>considered better than the Base Case</w:t>
      </w:r>
      <w:r w:rsidRPr="009B2611">
        <w:t xml:space="preserve"> </w:t>
      </w:r>
      <w:r>
        <w:t>of having no fee because</w:t>
      </w:r>
      <w:r w:rsidRPr="009B2611">
        <w:t xml:space="preserve"> it increases the extent to which parties that give</w:t>
      </w:r>
      <w:r>
        <w:t xml:space="preserve"> rise to costs bear those costs. However, it</w:t>
      </w:r>
      <w:r w:rsidRPr="009B2611">
        <w:t xml:space="preserve"> significantly impacts businesses with higher works values that will pay up to the maximum cap. </w:t>
      </w:r>
      <w:r>
        <w:t>While only a small number of applications are potentially impacted by the higher cap, the size of this impact per application is significant. As discussed, there is also uncertainty about the relationship between regulatory effort and works value as works value becomes higher – the higher charges might not accurately reflect actual EPA costs. For this reason, Option 1 is given a score of +4 for equity, while Option 1b is given a higher score, +6, reflecting that the higher fee (due to a higher cap) might not</w:t>
      </w:r>
      <w:r w:rsidRPr="006640E8">
        <w:t xml:space="preserve"> reflect </w:t>
      </w:r>
      <w:r>
        <w:t xml:space="preserve">actual </w:t>
      </w:r>
      <w:r w:rsidRPr="006640E8">
        <w:t xml:space="preserve">costs to EPA of administering these licences. </w:t>
      </w:r>
    </w:p>
    <w:p w14:paraId="797505A8" w14:textId="77777777" w:rsidR="001433A1" w:rsidRPr="009B2611" w:rsidRDefault="001433A1" w:rsidP="001433A1">
      <w:pPr>
        <w:spacing w:after="0"/>
      </w:pPr>
      <w:r>
        <w:rPr>
          <w:i/>
        </w:rPr>
        <w:t>Simple and easy to understand and administer</w:t>
      </w:r>
    </w:p>
    <w:p w14:paraId="1966FE16" w14:textId="77777777" w:rsidR="001433A1" w:rsidRPr="009B2611" w:rsidRDefault="001433A1" w:rsidP="001433A1">
      <w:r w:rsidRPr="009B2611">
        <w:t>Charging based on works value will be simple and easy for EPA to administer. EPA currently has a system in place and has not reported any difficulties with this approach. It also allows applicants to understand fees ahead of time</w:t>
      </w:r>
      <w:r>
        <w:t xml:space="preserve"> (noting that EPA has not experienced any issues with changes in works value)</w:t>
      </w:r>
      <w:r w:rsidRPr="009B2611">
        <w:t xml:space="preserve">. </w:t>
      </w:r>
      <w:r>
        <w:t xml:space="preserve">A </w:t>
      </w:r>
      <w:r w:rsidRPr="009B2611">
        <w:t>score</w:t>
      </w:r>
      <w:r>
        <w:t xml:space="preserve"> of</w:t>
      </w:r>
      <w:r w:rsidRPr="009B2611">
        <w:t xml:space="preserve"> -2 </w:t>
      </w:r>
      <w:r>
        <w:t>is given to Options 1a and 1b for simplicity and ease of administration</w:t>
      </w:r>
      <w:r w:rsidRPr="009B2611">
        <w:t>. While nothing would need to change in the way EPA administers development licence</w:t>
      </w:r>
      <w:r>
        <w:t xml:space="preserve"> application</w:t>
      </w:r>
      <w:r w:rsidRPr="009B2611">
        <w:t xml:space="preserve">s, the fee design is more difficult for development licence applicants to understand (compared to no fee at all). </w:t>
      </w:r>
    </w:p>
    <w:p w14:paraId="1F2E55CE" w14:textId="77777777" w:rsidR="001433A1" w:rsidRPr="009B2611" w:rsidRDefault="001433A1" w:rsidP="001433A1">
      <w:pPr>
        <w:pStyle w:val="Heading4un-numbered"/>
      </w:pPr>
      <w:r w:rsidRPr="009B2611">
        <w:t>Option 2: Base fee plus hourly rate</w:t>
      </w:r>
    </w:p>
    <w:p w14:paraId="4F9E8212" w14:textId="77777777" w:rsidR="001433A1" w:rsidRPr="00B777B3" w:rsidRDefault="001433A1" w:rsidP="001433A1">
      <w:pPr>
        <w:spacing w:after="0"/>
        <w:rPr>
          <w:i/>
        </w:rPr>
      </w:pPr>
      <w:r w:rsidRPr="00B777B3">
        <w:rPr>
          <w:i/>
        </w:rPr>
        <w:t>Cost reflectivity</w:t>
      </w:r>
    </w:p>
    <w:p w14:paraId="0EF0DC43" w14:textId="77777777" w:rsidR="001433A1" w:rsidRDefault="001433A1" w:rsidP="001433A1">
      <w:r w:rsidRPr="009B2611">
        <w:t>Option 2 scores highly in terms of cost reflectivity</w:t>
      </w:r>
      <w:r>
        <w:t xml:space="preserve"> </w:t>
      </w:r>
      <w:r w:rsidRPr="009B2611">
        <w:t xml:space="preserve">as all costs are fully recovered, therefore a score of +10 is given. </w:t>
      </w:r>
    </w:p>
    <w:p w14:paraId="493EA326" w14:textId="77777777" w:rsidR="001433A1" w:rsidRPr="00B777B3" w:rsidRDefault="001433A1" w:rsidP="001433A1">
      <w:pPr>
        <w:spacing w:after="0"/>
        <w:rPr>
          <w:i/>
        </w:rPr>
      </w:pPr>
      <w:r>
        <w:rPr>
          <w:i/>
        </w:rPr>
        <w:t>Equity</w:t>
      </w:r>
    </w:p>
    <w:p w14:paraId="0305B41D" w14:textId="080655E2" w:rsidR="001433A1" w:rsidRDefault="001433A1" w:rsidP="001433A1">
      <w:r w:rsidRPr="009B2611">
        <w:t>Under Option 2 the parties giving rise to specific costs bear those costs, more than is the case under Options 1a and 1b, as the fee is based on the number of hours EPA spends on the application. However, compared to Option 1, smaller applicants could conceivably be charged very high fees if the application is complex</w:t>
      </w:r>
      <w:r>
        <w:t>, which might deter investment and innovation</w:t>
      </w:r>
      <w:r w:rsidRPr="009B2611">
        <w:t xml:space="preserve">. This could reduce ability to pay, although the size of this impact is not known as it is uncertain how many small applicants would be making complex development licence applications. </w:t>
      </w:r>
      <w:r>
        <w:t>A</w:t>
      </w:r>
      <w:r w:rsidRPr="009B2611">
        <w:t xml:space="preserve"> score of +6 </w:t>
      </w:r>
      <w:r>
        <w:t xml:space="preserve">is given </w:t>
      </w:r>
      <w:r w:rsidRPr="009B2611">
        <w:t xml:space="preserve">for equity, the same as Option 1b, given it has both advantages and disadvantages, and there is some uncertainty around the equity effects </w:t>
      </w:r>
      <w:r>
        <w:t>similar</w:t>
      </w:r>
      <w:r w:rsidRPr="009B2611">
        <w:t xml:space="preserve"> to Option 1b. </w:t>
      </w:r>
    </w:p>
    <w:p w14:paraId="0CDB5EB5" w14:textId="77777777" w:rsidR="001433A1" w:rsidRPr="009B2611" w:rsidRDefault="001433A1" w:rsidP="001433A1">
      <w:pPr>
        <w:spacing w:after="0"/>
      </w:pPr>
      <w:r>
        <w:rPr>
          <w:i/>
        </w:rPr>
        <w:t>Simple and easy to understand and administer</w:t>
      </w:r>
    </w:p>
    <w:p w14:paraId="56CCF2A3" w14:textId="77777777" w:rsidR="001433A1" w:rsidRPr="009B2611" w:rsidRDefault="001433A1" w:rsidP="001433A1">
      <w:r w:rsidRPr="009B2611">
        <w:t xml:space="preserve">An hourly rate fee structure is significantly more complex to administer than the other options given EPA will need to implement a time recording system and EPA staff will need to record time spent per application. Despite some areas of </w:t>
      </w:r>
      <w:r>
        <w:t>EPA</w:t>
      </w:r>
      <w:r w:rsidRPr="009B2611">
        <w:t xml:space="preserve"> currently record</w:t>
      </w:r>
      <w:r>
        <w:t>ing</w:t>
      </w:r>
      <w:r w:rsidRPr="009B2611">
        <w:t xml:space="preserve"> assessment time, this is a significant cultural change and will impose significant costs in terms of time and IT</w:t>
      </w:r>
      <w:r>
        <w:t xml:space="preserve"> systems</w:t>
      </w:r>
      <w:r w:rsidRPr="009B2611">
        <w:t>. Given there are only an estimated 30 applications a year, it may be manageable. There might also be a cost saving because, given higher quality applications take less time to administer than low</w:t>
      </w:r>
      <w:r>
        <w:t>er</w:t>
      </w:r>
      <w:r w:rsidRPr="009B2611">
        <w:t xml:space="preserve"> quality ones, communicating this to applicants and charging applicants based on </w:t>
      </w:r>
      <w:r>
        <w:t>processing time</w:t>
      </w:r>
      <w:r w:rsidRPr="009B2611">
        <w:t xml:space="preserve"> gives them an incentive to submit high</w:t>
      </w:r>
      <w:r>
        <w:t>er</w:t>
      </w:r>
      <w:r w:rsidRPr="009B2611">
        <w:t xml:space="preserve"> quality applications. On the other hand, the small number of applications might not justify the cost of implementing such an option. An additional drawback to this option is that applicants would be unable to know the fee in advance, only knowing the minimum and maximum fee they could be charged. This may offset some of the benefits of reduced administration costs from providing an incentive to submit a </w:t>
      </w:r>
      <w:r>
        <w:t xml:space="preserve">higher quality </w:t>
      </w:r>
      <w:r w:rsidRPr="009B2611">
        <w:t xml:space="preserve">application. </w:t>
      </w:r>
      <w:r>
        <w:t>A</w:t>
      </w:r>
      <w:r w:rsidRPr="009B2611">
        <w:t xml:space="preserve"> score of -</w:t>
      </w:r>
      <w:r>
        <w:t>7</w:t>
      </w:r>
      <w:r w:rsidRPr="009B2611">
        <w:t xml:space="preserve"> </w:t>
      </w:r>
      <w:r>
        <w:t>is given.</w:t>
      </w:r>
    </w:p>
    <w:p w14:paraId="0F85407C" w14:textId="77777777" w:rsidR="001433A1" w:rsidRPr="009B2611" w:rsidRDefault="001433A1" w:rsidP="001433A1">
      <w:pPr>
        <w:pStyle w:val="Heading4un-numbered"/>
      </w:pPr>
      <w:r w:rsidRPr="009B2611">
        <w:t>Option 3: Tiered fee structure</w:t>
      </w:r>
    </w:p>
    <w:p w14:paraId="0607811C" w14:textId="77777777" w:rsidR="001433A1" w:rsidRPr="00B777B3" w:rsidRDefault="001433A1" w:rsidP="001433A1">
      <w:pPr>
        <w:spacing w:after="0"/>
        <w:rPr>
          <w:i/>
        </w:rPr>
      </w:pPr>
      <w:r w:rsidRPr="00B777B3">
        <w:rPr>
          <w:i/>
        </w:rPr>
        <w:t>Cost reflectivit</w:t>
      </w:r>
      <w:r>
        <w:rPr>
          <w:i/>
        </w:rPr>
        <w:t>y</w:t>
      </w:r>
      <w:r w:rsidRPr="00B777B3">
        <w:rPr>
          <w:i/>
        </w:rPr>
        <w:t xml:space="preserve"> </w:t>
      </w:r>
    </w:p>
    <w:p w14:paraId="68F0BB27" w14:textId="77777777" w:rsidR="001433A1" w:rsidRDefault="001433A1" w:rsidP="001433A1">
      <w:r w:rsidRPr="009B2611">
        <w:t>Option 3 scores highly in terms of cost reflectivity</w:t>
      </w:r>
      <w:r>
        <w:t xml:space="preserve"> </w:t>
      </w:r>
      <w:r w:rsidRPr="009B2611">
        <w:t xml:space="preserve">as costs are fully recovered. </w:t>
      </w:r>
      <w:r>
        <w:t>A</w:t>
      </w:r>
      <w:r w:rsidRPr="009B2611">
        <w:t xml:space="preserve"> score of +10 is given. </w:t>
      </w:r>
    </w:p>
    <w:p w14:paraId="7648B8E8" w14:textId="77777777" w:rsidR="001433A1" w:rsidRPr="00B777B3" w:rsidRDefault="001433A1" w:rsidP="001433A1">
      <w:pPr>
        <w:spacing w:after="0"/>
        <w:rPr>
          <w:i/>
        </w:rPr>
      </w:pPr>
      <w:r>
        <w:rPr>
          <w:i/>
        </w:rPr>
        <w:t>Equity</w:t>
      </w:r>
    </w:p>
    <w:p w14:paraId="5EEA9224" w14:textId="77777777" w:rsidR="001433A1" w:rsidRDefault="001433A1" w:rsidP="001433A1">
      <w:r w:rsidRPr="009B2611">
        <w:t xml:space="preserve">With a three-tiered fee structure where fee levels are based on the complexity of the application, fees charged are reasonably targeted to the specific parties that give rise to those costs, although to a lesser extent than Option 2. Like Option 2, this fee structure does not account for ability to pay to the same extent as Options 1a and 1b; fees are based on the complexity of the application and therefore small developments could be charged very high fees. </w:t>
      </w:r>
      <w:r>
        <w:t xml:space="preserve">A </w:t>
      </w:r>
      <w:r w:rsidRPr="009B2611">
        <w:t>score +</w:t>
      </w:r>
      <w:r>
        <w:t>3</w:t>
      </w:r>
      <w:r w:rsidRPr="009B2611">
        <w:t xml:space="preserve"> </w:t>
      </w:r>
      <w:r>
        <w:t xml:space="preserve">is given </w:t>
      </w:r>
      <w:r w:rsidRPr="009B2611">
        <w:t>for equity.</w:t>
      </w:r>
    </w:p>
    <w:p w14:paraId="67F564A3" w14:textId="77777777" w:rsidR="001433A1" w:rsidRPr="00B777B3" w:rsidRDefault="001433A1" w:rsidP="001433A1">
      <w:pPr>
        <w:spacing w:after="0"/>
        <w:rPr>
          <w:i/>
        </w:rPr>
      </w:pPr>
      <w:r>
        <w:rPr>
          <w:i/>
        </w:rPr>
        <w:t>Simple and easy to understand and administer</w:t>
      </w:r>
    </w:p>
    <w:p w14:paraId="4C22C131" w14:textId="77777777" w:rsidR="001433A1" w:rsidRPr="009B2611" w:rsidRDefault="001433A1" w:rsidP="001433A1">
      <w:r w:rsidRPr="009B2611">
        <w:t xml:space="preserve">EPA would be able to easily determine which applicants fall into which tier (while the application is in progress) as it is based on processes already in place. However, applicants </w:t>
      </w:r>
      <w:r>
        <w:t>might</w:t>
      </w:r>
      <w:r w:rsidRPr="009B2611">
        <w:t xml:space="preserve"> not be able to determine which tier they fall into before submitting their application, which </w:t>
      </w:r>
      <w:r>
        <w:t>could make the</w:t>
      </w:r>
      <w:r w:rsidRPr="009B2611">
        <w:t xml:space="preserve"> fee structure less easy to understand for applicants. It may, however, be possible for EPA to issue </w:t>
      </w:r>
      <w:r>
        <w:t xml:space="preserve">guidance </w:t>
      </w:r>
      <w:r w:rsidRPr="009B2611">
        <w:t xml:space="preserve">on tiers (e.g. typical characteristics) that allows applicants to better predict what fee they will be charged. </w:t>
      </w:r>
      <w:r>
        <w:t>However, this is likely to be less straightforward to implement and administer than the simple works value method which is already in place and easily able to be calculated by applicants at the time of application. A</w:t>
      </w:r>
      <w:r w:rsidRPr="009B2611">
        <w:t xml:space="preserve"> score of -4 </w:t>
      </w:r>
      <w:r>
        <w:t>is given.</w:t>
      </w:r>
      <w:r w:rsidRPr="009B2611">
        <w:rPr>
          <w:rFonts w:cs="Segoe UI Light"/>
          <w:szCs w:val="20"/>
        </w:rPr>
        <w:t xml:space="preserve"> </w:t>
      </w:r>
    </w:p>
    <w:p w14:paraId="6C5A57EE" w14:textId="77777777" w:rsidR="001433A1" w:rsidRPr="009B2611" w:rsidRDefault="001433A1" w:rsidP="001433A1">
      <w:pPr>
        <w:pStyle w:val="Heading4un-numbered"/>
      </w:pPr>
      <w:r w:rsidRPr="00785A28">
        <w:t xml:space="preserve">MCA </w:t>
      </w:r>
      <w:r w:rsidRPr="007E352A">
        <w:t>summary and p</w:t>
      </w:r>
      <w:r w:rsidRPr="00785A28">
        <w:t>referred option</w:t>
      </w:r>
      <w:r w:rsidRPr="009B2611">
        <w:t xml:space="preserve"> - Percentage of works value at partial cost recovery</w:t>
      </w:r>
    </w:p>
    <w:p w14:paraId="60EC2B36" w14:textId="77777777" w:rsidR="001433A1" w:rsidRPr="009B2611" w:rsidRDefault="001433A1" w:rsidP="001433A1">
      <w:pPr>
        <w:spacing w:after="0"/>
      </w:pPr>
      <w:r w:rsidRPr="009B2611">
        <w:t xml:space="preserve">As shown in </w:t>
      </w:r>
      <w:r w:rsidRPr="009B2611">
        <w:fldChar w:fldCharType="begin"/>
      </w:r>
      <w:r w:rsidRPr="009B2611">
        <w:instrText xml:space="preserve"> REF _Ref7699044 \h </w:instrText>
      </w:r>
      <w:r>
        <w:instrText xml:space="preserve"> \* MERGEFORMAT </w:instrText>
      </w:r>
      <w:r w:rsidRPr="009B2611">
        <w:fldChar w:fldCharType="separate"/>
      </w:r>
      <w:r w:rsidRPr="00037AF8" w:rsidDel="00B11C1E">
        <w:t>Table 16</w:t>
      </w:r>
      <w:r w:rsidRPr="00037AF8" w:rsidDel="00B11C1E">
        <w:noBreakHyphen/>
        <w:t>6</w:t>
      </w:r>
      <w:r w:rsidRPr="009B2611">
        <w:fldChar w:fldCharType="end"/>
      </w:r>
      <w:r w:rsidRPr="009B2611">
        <w:t xml:space="preserve">, Option 1b scores highest with a </w:t>
      </w:r>
      <w:r>
        <w:t xml:space="preserve">total weighted </w:t>
      </w:r>
      <w:r w:rsidRPr="009B2611">
        <w:t xml:space="preserve">score of </w:t>
      </w:r>
      <w:r>
        <w:t>5.0</w:t>
      </w:r>
      <w:r w:rsidRPr="009B2611">
        <w:t xml:space="preserve">. It is simple to administer and does not disadvantage smaller licence applicants. Because of the cross-subsidy between operating licence annual </w:t>
      </w:r>
      <w:r>
        <w:t>fee</w:t>
      </w:r>
      <w:r w:rsidRPr="009B2611">
        <w:t>s and development licence</w:t>
      </w:r>
      <w:r>
        <w:t xml:space="preserve"> application</w:t>
      </w:r>
      <w:r w:rsidRPr="009B2611">
        <w:t>s, all of EPA’s cost related to development licence</w:t>
      </w:r>
      <w:r>
        <w:t xml:space="preserve"> application</w:t>
      </w:r>
      <w:r w:rsidRPr="009B2611">
        <w:t>s will be recovered. By comparison, Option 1a will impose substantial licence costs on developments with very high works values (more than twice as high as under Option 1a). Option 2 will be more difficult to implement and administer.</w:t>
      </w:r>
    </w:p>
    <w:p w14:paraId="5F42AA3B"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6</w:t>
      </w:r>
      <w:r>
        <w:rPr>
          <w:color w:val="75787B" w:themeColor="accent6"/>
          <w:sz w:val="17"/>
          <w:shd w:val="clear" w:color="auto" w:fill="E6E6E6"/>
        </w:rPr>
        <w:fldChar w:fldCharType="end"/>
      </w:r>
      <w:r w:rsidRPr="009B2611">
        <w:rPr>
          <w:iCs/>
          <w:color w:val="75787B" w:themeColor="accent6"/>
          <w:sz w:val="17"/>
        </w:rPr>
        <w:t>: Options for development licence applications: MCA results</w:t>
      </w:r>
    </w:p>
    <w:tbl>
      <w:tblPr>
        <w:tblStyle w:val="Deloittetable"/>
        <w:tblW w:w="5000" w:type="pct"/>
        <w:shd w:val="clear" w:color="auto" w:fill="FFFFFF" w:themeFill="background1"/>
        <w:tblLook w:val="04A0" w:firstRow="1" w:lastRow="0" w:firstColumn="1" w:lastColumn="0" w:noHBand="0" w:noVBand="1"/>
      </w:tblPr>
      <w:tblGrid>
        <w:gridCol w:w="2224"/>
        <w:gridCol w:w="1830"/>
        <w:gridCol w:w="1643"/>
        <w:gridCol w:w="1830"/>
        <w:gridCol w:w="1828"/>
      </w:tblGrid>
      <w:tr w:rsidR="001433A1" w:rsidRPr="009B2611" w14:paraId="214C2076" w14:textId="77777777" w:rsidTr="001433A1">
        <w:trPr>
          <w:cnfStyle w:val="100000000000" w:firstRow="1" w:lastRow="0" w:firstColumn="0" w:lastColumn="0" w:oddVBand="0" w:evenVBand="0" w:oddHBand="0" w:evenHBand="0" w:firstRowFirstColumn="0" w:firstRowLastColumn="0" w:lastRowFirstColumn="0" w:lastRowLastColumn="0"/>
        </w:trPr>
        <w:tc>
          <w:tcPr>
            <w:tcW w:w="1189" w:type="pct"/>
            <w:shd w:val="clear" w:color="auto" w:fill="FFFFFF" w:themeFill="background1"/>
          </w:tcPr>
          <w:p w14:paraId="1B897DB1" w14:textId="77777777" w:rsidR="001433A1" w:rsidRPr="009B2611" w:rsidRDefault="001433A1" w:rsidP="001433A1">
            <w:pPr>
              <w:spacing w:after="0" w:line="240" w:lineRule="auto"/>
              <w:rPr>
                <w:sz w:val="18"/>
              </w:rPr>
            </w:pPr>
          </w:p>
        </w:tc>
        <w:tc>
          <w:tcPr>
            <w:tcW w:w="978" w:type="pct"/>
            <w:shd w:val="clear" w:color="auto" w:fill="FFFFFF" w:themeFill="background1"/>
            <w:hideMark/>
          </w:tcPr>
          <w:p w14:paraId="04A7A421" w14:textId="77777777" w:rsidR="001433A1" w:rsidRPr="009B2611" w:rsidRDefault="001433A1" w:rsidP="007E352A">
            <w:pPr>
              <w:spacing w:after="0" w:line="240" w:lineRule="auto"/>
              <w:ind w:right="57"/>
              <w:jc w:val="right"/>
              <w:rPr>
                <w:b/>
                <w:sz w:val="18"/>
              </w:rPr>
            </w:pPr>
            <w:r w:rsidRPr="009B2611">
              <w:rPr>
                <w:b/>
                <w:sz w:val="18"/>
              </w:rPr>
              <w:t xml:space="preserve">Option 1a- </w:t>
            </w:r>
            <w:r w:rsidRPr="00153F27">
              <w:rPr>
                <w:sz w:val="18"/>
              </w:rPr>
              <w:t>Percentage of works value</w:t>
            </w:r>
            <w:r>
              <w:rPr>
                <w:sz w:val="18"/>
              </w:rPr>
              <w:t xml:space="preserve"> </w:t>
            </w:r>
            <w:r w:rsidRPr="00153F27">
              <w:rPr>
                <w:sz w:val="18"/>
              </w:rPr>
              <w:t>- 100% cost recovery</w:t>
            </w:r>
          </w:p>
        </w:tc>
        <w:tc>
          <w:tcPr>
            <w:tcW w:w="878" w:type="pct"/>
            <w:shd w:val="clear" w:color="auto" w:fill="FFFFFF" w:themeFill="background1"/>
            <w:hideMark/>
          </w:tcPr>
          <w:p w14:paraId="2E503BA3" w14:textId="77777777" w:rsidR="001433A1" w:rsidRPr="009B2611" w:rsidRDefault="001433A1" w:rsidP="007E352A">
            <w:pPr>
              <w:spacing w:after="0" w:line="240" w:lineRule="auto"/>
              <w:ind w:right="57"/>
              <w:jc w:val="right"/>
              <w:rPr>
                <w:b/>
                <w:sz w:val="18"/>
              </w:rPr>
            </w:pPr>
            <w:r w:rsidRPr="009B2611">
              <w:rPr>
                <w:b/>
                <w:sz w:val="18"/>
              </w:rPr>
              <w:t>Option 1b-</w:t>
            </w:r>
            <w:r w:rsidRPr="00153F27">
              <w:rPr>
                <w:sz w:val="18"/>
              </w:rPr>
              <w:t>Percentage of works value</w:t>
            </w:r>
            <w:r>
              <w:rPr>
                <w:sz w:val="18"/>
              </w:rPr>
              <w:t xml:space="preserve"> </w:t>
            </w:r>
            <w:r w:rsidRPr="00153F27">
              <w:rPr>
                <w:sz w:val="18"/>
              </w:rPr>
              <w:t>- Partial cost recovery</w:t>
            </w:r>
          </w:p>
        </w:tc>
        <w:tc>
          <w:tcPr>
            <w:tcW w:w="978" w:type="pct"/>
            <w:shd w:val="clear" w:color="auto" w:fill="FFFFFF" w:themeFill="background1"/>
            <w:hideMark/>
          </w:tcPr>
          <w:p w14:paraId="570CB827" w14:textId="77777777" w:rsidR="001433A1" w:rsidRDefault="001433A1" w:rsidP="007E352A">
            <w:pPr>
              <w:spacing w:after="0" w:line="240" w:lineRule="auto"/>
              <w:ind w:right="57"/>
              <w:jc w:val="right"/>
              <w:rPr>
                <w:b/>
                <w:sz w:val="18"/>
              </w:rPr>
            </w:pPr>
            <w:r w:rsidRPr="009B2611">
              <w:rPr>
                <w:b/>
                <w:sz w:val="18"/>
              </w:rPr>
              <w:t>Option 2-</w:t>
            </w:r>
          </w:p>
          <w:p w14:paraId="1E018524" w14:textId="77777777" w:rsidR="001433A1" w:rsidRPr="00153F27" w:rsidRDefault="001433A1" w:rsidP="007E352A">
            <w:pPr>
              <w:spacing w:after="0" w:line="240" w:lineRule="auto"/>
              <w:ind w:right="57"/>
              <w:jc w:val="right"/>
              <w:rPr>
                <w:sz w:val="18"/>
              </w:rPr>
            </w:pPr>
            <w:r w:rsidRPr="00153F27">
              <w:rPr>
                <w:sz w:val="18"/>
              </w:rPr>
              <w:t>Base fee plus hourly rate</w:t>
            </w:r>
          </w:p>
        </w:tc>
        <w:tc>
          <w:tcPr>
            <w:tcW w:w="977" w:type="pct"/>
            <w:shd w:val="clear" w:color="auto" w:fill="FFFFFF" w:themeFill="background1"/>
            <w:hideMark/>
          </w:tcPr>
          <w:p w14:paraId="3B5D68CE" w14:textId="77777777" w:rsidR="001433A1" w:rsidRDefault="001433A1" w:rsidP="007E352A">
            <w:pPr>
              <w:spacing w:after="0" w:line="240" w:lineRule="auto"/>
              <w:ind w:right="57"/>
              <w:jc w:val="right"/>
              <w:rPr>
                <w:b/>
                <w:sz w:val="18"/>
              </w:rPr>
            </w:pPr>
            <w:r w:rsidRPr="009B2611">
              <w:rPr>
                <w:b/>
                <w:sz w:val="18"/>
              </w:rPr>
              <w:t xml:space="preserve">Option 3- </w:t>
            </w:r>
          </w:p>
          <w:p w14:paraId="098A7F8E" w14:textId="77777777" w:rsidR="001433A1" w:rsidRPr="00153F27" w:rsidRDefault="001433A1" w:rsidP="007E352A">
            <w:pPr>
              <w:spacing w:after="0" w:line="240" w:lineRule="auto"/>
              <w:ind w:right="57"/>
              <w:jc w:val="right"/>
              <w:rPr>
                <w:sz w:val="18"/>
              </w:rPr>
            </w:pPr>
            <w:r w:rsidRPr="00153F27">
              <w:rPr>
                <w:sz w:val="18"/>
              </w:rPr>
              <w:t xml:space="preserve">Tiered fee </w:t>
            </w:r>
            <w:r>
              <w:rPr>
                <w:sz w:val="18"/>
              </w:rPr>
              <w:t xml:space="preserve">       </w:t>
            </w:r>
            <w:r w:rsidRPr="00153F27">
              <w:rPr>
                <w:sz w:val="18"/>
              </w:rPr>
              <w:t xml:space="preserve"> structure</w:t>
            </w:r>
          </w:p>
        </w:tc>
      </w:tr>
      <w:tr w:rsidR="001433A1" w:rsidRPr="009B2611" w14:paraId="24D0EAE8" w14:textId="77777777" w:rsidTr="001433A1">
        <w:tc>
          <w:tcPr>
            <w:tcW w:w="1189" w:type="pct"/>
            <w:shd w:val="clear" w:color="auto" w:fill="FFFFFF" w:themeFill="background1"/>
            <w:hideMark/>
          </w:tcPr>
          <w:p w14:paraId="0086195A" w14:textId="77777777" w:rsidR="001433A1" w:rsidRPr="009B2611" w:rsidRDefault="001433A1" w:rsidP="001433A1">
            <w:pPr>
              <w:spacing w:after="0" w:line="240" w:lineRule="auto"/>
              <w:rPr>
                <w:sz w:val="18"/>
              </w:rPr>
            </w:pPr>
            <w:r w:rsidRPr="009B2611">
              <w:rPr>
                <w:sz w:val="18"/>
              </w:rPr>
              <w:t>Cost reflectivity</w:t>
            </w:r>
          </w:p>
        </w:tc>
        <w:tc>
          <w:tcPr>
            <w:tcW w:w="978" w:type="pct"/>
            <w:shd w:val="clear" w:color="auto" w:fill="FFFFFF" w:themeFill="background1"/>
            <w:hideMark/>
          </w:tcPr>
          <w:p w14:paraId="338733F0" w14:textId="77777777" w:rsidR="001433A1" w:rsidRPr="009B2611" w:rsidRDefault="001433A1" w:rsidP="007E352A">
            <w:pPr>
              <w:spacing w:after="0" w:line="240" w:lineRule="auto"/>
              <w:ind w:right="57"/>
              <w:jc w:val="right"/>
              <w:rPr>
                <w:sz w:val="18"/>
              </w:rPr>
            </w:pPr>
            <w:r w:rsidRPr="009B2611">
              <w:rPr>
                <w:sz w:val="18"/>
              </w:rPr>
              <w:t>+10</w:t>
            </w:r>
          </w:p>
        </w:tc>
        <w:tc>
          <w:tcPr>
            <w:tcW w:w="878" w:type="pct"/>
            <w:shd w:val="clear" w:color="auto" w:fill="FFFFFF" w:themeFill="background1"/>
            <w:hideMark/>
          </w:tcPr>
          <w:p w14:paraId="64E05867" w14:textId="77777777" w:rsidR="001433A1" w:rsidRPr="009B2611" w:rsidRDefault="001433A1" w:rsidP="007E352A">
            <w:pPr>
              <w:spacing w:after="0" w:line="240" w:lineRule="auto"/>
              <w:ind w:right="57"/>
              <w:jc w:val="right"/>
              <w:rPr>
                <w:sz w:val="18"/>
              </w:rPr>
            </w:pPr>
            <w:r w:rsidRPr="009B2611">
              <w:rPr>
                <w:sz w:val="18"/>
              </w:rPr>
              <w:t>+10</w:t>
            </w:r>
          </w:p>
        </w:tc>
        <w:tc>
          <w:tcPr>
            <w:tcW w:w="978" w:type="pct"/>
            <w:shd w:val="clear" w:color="auto" w:fill="FFFFFF" w:themeFill="background1"/>
            <w:hideMark/>
          </w:tcPr>
          <w:p w14:paraId="0DAC4113" w14:textId="77777777" w:rsidR="001433A1" w:rsidRPr="009B2611" w:rsidRDefault="001433A1" w:rsidP="007E352A">
            <w:pPr>
              <w:spacing w:after="0" w:line="240" w:lineRule="auto"/>
              <w:ind w:right="57"/>
              <w:jc w:val="right"/>
              <w:rPr>
                <w:sz w:val="18"/>
              </w:rPr>
            </w:pPr>
            <w:r w:rsidRPr="009B2611">
              <w:rPr>
                <w:sz w:val="18"/>
              </w:rPr>
              <w:t>+10</w:t>
            </w:r>
          </w:p>
        </w:tc>
        <w:tc>
          <w:tcPr>
            <w:tcW w:w="978" w:type="pct"/>
            <w:shd w:val="clear" w:color="auto" w:fill="FFFFFF" w:themeFill="background1"/>
            <w:hideMark/>
          </w:tcPr>
          <w:p w14:paraId="24492303" w14:textId="77777777" w:rsidR="001433A1" w:rsidRPr="009B2611" w:rsidRDefault="001433A1" w:rsidP="007E352A">
            <w:pPr>
              <w:spacing w:after="0" w:line="240" w:lineRule="auto"/>
              <w:ind w:right="57"/>
              <w:jc w:val="right"/>
              <w:rPr>
                <w:sz w:val="18"/>
              </w:rPr>
            </w:pPr>
            <w:r>
              <w:t>+</w:t>
            </w:r>
            <w:r w:rsidRPr="00A2188F">
              <w:t>10</w:t>
            </w:r>
          </w:p>
        </w:tc>
      </w:tr>
      <w:tr w:rsidR="001433A1" w:rsidRPr="009B2611" w14:paraId="385326D8" w14:textId="77777777" w:rsidTr="001433A1">
        <w:tc>
          <w:tcPr>
            <w:tcW w:w="1189" w:type="pct"/>
            <w:shd w:val="clear" w:color="auto" w:fill="FFFFFF" w:themeFill="background1"/>
            <w:hideMark/>
          </w:tcPr>
          <w:p w14:paraId="7DD07E53" w14:textId="77777777" w:rsidR="001433A1" w:rsidRPr="009B2611" w:rsidRDefault="001433A1" w:rsidP="001433A1">
            <w:pPr>
              <w:spacing w:after="0" w:line="240" w:lineRule="auto"/>
              <w:rPr>
                <w:sz w:val="18"/>
              </w:rPr>
            </w:pPr>
            <w:r w:rsidRPr="009B2611">
              <w:rPr>
                <w:sz w:val="18"/>
              </w:rPr>
              <w:t>Equity</w:t>
            </w:r>
          </w:p>
        </w:tc>
        <w:tc>
          <w:tcPr>
            <w:tcW w:w="978" w:type="pct"/>
            <w:shd w:val="clear" w:color="auto" w:fill="FFFFFF" w:themeFill="background1"/>
            <w:hideMark/>
          </w:tcPr>
          <w:p w14:paraId="428B3142" w14:textId="77777777" w:rsidR="001433A1" w:rsidRPr="009B2611" w:rsidRDefault="001433A1" w:rsidP="007E352A">
            <w:pPr>
              <w:spacing w:after="0" w:line="240" w:lineRule="auto"/>
              <w:ind w:right="57"/>
              <w:jc w:val="right"/>
              <w:rPr>
                <w:sz w:val="18"/>
              </w:rPr>
            </w:pPr>
            <w:r w:rsidRPr="009B2611">
              <w:rPr>
                <w:sz w:val="18"/>
              </w:rPr>
              <w:t>+4</w:t>
            </w:r>
          </w:p>
        </w:tc>
        <w:tc>
          <w:tcPr>
            <w:tcW w:w="878" w:type="pct"/>
            <w:shd w:val="clear" w:color="auto" w:fill="FFFFFF" w:themeFill="background1"/>
            <w:hideMark/>
          </w:tcPr>
          <w:p w14:paraId="70ED9B99" w14:textId="77777777" w:rsidR="001433A1" w:rsidRPr="009B2611" w:rsidRDefault="001433A1" w:rsidP="007E352A">
            <w:pPr>
              <w:spacing w:after="0" w:line="240" w:lineRule="auto"/>
              <w:ind w:right="57"/>
              <w:jc w:val="right"/>
              <w:rPr>
                <w:sz w:val="18"/>
              </w:rPr>
            </w:pPr>
            <w:r w:rsidRPr="009B2611">
              <w:rPr>
                <w:sz w:val="18"/>
              </w:rPr>
              <w:t>+6</w:t>
            </w:r>
          </w:p>
        </w:tc>
        <w:tc>
          <w:tcPr>
            <w:tcW w:w="978" w:type="pct"/>
            <w:shd w:val="clear" w:color="auto" w:fill="FFFFFF" w:themeFill="background1"/>
            <w:hideMark/>
          </w:tcPr>
          <w:p w14:paraId="667728A0" w14:textId="77777777" w:rsidR="001433A1" w:rsidRPr="009B2611" w:rsidRDefault="001433A1" w:rsidP="007E352A">
            <w:pPr>
              <w:spacing w:after="0" w:line="240" w:lineRule="auto"/>
              <w:ind w:right="57"/>
              <w:jc w:val="right"/>
              <w:rPr>
                <w:sz w:val="18"/>
              </w:rPr>
            </w:pPr>
            <w:r w:rsidRPr="009B2611">
              <w:rPr>
                <w:sz w:val="18"/>
              </w:rPr>
              <w:t>+8</w:t>
            </w:r>
          </w:p>
        </w:tc>
        <w:tc>
          <w:tcPr>
            <w:tcW w:w="978" w:type="pct"/>
            <w:shd w:val="clear" w:color="auto" w:fill="FFFFFF" w:themeFill="background1"/>
            <w:hideMark/>
          </w:tcPr>
          <w:p w14:paraId="045E7FA2" w14:textId="77777777" w:rsidR="001433A1" w:rsidRPr="009B2611" w:rsidRDefault="001433A1" w:rsidP="007E352A">
            <w:pPr>
              <w:spacing w:after="0" w:line="240" w:lineRule="auto"/>
              <w:ind w:right="57"/>
              <w:jc w:val="right"/>
              <w:rPr>
                <w:sz w:val="18"/>
              </w:rPr>
            </w:pPr>
            <w:r>
              <w:t>+3</w:t>
            </w:r>
          </w:p>
        </w:tc>
      </w:tr>
      <w:tr w:rsidR="001433A1" w:rsidRPr="009B2611" w14:paraId="79954A87" w14:textId="77777777" w:rsidTr="001433A1">
        <w:tc>
          <w:tcPr>
            <w:tcW w:w="1189" w:type="pct"/>
            <w:shd w:val="clear" w:color="auto" w:fill="FFFFFF" w:themeFill="background1"/>
            <w:hideMark/>
          </w:tcPr>
          <w:p w14:paraId="690600C3" w14:textId="77777777" w:rsidR="001433A1" w:rsidRPr="009B2611" w:rsidRDefault="001433A1" w:rsidP="001433A1">
            <w:pPr>
              <w:spacing w:after="0" w:line="240" w:lineRule="auto"/>
              <w:ind w:right="-701"/>
              <w:rPr>
                <w:sz w:val="18"/>
              </w:rPr>
            </w:pPr>
            <w:r w:rsidRPr="009B2611">
              <w:rPr>
                <w:sz w:val="18"/>
              </w:rPr>
              <w:t>Simple and easy</w:t>
            </w:r>
          </w:p>
          <w:p w14:paraId="26581FF1" w14:textId="77777777" w:rsidR="001433A1" w:rsidRPr="009B2611" w:rsidRDefault="001433A1" w:rsidP="001433A1">
            <w:pPr>
              <w:spacing w:after="0" w:line="240" w:lineRule="auto"/>
              <w:rPr>
                <w:sz w:val="18"/>
              </w:rPr>
            </w:pPr>
            <w:r w:rsidRPr="009B2611">
              <w:rPr>
                <w:sz w:val="18"/>
              </w:rPr>
              <w:t xml:space="preserve">to </w:t>
            </w:r>
            <w:r>
              <w:rPr>
                <w:sz w:val="18"/>
              </w:rPr>
              <w:t xml:space="preserve">understand </w:t>
            </w:r>
            <w:r w:rsidRPr="009B2611">
              <w:rPr>
                <w:sz w:val="18"/>
              </w:rPr>
              <w:t>administer</w:t>
            </w:r>
          </w:p>
        </w:tc>
        <w:tc>
          <w:tcPr>
            <w:tcW w:w="978" w:type="pct"/>
            <w:shd w:val="clear" w:color="auto" w:fill="FFFFFF" w:themeFill="background1"/>
            <w:hideMark/>
          </w:tcPr>
          <w:p w14:paraId="1DCE37FF" w14:textId="77777777" w:rsidR="001433A1" w:rsidRPr="009B2611" w:rsidRDefault="001433A1" w:rsidP="007E352A">
            <w:pPr>
              <w:spacing w:after="0" w:line="240" w:lineRule="auto"/>
              <w:ind w:right="57"/>
              <w:jc w:val="right"/>
              <w:rPr>
                <w:sz w:val="18"/>
              </w:rPr>
            </w:pPr>
            <w:r w:rsidRPr="009B2611">
              <w:rPr>
                <w:sz w:val="18"/>
              </w:rPr>
              <w:t>-2</w:t>
            </w:r>
          </w:p>
        </w:tc>
        <w:tc>
          <w:tcPr>
            <w:tcW w:w="878" w:type="pct"/>
            <w:shd w:val="clear" w:color="auto" w:fill="FFFFFF" w:themeFill="background1"/>
            <w:hideMark/>
          </w:tcPr>
          <w:p w14:paraId="0B46E424" w14:textId="77777777" w:rsidR="001433A1" w:rsidRPr="009B2611" w:rsidRDefault="001433A1" w:rsidP="007E352A">
            <w:pPr>
              <w:spacing w:after="0" w:line="240" w:lineRule="auto"/>
              <w:ind w:right="57"/>
              <w:jc w:val="right"/>
              <w:rPr>
                <w:sz w:val="18"/>
              </w:rPr>
            </w:pPr>
            <w:r w:rsidRPr="009B2611">
              <w:rPr>
                <w:sz w:val="18"/>
              </w:rPr>
              <w:t>-2</w:t>
            </w:r>
          </w:p>
        </w:tc>
        <w:tc>
          <w:tcPr>
            <w:tcW w:w="978" w:type="pct"/>
            <w:shd w:val="clear" w:color="auto" w:fill="FFFFFF" w:themeFill="background1"/>
            <w:hideMark/>
          </w:tcPr>
          <w:p w14:paraId="39AAFCE4" w14:textId="77777777" w:rsidR="001433A1" w:rsidRPr="009B2611" w:rsidRDefault="001433A1" w:rsidP="007E352A">
            <w:pPr>
              <w:spacing w:after="0" w:line="240" w:lineRule="auto"/>
              <w:ind w:right="57"/>
              <w:jc w:val="right"/>
              <w:rPr>
                <w:sz w:val="18"/>
              </w:rPr>
            </w:pPr>
            <w:r w:rsidRPr="009B2611">
              <w:rPr>
                <w:sz w:val="18"/>
              </w:rPr>
              <w:t>-</w:t>
            </w:r>
            <w:r>
              <w:rPr>
                <w:sz w:val="18"/>
              </w:rPr>
              <w:t>7</w:t>
            </w:r>
          </w:p>
        </w:tc>
        <w:tc>
          <w:tcPr>
            <w:tcW w:w="978" w:type="pct"/>
            <w:shd w:val="clear" w:color="auto" w:fill="FFFFFF" w:themeFill="background1"/>
            <w:hideMark/>
          </w:tcPr>
          <w:p w14:paraId="6FB47910" w14:textId="77777777" w:rsidR="001433A1" w:rsidRPr="009B2611" w:rsidRDefault="001433A1" w:rsidP="007E352A">
            <w:pPr>
              <w:spacing w:after="0" w:line="240" w:lineRule="auto"/>
              <w:ind w:right="57"/>
              <w:jc w:val="right"/>
              <w:rPr>
                <w:sz w:val="18"/>
              </w:rPr>
            </w:pPr>
            <w:r w:rsidRPr="00A2188F">
              <w:t>-4</w:t>
            </w:r>
          </w:p>
        </w:tc>
      </w:tr>
      <w:tr w:rsidR="001433A1" w:rsidRPr="009B2611" w14:paraId="6AEE7435" w14:textId="77777777" w:rsidTr="001433A1">
        <w:tc>
          <w:tcPr>
            <w:tcW w:w="1189" w:type="pct"/>
            <w:shd w:val="clear" w:color="auto" w:fill="FFFFFF" w:themeFill="background1"/>
            <w:hideMark/>
          </w:tcPr>
          <w:p w14:paraId="6F5916A6" w14:textId="77777777" w:rsidR="001433A1" w:rsidRPr="009B2611" w:rsidRDefault="001433A1" w:rsidP="001433A1">
            <w:pPr>
              <w:spacing w:after="0" w:line="240" w:lineRule="auto"/>
              <w:rPr>
                <w:b/>
                <w:sz w:val="18"/>
              </w:rPr>
            </w:pPr>
            <w:r>
              <w:rPr>
                <w:b/>
                <w:sz w:val="18"/>
              </w:rPr>
              <w:t>Weighted</w:t>
            </w:r>
            <w:r w:rsidRPr="009B2611">
              <w:rPr>
                <w:b/>
                <w:sz w:val="18"/>
              </w:rPr>
              <w:t xml:space="preserve"> score</w:t>
            </w:r>
          </w:p>
        </w:tc>
        <w:tc>
          <w:tcPr>
            <w:tcW w:w="978" w:type="pct"/>
            <w:shd w:val="clear" w:color="auto" w:fill="FFFFFF" w:themeFill="background1"/>
            <w:hideMark/>
          </w:tcPr>
          <w:p w14:paraId="47C6D704" w14:textId="77777777" w:rsidR="001433A1" w:rsidRPr="009B2611" w:rsidRDefault="001433A1" w:rsidP="007E352A">
            <w:pPr>
              <w:spacing w:after="0" w:line="240" w:lineRule="auto"/>
              <w:ind w:right="57"/>
              <w:jc w:val="right"/>
              <w:rPr>
                <w:b/>
                <w:sz w:val="18"/>
              </w:rPr>
            </w:pPr>
            <w:r w:rsidRPr="003257DD">
              <w:rPr>
                <w:b/>
              </w:rPr>
              <w:t>+4.3</w:t>
            </w:r>
          </w:p>
        </w:tc>
        <w:tc>
          <w:tcPr>
            <w:tcW w:w="878" w:type="pct"/>
            <w:shd w:val="clear" w:color="auto" w:fill="FFFFFF" w:themeFill="background1"/>
            <w:hideMark/>
          </w:tcPr>
          <w:p w14:paraId="32337FE8" w14:textId="77777777" w:rsidR="001433A1" w:rsidRPr="009B2611" w:rsidRDefault="001433A1" w:rsidP="007E352A">
            <w:pPr>
              <w:spacing w:after="0" w:line="240" w:lineRule="auto"/>
              <w:ind w:right="57"/>
              <w:jc w:val="right"/>
              <w:rPr>
                <w:b/>
                <w:sz w:val="18"/>
              </w:rPr>
            </w:pPr>
            <w:r w:rsidRPr="003257DD">
              <w:rPr>
                <w:b/>
              </w:rPr>
              <w:t>+5.0</w:t>
            </w:r>
          </w:p>
        </w:tc>
        <w:tc>
          <w:tcPr>
            <w:tcW w:w="978" w:type="pct"/>
            <w:shd w:val="clear" w:color="auto" w:fill="FFFFFF" w:themeFill="background1"/>
            <w:hideMark/>
          </w:tcPr>
          <w:p w14:paraId="7CBEBDBF" w14:textId="77777777" w:rsidR="001433A1" w:rsidRPr="009B2611" w:rsidRDefault="001433A1" w:rsidP="007E352A">
            <w:pPr>
              <w:spacing w:after="0" w:line="240" w:lineRule="auto"/>
              <w:ind w:right="57"/>
              <w:jc w:val="right"/>
              <w:rPr>
                <w:b/>
                <w:sz w:val="18"/>
              </w:rPr>
            </w:pPr>
            <w:r w:rsidRPr="003257DD">
              <w:rPr>
                <w:b/>
              </w:rPr>
              <w:t>+</w:t>
            </w:r>
            <w:r>
              <w:rPr>
                <w:b/>
              </w:rPr>
              <w:t>4.2</w:t>
            </w:r>
          </w:p>
        </w:tc>
        <w:tc>
          <w:tcPr>
            <w:tcW w:w="978" w:type="pct"/>
            <w:shd w:val="clear" w:color="auto" w:fill="FFFFFF" w:themeFill="background1"/>
            <w:hideMark/>
          </w:tcPr>
          <w:p w14:paraId="3C8239C1" w14:textId="77777777" w:rsidR="001433A1" w:rsidRPr="009B2611" w:rsidRDefault="001433A1" w:rsidP="007E352A">
            <w:pPr>
              <w:spacing w:after="0" w:line="240" w:lineRule="auto"/>
              <w:ind w:right="57"/>
              <w:jc w:val="right"/>
              <w:rPr>
                <w:b/>
                <w:sz w:val="18"/>
              </w:rPr>
            </w:pPr>
            <w:r w:rsidRPr="003257DD">
              <w:rPr>
                <w:b/>
              </w:rPr>
              <w:t>+3.</w:t>
            </w:r>
            <w:r>
              <w:rPr>
                <w:b/>
              </w:rPr>
              <w:t>4</w:t>
            </w:r>
          </w:p>
        </w:tc>
      </w:tr>
    </w:tbl>
    <w:p w14:paraId="58ECFFF3" w14:textId="77777777" w:rsidR="001433A1" w:rsidRPr="009B2611" w:rsidRDefault="001433A1" w:rsidP="001433A1"/>
    <w:p w14:paraId="1724004C" w14:textId="77777777" w:rsidR="001433A1" w:rsidRPr="009B2611" w:rsidRDefault="001433A1" w:rsidP="001433A1">
      <w:pPr>
        <w:pStyle w:val="Heading3"/>
        <w:ind w:left="720"/>
      </w:pPr>
      <w:bookmarkStart w:id="1932" w:name="_Ref16674199"/>
      <w:r w:rsidRPr="009B2611">
        <w:t xml:space="preserve">Pilot project licence applications </w:t>
      </w:r>
      <w:r w:rsidRPr="009B2611">
        <w:rPr>
          <w:rFonts w:cs="Segoe UI Light"/>
          <w:szCs w:val="20"/>
        </w:rPr>
        <w:t>(s50(1)(b))</w:t>
      </w:r>
      <w:bookmarkEnd w:id="1932"/>
    </w:p>
    <w:p w14:paraId="5B2C101E" w14:textId="77777777" w:rsidR="001433A1" w:rsidRPr="009B2611" w:rsidRDefault="001433A1" w:rsidP="001433A1">
      <w:r w:rsidRPr="009B2611">
        <w:t>Previously known as ‘Research, development and demonstration (</w:t>
      </w:r>
      <w:r w:rsidRPr="00785A28">
        <w:t xml:space="preserve">RD </w:t>
      </w:r>
      <w:r w:rsidRPr="007E352A">
        <w:t>&amp;</w:t>
      </w:r>
      <w:r w:rsidRPr="00785A28">
        <w:t xml:space="preserve"> D</w:t>
      </w:r>
      <w:r w:rsidRPr="009B2611">
        <w:t xml:space="preserve">) approvals’, pilot project licences are suited to projects that are generally limited in scale, duration and environmental impact compared to those projects requiring a development licence. There are approximately 5 applications a year. </w:t>
      </w:r>
    </w:p>
    <w:p w14:paraId="447324B1" w14:textId="77777777" w:rsidR="001433A1" w:rsidRPr="009B2611" w:rsidRDefault="001433A1" w:rsidP="001433A1">
      <w:r w:rsidRPr="009B2611">
        <w:t>The options considered for the MCA are set out below:</w:t>
      </w:r>
    </w:p>
    <w:p w14:paraId="10537352" w14:textId="77777777" w:rsidR="001433A1" w:rsidRPr="009B2611" w:rsidRDefault="001433A1" w:rsidP="001433A1">
      <w:pPr>
        <w:numPr>
          <w:ilvl w:val="0"/>
          <w:numId w:val="130"/>
        </w:numPr>
        <w:spacing w:after="170"/>
        <w:contextualSpacing/>
      </w:pPr>
      <w:r w:rsidRPr="009B2611">
        <w:rPr>
          <w:b/>
        </w:rPr>
        <w:t xml:space="preserve">Option 1: Flat fee </w:t>
      </w:r>
      <w:r w:rsidRPr="009B2611">
        <w:t>applied to all applicants. A flat fee is the current free structure for RD</w:t>
      </w:r>
      <w:r>
        <w:t xml:space="preserve"> </w:t>
      </w:r>
      <w:r w:rsidRPr="007E352A">
        <w:t>&amp;</w:t>
      </w:r>
      <w:r>
        <w:t xml:space="preserve"> </w:t>
      </w:r>
      <w:r w:rsidRPr="009B2611">
        <w:t>D approvals.</w:t>
      </w:r>
    </w:p>
    <w:p w14:paraId="6C7BBC2C" w14:textId="77777777" w:rsidR="001433A1" w:rsidRPr="009E0AEF" w:rsidRDefault="001433A1" w:rsidP="001433A1">
      <w:pPr>
        <w:numPr>
          <w:ilvl w:val="0"/>
          <w:numId w:val="130"/>
        </w:numPr>
        <w:contextualSpacing/>
      </w:pPr>
      <w:r w:rsidRPr="009B2611">
        <w:rPr>
          <w:b/>
        </w:rPr>
        <w:t xml:space="preserve">Option </w:t>
      </w:r>
      <w:r w:rsidRPr="009E0AEF">
        <w:rPr>
          <w:b/>
        </w:rPr>
        <w:t>2: Base fee plus an hourly rate</w:t>
      </w:r>
      <w:r w:rsidRPr="009E0AEF">
        <w:t xml:space="preserve"> for assessments exceeding 145.9 hours</w:t>
      </w:r>
      <w:r>
        <w:t xml:space="preserve"> </w:t>
      </w:r>
      <w:r w:rsidRPr="009E0AEF" w:rsidDel="001D43A0">
        <w:t>(the estimated minimum time required)</w:t>
      </w:r>
      <w:r w:rsidRPr="009E0AEF">
        <w:t>, up to a specified maximum fee (based on the estimated maximum time required).</w:t>
      </w:r>
    </w:p>
    <w:p w14:paraId="61EEC457" w14:textId="77777777" w:rsidR="001433A1" w:rsidRDefault="001433A1" w:rsidP="001433A1">
      <w:pPr>
        <w:rPr>
          <w:rFonts w:cs="Segoe UI Light"/>
          <w:szCs w:val="20"/>
        </w:rPr>
      </w:pPr>
    </w:p>
    <w:p w14:paraId="1FEF2E3A" w14:textId="7FDA72BB" w:rsidR="001433A1" w:rsidRPr="009E0AEF" w:rsidRDefault="001433A1" w:rsidP="001433A1">
      <w:pPr>
        <w:rPr>
          <w:rFonts w:cs="Segoe UI Light"/>
          <w:szCs w:val="20"/>
        </w:rPr>
      </w:pPr>
      <w:r w:rsidRPr="009E0AEF">
        <w:rPr>
          <w:rFonts w:cs="Segoe UI Light"/>
          <w:szCs w:val="20"/>
        </w:rPr>
        <w:t xml:space="preserve">A fee option based on works value, similar to the preferred fee for development licence applications, was not considered feasible for project pilot licences applications </w:t>
      </w:r>
      <w:r w:rsidRPr="007E352A">
        <w:rPr>
          <w:rFonts w:cs="Segoe UI Light"/>
          <w:szCs w:val="20"/>
        </w:rPr>
        <w:t>as</w:t>
      </w:r>
      <w:r>
        <w:rPr>
          <w:rFonts w:cs="Segoe UI Light"/>
          <w:szCs w:val="20"/>
        </w:rPr>
        <w:t xml:space="preserve"> </w:t>
      </w:r>
      <w:r w:rsidRPr="009E0AEF">
        <w:rPr>
          <w:rFonts w:cs="Segoe UI Light"/>
          <w:szCs w:val="20"/>
        </w:rPr>
        <w:t xml:space="preserve">works value is </w:t>
      </w:r>
      <w:r w:rsidRPr="00153F27">
        <w:rPr>
          <w:rFonts w:cs="Segoe UI Light"/>
          <w:szCs w:val="20"/>
        </w:rPr>
        <w:t xml:space="preserve">less relevant to pilot projects because </w:t>
      </w:r>
      <w:r w:rsidRPr="007E352A">
        <w:rPr>
          <w:rFonts w:cs="Segoe UI Light"/>
          <w:szCs w:val="20"/>
        </w:rPr>
        <w:t>the</w:t>
      </w:r>
      <w:r>
        <w:rPr>
          <w:rFonts w:cs="Segoe UI Light"/>
          <w:szCs w:val="20"/>
        </w:rPr>
        <w:t xml:space="preserve"> </w:t>
      </w:r>
      <w:r w:rsidRPr="00153F27">
        <w:rPr>
          <w:rFonts w:cs="Segoe UI Light"/>
          <w:szCs w:val="20"/>
        </w:rPr>
        <w:t xml:space="preserve">projects are at </w:t>
      </w:r>
      <w:r w:rsidR="00785A28">
        <w:rPr>
          <w:rFonts w:cs="Segoe UI Light"/>
          <w:szCs w:val="20"/>
        </w:rPr>
        <w:t xml:space="preserve">an </w:t>
      </w:r>
      <w:r w:rsidRPr="00153F27">
        <w:rPr>
          <w:rFonts w:cs="Segoe UI Light"/>
          <w:szCs w:val="20"/>
        </w:rPr>
        <w:t>early, more uncertain stage</w:t>
      </w:r>
      <w:r>
        <w:rPr>
          <w:rFonts w:cs="Segoe UI Light"/>
          <w:szCs w:val="20"/>
        </w:rPr>
        <w:t>.</w:t>
      </w:r>
    </w:p>
    <w:p w14:paraId="35CD1AC6" w14:textId="77777777" w:rsidR="001433A1" w:rsidRDefault="001433A1" w:rsidP="001433A1">
      <w:r w:rsidRPr="009E0AEF">
        <w:t xml:space="preserve">A tiered </w:t>
      </w:r>
      <w:r w:rsidRPr="007E352A">
        <w:t>fee</w:t>
      </w:r>
      <w:r>
        <w:t xml:space="preserve"> </w:t>
      </w:r>
      <w:r w:rsidRPr="009E0AEF">
        <w:t>structure was also considered, however given the poor</w:t>
      </w:r>
      <w:r w:rsidRPr="009B2611">
        <w:t xml:space="preserve"> data to support its calculation and the potential complexity in regard to the application process, this option was not considered feasible at this point in time. A tiered fee structure option could be considered in the future if more data becomes available.</w:t>
      </w:r>
    </w:p>
    <w:p w14:paraId="1888DE25" w14:textId="77777777" w:rsidR="001433A1" w:rsidRPr="009B2611" w:rsidRDefault="001433A1" w:rsidP="001433A1">
      <w:pPr>
        <w:spacing w:before="120"/>
      </w:pPr>
      <w:r>
        <w:t>Fee options based on other characteristics were also not considered for similar reasons.</w:t>
      </w:r>
    </w:p>
    <w:p w14:paraId="55BEFE77" w14:textId="77777777" w:rsidR="001433A1" w:rsidRPr="009B2611" w:rsidRDefault="001433A1" w:rsidP="001433A1">
      <w:r w:rsidRPr="007E352A">
        <w:fldChar w:fldCharType="begin"/>
      </w:r>
      <w:r w:rsidRPr="007E352A">
        <w:instrText xml:space="preserve"> REF _Ref10477804 \h  \* MERGEFORMAT </w:instrText>
      </w:r>
      <w:r w:rsidRPr="007E352A">
        <w:fldChar w:fldCharType="separate"/>
      </w:r>
      <w:r w:rsidRPr="007E352A" w:rsidDel="00B11C1E">
        <w:t>Table 16</w:t>
      </w:r>
      <w:r w:rsidRPr="007E352A" w:rsidDel="00B11C1E">
        <w:noBreakHyphen/>
        <w:t>7</w:t>
      </w:r>
      <w:r w:rsidRPr="007E352A">
        <w:fldChar w:fldCharType="end"/>
      </w:r>
      <w:r w:rsidRPr="007E352A">
        <w:t xml:space="preserve"> shows</w:t>
      </w:r>
      <w:r w:rsidRPr="00785A28">
        <w:t xml:space="preserve"> the modelled fees for </w:t>
      </w:r>
      <w:r w:rsidRPr="007E352A">
        <w:t>pilot project licence applications</w:t>
      </w:r>
      <w:r w:rsidRPr="00785A28">
        <w:t>.</w:t>
      </w:r>
    </w:p>
    <w:p w14:paraId="1B3510F2"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7</w:t>
      </w:r>
      <w:r>
        <w:rPr>
          <w:color w:val="75787B" w:themeColor="accent6"/>
          <w:sz w:val="17"/>
          <w:shd w:val="clear" w:color="auto" w:fill="E6E6E6"/>
        </w:rPr>
        <w:fldChar w:fldCharType="end"/>
      </w:r>
      <w:r w:rsidRPr="009B2611">
        <w:rPr>
          <w:iCs/>
          <w:color w:val="75787B" w:themeColor="accent6"/>
          <w:sz w:val="17"/>
        </w:rPr>
        <w:t>: Modelled Fees for pilot project licence applications</w:t>
      </w:r>
    </w:p>
    <w:tbl>
      <w:tblPr>
        <w:tblStyle w:val="Deloittetable"/>
        <w:tblW w:w="5000" w:type="pct"/>
        <w:tblLook w:val="04A0" w:firstRow="1" w:lastRow="0" w:firstColumn="1" w:lastColumn="0" w:noHBand="0" w:noVBand="1"/>
      </w:tblPr>
      <w:tblGrid>
        <w:gridCol w:w="3121"/>
        <w:gridCol w:w="3042"/>
        <w:gridCol w:w="3192"/>
      </w:tblGrid>
      <w:tr w:rsidR="001433A1" w:rsidRPr="009B2611" w14:paraId="222395A9" w14:textId="77777777" w:rsidTr="001433A1">
        <w:trPr>
          <w:cnfStyle w:val="100000000000" w:firstRow="1" w:lastRow="0" w:firstColumn="0" w:lastColumn="0" w:oddVBand="0" w:evenVBand="0" w:oddHBand="0" w:evenHBand="0" w:firstRowFirstColumn="0" w:firstRowLastColumn="0" w:lastRowFirstColumn="0" w:lastRowLastColumn="0"/>
          <w:trHeight w:val="462"/>
        </w:trPr>
        <w:tc>
          <w:tcPr>
            <w:tcW w:w="0" w:type="pct"/>
            <w:tcBorders>
              <w:left w:val="nil"/>
              <w:bottom w:val="single" w:sz="4" w:space="0" w:color="000000" w:themeColor="text1"/>
              <w:right w:val="nil"/>
            </w:tcBorders>
          </w:tcPr>
          <w:p w14:paraId="5DD7D51A" w14:textId="77777777" w:rsidR="001433A1" w:rsidRPr="00153F27" w:rsidRDefault="001433A1" w:rsidP="001433A1">
            <w:pPr>
              <w:spacing w:line="440" w:lineRule="atLeast"/>
              <w:rPr>
                <w:b/>
                <w:sz w:val="18"/>
              </w:rPr>
            </w:pPr>
          </w:p>
        </w:tc>
        <w:tc>
          <w:tcPr>
            <w:tcW w:w="0" w:type="pct"/>
            <w:tcBorders>
              <w:left w:val="nil"/>
              <w:bottom w:val="single" w:sz="4" w:space="0" w:color="000000" w:themeColor="text1"/>
              <w:right w:val="nil"/>
            </w:tcBorders>
            <w:hideMark/>
          </w:tcPr>
          <w:p w14:paraId="3C172155" w14:textId="77777777" w:rsidR="001433A1" w:rsidRPr="0008747D" w:rsidRDefault="001433A1" w:rsidP="001433A1">
            <w:pPr>
              <w:spacing w:line="240" w:lineRule="auto"/>
              <w:rPr>
                <w:sz w:val="18"/>
              </w:rPr>
            </w:pPr>
            <w:r w:rsidRPr="00153F27">
              <w:rPr>
                <w:b/>
                <w:sz w:val="18"/>
              </w:rPr>
              <w:t xml:space="preserve">Option 1: </w:t>
            </w:r>
            <w:r w:rsidRPr="00544137">
              <w:rPr>
                <w:sz w:val="18"/>
              </w:rPr>
              <w:t>Flat fee</w:t>
            </w:r>
          </w:p>
        </w:tc>
        <w:tc>
          <w:tcPr>
            <w:tcW w:w="0" w:type="pct"/>
            <w:tcBorders>
              <w:left w:val="nil"/>
              <w:bottom w:val="single" w:sz="4" w:space="0" w:color="000000" w:themeColor="text1"/>
              <w:right w:val="nil"/>
            </w:tcBorders>
            <w:hideMark/>
          </w:tcPr>
          <w:p w14:paraId="5E66A061" w14:textId="77777777" w:rsidR="001433A1" w:rsidRPr="0008747D" w:rsidRDefault="001433A1" w:rsidP="001433A1">
            <w:pPr>
              <w:spacing w:line="240" w:lineRule="auto"/>
              <w:rPr>
                <w:sz w:val="18"/>
              </w:rPr>
            </w:pPr>
            <w:r w:rsidRPr="00153F27">
              <w:rPr>
                <w:b/>
                <w:sz w:val="18"/>
              </w:rPr>
              <w:t>Option 2:</w:t>
            </w:r>
            <w:r w:rsidRPr="0008747D">
              <w:rPr>
                <w:sz w:val="18"/>
              </w:rPr>
              <w:t xml:space="preserve"> </w:t>
            </w:r>
            <w:r w:rsidRPr="00544137">
              <w:rPr>
                <w:sz w:val="18"/>
              </w:rPr>
              <w:t>Base fee plus hourly rate</w:t>
            </w:r>
          </w:p>
        </w:tc>
      </w:tr>
      <w:tr w:rsidR="001433A1" w:rsidRPr="009B2611" w14:paraId="5B27CF51" w14:textId="77777777" w:rsidTr="001433A1">
        <w:trPr>
          <w:trHeight w:val="899"/>
        </w:trPr>
        <w:tc>
          <w:tcPr>
            <w:tcW w:w="0" w:type="pct"/>
            <w:tcBorders>
              <w:top w:val="single" w:sz="4" w:space="0" w:color="000000" w:themeColor="text1"/>
              <w:left w:val="nil"/>
              <w:bottom w:val="single" w:sz="4" w:space="0" w:color="000000" w:themeColor="text1"/>
              <w:right w:val="nil"/>
            </w:tcBorders>
            <w:hideMark/>
          </w:tcPr>
          <w:p w14:paraId="4A3147DD" w14:textId="77777777" w:rsidR="001433A1" w:rsidRPr="009B2611" w:rsidRDefault="001433A1" w:rsidP="001433A1">
            <w:pPr>
              <w:spacing w:line="240" w:lineRule="auto"/>
              <w:rPr>
                <w:sz w:val="18"/>
              </w:rPr>
            </w:pPr>
            <w:r w:rsidRPr="009B2611">
              <w:rPr>
                <w:sz w:val="18"/>
              </w:rPr>
              <w:t>Application fee</w:t>
            </w:r>
          </w:p>
        </w:tc>
        <w:tc>
          <w:tcPr>
            <w:tcW w:w="0" w:type="pct"/>
            <w:tcBorders>
              <w:top w:val="single" w:sz="4" w:space="0" w:color="000000" w:themeColor="text1"/>
              <w:left w:val="nil"/>
              <w:bottom w:val="single" w:sz="4" w:space="0" w:color="000000" w:themeColor="text1"/>
              <w:right w:val="nil"/>
            </w:tcBorders>
            <w:hideMark/>
          </w:tcPr>
          <w:p w14:paraId="5F9ED076" w14:textId="77777777" w:rsidR="001433A1" w:rsidRDefault="001433A1" w:rsidP="001433A1">
            <w:pPr>
              <w:spacing w:after="0" w:line="240" w:lineRule="auto"/>
              <w:rPr>
                <w:sz w:val="18"/>
              </w:rPr>
            </w:pPr>
            <w:r>
              <w:rPr>
                <w:sz w:val="18"/>
              </w:rPr>
              <w:t xml:space="preserve">$24,658.11 </w:t>
            </w:r>
          </w:p>
          <w:p w14:paraId="6AB01D46" w14:textId="77777777" w:rsidR="001433A1" w:rsidRPr="009B2611" w:rsidRDefault="001433A1" w:rsidP="001433A1">
            <w:pPr>
              <w:spacing w:line="240" w:lineRule="auto"/>
              <w:rPr>
                <w:sz w:val="18"/>
              </w:rPr>
            </w:pPr>
            <w:r>
              <w:rPr>
                <w:sz w:val="18"/>
              </w:rPr>
              <w:t xml:space="preserve">(1706.44 fee units) </w:t>
            </w:r>
          </w:p>
        </w:tc>
        <w:tc>
          <w:tcPr>
            <w:tcW w:w="0" w:type="pct"/>
            <w:tcBorders>
              <w:top w:val="single" w:sz="4" w:space="0" w:color="000000" w:themeColor="text1"/>
              <w:left w:val="nil"/>
              <w:bottom w:val="single" w:sz="4" w:space="0" w:color="000000" w:themeColor="text1"/>
              <w:right w:val="nil"/>
            </w:tcBorders>
            <w:hideMark/>
          </w:tcPr>
          <w:p w14:paraId="0160018A" w14:textId="77777777" w:rsidR="001433A1" w:rsidRPr="009B2611" w:rsidRDefault="001433A1" w:rsidP="001433A1">
            <w:pPr>
              <w:spacing w:line="240" w:lineRule="auto"/>
              <w:rPr>
                <w:sz w:val="18"/>
              </w:rPr>
            </w:pPr>
            <w:r>
              <w:rPr>
                <w:sz w:val="18"/>
              </w:rPr>
              <w:t>Base fee of $15,134.79 (1,047.39 fee units) plus $103.75 (7.18 fee units) per hour for assessments exceeding 145.9 hours, up to a maximum of $34,118.04 (2,361.11 fee units)</w:t>
            </w:r>
          </w:p>
        </w:tc>
      </w:tr>
    </w:tbl>
    <w:p w14:paraId="21493B82" w14:textId="77777777" w:rsidR="001433A1" w:rsidRPr="009B2611" w:rsidRDefault="001433A1" w:rsidP="001433A1">
      <w:pPr>
        <w:rPr>
          <w:sz w:val="18"/>
        </w:rPr>
      </w:pPr>
      <w:r w:rsidRPr="009B2611">
        <w:rPr>
          <w:sz w:val="18"/>
        </w:rPr>
        <w:t xml:space="preserve">Note: Fees are based on EPA estimates for the time taken and costs involved with completing administrative processes and compliance and enforcement activities. See Appendices </w:t>
      </w:r>
      <w:r>
        <w:rPr>
          <w:sz w:val="18"/>
        </w:rPr>
        <w:t>6-</w:t>
      </w:r>
      <w:r w:rsidRPr="007E352A">
        <w:rPr>
          <w:sz w:val="18"/>
        </w:rPr>
        <w:t>9</w:t>
      </w:r>
      <w:r w:rsidRPr="009B2611">
        <w:rPr>
          <w:sz w:val="18"/>
        </w:rPr>
        <w:t xml:space="preserve"> for more information. </w:t>
      </w:r>
      <w:r>
        <w:rPr>
          <w:sz w:val="18"/>
        </w:rPr>
        <w:t>Fee units are given in 2018-19 fee unit values.</w:t>
      </w:r>
    </w:p>
    <w:p w14:paraId="117CAA71" w14:textId="77777777" w:rsidR="001433A1" w:rsidRPr="009B2611" w:rsidRDefault="001433A1" w:rsidP="001433A1">
      <w:pPr>
        <w:pStyle w:val="Heading4un-numbered"/>
      </w:pPr>
      <w:r w:rsidRPr="009B2611">
        <w:t>Option 1: Flat fee</w:t>
      </w:r>
    </w:p>
    <w:p w14:paraId="76A37E13" w14:textId="77777777" w:rsidR="001433A1" w:rsidRPr="00B777B3" w:rsidRDefault="001433A1" w:rsidP="001433A1">
      <w:pPr>
        <w:spacing w:after="0"/>
        <w:rPr>
          <w:i/>
        </w:rPr>
      </w:pPr>
      <w:r w:rsidRPr="00B777B3">
        <w:rPr>
          <w:i/>
        </w:rPr>
        <w:t>Cost reflectivity</w:t>
      </w:r>
    </w:p>
    <w:p w14:paraId="7928949D" w14:textId="77777777" w:rsidR="001433A1" w:rsidRDefault="001433A1" w:rsidP="001433A1">
      <w:r w:rsidRPr="009B2611">
        <w:t xml:space="preserve">As is the case for all the options considered here, a score of +10 </w:t>
      </w:r>
      <w:r>
        <w:t xml:space="preserve">is given for cost reflectivity </w:t>
      </w:r>
      <w:r w:rsidRPr="009B2611">
        <w:t xml:space="preserve">as all costs are recovered. </w:t>
      </w:r>
    </w:p>
    <w:p w14:paraId="24DA32AA" w14:textId="77777777" w:rsidR="001433A1" w:rsidRPr="00037AF8" w:rsidRDefault="001433A1" w:rsidP="001433A1">
      <w:pPr>
        <w:spacing w:after="0"/>
        <w:rPr>
          <w:i/>
        </w:rPr>
      </w:pPr>
      <w:r>
        <w:rPr>
          <w:i/>
        </w:rPr>
        <w:t>Equity</w:t>
      </w:r>
    </w:p>
    <w:p w14:paraId="61D65F53" w14:textId="77777777" w:rsidR="001433A1" w:rsidRDefault="001433A1" w:rsidP="001433A1">
      <w:r w:rsidRPr="009B2611">
        <w:t>Given all applicants are charged the same fee, costs are not well targeted at the particular parties that give rise to them. Additionally, a flat fee on balance does not account for ability to pay, with smaller applicants charged the same as larger applicants. In this case it presents a significant barrier to entry for smaller projects. A score of +3 is given.</w:t>
      </w:r>
    </w:p>
    <w:p w14:paraId="7813DC80" w14:textId="77777777" w:rsidR="001433A1" w:rsidRPr="009B2611" w:rsidRDefault="001433A1" w:rsidP="001433A1">
      <w:pPr>
        <w:spacing w:after="0"/>
      </w:pPr>
      <w:r>
        <w:rPr>
          <w:i/>
        </w:rPr>
        <w:t>Simple and easy to understand and administer</w:t>
      </w:r>
    </w:p>
    <w:p w14:paraId="2CFF032D" w14:textId="77777777" w:rsidR="001433A1" w:rsidRPr="009B2611" w:rsidRDefault="001433A1" w:rsidP="001433A1">
      <w:r w:rsidRPr="009B2611">
        <w:t>In many ways this option will be very simple and easy to</w:t>
      </w:r>
      <w:r>
        <w:t xml:space="preserve"> understand and</w:t>
      </w:r>
      <w:r w:rsidRPr="009B2611">
        <w:t xml:space="preserve"> administer, as all applicants are charged the same fee, and know the fee in advance when submitting their application</w:t>
      </w:r>
      <w:r>
        <w:t>. However, a flat fee may create a barrier to entry for smaller projects</w:t>
      </w:r>
      <w:r w:rsidRPr="009B2611">
        <w:t>. A score of -3 is given.</w:t>
      </w:r>
    </w:p>
    <w:p w14:paraId="4E29A5BF" w14:textId="77777777" w:rsidR="001433A1" w:rsidRPr="009B2611" w:rsidRDefault="001433A1" w:rsidP="001433A1">
      <w:pPr>
        <w:pStyle w:val="Heading4un-numbered"/>
      </w:pPr>
      <w:r w:rsidRPr="009B2611">
        <w:t>Option 2: Base fee plus hourly rate</w:t>
      </w:r>
    </w:p>
    <w:p w14:paraId="2EC86668" w14:textId="77777777" w:rsidR="001433A1" w:rsidRPr="00037AF8" w:rsidRDefault="001433A1" w:rsidP="001433A1">
      <w:pPr>
        <w:spacing w:after="0"/>
        <w:rPr>
          <w:i/>
        </w:rPr>
      </w:pPr>
      <w:r>
        <w:rPr>
          <w:i/>
        </w:rPr>
        <w:t>Equity</w:t>
      </w:r>
    </w:p>
    <w:p w14:paraId="590D6B56" w14:textId="77777777" w:rsidR="001433A1" w:rsidRPr="009B2611" w:rsidRDefault="001433A1" w:rsidP="001433A1">
      <w:r w:rsidRPr="009B2611">
        <w:t xml:space="preserve">In terms of equity, the variable fee option scores higher than a flat fee given fees more closely reflect costs </w:t>
      </w:r>
      <w:r>
        <w:t>associated with particular parties (horizontal equity)</w:t>
      </w:r>
      <w:r w:rsidRPr="009B2611">
        <w:t>. However, ability to pay may be reduced for smaller applicants since smaller projects with complex applications can potentially be charged very high fees compared to a flat fee</w:t>
      </w:r>
      <w:r>
        <w:t xml:space="preserve"> (vertical equity)</w:t>
      </w:r>
      <w:r w:rsidRPr="009B2611">
        <w:t>. These high fees may impose a barrier on smaller businesses to invest and innovate</w:t>
      </w:r>
      <w:r>
        <w:t>. While in some other industries it is sometimes considered desirable to discourage too many small businesses from operating (e.g. due to concerns about not being able to control for health and safety risks across a large, highly dispersed group of businesses), this is not considered an issue for project pilot activities. Only a small number of project pilot licence applications are made each year, which EPA is able to manage administratively and monitor ongoing as required, and EPA does not wish to discourage innovation from small businesses so long as it occurs within the permissions framework where appropriate.</w:t>
      </w:r>
      <w:r w:rsidRPr="009B2611">
        <w:t xml:space="preserve"> A score of +</w:t>
      </w:r>
      <w:r>
        <w:t>7</w:t>
      </w:r>
      <w:r w:rsidRPr="009B2611">
        <w:t xml:space="preserve"> is given.</w:t>
      </w:r>
    </w:p>
    <w:p w14:paraId="72DBADFC" w14:textId="77777777" w:rsidR="001433A1" w:rsidRPr="00037AF8" w:rsidRDefault="001433A1" w:rsidP="001433A1">
      <w:pPr>
        <w:spacing w:after="0"/>
        <w:rPr>
          <w:i/>
        </w:rPr>
      </w:pPr>
      <w:r>
        <w:rPr>
          <w:i/>
        </w:rPr>
        <w:t>Simple and easy to understand and administer</w:t>
      </w:r>
    </w:p>
    <w:p w14:paraId="70AEA464" w14:textId="0C419515" w:rsidR="001433A1" w:rsidRPr="009B2611" w:rsidRDefault="001433A1" w:rsidP="001433A1">
      <w:r w:rsidRPr="009B2611">
        <w:t xml:space="preserve">This option is complex to administer, as it requires an administrative system in place to record the time spent on each application. </w:t>
      </w:r>
      <w:r>
        <w:t xml:space="preserve">As noted in the MCA discussions in section </w:t>
      </w:r>
      <w:r w:rsidR="00785A28">
        <w:fldChar w:fldCharType="begin"/>
      </w:r>
      <w:r w:rsidR="00785A28">
        <w:instrText xml:space="preserve"> REF _Ref16613090 \r \h </w:instrText>
      </w:r>
      <w:r w:rsidR="00785A28">
        <w:fldChar w:fldCharType="separate"/>
      </w:r>
      <w:r w:rsidR="00B11C1E">
        <w:t>16.8.3</w:t>
      </w:r>
      <w:r w:rsidR="00785A28">
        <w:fldChar w:fldCharType="end"/>
      </w:r>
      <w:r>
        <w:t>, d</w:t>
      </w:r>
      <w:r w:rsidRPr="009B2611">
        <w:t xml:space="preserve">espite some areas of </w:t>
      </w:r>
      <w:r>
        <w:t>EPA</w:t>
      </w:r>
      <w:r w:rsidRPr="009B2611">
        <w:t xml:space="preserve"> currently record</w:t>
      </w:r>
      <w:r>
        <w:t>ing</w:t>
      </w:r>
      <w:r w:rsidRPr="009B2611">
        <w:t xml:space="preserve"> assessment time, this is a significant cultural change and will impose significant costs in terms of time and IT</w:t>
      </w:r>
      <w:r>
        <w:t xml:space="preserve"> systems</w:t>
      </w:r>
      <w:r w:rsidRPr="009B2611">
        <w:t>. Give</w:t>
      </w:r>
      <w:r>
        <w:t>n there are only an estimated 5</w:t>
      </w:r>
      <w:r w:rsidRPr="009B2611">
        <w:t xml:space="preserve"> applications a year, it may be manageable. There might also be a cost saving because, given higher quality applications take less time to administer than low</w:t>
      </w:r>
      <w:r>
        <w:t>er</w:t>
      </w:r>
      <w:r w:rsidRPr="009B2611">
        <w:t xml:space="preserve"> quality ones, communicating this to applicants and charging applicants based on </w:t>
      </w:r>
      <w:r>
        <w:t>processing time</w:t>
      </w:r>
      <w:r w:rsidRPr="009B2611">
        <w:t xml:space="preserve"> gives them an incentive to submit high</w:t>
      </w:r>
      <w:r>
        <w:t>er</w:t>
      </w:r>
      <w:r w:rsidRPr="009B2611">
        <w:t xml:space="preserve"> quality applications. On the other hand, the </w:t>
      </w:r>
      <w:r>
        <w:t xml:space="preserve">very </w:t>
      </w:r>
      <w:r w:rsidRPr="009B2611">
        <w:t xml:space="preserve">small number of applications might not justify the cost of implementing such an option. An additional drawback to this option is that applicants would </w:t>
      </w:r>
      <w:r>
        <w:t>not</w:t>
      </w:r>
      <w:r w:rsidRPr="009B2611">
        <w:t xml:space="preserve"> know the fee in advance</w:t>
      </w:r>
      <w:r>
        <w:t xml:space="preserve">. </w:t>
      </w:r>
      <w:r w:rsidRPr="009B2611">
        <w:t>A score of -7 is given.</w:t>
      </w:r>
    </w:p>
    <w:p w14:paraId="76E5764D" w14:textId="77777777" w:rsidR="001433A1" w:rsidRPr="00785A28" w:rsidRDefault="001433A1" w:rsidP="001433A1">
      <w:pPr>
        <w:pStyle w:val="Heading4un-numbered"/>
      </w:pPr>
      <w:r w:rsidRPr="00785A28">
        <w:t>MCA</w:t>
      </w:r>
      <w:r w:rsidRPr="007E352A">
        <w:t xml:space="preserve"> summary and p</w:t>
      </w:r>
      <w:r w:rsidRPr="00785A28">
        <w:t xml:space="preserve">referred option – </w:t>
      </w:r>
      <w:r w:rsidRPr="007E352A">
        <w:t>Base fee plus hourly rate</w:t>
      </w:r>
    </w:p>
    <w:p w14:paraId="5BF8706A" w14:textId="66430369" w:rsidR="001433A1" w:rsidRPr="009B2611" w:rsidRDefault="001433A1" w:rsidP="001433A1">
      <w:pPr>
        <w:rPr>
          <w:sz w:val="16"/>
          <w:szCs w:val="16"/>
        </w:rPr>
      </w:pPr>
      <w:r w:rsidRPr="009B2611">
        <w:t xml:space="preserve">The results of the MCA are summarised </w:t>
      </w:r>
      <w:r w:rsidR="00F91176">
        <w:t xml:space="preserve">in </w:t>
      </w:r>
      <w:r w:rsidR="00F91176">
        <w:rPr>
          <w:iCs/>
          <w:szCs w:val="20"/>
        </w:rPr>
        <w:fldChar w:fldCharType="begin"/>
      </w:r>
      <w:r w:rsidR="00F91176">
        <w:rPr>
          <w:iCs/>
          <w:szCs w:val="20"/>
        </w:rPr>
        <w:instrText xml:space="preserve"> REF _Ref10477780 \h  \* MERGEFORMAT </w:instrText>
      </w:r>
      <w:r w:rsidR="00F91176">
        <w:rPr>
          <w:iCs/>
          <w:szCs w:val="20"/>
        </w:rPr>
      </w:r>
      <w:r w:rsidR="00F91176">
        <w:rPr>
          <w:iCs/>
          <w:szCs w:val="20"/>
        </w:rPr>
        <w:fldChar w:fldCharType="separate"/>
      </w:r>
      <w:r w:rsidR="00F91176" w:rsidRPr="00037AF8">
        <w:rPr>
          <w:iCs/>
          <w:szCs w:val="20"/>
        </w:rPr>
        <w:t>Table 16</w:t>
      </w:r>
      <w:r w:rsidR="00F91176" w:rsidRPr="00037AF8">
        <w:rPr>
          <w:iCs/>
          <w:szCs w:val="20"/>
        </w:rPr>
        <w:noBreakHyphen/>
        <w:t>8</w:t>
      </w:r>
      <w:r w:rsidR="00F91176">
        <w:rPr>
          <w:iCs/>
          <w:szCs w:val="20"/>
        </w:rPr>
        <w:fldChar w:fldCharType="end"/>
      </w:r>
      <w:r w:rsidR="00F91176">
        <w:t xml:space="preserve"> </w:t>
      </w:r>
      <w:r>
        <w:t>below</w:t>
      </w:r>
      <w:r w:rsidRPr="009B2611">
        <w:t>. The variable fee o</w:t>
      </w:r>
      <w:r w:rsidRPr="00785A28">
        <w:t xml:space="preserve">ption </w:t>
      </w:r>
      <w:r w:rsidRPr="007E352A">
        <w:t>(Option 2)</w:t>
      </w:r>
      <w:r>
        <w:t xml:space="preserve"> </w:t>
      </w:r>
      <w:r w:rsidRPr="009B2611">
        <w:t xml:space="preserve">scores </w:t>
      </w:r>
      <w:r>
        <w:t xml:space="preserve">slightly </w:t>
      </w:r>
      <w:r w:rsidRPr="009B2611">
        <w:t xml:space="preserve">higher than the flat fee </w:t>
      </w:r>
      <w:r w:rsidRPr="00785A28">
        <w:t xml:space="preserve">option </w:t>
      </w:r>
      <w:r w:rsidRPr="007E352A">
        <w:t>(Option 1)</w:t>
      </w:r>
      <w:r w:rsidRPr="009B2611">
        <w:t xml:space="preserve"> largely due to it being far more equitable.</w:t>
      </w:r>
      <w:r>
        <w:t xml:space="preserve"> However, the scores are very close. This means that the </w:t>
      </w:r>
      <w:r w:rsidRPr="00494019">
        <w:t xml:space="preserve">rankings could change with a </w:t>
      </w:r>
      <w:r>
        <w:t>small</w:t>
      </w:r>
      <w:r w:rsidRPr="00494019">
        <w:t xml:space="preserve"> difference</w:t>
      </w:r>
      <w:r>
        <w:t xml:space="preserve"> in</w:t>
      </w:r>
      <w:r w:rsidRPr="00494019">
        <w:t xml:space="preserve"> </w:t>
      </w:r>
      <w:r>
        <w:t>scoring</w:t>
      </w:r>
      <w:r w:rsidRPr="00494019">
        <w:t>,</w:t>
      </w:r>
      <w:r>
        <w:t xml:space="preserve"> or weighting of criteria.</w:t>
      </w:r>
    </w:p>
    <w:p w14:paraId="6D9EF10C" w14:textId="27468F73"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8</w:t>
      </w:r>
      <w:r>
        <w:rPr>
          <w:color w:val="75787B" w:themeColor="accent6"/>
          <w:sz w:val="17"/>
          <w:shd w:val="clear" w:color="auto" w:fill="E6E6E6"/>
        </w:rPr>
        <w:fldChar w:fldCharType="end"/>
      </w:r>
      <w:r w:rsidRPr="009B2611">
        <w:rPr>
          <w:iCs/>
          <w:color w:val="75787B" w:themeColor="accent6"/>
          <w:sz w:val="17"/>
        </w:rPr>
        <w:t>: Pilot project licence applications: MCA results</w:t>
      </w:r>
    </w:p>
    <w:tbl>
      <w:tblPr>
        <w:tblStyle w:val="Deloittetable"/>
        <w:tblW w:w="9582" w:type="dxa"/>
        <w:tblLook w:val="04A0" w:firstRow="1" w:lastRow="0" w:firstColumn="1" w:lastColumn="0" w:noHBand="0" w:noVBand="1"/>
      </w:tblPr>
      <w:tblGrid>
        <w:gridCol w:w="3969"/>
        <w:gridCol w:w="2835"/>
        <w:gridCol w:w="2778"/>
      </w:tblGrid>
      <w:tr w:rsidR="001433A1" w:rsidRPr="009B2611" w14:paraId="516A82C7" w14:textId="77777777" w:rsidTr="007E352A">
        <w:trPr>
          <w:cnfStyle w:val="100000000000" w:firstRow="1" w:lastRow="0" w:firstColumn="0" w:lastColumn="0" w:oddVBand="0" w:evenVBand="0" w:oddHBand="0" w:evenHBand="0" w:firstRowFirstColumn="0" w:firstRowLastColumn="0" w:lastRowFirstColumn="0" w:lastRowLastColumn="0"/>
          <w:trHeight w:val="424"/>
          <w:tblHeader/>
        </w:trPr>
        <w:tc>
          <w:tcPr>
            <w:tcW w:w="3969" w:type="dxa"/>
          </w:tcPr>
          <w:p w14:paraId="05924CAE" w14:textId="77777777" w:rsidR="001433A1" w:rsidRPr="009B2611" w:rsidRDefault="001433A1" w:rsidP="001433A1">
            <w:pPr>
              <w:spacing w:line="240" w:lineRule="auto"/>
              <w:rPr>
                <w:sz w:val="18"/>
              </w:rPr>
            </w:pPr>
          </w:p>
        </w:tc>
        <w:tc>
          <w:tcPr>
            <w:tcW w:w="2835" w:type="dxa"/>
            <w:hideMark/>
          </w:tcPr>
          <w:p w14:paraId="5894514D" w14:textId="77777777" w:rsidR="001433A1" w:rsidRPr="0008747D" w:rsidRDefault="001433A1" w:rsidP="007E352A">
            <w:pPr>
              <w:spacing w:line="240" w:lineRule="auto"/>
              <w:ind w:right="57"/>
              <w:jc w:val="right"/>
              <w:rPr>
                <w:b/>
                <w:sz w:val="18"/>
              </w:rPr>
            </w:pPr>
            <w:r w:rsidRPr="0008747D">
              <w:rPr>
                <w:b/>
                <w:sz w:val="18"/>
              </w:rPr>
              <w:t xml:space="preserve">Option 1: </w:t>
            </w:r>
          </w:p>
          <w:p w14:paraId="4CFFE99D" w14:textId="77777777" w:rsidR="001433A1" w:rsidRPr="00153F27" w:rsidRDefault="001433A1" w:rsidP="007E352A">
            <w:pPr>
              <w:spacing w:line="240" w:lineRule="auto"/>
              <w:ind w:right="57"/>
              <w:jc w:val="right"/>
              <w:rPr>
                <w:sz w:val="18"/>
              </w:rPr>
            </w:pPr>
            <w:r w:rsidRPr="00153F27">
              <w:rPr>
                <w:sz w:val="18"/>
              </w:rPr>
              <w:t>Flat fee</w:t>
            </w:r>
          </w:p>
        </w:tc>
        <w:tc>
          <w:tcPr>
            <w:tcW w:w="2778" w:type="dxa"/>
            <w:hideMark/>
          </w:tcPr>
          <w:p w14:paraId="10B2026E" w14:textId="77777777" w:rsidR="001433A1" w:rsidRPr="0008747D" w:rsidRDefault="001433A1" w:rsidP="007E352A">
            <w:pPr>
              <w:spacing w:line="240" w:lineRule="auto"/>
              <w:ind w:right="57"/>
              <w:jc w:val="right"/>
              <w:rPr>
                <w:b/>
                <w:sz w:val="18"/>
              </w:rPr>
            </w:pPr>
            <w:r w:rsidRPr="0008747D">
              <w:rPr>
                <w:b/>
                <w:sz w:val="18"/>
              </w:rPr>
              <w:t xml:space="preserve">Option 2: </w:t>
            </w:r>
          </w:p>
          <w:p w14:paraId="1813FA00" w14:textId="77777777" w:rsidR="001433A1" w:rsidRPr="00153F27" w:rsidRDefault="001433A1" w:rsidP="007E352A">
            <w:pPr>
              <w:spacing w:line="240" w:lineRule="auto"/>
              <w:ind w:right="57"/>
              <w:jc w:val="right"/>
              <w:rPr>
                <w:sz w:val="18"/>
              </w:rPr>
            </w:pPr>
            <w:r w:rsidRPr="00153F27">
              <w:rPr>
                <w:sz w:val="18"/>
              </w:rPr>
              <w:t>Base fee plus hourly rate</w:t>
            </w:r>
          </w:p>
        </w:tc>
      </w:tr>
      <w:tr w:rsidR="001433A1" w:rsidRPr="009B2611" w14:paraId="61A3F3E2" w14:textId="77777777" w:rsidTr="007E352A">
        <w:trPr>
          <w:trHeight w:val="359"/>
        </w:trPr>
        <w:tc>
          <w:tcPr>
            <w:tcW w:w="3969" w:type="dxa"/>
            <w:hideMark/>
          </w:tcPr>
          <w:p w14:paraId="7E27EFA5" w14:textId="77777777" w:rsidR="001433A1" w:rsidRPr="009B2611" w:rsidRDefault="001433A1" w:rsidP="001433A1">
            <w:pPr>
              <w:spacing w:line="240" w:lineRule="auto"/>
              <w:rPr>
                <w:sz w:val="18"/>
              </w:rPr>
            </w:pPr>
            <w:r>
              <w:rPr>
                <w:sz w:val="18"/>
              </w:rPr>
              <w:t>Cost reflectivity</w:t>
            </w:r>
          </w:p>
        </w:tc>
        <w:tc>
          <w:tcPr>
            <w:tcW w:w="2835" w:type="dxa"/>
            <w:hideMark/>
          </w:tcPr>
          <w:p w14:paraId="5D218799" w14:textId="77777777" w:rsidR="001433A1" w:rsidRPr="009B2611" w:rsidRDefault="001433A1" w:rsidP="007E352A">
            <w:pPr>
              <w:spacing w:line="240" w:lineRule="auto"/>
              <w:ind w:right="57"/>
              <w:jc w:val="right"/>
              <w:rPr>
                <w:sz w:val="18"/>
              </w:rPr>
            </w:pPr>
            <w:r w:rsidRPr="009B2611">
              <w:rPr>
                <w:sz w:val="18"/>
              </w:rPr>
              <w:t>+10</w:t>
            </w:r>
          </w:p>
        </w:tc>
        <w:tc>
          <w:tcPr>
            <w:tcW w:w="2778" w:type="dxa"/>
            <w:hideMark/>
          </w:tcPr>
          <w:p w14:paraId="6A5BDFC2" w14:textId="77777777" w:rsidR="001433A1" w:rsidRPr="009B2611" w:rsidRDefault="001433A1" w:rsidP="007E352A">
            <w:pPr>
              <w:spacing w:line="240" w:lineRule="auto"/>
              <w:ind w:right="57"/>
              <w:jc w:val="right"/>
              <w:rPr>
                <w:sz w:val="18"/>
              </w:rPr>
            </w:pPr>
            <w:r w:rsidRPr="009B2611">
              <w:rPr>
                <w:sz w:val="18"/>
              </w:rPr>
              <w:t>+10</w:t>
            </w:r>
          </w:p>
        </w:tc>
      </w:tr>
      <w:tr w:rsidR="001433A1" w:rsidRPr="009B2611" w14:paraId="0B67986A" w14:textId="77777777" w:rsidTr="007E352A">
        <w:trPr>
          <w:trHeight w:val="208"/>
        </w:trPr>
        <w:tc>
          <w:tcPr>
            <w:tcW w:w="3969" w:type="dxa"/>
            <w:hideMark/>
          </w:tcPr>
          <w:p w14:paraId="69D02035" w14:textId="77777777" w:rsidR="001433A1" w:rsidRPr="009B2611" w:rsidRDefault="001433A1" w:rsidP="001433A1">
            <w:pPr>
              <w:spacing w:line="240" w:lineRule="auto"/>
              <w:rPr>
                <w:sz w:val="18"/>
              </w:rPr>
            </w:pPr>
            <w:r w:rsidRPr="009B2611">
              <w:rPr>
                <w:sz w:val="18"/>
              </w:rPr>
              <w:t>Equity</w:t>
            </w:r>
          </w:p>
        </w:tc>
        <w:tc>
          <w:tcPr>
            <w:tcW w:w="2835" w:type="dxa"/>
            <w:hideMark/>
          </w:tcPr>
          <w:p w14:paraId="70707BCD" w14:textId="77777777" w:rsidR="001433A1" w:rsidRPr="009B2611" w:rsidRDefault="001433A1" w:rsidP="007E352A">
            <w:pPr>
              <w:spacing w:line="240" w:lineRule="auto"/>
              <w:ind w:right="57"/>
              <w:jc w:val="right"/>
              <w:rPr>
                <w:sz w:val="18"/>
              </w:rPr>
            </w:pPr>
            <w:r w:rsidRPr="009B2611">
              <w:rPr>
                <w:sz w:val="18"/>
              </w:rPr>
              <w:t>+3</w:t>
            </w:r>
          </w:p>
        </w:tc>
        <w:tc>
          <w:tcPr>
            <w:tcW w:w="2778" w:type="dxa"/>
            <w:hideMark/>
          </w:tcPr>
          <w:p w14:paraId="264A4C8E" w14:textId="77777777" w:rsidR="001433A1" w:rsidRPr="009B2611" w:rsidRDefault="001433A1" w:rsidP="007E352A">
            <w:pPr>
              <w:spacing w:line="240" w:lineRule="auto"/>
              <w:ind w:right="57"/>
              <w:jc w:val="right"/>
              <w:rPr>
                <w:sz w:val="18"/>
              </w:rPr>
            </w:pPr>
            <w:r w:rsidRPr="009B2611">
              <w:rPr>
                <w:sz w:val="18"/>
              </w:rPr>
              <w:t>+</w:t>
            </w:r>
            <w:r>
              <w:rPr>
                <w:sz w:val="18"/>
              </w:rPr>
              <w:t>7</w:t>
            </w:r>
          </w:p>
        </w:tc>
      </w:tr>
      <w:tr w:rsidR="001433A1" w:rsidRPr="009B2611" w14:paraId="7EFD3766" w14:textId="77777777" w:rsidTr="007E352A">
        <w:trPr>
          <w:trHeight w:val="232"/>
        </w:trPr>
        <w:tc>
          <w:tcPr>
            <w:tcW w:w="3969" w:type="dxa"/>
            <w:hideMark/>
          </w:tcPr>
          <w:p w14:paraId="204ED029" w14:textId="77777777" w:rsidR="001433A1" w:rsidRPr="009B2611" w:rsidRDefault="001433A1" w:rsidP="001433A1">
            <w:pPr>
              <w:spacing w:line="240" w:lineRule="auto"/>
              <w:rPr>
                <w:sz w:val="18"/>
              </w:rPr>
            </w:pPr>
            <w:r w:rsidRPr="009B2611">
              <w:rPr>
                <w:sz w:val="18"/>
              </w:rPr>
              <w:t xml:space="preserve">Simple and easy to </w:t>
            </w:r>
            <w:r>
              <w:rPr>
                <w:sz w:val="18"/>
              </w:rPr>
              <w:t xml:space="preserve">understand and </w:t>
            </w:r>
            <w:r w:rsidRPr="009B2611">
              <w:rPr>
                <w:sz w:val="18"/>
              </w:rPr>
              <w:t>administer</w:t>
            </w:r>
          </w:p>
        </w:tc>
        <w:tc>
          <w:tcPr>
            <w:tcW w:w="2835" w:type="dxa"/>
            <w:hideMark/>
          </w:tcPr>
          <w:p w14:paraId="0A946A79" w14:textId="77777777" w:rsidR="001433A1" w:rsidRPr="009B2611" w:rsidRDefault="001433A1" w:rsidP="007E352A">
            <w:pPr>
              <w:spacing w:line="240" w:lineRule="auto"/>
              <w:ind w:right="57"/>
              <w:jc w:val="right"/>
              <w:rPr>
                <w:sz w:val="18"/>
              </w:rPr>
            </w:pPr>
            <w:r w:rsidRPr="009B2611">
              <w:rPr>
                <w:sz w:val="18"/>
              </w:rPr>
              <w:t>-3</w:t>
            </w:r>
          </w:p>
        </w:tc>
        <w:tc>
          <w:tcPr>
            <w:tcW w:w="2778" w:type="dxa"/>
            <w:hideMark/>
          </w:tcPr>
          <w:p w14:paraId="7AC5528F" w14:textId="77777777" w:rsidR="001433A1" w:rsidRPr="009B2611" w:rsidRDefault="001433A1" w:rsidP="007E352A">
            <w:pPr>
              <w:spacing w:line="240" w:lineRule="auto"/>
              <w:ind w:right="57"/>
              <w:jc w:val="right"/>
              <w:rPr>
                <w:sz w:val="18"/>
              </w:rPr>
            </w:pPr>
            <w:r w:rsidRPr="009B2611">
              <w:rPr>
                <w:sz w:val="18"/>
              </w:rPr>
              <w:t>-7</w:t>
            </w:r>
          </w:p>
        </w:tc>
      </w:tr>
      <w:tr w:rsidR="001433A1" w:rsidRPr="009B2611" w14:paraId="1E5127F2" w14:textId="77777777" w:rsidTr="007E352A">
        <w:trPr>
          <w:trHeight w:val="370"/>
        </w:trPr>
        <w:tc>
          <w:tcPr>
            <w:tcW w:w="3969" w:type="dxa"/>
            <w:hideMark/>
          </w:tcPr>
          <w:p w14:paraId="53434335" w14:textId="77777777" w:rsidR="001433A1" w:rsidRPr="009B2611" w:rsidRDefault="001433A1" w:rsidP="001433A1">
            <w:pPr>
              <w:spacing w:after="0" w:line="240" w:lineRule="auto"/>
              <w:rPr>
                <w:b/>
                <w:sz w:val="18"/>
              </w:rPr>
            </w:pPr>
            <w:r>
              <w:rPr>
                <w:b/>
                <w:sz w:val="18"/>
              </w:rPr>
              <w:t>Weighted</w:t>
            </w:r>
            <w:r w:rsidRPr="009B2611">
              <w:rPr>
                <w:b/>
                <w:sz w:val="18"/>
              </w:rPr>
              <w:t xml:space="preserve"> score</w:t>
            </w:r>
          </w:p>
        </w:tc>
        <w:tc>
          <w:tcPr>
            <w:tcW w:w="2835" w:type="dxa"/>
            <w:hideMark/>
          </w:tcPr>
          <w:p w14:paraId="56762B88" w14:textId="77777777" w:rsidR="001433A1" w:rsidRPr="009B2611" w:rsidRDefault="001433A1" w:rsidP="007E352A">
            <w:pPr>
              <w:spacing w:after="0" w:line="240" w:lineRule="auto"/>
              <w:ind w:right="57"/>
              <w:jc w:val="right"/>
              <w:rPr>
                <w:b/>
                <w:sz w:val="18"/>
              </w:rPr>
            </w:pPr>
            <w:r>
              <w:rPr>
                <w:b/>
                <w:sz w:val="18"/>
              </w:rPr>
              <w:t>+</w:t>
            </w:r>
            <w:r w:rsidRPr="009B2611">
              <w:rPr>
                <w:b/>
                <w:sz w:val="18"/>
              </w:rPr>
              <w:t>3.</w:t>
            </w:r>
            <w:r>
              <w:rPr>
                <w:b/>
                <w:sz w:val="18"/>
              </w:rPr>
              <w:t>7</w:t>
            </w:r>
          </w:p>
        </w:tc>
        <w:tc>
          <w:tcPr>
            <w:tcW w:w="2778" w:type="dxa"/>
            <w:hideMark/>
          </w:tcPr>
          <w:p w14:paraId="0E70F419" w14:textId="77777777" w:rsidR="001433A1" w:rsidRPr="009B2611" w:rsidRDefault="001433A1" w:rsidP="007E352A">
            <w:pPr>
              <w:spacing w:after="0" w:line="240" w:lineRule="auto"/>
              <w:ind w:right="57"/>
              <w:jc w:val="right"/>
              <w:rPr>
                <w:b/>
                <w:sz w:val="18"/>
              </w:rPr>
            </w:pPr>
            <w:r>
              <w:rPr>
                <w:b/>
                <w:sz w:val="18"/>
              </w:rPr>
              <w:t>+3.8</w:t>
            </w:r>
          </w:p>
        </w:tc>
      </w:tr>
    </w:tbl>
    <w:p w14:paraId="2A761F9E" w14:textId="77777777" w:rsidR="001433A1" w:rsidRPr="009B2611" w:rsidRDefault="001433A1" w:rsidP="001433A1">
      <w:pPr>
        <w:rPr>
          <w:rFonts w:ascii="Verdana" w:hAnsi="Verdana"/>
          <w:sz w:val="18"/>
        </w:rPr>
      </w:pPr>
    </w:p>
    <w:p w14:paraId="10A7CCCA" w14:textId="77777777" w:rsidR="001433A1" w:rsidRPr="009B2611" w:rsidRDefault="001433A1" w:rsidP="001433A1">
      <w:pPr>
        <w:pStyle w:val="Heading3"/>
        <w:ind w:left="720"/>
      </w:pPr>
      <w:r w:rsidRPr="009B2611">
        <w:t>Permit to transport reportable priority waste applications (s50(1)(b))</w:t>
      </w:r>
    </w:p>
    <w:p w14:paraId="10681370" w14:textId="77777777" w:rsidR="001433A1" w:rsidRPr="009B2611" w:rsidRDefault="001433A1" w:rsidP="001433A1">
      <w:r w:rsidRPr="009B2611">
        <w:t xml:space="preserve">Permits are currently required to transport </w:t>
      </w:r>
      <w:r>
        <w:t xml:space="preserve">prescribed waste or </w:t>
      </w:r>
      <w:r w:rsidRPr="009B2611">
        <w:t xml:space="preserve">prescribed industrial waste under the EP Act 1970. </w:t>
      </w:r>
      <w:r>
        <w:t xml:space="preserve">Permits </w:t>
      </w:r>
      <w:r w:rsidRPr="009B2611">
        <w:t xml:space="preserve">will continue to be required </w:t>
      </w:r>
      <w:r>
        <w:t xml:space="preserve">to transport reportable priority waste </w:t>
      </w:r>
      <w:r w:rsidRPr="009B2611">
        <w:t xml:space="preserve">under the new EP legislation but with certain lower risk classes of </w:t>
      </w:r>
      <w:r>
        <w:t xml:space="preserve">reportable priority waste </w:t>
      </w:r>
      <w:r w:rsidRPr="009B2611">
        <w:t xml:space="preserve">proposed to be moved to the new Registrations tier. Permits needed only for a short duration (not </w:t>
      </w:r>
      <w:r>
        <w:t xml:space="preserve">exceeding three </w:t>
      </w:r>
      <w:r w:rsidRPr="009B2611">
        <w:t>month</w:t>
      </w:r>
      <w:r>
        <w:t>s</w:t>
      </w:r>
      <w:r w:rsidRPr="009B2611">
        <w:t>), known as temporary permit</w:t>
      </w:r>
      <w:r>
        <w:t>s</w:t>
      </w:r>
      <w:r w:rsidRPr="009B2611">
        <w:t xml:space="preserve">, can also be obtained. Based on current application levels, across both full and temporary permits, approximately 40 </w:t>
      </w:r>
      <w:r>
        <w:t xml:space="preserve">permits are </w:t>
      </w:r>
      <w:r w:rsidRPr="009B2611">
        <w:t xml:space="preserve">anticipated to be issued </w:t>
      </w:r>
      <w:r>
        <w:t>annually</w:t>
      </w:r>
      <w:r w:rsidRPr="009B2611">
        <w:t>. The options considered for vehicle permit applications are:</w:t>
      </w:r>
    </w:p>
    <w:p w14:paraId="03BE700E" w14:textId="77777777" w:rsidR="001433A1" w:rsidRPr="009B2611" w:rsidRDefault="001433A1" w:rsidP="001433A1">
      <w:pPr>
        <w:numPr>
          <w:ilvl w:val="0"/>
          <w:numId w:val="131"/>
        </w:numPr>
        <w:spacing w:after="170"/>
        <w:contextualSpacing/>
      </w:pPr>
      <w:r w:rsidRPr="009B2611">
        <w:rPr>
          <w:b/>
        </w:rPr>
        <w:t xml:space="preserve">Option 1: Tiered </w:t>
      </w:r>
      <w:r w:rsidRPr="007E352A">
        <w:rPr>
          <w:b/>
        </w:rPr>
        <w:t>fee</w:t>
      </w:r>
      <w:r>
        <w:rPr>
          <w:b/>
        </w:rPr>
        <w:t xml:space="preserve"> </w:t>
      </w:r>
      <w:r w:rsidRPr="009B2611">
        <w:rPr>
          <w:b/>
        </w:rPr>
        <w:t>structure</w:t>
      </w:r>
      <w:r w:rsidRPr="009B2611">
        <w:t xml:space="preserve"> with different fee levels based on both volume (number of tonnes of waste transported) and type of material being transported. This is essentially the fee structure currently in place. The temporary permit fee is equal to the greater of 25% </w:t>
      </w:r>
      <w:r w:rsidRPr="007E352A">
        <w:t>of</w:t>
      </w:r>
      <w:r>
        <w:t xml:space="preserve"> </w:t>
      </w:r>
      <w:r w:rsidRPr="009B2611">
        <w:t>the full application fee or a flat fee</w:t>
      </w:r>
      <w:r>
        <w:t>; 25% is chosen because temporary permits last for</w:t>
      </w:r>
      <w:r w:rsidRPr="006A6A95">
        <w:t xml:space="preserve"> 3 mont</w:t>
      </w:r>
      <w:r>
        <w:t xml:space="preserve">hs while the full permits last for a </w:t>
      </w:r>
      <w:r w:rsidRPr="006A6A95">
        <w:t xml:space="preserve">year. </w:t>
      </w:r>
    </w:p>
    <w:p w14:paraId="3BDD7DB0" w14:textId="77777777" w:rsidR="001433A1" w:rsidRPr="009B2611" w:rsidRDefault="001433A1" w:rsidP="001433A1">
      <w:pPr>
        <w:numPr>
          <w:ilvl w:val="0"/>
          <w:numId w:val="131"/>
        </w:numPr>
        <w:spacing w:after="170"/>
        <w:contextualSpacing/>
      </w:pPr>
      <w:r w:rsidRPr="009B2611">
        <w:rPr>
          <w:b/>
        </w:rPr>
        <w:t>Option 2: Flat fee</w:t>
      </w:r>
      <w:r w:rsidRPr="009B2611">
        <w:t xml:space="preserve">. One fee across all </w:t>
      </w:r>
      <w:r>
        <w:t xml:space="preserve">reportable priority </w:t>
      </w:r>
      <w:r w:rsidRPr="009B2611">
        <w:t>waste transport permits, with a separate fee for temporary permits.</w:t>
      </w:r>
    </w:p>
    <w:p w14:paraId="3B2B900C" w14:textId="77777777" w:rsidR="001433A1" w:rsidRDefault="001433A1" w:rsidP="001433A1">
      <w:pPr>
        <w:numPr>
          <w:ilvl w:val="0"/>
          <w:numId w:val="131"/>
        </w:numPr>
        <w:contextualSpacing/>
      </w:pPr>
      <w:r w:rsidRPr="009B2611">
        <w:rPr>
          <w:b/>
        </w:rPr>
        <w:t xml:space="preserve">Option 3: Base fee plus hourly </w:t>
      </w:r>
      <w:r w:rsidRPr="007E352A">
        <w:rPr>
          <w:b/>
        </w:rPr>
        <w:t>rate</w:t>
      </w:r>
      <w:r w:rsidRPr="009B2611">
        <w:t>, up to a maximum fee. The temporary permit fee has a different (lower) base fee.</w:t>
      </w:r>
    </w:p>
    <w:p w14:paraId="1141DE4D" w14:textId="77777777" w:rsidR="001433A1" w:rsidRPr="009B2611" w:rsidRDefault="001433A1" w:rsidP="001433A1">
      <w:pPr>
        <w:spacing w:after="0"/>
      </w:pPr>
    </w:p>
    <w:p w14:paraId="26F9DD75" w14:textId="77777777" w:rsidR="001433A1" w:rsidRPr="007F3CBE" w:rsidRDefault="001433A1" w:rsidP="001433A1">
      <w:r w:rsidRPr="00037AF8">
        <w:fldChar w:fldCharType="begin"/>
      </w:r>
      <w:r w:rsidRPr="009B2611">
        <w:instrText xml:space="preserve"> REF _Ref7709374 \h </w:instrText>
      </w:r>
      <w:r>
        <w:instrText xml:space="preserve"> \* MERGEFORMAT </w:instrText>
      </w:r>
      <w:r w:rsidRPr="00037AF8">
        <w:fldChar w:fldCharType="separate"/>
      </w:r>
      <w:r w:rsidRPr="001A1CDF" w:rsidDel="00B11C1E">
        <w:t>Table 16</w:t>
      </w:r>
      <w:r w:rsidRPr="001A1CDF" w:rsidDel="00B11C1E">
        <w:noBreakHyphen/>
        <w:t>9</w:t>
      </w:r>
      <w:r w:rsidRPr="00037AF8">
        <w:fldChar w:fldCharType="end"/>
      </w:r>
      <w:r w:rsidRPr="009B2611">
        <w:t xml:space="preserve"> </w:t>
      </w:r>
      <w:r w:rsidRPr="007E352A">
        <w:t>shows</w:t>
      </w:r>
      <w:r w:rsidRPr="009B2611">
        <w:t xml:space="preserve"> the modelled fees f</w:t>
      </w:r>
      <w:r>
        <w:t xml:space="preserve">or </w:t>
      </w:r>
      <w:r w:rsidRPr="007E352A">
        <w:t>permit to transport reportable priority waste</w:t>
      </w:r>
      <w:r>
        <w:t xml:space="preserve"> applications.</w:t>
      </w:r>
    </w:p>
    <w:p w14:paraId="5AB18ECB"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9</w:t>
      </w:r>
      <w:r>
        <w:rPr>
          <w:color w:val="75787B" w:themeColor="accent6"/>
          <w:sz w:val="17"/>
          <w:shd w:val="clear" w:color="auto" w:fill="E6E6E6"/>
        </w:rPr>
        <w:fldChar w:fldCharType="end"/>
      </w:r>
      <w:r w:rsidRPr="009B2611">
        <w:rPr>
          <w:iCs/>
          <w:color w:val="75787B" w:themeColor="accent6"/>
          <w:sz w:val="17"/>
        </w:rPr>
        <w:t xml:space="preserve">: Modelled fees for </w:t>
      </w:r>
      <w:r w:rsidRPr="007E352A">
        <w:rPr>
          <w:iCs/>
          <w:color w:val="75787B" w:themeColor="accent6"/>
          <w:sz w:val="17"/>
        </w:rPr>
        <w:t>permit to transport</w:t>
      </w:r>
      <w:r>
        <w:rPr>
          <w:iCs/>
          <w:color w:val="75787B" w:themeColor="accent6"/>
          <w:sz w:val="17"/>
        </w:rPr>
        <w:t xml:space="preserve"> </w:t>
      </w:r>
      <w:r w:rsidRPr="009B2611">
        <w:rPr>
          <w:iCs/>
          <w:color w:val="75787B" w:themeColor="accent6"/>
          <w:sz w:val="17"/>
        </w:rPr>
        <w:t>reportable priority waste applications</w:t>
      </w:r>
    </w:p>
    <w:tbl>
      <w:tblPr>
        <w:tblStyle w:val="Deloittetable1"/>
        <w:tblW w:w="5000" w:type="pct"/>
        <w:tblLook w:val="04A0" w:firstRow="1" w:lastRow="0" w:firstColumn="1" w:lastColumn="0" w:noHBand="0" w:noVBand="1"/>
      </w:tblPr>
      <w:tblGrid>
        <w:gridCol w:w="2339"/>
        <w:gridCol w:w="2292"/>
        <w:gridCol w:w="2314"/>
        <w:gridCol w:w="2410"/>
      </w:tblGrid>
      <w:tr w:rsidR="001433A1" w:rsidRPr="009B2611" w14:paraId="5B4AA21E" w14:textId="77777777" w:rsidTr="001433A1">
        <w:trPr>
          <w:cnfStyle w:val="100000000000" w:firstRow="1" w:lastRow="0" w:firstColumn="0" w:lastColumn="0" w:oddVBand="0" w:evenVBand="0" w:oddHBand="0" w:evenHBand="0" w:firstRowFirstColumn="0" w:firstRowLastColumn="0" w:lastRowFirstColumn="0" w:lastRowLastColumn="0"/>
          <w:trHeight w:val="1017"/>
        </w:trPr>
        <w:tc>
          <w:tcPr>
            <w:tcW w:w="0" w:type="pct"/>
          </w:tcPr>
          <w:p w14:paraId="68BFF1E9" w14:textId="77777777" w:rsidR="001433A1" w:rsidRPr="009B2611" w:rsidRDefault="001433A1" w:rsidP="001433A1">
            <w:pPr>
              <w:rPr>
                <w:sz w:val="18"/>
              </w:rPr>
            </w:pPr>
          </w:p>
        </w:tc>
        <w:tc>
          <w:tcPr>
            <w:tcW w:w="0" w:type="pct"/>
            <w:hideMark/>
          </w:tcPr>
          <w:p w14:paraId="26B074A0" w14:textId="77777777" w:rsidR="001433A1" w:rsidRPr="009B2611" w:rsidRDefault="001433A1" w:rsidP="001433A1">
            <w:pPr>
              <w:rPr>
                <w:b/>
                <w:sz w:val="18"/>
              </w:rPr>
            </w:pPr>
            <w:r w:rsidRPr="009B2611">
              <w:rPr>
                <w:b/>
                <w:sz w:val="18"/>
              </w:rPr>
              <w:t xml:space="preserve">Option 1: Tiered </w:t>
            </w:r>
            <w:r w:rsidRPr="007E352A">
              <w:rPr>
                <w:b/>
                <w:sz w:val="18"/>
              </w:rPr>
              <w:t>fee</w:t>
            </w:r>
            <w:r>
              <w:rPr>
                <w:b/>
                <w:sz w:val="18"/>
              </w:rPr>
              <w:t xml:space="preserve"> </w:t>
            </w:r>
            <w:r w:rsidRPr="009B2611">
              <w:rPr>
                <w:b/>
                <w:sz w:val="18"/>
              </w:rPr>
              <w:t>structure</w:t>
            </w:r>
          </w:p>
        </w:tc>
        <w:tc>
          <w:tcPr>
            <w:tcW w:w="0" w:type="pct"/>
            <w:hideMark/>
          </w:tcPr>
          <w:p w14:paraId="5A76F710" w14:textId="77777777" w:rsidR="001433A1" w:rsidRPr="009B2611" w:rsidRDefault="001433A1" w:rsidP="001433A1">
            <w:pPr>
              <w:rPr>
                <w:b/>
                <w:sz w:val="18"/>
              </w:rPr>
            </w:pPr>
            <w:r w:rsidRPr="009B2611">
              <w:rPr>
                <w:b/>
                <w:sz w:val="18"/>
              </w:rPr>
              <w:t>Option 2: Flat fee</w:t>
            </w:r>
          </w:p>
        </w:tc>
        <w:tc>
          <w:tcPr>
            <w:tcW w:w="0" w:type="pct"/>
            <w:hideMark/>
          </w:tcPr>
          <w:p w14:paraId="20F111F5" w14:textId="77777777" w:rsidR="001433A1" w:rsidRPr="009B2611" w:rsidRDefault="001433A1" w:rsidP="001433A1">
            <w:pPr>
              <w:rPr>
                <w:b/>
                <w:sz w:val="18"/>
              </w:rPr>
            </w:pPr>
            <w:r w:rsidRPr="009B2611">
              <w:rPr>
                <w:b/>
                <w:sz w:val="18"/>
              </w:rPr>
              <w:t xml:space="preserve">Option 3: </w:t>
            </w:r>
            <w:r w:rsidRPr="00502253">
              <w:rPr>
                <w:b/>
                <w:sz w:val="18"/>
              </w:rPr>
              <w:t>Base f</w:t>
            </w:r>
            <w:r w:rsidRPr="00785A28">
              <w:rPr>
                <w:b/>
                <w:sz w:val="18"/>
              </w:rPr>
              <w:t>ee</w:t>
            </w:r>
            <w:r w:rsidRPr="007E352A">
              <w:rPr>
                <w:b/>
                <w:sz w:val="18"/>
              </w:rPr>
              <w:t>,</w:t>
            </w:r>
            <w:r w:rsidRPr="00785A28">
              <w:rPr>
                <w:b/>
                <w:sz w:val="18"/>
              </w:rPr>
              <w:t xml:space="preserve"> plus </w:t>
            </w:r>
            <w:r w:rsidRPr="007E352A">
              <w:rPr>
                <w:b/>
                <w:sz w:val="18"/>
              </w:rPr>
              <w:t>an</w:t>
            </w:r>
            <w:r w:rsidRPr="00785A28">
              <w:rPr>
                <w:b/>
                <w:sz w:val="18"/>
              </w:rPr>
              <w:t xml:space="preserve"> hourly rat</w:t>
            </w:r>
            <w:r w:rsidRPr="00502253">
              <w:rPr>
                <w:b/>
                <w:sz w:val="18"/>
              </w:rPr>
              <w:t>e</w:t>
            </w:r>
          </w:p>
        </w:tc>
      </w:tr>
      <w:tr w:rsidR="001433A1" w:rsidRPr="009B2611" w14:paraId="01FBA298" w14:textId="77777777" w:rsidTr="001433A1">
        <w:trPr>
          <w:trHeight w:val="1308"/>
        </w:trPr>
        <w:tc>
          <w:tcPr>
            <w:tcW w:w="0" w:type="pct"/>
            <w:hideMark/>
          </w:tcPr>
          <w:p w14:paraId="593A48FD" w14:textId="77777777" w:rsidR="001433A1" w:rsidRPr="009B2611" w:rsidRDefault="001433A1" w:rsidP="001433A1">
            <w:pPr>
              <w:rPr>
                <w:sz w:val="18"/>
              </w:rPr>
            </w:pPr>
            <w:r w:rsidRPr="009B2611">
              <w:rPr>
                <w:sz w:val="18"/>
              </w:rPr>
              <w:t>Application fee</w:t>
            </w:r>
          </w:p>
        </w:tc>
        <w:tc>
          <w:tcPr>
            <w:tcW w:w="0" w:type="pct"/>
            <w:hideMark/>
          </w:tcPr>
          <w:p w14:paraId="2C0F07EC" w14:textId="77777777" w:rsidR="001433A1" w:rsidRPr="009B2611" w:rsidRDefault="001433A1" w:rsidP="001433A1">
            <w:pPr>
              <w:rPr>
                <w:sz w:val="18"/>
              </w:rPr>
            </w:pPr>
            <w:r w:rsidRPr="009B2611">
              <w:rPr>
                <w:sz w:val="18"/>
              </w:rPr>
              <w:t xml:space="preserve">Not modelled due to data limitations. </w:t>
            </w:r>
            <w:r>
              <w:rPr>
                <w:rStyle w:val="FootnoteReference"/>
                <w:sz w:val="18"/>
              </w:rPr>
              <w:footnoteReference w:id="325"/>
            </w:r>
          </w:p>
        </w:tc>
        <w:tc>
          <w:tcPr>
            <w:tcW w:w="0" w:type="pct"/>
            <w:hideMark/>
          </w:tcPr>
          <w:p w14:paraId="57AFC5CB" w14:textId="77777777" w:rsidR="001433A1" w:rsidRPr="009B2611" w:rsidRDefault="001433A1" w:rsidP="001433A1">
            <w:pPr>
              <w:rPr>
                <w:sz w:val="18"/>
              </w:rPr>
            </w:pPr>
            <w:r w:rsidRPr="009B2611">
              <w:rPr>
                <w:sz w:val="18"/>
              </w:rPr>
              <w:t xml:space="preserve">$358.79 (24.83 fee units) </w:t>
            </w:r>
          </w:p>
        </w:tc>
        <w:tc>
          <w:tcPr>
            <w:tcW w:w="0" w:type="pct"/>
            <w:hideMark/>
          </w:tcPr>
          <w:p w14:paraId="0D43ED84" w14:textId="1255C801" w:rsidR="001433A1" w:rsidRPr="009B2611" w:rsidRDefault="001433A1" w:rsidP="00105015">
            <w:pPr>
              <w:spacing w:after="0"/>
              <w:rPr>
                <w:sz w:val="18"/>
              </w:rPr>
            </w:pPr>
            <w:r w:rsidRPr="009B2611">
              <w:rPr>
                <w:sz w:val="18"/>
              </w:rPr>
              <w:t>Base fee of $</w:t>
            </w:r>
            <w:r w:rsidRPr="007E352A">
              <w:rPr>
                <w:sz w:val="18"/>
              </w:rPr>
              <w:t>291</w:t>
            </w:r>
            <w:r w:rsidR="00AE6787" w:rsidRPr="007E352A">
              <w:rPr>
                <w:sz w:val="18"/>
              </w:rPr>
              <w:t>.25</w:t>
            </w:r>
            <w:r w:rsidRPr="007E352A">
              <w:rPr>
                <w:sz w:val="18"/>
              </w:rPr>
              <w:t xml:space="preserve"> (20.16 fee units) plus $94.25 (</w:t>
            </w:r>
            <w:r w:rsidR="001D1313" w:rsidRPr="007E352A">
              <w:rPr>
                <w:sz w:val="18"/>
              </w:rPr>
              <w:t>6.</w:t>
            </w:r>
            <w:r w:rsidR="00105015" w:rsidRPr="007E352A">
              <w:rPr>
                <w:sz w:val="18"/>
              </w:rPr>
              <w:t>52</w:t>
            </w:r>
            <w:r w:rsidR="001D1313" w:rsidRPr="007E352A">
              <w:rPr>
                <w:sz w:val="18"/>
              </w:rPr>
              <w:t>)</w:t>
            </w:r>
            <w:r w:rsidR="001D1313" w:rsidRPr="007E352A">
              <w:rPr>
                <w:b/>
                <w:bCs/>
              </w:rPr>
              <w:t xml:space="preserve"> </w:t>
            </w:r>
            <w:r w:rsidRPr="007E352A">
              <w:rPr>
                <w:sz w:val="18"/>
              </w:rPr>
              <w:t>fee units) per hour for assessments exceeding 3 hours, up to a maximum of $644.69</w:t>
            </w:r>
            <w:r w:rsidRPr="009B2611">
              <w:rPr>
                <w:sz w:val="18"/>
              </w:rPr>
              <w:t xml:space="preserve"> (44.62 fee units)</w:t>
            </w:r>
          </w:p>
        </w:tc>
      </w:tr>
      <w:tr w:rsidR="001433A1" w:rsidRPr="009B2611" w14:paraId="5DF9F294" w14:textId="77777777" w:rsidTr="001433A1">
        <w:trPr>
          <w:trHeight w:val="577"/>
        </w:trPr>
        <w:tc>
          <w:tcPr>
            <w:tcW w:w="0" w:type="pct"/>
            <w:hideMark/>
          </w:tcPr>
          <w:p w14:paraId="2D995931" w14:textId="77777777" w:rsidR="001433A1" w:rsidRPr="009B2611" w:rsidRDefault="001433A1" w:rsidP="001433A1">
            <w:pPr>
              <w:rPr>
                <w:sz w:val="18"/>
              </w:rPr>
            </w:pPr>
            <w:r w:rsidRPr="009B2611">
              <w:rPr>
                <w:sz w:val="18"/>
              </w:rPr>
              <w:t xml:space="preserve">Temporary permit application </w:t>
            </w:r>
          </w:p>
        </w:tc>
        <w:tc>
          <w:tcPr>
            <w:tcW w:w="0" w:type="pct"/>
            <w:hideMark/>
          </w:tcPr>
          <w:p w14:paraId="6EFF7A93" w14:textId="77777777" w:rsidR="001433A1" w:rsidRPr="009B2611" w:rsidRDefault="001433A1" w:rsidP="001433A1">
            <w:pPr>
              <w:rPr>
                <w:sz w:val="18"/>
              </w:rPr>
            </w:pPr>
            <w:r w:rsidRPr="009B2611">
              <w:rPr>
                <w:sz w:val="18"/>
              </w:rPr>
              <w:t>Not modelled</w:t>
            </w:r>
            <w:r>
              <w:rPr>
                <w:sz w:val="18"/>
              </w:rPr>
              <w:t xml:space="preserve"> as above</w:t>
            </w:r>
          </w:p>
        </w:tc>
        <w:tc>
          <w:tcPr>
            <w:tcW w:w="0" w:type="pct"/>
            <w:hideMark/>
          </w:tcPr>
          <w:p w14:paraId="5A0E5F13" w14:textId="77777777" w:rsidR="001433A1" w:rsidRDefault="001433A1" w:rsidP="001433A1">
            <w:pPr>
              <w:spacing w:after="0"/>
              <w:rPr>
                <w:sz w:val="18"/>
              </w:rPr>
            </w:pPr>
            <w:r w:rsidRPr="009B2611">
              <w:rPr>
                <w:sz w:val="18"/>
              </w:rPr>
              <w:t xml:space="preserve">25% of the full application </w:t>
            </w:r>
          </w:p>
          <w:p w14:paraId="74623789" w14:textId="77777777" w:rsidR="001433A1" w:rsidRPr="009B2611" w:rsidRDefault="001433A1" w:rsidP="001433A1">
            <w:pPr>
              <w:spacing w:after="0"/>
              <w:rPr>
                <w:sz w:val="18"/>
              </w:rPr>
            </w:pPr>
            <w:r w:rsidRPr="009B2611">
              <w:rPr>
                <w:sz w:val="18"/>
              </w:rPr>
              <w:t>Fee</w:t>
            </w:r>
            <w:r>
              <w:rPr>
                <w:sz w:val="18"/>
              </w:rPr>
              <w:t>, being</w:t>
            </w:r>
            <w:r w:rsidRPr="009B2611">
              <w:rPr>
                <w:sz w:val="18"/>
              </w:rPr>
              <w:t xml:space="preserve"> $89.70 (6.21 fee units)</w:t>
            </w:r>
          </w:p>
        </w:tc>
        <w:tc>
          <w:tcPr>
            <w:tcW w:w="0" w:type="pct"/>
            <w:hideMark/>
          </w:tcPr>
          <w:p w14:paraId="76F98897" w14:textId="77777777" w:rsidR="001433A1" w:rsidRPr="009B2611" w:rsidRDefault="001433A1" w:rsidP="001433A1">
            <w:pPr>
              <w:rPr>
                <w:sz w:val="18"/>
              </w:rPr>
            </w:pPr>
            <w:r w:rsidRPr="00366168">
              <w:rPr>
                <w:sz w:val="18"/>
              </w:rPr>
              <w:t xml:space="preserve">25% of the full application fee </w:t>
            </w:r>
          </w:p>
        </w:tc>
      </w:tr>
    </w:tbl>
    <w:p w14:paraId="58DBFCFE" w14:textId="77777777" w:rsidR="001433A1" w:rsidRPr="009B2611" w:rsidRDefault="001433A1" w:rsidP="001433A1">
      <w:pPr>
        <w:rPr>
          <w:sz w:val="18"/>
        </w:rPr>
      </w:pPr>
      <w:r w:rsidRPr="009B2611">
        <w:rPr>
          <w:sz w:val="18"/>
        </w:rPr>
        <w:t xml:space="preserve">Note: Option 1 is considered in the MCA, however the fees themselves are not modelled. With the movement of many waste codes to the registration tier, fine level data is required to calculate these tiers. Fees based on EPA estimates for the time taken and costs involved with completing administrative processes and compliance and enforcement activities. See Appendices </w:t>
      </w:r>
      <w:r>
        <w:rPr>
          <w:sz w:val="18"/>
        </w:rPr>
        <w:t>6-9</w:t>
      </w:r>
      <w:r w:rsidRPr="009B2611">
        <w:rPr>
          <w:sz w:val="18"/>
        </w:rPr>
        <w:t xml:space="preserve"> for more information. </w:t>
      </w:r>
      <w:r>
        <w:rPr>
          <w:sz w:val="18"/>
        </w:rPr>
        <w:t>Fee units are given in 2018-19 fee unit values.</w:t>
      </w:r>
    </w:p>
    <w:p w14:paraId="0A858554" w14:textId="77777777" w:rsidR="001433A1" w:rsidRPr="009B2611" w:rsidRDefault="001433A1" w:rsidP="001433A1">
      <w:pPr>
        <w:pStyle w:val="Heading4un-numbered"/>
      </w:pPr>
      <w:r w:rsidRPr="009B2611">
        <w:t xml:space="preserve">Option 1: Tiered </w:t>
      </w:r>
      <w:r w:rsidRPr="007E352A">
        <w:t>fee</w:t>
      </w:r>
      <w:r>
        <w:t xml:space="preserve"> </w:t>
      </w:r>
      <w:r w:rsidRPr="009B2611">
        <w:t>structure</w:t>
      </w:r>
    </w:p>
    <w:p w14:paraId="3F588DF4" w14:textId="77777777" w:rsidR="001433A1" w:rsidRDefault="001433A1" w:rsidP="001433A1">
      <w:pPr>
        <w:spacing w:after="0"/>
      </w:pPr>
      <w:r>
        <w:rPr>
          <w:i/>
        </w:rPr>
        <w:t>Cost reflectivity</w:t>
      </w:r>
    </w:p>
    <w:p w14:paraId="434AAA73" w14:textId="77777777" w:rsidR="001433A1" w:rsidRDefault="001433A1" w:rsidP="001433A1">
      <w:r w:rsidRPr="009B2611">
        <w:t xml:space="preserve">As is the case for all the options considered here, a score of +10 </w:t>
      </w:r>
      <w:r>
        <w:t xml:space="preserve">is given for cost reflectivity </w:t>
      </w:r>
      <w:r w:rsidRPr="009B2611">
        <w:t xml:space="preserve">as all costs are recovered. </w:t>
      </w:r>
    </w:p>
    <w:p w14:paraId="2279CB55" w14:textId="77777777" w:rsidR="001433A1" w:rsidRPr="00037AF8" w:rsidRDefault="001433A1" w:rsidP="001433A1">
      <w:pPr>
        <w:spacing w:after="0"/>
        <w:rPr>
          <w:i/>
        </w:rPr>
      </w:pPr>
      <w:r>
        <w:rPr>
          <w:i/>
        </w:rPr>
        <w:t>Equity</w:t>
      </w:r>
      <w:r w:rsidRPr="00037AF8" w:rsidDel="00617BE1">
        <w:rPr>
          <w:i/>
        </w:rPr>
        <w:t xml:space="preserve"> </w:t>
      </w:r>
    </w:p>
    <w:p w14:paraId="357A2F48" w14:textId="77777777" w:rsidR="001433A1" w:rsidRDefault="001433A1" w:rsidP="001433A1">
      <w:r w:rsidRPr="009B2611">
        <w:t>In terms of parties bearing the costs they give rise to, this fee structure accounts for both the administrative costs involved in permits for different parties and the differences in terms of risk that transporting different wastes presents to the community. As this fee is variable based on both the volume of waste transported as well as the type of waste, all else equal it might lead to higher fees for large businesses if they are more likely to transport large volumes. However, some parties may only transport high-risk</w:t>
      </w:r>
      <w:r>
        <w:t xml:space="preserve"> or</w:t>
      </w:r>
      <w:r w:rsidRPr="009B2611">
        <w:t xml:space="preserve"> high-volume</w:t>
      </w:r>
      <w:r>
        <w:t>s</w:t>
      </w:r>
      <w:r w:rsidRPr="009B2611">
        <w:t xml:space="preserve"> </w:t>
      </w:r>
      <w:r>
        <w:t xml:space="preserve">of reportable priority waste </w:t>
      </w:r>
      <w:r w:rsidRPr="009B2611">
        <w:t>on an infrequent basis, which this fee structure is unable to account for. Overall, a score of +7 is given</w:t>
      </w:r>
      <w:r>
        <w:t xml:space="preserve"> for equity</w:t>
      </w:r>
      <w:r w:rsidRPr="009B2611">
        <w:t>.</w:t>
      </w:r>
    </w:p>
    <w:p w14:paraId="2B74A7DD" w14:textId="77777777" w:rsidR="001433A1" w:rsidRPr="00037AF8" w:rsidRDefault="001433A1" w:rsidP="001433A1">
      <w:pPr>
        <w:spacing w:after="0"/>
        <w:rPr>
          <w:i/>
        </w:rPr>
      </w:pPr>
      <w:r>
        <w:rPr>
          <w:i/>
        </w:rPr>
        <w:t>Simple and easy to understand and administer</w:t>
      </w:r>
    </w:p>
    <w:p w14:paraId="3558806F" w14:textId="77777777" w:rsidR="001433A1" w:rsidRPr="009B2611" w:rsidRDefault="001433A1" w:rsidP="001433A1">
      <w:r w:rsidRPr="009B2611">
        <w:t xml:space="preserve">While this is a somewhat complex fee structure, it is very similar to what is currently in place, and allows applicants to understand the fees they will pay in advance of submitting an application. A score of -4 is given </w:t>
      </w:r>
      <w:r>
        <w:t>for simplicity and ease of administration</w:t>
      </w:r>
      <w:r w:rsidRPr="009B2611">
        <w:t>.</w:t>
      </w:r>
    </w:p>
    <w:p w14:paraId="1F43F02D" w14:textId="77777777" w:rsidR="001433A1" w:rsidRPr="009B2611" w:rsidRDefault="001433A1" w:rsidP="001433A1">
      <w:pPr>
        <w:pStyle w:val="Heading4un-numbered"/>
      </w:pPr>
      <w:r w:rsidRPr="009B2611">
        <w:t>Option 2: Flat fee</w:t>
      </w:r>
    </w:p>
    <w:p w14:paraId="0C61BDA0" w14:textId="77777777" w:rsidR="001433A1" w:rsidRPr="009B2611" w:rsidRDefault="001433A1" w:rsidP="001433A1">
      <w:pPr>
        <w:spacing w:after="0"/>
      </w:pPr>
      <w:r>
        <w:rPr>
          <w:i/>
        </w:rPr>
        <w:t>Equity</w:t>
      </w:r>
    </w:p>
    <w:p w14:paraId="1CB45D59" w14:textId="77777777" w:rsidR="001433A1" w:rsidRDefault="001433A1" w:rsidP="001433A1">
      <w:r w:rsidRPr="009B2611">
        <w:t xml:space="preserve">In terms of equity, as all applicants are charged the same fee, different levels of administrative time for each application (which range from approximately </w:t>
      </w:r>
      <w:r w:rsidRPr="007E352A">
        <w:t>3 to 6.5</w:t>
      </w:r>
      <w:r w:rsidRPr="009B2611">
        <w:t xml:space="preserve"> hours), and differences in risk that transporting different wastes presents to the community, are not accounted for</w:t>
      </w:r>
      <w:r>
        <w:t xml:space="preserve">. </w:t>
      </w:r>
      <w:r w:rsidRPr="009B2611">
        <w:t xml:space="preserve">However, there is a relatively small gap between the minimum and maximum time required to administer these permits in part because the lowest risk </w:t>
      </w:r>
      <w:r>
        <w:t xml:space="preserve">classes of reportable priority waste </w:t>
      </w:r>
      <w:r w:rsidRPr="009B2611">
        <w:t>have been moved to the registration tier.</w:t>
      </w:r>
    </w:p>
    <w:p w14:paraId="4E6DD7FA" w14:textId="77777777" w:rsidR="001433A1" w:rsidRDefault="001433A1" w:rsidP="001433A1">
      <w:r w:rsidRPr="009B2611">
        <w:t xml:space="preserve">Under Option 2 the flat fee is higher than the minimum payable for both Options 1 and 3, however the maximum chargeable is also lower. As </w:t>
      </w:r>
      <w:r>
        <w:t xml:space="preserve">the </w:t>
      </w:r>
      <w:r w:rsidRPr="009B2611">
        <w:t>ability to pay of small businesses is weighted higher than large businesses in this MCA, this option is scored slightly lower than Option 1 and 3</w:t>
      </w:r>
      <w:r>
        <w:t xml:space="preserve"> </w:t>
      </w:r>
      <w:r w:rsidRPr="009B2611">
        <w:t>for the equity criteri</w:t>
      </w:r>
      <w:r>
        <w:t>on</w:t>
      </w:r>
      <w:r w:rsidRPr="009B2611">
        <w:t>. A score of +5 is given</w:t>
      </w:r>
      <w:r>
        <w:t xml:space="preserve"> for equity</w:t>
      </w:r>
      <w:r w:rsidRPr="009B2611">
        <w:t>.</w:t>
      </w:r>
    </w:p>
    <w:p w14:paraId="670377F2" w14:textId="77777777" w:rsidR="001433A1" w:rsidRPr="00037AF8" w:rsidRDefault="001433A1" w:rsidP="001433A1">
      <w:pPr>
        <w:spacing w:after="0"/>
        <w:rPr>
          <w:i/>
        </w:rPr>
      </w:pPr>
      <w:r>
        <w:rPr>
          <w:i/>
        </w:rPr>
        <w:t>Simple and easy to understand and administer</w:t>
      </w:r>
    </w:p>
    <w:p w14:paraId="0B1D6EDC" w14:textId="77777777" w:rsidR="001433A1" w:rsidRPr="009B2611" w:rsidRDefault="001433A1" w:rsidP="001433A1">
      <w:pPr>
        <w:rPr>
          <w:strike/>
        </w:rPr>
      </w:pPr>
      <w:r w:rsidRPr="009B2611">
        <w:t>In terms of ease and simplicity of administration, this option scores highest among the three options as all waste transporters pay the same fee and the fee level is known to applicants in advance. A score of -1 is given</w:t>
      </w:r>
      <w:r>
        <w:t>.</w:t>
      </w:r>
    </w:p>
    <w:p w14:paraId="0332AFA3" w14:textId="77777777" w:rsidR="001433A1" w:rsidRPr="009B2611" w:rsidRDefault="001433A1" w:rsidP="001433A1">
      <w:pPr>
        <w:pStyle w:val="Heading4un-numbered"/>
      </w:pPr>
      <w:r w:rsidRPr="009B2611">
        <w:t>Option 3: Base fee plus hourly rate</w:t>
      </w:r>
    </w:p>
    <w:p w14:paraId="4A88BF27" w14:textId="77777777" w:rsidR="001433A1" w:rsidRDefault="001433A1" w:rsidP="001433A1">
      <w:pPr>
        <w:spacing w:after="0"/>
      </w:pPr>
      <w:r>
        <w:rPr>
          <w:i/>
        </w:rPr>
        <w:t>Equity</w:t>
      </w:r>
    </w:p>
    <w:p w14:paraId="7B1A2B2F" w14:textId="77777777" w:rsidR="001433A1" w:rsidRDefault="001433A1" w:rsidP="001433A1">
      <w:r w:rsidRPr="009B2611">
        <w:t xml:space="preserve">In terms of equity, while a variable fee structure better targets fees to those parties that create the administrative burden in comparison to the </w:t>
      </w:r>
      <w:r w:rsidRPr="00785A28">
        <w:t xml:space="preserve">tiered </w:t>
      </w:r>
      <w:r w:rsidRPr="007E352A">
        <w:t>fee</w:t>
      </w:r>
      <w:r>
        <w:t xml:space="preserve"> </w:t>
      </w:r>
      <w:r w:rsidRPr="009B2611">
        <w:t>structure, in terms of ability to pay it does not do particularly better or worse than other options. There is a greater risk of smaller operators being charged high fees if the application is particularly complex, yet the minimum fee is lower than a flat fee. A score of +6 is given.</w:t>
      </w:r>
    </w:p>
    <w:p w14:paraId="35F7B01F" w14:textId="77777777" w:rsidR="001433A1" w:rsidRPr="009B2611" w:rsidRDefault="001433A1" w:rsidP="001433A1">
      <w:pPr>
        <w:spacing w:after="0"/>
      </w:pPr>
      <w:r>
        <w:rPr>
          <w:i/>
        </w:rPr>
        <w:t>Simple and easy to understand and administer</w:t>
      </w:r>
    </w:p>
    <w:p w14:paraId="7A2C6D73" w14:textId="27A49634" w:rsidR="001433A1" w:rsidRPr="009B2611" w:rsidRDefault="001433A1" w:rsidP="001433A1">
      <w:r w:rsidRPr="009B2611">
        <w:t xml:space="preserve">An hourly rate fee structure is significantly more complex to administer than the other options given EPA will need to implement a time recording system and EPA staff will need to record time spent per application. </w:t>
      </w:r>
      <w:r>
        <w:t>As noted in the MCA discussions in section</w:t>
      </w:r>
      <w:r w:rsidR="00F91176">
        <w:t xml:space="preserve"> </w:t>
      </w:r>
      <w:r w:rsidR="00F91176">
        <w:fldChar w:fldCharType="begin"/>
      </w:r>
      <w:r w:rsidR="00F91176">
        <w:instrText xml:space="preserve"> REF _Ref16613090 \r \h </w:instrText>
      </w:r>
      <w:r w:rsidR="00F91176">
        <w:fldChar w:fldCharType="separate"/>
      </w:r>
      <w:r w:rsidR="00F91176">
        <w:t>16.8.3</w:t>
      </w:r>
      <w:r w:rsidR="00F91176">
        <w:fldChar w:fldCharType="end"/>
      </w:r>
      <w:r w:rsidR="00F91176">
        <w:t xml:space="preserve"> and </w:t>
      </w:r>
      <w:r w:rsidR="00F91176" w:rsidRPr="00F91176">
        <w:fldChar w:fldCharType="begin"/>
      </w:r>
      <w:r w:rsidR="00F91176" w:rsidRPr="00A93F1D">
        <w:instrText xml:space="preserve"> REF _Ref16674199 \r \h </w:instrText>
      </w:r>
      <w:r w:rsidR="00F91176">
        <w:instrText xml:space="preserve"> \* MERGEFORMAT </w:instrText>
      </w:r>
      <w:r w:rsidR="00F91176" w:rsidRPr="00F91176">
        <w:fldChar w:fldCharType="separate"/>
      </w:r>
      <w:r w:rsidR="00F91176" w:rsidRPr="00F91176">
        <w:t>16.8.4</w:t>
      </w:r>
      <w:r w:rsidR="00F91176" w:rsidRPr="00F91176">
        <w:fldChar w:fldCharType="end"/>
      </w:r>
      <w:r w:rsidRPr="007E352A">
        <w:t>,</w:t>
      </w:r>
      <w:r>
        <w:t xml:space="preserve"> d</w:t>
      </w:r>
      <w:r w:rsidRPr="009B2611">
        <w:t xml:space="preserve">espite some areas of </w:t>
      </w:r>
      <w:r>
        <w:t>EPA</w:t>
      </w:r>
      <w:r w:rsidRPr="009B2611">
        <w:t xml:space="preserve"> currently record</w:t>
      </w:r>
      <w:r>
        <w:t>ing</w:t>
      </w:r>
      <w:r w:rsidRPr="009B2611">
        <w:t xml:space="preserve"> assessment time, this is a significant cultural change and will impose significant costs in terms of time and IT</w:t>
      </w:r>
      <w:r>
        <w:t xml:space="preserve"> systems</w:t>
      </w:r>
      <w:r w:rsidRPr="009B2611">
        <w:t>. Give</w:t>
      </w:r>
      <w:r>
        <w:t>n there are only an estimated 40</w:t>
      </w:r>
      <w:r w:rsidRPr="009B2611">
        <w:t xml:space="preserve"> applications a year, it may be manageable. There might also be a cost saving because, given higher quality applications take less time to administer than low</w:t>
      </w:r>
      <w:r>
        <w:t>er</w:t>
      </w:r>
      <w:r w:rsidRPr="009B2611">
        <w:t xml:space="preserve"> quality ones, communicating this to applicants and charging applicants based on </w:t>
      </w:r>
      <w:r>
        <w:t>processing time</w:t>
      </w:r>
      <w:r w:rsidRPr="009B2611">
        <w:t xml:space="preserve"> gives them an incentive to submit high</w:t>
      </w:r>
      <w:r>
        <w:t>er</w:t>
      </w:r>
      <w:r w:rsidRPr="009B2611">
        <w:t xml:space="preserve"> quality applications. On the other hand, the small number of applications might not justify the cost of implementing such an option. An additional drawback to this option is that applicants would </w:t>
      </w:r>
      <w:r>
        <w:t>not</w:t>
      </w:r>
      <w:r w:rsidRPr="009B2611">
        <w:t xml:space="preserve"> know the fee in advance</w:t>
      </w:r>
      <w:r>
        <w:t xml:space="preserve">. </w:t>
      </w:r>
      <w:r w:rsidRPr="009B2611">
        <w:t>A score of -7 is given.</w:t>
      </w:r>
    </w:p>
    <w:p w14:paraId="156FCCF7" w14:textId="77777777" w:rsidR="001433A1" w:rsidRPr="009B2611" w:rsidRDefault="001433A1" w:rsidP="001433A1">
      <w:pPr>
        <w:pStyle w:val="Heading4un-numbered"/>
      </w:pPr>
      <w:r w:rsidRPr="009B2611">
        <w:t>Preferred option: Flat fee</w:t>
      </w:r>
    </w:p>
    <w:p w14:paraId="7D16E0B1" w14:textId="77777777" w:rsidR="001433A1" w:rsidRDefault="001433A1" w:rsidP="001433A1">
      <w:r w:rsidRPr="000E7C5E">
        <w:rPr>
          <w:szCs w:val="20"/>
        </w:rPr>
        <w:fldChar w:fldCharType="begin"/>
      </w:r>
      <w:r w:rsidRPr="000E7C5E">
        <w:rPr>
          <w:szCs w:val="20"/>
        </w:rPr>
        <w:instrText xml:space="preserve"> REF _Ref7703773 \h </w:instrText>
      </w:r>
      <w:r w:rsidRPr="00BE69BC">
        <w:rPr>
          <w:szCs w:val="20"/>
        </w:rPr>
        <w:instrText xml:space="preserve"> \* MERGEFORMAT </w:instrText>
      </w:r>
      <w:r w:rsidRPr="000E7C5E">
        <w:rPr>
          <w:szCs w:val="20"/>
        </w:rPr>
      </w:r>
      <w:r w:rsidRPr="000E7C5E">
        <w:rPr>
          <w:szCs w:val="20"/>
        </w:rPr>
        <w:fldChar w:fldCharType="separate"/>
      </w:r>
      <w:r w:rsidRPr="00037AF8" w:rsidDel="00B11C1E">
        <w:rPr>
          <w:szCs w:val="20"/>
        </w:rPr>
        <w:t>Table 16</w:t>
      </w:r>
      <w:r w:rsidRPr="00037AF8" w:rsidDel="00B11C1E">
        <w:rPr>
          <w:szCs w:val="20"/>
        </w:rPr>
        <w:noBreakHyphen/>
        <w:t>10</w:t>
      </w:r>
      <w:r w:rsidRPr="000E7C5E">
        <w:rPr>
          <w:szCs w:val="20"/>
        </w:rPr>
        <w:fldChar w:fldCharType="end"/>
      </w:r>
      <w:r w:rsidRPr="007F3CBE">
        <w:rPr>
          <w:szCs w:val="20"/>
        </w:rPr>
        <w:t xml:space="preserve"> presents</w:t>
      </w:r>
      <w:r w:rsidRPr="00BE69BC">
        <w:t xml:space="preserve"> </w:t>
      </w:r>
      <w:r w:rsidRPr="009B2611">
        <w:t>the results of the MCA. The flat fee option (Option 2) scores</w:t>
      </w:r>
      <w:r>
        <w:t xml:space="preserve"> marginally</w:t>
      </w:r>
      <w:r w:rsidRPr="009B2611">
        <w:t xml:space="preserve"> higher than the tiered</w:t>
      </w:r>
      <w:r>
        <w:t xml:space="preserve"> </w:t>
      </w:r>
      <w:r w:rsidRPr="007E352A">
        <w:t>fee structure</w:t>
      </w:r>
      <w:r w:rsidRPr="009B2611">
        <w:t xml:space="preserve"> option (Option 1). While Option 1 scores higher in terms of equity due to better targeted fees, Option 2 scores higher in terms of being simple and easy to</w:t>
      </w:r>
      <w:r>
        <w:t xml:space="preserve"> understand and</w:t>
      </w:r>
      <w:r w:rsidRPr="009B2611">
        <w:t xml:space="preserve"> administer. </w:t>
      </w:r>
      <w:r>
        <w:t xml:space="preserve">However, the scores are very close. This means that the </w:t>
      </w:r>
      <w:r w:rsidRPr="00494019">
        <w:t xml:space="preserve">rankings could change with a </w:t>
      </w:r>
      <w:r>
        <w:t>small</w:t>
      </w:r>
      <w:r w:rsidRPr="00494019">
        <w:t xml:space="preserve"> difference</w:t>
      </w:r>
      <w:r>
        <w:t xml:space="preserve"> in</w:t>
      </w:r>
      <w:r w:rsidRPr="00494019">
        <w:t xml:space="preserve"> </w:t>
      </w:r>
      <w:r>
        <w:t>scoring</w:t>
      </w:r>
      <w:r w:rsidRPr="00494019">
        <w:t>,</w:t>
      </w:r>
      <w:r>
        <w:t xml:space="preserve"> or weighting of criteria.</w:t>
      </w:r>
    </w:p>
    <w:p w14:paraId="7EFDE7F2"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10</w:t>
      </w:r>
      <w:r>
        <w:rPr>
          <w:color w:val="75787B" w:themeColor="accent6"/>
          <w:sz w:val="17"/>
          <w:shd w:val="clear" w:color="auto" w:fill="E6E6E6"/>
        </w:rPr>
        <w:fldChar w:fldCharType="end"/>
      </w:r>
      <w:r w:rsidRPr="009B2611">
        <w:rPr>
          <w:iCs/>
          <w:color w:val="75787B" w:themeColor="accent6"/>
          <w:sz w:val="17"/>
        </w:rPr>
        <w:t xml:space="preserve">: </w:t>
      </w:r>
      <w:r w:rsidRPr="007E352A">
        <w:rPr>
          <w:iCs/>
          <w:color w:val="75787B" w:themeColor="accent6"/>
          <w:sz w:val="17"/>
        </w:rPr>
        <w:t>Permits to transport</w:t>
      </w:r>
      <w:r w:rsidRPr="00785A28">
        <w:rPr>
          <w:iCs/>
          <w:color w:val="75787B" w:themeColor="accent6"/>
          <w:sz w:val="17"/>
        </w:rPr>
        <w:t xml:space="preserve"> reportable priority waste</w:t>
      </w:r>
      <w:r w:rsidRPr="007E352A">
        <w:rPr>
          <w:iCs/>
          <w:color w:val="75787B" w:themeColor="accent6"/>
          <w:sz w:val="17"/>
        </w:rPr>
        <w:t>: MCA results</w:t>
      </w:r>
    </w:p>
    <w:tbl>
      <w:tblPr>
        <w:tblStyle w:val="Deloittetable1"/>
        <w:tblW w:w="4970" w:type="pct"/>
        <w:tblLook w:val="04A0" w:firstRow="1" w:lastRow="0" w:firstColumn="1" w:lastColumn="0" w:noHBand="0" w:noVBand="1"/>
      </w:tblPr>
      <w:tblGrid>
        <w:gridCol w:w="4396"/>
        <w:gridCol w:w="1841"/>
        <w:gridCol w:w="1276"/>
        <w:gridCol w:w="1767"/>
        <w:gridCol w:w="19"/>
      </w:tblGrid>
      <w:tr w:rsidR="001433A1" w:rsidRPr="009B2611" w14:paraId="1DF3498B" w14:textId="77777777" w:rsidTr="001433A1">
        <w:trPr>
          <w:cnfStyle w:val="100000000000" w:firstRow="1" w:lastRow="0" w:firstColumn="0" w:lastColumn="0" w:oddVBand="0" w:evenVBand="0" w:oddHBand="0" w:evenHBand="0" w:firstRowFirstColumn="0" w:firstRowLastColumn="0" w:lastRowFirstColumn="0" w:lastRowLastColumn="0"/>
          <w:trHeight w:val="274"/>
        </w:trPr>
        <w:tc>
          <w:tcPr>
            <w:tcW w:w="2363" w:type="pct"/>
          </w:tcPr>
          <w:p w14:paraId="6DB83209" w14:textId="77777777" w:rsidR="001433A1" w:rsidRPr="009B2611" w:rsidRDefault="001433A1" w:rsidP="001433A1">
            <w:pPr>
              <w:spacing w:after="0" w:line="240" w:lineRule="auto"/>
              <w:rPr>
                <w:sz w:val="17"/>
              </w:rPr>
            </w:pPr>
          </w:p>
        </w:tc>
        <w:tc>
          <w:tcPr>
            <w:tcW w:w="990" w:type="pct"/>
            <w:hideMark/>
          </w:tcPr>
          <w:p w14:paraId="4E647EAD" w14:textId="77777777" w:rsidR="001433A1" w:rsidRPr="00153F27" w:rsidRDefault="001433A1" w:rsidP="007E352A">
            <w:pPr>
              <w:spacing w:after="0" w:line="240" w:lineRule="auto"/>
              <w:ind w:right="57"/>
              <w:jc w:val="right"/>
              <w:rPr>
                <w:b/>
                <w:sz w:val="18"/>
              </w:rPr>
            </w:pPr>
            <w:r w:rsidRPr="00153F27">
              <w:rPr>
                <w:b/>
                <w:sz w:val="18"/>
              </w:rPr>
              <w:t xml:space="preserve">Option 1: </w:t>
            </w:r>
          </w:p>
          <w:p w14:paraId="005C92FC" w14:textId="77777777" w:rsidR="001433A1" w:rsidRPr="00153F27" w:rsidRDefault="001433A1" w:rsidP="007E352A">
            <w:pPr>
              <w:spacing w:after="0" w:line="240" w:lineRule="auto"/>
              <w:ind w:right="57"/>
              <w:jc w:val="right"/>
              <w:rPr>
                <w:sz w:val="18"/>
              </w:rPr>
            </w:pPr>
            <w:r w:rsidRPr="00153F27">
              <w:rPr>
                <w:sz w:val="18"/>
              </w:rPr>
              <w:t xml:space="preserve">Tiered </w:t>
            </w:r>
            <w:r w:rsidRPr="007E352A">
              <w:rPr>
                <w:sz w:val="18"/>
              </w:rPr>
              <w:t>fee</w:t>
            </w:r>
            <w:r>
              <w:rPr>
                <w:sz w:val="18"/>
              </w:rPr>
              <w:t xml:space="preserve"> </w:t>
            </w:r>
            <w:r w:rsidRPr="00153F27">
              <w:rPr>
                <w:sz w:val="18"/>
              </w:rPr>
              <w:t>structure</w:t>
            </w:r>
          </w:p>
        </w:tc>
        <w:tc>
          <w:tcPr>
            <w:tcW w:w="686" w:type="pct"/>
            <w:hideMark/>
          </w:tcPr>
          <w:p w14:paraId="7A7F82BE" w14:textId="77777777" w:rsidR="001433A1" w:rsidRPr="00153F27" w:rsidRDefault="001433A1" w:rsidP="007E352A">
            <w:pPr>
              <w:spacing w:after="0" w:line="240" w:lineRule="auto"/>
              <w:ind w:right="57"/>
              <w:jc w:val="right"/>
              <w:rPr>
                <w:b/>
                <w:sz w:val="18"/>
              </w:rPr>
            </w:pPr>
            <w:r w:rsidRPr="00153F27">
              <w:rPr>
                <w:b/>
                <w:sz w:val="18"/>
              </w:rPr>
              <w:t xml:space="preserve">Option 2: </w:t>
            </w:r>
          </w:p>
          <w:p w14:paraId="08C7B1E2" w14:textId="77777777" w:rsidR="001433A1" w:rsidRPr="00153F27" w:rsidRDefault="001433A1" w:rsidP="007E352A">
            <w:pPr>
              <w:spacing w:after="0" w:line="240" w:lineRule="auto"/>
              <w:ind w:right="57"/>
              <w:jc w:val="right"/>
              <w:rPr>
                <w:sz w:val="18"/>
              </w:rPr>
            </w:pPr>
            <w:r w:rsidRPr="00153F27">
              <w:rPr>
                <w:sz w:val="18"/>
              </w:rPr>
              <w:t>Flat fee</w:t>
            </w:r>
          </w:p>
        </w:tc>
        <w:tc>
          <w:tcPr>
            <w:tcW w:w="950" w:type="pct"/>
            <w:hideMark/>
          </w:tcPr>
          <w:p w14:paraId="6FFFDA87" w14:textId="77777777" w:rsidR="001433A1" w:rsidRPr="00153F27" w:rsidRDefault="001433A1" w:rsidP="007E352A">
            <w:pPr>
              <w:spacing w:after="0" w:line="240" w:lineRule="auto"/>
              <w:ind w:right="57"/>
              <w:jc w:val="right"/>
              <w:rPr>
                <w:b/>
                <w:sz w:val="18"/>
              </w:rPr>
            </w:pPr>
            <w:r w:rsidRPr="00153F27">
              <w:rPr>
                <w:b/>
                <w:sz w:val="18"/>
              </w:rPr>
              <w:t xml:space="preserve">Option 3: </w:t>
            </w:r>
          </w:p>
          <w:p w14:paraId="456F6C6C" w14:textId="77777777" w:rsidR="001433A1" w:rsidRPr="00153F27" w:rsidRDefault="001433A1" w:rsidP="007E352A">
            <w:pPr>
              <w:spacing w:after="0" w:line="240" w:lineRule="auto"/>
              <w:ind w:right="57"/>
              <w:jc w:val="right"/>
              <w:rPr>
                <w:sz w:val="18"/>
              </w:rPr>
            </w:pPr>
            <w:r w:rsidRPr="00153F27">
              <w:rPr>
                <w:sz w:val="18"/>
              </w:rPr>
              <w:t xml:space="preserve">Base fee plus       </w:t>
            </w:r>
            <w:r>
              <w:rPr>
                <w:sz w:val="18"/>
              </w:rPr>
              <w:t xml:space="preserve">    </w:t>
            </w:r>
            <w:r w:rsidRPr="00153F27">
              <w:rPr>
                <w:sz w:val="18"/>
              </w:rPr>
              <w:t xml:space="preserve">    hourly rate</w:t>
            </w:r>
          </w:p>
        </w:tc>
        <w:tc>
          <w:tcPr>
            <w:tcW w:w="10" w:type="pct"/>
          </w:tcPr>
          <w:p w14:paraId="5E9F3CFB" w14:textId="77777777" w:rsidR="001433A1" w:rsidRPr="009B2611" w:rsidRDefault="001433A1" w:rsidP="001433A1">
            <w:pPr>
              <w:rPr>
                <w:sz w:val="17"/>
              </w:rPr>
            </w:pPr>
          </w:p>
        </w:tc>
      </w:tr>
      <w:tr w:rsidR="001433A1" w:rsidRPr="009B2611" w14:paraId="2D34C145" w14:textId="77777777" w:rsidTr="001433A1">
        <w:trPr>
          <w:trHeight w:val="265"/>
        </w:trPr>
        <w:tc>
          <w:tcPr>
            <w:tcW w:w="2363" w:type="pct"/>
            <w:hideMark/>
          </w:tcPr>
          <w:p w14:paraId="1959239A" w14:textId="77777777" w:rsidR="001433A1" w:rsidRPr="009B2611" w:rsidRDefault="001433A1" w:rsidP="001433A1">
            <w:pPr>
              <w:spacing w:after="0" w:line="240" w:lineRule="auto"/>
            </w:pPr>
            <w:r>
              <w:rPr>
                <w:sz w:val="18"/>
              </w:rPr>
              <w:t>Cost reflectivity</w:t>
            </w:r>
          </w:p>
        </w:tc>
        <w:tc>
          <w:tcPr>
            <w:tcW w:w="990" w:type="pct"/>
            <w:hideMark/>
          </w:tcPr>
          <w:p w14:paraId="0BB79713" w14:textId="77777777" w:rsidR="001433A1" w:rsidRPr="009B2611" w:rsidRDefault="001433A1" w:rsidP="007E352A">
            <w:pPr>
              <w:spacing w:after="0" w:line="240" w:lineRule="auto"/>
              <w:ind w:right="57"/>
              <w:jc w:val="right"/>
            </w:pPr>
            <w:r w:rsidRPr="003257DD">
              <w:rPr>
                <w:sz w:val="18"/>
              </w:rPr>
              <w:t>+10</w:t>
            </w:r>
          </w:p>
        </w:tc>
        <w:tc>
          <w:tcPr>
            <w:tcW w:w="686" w:type="pct"/>
            <w:hideMark/>
          </w:tcPr>
          <w:p w14:paraId="1D2B7C5C" w14:textId="77777777" w:rsidR="001433A1" w:rsidRPr="009B2611" w:rsidRDefault="001433A1" w:rsidP="007E352A">
            <w:pPr>
              <w:spacing w:after="0" w:line="240" w:lineRule="auto"/>
              <w:ind w:right="57"/>
              <w:jc w:val="right"/>
            </w:pPr>
            <w:r w:rsidRPr="003257DD">
              <w:rPr>
                <w:sz w:val="18"/>
              </w:rPr>
              <w:t>+10</w:t>
            </w:r>
          </w:p>
        </w:tc>
        <w:tc>
          <w:tcPr>
            <w:tcW w:w="950" w:type="pct"/>
            <w:hideMark/>
          </w:tcPr>
          <w:p w14:paraId="284EA1B3" w14:textId="77777777" w:rsidR="001433A1" w:rsidRPr="009B2611" w:rsidRDefault="001433A1" w:rsidP="007E352A">
            <w:pPr>
              <w:spacing w:after="0" w:line="240" w:lineRule="auto"/>
              <w:ind w:right="57"/>
              <w:jc w:val="right"/>
            </w:pPr>
            <w:r w:rsidRPr="003257DD">
              <w:rPr>
                <w:sz w:val="18"/>
              </w:rPr>
              <w:t>+10</w:t>
            </w:r>
          </w:p>
        </w:tc>
        <w:tc>
          <w:tcPr>
            <w:tcW w:w="10" w:type="pct"/>
          </w:tcPr>
          <w:p w14:paraId="6B9E266B" w14:textId="77777777" w:rsidR="001433A1" w:rsidRPr="009B2611" w:rsidRDefault="001433A1" w:rsidP="001433A1">
            <w:pPr>
              <w:rPr>
                <w:sz w:val="17"/>
              </w:rPr>
            </w:pPr>
          </w:p>
        </w:tc>
      </w:tr>
      <w:tr w:rsidR="001433A1" w:rsidRPr="009B2611" w14:paraId="7D040C3A" w14:textId="77777777" w:rsidTr="001433A1">
        <w:trPr>
          <w:trHeight w:val="230"/>
        </w:trPr>
        <w:tc>
          <w:tcPr>
            <w:tcW w:w="2363" w:type="pct"/>
            <w:hideMark/>
          </w:tcPr>
          <w:p w14:paraId="5BE74B35" w14:textId="77777777" w:rsidR="001433A1" w:rsidRPr="009B2611" w:rsidRDefault="001433A1" w:rsidP="001433A1">
            <w:pPr>
              <w:spacing w:after="0" w:line="240" w:lineRule="auto"/>
            </w:pPr>
            <w:r w:rsidRPr="003257DD">
              <w:rPr>
                <w:sz w:val="18"/>
              </w:rPr>
              <w:t>Equity</w:t>
            </w:r>
          </w:p>
        </w:tc>
        <w:tc>
          <w:tcPr>
            <w:tcW w:w="990" w:type="pct"/>
            <w:hideMark/>
          </w:tcPr>
          <w:p w14:paraId="533D139C" w14:textId="77777777" w:rsidR="001433A1" w:rsidRPr="009B2611" w:rsidRDefault="001433A1" w:rsidP="007E352A">
            <w:pPr>
              <w:spacing w:after="0" w:line="240" w:lineRule="auto"/>
              <w:ind w:right="57"/>
              <w:jc w:val="right"/>
            </w:pPr>
            <w:r w:rsidRPr="003257DD">
              <w:rPr>
                <w:sz w:val="18"/>
              </w:rPr>
              <w:t>+7</w:t>
            </w:r>
          </w:p>
        </w:tc>
        <w:tc>
          <w:tcPr>
            <w:tcW w:w="686" w:type="pct"/>
            <w:hideMark/>
          </w:tcPr>
          <w:p w14:paraId="69261BF7" w14:textId="77777777" w:rsidR="001433A1" w:rsidRPr="009B2611" w:rsidRDefault="001433A1" w:rsidP="007E352A">
            <w:pPr>
              <w:spacing w:after="0" w:line="240" w:lineRule="auto"/>
              <w:ind w:right="57"/>
              <w:jc w:val="right"/>
            </w:pPr>
            <w:r w:rsidRPr="003257DD">
              <w:rPr>
                <w:sz w:val="18"/>
              </w:rPr>
              <w:t>+5</w:t>
            </w:r>
          </w:p>
        </w:tc>
        <w:tc>
          <w:tcPr>
            <w:tcW w:w="950" w:type="pct"/>
            <w:hideMark/>
          </w:tcPr>
          <w:p w14:paraId="760BB9D4" w14:textId="77777777" w:rsidR="001433A1" w:rsidRPr="009B2611" w:rsidRDefault="001433A1" w:rsidP="007E352A">
            <w:pPr>
              <w:spacing w:after="0" w:line="240" w:lineRule="auto"/>
              <w:ind w:right="57"/>
              <w:jc w:val="right"/>
            </w:pPr>
            <w:r w:rsidRPr="003257DD">
              <w:rPr>
                <w:sz w:val="18"/>
              </w:rPr>
              <w:t>+6</w:t>
            </w:r>
          </w:p>
        </w:tc>
        <w:tc>
          <w:tcPr>
            <w:tcW w:w="10" w:type="pct"/>
          </w:tcPr>
          <w:p w14:paraId="3AE4F7D2" w14:textId="77777777" w:rsidR="001433A1" w:rsidRPr="009B2611" w:rsidRDefault="001433A1" w:rsidP="001433A1">
            <w:pPr>
              <w:rPr>
                <w:sz w:val="17"/>
              </w:rPr>
            </w:pPr>
          </w:p>
        </w:tc>
      </w:tr>
      <w:tr w:rsidR="001433A1" w:rsidRPr="009B2611" w14:paraId="1250CD5B" w14:textId="77777777" w:rsidTr="001433A1">
        <w:trPr>
          <w:trHeight w:val="357"/>
        </w:trPr>
        <w:tc>
          <w:tcPr>
            <w:tcW w:w="2363" w:type="pct"/>
            <w:hideMark/>
          </w:tcPr>
          <w:p w14:paraId="1F55FE37" w14:textId="77777777" w:rsidR="001433A1" w:rsidRPr="009B2611" w:rsidRDefault="001433A1" w:rsidP="001433A1">
            <w:pPr>
              <w:spacing w:after="0" w:line="240" w:lineRule="auto"/>
            </w:pPr>
            <w:r w:rsidRPr="003257DD">
              <w:rPr>
                <w:sz w:val="18"/>
              </w:rPr>
              <w:t>Simple and easy to understand and administer</w:t>
            </w:r>
          </w:p>
        </w:tc>
        <w:tc>
          <w:tcPr>
            <w:tcW w:w="990" w:type="pct"/>
            <w:hideMark/>
          </w:tcPr>
          <w:p w14:paraId="4106423F" w14:textId="77777777" w:rsidR="001433A1" w:rsidRPr="009B2611" w:rsidRDefault="001433A1" w:rsidP="007E352A">
            <w:pPr>
              <w:spacing w:after="0" w:line="240" w:lineRule="auto"/>
              <w:ind w:right="57"/>
              <w:jc w:val="right"/>
            </w:pPr>
            <w:r w:rsidRPr="003257DD">
              <w:rPr>
                <w:sz w:val="18"/>
              </w:rPr>
              <w:t>-4</w:t>
            </w:r>
          </w:p>
        </w:tc>
        <w:tc>
          <w:tcPr>
            <w:tcW w:w="686" w:type="pct"/>
            <w:hideMark/>
          </w:tcPr>
          <w:p w14:paraId="2828428E" w14:textId="77777777" w:rsidR="001433A1" w:rsidRPr="009B2611" w:rsidRDefault="001433A1" w:rsidP="007E352A">
            <w:pPr>
              <w:spacing w:after="0" w:line="240" w:lineRule="auto"/>
              <w:ind w:right="57"/>
              <w:jc w:val="right"/>
            </w:pPr>
            <w:r w:rsidRPr="003257DD">
              <w:rPr>
                <w:sz w:val="18"/>
              </w:rPr>
              <w:t>-1</w:t>
            </w:r>
          </w:p>
        </w:tc>
        <w:tc>
          <w:tcPr>
            <w:tcW w:w="950" w:type="pct"/>
            <w:hideMark/>
          </w:tcPr>
          <w:p w14:paraId="2B8E08FF" w14:textId="77777777" w:rsidR="001433A1" w:rsidRPr="009B2611" w:rsidRDefault="001433A1" w:rsidP="007E352A">
            <w:pPr>
              <w:spacing w:after="0" w:line="240" w:lineRule="auto"/>
              <w:ind w:right="57"/>
              <w:jc w:val="right"/>
            </w:pPr>
            <w:r w:rsidRPr="003257DD">
              <w:rPr>
                <w:sz w:val="18"/>
              </w:rPr>
              <w:t>-7</w:t>
            </w:r>
          </w:p>
        </w:tc>
        <w:tc>
          <w:tcPr>
            <w:tcW w:w="10" w:type="pct"/>
          </w:tcPr>
          <w:p w14:paraId="02FBD616" w14:textId="77777777" w:rsidR="001433A1" w:rsidRPr="009B2611" w:rsidRDefault="001433A1" w:rsidP="001433A1">
            <w:pPr>
              <w:rPr>
                <w:sz w:val="17"/>
              </w:rPr>
            </w:pPr>
          </w:p>
        </w:tc>
      </w:tr>
      <w:tr w:rsidR="001433A1" w:rsidRPr="009B2611" w14:paraId="7F107010" w14:textId="77777777" w:rsidTr="001433A1">
        <w:trPr>
          <w:trHeight w:val="274"/>
        </w:trPr>
        <w:tc>
          <w:tcPr>
            <w:tcW w:w="2363" w:type="pct"/>
            <w:hideMark/>
          </w:tcPr>
          <w:p w14:paraId="40E2DADA" w14:textId="77777777" w:rsidR="001433A1" w:rsidRPr="009B2611" w:rsidRDefault="001433A1" w:rsidP="001433A1">
            <w:pPr>
              <w:spacing w:after="0" w:line="240" w:lineRule="auto"/>
              <w:rPr>
                <w:b/>
              </w:rPr>
            </w:pPr>
            <w:r w:rsidRPr="003257DD">
              <w:rPr>
                <w:b/>
                <w:sz w:val="18"/>
              </w:rPr>
              <w:t>Weighted score</w:t>
            </w:r>
          </w:p>
        </w:tc>
        <w:tc>
          <w:tcPr>
            <w:tcW w:w="990" w:type="pct"/>
            <w:hideMark/>
          </w:tcPr>
          <w:p w14:paraId="59F2AFEA" w14:textId="77777777" w:rsidR="001433A1" w:rsidRPr="009B2611" w:rsidRDefault="001433A1" w:rsidP="007E352A">
            <w:pPr>
              <w:spacing w:after="0" w:line="240" w:lineRule="auto"/>
              <w:ind w:right="57"/>
              <w:jc w:val="right"/>
              <w:rPr>
                <w:b/>
              </w:rPr>
            </w:pPr>
            <w:r w:rsidRPr="003257DD">
              <w:rPr>
                <w:b/>
                <w:sz w:val="18"/>
              </w:rPr>
              <w:t>+4.8</w:t>
            </w:r>
          </w:p>
        </w:tc>
        <w:tc>
          <w:tcPr>
            <w:tcW w:w="686" w:type="pct"/>
            <w:hideMark/>
          </w:tcPr>
          <w:p w14:paraId="4E53923A" w14:textId="77777777" w:rsidR="001433A1" w:rsidRPr="009B2611" w:rsidRDefault="001433A1" w:rsidP="007E352A">
            <w:pPr>
              <w:spacing w:after="0" w:line="240" w:lineRule="auto"/>
              <w:ind w:right="57"/>
              <w:jc w:val="right"/>
              <w:rPr>
                <w:b/>
              </w:rPr>
            </w:pPr>
            <w:r w:rsidRPr="003257DD">
              <w:rPr>
                <w:b/>
                <w:sz w:val="18"/>
              </w:rPr>
              <w:t>+5.0</w:t>
            </w:r>
          </w:p>
        </w:tc>
        <w:tc>
          <w:tcPr>
            <w:tcW w:w="950" w:type="pct"/>
            <w:hideMark/>
          </w:tcPr>
          <w:p w14:paraId="771D9C53" w14:textId="77777777" w:rsidR="001433A1" w:rsidRPr="009B2611" w:rsidRDefault="001433A1" w:rsidP="007E352A">
            <w:pPr>
              <w:spacing w:after="0" w:line="240" w:lineRule="auto"/>
              <w:ind w:right="57"/>
              <w:jc w:val="right"/>
              <w:rPr>
                <w:b/>
              </w:rPr>
            </w:pPr>
            <w:r w:rsidRPr="003257DD">
              <w:rPr>
                <w:b/>
                <w:sz w:val="18"/>
              </w:rPr>
              <w:t>+3.5</w:t>
            </w:r>
          </w:p>
        </w:tc>
        <w:tc>
          <w:tcPr>
            <w:tcW w:w="10" w:type="pct"/>
          </w:tcPr>
          <w:p w14:paraId="46031383" w14:textId="77777777" w:rsidR="001433A1" w:rsidRPr="009B2611" w:rsidRDefault="001433A1" w:rsidP="001433A1">
            <w:pPr>
              <w:rPr>
                <w:b/>
                <w:sz w:val="17"/>
              </w:rPr>
            </w:pPr>
          </w:p>
        </w:tc>
      </w:tr>
    </w:tbl>
    <w:p w14:paraId="34A81019" w14:textId="77777777" w:rsidR="001433A1" w:rsidRPr="009B2611" w:rsidRDefault="001433A1" w:rsidP="001433A1">
      <w:pPr>
        <w:spacing w:before="120" w:after="0"/>
        <w:rPr>
          <w:rFonts w:cs="Segoe UI Light"/>
          <w:szCs w:val="20"/>
        </w:rPr>
      </w:pPr>
    </w:p>
    <w:p w14:paraId="2E7E5358" w14:textId="77777777" w:rsidR="001433A1" w:rsidRPr="009B2611" w:rsidRDefault="001433A1" w:rsidP="001433A1">
      <w:pPr>
        <w:pStyle w:val="Heading3"/>
        <w:ind w:left="720"/>
      </w:pPr>
      <w:r w:rsidRPr="009B2611">
        <w:t>Council-issued permit: applications to construct</w:t>
      </w:r>
      <w:r>
        <w:t>, install</w:t>
      </w:r>
      <w:r w:rsidRPr="009B2611">
        <w:t xml:space="preserve"> or alter an on-site wastewater management system (s50(1)(b))</w:t>
      </w:r>
    </w:p>
    <w:p w14:paraId="3F501CA7" w14:textId="77777777" w:rsidR="001433A1" w:rsidRPr="009B2611" w:rsidRDefault="001433A1" w:rsidP="001433A1">
      <w:r w:rsidRPr="009B2611">
        <w:t>These permits issued through municipal councils relate to permission to construct</w:t>
      </w:r>
      <w:r>
        <w:t>, install</w:t>
      </w:r>
      <w:r w:rsidRPr="009B2611">
        <w:t xml:space="preserve"> or alter an on-site wastewater management system (a septic tank). While these fees are collected by councils, the fees themselves are set by EPA. This permit applies to systems that have a flow</w:t>
      </w:r>
      <w:r>
        <w:t xml:space="preserve"> </w:t>
      </w:r>
      <w:r w:rsidRPr="009B2611">
        <w:t xml:space="preserve">rate </w:t>
      </w:r>
      <w:r>
        <w:t xml:space="preserve">not exceeding </w:t>
      </w:r>
      <w:r w:rsidRPr="009B2611">
        <w:t xml:space="preserve">5,000 litres </w:t>
      </w:r>
      <w:r>
        <w:t>on any</w:t>
      </w:r>
      <w:r w:rsidRPr="009B2611">
        <w:t xml:space="preserve"> day</w:t>
      </w:r>
      <w:r>
        <w:t xml:space="preserve"> </w:t>
      </w:r>
      <w:r w:rsidRPr="009B2611">
        <w:t>- systems designed with a higher flow rate require a development licence. The total number of applications submitted per year in Victoria is unknown</w:t>
      </w:r>
      <w:r>
        <w:t>, noting that the RIS consultation survey sought this information from councils but the response received was insufficient to inform this analysis.</w:t>
      </w:r>
    </w:p>
    <w:p w14:paraId="7F6809A8" w14:textId="77777777" w:rsidR="001433A1" w:rsidRPr="009B2611" w:rsidRDefault="001433A1" w:rsidP="001433A1">
      <w:r w:rsidRPr="009B2611">
        <w:t>The options considered for the MCA for septic tank permit applications are:</w:t>
      </w:r>
    </w:p>
    <w:p w14:paraId="55476DD0" w14:textId="77777777" w:rsidR="001433A1" w:rsidRPr="009B2611" w:rsidRDefault="001433A1" w:rsidP="001433A1">
      <w:pPr>
        <w:numPr>
          <w:ilvl w:val="0"/>
          <w:numId w:val="131"/>
        </w:numPr>
        <w:spacing w:after="170"/>
        <w:contextualSpacing/>
      </w:pPr>
      <w:r w:rsidRPr="009B2611">
        <w:rPr>
          <w:b/>
        </w:rPr>
        <w:t>Option 1: Flat fee</w:t>
      </w:r>
      <w:r w:rsidRPr="009B2611">
        <w:t xml:space="preserve">. One flat fee for all applicants regardless of application complexity. </w:t>
      </w:r>
    </w:p>
    <w:p w14:paraId="304CA11A" w14:textId="77777777" w:rsidR="001433A1" w:rsidRDefault="001433A1" w:rsidP="001433A1">
      <w:pPr>
        <w:numPr>
          <w:ilvl w:val="0"/>
          <w:numId w:val="131"/>
        </w:numPr>
        <w:spacing w:after="170"/>
        <w:contextualSpacing/>
      </w:pPr>
      <w:r w:rsidRPr="009B2611">
        <w:rPr>
          <w:b/>
        </w:rPr>
        <w:t xml:space="preserve">Option 2: Base fee plus hourly </w:t>
      </w:r>
      <w:r w:rsidRPr="007E352A">
        <w:rPr>
          <w:b/>
        </w:rPr>
        <w:t>rate</w:t>
      </w:r>
      <w:r w:rsidRPr="009B2611">
        <w:t xml:space="preserve">, up to a maximum fee. </w:t>
      </w:r>
    </w:p>
    <w:p w14:paraId="06CD2270" w14:textId="77777777" w:rsidR="001433A1" w:rsidRPr="009B2611" w:rsidRDefault="001433A1" w:rsidP="001433A1">
      <w:pPr>
        <w:spacing w:after="170"/>
        <w:ind w:left="720"/>
        <w:contextualSpacing/>
      </w:pPr>
    </w:p>
    <w:p w14:paraId="06AEDAD0" w14:textId="77777777" w:rsidR="001433A1" w:rsidRPr="009B2611" w:rsidRDefault="001433A1" w:rsidP="001433A1">
      <w:pPr>
        <w:spacing w:after="170"/>
      </w:pPr>
      <w:r w:rsidRPr="009B2611">
        <w:t xml:space="preserve">Currently, different councils charge different fees for different types of work. </w:t>
      </w:r>
    </w:p>
    <w:p w14:paraId="7D0D12E8" w14:textId="77777777" w:rsidR="001433A1" w:rsidRPr="009B2611" w:rsidRDefault="001433A1" w:rsidP="001433A1">
      <w:pPr>
        <w:rPr>
          <w:rFonts w:ascii="Verdana" w:hAnsi="Verdana"/>
          <w:sz w:val="18"/>
        </w:rPr>
      </w:pPr>
      <w:r w:rsidRPr="000E7C5E">
        <w:rPr>
          <w:color w:val="2B579A"/>
          <w:szCs w:val="20"/>
          <w:shd w:val="clear" w:color="auto" w:fill="E6E6E6"/>
        </w:rPr>
        <w:fldChar w:fldCharType="begin"/>
      </w:r>
      <w:r w:rsidRPr="000E7C5E">
        <w:rPr>
          <w:szCs w:val="20"/>
        </w:rPr>
        <w:instrText xml:space="preserve"> REF _Ref7709741 \h </w:instrText>
      </w:r>
      <w:r>
        <w:rPr>
          <w:szCs w:val="20"/>
        </w:rPr>
        <w:instrText xml:space="preserve"> \* MERGEFORMAT </w:instrText>
      </w:r>
      <w:r w:rsidRPr="000E7C5E">
        <w:rPr>
          <w:color w:val="2B579A"/>
          <w:szCs w:val="20"/>
          <w:shd w:val="clear" w:color="auto" w:fill="E6E6E6"/>
        </w:rPr>
      </w:r>
      <w:r w:rsidRPr="000E7C5E">
        <w:rPr>
          <w:color w:val="2B579A"/>
          <w:szCs w:val="20"/>
          <w:shd w:val="clear" w:color="auto" w:fill="E6E6E6"/>
        </w:rPr>
        <w:fldChar w:fldCharType="separate"/>
      </w:r>
      <w:r w:rsidRPr="00037AF8" w:rsidDel="00B11C1E">
        <w:rPr>
          <w:iCs/>
          <w:szCs w:val="20"/>
        </w:rPr>
        <w:t xml:space="preserve">Table </w:t>
      </w:r>
      <w:r w:rsidRPr="00037AF8" w:rsidDel="00B11C1E">
        <w:rPr>
          <w:iCs/>
          <w:noProof/>
          <w:szCs w:val="20"/>
        </w:rPr>
        <w:t>16</w:t>
      </w:r>
      <w:r w:rsidRPr="00037AF8" w:rsidDel="00B11C1E">
        <w:rPr>
          <w:iCs/>
          <w:noProof/>
          <w:szCs w:val="20"/>
        </w:rPr>
        <w:noBreakHyphen/>
        <w:t>11</w:t>
      </w:r>
      <w:r w:rsidRPr="000E7C5E">
        <w:rPr>
          <w:color w:val="2B579A"/>
          <w:szCs w:val="20"/>
          <w:shd w:val="clear" w:color="auto" w:fill="E6E6E6"/>
        </w:rPr>
        <w:fldChar w:fldCharType="end"/>
      </w:r>
      <w:r w:rsidRPr="007F3CBE">
        <w:rPr>
          <w:szCs w:val="20"/>
        </w:rPr>
        <w:t xml:space="preserve"> shows th</w:t>
      </w:r>
      <w:r w:rsidRPr="009B2611">
        <w:t xml:space="preserve">e modelled fees for </w:t>
      </w:r>
      <w:r w:rsidRPr="007E352A">
        <w:t>council-issued permit applications</w:t>
      </w:r>
      <w:r w:rsidRPr="00785A28">
        <w:t>.</w:t>
      </w:r>
      <w:r>
        <w:rPr>
          <w:rFonts w:ascii="Verdana" w:hAnsi="Verdana"/>
          <w:sz w:val="18"/>
        </w:rPr>
        <w:t xml:space="preserve"> </w:t>
      </w:r>
    </w:p>
    <w:p w14:paraId="799B5B11"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11</w:t>
      </w:r>
      <w:r>
        <w:rPr>
          <w:color w:val="75787B" w:themeColor="accent6"/>
          <w:sz w:val="17"/>
          <w:shd w:val="clear" w:color="auto" w:fill="E6E6E6"/>
        </w:rPr>
        <w:fldChar w:fldCharType="end"/>
      </w:r>
      <w:r w:rsidRPr="009B2611">
        <w:rPr>
          <w:iCs/>
          <w:color w:val="75787B" w:themeColor="accent6"/>
          <w:sz w:val="17"/>
        </w:rPr>
        <w:t>: Modelled fees for council-issued permit applications</w:t>
      </w:r>
    </w:p>
    <w:tbl>
      <w:tblPr>
        <w:tblStyle w:val="Deloittetable"/>
        <w:tblW w:w="5000" w:type="pct"/>
        <w:tblLook w:val="04A0" w:firstRow="1" w:lastRow="0" w:firstColumn="1" w:lastColumn="0" w:noHBand="0" w:noVBand="1"/>
      </w:tblPr>
      <w:tblGrid>
        <w:gridCol w:w="2354"/>
        <w:gridCol w:w="2755"/>
        <w:gridCol w:w="4246"/>
      </w:tblGrid>
      <w:tr w:rsidR="001433A1" w:rsidRPr="009B2611" w14:paraId="5D535604" w14:textId="77777777" w:rsidTr="001433A1">
        <w:trPr>
          <w:cnfStyle w:val="100000000000" w:firstRow="1" w:lastRow="0" w:firstColumn="0" w:lastColumn="0" w:oddVBand="0" w:evenVBand="0" w:oddHBand="0" w:evenHBand="0" w:firstRowFirstColumn="0" w:firstRowLastColumn="0" w:lastRowFirstColumn="0" w:lastRowLastColumn="0"/>
        </w:trPr>
        <w:tc>
          <w:tcPr>
            <w:tcW w:w="2354" w:type="dxa"/>
            <w:tcBorders>
              <w:left w:val="nil"/>
              <w:bottom w:val="single" w:sz="4" w:space="0" w:color="000000" w:themeColor="text1"/>
              <w:right w:val="nil"/>
            </w:tcBorders>
            <w:tcMar>
              <w:top w:w="57" w:type="dxa"/>
              <w:left w:w="57" w:type="dxa"/>
              <w:bottom w:w="57" w:type="dxa"/>
              <w:right w:w="57" w:type="dxa"/>
            </w:tcMar>
          </w:tcPr>
          <w:p w14:paraId="5801A711" w14:textId="77777777" w:rsidR="001433A1" w:rsidRPr="009B2611" w:rsidRDefault="001433A1" w:rsidP="001433A1">
            <w:pPr>
              <w:spacing w:line="440" w:lineRule="atLeast"/>
              <w:rPr>
                <w:sz w:val="17"/>
              </w:rPr>
            </w:pPr>
          </w:p>
        </w:tc>
        <w:tc>
          <w:tcPr>
            <w:tcW w:w="2755" w:type="dxa"/>
            <w:tcBorders>
              <w:left w:val="nil"/>
              <w:bottom w:val="single" w:sz="4" w:space="0" w:color="000000" w:themeColor="text1"/>
              <w:right w:val="nil"/>
            </w:tcBorders>
            <w:tcMar>
              <w:top w:w="57" w:type="dxa"/>
              <w:left w:w="57" w:type="dxa"/>
              <w:bottom w:w="57" w:type="dxa"/>
              <w:right w:w="57" w:type="dxa"/>
            </w:tcMar>
            <w:hideMark/>
          </w:tcPr>
          <w:p w14:paraId="527315CF" w14:textId="77777777" w:rsidR="001433A1" w:rsidRPr="009B2611" w:rsidRDefault="001433A1" w:rsidP="001433A1">
            <w:pPr>
              <w:spacing w:line="440" w:lineRule="atLeast"/>
            </w:pPr>
            <w:r w:rsidRPr="009B2611">
              <w:t>Option 1: Flat fee</w:t>
            </w:r>
          </w:p>
        </w:tc>
        <w:tc>
          <w:tcPr>
            <w:tcW w:w="4246" w:type="dxa"/>
            <w:tcBorders>
              <w:left w:val="nil"/>
              <w:bottom w:val="single" w:sz="4" w:space="0" w:color="000000" w:themeColor="text1"/>
              <w:right w:val="nil"/>
            </w:tcBorders>
            <w:tcMar>
              <w:top w:w="57" w:type="dxa"/>
              <w:left w:w="57" w:type="dxa"/>
              <w:bottom w:w="57" w:type="dxa"/>
              <w:right w:w="57" w:type="dxa"/>
            </w:tcMar>
            <w:hideMark/>
          </w:tcPr>
          <w:p w14:paraId="24188FDA" w14:textId="77777777" w:rsidR="001433A1" w:rsidRPr="009B2611" w:rsidRDefault="001433A1" w:rsidP="001433A1">
            <w:pPr>
              <w:spacing w:line="440" w:lineRule="atLeast"/>
            </w:pPr>
            <w:r w:rsidRPr="009B2611">
              <w:t>Option 2: Base fee plus hourly rate</w:t>
            </w:r>
          </w:p>
        </w:tc>
      </w:tr>
      <w:tr w:rsidR="001433A1" w:rsidRPr="009B2611" w14:paraId="0326FB87" w14:textId="77777777" w:rsidTr="001433A1">
        <w:tc>
          <w:tcPr>
            <w:tcW w:w="2354" w:type="dxa"/>
            <w:tcBorders>
              <w:top w:val="single" w:sz="4" w:space="0" w:color="000000" w:themeColor="text1"/>
              <w:left w:val="nil"/>
              <w:bottom w:val="single" w:sz="4" w:space="0" w:color="000000" w:themeColor="text1"/>
              <w:right w:val="nil"/>
            </w:tcBorders>
            <w:tcMar>
              <w:top w:w="57" w:type="dxa"/>
              <w:left w:w="57" w:type="dxa"/>
              <w:bottom w:w="57" w:type="dxa"/>
              <w:right w:w="57" w:type="dxa"/>
            </w:tcMar>
            <w:hideMark/>
          </w:tcPr>
          <w:p w14:paraId="6117BDA7" w14:textId="77777777" w:rsidR="001433A1" w:rsidRPr="009B2611" w:rsidRDefault="001433A1" w:rsidP="001433A1">
            <w:pPr>
              <w:spacing w:line="240" w:lineRule="auto"/>
            </w:pPr>
            <w:r w:rsidRPr="003257DD">
              <w:rPr>
                <w:sz w:val="18"/>
              </w:rPr>
              <w:t>Application fee</w:t>
            </w:r>
          </w:p>
        </w:tc>
        <w:tc>
          <w:tcPr>
            <w:tcW w:w="2755" w:type="dxa"/>
            <w:tcBorders>
              <w:top w:val="single" w:sz="4" w:space="0" w:color="000000" w:themeColor="text1"/>
              <w:left w:val="nil"/>
              <w:bottom w:val="single" w:sz="4" w:space="0" w:color="000000" w:themeColor="text1"/>
              <w:right w:val="nil"/>
            </w:tcBorders>
            <w:tcMar>
              <w:top w:w="57" w:type="dxa"/>
              <w:left w:w="57" w:type="dxa"/>
              <w:bottom w:w="57" w:type="dxa"/>
              <w:right w:w="57" w:type="dxa"/>
            </w:tcMar>
            <w:hideMark/>
          </w:tcPr>
          <w:p w14:paraId="66D3A694" w14:textId="77777777" w:rsidR="001433A1" w:rsidRPr="009B2611" w:rsidRDefault="001433A1" w:rsidP="001433A1">
            <w:pPr>
              <w:spacing w:line="240" w:lineRule="auto"/>
            </w:pPr>
            <w:r w:rsidRPr="003257DD">
              <w:rPr>
                <w:sz w:val="18"/>
              </w:rPr>
              <w:t xml:space="preserve">$748.69 (51.81 fee units) </w:t>
            </w:r>
          </w:p>
        </w:tc>
        <w:tc>
          <w:tcPr>
            <w:tcW w:w="4246" w:type="dxa"/>
            <w:tcBorders>
              <w:top w:val="single" w:sz="4" w:space="0" w:color="000000" w:themeColor="text1"/>
              <w:left w:val="nil"/>
              <w:bottom w:val="single" w:sz="4" w:space="0" w:color="000000" w:themeColor="text1"/>
              <w:right w:val="nil"/>
            </w:tcBorders>
            <w:tcMar>
              <w:top w:w="57" w:type="dxa"/>
              <w:left w:w="57" w:type="dxa"/>
              <w:bottom w:w="57" w:type="dxa"/>
              <w:right w:w="57" w:type="dxa"/>
            </w:tcMar>
            <w:hideMark/>
          </w:tcPr>
          <w:p w14:paraId="60AA5FB8" w14:textId="77777777" w:rsidR="001433A1" w:rsidRPr="009B2611" w:rsidRDefault="001433A1" w:rsidP="001433A1">
            <w:pPr>
              <w:spacing w:after="0" w:line="240" w:lineRule="auto"/>
            </w:pPr>
            <w:r w:rsidRPr="003257DD">
              <w:rPr>
                <w:sz w:val="18"/>
              </w:rPr>
              <w:t>Base fee of $374.26 (25.9 fee units) plus $91.61 (6.34 fee units) per hour for assessments exceeding 4.1 hours, up to a maximum of $1,007.89 (69.75 fee units)</w:t>
            </w:r>
            <w:r>
              <w:rPr>
                <w:sz w:val="18"/>
              </w:rPr>
              <w:t xml:space="preserve">. The choice of threshold levels for the base fee, number of hours and maximum were informed by EPA’s process mapping for this activity. </w:t>
            </w:r>
          </w:p>
        </w:tc>
      </w:tr>
    </w:tbl>
    <w:p w14:paraId="098C09D1" w14:textId="77777777" w:rsidR="001433A1" w:rsidRPr="009B2611" w:rsidRDefault="001433A1" w:rsidP="001433A1">
      <w:pPr>
        <w:rPr>
          <w:rFonts w:ascii="Verdana" w:hAnsi="Verdana"/>
          <w:sz w:val="18"/>
        </w:rPr>
      </w:pPr>
      <w:r w:rsidRPr="00037AF8">
        <w:rPr>
          <w:sz w:val="18"/>
        </w:rPr>
        <w:t>Note:</w:t>
      </w:r>
      <w:r>
        <w:rPr>
          <w:rFonts w:ascii="Verdana" w:hAnsi="Verdana"/>
          <w:sz w:val="18"/>
        </w:rPr>
        <w:t xml:space="preserve"> </w:t>
      </w:r>
      <w:r>
        <w:rPr>
          <w:sz w:val="18"/>
        </w:rPr>
        <w:t>Fee units are given in 2018-19 fee unit values.</w:t>
      </w:r>
    </w:p>
    <w:p w14:paraId="5C614B00" w14:textId="77777777" w:rsidR="001433A1" w:rsidRPr="009B2611" w:rsidRDefault="001433A1" w:rsidP="001433A1">
      <w:pPr>
        <w:pStyle w:val="Heading4un-numbered"/>
      </w:pPr>
      <w:r w:rsidRPr="009B2611">
        <w:t>Option 1: Flat fee</w:t>
      </w:r>
    </w:p>
    <w:p w14:paraId="1B87390D" w14:textId="77777777" w:rsidR="001433A1" w:rsidRDefault="001433A1" w:rsidP="001433A1">
      <w:pPr>
        <w:spacing w:after="0"/>
      </w:pPr>
      <w:r>
        <w:rPr>
          <w:i/>
        </w:rPr>
        <w:t>Cost reflectivity</w:t>
      </w:r>
    </w:p>
    <w:p w14:paraId="2DA46E28" w14:textId="77777777" w:rsidR="001433A1" w:rsidRDefault="001433A1" w:rsidP="001433A1">
      <w:r w:rsidRPr="009B2611">
        <w:t>At a state level, all costs can be recovered under a flat fee. However, both the administration of these permits as well as the collection of fee revenue falls to different councils with different cost bases and different types of work being undertaken. Given a flat fee is likely to result in some councils over-recovering while others under-recover, a score of +5 is given for cost reflectivity.</w:t>
      </w:r>
    </w:p>
    <w:p w14:paraId="1822C47C" w14:textId="77777777" w:rsidR="001433A1" w:rsidRPr="009B2611" w:rsidRDefault="001433A1" w:rsidP="001433A1"/>
    <w:p w14:paraId="08D87542" w14:textId="77777777" w:rsidR="001433A1" w:rsidRDefault="001433A1" w:rsidP="001433A1">
      <w:pPr>
        <w:spacing w:after="0"/>
      </w:pPr>
      <w:r>
        <w:rPr>
          <w:i/>
        </w:rPr>
        <w:t>Equity</w:t>
      </w:r>
    </w:p>
    <w:p w14:paraId="73171EE5" w14:textId="77777777" w:rsidR="001433A1" w:rsidRPr="009B2611" w:rsidRDefault="001433A1" w:rsidP="001433A1">
      <w:r w:rsidRPr="009B2611">
        <w:t>In terms of equity, as all applicants are charged the same fee, this fee does not account for the different levels of administrative time (which range from a minimum of approximately 4 to a maximum of 11 hours) and thus the costs involved with different applications. While a flat fee is not able to account for ability to pay, the group of applicants is relatively homogenous compared to other permissions as all relate to small scale septic systems. However, making it less equitable is that all permissions, whether for new installations or simply alterations</w:t>
      </w:r>
      <w:r>
        <w:t xml:space="preserve">, </w:t>
      </w:r>
      <w:r w:rsidRPr="009B2611">
        <w:t xml:space="preserve">would be charged the same fee. </w:t>
      </w:r>
      <w:r>
        <w:t>While different fees could potentially be set, information is not available at this time to enable modelling of such an option. A</w:t>
      </w:r>
      <w:r w:rsidRPr="009B2611">
        <w:t xml:space="preserve"> score of +4 is given</w:t>
      </w:r>
      <w:r>
        <w:t xml:space="preserve"> for equity</w:t>
      </w:r>
      <w:r w:rsidRPr="009B2611">
        <w:t>.</w:t>
      </w:r>
    </w:p>
    <w:p w14:paraId="590920B0" w14:textId="77777777" w:rsidR="001433A1" w:rsidRPr="009B2611" w:rsidRDefault="001433A1" w:rsidP="001433A1">
      <w:pPr>
        <w:spacing w:after="0"/>
      </w:pPr>
      <w:r>
        <w:rPr>
          <w:i/>
        </w:rPr>
        <w:t>Simple and easy to understand and administer</w:t>
      </w:r>
    </w:p>
    <w:p w14:paraId="4E37F68C" w14:textId="77777777" w:rsidR="001433A1" w:rsidRPr="009B2611" w:rsidRDefault="001433A1" w:rsidP="001433A1">
      <w:pPr>
        <w:rPr>
          <w:strike/>
        </w:rPr>
      </w:pPr>
      <w:r w:rsidDel="00153F27">
        <w:rPr>
          <w:i/>
        </w:rPr>
        <w:t xml:space="preserve"> </w:t>
      </w:r>
      <w:r w:rsidRPr="009B2611">
        <w:t>In terms of ease and simplicity of administration, this option scores highest among the two options as all applicants pay the same fee and the fee level is known to applicants in advance. A score of -1 is given</w:t>
      </w:r>
      <w:r>
        <w:t>.</w:t>
      </w:r>
    </w:p>
    <w:p w14:paraId="53FA474E" w14:textId="77777777" w:rsidR="001433A1" w:rsidRPr="009B2611" w:rsidRDefault="001433A1" w:rsidP="001433A1">
      <w:pPr>
        <w:pStyle w:val="Heading4un-numbered"/>
      </w:pPr>
      <w:r w:rsidRPr="009B2611">
        <w:t>Option 2: Base fee plus hourly rate</w:t>
      </w:r>
    </w:p>
    <w:p w14:paraId="438E4B22" w14:textId="77777777" w:rsidR="001433A1" w:rsidRDefault="001433A1" w:rsidP="001433A1">
      <w:pPr>
        <w:spacing w:after="0"/>
      </w:pPr>
      <w:r>
        <w:rPr>
          <w:i/>
        </w:rPr>
        <w:t>Cost reflectivity</w:t>
      </w:r>
    </w:p>
    <w:p w14:paraId="44E54259" w14:textId="77777777" w:rsidR="001433A1" w:rsidRPr="009B2611" w:rsidRDefault="001433A1" w:rsidP="001433A1">
      <w:r w:rsidRPr="009B2611">
        <w:t>This variable fee structure scores highly in terms of cost refle</w:t>
      </w:r>
      <w:r>
        <w:t>ct</w:t>
      </w:r>
      <w:r w:rsidRPr="009B2611">
        <w:t>ivity as the hourly rate is able to account for much of</w:t>
      </w:r>
      <w:r>
        <w:t xml:space="preserve"> the</w:t>
      </w:r>
      <w:r w:rsidRPr="009B2611">
        <w:t xml:space="preserve"> differences in costs, such as time taken to process an application, or differences in the type of works being undertaken across different municipal councils. A score of +</w:t>
      </w:r>
      <w:r>
        <w:t>8</w:t>
      </w:r>
      <w:r w:rsidRPr="009B2611">
        <w:t xml:space="preserve"> is given</w:t>
      </w:r>
      <w:r>
        <w:t xml:space="preserve"> for cost reflectivity</w:t>
      </w:r>
      <w:r w:rsidRPr="009B2611">
        <w:t xml:space="preserve">. </w:t>
      </w:r>
    </w:p>
    <w:p w14:paraId="2A2F38DC" w14:textId="77777777" w:rsidR="001433A1" w:rsidRDefault="001433A1" w:rsidP="001433A1">
      <w:pPr>
        <w:spacing w:after="0"/>
      </w:pPr>
      <w:r>
        <w:rPr>
          <w:i/>
        </w:rPr>
        <w:t>Equity</w:t>
      </w:r>
    </w:p>
    <w:p w14:paraId="70A5124E" w14:textId="77777777" w:rsidR="001433A1" w:rsidRPr="009B2611" w:rsidRDefault="001433A1" w:rsidP="001433A1">
      <w:r w:rsidRPr="009B2611">
        <w:t xml:space="preserve">A base fee plus hourly rate structure better targets fees to those parties that create the administrative burden in comparison to the flat fee structure. This is even more so the case for </w:t>
      </w:r>
      <w:r>
        <w:t xml:space="preserve">on-site </w:t>
      </w:r>
      <w:r w:rsidRPr="009B2611">
        <w:t xml:space="preserve">wastewater management system permits as the assessment work is carried out by different local councils which may have differing administrative costs. As noted above, consideration for ability to pay is not as much of an issue for these permits, compared to other permissions such as </w:t>
      </w:r>
      <w:r>
        <w:t>d</w:t>
      </w:r>
      <w:r w:rsidRPr="009B2611">
        <w:t xml:space="preserve">evelopment or </w:t>
      </w:r>
      <w:r>
        <w:t>p</w:t>
      </w:r>
      <w:r w:rsidRPr="009B2611">
        <w:t>ilot project licences. A score of +7 is given for equity.</w:t>
      </w:r>
    </w:p>
    <w:p w14:paraId="07BC37FF" w14:textId="77777777" w:rsidR="001433A1" w:rsidRPr="009B2611" w:rsidRDefault="001433A1" w:rsidP="001433A1">
      <w:pPr>
        <w:spacing w:after="0"/>
      </w:pPr>
      <w:r>
        <w:rPr>
          <w:i/>
        </w:rPr>
        <w:t>Simple and easy to understand and administer</w:t>
      </w:r>
    </w:p>
    <w:p w14:paraId="5ABCD646" w14:textId="77777777" w:rsidR="001433A1" w:rsidRPr="009B2611" w:rsidRDefault="001433A1" w:rsidP="001433A1">
      <w:r w:rsidRPr="009B2611">
        <w:t>Of the two options, this option is the most complex to administer as there will need to be a system in place to keep track of time spent on each application. A score of -7 is given.</w:t>
      </w:r>
    </w:p>
    <w:p w14:paraId="197534D1" w14:textId="77777777" w:rsidR="001433A1" w:rsidRPr="009B2611" w:rsidRDefault="001433A1" w:rsidP="001433A1">
      <w:pPr>
        <w:pStyle w:val="Heading4un-numbered"/>
      </w:pPr>
      <w:r w:rsidRPr="00785A28">
        <w:t xml:space="preserve">MCA </w:t>
      </w:r>
      <w:r w:rsidRPr="00772DA1">
        <w:t>summary and p</w:t>
      </w:r>
      <w:r w:rsidRPr="00785A28">
        <w:t>referred option</w:t>
      </w:r>
      <w:r w:rsidRPr="009B2611">
        <w:t xml:space="preserve"> - Base fee plus hourly rate </w:t>
      </w:r>
    </w:p>
    <w:p w14:paraId="4077F34B" w14:textId="77777777" w:rsidR="001433A1" w:rsidRPr="009B2611" w:rsidRDefault="001433A1" w:rsidP="001433A1">
      <w:r w:rsidRPr="009B2611">
        <w:rPr>
          <w:color w:val="2B579A"/>
          <w:shd w:val="clear" w:color="auto" w:fill="E6E6E6"/>
        </w:rPr>
        <w:fldChar w:fldCharType="begin"/>
      </w:r>
      <w:r w:rsidRPr="009B2611">
        <w:instrText xml:space="preserve"> REF _Ref7704069 \h  \* MERGEFORMAT </w:instrText>
      </w:r>
      <w:r w:rsidRPr="009B2611">
        <w:rPr>
          <w:color w:val="2B579A"/>
          <w:shd w:val="clear" w:color="auto" w:fill="E6E6E6"/>
        </w:rPr>
      </w:r>
      <w:r w:rsidRPr="009B2611">
        <w:rPr>
          <w:color w:val="2B579A"/>
          <w:shd w:val="clear" w:color="auto" w:fill="E6E6E6"/>
        </w:rPr>
        <w:fldChar w:fldCharType="separate"/>
      </w:r>
      <w:r w:rsidRPr="00037AF8" w:rsidDel="00B11C1E">
        <w:t xml:space="preserve">Table </w:t>
      </w:r>
      <w:r w:rsidRPr="00037AF8" w:rsidDel="00B11C1E">
        <w:rPr>
          <w:noProof/>
        </w:rPr>
        <w:t>16</w:t>
      </w:r>
      <w:r w:rsidRPr="00037AF8" w:rsidDel="00B11C1E">
        <w:rPr>
          <w:noProof/>
        </w:rPr>
        <w:noBreakHyphen/>
        <w:t>12</w:t>
      </w:r>
      <w:r w:rsidRPr="009B2611">
        <w:rPr>
          <w:color w:val="2B579A"/>
          <w:shd w:val="clear" w:color="auto" w:fill="E6E6E6"/>
        </w:rPr>
        <w:fldChar w:fldCharType="end"/>
      </w:r>
      <w:r w:rsidRPr="009B2611">
        <w:t xml:space="preserve"> below presents the results of the MCA. The base fee plus hourly rate option is preferred. Despite the flat fee scoring much higher in terms of simplicity and ease of administration, the variable fee scores higher in terms of both equity and cost reflectivity</w:t>
      </w:r>
      <w:r>
        <w:t xml:space="preserve">. However, it is important to note that the scores are very close. This means that the </w:t>
      </w:r>
      <w:r w:rsidRPr="00494019">
        <w:t xml:space="preserve">rankings could change with a </w:t>
      </w:r>
      <w:r>
        <w:t>small</w:t>
      </w:r>
      <w:r w:rsidRPr="00494019">
        <w:t xml:space="preserve"> difference in </w:t>
      </w:r>
      <w:r>
        <w:t>scoring</w:t>
      </w:r>
      <w:r w:rsidRPr="00494019">
        <w:t>,</w:t>
      </w:r>
      <w:r>
        <w:t xml:space="preserve"> or weighting of criteria.</w:t>
      </w:r>
    </w:p>
    <w:p w14:paraId="54BD5505"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12</w:t>
      </w:r>
      <w:r>
        <w:rPr>
          <w:color w:val="75787B" w:themeColor="accent6"/>
          <w:sz w:val="17"/>
          <w:shd w:val="clear" w:color="auto" w:fill="E6E6E6"/>
        </w:rPr>
        <w:fldChar w:fldCharType="end"/>
      </w:r>
      <w:r w:rsidRPr="009B2611">
        <w:rPr>
          <w:iCs/>
          <w:color w:val="75787B" w:themeColor="accent6"/>
          <w:sz w:val="17"/>
        </w:rPr>
        <w:t xml:space="preserve">: </w:t>
      </w:r>
      <w:r w:rsidRPr="00772DA1">
        <w:rPr>
          <w:iCs/>
          <w:color w:val="75787B" w:themeColor="accent6"/>
          <w:sz w:val="17"/>
        </w:rPr>
        <w:t>C</w:t>
      </w:r>
      <w:r w:rsidRPr="00785A28">
        <w:rPr>
          <w:iCs/>
          <w:color w:val="75787B" w:themeColor="accent6"/>
          <w:sz w:val="17"/>
        </w:rPr>
        <w:t>ouncil</w:t>
      </w:r>
      <w:r w:rsidRPr="00772DA1">
        <w:rPr>
          <w:iCs/>
          <w:color w:val="75787B" w:themeColor="accent6"/>
          <w:sz w:val="17"/>
        </w:rPr>
        <w:t>-issued</w:t>
      </w:r>
      <w:r w:rsidRPr="00785A28">
        <w:rPr>
          <w:iCs/>
          <w:color w:val="75787B" w:themeColor="accent6"/>
          <w:sz w:val="17"/>
        </w:rPr>
        <w:t xml:space="preserve"> permit applications</w:t>
      </w:r>
      <w:r w:rsidRPr="00772DA1">
        <w:rPr>
          <w:iCs/>
          <w:color w:val="75787B" w:themeColor="accent6"/>
          <w:sz w:val="17"/>
        </w:rPr>
        <w:t>: MCA Results</w:t>
      </w:r>
    </w:p>
    <w:tbl>
      <w:tblPr>
        <w:tblStyle w:val="Deloittetable"/>
        <w:tblW w:w="4983" w:type="pct"/>
        <w:tblLook w:val="04A0" w:firstRow="1" w:lastRow="0" w:firstColumn="1" w:lastColumn="0" w:noHBand="0" w:noVBand="1"/>
      </w:tblPr>
      <w:tblGrid>
        <w:gridCol w:w="3674"/>
        <w:gridCol w:w="2684"/>
        <w:gridCol w:w="2939"/>
        <w:gridCol w:w="26"/>
      </w:tblGrid>
      <w:tr w:rsidR="001433A1" w:rsidRPr="009B2611" w14:paraId="326297D8" w14:textId="77777777" w:rsidTr="001433A1">
        <w:trPr>
          <w:cnfStyle w:val="100000000000" w:firstRow="1" w:lastRow="0" w:firstColumn="0" w:lastColumn="0" w:oddVBand="0" w:evenVBand="0" w:oddHBand="0" w:evenHBand="0" w:firstRowFirstColumn="0" w:firstRowLastColumn="0" w:lastRowFirstColumn="0" w:lastRowLastColumn="0"/>
          <w:trHeight w:val="777"/>
        </w:trPr>
        <w:tc>
          <w:tcPr>
            <w:tcW w:w="1970" w:type="pct"/>
            <w:tcBorders>
              <w:left w:val="nil"/>
              <w:bottom w:val="single" w:sz="4" w:space="0" w:color="000000" w:themeColor="text1"/>
              <w:right w:val="nil"/>
            </w:tcBorders>
          </w:tcPr>
          <w:p w14:paraId="7E73734F" w14:textId="77777777" w:rsidR="001433A1" w:rsidRPr="009B2611" w:rsidRDefault="001433A1" w:rsidP="001433A1">
            <w:pPr>
              <w:spacing w:after="0" w:line="240" w:lineRule="auto"/>
              <w:rPr>
                <w:sz w:val="18"/>
              </w:rPr>
            </w:pPr>
            <w:r w:rsidRPr="003257DD">
              <w:rPr>
                <w:b/>
                <w:sz w:val="18"/>
              </w:rPr>
              <w:t>Criteria</w:t>
            </w:r>
          </w:p>
        </w:tc>
        <w:tc>
          <w:tcPr>
            <w:tcW w:w="1439" w:type="pct"/>
            <w:tcBorders>
              <w:left w:val="nil"/>
              <w:bottom w:val="single" w:sz="4" w:space="0" w:color="000000" w:themeColor="text1"/>
              <w:right w:val="nil"/>
            </w:tcBorders>
            <w:hideMark/>
          </w:tcPr>
          <w:p w14:paraId="2E1B9D61" w14:textId="77777777" w:rsidR="001433A1" w:rsidRPr="009B2611" w:rsidRDefault="001433A1" w:rsidP="001433A1">
            <w:pPr>
              <w:spacing w:after="0" w:line="240" w:lineRule="auto"/>
              <w:jc w:val="center"/>
              <w:rPr>
                <w:sz w:val="18"/>
              </w:rPr>
            </w:pPr>
            <w:r w:rsidRPr="003257DD">
              <w:rPr>
                <w:b/>
                <w:sz w:val="18"/>
              </w:rPr>
              <w:t>Option 1: Flat fee</w:t>
            </w:r>
          </w:p>
        </w:tc>
        <w:tc>
          <w:tcPr>
            <w:tcW w:w="1576" w:type="pct"/>
            <w:tcBorders>
              <w:left w:val="nil"/>
              <w:bottom w:val="single" w:sz="4" w:space="0" w:color="000000" w:themeColor="text1"/>
              <w:right w:val="nil"/>
            </w:tcBorders>
            <w:hideMark/>
          </w:tcPr>
          <w:p w14:paraId="7471597E" w14:textId="77777777" w:rsidR="001433A1" w:rsidRPr="009B2611" w:rsidRDefault="001433A1" w:rsidP="001433A1">
            <w:pPr>
              <w:spacing w:after="0" w:line="240" w:lineRule="auto"/>
              <w:jc w:val="center"/>
              <w:rPr>
                <w:sz w:val="18"/>
              </w:rPr>
            </w:pPr>
            <w:r w:rsidRPr="003257DD">
              <w:rPr>
                <w:b/>
                <w:sz w:val="18"/>
              </w:rPr>
              <w:t>Option 2: Base fee plus hourly rate</w:t>
            </w:r>
          </w:p>
        </w:tc>
        <w:tc>
          <w:tcPr>
            <w:tcW w:w="14" w:type="pct"/>
            <w:tcBorders>
              <w:left w:val="nil"/>
              <w:bottom w:val="single" w:sz="4" w:space="0" w:color="000000" w:themeColor="text1"/>
              <w:right w:val="nil"/>
            </w:tcBorders>
          </w:tcPr>
          <w:p w14:paraId="3B832D03" w14:textId="77777777" w:rsidR="001433A1" w:rsidRPr="009B2611" w:rsidRDefault="001433A1" w:rsidP="001433A1">
            <w:pPr>
              <w:spacing w:after="0" w:line="240" w:lineRule="auto"/>
              <w:rPr>
                <w:sz w:val="18"/>
              </w:rPr>
            </w:pPr>
          </w:p>
        </w:tc>
      </w:tr>
      <w:tr w:rsidR="001433A1" w:rsidRPr="009B2611" w14:paraId="7F3537ED" w14:textId="77777777" w:rsidTr="001433A1">
        <w:trPr>
          <w:trHeight w:val="148"/>
        </w:trPr>
        <w:tc>
          <w:tcPr>
            <w:tcW w:w="1970" w:type="pct"/>
            <w:tcBorders>
              <w:top w:val="single" w:sz="4" w:space="0" w:color="000000" w:themeColor="text1"/>
              <w:left w:val="nil"/>
              <w:bottom w:val="single" w:sz="4" w:space="0" w:color="000000" w:themeColor="text1"/>
              <w:right w:val="nil"/>
            </w:tcBorders>
            <w:hideMark/>
          </w:tcPr>
          <w:p w14:paraId="0B680573" w14:textId="77777777" w:rsidR="001433A1" w:rsidRPr="009B2611" w:rsidRDefault="001433A1" w:rsidP="001433A1">
            <w:pPr>
              <w:spacing w:after="0" w:line="240" w:lineRule="auto"/>
              <w:rPr>
                <w:sz w:val="18"/>
              </w:rPr>
            </w:pPr>
            <w:r>
              <w:rPr>
                <w:sz w:val="18"/>
              </w:rPr>
              <w:t>Cost reflectivity</w:t>
            </w:r>
          </w:p>
        </w:tc>
        <w:tc>
          <w:tcPr>
            <w:tcW w:w="1439" w:type="pct"/>
            <w:tcBorders>
              <w:top w:val="single" w:sz="4" w:space="0" w:color="000000" w:themeColor="text1"/>
              <w:left w:val="nil"/>
              <w:bottom w:val="single" w:sz="4" w:space="0" w:color="000000" w:themeColor="text1"/>
              <w:right w:val="nil"/>
            </w:tcBorders>
            <w:hideMark/>
          </w:tcPr>
          <w:p w14:paraId="30A5C74C" w14:textId="77777777" w:rsidR="001433A1" w:rsidRPr="009B2611" w:rsidRDefault="001433A1" w:rsidP="001433A1">
            <w:pPr>
              <w:spacing w:after="0" w:line="240" w:lineRule="auto"/>
              <w:jc w:val="center"/>
              <w:rPr>
                <w:sz w:val="18"/>
              </w:rPr>
            </w:pPr>
            <w:r w:rsidRPr="009B2611">
              <w:rPr>
                <w:sz w:val="18"/>
              </w:rPr>
              <w:t>+5</w:t>
            </w:r>
          </w:p>
        </w:tc>
        <w:tc>
          <w:tcPr>
            <w:tcW w:w="1576" w:type="pct"/>
            <w:tcBorders>
              <w:top w:val="single" w:sz="4" w:space="0" w:color="000000" w:themeColor="text1"/>
              <w:left w:val="nil"/>
              <w:bottom w:val="single" w:sz="4" w:space="0" w:color="000000" w:themeColor="text1"/>
              <w:right w:val="nil"/>
            </w:tcBorders>
            <w:hideMark/>
          </w:tcPr>
          <w:p w14:paraId="62DB8320" w14:textId="77777777" w:rsidR="001433A1" w:rsidRPr="009B2611" w:rsidRDefault="001433A1" w:rsidP="001433A1">
            <w:pPr>
              <w:spacing w:after="0" w:line="240" w:lineRule="auto"/>
              <w:jc w:val="center"/>
              <w:rPr>
                <w:sz w:val="18"/>
              </w:rPr>
            </w:pPr>
            <w:r w:rsidRPr="009B2611">
              <w:rPr>
                <w:sz w:val="18"/>
              </w:rPr>
              <w:t>+</w:t>
            </w:r>
            <w:r>
              <w:rPr>
                <w:sz w:val="18"/>
              </w:rPr>
              <w:t>8</w:t>
            </w:r>
          </w:p>
        </w:tc>
        <w:tc>
          <w:tcPr>
            <w:tcW w:w="14" w:type="pct"/>
            <w:tcBorders>
              <w:top w:val="single" w:sz="4" w:space="0" w:color="000000" w:themeColor="text1"/>
              <w:left w:val="nil"/>
              <w:bottom w:val="single" w:sz="4" w:space="0" w:color="000000" w:themeColor="text1"/>
              <w:right w:val="nil"/>
            </w:tcBorders>
          </w:tcPr>
          <w:p w14:paraId="1A425EA2" w14:textId="77777777" w:rsidR="001433A1" w:rsidRPr="009B2611" w:rsidRDefault="001433A1" w:rsidP="001433A1">
            <w:pPr>
              <w:spacing w:after="0" w:line="240" w:lineRule="auto"/>
              <w:rPr>
                <w:sz w:val="18"/>
              </w:rPr>
            </w:pPr>
          </w:p>
        </w:tc>
      </w:tr>
      <w:tr w:rsidR="001433A1" w:rsidRPr="009B2611" w14:paraId="0B813695" w14:textId="77777777" w:rsidTr="001433A1">
        <w:trPr>
          <w:trHeight w:val="217"/>
        </w:trPr>
        <w:tc>
          <w:tcPr>
            <w:tcW w:w="1970" w:type="pct"/>
            <w:tcBorders>
              <w:top w:val="single" w:sz="4" w:space="0" w:color="000000" w:themeColor="text1"/>
              <w:left w:val="nil"/>
              <w:bottom w:val="single" w:sz="4" w:space="0" w:color="000000" w:themeColor="text1"/>
              <w:right w:val="nil"/>
            </w:tcBorders>
            <w:hideMark/>
          </w:tcPr>
          <w:p w14:paraId="37AF7F73" w14:textId="77777777" w:rsidR="001433A1" w:rsidRPr="009B2611" w:rsidRDefault="001433A1" w:rsidP="001433A1">
            <w:pPr>
              <w:spacing w:after="0" w:line="240" w:lineRule="auto"/>
              <w:rPr>
                <w:sz w:val="18"/>
              </w:rPr>
            </w:pPr>
            <w:r w:rsidRPr="009B2611">
              <w:rPr>
                <w:sz w:val="18"/>
              </w:rPr>
              <w:t>Equity</w:t>
            </w:r>
          </w:p>
        </w:tc>
        <w:tc>
          <w:tcPr>
            <w:tcW w:w="1439" w:type="pct"/>
            <w:tcBorders>
              <w:top w:val="single" w:sz="4" w:space="0" w:color="000000" w:themeColor="text1"/>
              <w:left w:val="nil"/>
              <w:bottom w:val="single" w:sz="4" w:space="0" w:color="000000" w:themeColor="text1"/>
              <w:right w:val="nil"/>
            </w:tcBorders>
            <w:hideMark/>
          </w:tcPr>
          <w:p w14:paraId="62B93E75" w14:textId="77777777" w:rsidR="001433A1" w:rsidRPr="009B2611" w:rsidRDefault="001433A1" w:rsidP="001433A1">
            <w:pPr>
              <w:spacing w:after="0" w:line="240" w:lineRule="auto"/>
              <w:jc w:val="center"/>
              <w:rPr>
                <w:sz w:val="18"/>
              </w:rPr>
            </w:pPr>
            <w:r w:rsidRPr="009B2611">
              <w:rPr>
                <w:sz w:val="18"/>
              </w:rPr>
              <w:t>+4</w:t>
            </w:r>
          </w:p>
        </w:tc>
        <w:tc>
          <w:tcPr>
            <w:tcW w:w="1576" w:type="pct"/>
            <w:tcBorders>
              <w:top w:val="single" w:sz="4" w:space="0" w:color="000000" w:themeColor="text1"/>
              <w:left w:val="nil"/>
              <w:bottom w:val="single" w:sz="4" w:space="0" w:color="000000" w:themeColor="text1"/>
              <w:right w:val="nil"/>
            </w:tcBorders>
            <w:hideMark/>
          </w:tcPr>
          <w:p w14:paraId="779E0CFB" w14:textId="77777777" w:rsidR="001433A1" w:rsidRPr="009B2611" w:rsidRDefault="001433A1" w:rsidP="001433A1">
            <w:pPr>
              <w:spacing w:after="0" w:line="240" w:lineRule="auto"/>
              <w:jc w:val="center"/>
              <w:rPr>
                <w:sz w:val="18"/>
              </w:rPr>
            </w:pPr>
            <w:r w:rsidRPr="009B2611">
              <w:rPr>
                <w:sz w:val="18"/>
              </w:rPr>
              <w:t>+7</w:t>
            </w:r>
          </w:p>
        </w:tc>
        <w:tc>
          <w:tcPr>
            <w:tcW w:w="14" w:type="pct"/>
            <w:tcBorders>
              <w:top w:val="single" w:sz="4" w:space="0" w:color="000000" w:themeColor="text1"/>
              <w:left w:val="nil"/>
              <w:bottom w:val="single" w:sz="4" w:space="0" w:color="000000" w:themeColor="text1"/>
              <w:right w:val="nil"/>
            </w:tcBorders>
          </w:tcPr>
          <w:p w14:paraId="0564EA67" w14:textId="77777777" w:rsidR="001433A1" w:rsidRPr="009B2611" w:rsidRDefault="001433A1" w:rsidP="001433A1">
            <w:pPr>
              <w:spacing w:after="0" w:line="240" w:lineRule="auto"/>
              <w:rPr>
                <w:sz w:val="18"/>
              </w:rPr>
            </w:pPr>
          </w:p>
        </w:tc>
      </w:tr>
      <w:tr w:rsidR="001433A1" w:rsidRPr="009B2611" w14:paraId="403560D2" w14:textId="77777777" w:rsidTr="001433A1">
        <w:trPr>
          <w:trHeight w:val="217"/>
        </w:trPr>
        <w:tc>
          <w:tcPr>
            <w:tcW w:w="1970" w:type="pct"/>
            <w:tcBorders>
              <w:top w:val="single" w:sz="4" w:space="0" w:color="000000" w:themeColor="text1"/>
              <w:left w:val="nil"/>
              <w:bottom w:val="single" w:sz="4" w:space="0" w:color="000000" w:themeColor="text1"/>
              <w:right w:val="nil"/>
            </w:tcBorders>
            <w:hideMark/>
          </w:tcPr>
          <w:p w14:paraId="77179857" w14:textId="77777777" w:rsidR="001433A1" w:rsidRPr="009B2611" w:rsidRDefault="001433A1" w:rsidP="001433A1">
            <w:pPr>
              <w:spacing w:after="0" w:line="240" w:lineRule="auto"/>
              <w:rPr>
                <w:sz w:val="18"/>
              </w:rPr>
            </w:pPr>
            <w:r w:rsidRPr="009B2611">
              <w:rPr>
                <w:sz w:val="18"/>
              </w:rPr>
              <w:t>Simple and easy to</w:t>
            </w:r>
            <w:r>
              <w:rPr>
                <w:sz w:val="18"/>
              </w:rPr>
              <w:t xml:space="preserve"> understand and</w:t>
            </w:r>
            <w:r w:rsidRPr="009B2611">
              <w:rPr>
                <w:sz w:val="18"/>
              </w:rPr>
              <w:t xml:space="preserve"> administer</w:t>
            </w:r>
          </w:p>
        </w:tc>
        <w:tc>
          <w:tcPr>
            <w:tcW w:w="1439" w:type="pct"/>
            <w:tcBorders>
              <w:top w:val="single" w:sz="4" w:space="0" w:color="000000" w:themeColor="text1"/>
              <w:left w:val="nil"/>
              <w:bottom w:val="single" w:sz="4" w:space="0" w:color="000000" w:themeColor="text1"/>
              <w:right w:val="nil"/>
            </w:tcBorders>
            <w:hideMark/>
          </w:tcPr>
          <w:p w14:paraId="5F3C33DF" w14:textId="77777777" w:rsidR="001433A1" w:rsidRPr="009B2611" w:rsidRDefault="001433A1" w:rsidP="001433A1">
            <w:pPr>
              <w:spacing w:after="0" w:line="240" w:lineRule="auto"/>
              <w:jc w:val="center"/>
              <w:rPr>
                <w:sz w:val="18"/>
              </w:rPr>
            </w:pPr>
            <w:r w:rsidRPr="009B2611">
              <w:rPr>
                <w:sz w:val="18"/>
              </w:rPr>
              <w:t>-1</w:t>
            </w:r>
          </w:p>
        </w:tc>
        <w:tc>
          <w:tcPr>
            <w:tcW w:w="1576" w:type="pct"/>
            <w:tcBorders>
              <w:top w:val="single" w:sz="4" w:space="0" w:color="000000" w:themeColor="text1"/>
              <w:left w:val="nil"/>
              <w:bottom w:val="single" w:sz="4" w:space="0" w:color="000000" w:themeColor="text1"/>
              <w:right w:val="nil"/>
            </w:tcBorders>
            <w:hideMark/>
          </w:tcPr>
          <w:p w14:paraId="239ECC01" w14:textId="77777777" w:rsidR="001433A1" w:rsidRPr="009B2611" w:rsidRDefault="001433A1" w:rsidP="001433A1">
            <w:pPr>
              <w:spacing w:after="0" w:line="240" w:lineRule="auto"/>
              <w:jc w:val="center"/>
              <w:rPr>
                <w:sz w:val="18"/>
              </w:rPr>
            </w:pPr>
            <w:r w:rsidRPr="009B2611">
              <w:rPr>
                <w:sz w:val="18"/>
              </w:rPr>
              <w:t>-7</w:t>
            </w:r>
          </w:p>
        </w:tc>
        <w:tc>
          <w:tcPr>
            <w:tcW w:w="14" w:type="pct"/>
            <w:tcBorders>
              <w:top w:val="single" w:sz="4" w:space="0" w:color="000000" w:themeColor="text1"/>
              <w:left w:val="nil"/>
              <w:bottom w:val="single" w:sz="4" w:space="0" w:color="000000" w:themeColor="text1"/>
              <w:right w:val="nil"/>
            </w:tcBorders>
          </w:tcPr>
          <w:p w14:paraId="1E04FB9C" w14:textId="77777777" w:rsidR="001433A1" w:rsidRPr="009B2611" w:rsidRDefault="001433A1" w:rsidP="001433A1">
            <w:pPr>
              <w:spacing w:after="0" w:line="240" w:lineRule="auto"/>
              <w:rPr>
                <w:sz w:val="18"/>
              </w:rPr>
            </w:pPr>
          </w:p>
        </w:tc>
      </w:tr>
      <w:tr w:rsidR="001433A1" w:rsidRPr="009B2611" w14:paraId="33FE8636" w14:textId="77777777" w:rsidTr="001433A1">
        <w:trPr>
          <w:trHeight w:val="217"/>
        </w:trPr>
        <w:tc>
          <w:tcPr>
            <w:tcW w:w="1970" w:type="pct"/>
            <w:tcBorders>
              <w:top w:val="single" w:sz="4" w:space="0" w:color="000000" w:themeColor="text1"/>
              <w:left w:val="nil"/>
              <w:bottom w:val="single" w:sz="4" w:space="0" w:color="000000" w:themeColor="text1"/>
              <w:right w:val="nil"/>
            </w:tcBorders>
          </w:tcPr>
          <w:p w14:paraId="5AD02743" w14:textId="77777777" w:rsidR="001433A1" w:rsidRPr="009B2611" w:rsidRDefault="001433A1" w:rsidP="001433A1">
            <w:pPr>
              <w:spacing w:after="0" w:line="240" w:lineRule="auto"/>
              <w:rPr>
                <w:b/>
                <w:sz w:val="18"/>
              </w:rPr>
            </w:pPr>
            <w:r>
              <w:rPr>
                <w:b/>
                <w:sz w:val="18"/>
              </w:rPr>
              <w:t>Weighted</w:t>
            </w:r>
            <w:r w:rsidRPr="009B2611">
              <w:rPr>
                <w:b/>
                <w:sz w:val="18"/>
              </w:rPr>
              <w:t xml:space="preserve"> score</w:t>
            </w:r>
          </w:p>
        </w:tc>
        <w:tc>
          <w:tcPr>
            <w:tcW w:w="1439" w:type="pct"/>
            <w:tcBorders>
              <w:top w:val="single" w:sz="4" w:space="0" w:color="000000" w:themeColor="text1"/>
              <w:left w:val="nil"/>
              <w:bottom w:val="single" w:sz="4" w:space="0" w:color="000000" w:themeColor="text1"/>
              <w:right w:val="nil"/>
            </w:tcBorders>
          </w:tcPr>
          <w:p w14:paraId="7E7F2069" w14:textId="77777777" w:rsidR="001433A1" w:rsidRPr="009B2611" w:rsidRDefault="001433A1" w:rsidP="001433A1">
            <w:pPr>
              <w:spacing w:after="0" w:line="240" w:lineRule="auto"/>
              <w:jc w:val="center"/>
              <w:rPr>
                <w:b/>
                <w:sz w:val="18"/>
              </w:rPr>
            </w:pPr>
            <w:r w:rsidRPr="009B2611">
              <w:rPr>
                <w:b/>
                <w:sz w:val="18"/>
              </w:rPr>
              <w:t>+2.</w:t>
            </w:r>
            <w:r>
              <w:rPr>
                <w:b/>
                <w:sz w:val="18"/>
              </w:rPr>
              <w:t>9</w:t>
            </w:r>
          </w:p>
        </w:tc>
        <w:tc>
          <w:tcPr>
            <w:tcW w:w="1576" w:type="pct"/>
            <w:tcBorders>
              <w:top w:val="single" w:sz="4" w:space="0" w:color="000000" w:themeColor="text1"/>
              <w:left w:val="nil"/>
              <w:bottom w:val="single" w:sz="4" w:space="0" w:color="000000" w:themeColor="text1"/>
              <w:right w:val="nil"/>
            </w:tcBorders>
          </w:tcPr>
          <w:p w14:paraId="6E0B4BA3" w14:textId="77777777" w:rsidR="001433A1" w:rsidRPr="009B2611" w:rsidRDefault="001433A1" w:rsidP="001433A1">
            <w:pPr>
              <w:spacing w:after="0" w:line="240" w:lineRule="auto"/>
              <w:jc w:val="center"/>
              <w:rPr>
                <w:b/>
                <w:sz w:val="18"/>
              </w:rPr>
            </w:pPr>
            <w:r w:rsidRPr="009B2611">
              <w:rPr>
                <w:b/>
                <w:sz w:val="18"/>
              </w:rPr>
              <w:t>+3.</w:t>
            </w:r>
            <w:r>
              <w:rPr>
                <w:b/>
                <w:sz w:val="18"/>
              </w:rPr>
              <w:t>2</w:t>
            </w:r>
          </w:p>
        </w:tc>
        <w:tc>
          <w:tcPr>
            <w:tcW w:w="14" w:type="pct"/>
            <w:tcBorders>
              <w:top w:val="single" w:sz="4" w:space="0" w:color="000000" w:themeColor="text1"/>
              <w:left w:val="nil"/>
              <w:bottom w:val="single" w:sz="4" w:space="0" w:color="000000" w:themeColor="text1"/>
              <w:right w:val="nil"/>
            </w:tcBorders>
          </w:tcPr>
          <w:p w14:paraId="426190D8" w14:textId="77777777" w:rsidR="001433A1" w:rsidRPr="009B2611" w:rsidRDefault="001433A1" w:rsidP="001433A1">
            <w:pPr>
              <w:spacing w:after="0" w:line="240" w:lineRule="auto"/>
              <w:rPr>
                <w:sz w:val="18"/>
              </w:rPr>
            </w:pPr>
          </w:p>
        </w:tc>
      </w:tr>
    </w:tbl>
    <w:p w14:paraId="466F93FE" w14:textId="77777777" w:rsidR="001433A1" w:rsidRPr="009B2611" w:rsidRDefault="001433A1" w:rsidP="001433A1"/>
    <w:p w14:paraId="418D50F6" w14:textId="77777777" w:rsidR="001433A1" w:rsidRPr="009B2611" w:rsidRDefault="001433A1" w:rsidP="001433A1">
      <w:pPr>
        <w:pStyle w:val="Heading3"/>
        <w:ind w:left="720"/>
        <w:rPr>
          <w:szCs w:val="16"/>
        </w:rPr>
      </w:pPr>
      <w:r w:rsidRPr="009B2611">
        <w:t>Other Authority-issued permit applications</w:t>
      </w:r>
      <w:r w:rsidRPr="009B2611">
        <w:rPr>
          <w:szCs w:val="16"/>
        </w:rPr>
        <w:t xml:space="preserve"> </w:t>
      </w:r>
      <w:r w:rsidRPr="009B2611">
        <w:t>(s50(1)(b))</w:t>
      </w:r>
    </w:p>
    <w:p w14:paraId="4F658119" w14:textId="77777777" w:rsidR="00BE7BDD" w:rsidRDefault="001433A1" w:rsidP="001433A1">
      <w:r w:rsidRPr="009B2611">
        <w:t>This group of permits includes all other permissions that fall under the permit tier under the new EP legislation. This includes (but is not limited to)</w:t>
      </w:r>
      <w:r w:rsidR="00BE7BDD">
        <w:t>:</w:t>
      </w:r>
    </w:p>
    <w:p w14:paraId="1539E00F" w14:textId="71BE3CCF" w:rsidR="00BE7BDD" w:rsidRPr="00772DA1" w:rsidRDefault="00BE7BDD" w:rsidP="00A93F1D">
      <w:pPr>
        <w:numPr>
          <w:ilvl w:val="0"/>
          <w:numId w:val="131"/>
        </w:numPr>
        <w:spacing w:after="170"/>
        <w:contextualSpacing/>
        <w:rPr>
          <w:b/>
        </w:rPr>
      </w:pPr>
      <w:r w:rsidRPr="00A93F1D">
        <w:rPr>
          <w:b/>
        </w:rPr>
        <w:t>Complex:</w:t>
      </w:r>
      <w:r w:rsidR="001433A1" w:rsidRPr="00A93F1D">
        <w:rPr>
          <w:b/>
        </w:rPr>
        <w:t xml:space="preserve"> </w:t>
      </w:r>
      <w:r w:rsidR="00F91176" w:rsidRPr="00A93F1D">
        <w:t>e.g.</w:t>
      </w:r>
      <w:r w:rsidR="001433A1" w:rsidRPr="009B2611">
        <w:t xml:space="preserve"> animal industries, discharge </w:t>
      </w:r>
      <w:r w:rsidR="001433A1">
        <w:t>of waste to aquifer</w:t>
      </w:r>
      <w:r w:rsidR="001433A1" w:rsidRPr="009B2611">
        <w:t xml:space="preserve">, </w:t>
      </w:r>
      <w:r w:rsidR="001433A1">
        <w:t>waste and resource</w:t>
      </w:r>
      <w:r w:rsidR="001433A1" w:rsidRPr="009B2611">
        <w:t xml:space="preserve"> recovery, </w:t>
      </w:r>
      <w:r w:rsidR="001433A1">
        <w:t>municipal</w:t>
      </w:r>
      <w:r w:rsidR="001433A1" w:rsidRPr="009B2611">
        <w:t xml:space="preserve"> landfills</w:t>
      </w:r>
      <w:r w:rsidR="00F91176" w:rsidRPr="00A93F1D">
        <w:t>.</w:t>
      </w:r>
    </w:p>
    <w:p w14:paraId="0DDFC57C" w14:textId="0AC0EC91" w:rsidR="00BE7BDD" w:rsidRDefault="00BE7BDD" w:rsidP="00A93F1D">
      <w:pPr>
        <w:numPr>
          <w:ilvl w:val="0"/>
          <w:numId w:val="131"/>
        </w:numPr>
        <w:spacing w:after="170"/>
        <w:contextualSpacing/>
      </w:pPr>
      <w:r w:rsidRPr="00772DA1">
        <w:rPr>
          <w:b/>
        </w:rPr>
        <w:t xml:space="preserve">Simple: </w:t>
      </w:r>
      <w:r w:rsidR="00F91176" w:rsidRPr="00A93F1D">
        <w:t xml:space="preserve">e.g. </w:t>
      </w:r>
      <w:r w:rsidR="001433A1" w:rsidRPr="00772DA1">
        <w:t>operating an</w:t>
      </w:r>
      <w:r w:rsidR="001433A1" w:rsidRPr="00785A28">
        <w:t xml:space="preserve"> outdoor </w:t>
      </w:r>
      <w:r w:rsidR="001433A1" w:rsidRPr="00772DA1">
        <w:t>entertainment venue or outdoor entertainment event</w:t>
      </w:r>
      <w:r w:rsidR="00F91176" w:rsidRPr="00A93F1D">
        <w:t>.</w:t>
      </w:r>
    </w:p>
    <w:p w14:paraId="69B8601F" w14:textId="075EAFB8" w:rsidR="00BE7BDD" w:rsidRPr="00772DA1" w:rsidRDefault="00BE7BDD" w:rsidP="00A93F1D">
      <w:pPr>
        <w:numPr>
          <w:ilvl w:val="0"/>
          <w:numId w:val="131"/>
        </w:numPr>
        <w:spacing w:after="170"/>
        <w:contextualSpacing/>
        <w:rPr>
          <w:b/>
        </w:rPr>
      </w:pPr>
      <w:r w:rsidRPr="00772DA1">
        <w:rPr>
          <w:b/>
        </w:rPr>
        <w:t>Consignment</w:t>
      </w:r>
      <w:r w:rsidR="00F91176" w:rsidRPr="00772DA1">
        <w:rPr>
          <w:b/>
        </w:rPr>
        <w:t>:</w:t>
      </w:r>
      <w:r w:rsidRPr="00772DA1">
        <w:rPr>
          <w:b/>
        </w:rPr>
        <w:t xml:space="preserve"> </w:t>
      </w:r>
      <w:r w:rsidR="00F91176" w:rsidRPr="00A93F1D">
        <w:t>e.g.</w:t>
      </w:r>
      <w:r>
        <w:t xml:space="preserve"> </w:t>
      </w:r>
      <w:r w:rsidR="001433A1" w:rsidRPr="009B2611">
        <w:t>transport</w:t>
      </w:r>
      <w:r w:rsidR="001433A1">
        <w:t>ing controlled waste into Victoria</w:t>
      </w:r>
      <w:r w:rsidR="001433A1" w:rsidRPr="009B2611">
        <w:t>.</w:t>
      </w:r>
      <w:r w:rsidR="001433A1" w:rsidRPr="00772DA1">
        <w:rPr>
          <w:b/>
        </w:rPr>
        <w:t xml:space="preserve"> </w:t>
      </w:r>
    </w:p>
    <w:p w14:paraId="46482080" w14:textId="77777777" w:rsidR="00F91176" w:rsidRDefault="00F91176" w:rsidP="00772DA1">
      <w:pPr>
        <w:pStyle w:val="ListParagraph"/>
        <w:spacing w:after="0"/>
        <w:ind w:left="1440"/>
      </w:pPr>
    </w:p>
    <w:p w14:paraId="6567D777" w14:textId="2E82C47B" w:rsidR="001433A1" w:rsidRPr="009B2611" w:rsidRDefault="001433A1" w:rsidP="001433A1">
      <w:r w:rsidRPr="009B2611">
        <w:t xml:space="preserve">As the above are new permissions under the permit tier, there is no current fee arrangement in place. For the purposes of this section, “simple” refers to </w:t>
      </w:r>
      <w:r w:rsidRPr="00785A28">
        <w:t xml:space="preserve">the </w:t>
      </w:r>
      <w:r w:rsidRPr="00772DA1">
        <w:t>prescribed</w:t>
      </w:r>
      <w:r>
        <w:t xml:space="preserve"> </w:t>
      </w:r>
      <w:r w:rsidRPr="009B2611">
        <w:t xml:space="preserve">activities </w:t>
      </w:r>
      <w:r w:rsidRPr="00772DA1">
        <w:t>L05</w:t>
      </w:r>
      <w:r w:rsidRPr="009B2611">
        <w:t xml:space="preserve"> and </w:t>
      </w:r>
      <w:r w:rsidRPr="00772DA1">
        <w:t>L06</w:t>
      </w:r>
      <w:r w:rsidRPr="009B2611">
        <w:t xml:space="preserve">, “complex” refers </w:t>
      </w:r>
      <w:r w:rsidRPr="00785A28">
        <w:t xml:space="preserve">to </w:t>
      </w:r>
      <w:r w:rsidRPr="00772DA1">
        <w:t>prescribed</w:t>
      </w:r>
      <w:r w:rsidRPr="009B2611">
        <w:t xml:space="preserve"> activities </w:t>
      </w:r>
      <w:r>
        <w:t xml:space="preserve">A05b, </w:t>
      </w:r>
      <w:r w:rsidRPr="009B2611">
        <w:t>A12, A1</w:t>
      </w:r>
      <w:r>
        <w:t>3</w:t>
      </w:r>
      <w:r w:rsidRPr="009B2611">
        <w:t xml:space="preserve">b, </w:t>
      </w:r>
      <w:r>
        <w:t xml:space="preserve">A14, </w:t>
      </w:r>
      <w:r w:rsidRPr="009B2611">
        <w:t>A15, A16, A17, A18, A19, B01a, and B02a</w:t>
      </w:r>
      <w:r>
        <w:t xml:space="preserve">, and “consignment” refers </w:t>
      </w:r>
      <w:r w:rsidRPr="00785A28">
        <w:t>to prescribed</w:t>
      </w:r>
      <w:r>
        <w:t xml:space="preserve"> activity A11</w:t>
      </w:r>
      <w:r w:rsidRPr="009B2611">
        <w:t xml:space="preserve">. There are estimated to be approximately 22 simple, </w:t>
      </w:r>
      <w:r w:rsidR="00167DAF">
        <w:t>139</w:t>
      </w:r>
      <w:r w:rsidRPr="009B2611">
        <w:t xml:space="preserve"> complex, and 416 consignment applications each year. </w:t>
      </w:r>
    </w:p>
    <w:p w14:paraId="5BC1D1DC" w14:textId="77777777" w:rsidR="001433A1" w:rsidRPr="009B2611" w:rsidRDefault="001433A1" w:rsidP="001433A1">
      <w:r w:rsidRPr="009B2611">
        <w:t>The options considered for the MCA for other permit applications are:</w:t>
      </w:r>
    </w:p>
    <w:p w14:paraId="359CD8C3" w14:textId="77777777" w:rsidR="001433A1" w:rsidRPr="009B2611" w:rsidRDefault="001433A1" w:rsidP="001433A1">
      <w:pPr>
        <w:numPr>
          <w:ilvl w:val="0"/>
          <w:numId w:val="131"/>
        </w:numPr>
        <w:spacing w:after="170"/>
        <w:contextualSpacing/>
      </w:pPr>
      <w:r w:rsidRPr="009B2611">
        <w:rPr>
          <w:b/>
        </w:rPr>
        <w:t>Option 1: Flat fee</w:t>
      </w:r>
      <w:r w:rsidRPr="009B2611">
        <w:t xml:space="preserve">. One fee for all applicants regardless of application complexity. </w:t>
      </w:r>
    </w:p>
    <w:p w14:paraId="5D3483A2" w14:textId="77777777" w:rsidR="001433A1" w:rsidRPr="009B2611" w:rsidRDefault="001433A1" w:rsidP="001433A1">
      <w:pPr>
        <w:numPr>
          <w:ilvl w:val="0"/>
          <w:numId w:val="131"/>
        </w:numPr>
        <w:spacing w:after="0"/>
        <w:contextualSpacing/>
      </w:pPr>
      <w:r w:rsidRPr="009B2611">
        <w:rPr>
          <w:b/>
        </w:rPr>
        <w:t xml:space="preserve">Option 2: Mixed structure. </w:t>
      </w:r>
      <w:r w:rsidRPr="009B2611">
        <w:t xml:space="preserve">Base fee plus an hourly fee, up to a maximum fee for simple and complex permits, and a flat fee for all consignment permits. </w:t>
      </w:r>
    </w:p>
    <w:p w14:paraId="42AAD30A" w14:textId="77777777" w:rsidR="001433A1" w:rsidRDefault="001433A1" w:rsidP="001433A1">
      <w:pPr>
        <w:pStyle w:val="ListParagraph"/>
        <w:numPr>
          <w:ilvl w:val="0"/>
          <w:numId w:val="131"/>
        </w:numPr>
        <w:spacing w:after="170"/>
      </w:pPr>
      <w:r w:rsidRPr="00153F27">
        <w:rPr>
          <w:b/>
        </w:rPr>
        <w:t xml:space="preserve">Option 3: Tiered </w:t>
      </w:r>
      <w:r w:rsidRPr="00785A28">
        <w:rPr>
          <w:b/>
        </w:rPr>
        <w:t>fee</w:t>
      </w:r>
      <w:r>
        <w:rPr>
          <w:b/>
        </w:rPr>
        <w:t xml:space="preserve"> </w:t>
      </w:r>
      <w:r w:rsidRPr="00153F27">
        <w:rPr>
          <w:b/>
        </w:rPr>
        <w:t>structure</w:t>
      </w:r>
      <w:r w:rsidRPr="009B2611">
        <w:t xml:space="preserve"> based on simple, complex or consignment type permits</w:t>
      </w:r>
      <w:r>
        <w:t xml:space="preserve">. </w:t>
      </w:r>
    </w:p>
    <w:p w14:paraId="2E6F03C5" w14:textId="77777777" w:rsidR="001433A1" w:rsidRDefault="001433A1" w:rsidP="001433A1">
      <w:r>
        <w:t xml:space="preserve">Another option is to set the fee by individual permission types, however this will add substantive complexity to the fee design, and EPA also does not have cost data by permission type to support such analysis. </w:t>
      </w:r>
    </w:p>
    <w:p w14:paraId="73F06DF0" w14:textId="77777777" w:rsidR="001433A1" w:rsidRPr="009B2611" w:rsidRDefault="001433A1" w:rsidP="001433A1">
      <w:pPr>
        <w:rPr>
          <w:i/>
        </w:rPr>
      </w:pPr>
      <w:r>
        <w:fldChar w:fldCharType="begin"/>
      </w:r>
      <w:r>
        <w:instrText xml:space="preserve"> REF _Ref10477889 \h  \* MERGEFORMAT </w:instrText>
      </w:r>
      <w:r>
        <w:fldChar w:fldCharType="separate"/>
      </w:r>
      <w:r w:rsidRPr="00037AF8" w:rsidDel="00B11C1E">
        <w:t>Table 16</w:t>
      </w:r>
      <w:r w:rsidRPr="00037AF8" w:rsidDel="00B11C1E">
        <w:noBreakHyphen/>
        <w:t>13</w:t>
      </w:r>
      <w:r>
        <w:fldChar w:fldCharType="end"/>
      </w:r>
      <w:r>
        <w:t xml:space="preserve"> </w:t>
      </w:r>
      <w:r w:rsidRPr="00785A28">
        <w:t>shows the modelled fees for authority-issued permit applications.</w:t>
      </w:r>
    </w:p>
    <w:p w14:paraId="69B67411"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13</w:t>
      </w:r>
      <w:r>
        <w:rPr>
          <w:color w:val="75787B" w:themeColor="accent6"/>
          <w:sz w:val="17"/>
          <w:shd w:val="clear" w:color="auto" w:fill="E6E6E6"/>
        </w:rPr>
        <w:fldChar w:fldCharType="end"/>
      </w:r>
      <w:r w:rsidRPr="009B2611">
        <w:rPr>
          <w:iCs/>
          <w:color w:val="75787B" w:themeColor="accent6"/>
          <w:sz w:val="17"/>
        </w:rPr>
        <w:t>: Modelled fees for other Authority-issued permit applications</w:t>
      </w:r>
    </w:p>
    <w:tbl>
      <w:tblPr>
        <w:tblStyle w:val="Deloittetable"/>
        <w:tblW w:w="5000" w:type="pct"/>
        <w:tblLook w:val="04A0" w:firstRow="1" w:lastRow="0" w:firstColumn="1" w:lastColumn="0" w:noHBand="0" w:noVBand="1"/>
      </w:tblPr>
      <w:tblGrid>
        <w:gridCol w:w="2454"/>
        <w:gridCol w:w="1978"/>
        <w:gridCol w:w="2283"/>
        <w:gridCol w:w="2640"/>
      </w:tblGrid>
      <w:tr w:rsidR="007D5503" w:rsidRPr="009B2611" w14:paraId="7505FE2F" w14:textId="77777777" w:rsidTr="001433A1">
        <w:trPr>
          <w:cnfStyle w:val="100000000000" w:firstRow="1" w:lastRow="0" w:firstColumn="0" w:lastColumn="0" w:oddVBand="0" w:evenVBand="0" w:oddHBand="0" w:evenHBand="0" w:firstRowFirstColumn="0" w:firstRowLastColumn="0" w:lastRowFirstColumn="0" w:lastRowLastColumn="0"/>
          <w:trHeight w:val="313"/>
        </w:trPr>
        <w:tc>
          <w:tcPr>
            <w:tcW w:w="0" w:type="pct"/>
          </w:tcPr>
          <w:p w14:paraId="178F8EF6" w14:textId="77777777" w:rsidR="001433A1" w:rsidRPr="009B2611" w:rsidRDefault="001433A1" w:rsidP="001433A1">
            <w:pPr>
              <w:spacing w:line="240" w:lineRule="auto"/>
              <w:rPr>
                <w:sz w:val="18"/>
              </w:rPr>
            </w:pPr>
          </w:p>
        </w:tc>
        <w:tc>
          <w:tcPr>
            <w:tcW w:w="0" w:type="pct"/>
            <w:hideMark/>
          </w:tcPr>
          <w:p w14:paraId="796C4496" w14:textId="77777777" w:rsidR="001433A1" w:rsidRPr="009B2611" w:rsidRDefault="001433A1" w:rsidP="001433A1">
            <w:pPr>
              <w:spacing w:line="240" w:lineRule="auto"/>
              <w:rPr>
                <w:b/>
                <w:sz w:val="18"/>
              </w:rPr>
            </w:pPr>
            <w:r w:rsidRPr="009B2611">
              <w:rPr>
                <w:b/>
                <w:sz w:val="18"/>
              </w:rPr>
              <w:t>Option 1: Flat fee</w:t>
            </w:r>
          </w:p>
        </w:tc>
        <w:tc>
          <w:tcPr>
            <w:tcW w:w="0" w:type="pct"/>
            <w:hideMark/>
          </w:tcPr>
          <w:p w14:paraId="49902ACC" w14:textId="77777777" w:rsidR="001433A1" w:rsidRPr="009B2611" w:rsidRDefault="001433A1" w:rsidP="001433A1">
            <w:pPr>
              <w:spacing w:line="240" w:lineRule="auto"/>
              <w:rPr>
                <w:b/>
                <w:sz w:val="18"/>
              </w:rPr>
            </w:pPr>
            <w:r w:rsidRPr="009B2611">
              <w:rPr>
                <w:b/>
                <w:sz w:val="18"/>
              </w:rPr>
              <w:t>Option 2: Mixed</w:t>
            </w:r>
          </w:p>
        </w:tc>
        <w:tc>
          <w:tcPr>
            <w:tcW w:w="0" w:type="pct"/>
            <w:hideMark/>
          </w:tcPr>
          <w:p w14:paraId="3AC6BB23" w14:textId="77777777" w:rsidR="001433A1" w:rsidRPr="009B2611" w:rsidRDefault="001433A1" w:rsidP="001433A1">
            <w:pPr>
              <w:spacing w:line="240" w:lineRule="auto"/>
              <w:rPr>
                <w:b/>
                <w:sz w:val="18"/>
              </w:rPr>
            </w:pPr>
            <w:r w:rsidRPr="009B2611">
              <w:rPr>
                <w:b/>
                <w:sz w:val="18"/>
              </w:rPr>
              <w:t>Option 3: Tiered</w:t>
            </w:r>
            <w:r>
              <w:rPr>
                <w:b/>
                <w:sz w:val="18"/>
              </w:rPr>
              <w:t xml:space="preserve"> </w:t>
            </w:r>
            <w:r w:rsidRPr="00785A28">
              <w:rPr>
                <w:b/>
                <w:sz w:val="18"/>
              </w:rPr>
              <w:t>fee structure</w:t>
            </w:r>
          </w:p>
        </w:tc>
      </w:tr>
      <w:tr w:rsidR="007D5503" w:rsidRPr="009B2611" w14:paraId="6B069FD2" w14:textId="77777777" w:rsidTr="001433A1">
        <w:trPr>
          <w:trHeight w:val="739"/>
        </w:trPr>
        <w:tc>
          <w:tcPr>
            <w:tcW w:w="1311" w:type="pct"/>
            <w:hideMark/>
          </w:tcPr>
          <w:p w14:paraId="01F5546D" w14:textId="77777777" w:rsidR="001433A1" w:rsidRPr="009B2611" w:rsidRDefault="001433A1" w:rsidP="001433A1">
            <w:pPr>
              <w:spacing w:line="240" w:lineRule="auto"/>
              <w:rPr>
                <w:sz w:val="18"/>
              </w:rPr>
            </w:pPr>
            <w:r w:rsidRPr="009B2611">
              <w:rPr>
                <w:sz w:val="18"/>
              </w:rPr>
              <w:t>Application fee (simple)</w:t>
            </w:r>
          </w:p>
        </w:tc>
        <w:tc>
          <w:tcPr>
            <w:tcW w:w="1057" w:type="pct"/>
            <w:vMerge w:val="restart"/>
            <w:hideMark/>
          </w:tcPr>
          <w:p w14:paraId="3BB49D1C" w14:textId="0C87A89D" w:rsidR="001433A1" w:rsidRDefault="001433A1" w:rsidP="001433A1">
            <w:pPr>
              <w:spacing w:after="0" w:line="240" w:lineRule="auto"/>
              <w:rPr>
                <w:sz w:val="18"/>
              </w:rPr>
            </w:pPr>
            <w:r>
              <w:rPr>
                <w:sz w:val="18"/>
              </w:rPr>
              <w:t>$</w:t>
            </w:r>
            <w:r w:rsidR="00313C5E">
              <w:rPr>
                <w:sz w:val="18"/>
              </w:rPr>
              <w:t>612.25</w:t>
            </w:r>
            <w:r>
              <w:rPr>
                <w:sz w:val="18"/>
              </w:rPr>
              <w:t xml:space="preserve"> (</w:t>
            </w:r>
            <w:r w:rsidR="00554883">
              <w:rPr>
                <w:sz w:val="18"/>
              </w:rPr>
              <w:t>42.37</w:t>
            </w:r>
            <w:r>
              <w:rPr>
                <w:sz w:val="18"/>
              </w:rPr>
              <w:t xml:space="preserve"> fee </w:t>
            </w:r>
          </w:p>
          <w:p w14:paraId="1AFC07E7" w14:textId="77777777" w:rsidR="001433A1" w:rsidRPr="009B2611" w:rsidRDefault="001433A1" w:rsidP="001433A1">
            <w:pPr>
              <w:spacing w:line="240" w:lineRule="auto"/>
              <w:rPr>
                <w:sz w:val="18"/>
              </w:rPr>
            </w:pPr>
            <w:r>
              <w:rPr>
                <w:sz w:val="18"/>
              </w:rPr>
              <w:t xml:space="preserve">units) </w:t>
            </w:r>
          </w:p>
        </w:tc>
        <w:tc>
          <w:tcPr>
            <w:tcW w:w="1220" w:type="pct"/>
            <w:vMerge w:val="restart"/>
            <w:hideMark/>
          </w:tcPr>
          <w:p w14:paraId="51C7F365" w14:textId="4697929B" w:rsidR="001433A1" w:rsidRDefault="001433A1" w:rsidP="001433A1">
            <w:pPr>
              <w:spacing w:after="0" w:line="240" w:lineRule="auto"/>
              <w:rPr>
                <w:sz w:val="18"/>
              </w:rPr>
            </w:pPr>
            <w:r>
              <w:rPr>
                <w:sz w:val="18"/>
              </w:rPr>
              <w:t>Base fee of $</w:t>
            </w:r>
            <w:r w:rsidR="00313C5E">
              <w:rPr>
                <w:sz w:val="18"/>
              </w:rPr>
              <w:t>790.56</w:t>
            </w:r>
            <w:r>
              <w:rPr>
                <w:sz w:val="18"/>
              </w:rPr>
              <w:t xml:space="preserve"> (</w:t>
            </w:r>
            <w:r w:rsidR="00313C5E">
              <w:rPr>
                <w:sz w:val="18"/>
              </w:rPr>
              <w:t>54.71</w:t>
            </w:r>
            <w:r>
              <w:rPr>
                <w:sz w:val="18"/>
              </w:rPr>
              <w:t xml:space="preserve"> </w:t>
            </w:r>
          </w:p>
          <w:p w14:paraId="7ED158A8" w14:textId="5CBE25BA" w:rsidR="001433A1" w:rsidRPr="009B2611" w:rsidRDefault="001433A1" w:rsidP="00313C5E">
            <w:pPr>
              <w:spacing w:line="240" w:lineRule="auto"/>
              <w:rPr>
                <w:sz w:val="18"/>
              </w:rPr>
            </w:pPr>
            <w:r>
              <w:rPr>
                <w:sz w:val="18"/>
              </w:rPr>
              <w:t>fee units) plus $103.75 (7.18 fee units) per hour for assessments exceeding 9 hours, up to a maximum of $</w:t>
            </w:r>
            <w:r w:rsidR="00313C5E">
              <w:rPr>
                <w:sz w:val="18"/>
              </w:rPr>
              <w:t>2577.01</w:t>
            </w:r>
            <w:r>
              <w:rPr>
                <w:sz w:val="18"/>
              </w:rPr>
              <w:t xml:space="preserve"> (</w:t>
            </w:r>
            <w:r w:rsidR="00313C5E">
              <w:rPr>
                <w:sz w:val="18"/>
              </w:rPr>
              <w:t>178.34</w:t>
            </w:r>
            <w:r>
              <w:rPr>
                <w:sz w:val="18"/>
              </w:rPr>
              <w:t xml:space="preserve"> fee units)</w:t>
            </w:r>
          </w:p>
        </w:tc>
        <w:tc>
          <w:tcPr>
            <w:tcW w:w="1411" w:type="pct"/>
            <w:hideMark/>
          </w:tcPr>
          <w:p w14:paraId="4043259C" w14:textId="77777777" w:rsidR="001433A1" w:rsidRPr="009B2611" w:rsidRDefault="001433A1" w:rsidP="001433A1">
            <w:pPr>
              <w:spacing w:line="240" w:lineRule="auto"/>
              <w:rPr>
                <w:sz w:val="18"/>
              </w:rPr>
            </w:pPr>
            <w:r>
              <w:rPr>
                <w:sz w:val="18"/>
              </w:rPr>
              <w:t>$990.69 (68.56 fee units)</w:t>
            </w:r>
          </w:p>
        </w:tc>
      </w:tr>
      <w:tr w:rsidR="007D5503" w:rsidRPr="009B2611" w14:paraId="0515362D" w14:textId="77777777" w:rsidTr="001433A1">
        <w:trPr>
          <w:trHeight w:val="372"/>
        </w:trPr>
        <w:tc>
          <w:tcPr>
            <w:tcW w:w="0" w:type="pct"/>
            <w:hideMark/>
          </w:tcPr>
          <w:p w14:paraId="782E266F" w14:textId="77777777" w:rsidR="001433A1" w:rsidRPr="009B2611" w:rsidRDefault="001433A1" w:rsidP="001433A1">
            <w:pPr>
              <w:spacing w:line="240" w:lineRule="auto"/>
              <w:rPr>
                <w:sz w:val="18"/>
              </w:rPr>
            </w:pPr>
            <w:r w:rsidRPr="009B2611">
              <w:rPr>
                <w:sz w:val="18"/>
              </w:rPr>
              <w:t>Application fee (complex)</w:t>
            </w:r>
          </w:p>
        </w:tc>
        <w:tc>
          <w:tcPr>
            <w:tcW w:w="0" w:type="pct"/>
            <w:vMerge/>
            <w:hideMark/>
          </w:tcPr>
          <w:p w14:paraId="1D8566F0" w14:textId="77777777" w:rsidR="001433A1" w:rsidRPr="009B2611" w:rsidRDefault="001433A1" w:rsidP="001433A1">
            <w:pPr>
              <w:spacing w:after="0" w:line="240" w:lineRule="auto"/>
              <w:rPr>
                <w:sz w:val="18"/>
              </w:rPr>
            </w:pPr>
          </w:p>
        </w:tc>
        <w:tc>
          <w:tcPr>
            <w:tcW w:w="0" w:type="pct"/>
            <w:vMerge/>
            <w:hideMark/>
          </w:tcPr>
          <w:p w14:paraId="21CACD58" w14:textId="77777777" w:rsidR="001433A1" w:rsidRPr="009B2611" w:rsidRDefault="001433A1" w:rsidP="001433A1">
            <w:pPr>
              <w:spacing w:after="0" w:line="240" w:lineRule="auto"/>
              <w:rPr>
                <w:sz w:val="18"/>
              </w:rPr>
            </w:pPr>
          </w:p>
        </w:tc>
        <w:tc>
          <w:tcPr>
            <w:tcW w:w="0" w:type="pct"/>
            <w:hideMark/>
          </w:tcPr>
          <w:p w14:paraId="7C347FBB" w14:textId="77777777" w:rsidR="001433A1" w:rsidRPr="009B2611" w:rsidRDefault="001433A1" w:rsidP="001433A1">
            <w:pPr>
              <w:spacing w:line="240" w:lineRule="auto"/>
              <w:rPr>
                <w:sz w:val="18"/>
              </w:rPr>
            </w:pPr>
            <w:r>
              <w:rPr>
                <w:sz w:val="18"/>
              </w:rPr>
              <w:t>$1,727.35 (119.54 fee units)</w:t>
            </w:r>
          </w:p>
        </w:tc>
      </w:tr>
      <w:tr w:rsidR="007D5503" w:rsidRPr="009B2611" w14:paraId="31150F7F" w14:textId="77777777" w:rsidTr="001433A1">
        <w:trPr>
          <w:trHeight w:val="230"/>
        </w:trPr>
        <w:tc>
          <w:tcPr>
            <w:tcW w:w="0" w:type="pct"/>
            <w:hideMark/>
          </w:tcPr>
          <w:p w14:paraId="19CC1EF6" w14:textId="77777777" w:rsidR="001433A1" w:rsidRPr="009B2611" w:rsidRDefault="001433A1" w:rsidP="001433A1">
            <w:pPr>
              <w:spacing w:line="240" w:lineRule="auto"/>
              <w:rPr>
                <w:sz w:val="18"/>
              </w:rPr>
            </w:pPr>
            <w:r w:rsidRPr="009B2611">
              <w:rPr>
                <w:sz w:val="18"/>
              </w:rPr>
              <w:t>Application fee (consignment)</w:t>
            </w:r>
          </w:p>
        </w:tc>
        <w:tc>
          <w:tcPr>
            <w:tcW w:w="0" w:type="pct"/>
            <w:vMerge/>
            <w:hideMark/>
          </w:tcPr>
          <w:p w14:paraId="46CC8933" w14:textId="77777777" w:rsidR="001433A1" w:rsidRPr="009B2611" w:rsidRDefault="001433A1" w:rsidP="001433A1">
            <w:pPr>
              <w:spacing w:after="0" w:line="240" w:lineRule="auto"/>
              <w:rPr>
                <w:sz w:val="18"/>
              </w:rPr>
            </w:pPr>
          </w:p>
        </w:tc>
        <w:tc>
          <w:tcPr>
            <w:tcW w:w="0" w:type="pct"/>
            <w:hideMark/>
          </w:tcPr>
          <w:p w14:paraId="2FB84E75" w14:textId="77777777" w:rsidR="001433A1" w:rsidRPr="009B2611" w:rsidRDefault="001433A1" w:rsidP="001433A1">
            <w:pPr>
              <w:spacing w:line="240" w:lineRule="auto"/>
              <w:rPr>
                <w:sz w:val="18"/>
              </w:rPr>
            </w:pPr>
            <w:r>
              <w:rPr>
                <w:sz w:val="18"/>
              </w:rPr>
              <w:t>$219.49 (15.19 fee units)</w:t>
            </w:r>
          </w:p>
        </w:tc>
        <w:tc>
          <w:tcPr>
            <w:tcW w:w="0" w:type="pct"/>
            <w:hideMark/>
          </w:tcPr>
          <w:p w14:paraId="4CA6ABAE" w14:textId="77777777" w:rsidR="001433A1" w:rsidRPr="009B2611" w:rsidRDefault="001433A1" w:rsidP="001433A1">
            <w:pPr>
              <w:spacing w:line="240" w:lineRule="auto"/>
              <w:rPr>
                <w:sz w:val="18"/>
              </w:rPr>
            </w:pPr>
            <w:r>
              <w:rPr>
                <w:sz w:val="18"/>
              </w:rPr>
              <w:t>$219.49 (15.19 fee units)</w:t>
            </w:r>
          </w:p>
        </w:tc>
      </w:tr>
    </w:tbl>
    <w:p w14:paraId="10005A73" w14:textId="77777777" w:rsidR="001433A1" w:rsidRPr="009B2611" w:rsidRDefault="001433A1" w:rsidP="001433A1">
      <w:pPr>
        <w:spacing w:before="120" w:after="0" w:line="240" w:lineRule="auto"/>
        <w:rPr>
          <w:sz w:val="18"/>
        </w:rPr>
      </w:pPr>
      <w:r w:rsidRPr="009B2611">
        <w:rPr>
          <w:sz w:val="18"/>
        </w:rPr>
        <w:t xml:space="preserve">Note: Fees based on EPA estimates for the time taken and costs involved with completing administrative processes and compliance and enforcement activities. See Appendices </w:t>
      </w:r>
      <w:r>
        <w:rPr>
          <w:sz w:val="18"/>
        </w:rPr>
        <w:t>6-9</w:t>
      </w:r>
      <w:r w:rsidRPr="009B2611">
        <w:rPr>
          <w:sz w:val="18"/>
        </w:rPr>
        <w:t xml:space="preserve"> for more information. </w:t>
      </w:r>
      <w:r>
        <w:rPr>
          <w:sz w:val="18"/>
        </w:rPr>
        <w:t>Fee units are given in 2018-19 fee unit values.</w:t>
      </w:r>
    </w:p>
    <w:p w14:paraId="789AA30C" w14:textId="77777777" w:rsidR="001433A1" w:rsidRPr="009B2611" w:rsidRDefault="001433A1" w:rsidP="001433A1">
      <w:pPr>
        <w:spacing w:before="120" w:after="0"/>
        <w:rPr>
          <w:sz w:val="18"/>
        </w:rPr>
      </w:pPr>
    </w:p>
    <w:p w14:paraId="5F6E092E" w14:textId="77777777" w:rsidR="001433A1" w:rsidRPr="009B2611" w:rsidRDefault="001433A1" w:rsidP="001433A1">
      <w:pPr>
        <w:pStyle w:val="Heading4"/>
      </w:pPr>
      <w:r w:rsidRPr="009B2611">
        <w:t>Option 1: Flat fee</w:t>
      </w:r>
    </w:p>
    <w:p w14:paraId="1B631370" w14:textId="77777777" w:rsidR="001433A1" w:rsidRDefault="001433A1" w:rsidP="001433A1">
      <w:pPr>
        <w:spacing w:after="0"/>
      </w:pPr>
      <w:r>
        <w:rPr>
          <w:i/>
        </w:rPr>
        <w:t>Cost reflectivity</w:t>
      </w:r>
    </w:p>
    <w:p w14:paraId="42ED6E7A" w14:textId="77777777" w:rsidR="001433A1" w:rsidRDefault="001433A1" w:rsidP="001433A1">
      <w:r w:rsidRPr="009B2611">
        <w:t>This option scores highly in terms of cost reflectivity and is given a score of +10 (the same score is given for all options).</w:t>
      </w:r>
    </w:p>
    <w:p w14:paraId="29B42067" w14:textId="77777777" w:rsidR="001433A1" w:rsidRDefault="001433A1" w:rsidP="001433A1">
      <w:pPr>
        <w:spacing w:after="0"/>
      </w:pPr>
      <w:r>
        <w:rPr>
          <w:i/>
        </w:rPr>
        <w:t>Equity</w:t>
      </w:r>
    </w:p>
    <w:p w14:paraId="7E4BE056" w14:textId="73554601" w:rsidR="001433A1" w:rsidRDefault="001433A1" w:rsidP="001433A1">
      <w:pPr>
        <w:spacing w:after="240" w:line="240" w:lineRule="auto"/>
        <w:contextualSpacing/>
        <w:jc w:val="both"/>
        <w:textboxTightWrap w:val="allLines"/>
      </w:pPr>
      <w:r w:rsidRPr="009B2611">
        <w:t xml:space="preserve">In terms of equity, as all applicants are charged the same fee, this fee does not account for the different levels of administrative time (which range from approximately </w:t>
      </w:r>
      <w:r w:rsidR="00554883">
        <w:t xml:space="preserve">1 - </w:t>
      </w:r>
      <w:r w:rsidR="00554883" w:rsidDel="00BE7BDD">
        <w:t>25</w:t>
      </w:r>
      <w:r w:rsidR="00BE7BDD" w:rsidRPr="009B2611">
        <w:t xml:space="preserve"> </w:t>
      </w:r>
      <w:r w:rsidRPr="009B2611">
        <w:t>hours) and thus the costs involved with different applications. Since 64% of these permits are consignment permits, which cost substantially less to administer than the “simple” and “complex” permits, imposing a flat fee across the large number of simple, complex and consignment applicants causes them to cross-subsidise the costs of administration for other applicants</w:t>
      </w:r>
      <w:r>
        <w:t xml:space="preserve"> </w:t>
      </w:r>
      <w:r w:rsidRPr="009B2611">
        <w:t xml:space="preserve">- the fee is over twice as large. </w:t>
      </w:r>
      <w:r>
        <w:t xml:space="preserve">This reduces </w:t>
      </w:r>
      <w:r w:rsidRPr="003257DD">
        <w:t xml:space="preserve">the degree to which the parties that give rise to specific costs bear those costs. </w:t>
      </w:r>
      <w:r w:rsidRPr="009B2611">
        <w:t>Further, a flat fee is not able to account for ability to pay of different participants.</w:t>
      </w:r>
      <w:r>
        <w:t xml:space="preserve"> Reflecting both aspects of equity, a</w:t>
      </w:r>
      <w:r w:rsidRPr="009B2611">
        <w:t xml:space="preserve"> score of +3 is given.</w:t>
      </w:r>
    </w:p>
    <w:p w14:paraId="3FEA4A0A" w14:textId="77777777" w:rsidR="001433A1" w:rsidRDefault="001433A1" w:rsidP="001433A1">
      <w:pPr>
        <w:spacing w:after="240" w:line="240" w:lineRule="auto"/>
        <w:contextualSpacing/>
        <w:jc w:val="both"/>
        <w:textboxTightWrap w:val="allLines"/>
      </w:pPr>
    </w:p>
    <w:p w14:paraId="1A2732C8" w14:textId="77777777" w:rsidR="001433A1" w:rsidRDefault="001433A1" w:rsidP="001433A1">
      <w:pPr>
        <w:spacing w:after="240" w:line="240" w:lineRule="auto"/>
        <w:contextualSpacing/>
        <w:jc w:val="both"/>
        <w:textboxTightWrap w:val="allLines"/>
      </w:pPr>
    </w:p>
    <w:p w14:paraId="6CD3F1A1" w14:textId="77777777" w:rsidR="001433A1" w:rsidRPr="009B2611" w:rsidRDefault="001433A1" w:rsidP="001433A1">
      <w:pPr>
        <w:spacing w:before="120" w:after="0"/>
      </w:pPr>
      <w:r>
        <w:rPr>
          <w:i/>
        </w:rPr>
        <w:t>Simple and easy to understand and administer</w:t>
      </w:r>
    </w:p>
    <w:p w14:paraId="19E99890" w14:textId="77777777" w:rsidR="001433A1" w:rsidRPr="009B2611" w:rsidRDefault="001433A1" w:rsidP="001433A1">
      <w:pPr>
        <w:rPr>
          <w:strike/>
        </w:rPr>
      </w:pPr>
      <w:r w:rsidRPr="009B2611">
        <w:t>In terms of ease and simplicity of administration, this option scores highest among the three options as all applicants pay the same fee and the fee level is known to applicants in advance. A score of -1 is given</w:t>
      </w:r>
      <w:r>
        <w:t>.</w:t>
      </w:r>
    </w:p>
    <w:p w14:paraId="318E9585" w14:textId="77777777" w:rsidR="001433A1" w:rsidRPr="009B2611" w:rsidRDefault="001433A1" w:rsidP="001433A1">
      <w:pPr>
        <w:pStyle w:val="Heading4"/>
      </w:pPr>
      <w:r w:rsidRPr="009B2611">
        <w:t xml:space="preserve">Option 2: Mixed structure </w:t>
      </w:r>
    </w:p>
    <w:p w14:paraId="460AD48D" w14:textId="77777777" w:rsidR="001433A1" w:rsidRDefault="001433A1" w:rsidP="001433A1">
      <w:pPr>
        <w:spacing w:after="0"/>
      </w:pPr>
      <w:r>
        <w:rPr>
          <w:i/>
        </w:rPr>
        <w:t>Equity</w:t>
      </w:r>
    </w:p>
    <w:p w14:paraId="2888F8C5" w14:textId="77777777" w:rsidR="001433A1" w:rsidRPr="009B2611" w:rsidRDefault="001433A1" w:rsidP="001433A1">
      <w:r w:rsidRPr="009B2611">
        <w:t xml:space="preserve">A </w:t>
      </w:r>
      <w:r>
        <w:t>variable fee</w:t>
      </w:r>
      <w:r w:rsidRPr="009B2611">
        <w:t xml:space="preserve"> structure</w:t>
      </w:r>
      <w:r>
        <w:t xml:space="preserve"> based on EPA assessment times</w:t>
      </w:r>
      <w:r w:rsidRPr="009B2611">
        <w:t xml:space="preserve"> better targets fees to those parties that create the administrative burden in comparison to both a flat fee and tiered </w:t>
      </w:r>
      <w:r w:rsidRPr="00CD75AE">
        <w:t>fee</w:t>
      </w:r>
      <w:r>
        <w:t xml:space="preserve"> </w:t>
      </w:r>
      <w:r w:rsidRPr="009B2611">
        <w:t xml:space="preserve">structure. </w:t>
      </w:r>
    </w:p>
    <w:p w14:paraId="29BC6559" w14:textId="77777777" w:rsidR="001433A1" w:rsidRDefault="001433A1" w:rsidP="001433A1">
      <w:r w:rsidRPr="009B2611">
        <w:t xml:space="preserve">In this mixed fee option, for consignment permits, applicants are charged a </w:t>
      </w:r>
      <w:r>
        <w:t xml:space="preserve">flat </w:t>
      </w:r>
      <w:r w:rsidRPr="009B2611">
        <w:t xml:space="preserve">fee based on the administration costs </w:t>
      </w:r>
      <w:r>
        <w:t xml:space="preserve">for this </w:t>
      </w:r>
      <w:r w:rsidRPr="009B2611">
        <w:t>permit. For the other permits, as is typically the case of a base fee plus hourly rate structure, smaller parties (those applying for consignment permits excluded) can potentially be charged high fees if the application is complex. A score of +7 is given</w:t>
      </w:r>
      <w:r>
        <w:t xml:space="preserve"> for equity</w:t>
      </w:r>
      <w:r w:rsidRPr="009B2611">
        <w:t>.</w:t>
      </w:r>
    </w:p>
    <w:p w14:paraId="3B88E19F" w14:textId="77777777" w:rsidR="001433A1" w:rsidRPr="009B2611" w:rsidRDefault="001433A1" w:rsidP="001433A1">
      <w:pPr>
        <w:spacing w:after="0"/>
      </w:pPr>
      <w:r>
        <w:rPr>
          <w:i/>
        </w:rPr>
        <w:t>Simple and easy to understand and administer</w:t>
      </w:r>
    </w:p>
    <w:p w14:paraId="0D4465E2" w14:textId="77777777" w:rsidR="001433A1" w:rsidRPr="009B2611" w:rsidRDefault="001433A1" w:rsidP="001433A1">
      <w:r w:rsidRPr="009B2611">
        <w:t>Of all three options, this option is the most complex to administer as there will need to be a system in place to keep track of time spent on each simple and complex permit. Further, simple and complex permit applicants will not know what fee they will be charged in advance. A score of -7 is given.</w:t>
      </w:r>
    </w:p>
    <w:p w14:paraId="14054FC5" w14:textId="77777777" w:rsidR="001433A1" w:rsidRPr="009B2611" w:rsidRDefault="001433A1" w:rsidP="001433A1">
      <w:pPr>
        <w:pStyle w:val="Heading4"/>
      </w:pPr>
      <w:r w:rsidRPr="009B2611">
        <w:t xml:space="preserve">Option 3: Tiered </w:t>
      </w:r>
      <w:r w:rsidRPr="00CD75AE">
        <w:t>fee</w:t>
      </w:r>
      <w:r>
        <w:t xml:space="preserve"> </w:t>
      </w:r>
      <w:r w:rsidRPr="009B2611">
        <w:t>structure</w:t>
      </w:r>
    </w:p>
    <w:p w14:paraId="2AD1E2AD" w14:textId="77777777" w:rsidR="001433A1" w:rsidRDefault="001433A1" w:rsidP="001433A1">
      <w:pPr>
        <w:spacing w:after="0" w:line="240" w:lineRule="auto"/>
        <w:rPr>
          <w:i/>
        </w:rPr>
      </w:pPr>
      <w:r>
        <w:rPr>
          <w:i/>
        </w:rPr>
        <w:t>Equity</w:t>
      </w:r>
    </w:p>
    <w:p w14:paraId="50F1E3D5" w14:textId="77777777" w:rsidR="001433A1" w:rsidRDefault="001433A1" w:rsidP="001433A1">
      <w:pPr>
        <w:spacing w:line="240" w:lineRule="auto"/>
      </w:pPr>
      <w:r w:rsidRPr="009B2611">
        <w:t xml:space="preserve">In terms of parties bearing the costs they give rise to, this fee structure performs better than a flat fee given there are three tiers instead of one, yet not quite as highly as the mixed option that is based on the number of hours. </w:t>
      </w:r>
    </w:p>
    <w:p w14:paraId="6ABE4C2D" w14:textId="77777777" w:rsidR="001433A1" w:rsidRPr="009B2611" w:rsidRDefault="001433A1" w:rsidP="001433A1">
      <w:pPr>
        <w:spacing w:line="240" w:lineRule="auto"/>
      </w:pPr>
      <w:r w:rsidRPr="009B2611">
        <w:t xml:space="preserve">In terms of accounting for ability to pay, smaller applicants are likely to be worse off than under Option 2 - while the minimum fee that can be charged is higher, the maximum fee is also lower. A score of +6 is given. </w:t>
      </w:r>
    </w:p>
    <w:p w14:paraId="217D4679" w14:textId="77777777" w:rsidR="001433A1" w:rsidRDefault="001433A1" w:rsidP="001433A1">
      <w:pPr>
        <w:spacing w:after="0" w:line="240" w:lineRule="auto"/>
      </w:pPr>
      <w:r>
        <w:rPr>
          <w:i/>
        </w:rPr>
        <w:t>Simple and easy to understand and administer</w:t>
      </w:r>
    </w:p>
    <w:p w14:paraId="5E05478D" w14:textId="77777777" w:rsidR="001433A1" w:rsidRPr="009B2611" w:rsidRDefault="001433A1" w:rsidP="001433A1">
      <w:pPr>
        <w:spacing w:after="0" w:line="240" w:lineRule="auto"/>
      </w:pPr>
      <w:r w:rsidRPr="009B2611">
        <w:t xml:space="preserve">As EPA has already specified which type of permits fall within each tier (simple, complex, </w:t>
      </w:r>
      <w:r>
        <w:t xml:space="preserve">and </w:t>
      </w:r>
      <w:r w:rsidRPr="009B2611">
        <w:t>consignment), this option is relatively simple to administer and allows applicants to understand their fees in advance. A score of -3 is given</w:t>
      </w:r>
      <w:r>
        <w:t>.</w:t>
      </w:r>
    </w:p>
    <w:p w14:paraId="0B96E3E3" w14:textId="77777777" w:rsidR="001433A1" w:rsidRPr="009B2611" w:rsidRDefault="001433A1" w:rsidP="001433A1">
      <w:pPr>
        <w:spacing w:after="0" w:line="240" w:lineRule="auto"/>
      </w:pPr>
    </w:p>
    <w:p w14:paraId="36B13203" w14:textId="77777777" w:rsidR="001433A1" w:rsidRPr="00785A28" w:rsidRDefault="001433A1" w:rsidP="001433A1">
      <w:pPr>
        <w:pStyle w:val="Heading4"/>
        <w:rPr>
          <w:szCs w:val="16"/>
        </w:rPr>
      </w:pPr>
      <w:r w:rsidRPr="00785A28">
        <w:t>MCA</w:t>
      </w:r>
      <w:r w:rsidRPr="00CD75AE">
        <w:t xml:space="preserve"> summary and p</w:t>
      </w:r>
      <w:r w:rsidRPr="00785A28">
        <w:t xml:space="preserve">referred option – </w:t>
      </w:r>
      <w:r w:rsidRPr="00785A28">
        <w:rPr>
          <w:szCs w:val="16"/>
        </w:rPr>
        <w:t xml:space="preserve">Tiered </w:t>
      </w:r>
      <w:r w:rsidRPr="00CD75AE">
        <w:rPr>
          <w:szCs w:val="16"/>
        </w:rPr>
        <w:t>fee</w:t>
      </w:r>
      <w:r w:rsidRPr="00785A28">
        <w:rPr>
          <w:szCs w:val="16"/>
        </w:rPr>
        <w:t xml:space="preserve"> structure </w:t>
      </w:r>
    </w:p>
    <w:p w14:paraId="46D87FEC" w14:textId="77777777" w:rsidR="001433A1" w:rsidRPr="009B2611" w:rsidRDefault="001433A1" w:rsidP="001433A1">
      <w:r w:rsidRPr="009B2611">
        <w:fldChar w:fldCharType="begin"/>
      </w:r>
      <w:r w:rsidRPr="009B2611">
        <w:instrText xml:space="preserve"> REF _Ref7710036 \h </w:instrText>
      </w:r>
      <w:r>
        <w:instrText xml:space="preserve"> \* MERGEFORMAT </w:instrText>
      </w:r>
      <w:r w:rsidRPr="009B2611">
        <w:fldChar w:fldCharType="separate"/>
      </w:r>
      <w:r w:rsidRPr="00037AF8" w:rsidDel="00B11C1E">
        <w:t>Table 16</w:t>
      </w:r>
      <w:r w:rsidRPr="00037AF8" w:rsidDel="00B11C1E">
        <w:noBreakHyphen/>
        <w:t>14</w:t>
      </w:r>
      <w:r w:rsidRPr="009B2611">
        <w:fldChar w:fldCharType="end"/>
      </w:r>
      <w:r w:rsidRPr="009B2611">
        <w:t xml:space="preserve"> below summarises the results of the MCA. </w:t>
      </w:r>
      <w:r w:rsidRPr="00CD75AE">
        <w:t>The t</w:t>
      </w:r>
      <w:r w:rsidRPr="00785A28">
        <w:t xml:space="preserve">iered </w:t>
      </w:r>
      <w:r w:rsidRPr="00CD75AE">
        <w:t>fee</w:t>
      </w:r>
      <w:r>
        <w:t xml:space="preserve"> </w:t>
      </w:r>
      <w:r w:rsidRPr="009B2611">
        <w:t xml:space="preserve">structure has the highest score overall. </w:t>
      </w:r>
      <w:r w:rsidRPr="00785A28">
        <w:t xml:space="preserve">While </w:t>
      </w:r>
      <w:r w:rsidRPr="00CD75AE">
        <w:t>the flat fee structure</w:t>
      </w:r>
      <w:r>
        <w:t xml:space="preserve"> (</w:t>
      </w:r>
      <w:r w:rsidRPr="009B2611">
        <w:t>Option 1</w:t>
      </w:r>
      <w:r>
        <w:t>)</w:t>
      </w:r>
      <w:r w:rsidRPr="009B2611">
        <w:t xml:space="preserve"> is stronger on simplicity and ability to understand, </w:t>
      </w:r>
      <w:r w:rsidRPr="00CD75AE">
        <w:t>the tiered fee option</w:t>
      </w:r>
      <w:r>
        <w:t xml:space="preserve"> (</w:t>
      </w:r>
      <w:r w:rsidRPr="009B2611">
        <w:t>Option 3</w:t>
      </w:r>
      <w:r>
        <w:t>)</w:t>
      </w:r>
      <w:r w:rsidRPr="009B2611">
        <w:t xml:space="preserve"> is strong on equity. </w:t>
      </w:r>
      <w:r>
        <w:t xml:space="preserve">However it is important to note that the scores are very close. This means that the </w:t>
      </w:r>
      <w:r w:rsidRPr="00494019">
        <w:t xml:space="preserve">rankings could change with a </w:t>
      </w:r>
      <w:r>
        <w:t>small</w:t>
      </w:r>
      <w:r w:rsidRPr="00494019">
        <w:t xml:space="preserve"> difference in </w:t>
      </w:r>
      <w:r>
        <w:t>scoring</w:t>
      </w:r>
      <w:r w:rsidRPr="00494019">
        <w:t>,</w:t>
      </w:r>
      <w:r>
        <w:t xml:space="preserve"> or weighting of criteria.</w:t>
      </w:r>
    </w:p>
    <w:p w14:paraId="7AB04A9C"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14</w:t>
      </w:r>
      <w:r>
        <w:rPr>
          <w:color w:val="75787B" w:themeColor="accent6"/>
          <w:sz w:val="17"/>
          <w:shd w:val="clear" w:color="auto" w:fill="E6E6E6"/>
        </w:rPr>
        <w:fldChar w:fldCharType="end"/>
      </w:r>
      <w:r w:rsidRPr="009B2611">
        <w:rPr>
          <w:iCs/>
          <w:color w:val="75787B" w:themeColor="accent6"/>
          <w:sz w:val="17"/>
        </w:rPr>
        <w:t xml:space="preserve"> Other Authority-issued permits application fee structures: MCA results</w:t>
      </w:r>
    </w:p>
    <w:tbl>
      <w:tblPr>
        <w:tblStyle w:val="Deloittetable"/>
        <w:tblW w:w="5000" w:type="pct"/>
        <w:tblLook w:val="04A0" w:firstRow="1" w:lastRow="0" w:firstColumn="1" w:lastColumn="0" w:noHBand="0" w:noVBand="1"/>
      </w:tblPr>
      <w:tblGrid>
        <w:gridCol w:w="2790"/>
        <w:gridCol w:w="2563"/>
        <w:gridCol w:w="1826"/>
        <w:gridCol w:w="2176"/>
      </w:tblGrid>
      <w:tr w:rsidR="001433A1" w:rsidRPr="00785A28" w14:paraId="1E44683A" w14:textId="77777777" w:rsidTr="001433A1">
        <w:trPr>
          <w:cnfStyle w:val="100000000000" w:firstRow="1" w:lastRow="0" w:firstColumn="0" w:lastColumn="0" w:oddVBand="0" w:evenVBand="0" w:oddHBand="0" w:evenHBand="0" w:firstRowFirstColumn="0" w:firstRowLastColumn="0" w:lastRowFirstColumn="0" w:lastRowLastColumn="0"/>
          <w:cantSplit/>
          <w:trHeight w:val="290"/>
          <w:tblHeader/>
        </w:trPr>
        <w:tc>
          <w:tcPr>
            <w:tcW w:w="1491" w:type="pct"/>
            <w:tcBorders>
              <w:left w:val="nil"/>
              <w:bottom w:val="single" w:sz="4" w:space="0" w:color="000000" w:themeColor="text1"/>
              <w:right w:val="nil"/>
            </w:tcBorders>
          </w:tcPr>
          <w:p w14:paraId="582B469F" w14:textId="77777777" w:rsidR="001433A1" w:rsidRPr="009B2611" w:rsidRDefault="001433A1" w:rsidP="001433A1">
            <w:pPr>
              <w:spacing w:after="0" w:line="240" w:lineRule="auto"/>
              <w:rPr>
                <w:sz w:val="18"/>
              </w:rPr>
            </w:pPr>
            <w:r w:rsidRPr="003257DD">
              <w:rPr>
                <w:b/>
                <w:sz w:val="18"/>
              </w:rPr>
              <w:t>Criteria</w:t>
            </w:r>
          </w:p>
        </w:tc>
        <w:tc>
          <w:tcPr>
            <w:tcW w:w="1370" w:type="pct"/>
            <w:tcBorders>
              <w:left w:val="nil"/>
              <w:bottom w:val="single" w:sz="4" w:space="0" w:color="000000" w:themeColor="text1"/>
              <w:right w:val="nil"/>
            </w:tcBorders>
            <w:vAlign w:val="center"/>
            <w:hideMark/>
          </w:tcPr>
          <w:p w14:paraId="0F4116A9" w14:textId="77777777" w:rsidR="001433A1" w:rsidRPr="009B2611" w:rsidRDefault="001433A1" w:rsidP="00CD75AE">
            <w:pPr>
              <w:spacing w:after="0" w:line="240" w:lineRule="auto"/>
              <w:ind w:right="57"/>
              <w:jc w:val="right"/>
              <w:rPr>
                <w:b/>
                <w:sz w:val="18"/>
              </w:rPr>
            </w:pPr>
            <w:r w:rsidRPr="005F5B6B">
              <w:rPr>
                <w:b/>
                <w:sz w:val="18"/>
              </w:rPr>
              <w:t xml:space="preserve">Option 1: </w:t>
            </w:r>
            <w:r w:rsidRPr="003257DD">
              <w:rPr>
                <w:b/>
                <w:sz w:val="18"/>
              </w:rPr>
              <w:t>Flat fee</w:t>
            </w:r>
          </w:p>
        </w:tc>
        <w:tc>
          <w:tcPr>
            <w:tcW w:w="976" w:type="pct"/>
            <w:tcBorders>
              <w:left w:val="nil"/>
              <w:bottom w:val="single" w:sz="4" w:space="0" w:color="000000" w:themeColor="text1"/>
              <w:right w:val="nil"/>
            </w:tcBorders>
            <w:vAlign w:val="center"/>
            <w:hideMark/>
          </w:tcPr>
          <w:p w14:paraId="4F0EFD27" w14:textId="77777777" w:rsidR="001433A1" w:rsidRPr="009B2611" w:rsidRDefault="001433A1" w:rsidP="00CD75AE">
            <w:pPr>
              <w:spacing w:after="0" w:line="240" w:lineRule="auto"/>
              <w:ind w:right="57"/>
              <w:jc w:val="right"/>
              <w:rPr>
                <w:b/>
                <w:sz w:val="18"/>
              </w:rPr>
            </w:pPr>
            <w:r w:rsidRPr="005E2991">
              <w:rPr>
                <w:b/>
                <w:sz w:val="18"/>
              </w:rPr>
              <w:t xml:space="preserve">Option 2: </w:t>
            </w:r>
            <w:r w:rsidRPr="003257DD">
              <w:rPr>
                <w:b/>
                <w:sz w:val="18"/>
              </w:rPr>
              <w:t>Mixed</w:t>
            </w:r>
          </w:p>
        </w:tc>
        <w:tc>
          <w:tcPr>
            <w:tcW w:w="1163" w:type="pct"/>
            <w:tcBorders>
              <w:left w:val="nil"/>
              <w:bottom w:val="single" w:sz="4" w:space="0" w:color="000000" w:themeColor="text1"/>
              <w:right w:val="nil"/>
            </w:tcBorders>
            <w:vAlign w:val="center"/>
          </w:tcPr>
          <w:p w14:paraId="0D129E02" w14:textId="77777777" w:rsidR="001433A1" w:rsidRPr="00785A28" w:rsidRDefault="001433A1" w:rsidP="00CD75AE">
            <w:pPr>
              <w:spacing w:after="0" w:line="240" w:lineRule="auto"/>
              <w:ind w:right="57"/>
              <w:jc w:val="right"/>
              <w:rPr>
                <w:b/>
                <w:sz w:val="18"/>
              </w:rPr>
            </w:pPr>
            <w:r w:rsidRPr="00785A28">
              <w:rPr>
                <w:b/>
                <w:sz w:val="18"/>
              </w:rPr>
              <w:t xml:space="preserve">Option 3: Tiered </w:t>
            </w:r>
            <w:r w:rsidRPr="00CD75AE">
              <w:rPr>
                <w:b/>
                <w:sz w:val="18"/>
              </w:rPr>
              <w:t>fee structure</w:t>
            </w:r>
          </w:p>
        </w:tc>
      </w:tr>
      <w:tr w:rsidR="001433A1" w:rsidRPr="009B2611" w14:paraId="6BE0B17D" w14:textId="77777777" w:rsidTr="001433A1">
        <w:trPr>
          <w:cantSplit/>
          <w:trHeight w:val="290"/>
          <w:tblHeader/>
        </w:trPr>
        <w:tc>
          <w:tcPr>
            <w:tcW w:w="1491" w:type="pct"/>
            <w:tcBorders>
              <w:top w:val="single" w:sz="4" w:space="0" w:color="000000" w:themeColor="text1"/>
              <w:left w:val="nil"/>
              <w:bottom w:val="single" w:sz="4" w:space="0" w:color="000000" w:themeColor="text1"/>
              <w:right w:val="nil"/>
            </w:tcBorders>
            <w:hideMark/>
          </w:tcPr>
          <w:p w14:paraId="415F4712" w14:textId="77777777" w:rsidR="001433A1" w:rsidRPr="009B2611" w:rsidRDefault="001433A1" w:rsidP="001433A1">
            <w:pPr>
              <w:spacing w:after="0" w:line="240" w:lineRule="auto"/>
              <w:cnfStyle w:val="100000000000" w:firstRow="1" w:lastRow="0" w:firstColumn="0" w:lastColumn="0" w:oddVBand="0" w:evenVBand="0" w:oddHBand="0" w:evenHBand="0" w:firstRowFirstColumn="0" w:firstRowLastColumn="0" w:lastRowFirstColumn="0" w:lastRowLastColumn="0"/>
              <w:rPr>
                <w:sz w:val="18"/>
              </w:rPr>
            </w:pPr>
            <w:r>
              <w:rPr>
                <w:sz w:val="18"/>
              </w:rPr>
              <w:t>Cost reflectivity</w:t>
            </w:r>
          </w:p>
        </w:tc>
        <w:tc>
          <w:tcPr>
            <w:tcW w:w="1370" w:type="pct"/>
            <w:tcBorders>
              <w:top w:val="single" w:sz="4" w:space="0" w:color="000000" w:themeColor="text1"/>
              <w:left w:val="nil"/>
              <w:bottom w:val="single" w:sz="4" w:space="0" w:color="000000" w:themeColor="text1"/>
              <w:right w:val="nil"/>
            </w:tcBorders>
            <w:vAlign w:val="center"/>
            <w:hideMark/>
          </w:tcPr>
          <w:p w14:paraId="7F365ABF" w14:textId="77777777" w:rsidR="001433A1" w:rsidRPr="009B2611" w:rsidRDefault="001433A1" w:rsidP="00CD75AE">
            <w:pPr>
              <w:spacing w:after="0" w:line="240" w:lineRule="auto"/>
              <w:ind w:right="57"/>
              <w:jc w:val="right"/>
              <w:cnfStyle w:val="100000000000" w:firstRow="1" w:lastRow="0" w:firstColumn="0" w:lastColumn="0" w:oddVBand="0" w:evenVBand="0" w:oddHBand="0" w:evenHBand="0" w:firstRowFirstColumn="0" w:firstRowLastColumn="0" w:lastRowFirstColumn="0" w:lastRowLastColumn="0"/>
              <w:rPr>
                <w:sz w:val="18"/>
              </w:rPr>
            </w:pPr>
            <w:r w:rsidRPr="009B2611">
              <w:rPr>
                <w:sz w:val="18"/>
              </w:rPr>
              <w:t>+10</w:t>
            </w:r>
          </w:p>
        </w:tc>
        <w:tc>
          <w:tcPr>
            <w:tcW w:w="976" w:type="pct"/>
            <w:tcBorders>
              <w:top w:val="single" w:sz="4" w:space="0" w:color="000000" w:themeColor="text1"/>
              <w:left w:val="nil"/>
              <w:bottom w:val="single" w:sz="4" w:space="0" w:color="000000" w:themeColor="text1"/>
              <w:right w:val="nil"/>
            </w:tcBorders>
            <w:vAlign w:val="center"/>
            <w:hideMark/>
          </w:tcPr>
          <w:p w14:paraId="63445017" w14:textId="77777777" w:rsidR="001433A1" w:rsidRPr="009B2611" w:rsidRDefault="001433A1" w:rsidP="00CD75AE">
            <w:pPr>
              <w:spacing w:after="0" w:line="240" w:lineRule="auto"/>
              <w:ind w:right="57"/>
              <w:jc w:val="right"/>
              <w:cnfStyle w:val="100000000000" w:firstRow="1" w:lastRow="0" w:firstColumn="0" w:lastColumn="0" w:oddVBand="0" w:evenVBand="0" w:oddHBand="0" w:evenHBand="0" w:firstRowFirstColumn="0" w:firstRowLastColumn="0" w:lastRowFirstColumn="0" w:lastRowLastColumn="0"/>
              <w:rPr>
                <w:sz w:val="18"/>
              </w:rPr>
            </w:pPr>
            <w:r w:rsidRPr="009B2611">
              <w:rPr>
                <w:sz w:val="18"/>
              </w:rPr>
              <w:t>+10</w:t>
            </w:r>
          </w:p>
        </w:tc>
        <w:tc>
          <w:tcPr>
            <w:tcW w:w="1163" w:type="pct"/>
            <w:tcBorders>
              <w:top w:val="single" w:sz="4" w:space="0" w:color="000000" w:themeColor="text1"/>
              <w:left w:val="nil"/>
              <w:bottom w:val="single" w:sz="4" w:space="0" w:color="000000" w:themeColor="text1"/>
              <w:right w:val="nil"/>
            </w:tcBorders>
            <w:vAlign w:val="center"/>
          </w:tcPr>
          <w:p w14:paraId="4EC16230" w14:textId="77777777" w:rsidR="001433A1" w:rsidRPr="009B2611" w:rsidRDefault="001433A1" w:rsidP="00CD75AE">
            <w:pPr>
              <w:spacing w:after="0" w:line="240" w:lineRule="auto"/>
              <w:ind w:right="57"/>
              <w:jc w:val="right"/>
              <w:cnfStyle w:val="100000000000" w:firstRow="1" w:lastRow="0" w:firstColumn="0" w:lastColumn="0" w:oddVBand="0" w:evenVBand="0" w:oddHBand="0" w:evenHBand="0" w:firstRowFirstColumn="0" w:firstRowLastColumn="0" w:lastRowFirstColumn="0" w:lastRowLastColumn="0"/>
              <w:rPr>
                <w:sz w:val="18"/>
              </w:rPr>
            </w:pPr>
            <w:r w:rsidRPr="009B2611">
              <w:rPr>
                <w:sz w:val="18"/>
              </w:rPr>
              <w:t>+10</w:t>
            </w:r>
          </w:p>
        </w:tc>
      </w:tr>
      <w:tr w:rsidR="001433A1" w:rsidRPr="009B2611" w14:paraId="2F6005B0" w14:textId="77777777" w:rsidTr="001433A1">
        <w:trPr>
          <w:cantSplit/>
          <w:trHeight w:val="290"/>
          <w:tblHeader/>
        </w:trPr>
        <w:tc>
          <w:tcPr>
            <w:tcW w:w="1491" w:type="pct"/>
            <w:tcBorders>
              <w:top w:val="single" w:sz="4" w:space="0" w:color="000000" w:themeColor="text1"/>
              <w:left w:val="nil"/>
              <w:bottom w:val="single" w:sz="4" w:space="0" w:color="000000" w:themeColor="text1"/>
              <w:right w:val="nil"/>
            </w:tcBorders>
            <w:hideMark/>
          </w:tcPr>
          <w:p w14:paraId="2605F163" w14:textId="77777777" w:rsidR="001433A1" w:rsidRPr="009B2611" w:rsidRDefault="001433A1" w:rsidP="001433A1">
            <w:pPr>
              <w:spacing w:after="0" w:line="240" w:lineRule="auto"/>
              <w:cnfStyle w:val="100000000000" w:firstRow="1" w:lastRow="0" w:firstColumn="0" w:lastColumn="0" w:oddVBand="0" w:evenVBand="0" w:oddHBand="0" w:evenHBand="0" w:firstRowFirstColumn="0" w:firstRowLastColumn="0" w:lastRowFirstColumn="0" w:lastRowLastColumn="0"/>
              <w:rPr>
                <w:sz w:val="18"/>
              </w:rPr>
            </w:pPr>
            <w:r w:rsidRPr="009B2611">
              <w:rPr>
                <w:sz w:val="18"/>
              </w:rPr>
              <w:t>Equity</w:t>
            </w:r>
          </w:p>
        </w:tc>
        <w:tc>
          <w:tcPr>
            <w:tcW w:w="1370" w:type="pct"/>
            <w:tcBorders>
              <w:top w:val="single" w:sz="4" w:space="0" w:color="000000" w:themeColor="text1"/>
              <w:left w:val="nil"/>
              <w:bottom w:val="single" w:sz="4" w:space="0" w:color="000000" w:themeColor="text1"/>
              <w:right w:val="nil"/>
            </w:tcBorders>
            <w:vAlign w:val="center"/>
            <w:hideMark/>
          </w:tcPr>
          <w:p w14:paraId="4D0A28DF" w14:textId="77777777" w:rsidR="001433A1" w:rsidRPr="009B2611" w:rsidRDefault="001433A1" w:rsidP="00CD75AE">
            <w:pPr>
              <w:spacing w:after="0" w:line="240" w:lineRule="auto"/>
              <w:ind w:right="57"/>
              <w:jc w:val="right"/>
              <w:cnfStyle w:val="100000000000" w:firstRow="1" w:lastRow="0" w:firstColumn="0" w:lastColumn="0" w:oddVBand="0" w:evenVBand="0" w:oddHBand="0" w:evenHBand="0" w:firstRowFirstColumn="0" w:firstRowLastColumn="0" w:lastRowFirstColumn="0" w:lastRowLastColumn="0"/>
              <w:rPr>
                <w:sz w:val="18"/>
              </w:rPr>
            </w:pPr>
            <w:r w:rsidRPr="009B2611">
              <w:rPr>
                <w:sz w:val="18"/>
              </w:rPr>
              <w:t>+3</w:t>
            </w:r>
          </w:p>
        </w:tc>
        <w:tc>
          <w:tcPr>
            <w:tcW w:w="976" w:type="pct"/>
            <w:tcBorders>
              <w:top w:val="single" w:sz="4" w:space="0" w:color="000000" w:themeColor="text1"/>
              <w:left w:val="nil"/>
              <w:bottom w:val="single" w:sz="4" w:space="0" w:color="000000" w:themeColor="text1"/>
              <w:right w:val="nil"/>
            </w:tcBorders>
            <w:vAlign w:val="center"/>
            <w:hideMark/>
          </w:tcPr>
          <w:p w14:paraId="19CEDEE9" w14:textId="77777777" w:rsidR="001433A1" w:rsidRPr="009B2611" w:rsidRDefault="001433A1" w:rsidP="00CD75AE">
            <w:pPr>
              <w:spacing w:after="0" w:line="240" w:lineRule="auto"/>
              <w:ind w:right="57"/>
              <w:jc w:val="right"/>
              <w:cnfStyle w:val="100000000000" w:firstRow="1" w:lastRow="0" w:firstColumn="0" w:lastColumn="0" w:oddVBand="0" w:evenVBand="0" w:oddHBand="0" w:evenHBand="0" w:firstRowFirstColumn="0" w:firstRowLastColumn="0" w:lastRowFirstColumn="0" w:lastRowLastColumn="0"/>
              <w:rPr>
                <w:sz w:val="18"/>
              </w:rPr>
            </w:pPr>
            <w:r w:rsidRPr="009B2611">
              <w:rPr>
                <w:sz w:val="18"/>
              </w:rPr>
              <w:t>+7</w:t>
            </w:r>
          </w:p>
        </w:tc>
        <w:tc>
          <w:tcPr>
            <w:tcW w:w="1163" w:type="pct"/>
            <w:tcBorders>
              <w:top w:val="single" w:sz="4" w:space="0" w:color="000000" w:themeColor="text1"/>
              <w:left w:val="nil"/>
              <w:bottom w:val="single" w:sz="4" w:space="0" w:color="000000" w:themeColor="text1"/>
              <w:right w:val="nil"/>
            </w:tcBorders>
            <w:vAlign w:val="center"/>
          </w:tcPr>
          <w:p w14:paraId="304A59B3" w14:textId="77777777" w:rsidR="001433A1" w:rsidRPr="009B2611" w:rsidRDefault="001433A1" w:rsidP="00CD75AE">
            <w:pPr>
              <w:spacing w:after="0" w:line="240" w:lineRule="auto"/>
              <w:ind w:right="57"/>
              <w:jc w:val="right"/>
              <w:cnfStyle w:val="100000000000" w:firstRow="1" w:lastRow="0" w:firstColumn="0" w:lastColumn="0" w:oddVBand="0" w:evenVBand="0" w:oddHBand="0" w:evenHBand="0" w:firstRowFirstColumn="0" w:firstRowLastColumn="0" w:lastRowFirstColumn="0" w:lastRowLastColumn="0"/>
              <w:rPr>
                <w:sz w:val="18"/>
              </w:rPr>
            </w:pPr>
            <w:r w:rsidRPr="009B2611">
              <w:rPr>
                <w:sz w:val="18"/>
              </w:rPr>
              <w:t>+6</w:t>
            </w:r>
          </w:p>
        </w:tc>
      </w:tr>
      <w:tr w:rsidR="001433A1" w:rsidRPr="009B2611" w14:paraId="49E00BC2" w14:textId="77777777" w:rsidTr="001433A1">
        <w:trPr>
          <w:cantSplit/>
          <w:trHeight w:val="314"/>
          <w:tblHeader/>
        </w:trPr>
        <w:tc>
          <w:tcPr>
            <w:tcW w:w="1491" w:type="pct"/>
            <w:tcBorders>
              <w:top w:val="single" w:sz="4" w:space="0" w:color="000000" w:themeColor="text1"/>
              <w:left w:val="nil"/>
              <w:bottom w:val="single" w:sz="4" w:space="0" w:color="000000" w:themeColor="text1"/>
              <w:right w:val="nil"/>
            </w:tcBorders>
            <w:hideMark/>
          </w:tcPr>
          <w:p w14:paraId="11C70CBA" w14:textId="77777777" w:rsidR="001433A1" w:rsidRPr="009B2611" w:rsidRDefault="001433A1" w:rsidP="001433A1">
            <w:pPr>
              <w:spacing w:after="0" w:line="240" w:lineRule="auto"/>
              <w:cnfStyle w:val="100000000000" w:firstRow="1" w:lastRow="0" w:firstColumn="0" w:lastColumn="0" w:oddVBand="0" w:evenVBand="0" w:oddHBand="0" w:evenHBand="0" w:firstRowFirstColumn="0" w:firstRowLastColumn="0" w:lastRowFirstColumn="0" w:lastRowLastColumn="0"/>
              <w:rPr>
                <w:sz w:val="18"/>
              </w:rPr>
            </w:pPr>
            <w:r w:rsidRPr="009B2611">
              <w:rPr>
                <w:sz w:val="18"/>
              </w:rPr>
              <w:t xml:space="preserve">Simple and easy to </w:t>
            </w:r>
            <w:r>
              <w:rPr>
                <w:sz w:val="18"/>
              </w:rPr>
              <w:t xml:space="preserve">understand and </w:t>
            </w:r>
            <w:r w:rsidRPr="009B2611">
              <w:rPr>
                <w:sz w:val="18"/>
              </w:rPr>
              <w:t>administer</w:t>
            </w:r>
          </w:p>
        </w:tc>
        <w:tc>
          <w:tcPr>
            <w:tcW w:w="1370" w:type="pct"/>
            <w:tcBorders>
              <w:top w:val="single" w:sz="4" w:space="0" w:color="000000" w:themeColor="text1"/>
              <w:left w:val="nil"/>
              <w:bottom w:val="single" w:sz="4" w:space="0" w:color="000000" w:themeColor="text1"/>
              <w:right w:val="nil"/>
            </w:tcBorders>
            <w:vAlign w:val="center"/>
            <w:hideMark/>
          </w:tcPr>
          <w:p w14:paraId="1C40029B" w14:textId="77777777" w:rsidR="001433A1" w:rsidRPr="009B2611" w:rsidRDefault="001433A1" w:rsidP="00CD75AE">
            <w:pPr>
              <w:spacing w:after="0" w:line="240" w:lineRule="auto"/>
              <w:ind w:right="57"/>
              <w:jc w:val="right"/>
              <w:cnfStyle w:val="100000000000" w:firstRow="1" w:lastRow="0" w:firstColumn="0" w:lastColumn="0" w:oddVBand="0" w:evenVBand="0" w:oddHBand="0" w:evenHBand="0" w:firstRowFirstColumn="0" w:firstRowLastColumn="0" w:lastRowFirstColumn="0" w:lastRowLastColumn="0"/>
              <w:rPr>
                <w:sz w:val="18"/>
              </w:rPr>
            </w:pPr>
            <w:r w:rsidRPr="009B2611">
              <w:rPr>
                <w:sz w:val="18"/>
              </w:rPr>
              <w:t>-1</w:t>
            </w:r>
          </w:p>
        </w:tc>
        <w:tc>
          <w:tcPr>
            <w:tcW w:w="976" w:type="pct"/>
            <w:tcBorders>
              <w:top w:val="single" w:sz="4" w:space="0" w:color="000000" w:themeColor="text1"/>
              <w:left w:val="nil"/>
              <w:bottom w:val="single" w:sz="4" w:space="0" w:color="000000" w:themeColor="text1"/>
              <w:right w:val="nil"/>
            </w:tcBorders>
            <w:vAlign w:val="center"/>
            <w:hideMark/>
          </w:tcPr>
          <w:p w14:paraId="5EB0AF47" w14:textId="77777777" w:rsidR="001433A1" w:rsidRPr="009B2611" w:rsidRDefault="001433A1" w:rsidP="00CD75AE">
            <w:pPr>
              <w:spacing w:after="0" w:line="240" w:lineRule="auto"/>
              <w:ind w:right="57"/>
              <w:jc w:val="right"/>
              <w:cnfStyle w:val="100000000000" w:firstRow="1" w:lastRow="0" w:firstColumn="0" w:lastColumn="0" w:oddVBand="0" w:evenVBand="0" w:oddHBand="0" w:evenHBand="0" w:firstRowFirstColumn="0" w:firstRowLastColumn="0" w:lastRowFirstColumn="0" w:lastRowLastColumn="0"/>
              <w:rPr>
                <w:sz w:val="18"/>
              </w:rPr>
            </w:pPr>
            <w:r w:rsidRPr="009B2611">
              <w:rPr>
                <w:sz w:val="18"/>
              </w:rPr>
              <w:t>-7</w:t>
            </w:r>
          </w:p>
        </w:tc>
        <w:tc>
          <w:tcPr>
            <w:tcW w:w="1163" w:type="pct"/>
            <w:tcBorders>
              <w:top w:val="single" w:sz="4" w:space="0" w:color="000000" w:themeColor="text1"/>
              <w:left w:val="nil"/>
              <w:bottom w:val="single" w:sz="4" w:space="0" w:color="000000" w:themeColor="text1"/>
              <w:right w:val="nil"/>
            </w:tcBorders>
            <w:vAlign w:val="center"/>
          </w:tcPr>
          <w:p w14:paraId="3B410EC2" w14:textId="77777777" w:rsidR="001433A1" w:rsidRPr="009B2611" w:rsidRDefault="001433A1" w:rsidP="00CD75AE">
            <w:pPr>
              <w:spacing w:after="0" w:line="240" w:lineRule="auto"/>
              <w:ind w:right="57"/>
              <w:jc w:val="right"/>
              <w:cnfStyle w:val="100000000000" w:firstRow="1" w:lastRow="0" w:firstColumn="0" w:lastColumn="0" w:oddVBand="0" w:evenVBand="0" w:oddHBand="0" w:evenHBand="0" w:firstRowFirstColumn="0" w:firstRowLastColumn="0" w:lastRowFirstColumn="0" w:lastRowLastColumn="0"/>
              <w:rPr>
                <w:sz w:val="18"/>
              </w:rPr>
            </w:pPr>
            <w:r w:rsidRPr="009B2611">
              <w:rPr>
                <w:sz w:val="18"/>
              </w:rPr>
              <w:t>-3</w:t>
            </w:r>
          </w:p>
        </w:tc>
      </w:tr>
      <w:tr w:rsidR="001433A1" w:rsidRPr="009B2611" w14:paraId="09D48435" w14:textId="77777777" w:rsidTr="001433A1">
        <w:trPr>
          <w:cantSplit/>
          <w:trHeight w:val="290"/>
          <w:tblHeader/>
        </w:trPr>
        <w:tc>
          <w:tcPr>
            <w:tcW w:w="1491" w:type="pct"/>
            <w:tcBorders>
              <w:top w:val="single" w:sz="4" w:space="0" w:color="000000" w:themeColor="text1"/>
              <w:left w:val="nil"/>
              <w:bottom w:val="single" w:sz="4" w:space="0" w:color="000000" w:themeColor="text1"/>
              <w:right w:val="nil"/>
            </w:tcBorders>
            <w:hideMark/>
          </w:tcPr>
          <w:p w14:paraId="332FDECE" w14:textId="77777777" w:rsidR="001433A1" w:rsidRPr="009B2611" w:rsidRDefault="001433A1" w:rsidP="001433A1">
            <w:pPr>
              <w:spacing w:after="0" w:line="240" w:lineRule="auto"/>
              <w:cnfStyle w:val="100000000000" w:firstRow="1" w:lastRow="0" w:firstColumn="0" w:lastColumn="0" w:oddVBand="0" w:evenVBand="0" w:oddHBand="0" w:evenHBand="0" w:firstRowFirstColumn="0" w:firstRowLastColumn="0" w:lastRowFirstColumn="0" w:lastRowLastColumn="0"/>
              <w:rPr>
                <w:b/>
                <w:sz w:val="18"/>
              </w:rPr>
            </w:pPr>
            <w:r>
              <w:rPr>
                <w:b/>
                <w:sz w:val="18"/>
              </w:rPr>
              <w:t xml:space="preserve">Weighted </w:t>
            </w:r>
            <w:r w:rsidRPr="009B2611">
              <w:rPr>
                <w:b/>
                <w:sz w:val="18"/>
              </w:rPr>
              <w:t>score</w:t>
            </w:r>
          </w:p>
        </w:tc>
        <w:tc>
          <w:tcPr>
            <w:tcW w:w="1370" w:type="pct"/>
            <w:tcBorders>
              <w:top w:val="single" w:sz="4" w:space="0" w:color="000000" w:themeColor="text1"/>
              <w:left w:val="nil"/>
              <w:bottom w:val="single" w:sz="4" w:space="0" w:color="000000" w:themeColor="text1"/>
              <w:right w:val="nil"/>
            </w:tcBorders>
            <w:vAlign w:val="center"/>
            <w:hideMark/>
          </w:tcPr>
          <w:p w14:paraId="4E8349B2" w14:textId="77777777" w:rsidR="001433A1" w:rsidRPr="009B2611" w:rsidRDefault="001433A1" w:rsidP="00CD75AE">
            <w:pPr>
              <w:spacing w:after="0" w:line="240" w:lineRule="auto"/>
              <w:ind w:right="57"/>
              <w:jc w:val="right"/>
              <w:cnfStyle w:val="100000000000" w:firstRow="1" w:lastRow="0" w:firstColumn="0" w:lastColumn="0" w:oddVBand="0" w:evenVBand="0" w:oddHBand="0" w:evenHBand="0" w:firstRowFirstColumn="0" w:firstRowLastColumn="0" w:lastRowFirstColumn="0" w:lastRowLastColumn="0"/>
              <w:rPr>
                <w:b/>
                <w:sz w:val="18"/>
              </w:rPr>
            </w:pPr>
            <w:r>
              <w:rPr>
                <w:b/>
                <w:sz w:val="18"/>
              </w:rPr>
              <w:t>+</w:t>
            </w:r>
            <w:r w:rsidRPr="009B2611">
              <w:rPr>
                <w:b/>
                <w:sz w:val="18"/>
              </w:rPr>
              <w:t>4.</w:t>
            </w:r>
            <w:r>
              <w:rPr>
                <w:b/>
                <w:sz w:val="18"/>
              </w:rPr>
              <w:t>3</w:t>
            </w:r>
          </w:p>
        </w:tc>
        <w:tc>
          <w:tcPr>
            <w:tcW w:w="976" w:type="pct"/>
            <w:tcBorders>
              <w:top w:val="single" w:sz="4" w:space="0" w:color="000000" w:themeColor="text1"/>
              <w:left w:val="nil"/>
              <w:bottom w:val="single" w:sz="4" w:space="0" w:color="000000" w:themeColor="text1"/>
              <w:right w:val="nil"/>
            </w:tcBorders>
            <w:vAlign w:val="center"/>
            <w:hideMark/>
          </w:tcPr>
          <w:p w14:paraId="1DAF08BC" w14:textId="77777777" w:rsidR="001433A1" w:rsidRPr="009B2611" w:rsidRDefault="001433A1" w:rsidP="00CD75AE">
            <w:pPr>
              <w:spacing w:after="0" w:line="240" w:lineRule="auto"/>
              <w:ind w:right="57"/>
              <w:jc w:val="right"/>
              <w:cnfStyle w:val="100000000000" w:firstRow="1" w:lastRow="0" w:firstColumn="0" w:lastColumn="0" w:oddVBand="0" w:evenVBand="0" w:oddHBand="0" w:evenHBand="0" w:firstRowFirstColumn="0" w:firstRowLastColumn="0" w:lastRowFirstColumn="0" w:lastRowLastColumn="0"/>
              <w:rPr>
                <w:b/>
                <w:sz w:val="18"/>
              </w:rPr>
            </w:pPr>
            <w:r>
              <w:rPr>
                <w:b/>
                <w:sz w:val="18"/>
              </w:rPr>
              <w:t>+</w:t>
            </w:r>
            <w:r w:rsidRPr="009B2611">
              <w:rPr>
                <w:b/>
                <w:sz w:val="18"/>
              </w:rPr>
              <w:t>3.</w:t>
            </w:r>
            <w:r>
              <w:rPr>
                <w:b/>
                <w:sz w:val="18"/>
              </w:rPr>
              <w:t>9</w:t>
            </w:r>
          </w:p>
        </w:tc>
        <w:tc>
          <w:tcPr>
            <w:tcW w:w="1163" w:type="pct"/>
            <w:tcBorders>
              <w:top w:val="single" w:sz="4" w:space="0" w:color="000000" w:themeColor="text1"/>
              <w:left w:val="nil"/>
              <w:bottom w:val="single" w:sz="4" w:space="0" w:color="000000" w:themeColor="text1"/>
              <w:right w:val="nil"/>
            </w:tcBorders>
            <w:vAlign w:val="center"/>
          </w:tcPr>
          <w:p w14:paraId="5EEECA52" w14:textId="77777777" w:rsidR="001433A1" w:rsidRPr="009B2611" w:rsidRDefault="001433A1" w:rsidP="00CD75AE">
            <w:pPr>
              <w:spacing w:after="0" w:line="240" w:lineRule="auto"/>
              <w:ind w:right="57"/>
              <w:jc w:val="right"/>
              <w:cnfStyle w:val="100000000000" w:firstRow="1" w:lastRow="0" w:firstColumn="0" w:lastColumn="0" w:oddVBand="0" w:evenVBand="0" w:oddHBand="0" w:evenHBand="0" w:firstRowFirstColumn="0" w:firstRowLastColumn="0" w:lastRowFirstColumn="0" w:lastRowLastColumn="0"/>
              <w:rPr>
                <w:b/>
                <w:sz w:val="18"/>
              </w:rPr>
            </w:pPr>
            <w:r>
              <w:rPr>
                <w:b/>
                <w:sz w:val="18"/>
              </w:rPr>
              <w:t>+</w:t>
            </w:r>
            <w:r w:rsidRPr="009B2611">
              <w:rPr>
                <w:b/>
                <w:sz w:val="18"/>
              </w:rPr>
              <w:t>4.</w:t>
            </w:r>
            <w:r>
              <w:rPr>
                <w:b/>
                <w:sz w:val="18"/>
              </w:rPr>
              <w:t>7</w:t>
            </w:r>
          </w:p>
        </w:tc>
      </w:tr>
    </w:tbl>
    <w:p w14:paraId="38E0A59E" w14:textId="77777777" w:rsidR="001433A1" w:rsidRPr="009B2611" w:rsidRDefault="001433A1" w:rsidP="001433A1"/>
    <w:p w14:paraId="1D3E795D" w14:textId="77777777" w:rsidR="001433A1" w:rsidRPr="009B2611" w:rsidRDefault="001433A1" w:rsidP="001433A1">
      <w:pPr>
        <w:pStyle w:val="Heading2"/>
      </w:pPr>
      <w:bookmarkStart w:id="1933" w:name="_Ref16607159"/>
      <w:r w:rsidRPr="009B2611">
        <w:t>Streamlined/less detailed analysis – other assessment</w:t>
      </w:r>
      <w:bookmarkEnd w:id="1933"/>
    </w:p>
    <w:p w14:paraId="00C2ABE5" w14:textId="77777777" w:rsidR="001433A1" w:rsidRPr="009B2611" w:rsidRDefault="001433A1" w:rsidP="001433A1">
      <w:pPr>
        <w:spacing w:before="120"/>
        <w:rPr>
          <w:rFonts w:cs="Segoe UI Light"/>
          <w:szCs w:val="20"/>
        </w:rPr>
      </w:pPr>
      <w:r w:rsidRPr="009B2611">
        <w:rPr>
          <w:rFonts w:cs="Segoe UI Light"/>
          <w:szCs w:val="20"/>
        </w:rPr>
        <w:t xml:space="preserve">This section provides streamlined analysis for a large number of fees </w:t>
      </w:r>
      <w:r w:rsidRPr="009B2611">
        <w:t xml:space="preserve">where </w:t>
      </w:r>
      <w:r w:rsidRPr="009B2611">
        <w:rPr>
          <w:rFonts w:cs="Segoe UI Light"/>
          <w:szCs w:val="20"/>
        </w:rPr>
        <w:t>more than one feasible, distinct option does not exist at this point in time.</w:t>
      </w:r>
      <w:r>
        <w:rPr>
          <w:rFonts w:cs="Segoe UI Light"/>
          <w:szCs w:val="20"/>
        </w:rPr>
        <w:t xml:space="preserve"> Information including average fee and cost recovery level for all fees is provided in Appendix 7, with changes to current fees (either fee design or fee level) presented in Appendix 8. The future review of fees will include these fees. EPA will review information gaps to determine where data improvements can be made.</w:t>
      </w:r>
    </w:p>
    <w:p w14:paraId="47493221" w14:textId="77777777" w:rsidR="001433A1" w:rsidRPr="009B2611" w:rsidRDefault="001433A1" w:rsidP="001433A1">
      <w:pPr>
        <w:pStyle w:val="Heading3"/>
        <w:ind w:left="720"/>
      </w:pPr>
      <w:r w:rsidRPr="009B2611">
        <w:t>Flat fees</w:t>
      </w:r>
    </w:p>
    <w:p w14:paraId="5E14EFD5" w14:textId="77777777" w:rsidR="001433A1" w:rsidRPr="009B2611" w:rsidRDefault="001433A1" w:rsidP="001433A1">
      <w:pPr>
        <w:rPr>
          <w:rFonts w:cs="Segoe UI Light"/>
          <w:szCs w:val="20"/>
        </w:rPr>
      </w:pPr>
      <w:r w:rsidRPr="009B2611">
        <w:rPr>
          <w:rFonts w:cs="Segoe UI Light"/>
          <w:szCs w:val="20"/>
        </w:rPr>
        <w:t xml:space="preserve">Flat fees are proposed to be set for the items outlined </w:t>
      </w:r>
      <w:r w:rsidRPr="00BE69BC">
        <w:rPr>
          <w:rFonts w:cs="Segoe UI Light"/>
          <w:szCs w:val="20"/>
        </w:rPr>
        <w:t xml:space="preserve">in </w:t>
      </w:r>
      <w:r w:rsidRPr="000E7C5E">
        <w:rPr>
          <w:rFonts w:cs="Segoe UI Light"/>
          <w:szCs w:val="20"/>
        </w:rPr>
        <w:fldChar w:fldCharType="begin"/>
      </w:r>
      <w:r w:rsidRPr="00BE69BC">
        <w:rPr>
          <w:rFonts w:cs="Segoe UI Light"/>
          <w:szCs w:val="20"/>
        </w:rPr>
        <w:instrText xml:space="preserve"> REF _Ref8023777 \h </w:instrText>
      </w:r>
      <w:r>
        <w:rPr>
          <w:rFonts w:cs="Segoe UI Light"/>
          <w:szCs w:val="20"/>
        </w:rPr>
        <w:instrText xml:space="preserve"> \* MERGEFORMAT </w:instrText>
      </w:r>
      <w:r w:rsidRPr="000E7C5E">
        <w:rPr>
          <w:rFonts w:cs="Segoe UI Light"/>
          <w:szCs w:val="20"/>
        </w:rPr>
      </w:r>
      <w:r w:rsidRPr="000E7C5E">
        <w:rPr>
          <w:rFonts w:cs="Segoe UI Light"/>
          <w:szCs w:val="20"/>
        </w:rPr>
        <w:fldChar w:fldCharType="separate"/>
      </w:r>
      <w:r w:rsidRPr="00037AF8" w:rsidDel="00B11C1E">
        <w:rPr>
          <w:szCs w:val="20"/>
        </w:rPr>
        <w:t>Table 16</w:t>
      </w:r>
      <w:r w:rsidRPr="00037AF8" w:rsidDel="00B11C1E">
        <w:rPr>
          <w:szCs w:val="20"/>
        </w:rPr>
        <w:noBreakHyphen/>
        <w:t>15</w:t>
      </w:r>
      <w:r w:rsidRPr="000E7C5E">
        <w:rPr>
          <w:rFonts w:cs="Segoe UI Light"/>
          <w:szCs w:val="20"/>
        </w:rPr>
        <w:fldChar w:fldCharType="end"/>
      </w:r>
      <w:r w:rsidRPr="00BE69BC">
        <w:rPr>
          <w:rFonts w:cs="Segoe UI Light"/>
          <w:szCs w:val="20"/>
        </w:rPr>
        <w:t xml:space="preserve">. Flat </w:t>
      </w:r>
      <w:r w:rsidRPr="009B2611">
        <w:rPr>
          <w:rFonts w:cs="Segoe UI Light"/>
          <w:szCs w:val="20"/>
        </w:rPr>
        <w:t xml:space="preserve">fees are preferred for many of these because there is minimal variation in costs to EPA of administering these fees across individual applications. For some there is also a low volume, which makes setting a more complex fee structure less feasible. The benefits of alternative tariff structures would be minimal, with potentially higher administration costs for EPA. </w:t>
      </w:r>
      <w:r>
        <w:rPr>
          <w:rFonts w:cs="Segoe UI Light"/>
          <w:szCs w:val="20"/>
        </w:rPr>
        <w:t>Consideration of fee options for</w:t>
      </w:r>
      <w:r w:rsidRPr="00134FC6">
        <w:rPr>
          <w:rFonts w:cs="Segoe UI Light"/>
          <w:szCs w:val="20"/>
        </w:rPr>
        <w:t xml:space="preserve"> </w:t>
      </w:r>
      <w:r w:rsidRPr="009B2611">
        <w:rPr>
          <w:rFonts w:cs="Segoe UI Light"/>
          <w:szCs w:val="20"/>
        </w:rPr>
        <w:t>environmental auditor appointments</w:t>
      </w:r>
      <w:r>
        <w:rPr>
          <w:rFonts w:cs="Segoe UI Light"/>
          <w:szCs w:val="20"/>
        </w:rPr>
        <w:t xml:space="preserve"> was more unique, noting that</w:t>
      </w:r>
      <w:r w:rsidRPr="009B2611">
        <w:rPr>
          <w:rFonts w:cs="Segoe UI Light"/>
          <w:szCs w:val="20"/>
        </w:rPr>
        <w:t xml:space="preserve"> setting a variable fee structure for </w:t>
      </w:r>
      <w:r>
        <w:rPr>
          <w:rFonts w:cs="Segoe UI Light"/>
          <w:szCs w:val="20"/>
        </w:rPr>
        <w:t xml:space="preserve">this fee </w:t>
      </w:r>
      <w:r w:rsidRPr="009B2611">
        <w:rPr>
          <w:rFonts w:cs="Segoe UI Light"/>
          <w:szCs w:val="20"/>
        </w:rPr>
        <w:t>based on some charact</w:t>
      </w:r>
      <w:r w:rsidRPr="00785A28">
        <w:rPr>
          <w:rFonts w:cs="Segoe UI Light"/>
          <w:szCs w:val="20"/>
        </w:rPr>
        <w:t>eristi</w:t>
      </w:r>
      <w:r w:rsidRPr="00CD75AE">
        <w:rPr>
          <w:rFonts w:cs="Segoe UI Light"/>
          <w:szCs w:val="20"/>
        </w:rPr>
        <w:t>cs</w:t>
      </w:r>
      <w:r w:rsidRPr="009B2611">
        <w:rPr>
          <w:rFonts w:cs="Segoe UI Light"/>
          <w:szCs w:val="20"/>
        </w:rPr>
        <w:t xml:space="preserve"> of the application could impose a barrier to appointment for some environmental auditors.</w:t>
      </w:r>
    </w:p>
    <w:p w14:paraId="6441AD7F" w14:textId="62BFCC28" w:rsidR="001433A1" w:rsidRPr="009B2611" w:rsidRDefault="001433A1" w:rsidP="001433A1">
      <w:pPr>
        <w:rPr>
          <w:rFonts w:cs="Segoe UI Light"/>
          <w:szCs w:val="20"/>
        </w:rPr>
      </w:pPr>
      <w:r w:rsidRPr="009B2611">
        <w:rPr>
          <w:rFonts w:cs="Segoe UI Light"/>
          <w:szCs w:val="20"/>
        </w:rPr>
        <w:t xml:space="preserve">The fees listed below account for </w:t>
      </w:r>
      <w:r w:rsidR="00910FB8">
        <w:rPr>
          <w:rFonts w:cs="Segoe UI Light"/>
          <w:szCs w:val="20"/>
        </w:rPr>
        <w:t>approximately $1</w:t>
      </w:r>
      <w:r w:rsidRPr="009B2611">
        <w:rPr>
          <w:rFonts w:cs="Segoe UI Light"/>
          <w:szCs w:val="20"/>
        </w:rPr>
        <w:t xml:space="preserve"> million of EPA’s estimated </w:t>
      </w:r>
      <w:r>
        <w:rPr>
          <w:rFonts w:cs="Segoe UI Light"/>
          <w:szCs w:val="20"/>
        </w:rPr>
        <w:t xml:space="preserve">annual </w:t>
      </w:r>
      <w:r w:rsidRPr="009B2611">
        <w:rPr>
          <w:rFonts w:cs="Segoe UI Light"/>
          <w:szCs w:val="20"/>
        </w:rPr>
        <w:t>revenue</w:t>
      </w:r>
      <w:r>
        <w:rPr>
          <w:rFonts w:cs="Segoe UI Light"/>
          <w:szCs w:val="20"/>
        </w:rPr>
        <w:t xml:space="preserve"> (approximately </w:t>
      </w:r>
      <w:r w:rsidR="00A93F1D">
        <w:rPr>
          <w:rFonts w:cs="Segoe UI Light"/>
          <w:szCs w:val="20"/>
        </w:rPr>
        <w:t>7</w:t>
      </w:r>
      <w:r w:rsidRPr="00705EF6">
        <w:rPr>
          <w:rFonts w:cs="Segoe UI Light"/>
          <w:szCs w:val="20"/>
        </w:rPr>
        <w:t>%</w:t>
      </w:r>
      <w:r>
        <w:rPr>
          <w:rFonts w:cs="Segoe UI Light"/>
          <w:szCs w:val="20"/>
        </w:rPr>
        <w:t xml:space="preserve"> of EPA’s total fees revenue).</w:t>
      </w:r>
    </w:p>
    <w:p w14:paraId="46A9C949"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15</w:t>
      </w:r>
      <w:r>
        <w:rPr>
          <w:color w:val="75787B" w:themeColor="accent6"/>
          <w:sz w:val="17"/>
          <w:shd w:val="clear" w:color="auto" w:fill="E6E6E6"/>
        </w:rPr>
        <w:fldChar w:fldCharType="end"/>
      </w:r>
      <w:r w:rsidRPr="009B2611">
        <w:rPr>
          <w:iCs/>
          <w:color w:val="75787B" w:themeColor="accent6"/>
          <w:sz w:val="17"/>
        </w:rPr>
        <w:t xml:space="preserve"> Flat fees – streamlined analysis</w:t>
      </w:r>
    </w:p>
    <w:tbl>
      <w:tblPr>
        <w:tblStyle w:val="Deloittetable"/>
        <w:tblW w:w="5000" w:type="pct"/>
        <w:tblLayout w:type="fixed"/>
        <w:tblLook w:val="04A0" w:firstRow="1" w:lastRow="0" w:firstColumn="1" w:lastColumn="0" w:noHBand="0" w:noVBand="1"/>
      </w:tblPr>
      <w:tblGrid>
        <w:gridCol w:w="1874"/>
        <w:gridCol w:w="1591"/>
        <w:gridCol w:w="1677"/>
        <w:gridCol w:w="1054"/>
        <w:gridCol w:w="1053"/>
        <w:gridCol w:w="1053"/>
        <w:gridCol w:w="1053"/>
      </w:tblGrid>
      <w:tr w:rsidR="001433A1" w:rsidRPr="009B2611" w14:paraId="08C5D60B" w14:textId="77777777" w:rsidTr="001433A1">
        <w:trPr>
          <w:cnfStyle w:val="100000000000" w:firstRow="1" w:lastRow="0" w:firstColumn="0" w:lastColumn="0" w:oddVBand="0" w:evenVBand="0" w:oddHBand="0" w:evenHBand="0" w:firstRowFirstColumn="0" w:firstRowLastColumn="0" w:lastRowFirstColumn="0" w:lastRowLastColumn="0"/>
        </w:trPr>
        <w:tc>
          <w:tcPr>
            <w:tcW w:w="1001" w:type="pct"/>
            <w:tcBorders>
              <w:top w:val="none" w:sz="0" w:space="0" w:color="auto"/>
            </w:tcBorders>
          </w:tcPr>
          <w:p w14:paraId="7A9BE1CA" w14:textId="77777777" w:rsidR="001433A1" w:rsidRPr="00153F27" w:rsidRDefault="001433A1" w:rsidP="001433A1">
            <w:pPr>
              <w:spacing w:after="0" w:line="440" w:lineRule="atLeast"/>
              <w:rPr>
                <w:b/>
                <w:sz w:val="18"/>
              </w:rPr>
            </w:pPr>
            <w:r w:rsidRPr="00153F27">
              <w:rPr>
                <w:b/>
                <w:sz w:val="18"/>
              </w:rPr>
              <w:t>Type</w:t>
            </w:r>
          </w:p>
        </w:tc>
        <w:tc>
          <w:tcPr>
            <w:tcW w:w="850" w:type="pct"/>
            <w:tcBorders>
              <w:top w:val="none" w:sz="0" w:space="0" w:color="auto"/>
            </w:tcBorders>
          </w:tcPr>
          <w:p w14:paraId="4931EE48" w14:textId="77777777" w:rsidR="001433A1" w:rsidRPr="00153F27" w:rsidRDefault="001433A1" w:rsidP="001433A1">
            <w:pPr>
              <w:spacing w:after="0" w:line="440" w:lineRule="atLeast"/>
              <w:rPr>
                <w:b/>
                <w:sz w:val="18"/>
              </w:rPr>
            </w:pPr>
            <w:r w:rsidRPr="00153F27">
              <w:rPr>
                <w:b/>
                <w:sz w:val="18"/>
              </w:rPr>
              <w:t>Stage</w:t>
            </w:r>
          </w:p>
        </w:tc>
        <w:tc>
          <w:tcPr>
            <w:tcW w:w="896" w:type="pct"/>
            <w:tcBorders>
              <w:top w:val="none" w:sz="0" w:space="0" w:color="auto"/>
            </w:tcBorders>
          </w:tcPr>
          <w:p w14:paraId="1B8F0937" w14:textId="77777777" w:rsidR="001433A1" w:rsidRPr="00153F27" w:rsidRDefault="001433A1" w:rsidP="001433A1">
            <w:pPr>
              <w:spacing w:after="0" w:line="440" w:lineRule="atLeast"/>
              <w:rPr>
                <w:b/>
                <w:sz w:val="18"/>
              </w:rPr>
            </w:pPr>
            <w:r w:rsidRPr="00153F27">
              <w:rPr>
                <w:b/>
                <w:sz w:val="18"/>
              </w:rPr>
              <w:t>Fee variation</w:t>
            </w:r>
          </w:p>
        </w:tc>
        <w:tc>
          <w:tcPr>
            <w:tcW w:w="563" w:type="pct"/>
            <w:tcBorders>
              <w:top w:val="none" w:sz="0" w:space="0" w:color="auto"/>
            </w:tcBorders>
          </w:tcPr>
          <w:p w14:paraId="59613A47" w14:textId="77777777" w:rsidR="001433A1" w:rsidRPr="00153F27" w:rsidRDefault="001433A1" w:rsidP="001433A1">
            <w:pPr>
              <w:spacing w:after="0" w:line="440" w:lineRule="atLeast"/>
              <w:jc w:val="right"/>
              <w:rPr>
                <w:b/>
                <w:sz w:val="18"/>
              </w:rPr>
            </w:pPr>
            <w:r w:rsidRPr="00153F27">
              <w:rPr>
                <w:b/>
                <w:sz w:val="18"/>
              </w:rPr>
              <w:t>Volume</w:t>
            </w:r>
          </w:p>
        </w:tc>
        <w:tc>
          <w:tcPr>
            <w:tcW w:w="563" w:type="pct"/>
            <w:tcBorders>
              <w:top w:val="none" w:sz="0" w:space="0" w:color="auto"/>
            </w:tcBorders>
          </w:tcPr>
          <w:p w14:paraId="02059196" w14:textId="77777777" w:rsidR="001433A1" w:rsidRPr="00153F27" w:rsidRDefault="001433A1" w:rsidP="001433A1">
            <w:pPr>
              <w:spacing w:after="0" w:line="440" w:lineRule="atLeast"/>
              <w:jc w:val="right"/>
              <w:rPr>
                <w:b/>
                <w:sz w:val="18"/>
              </w:rPr>
            </w:pPr>
            <w:r w:rsidRPr="00153F27">
              <w:rPr>
                <w:b/>
                <w:sz w:val="18"/>
              </w:rPr>
              <w:t xml:space="preserve"> Total cost </w:t>
            </w:r>
          </w:p>
        </w:tc>
        <w:tc>
          <w:tcPr>
            <w:tcW w:w="563" w:type="pct"/>
            <w:tcBorders>
              <w:top w:val="none" w:sz="0" w:space="0" w:color="auto"/>
            </w:tcBorders>
          </w:tcPr>
          <w:p w14:paraId="2AAEC82A" w14:textId="77777777" w:rsidR="001433A1" w:rsidRPr="00153F27" w:rsidRDefault="001433A1" w:rsidP="001433A1">
            <w:pPr>
              <w:spacing w:after="0" w:line="440" w:lineRule="atLeast"/>
              <w:jc w:val="right"/>
              <w:rPr>
                <w:b/>
                <w:sz w:val="18"/>
              </w:rPr>
            </w:pPr>
            <w:r w:rsidRPr="00153F27">
              <w:rPr>
                <w:b/>
                <w:sz w:val="18"/>
              </w:rPr>
              <w:t>Fee units</w:t>
            </w:r>
          </w:p>
        </w:tc>
        <w:tc>
          <w:tcPr>
            <w:tcW w:w="563" w:type="pct"/>
            <w:tcBorders>
              <w:top w:val="none" w:sz="0" w:space="0" w:color="auto"/>
            </w:tcBorders>
          </w:tcPr>
          <w:p w14:paraId="0E41AE3B" w14:textId="77777777" w:rsidR="001433A1" w:rsidRPr="00153F27" w:rsidRDefault="001433A1" w:rsidP="001433A1">
            <w:pPr>
              <w:spacing w:after="0" w:line="440" w:lineRule="atLeast"/>
              <w:jc w:val="right"/>
              <w:rPr>
                <w:b/>
                <w:sz w:val="18"/>
              </w:rPr>
            </w:pPr>
            <w:r w:rsidRPr="00153F27">
              <w:rPr>
                <w:b/>
                <w:sz w:val="18"/>
              </w:rPr>
              <w:t>Fee $</w:t>
            </w:r>
          </w:p>
        </w:tc>
      </w:tr>
      <w:tr w:rsidR="001433A1" w:rsidRPr="009B2611" w14:paraId="6B83D1F2" w14:textId="77777777" w:rsidTr="001433A1">
        <w:tc>
          <w:tcPr>
            <w:tcW w:w="1001" w:type="pct"/>
          </w:tcPr>
          <w:p w14:paraId="28B117D9" w14:textId="77777777" w:rsidR="001433A1" w:rsidRPr="000E7C5E" w:rsidRDefault="001433A1" w:rsidP="001433A1">
            <w:pPr>
              <w:spacing w:line="240" w:lineRule="auto"/>
              <w:rPr>
                <w:sz w:val="18"/>
              </w:rPr>
            </w:pPr>
            <w:r w:rsidRPr="000E7C5E">
              <w:rPr>
                <w:sz w:val="18"/>
              </w:rPr>
              <w:t>Development/Pilot project licences</w:t>
            </w:r>
          </w:p>
        </w:tc>
        <w:tc>
          <w:tcPr>
            <w:tcW w:w="850" w:type="pct"/>
          </w:tcPr>
          <w:p w14:paraId="2CECADFC" w14:textId="77777777" w:rsidR="001433A1" w:rsidRPr="000E7C5E" w:rsidRDefault="001433A1" w:rsidP="001433A1">
            <w:pPr>
              <w:spacing w:line="240" w:lineRule="auto"/>
              <w:rPr>
                <w:sz w:val="18"/>
              </w:rPr>
            </w:pPr>
            <w:r w:rsidRPr="000E7C5E">
              <w:rPr>
                <w:sz w:val="18"/>
              </w:rPr>
              <w:t>Transfer</w:t>
            </w:r>
          </w:p>
        </w:tc>
        <w:tc>
          <w:tcPr>
            <w:tcW w:w="896" w:type="pct"/>
          </w:tcPr>
          <w:p w14:paraId="0EDB6156" w14:textId="77777777" w:rsidR="001433A1" w:rsidRPr="000E7C5E" w:rsidRDefault="001433A1" w:rsidP="001433A1">
            <w:pPr>
              <w:spacing w:line="240" w:lineRule="auto"/>
              <w:rPr>
                <w:sz w:val="18"/>
              </w:rPr>
            </w:pPr>
            <w:r>
              <w:rPr>
                <w:sz w:val="18"/>
              </w:rPr>
              <w:t>-</w:t>
            </w:r>
          </w:p>
        </w:tc>
        <w:tc>
          <w:tcPr>
            <w:tcW w:w="563" w:type="pct"/>
          </w:tcPr>
          <w:p w14:paraId="1131C9FB" w14:textId="77777777" w:rsidR="001433A1" w:rsidRPr="000E7C5E" w:rsidRDefault="001433A1" w:rsidP="001433A1">
            <w:pPr>
              <w:spacing w:after="0" w:line="440" w:lineRule="atLeast"/>
              <w:jc w:val="right"/>
              <w:rPr>
                <w:color w:val="00B0F0"/>
                <w:sz w:val="18"/>
              </w:rPr>
            </w:pPr>
            <w:r w:rsidRPr="000E7C5E">
              <w:rPr>
                <w:sz w:val="18"/>
              </w:rPr>
              <w:t>4</w:t>
            </w:r>
          </w:p>
        </w:tc>
        <w:tc>
          <w:tcPr>
            <w:tcW w:w="563" w:type="pct"/>
          </w:tcPr>
          <w:p w14:paraId="3E1E5C54" w14:textId="15697B1D" w:rsidR="001433A1" w:rsidRPr="000E7C5E" w:rsidRDefault="001433A1" w:rsidP="001433A1">
            <w:pPr>
              <w:spacing w:after="0" w:line="440" w:lineRule="atLeast"/>
              <w:jc w:val="right"/>
              <w:rPr>
                <w:color w:val="00B0F0"/>
                <w:sz w:val="18"/>
              </w:rPr>
            </w:pPr>
            <w:r w:rsidRPr="000E7C5E">
              <w:rPr>
                <w:sz w:val="18"/>
              </w:rPr>
              <w:t xml:space="preserve"> $</w:t>
            </w:r>
            <w:r>
              <w:rPr>
                <w:sz w:val="18"/>
              </w:rPr>
              <w:t>3,018</w:t>
            </w:r>
            <w:r w:rsidR="00673E1F">
              <w:rPr>
                <w:sz w:val="18"/>
              </w:rPr>
              <w:t>.32</w:t>
            </w:r>
            <w:r w:rsidRPr="000E7C5E">
              <w:rPr>
                <w:sz w:val="18"/>
              </w:rPr>
              <w:t xml:space="preserve"> </w:t>
            </w:r>
          </w:p>
        </w:tc>
        <w:tc>
          <w:tcPr>
            <w:tcW w:w="563" w:type="pct"/>
          </w:tcPr>
          <w:p w14:paraId="2DC8DA8F" w14:textId="77777777" w:rsidR="001433A1" w:rsidRPr="000E7C5E" w:rsidRDefault="001433A1" w:rsidP="001433A1">
            <w:pPr>
              <w:spacing w:after="0" w:line="440" w:lineRule="atLeast"/>
              <w:jc w:val="right"/>
              <w:rPr>
                <w:color w:val="00B0F0"/>
                <w:sz w:val="18"/>
              </w:rPr>
            </w:pPr>
            <w:r>
              <w:rPr>
                <w:sz w:val="18"/>
              </w:rPr>
              <w:t>52.22</w:t>
            </w:r>
          </w:p>
        </w:tc>
        <w:tc>
          <w:tcPr>
            <w:tcW w:w="563" w:type="pct"/>
          </w:tcPr>
          <w:p w14:paraId="0D7563D6" w14:textId="77777777" w:rsidR="001433A1" w:rsidRPr="00153F27" w:rsidRDefault="001433A1" w:rsidP="001433A1">
            <w:pPr>
              <w:spacing w:after="0" w:line="440" w:lineRule="atLeast"/>
              <w:jc w:val="right"/>
              <w:rPr>
                <w:rFonts w:cs="Segoe UI Light"/>
                <w:b/>
                <w:sz w:val="18"/>
              </w:rPr>
            </w:pPr>
            <w:r w:rsidRPr="00153F27">
              <w:rPr>
                <w:rFonts w:cs="Segoe UI Light"/>
                <w:color w:val="000000"/>
                <w:sz w:val="18"/>
              </w:rPr>
              <w:t>754.58</w:t>
            </w:r>
          </w:p>
        </w:tc>
      </w:tr>
      <w:tr w:rsidR="001433A1" w:rsidRPr="009B2611" w14:paraId="10A963C1" w14:textId="77777777" w:rsidTr="001433A1">
        <w:tc>
          <w:tcPr>
            <w:tcW w:w="1001" w:type="pct"/>
          </w:tcPr>
          <w:p w14:paraId="3B1A1C83" w14:textId="77777777" w:rsidR="001433A1" w:rsidRPr="000E7C5E" w:rsidRDefault="001433A1" w:rsidP="001433A1">
            <w:pPr>
              <w:spacing w:line="240" w:lineRule="auto"/>
              <w:rPr>
                <w:sz w:val="18"/>
              </w:rPr>
            </w:pPr>
            <w:r w:rsidRPr="000E7C5E">
              <w:rPr>
                <w:sz w:val="18"/>
              </w:rPr>
              <w:t xml:space="preserve">Development/Pilot project </w:t>
            </w:r>
            <w:r>
              <w:rPr>
                <w:sz w:val="18"/>
              </w:rPr>
              <w:t>l</w:t>
            </w:r>
            <w:r w:rsidRPr="000E7C5E">
              <w:rPr>
                <w:sz w:val="18"/>
              </w:rPr>
              <w:t>icences</w:t>
            </w:r>
          </w:p>
        </w:tc>
        <w:tc>
          <w:tcPr>
            <w:tcW w:w="850" w:type="pct"/>
          </w:tcPr>
          <w:p w14:paraId="73C4A122" w14:textId="77777777" w:rsidR="001433A1" w:rsidRPr="000E7C5E" w:rsidRDefault="001433A1" w:rsidP="001433A1">
            <w:pPr>
              <w:spacing w:line="240" w:lineRule="auto"/>
              <w:rPr>
                <w:sz w:val="18"/>
              </w:rPr>
            </w:pPr>
            <w:r w:rsidRPr="000E7C5E">
              <w:rPr>
                <w:sz w:val="18"/>
              </w:rPr>
              <w:t>Amendment</w:t>
            </w:r>
          </w:p>
        </w:tc>
        <w:tc>
          <w:tcPr>
            <w:tcW w:w="896" w:type="pct"/>
          </w:tcPr>
          <w:p w14:paraId="5966837F" w14:textId="77777777" w:rsidR="001433A1" w:rsidRPr="000E7C5E" w:rsidRDefault="001433A1" w:rsidP="001433A1">
            <w:pPr>
              <w:spacing w:line="240" w:lineRule="auto"/>
              <w:rPr>
                <w:sz w:val="18"/>
              </w:rPr>
            </w:pPr>
            <w:r w:rsidRPr="000E7C5E">
              <w:rPr>
                <w:sz w:val="18"/>
              </w:rPr>
              <w:t>Start date/Duration</w:t>
            </w:r>
          </w:p>
        </w:tc>
        <w:tc>
          <w:tcPr>
            <w:tcW w:w="563" w:type="pct"/>
          </w:tcPr>
          <w:p w14:paraId="4CCF7993" w14:textId="77777777" w:rsidR="001433A1" w:rsidRPr="000E7C5E" w:rsidRDefault="001433A1" w:rsidP="001433A1">
            <w:pPr>
              <w:spacing w:after="0" w:line="440" w:lineRule="atLeast"/>
              <w:jc w:val="right"/>
              <w:rPr>
                <w:color w:val="00B0F0"/>
                <w:sz w:val="18"/>
              </w:rPr>
            </w:pPr>
            <w:r w:rsidRPr="000E7C5E">
              <w:rPr>
                <w:sz w:val="18"/>
              </w:rPr>
              <w:t>10</w:t>
            </w:r>
          </w:p>
        </w:tc>
        <w:tc>
          <w:tcPr>
            <w:tcW w:w="563" w:type="pct"/>
          </w:tcPr>
          <w:p w14:paraId="4E77DF75" w14:textId="58F9F5BC" w:rsidR="001433A1" w:rsidRPr="000E7C5E" w:rsidRDefault="001433A1" w:rsidP="001433A1">
            <w:pPr>
              <w:spacing w:after="0" w:line="440" w:lineRule="atLeast"/>
              <w:jc w:val="right"/>
              <w:rPr>
                <w:color w:val="00B0F0"/>
                <w:sz w:val="18"/>
              </w:rPr>
            </w:pPr>
            <w:r w:rsidRPr="000E7C5E">
              <w:rPr>
                <w:sz w:val="18"/>
              </w:rPr>
              <w:t xml:space="preserve"> $8,15</w:t>
            </w:r>
            <w:r w:rsidR="00673E1F">
              <w:rPr>
                <w:sz w:val="18"/>
              </w:rPr>
              <w:t>2.70</w:t>
            </w:r>
            <w:r w:rsidRPr="000E7C5E">
              <w:rPr>
                <w:sz w:val="18"/>
              </w:rPr>
              <w:t xml:space="preserve"> </w:t>
            </w:r>
          </w:p>
        </w:tc>
        <w:tc>
          <w:tcPr>
            <w:tcW w:w="563" w:type="pct"/>
          </w:tcPr>
          <w:p w14:paraId="67C46A49" w14:textId="77777777" w:rsidR="001433A1" w:rsidRPr="000E7C5E" w:rsidRDefault="001433A1" w:rsidP="001433A1">
            <w:pPr>
              <w:spacing w:after="0" w:line="440" w:lineRule="atLeast"/>
              <w:jc w:val="right"/>
              <w:rPr>
                <w:color w:val="00B0F0"/>
                <w:sz w:val="18"/>
              </w:rPr>
            </w:pPr>
            <w:r w:rsidRPr="000E7C5E">
              <w:rPr>
                <w:sz w:val="18"/>
              </w:rPr>
              <w:t>5</w:t>
            </w:r>
            <w:r>
              <w:rPr>
                <w:sz w:val="18"/>
              </w:rPr>
              <w:t>6</w:t>
            </w:r>
            <w:r w:rsidRPr="000E7C5E">
              <w:rPr>
                <w:sz w:val="18"/>
              </w:rPr>
              <w:t>.</w:t>
            </w:r>
            <w:r>
              <w:rPr>
                <w:sz w:val="18"/>
              </w:rPr>
              <w:t>42</w:t>
            </w:r>
          </w:p>
        </w:tc>
        <w:tc>
          <w:tcPr>
            <w:tcW w:w="563" w:type="pct"/>
          </w:tcPr>
          <w:p w14:paraId="752E6A1A" w14:textId="77777777" w:rsidR="001433A1" w:rsidRPr="00153F27" w:rsidRDefault="001433A1" w:rsidP="001433A1">
            <w:pPr>
              <w:spacing w:after="0" w:line="440" w:lineRule="atLeast"/>
              <w:jc w:val="right"/>
              <w:rPr>
                <w:rFonts w:cs="Segoe UI Light"/>
                <w:b/>
                <w:sz w:val="18"/>
              </w:rPr>
            </w:pPr>
            <w:r w:rsidRPr="00153F27">
              <w:rPr>
                <w:rFonts w:cs="Segoe UI Light"/>
                <w:color w:val="000000"/>
                <w:sz w:val="18"/>
              </w:rPr>
              <w:t>815.27</w:t>
            </w:r>
          </w:p>
        </w:tc>
      </w:tr>
      <w:tr w:rsidR="001433A1" w:rsidRPr="009B2611" w14:paraId="52F00342" w14:textId="77777777" w:rsidTr="001433A1">
        <w:tc>
          <w:tcPr>
            <w:tcW w:w="1001" w:type="pct"/>
          </w:tcPr>
          <w:p w14:paraId="4D64A3C7" w14:textId="77777777" w:rsidR="001433A1" w:rsidRPr="000E7C5E" w:rsidRDefault="001433A1" w:rsidP="001433A1">
            <w:pPr>
              <w:spacing w:line="240" w:lineRule="auto"/>
              <w:rPr>
                <w:sz w:val="18"/>
              </w:rPr>
            </w:pPr>
            <w:r w:rsidRPr="000E7C5E">
              <w:rPr>
                <w:sz w:val="18"/>
              </w:rPr>
              <w:t>Permit</w:t>
            </w:r>
          </w:p>
        </w:tc>
        <w:tc>
          <w:tcPr>
            <w:tcW w:w="850" w:type="pct"/>
          </w:tcPr>
          <w:p w14:paraId="28EBD9C5" w14:textId="77777777" w:rsidR="001433A1" w:rsidRPr="000E7C5E" w:rsidRDefault="001433A1" w:rsidP="001433A1">
            <w:pPr>
              <w:spacing w:line="240" w:lineRule="auto"/>
              <w:rPr>
                <w:sz w:val="18"/>
              </w:rPr>
            </w:pPr>
            <w:r w:rsidRPr="000E7C5E">
              <w:rPr>
                <w:sz w:val="18"/>
              </w:rPr>
              <w:t>Transfer</w:t>
            </w:r>
          </w:p>
        </w:tc>
        <w:tc>
          <w:tcPr>
            <w:tcW w:w="896" w:type="pct"/>
          </w:tcPr>
          <w:p w14:paraId="7B0E1130" w14:textId="77777777" w:rsidR="001433A1" w:rsidRPr="000E7C5E" w:rsidRDefault="001433A1" w:rsidP="001433A1">
            <w:pPr>
              <w:spacing w:line="240" w:lineRule="auto"/>
              <w:rPr>
                <w:sz w:val="18"/>
              </w:rPr>
            </w:pPr>
            <w:r w:rsidRPr="000E7C5E">
              <w:rPr>
                <w:sz w:val="18"/>
              </w:rPr>
              <w:t>Reportable priority waste transport</w:t>
            </w:r>
          </w:p>
        </w:tc>
        <w:tc>
          <w:tcPr>
            <w:tcW w:w="563" w:type="pct"/>
          </w:tcPr>
          <w:p w14:paraId="65B6483C" w14:textId="77777777" w:rsidR="001433A1" w:rsidRPr="000E7C5E" w:rsidRDefault="001433A1" w:rsidP="001433A1">
            <w:pPr>
              <w:spacing w:after="0" w:line="440" w:lineRule="atLeast"/>
              <w:jc w:val="right"/>
              <w:rPr>
                <w:sz w:val="18"/>
              </w:rPr>
            </w:pPr>
            <w:r w:rsidRPr="000E7C5E">
              <w:rPr>
                <w:sz w:val="18"/>
              </w:rPr>
              <w:t>1</w:t>
            </w:r>
          </w:p>
        </w:tc>
        <w:tc>
          <w:tcPr>
            <w:tcW w:w="563" w:type="pct"/>
          </w:tcPr>
          <w:p w14:paraId="1CFE11EC" w14:textId="085507AA" w:rsidR="001433A1" w:rsidRPr="000E7C5E" w:rsidRDefault="001433A1" w:rsidP="001433A1">
            <w:pPr>
              <w:spacing w:after="0" w:line="440" w:lineRule="atLeast"/>
              <w:jc w:val="right"/>
              <w:rPr>
                <w:sz w:val="18"/>
              </w:rPr>
            </w:pPr>
            <w:r w:rsidRPr="000E7C5E">
              <w:rPr>
                <w:sz w:val="18"/>
              </w:rPr>
              <w:t xml:space="preserve"> $12</w:t>
            </w:r>
            <w:r w:rsidR="004834E5">
              <w:rPr>
                <w:sz w:val="18"/>
              </w:rPr>
              <w:t>3.89</w:t>
            </w:r>
            <w:r w:rsidRPr="000E7C5E">
              <w:rPr>
                <w:sz w:val="18"/>
              </w:rPr>
              <w:t xml:space="preserve"> </w:t>
            </w:r>
          </w:p>
        </w:tc>
        <w:tc>
          <w:tcPr>
            <w:tcW w:w="563" w:type="pct"/>
          </w:tcPr>
          <w:p w14:paraId="5A024254" w14:textId="77777777" w:rsidR="001433A1" w:rsidRPr="000E7C5E" w:rsidRDefault="001433A1" w:rsidP="001433A1">
            <w:pPr>
              <w:spacing w:after="0" w:line="440" w:lineRule="atLeast"/>
              <w:jc w:val="right"/>
              <w:rPr>
                <w:sz w:val="18"/>
              </w:rPr>
            </w:pPr>
            <w:r w:rsidRPr="000E7C5E">
              <w:rPr>
                <w:sz w:val="18"/>
              </w:rPr>
              <w:t>8.</w:t>
            </w:r>
            <w:r>
              <w:rPr>
                <w:sz w:val="18"/>
              </w:rPr>
              <w:t>57</w:t>
            </w:r>
          </w:p>
        </w:tc>
        <w:tc>
          <w:tcPr>
            <w:tcW w:w="563" w:type="pct"/>
          </w:tcPr>
          <w:p w14:paraId="23B7882E" w14:textId="4113BA7B" w:rsidR="001433A1" w:rsidRPr="00153F27" w:rsidRDefault="001433A1" w:rsidP="001433A1">
            <w:pPr>
              <w:spacing w:after="0" w:line="440" w:lineRule="atLeast"/>
              <w:jc w:val="right"/>
              <w:rPr>
                <w:rFonts w:cs="Segoe UI Light"/>
                <w:b/>
                <w:sz w:val="18"/>
              </w:rPr>
            </w:pPr>
            <w:r w:rsidRPr="00153F27">
              <w:rPr>
                <w:rFonts w:cs="Segoe UI Light"/>
                <w:color w:val="000000"/>
                <w:sz w:val="18"/>
              </w:rPr>
              <w:t>123.8</w:t>
            </w:r>
            <w:r w:rsidR="00561C73">
              <w:rPr>
                <w:rFonts w:cs="Segoe UI Light"/>
                <w:color w:val="000000"/>
                <w:sz w:val="18"/>
              </w:rPr>
              <w:t>9</w:t>
            </w:r>
          </w:p>
        </w:tc>
      </w:tr>
      <w:tr w:rsidR="001433A1" w:rsidRPr="009B2611" w14:paraId="5EB43052" w14:textId="77777777" w:rsidTr="001433A1">
        <w:tc>
          <w:tcPr>
            <w:tcW w:w="1001" w:type="pct"/>
          </w:tcPr>
          <w:p w14:paraId="5CB9DDCE" w14:textId="77777777" w:rsidR="001433A1" w:rsidRPr="000E7C5E" w:rsidRDefault="001433A1" w:rsidP="001433A1">
            <w:pPr>
              <w:spacing w:line="240" w:lineRule="auto"/>
              <w:rPr>
                <w:sz w:val="18"/>
              </w:rPr>
            </w:pPr>
            <w:r w:rsidRPr="000E7C5E">
              <w:rPr>
                <w:sz w:val="18"/>
              </w:rPr>
              <w:t>Permit</w:t>
            </w:r>
          </w:p>
        </w:tc>
        <w:tc>
          <w:tcPr>
            <w:tcW w:w="850" w:type="pct"/>
          </w:tcPr>
          <w:p w14:paraId="617F1814" w14:textId="77777777" w:rsidR="001433A1" w:rsidRPr="000E7C5E" w:rsidRDefault="001433A1" w:rsidP="001433A1">
            <w:pPr>
              <w:spacing w:line="240" w:lineRule="auto"/>
              <w:rPr>
                <w:sz w:val="18"/>
              </w:rPr>
            </w:pPr>
            <w:r w:rsidRPr="000E7C5E">
              <w:rPr>
                <w:sz w:val="18"/>
              </w:rPr>
              <w:t>Transfer</w:t>
            </w:r>
          </w:p>
        </w:tc>
        <w:tc>
          <w:tcPr>
            <w:tcW w:w="896" w:type="pct"/>
          </w:tcPr>
          <w:p w14:paraId="63CB94D9" w14:textId="77777777" w:rsidR="001433A1" w:rsidRPr="000E7C5E" w:rsidRDefault="001433A1" w:rsidP="001433A1">
            <w:pPr>
              <w:spacing w:line="240" w:lineRule="auto"/>
              <w:rPr>
                <w:sz w:val="18"/>
              </w:rPr>
            </w:pPr>
            <w:r w:rsidRPr="000E7C5E">
              <w:rPr>
                <w:sz w:val="18"/>
              </w:rPr>
              <w:t>Other - complex (application to Authority)</w:t>
            </w:r>
          </w:p>
        </w:tc>
        <w:tc>
          <w:tcPr>
            <w:tcW w:w="563" w:type="pct"/>
          </w:tcPr>
          <w:p w14:paraId="141A4404" w14:textId="77777777" w:rsidR="001433A1" w:rsidRPr="000E7C5E" w:rsidRDefault="001433A1" w:rsidP="001433A1">
            <w:pPr>
              <w:spacing w:after="0" w:line="440" w:lineRule="atLeast"/>
              <w:jc w:val="right"/>
              <w:rPr>
                <w:sz w:val="18"/>
              </w:rPr>
            </w:pPr>
            <w:r w:rsidRPr="000E7C5E">
              <w:rPr>
                <w:sz w:val="18"/>
              </w:rPr>
              <w:t xml:space="preserve">Unknown </w:t>
            </w:r>
          </w:p>
        </w:tc>
        <w:tc>
          <w:tcPr>
            <w:tcW w:w="563" w:type="pct"/>
          </w:tcPr>
          <w:p w14:paraId="4EB0189B" w14:textId="77777777" w:rsidR="001433A1" w:rsidRPr="000E7C5E" w:rsidRDefault="001433A1" w:rsidP="001433A1">
            <w:pPr>
              <w:spacing w:after="0" w:line="440" w:lineRule="atLeast"/>
              <w:jc w:val="right"/>
              <w:rPr>
                <w:sz w:val="18"/>
              </w:rPr>
            </w:pPr>
            <w:r w:rsidRPr="000E7C5E">
              <w:rPr>
                <w:sz w:val="18"/>
              </w:rPr>
              <w:t xml:space="preserve"> Unknown </w:t>
            </w:r>
          </w:p>
        </w:tc>
        <w:tc>
          <w:tcPr>
            <w:tcW w:w="563" w:type="pct"/>
          </w:tcPr>
          <w:p w14:paraId="54ACD344" w14:textId="77777777" w:rsidR="001433A1" w:rsidRPr="000E7C5E" w:rsidRDefault="001433A1" w:rsidP="001433A1">
            <w:pPr>
              <w:spacing w:after="0" w:line="440" w:lineRule="atLeast"/>
              <w:jc w:val="right"/>
              <w:rPr>
                <w:sz w:val="18"/>
              </w:rPr>
            </w:pPr>
            <w:r w:rsidRPr="000E7C5E">
              <w:rPr>
                <w:sz w:val="18"/>
              </w:rPr>
              <w:t>5</w:t>
            </w:r>
            <w:r>
              <w:rPr>
                <w:sz w:val="18"/>
              </w:rPr>
              <w:t>2</w:t>
            </w:r>
            <w:r w:rsidRPr="000E7C5E">
              <w:rPr>
                <w:sz w:val="18"/>
              </w:rPr>
              <w:t>.</w:t>
            </w:r>
            <w:r>
              <w:rPr>
                <w:sz w:val="18"/>
              </w:rPr>
              <w:t>22</w:t>
            </w:r>
          </w:p>
        </w:tc>
        <w:tc>
          <w:tcPr>
            <w:tcW w:w="563" w:type="pct"/>
          </w:tcPr>
          <w:p w14:paraId="0531B332" w14:textId="77777777" w:rsidR="001433A1" w:rsidRPr="00153F27" w:rsidRDefault="001433A1" w:rsidP="001433A1">
            <w:pPr>
              <w:spacing w:after="0" w:line="440" w:lineRule="atLeast"/>
              <w:jc w:val="right"/>
              <w:rPr>
                <w:rFonts w:cs="Segoe UI Light"/>
                <w:b/>
                <w:sz w:val="18"/>
              </w:rPr>
            </w:pPr>
            <w:r w:rsidRPr="00153F27">
              <w:rPr>
                <w:rFonts w:cs="Segoe UI Light"/>
                <w:color w:val="000000"/>
                <w:sz w:val="18"/>
              </w:rPr>
              <w:t>754.58</w:t>
            </w:r>
          </w:p>
        </w:tc>
      </w:tr>
      <w:tr w:rsidR="001433A1" w:rsidRPr="009B2611" w14:paraId="09E92002" w14:textId="77777777" w:rsidTr="001433A1">
        <w:tc>
          <w:tcPr>
            <w:tcW w:w="1001" w:type="pct"/>
          </w:tcPr>
          <w:p w14:paraId="41AEAB9B" w14:textId="77777777" w:rsidR="001433A1" w:rsidRPr="000E7C5E" w:rsidRDefault="001433A1" w:rsidP="001433A1">
            <w:pPr>
              <w:spacing w:line="240" w:lineRule="auto"/>
              <w:rPr>
                <w:sz w:val="18"/>
              </w:rPr>
            </w:pPr>
            <w:r w:rsidRPr="000E7C5E">
              <w:rPr>
                <w:sz w:val="18"/>
              </w:rPr>
              <w:t>Permit</w:t>
            </w:r>
          </w:p>
        </w:tc>
        <w:tc>
          <w:tcPr>
            <w:tcW w:w="850" w:type="pct"/>
          </w:tcPr>
          <w:p w14:paraId="64FA2FC6" w14:textId="77777777" w:rsidR="001433A1" w:rsidRPr="000E7C5E" w:rsidRDefault="001433A1" w:rsidP="001433A1">
            <w:pPr>
              <w:spacing w:line="240" w:lineRule="auto"/>
              <w:rPr>
                <w:sz w:val="18"/>
              </w:rPr>
            </w:pPr>
            <w:r w:rsidRPr="000E7C5E">
              <w:rPr>
                <w:sz w:val="18"/>
              </w:rPr>
              <w:t>Amendment</w:t>
            </w:r>
          </w:p>
        </w:tc>
        <w:tc>
          <w:tcPr>
            <w:tcW w:w="896" w:type="pct"/>
          </w:tcPr>
          <w:p w14:paraId="6D07B04B" w14:textId="77777777" w:rsidR="001433A1" w:rsidRPr="000E7C5E" w:rsidRDefault="001433A1" w:rsidP="001433A1">
            <w:pPr>
              <w:spacing w:line="240" w:lineRule="auto"/>
              <w:rPr>
                <w:sz w:val="18"/>
              </w:rPr>
            </w:pPr>
            <w:r w:rsidRPr="000E7C5E">
              <w:rPr>
                <w:sz w:val="18"/>
              </w:rPr>
              <w:t xml:space="preserve">Reportable priority waste transport </w:t>
            </w:r>
          </w:p>
        </w:tc>
        <w:tc>
          <w:tcPr>
            <w:tcW w:w="563" w:type="pct"/>
          </w:tcPr>
          <w:p w14:paraId="5B0326A1" w14:textId="2CE5E397" w:rsidR="001433A1" w:rsidRPr="000E7C5E" w:rsidRDefault="004834E5" w:rsidP="001433A1">
            <w:pPr>
              <w:spacing w:after="0" w:line="440" w:lineRule="atLeast"/>
              <w:jc w:val="right"/>
              <w:rPr>
                <w:sz w:val="18"/>
              </w:rPr>
            </w:pPr>
            <w:r>
              <w:rPr>
                <w:sz w:val="18"/>
              </w:rPr>
              <w:t>8</w:t>
            </w:r>
          </w:p>
        </w:tc>
        <w:tc>
          <w:tcPr>
            <w:tcW w:w="563" w:type="pct"/>
          </w:tcPr>
          <w:p w14:paraId="22EDD238" w14:textId="0A58E8B5" w:rsidR="001433A1" w:rsidRPr="00950AFE" w:rsidRDefault="001433A1" w:rsidP="001433A1">
            <w:pPr>
              <w:spacing w:after="0" w:line="440" w:lineRule="atLeast"/>
              <w:jc w:val="right"/>
              <w:rPr>
                <w:sz w:val="18"/>
              </w:rPr>
            </w:pPr>
            <w:r w:rsidRPr="00647B3E">
              <w:rPr>
                <w:sz w:val="18"/>
              </w:rPr>
              <w:t xml:space="preserve"> $1,</w:t>
            </w:r>
            <w:r w:rsidR="004834E5">
              <w:rPr>
                <w:sz w:val="18"/>
              </w:rPr>
              <w:t>608.00</w:t>
            </w:r>
            <w:r w:rsidRPr="00950AFE">
              <w:rPr>
                <w:sz w:val="18"/>
              </w:rPr>
              <w:t xml:space="preserve"> </w:t>
            </w:r>
          </w:p>
        </w:tc>
        <w:tc>
          <w:tcPr>
            <w:tcW w:w="563" w:type="pct"/>
          </w:tcPr>
          <w:p w14:paraId="18A67F1F" w14:textId="77777777" w:rsidR="001433A1" w:rsidRPr="00647B3E" w:rsidRDefault="001433A1" w:rsidP="001433A1">
            <w:pPr>
              <w:spacing w:after="0" w:line="440" w:lineRule="atLeast"/>
              <w:jc w:val="right"/>
              <w:rPr>
                <w:sz w:val="18"/>
              </w:rPr>
            </w:pPr>
            <w:r w:rsidRPr="00647B3E">
              <w:rPr>
                <w:sz w:val="18"/>
              </w:rPr>
              <w:t>13.91</w:t>
            </w:r>
          </w:p>
        </w:tc>
        <w:tc>
          <w:tcPr>
            <w:tcW w:w="563" w:type="pct"/>
          </w:tcPr>
          <w:p w14:paraId="46677465" w14:textId="77777777" w:rsidR="001433A1" w:rsidRPr="00153F27" w:rsidRDefault="001433A1" w:rsidP="001433A1">
            <w:pPr>
              <w:spacing w:after="0" w:line="440" w:lineRule="atLeast"/>
              <w:jc w:val="right"/>
              <w:rPr>
                <w:rFonts w:cs="Segoe UI Light"/>
                <w:b/>
                <w:sz w:val="18"/>
              </w:rPr>
            </w:pPr>
            <w:r w:rsidRPr="00153F27">
              <w:rPr>
                <w:rFonts w:cs="Segoe UI Light"/>
                <w:color w:val="000000"/>
                <w:sz w:val="18"/>
              </w:rPr>
              <w:t>201.00</w:t>
            </w:r>
          </w:p>
        </w:tc>
      </w:tr>
      <w:tr w:rsidR="001433A1" w:rsidRPr="009B2611" w14:paraId="79D8B171" w14:textId="77777777" w:rsidTr="001433A1">
        <w:tc>
          <w:tcPr>
            <w:tcW w:w="1001" w:type="pct"/>
          </w:tcPr>
          <w:p w14:paraId="4F7DB3FC" w14:textId="77777777" w:rsidR="001433A1" w:rsidRPr="000E7C5E" w:rsidRDefault="001433A1" w:rsidP="001433A1">
            <w:pPr>
              <w:spacing w:line="240" w:lineRule="auto"/>
              <w:rPr>
                <w:sz w:val="18"/>
              </w:rPr>
            </w:pPr>
            <w:r w:rsidRPr="000E7C5E">
              <w:rPr>
                <w:sz w:val="18"/>
              </w:rPr>
              <w:t>Permit</w:t>
            </w:r>
          </w:p>
        </w:tc>
        <w:tc>
          <w:tcPr>
            <w:tcW w:w="850" w:type="pct"/>
          </w:tcPr>
          <w:p w14:paraId="246E9A6C" w14:textId="77777777" w:rsidR="001433A1" w:rsidRPr="000E7C5E" w:rsidRDefault="001433A1" w:rsidP="001433A1">
            <w:pPr>
              <w:spacing w:line="240" w:lineRule="auto"/>
              <w:rPr>
                <w:sz w:val="18"/>
              </w:rPr>
            </w:pPr>
            <w:r w:rsidRPr="000E7C5E">
              <w:rPr>
                <w:sz w:val="18"/>
              </w:rPr>
              <w:t>Surrender</w:t>
            </w:r>
          </w:p>
        </w:tc>
        <w:tc>
          <w:tcPr>
            <w:tcW w:w="896" w:type="pct"/>
          </w:tcPr>
          <w:p w14:paraId="4226ECD6" w14:textId="77777777" w:rsidR="001433A1" w:rsidRPr="000E7C5E" w:rsidRDefault="001433A1" w:rsidP="001433A1">
            <w:pPr>
              <w:spacing w:line="240" w:lineRule="auto"/>
              <w:rPr>
                <w:sz w:val="18"/>
              </w:rPr>
            </w:pPr>
            <w:r w:rsidRPr="000E7C5E">
              <w:rPr>
                <w:sz w:val="18"/>
              </w:rPr>
              <w:t>Reportable priority waste transport</w:t>
            </w:r>
          </w:p>
        </w:tc>
        <w:tc>
          <w:tcPr>
            <w:tcW w:w="563" w:type="pct"/>
          </w:tcPr>
          <w:p w14:paraId="6A58B225" w14:textId="6446F9A8" w:rsidR="001433A1" w:rsidRPr="000E7C5E" w:rsidRDefault="008B6C81" w:rsidP="001433A1">
            <w:pPr>
              <w:spacing w:after="0" w:line="440" w:lineRule="atLeast"/>
              <w:jc w:val="right"/>
              <w:rPr>
                <w:sz w:val="18"/>
              </w:rPr>
            </w:pPr>
            <w:r>
              <w:rPr>
                <w:sz w:val="18"/>
              </w:rPr>
              <w:t>5</w:t>
            </w:r>
          </w:p>
        </w:tc>
        <w:tc>
          <w:tcPr>
            <w:tcW w:w="563" w:type="pct"/>
          </w:tcPr>
          <w:p w14:paraId="67B71E90" w14:textId="0FE41ADC" w:rsidR="001433A1" w:rsidRPr="000E7C5E" w:rsidRDefault="001433A1" w:rsidP="001433A1">
            <w:pPr>
              <w:spacing w:after="0" w:line="440" w:lineRule="atLeast"/>
              <w:jc w:val="right"/>
              <w:rPr>
                <w:sz w:val="18"/>
              </w:rPr>
            </w:pPr>
            <w:r w:rsidRPr="000E7C5E">
              <w:rPr>
                <w:sz w:val="18"/>
              </w:rPr>
              <w:t xml:space="preserve"> $</w:t>
            </w:r>
            <w:r w:rsidR="004834E5">
              <w:rPr>
                <w:sz w:val="18"/>
              </w:rPr>
              <w:t>515.25</w:t>
            </w:r>
            <w:r w:rsidRPr="000E7C5E">
              <w:rPr>
                <w:sz w:val="18"/>
              </w:rPr>
              <w:t xml:space="preserve"> </w:t>
            </w:r>
          </w:p>
        </w:tc>
        <w:tc>
          <w:tcPr>
            <w:tcW w:w="563" w:type="pct"/>
          </w:tcPr>
          <w:p w14:paraId="771C7471" w14:textId="77777777" w:rsidR="001433A1" w:rsidRPr="000E7C5E" w:rsidRDefault="001433A1" w:rsidP="001433A1">
            <w:pPr>
              <w:spacing w:after="0" w:line="440" w:lineRule="atLeast"/>
              <w:jc w:val="right"/>
              <w:rPr>
                <w:sz w:val="18"/>
              </w:rPr>
            </w:pPr>
            <w:r w:rsidRPr="000E7C5E">
              <w:rPr>
                <w:sz w:val="18"/>
              </w:rPr>
              <w:t>7.</w:t>
            </w:r>
            <w:r>
              <w:rPr>
                <w:sz w:val="18"/>
              </w:rPr>
              <w:t>13</w:t>
            </w:r>
          </w:p>
        </w:tc>
        <w:tc>
          <w:tcPr>
            <w:tcW w:w="563" w:type="pct"/>
          </w:tcPr>
          <w:p w14:paraId="19AC161A" w14:textId="3CE718C1" w:rsidR="001433A1" w:rsidRPr="00153F27" w:rsidRDefault="001433A1" w:rsidP="001433A1">
            <w:pPr>
              <w:spacing w:after="0" w:line="440" w:lineRule="atLeast"/>
              <w:jc w:val="right"/>
              <w:rPr>
                <w:rFonts w:cs="Segoe UI Light"/>
                <w:b/>
                <w:sz w:val="18"/>
              </w:rPr>
            </w:pPr>
            <w:r w:rsidRPr="00153F27">
              <w:rPr>
                <w:rFonts w:cs="Segoe UI Light"/>
                <w:color w:val="000000"/>
                <w:sz w:val="18"/>
              </w:rPr>
              <w:t>103.0</w:t>
            </w:r>
            <w:r w:rsidR="00561C73">
              <w:rPr>
                <w:rFonts w:cs="Segoe UI Light"/>
                <w:color w:val="000000"/>
                <w:sz w:val="18"/>
              </w:rPr>
              <w:t>5</w:t>
            </w:r>
          </w:p>
        </w:tc>
      </w:tr>
      <w:tr w:rsidR="001433A1" w:rsidRPr="009B2611" w14:paraId="0E66E37C" w14:textId="77777777" w:rsidTr="001433A1">
        <w:tc>
          <w:tcPr>
            <w:tcW w:w="1001" w:type="pct"/>
          </w:tcPr>
          <w:p w14:paraId="091C3FA1" w14:textId="77777777" w:rsidR="001433A1" w:rsidRPr="000E7C5E" w:rsidRDefault="001433A1" w:rsidP="001433A1">
            <w:pPr>
              <w:spacing w:line="240" w:lineRule="auto"/>
              <w:rPr>
                <w:sz w:val="18"/>
              </w:rPr>
            </w:pPr>
            <w:r w:rsidRPr="000E7C5E">
              <w:rPr>
                <w:sz w:val="18"/>
              </w:rPr>
              <w:t>Permit</w:t>
            </w:r>
          </w:p>
        </w:tc>
        <w:tc>
          <w:tcPr>
            <w:tcW w:w="850" w:type="pct"/>
          </w:tcPr>
          <w:p w14:paraId="1BC1B578" w14:textId="77777777" w:rsidR="001433A1" w:rsidRPr="000E7C5E" w:rsidRDefault="001433A1" w:rsidP="001433A1">
            <w:pPr>
              <w:spacing w:line="240" w:lineRule="auto"/>
              <w:rPr>
                <w:sz w:val="18"/>
              </w:rPr>
            </w:pPr>
            <w:r w:rsidRPr="000E7C5E">
              <w:rPr>
                <w:sz w:val="18"/>
              </w:rPr>
              <w:t>Surrender</w:t>
            </w:r>
          </w:p>
        </w:tc>
        <w:tc>
          <w:tcPr>
            <w:tcW w:w="896" w:type="pct"/>
          </w:tcPr>
          <w:p w14:paraId="715B75FC" w14:textId="77777777" w:rsidR="001433A1" w:rsidRPr="000E7C5E" w:rsidRDefault="001433A1" w:rsidP="001433A1">
            <w:pPr>
              <w:spacing w:line="240" w:lineRule="auto"/>
              <w:rPr>
                <w:sz w:val="18"/>
              </w:rPr>
            </w:pPr>
            <w:r w:rsidRPr="000E7C5E">
              <w:rPr>
                <w:sz w:val="18"/>
              </w:rPr>
              <w:t>Other - complex (application to Authority)</w:t>
            </w:r>
          </w:p>
        </w:tc>
        <w:tc>
          <w:tcPr>
            <w:tcW w:w="563" w:type="pct"/>
          </w:tcPr>
          <w:p w14:paraId="5CCA49FE" w14:textId="77777777" w:rsidR="001433A1" w:rsidRPr="000E7C5E" w:rsidRDefault="001433A1" w:rsidP="001433A1">
            <w:pPr>
              <w:spacing w:after="0" w:line="440" w:lineRule="atLeast"/>
              <w:jc w:val="right"/>
              <w:rPr>
                <w:sz w:val="18"/>
              </w:rPr>
            </w:pPr>
            <w:r w:rsidRPr="000E7C5E">
              <w:rPr>
                <w:sz w:val="18"/>
              </w:rPr>
              <w:t xml:space="preserve">Unknown </w:t>
            </w:r>
          </w:p>
        </w:tc>
        <w:tc>
          <w:tcPr>
            <w:tcW w:w="563" w:type="pct"/>
          </w:tcPr>
          <w:p w14:paraId="57858271" w14:textId="77777777" w:rsidR="001433A1" w:rsidRPr="000E7C5E" w:rsidRDefault="001433A1" w:rsidP="001433A1">
            <w:pPr>
              <w:spacing w:after="0" w:line="440" w:lineRule="atLeast"/>
              <w:jc w:val="right"/>
              <w:rPr>
                <w:sz w:val="18"/>
              </w:rPr>
            </w:pPr>
            <w:r w:rsidRPr="000E7C5E">
              <w:rPr>
                <w:sz w:val="18"/>
              </w:rPr>
              <w:t xml:space="preserve"> Unknown </w:t>
            </w:r>
          </w:p>
        </w:tc>
        <w:tc>
          <w:tcPr>
            <w:tcW w:w="563" w:type="pct"/>
          </w:tcPr>
          <w:p w14:paraId="37EA1BD7" w14:textId="77777777" w:rsidR="001433A1" w:rsidRPr="000E7C5E" w:rsidRDefault="001433A1" w:rsidP="001433A1">
            <w:pPr>
              <w:spacing w:after="0" w:line="440" w:lineRule="atLeast"/>
              <w:jc w:val="right"/>
              <w:rPr>
                <w:sz w:val="18"/>
              </w:rPr>
            </w:pPr>
            <w:r w:rsidRPr="000E7C5E">
              <w:rPr>
                <w:sz w:val="18"/>
              </w:rPr>
              <w:t>47.</w:t>
            </w:r>
            <w:r>
              <w:rPr>
                <w:sz w:val="18"/>
              </w:rPr>
              <w:t>08</w:t>
            </w:r>
          </w:p>
        </w:tc>
        <w:tc>
          <w:tcPr>
            <w:tcW w:w="563" w:type="pct"/>
          </w:tcPr>
          <w:p w14:paraId="2B3AEB70" w14:textId="08AD6BC0" w:rsidR="001433A1" w:rsidRPr="00153F27" w:rsidRDefault="001433A1" w:rsidP="001433A1">
            <w:pPr>
              <w:spacing w:after="0" w:line="440" w:lineRule="atLeast"/>
              <w:jc w:val="right"/>
              <w:rPr>
                <w:rFonts w:cs="Segoe UI Light"/>
                <w:b/>
                <w:sz w:val="18"/>
              </w:rPr>
            </w:pPr>
            <w:r w:rsidRPr="00153F27">
              <w:rPr>
                <w:rFonts w:cs="Segoe UI Light"/>
                <w:color w:val="000000"/>
                <w:sz w:val="18"/>
              </w:rPr>
              <w:t>680.</w:t>
            </w:r>
            <w:r w:rsidR="00561C73">
              <w:rPr>
                <w:rFonts w:cs="Segoe UI Light"/>
                <w:color w:val="000000"/>
                <w:sz w:val="18"/>
              </w:rPr>
              <w:t>24</w:t>
            </w:r>
          </w:p>
        </w:tc>
      </w:tr>
      <w:tr w:rsidR="001433A1" w:rsidRPr="009B2611" w14:paraId="5BF8A9D4" w14:textId="77777777" w:rsidTr="001433A1">
        <w:tc>
          <w:tcPr>
            <w:tcW w:w="1001" w:type="pct"/>
          </w:tcPr>
          <w:p w14:paraId="1C31BD94" w14:textId="77777777" w:rsidR="001433A1" w:rsidRPr="000E7C5E" w:rsidRDefault="001433A1" w:rsidP="001433A1">
            <w:pPr>
              <w:spacing w:line="240" w:lineRule="auto"/>
              <w:rPr>
                <w:sz w:val="18"/>
              </w:rPr>
            </w:pPr>
            <w:r w:rsidRPr="000E7C5E">
              <w:rPr>
                <w:sz w:val="18"/>
              </w:rPr>
              <w:t>Permit</w:t>
            </w:r>
          </w:p>
        </w:tc>
        <w:tc>
          <w:tcPr>
            <w:tcW w:w="850" w:type="pct"/>
          </w:tcPr>
          <w:p w14:paraId="3B428CB7" w14:textId="77777777" w:rsidR="001433A1" w:rsidRPr="000E7C5E" w:rsidRDefault="001433A1" w:rsidP="001433A1">
            <w:pPr>
              <w:spacing w:line="240" w:lineRule="auto"/>
              <w:rPr>
                <w:sz w:val="18"/>
              </w:rPr>
            </w:pPr>
            <w:r w:rsidRPr="000E7C5E">
              <w:rPr>
                <w:sz w:val="18"/>
              </w:rPr>
              <w:t>Exemption</w:t>
            </w:r>
          </w:p>
        </w:tc>
        <w:tc>
          <w:tcPr>
            <w:tcW w:w="896" w:type="pct"/>
          </w:tcPr>
          <w:p w14:paraId="031D19EE" w14:textId="77777777" w:rsidR="001433A1" w:rsidRPr="000E7C5E" w:rsidRDefault="001433A1" w:rsidP="001433A1">
            <w:pPr>
              <w:spacing w:line="240" w:lineRule="auto"/>
              <w:rPr>
                <w:sz w:val="18"/>
              </w:rPr>
            </w:pPr>
            <w:r w:rsidRPr="000E7C5E">
              <w:rPr>
                <w:sz w:val="18"/>
              </w:rPr>
              <w:t>Reportable priority waste transport</w:t>
            </w:r>
          </w:p>
        </w:tc>
        <w:tc>
          <w:tcPr>
            <w:tcW w:w="563" w:type="pct"/>
          </w:tcPr>
          <w:p w14:paraId="0E7883F3" w14:textId="77777777" w:rsidR="001433A1" w:rsidRPr="000E7C5E" w:rsidRDefault="001433A1" w:rsidP="001433A1">
            <w:pPr>
              <w:spacing w:after="0" w:line="440" w:lineRule="atLeast"/>
              <w:jc w:val="right"/>
              <w:rPr>
                <w:sz w:val="18"/>
              </w:rPr>
            </w:pPr>
            <w:r w:rsidRPr="000E7C5E">
              <w:rPr>
                <w:sz w:val="18"/>
              </w:rPr>
              <w:t xml:space="preserve">Unknown </w:t>
            </w:r>
          </w:p>
        </w:tc>
        <w:tc>
          <w:tcPr>
            <w:tcW w:w="563" w:type="pct"/>
          </w:tcPr>
          <w:p w14:paraId="406AB581" w14:textId="77777777" w:rsidR="001433A1" w:rsidRPr="000E7C5E" w:rsidRDefault="001433A1" w:rsidP="001433A1">
            <w:pPr>
              <w:spacing w:after="0" w:line="440" w:lineRule="atLeast"/>
              <w:jc w:val="right"/>
              <w:rPr>
                <w:sz w:val="18"/>
              </w:rPr>
            </w:pPr>
            <w:r w:rsidRPr="000E7C5E">
              <w:rPr>
                <w:sz w:val="18"/>
              </w:rPr>
              <w:t>Unknown</w:t>
            </w:r>
          </w:p>
        </w:tc>
        <w:tc>
          <w:tcPr>
            <w:tcW w:w="563" w:type="pct"/>
          </w:tcPr>
          <w:p w14:paraId="58C1F77E" w14:textId="77777777" w:rsidR="001433A1" w:rsidRPr="000E7C5E" w:rsidRDefault="001433A1" w:rsidP="001433A1">
            <w:pPr>
              <w:spacing w:after="0" w:line="440" w:lineRule="atLeast"/>
              <w:jc w:val="right"/>
              <w:rPr>
                <w:sz w:val="18"/>
              </w:rPr>
            </w:pPr>
            <w:r>
              <w:rPr>
                <w:sz w:val="18"/>
              </w:rPr>
              <w:t>13.91</w:t>
            </w:r>
          </w:p>
        </w:tc>
        <w:tc>
          <w:tcPr>
            <w:tcW w:w="563" w:type="pct"/>
          </w:tcPr>
          <w:p w14:paraId="2440909D" w14:textId="77777777" w:rsidR="001433A1" w:rsidRPr="00153F27" w:rsidRDefault="001433A1" w:rsidP="001433A1">
            <w:pPr>
              <w:spacing w:after="0" w:line="440" w:lineRule="atLeast"/>
              <w:jc w:val="right"/>
              <w:rPr>
                <w:rFonts w:cs="Segoe UI Light"/>
                <w:b/>
                <w:sz w:val="18"/>
              </w:rPr>
            </w:pPr>
            <w:r w:rsidRPr="00153F27">
              <w:rPr>
                <w:rFonts w:cs="Segoe UI Light"/>
                <w:color w:val="000000"/>
                <w:sz w:val="18"/>
              </w:rPr>
              <w:t>201.00</w:t>
            </w:r>
          </w:p>
        </w:tc>
      </w:tr>
      <w:tr w:rsidR="001433A1" w:rsidRPr="009B2611" w14:paraId="18C60AC9" w14:textId="77777777" w:rsidTr="001433A1">
        <w:tc>
          <w:tcPr>
            <w:tcW w:w="1001" w:type="pct"/>
          </w:tcPr>
          <w:p w14:paraId="6D981F33" w14:textId="77777777" w:rsidR="001433A1" w:rsidRPr="000E7C5E" w:rsidRDefault="001433A1" w:rsidP="001433A1">
            <w:pPr>
              <w:spacing w:line="240" w:lineRule="auto"/>
              <w:rPr>
                <w:sz w:val="18"/>
              </w:rPr>
            </w:pPr>
            <w:r w:rsidRPr="000E7C5E">
              <w:rPr>
                <w:sz w:val="18"/>
              </w:rPr>
              <w:t>Permit</w:t>
            </w:r>
          </w:p>
        </w:tc>
        <w:tc>
          <w:tcPr>
            <w:tcW w:w="850" w:type="pct"/>
          </w:tcPr>
          <w:p w14:paraId="7FF1EB06" w14:textId="77777777" w:rsidR="001433A1" w:rsidRPr="000E7C5E" w:rsidRDefault="001433A1" w:rsidP="001433A1">
            <w:pPr>
              <w:spacing w:line="240" w:lineRule="auto"/>
              <w:rPr>
                <w:sz w:val="18"/>
              </w:rPr>
            </w:pPr>
            <w:r w:rsidRPr="000E7C5E">
              <w:rPr>
                <w:sz w:val="18"/>
              </w:rPr>
              <w:t>Renewal</w:t>
            </w:r>
          </w:p>
        </w:tc>
        <w:tc>
          <w:tcPr>
            <w:tcW w:w="896" w:type="pct"/>
          </w:tcPr>
          <w:p w14:paraId="7ED23CFD" w14:textId="77777777" w:rsidR="001433A1" w:rsidRPr="000E7C5E" w:rsidRDefault="001433A1" w:rsidP="001433A1">
            <w:pPr>
              <w:spacing w:line="240" w:lineRule="auto"/>
              <w:rPr>
                <w:sz w:val="18"/>
              </w:rPr>
            </w:pPr>
            <w:r w:rsidRPr="000E7C5E">
              <w:rPr>
                <w:sz w:val="18"/>
              </w:rPr>
              <w:t>Reportable priority waste transport</w:t>
            </w:r>
          </w:p>
        </w:tc>
        <w:tc>
          <w:tcPr>
            <w:tcW w:w="563" w:type="pct"/>
          </w:tcPr>
          <w:p w14:paraId="627AA0D5" w14:textId="0E7C0B54" w:rsidR="001433A1" w:rsidRPr="000E7C5E" w:rsidRDefault="001433A1" w:rsidP="001433A1">
            <w:pPr>
              <w:spacing w:after="0" w:line="440" w:lineRule="atLeast"/>
              <w:jc w:val="right"/>
              <w:rPr>
                <w:sz w:val="18"/>
              </w:rPr>
            </w:pPr>
            <w:r w:rsidRPr="000E7C5E">
              <w:rPr>
                <w:sz w:val="18"/>
              </w:rPr>
              <w:t>10</w:t>
            </w:r>
            <w:r w:rsidR="008B6C81">
              <w:rPr>
                <w:sz w:val="18"/>
              </w:rPr>
              <w:t>7</w:t>
            </w:r>
          </w:p>
        </w:tc>
        <w:tc>
          <w:tcPr>
            <w:tcW w:w="563" w:type="pct"/>
          </w:tcPr>
          <w:p w14:paraId="1578ED03" w14:textId="000B4ABE" w:rsidR="001433A1" w:rsidRPr="000E7C5E" w:rsidRDefault="001433A1" w:rsidP="001433A1">
            <w:pPr>
              <w:spacing w:after="0" w:line="440" w:lineRule="atLeast"/>
              <w:jc w:val="right"/>
              <w:rPr>
                <w:sz w:val="18"/>
              </w:rPr>
            </w:pPr>
            <w:r w:rsidRPr="000E7C5E">
              <w:rPr>
                <w:sz w:val="18"/>
              </w:rPr>
              <w:t xml:space="preserve"> $4,7</w:t>
            </w:r>
            <w:r w:rsidR="00207407">
              <w:rPr>
                <w:sz w:val="18"/>
              </w:rPr>
              <w:t>70.06</w:t>
            </w:r>
            <w:r w:rsidRPr="000E7C5E">
              <w:rPr>
                <w:sz w:val="18"/>
              </w:rPr>
              <w:t xml:space="preserve"> </w:t>
            </w:r>
          </w:p>
        </w:tc>
        <w:tc>
          <w:tcPr>
            <w:tcW w:w="563" w:type="pct"/>
          </w:tcPr>
          <w:p w14:paraId="5B295990" w14:textId="77777777" w:rsidR="001433A1" w:rsidRPr="000E7C5E" w:rsidRDefault="001433A1" w:rsidP="001433A1">
            <w:pPr>
              <w:spacing w:after="0" w:line="440" w:lineRule="atLeast"/>
              <w:jc w:val="right"/>
              <w:rPr>
                <w:sz w:val="18"/>
              </w:rPr>
            </w:pPr>
            <w:r w:rsidRPr="000E7C5E">
              <w:rPr>
                <w:sz w:val="18"/>
              </w:rPr>
              <w:t>3.</w:t>
            </w:r>
            <w:r>
              <w:rPr>
                <w:sz w:val="18"/>
              </w:rPr>
              <w:t>09</w:t>
            </w:r>
          </w:p>
        </w:tc>
        <w:tc>
          <w:tcPr>
            <w:tcW w:w="563" w:type="pct"/>
          </w:tcPr>
          <w:p w14:paraId="5C5DE278" w14:textId="77777777" w:rsidR="001433A1" w:rsidRPr="00153F27" w:rsidRDefault="001433A1" w:rsidP="001433A1">
            <w:pPr>
              <w:spacing w:after="0" w:line="440" w:lineRule="atLeast"/>
              <w:jc w:val="right"/>
              <w:rPr>
                <w:rFonts w:cs="Segoe UI Light"/>
                <w:b/>
                <w:sz w:val="18"/>
              </w:rPr>
            </w:pPr>
            <w:r w:rsidRPr="00153F27">
              <w:rPr>
                <w:rFonts w:cs="Segoe UI Light"/>
                <w:color w:val="000000"/>
                <w:sz w:val="18"/>
              </w:rPr>
              <w:t>44.65</w:t>
            </w:r>
          </w:p>
        </w:tc>
      </w:tr>
      <w:tr w:rsidR="001433A1" w:rsidRPr="009B2611" w14:paraId="4F85DF6A" w14:textId="77777777" w:rsidTr="001433A1">
        <w:tc>
          <w:tcPr>
            <w:tcW w:w="1001" w:type="pct"/>
          </w:tcPr>
          <w:p w14:paraId="009877CC" w14:textId="77777777" w:rsidR="001433A1" w:rsidRPr="000E7C5E" w:rsidRDefault="001433A1" w:rsidP="001433A1">
            <w:pPr>
              <w:spacing w:line="240" w:lineRule="auto"/>
              <w:rPr>
                <w:sz w:val="18"/>
              </w:rPr>
            </w:pPr>
            <w:r w:rsidRPr="000E7C5E">
              <w:rPr>
                <w:sz w:val="18"/>
              </w:rPr>
              <w:t>Permit</w:t>
            </w:r>
          </w:p>
        </w:tc>
        <w:tc>
          <w:tcPr>
            <w:tcW w:w="850" w:type="pct"/>
          </w:tcPr>
          <w:p w14:paraId="7438781E" w14:textId="77777777" w:rsidR="001433A1" w:rsidRPr="000E7C5E" w:rsidRDefault="001433A1" w:rsidP="001433A1">
            <w:pPr>
              <w:spacing w:line="240" w:lineRule="auto"/>
              <w:rPr>
                <w:sz w:val="18"/>
              </w:rPr>
            </w:pPr>
            <w:r w:rsidRPr="000E7C5E">
              <w:rPr>
                <w:sz w:val="18"/>
              </w:rPr>
              <w:t>Renewal</w:t>
            </w:r>
          </w:p>
        </w:tc>
        <w:tc>
          <w:tcPr>
            <w:tcW w:w="896" w:type="pct"/>
          </w:tcPr>
          <w:p w14:paraId="3564FAC8" w14:textId="77777777" w:rsidR="001433A1" w:rsidRPr="000E7C5E" w:rsidRDefault="001433A1" w:rsidP="001433A1">
            <w:pPr>
              <w:spacing w:line="240" w:lineRule="auto"/>
              <w:rPr>
                <w:sz w:val="18"/>
              </w:rPr>
            </w:pPr>
            <w:r w:rsidRPr="000E7C5E">
              <w:rPr>
                <w:sz w:val="18"/>
              </w:rPr>
              <w:t>Other - complex (application to Authority)</w:t>
            </w:r>
          </w:p>
        </w:tc>
        <w:tc>
          <w:tcPr>
            <w:tcW w:w="563" w:type="pct"/>
          </w:tcPr>
          <w:p w14:paraId="7DF58E9D" w14:textId="4C3F1205" w:rsidR="001433A1" w:rsidRPr="000E7C5E" w:rsidRDefault="00207407" w:rsidP="001433A1">
            <w:pPr>
              <w:spacing w:after="0" w:line="440" w:lineRule="atLeast"/>
              <w:jc w:val="right"/>
              <w:rPr>
                <w:sz w:val="18"/>
              </w:rPr>
            </w:pPr>
            <w:r>
              <w:rPr>
                <w:sz w:val="18"/>
              </w:rPr>
              <w:t>Unknown</w:t>
            </w:r>
          </w:p>
        </w:tc>
        <w:tc>
          <w:tcPr>
            <w:tcW w:w="563" w:type="pct"/>
          </w:tcPr>
          <w:p w14:paraId="506D1392" w14:textId="274A6618" w:rsidR="001433A1" w:rsidRPr="000E7C5E" w:rsidRDefault="00910FB8" w:rsidP="001433A1">
            <w:pPr>
              <w:spacing w:after="0" w:line="440" w:lineRule="atLeast"/>
              <w:jc w:val="right"/>
              <w:rPr>
                <w:sz w:val="18"/>
              </w:rPr>
            </w:pPr>
            <w:r>
              <w:rPr>
                <w:sz w:val="18"/>
              </w:rPr>
              <w:t>-</w:t>
            </w:r>
          </w:p>
        </w:tc>
        <w:tc>
          <w:tcPr>
            <w:tcW w:w="563" w:type="pct"/>
          </w:tcPr>
          <w:p w14:paraId="0394AFAB" w14:textId="77777777" w:rsidR="001433A1" w:rsidRPr="000E7C5E" w:rsidRDefault="001433A1" w:rsidP="001433A1">
            <w:pPr>
              <w:spacing w:after="0" w:line="440" w:lineRule="atLeast"/>
              <w:jc w:val="right"/>
              <w:rPr>
                <w:sz w:val="18"/>
              </w:rPr>
            </w:pPr>
            <w:r w:rsidRPr="000E7C5E">
              <w:rPr>
                <w:sz w:val="18"/>
              </w:rPr>
              <w:t>2</w:t>
            </w:r>
            <w:r>
              <w:rPr>
                <w:sz w:val="18"/>
              </w:rPr>
              <w:t>8.56</w:t>
            </w:r>
          </w:p>
        </w:tc>
        <w:tc>
          <w:tcPr>
            <w:tcW w:w="563" w:type="pct"/>
          </w:tcPr>
          <w:p w14:paraId="7A23EE9C" w14:textId="6C3B77A4" w:rsidR="001433A1" w:rsidRPr="00153F27" w:rsidRDefault="001433A1" w:rsidP="001433A1">
            <w:pPr>
              <w:spacing w:after="0" w:line="440" w:lineRule="atLeast"/>
              <w:jc w:val="right"/>
              <w:rPr>
                <w:rFonts w:cs="Segoe UI Light"/>
                <w:b/>
                <w:sz w:val="18"/>
              </w:rPr>
            </w:pPr>
            <w:r w:rsidRPr="00153F27">
              <w:rPr>
                <w:rFonts w:cs="Segoe UI Light"/>
                <w:color w:val="000000"/>
                <w:sz w:val="18"/>
              </w:rPr>
              <w:t>412.6</w:t>
            </w:r>
            <w:r w:rsidR="00207407">
              <w:rPr>
                <w:rFonts w:cs="Segoe UI Light"/>
                <w:color w:val="000000"/>
                <w:sz w:val="18"/>
              </w:rPr>
              <w:t>7</w:t>
            </w:r>
          </w:p>
        </w:tc>
      </w:tr>
      <w:tr w:rsidR="001433A1" w:rsidRPr="009B2611" w14:paraId="5D704952" w14:textId="77777777" w:rsidTr="001433A1">
        <w:tc>
          <w:tcPr>
            <w:tcW w:w="1001" w:type="pct"/>
          </w:tcPr>
          <w:p w14:paraId="5DD8D261" w14:textId="77777777" w:rsidR="001433A1" w:rsidRPr="000E7C5E" w:rsidRDefault="001433A1" w:rsidP="001433A1">
            <w:pPr>
              <w:spacing w:line="240" w:lineRule="auto"/>
              <w:rPr>
                <w:sz w:val="18"/>
              </w:rPr>
            </w:pPr>
            <w:r w:rsidRPr="000E7C5E">
              <w:rPr>
                <w:sz w:val="18"/>
              </w:rPr>
              <w:t>Permit</w:t>
            </w:r>
          </w:p>
        </w:tc>
        <w:tc>
          <w:tcPr>
            <w:tcW w:w="850" w:type="pct"/>
          </w:tcPr>
          <w:p w14:paraId="620BAA27" w14:textId="77777777" w:rsidR="001433A1" w:rsidRPr="000E7C5E" w:rsidRDefault="001433A1" w:rsidP="001433A1">
            <w:pPr>
              <w:spacing w:line="240" w:lineRule="auto"/>
              <w:rPr>
                <w:sz w:val="18"/>
              </w:rPr>
            </w:pPr>
            <w:r w:rsidRPr="004337A5">
              <w:rPr>
                <w:sz w:val="18"/>
              </w:rPr>
              <w:t xml:space="preserve">Exemptions for transporting </w:t>
            </w:r>
            <w:r w:rsidRPr="00785A28">
              <w:rPr>
                <w:sz w:val="18"/>
              </w:rPr>
              <w:t xml:space="preserve">reportable priority waste </w:t>
            </w:r>
            <w:r w:rsidRPr="00E92715">
              <w:rPr>
                <w:sz w:val="18"/>
              </w:rPr>
              <w:t>(</w:t>
            </w:r>
            <w:bookmarkStart w:id="1934" w:name="_Hlk15908878"/>
            <w:r w:rsidRPr="00E92715">
              <w:rPr>
                <w:sz w:val="18"/>
              </w:rPr>
              <w:t>due to holding a valid authorisation to transport reportable priority waste in another jurisdiction)</w:t>
            </w:r>
            <w:bookmarkEnd w:id="1934"/>
          </w:p>
        </w:tc>
        <w:tc>
          <w:tcPr>
            <w:tcW w:w="896" w:type="pct"/>
          </w:tcPr>
          <w:p w14:paraId="748B8EFA" w14:textId="77777777" w:rsidR="001433A1" w:rsidRPr="000E7C5E" w:rsidRDefault="001433A1" w:rsidP="001433A1">
            <w:pPr>
              <w:spacing w:line="240" w:lineRule="auto"/>
              <w:rPr>
                <w:sz w:val="18"/>
              </w:rPr>
            </w:pPr>
          </w:p>
        </w:tc>
        <w:tc>
          <w:tcPr>
            <w:tcW w:w="563" w:type="pct"/>
          </w:tcPr>
          <w:p w14:paraId="28F913D8" w14:textId="2AA1CD33" w:rsidR="001433A1" w:rsidRPr="000E7C5E" w:rsidRDefault="001433A1" w:rsidP="001433A1">
            <w:pPr>
              <w:spacing w:after="0" w:line="440" w:lineRule="atLeast"/>
              <w:jc w:val="right"/>
              <w:rPr>
                <w:sz w:val="18"/>
              </w:rPr>
            </w:pPr>
            <w:r w:rsidRPr="000E7C5E">
              <w:rPr>
                <w:sz w:val="18"/>
              </w:rPr>
              <w:t>1</w:t>
            </w:r>
          </w:p>
        </w:tc>
        <w:tc>
          <w:tcPr>
            <w:tcW w:w="563" w:type="pct"/>
          </w:tcPr>
          <w:p w14:paraId="767B053B" w14:textId="16715F30" w:rsidR="001433A1" w:rsidRPr="000E7C5E" w:rsidRDefault="001433A1" w:rsidP="001433A1">
            <w:pPr>
              <w:spacing w:after="0" w:line="440" w:lineRule="atLeast"/>
              <w:jc w:val="right"/>
              <w:rPr>
                <w:sz w:val="18"/>
              </w:rPr>
            </w:pPr>
            <w:r w:rsidRPr="000E7C5E">
              <w:rPr>
                <w:sz w:val="18"/>
              </w:rPr>
              <w:t xml:space="preserve"> $201</w:t>
            </w:r>
            <w:r w:rsidR="004834E5">
              <w:rPr>
                <w:sz w:val="18"/>
              </w:rPr>
              <w:t>.00</w:t>
            </w:r>
            <w:r w:rsidRPr="000E7C5E">
              <w:rPr>
                <w:sz w:val="18"/>
              </w:rPr>
              <w:t xml:space="preserve"> </w:t>
            </w:r>
          </w:p>
        </w:tc>
        <w:tc>
          <w:tcPr>
            <w:tcW w:w="563" w:type="pct"/>
          </w:tcPr>
          <w:p w14:paraId="68849860" w14:textId="77777777" w:rsidR="001433A1" w:rsidRPr="000E7C5E" w:rsidRDefault="001433A1" w:rsidP="001433A1">
            <w:pPr>
              <w:spacing w:after="0" w:line="440" w:lineRule="atLeast"/>
              <w:jc w:val="right"/>
              <w:rPr>
                <w:sz w:val="18"/>
              </w:rPr>
            </w:pPr>
            <w:r>
              <w:rPr>
                <w:sz w:val="18"/>
              </w:rPr>
              <w:t>13.91</w:t>
            </w:r>
          </w:p>
        </w:tc>
        <w:tc>
          <w:tcPr>
            <w:tcW w:w="563" w:type="pct"/>
          </w:tcPr>
          <w:p w14:paraId="41D6831A" w14:textId="77777777" w:rsidR="001433A1" w:rsidRPr="00153F27" w:rsidRDefault="001433A1" w:rsidP="001433A1">
            <w:pPr>
              <w:spacing w:after="0" w:line="440" w:lineRule="atLeast"/>
              <w:jc w:val="right"/>
              <w:rPr>
                <w:rFonts w:cs="Segoe UI Light"/>
                <w:b/>
                <w:sz w:val="18"/>
              </w:rPr>
            </w:pPr>
            <w:r w:rsidRPr="00153F27">
              <w:rPr>
                <w:rFonts w:cs="Segoe UI Light"/>
                <w:color w:val="000000"/>
                <w:sz w:val="18"/>
              </w:rPr>
              <w:t>201.00</w:t>
            </w:r>
          </w:p>
        </w:tc>
      </w:tr>
      <w:tr w:rsidR="001433A1" w:rsidRPr="009B2611" w14:paraId="5A18554F" w14:textId="77777777" w:rsidTr="001433A1">
        <w:tc>
          <w:tcPr>
            <w:tcW w:w="1001" w:type="pct"/>
          </w:tcPr>
          <w:p w14:paraId="37B9B691" w14:textId="77777777" w:rsidR="001433A1" w:rsidRPr="000E7C5E" w:rsidRDefault="001433A1" w:rsidP="001433A1">
            <w:pPr>
              <w:spacing w:line="240" w:lineRule="auto"/>
              <w:rPr>
                <w:sz w:val="18"/>
              </w:rPr>
            </w:pPr>
            <w:r w:rsidRPr="000E7C5E">
              <w:rPr>
                <w:sz w:val="18"/>
              </w:rPr>
              <w:t>Registration</w:t>
            </w:r>
          </w:p>
        </w:tc>
        <w:tc>
          <w:tcPr>
            <w:tcW w:w="850" w:type="pct"/>
          </w:tcPr>
          <w:p w14:paraId="6A9DA21A" w14:textId="77777777" w:rsidR="001433A1" w:rsidRPr="000E7C5E" w:rsidRDefault="001433A1" w:rsidP="001433A1">
            <w:pPr>
              <w:spacing w:line="240" w:lineRule="auto"/>
              <w:rPr>
                <w:sz w:val="18"/>
              </w:rPr>
            </w:pPr>
            <w:r w:rsidRPr="000E7C5E">
              <w:rPr>
                <w:sz w:val="18"/>
              </w:rPr>
              <w:t>Application</w:t>
            </w:r>
          </w:p>
        </w:tc>
        <w:tc>
          <w:tcPr>
            <w:tcW w:w="896" w:type="pct"/>
          </w:tcPr>
          <w:p w14:paraId="3C60BFF3" w14:textId="77777777" w:rsidR="001433A1" w:rsidRPr="000E7C5E" w:rsidRDefault="001433A1" w:rsidP="001433A1">
            <w:pPr>
              <w:spacing w:line="240" w:lineRule="auto"/>
              <w:rPr>
                <w:sz w:val="18"/>
              </w:rPr>
            </w:pPr>
            <w:r w:rsidRPr="000E7C5E">
              <w:rPr>
                <w:sz w:val="18"/>
              </w:rPr>
              <w:t>Reportable priority waste transport</w:t>
            </w:r>
          </w:p>
        </w:tc>
        <w:tc>
          <w:tcPr>
            <w:tcW w:w="563" w:type="pct"/>
          </w:tcPr>
          <w:p w14:paraId="66B09475" w14:textId="77777777" w:rsidR="001433A1" w:rsidRPr="000E7C5E" w:rsidRDefault="001433A1" w:rsidP="001433A1">
            <w:pPr>
              <w:spacing w:after="0" w:line="440" w:lineRule="atLeast"/>
              <w:jc w:val="right"/>
              <w:rPr>
                <w:sz w:val="18"/>
              </w:rPr>
            </w:pPr>
            <w:r w:rsidRPr="000E7C5E">
              <w:rPr>
                <w:sz w:val="18"/>
              </w:rPr>
              <w:t>779</w:t>
            </w:r>
          </w:p>
        </w:tc>
        <w:tc>
          <w:tcPr>
            <w:tcW w:w="563" w:type="pct"/>
          </w:tcPr>
          <w:p w14:paraId="1F3C3BC6" w14:textId="7D201B38" w:rsidR="001433A1" w:rsidRPr="000E7C5E" w:rsidRDefault="001433A1" w:rsidP="001433A1">
            <w:pPr>
              <w:spacing w:after="0" w:line="440" w:lineRule="atLeast"/>
              <w:jc w:val="right"/>
              <w:rPr>
                <w:sz w:val="18"/>
              </w:rPr>
            </w:pPr>
            <w:r w:rsidRPr="000E7C5E">
              <w:rPr>
                <w:sz w:val="18"/>
              </w:rPr>
              <w:t xml:space="preserve"> $161,876</w:t>
            </w:r>
            <w:r w:rsidR="00207407">
              <w:rPr>
                <w:sz w:val="18"/>
              </w:rPr>
              <w:t>.20</w:t>
            </w:r>
            <w:r w:rsidRPr="000E7C5E">
              <w:rPr>
                <w:sz w:val="18"/>
              </w:rPr>
              <w:t xml:space="preserve"> </w:t>
            </w:r>
          </w:p>
        </w:tc>
        <w:tc>
          <w:tcPr>
            <w:tcW w:w="563" w:type="pct"/>
          </w:tcPr>
          <w:p w14:paraId="64CDEAA7" w14:textId="77777777" w:rsidR="001433A1" w:rsidRPr="000E7C5E" w:rsidRDefault="001433A1" w:rsidP="001433A1">
            <w:pPr>
              <w:spacing w:after="0" w:line="440" w:lineRule="atLeast"/>
              <w:jc w:val="right"/>
              <w:rPr>
                <w:sz w:val="18"/>
              </w:rPr>
            </w:pPr>
            <w:r>
              <w:rPr>
                <w:sz w:val="18"/>
              </w:rPr>
              <w:t>14.38</w:t>
            </w:r>
          </w:p>
        </w:tc>
        <w:tc>
          <w:tcPr>
            <w:tcW w:w="563" w:type="pct"/>
          </w:tcPr>
          <w:p w14:paraId="4AAFECB2" w14:textId="4069AF03" w:rsidR="001433A1" w:rsidRPr="00153F27" w:rsidRDefault="001433A1" w:rsidP="001433A1">
            <w:pPr>
              <w:spacing w:after="0" w:line="440" w:lineRule="atLeast"/>
              <w:jc w:val="right"/>
              <w:rPr>
                <w:rFonts w:cs="Segoe UI Light"/>
                <w:b/>
                <w:sz w:val="18"/>
              </w:rPr>
            </w:pPr>
            <w:r w:rsidRPr="00153F27">
              <w:rPr>
                <w:rFonts w:cs="Segoe UI Light"/>
                <w:color w:val="000000"/>
                <w:sz w:val="18"/>
              </w:rPr>
              <w:t>207.</w:t>
            </w:r>
            <w:r w:rsidR="00207407">
              <w:rPr>
                <w:rFonts w:cs="Segoe UI Light"/>
                <w:color w:val="000000"/>
                <w:sz w:val="18"/>
              </w:rPr>
              <w:t>80</w:t>
            </w:r>
          </w:p>
        </w:tc>
      </w:tr>
      <w:tr w:rsidR="001433A1" w:rsidRPr="009B2611" w14:paraId="3057BECF" w14:textId="77777777" w:rsidTr="001433A1">
        <w:tc>
          <w:tcPr>
            <w:tcW w:w="1001" w:type="pct"/>
          </w:tcPr>
          <w:p w14:paraId="728DA012" w14:textId="77777777" w:rsidR="001433A1" w:rsidRPr="000E7C5E" w:rsidRDefault="001433A1" w:rsidP="001433A1">
            <w:pPr>
              <w:spacing w:line="240" w:lineRule="auto"/>
              <w:rPr>
                <w:sz w:val="18"/>
              </w:rPr>
            </w:pPr>
            <w:r w:rsidRPr="000E7C5E">
              <w:rPr>
                <w:sz w:val="18"/>
              </w:rPr>
              <w:t>Registration</w:t>
            </w:r>
          </w:p>
        </w:tc>
        <w:tc>
          <w:tcPr>
            <w:tcW w:w="850" w:type="pct"/>
          </w:tcPr>
          <w:p w14:paraId="3E42D3B7" w14:textId="77777777" w:rsidR="001433A1" w:rsidRPr="000E7C5E" w:rsidRDefault="001433A1" w:rsidP="001433A1">
            <w:pPr>
              <w:spacing w:line="240" w:lineRule="auto"/>
              <w:rPr>
                <w:sz w:val="18"/>
              </w:rPr>
            </w:pPr>
            <w:r w:rsidRPr="000E7C5E">
              <w:rPr>
                <w:sz w:val="18"/>
              </w:rPr>
              <w:t>Renewal</w:t>
            </w:r>
          </w:p>
        </w:tc>
        <w:tc>
          <w:tcPr>
            <w:tcW w:w="896" w:type="pct"/>
          </w:tcPr>
          <w:p w14:paraId="24C0F304" w14:textId="77777777" w:rsidR="001433A1" w:rsidRPr="000E7C5E" w:rsidRDefault="001433A1" w:rsidP="001433A1">
            <w:pPr>
              <w:spacing w:line="240" w:lineRule="auto"/>
              <w:rPr>
                <w:sz w:val="18"/>
              </w:rPr>
            </w:pPr>
            <w:r w:rsidRPr="000E7C5E">
              <w:rPr>
                <w:sz w:val="18"/>
              </w:rPr>
              <w:t>Reportable priority waste transport</w:t>
            </w:r>
          </w:p>
        </w:tc>
        <w:tc>
          <w:tcPr>
            <w:tcW w:w="563" w:type="pct"/>
          </w:tcPr>
          <w:p w14:paraId="1937AAA3" w14:textId="77777777" w:rsidR="001433A1" w:rsidRPr="000E7C5E" w:rsidRDefault="001433A1" w:rsidP="001433A1">
            <w:pPr>
              <w:spacing w:after="0" w:line="440" w:lineRule="atLeast"/>
              <w:jc w:val="right"/>
              <w:rPr>
                <w:sz w:val="18"/>
              </w:rPr>
            </w:pPr>
            <w:r w:rsidRPr="000E7C5E">
              <w:rPr>
                <w:sz w:val="18"/>
              </w:rPr>
              <w:t>2042</w:t>
            </w:r>
          </w:p>
        </w:tc>
        <w:tc>
          <w:tcPr>
            <w:tcW w:w="563" w:type="pct"/>
          </w:tcPr>
          <w:p w14:paraId="0799DBF3" w14:textId="1E0AA566" w:rsidR="001433A1" w:rsidRPr="000E7C5E" w:rsidRDefault="001433A1" w:rsidP="001433A1">
            <w:pPr>
              <w:spacing w:after="0" w:line="440" w:lineRule="atLeast"/>
              <w:jc w:val="right"/>
              <w:rPr>
                <w:sz w:val="18"/>
              </w:rPr>
            </w:pPr>
            <w:r w:rsidRPr="000E7C5E">
              <w:rPr>
                <w:sz w:val="18"/>
              </w:rPr>
              <w:t xml:space="preserve"> $76,575</w:t>
            </w:r>
            <w:r w:rsidR="00207407">
              <w:rPr>
                <w:sz w:val="18"/>
              </w:rPr>
              <w:t>.00</w:t>
            </w:r>
            <w:r w:rsidRPr="000E7C5E">
              <w:rPr>
                <w:sz w:val="18"/>
              </w:rPr>
              <w:t xml:space="preserve"> </w:t>
            </w:r>
          </w:p>
        </w:tc>
        <w:tc>
          <w:tcPr>
            <w:tcW w:w="563" w:type="pct"/>
          </w:tcPr>
          <w:p w14:paraId="3497BD9D" w14:textId="480592AA" w:rsidR="001433A1" w:rsidRPr="000E7C5E" w:rsidRDefault="001433A1" w:rsidP="001433A1">
            <w:pPr>
              <w:spacing w:after="0" w:line="440" w:lineRule="atLeast"/>
              <w:jc w:val="right"/>
              <w:rPr>
                <w:sz w:val="18"/>
              </w:rPr>
            </w:pPr>
            <w:r w:rsidRPr="000E7C5E">
              <w:rPr>
                <w:sz w:val="18"/>
              </w:rPr>
              <w:t>2.6</w:t>
            </w:r>
            <w:r>
              <w:rPr>
                <w:sz w:val="18"/>
              </w:rPr>
              <w:t>0</w:t>
            </w:r>
          </w:p>
        </w:tc>
        <w:tc>
          <w:tcPr>
            <w:tcW w:w="563" w:type="pct"/>
          </w:tcPr>
          <w:p w14:paraId="3C51FCB0" w14:textId="316BD73D" w:rsidR="001433A1" w:rsidRPr="00153F27" w:rsidRDefault="001433A1" w:rsidP="001433A1">
            <w:pPr>
              <w:spacing w:after="0" w:line="440" w:lineRule="atLeast"/>
              <w:jc w:val="right"/>
              <w:rPr>
                <w:rFonts w:cs="Segoe UI Light"/>
                <w:b/>
                <w:sz w:val="18"/>
              </w:rPr>
            </w:pPr>
            <w:r w:rsidRPr="00153F27">
              <w:rPr>
                <w:rFonts w:cs="Segoe UI Light"/>
                <w:color w:val="000000"/>
                <w:sz w:val="18"/>
              </w:rPr>
              <w:t>37.5</w:t>
            </w:r>
            <w:r w:rsidR="00207407">
              <w:rPr>
                <w:rFonts w:cs="Segoe UI Light"/>
                <w:color w:val="000000"/>
                <w:sz w:val="18"/>
              </w:rPr>
              <w:t>0</w:t>
            </w:r>
          </w:p>
        </w:tc>
      </w:tr>
      <w:tr w:rsidR="001433A1" w:rsidRPr="009B2611" w14:paraId="6F7ABAF3" w14:textId="77777777" w:rsidTr="001433A1">
        <w:tc>
          <w:tcPr>
            <w:tcW w:w="1001" w:type="pct"/>
          </w:tcPr>
          <w:p w14:paraId="313FE0FE" w14:textId="77777777" w:rsidR="001433A1" w:rsidRPr="000E7C5E" w:rsidRDefault="001433A1" w:rsidP="001433A1">
            <w:pPr>
              <w:spacing w:line="240" w:lineRule="auto"/>
              <w:rPr>
                <w:sz w:val="18"/>
              </w:rPr>
            </w:pPr>
            <w:r w:rsidRPr="000E7C5E">
              <w:rPr>
                <w:sz w:val="18"/>
              </w:rPr>
              <w:t>Environmental Audit</w:t>
            </w:r>
          </w:p>
        </w:tc>
        <w:tc>
          <w:tcPr>
            <w:tcW w:w="850" w:type="pct"/>
          </w:tcPr>
          <w:p w14:paraId="7AA74949" w14:textId="77777777" w:rsidR="001433A1" w:rsidRPr="000E7C5E" w:rsidRDefault="001433A1" w:rsidP="001433A1">
            <w:pPr>
              <w:spacing w:line="240" w:lineRule="auto"/>
              <w:rPr>
                <w:sz w:val="18"/>
              </w:rPr>
            </w:pPr>
            <w:r w:rsidRPr="000E7C5E">
              <w:rPr>
                <w:sz w:val="18"/>
              </w:rPr>
              <w:t>Appointment</w:t>
            </w:r>
          </w:p>
        </w:tc>
        <w:tc>
          <w:tcPr>
            <w:tcW w:w="896" w:type="pct"/>
          </w:tcPr>
          <w:p w14:paraId="7EB36DA0" w14:textId="77777777" w:rsidR="001433A1" w:rsidRPr="000E7C5E" w:rsidRDefault="001433A1" w:rsidP="001433A1">
            <w:pPr>
              <w:spacing w:line="240" w:lineRule="auto"/>
              <w:rPr>
                <w:sz w:val="18"/>
              </w:rPr>
            </w:pPr>
            <w:r w:rsidRPr="000E7C5E">
              <w:rPr>
                <w:sz w:val="18"/>
              </w:rPr>
              <w:t>Assessment</w:t>
            </w:r>
          </w:p>
        </w:tc>
        <w:tc>
          <w:tcPr>
            <w:tcW w:w="563" w:type="pct"/>
          </w:tcPr>
          <w:p w14:paraId="448199EC" w14:textId="77777777" w:rsidR="001433A1" w:rsidRPr="000E7C5E" w:rsidRDefault="001433A1" w:rsidP="001433A1">
            <w:pPr>
              <w:spacing w:after="0" w:line="440" w:lineRule="atLeast"/>
              <w:jc w:val="right"/>
              <w:rPr>
                <w:sz w:val="18"/>
              </w:rPr>
            </w:pPr>
            <w:r w:rsidRPr="000E7C5E">
              <w:rPr>
                <w:sz w:val="18"/>
              </w:rPr>
              <w:t>20</w:t>
            </w:r>
          </w:p>
        </w:tc>
        <w:tc>
          <w:tcPr>
            <w:tcW w:w="563" w:type="pct"/>
          </w:tcPr>
          <w:p w14:paraId="3AFAC3E2" w14:textId="112D0E23" w:rsidR="001433A1" w:rsidRPr="000E7C5E" w:rsidRDefault="001433A1" w:rsidP="001433A1">
            <w:pPr>
              <w:spacing w:after="0" w:line="440" w:lineRule="atLeast"/>
              <w:jc w:val="right"/>
              <w:rPr>
                <w:sz w:val="18"/>
              </w:rPr>
            </w:pPr>
            <w:r w:rsidRPr="000E7C5E">
              <w:rPr>
                <w:sz w:val="18"/>
              </w:rPr>
              <w:t xml:space="preserve"> $40,94</w:t>
            </w:r>
            <w:r w:rsidR="00207407">
              <w:rPr>
                <w:sz w:val="18"/>
              </w:rPr>
              <w:t>8.80</w:t>
            </w:r>
            <w:r w:rsidRPr="000E7C5E">
              <w:rPr>
                <w:sz w:val="18"/>
              </w:rPr>
              <w:t xml:space="preserve"> </w:t>
            </w:r>
          </w:p>
        </w:tc>
        <w:tc>
          <w:tcPr>
            <w:tcW w:w="563" w:type="pct"/>
          </w:tcPr>
          <w:p w14:paraId="41398414" w14:textId="77777777" w:rsidR="001433A1" w:rsidRPr="000E7C5E" w:rsidRDefault="001433A1" w:rsidP="001433A1">
            <w:pPr>
              <w:spacing w:after="0" w:line="440" w:lineRule="atLeast"/>
              <w:jc w:val="right"/>
              <w:rPr>
                <w:sz w:val="18"/>
              </w:rPr>
            </w:pPr>
            <w:r w:rsidRPr="000E7C5E">
              <w:rPr>
                <w:sz w:val="18"/>
              </w:rPr>
              <w:t>14</w:t>
            </w:r>
            <w:r>
              <w:rPr>
                <w:sz w:val="18"/>
              </w:rPr>
              <w:t>1</w:t>
            </w:r>
            <w:r w:rsidRPr="000E7C5E">
              <w:rPr>
                <w:sz w:val="18"/>
              </w:rPr>
              <w:t>.</w:t>
            </w:r>
            <w:r>
              <w:rPr>
                <w:sz w:val="18"/>
              </w:rPr>
              <w:t>69</w:t>
            </w:r>
          </w:p>
        </w:tc>
        <w:tc>
          <w:tcPr>
            <w:tcW w:w="563" w:type="pct"/>
          </w:tcPr>
          <w:p w14:paraId="568CB7F9" w14:textId="0884196E" w:rsidR="001433A1" w:rsidRPr="00153F27" w:rsidRDefault="001433A1" w:rsidP="001433A1">
            <w:pPr>
              <w:spacing w:after="0" w:line="440" w:lineRule="atLeast"/>
              <w:jc w:val="right"/>
              <w:rPr>
                <w:rFonts w:cs="Segoe UI Light"/>
                <w:b/>
                <w:sz w:val="18"/>
              </w:rPr>
            </w:pPr>
            <w:r w:rsidRPr="00153F27">
              <w:rPr>
                <w:rFonts w:cs="Segoe UI Light"/>
                <w:color w:val="000000"/>
                <w:sz w:val="18"/>
              </w:rPr>
              <w:t>2047.4</w:t>
            </w:r>
            <w:r w:rsidR="00207407">
              <w:rPr>
                <w:rFonts w:cs="Segoe UI Light"/>
                <w:color w:val="000000"/>
                <w:sz w:val="18"/>
              </w:rPr>
              <w:t>4</w:t>
            </w:r>
          </w:p>
        </w:tc>
      </w:tr>
      <w:tr w:rsidR="001433A1" w:rsidRPr="009B2611" w14:paraId="2D0504F3" w14:textId="77777777" w:rsidTr="001433A1">
        <w:tc>
          <w:tcPr>
            <w:tcW w:w="1001" w:type="pct"/>
          </w:tcPr>
          <w:p w14:paraId="5262E0E8" w14:textId="77777777" w:rsidR="001433A1" w:rsidRPr="000E7C5E" w:rsidRDefault="001433A1" w:rsidP="001433A1">
            <w:pPr>
              <w:spacing w:line="240" w:lineRule="auto"/>
              <w:rPr>
                <w:sz w:val="18"/>
              </w:rPr>
            </w:pPr>
            <w:r w:rsidRPr="000E7C5E">
              <w:rPr>
                <w:sz w:val="18"/>
              </w:rPr>
              <w:t>Environmental Audit</w:t>
            </w:r>
          </w:p>
        </w:tc>
        <w:tc>
          <w:tcPr>
            <w:tcW w:w="850" w:type="pct"/>
          </w:tcPr>
          <w:p w14:paraId="365AFC06" w14:textId="77777777" w:rsidR="001433A1" w:rsidRPr="000E7C5E" w:rsidRDefault="001433A1" w:rsidP="001433A1">
            <w:pPr>
              <w:spacing w:line="240" w:lineRule="auto"/>
              <w:rPr>
                <w:sz w:val="18"/>
              </w:rPr>
            </w:pPr>
            <w:r w:rsidRPr="000E7C5E">
              <w:rPr>
                <w:sz w:val="18"/>
              </w:rPr>
              <w:t>Appointment</w:t>
            </w:r>
          </w:p>
        </w:tc>
        <w:tc>
          <w:tcPr>
            <w:tcW w:w="896" w:type="pct"/>
          </w:tcPr>
          <w:p w14:paraId="5B83408E" w14:textId="77777777" w:rsidR="001433A1" w:rsidRPr="00785A28" w:rsidRDefault="001433A1" w:rsidP="001433A1">
            <w:pPr>
              <w:spacing w:line="240" w:lineRule="auto"/>
              <w:rPr>
                <w:sz w:val="18"/>
              </w:rPr>
            </w:pPr>
            <w:r w:rsidRPr="00E92715">
              <w:rPr>
                <w:sz w:val="18"/>
              </w:rPr>
              <w:t>Administrative and technical support services</w:t>
            </w:r>
          </w:p>
        </w:tc>
        <w:tc>
          <w:tcPr>
            <w:tcW w:w="563" w:type="pct"/>
          </w:tcPr>
          <w:p w14:paraId="55506146" w14:textId="77777777" w:rsidR="001433A1" w:rsidRPr="000E7C5E" w:rsidRDefault="001433A1" w:rsidP="001433A1">
            <w:pPr>
              <w:spacing w:after="0" w:line="440" w:lineRule="atLeast"/>
              <w:jc w:val="right"/>
              <w:rPr>
                <w:sz w:val="18"/>
              </w:rPr>
            </w:pPr>
            <w:r w:rsidRPr="000E7C5E">
              <w:rPr>
                <w:sz w:val="18"/>
              </w:rPr>
              <w:t>22</w:t>
            </w:r>
          </w:p>
        </w:tc>
        <w:tc>
          <w:tcPr>
            <w:tcW w:w="563" w:type="pct"/>
          </w:tcPr>
          <w:p w14:paraId="07B0A488" w14:textId="4ED033BA" w:rsidR="001433A1" w:rsidRPr="000E7C5E" w:rsidRDefault="001433A1" w:rsidP="001433A1">
            <w:pPr>
              <w:spacing w:after="0" w:line="440" w:lineRule="atLeast"/>
              <w:jc w:val="right"/>
              <w:rPr>
                <w:sz w:val="18"/>
              </w:rPr>
            </w:pPr>
            <w:r w:rsidRPr="000E7C5E">
              <w:rPr>
                <w:sz w:val="18"/>
              </w:rPr>
              <w:t xml:space="preserve"> $163,08</w:t>
            </w:r>
            <w:r w:rsidR="00207407">
              <w:rPr>
                <w:sz w:val="18"/>
              </w:rPr>
              <w:t>0.94</w:t>
            </w:r>
            <w:r w:rsidRPr="000E7C5E">
              <w:rPr>
                <w:sz w:val="18"/>
              </w:rPr>
              <w:t xml:space="preserve"> </w:t>
            </w:r>
          </w:p>
        </w:tc>
        <w:tc>
          <w:tcPr>
            <w:tcW w:w="563" w:type="pct"/>
          </w:tcPr>
          <w:p w14:paraId="1EA4B0AD" w14:textId="77777777" w:rsidR="001433A1" w:rsidRPr="000E7C5E" w:rsidRDefault="001433A1" w:rsidP="001433A1">
            <w:pPr>
              <w:spacing w:after="0" w:line="440" w:lineRule="atLeast"/>
              <w:jc w:val="right"/>
              <w:rPr>
                <w:sz w:val="18"/>
              </w:rPr>
            </w:pPr>
            <w:r w:rsidRPr="000E7C5E">
              <w:rPr>
                <w:sz w:val="18"/>
              </w:rPr>
              <w:t>5</w:t>
            </w:r>
            <w:r>
              <w:rPr>
                <w:sz w:val="18"/>
              </w:rPr>
              <w:t>12</w:t>
            </w:r>
            <w:r w:rsidRPr="000E7C5E">
              <w:rPr>
                <w:sz w:val="18"/>
              </w:rPr>
              <w:t>.</w:t>
            </w:r>
            <w:r>
              <w:rPr>
                <w:sz w:val="18"/>
              </w:rPr>
              <w:t>99</w:t>
            </w:r>
          </w:p>
        </w:tc>
        <w:tc>
          <w:tcPr>
            <w:tcW w:w="563" w:type="pct"/>
          </w:tcPr>
          <w:p w14:paraId="2F1AAA53" w14:textId="245D4B33" w:rsidR="001433A1" w:rsidRPr="00153F27" w:rsidRDefault="001433A1" w:rsidP="001433A1">
            <w:pPr>
              <w:spacing w:after="0" w:line="440" w:lineRule="atLeast"/>
              <w:jc w:val="right"/>
              <w:rPr>
                <w:rFonts w:cs="Segoe UI Light"/>
                <w:b/>
                <w:sz w:val="18"/>
              </w:rPr>
            </w:pPr>
            <w:r w:rsidRPr="00153F27">
              <w:rPr>
                <w:rFonts w:cs="Segoe UI Light"/>
                <w:color w:val="000000"/>
                <w:sz w:val="18"/>
              </w:rPr>
              <w:t>7412.7</w:t>
            </w:r>
            <w:r w:rsidR="00207407">
              <w:rPr>
                <w:rFonts w:cs="Segoe UI Light"/>
                <w:color w:val="000000"/>
                <w:sz w:val="18"/>
              </w:rPr>
              <w:t>7</w:t>
            </w:r>
          </w:p>
        </w:tc>
      </w:tr>
      <w:tr w:rsidR="001433A1" w:rsidRPr="009B2611" w14:paraId="7B873E2B" w14:textId="77777777" w:rsidTr="001433A1">
        <w:tc>
          <w:tcPr>
            <w:tcW w:w="1001" w:type="pct"/>
          </w:tcPr>
          <w:p w14:paraId="349BAD1A" w14:textId="77777777" w:rsidR="001433A1" w:rsidRPr="000E7C5E" w:rsidRDefault="001433A1" w:rsidP="001433A1">
            <w:pPr>
              <w:spacing w:line="240" w:lineRule="auto"/>
              <w:rPr>
                <w:sz w:val="18"/>
              </w:rPr>
            </w:pPr>
            <w:r w:rsidRPr="000E7C5E">
              <w:rPr>
                <w:sz w:val="18"/>
              </w:rPr>
              <w:t>Environmental Audit</w:t>
            </w:r>
          </w:p>
        </w:tc>
        <w:tc>
          <w:tcPr>
            <w:tcW w:w="850" w:type="pct"/>
          </w:tcPr>
          <w:p w14:paraId="534C9B95" w14:textId="77777777" w:rsidR="001433A1" w:rsidRPr="000E7C5E" w:rsidRDefault="001433A1" w:rsidP="001433A1">
            <w:pPr>
              <w:spacing w:line="240" w:lineRule="auto"/>
              <w:rPr>
                <w:sz w:val="18"/>
              </w:rPr>
            </w:pPr>
            <w:r w:rsidRPr="000E7C5E">
              <w:rPr>
                <w:sz w:val="18"/>
              </w:rPr>
              <w:t>Reappointment</w:t>
            </w:r>
          </w:p>
        </w:tc>
        <w:tc>
          <w:tcPr>
            <w:tcW w:w="896" w:type="pct"/>
          </w:tcPr>
          <w:p w14:paraId="3CF97480" w14:textId="77777777" w:rsidR="001433A1" w:rsidRPr="00785A28" w:rsidRDefault="001433A1" w:rsidP="001433A1">
            <w:pPr>
              <w:spacing w:line="240" w:lineRule="auto"/>
              <w:rPr>
                <w:sz w:val="18"/>
              </w:rPr>
            </w:pPr>
            <w:r w:rsidRPr="00785A28">
              <w:rPr>
                <w:sz w:val="18"/>
              </w:rPr>
              <w:t>Assessment</w:t>
            </w:r>
          </w:p>
        </w:tc>
        <w:tc>
          <w:tcPr>
            <w:tcW w:w="563" w:type="pct"/>
          </w:tcPr>
          <w:p w14:paraId="48F73661" w14:textId="77777777" w:rsidR="001433A1" w:rsidRPr="000E7C5E" w:rsidRDefault="001433A1" w:rsidP="001433A1">
            <w:pPr>
              <w:spacing w:after="0" w:line="440" w:lineRule="atLeast"/>
              <w:jc w:val="right"/>
              <w:rPr>
                <w:sz w:val="18"/>
              </w:rPr>
            </w:pPr>
            <w:r w:rsidRPr="000E7C5E">
              <w:rPr>
                <w:sz w:val="18"/>
              </w:rPr>
              <w:t>21</w:t>
            </w:r>
          </w:p>
        </w:tc>
        <w:tc>
          <w:tcPr>
            <w:tcW w:w="563" w:type="pct"/>
          </w:tcPr>
          <w:p w14:paraId="4EEE05F2" w14:textId="2A1ABB32" w:rsidR="001433A1" w:rsidRPr="000E7C5E" w:rsidRDefault="001433A1" w:rsidP="001433A1">
            <w:pPr>
              <w:spacing w:after="0" w:line="440" w:lineRule="atLeast"/>
              <w:jc w:val="right"/>
              <w:rPr>
                <w:sz w:val="18"/>
              </w:rPr>
            </w:pPr>
            <w:r w:rsidRPr="000E7C5E">
              <w:rPr>
                <w:sz w:val="18"/>
              </w:rPr>
              <w:t xml:space="preserve"> $53,55</w:t>
            </w:r>
            <w:r w:rsidR="00207407">
              <w:rPr>
                <w:sz w:val="18"/>
              </w:rPr>
              <w:t>0.63</w:t>
            </w:r>
            <w:r w:rsidRPr="000E7C5E">
              <w:rPr>
                <w:sz w:val="18"/>
              </w:rPr>
              <w:t xml:space="preserve"> </w:t>
            </w:r>
          </w:p>
        </w:tc>
        <w:tc>
          <w:tcPr>
            <w:tcW w:w="563" w:type="pct"/>
          </w:tcPr>
          <w:p w14:paraId="1C670589" w14:textId="77777777" w:rsidR="001433A1" w:rsidRPr="000E7C5E" w:rsidRDefault="001433A1" w:rsidP="001433A1">
            <w:pPr>
              <w:spacing w:after="0" w:line="440" w:lineRule="atLeast"/>
              <w:jc w:val="right"/>
              <w:rPr>
                <w:sz w:val="18"/>
              </w:rPr>
            </w:pPr>
            <w:r w:rsidRPr="000E7C5E">
              <w:rPr>
                <w:sz w:val="18"/>
              </w:rPr>
              <w:t>17</w:t>
            </w:r>
            <w:r>
              <w:rPr>
                <w:sz w:val="18"/>
              </w:rPr>
              <w:t>6</w:t>
            </w:r>
            <w:r w:rsidRPr="000E7C5E">
              <w:rPr>
                <w:sz w:val="18"/>
              </w:rPr>
              <w:t>.</w:t>
            </w:r>
            <w:r>
              <w:rPr>
                <w:sz w:val="18"/>
              </w:rPr>
              <w:t>47</w:t>
            </w:r>
          </w:p>
        </w:tc>
        <w:tc>
          <w:tcPr>
            <w:tcW w:w="563" w:type="pct"/>
          </w:tcPr>
          <w:p w14:paraId="374C0C79" w14:textId="5E8C3492" w:rsidR="001433A1" w:rsidRPr="00153F27" w:rsidRDefault="001433A1" w:rsidP="001433A1">
            <w:pPr>
              <w:spacing w:after="0" w:line="440" w:lineRule="atLeast"/>
              <w:jc w:val="right"/>
              <w:rPr>
                <w:rFonts w:cs="Segoe UI Light"/>
                <w:b/>
                <w:sz w:val="18"/>
              </w:rPr>
            </w:pPr>
            <w:r w:rsidRPr="00153F27">
              <w:rPr>
                <w:rFonts w:cs="Segoe UI Light"/>
                <w:color w:val="000000"/>
                <w:sz w:val="18"/>
              </w:rPr>
              <w:t>2550.0</w:t>
            </w:r>
            <w:r w:rsidR="00207407">
              <w:rPr>
                <w:rFonts w:cs="Segoe UI Light"/>
                <w:color w:val="000000"/>
                <w:sz w:val="18"/>
              </w:rPr>
              <w:t>3</w:t>
            </w:r>
          </w:p>
        </w:tc>
      </w:tr>
      <w:tr w:rsidR="001433A1" w:rsidRPr="009B2611" w14:paraId="1D480B2B" w14:textId="77777777" w:rsidTr="001433A1">
        <w:tc>
          <w:tcPr>
            <w:tcW w:w="1001" w:type="pct"/>
          </w:tcPr>
          <w:p w14:paraId="0E68EB04" w14:textId="77777777" w:rsidR="001433A1" w:rsidRPr="000E7C5E" w:rsidRDefault="001433A1" w:rsidP="001433A1">
            <w:pPr>
              <w:spacing w:line="240" w:lineRule="auto"/>
              <w:rPr>
                <w:sz w:val="18"/>
              </w:rPr>
            </w:pPr>
            <w:r w:rsidRPr="000E7C5E">
              <w:rPr>
                <w:sz w:val="18"/>
              </w:rPr>
              <w:t>Environmental Audit</w:t>
            </w:r>
          </w:p>
        </w:tc>
        <w:tc>
          <w:tcPr>
            <w:tcW w:w="850" w:type="pct"/>
          </w:tcPr>
          <w:p w14:paraId="6A0CA170" w14:textId="77777777" w:rsidR="001433A1" w:rsidRPr="000E7C5E" w:rsidRDefault="001433A1" w:rsidP="001433A1">
            <w:pPr>
              <w:spacing w:line="240" w:lineRule="auto"/>
              <w:rPr>
                <w:sz w:val="18"/>
              </w:rPr>
            </w:pPr>
            <w:r w:rsidRPr="000E7C5E">
              <w:rPr>
                <w:sz w:val="18"/>
              </w:rPr>
              <w:t>Reappointment</w:t>
            </w:r>
          </w:p>
        </w:tc>
        <w:tc>
          <w:tcPr>
            <w:tcW w:w="896" w:type="pct"/>
          </w:tcPr>
          <w:p w14:paraId="019A2D3E" w14:textId="77777777" w:rsidR="001433A1" w:rsidRPr="00E92715" w:rsidRDefault="001433A1" w:rsidP="001433A1">
            <w:pPr>
              <w:spacing w:line="240" w:lineRule="auto"/>
              <w:rPr>
                <w:sz w:val="18"/>
              </w:rPr>
            </w:pPr>
            <w:r w:rsidRPr="00E92715">
              <w:rPr>
                <w:sz w:val="18"/>
              </w:rPr>
              <w:t>Administrative and technical support services</w:t>
            </w:r>
          </w:p>
        </w:tc>
        <w:tc>
          <w:tcPr>
            <w:tcW w:w="563" w:type="pct"/>
          </w:tcPr>
          <w:p w14:paraId="12C6580D" w14:textId="77777777" w:rsidR="001433A1" w:rsidRPr="000E7C5E" w:rsidRDefault="001433A1" w:rsidP="001433A1">
            <w:pPr>
              <w:spacing w:after="0" w:line="440" w:lineRule="atLeast"/>
              <w:jc w:val="right"/>
              <w:rPr>
                <w:sz w:val="18"/>
              </w:rPr>
            </w:pPr>
            <w:r w:rsidRPr="000E7C5E">
              <w:rPr>
                <w:sz w:val="18"/>
              </w:rPr>
              <w:t>21</w:t>
            </w:r>
          </w:p>
        </w:tc>
        <w:tc>
          <w:tcPr>
            <w:tcW w:w="563" w:type="pct"/>
          </w:tcPr>
          <w:p w14:paraId="5E2CAADC" w14:textId="2F3BA1AC" w:rsidR="001433A1" w:rsidRPr="000E7C5E" w:rsidRDefault="001433A1" w:rsidP="001433A1">
            <w:pPr>
              <w:spacing w:after="0" w:line="440" w:lineRule="atLeast"/>
              <w:jc w:val="right"/>
              <w:rPr>
                <w:sz w:val="18"/>
              </w:rPr>
            </w:pPr>
            <w:r w:rsidRPr="000E7C5E">
              <w:rPr>
                <w:sz w:val="18"/>
              </w:rPr>
              <w:t xml:space="preserve"> $139,247</w:t>
            </w:r>
            <w:r w:rsidR="00207407">
              <w:rPr>
                <w:sz w:val="18"/>
              </w:rPr>
              <w:t>.43</w:t>
            </w:r>
            <w:r w:rsidRPr="000E7C5E">
              <w:rPr>
                <w:sz w:val="18"/>
              </w:rPr>
              <w:t xml:space="preserve"> </w:t>
            </w:r>
          </w:p>
        </w:tc>
        <w:tc>
          <w:tcPr>
            <w:tcW w:w="563" w:type="pct"/>
          </w:tcPr>
          <w:p w14:paraId="72A3B1D8" w14:textId="77777777" w:rsidR="001433A1" w:rsidRPr="000E7C5E" w:rsidRDefault="001433A1" w:rsidP="001433A1">
            <w:pPr>
              <w:spacing w:after="0" w:line="440" w:lineRule="atLeast"/>
              <w:jc w:val="right"/>
              <w:rPr>
                <w:sz w:val="18"/>
              </w:rPr>
            </w:pPr>
            <w:r w:rsidRPr="000E7C5E">
              <w:rPr>
                <w:sz w:val="18"/>
              </w:rPr>
              <w:t>4</w:t>
            </w:r>
            <w:r>
              <w:rPr>
                <w:sz w:val="18"/>
              </w:rPr>
              <w:t>58</w:t>
            </w:r>
            <w:r w:rsidRPr="000E7C5E">
              <w:rPr>
                <w:sz w:val="18"/>
              </w:rPr>
              <w:t>.</w:t>
            </w:r>
            <w:r>
              <w:rPr>
                <w:sz w:val="18"/>
              </w:rPr>
              <w:t>88</w:t>
            </w:r>
          </w:p>
        </w:tc>
        <w:tc>
          <w:tcPr>
            <w:tcW w:w="563" w:type="pct"/>
          </w:tcPr>
          <w:p w14:paraId="0CEA8DA1" w14:textId="77777777" w:rsidR="001433A1" w:rsidRPr="00153F27" w:rsidRDefault="001433A1" w:rsidP="001433A1">
            <w:pPr>
              <w:spacing w:after="0" w:line="440" w:lineRule="atLeast"/>
              <w:jc w:val="right"/>
              <w:rPr>
                <w:rFonts w:cs="Segoe UI Light"/>
                <w:b/>
                <w:sz w:val="18"/>
              </w:rPr>
            </w:pPr>
            <w:r w:rsidRPr="00153F27">
              <w:rPr>
                <w:rFonts w:cs="Segoe UI Light"/>
                <w:color w:val="000000"/>
                <w:sz w:val="18"/>
              </w:rPr>
              <w:t>6630.8</w:t>
            </w:r>
            <w:r w:rsidRPr="0062003D">
              <w:rPr>
                <w:rFonts w:cs="Segoe UI Light"/>
                <w:color w:val="000000"/>
                <w:sz w:val="18"/>
              </w:rPr>
              <w:t>3</w:t>
            </w:r>
          </w:p>
        </w:tc>
      </w:tr>
      <w:tr w:rsidR="001433A1" w:rsidRPr="009B2611" w14:paraId="0DDB0B87" w14:textId="77777777" w:rsidTr="001433A1">
        <w:tc>
          <w:tcPr>
            <w:tcW w:w="1001" w:type="pct"/>
          </w:tcPr>
          <w:p w14:paraId="6FE13481" w14:textId="77777777" w:rsidR="001433A1" w:rsidRPr="000E7C5E" w:rsidRDefault="001433A1" w:rsidP="001433A1">
            <w:pPr>
              <w:spacing w:line="240" w:lineRule="auto"/>
              <w:rPr>
                <w:sz w:val="18"/>
              </w:rPr>
            </w:pPr>
            <w:r w:rsidRPr="000E7C5E">
              <w:rPr>
                <w:sz w:val="18"/>
              </w:rPr>
              <w:t>Environmental Audit</w:t>
            </w:r>
          </w:p>
        </w:tc>
        <w:tc>
          <w:tcPr>
            <w:tcW w:w="850" w:type="pct"/>
          </w:tcPr>
          <w:p w14:paraId="2DA8286F" w14:textId="77777777" w:rsidR="001433A1" w:rsidRPr="000E7C5E" w:rsidRDefault="001433A1" w:rsidP="001433A1">
            <w:pPr>
              <w:spacing w:line="240" w:lineRule="auto"/>
              <w:rPr>
                <w:sz w:val="18"/>
              </w:rPr>
            </w:pPr>
            <w:r w:rsidRPr="000E7C5E">
              <w:rPr>
                <w:sz w:val="18"/>
              </w:rPr>
              <w:t>Preliminary risk screen assessment statement and report</w:t>
            </w:r>
          </w:p>
        </w:tc>
        <w:tc>
          <w:tcPr>
            <w:tcW w:w="896" w:type="pct"/>
          </w:tcPr>
          <w:p w14:paraId="2723EFA2" w14:textId="77777777" w:rsidR="001433A1" w:rsidRPr="000E7C5E" w:rsidRDefault="001433A1" w:rsidP="001433A1">
            <w:pPr>
              <w:spacing w:line="240" w:lineRule="auto"/>
              <w:rPr>
                <w:sz w:val="18"/>
              </w:rPr>
            </w:pPr>
          </w:p>
        </w:tc>
        <w:tc>
          <w:tcPr>
            <w:tcW w:w="563" w:type="pct"/>
          </w:tcPr>
          <w:p w14:paraId="28ACF45E" w14:textId="77777777" w:rsidR="001433A1" w:rsidRPr="000E7C5E" w:rsidRDefault="001433A1" w:rsidP="001433A1">
            <w:pPr>
              <w:spacing w:after="0" w:line="440" w:lineRule="atLeast"/>
              <w:jc w:val="right"/>
              <w:rPr>
                <w:sz w:val="18"/>
              </w:rPr>
            </w:pPr>
            <w:r w:rsidRPr="000E7C5E">
              <w:rPr>
                <w:sz w:val="18"/>
              </w:rPr>
              <w:t>100</w:t>
            </w:r>
          </w:p>
        </w:tc>
        <w:tc>
          <w:tcPr>
            <w:tcW w:w="563" w:type="pct"/>
          </w:tcPr>
          <w:p w14:paraId="0E277DD0" w14:textId="43C9A2D9" w:rsidR="001433A1" w:rsidRPr="000E7C5E" w:rsidRDefault="001433A1" w:rsidP="001433A1">
            <w:pPr>
              <w:spacing w:after="0" w:line="440" w:lineRule="atLeast"/>
              <w:jc w:val="right"/>
              <w:rPr>
                <w:sz w:val="18"/>
              </w:rPr>
            </w:pPr>
            <w:r w:rsidRPr="000E7C5E">
              <w:rPr>
                <w:sz w:val="18"/>
              </w:rPr>
              <w:t xml:space="preserve"> $30,14</w:t>
            </w:r>
            <w:r w:rsidR="00207407">
              <w:rPr>
                <w:sz w:val="18"/>
              </w:rPr>
              <w:t>3.00</w:t>
            </w:r>
            <w:r w:rsidRPr="000E7C5E">
              <w:rPr>
                <w:sz w:val="18"/>
              </w:rPr>
              <w:t xml:space="preserve"> </w:t>
            </w:r>
          </w:p>
        </w:tc>
        <w:tc>
          <w:tcPr>
            <w:tcW w:w="563" w:type="pct"/>
          </w:tcPr>
          <w:p w14:paraId="1C1248DD" w14:textId="77777777" w:rsidR="001433A1" w:rsidRPr="000E7C5E" w:rsidRDefault="001433A1" w:rsidP="001433A1">
            <w:pPr>
              <w:spacing w:after="0" w:line="440" w:lineRule="atLeast"/>
              <w:jc w:val="right"/>
              <w:rPr>
                <w:sz w:val="18"/>
              </w:rPr>
            </w:pPr>
            <w:r w:rsidRPr="000E7C5E">
              <w:rPr>
                <w:sz w:val="18"/>
              </w:rPr>
              <w:t>2</w:t>
            </w:r>
            <w:r>
              <w:rPr>
                <w:sz w:val="18"/>
              </w:rPr>
              <w:t>0.86</w:t>
            </w:r>
          </w:p>
        </w:tc>
        <w:tc>
          <w:tcPr>
            <w:tcW w:w="563" w:type="pct"/>
          </w:tcPr>
          <w:p w14:paraId="048217E3" w14:textId="77777777" w:rsidR="001433A1" w:rsidRPr="00153F27" w:rsidRDefault="001433A1" w:rsidP="001433A1">
            <w:pPr>
              <w:spacing w:after="0" w:line="440" w:lineRule="atLeast"/>
              <w:jc w:val="right"/>
              <w:rPr>
                <w:rFonts w:cs="Segoe UI Light"/>
                <w:b/>
                <w:sz w:val="18"/>
              </w:rPr>
            </w:pPr>
            <w:r w:rsidRPr="00153F27">
              <w:rPr>
                <w:rFonts w:cs="Segoe UI Light"/>
                <w:color w:val="000000"/>
                <w:sz w:val="18"/>
              </w:rPr>
              <w:t>301.43</w:t>
            </w:r>
          </w:p>
        </w:tc>
      </w:tr>
      <w:tr w:rsidR="001433A1" w:rsidRPr="009B2611" w14:paraId="43EF91E5" w14:textId="77777777" w:rsidTr="001433A1">
        <w:tc>
          <w:tcPr>
            <w:tcW w:w="1001" w:type="pct"/>
          </w:tcPr>
          <w:p w14:paraId="2755E607" w14:textId="77777777" w:rsidR="001433A1" w:rsidRPr="000E7C5E" w:rsidRDefault="001433A1" w:rsidP="001433A1">
            <w:pPr>
              <w:spacing w:line="240" w:lineRule="auto"/>
              <w:rPr>
                <w:sz w:val="18"/>
              </w:rPr>
            </w:pPr>
            <w:r w:rsidRPr="000E7C5E">
              <w:rPr>
                <w:sz w:val="18"/>
              </w:rPr>
              <w:t>Environmental Audit</w:t>
            </w:r>
          </w:p>
        </w:tc>
        <w:tc>
          <w:tcPr>
            <w:tcW w:w="850" w:type="pct"/>
          </w:tcPr>
          <w:p w14:paraId="256665EC" w14:textId="77777777" w:rsidR="001433A1" w:rsidRPr="000E7C5E" w:rsidRDefault="001433A1" w:rsidP="001433A1">
            <w:pPr>
              <w:spacing w:line="240" w:lineRule="auto"/>
              <w:rPr>
                <w:sz w:val="18"/>
              </w:rPr>
            </w:pPr>
            <w:r w:rsidRPr="000E7C5E">
              <w:rPr>
                <w:sz w:val="18"/>
              </w:rPr>
              <w:t>Environmental audit statement and report</w:t>
            </w:r>
          </w:p>
        </w:tc>
        <w:tc>
          <w:tcPr>
            <w:tcW w:w="896" w:type="pct"/>
          </w:tcPr>
          <w:p w14:paraId="6460DE3B" w14:textId="77777777" w:rsidR="001433A1" w:rsidRPr="000E7C5E" w:rsidRDefault="001433A1" w:rsidP="001433A1">
            <w:pPr>
              <w:spacing w:line="240" w:lineRule="auto"/>
              <w:rPr>
                <w:sz w:val="18"/>
              </w:rPr>
            </w:pPr>
          </w:p>
        </w:tc>
        <w:tc>
          <w:tcPr>
            <w:tcW w:w="563" w:type="pct"/>
          </w:tcPr>
          <w:p w14:paraId="733A72EB" w14:textId="77777777" w:rsidR="001433A1" w:rsidRPr="000E7C5E" w:rsidRDefault="001433A1" w:rsidP="001433A1">
            <w:pPr>
              <w:spacing w:after="0" w:line="440" w:lineRule="atLeast"/>
              <w:jc w:val="right"/>
              <w:rPr>
                <w:sz w:val="18"/>
              </w:rPr>
            </w:pPr>
            <w:r w:rsidRPr="000E7C5E">
              <w:rPr>
                <w:sz w:val="18"/>
              </w:rPr>
              <w:t>176</w:t>
            </w:r>
          </w:p>
        </w:tc>
        <w:tc>
          <w:tcPr>
            <w:tcW w:w="563" w:type="pct"/>
          </w:tcPr>
          <w:p w14:paraId="24579A62" w14:textId="2516DF55" w:rsidR="001433A1" w:rsidRPr="000E7C5E" w:rsidRDefault="001433A1" w:rsidP="001433A1">
            <w:pPr>
              <w:spacing w:after="0" w:line="440" w:lineRule="atLeast"/>
              <w:jc w:val="right"/>
              <w:rPr>
                <w:sz w:val="18"/>
              </w:rPr>
            </w:pPr>
            <w:r w:rsidRPr="000E7C5E">
              <w:rPr>
                <w:sz w:val="18"/>
              </w:rPr>
              <w:t xml:space="preserve"> $280,4</w:t>
            </w:r>
            <w:r>
              <w:rPr>
                <w:sz w:val="18"/>
              </w:rPr>
              <w:t>13</w:t>
            </w:r>
            <w:r w:rsidR="00207407">
              <w:rPr>
                <w:sz w:val="18"/>
              </w:rPr>
              <w:t>.76</w:t>
            </w:r>
            <w:r w:rsidRPr="000E7C5E">
              <w:rPr>
                <w:sz w:val="18"/>
              </w:rPr>
              <w:t xml:space="preserve"> </w:t>
            </w:r>
          </w:p>
        </w:tc>
        <w:tc>
          <w:tcPr>
            <w:tcW w:w="563" w:type="pct"/>
          </w:tcPr>
          <w:p w14:paraId="4FCA6290" w14:textId="77777777" w:rsidR="001433A1" w:rsidRPr="000E7C5E" w:rsidRDefault="001433A1" w:rsidP="001433A1">
            <w:pPr>
              <w:spacing w:after="0" w:line="440" w:lineRule="atLeast"/>
              <w:jc w:val="right"/>
              <w:rPr>
                <w:sz w:val="18"/>
              </w:rPr>
            </w:pPr>
            <w:r>
              <w:rPr>
                <w:sz w:val="18"/>
              </w:rPr>
              <w:t>110.26</w:t>
            </w:r>
          </w:p>
        </w:tc>
        <w:tc>
          <w:tcPr>
            <w:tcW w:w="563" w:type="pct"/>
          </w:tcPr>
          <w:p w14:paraId="22341AA9" w14:textId="77777777" w:rsidR="001433A1" w:rsidRPr="00153F27" w:rsidRDefault="001433A1" w:rsidP="001433A1">
            <w:pPr>
              <w:spacing w:after="0" w:line="440" w:lineRule="atLeast"/>
              <w:jc w:val="right"/>
              <w:rPr>
                <w:rFonts w:cs="Segoe UI Light"/>
                <w:b/>
                <w:sz w:val="18"/>
              </w:rPr>
            </w:pPr>
            <w:r w:rsidRPr="00153F27">
              <w:rPr>
                <w:rFonts w:cs="Segoe UI Light"/>
                <w:color w:val="000000"/>
                <w:sz w:val="18"/>
              </w:rPr>
              <w:t>1593.26</w:t>
            </w:r>
          </w:p>
        </w:tc>
      </w:tr>
      <w:tr w:rsidR="001433A1" w:rsidRPr="009B2611" w14:paraId="055CC14D" w14:textId="77777777" w:rsidTr="001433A1">
        <w:tc>
          <w:tcPr>
            <w:tcW w:w="1001" w:type="pct"/>
          </w:tcPr>
          <w:p w14:paraId="58BCE97D" w14:textId="77777777" w:rsidR="001433A1" w:rsidRPr="000E7C5E" w:rsidRDefault="001433A1" w:rsidP="001433A1">
            <w:pPr>
              <w:spacing w:line="240" w:lineRule="auto"/>
              <w:rPr>
                <w:sz w:val="18"/>
              </w:rPr>
            </w:pPr>
            <w:r w:rsidRPr="000E7C5E">
              <w:rPr>
                <w:sz w:val="18"/>
              </w:rPr>
              <w:t>Authority may appoint analysts and prescribed roles</w:t>
            </w:r>
          </w:p>
        </w:tc>
        <w:tc>
          <w:tcPr>
            <w:tcW w:w="850" w:type="pct"/>
          </w:tcPr>
          <w:p w14:paraId="62563E72" w14:textId="77777777" w:rsidR="001433A1" w:rsidRPr="000E7C5E" w:rsidRDefault="001433A1" w:rsidP="001433A1">
            <w:pPr>
              <w:spacing w:line="240" w:lineRule="auto"/>
              <w:rPr>
                <w:sz w:val="18"/>
              </w:rPr>
            </w:pPr>
            <w:r w:rsidRPr="000E7C5E">
              <w:rPr>
                <w:sz w:val="18"/>
              </w:rPr>
              <w:t xml:space="preserve">Accredited </w:t>
            </w:r>
            <w:r>
              <w:rPr>
                <w:sz w:val="18"/>
              </w:rPr>
              <w:t>consigner</w:t>
            </w:r>
            <w:r w:rsidRPr="000E7C5E">
              <w:rPr>
                <w:sz w:val="18"/>
              </w:rPr>
              <w:t>s</w:t>
            </w:r>
          </w:p>
        </w:tc>
        <w:tc>
          <w:tcPr>
            <w:tcW w:w="896" w:type="pct"/>
          </w:tcPr>
          <w:p w14:paraId="21A673AF" w14:textId="77777777" w:rsidR="001433A1" w:rsidRPr="000E7C5E" w:rsidRDefault="001433A1" w:rsidP="001433A1">
            <w:pPr>
              <w:spacing w:line="240" w:lineRule="auto"/>
              <w:rPr>
                <w:sz w:val="18"/>
              </w:rPr>
            </w:pPr>
          </w:p>
        </w:tc>
        <w:tc>
          <w:tcPr>
            <w:tcW w:w="563" w:type="pct"/>
          </w:tcPr>
          <w:p w14:paraId="09B0B301" w14:textId="77777777" w:rsidR="001433A1" w:rsidRPr="000E7C5E" w:rsidRDefault="001433A1" w:rsidP="001433A1">
            <w:pPr>
              <w:spacing w:after="0" w:line="440" w:lineRule="atLeast"/>
              <w:jc w:val="right"/>
              <w:rPr>
                <w:sz w:val="18"/>
              </w:rPr>
            </w:pPr>
            <w:r w:rsidRPr="000E7C5E">
              <w:rPr>
                <w:sz w:val="18"/>
              </w:rPr>
              <w:t>20</w:t>
            </w:r>
          </w:p>
        </w:tc>
        <w:tc>
          <w:tcPr>
            <w:tcW w:w="563" w:type="pct"/>
          </w:tcPr>
          <w:p w14:paraId="5ACFEA34" w14:textId="2979488F" w:rsidR="001433A1" w:rsidRPr="000E7C5E" w:rsidRDefault="001433A1" w:rsidP="001433A1">
            <w:pPr>
              <w:spacing w:after="0" w:line="440" w:lineRule="atLeast"/>
              <w:jc w:val="right"/>
              <w:rPr>
                <w:sz w:val="18"/>
              </w:rPr>
            </w:pPr>
            <w:r w:rsidRPr="000E7C5E">
              <w:rPr>
                <w:sz w:val="18"/>
              </w:rPr>
              <w:t xml:space="preserve"> $10,21</w:t>
            </w:r>
            <w:r w:rsidR="00207407">
              <w:rPr>
                <w:sz w:val="18"/>
              </w:rPr>
              <w:t>6.80</w:t>
            </w:r>
            <w:r w:rsidRPr="000E7C5E">
              <w:rPr>
                <w:sz w:val="18"/>
              </w:rPr>
              <w:t xml:space="preserve"> </w:t>
            </w:r>
          </w:p>
        </w:tc>
        <w:tc>
          <w:tcPr>
            <w:tcW w:w="563" w:type="pct"/>
          </w:tcPr>
          <w:p w14:paraId="7558B99C" w14:textId="77777777" w:rsidR="001433A1" w:rsidRPr="000E7C5E" w:rsidRDefault="001433A1" w:rsidP="001433A1">
            <w:pPr>
              <w:spacing w:after="0" w:line="440" w:lineRule="atLeast"/>
              <w:jc w:val="right"/>
              <w:rPr>
                <w:sz w:val="18"/>
              </w:rPr>
            </w:pPr>
            <w:r w:rsidRPr="000E7C5E">
              <w:rPr>
                <w:sz w:val="18"/>
              </w:rPr>
              <w:t>35.</w:t>
            </w:r>
            <w:r>
              <w:rPr>
                <w:sz w:val="18"/>
              </w:rPr>
              <w:t>35</w:t>
            </w:r>
          </w:p>
        </w:tc>
        <w:tc>
          <w:tcPr>
            <w:tcW w:w="563" w:type="pct"/>
          </w:tcPr>
          <w:p w14:paraId="67D58503" w14:textId="2CE154BE" w:rsidR="001433A1" w:rsidRPr="00153F27" w:rsidRDefault="001433A1" w:rsidP="001433A1">
            <w:pPr>
              <w:spacing w:after="0" w:line="440" w:lineRule="atLeast"/>
              <w:jc w:val="right"/>
              <w:rPr>
                <w:rFonts w:cs="Segoe UI Light"/>
                <w:b/>
                <w:sz w:val="18"/>
              </w:rPr>
            </w:pPr>
            <w:r w:rsidRPr="00153F27">
              <w:rPr>
                <w:rFonts w:cs="Segoe UI Light"/>
                <w:color w:val="000000"/>
                <w:sz w:val="18"/>
              </w:rPr>
              <w:t>510.8</w:t>
            </w:r>
            <w:r w:rsidR="00207407">
              <w:rPr>
                <w:rFonts w:cs="Segoe UI Light"/>
                <w:color w:val="000000"/>
                <w:sz w:val="18"/>
              </w:rPr>
              <w:t>4</w:t>
            </w:r>
          </w:p>
        </w:tc>
      </w:tr>
    </w:tbl>
    <w:p w14:paraId="52704817" w14:textId="77777777" w:rsidR="001433A1" w:rsidRPr="00037AF8" w:rsidRDefault="001433A1" w:rsidP="001433A1">
      <w:pPr>
        <w:spacing w:before="120" w:after="0"/>
        <w:rPr>
          <w:sz w:val="18"/>
        </w:rPr>
      </w:pPr>
      <w:r w:rsidRPr="00037AF8">
        <w:rPr>
          <w:sz w:val="18"/>
        </w:rPr>
        <w:t xml:space="preserve">Note: See Appendices </w:t>
      </w:r>
      <w:r>
        <w:rPr>
          <w:sz w:val="18"/>
        </w:rPr>
        <w:t>6-9</w:t>
      </w:r>
      <w:r w:rsidRPr="00037AF8">
        <w:rPr>
          <w:sz w:val="18"/>
        </w:rPr>
        <w:t xml:space="preserve"> for details on underlying data and assumptions used. </w:t>
      </w:r>
      <w:r>
        <w:rPr>
          <w:sz w:val="18"/>
        </w:rPr>
        <w:t>Fee units are given in 2018-19 fee unit values.</w:t>
      </w:r>
    </w:p>
    <w:p w14:paraId="388A7F23" w14:textId="77777777" w:rsidR="001433A1" w:rsidRPr="009B2611" w:rsidRDefault="001433A1" w:rsidP="001433A1">
      <w:pPr>
        <w:spacing w:before="120" w:after="0"/>
        <w:rPr>
          <w:rFonts w:cs="Segoe UI Light"/>
          <w:szCs w:val="20"/>
        </w:rPr>
      </w:pPr>
    </w:p>
    <w:p w14:paraId="343C20F5" w14:textId="77777777" w:rsidR="001433A1" w:rsidRPr="009B2611" w:rsidRDefault="001433A1" w:rsidP="001433A1">
      <w:pPr>
        <w:pStyle w:val="Heading3"/>
        <w:ind w:left="720"/>
      </w:pPr>
      <w:r w:rsidRPr="009B2611">
        <w:t>Variable fees</w:t>
      </w:r>
    </w:p>
    <w:p w14:paraId="01C9162C" w14:textId="77777777" w:rsidR="001433A1" w:rsidRPr="00037AF8" w:rsidRDefault="001433A1" w:rsidP="001433A1">
      <w:pPr>
        <w:rPr>
          <w:rFonts w:cs="Segoe UI Light"/>
          <w:szCs w:val="20"/>
        </w:rPr>
      </w:pPr>
      <w:r w:rsidRPr="00BE69BC">
        <w:rPr>
          <w:rFonts w:cs="Segoe UI Light"/>
          <w:szCs w:val="20"/>
        </w:rPr>
        <w:t>Variable fees are proposed to be set for the fees outlined in</w:t>
      </w:r>
      <w:r w:rsidRPr="00153F27">
        <w:rPr>
          <w:rFonts w:cs="Segoe UI Light"/>
          <w:szCs w:val="20"/>
        </w:rPr>
        <w:t xml:space="preserve"> </w:t>
      </w:r>
      <w:r w:rsidRPr="00153F27">
        <w:rPr>
          <w:rFonts w:cs="Segoe UI Light"/>
          <w:szCs w:val="20"/>
        </w:rPr>
        <w:fldChar w:fldCharType="begin"/>
      </w:r>
      <w:r w:rsidRPr="00153F27">
        <w:rPr>
          <w:rFonts w:cs="Segoe UI Light"/>
          <w:szCs w:val="20"/>
        </w:rPr>
        <w:instrText xml:space="preserve"> REF _Ref10477938 \h </w:instrText>
      </w:r>
      <w:r>
        <w:rPr>
          <w:rFonts w:cs="Segoe UI Light"/>
          <w:szCs w:val="20"/>
        </w:rPr>
        <w:instrText xml:space="preserve"> \* MERGEFORMAT </w:instrText>
      </w:r>
      <w:r w:rsidRPr="00153F27">
        <w:rPr>
          <w:rFonts w:cs="Segoe UI Light"/>
          <w:szCs w:val="20"/>
        </w:rPr>
      </w:r>
      <w:r w:rsidRPr="00153F27">
        <w:rPr>
          <w:rFonts w:cs="Segoe UI Light"/>
          <w:szCs w:val="20"/>
        </w:rPr>
        <w:fldChar w:fldCharType="separate"/>
      </w:r>
      <w:r w:rsidRPr="00037AF8" w:rsidDel="00B11C1E">
        <w:rPr>
          <w:rFonts w:cs="Segoe UI Light"/>
          <w:szCs w:val="20"/>
        </w:rPr>
        <w:t>Table 16</w:t>
      </w:r>
      <w:r w:rsidRPr="00037AF8" w:rsidDel="00B11C1E">
        <w:rPr>
          <w:rFonts w:cs="Segoe UI Light"/>
          <w:szCs w:val="20"/>
        </w:rPr>
        <w:noBreakHyphen/>
        <w:t>16</w:t>
      </w:r>
      <w:r w:rsidRPr="00153F27">
        <w:rPr>
          <w:rFonts w:cs="Segoe UI Light"/>
          <w:szCs w:val="20"/>
        </w:rPr>
        <w:fldChar w:fldCharType="end"/>
      </w:r>
      <w:r w:rsidRPr="009B2611">
        <w:rPr>
          <w:rFonts w:cs="Segoe UI Light"/>
          <w:szCs w:val="20"/>
        </w:rPr>
        <w:t>. Variable fees are preferred because costs are more variable or some parties impose much greater regulatory costs than others. A variable fee structure enables fees to be set that more accurately recover costs from those parties that impose the costs.</w:t>
      </w:r>
      <w:r w:rsidRPr="00037AF8">
        <w:rPr>
          <w:rFonts w:cs="Segoe UI Light"/>
          <w:szCs w:val="20"/>
        </w:rPr>
        <w:t xml:space="preserve"> The variable fee thresholds are based on the minimum assessment time estimated by the cost recovery analysis. An average time was not used as it would result in an over-recovery of costs for many applicants.</w:t>
      </w:r>
    </w:p>
    <w:p w14:paraId="1A644E2F" w14:textId="4ACB2159" w:rsidR="001433A1" w:rsidRPr="009B2611" w:rsidRDefault="001433A1" w:rsidP="001433A1">
      <w:pPr>
        <w:rPr>
          <w:rFonts w:cs="Segoe UI Light"/>
          <w:szCs w:val="20"/>
        </w:rPr>
      </w:pPr>
      <w:r w:rsidRPr="009B2611">
        <w:rPr>
          <w:rFonts w:cs="Segoe UI Light"/>
          <w:szCs w:val="20"/>
        </w:rPr>
        <w:t xml:space="preserve">The </w:t>
      </w:r>
      <w:r w:rsidRPr="00104FB1">
        <w:rPr>
          <w:rFonts w:cs="Segoe UI Light"/>
          <w:szCs w:val="20"/>
        </w:rPr>
        <w:t>1</w:t>
      </w:r>
      <w:r w:rsidR="005B6D6E">
        <w:rPr>
          <w:rFonts w:cs="Segoe UI Light"/>
          <w:szCs w:val="20"/>
        </w:rPr>
        <w:t>9</w:t>
      </w:r>
      <w:r w:rsidRPr="009B2611">
        <w:rPr>
          <w:rFonts w:cs="Segoe UI Light"/>
          <w:szCs w:val="20"/>
        </w:rPr>
        <w:t xml:space="preserve"> fees listed below account for </w:t>
      </w:r>
      <w:r w:rsidRPr="00705EF6">
        <w:rPr>
          <w:rFonts w:cs="Segoe UI Light"/>
          <w:szCs w:val="20"/>
        </w:rPr>
        <w:t>$0.</w:t>
      </w:r>
      <w:r w:rsidR="001474DB">
        <w:rPr>
          <w:rFonts w:cs="Segoe UI Light"/>
          <w:szCs w:val="20"/>
        </w:rPr>
        <w:t>85</w:t>
      </w:r>
      <w:r w:rsidRPr="009B2611">
        <w:rPr>
          <w:rFonts w:cs="Segoe UI Light"/>
          <w:szCs w:val="20"/>
        </w:rPr>
        <w:t xml:space="preserve"> million of EPA’s estimated revenue per annum</w:t>
      </w:r>
      <w:r>
        <w:rPr>
          <w:rFonts w:cs="Segoe UI Light"/>
          <w:szCs w:val="20"/>
        </w:rPr>
        <w:t xml:space="preserve"> (approximately </w:t>
      </w:r>
      <w:r w:rsidR="001474DB">
        <w:rPr>
          <w:rFonts w:cs="Segoe UI Light"/>
          <w:szCs w:val="20"/>
        </w:rPr>
        <w:t>6</w:t>
      </w:r>
      <w:r w:rsidRPr="00705EF6">
        <w:rPr>
          <w:rFonts w:cs="Segoe UI Light"/>
          <w:szCs w:val="20"/>
        </w:rPr>
        <w:t>%</w:t>
      </w:r>
      <w:r>
        <w:rPr>
          <w:rFonts w:cs="Segoe UI Light"/>
          <w:szCs w:val="20"/>
        </w:rPr>
        <w:t xml:space="preserve"> of EPA’s total fees revenue).</w:t>
      </w:r>
    </w:p>
    <w:p w14:paraId="15181D66" w14:textId="77777777" w:rsidR="001433A1" w:rsidRPr="009B2611" w:rsidRDefault="001433A1" w:rsidP="001433A1">
      <w:pPr>
        <w:keepNext/>
        <w:keepLines/>
        <w:spacing w:before="240" w:after="240"/>
        <w:rPr>
          <w:iCs/>
          <w:color w:val="75787B" w:themeColor="accent6"/>
          <w:sz w:val="17"/>
        </w:rPr>
      </w:pPr>
      <w:r w:rsidRPr="009B2611">
        <w:rPr>
          <w:iCs/>
          <w:color w:val="75787B" w:themeColor="accent6"/>
          <w:sz w:val="17"/>
        </w:rPr>
        <w:t xml:space="preserve">Table </w:t>
      </w:r>
      <w:r w:rsidRPr="009B2611">
        <w:rPr>
          <w:color w:val="75787B" w:themeColor="accent6"/>
          <w:sz w:val="17"/>
          <w:shd w:val="clear" w:color="auto" w:fill="E6E6E6"/>
        </w:rPr>
        <w:fldChar w:fldCharType="begin"/>
      </w:r>
      <w:r w:rsidRPr="009B2611">
        <w:rPr>
          <w:iCs/>
          <w:color w:val="75787B" w:themeColor="accent6"/>
          <w:sz w:val="17"/>
        </w:rPr>
        <w:instrText xml:space="preserve"> STYLEREF 1 \s </w:instrText>
      </w:r>
      <w:r w:rsidRPr="009B2611">
        <w:rPr>
          <w:color w:val="75787B" w:themeColor="accent6"/>
          <w:sz w:val="17"/>
          <w:shd w:val="clear" w:color="auto" w:fill="E6E6E6"/>
        </w:rPr>
        <w:fldChar w:fldCharType="separate"/>
      </w:r>
      <w:r w:rsidR="00B11C1E">
        <w:rPr>
          <w:iCs/>
          <w:noProof/>
          <w:color w:val="75787B" w:themeColor="accent6"/>
          <w:sz w:val="17"/>
        </w:rPr>
        <w:t>16</w:t>
      </w:r>
      <w:r w:rsidRPr="009B2611">
        <w:rPr>
          <w:color w:val="75787B" w:themeColor="accent6"/>
          <w:sz w:val="17"/>
          <w:shd w:val="clear" w:color="auto" w:fill="E6E6E6"/>
        </w:rPr>
        <w:fldChar w:fldCharType="end"/>
      </w:r>
      <w:r w:rsidRPr="009B2611">
        <w:rPr>
          <w:iCs/>
          <w:color w:val="75787B" w:themeColor="accent6"/>
          <w:sz w:val="17"/>
        </w:rPr>
        <w:noBreakHyphen/>
      </w:r>
      <w:r>
        <w:rPr>
          <w:color w:val="75787B" w:themeColor="accent6"/>
          <w:sz w:val="17"/>
          <w:shd w:val="clear" w:color="auto" w:fill="E6E6E6"/>
        </w:rPr>
        <w:fldChar w:fldCharType="begin"/>
      </w:r>
      <w:r>
        <w:rPr>
          <w:iCs/>
          <w:color w:val="75787B" w:themeColor="accent6"/>
          <w:sz w:val="17"/>
        </w:rPr>
        <w:instrText xml:space="preserve"> SEQ Table \* ARABIC \s 1 </w:instrText>
      </w:r>
      <w:r>
        <w:rPr>
          <w:color w:val="75787B" w:themeColor="accent6"/>
          <w:sz w:val="17"/>
          <w:shd w:val="clear" w:color="auto" w:fill="E6E6E6"/>
        </w:rPr>
        <w:fldChar w:fldCharType="separate"/>
      </w:r>
      <w:r w:rsidR="00B11C1E">
        <w:rPr>
          <w:iCs/>
          <w:noProof/>
          <w:color w:val="75787B" w:themeColor="accent6"/>
          <w:sz w:val="17"/>
        </w:rPr>
        <w:t>16</w:t>
      </w:r>
      <w:r>
        <w:rPr>
          <w:color w:val="75787B" w:themeColor="accent6"/>
          <w:sz w:val="17"/>
          <w:shd w:val="clear" w:color="auto" w:fill="E6E6E6"/>
        </w:rPr>
        <w:fldChar w:fldCharType="end"/>
      </w:r>
      <w:r w:rsidRPr="009B2611">
        <w:rPr>
          <w:iCs/>
          <w:color w:val="75787B" w:themeColor="accent6"/>
          <w:sz w:val="17"/>
        </w:rPr>
        <w:t xml:space="preserve"> Variable fees – streamlined analysis</w:t>
      </w:r>
    </w:p>
    <w:tbl>
      <w:tblPr>
        <w:tblStyle w:val="Deloittetable"/>
        <w:tblW w:w="5000" w:type="pct"/>
        <w:tblLook w:val="04A0" w:firstRow="1" w:lastRow="0" w:firstColumn="1" w:lastColumn="0" w:noHBand="0" w:noVBand="1"/>
      </w:tblPr>
      <w:tblGrid>
        <w:gridCol w:w="2125"/>
        <w:gridCol w:w="1418"/>
        <w:gridCol w:w="1843"/>
        <w:gridCol w:w="994"/>
        <w:gridCol w:w="992"/>
        <w:gridCol w:w="1983"/>
      </w:tblGrid>
      <w:tr w:rsidR="001433A1" w:rsidRPr="009B2611" w14:paraId="11DD8452" w14:textId="77777777" w:rsidTr="001433A1">
        <w:trPr>
          <w:cnfStyle w:val="100000000000" w:firstRow="1" w:lastRow="0" w:firstColumn="0" w:lastColumn="0" w:oddVBand="0" w:evenVBand="0" w:oddHBand="0" w:evenHBand="0" w:firstRowFirstColumn="0" w:firstRowLastColumn="0" w:lastRowFirstColumn="0" w:lastRowLastColumn="0"/>
          <w:tblHeader/>
        </w:trPr>
        <w:tc>
          <w:tcPr>
            <w:tcW w:w="0" w:type="pct"/>
          </w:tcPr>
          <w:p w14:paraId="592C7EA3" w14:textId="77777777" w:rsidR="001433A1" w:rsidRPr="00153F27" w:rsidRDefault="001433A1" w:rsidP="001433A1">
            <w:pPr>
              <w:spacing w:after="0" w:line="440" w:lineRule="atLeast"/>
              <w:rPr>
                <w:b/>
                <w:sz w:val="18"/>
              </w:rPr>
            </w:pPr>
            <w:r w:rsidRPr="00153F27">
              <w:rPr>
                <w:b/>
                <w:sz w:val="18"/>
              </w:rPr>
              <w:t>Type</w:t>
            </w:r>
          </w:p>
        </w:tc>
        <w:tc>
          <w:tcPr>
            <w:tcW w:w="0" w:type="pct"/>
          </w:tcPr>
          <w:p w14:paraId="1B030FFB" w14:textId="77777777" w:rsidR="001433A1" w:rsidRPr="00153F27" w:rsidRDefault="001433A1" w:rsidP="001433A1">
            <w:pPr>
              <w:spacing w:after="0" w:line="440" w:lineRule="atLeast"/>
              <w:rPr>
                <w:b/>
                <w:sz w:val="18"/>
              </w:rPr>
            </w:pPr>
            <w:r w:rsidRPr="00153F27">
              <w:rPr>
                <w:b/>
                <w:sz w:val="18"/>
              </w:rPr>
              <w:t>Stage</w:t>
            </w:r>
          </w:p>
        </w:tc>
        <w:tc>
          <w:tcPr>
            <w:tcW w:w="0" w:type="pct"/>
          </w:tcPr>
          <w:p w14:paraId="5F88BEB6" w14:textId="77777777" w:rsidR="001433A1" w:rsidRPr="00153F27" w:rsidRDefault="001433A1" w:rsidP="001433A1">
            <w:pPr>
              <w:spacing w:after="0" w:line="440" w:lineRule="atLeast"/>
              <w:rPr>
                <w:b/>
                <w:sz w:val="18"/>
              </w:rPr>
            </w:pPr>
            <w:r w:rsidRPr="00153F27">
              <w:rPr>
                <w:b/>
                <w:sz w:val="18"/>
              </w:rPr>
              <w:t>Fee variation</w:t>
            </w:r>
          </w:p>
        </w:tc>
        <w:tc>
          <w:tcPr>
            <w:tcW w:w="0" w:type="pct"/>
          </w:tcPr>
          <w:p w14:paraId="1C09449B" w14:textId="77777777" w:rsidR="001433A1" w:rsidRPr="00153F27" w:rsidRDefault="001433A1" w:rsidP="001433A1">
            <w:pPr>
              <w:spacing w:after="0" w:line="440" w:lineRule="atLeast"/>
              <w:rPr>
                <w:b/>
                <w:sz w:val="18"/>
              </w:rPr>
            </w:pPr>
            <w:r w:rsidRPr="00153F27">
              <w:rPr>
                <w:b/>
                <w:sz w:val="18"/>
              </w:rPr>
              <w:t>Volume</w:t>
            </w:r>
          </w:p>
        </w:tc>
        <w:tc>
          <w:tcPr>
            <w:tcW w:w="0" w:type="pct"/>
          </w:tcPr>
          <w:p w14:paraId="2A99A4C8" w14:textId="77777777" w:rsidR="001433A1" w:rsidRPr="00153F27" w:rsidRDefault="001433A1" w:rsidP="001433A1">
            <w:pPr>
              <w:spacing w:after="0" w:line="440" w:lineRule="atLeast"/>
              <w:rPr>
                <w:b/>
                <w:sz w:val="18"/>
              </w:rPr>
            </w:pPr>
            <w:r w:rsidRPr="00153F27">
              <w:rPr>
                <w:b/>
                <w:sz w:val="18"/>
              </w:rPr>
              <w:t xml:space="preserve"> Total cost </w:t>
            </w:r>
          </w:p>
        </w:tc>
        <w:tc>
          <w:tcPr>
            <w:tcW w:w="1060" w:type="pct"/>
          </w:tcPr>
          <w:p w14:paraId="63536884" w14:textId="77777777" w:rsidR="001433A1" w:rsidRPr="00153F27" w:rsidRDefault="001433A1" w:rsidP="001433A1">
            <w:pPr>
              <w:spacing w:after="0" w:line="440" w:lineRule="atLeast"/>
              <w:rPr>
                <w:b/>
                <w:sz w:val="18"/>
              </w:rPr>
            </w:pPr>
            <w:r w:rsidRPr="00153F27">
              <w:rPr>
                <w:b/>
                <w:sz w:val="18"/>
              </w:rPr>
              <w:t>Fee</w:t>
            </w:r>
          </w:p>
        </w:tc>
      </w:tr>
      <w:tr w:rsidR="001433A1" w:rsidRPr="009B2611" w14:paraId="3C1A4A23" w14:textId="77777777" w:rsidTr="001433A1">
        <w:tc>
          <w:tcPr>
            <w:tcW w:w="0" w:type="pct"/>
          </w:tcPr>
          <w:p w14:paraId="7A29F4A2" w14:textId="77777777" w:rsidR="001433A1" w:rsidRPr="000E7C5E" w:rsidRDefault="001433A1" w:rsidP="001433A1">
            <w:pPr>
              <w:spacing w:line="240" w:lineRule="auto"/>
              <w:rPr>
                <w:sz w:val="18"/>
              </w:rPr>
            </w:pPr>
            <w:r w:rsidRPr="000E7C5E">
              <w:rPr>
                <w:sz w:val="18"/>
              </w:rPr>
              <w:t>Development licence</w:t>
            </w:r>
          </w:p>
        </w:tc>
        <w:tc>
          <w:tcPr>
            <w:tcW w:w="0" w:type="pct"/>
          </w:tcPr>
          <w:p w14:paraId="369AE98E" w14:textId="77777777" w:rsidR="001433A1" w:rsidRPr="000E7C5E" w:rsidRDefault="001433A1" w:rsidP="001433A1">
            <w:pPr>
              <w:spacing w:line="240" w:lineRule="auto"/>
              <w:rPr>
                <w:sz w:val="18"/>
              </w:rPr>
            </w:pPr>
            <w:r w:rsidRPr="000E7C5E">
              <w:rPr>
                <w:sz w:val="18"/>
              </w:rPr>
              <w:t>Exemption</w:t>
            </w:r>
          </w:p>
        </w:tc>
        <w:tc>
          <w:tcPr>
            <w:tcW w:w="0" w:type="pct"/>
          </w:tcPr>
          <w:p w14:paraId="6FFECC6B" w14:textId="77777777" w:rsidR="001433A1" w:rsidRPr="000E7C5E" w:rsidRDefault="001433A1" w:rsidP="001433A1">
            <w:pPr>
              <w:spacing w:line="240" w:lineRule="auto"/>
              <w:rPr>
                <w:sz w:val="18"/>
              </w:rPr>
            </w:pPr>
          </w:p>
        </w:tc>
        <w:tc>
          <w:tcPr>
            <w:tcW w:w="0" w:type="pct"/>
          </w:tcPr>
          <w:p w14:paraId="1CF50AED" w14:textId="77777777" w:rsidR="001433A1" w:rsidRPr="000E7C5E" w:rsidRDefault="001433A1" w:rsidP="001433A1">
            <w:pPr>
              <w:spacing w:after="0" w:line="440" w:lineRule="atLeast"/>
              <w:rPr>
                <w:color w:val="00B0F0"/>
                <w:sz w:val="18"/>
              </w:rPr>
            </w:pPr>
            <w:r w:rsidRPr="000E7C5E">
              <w:rPr>
                <w:sz w:val="18"/>
              </w:rPr>
              <w:t>40</w:t>
            </w:r>
          </w:p>
        </w:tc>
        <w:tc>
          <w:tcPr>
            <w:tcW w:w="0" w:type="pct"/>
          </w:tcPr>
          <w:p w14:paraId="7FB0E8DB" w14:textId="6FAAF301" w:rsidR="001433A1" w:rsidRPr="000E7C5E" w:rsidRDefault="001433A1" w:rsidP="001433A1">
            <w:pPr>
              <w:spacing w:after="0" w:line="440" w:lineRule="atLeast"/>
              <w:rPr>
                <w:color w:val="00B0F0"/>
                <w:sz w:val="18"/>
              </w:rPr>
            </w:pPr>
            <w:r w:rsidRPr="000E7C5E">
              <w:rPr>
                <w:sz w:val="18"/>
              </w:rPr>
              <w:t xml:space="preserve"> $</w:t>
            </w:r>
            <w:r w:rsidR="00207407">
              <w:rPr>
                <w:sz w:val="18"/>
              </w:rPr>
              <w:t>295,984.00</w:t>
            </w:r>
            <w:r w:rsidRPr="000E7C5E">
              <w:rPr>
                <w:sz w:val="18"/>
              </w:rPr>
              <w:t xml:space="preserve"> </w:t>
            </w:r>
          </w:p>
        </w:tc>
        <w:tc>
          <w:tcPr>
            <w:tcW w:w="1060" w:type="pct"/>
            <w:tcBorders>
              <w:left w:val="nil"/>
              <w:bottom w:val="single" w:sz="4" w:space="0" w:color="000000" w:themeColor="text1"/>
              <w:right w:val="nil"/>
            </w:tcBorders>
          </w:tcPr>
          <w:p w14:paraId="40E213B1" w14:textId="77777777" w:rsidR="001433A1" w:rsidRPr="000E7C5E" w:rsidRDefault="001433A1" w:rsidP="001433A1">
            <w:pPr>
              <w:spacing w:line="240" w:lineRule="auto"/>
              <w:rPr>
                <w:sz w:val="18"/>
              </w:rPr>
            </w:pPr>
            <w:r>
              <w:rPr>
                <w:sz w:val="18"/>
              </w:rPr>
              <w:t>68.8 fee units on application plus 6.29 fee units per hour for assessments exceeding 10.95 hours up to a maximum of 780.32 fee units.</w:t>
            </w:r>
          </w:p>
        </w:tc>
      </w:tr>
      <w:tr w:rsidR="001433A1" w:rsidRPr="009B2611" w14:paraId="747F2448" w14:textId="77777777" w:rsidTr="001433A1">
        <w:trPr>
          <w:trHeight w:val="16"/>
        </w:trPr>
        <w:tc>
          <w:tcPr>
            <w:tcW w:w="0" w:type="pct"/>
          </w:tcPr>
          <w:p w14:paraId="579AFC93" w14:textId="77777777" w:rsidR="001433A1" w:rsidRPr="000E7C5E" w:rsidRDefault="001433A1" w:rsidP="001433A1">
            <w:pPr>
              <w:spacing w:line="240" w:lineRule="auto"/>
              <w:rPr>
                <w:sz w:val="18"/>
              </w:rPr>
            </w:pPr>
            <w:r w:rsidRPr="000E7C5E">
              <w:rPr>
                <w:sz w:val="18"/>
              </w:rPr>
              <w:t>Development/Pilot project</w:t>
            </w:r>
            <w:r>
              <w:rPr>
                <w:sz w:val="18"/>
              </w:rPr>
              <w:t xml:space="preserve"> </w:t>
            </w:r>
            <w:r w:rsidRPr="000E7C5E">
              <w:rPr>
                <w:sz w:val="18"/>
              </w:rPr>
              <w:t>licences</w:t>
            </w:r>
          </w:p>
        </w:tc>
        <w:tc>
          <w:tcPr>
            <w:tcW w:w="0" w:type="pct"/>
          </w:tcPr>
          <w:p w14:paraId="6FD887C3" w14:textId="77777777" w:rsidR="001433A1" w:rsidRPr="000E7C5E" w:rsidRDefault="001433A1" w:rsidP="001433A1">
            <w:pPr>
              <w:spacing w:line="240" w:lineRule="auto"/>
              <w:rPr>
                <w:sz w:val="18"/>
              </w:rPr>
            </w:pPr>
            <w:r w:rsidRPr="000E7C5E">
              <w:rPr>
                <w:sz w:val="18"/>
              </w:rPr>
              <w:t>Amendment</w:t>
            </w:r>
          </w:p>
        </w:tc>
        <w:tc>
          <w:tcPr>
            <w:tcW w:w="0" w:type="pct"/>
          </w:tcPr>
          <w:p w14:paraId="60DD476A" w14:textId="77777777" w:rsidR="001433A1" w:rsidRPr="000E7C5E" w:rsidRDefault="001433A1" w:rsidP="001433A1">
            <w:pPr>
              <w:spacing w:line="240" w:lineRule="auto"/>
              <w:rPr>
                <w:sz w:val="18"/>
              </w:rPr>
            </w:pPr>
            <w:r w:rsidRPr="000E7C5E">
              <w:rPr>
                <w:sz w:val="18"/>
              </w:rPr>
              <w:t>Terms and conditions</w:t>
            </w:r>
          </w:p>
        </w:tc>
        <w:tc>
          <w:tcPr>
            <w:tcW w:w="0" w:type="pct"/>
          </w:tcPr>
          <w:p w14:paraId="240985DA" w14:textId="77777777" w:rsidR="001433A1" w:rsidRPr="000E7C5E" w:rsidRDefault="001433A1" w:rsidP="001433A1">
            <w:pPr>
              <w:spacing w:after="0" w:line="440" w:lineRule="atLeast"/>
              <w:rPr>
                <w:color w:val="00B0F0"/>
                <w:sz w:val="18"/>
              </w:rPr>
            </w:pPr>
            <w:r w:rsidRPr="000E7C5E">
              <w:rPr>
                <w:sz w:val="18"/>
              </w:rPr>
              <w:t>4</w:t>
            </w:r>
          </w:p>
        </w:tc>
        <w:tc>
          <w:tcPr>
            <w:tcW w:w="0" w:type="pct"/>
          </w:tcPr>
          <w:p w14:paraId="1C60B598" w14:textId="6DCB2467" w:rsidR="001433A1" w:rsidRPr="000E7C5E" w:rsidRDefault="001433A1" w:rsidP="001433A1">
            <w:pPr>
              <w:spacing w:after="0" w:line="440" w:lineRule="atLeast"/>
              <w:rPr>
                <w:color w:val="00B0F0"/>
                <w:sz w:val="18"/>
              </w:rPr>
            </w:pPr>
            <w:r w:rsidRPr="000E7C5E">
              <w:rPr>
                <w:sz w:val="18"/>
              </w:rPr>
              <w:t xml:space="preserve"> $21,12</w:t>
            </w:r>
            <w:r w:rsidR="00207407">
              <w:rPr>
                <w:sz w:val="18"/>
              </w:rPr>
              <w:t>2.76</w:t>
            </w:r>
            <w:r w:rsidRPr="000E7C5E">
              <w:rPr>
                <w:sz w:val="18"/>
              </w:rPr>
              <w:t xml:space="preserve"> </w:t>
            </w:r>
          </w:p>
        </w:tc>
        <w:tc>
          <w:tcPr>
            <w:tcW w:w="1060" w:type="pct"/>
            <w:tcBorders>
              <w:top w:val="single" w:sz="4" w:space="0" w:color="000000" w:themeColor="text1"/>
              <w:left w:val="nil"/>
              <w:bottom w:val="single" w:sz="4" w:space="0" w:color="000000" w:themeColor="text1"/>
              <w:right w:val="nil"/>
            </w:tcBorders>
          </w:tcPr>
          <w:p w14:paraId="452340F1" w14:textId="77777777" w:rsidR="001433A1" w:rsidRPr="000E7C5E" w:rsidRDefault="001433A1" w:rsidP="001433A1">
            <w:pPr>
              <w:spacing w:line="240" w:lineRule="auto"/>
              <w:rPr>
                <w:sz w:val="18"/>
              </w:rPr>
            </w:pPr>
            <w:r>
              <w:rPr>
                <w:sz w:val="18"/>
              </w:rPr>
              <w:t>243.73 fee units on application plus 6.4 fee units per hour for assessments exceeding 38.1 hours up to a maximum of 706.96 fee units.</w:t>
            </w:r>
          </w:p>
        </w:tc>
      </w:tr>
      <w:tr w:rsidR="001433A1" w:rsidRPr="009B2611" w14:paraId="6440981F" w14:textId="77777777" w:rsidTr="001433A1">
        <w:tc>
          <w:tcPr>
            <w:tcW w:w="1136" w:type="pct"/>
          </w:tcPr>
          <w:p w14:paraId="4C9FC9FA" w14:textId="77777777" w:rsidR="001433A1" w:rsidRPr="000E7C5E" w:rsidRDefault="001433A1" w:rsidP="001433A1">
            <w:pPr>
              <w:spacing w:line="240" w:lineRule="auto"/>
              <w:rPr>
                <w:sz w:val="18"/>
              </w:rPr>
            </w:pPr>
            <w:r w:rsidRPr="000E7C5E">
              <w:rPr>
                <w:sz w:val="18"/>
              </w:rPr>
              <w:t>Operating licence</w:t>
            </w:r>
          </w:p>
        </w:tc>
        <w:tc>
          <w:tcPr>
            <w:tcW w:w="758" w:type="pct"/>
          </w:tcPr>
          <w:p w14:paraId="29146459" w14:textId="77777777" w:rsidR="001433A1" w:rsidRPr="000E7C5E" w:rsidRDefault="001433A1" w:rsidP="001433A1">
            <w:pPr>
              <w:spacing w:line="240" w:lineRule="auto"/>
              <w:rPr>
                <w:sz w:val="18"/>
              </w:rPr>
            </w:pPr>
            <w:r w:rsidRPr="000E7C5E">
              <w:rPr>
                <w:sz w:val="18"/>
              </w:rPr>
              <w:t>Application</w:t>
            </w:r>
          </w:p>
        </w:tc>
        <w:tc>
          <w:tcPr>
            <w:tcW w:w="985" w:type="pct"/>
          </w:tcPr>
          <w:p w14:paraId="0E5A6CB9" w14:textId="77777777" w:rsidR="001433A1" w:rsidRPr="000E7C5E" w:rsidRDefault="001433A1" w:rsidP="001433A1">
            <w:pPr>
              <w:spacing w:line="240" w:lineRule="auto"/>
              <w:rPr>
                <w:sz w:val="18"/>
              </w:rPr>
            </w:pPr>
          </w:p>
        </w:tc>
        <w:tc>
          <w:tcPr>
            <w:tcW w:w="531" w:type="pct"/>
          </w:tcPr>
          <w:p w14:paraId="3E09A623" w14:textId="77777777" w:rsidR="001433A1" w:rsidRPr="000E7C5E" w:rsidRDefault="001433A1" w:rsidP="001433A1">
            <w:pPr>
              <w:spacing w:line="240" w:lineRule="auto"/>
              <w:rPr>
                <w:sz w:val="18"/>
              </w:rPr>
            </w:pPr>
            <w:r w:rsidRPr="000E7C5E">
              <w:rPr>
                <w:sz w:val="18"/>
              </w:rPr>
              <w:t>4</w:t>
            </w:r>
          </w:p>
        </w:tc>
        <w:tc>
          <w:tcPr>
            <w:tcW w:w="530" w:type="pct"/>
          </w:tcPr>
          <w:p w14:paraId="133757A5" w14:textId="254071CA" w:rsidR="001433A1" w:rsidRPr="000E7C5E" w:rsidRDefault="001433A1" w:rsidP="001433A1">
            <w:pPr>
              <w:spacing w:line="240" w:lineRule="auto"/>
              <w:rPr>
                <w:sz w:val="18"/>
              </w:rPr>
            </w:pPr>
            <w:r w:rsidRPr="000E7C5E">
              <w:rPr>
                <w:sz w:val="18"/>
              </w:rPr>
              <w:t xml:space="preserve"> $</w:t>
            </w:r>
            <w:r w:rsidR="00207407">
              <w:rPr>
                <w:sz w:val="18"/>
              </w:rPr>
              <w:t>22,051.64</w:t>
            </w:r>
            <w:r w:rsidRPr="000E7C5E">
              <w:rPr>
                <w:sz w:val="18"/>
              </w:rPr>
              <w:t xml:space="preserve"> </w:t>
            </w:r>
          </w:p>
        </w:tc>
        <w:tc>
          <w:tcPr>
            <w:tcW w:w="1060" w:type="pct"/>
            <w:tcBorders>
              <w:top w:val="single" w:sz="4" w:space="0" w:color="000000" w:themeColor="text1"/>
              <w:left w:val="nil"/>
              <w:bottom w:val="single" w:sz="4" w:space="0" w:color="000000" w:themeColor="text1"/>
              <w:right w:val="nil"/>
            </w:tcBorders>
          </w:tcPr>
          <w:p w14:paraId="4D2A20FE" w14:textId="77777777" w:rsidR="001433A1" w:rsidRPr="000E7C5E" w:rsidRDefault="001433A1" w:rsidP="001433A1">
            <w:pPr>
              <w:spacing w:line="240" w:lineRule="auto"/>
              <w:rPr>
                <w:sz w:val="18"/>
              </w:rPr>
            </w:pPr>
            <w:r>
              <w:rPr>
                <w:sz w:val="18"/>
              </w:rPr>
              <w:t>84.78 fee units on application plus 6.53 fee units per hour for assessments exceeding 13 hours up to a maximum of 965.35 fee units.</w:t>
            </w:r>
          </w:p>
        </w:tc>
      </w:tr>
      <w:tr w:rsidR="001433A1" w:rsidRPr="009B2611" w14:paraId="05CDC569" w14:textId="77777777" w:rsidTr="001433A1">
        <w:tc>
          <w:tcPr>
            <w:tcW w:w="1136" w:type="pct"/>
          </w:tcPr>
          <w:p w14:paraId="1D18D407" w14:textId="77777777" w:rsidR="001433A1" w:rsidRPr="000E7C5E" w:rsidRDefault="001433A1" w:rsidP="001433A1">
            <w:pPr>
              <w:spacing w:line="240" w:lineRule="auto"/>
              <w:rPr>
                <w:sz w:val="18"/>
              </w:rPr>
            </w:pPr>
            <w:r w:rsidRPr="000E7C5E">
              <w:rPr>
                <w:sz w:val="18"/>
              </w:rPr>
              <w:t>Operating licence</w:t>
            </w:r>
          </w:p>
        </w:tc>
        <w:tc>
          <w:tcPr>
            <w:tcW w:w="758" w:type="pct"/>
          </w:tcPr>
          <w:p w14:paraId="5C8AC032" w14:textId="77777777" w:rsidR="001433A1" w:rsidRPr="000E7C5E" w:rsidRDefault="001433A1" w:rsidP="001433A1">
            <w:pPr>
              <w:spacing w:line="240" w:lineRule="auto"/>
              <w:rPr>
                <w:sz w:val="18"/>
              </w:rPr>
            </w:pPr>
            <w:r w:rsidRPr="000E7C5E">
              <w:rPr>
                <w:sz w:val="18"/>
              </w:rPr>
              <w:t>Amendment</w:t>
            </w:r>
          </w:p>
        </w:tc>
        <w:tc>
          <w:tcPr>
            <w:tcW w:w="985" w:type="pct"/>
          </w:tcPr>
          <w:p w14:paraId="51FC2C15" w14:textId="77777777" w:rsidR="001433A1" w:rsidRPr="000E7C5E" w:rsidRDefault="001433A1" w:rsidP="001433A1">
            <w:pPr>
              <w:spacing w:line="240" w:lineRule="auto"/>
              <w:rPr>
                <w:sz w:val="18"/>
              </w:rPr>
            </w:pPr>
            <w:r w:rsidRPr="000E7C5E">
              <w:rPr>
                <w:sz w:val="18"/>
              </w:rPr>
              <w:t>Administrative</w:t>
            </w:r>
          </w:p>
        </w:tc>
        <w:tc>
          <w:tcPr>
            <w:tcW w:w="531" w:type="pct"/>
          </w:tcPr>
          <w:p w14:paraId="52340D60" w14:textId="77777777" w:rsidR="001433A1" w:rsidRPr="000E7C5E" w:rsidRDefault="001433A1" w:rsidP="001433A1">
            <w:pPr>
              <w:spacing w:line="240" w:lineRule="auto"/>
              <w:rPr>
                <w:sz w:val="18"/>
              </w:rPr>
            </w:pPr>
            <w:r w:rsidRPr="000E7C5E">
              <w:rPr>
                <w:sz w:val="18"/>
              </w:rPr>
              <w:t>60</w:t>
            </w:r>
          </w:p>
        </w:tc>
        <w:tc>
          <w:tcPr>
            <w:tcW w:w="530" w:type="pct"/>
          </w:tcPr>
          <w:p w14:paraId="31F1FD5C" w14:textId="081A9C71" w:rsidR="001433A1" w:rsidRPr="000E7C5E" w:rsidRDefault="001433A1" w:rsidP="001433A1">
            <w:pPr>
              <w:spacing w:line="240" w:lineRule="auto"/>
              <w:rPr>
                <w:sz w:val="18"/>
              </w:rPr>
            </w:pPr>
            <w:r w:rsidRPr="000E7C5E">
              <w:rPr>
                <w:sz w:val="18"/>
              </w:rPr>
              <w:t xml:space="preserve"> $50,973</w:t>
            </w:r>
            <w:r w:rsidR="00207407">
              <w:rPr>
                <w:sz w:val="18"/>
              </w:rPr>
              <w:t>.00</w:t>
            </w:r>
            <w:r w:rsidRPr="000E7C5E">
              <w:rPr>
                <w:sz w:val="18"/>
              </w:rPr>
              <w:t xml:space="preserve"> </w:t>
            </w:r>
          </w:p>
        </w:tc>
        <w:tc>
          <w:tcPr>
            <w:tcW w:w="1060" w:type="pct"/>
            <w:tcBorders>
              <w:top w:val="single" w:sz="4" w:space="0" w:color="000000" w:themeColor="text1"/>
              <w:left w:val="nil"/>
              <w:bottom w:val="single" w:sz="4" w:space="0" w:color="000000" w:themeColor="text1"/>
              <w:right w:val="nil"/>
            </w:tcBorders>
          </w:tcPr>
          <w:p w14:paraId="2B9171F6" w14:textId="77777777" w:rsidR="001433A1" w:rsidRPr="000E7C5E" w:rsidRDefault="001433A1" w:rsidP="001433A1">
            <w:pPr>
              <w:spacing w:line="240" w:lineRule="auto"/>
              <w:rPr>
                <w:sz w:val="18"/>
              </w:rPr>
            </w:pPr>
            <w:r>
              <w:rPr>
                <w:sz w:val="18"/>
              </w:rPr>
              <w:t>Lesser of 10% of the annual fee or a flat fee of 58.79 fee units</w:t>
            </w:r>
          </w:p>
        </w:tc>
      </w:tr>
      <w:tr w:rsidR="001433A1" w:rsidRPr="009B2611" w14:paraId="1BD86F87" w14:textId="77777777" w:rsidTr="001433A1">
        <w:tc>
          <w:tcPr>
            <w:tcW w:w="1136" w:type="pct"/>
          </w:tcPr>
          <w:p w14:paraId="421AF4DB" w14:textId="77777777" w:rsidR="001433A1" w:rsidRPr="000E7C5E" w:rsidRDefault="001433A1" w:rsidP="001433A1">
            <w:pPr>
              <w:spacing w:line="240" w:lineRule="auto"/>
              <w:rPr>
                <w:sz w:val="18"/>
              </w:rPr>
            </w:pPr>
            <w:r w:rsidRPr="000E7C5E">
              <w:rPr>
                <w:sz w:val="18"/>
              </w:rPr>
              <w:t>Operating licence</w:t>
            </w:r>
          </w:p>
        </w:tc>
        <w:tc>
          <w:tcPr>
            <w:tcW w:w="758" w:type="pct"/>
          </w:tcPr>
          <w:p w14:paraId="1F3059BD" w14:textId="77777777" w:rsidR="001433A1" w:rsidRPr="000E7C5E" w:rsidRDefault="001433A1" w:rsidP="001433A1">
            <w:pPr>
              <w:spacing w:line="240" w:lineRule="auto"/>
              <w:rPr>
                <w:sz w:val="18"/>
              </w:rPr>
            </w:pPr>
            <w:r w:rsidRPr="000E7C5E">
              <w:rPr>
                <w:sz w:val="18"/>
              </w:rPr>
              <w:t>Amendment</w:t>
            </w:r>
          </w:p>
        </w:tc>
        <w:tc>
          <w:tcPr>
            <w:tcW w:w="985" w:type="pct"/>
          </w:tcPr>
          <w:p w14:paraId="1CEF7BE2" w14:textId="77777777" w:rsidR="001433A1" w:rsidRPr="000E7C5E" w:rsidRDefault="001433A1" w:rsidP="001433A1">
            <w:pPr>
              <w:spacing w:line="240" w:lineRule="auto"/>
              <w:rPr>
                <w:sz w:val="18"/>
              </w:rPr>
            </w:pPr>
            <w:r w:rsidRPr="000E7C5E">
              <w:rPr>
                <w:sz w:val="18"/>
              </w:rPr>
              <w:t>Terms and conditions</w:t>
            </w:r>
          </w:p>
        </w:tc>
        <w:tc>
          <w:tcPr>
            <w:tcW w:w="531" w:type="pct"/>
          </w:tcPr>
          <w:p w14:paraId="2A7046DF" w14:textId="77777777" w:rsidR="001433A1" w:rsidRPr="000E7C5E" w:rsidRDefault="001433A1" w:rsidP="001433A1">
            <w:pPr>
              <w:spacing w:line="240" w:lineRule="auto"/>
              <w:rPr>
                <w:sz w:val="18"/>
              </w:rPr>
            </w:pPr>
            <w:r w:rsidRPr="000E7C5E">
              <w:rPr>
                <w:sz w:val="18"/>
              </w:rPr>
              <w:t>20</w:t>
            </w:r>
          </w:p>
        </w:tc>
        <w:tc>
          <w:tcPr>
            <w:tcW w:w="530" w:type="pct"/>
          </w:tcPr>
          <w:p w14:paraId="305BB493" w14:textId="345A1B4A" w:rsidR="001433A1" w:rsidRPr="000E7C5E" w:rsidRDefault="001433A1" w:rsidP="001433A1">
            <w:pPr>
              <w:spacing w:line="240" w:lineRule="auto"/>
              <w:rPr>
                <w:sz w:val="18"/>
              </w:rPr>
            </w:pPr>
            <w:r w:rsidRPr="000E7C5E">
              <w:rPr>
                <w:sz w:val="18"/>
              </w:rPr>
              <w:t xml:space="preserve"> $</w:t>
            </w:r>
            <w:r w:rsidR="00207407" w:rsidRPr="00207407">
              <w:rPr>
                <w:sz w:val="18"/>
              </w:rPr>
              <w:t>107,614.00</w:t>
            </w:r>
          </w:p>
        </w:tc>
        <w:tc>
          <w:tcPr>
            <w:tcW w:w="1060" w:type="pct"/>
            <w:tcBorders>
              <w:top w:val="single" w:sz="4" w:space="0" w:color="000000" w:themeColor="text1"/>
              <w:left w:val="nil"/>
              <w:bottom w:val="single" w:sz="4" w:space="0" w:color="000000" w:themeColor="text1"/>
              <w:right w:val="nil"/>
            </w:tcBorders>
          </w:tcPr>
          <w:p w14:paraId="492B43E4" w14:textId="77777777" w:rsidR="001433A1" w:rsidRPr="000E7C5E" w:rsidRDefault="001433A1" w:rsidP="001433A1">
            <w:pPr>
              <w:spacing w:line="240" w:lineRule="auto"/>
              <w:rPr>
                <w:sz w:val="18"/>
              </w:rPr>
            </w:pPr>
            <w:r>
              <w:rPr>
                <w:sz w:val="18"/>
              </w:rPr>
              <w:t>126.12 fee units on application plus 6.28 fee units per hour for assessments exceeding 20.1 hours up to a maximum of 1119.18 fee units.</w:t>
            </w:r>
          </w:p>
        </w:tc>
      </w:tr>
      <w:tr w:rsidR="001433A1" w:rsidRPr="009B2611" w14:paraId="52B3780E" w14:textId="77777777" w:rsidTr="001433A1">
        <w:tc>
          <w:tcPr>
            <w:tcW w:w="1136" w:type="pct"/>
          </w:tcPr>
          <w:p w14:paraId="593B3E85" w14:textId="77777777" w:rsidR="001433A1" w:rsidRPr="000E7C5E" w:rsidRDefault="001433A1" w:rsidP="001433A1">
            <w:pPr>
              <w:spacing w:line="240" w:lineRule="auto"/>
              <w:rPr>
                <w:sz w:val="18"/>
              </w:rPr>
            </w:pPr>
            <w:r w:rsidRPr="000E7C5E">
              <w:rPr>
                <w:sz w:val="18"/>
              </w:rPr>
              <w:t>Operating licence</w:t>
            </w:r>
          </w:p>
        </w:tc>
        <w:tc>
          <w:tcPr>
            <w:tcW w:w="758" w:type="pct"/>
          </w:tcPr>
          <w:p w14:paraId="50DA6229" w14:textId="77777777" w:rsidR="001433A1" w:rsidRPr="000E7C5E" w:rsidRDefault="001433A1" w:rsidP="001433A1">
            <w:pPr>
              <w:spacing w:line="240" w:lineRule="auto"/>
              <w:rPr>
                <w:sz w:val="18"/>
              </w:rPr>
            </w:pPr>
            <w:r w:rsidRPr="000E7C5E">
              <w:rPr>
                <w:sz w:val="18"/>
              </w:rPr>
              <w:t>Transfer</w:t>
            </w:r>
          </w:p>
        </w:tc>
        <w:tc>
          <w:tcPr>
            <w:tcW w:w="985" w:type="pct"/>
          </w:tcPr>
          <w:p w14:paraId="64F4A3AC" w14:textId="77777777" w:rsidR="001433A1" w:rsidRPr="000E7C5E" w:rsidRDefault="001433A1" w:rsidP="001433A1">
            <w:pPr>
              <w:spacing w:line="240" w:lineRule="auto"/>
              <w:rPr>
                <w:sz w:val="18"/>
              </w:rPr>
            </w:pPr>
          </w:p>
        </w:tc>
        <w:tc>
          <w:tcPr>
            <w:tcW w:w="531" w:type="pct"/>
          </w:tcPr>
          <w:p w14:paraId="1837E317" w14:textId="77777777" w:rsidR="001433A1" w:rsidRPr="000E7C5E" w:rsidRDefault="001433A1" w:rsidP="001433A1">
            <w:pPr>
              <w:spacing w:line="240" w:lineRule="auto"/>
              <w:rPr>
                <w:sz w:val="18"/>
              </w:rPr>
            </w:pPr>
            <w:r w:rsidRPr="000E7C5E">
              <w:rPr>
                <w:sz w:val="18"/>
              </w:rPr>
              <w:t>15</w:t>
            </w:r>
          </w:p>
        </w:tc>
        <w:tc>
          <w:tcPr>
            <w:tcW w:w="530" w:type="pct"/>
          </w:tcPr>
          <w:p w14:paraId="330FA885" w14:textId="7FD5B59A" w:rsidR="001433A1" w:rsidRPr="000E7C5E" w:rsidRDefault="001433A1" w:rsidP="001433A1">
            <w:pPr>
              <w:spacing w:line="240" w:lineRule="auto"/>
              <w:rPr>
                <w:sz w:val="18"/>
              </w:rPr>
            </w:pPr>
            <w:r w:rsidRPr="000E7C5E">
              <w:rPr>
                <w:sz w:val="18"/>
              </w:rPr>
              <w:t xml:space="preserve"> $11,31</w:t>
            </w:r>
            <w:r w:rsidR="00207407">
              <w:rPr>
                <w:sz w:val="18"/>
              </w:rPr>
              <w:t>8.70</w:t>
            </w:r>
            <w:r w:rsidRPr="000E7C5E">
              <w:rPr>
                <w:sz w:val="18"/>
              </w:rPr>
              <w:t xml:space="preserve"> </w:t>
            </w:r>
          </w:p>
        </w:tc>
        <w:tc>
          <w:tcPr>
            <w:tcW w:w="1060" w:type="pct"/>
            <w:tcBorders>
              <w:top w:val="single" w:sz="4" w:space="0" w:color="000000" w:themeColor="text1"/>
              <w:left w:val="nil"/>
              <w:bottom w:val="single" w:sz="4" w:space="0" w:color="000000" w:themeColor="text1"/>
              <w:right w:val="nil"/>
            </w:tcBorders>
          </w:tcPr>
          <w:p w14:paraId="7AC0D4DF" w14:textId="77777777" w:rsidR="001433A1" w:rsidRPr="000E7C5E" w:rsidRDefault="001433A1" w:rsidP="001433A1">
            <w:pPr>
              <w:spacing w:line="240" w:lineRule="auto"/>
              <w:rPr>
                <w:sz w:val="18"/>
              </w:rPr>
            </w:pPr>
            <w:r>
              <w:rPr>
                <w:sz w:val="18"/>
              </w:rPr>
              <w:t>Lesser of 10% of the annual fee or a flat fee of 52.22 fee units</w:t>
            </w:r>
          </w:p>
        </w:tc>
      </w:tr>
      <w:tr w:rsidR="001433A1" w:rsidRPr="009B2611" w14:paraId="00C8BB01" w14:textId="77777777" w:rsidTr="001433A1">
        <w:tc>
          <w:tcPr>
            <w:tcW w:w="1136" w:type="pct"/>
          </w:tcPr>
          <w:p w14:paraId="4A119377" w14:textId="77777777" w:rsidR="001433A1" w:rsidRPr="000E7C5E" w:rsidRDefault="001433A1" w:rsidP="001433A1">
            <w:pPr>
              <w:spacing w:line="240" w:lineRule="auto"/>
              <w:rPr>
                <w:sz w:val="18"/>
              </w:rPr>
            </w:pPr>
            <w:r w:rsidRPr="000E7C5E">
              <w:rPr>
                <w:sz w:val="18"/>
              </w:rPr>
              <w:t>Operating licence</w:t>
            </w:r>
          </w:p>
        </w:tc>
        <w:tc>
          <w:tcPr>
            <w:tcW w:w="758" w:type="pct"/>
          </w:tcPr>
          <w:p w14:paraId="1F532907" w14:textId="77777777" w:rsidR="001433A1" w:rsidRPr="000E7C5E" w:rsidRDefault="001433A1" w:rsidP="001433A1">
            <w:pPr>
              <w:spacing w:line="240" w:lineRule="auto"/>
              <w:rPr>
                <w:sz w:val="18"/>
              </w:rPr>
            </w:pPr>
            <w:r w:rsidRPr="000E7C5E">
              <w:rPr>
                <w:sz w:val="18"/>
              </w:rPr>
              <w:t xml:space="preserve">Surrender </w:t>
            </w:r>
          </w:p>
        </w:tc>
        <w:tc>
          <w:tcPr>
            <w:tcW w:w="985" w:type="pct"/>
          </w:tcPr>
          <w:p w14:paraId="5459C17E" w14:textId="77777777" w:rsidR="001433A1" w:rsidRPr="000E7C5E" w:rsidRDefault="001433A1" w:rsidP="001433A1">
            <w:pPr>
              <w:spacing w:line="240" w:lineRule="auto"/>
              <w:rPr>
                <w:sz w:val="18"/>
              </w:rPr>
            </w:pPr>
          </w:p>
        </w:tc>
        <w:tc>
          <w:tcPr>
            <w:tcW w:w="531" w:type="pct"/>
          </w:tcPr>
          <w:p w14:paraId="1260D159" w14:textId="77777777" w:rsidR="001433A1" w:rsidRPr="000E7C5E" w:rsidRDefault="001433A1" w:rsidP="001433A1">
            <w:pPr>
              <w:spacing w:line="240" w:lineRule="auto"/>
              <w:rPr>
                <w:sz w:val="18"/>
              </w:rPr>
            </w:pPr>
            <w:r w:rsidRPr="000E7C5E">
              <w:rPr>
                <w:sz w:val="18"/>
              </w:rPr>
              <w:t>20</w:t>
            </w:r>
          </w:p>
        </w:tc>
        <w:tc>
          <w:tcPr>
            <w:tcW w:w="530" w:type="pct"/>
          </w:tcPr>
          <w:p w14:paraId="274BFD41" w14:textId="6703B052" w:rsidR="001433A1" w:rsidRPr="000E7C5E" w:rsidRDefault="001433A1" w:rsidP="001433A1">
            <w:pPr>
              <w:spacing w:line="240" w:lineRule="auto"/>
              <w:rPr>
                <w:sz w:val="18"/>
              </w:rPr>
            </w:pPr>
            <w:r w:rsidRPr="000E7C5E">
              <w:rPr>
                <w:sz w:val="18"/>
              </w:rPr>
              <w:t xml:space="preserve"> $43,932</w:t>
            </w:r>
            <w:r w:rsidR="00207407">
              <w:rPr>
                <w:sz w:val="18"/>
              </w:rPr>
              <w:t>.30</w:t>
            </w:r>
            <w:r w:rsidRPr="000E7C5E">
              <w:rPr>
                <w:sz w:val="18"/>
              </w:rPr>
              <w:t xml:space="preserve"> </w:t>
            </w:r>
          </w:p>
        </w:tc>
        <w:tc>
          <w:tcPr>
            <w:tcW w:w="1060" w:type="pct"/>
            <w:tcBorders>
              <w:top w:val="single" w:sz="4" w:space="0" w:color="000000" w:themeColor="text1"/>
              <w:left w:val="nil"/>
              <w:bottom w:val="single" w:sz="4" w:space="0" w:color="000000" w:themeColor="text1"/>
              <w:right w:val="nil"/>
            </w:tcBorders>
          </w:tcPr>
          <w:p w14:paraId="293F69C0" w14:textId="77777777" w:rsidR="001433A1" w:rsidRPr="000E7C5E" w:rsidRDefault="001433A1" w:rsidP="001433A1">
            <w:pPr>
              <w:spacing w:line="240" w:lineRule="auto"/>
              <w:rPr>
                <w:sz w:val="18"/>
              </w:rPr>
            </w:pPr>
            <w:r>
              <w:rPr>
                <w:sz w:val="18"/>
              </w:rPr>
              <w:t>Lesser of 10% of the annual fee or a flat fee of 152.01 fee units</w:t>
            </w:r>
          </w:p>
        </w:tc>
      </w:tr>
      <w:tr w:rsidR="001433A1" w:rsidRPr="009B2611" w14:paraId="4B2C23D7" w14:textId="77777777" w:rsidTr="001433A1">
        <w:tc>
          <w:tcPr>
            <w:tcW w:w="1136" w:type="pct"/>
          </w:tcPr>
          <w:p w14:paraId="2FBAB715" w14:textId="77777777" w:rsidR="001433A1" w:rsidRPr="000E7C5E" w:rsidRDefault="001433A1" w:rsidP="001433A1">
            <w:pPr>
              <w:spacing w:line="240" w:lineRule="auto"/>
              <w:rPr>
                <w:sz w:val="18"/>
              </w:rPr>
            </w:pPr>
            <w:r w:rsidRPr="000E7C5E">
              <w:rPr>
                <w:sz w:val="18"/>
              </w:rPr>
              <w:t>Operating licence</w:t>
            </w:r>
          </w:p>
        </w:tc>
        <w:tc>
          <w:tcPr>
            <w:tcW w:w="758" w:type="pct"/>
          </w:tcPr>
          <w:p w14:paraId="290E706E" w14:textId="77777777" w:rsidR="001433A1" w:rsidRPr="000E7C5E" w:rsidRDefault="001433A1" w:rsidP="001433A1">
            <w:pPr>
              <w:spacing w:line="240" w:lineRule="auto"/>
              <w:rPr>
                <w:sz w:val="18"/>
              </w:rPr>
            </w:pPr>
            <w:r w:rsidRPr="000E7C5E">
              <w:rPr>
                <w:sz w:val="18"/>
              </w:rPr>
              <w:t>Exemption</w:t>
            </w:r>
          </w:p>
        </w:tc>
        <w:tc>
          <w:tcPr>
            <w:tcW w:w="985" w:type="pct"/>
          </w:tcPr>
          <w:p w14:paraId="29FBFC19" w14:textId="77777777" w:rsidR="001433A1" w:rsidRPr="000E7C5E" w:rsidRDefault="001433A1" w:rsidP="001433A1">
            <w:pPr>
              <w:spacing w:line="240" w:lineRule="auto"/>
              <w:rPr>
                <w:sz w:val="18"/>
              </w:rPr>
            </w:pPr>
          </w:p>
        </w:tc>
        <w:tc>
          <w:tcPr>
            <w:tcW w:w="531" w:type="pct"/>
          </w:tcPr>
          <w:p w14:paraId="43031BE4" w14:textId="77777777" w:rsidR="001433A1" w:rsidRPr="000E7C5E" w:rsidRDefault="001433A1" w:rsidP="001433A1">
            <w:pPr>
              <w:spacing w:line="240" w:lineRule="auto"/>
              <w:rPr>
                <w:sz w:val="18"/>
              </w:rPr>
            </w:pPr>
            <w:r w:rsidRPr="000E7C5E">
              <w:rPr>
                <w:sz w:val="18"/>
              </w:rPr>
              <w:t xml:space="preserve">Unknown </w:t>
            </w:r>
          </w:p>
        </w:tc>
        <w:tc>
          <w:tcPr>
            <w:tcW w:w="530" w:type="pct"/>
          </w:tcPr>
          <w:p w14:paraId="6951E2FD" w14:textId="77777777" w:rsidR="001433A1" w:rsidRPr="000E7C5E" w:rsidRDefault="001433A1" w:rsidP="001433A1">
            <w:pPr>
              <w:spacing w:line="240" w:lineRule="auto"/>
              <w:rPr>
                <w:sz w:val="18"/>
              </w:rPr>
            </w:pPr>
            <w:r w:rsidRPr="000E7C5E">
              <w:rPr>
                <w:sz w:val="18"/>
              </w:rPr>
              <w:t xml:space="preserve"> Unknown </w:t>
            </w:r>
          </w:p>
        </w:tc>
        <w:tc>
          <w:tcPr>
            <w:tcW w:w="1060" w:type="pct"/>
            <w:tcBorders>
              <w:top w:val="single" w:sz="4" w:space="0" w:color="000000" w:themeColor="text1"/>
              <w:left w:val="nil"/>
              <w:bottom w:val="single" w:sz="4" w:space="0" w:color="000000" w:themeColor="text1"/>
              <w:right w:val="nil"/>
            </w:tcBorders>
          </w:tcPr>
          <w:p w14:paraId="057DEE50" w14:textId="77777777" w:rsidR="001433A1" w:rsidRPr="000E7C5E" w:rsidRDefault="001433A1" w:rsidP="001433A1">
            <w:pPr>
              <w:spacing w:line="240" w:lineRule="auto"/>
              <w:rPr>
                <w:sz w:val="18"/>
              </w:rPr>
            </w:pPr>
            <w:r>
              <w:rPr>
                <w:sz w:val="18"/>
              </w:rPr>
              <w:t>68.8 fee units on application plus 6.29 fee units per hour for assessments exceeding 10.95 hours up to a maximum of 780.32 fee units.</w:t>
            </w:r>
          </w:p>
        </w:tc>
      </w:tr>
      <w:tr w:rsidR="001433A1" w:rsidRPr="009B2611" w14:paraId="7BE072DC" w14:textId="77777777" w:rsidTr="001433A1">
        <w:tc>
          <w:tcPr>
            <w:tcW w:w="1136" w:type="pct"/>
          </w:tcPr>
          <w:p w14:paraId="7767D275" w14:textId="77777777" w:rsidR="001433A1" w:rsidRPr="000E7C5E" w:rsidRDefault="001433A1" w:rsidP="001433A1">
            <w:pPr>
              <w:spacing w:line="240" w:lineRule="auto"/>
              <w:rPr>
                <w:sz w:val="18"/>
              </w:rPr>
            </w:pPr>
            <w:r w:rsidRPr="000E7C5E">
              <w:rPr>
                <w:sz w:val="18"/>
              </w:rPr>
              <w:t xml:space="preserve">Permit </w:t>
            </w:r>
          </w:p>
        </w:tc>
        <w:tc>
          <w:tcPr>
            <w:tcW w:w="758" w:type="pct"/>
          </w:tcPr>
          <w:p w14:paraId="6501CD29" w14:textId="77777777" w:rsidR="001433A1" w:rsidRPr="000E7C5E" w:rsidRDefault="001433A1" w:rsidP="001433A1">
            <w:pPr>
              <w:spacing w:line="240" w:lineRule="auto"/>
              <w:rPr>
                <w:sz w:val="18"/>
              </w:rPr>
            </w:pPr>
            <w:r w:rsidRPr="000E7C5E">
              <w:rPr>
                <w:sz w:val="18"/>
              </w:rPr>
              <w:t>Amendment</w:t>
            </w:r>
          </w:p>
        </w:tc>
        <w:tc>
          <w:tcPr>
            <w:tcW w:w="985" w:type="pct"/>
          </w:tcPr>
          <w:p w14:paraId="11288513" w14:textId="77777777" w:rsidR="001433A1" w:rsidRPr="000E7C5E" w:rsidRDefault="001433A1" w:rsidP="001433A1">
            <w:pPr>
              <w:spacing w:line="240" w:lineRule="auto"/>
              <w:rPr>
                <w:sz w:val="18"/>
              </w:rPr>
            </w:pPr>
            <w:r w:rsidRPr="000E7C5E">
              <w:rPr>
                <w:sz w:val="18"/>
              </w:rPr>
              <w:t>Other - complex (application to Authority)</w:t>
            </w:r>
          </w:p>
        </w:tc>
        <w:tc>
          <w:tcPr>
            <w:tcW w:w="531" w:type="pct"/>
          </w:tcPr>
          <w:p w14:paraId="5A85E1F3" w14:textId="77777777" w:rsidR="001433A1" w:rsidRPr="000E7C5E" w:rsidRDefault="001433A1" w:rsidP="001433A1">
            <w:pPr>
              <w:spacing w:line="240" w:lineRule="auto"/>
              <w:rPr>
                <w:sz w:val="18"/>
              </w:rPr>
            </w:pPr>
            <w:r w:rsidRPr="000E7C5E">
              <w:rPr>
                <w:sz w:val="18"/>
              </w:rPr>
              <w:t xml:space="preserve">Unknown </w:t>
            </w:r>
          </w:p>
        </w:tc>
        <w:tc>
          <w:tcPr>
            <w:tcW w:w="530" w:type="pct"/>
          </w:tcPr>
          <w:p w14:paraId="5D39FC05" w14:textId="77777777" w:rsidR="001433A1" w:rsidRPr="000E7C5E" w:rsidRDefault="001433A1" w:rsidP="001433A1">
            <w:pPr>
              <w:spacing w:line="240" w:lineRule="auto"/>
              <w:rPr>
                <w:sz w:val="18"/>
              </w:rPr>
            </w:pPr>
            <w:r w:rsidRPr="000E7C5E">
              <w:rPr>
                <w:sz w:val="18"/>
              </w:rPr>
              <w:t xml:space="preserve"> Unknown </w:t>
            </w:r>
          </w:p>
        </w:tc>
        <w:tc>
          <w:tcPr>
            <w:tcW w:w="1060" w:type="pct"/>
            <w:tcBorders>
              <w:top w:val="single" w:sz="4" w:space="0" w:color="000000" w:themeColor="text1"/>
              <w:left w:val="nil"/>
              <w:bottom w:val="single" w:sz="4" w:space="0" w:color="000000" w:themeColor="text1"/>
              <w:right w:val="nil"/>
            </w:tcBorders>
          </w:tcPr>
          <w:p w14:paraId="1486365E" w14:textId="77777777" w:rsidR="001433A1" w:rsidRPr="000E7C5E" w:rsidRDefault="001433A1" w:rsidP="001433A1">
            <w:pPr>
              <w:spacing w:line="240" w:lineRule="auto"/>
              <w:rPr>
                <w:sz w:val="18"/>
              </w:rPr>
            </w:pPr>
            <w:r>
              <w:rPr>
                <w:sz w:val="18"/>
              </w:rPr>
              <w:t>25.2 fee units on application plus 6.49 fee units per hour for assessments exceeding 3.9 hours up to a maximum of 322.31 fee units</w:t>
            </w:r>
          </w:p>
        </w:tc>
      </w:tr>
      <w:tr w:rsidR="001433A1" w:rsidRPr="009B2611" w14:paraId="3523375E" w14:textId="77777777" w:rsidTr="001433A1">
        <w:tc>
          <w:tcPr>
            <w:tcW w:w="1136" w:type="pct"/>
          </w:tcPr>
          <w:p w14:paraId="6CA36365" w14:textId="77777777" w:rsidR="001433A1" w:rsidRPr="000E7C5E" w:rsidRDefault="001433A1" w:rsidP="001433A1">
            <w:pPr>
              <w:spacing w:line="240" w:lineRule="auto"/>
              <w:rPr>
                <w:sz w:val="18"/>
              </w:rPr>
            </w:pPr>
            <w:r w:rsidRPr="000E7C5E">
              <w:rPr>
                <w:sz w:val="18"/>
              </w:rPr>
              <w:t xml:space="preserve">Permit </w:t>
            </w:r>
          </w:p>
        </w:tc>
        <w:tc>
          <w:tcPr>
            <w:tcW w:w="758" w:type="pct"/>
          </w:tcPr>
          <w:p w14:paraId="53291519" w14:textId="77777777" w:rsidR="001433A1" w:rsidRPr="000E7C5E" w:rsidRDefault="001433A1" w:rsidP="001433A1">
            <w:pPr>
              <w:spacing w:line="240" w:lineRule="auto"/>
              <w:rPr>
                <w:sz w:val="18"/>
              </w:rPr>
            </w:pPr>
            <w:r w:rsidRPr="000E7C5E">
              <w:rPr>
                <w:sz w:val="18"/>
              </w:rPr>
              <w:t>Exemption</w:t>
            </w:r>
          </w:p>
        </w:tc>
        <w:tc>
          <w:tcPr>
            <w:tcW w:w="985" w:type="pct"/>
          </w:tcPr>
          <w:p w14:paraId="6A1B4036" w14:textId="77777777" w:rsidR="001433A1" w:rsidRPr="000E7C5E" w:rsidRDefault="001433A1" w:rsidP="001433A1">
            <w:pPr>
              <w:spacing w:line="240" w:lineRule="auto"/>
              <w:rPr>
                <w:sz w:val="18"/>
              </w:rPr>
            </w:pPr>
            <w:r w:rsidRPr="000E7C5E">
              <w:rPr>
                <w:sz w:val="18"/>
              </w:rPr>
              <w:t>Other - complex (application to Authority)</w:t>
            </w:r>
          </w:p>
        </w:tc>
        <w:tc>
          <w:tcPr>
            <w:tcW w:w="531" w:type="pct"/>
          </w:tcPr>
          <w:p w14:paraId="327B598B" w14:textId="77777777" w:rsidR="001433A1" w:rsidRPr="000E7C5E" w:rsidRDefault="001433A1" w:rsidP="001433A1">
            <w:pPr>
              <w:spacing w:line="240" w:lineRule="auto"/>
              <w:rPr>
                <w:sz w:val="18"/>
              </w:rPr>
            </w:pPr>
            <w:r w:rsidRPr="000E7C5E">
              <w:rPr>
                <w:sz w:val="18"/>
              </w:rPr>
              <w:t>6</w:t>
            </w:r>
          </w:p>
        </w:tc>
        <w:tc>
          <w:tcPr>
            <w:tcW w:w="530" w:type="pct"/>
          </w:tcPr>
          <w:p w14:paraId="412701FD" w14:textId="44A4DF57" w:rsidR="001433A1" w:rsidRPr="000E7C5E" w:rsidRDefault="001433A1" w:rsidP="001433A1">
            <w:pPr>
              <w:spacing w:line="240" w:lineRule="auto"/>
              <w:rPr>
                <w:sz w:val="18"/>
              </w:rPr>
            </w:pPr>
            <w:r w:rsidRPr="000E7C5E">
              <w:rPr>
                <w:sz w:val="18"/>
              </w:rPr>
              <w:t xml:space="preserve"> $5,</w:t>
            </w:r>
            <w:r w:rsidR="00673E1F">
              <w:rPr>
                <w:sz w:val="18"/>
              </w:rPr>
              <w:t>145.66</w:t>
            </w:r>
            <w:r w:rsidRPr="000E7C5E">
              <w:rPr>
                <w:sz w:val="18"/>
              </w:rPr>
              <w:t xml:space="preserve"> </w:t>
            </w:r>
          </w:p>
        </w:tc>
        <w:tc>
          <w:tcPr>
            <w:tcW w:w="1060" w:type="pct"/>
            <w:tcBorders>
              <w:top w:val="single" w:sz="4" w:space="0" w:color="000000" w:themeColor="text1"/>
              <w:left w:val="nil"/>
              <w:bottom w:val="single" w:sz="4" w:space="0" w:color="000000" w:themeColor="text1"/>
              <w:right w:val="nil"/>
            </w:tcBorders>
          </w:tcPr>
          <w:p w14:paraId="10840E3F" w14:textId="77777777" w:rsidR="001433A1" w:rsidRPr="000E7C5E" w:rsidRDefault="001433A1" w:rsidP="001433A1">
            <w:pPr>
              <w:spacing w:line="240" w:lineRule="auto"/>
              <w:rPr>
                <w:sz w:val="18"/>
              </w:rPr>
            </w:pPr>
            <w:r>
              <w:rPr>
                <w:sz w:val="18"/>
              </w:rPr>
              <w:t>45.82 fee units on application plus 7.16 fee units per hour for assessments exceeding 6.4 hours up to a maximum of 73.03 fee units.</w:t>
            </w:r>
          </w:p>
        </w:tc>
      </w:tr>
      <w:tr w:rsidR="001433A1" w:rsidRPr="009B2611" w14:paraId="6DE3A51C" w14:textId="77777777" w:rsidTr="001433A1">
        <w:tc>
          <w:tcPr>
            <w:tcW w:w="1136" w:type="pct"/>
          </w:tcPr>
          <w:p w14:paraId="230FD8A2" w14:textId="77777777" w:rsidR="001433A1" w:rsidRPr="000E7C5E" w:rsidRDefault="001433A1" w:rsidP="001433A1">
            <w:pPr>
              <w:spacing w:line="240" w:lineRule="auto"/>
              <w:rPr>
                <w:sz w:val="18"/>
              </w:rPr>
            </w:pPr>
            <w:r w:rsidRPr="000E7C5E">
              <w:rPr>
                <w:sz w:val="18"/>
              </w:rPr>
              <w:t xml:space="preserve">Permit </w:t>
            </w:r>
          </w:p>
        </w:tc>
        <w:tc>
          <w:tcPr>
            <w:tcW w:w="758" w:type="pct"/>
          </w:tcPr>
          <w:p w14:paraId="31F67D45" w14:textId="77777777" w:rsidR="001433A1" w:rsidRPr="000E7C5E" w:rsidRDefault="001433A1" w:rsidP="001433A1">
            <w:pPr>
              <w:spacing w:line="240" w:lineRule="auto"/>
              <w:rPr>
                <w:sz w:val="18"/>
              </w:rPr>
            </w:pPr>
            <w:r w:rsidRPr="000E7C5E">
              <w:rPr>
                <w:sz w:val="18"/>
              </w:rPr>
              <w:t>Exemption</w:t>
            </w:r>
          </w:p>
        </w:tc>
        <w:tc>
          <w:tcPr>
            <w:tcW w:w="985" w:type="pct"/>
          </w:tcPr>
          <w:p w14:paraId="58307F4E" w14:textId="77777777" w:rsidR="001433A1" w:rsidRPr="000E7C5E" w:rsidRDefault="001433A1" w:rsidP="001433A1">
            <w:pPr>
              <w:spacing w:line="240" w:lineRule="auto"/>
              <w:rPr>
                <w:sz w:val="18"/>
              </w:rPr>
            </w:pPr>
            <w:r w:rsidRPr="000E7C5E">
              <w:rPr>
                <w:sz w:val="18"/>
              </w:rPr>
              <w:t>On-site wastewater management system</w:t>
            </w:r>
          </w:p>
        </w:tc>
        <w:tc>
          <w:tcPr>
            <w:tcW w:w="531" w:type="pct"/>
          </w:tcPr>
          <w:p w14:paraId="5790B8DD" w14:textId="77777777" w:rsidR="001433A1" w:rsidRPr="000E7C5E" w:rsidRDefault="001433A1" w:rsidP="001433A1">
            <w:pPr>
              <w:spacing w:line="240" w:lineRule="auto"/>
              <w:rPr>
                <w:sz w:val="18"/>
              </w:rPr>
            </w:pPr>
            <w:r w:rsidRPr="000E7C5E">
              <w:rPr>
                <w:sz w:val="18"/>
              </w:rPr>
              <w:t xml:space="preserve">Unknown </w:t>
            </w:r>
          </w:p>
        </w:tc>
        <w:tc>
          <w:tcPr>
            <w:tcW w:w="530" w:type="pct"/>
          </w:tcPr>
          <w:p w14:paraId="6610D4D8" w14:textId="77777777" w:rsidR="001433A1" w:rsidRPr="000E7C5E" w:rsidRDefault="001433A1" w:rsidP="001433A1">
            <w:pPr>
              <w:spacing w:line="240" w:lineRule="auto"/>
              <w:rPr>
                <w:sz w:val="18"/>
              </w:rPr>
            </w:pPr>
            <w:r w:rsidRPr="000E7C5E">
              <w:rPr>
                <w:sz w:val="18"/>
              </w:rPr>
              <w:t xml:space="preserve"> Unknown </w:t>
            </w:r>
          </w:p>
        </w:tc>
        <w:tc>
          <w:tcPr>
            <w:tcW w:w="1060" w:type="pct"/>
            <w:tcBorders>
              <w:left w:val="nil"/>
              <w:bottom w:val="single" w:sz="4" w:space="0" w:color="000000" w:themeColor="text1"/>
              <w:right w:val="nil"/>
            </w:tcBorders>
          </w:tcPr>
          <w:p w14:paraId="2EC24527" w14:textId="77777777" w:rsidR="001433A1" w:rsidRPr="000E7C5E" w:rsidRDefault="001433A1" w:rsidP="001433A1">
            <w:pPr>
              <w:spacing w:line="240" w:lineRule="auto"/>
              <w:rPr>
                <w:sz w:val="18"/>
              </w:rPr>
            </w:pPr>
            <w:r>
              <w:rPr>
                <w:sz w:val="18"/>
              </w:rPr>
              <w:t>25.9 fee units on application plus 6.34 fee units per hour for assessments exceeding 4.1 hours up to a maximum of 69.75 fee units.</w:t>
            </w:r>
          </w:p>
        </w:tc>
      </w:tr>
      <w:tr w:rsidR="001433A1" w:rsidRPr="009B2611" w14:paraId="4B5D2990" w14:textId="77777777" w:rsidTr="001433A1">
        <w:tc>
          <w:tcPr>
            <w:tcW w:w="1136" w:type="pct"/>
          </w:tcPr>
          <w:p w14:paraId="51420900" w14:textId="77777777" w:rsidR="001433A1" w:rsidRPr="000E7C5E" w:rsidRDefault="001433A1" w:rsidP="001433A1">
            <w:pPr>
              <w:spacing w:line="240" w:lineRule="auto"/>
              <w:rPr>
                <w:sz w:val="18"/>
              </w:rPr>
            </w:pPr>
            <w:r w:rsidRPr="000E7C5E">
              <w:rPr>
                <w:sz w:val="18"/>
              </w:rPr>
              <w:t>Authority may authorise emergency storage, use etc. of waste</w:t>
            </w:r>
          </w:p>
        </w:tc>
        <w:tc>
          <w:tcPr>
            <w:tcW w:w="758" w:type="pct"/>
          </w:tcPr>
          <w:p w14:paraId="6D601924" w14:textId="77777777" w:rsidR="001433A1" w:rsidRPr="000E7C5E" w:rsidRDefault="001433A1" w:rsidP="001433A1">
            <w:pPr>
              <w:spacing w:line="240" w:lineRule="auto"/>
              <w:rPr>
                <w:sz w:val="18"/>
              </w:rPr>
            </w:pPr>
            <w:r w:rsidRPr="000E7C5E">
              <w:rPr>
                <w:sz w:val="18"/>
              </w:rPr>
              <w:t>Commissioning</w:t>
            </w:r>
          </w:p>
        </w:tc>
        <w:tc>
          <w:tcPr>
            <w:tcW w:w="985" w:type="pct"/>
          </w:tcPr>
          <w:p w14:paraId="1AB1799C" w14:textId="77777777" w:rsidR="001433A1" w:rsidRPr="000E7C5E" w:rsidRDefault="001433A1" w:rsidP="001433A1">
            <w:pPr>
              <w:spacing w:line="240" w:lineRule="auto"/>
              <w:rPr>
                <w:sz w:val="18"/>
              </w:rPr>
            </w:pPr>
          </w:p>
        </w:tc>
        <w:tc>
          <w:tcPr>
            <w:tcW w:w="531" w:type="pct"/>
          </w:tcPr>
          <w:p w14:paraId="25930F25" w14:textId="77777777" w:rsidR="001433A1" w:rsidRPr="000E7C5E" w:rsidRDefault="001433A1" w:rsidP="001433A1">
            <w:pPr>
              <w:spacing w:line="240" w:lineRule="auto"/>
              <w:rPr>
                <w:sz w:val="18"/>
              </w:rPr>
            </w:pPr>
            <w:r w:rsidRPr="001953C1">
              <w:rPr>
                <w:sz w:val="18"/>
              </w:rPr>
              <w:t>30</w:t>
            </w:r>
          </w:p>
        </w:tc>
        <w:tc>
          <w:tcPr>
            <w:tcW w:w="530" w:type="pct"/>
          </w:tcPr>
          <w:p w14:paraId="15B8BE22" w14:textId="1AAD1C5D" w:rsidR="00673E1F" w:rsidRPr="000E7C5E" w:rsidRDefault="001433A1" w:rsidP="001433A1">
            <w:pPr>
              <w:spacing w:line="240" w:lineRule="auto"/>
              <w:rPr>
                <w:sz w:val="18"/>
              </w:rPr>
            </w:pPr>
            <w:r w:rsidRPr="000E7C5E">
              <w:rPr>
                <w:sz w:val="18"/>
              </w:rPr>
              <w:t xml:space="preserve"> $</w:t>
            </w:r>
            <w:r w:rsidRPr="001953C1">
              <w:rPr>
                <w:sz w:val="18"/>
              </w:rPr>
              <w:t>202,939</w:t>
            </w:r>
            <w:r w:rsidR="00673E1F">
              <w:rPr>
                <w:sz w:val="18"/>
              </w:rPr>
              <w:t>.20</w:t>
            </w:r>
          </w:p>
        </w:tc>
        <w:tc>
          <w:tcPr>
            <w:tcW w:w="1060" w:type="pct"/>
            <w:tcBorders>
              <w:top w:val="single" w:sz="4" w:space="0" w:color="000000" w:themeColor="text1"/>
              <w:left w:val="nil"/>
              <w:bottom w:val="single" w:sz="4" w:space="0" w:color="000000" w:themeColor="text1"/>
              <w:right w:val="nil"/>
            </w:tcBorders>
          </w:tcPr>
          <w:p w14:paraId="6B62E0F6" w14:textId="77777777" w:rsidR="001433A1" w:rsidRPr="000E7C5E" w:rsidRDefault="001433A1" w:rsidP="001433A1">
            <w:pPr>
              <w:spacing w:line="240" w:lineRule="auto"/>
              <w:rPr>
                <w:sz w:val="18"/>
              </w:rPr>
            </w:pPr>
            <w:r>
              <w:rPr>
                <w:sz w:val="18"/>
              </w:rPr>
              <w:t>70.77 fee units on application plus 6.47 fee units per hour for assessments exceeding 10.95 hours up to a maximum of 840.99 fee units.</w:t>
            </w:r>
          </w:p>
        </w:tc>
      </w:tr>
      <w:tr w:rsidR="001433A1" w:rsidRPr="009B2611" w14:paraId="303FCDC9" w14:textId="77777777" w:rsidTr="001433A1">
        <w:tc>
          <w:tcPr>
            <w:tcW w:w="1136" w:type="pct"/>
          </w:tcPr>
          <w:p w14:paraId="50105E3E" w14:textId="77777777" w:rsidR="001433A1" w:rsidRPr="000E7C5E" w:rsidRDefault="001433A1" w:rsidP="001433A1">
            <w:pPr>
              <w:spacing w:line="240" w:lineRule="auto"/>
              <w:rPr>
                <w:sz w:val="18"/>
              </w:rPr>
            </w:pPr>
            <w:r w:rsidRPr="000E7C5E">
              <w:rPr>
                <w:sz w:val="18"/>
              </w:rPr>
              <w:t>Better environment plans</w:t>
            </w:r>
          </w:p>
        </w:tc>
        <w:tc>
          <w:tcPr>
            <w:tcW w:w="758" w:type="pct"/>
          </w:tcPr>
          <w:p w14:paraId="1EFC3DB4" w14:textId="77777777" w:rsidR="001433A1" w:rsidRPr="000E7C5E" w:rsidRDefault="001433A1" w:rsidP="001433A1">
            <w:pPr>
              <w:spacing w:line="240" w:lineRule="auto"/>
              <w:rPr>
                <w:sz w:val="18"/>
              </w:rPr>
            </w:pPr>
            <w:r w:rsidRPr="000E7C5E">
              <w:rPr>
                <w:sz w:val="18"/>
              </w:rPr>
              <w:t>Submission of proposed better environment plan</w:t>
            </w:r>
          </w:p>
        </w:tc>
        <w:tc>
          <w:tcPr>
            <w:tcW w:w="985" w:type="pct"/>
          </w:tcPr>
          <w:p w14:paraId="4DD7D950" w14:textId="77777777" w:rsidR="001433A1" w:rsidRPr="000E7C5E" w:rsidRDefault="001433A1" w:rsidP="001433A1">
            <w:pPr>
              <w:spacing w:line="240" w:lineRule="auto"/>
              <w:rPr>
                <w:sz w:val="18"/>
              </w:rPr>
            </w:pPr>
          </w:p>
        </w:tc>
        <w:tc>
          <w:tcPr>
            <w:tcW w:w="531" w:type="pct"/>
          </w:tcPr>
          <w:p w14:paraId="6CB8B15E" w14:textId="77777777" w:rsidR="001433A1" w:rsidRPr="000E7C5E" w:rsidRDefault="001433A1" w:rsidP="001433A1">
            <w:pPr>
              <w:spacing w:line="240" w:lineRule="auto"/>
              <w:rPr>
                <w:sz w:val="18"/>
              </w:rPr>
            </w:pPr>
            <w:r w:rsidRPr="000E7C5E">
              <w:rPr>
                <w:sz w:val="18"/>
              </w:rPr>
              <w:t xml:space="preserve">Unknown </w:t>
            </w:r>
          </w:p>
        </w:tc>
        <w:tc>
          <w:tcPr>
            <w:tcW w:w="530" w:type="pct"/>
          </w:tcPr>
          <w:p w14:paraId="04796527" w14:textId="77777777" w:rsidR="001433A1" w:rsidRPr="000E7C5E" w:rsidRDefault="001433A1" w:rsidP="001433A1">
            <w:pPr>
              <w:spacing w:line="240" w:lineRule="auto"/>
              <w:rPr>
                <w:sz w:val="18"/>
              </w:rPr>
            </w:pPr>
            <w:r w:rsidRPr="000E7C5E">
              <w:rPr>
                <w:sz w:val="18"/>
              </w:rPr>
              <w:t xml:space="preserve"> Unknown </w:t>
            </w:r>
          </w:p>
        </w:tc>
        <w:tc>
          <w:tcPr>
            <w:tcW w:w="1060" w:type="pct"/>
            <w:tcBorders>
              <w:top w:val="single" w:sz="4" w:space="0" w:color="000000" w:themeColor="text1"/>
              <w:left w:val="nil"/>
              <w:bottom w:val="single" w:sz="4" w:space="0" w:color="000000" w:themeColor="text1"/>
              <w:right w:val="nil"/>
            </w:tcBorders>
          </w:tcPr>
          <w:p w14:paraId="402A4257" w14:textId="77777777" w:rsidR="001433A1" w:rsidRPr="000E7C5E" w:rsidRDefault="001433A1" w:rsidP="001433A1">
            <w:pPr>
              <w:spacing w:line="240" w:lineRule="auto"/>
              <w:rPr>
                <w:sz w:val="18"/>
              </w:rPr>
            </w:pPr>
            <w:r>
              <w:rPr>
                <w:sz w:val="18"/>
              </w:rPr>
              <w:t>103.29 fee units on application plus 6.94 fee units per hour for assessments exceeding 14.9 hours up to a maximum of 593.71 fee units.</w:t>
            </w:r>
          </w:p>
        </w:tc>
      </w:tr>
      <w:tr w:rsidR="001433A1" w:rsidRPr="009B2611" w14:paraId="37B758D4" w14:textId="77777777" w:rsidTr="001433A1">
        <w:tc>
          <w:tcPr>
            <w:tcW w:w="1136" w:type="pct"/>
          </w:tcPr>
          <w:p w14:paraId="1AC66B1E" w14:textId="77777777" w:rsidR="001433A1" w:rsidRPr="000E7C5E" w:rsidRDefault="001433A1" w:rsidP="001433A1">
            <w:pPr>
              <w:spacing w:line="240" w:lineRule="auto"/>
              <w:rPr>
                <w:sz w:val="18"/>
              </w:rPr>
            </w:pPr>
            <w:r w:rsidRPr="000E7C5E">
              <w:rPr>
                <w:sz w:val="18"/>
              </w:rPr>
              <w:t>Better environment plans</w:t>
            </w:r>
          </w:p>
        </w:tc>
        <w:tc>
          <w:tcPr>
            <w:tcW w:w="758" w:type="pct"/>
          </w:tcPr>
          <w:p w14:paraId="4908223C" w14:textId="77777777" w:rsidR="001433A1" w:rsidRPr="000E7C5E" w:rsidRDefault="001433A1" w:rsidP="001433A1">
            <w:pPr>
              <w:spacing w:line="240" w:lineRule="auto"/>
              <w:rPr>
                <w:sz w:val="18"/>
              </w:rPr>
            </w:pPr>
            <w:r w:rsidRPr="000E7C5E">
              <w:rPr>
                <w:sz w:val="18"/>
              </w:rPr>
              <w:t>Amendment of better environment plans</w:t>
            </w:r>
          </w:p>
        </w:tc>
        <w:tc>
          <w:tcPr>
            <w:tcW w:w="985" w:type="pct"/>
          </w:tcPr>
          <w:p w14:paraId="58162473" w14:textId="77777777" w:rsidR="001433A1" w:rsidRPr="000E7C5E" w:rsidRDefault="001433A1" w:rsidP="001433A1">
            <w:pPr>
              <w:spacing w:line="240" w:lineRule="auto"/>
              <w:rPr>
                <w:sz w:val="18"/>
              </w:rPr>
            </w:pPr>
          </w:p>
        </w:tc>
        <w:tc>
          <w:tcPr>
            <w:tcW w:w="531" w:type="pct"/>
          </w:tcPr>
          <w:p w14:paraId="648122A5" w14:textId="77777777" w:rsidR="001433A1" w:rsidRPr="000E7C5E" w:rsidRDefault="001433A1" w:rsidP="001433A1">
            <w:pPr>
              <w:spacing w:line="240" w:lineRule="auto"/>
              <w:rPr>
                <w:sz w:val="18"/>
              </w:rPr>
            </w:pPr>
            <w:r w:rsidRPr="000E7C5E">
              <w:rPr>
                <w:sz w:val="18"/>
              </w:rPr>
              <w:t xml:space="preserve">Unknown </w:t>
            </w:r>
          </w:p>
        </w:tc>
        <w:tc>
          <w:tcPr>
            <w:tcW w:w="530" w:type="pct"/>
          </w:tcPr>
          <w:p w14:paraId="491B1019" w14:textId="77777777" w:rsidR="001433A1" w:rsidRPr="000E7C5E" w:rsidRDefault="001433A1" w:rsidP="001433A1">
            <w:pPr>
              <w:spacing w:line="240" w:lineRule="auto"/>
              <w:rPr>
                <w:sz w:val="18"/>
              </w:rPr>
            </w:pPr>
            <w:r w:rsidRPr="000E7C5E">
              <w:rPr>
                <w:sz w:val="18"/>
              </w:rPr>
              <w:t xml:space="preserve"> Unknown </w:t>
            </w:r>
          </w:p>
        </w:tc>
        <w:tc>
          <w:tcPr>
            <w:tcW w:w="1060" w:type="pct"/>
            <w:tcBorders>
              <w:top w:val="single" w:sz="4" w:space="0" w:color="000000" w:themeColor="text1"/>
              <w:left w:val="nil"/>
              <w:bottom w:val="single" w:sz="4" w:space="0" w:color="000000" w:themeColor="text1"/>
              <w:right w:val="nil"/>
            </w:tcBorders>
          </w:tcPr>
          <w:p w14:paraId="2E456819" w14:textId="77777777" w:rsidR="001433A1" w:rsidRPr="000E7C5E" w:rsidRDefault="001433A1" w:rsidP="001433A1">
            <w:pPr>
              <w:spacing w:line="240" w:lineRule="auto"/>
              <w:rPr>
                <w:sz w:val="18"/>
              </w:rPr>
            </w:pPr>
            <w:r>
              <w:rPr>
                <w:sz w:val="18"/>
              </w:rPr>
              <w:t>103.29 fee units on application plus 6.94 fee units per hour for assessments exceeding 14.9 hours up to a maximum of 593.71 fee units.</w:t>
            </w:r>
          </w:p>
        </w:tc>
      </w:tr>
      <w:tr w:rsidR="001433A1" w:rsidRPr="009B2611" w14:paraId="1A470113" w14:textId="77777777" w:rsidTr="001433A1">
        <w:tc>
          <w:tcPr>
            <w:tcW w:w="1136" w:type="pct"/>
          </w:tcPr>
          <w:p w14:paraId="0FD79D60" w14:textId="77777777" w:rsidR="001433A1" w:rsidRPr="000E7C5E" w:rsidRDefault="001433A1" w:rsidP="001433A1">
            <w:pPr>
              <w:spacing w:line="240" w:lineRule="auto"/>
              <w:rPr>
                <w:sz w:val="18"/>
              </w:rPr>
            </w:pPr>
            <w:r w:rsidRPr="000E7C5E">
              <w:rPr>
                <w:sz w:val="18"/>
              </w:rPr>
              <w:t>Better environment plans</w:t>
            </w:r>
          </w:p>
        </w:tc>
        <w:tc>
          <w:tcPr>
            <w:tcW w:w="758" w:type="pct"/>
          </w:tcPr>
          <w:p w14:paraId="5DBD35FA" w14:textId="77777777" w:rsidR="001433A1" w:rsidRPr="000E7C5E" w:rsidRDefault="001433A1" w:rsidP="001433A1">
            <w:pPr>
              <w:spacing w:line="240" w:lineRule="auto"/>
              <w:rPr>
                <w:sz w:val="18"/>
              </w:rPr>
            </w:pPr>
            <w:bookmarkStart w:id="1935" w:name="_Hlk15900815"/>
            <w:r w:rsidRPr="00785A28">
              <w:rPr>
                <w:sz w:val="18"/>
              </w:rPr>
              <w:t xml:space="preserve">Services to </w:t>
            </w:r>
            <w:r w:rsidRPr="00BC57E3">
              <w:rPr>
                <w:sz w:val="18"/>
              </w:rPr>
              <w:t>advise or assist</w:t>
            </w:r>
            <w:r w:rsidRPr="00785A28">
              <w:rPr>
                <w:sz w:val="18"/>
              </w:rPr>
              <w:t xml:space="preserve"> a person </w:t>
            </w:r>
            <w:r w:rsidRPr="00BC57E3">
              <w:rPr>
                <w:sz w:val="18"/>
              </w:rPr>
              <w:t>to prepare</w:t>
            </w:r>
            <w:r w:rsidRPr="00785A28">
              <w:rPr>
                <w:sz w:val="18"/>
              </w:rPr>
              <w:t xml:space="preserve"> a proposed</w:t>
            </w:r>
            <w:r w:rsidRPr="00EB3DBE">
              <w:rPr>
                <w:sz w:val="18"/>
              </w:rPr>
              <w:t xml:space="preserve"> better environment plan</w:t>
            </w:r>
            <w:bookmarkEnd w:id="1935"/>
          </w:p>
        </w:tc>
        <w:tc>
          <w:tcPr>
            <w:tcW w:w="985" w:type="pct"/>
          </w:tcPr>
          <w:p w14:paraId="3ECCAA50" w14:textId="77777777" w:rsidR="001433A1" w:rsidRPr="000E7C5E" w:rsidRDefault="001433A1" w:rsidP="001433A1">
            <w:pPr>
              <w:spacing w:line="240" w:lineRule="auto"/>
              <w:rPr>
                <w:sz w:val="18"/>
              </w:rPr>
            </w:pPr>
          </w:p>
        </w:tc>
        <w:tc>
          <w:tcPr>
            <w:tcW w:w="531" w:type="pct"/>
          </w:tcPr>
          <w:p w14:paraId="4CAE8785" w14:textId="77777777" w:rsidR="001433A1" w:rsidRPr="000E7C5E" w:rsidRDefault="001433A1" w:rsidP="001433A1">
            <w:pPr>
              <w:spacing w:line="240" w:lineRule="auto"/>
              <w:rPr>
                <w:sz w:val="18"/>
              </w:rPr>
            </w:pPr>
            <w:r w:rsidRPr="000E7C5E">
              <w:rPr>
                <w:sz w:val="18"/>
              </w:rPr>
              <w:t xml:space="preserve">Unknown </w:t>
            </w:r>
          </w:p>
        </w:tc>
        <w:tc>
          <w:tcPr>
            <w:tcW w:w="530" w:type="pct"/>
          </w:tcPr>
          <w:p w14:paraId="5E91C598" w14:textId="77777777" w:rsidR="001433A1" w:rsidRPr="000E7C5E" w:rsidRDefault="001433A1" w:rsidP="001433A1">
            <w:pPr>
              <w:spacing w:line="240" w:lineRule="auto"/>
              <w:rPr>
                <w:sz w:val="18"/>
              </w:rPr>
            </w:pPr>
            <w:r w:rsidRPr="000E7C5E">
              <w:rPr>
                <w:sz w:val="18"/>
              </w:rPr>
              <w:t xml:space="preserve"> Unknown </w:t>
            </w:r>
          </w:p>
        </w:tc>
        <w:tc>
          <w:tcPr>
            <w:tcW w:w="1060" w:type="pct"/>
            <w:tcBorders>
              <w:top w:val="single" w:sz="4" w:space="0" w:color="000000" w:themeColor="text1"/>
              <w:left w:val="nil"/>
              <w:bottom w:val="single" w:sz="4" w:space="0" w:color="000000" w:themeColor="text1"/>
              <w:right w:val="nil"/>
            </w:tcBorders>
          </w:tcPr>
          <w:p w14:paraId="19562E9D" w14:textId="77777777" w:rsidR="001433A1" w:rsidRPr="000E7C5E" w:rsidRDefault="001433A1" w:rsidP="001433A1">
            <w:pPr>
              <w:spacing w:line="240" w:lineRule="auto"/>
              <w:rPr>
                <w:sz w:val="18"/>
              </w:rPr>
            </w:pPr>
            <w:r>
              <w:rPr>
                <w:sz w:val="18"/>
              </w:rPr>
              <w:t>6.94 fee units per hour up to a maximum of 593.71 fee units.</w:t>
            </w:r>
          </w:p>
        </w:tc>
      </w:tr>
      <w:tr w:rsidR="001433A1" w:rsidRPr="009B2611" w14:paraId="6F057D07" w14:textId="77777777" w:rsidTr="001433A1">
        <w:tc>
          <w:tcPr>
            <w:tcW w:w="1136" w:type="pct"/>
          </w:tcPr>
          <w:p w14:paraId="3100E6AF" w14:textId="77777777" w:rsidR="001433A1" w:rsidRPr="000E7C5E" w:rsidRDefault="001433A1" w:rsidP="001433A1">
            <w:pPr>
              <w:spacing w:line="240" w:lineRule="auto"/>
              <w:rPr>
                <w:sz w:val="18"/>
              </w:rPr>
            </w:pPr>
            <w:r w:rsidRPr="000E7C5E">
              <w:rPr>
                <w:sz w:val="18"/>
              </w:rPr>
              <w:t>Application to vary or revoke site management order</w:t>
            </w:r>
          </w:p>
        </w:tc>
        <w:tc>
          <w:tcPr>
            <w:tcW w:w="758" w:type="pct"/>
          </w:tcPr>
          <w:p w14:paraId="0A9E8492" w14:textId="77777777" w:rsidR="001433A1" w:rsidRPr="000E7C5E" w:rsidRDefault="001433A1" w:rsidP="001433A1">
            <w:pPr>
              <w:spacing w:line="240" w:lineRule="auto"/>
              <w:rPr>
                <w:sz w:val="18"/>
              </w:rPr>
            </w:pPr>
            <w:r w:rsidRPr="000E7C5E">
              <w:rPr>
                <w:sz w:val="18"/>
              </w:rPr>
              <w:t>-</w:t>
            </w:r>
          </w:p>
        </w:tc>
        <w:tc>
          <w:tcPr>
            <w:tcW w:w="985" w:type="pct"/>
          </w:tcPr>
          <w:p w14:paraId="7E5082F7" w14:textId="77777777" w:rsidR="001433A1" w:rsidRPr="000E7C5E" w:rsidRDefault="001433A1" w:rsidP="001433A1">
            <w:pPr>
              <w:spacing w:line="240" w:lineRule="auto"/>
              <w:rPr>
                <w:sz w:val="18"/>
              </w:rPr>
            </w:pPr>
          </w:p>
        </w:tc>
        <w:tc>
          <w:tcPr>
            <w:tcW w:w="531" w:type="pct"/>
          </w:tcPr>
          <w:p w14:paraId="71BD4B31" w14:textId="77777777" w:rsidR="001433A1" w:rsidRPr="000E7C5E" w:rsidRDefault="001433A1" w:rsidP="001433A1">
            <w:pPr>
              <w:spacing w:line="240" w:lineRule="auto"/>
              <w:rPr>
                <w:sz w:val="18"/>
              </w:rPr>
            </w:pPr>
            <w:r w:rsidRPr="000E7C5E">
              <w:rPr>
                <w:sz w:val="18"/>
              </w:rPr>
              <w:t xml:space="preserve">Unknown </w:t>
            </w:r>
          </w:p>
        </w:tc>
        <w:tc>
          <w:tcPr>
            <w:tcW w:w="530" w:type="pct"/>
          </w:tcPr>
          <w:p w14:paraId="05FA949C" w14:textId="77777777" w:rsidR="001433A1" w:rsidRPr="000E7C5E" w:rsidRDefault="001433A1" w:rsidP="001433A1">
            <w:pPr>
              <w:spacing w:line="240" w:lineRule="auto"/>
              <w:rPr>
                <w:sz w:val="18"/>
              </w:rPr>
            </w:pPr>
            <w:r w:rsidRPr="000E7C5E">
              <w:rPr>
                <w:sz w:val="18"/>
              </w:rPr>
              <w:t xml:space="preserve"> Unknown </w:t>
            </w:r>
          </w:p>
        </w:tc>
        <w:tc>
          <w:tcPr>
            <w:tcW w:w="1060" w:type="pct"/>
            <w:tcBorders>
              <w:top w:val="single" w:sz="4" w:space="0" w:color="000000" w:themeColor="text1"/>
              <w:left w:val="nil"/>
              <w:bottom w:val="single" w:sz="4" w:space="0" w:color="000000" w:themeColor="text1"/>
              <w:right w:val="nil"/>
            </w:tcBorders>
          </w:tcPr>
          <w:p w14:paraId="7923D73F" w14:textId="77777777" w:rsidR="001433A1" w:rsidRPr="000E7C5E" w:rsidRDefault="001433A1" w:rsidP="001433A1">
            <w:pPr>
              <w:spacing w:line="240" w:lineRule="auto"/>
              <w:rPr>
                <w:sz w:val="18"/>
              </w:rPr>
            </w:pPr>
            <w:r>
              <w:rPr>
                <w:sz w:val="18"/>
              </w:rPr>
              <w:t>103.29 fee units on application plus 6.94 fee units per hour for assessments exceeding 14.9 hours up to a maximum of 593.71 fee units.</w:t>
            </w:r>
          </w:p>
        </w:tc>
      </w:tr>
      <w:tr w:rsidR="001433A1" w:rsidRPr="009B2611" w14:paraId="3BFF2230" w14:textId="77777777" w:rsidTr="001433A1">
        <w:tc>
          <w:tcPr>
            <w:tcW w:w="1136" w:type="pct"/>
          </w:tcPr>
          <w:p w14:paraId="409A5A2C" w14:textId="77777777" w:rsidR="001433A1" w:rsidRPr="000E7C5E" w:rsidRDefault="001433A1" w:rsidP="001433A1">
            <w:pPr>
              <w:spacing w:line="240" w:lineRule="auto"/>
              <w:rPr>
                <w:sz w:val="18"/>
              </w:rPr>
            </w:pPr>
            <w:r w:rsidRPr="000E7C5E">
              <w:rPr>
                <w:sz w:val="18"/>
              </w:rPr>
              <w:t>Exemptions</w:t>
            </w:r>
          </w:p>
        </w:tc>
        <w:tc>
          <w:tcPr>
            <w:tcW w:w="758" w:type="pct"/>
          </w:tcPr>
          <w:p w14:paraId="7C8221B9" w14:textId="77777777" w:rsidR="001433A1" w:rsidRPr="000E7C5E" w:rsidRDefault="001433A1" w:rsidP="001433A1">
            <w:pPr>
              <w:spacing w:line="240" w:lineRule="auto"/>
              <w:rPr>
                <w:sz w:val="18"/>
              </w:rPr>
            </w:pPr>
            <w:r w:rsidRPr="000E7C5E">
              <w:rPr>
                <w:sz w:val="18"/>
              </w:rPr>
              <w:t>-</w:t>
            </w:r>
          </w:p>
        </w:tc>
        <w:tc>
          <w:tcPr>
            <w:tcW w:w="985" w:type="pct"/>
          </w:tcPr>
          <w:p w14:paraId="2754AAF2" w14:textId="77777777" w:rsidR="001433A1" w:rsidRPr="000E7C5E" w:rsidRDefault="001433A1" w:rsidP="001433A1">
            <w:pPr>
              <w:spacing w:line="240" w:lineRule="auto"/>
              <w:rPr>
                <w:sz w:val="18"/>
              </w:rPr>
            </w:pPr>
          </w:p>
        </w:tc>
        <w:tc>
          <w:tcPr>
            <w:tcW w:w="531" w:type="pct"/>
          </w:tcPr>
          <w:p w14:paraId="762EDFC0" w14:textId="77777777" w:rsidR="001433A1" w:rsidRPr="000E7C5E" w:rsidRDefault="001433A1" w:rsidP="001433A1">
            <w:pPr>
              <w:spacing w:line="240" w:lineRule="auto"/>
              <w:rPr>
                <w:sz w:val="18"/>
              </w:rPr>
            </w:pPr>
            <w:r w:rsidRPr="000E7C5E">
              <w:rPr>
                <w:sz w:val="18"/>
              </w:rPr>
              <w:t xml:space="preserve">Unknown </w:t>
            </w:r>
          </w:p>
        </w:tc>
        <w:tc>
          <w:tcPr>
            <w:tcW w:w="530" w:type="pct"/>
          </w:tcPr>
          <w:p w14:paraId="7F4AC0C8" w14:textId="77777777" w:rsidR="001433A1" w:rsidRPr="000E7C5E" w:rsidRDefault="001433A1" w:rsidP="001433A1">
            <w:pPr>
              <w:spacing w:line="240" w:lineRule="auto"/>
              <w:rPr>
                <w:sz w:val="18"/>
              </w:rPr>
            </w:pPr>
            <w:r w:rsidRPr="000E7C5E">
              <w:rPr>
                <w:sz w:val="18"/>
              </w:rPr>
              <w:t xml:space="preserve"> Unknown </w:t>
            </w:r>
          </w:p>
        </w:tc>
        <w:tc>
          <w:tcPr>
            <w:tcW w:w="1060" w:type="pct"/>
            <w:tcBorders>
              <w:top w:val="single" w:sz="4" w:space="0" w:color="000000" w:themeColor="text1"/>
              <w:left w:val="nil"/>
              <w:bottom w:val="single" w:sz="4" w:space="0" w:color="000000" w:themeColor="text1"/>
              <w:right w:val="nil"/>
            </w:tcBorders>
          </w:tcPr>
          <w:p w14:paraId="71D2B88E" w14:textId="77777777" w:rsidR="001433A1" w:rsidRPr="000E7C5E" w:rsidRDefault="001433A1" w:rsidP="001433A1">
            <w:pPr>
              <w:spacing w:line="240" w:lineRule="auto"/>
              <w:rPr>
                <w:sz w:val="18"/>
              </w:rPr>
            </w:pPr>
            <w:r>
              <w:rPr>
                <w:sz w:val="18"/>
              </w:rPr>
              <w:t>45.82 fee units on application plus 7.16 fee units per hour for assessments exceeding 6.4 hours up to a maximum of 888.26 fee units.</w:t>
            </w:r>
          </w:p>
        </w:tc>
      </w:tr>
      <w:tr w:rsidR="001433A1" w:rsidRPr="009B2611" w14:paraId="1CB77CAC" w14:textId="77777777" w:rsidTr="001433A1">
        <w:tc>
          <w:tcPr>
            <w:tcW w:w="1136" w:type="pct"/>
          </w:tcPr>
          <w:p w14:paraId="45CF55FE" w14:textId="77777777" w:rsidR="001433A1" w:rsidRPr="000E7C5E" w:rsidRDefault="001433A1" w:rsidP="001433A1">
            <w:pPr>
              <w:spacing w:line="240" w:lineRule="auto"/>
              <w:rPr>
                <w:sz w:val="18"/>
              </w:rPr>
            </w:pPr>
            <w:r w:rsidRPr="000E7C5E">
              <w:rPr>
                <w:sz w:val="18"/>
              </w:rPr>
              <w:t>Financial assurance</w:t>
            </w:r>
          </w:p>
        </w:tc>
        <w:tc>
          <w:tcPr>
            <w:tcW w:w="758" w:type="pct"/>
          </w:tcPr>
          <w:p w14:paraId="3E22C0D9" w14:textId="77777777" w:rsidR="001433A1" w:rsidRPr="000E7C5E" w:rsidRDefault="001433A1" w:rsidP="001433A1">
            <w:pPr>
              <w:spacing w:line="240" w:lineRule="auto"/>
              <w:rPr>
                <w:sz w:val="18"/>
              </w:rPr>
            </w:pPr>
            <w:r w:rsidRPr="00785A28">
              <w:rPr>
                <w:sz w:val="18"/>
              </w:rPr>
              <w:t xml:space="preserve">Request for review of </w:t>
            </w:r>
            <w:r w:rsidRPr="00BC57E3">
              <w:rPr>
                <w:sz w:val="18"/>
              </w:rPr>
              <w:t>form</w:t>
            </w:r>
          </w:p>
        </w:tc>
        <w:tc>
          <w:tcPr>
            <w:tcW w:w="985" w:type="pct"/>
          </w:tcPr>
          <w:p w14:paraId="564D1AEC" w14:textId="77777777" w:rsidR="001433A1" w:rsidRPr="000E7C5E" w:rsidRDefault="001433A1" w:rsidP="001433A1">
            <w:pPr>
              <w:spacing w:line="240" w:lineRule="auto"/>
              <w:rPr>
                <w:sz w:val="18"/>
              </w:rPr>
            </w:pPr>
          </w:p>
        </w:tc>
        <w:tc>
          <w:tcPr>
            <w:tcW w:w="531" w:type="pct"/>
          </w:tcPr>
          <w:p w14:paraId="670EC49F" w14:textId="77777777" w:rsidR="001433A1" w:rsidRPr="000E7C5E" w:rsidRDefault="001433A1" w:rsidP="001433A1">
            <w:pPr>
              <w:spacing w:line="240" w:lineRule="auto"/>
              <w:rPr>
                <w:sz w:val="18"/>
              </w:rPr>
            </w:pPr>
            <w:r w:rsidRPr="000E7C5E">
              <w:rPr>
                <w:sz w:val="18"/>
              </w:rPr>
              <w:t>5</w:t>
            </w:r>
          </w:p>
        </w:tc>
        <w:tc>
          <w:tcPr>
            <w:tcW w:w="530" w:type="pct"/>
          </w:tcPr>
          <w:p w14:paraId="3C99EF63" w14:textId="0418D2F8" w:rsidR="001433A1" w:rsidRPr="000E7C5E" w:rsidRDefault="001433A1" w:rsidP="001433A1">
            <w:pPr>
              <w:spacing w:line="240" w:lineRule="auto"/>
              <w:rPr>
                <w:sz w:val="18"/>
              </w:rPr>
            </w:pPr>
            <w:r w:rsidRPr="000E7C5E">
              <w:rPr>
                <w:sz w:val="18"/>
              </w:rPr>
              <w:t xml:space="preserve"> $39,69</w:t>
            </w:r>
            <w:r w:rsidR="00673E1F">
              <w:rPr>
                <w:sz w:val="18"/>
              </w:rPr>
              <w:t>3.60</w:t>
            </w:r>
            <w:r w:rsidRPr="000E7C5E">
              <w:rPr>
                <w:sz w:val="18"/>
              </w:rPr>
              <w:t xml:space="preserve"> </w:t>
            </w:r>
          </w:p>
        </w:tc>
        <w:tc>
          <w:tcPr>
            <w:tcW w:w="1060" w:type="pct"/>
            <w:tcBorders>
              <w:top w:val="single" w:sz="4" w:space="0" w:color="000000" w:themeColor="text1"/>
              <w:left w:val="nil"/>
              <w:bottom w:val="single" w:sz="4" w:space="0" w:color="000000" w:themeColor="text1"/>
              <w:right w:val="nil"/>
            </w:tcBorders>
          </w:tcPr>
          <w:p w14:paraId="78818AD1" w14:textId="77777777" w:rsidR="001433A1" w:rsidRPr="000E7C5E" w:rsidRDefault="001433A1" w:rsidP="001433A1">
            <w:pPr>
              <w:spacing w:line="240" w:lineRule="auto"/>
              <w:rPr>
                <w:sz w:val="18"/>
              </w:rPr>
            </w:pPr>
            <w:r>
              <w:rPr>
                <w:sz w:val="18"/>
              </w:rPr>
              <w:t>227.84 fee units on application plus 10.24 fee units per hour for assessments exceeding 22.25 hours up to a maximum of 1798.14 fee units.</w:t>
            </w:r>
          </w:p>
        </w:tc>
      </w:tr>
      <w:tr w:rsidR="001433A1" w:rsidRPr="009B2611" w14:paraId="1362A481" w14:textId="77777777" w:rsidTr="001433A1">
        <w:tc>
          <w:tcPr>
            <w:tcW w:w="1136" w:type="pct"/>
          </w:tcPr>
          <w:p w14:paraId="463698FE" w14:textId="77777777" w:rsidR="001433A1" w:rsidRPr="000E7C5E" w:rsidRDefault="001433A1" w:rsidP="001433A1">
            <w:pPr>
              <w:spacing w:line="240" w:lineRule="auto"/>
              <w:rPr>
                <w:sz w:val="18"/>
              </w:rPr>
            </w:pPr>
            <w:r w:rsidRPr="000E7C5E">
              <w:rPr>
                <w:sz w:val="18"/>
              </w:rPr>
              <w:t>Financial assurance</w:t>
            </w:r>
          </w:p>
        </w:tc>
        <w:tc>
          <w:tcPr>
            <w:tcW w:w="758" w:type="pct"/>
          </w:tcPr>
          <w:p w14:paraId="37981F31" w14:textId="77777777" w:rsidR="001433A1" w:rsidRPr="000E7C5E" w:rsidRDefault="001433A1" w:rsidP="001433A1">
            <w:pPr>
              <w:spacing w:line="240" w:lineRule="auto"/>
              <w:rPr>
                <w:sz w:val="18"/>
              </w:rPr>
            </w:pPr>
            <w:r w:rsidRPr="000E7C5E">
              <w:rPr>
                <w:sz w:val="18"/>
              </w:rPr>
              <w:t>Application for release</w:t>
            </w:r>
          </w:p>
        </w:tc>
        <w:tc>
          <w:tcPr>
            <w:tcW w:w="985" w:type="pct"/>
          </w:tcPr>
          <w:p w14:paraId="61F16940" w14:textId="77777777" w:rsidR="001433A1" w:rsidRPr="000E7C5E" w:rsidRDefault="001433A1" w:rsidP="001433A1">
            <w:pPr>
              <w:spacing w:line="240" w:lineRule="auto"/>
              <w:rPr>
                <w:sz w:val="18"/>
              </w:rPr>
            </w:pPr>
          </w:p>
        </w:tc>
        <w:tc>
          <w:tcPr>
            <w:tcW w:w="531" w:type="pct"/>
          </w:tcPr>
          <w:p w14:paraId="055F9CE9" w14:textId="77777777" w:rsidR="001433A1" w:rsidRPr="000E7C5E" w:rsidRDefault="001433A1" w:rsidP="001433A1">
            <w:pPr>
              <w:spacing w:line="240" w:lineRule="auto"/>
              <w:rPr>
                <w:sz w:val="18"/>
              </w:rPr>
            </w:pPr>
            <w:r w:rsidRPr="000E7C5E">
              <w:rPr>
                <w:sz w:val="18"/>
              </w:rPr>
              <w:t>12</w:t>
            </w:r>
          </w:p>
        </w:tc>
        <w:tc>
          <w:tcPr>
            <w:tcW w:w="530" w:type="pct"/>
          </w:tcPr>
          <w:p w14:paraId="40135642" w14:textId="476216B6" w:rsidR="001433A1" w:rsidRPr="000E7C5E" w:rsidRDefault="001433A1" w:rsidP="001433A1">
            <w:pPr>
              <w:spacing w:line="240" w:lineRule="auto"/>
              <w:rPr>
                <w:sz w:val="18"/>
              </w:rPr>
            </w:pPr>
            <w:r w:rsidRPr="000E7C5E">
              <w:rPr>
                <w:sz w:val="18"/>
              </w:rPr>
              <w:t xml:space="preserve"> $44,</w:t>
            </w:r>
            <w:r w:rsidR="00673E1F">
              <w:rPr>
                <w:sz w:val="18"/>
              </w:rPr>
              <w:t>511.84</w:t>
            </w:r>
            <w:r w:rsidRPr="000E7C5E">
              <w:rPr>
                <w:sz w:val="18"/>
              </w:rPr>
              <w:t xml:space="preserve"> </w:t>
            </w:r>
          </w:p>
        </w:tc>
        <w:tc>
          <w:tcPr>
            <w:tcW w:w="1060" w:type="pct"/>
            <w:tcBorders>
              <w:top w:val="single" w:sz="4" w:space="0" w:color="000000" w:themeColor="text1"/>
              <w:left w:val="nil"/>
              <w:bottom w:val="single" w:sz="4" w:space="0" w:color="000000" w:themeColor="text1"/>
              <w:right w:val="nil"/>
            </w:tcBorders>
          </w:tcPr>
          <w:p w14:paraId="40E103FC" w14:textId="77777777" w:rsidR="001433A1" w:rsidRPr="000E7C5E" w:rsidRDefault="001433A1" w:rsidP="001433A1">
            <w:pPr>
              <w:rPr>
                <w:sz w:val="18"/>
              </w:rPr>
            </w:pPr>
            <w:r>
              <w:rPr>
                <w:sz w:val="18"/>
              </w:rPr>
              <w:t>84.48 fee units on application plus 8.77 fee units per hour for assessments exceeding 9.65 hours up to a maximum of 1147.41 fee units.</w:t>
            </w:r>
          </w:p>
        </w:tc>
      </w:tr>
    </w:tbl>
    <w:p w14:paraId="4A4DA70E" w14:textId="77777777" w:rsidR="001433A1" w:rsidRDefault="001433A1" w:rsidP="001433A1">
      <w:pPr>
        <w:spacing w:before="120" w:after="0"/>
        <w:rPr>
          <w:sz w:val="18"/>
        </w:rPr>
      </w:pPr>
      <w:r w:rsidRPr="00037AF8">
        <w:rPr>
          <w:sz w:val="18"/>
        </w:rPr>
        <w:t xml:space="preserve">Note: See Appendices </w:t>
      </w:r>
      <w:r>
        <w:rPr>
          <w:sz w:val="18"/>
        </w:rPr>
        <w:t>6-9</w:t>
      </w:r>
      <w:r w:rsidRPr="00037AF8">
        <w:rPr>
          <w:sz w:val="18"/>
        </w:rPr>
        <w:t xml:space="preserve"> for details on underlying data and assumptions used. </w:t>
      </w:r>
      <w:r>
        <w:rPr>
          <w:sz w:val="18"/>
        </w:rPr>
        <w:t>Fee units are given in 2018-19 fee unit values.</w:t>
      </w:r>
    </w:p>
    <w:p w14:paraId="200E94C9" w14:textId="77777777" w:rsidR="001433A1" w:rsidRPr="00037AF8" w:rsidRDefault="001433A1" w:rsidP="001433A1">
      <w:pPr>
        <w:spacing w:before="120" w:after="0"/>
        <w:rPr>
          <w:sz w:val="18"/>
        </w:rPr>
      </w:pPr>
      <w:r w:rsidRPr="00BC57E3">
        <w:rPr>
          <w:sz w:val="18"/>
        </w:rPr>
        <w:t>Note: The proposed prescribed fee for a ‘Request for review of form’ of a financial assurance is dependent on clause 23 of the EP Amendment Bill 2019 being enacted before the regulations are made.</w:t>
      </w:r>
    </w:p>
    <w:p w14:paraId="6A6EAE8C" w14:textId="77777777" w:rsidR="001433A1" w:rsidRPr="009B2611" w:rsidRDefault="001433A1" w:rsidP="001433A1">
      <w:pPr>
        <w:spacing w:before="120" w:after="0"/>
        <w:rPr>
          <w:rFonts w:cs="Segoe UI Light"/>
          <w:szCs w:val="20"/>
        </w:rPr>
      </w:pPr>
    </w:p>
    <w:p w14:paraId="29C58280" w14:textId="77777777" w:rsidR="001433A1" w:rsidRDefault="001433A1" w:rsidP="001433A1">
      <w:pPr>
        <w:pStyle w:val="Heading2"/>
        <w:numPr>
          <w:ilvl w:val="0"/>
          <w:numId w:val="0"/>
        </w:numPr>
        <w:ind w:left="576"/>
      </w:pPr>
    </w:p>
    <w:p w14:paraId="656B138C" w14:textId="12FC64F3" w:rsidR="00F12BDF" w:rsidRDefault="00F12BDF">
      <w:pPr>
        <w:spacing w:after="0"/>
        <w:rPr>
          <w:rFonts w:cs="Segoe UI Light"/>
          <w:szCs w:val="20"/>
        </w:rPr>
      </w:pPr>
    </w:p>
    <w:p w14:paraId="656B138D" w14:textId="77777777" w:rsidR="00F12BDF" w:rsidRPr="00C624E0" w:rsidRDefault="00F12BDF" w:rsidP="00153F27">
      <w:pPr>
        <w:pStyle w:val="Heading1"/>
      </w:pPr>
      <w:bookmarkStart w:id="1936" w:name="_Toc10018338"/>
      <w:bookmarkStart w:id="1937" w:name="_Toc10021445"/>
      <w:bookmarkStart w:id="1938" w:name="_Toc10021859"/>
      <w:bookmarkStart w:id="1939" w:name="_Toc12892343"/>
      <w:r w:rsidRPr="00C624E0">
        <w:t>Preferred options</w:t>
      </w:r>
      <w:bookmarkEnd w:id="1936"/>
      <w:bookmarkEnd w:id="1937"/>
      <w:bookmarkEnd w:id="1938"/>
      <w:bookmarkEnd w:id="1939"/>
    </w:p>
    <w:p w14:paraId="656B138E" w14:textId="77777777" w:rsidR="00404F71" w:rsidRPr="00404F71" w:rsidRDefault="00404F71" w:rsidP="00153F27">
      <w:r>
        <w:t>This chapter summarises the preferred options identified throughout the report, their likely impact on stakeholders</w:t>
      </w:r>
      <w:r w:rsidR="000F589C">
        <w:t xml:space="preserve"> relative to existing arrangements</w:t>
      </w:r>
      <w:r>
        <w:t xml:space="preserve">, </w:t>
      </w:r>
      <w:r w:rsidR="000F589C">
        <w:t>their impacts to</w:t>
      </w:r>
      <w:r>
        <w:t xml:space="preserve"> competition and small business</w:t>
      </w:r>
      <w:r w:rsidR="000F589C">
        <w:t>, and the costs and benefits that they will generate</w:t>
      </w:r>
      <w:r>
        <w:t xml:space="preserve">. </w:t>
      </w:r>
    </w:p>
    <w:p w14:paraId="656B138F" w14:textId="77777777" w:rsidR="006C5670" w:rsidRDefault="006C5670" w:rsidP="00982D63">
      <w:pPr>
        <w:pStyle w:val="Heading2"/>
      </w:pPr>
      <w:r>
        <w:t>Summary of preferred options</w:t>
      </w:r>
    </w:p>
    <w:p w14:paraId="656B1390" w14:textId="77777777" w:rsidR="006C5670" w:rsidRPr="006C5670" w:rsidRDefault="006C5670" w:rsidP="006C5670">
      <w:r>
        <w:rPr>
          <w:color w:val="2B579A"/>
          <w:shd w:val="clear" w:color="auto" w:fill="E6E6E6"/>
        </w:rPr>
        <w:fldChar w:fldCharType="begin"/>
      </w:r>
      <w:r>
        <w:instrText xml:space="preserve"> REF _Ref9961764 \h </w:instrText>
      </w:r>
      <w:r>
        <w:rPr>
          <w:color w:val="2B579A"/>
          <w:shd w:val="clear" w:color="auto" w:fill="E6E6E6"/>
        </w:rPr>
      </w:r>
      <w:r>
        <w:rPr>
          <w:color w:val="2B579A"/>
          <w:shd w:val="clear" w:color="auto" w:fill="E6E6E6"/>
        </w:rPr>
        <w:fldChar w:fldCharType="separate"/>
      </w:r>
      <w:r w:rsidR="00B51904" w:rsidRPr="009B0443">
        <w:rPr>
          <w:rFonts w:cs="Segoe UI Light"/>
          <w:iCs/>
          <w:sz w:val="18"/>
          <w:szCs w:val="20"/>
        </w:rPr>
        <w:t xml:space="preserve">Table </w:t>
      </w:r>
      <w:r w:rsidR="00B51904">
        <w:rPr>
          <w:rFonts w:cs="Segoe UI Light"/>
          <w:iCs/>
          <w:noProof/>
          <w:sz w:val="18"/>
          <w:szCs w:val="20"/>
        </w:rPr>
        <w:t>17</w:t>
      </w:r>
      <w:r w:rsidR="00B51904" w:rsidRPr="009B0443">
        <w:rPr>
          <w:rFonts w:cs="Segoe UI Light"/>
          <w:iCs/>
          <w:sz w:val="18"/>
          <w:szCs w:val="20"/>
        </w:rPr>
        <w:noBreakHyphen/>
      </w:r>
      <w:r w:rsidR="00B51904">
        <w:rPr>
          <w:rFonts w:cs="Segoe UI Light"/>
          <w:iCs/>
          <w:noProof/>
          <w:sz w:val="18"/>
          <w:szCs w:val="20"/>
        </w:rPr>
        <w:t>1</w:t>
      </w:r>
      <w:r>
        <w:rPr>
          <w:color w:val="2B579A"/>
          <w:shd w:val="clear" w:color="auto" w:fill="E6E6E6"/>
        </w:rPr>
        <w:fldChar w:fldCharType="end"/>
      </w:r>
      <w:r>
        <w:t xml:space="preserve"> below summarises the preferred options identified throughout this RIS. </w:t>
      </w:r>
    </w:p>
    <w:p w14:paraId="656B1391" w14:textId="77777777" w:rsidR="006C5670" w:rsidRPr="006C5670" w:rsidRDefault="006C5670" w:rsidP="00C624E0">
      <w:pPr>
        <w:pStyle w:val="Caption"/>
        <w:rPr>
          <w:rFonts w:cs="Segoe UI Light"/>
          <w:sz w:val="18"/>
          <w:szCs w:val="20"/>
        </w:rPr>
      </w:pPr>
      <w:bookmarkStart w:id="1940" w:name="_Ref9961764"/>
      <w:r w:rsidRPr="009B0443">
        <w:rPr>
          <w:rFonts w:cs="Segoe UI Light"/>
          <w:iCs w:val="0"/>
          <w:sz w:val="18"/>
          <w:szCs w:val="20"/>
        </w:rPr>
        <w:t xml:space="preserve">Table </w:t>
      </w:r>
      <w:r w:rsidRPr="009B0443">
        <w:rPr>
          <w:rFonts w:cs="Segoe UI Light"/>
          <w:color w:val="2B579A"/>
          <w:sz w:val="18"/>
          <w:szCs w:val="20"/>
          <w:shd w:val="clear" w:color="auto" w:fill="E6E6E6"/>
        </w:rPr>
        <w:fldChar w:fldCharType="begin"/>
      </w:r>
      <w:r w:rsidRPr="009B0443">
        <w:rPr>
          <w:rFonts w:cs="Segoe UI Light"/>
          <w:iCs w:val="0"/>
          <w:sz w:val="18"/>
          <w:szCs w:val="20"/>
        </w:rPr>
        <w:instrText xml:space="preserve"> STYLEREF 1 \s </w:instrText>
      </w:r>
      <w:r w:rsidRPr="009B0443">
        <w:rPr>
          <w:rFonts w:cs="Segoe UI Light"/>
          <w:color w:val="2B579A"/>
          <w:sz w:val="18"/>
          <w:szCs w:val="20"/>
          <w:shd w:val="clear" w:color="auto" w:fill="E6E6E6"/>
        </w:rPr>
        <w:fldChar w:fldCharType="separate"/>
      </w:r>
      <w:r w:rsidR="00B11C1E">
        <w:rPr>
          <w:rFonts w:cs="Segoe UI Light"/>
          <w:iCs w:val="0"/>
          <w:noProof/>
          <w:sz w:val="18"/>
          <w:szCs w:val="20"/>
        </w:rPr>
        <w:t>17</w:t>
      </w:r>
      <w:r w:rsidRPr="009B0443">
        <w:rPr>
          <w:rFonts w:cs="Segoe UI Light"/>
          <w:color w:val="2B579A"/>
          <w:sz w:val="18"/>
          <w:szCs w:val="20"/>
          <w:shd w:val="clear" w:color="auto" w:fill="E6E6E6"/>
        </w:rPr>
        <w:fldChar w:fldCharType="end"/>
      </w:r>
      <w:r w:rsidRPr="009B0443">
        <w:rPr>
          <w:rFonts w:cs="Segoe UI Light"/>
          <w:iCs w:val="0"/>
          <w:sz w:val="18"/>
          <w:szCs w:val="20"/>
        </w:rPr>
        <w:noBreakHyphen/>
      </w:r>
      <w:r w:rsidRPr="009B0443">
        <w:rPr>
          <w:rFonts w:cs="Segoe UI Light"/>
          <w:color w:val="2B579A"/>
          <w:sz w:val="18"/>
          <w:szCs w:val="20"/>
          <w:shd w:val="clear" w:color="auto" w:fill="E6E6E6"/>
        </w:rPr>
        <w:fldChar w:fldCharType="begin"/>
      </w:r>
      <w:r w:rsidRPr="009B0443">
        <w:rPr>
          <w:rFonts w:cs="Segoe UI Light"/>
          <w:iCs w:val="0"/>
          <w:sz w:val="18"/>
          <w:szCs w:val="20"/>
        </w:rPr>
        <w:instrText xml:space="preserve"> SEQ Table \* ARABIC \s 1 </w:instrText>
      </w:r>
      <w:r w:rsidRPr="009B0443">
        <w:rPr>
          <w:rFonts w:cs="Segoe UI Light"/>
          <w:color w:val="2B579A"/>
          <w:sz w:val="18"/>
          <w:szCs w:val="20"/>
          <w:shd w:val="clear" w:color="auto" w:fill="E6E6E6"/>
        </w:rPr>
        <w:fldChar w:fldCharType="separate"/>
      </w:r>
      <w:r w:rsidR="00B11C1E">
        <w:rPr>
          <w:rFonts w:cs="Segoe UI Light"/>
          <w:iCs w:val="0"/>
          <w:noProof/>
          <w:sz w:val="18"/>
          <w:szCs w:val="20"/>
        </w:rPr>
        <w:t>1</w:t>
      </w:r>
      <w:r w:rsidRPr="009B0443">
        <w:rPr>
          <w:rFonts w:cs="Segoe UI Light"/>
          <w:color w:val="2B579A"/>
          <w:sz w:val="18"/>
          <w:szCs w:val="20"/>
          <w:shd w:val="clear" w:color="auto" w:fill="E6E6E6"/>
        </w:rPr>
        <w:fldChar w:fldCharType="end"/>
      </w:r>
      <w:bookmarkEnd w:id="1940"/>
      <w:r w:rsidRPr="00153F27">
        <w:rPr>
          <w:rFonts w:cs="Segoe UI Light"/>
          <w:color w:val="2B579A"/>
          <w:sz w:val="18"/>
          <w:szCs w:val="20"/>
          <w:shd w:val="clear" w:color="auto" w:fill="E6E6E6"/>
        </w:rPr>
        <w:t xml:space="preserve"> </w:t>
      </w:r>
      <w:r>
        <w:rPr>
          <w:rFonts w:cs="Segoe UI Light"/>
          <w:iCs w:val="0"/>
          <w:sz w:val="18"/>
          <w:szCs w:val="20"/>
        </w:rPr>
        <w:t>Summary of preferred options</w:t>
      </w:r>
    </w:p>
    <w:tbl>
      <w:tblPr>
        <w:tblStyle w:val="Deloittetable"/>
        <w:tblW w:w="10205" w:type="dxa"/>
        <w:tblLook w:val="04A0" w:firstRow="1" w:lastRow="0" w:firstColumn="1" w:lastColumn="0" w:noHBand="0" w:noVBand="1"/>
      </w:tblPr>
      <w:tblGrid>
        <w:gridCol w:w="1701"/>
        <w:gridCol w:w="8504"/>
      </w:tblGrid>
      <w:tr w:rsidR="006C5670" w:rsidRPr="00005F17" w14:paraId="656B1394" w14:textId="77777777" w:rsidTr="00F9762B">
        <w:trPr>
          <w:cnfStyle w:val="100000000000" w:firstRow="1" w:lastRow="0" w:firstColumn="0" w:lastColumn="0" w:oddVBand="0" w:evenVBand="0" w:oddHBand="0" w:evenHBand="0" w:firstRowFirstColumn="0" w:firstRowLastColumn="0" w:lastRowFirstColumn="0" w:lastRowLastColumn="0"/>
          <w:tblHeader/>
        </w:trPr>
        <w:tc>
          <w:tcPr>
            <w:tcW w:w="1701" w:type="dxa"/>
          </w:tcPr>
          <w:p w14:paraId="656B1392" w14:textId="77777777" w:rsidR="006C5670" w:rsidRPr="00005F17" w:rsidRDefault="006C5670">
            <w:pPr>
              <w:mirrorIndents/>
              <w:rPr>
                <w:rFonts w:cs="Segoe UI Light"/>
                <w:b/>
                <w:sz w:val="18"/>
              </w:rPr>
            </w:pPr>
            <w:r>
              <w:rPr>
                <w:rFonts w:cs="Segoe UI Light"/>
                <w:b/>
                <w:sz w:val="18"/>
              </w:rPr>
              <w:t>Problem area</w:t>
            </w:r>
          </w:p>
        </w:tc>
        <w:tc>
          <w:tcPr>
            <w:tcW w:w="8504" w:type="dxa"/>
          </w:tcPr>
          <w:p w14:paraId="656B1393" w14:textId="77777777" w:rsidR="006C5670" w:rsidRDefault="006C5670" w:rsidP="00F9762B">
            <w:pPr>
              <w:mirrorIndents/>
              <w:rPr>
                <w:rFonts w:cs="Segoe UI Light"/>
                <w:b/>
                <w:sz w:val="18"/>
              </w:rPr>
            </w:pPr>
            <w:r>
              <w:rPr>
                <w:rFonts w:cs="Segoe UI Light"/>
                <w:b/>
                <w:sz w:val="18"/>
              </w:rPr>
              <w:t>Preferred option</w:t>
            </w:r>
          </w:p>
        </w:tc>
      </w:tr>
      <w:tr w:rsidR="006C5670" w:rsidRPr="00064264" w14:paraId="656B139E" w14:textId="77777777" w:rsidTr="00F9762B">
        <w:tc>
          <w:tcPr>
            <w:tcW w:w="1701" w:type="dxa"/>
          </w:tcPr>
          <w:p w14:paraId="656B1395" w14:textId="77777777" w:rsidR="006C5670" w:rsidRPr="006A65CB" w:rsidRDefault="006C5670" w:rsidP="00F9762B">
            <w:pPr>
              <w:ind w:right="262"/>
              <w:mirrorIndents/>
              <w:rPr>
                <w:b/>
                <w:sz w:val="18"/>
              </w:rPr>
            </w:pPr>
            <w:r w:rsidRPr="006A65CB">
              <w:rPr>
                <w:b/>
                <w:sz w:val="18"/>
              </w:rPr>
              <w:t>Permissioning</w:t>
            </w:r>
          </w:p>
        </w:tc>
        <w:tc>
          <w:tcPr>
            <w:tcW w:w="8504" w:type="dxa"/>
          </w:tcPr>
          <w:p w14:paraId="656B1396" w14:textId="77777777" w:rsidR="00506BE8" w:rsidRDefault="006C5670" w:rsidP="00F9762B">
            <w:pPr>
              <w:ind w:right="262"/>
              <w:mirrorIndents/>
              <w:rPr>
                <w:sz w:val="18"/>
              </w:rPr>
            </w:pPr>
            <w:r>
              <w:rPr>
                <w:sz w:val="18"/>
              </w:rPr>
              <w:t>The preferred option is to</w:t>
            </w:r>
            <w:r w:rsidR="00506BE8">
              <w:rPr>
                <w:sz w:val="18"/>
              </w:rPr>
              <w:t>:</w:t>
            </w:r>
          </w:p>
          <w:p w14:paraId="656B1397" w14:textId="77777777" w:rsidR="006C5670" w:rsidRDefault="00506BE8" w:rsidP="00F9762B">
            <w:pPr>
              <w:ind w:right="262"/>
              <w:mirrorIndents/>
              <w:rPr>
                <w:sz w:val="18"/>
              </w:rPr>
            </w:pPr>
            <w:r>
              <w:rPr>
                <w:sz w:val="18"/>
              </w:rPr>
              <w:t>P</w:t>
            </w:r>
            <w:r w:rsidR="006C5670">
              <w:rPr>
                <w:sz w:val="18"/>
              </w:rPr>
              <w:t xml:space="preserve">rescribe </w:t>
            </w:r>
            <w:r w:rsidR="006C5670" w:rsidRPr="007337DC">
              <w:rPr>
                <w:sz w:val="18"/>
              </w:rPr>
              <w:t>those activities that will req</w:t>
            </w:r>
            <w:r w:rsidR="006C5670">
              <w:rPr>
                <w:sz w:val="18"/>
              </w:rPr>
              <w:t>uire some form of permission,</w:t>
            </w:r>
            <w:r w:rsidR="006C5670" w:rsidRPr="007337DC">
              <w:rPr>
                <w:sz w:val="18"/>
              </w:rPr>
              <w:t xml:space="preserve"> ex</w:t>
            </w:r>
            <w:r w:rsidR="006C5670" w:rsidRPr="00BC5A26">
              <w:rPr>
                <w:sz w:val="18"/>
              </w:rPr>
              <w:t>emption or financial assurance</w:t>
            </w:r>
            <w:r w:rsidR="006C5670" w:rsidRPr="00E856EC">
              <w:rPr>
                <w:sz w:val="18"/>
              </w:rPr>
              <w:t>.</w:t>
            </w:r>
            <w:r w:rsidR="00697B6B" w:rsidRPr="00E856EC">
              <w:rPr>
                <w:sz w:val="18"/>
              </w:rPr>
              <w:t xml:space="preserve"> </w:t>
            </w:r>
            <w:r w:rsidR="00E856EC" w:rsidRPr="00E856EC">
              <w:rPr>
                <w:sz w:val="18"/>
              </w:rPr>
              <w:t>This is summarised below</w:t>
            </w:r>
            <w:r w:rsidR="00D7621B">
              <w:rPr>
                <w:sz w:val="18"/>
              </w:rPr>
              <w:t>:</w:t>
            </w:r>
            <w:r w:rsidR="00E856EC" w:rsidRPr="00E856EC">
              <w:rPr>
                <w:sz w:val="18"/>
              </w:rPr>
              <w:t xml:space="preserve"> </w:t>
            </w:r>
          </w:p>
          <w:p w14:paraId="656B1398" w14:textId="77777777" w:rsidR="00E856EC" w:rsidRPr="00E856EC" w:rsidRDefault="00E856EC" w:rsidP="00E856EC">
            <w:pPr>
              <w:pStyle w:val="ListParagraph"/>
              <w:numPr>
                <w:ilvl w:val="0"/>
                <w:numId w:val="62"/>
              </w:numPr>
              <w:ind w:left="285" w:right="262" w:hanging="285"/>
              <w:mirrorIndents/>
              <w:rPr>
                <w:rFonts w:cs="Segoe UI Light"/>
                <w:sz w:val="18"/>
              </w:rPr>
            </w:pPr>
            <w:r w:rsidRPr="00E856EC">
              <w:rPr>
                <w:rFonts w:cs="Segoe UI Light"/>
                <w:sz w:val="18"/>
              </w:rPr>
              <w:t xml:space="preserve">Development Licence: </w:t>
            </w:r>
            <w:r w:rsidRPr="00E856EC">
              <w:rPr>
                <w:sz w:val="18"/>
              </w:rPr>
              <w:t xml:space="preserve">All activities currently requiring a works approval, plus large </w:t>
            </w:r>
            <w:r w:rsidR="00AB110E">
              <w:rPr>
                <w:sz w:val="18"/>
              </w:rPr>
              <w:t>W</w:t>
            </w:r>
            <w:r w:rsidR="00403037">
              <w:rPr>
                <w:sz w:val="18"/>
              </w:rPr>
              <w:t>RR</w:t>
            </w:r>
            <w:r w:rsidRPr="00E856EC">
              <w:rPr>
                <w:sz w:val="18"/>
              </w:rPr>
              <w:t>s</w:t>
            </w:r>
            <w:r w:rsidR="00675AB2">
              <w:rPr>
                <w:sz w:val="18"/>
              </w:rPr>
              <w:t>.</w:t>
            </w:r>
          </w:p>
          <w:p w14:paraId="656B1399" w14:textId="77777777" w:rsidR="00E856EC" w:rsidRPr="00E856EC" w:rsidRDefault="00E856EC" w:rsidP="00E856EC">
            <w:pPr>
              <w:pStyle w:val="ListParagraph"/>
              <w:numPr>
                <w:ilvl w:val="0"/>
                <w:numId w:val="62"/>
              </w:numPr>
              <w:ind w:left="285" w:right="262" w:hanging="285"/>
              <w:mirrorIndents/>
              <w:rPr>
                <w:rFonts w:cs="Segoe UI Light"/>
                <w:sz w:val="18"/>
              </w:rPr>
            </w:pPr>
            <w:r w:rsidRPr="00E856EC">
              <w:rPr>
                <w:sz w:val="18"/>
              </w:rPr>
              <w:t xml:space="preserve">Operating Licence: All activities currently requiring a licence, plus selected </w:t>
            </w:r>
            <w:r w:rsidR="00AB110E">
              <w:rPr>
                <w:sz w:val="18"/>
              </w:rPr>
              <w:t>W</w:t>
            </w:r>
            <w:r w:rsidRPr="00E856EC">
              <w:rPr>
                <w:sz w:val="18"/>
              </w:rPr>
              <w:t>R</w:t>
            </w:r>
            <w:r w:rsidR="00403037">
              <w:rPr>
                <w:sz w:val="18"/>
              </w:rPr>
              <w:t>R</w:t>
            </w:r>
            <w:r w:rsidRPr="00E856EC">
              <w:rPr>
                <w:sz w:val="18"/>
              </w:rPr>
              <w:t>s</w:t>
            </w:r>
            <w:r w:rsidR="00675AB2">
              <w:rPr>
                <w:sz w:val="18"/>
              </w:rPr>
              <w:t>.</w:t>
            </w:r>
          </w:p>
          <w:p w14:paraId="656B139A" w14:textId="77777777" w:rsidR="00E856EC" w:rsidRPr="00E856EC" w:rsidRDefault="00E856EC" w:rsidP="00E856EC">
            <w:pPr>
              <w:pStyle w:val="ListParagraph"/>
              <w:numPr>
                <w:ilvl w:val="0"/>
                <w:numId w:val="62"/>
              </w:numPr>
              <w:ind w:left="285" w:right="262" w:hanging="285"/>
              <w:mirrorIndents/>
              <w:rPr>
                <w:rFonts w:cs="Segoe UI Light"/>
                <w:sz w:val="18"/>
              </w:rPr>
            </w:pPr>
            <w:r w:rsidRPr="00E856EC">
              <w:rPr>
                <w:sz w:val="18"/>
              </w:rPr>
              <w:t xml:space="preserve">Financial assurance: </w:t>
            </w:r>
            <w:r>
              <w:rPr>
                <w:sz w:val="18"/>
              </w:rPr>
              <w:t>Almost a</w:t>
            </w:r>
            <w:r w:rsidRPr="00E856EC">
              <w:rPr>
                <w:sz w:val="18"/>
              </w:rPr>
              <w:t>ll activities currently requiring a financial assurance</w:t>
            </w:r>
            <w:r>
              <w:rPr>
                <w:sz w:val="18"/>
              </w:rPr>
              <w:t xml:space="preserve">, plus selected </w:t>
            </w:r>
            <w:r w:rsidR="0058250F">
              <w:rPr>
                <w:sz w:val="18"/>
              </w:rPr>
              <w:t>WRRs</w:t>
            </w:r>
          </w:p>
          <w:p w14:paraId="656B139B" w14:textId="77777777" w:rsidR="00E856EC" w:rsidRDefault="00E856EC" w:rsidP="00E856EC">
            <w:pPr>
              <w:pStyle w:val="ListParagraph"/>
              <w:numPr>
                <w:ilvl w:val="0"/>
                <w:numId w:val="62"/>
              </w:numPr>
              <w:ind w:left="285" w:right="262" w:hanging="285"/>
              <w:mirrorIndents/>
              <w:rPr>
                <w:sz w:val="18"/>
              </w:rPr>
            </w:pPr>
            <w:r w:rsidRPr="00E856EC">
              <w:rPr>
                <w:sz w:val="18"/>
              </w:rPr>
              <w:t>Permit: Selected activities that currently require an EPA or council permission or approval under different heads of power</w:t>
            </w:r>
            <w:r>
              <w:rPr>
                <w:sz w:val="18"/>
              </w:rPr>
              <w:t xml:space="preserve">, along with selected </w:t>
            </w:r>
            <w:r w:rsidR="002E0EF8">
              <w:rPr>
                <w:sz w:val="18"/>
              </w:rPr>
              <w:t>WRRs</w:t>
            </w:r>
            <w:r>
              <w:rPr>
                <w:sz w:val="18"/>
              </w:rPr>
              <w:t xml:space="preserve">, landfills </w:t>
            </w:r>
            <w:r w:rsidR="00601815">
              <w:rPr>
                <w:sz w:val="18"/>
              </w:rPr>
              <w:t>exempt from licencing</w:t>
            </w:r>
            <w:r>
              <w:rPr>
                <w:sz w:val="18"/>
              </w:rPr>
              <w:t xml:space="preserve"> and selected other activities that previously did not require a permission</w:t>
            </w:r>
            <w:r w:rsidR="00675AB2">
              <w:rPr>
                <w:sz w:val="18"/>
              </w:rPr>
              <w:t>.</w:t>
            </w:r>
          </w:p>
          <w:p w14:paraId="656B139C" w14:textId="77777777" w:rsidR="00E856EC" w:rsidRPr="00E856EC" w:rsidRDefault="00E856EC" w:rsidP="00E856EC">
            <w:pPr>
              <w:pStyle w:val="ListParagraph"/>
              <w:numPr>
                <w:ilvl w:val="0"/>
                <w:numId w:val="62"/>
              </w:numPr>
              <w:ind w:left="285" w:right="262" w:hanging="285"/>
              <w:mirrorIndents/>
              <w:rPr>
                <w:sz w:val="18"/>
              </w:rPr>
            </w:pPr>
            <w:r>
              <w:rPr>
                <w:sz w:val="18"/>
              </w:rPr>
              <w:t xml:space="preserve">Registration: </w:t>
            </w:r>
            <w:r w:rsidRPr="00E856EC">
              <w:rPr>
                <w:sz w:val="18"/>
              </w:rPr>
              <w:t>Selected activities that are currently excluded from requiring a permission through a general exemption</w:t>
            </w:r>
            <w:r>
              <w:rPr>
                <w:sz w:val="18"/>
              </w:rPr>
              <w:t xml:space="preserve">, </w:t>
            </w:r>
            <w:r w:rsidR="00537931">
              <w:rPr>
                <w:sz w:val="18"/>
              </w:rPr>
              <w:t xml:space="preserve">along with </w:t>
            </w:r>
            <w:r>
              <w:rPr>
                <w:sz w:val="18"/>
              </w:rPr>
              <w:t xml:space="preserve">dry cleaning, selected </w:t>
            </w:r>
            <w:r w:rsidR="00E54F70">
              <w:rPr>
                <w:sz w:val="18"/>
              </w:rPr>
              <w:t>WRR</w:t>
            </w:r>
            <w:r>
              <w:rPr>
                <w:sz w:val="18"/>
              </w:rPr>
              <w:t xml:space="preserve">s and other waste storage and processing facilities. </w:t>
            </w:r>
          </w:p>
          <w:p w14:paraId="656B139D" w14:textId="77777777" w:rsidR="006C5670" w:rsidRPr="00DD30D6" w:rsidRDefault="00232D42" w:rsidP="00037AF8">
            <w:pPr>
              <w:spacing w:after="0"/>
              <w:ind w:right="262"/>
              <w:mirrorIndents/>
              <w:rPr>
                <w:sz w:val="18"/>
              </w:rPr>
            </w:pPr>
            <w:r>
              <w:rPr>
                <w:rFonts w:cs="Segoe UI Light"/>
                <w:sz w:val="18"/>
              </w:rPr>
              <w:t>T</w:t>
            </w:r>
            <w:r w:rsidR="006C5670">
              <w:rPr>
                <w:rFonts w:cs="Segoe UI Light"/>
                <w:sz w:val="18"/>
              </w:rPr>
              <w:t xml:space="preserve">his will </w:t>
            </w:r>
            <w:r w:rsidR="006C5670" w:rsidRPr="00275036">
              <w:rPr>
                <w:rFonts w:cs="Segoe UI Light"/>
                <w:sz w:val="18"/>
              </w:rPr>
              <w:t>enab</w:t>
            </w:r>
            <w:r w:rsidR="006C5670">
              <w:rPr>
                <w:rFonts w:cs="Segoe UI Light"/>
                <w:sz w:val="18"/>
              </w:rPr>
              <w:t>le</w:t>
            </w:r>
            <w:r w:rsidR="006C5670" w:rsidRPr="00275036">
              <w:rPr>
                <w:rFonts w:cs="Segoe UI Light"/>
                <w:sz w:val="18"/>
              </w:rPr>
              <w:t xml:space="preserve"> EPA to establish greater certainty of control for activities which pose the most significant risks of harm to human health and the environment through its permissioning framework.</w:t>
            </w:r>
          </w:p>
        </w:tc>
      </w:tr>
      <w:tr w:rsidR="006C5670" w14:paraId="656B13A2" w14:textId="77777777" w:rsidTr="00F9762B">
        <w:tc>
          <w:tcPr>
            <w:tcW w:w="1701" w:type="dxa"/>
          </w:tcPr>
          <w:p w14:paraId="656B139F" w14:textId="77777777" w:rsidR="006C5670" w:rsidRPr="00BC4FDC" w:rsidRDefault="006C5670" w:rsidP="00F9762B">
            <w:pPr>
              <w:mirrorIndents/>
              <w:rPr>
                <w:b/>
                <w:sz w:val="18"/>
              </w:rPr>
            </w:pPr>
            <w:r w:rsidRPr="00BC4FDC">
              <w:rPr>
                <w:b/>
                <w:sz w:val="18"/>
              </w:rPr>
              <w:t>On</w:t>
            </w:r>
            <w:r w:rsidR="00045A7B">
              <w:rPr>
                <w:b/>
                <w:sz w:val="18"/>
              </w:rPr>
              <w:t>-</w:t>
            </w:r>
            <w:r w:rsidRPr="00BC4FDC">
              <w:rPr>
                <w:b/>
                <w:sz w:val="18"/>
              </w:rPr>
              <w:t>site wastewater management   systems</w:t>
            </w:r>
          </w:p>
        </w:tc>
        <w:tc>
          <w:tcPr>
            <w:tcW w:w="8504" w:type="dxa"/>
          </w:tcPr>
          <w:p w14:paraId="656B13A0" w14:textId="77777777" w:rsidR="000467F5" w:rsidRPr="000467F5" w:rsidRDefault="006C5670" w:rsidP="000467F5">
            <w:pPr>
              <w:mirrorIndents/>
              <w:rPr>
                <w:rFonts w:cs="Segoe UI Light"/>
                <w:sz w:val="18"/>
              </w:rPr>
            </w:pPr>
            <w:r w:rsidRPr="006A1BFA">
              <w:rPr>
                <w:rFonts w:cs="Segoe UI Light"/>
                <w:sz w:val="18"/>
              </w:rPr>
              <w:t>The preferred option i</w:t>
            </w:r>
            <w:r>
              <w:rPr>
                <w:rFonts w:cs="Segoe UI Light"/>
                <w:sz w:val="18"/>
              </w:rPr>
              <w:t>s</w:t>
            </w:r>
            <w:r w:rsidR="00C624E0">
              <w:rPr>
                <w:rFonts w:cs="Segoe UI Light"/>
                <w:sz w:val="18"/>
              </w:rPr>
              <w:t xml:space="preserve"> </w:t>
            </w:r>
            <w:r w:rsidRPr="006A1BFA">
              <w:rPr>
                <w:rFonts w:cs="Segoe UI Light"/>
                <w:sz w:val="18"/>
              </w:rPr>
              <w:t>for councils to continue to issue permits for the construction, installation or alteration of on</w:t>
            </w:r>
            <w:r>
              <w:rPr>
                <w:rFonts w:cs="Segoe UI Light"/>
                <w:sz w:val="18"/>
              </w:rPr>
              <w:t>-</w:t>
            </w:r>
            <w:r w:rsidRPr="006A1BFA">
              <w:rPr>
                <w:rFonts w:cs="Segoe UI Light"/>
                <w:sz w:val="18"/>
              </w:rPr>
              <w:t>site systems, but n</w:t>
            </w:r>
            <w:r>
              <w:rPr>
                <w:rFonts w:cs="Segoe UI Light"/>
                <w:sz w:val="18"/>
              </w:rPr>
              <w:t xml:space="preserve">ot </w:t>
            </w:r>
            <w:r w:rsidR="00537931">
              <w:rPr>
                <w:rFonts w:cs="Segoe UI Light"/>
                <w:sz w:val="18"/>
              </w:rPr>
              <w:t>to</w:t>
            </w:r>
            <w:r>
              <w:rPr>
                <w:rFonts w:cs="Segoe UI Light"/>
                <w:sz w:val="18"/>
              </w:rPr>
              <w:t xml:space="preserve"> issue ongoing permits for their operation</w:t>
            </w:r>
            <w:r w:rsidR="000467F5">
              <w:rPr>
                <w:rFonts w:cs="Segoe UI Light"/>
                <w:sz w:val="18"/>
              </w:rPr>
              <w:t>, which</w:t>
            </w:r>
            <w:r w:rsidR="000467F5" w:rsidRPr="000467F5">
              <w:rPr>
                <w:rFonts w:cs="Segoe UI Light"/>
                <w:sz w:val="18"/>
              </w:rPr>
              <w:t xml:space="preserve"> will be addressed primarily through the GED</w:t>
            </w:r>
            <w:r w:rsidR="00DC7A63">
              <w:rPr>
                <w:rFonts w:cs="Segoe UI Light"/>
                <w:sz w:val="18"/>
              </w:rPr>
              <w:t xml:space="preserve">. </w:t>
            </w:r>
            <w:r w:rsidR="000467F5" w:rsidRPr="000467F5">
              <w:rPr>
                <w:rFonts w:cs="Segoe UI Light"/>
                <w:sz w:val="18"/>
              </w:rPr>
              <w:t>Councils would be required to refuse an application to install if the system is not of a type approved by EPA or does not meet the specifications required by EPA.</w:t>
            </w:r>
          </w:p>
          <w:p w14:paraId="656B13A1" w14:textId="77777777" w:rsidR="006C5670" w:rsidRPr="006A1BFA" w:rsidRDefault="006C5670" w:rsidP="00037AF8">
            <w:pPr>
              <w:spacing w:after="0"/>
              <w:mirrorIndents/>
              <w:rPr>
                <w:rFonts w:cs="Segoe UI Light"/>
                <w:sz w:val="18"/>
              </w:rPr>
            </w:pPr>
            <w:r>
              <w:rPr>
                <w:rFonts w:cs="Segoe UI Light"/>
                <w:sz w:val="18"/>
              </w:rPr>
              <w:t xml:space="preserve">This option would </w:t>
            </w:r>
            <w:r w:rsidR="000E7548">
              <w:rPr>
                <w:rFonts w:cs="Segoe UI Light"/>
                <w:sz w:val="18"/>
              </w:rPr>
              <w:t xml:space="preserve">aim to </w:t>
            </w:r>
            <w:r>
              <w:rPr>
                <w:rFonts w:cs="Segoe UI Light"/>
                <w:sz w:val="18"/>
              </w:rPr>
              <w:t xml:space="preserve">enable councils to manage the risks to human health and the environment, posed by on-site </w:t>
            </w:r>
            <w:r w:rsidRPr="00F97092">
              <w:rPr>
                <w:rFonts w:cs="Segoe UI Light"/>
                <w:sz w:val="18"/>
              </w:rPr>
              <w:t>systems</w:t>
            </w:r>
            <w:r w:rsidR="00232D42">
              <w:rPr>
                <w:rFonts w:cs="Segoe UI Light"/>
                <w:sz w:val="18"/>
              </w:rPr>
              <w:t>, but avoid overly burdensome ongoing costs for owners and councils</w:t>
            </w:r>
            <w:r>
              <w:rPr>
                <w:rFonts w:cs="Segoe UI Light"/>
                <w:sz w:val="18"/>
              </w:rPr>
              <w:t>.</w:t>
            </w:r>
          </w:p>
        </w:tc>
      </w:tr>
      <w:tr w:rsidR="006C5670" w:rsidRPr="00064264" w14:paraId="656B13AC" w14:textId="77777777" w:rsidTr="00F9762B">
        <w:tc>
          <w:tcPr>
            <w:tcW w:w="1701" w:type="dxa"/>
          </w:tcPr>
          <w:p w14:paraId="656B13A3" w14:textId="77777777" w:rsidR="006C5670" w:rsidRPr="00BC4FDC" w:rsidRDefault="006C5670" w:rsidP="00F9762B">
            <w:pPr>
              <w:ind w:right="262"/>
              <w:mirrorIndents/>
              <w:rPr>
                <w:rFonts w:cs="Segoe UI Light"/>
                <w:sz w:val="18"/>
              </w:rPr>
            </w:pPr>
            <w:r>
              <w:rPr>
                <w:rFonts w:cs="Segoe UI Light"/>
                <w:b/>
                <w:sz w:val="18"/>
              </w:rPr>
              <w:t>Waste</w:t>
            </w:r>
          </w:p>
        </w:tc>
        <w:tc>
          <w:tcPr>
            <w:tcW w:w="8504" w:type="dxa"/>
          </w:tcPr>
          <w:p w14:paraId="656B13A4" w14:textId="77777777" w:rsidR="006C5670" w:rsidRPr="00064264" w:rsidRDefault="006C5670" w:rsidP="00F9762B">
            <w:pPr>
              <w:ind w:right="262"/>
              <w:mirrorIndents/>
              <w:rPr>
                <w:rFonts w:cs="Segoe UI Light"/>
                <w:sz w:val="18"/>
              </w:rPr>
            </w:pPr>
            <w:r w:rsidRPr="00064264">
              <w:rPr>
                <w:rFonts w:cs="Segoe UI Light"/>
                <w:sz w:val="18"/>
              </w:rPr>
              <w:t>The preferred option is to:</w:t>
            </w:r>
          </w:p>
          <w:p w14:paraId="656B13A5" w14:textId="77777777" w:rsidR="006C5670" w:rsidRDefault="006C5670" w:rsidP="00F9762B">
            <w:pPr>
              <w:pStyle w:val="ListParagraph"/>
              <w:numPr>
                <w:ilvl w:val="0"/>
                <w:numId w:val="62"/>
              </w:numPr>
              <w:ind w:left="285" w:right="262" w:hanging="285"/>
              <w:mirrorIndents/>
              <w:rPr>
                <w:rFonts w:cs="Segoe UI Light"/>
                <w:sz w:val="18"/>
              </w:rPr>
            </w:pPr>
            <w:r w:rsidRPr="00064264">
              <w:rPr>
                <w:rFonts w:cs="Segoe UI Light"/>
                <w:sz w:val="18"/>
              </w:rPr>
              <w:t>Adopt a tiered waste classification pathway with supporting guidance which guides the user through the classification process to understand their waste and identify its source, type and classification as priority, reportable priority or industrial waste</w:t>
            </w:r>
            <w:r>
              <w:rPr>
                <w:rFonts w:cs="Segoe UI Light"/>
                <w:sz w:val="18"/>
              </w:rPr>
              <w:t>.</w:t>
            </w:r>
          </w:p>
          <w:p w14:paraId="656B13A6" w14:textId="77777777" w:rsidR="006C5670" w:rsidRPr="00064264" w:rsidRDefault="006C5670" w:rsidP="00F9762B">
            <w:pPr>
              <w:pStyle w:val="ListParagraph"/>
              <w:numPr>
                <w:ilvl w:val="0"/>
                <w:numId w:val="62"/>
              </w:numPr>
              <w:ind w:left="285" w:right="262" w:hanging="285"/>
              <w:mirrorIndents/>
              <w:rPr>
                <w:rFonts w:cs="Segoe UI Light"/>
                <w:sz w:val="18"/>
              </w:rPr>
            </w:pPr>
            <w:r>
              <w:rPr>
                <w:rFonts w:cs="Segoe UI Light"/>
                <w:sz w:val="18"/>
              </w:rPr>
              <w:t xml:space="preserve">Use the permissioning framework to establish </w:t>
            </w:r>
            <w:r w:rsidRPr="008C16EB">
              <w:rPr>
                <w:rFonts w:cs="Segoe UI Light"/>
                <w:sz w:val="18"/>
              </w:rPr>
              <w:t>to lawful</w:t>
            </w:r>
            <w:r>
              <w:rPr>
                <w:rFonts w:cs="Segoe UI Light"/>
                <w:sz w:val="18"/>
              </w:rPr>
              <w:t xml:space="preserve"> authority to </w:t>
            </w:r>
            <w:r w:rsidRPr="008C16EB">
              <w:rPr>
                <w:rFonts w:cs="Segoe UI Light"/>
                <w:sz w:val="18"/>
              </w:rPr>
              <w:t>accept waste</w:t>
            </w:r>
            <w:r>
              <w:rPr>
                <w:rFonts w:cs="Segoe UI Light"/>
                <w:sz w:val="18"/>
              </w:rPr>
              <w:t xml:space="preserve">, plus the introduction of one additional tool for </w:t>
            </w:r>
            <w:r w:rsidR="00E54F70">
              <w:rPr>
                <w:rFonts w:cs="Segoe UI Light"/>
                <w:sz w:val="18"/>
              </w:rPr>
              <w:t>allowing the use of wastes using a self</w:t>
            </w:r>
            <w:r w:rsidR="00C624E0">
              <w:rPr>
                <w:rFonts w:cs="Segoe UI Light"/>
                <w:sz w:val="18"/>
              </w:rPr>
              <w:t>-</w:t>
            </w:r>
            <w:r w:rsidR="00E54F70">
              <w:rPr>
                <w:rFonts w:cs="Segoe UI Light"/>
                <w:sz w:val="18"/>
              </w:rPr>
              <w:t>assessment process</w:t>
            </w:r>
            <w:r>
              <w:rPr>
                <w:rFonts w:cs="Segoe UI Light"/>
                <w:sz w:val="18"/>
              </w:rPr>
              <w:t xml:space="preserve">. </w:t>
            </w:r>
          </w:p>
          <w:p w14:paraId="656B13A7" w14:textId="77777777" w:rsidR="006C5670" w:rsidRPr="00064264" w:rsidRDefault="006C5670" w:rsidP="00F9762B">
            <w:pPr>
              <w:pStyle w:val="ListParagraph"/>
              <w:numPr>
                <w:ilvl w:val="0"/>
                <w:numId w:val="62"/>
              </w:numPr>
              <w:ind w:left="285" w:right="262" w:hanging="285"/>
              <w:mirrorIndents/>
              <w:rPr>
                <w:rFonts w:cs="Segoe UI Light"/>
                <w:sz w:val="18"/>
              </w:rPr>
            </w:pPr>
            <w:r w:rsidRPr="00064264">
              <w:rPr>
                <w:rFonts w:cs="Segoe UI Light"/>
                <w:sz w:val="18"/>
              </w:rPr>
              <w:t xml:space="preserve">Prescribe waste types that are determined to be very-high-hazard, high-hazard and moderate hazard, and those at risk of mismanagement, as priority waste </w:t>
            </w:r>
          </w:p>
          <w:p w14:paraId="656B13A8" w14:textId="77777777" w:rsidR="006C5670" w:rsidRPr="00064264" w:rsidRDefault="006C5670" w:rsidP="00F9762B">
            <w:pPr>
              <w:pStyle w:val="ListParagraph"/>
              <w:numPr>
                <w:ilvl w:val="0"/>
                <w:numId w:val="62"/>
              </w:numPr>
              <w:ind w:left="285" w:right="262" w:hanging="285"/>
              <w:mirrorIndents/>
              <w:rPr>
                <w:rFonts w:cs="Segoe UI Light"/>
                <w:sz w:val="18"/>
              </w:rPr>
            </w:pPr>
            <w:r w:rsidRPr="00064264">
              <w:rPr>
                <w:rFonts w:cs="Segoe UI Light"/>
                <w:sz w:val="18"/>
              </w:rPr>
              <w:t>Require transport permissions for all very high to moderate hazard waste, and transaction tracking for all very high</w:t>
            </w:r>
            <w:r w:rsidR="008B63A6">
              <w:rPr>
                <w:rFonts w:cs="Segoe UI Light"/>
                <w:sz w:val="18"/>
              </w:rPr>
              <w:t>,</w:t>
            </w:r>
            <w:r w:rsidRPr="00064264">
              <w:rPr>
                <w:rFonts w:cs="Segoe UI Light"/>
                <w:sz w:val="18"/>
              </w:rPr>
              <w:t xml:space="preserve"> high hazard wastes</w:t>
            </w:r>
            <w:r w:rsidR="00281282">
              <w:rPr>
                <w:rFonts w:cs="Segoe UI Light"/>
                <w:sz w:val="18"/>
              </w:rPr>
              <w:t xml:space="preserve"> </w:t>
            </w:r>
            <w:r w:rsidR="008B63A6">
              <w:rPr>
                <w:rFonts w:cs="Segoe UI Light"/>
                <w:sz w:val="18"/>
              </w:rPr>
              <w:t>and tyres</w:t>
            </w:r>
            <w:r w:rsidRPr="00064264">
              <w:rPr>
                <w:rFonts w:cs="Segoe UI Light"/>
                <w:sz w:val="18"/>
              </w:rPr>
              <w:t xml:space="preserve">. Transaction duties and waste tracking responsibilities can be fulfilled by waste </w:t>
            </w:r>
            <w:r w:rsidR="008B63A6">
              <w:rPr>
                <w:rFonts w:cs="Segoe UI Light"/>
                <w:sz w:val="18"/>
              </w:rPr>
              <w:t>using a new electronic tracking system under development.</w:t>
            </w:r>
          </w:p>
          <w:p w14:paraId="656B13A9" w14:textId="77777777" w:rsidR="006C5670" w:rsidRDefault="00232D42" w:rsidP="00F9762B">
            <w:pPr>
              <w:pStyle w:val="ListParagraph"/>
              <w:numPr>
                <w:ilvl w:val="0"/>
                <w:numId w:val="62"/>
              </w:numPr>
              <w:ind w:left="285" w:right="262" w:hanging="285"/>
              <w:mirrorIndents/>
              <w:rPr>
                <w:rFonts w:cs="Segoe UI Light"/>
                <w:sz w:val="18"/>
              </w:rPr>
            </w:pPr>
            <w:r>
              <w:rPr>
                <w:rFonts w:cs="Segoe UI Light"/>
                <w:sz w:val="18"/>
              </w:rPr>
              <w:t>P</w:t>
            </w:r>
            <w:r w:rsidR="006C5670" w:rsidRPr="00064264">
              <w:rPr>
                <w:rFonts w:cs="Segoe UI Light"/>
                <w:sz w:val="18"/>
              </w:rPr>
              <w:t xml:space="preserve">rescribe the sensitive environmental areas that must not be impacted by a landfill, and clarify technical landfill requirements, in regulations. </w:t>
            </w:r>
          </w:p>
          <w:p w14:paraId="656B13AA" w14:textId="77777777" w:rsidR="006C5670" w:rsidRDefault="00232D42" w:rsidP="00F9762B">
            <w:pPr>
              <w:pStyle w:val="ListParagraph"/>
              <w:numPr>
                <w:ilvl w:val="0"/>
                <w:numId w:val="62"/>
              </w:numPr>
              <w:ind w:left="285" w:right="262" w:hanging="285"/>
              <w:mirrorIndents/>
              <w:rPr>
                <w:rFonts w:cs="Segoe UI Light"/>
                <w:sz w:val="18"/>
              </w:rPr>
            </w:pPr>
            <w:r>
              <w:rPr>
                <w:rFonts w:cs="Segoe UI Light"/>
                <w:sz w:val="18"/>
              </w:rPr>
              <w:t>P</w:t>
            </w:r>
            <w:r w:rsidR="006C5670" w:rsidRPr="00BC4FDC">
              <w:rPr>
                <w:rFonts w:cs="Segoe UI Light"/>
                <w:sz w:val="18"/>
              </w:rPr>
              <w:t xml:space="preserve">rescribe elements of the waste levy scheme in regulation that are required for its effective operation. </w:t>
            </w:r>
          </w:p>
          <w:p w14:paraId="656B13AB" w14:textId="77777777" w:rsidR="006C5670" w:rsidRPr="00BC4FDC" w:rsidRDefault="006C5670" w:rsidP="00037AF8">
            <w:pPr>
              <w:spacing w:after="0"/>
              <w:ind w:right="262"/>
              <w:mirrorIndents/>
              <w:rPr>
                <w:rFonts w:cs="Segoe UI Light"/>
                <w:sz w:val="18"/>
              </w:rPr>
            </w:pPr>
            <w:r>
              <w:rPr>
                <w:rFonts w:cs="Segoe UI Light"/>
                <w:sz w:val="18"/>
              </w:rPr>
              <w:t xml:space="preserve">Collectively, </w:t>
            </w:r>
            <w:r w:rsidR="000E7548">
              <w:rPr>
                <w:rFonts w:cs="Segoe UI Light"/>
                <w:sz w:val="18"/>
              </w:rPr>
              <w:t xml:space="preserve">these proposals aim to </w:t>
            </w:r>
            <w:r>
              <w:rPr>
                <w:rFonts w:cs="Segoe UI Light"/>
                <w:sz w:val="18"/>
              </w:rPr>
              <w:t xml:space="preserve">enable the effective operation of Victoria’s new waste framework established in the EP Act, and reduce the </w:t>
            </w:r>
            <w:r w:rsidR="00E90D5B">
              <w:rPr>
                <w:rFonts w:cs="Segoe UI Light"/>
                <w:sz w:val="18"/>
              </w:rPr>
              <w:t>significant</w:t>
            </w:r>
            <w:r>
              <w:rPr>
                <w:rFonts w:cs="Segoe UI Light"/>
                <w:sz w:val="18"/>
              </w:rPr>
              <w:t xml:space="preserve"> risks of harm from waste mismanagement in Victoria. </w:t>
            </w:r>
          </w:p>
        </w:tc>
      </w:tr>
      <w:tr w:rsidR="006C5670" w:rsidRPr="00064264" w14:paraId="656B13B2" w14:textId="77777777" w:rsidTr="00F9762B">
        <w:tc>
          <w:tcPr>
            <w:tcW w:w="1701" w:type="dxa"/>
          </w:tcPr>
          <w:p w14:paraId="656B13AD" w14:textId="77777777" w:rsidR="006C5670" w:rsidRPr="00BC4FDC" w:rsidRDefault="006C5670" w:rsidP="00F9762B">
            <w:pPr>
              <w:ind w:right="262"/>
              <w:mirrorIndents/>
              <w:rPr>
                <w:rFonts w:cs="Segoe UI Light"/>
                <w:sz w:val="18"/>
              </w:rPr>
            </w:pPr>
            <w:r w:rsidRPr="00BC4FDC">
              <w:rPr>
                <w:b/>
                <w:sz w:val="18"/>
              </w:rPr>
              <w:t>Contaminated land</w:t>
            </w:r>
          </w:p>
        </w:tc>
        <w:tc>
          <w:tcPr>
            <w:tcW w:w="8504" w:type="dxa"/>
          </w:tcPr>
          <w:p w14:paraId="656B13AE" w14:textId="77777777" w:rsidR="006C5670" w:rsidRPr="00005F17" w:rsidRDefault="006C5670" w:rsidP="00F9762B">
            <w:pPr>
              <w:ind w:right="262"/>
              <w:rPr>
                <w:rFonts w:cs="Segoe UI Light"/>
                <w:sz w:val="18"/>
              </w:rPr>
            </w:pPr>
            <w:r w:rsidRPr="00005F17">
              <w:rPr>
                <w:rFonts w:cs="Segoe UI Light"/>
                <w:sz w:val="18"/>
              </w:rPr>
              <w:t xml:space="preserve">The preferred </w:t>
            </w:r>
            <w:r w:rsidR="00472852">
              <w:rPr>
                <w:rFonts w:cs="Segoe UI Light"/>
                <w:sz w:val="18"/>
              </w:rPr>
              <w:t>option</w:t>
            </w:r>
            <w:r w:rsidRPr="00005F17">
              <w:rPr>
                <w:rFonts w:cs="Segoe UI Light"/>
                <w:sz w:val="18"/>
              </w:rPr>
              <w:t xml:space="preserve"> </w:t>
            </w:r>
            <w:r w:rsidR="00472852">
              <w:rPr>
                <w:rFonts w:cs="Segoe UI Light"/>
                <w:sz w:val="18"/>
              </w:rPr>
              <w:t>is to</w:t>
            </w:r>
            <w:r w:rsidRPr="00005F17">
              <w:rPr>
                <w:rFonts w:cs="Segoe UI Light"/>
                <w:sz w:val="18"/>
              </w:rPr>
              <w:t>:</w:t>
            </w:r>
          </w:p>
          <w:p w14:paraId="656B13AF" w14:textId="77777777" w:rsidR="006C5670" w:rsidRPr="00005F17" w:rsidRDefault="00472852" w:rsidP="00F9762B">
            <w:pPr>
              <w:pStyle w:val="ListParagraph"/>
              <w:numPr>
                <w:ilvl w:val="0"/>
                <w:numId w:val="62"/>
              </w:numPr>
              <w:ind w:left="285" w:right="262" w:hanging="285"/>
              <w:mirrorIndents/>
              <w:rPr>
                <w:rFonts w:cs="Segoe UI Light"/>
                <w:sz w:val="18"/>
              </w:rPr>
            </w:pPr>
            <w:r>
              <w:rPr>
                <w:rFonts w:cs="Segoe UI Light"/>
                <w:sz w:val="18"/>
              </w:rPr>
              <w:t>Enable</w:t>
            </w:r>
            <w:r w:rsidR="006C5670" w:rsidRPr="00005F17">
              <w:rPr>
                <w:rFonts w:cs="Segoe UI Light"/>
                <w:sz w:val="18"/>
              </w:rPr>
              <w:t xml:space="preserve"> EPA to make determinations on background levels on a case by case basis and prescribe specific control measures for NAPL contamination.</w:t>
            </w:r>
          </w:p>
          <w:p w14:paraId="656B13B0" w14:textId="77777777" w:rsidR="006C5670" w:rsidRDefault="00472852" w:rsidP="00F9762B">
            <w:pPr>
              <w:pStyle w:val="ListParagraph"/>
              <w:numPr>
                <w:ilvl w:val="0"/>
                <w:numId w:val="62"/>
              </w:numPr>
              <w:ind w:left="285" w:right="262" w:hanging="285"/>
              <w:mirrorIndents/>
              <w:rPr>
                <w:rFonts w:cs="Segoe UI Light"/>
                <w:sz w:val="18"/>
              </w:rPr>
            </w:pPr>
            <w:r>
              <w:rPr>
                <w:rFonts w:cs="Segoe UI Light"/>
                <w:sz w:val="18"/>
              </w:rPr>
              <w:t>P</w:t>
            </w:r>
            <w:r w:rsidR="006C5670" w:rsidRPr="00005F17">
              <w:rPr>
                <w:rFonts w:cs="Segoe UI Light"/>
                <w:sz w:val="18"/>
              </w:rPr>
              <w:t>rescribe in regulation an alternative risk-based definition of notifiable contamination, specific exemptions to notifiable contamination and the requirement for duty holders to provide a management response with their notification to EPA.</w:t>
            </w:r>
          </w:p>
          <w:p w14:paraId="656B13B1" w14:textId="77777777" w:rsidR="006C5670" w:rsidRPr="00BC4FDC" w:rsidRDefault="006C5670" w:rsidP="00037AF8">
            <w:pPr>
              <w:spacing w:after="0"/>
              <w:ind w:right="262"/>
              <w:mirrorIndents/>
              <w:rPr>
                <w:sz w:val="18"/>
              </w:rPr>
            </w:pPr>
            <w:r w:rsidRPr="00C624E0">
              <w:rPr>
                <w:rFonts w:cs="Segoe UI Light"/>
                <w:sz w:val="18"/>
              </w:rPr>
              <w:t>Collectively</w:t>
            </w:r>
            <w:r w:rsidRPr="00153F27">
              <w:rPr>
                <w:rFonts w:cs="Segoe UI Light"/>
                <w:sz w:val="18"/>
              </w:rPr>
              <w:t xml:space="preserve">, these </w:t>
            </w:r>
            <w:r w:rsidR="000E7548">
              <w:rPr>
                <w:rFonts w:cs="Segoe UI Light"/>
                <w:sz w:val="18"/>
              </w:rPr>
              <w:t>aim to</w:t>
            </w:r>
            <w:r w:rsidRPr="00153F27">
              <w:rPr>
                <w:rFonts w:cs="Segoe UI Light"/>
                <w:sz w:val="18"/>
              </w:rPr>
              <w:t xml:space="preserve"> provide greater clarity to duty holders with respect to complying with </w:t>
            </w:r>
            <w:r w:rsidRPr="00C624E0">
              <w:rPr>
                <w:rFonts w:cs="Segoe UI Light"/>
                <w:sz w:val="18"/>
              </w:rPr>
              <w:t xml:space="preserve">contaminated land </w:t>
            </w:r>
            <w:r w:rsidRPr="00153F27">
              <w:rPr>
                <w:rFonts w:cs="Segoe UI Light"/>
                <w:sz w:val="18"/>
              </w:rPr>
              <w:t>duties under the new EP legislation, address the risks posed high-risk contaminants, and minimise the cost burden on duty holders.</w:t>
            </w:r>
            <w:r w:rsidRPr="00153F27">
              <w:rPr>
                <w:color w:val="2B579A"/>
                <w:sz w:val="18"/>
                <w:shd w:val="clear" w:color="auto" w:fill="E6E6E6"/>
              </w:rPr>
              <w:t xml:space="preserve"> </w:t>
            </w:r>
          </w:p>
        </w:tc>
      </w:tr>
      <w:tr w:rsidR="006C5670" w:rsidRPr="000B3873" w14:paraId="656B13B7" w14:textId="77777777" w:rsidTr="00F9762B">
        <w:tc>
          <w:tcPr>
            <w:tcW w:w="1701" w:type="dxa"/>
          </w:tcPr>
          <w:p w14:paraId="656B13B3" w14:textId="77777777" w:rsidR="006C5670" w:rsidRPr="000B3873" w:rsidRDefault="006C5670" w:rsidP="00F9762B">
            <w:pPr>
              <w:ind w:right="262"/>
              <w:rPr>
                <w:rFonts w:cs="Segoe UI Light"/>
                <w:sz w:val="18"/>
              </w:rPr>
            </w:pPr>
            <w:r>
              <w:rPr>
                <w:b/>
                <w:sz w:val="18"/>
              </w:rPr>
              <w:t>Litter</w:t>
            </w:r>
          </w:p>
        </w:tc>
        <w:tc>
          <w:tcPr>
            <w:tcW w:w="8504" w:type="dxa"/>
          </w:tcPr>
          <w:p w14:paraId="656B13B4" w14:textId="77777777" w:rsidR="00506BE8" w:rsidRDefault="006C5670" w:rsidP="00F9762B">
            <w:pPr>
              <w:ind w:right="262"/>
              <w:rPr>
                <w:rFonts w:cs="Segoe UI Light"/>
                <w:sz w:val="18"/>
              </w:rPr>
            </w:pPr>
            <w:r w:rsidRPr="00005F17">
              <w:rPr>
                <w:rFonts w:cs="Segoe UI Light"/>
                <w:sz w:val="18"/>
              </w:rPr>
              <w:t>The preferred option is to</w:t>
            </w:r>
            <w:r w:rsidR="00506BE8">
              <w:rPr>
                <w:rFonts w:cs="Segoe UI Light"/>
                <w:sz w:val="18"/>
              </w:rPr>
              <w:t>:</w:t>
            </w:r>
          </w:p>
          <w:p w14:paraId="656B13B5" w14:textId="77777777" w:rsidR="006C5670" w:rsidRDefault="00C624E0" w:rsidP="00C624E0">
            <w:pPr>
              <w:pStyle w:val="ListParagraph"/>
              <w:numPr>
                <w:ilvl w:val="0"/>
                <w:numId w:val="62"/>
              </w:numPr>
              <w:ind w:left="285" w:right="262" w:hanging="285"/>
              <w:mirrorIndents/>
              <w:rPr>
                <w:rFonts w:cs="Segoe UI Light"/>
                <w:sz w:val="18"/>
              </w:rPr>
            </w:pPr>
            <w:r>
              <w:rPr>
                <w:rFonts w:cs="Segoe UI Light"/>
                <w:sz w:val="18"/>
              </w:rPr>
              <w:t>I</w:t>
            </w:r>
            <w:r w:rsidR="00232D42" w:rsidRPr="00153F27">
              <w:rPr>
                <w:rFonts w:cs="Segoe UI Light"/>
                <w:sz w:val="18"/>
              </w:rPr>
              <w:t xml:space="preserve">nclude </w:t>
            </w:r>
            <w:r w:rsidR="00232D42">
              <w:rPr>
                <w:rFonts w:cs="Segoe UI Light"/>
                <w:sz w:val="18"/>
              </w:rPr>
              <w:t xml:space="preserve">the </w:t>
            </w:r>
            <w:r w:rsidR="00153F27">
              <w:rPr>
                <w:rFonts w:cs="Segoe UI Light"/>
                <w:sz w:val="18"/>
              </w:rPr>
              <w:t>‘</w:t>
            </w:r>
            <w:r w:rsidR="00232D42" w:rsidRPr="00153F27">
              <w:rPr>
                <w:rFonts w:cs="Segoe UI Light"/>
                <w:sz w:val="18"/>
              </w:rPr>
              <w:t>remaining</w:t>
            </w:r>
            <w:r w:rsidR="00153F27">
              <w:rPr>
                <w:rFonts w:cs="Segoe UI Light"/>
                <w:sz w:val="18"/>
              </w:rPr>
              <w:t>’</w:t>
            </w:r>
            <w:r w:rsidR="00232D42" w:rsidRPr="00153F27">
              <w:rPr>
                <w:rFonts w:cs="Segoe UI Light"/>
                <w:sz w:val="18"/>
              </w:rPr>
              <w:t xml:space="preserve"> litter offences from the EP Act 1970 (i.e. those that were not incorporated into the new EP legislation) into regulations, in a more streamlined and modernised manner. </w:t>
            </w:r>
            <w:r w:rsidR="006C5670">
              <w:rPr>
                <w:rFonts w:cs="Segoe UI Light"/>
                <w:sz w:val="18"/>
              </w:rPr>
              <w:t xml:space="preserve">These offences would be enforceable by EPA and other litter enforcement agencies (including local councils, Victoria Police and Parks Victoria). </w:t>
            </w:r>
          </w:p>
          <w:p w14:paraId="656B13B6" w14:textId="77777777" w:rsidR="006C5670" w:rsidRPr="00005F17" w:rsidRDefault="006C5670" w:rsidP="00037AF8">
            <w:pPr>
              <w:spacing w:after="0"/>
              <w:ind w:right="262"/>
              <w:rPr>
                <w:rFonts w:cs="Segoe UI Light"/>
                <w:sz w:val="18"/>
              </w:rPr>
            </w:pPr>
            <w:r>
              <w:rPr>
                <w:rFonts w:cs="Segoe UI Light"/>
                <w:sz w:val="18"/>
              </w:rPr>
              <w:t xml:space="preserve">This </w:t>
            </w:r>
            <w:r w:rsidR="000E7548">
              <w:rPr>
                <w:rFonts w:cs="Segoe UI Light"/>
                <w:sz w:val="18"/>
              </w:rPr>
              <w:t>aims to address</w:t>
            </w:r>
            <w:r>
              <w:rPr>
                <w:rFonts w:cs="Segoe UI Light"/>
                <w:sz w:val="18"/>
              </w:rPr>
              <w:t xml:space="preserve"> the harm caused by depositing material that may become litter, and by damaging litter receptacles.</w:t>
            </w:r>
          </w:p>
        </w:tc>
      </w:tr>
      <w:tr w:rsidR="006C5670" w:rsidRPr="000B3873" w14:paraId="656B13BC" w14:textId="77777777" w:rsidTr="00F9762B">
        <w:tc>
          <w:tcPr>
            <w:tcW w:w="1701" w:type="dxa"/>
          </w:tcPr>
          <w:p w14:paraId="656B13B8" w14:textId="77777777" w:rsidR="006C5670" w:rsidRPr="000B3873" w:rsidRDefault="006C5670" w:rsidP="00F9762B">
            <w:pPr>
              <w:rPr>
                <w:rFonts w:cs="Segoe UI Light"/>
                <w:sz w:val="18"/>
              </w:rPr>
            </w:pPr>
            <w:r>
              <w:rPr>
                <w:b/>
                <w:sz w:val="18"/>
              </w:rPr>
              <w:t>Plastic bags</w:t>
            </w:r>
          </w:p>
        </w:tc>
        <w:tc>
          <w:tcPr>
            <w:tcW w:w="8504" w:type="dxa"/>
          </w:tcPr>
          <w:p w14:paraId="656B13B9" w14:textId="77777777" w:rsidR="00506BE8" w:rsidRDefault="006C5670" w:rsidP="00C624E0">
            <w:pPr>
              <w:ind w:right="262"/>
              <w:rPr>
                <w:rFonts w:cs="Segoe UI Light"/>
                <w:sz w:val="18"/>
              </w:rPr>
            </w:pPr>
            <w:r w:rsidRPr="00005F17">
              <w:rPr>
                <w:rFonts w:cs="Segoe UI Light"/>
                <w:sz w:val="18"/>
              </w:rPr>
              <w:t>The preferred option is to</w:t>
            </w:r>
            <w:r w:rsidR="00506BE8">
              <w:rPr>
                <w:rFonts w:cs="Segoe UI Light"/>
                <w:sz w:val="18"/>
              </w:rPr>
              <w:t>:</w:t>
            </w:r>
          </w:p>
          <w:p w14:paraId="656B13BA" w14:textId="77777777" w:rsidR="006C5670" w:rsidRDefault="00C624E0" w:rsidP="00C624E0">
            <w:pPr>
              <w:pStyle w:val="ListParagraph"/>
              <w:numPr>
                <w:ilvl w:val="0"/>
                <w:numId w:val="62"/>
              </w:numPr>
              <w:ind w:left="285" w:right="262" w:hanging="285"/>
              <w:mirrorIndents/>
              <w:rPr>
                <w:rFonts w:cs="Segoe UI Light"/>
                <w:sz w:val="18"/>
              </w:rPr>
            </w:pPr>
            <w:r>
              <w:rPr>
                <w:rFonts w:cs="Segoe UI Light"/>
                <w:sz w:val="18"/>
              </w:rPr>
              <w:t>B</w:t>
            </w:r>
            <w:r w:rsidR="006C5670" w:rsidRPr="00005F17">
              <w:rPr>
                <w:rFonts w:cs="Segoe UI Light"/>
                <w:sz w:val="18"/>
              </w:rPr>
              <w:t xml:space="preserve">an </w:t>
            </w:r>
            <w:r w:rsidR="00E3498E">
              <w:rPr>
                <w:rFonts w:cs="Segoe UI Light"/>
                <w:sz w:val="18"/>
              </w:rPr>
              <w:t>retailers</w:t>
            </w:r>
            <w:r w:rsidR="00C652E5">
              <w:rPr>
                <w:rFonts w:cs="Segoe UI Light"/>
                <w:sz w:val="18"/>
              </w:rPr>
              <w:t xml:space="preserve"> in Victoria</w:t>
            </w:r>
            <w:r w:rsidR="00E3498E">
              <w:rPr>
                <w:rFonts w:cs="Segoe UI Light"/>
                <w:sz w:val="18"/>
              </w:rPr>
              <w:t xml:space="preserve"> from </w:t>
            </w:r>
            <w:r w:rsidR="00C652E5">
              <w:rPr>
                <w:rFonts w:cs="Segoe UI Light"/>
                <w:sz w:val="18"/>
              </w:rPr>
              <w:t>selling or providing</w:t>
            </w:r>
            <w:r w:rsidR="006C5670" w:rsidRPr="00005F17">
              <w:rPr>
                <w:rFonts w:cs="Segoe UI Light"/>
                <w:sz w:val="18"/>
              </w:rPr>
              <w:t xml:space="preserve"> all lightweight plastic bags </w:t>
            </w:r>
            <w:r w:rsidR="00EF3C70">
              <w:rPr>
                <w:rFonts w:cs="Segoe UI Light"/>
                <w:sz w:val="18"/>
              </w:rPr>
              <w:t xml:space="preserve">to </w:t>
            </w:r>
            <w:r w:rsidR="00895E16">
              <w:rPr>
                <w:rFonts w:cs="Segoe UI Light"/>
                <w:sz w:val="18"/>
              </w:rPr>
              <w:t>a customer to carry or transport goods sold or provided by the retailer.</w:t>
            </w:r>
            <w:r w:rsidR="006C5670">
              <w:rPr>
                <w:rFonts w:cs="Segoe UI Light"/>
                <w:sz w:val="18"/>
              </w:rPr>
              <w:t xml:space="preserve"> </w:t>
            </w:r>
            <w:r w:rsidR="006C5670" w:rsidRPr="00451087">
              <w:rPr>
                <w:rFonts w:cs="Segoe UI Light"/>
                <w:sz w:val="18"/>
              </w:rPr>
              <w:t xml:space="preserve">Lightweight degradable, biodegradable and compostable shopping bags made wholly or partly of plastic would also be subject to the ban. However, barrier bags </w:t>
            </w:r>
            <w:r w:rsidR="00E95120">
              <w:rPr>
                <w:rFonts w:cs="Segoe UI Light"/>
                <w:sz w:val="18"/>
              </w:rPr>
              <w:t>(witho</w:t>
            </w:r>
            <w:r w:rsidR="00576B82">
              <w:rPr>
                <w:rFonts w:cs="Segoe UI Light"/>
                <w:sz w:val="18"/>
              </w:rPr>
              <w:t xml:space="preserve">ut handles) </w:t>
            </w:r>
            <w:r w:rsidR="006C5670" w:rsidRPr="00451087">
              <w:rPr>
                <w:rFonts w:cs="Segoe UI Light"/>
                <w:sz w:val="18"/>
              </w:rPr>
              <w:t>and reusable polypropylene (heavier-weight) bags</w:t>
            </w:r>
            <w:r w:rsidR="00576B82">
              <w:rPr>
                <w:rFonts w:cs="Segoe UI Light"/>
                <w:sz w:val="18"/>
              </w:rPr>
              <w:t xml:space="preserve"> will not be banned</w:t>
            </w:r>
            <w:r w:rsidR="006C5670">
              <w:rPr>
                <w:rFonts w:cs="Segoe UI Light"/>
                <w:sz w:val="18"/>
              </w:rPr>
              <w:t xml:space="preserve">. </w:t>
            </w:r>
          </w:p>
          <w:p w14:paraId="656B13BB" w14:textId="77777777" w:rsidR="006C5670" w:rsidRPr="00005F17" w:rsidRDefault="006C5670" w:rsidP="00037AF8">
            <w:pPr>
              <w:pStyle w:val="ListParagraph"/>
              <w:numPr>
                <w:ilvl w:val="0"/>
                <w:numId w:val="62"/>
              </w:numPr>
              <w:spacing w:after="0"/>
              <w:ind w:left="285" w:right="262" w:hanging="285"/>
              <w:mirrorIndents/>
              <w:rPr>
                <w:rFonts w:cs="Segoe UI Light"/>
                <w:sz w:val="18"/>
              </w:rPr>
            </w:pPr>
            <w:r>
              <w:rPr>
                <w:rFonts w:cs="Segoe UI Light"/>
                <w:sz w:val="18"/>
              </w:rPr>
              <w:t>This option</w:t>
            </w:r>
            <w:r w:rsidR="000E7548">
              <w:rPr>
                <w:rFonts w:cs="Segoe UI Light"/>
                <w:sz w:val="18"/>
              </w:rPr>
              <w:t xml:space="preserve"> aims to</w:t>
            </w:r>
            <w:r w:rsidR="00232D42">
              <w:rPr>
                <w:rFonts w:cs="Segoe UI Light"/>
                <w:sz w:val="18"/>
              </w:rPr>
              <w:t xml:space="preserve"> significantly reduce</w:t>
            </w:r>
            <w:r>
              <w:rPr>
                <w:rFonts w:cs="Segoe UI Light"/>
                <w:sz w:val="18"/>
              </w:rPr>
              <w:t xml:space="preserve"> the harms that plastic bag pollution causes </w:t>
            </w:r>
            <w:r w:rsidRPr="00005F17">
              <w:rPr>
                <w:rFonts w:cs="Segoe UI Light"/>
                <w:sz w:val="18"/>
              </w:rPr>
              <w:t xml:space="preserve">to wildlife and ecosystems, visual amenity and contamination </w:t>
            </w:r>
            <w:r>
              <w:rPr>
                <w:rFonts w:cs="Segoe UI Light"/>
                <w:sz w:val="18"/>
              </w:rPr>
              <w:t xml:space="preserve">of </w:t>
            </w:r>
            <w:r w:rsidRPr="00005F17">
              <w:rPr>
                <w:rFonts w:cs="Segoe UI Light"/>
                <w:sz w:val="18"/>
              </w:rPr>
              <w:t>recyclables</w:t>
            </w:r>
            <w:r>
              <w:rPr>
                <w:rFonts w:cs="Segoe UI Light"/>
                <w:sz w:val="18"/>
              </w:rPr>
              <w:t>.</w:t>
            </w:r>
          </w:p>
        </w:tc>
      </w:tr>
      <w:tr w:rsidR="006C5670" w:rsidRPr="00005F17" w14:paraId="656B13C4" w14:textId="77777777" w:rsidTr="00F9762B">
        <w:tc>
          <w:tcPr>
            <w:tcW w:w="1701" w:type="dxa"/>
          </w:tcPr>
          <w:p w14:paraId="656B13BD" w14:textId="77777777" w:rsidR="006C5670" w:rsidRPr="00BC4FDC" w:rsidRDefault="006C5670" w:rsidP="00F9762B">
            <w:pPr>
              <w:ind w:right="262"/>
              <w:mirrorIndents/>
              <w:rPr>
                <w:rFonts w:cs="Segoe UI Light"/>
                <w:sz w:val="18"/>
              </w:rPr>
            </w:pPr>
            <w:r>
              <w:rPr>
                <w:b/>
                <w:sz w:val="18"/>
              </w:rPr>
              <w:t>Air</w:t>
            </w:r>
          </w:p>
        </w:tc>
        <w:tc>
          <w:tcPr>
            <w:tcW w:w="8504" w:type="dxa"/>
          </w:tcPr>
          <w:p w14:paraId="656B13BE" w14:textId="77777777" w:rsidR="006C5670" w:rsidRPr="00064264" w:rsidRDefault="006C5670" w:rsidP="00F9762B">
            <w:pPr>
              <w:ind w:right="262"/>
              <w:mirrorIndents/>
              <w:rPr>
                <w:rFonts w:cs="Segoe UI Light"/>
                <w:sz w:val="18"/>
              </w:rPr>
            </w:pPr>
            <w:r w:rsidRPr="00064264">
              <w:rPr>
                <w:rFonts w:cs="Segoe UI Light"/>
                <w:sz w:val="18"/>
              </w:rPr>
              <w:t xml:space="preserve">The preferred option is to: </w:t>
            </w:r>
          </w:p>
          <w:p w14:paraId="656B13BF" w14:textId="77777777" w:rsidR="006C5670" w:rsidRDefault="006C5670" w:rsidP="00F9762B">
            <w:pPr>
              <w:pStyle w:val="ListParagraph"/>
              <w:numPr>
                <w:ilvl w:val="0"/>
                <w:numId w:val="62"/>
              </w:numPr>
              <w:ind w:left="285" w:right="262" w:hanging="285"/>
              <w:mirrorIndents/>
              <w:rPr>
                <w:rFonts w:cs="Segoe UI Light"/>
                <w:sz w:val="18"/>
              </w:rPr>
            </w:pPr>
            <w:r>
              <w:rPr>
                <w:rFonts w:cs="Segoe UI Light"/>
                <w:sz w:val="18"/>
              </w:rPr>
              <w:t>Specify risk control measures</w:t>
            </w:r>
            <w:r w:rsidRPr="005E3DFB">
              <w:rPr>
                <w:rFonts w:cs="Segoe UI Light"/>
                <w:sz w:val="18"/>
              </w:rPr>
              <w:t xml:space="preserve"> </w:t>
            </w:r>
            <w:r>
              <w:rPr>
                <w:rFonts w:cs="Segoe UI Light"/>
                <w:sz w:val="18"/>
              </w:rPr>
              <w:t xml:space="preserve">for licenced emitters of Class 3 substances that are commensurate to their risk by specifying </w:t>
            </w:r>
            <w:r w:rsidRPr="005E3DFB">
              <w:rPr>
                <w:rFonts w:cs="Segoe UI Light"/>
                <w:sz w:val="18"/>
              </w:rPr>
              <w:t xml:space="preserve">obligations in relation to </w:t>
            </w:r>
            <w:r>
              <w:rPr>
                <w:rFonts w:cs="Segoe UI Light"/>
                <w:sz w:val="18"/>
              </w:rPr>
              <w:t>such pollutants.</w:t>
            </w:r>
          </w:p>
          <w:p w14:paraId="656B13C0" w14:textId="77777777" w:rsidR="006C5670" w:rsidRPr="00C30746" w:rsidRDefault="006C5670" w:rsidP="00F9762B">
            <w:pPr>
              <w:pStyle w:val="ListParagraph"/>
              <w:numPr>
                <w:ilvl w:val="0"/>
                <w:numId w:val="62"/>
              </w:numPr>
              <w:ind w:left="285" w:right="262" w:hanging="285"/>
              <w:mirrorIndents/>
              <w:rPr>
                <w:rFonts w:cs="Segoe UI Light"/>
                <w:sz w:val="18"/>
              </w:rPr>
            </w:pPr>
            <w:r>
              <w:rPr>
                <w:rFonts w:cs="Segoe UI Light"/>
                <w:sz w:val="18"/>
              </w:rPr>
              <w:t>Place requirements on h</w:t>
            </w:r>
            <w:r w:rsidRPr="00C30746">
              <w:rPr>
                <w:rFonts w:cs="Segoe UI Light"/>
                <w:sz w:val="18"/>
              </w:rPr>
              <w:t xml:space="preserve">andlers, suppliers and purchasers of equipment with methyl </w:t>
            </w:r>
            <w:r>
              <w:rPr>
                <w:rFonts w:cs="Segoe UI Light"/>
                <w:sz w:val="18"/>
              </w:rPr>
              <w:t xml:space="preserve">bromide, and users of methyl bromide. </w:t>
            </w:r>
          </w:p>
          <w:p w14:paraId="656B13C1" w14:textId="77777777" w:rsidR="006C5670" w:rsidRDefault="006C5670" w:rsidP="00F9762B">
            <w:pPr>
              <w:pStyle w:val="ListParagraph"/>
              <w:numPr>
                <w:ilvl w:val="0"/>
                <w:numId w:val="62"/>
              </w:numPr>
              <w:ind w:left="285" w:right="262" w:hanging="285"/>
              <w:mirrorIndents/>
              <w:rPr>
                <w:rFonts w:cs="Segoe UI Light"/>
                <w:sz w:val="18"/>
              </w:rPr>
            </w:pPr>
            <w:r>
              <w:rPr>
                <w:rFonts w:cs="Segoe UI Light"/>
                <w:sz w:val="18"/>
              </w:rPr>
              <w:t xml:space="preserve">Require all </w:t>
            </w:r>
            <w:r w:rsidRPr="005E3DFB">
              <w:rPr>
                <w:rFonts w:cs="Segoe UI Light"/>
                <w:sz w:val="18"/>
              </w:rPr>
              <w:t xml:space="preserve">wood heaters </w:t>
            </w:r>
            <w:r>
              <w:rPr>
                <w:rFonts w:cs="Segoe UI Light"/>
                <w:sz w:val="18"/>
              </w:rPr>
              <w:t xml:space="preserve">sold and manufactured in Victoria to comply with </w:t>
            </w:r>
            <w:r w:rsidRPr="005E3DFB">
              <w:rPr>
                <w:rFonts w:cs="Segoe UI Light"/>
                <w:sz w:val="18"/>
              </w:rPr>
              <w:t xml:space="preserve">Australian </w:t>
            </w:r>
            <w:r>
              <w:rPr>
                <w:rFonts w:cs="Segoe UI Light"/>
                <w:sz w:val="18"/>
              </w:rPr>
              <w:t xml:space="preserve">New Zealand </w:t>
            </w:r>
            <w:r w:rsidRPr="005E3DFB">
              <w:rPr>
                <w:rFonts w:cs="Segoe UI Light"/>
                <w:sz w:val="18"/>
              </w:rPr>
              <w:t>standards</w:t>
            </w:r>
            <w:r>
              <w:rPr>
                <w:rFonts w:cs="Segoe UI Light"/>
                <w:sz w:val="18"/>
              </w:rPr>
              <w:t xml:space="preserve"> for emissions and efficiency</w:t>
            </w:r>
            <w:r w:rsidRPr="005E3DFB">
              <w:rPr>
                <w:rFonts w:cs="Segoe UI Light"/>
                <w:sz w:val="18"/>
              </w:rPr>
              <w:t>.</w:t>
            </w:r>
          </w:p>
          <w:p w14:paraId="656B13C2" w14:textId="77777777" w:rsidR="006C5670" w:rsidRDefault="006C5670" w:rsidP="00F9762B">
            <w:pPr>
              <w:pStyle w:val="ListParagraph"/>
              <w:numPr>
                <w:ilvl w:val="0"/>
                <w:numId w:val="62"/>
              </w:numPr>
              <w:ind w:left="285" w:right="262" w:hanging="285"/>
              <w:mirrorIndents/>
              <w:rPr>
                <w:rFonts w:cs="Segoe UI Light"/>
                <w:sz w:val="18"/>
              </w:rPr>
            </w:pPr>
            <w:r w:rsidRPr="006C5670">
              <w:rPr>
                <w:rFonts w:cs="Segoe UI Light"/>
                <w:sz w:val="18"/>
              </w:rPr>
              <w:t xml:space="preserve">Require businesses that exceed pollution thresholds </w:t>
            </w:r>
            <w:r>
              <w:rPr>
                <w:rFonts w:cs="Segoe UI Light"/>
                <w:sz w:val="18"/>
              </w:rPr>
              <w:t xml:space="preserve">(specified in the NPI NEPM) </w:t>
            </w:r>
            <w:r w:rsidRPr="006C5670">
              <w:rPr>
                <w:rFonts w:cs="Segoe UI Light"/>
                <w:sz w:val="18"/>
              </w:rPr>
              <w:t xml:space="preserve">to report </w:t>
            </w:r>
            <w:r>
              <w:rPr>
                <w:rFonts w:cs="Segoe UI Light"/>
                <w:sz w:val="18"/>
              </w:rPr>
              <w:t xml:space="preserve">selected emissions </w:t>
            </w:r>
            <w:r w:rsidRPr="006C5670">
              <w:rPr>
                <w:rFonts w:cs="Segoe UI Light"/>
                <w:sz w:val="18"/>
              </w:rPr>
              <w:t xml:space="preserve">to the </w:t>
            </w:r>
            <w:r>
              <w:rPr>
                <w:rFonts w:cs="Segoe UI Light"/>
                <w:sz w:val="18"/>
              </w:rPr>
              <w:t>NPI</w:t>
            </w:r>
            <w:r w:rsidR="002F6FA1">
              <w:rPr>
                <w:rFonts w:cs="Segoe UI Light"/>
                <w:sz w:val="18"/>
              </w:rPr>
              <w:t>.</w:t>
            </w:r>
            <w:r w:rsidRPr="006C5670">
              <w:rPr>
                <w:rFonts w:cs="Segoe UI Light"/>
                <w:sz w:val="18"/>
              </w:rPr>
              <w:t xml:space="preserve"> </w:t>
            </w:r>
          </w:p>
          <w:p w14:paraId="656B13C3" w14:textId="77777777" w:rsidR="006C5670" w:rsidRPr="006C5670" w:rsidRDefault="006C5670" w:rsidP="00037AF8">
            <w:pPr>
              <w:spacing w:after="0"/>
              <w:ind w:right="262"/>
              <w:mirrorIndents/>
              <w:rPr>
                <w:rFonts w:cs="Segoe UI Light"/>
                <w:sz w:val="18"/>
              </w:rPr>
            </w:pPr>
            <w:r>
              <w:rPr>
                <w:rFonts w:cs="Segoe UI Light"/>
                <w:sz w:val="18"/>
              </w:rPr>
              <w:t xml:space="preserve">Collectively, these options </w:t>
            </w:r>
            <w:r w:rsidR="000E7548">
              <w:rPr>
                <w:rFonts w:cs="Segoe UI Light"/>
                <w:sz w:val="18"/>
              </w:rPr>
              <w:t xml:space="preserve">aim to </w:t>
            </w:r>
            <w:r>
              <w:rPr>
                <w:rFonts w:cs="Segoe UI Light"/>
                <w:sz w:val="18"/>
              </w:rPr>
              <w:t xml:space="preserve">address the residual risks of harm to human health and the environment from air pollution. </w:t>
            </w:r>
          </w:p>
        </w:tc>
      </w:tr>
      <w:tr w:rsidR="006C5670" w:rsidRPr="00005F17" w14:paraId="656B13C9" w14:textId="77777777" w:rsidTr="00F9762B">
        <w:tc>
          <w:tcPr>
            <w:tcW w:w="1701" w:type="dxa"/>
          </w:tcPr>
          <w:p w14:paraId="656B13C5" w14:textId="77777777" w:rsidR="006C5670" w:rsidRPr="006C5670" w:rsidRDefault="006C5670" w:rsidP="00F9762B">
            <w:pPr>
              <w:ind w:right="262"/>
              <w:mirrorIndents/>
              <w:rPr>
                <w:b/>
                <w:sz w:val="18"/>
              </w:rPr>
            </w:pPr>
            <w:r w:rsidRPr="006C5670">
              <w:rPr>
                <w:b/>
                <w:sz w:val="18"/>
              </w:rPr>
              <w:t>Water</w:t>
            </w:r>
          </w:p>
        </w:tc>
        <w:tc>
          <w:tcPr>
            <w:tcW w:w="8504" w:type="dxa"/>
          </w:tcPr>
          <w:p w14:paraId="656B13C6" w14:textId="77777777" w:rsidR="00506BE8" w:rsidRDefault="006C5670" w:rsidP="00C624E0">
            <w:pPr>
              <w:ind w:right="262"/>
              <w:rPr>
                <w:rFonts w:cs="Segoe UI Light"/>
                <w:sz w:val="18"/>
              </w:rPr>
            </w:pPr>
            <w:r w:rsidRPr="00005F17">
              <w:rPr>
                <w:rFonts w:cs="Segoe UI Light"/>
                <w:sz w:val="18"/>
              </w:rPr>
              <w:t>The preferred option is</w:t>
            </w:r>
            <w:r>
              <w:rPr>
                <w:rFonts w:cs="Segoe UI Light"/>
                <w:sz w:val="18"/>
              </w:rPr>
              <w:t xml:space="preserve"> to</w:t>
            </w:r>
            <w:r w:rsidR="00506BE8">
              <w:rPr>
                <w:rFonts w:cs="Segoe UI Light"/>
                <w:sz w:val="18"/>
              </w:rPr>
              <w:t>:</w:t>
            </w:r>
          </w:p>
          <w:p w14:paraId="656B13C7" w14:textId="77777777" w:rsidR="006C5670" w:rsidRDefault="00506BE8" w:rsidP="00C624E0">
            <w:pPr>
              <w:pStyle w:val="ListParagraph"/>
              <w:numPr>
                <w:ilvl w:val="0"/>
                <w:numId w:val="62"/>
              </w:numPr>
              <w:ind w:left="285" w:right="262" w:hanging="285"/>
              <w:mirrorIndents/>
              <w:rPr>
                <w:rFonts w:cs="Segoe UI Light"/>
                <w:sz w:val="18"/>
              </w:rPr>
            </w:pPr>
            <w:r>
              <w:rPr>
                <w:rFonts w:cs="Segoe UI Light"/>
                <w:sz w:val="18"/>
              </w:rPr>
              <w:t>P</w:t>
            </w:r>
            <w:r w:rsidR="006C5670" w:rsidRPr="00C30746">
              <w:rPr>
                <w:rFonts w:cs="Segoe UI Light"/>
                <w:sz w:val="18"/>
              </w:rPr>
              <w:t>rescribe that waste from vessels must not be discharged into water: This option would be enacted as a regulation with an infringeable offence that articulates how waste from vessels is to be managed</w:t>
            </w:r>
            <w:r w:rsidR="006C5670">
              <w:rPr>
                <w:rFonts w:cs="Segoe UI Light"/>
                <w:sz w:val="18"/>
              </w:rPr>
              <w:t>.</w:t>
            </w:r>
          </w:p>
          <w:p w14:paraId="656B13C8" w14:textId="77777777" w:rsidR="006C5670" w:rsidRPr="00005F17" w:rsidRDefault="006C5670" w:rsidP="00037AF8">
            <w:pPr>
              <w:spacing w:after="0"/>
              <w:ind w:right="262"/>
              <w:mirrorIndents/>
              <w:rPr>
                <w:rFonts w:cs="Segoe UI Light"/>
                <w:sz w:val="18"/>
              </w:rPr>
            </w:pPr>
            <w:r w:rsidRPr="00C624E0">
              <w:rPr>
                <w:rFonts w:cs="Segoe UI Light"/>
                <w:sz w:val="18"/>
              </w:rPr>
              <w:t xml:space="preserve">This </w:t>
            </w:r>
            <w:r w:rsidR="000E7548">
              <w:rPr>
                <w:rFonts w:cs="Segoe UI Light"/>
                <w:sz w:val="18"/>
              </w:rPr>
              <w:t>aims to</w:t>
            </w:r>
            <w:r w:rsidR="000E7548" w:rsidRPr="00C624E0">
              <w:rPr>
                <w:rFonts w:cs="Segoe UI Light"/>
                <w:sz w:val="18"/>
              </w:rPr>
              <w:t xml:space="preserve"> </w:t>
            </w:r>
            <w:r w:rsidRPr="00C624E0">
              <w:rPr>
                <w:rFonts w:cs="Segoe UI Light"/>
                <w:sz w:val="18"/>
              </w:rPr>
              <w:t>reduce uncertainty for duty holders in relation to their obligations regarding the discharge of waste from vessels under the new EP legislation.</w:t>
            </w:r>
          </w:p>
        </w:tc>
      </w:tr>
      <w:tr w:rsidR="006C5670" w:rsidRPr="00BC7B64" w14:paraId="656B13D0" w14:textId="77777777" w:rsidTr="00F9762B">
        <w:tc>
          <w:tcPr>
            <w:tcW w:w="1701" w:type="dxa"/>
          </w:tcPr>
          <w:p w14:paraId="656B13CA" w14:textId="77777777" w:rsidR="006C5670" w:rsidRPr="006C5670" w:rsidRDefault="006C5670" w:rsidP="00F9762B">
            <w:pPr>
              <w:ind w:right="262"/>
              <w:mirrorIndents/>
              <w:rPr>
                <w:b/>
                <w:sz w:val="18"/>
              </w:rPr>
            </w:pPr>
            <w:r w:rsidRPr="006C5670">
              <w:rPr>
                <w:b/>
                <w:sz w:val="18"/>
              </w:rPr>
              <w:t>Noise</w:t>
            </w:r>
          </w:p>
        </w:tc>
        <w:tc>
          <w:tcPr>
            <w:tcW w:w="8504" w:type="dxa"/>
          </w:tcPr>
          <w:p w14:paraId="656B13CB" w14:textId="77777777" w:rsidR="006C5670" w:rsidRDefault="006C5670" w:rsidP="00F9762B">
            <w:pPr>
              <w:ind w:right="262"/>
              <w:rPr>
                <w:rFonts w:cs="Segoe UI Light"/>
                <w:sz w:val="18"/>
              </w:rPr>
            </w:pPr>
            <w:r w:rsidRPr="00005F17">
              <w:rPr>
                <w:rFonts w:cs="Segoe UI Light"/>
                <w:sz w:val="18"/>
              </w:rPr>
              <w:t xml:space="preserve">The preferred </w:t>
            </w:r>
            <w:r w:rsidR="00472852">
              <w:rPr>
                <w:rFonts w:cs="Segoe UI Light"/>
                <w:sz w:val="18"/>
              </w:rPr>
              <w:t>option</w:t>
            </w:r>
            <w:r w:rsidRPr="00005F17">
              <w:rPr>
                <w:rFonts w:cs="Segoe UI Light"/>
                <w:sz w:val="18"/>
              </w:rPr>
              <w:t xml:space="preserve"> </w:t>
            </w:r>
            <w:r w:rsidR="00472852">
              <w:rPr>
                <w:rFonts w:cs="Segoe UI Light"/>
                <w:sz w:val="18"/>
              </w:rPr>
              <w:t>is to</w:t>
            </w:r>
            <w:r>
              <w:rPr>
                <w:rFonts w:cs="Segoe UI Light"/>
                <w:sz w:val="18"/>
              </w:rPr>
              <w:t>:</w:t>
            </w:r>
          </w:p>
          <w:p w14:paraId="656B13CC" w14:textId="77777777" w:rsidR="006C5670" w:rsidRPr="000B2CAD" w:rsidRDefault="006C5670" w:rsidP="00F9762B">
            <w:pPr>
              <w:pStyle w:val="ListParagraph"/>
              <w:numPr>
                <w:ilvl w:val="0"/>
                <w:numId w:val="62"/>
              </w:numPr>
              <w:ind w:left="285" w:right="262" w:hanging="285"/>
              <w:mirrorIndents/>
              <w:rPr>
                <w:rFonts w:cs="Segoe UI Light"/>
                <w:sz w:val="18"/>
              </w:rPr>
            </w:pPr>
            <w:r>
              <w:rPr>
                <w:rFonts w:cs="Segoe UI Light"/>
                <w:sz w:val="18"/>
              </w:rPr>
              <w:t>P</w:t>
            </w:r>
            <w:r w:rsidRPr="000B2CAD">
              <w:rPr>
                <w:rFonts w:cs="Segoe UI Light"/>
                <w:sz w:val="18"/>
              </w:rPr>
              <w:t xml:space="preserve">rescribe a framework for establishing noise limits for </w:t>
            </w:r>
            <w:r>
              <w:rPr>
                <w:rFonts w:cs="Segoe UI Light"/>
                <w:sz w:val="18"/>
              </w:rPr>
              <w:t xml:space="preserve">CIT </w:t>
            </w:r>
            <w:r w:rsidRPr="000B2CAD">
              <w:rPr>
                <w:rFonts w:cs="Segoe UI Light"/>
                <w:sz w:val="18"/>
              </w:rPr>
              <w:t xml:space="preserve">premises in urban and rural areas based on the existing SEPP N-1 </w:t>
            </w:r>
            <w:r>
              <w:rPr>
                <w:rFonts w:cs="Segoe UI Light"/>
                <w:sz w:val="18"/>
              </w:rPr>
              <w:t xml:space="preserve">and </w:t>
            </w:r>
            <w:r w:rsidRPr="000B2CAD">
              <w:rPr>
                <w:rFonts w:cs="Segoe UI Light"/>
                <w:sz w:val="18"/>
              </w:rPr>
              <w:t xml:space="preserve">NIRV arrangements with a range of selected improvements and additions, and prescribe a definition of aggravated noise in regulation. </w:t>
            </w:r>
          </w:p>
          <w:p w14:paraId="656B13CD" w14:textId="77777777" w:rsidR="006C5670" w:rsidRPr="000B2CAD" w:rsidRDefault="006C5670" w:rsidP="00F9762B">
            <w:pPr>
              <w:pStyle w:val="ListParagraph"/>
              <w:numPr>
                <w:ilvl w:val="0"/>
                <w:numId w:val="62"/>
              </w:numPr>
              <w:ind w:left="285" w:right="262" w:hanging="285"/>
              <w:mirrorIndents/>
              <w:rPr>
                <w:rFonts w:cs="Segoe UI Light"/>
                <w:sz w:val="18"/>
              </w:rPr>
            </w:pPr>
            <w:r>
              <w:rPr>
                <w:rFonts w:cs="Segoe UI Light"/>
                <w:sz w:val="18"/>
              </w:rPr>
              <w:t>P</w:t>
            </w:r>
            <w:r w:rsidRPr="000B2CAD">
              <w:rPr>
                <w:rFonts w:cs="Segoe UI Light"/>
                <w:sz w:val="18"/>
              </w:rPr>
              <w:t>rescribe a framework for establishing noise limits for entertainment premises based on the existing SEPP N-2 framework with selected improvement</w:t>
            </w:r>
            <w:r>
              <w:rPr>
                <w:rFonts w:cs="Segoe UI Light"/>
                <w:sz w:val="18"/>
              </w:rPr>
              <w:t>s</w:t>
            </w:r>
            <w:r w:rsidRPr="000B2CAD">
              <w:rPr>
                <w:rFonts w:cs="Segoe UI Light"/>
                <w:sz w:val="18"/>
              </w:rPr>
              <w:t xml:space="preserve">. </w:t>
            </w:r>
          </w:p>
          <w:p w14:paraId="656B13CE" w14:textId="77777777" w:rsidR="006C5670" w:rsidRPr="000A1254" w:rsidRDefault="006C5670" w:rsidP="00F9762B">
            <w:pPr>
              <w:pStyle w:val="ListParagraph"/>
              <w:numPr>
                <w:ilvl w:val="0"/>
                <w:numId w:val="62"/>
              </w:numPr>
              <w:ind w:left="285" w:right="262" w:hanging="285"/>
              <w:mirrorIndents/>
            </w:pPr>
            <w:r>
              <w:rPr>
                <w:rFonts w:cs="Segoe UI Light"/>
                <w:sz w:val="18"/>
              </w:rPr>
              <w:t>P</w:t>
            </w:r>
            <w:r w:rsidRPr="000B2CAD">
              <w:rPr>
                <w:rFonts w:cs="Segoe UI Light"/>
                <w:sz w:val="18"/>
              </w:rPr>
              <w:t>rescribe a range of specific items and prohibited times for residential premises and define aggravated noise</w:t>
            </w:r>
            <w:r w:rsidRPr="000B2CAD">
              <w:rPr>
                <w:rFonts w:cs="Segoe UI Light"/>
                <w:szCs w:val="20"/>
              </w:rPr>
              <w:t>.</w:t>
            </w:r>
          </w:p>
          <w:p w14:paraId="656B13CF" w14:textId="77777777" w:rsidR="006C5670" w:rsidRPr="00005F17" w:rsidRDefault="006C5670" w:rsidP="00037AF8">
            <w:pPr>
              <w:spacing w:after="0"/>
              <w:ind w:right="262"/>
              <w:rPr>
                <w:rFonts w:cs="Segoe UI Light"/>
                <w:sz w:val="18"/>
              </w:rPr>
            </w:pPr>
            <w:r>
              <w:rPr>
                <w:rFonts w:cs="Segoe UI Light"/>
                <w:sz w:val="18"/>
              </w:rPr>
              <w:t>Collectively</w:t>
            </w:r>
            <w:r w:rsidRPr="00153F27">
              <w:rPr>
                <w:rFonts w:cs="Segoe UI Light"/>
                <w:sz w:val="18"/>
              </w:rPr>
              <w:t>, these preferred options</w:t>
            </w:r>
            <w:r w:rsidR="000E7548">
              <w:rPr>
                <w:rFonts w:cs="Segoe UI Light"/>
                <w:sz w:val="18"/>
              </w:rPr>
              <w:t xml:space="preserve"> aim to</w:t>
            </w:r>
            <w:r w:rsidRPr="00153F27">
              <w:rPr>
                <w:rFonts w:cs="Segoe UI Light"/>
                <w:sz w:val="18"/>
              </w:rPr>
              <w:t xml:space="preserve"> reduce </w:t>
            </w:r>
            <w:r w:rsidRPr="00005F17">
              <w:rPr>
                <w:rFonts w:cs="Segoe UI Light"/>
                <w:sz w:val="18"/>
              </w:rPr>
              <w:t xml:space="preserve">uncertainty in relation </w:t>
            </w:r>
            <w:r>
              <w:rPr>
                <w:rFonts w:cs="Segoe UI Light"/>
                <w:sz w:val="18"/>
              </w:rPr>
              <w:t xml:space="preserve">to </w:t>
            </w:r>
            <w:r w:rsidRPr="00005F17">
              <w:rPr>
                <w:rFonts w:cs="Segoe UI Light"/>
                <w:sz w:val="18"/>
              </w:rPr>
              <w:t>the new noise fra</w:t>
            </w:r>
            <w:r>
              <w:rPr>
                <w:rFonts w:cs="Segoe UI Light"/>
                <w:sz w:val="18"/>
              </w:rPr>
              <w:t>mework and, in doing so, reduce instances of under-or-over-</w:t>
            </w:r>
            <w:r w:rsidRPr="00005F17">
              <w:rPr>
                <w:rFonts w:cs="Segoe UI Light"/>
                <w:sz w:val="18"/>
              </w:rPr>
              <w:t>compliance with the new requirements.</w:t>
            </w:r>
          </w:p>
        </w:tc>
      </w:tr>
      <w:tr w:rsidR="006C5670" w14:paraId="656B13D4" w14:textId="77777777" w:rsidTr="00F9762B">
        <w:tc>
          <w:tcPr>
            <w:tcW w:w="1701" w:type="dxa"/>
          </w:tcPr>
          <w:p w14:paraId="656B13D1" w14:textId="77777777" w:rsidR="006C5670" w:rsidRPr="006C5670" w:rsidRDefault="006C5670" w:rsidP="00F9762B">
            <w:pPr>
              <w:ind w:right="262"/>
              <w:mirrorIndents/>
              <w:rPr>
                <w:b/>
                <w:sz w:val="18"/>
              </w:rPr>
            </w:pPr>
            <w:r w:rsidRPr="006C5670">
              <w:rPr>
                <w:b/>
                <w:sz w:val="18"/>
              </w:rPr>
              <w:t>Vehicle emissions</w:t>
            </w:r>
          </w:p>
        </w:tc>
        <w:tc>
          <w:tcPr>
            <w:tcW w:w="8504" w:type="dxa"/>
          </w:tcPr>
          <w:p w14:paraId="656B13D2" w14:textId="3AF781A8" w:rsidR="006C5670" w:rsidRDefault="006C5670" w:rsidP="00F9762B">
            <w:pPr>
              <w:ind w:right="262"/>
              <w:mirrorIndents/>
              <w:rPr>
                <w:sz w:val="18"/>
              </w:rPr>
            </w:pPr>
            <w:r w:rsidRPr="00005F17">
              <w:rPr>
                <w:sz w:val="18"/>
              </w:rPr>
              <w:t xml:space="preserve">The preferred </w:t>
            </w:r>
            <w:r>
              <w:rPr>
                <w:sz w:val="18"/>
              </w:rPr>
              <w:t xml:space="preserve">option </w:t>
            </w:r>
            <w:r w:rsidRPr="00005F17">
              <w:rPr>
                <w:sz w:val="18"/>
              </w:rPr>
              <w:t xml:space="preserve">is to </w:t>
            </w:r>
            <w:r>
              <w:rPr>
                <w:sz w:val="18"/>
              </w:rPr>
              <w:t xml:space="preserve">translate </w:t>
            </w:r>
            <w:r w:rsidRPr="00005F17">
              <w:rPr>
                <w:rFonts w:cs="Segoe UI Light"/>
                <w:sz w:val="18"/>
              </w:rPr>
              <w:t xml:space="preserve">the </w:t>
            </w:r>
            <w:r w:rsidRPr="00005F17">
              <w:rPr>
                <w:i/>
                <w:sz w:val="18"/>
              </w:rPr>
              <w:t xml:space="preserve">Environment Protection (Vehicle Emissions) Regulations 2013 </w:t>
            </w:r>
            <w:r w:rsidRPr="00005F17">
              <w:rPr>
                <w:sz w:val="18"/>
              </w:rPr>
              <w:t xml:space="preserve">into the proposed Environment Protection Regulations </w:t>
            </w:r>
            <w:r w:rsidR="006633BC" w:rsidRPr="00005F17">
              <w:rPr>
                <w:sz w:val="18"/>
              </w:rPr>
              <w:t>20</w:t>
            </w:r>
            <w:r w:rsidR="006633BC">
              <w:rPr>
                <w:sz w:val="18"/>
              </w:rPr>
              <w:t>19</w:t>
            </w:r>
            <w:r>
              <w:rPr>
                <w:sz w:val="18"/>
              </w:rPr>
              <w:t>, and to incorporate minor change</w:t>
            </w:r>
            <w:r w:rsidR="00A30506">
              <w:rPr>
                <w:sz w:val="18"/>
              </w:rPr>
              <w:t>s</w:t>
            </w:r>
            <w:r>
              <w:rPr>
                <w:sz w:val="18"/>
              </w:rPr>
              <w:t xml:space="preserve"> to improve </w:t>
            </w:r>
            <w:r w:rsidR="00C624E0">
              <w:rPr>
                <w:sz w:val="18"/>
              </w:rPr>
              <w:t xml:space="preserve">certainty </w:t>
            </w:r>
            <w:r w:rsidR="00A30506">
              <w:rPr>
                <w:sz w:val="18"/>
              </w:rPr>
              <w:t>and to make regulatory requirements consistent for duty holders</w:t>
            </w:r>
            <w:r>
              <w:rPr>
                <w:sz w:val="18"/>
              </w:rPr>
              <w:t xml:space="preserve">. </w:t>
            </w:r>
          </w:p>
          <w:p w14:paraId="656B13D3" w14:textId="77777777" w:rsidR="006C5670" w:rsidRPr="00005F17" w:rsidRDefault="006C5670" w:rsidP="00037AF8">
            <w:pPr>
              <w:spacing w:after="0"/>
              <w:ind w:right="262"/>
              <w:mirrorIndents/>
              <w:rPr>
                <w:sz w:val="18"/>
              </w:rPr>
            </w:pPr>
            <w:r>
              <w:rPr>
                <w:sz w:val="18"/>
              </w:rPr>
              <w:t xml:space="preserve">This </w:t>
            </w:r>
            <w:r w:rsidR="000E7548">
              <w:rPr>
                <w:sz w:val="18"/>
              </w:rPr>
              <w:t>aims to</w:t>
            </w:r>
            <w:r>
              <w:rPr>
                <w:sz w:val="18"/>
              </w:rPr>
              <w:t xml:space="preserve"> reduce </w:t>
            </w:r>
            <w:r w:rsidRPr="00005F17">
              <w:rPr>
                <w:sz w:val="18"/>
              </w:rPr>
              <w:t>complexity for duty holders and vehicle testers in identifying their obligations and relevant offences</w:t>
            </w:r>
            <w:r w:rsidRPr="00153F27">
              <w:rPr>
                <w:color w:val="2B579A"/>
                <w:sz w:val="18"/>
                <w:shd w:val="clear" w:color="auto" w:fill="E6E6E6"/>
              </w:rPr>
              <w:t>.</w:t>
            </w:r>
          </w:p>
        </w:tc>
      </w:tr>
    </w:tbl>
    <w:p w14:paraId="656B13D5" w14:textId="77777777" w:rsidR="006C5670" w:rsidRDefault="006C5670" w:rsidP="00153F27"/>
    <w:p w14:paraId="656B13D6" w14:textId="77777777" w:rsidR="00404F71" w:rsidRDefault="006C5670" w:rsidP="00982D63">
      <w:pPr>
        <w:pStyle w:val="Heading2"/>
      </w:pPr>
      <w:r>
        <w:t>New r</w:t>
      </w:r>
      <w:r w:rsidR="00F12BDF">
        <w:t xml:space="preserve">equirements </w:t>
      </w:r>
      <w:r>
        <w:t xml:space="preserve">and changes </w:t>
      </w:r>
      <w:r w:rsidR="00F9762B">
        <w:t xml:space="preserve">from </w:t>
      </w:r>
      <w:r>
        <w:t>preferred options</w:t>
      </w:r>
    </w:p>
    <w:p w14:paraId="656B13D7" w14:textId="77777777" w:rsidR="00576A4D" w:rsidRDefault="00576A4D" w:rsidP="00153F27">
      <w:r>
        <w:t xml:space="preserve">The table below outlines the </w:t>
      </w:r>
      <w:r w:rsidR="00992B2B">
        <w:t>significant changes that</w:t>
      </w:r>
      <w:r>
        <w:t xml:space="preserve"> stakeholders will </w:t>
      </w:r>
      <w:r w:rsidR="00992B2B">
        <w:t>face,</w:t>
      </w:r>
      <w:r>
        <w:t xml:space="preserve"> relative to the existing environment protection framework (as a result of adopting </w:t>
      </w:r>
      <w:r w:rsidR="00992B2B">
        <w:t xml:space="preserve">the preferred </w:t>
      </w:r>
      <w:r>
        <w:t>options</w:t>
      </w:r>
      <w:r w:rsidR="00992B2B">
        <w:t xml:space="preserve"> within this RIS</w:t>
      </w:r>
      <w:r>
        <w:t xml:space="preserve">). </w:t>
      </w:r>
      <w:r w:rsidR="006A5058">
        <w:t>Reasons underlying the proposed changes are outlined in the chapters above.</w:t>
      </w:r>
    </w:p>
    <w:p w14:paraId="656B13D8" w14:textId="77777777" w:rsidR="00576A4D" w:rsidRPr="00153F27" w:rsidRDefault="009B0443" w:rsidP="009B0443">
      <w:pPr>
        <w:pStyle w:val="Caption"/>
        <w:rPr>
          <w:rFonts w:cs="Segoe UI Light"/>
          <w:sz w:val="18"/>
          <w:szCs w:val="20"/>
        </w:rPr>
      </w:pPr>
      <w:r w:rsidRPr="009B0443">
        <w:rPr>
          <w:rFonts w:cs="Segoe UI Light"/>
          <w:iCs w:val="0"/>
          <w:sz w:val="18"/>
          <w:szCs w:val="20"/>
        </w:rPr>
        <w:t xml:space="preserve">Table </w:t>
      </w:r>
      <w:r w:rsidRPr="009B0443">
        <w:rPr>
          <w:rFonts w:cs="Segoe UI Light"/>
          <w:color w:val="2B579A"/>
          <w:sz w:val="18"/>
          <w:szCs w:val="20"/>
          <w:shd w:val="clear" w:color="auto" w:fill="E6E6E6"/>
        </w:rPr>
        <w:fldChar w:fldCharType="begin"/>
      </w:r>
      <w:r w:rsidRPr="009B0443">
        <w:rPr>
          <w:rFonts w:cs="Segoe UI Light"/>
          <w:iCs w:val="0"/>
          <w:sz w:val="18"/>
          <w:szCs w:val="20"/>
        </w:rPr>
        <w:instrText xml:space="preserve"> STYLEREF 1 \s </w:instrText>
      </w:r>
      <w:r w:rsidRPr="009B0443">
        <w:rPr>
          <w:rFonts w:cs="Segoe UI Light"/>
          <w:color w:val="2B579A"/>
          <w:sz w:val="18"/>
          <w:szCs w:val="20"/>
          <w:shd w:val="clear" w:color="auto" w:fill="E6E6E6"/>
        </w:rPr>
        <w:fldChar w:fldCharType="separate"/>
      </w:r>
      <w:r w:rsidR="00B11C1E">
        <w:rPr>
          <w:rFonts w:cs="Segoe UI Light"/>
          <w:iCs w:val="0"/>
          <w:noProof/>
          <w:sz w:val="18"/>
          <w:szCs w:val="20"/>
        </w:rPr>
        <w:t>17</w:t>
      </w:r>
      <w:r w:rsidRPr="009B0443">
        <w:rPr>
          <w:rFonts w:cs="Segoe UI Light"/>
          <w:color w:val="2B579A"/>
          <w:sz w:val="18"/>
          <w:szCs w:val="20"/>
          <w:shd w:val="clear" w:color="auto" w:fill="E6E6E6"/>
        </w:rPr>
        <w:fldChar w:fldCharType="end"/>
      </w:r>
      <w:r w:rsidRPr="009B0443">
        <w:rPr>
          <w:rFonts w:cs="Segoe UI Light"/>
          <w:iCs w:val="0"/>
          <w:sz w:val="18"/>
          <w:szCs w:val="20"/>
        </w:rPr>
        <w:noBreakHyphen/>
      </w:r>
      <w:r w:rsidRPr="00153F27">
        <w:rPr>
          <w:rFonts w:cs="Segoe UI Light"/>
          <w:iCs w:val="0"/>
          <w:sz w:val="18"/>
          <w:szCs w:val="20"/>
        </w:rPr>
        <w:fldChar w:fldCharType="begin"/>
      </w:r>
      <w:r w:rsidRPr="009B0443">
        <w:rPr>
          <w:rFonts w:cs="Segoe UI Light"/>
          <w:iCs w:val="0"/>
          <w:sz w:val="18"/>
          <w:szCs w:val="20"/>
        </w:rPr>
        <w:instrText xml:space="preserve"> SEQ Table \* ARABIC \s 1 </w:instrText>
      </w:r>
      <w:r w:rsidRPr="00153F27">
        <w:rPr>
          <w:rFonts w:cs="Segoe UI Light"/>
          <w:iCs w:val="0"/>
          <w:sz w:val="18"/>
          <w:szCs w:val="20"/>
        </w:rPr>
        <w:fldChar w:fldCharType="separate"/>
      </w:r>
      <w:r w:rsidR="00B11C1E">
        <w:rPr>
          <w:rFonts w:cs="Segoe UI Light"/>
          <w:iCs w:val="0"/>
          <w:noProof/>
          <w:sz w:val="18"/>
          <w:szCs w:val="20"/>
        </w:rPr>
        <w:t>2</w:t>
      </w:r>
      <w:r w:rsidRPr="00153F27">
        <w:rPr>
          <w:rFonts w:cs="Segoe UI Light"/>
          <w:iCs w:val="0"/>
          <w:sz w:val="18"/>
          <w:szCs w:val="20"/>
        </w:rPr>
        <w:fldChar w:fldCharType="end"/>
      </w:r>
      <w:r w:rsidRPr="00153F27">
        <w:rPr>
          <w:rFonts w:cs="Segoe UI Light"/>
          <w:iCs w:val="0"/>
          <w:sz w:val="18"/>
          <w:szCs w:val="20"/>
        </w:rPr>
        <w:t xml:space="preserve"> </w:t>
      </w:r>
      <w:r>
        <w:rPr>
          <w:rFonts w:cs="Segoe UI Light"/>
          <w:iCs w:val="0"/>
          <w:sz w:val="18"/>
          <w:szCs w:val="20"/>
        </w:rPr>
        <w:t>Key changes to stakeholders from preferred options</w:t>
      </w:r>
    </w:p>
    <w:tbl>
      <w:tblPr>
        <w:tblStyle w:val="Deloittetable"/>
        <w:tblW w:w="10206" w:type="dxa"/>
        <w:tblLook w:val="04A0" w:firstRow="1" w:lastRow="0" w:firstColumn="1" w:lastColumn="0" w:noHBand="0" w:noVBand="1"/>
      </w:tblPr>
      <w:tblGrid>
        <w:gridCol w:w="1275"/>
        <w:gridCol w:w="8931"/>
      </w:tblGrid>
      <w:tr w:rsidR="00576A4D" w:rsidRPr="00005F17" w14:paraId="656B13DB" w14:textId="77777777" w:rsidTr="00603FBA">
        <w:trPr>
          <w:cnfStyle w:val="100000000000" w:firstRow="1" w:lastRow="0" w:firstColumn="0" w:lastColumn="0" w:oddVBand="0" w:evenVBand="0" w:oddHBand="0" w:evenHBand="0" w:firstRowFirstColumn="0" w:firstRowLastColumn="0" w:lastRowFirstColumn="0" w:lastRowLastColumn="0"/>
          <w:tblHeader/>
        </w:trPr>
        <w:tc>
          <w:tcPr>
            <w:tcW w:w="1275" w:type="dxa"/>
          </w:tcPr>
          <w:p w14:paraId="656B13D9" w14:textId="77777777" w:rsidR="00404F71" w:rsidRPr="00005F17" w:rsidRDefault="00404F71" w:rsidP="00BB5D7E">
            <w:pPr>
              <w:mirrorIndents/>
              <w:rPr>
                <w:rFonts w:cs="Segoe UI Light"/>
                <w:b/>
                <w:sz w:val="18"/>
              </w:rPr>
            </w:pPr>
            <w:r w:rsidRPr="00005F17">
              <w:rPr>
                <w:rFonts w:cs="Segoe UI Light"/>
                <w:b/>
                <w:sz w:val="18"/>
              </w:rPr>
              <w:t>Problem area</w:t>
            </w:r>
          </w:p>
        </w:tc>
        <w:tc>
          <w:tcPr>
            <w:tcW w:w="8931" w:type="dxa"/>
          </w:tcPr>
          <w:p w14:paraId="656B13DA" w14:textId="77777777" w:rsidR="00404F71" w:rsidRPr="00005F17" w:rsidRDefault="00404F71" w:rsidP="00BB5D7E">
            <w:pPr>
              <w:mirrorIndents/>
              <w:rPr>
                <w:rFonts w:cs="Segoe UI Light"/>
                <w:b/>
                <w:sz w:val="18"/>
              </w:rPr>
            </w:pPr>
            <w:r>
              <w:rPr>
                <w:rFonts w:cs="Segoe UI Light"/>
                <w:b/>
                <w:sz w:val="18"/>
              </w:rPr>
              <w:t>Key changes for stakeholders</w:t>
            </w:r>
            <w:r w:rsidR="00992B2B">
              <w:rPr>
                <w:rFonts w:cs="Segoe UI Light"/>
                <w:b/>
                <w:sz w:val="18"/>
              </w:rPr>
              <w:t xml:space="preserve"> under the preferred option</w:t>
            </w:r>
          </w:p>
        </w:tc>
      </w:tr>
      <w:tr w:rsidR="00576A4D" w:rsidRPr="00005F17" w14:paraId="656B13EE" w14:textId="77777777" w:rsidTr="00603FBA">
        <w:tc>
          <w:tcPr>
            <w:tcW w:w="1275" w:type="dxa"/>
          </w:tcPr>
          <w:p w14:paraId="656B13DC" w14:textId="77777777" w:rsidR="00404F71" w:rsidRPr="00005F17" w:rsidRDefault="00404F71" w:rsidP="00BB5D7E">
            <w:pPr>
              <w:mirrorIndents/>
              <w:rPr>
                <w:rFonts w:cs="Segoe UI Light"/>
                <w:b/>
                <w:sz w:val="18"/>
              </w:rPr>
            </w:pPr>
            <w:r w:rsidRPr="00005F17">
              <w:rPr>
                <w:rFonts w:cs="Segoe UI Light"/>
                <w:b/>
                <w:sz w:val="18"/>
              </w:rPr>
              <w:t>Permissions</w:t>
            </w:r>
          </w:p>
        </w:tc>
        <w:tc>
          <w:tcPr>
            <w:tcW w:w="8931" w:type="dxa"/>
          </w:tcPr>
          <w:p w14:paraId="656B13DD" w14:textId="77777777" w:rsidR="00992B2B" w:rsidRDefault="00992B2B" w:rsidP="00153F27">
            <w:pPr>
              <w:ind w:right="262"/>
              <w:mirrorIndents/>
              <w:rPr>
                <w:rFonts w:cs="Segoe UI Light"/>
                <w:sz w:val="18"/>
              </w:rPr>
            </w:pPr>
            <w:r w:rsidRPr="00044A7E">
              <w:rPr>
                <w:rFonts w:cs="Segoe UI Light"/>
                <w:sz w:val="18"/>
              </w:rPr>
              <w:t xml:space="preserve">All activities for which a works approval and licence is required will be carried over unchanged. Existing licence holders will automatically be taken to receive </w:t>
            </w:r>
            <w:r w:rsidR="00232D42">
              <w:rPr>
                <w:rFonts w:cs="Segoe UI Light"/>
                <w:sz w:val="18"/>
              </w:rPr>
              <w:t xml:space="preserve">a </w:t>
            </w:r>
            <w:r w:rsidRPr="00044A7E">
              <w:rPr>
                <w:rFonts w:cs="Segoe UI Light"/>
                <w:sz w:val="18"/>
              </w:rPr>
              <w:t>‘new’ licence and will not need to reapply. There will also be no retrospective change from perpetual to time bound licences. Statutory reviews will, however, apply to all licences (</w:t>
            </w:r>
            <w:r w:rsidR="00060DCA">
              <w:rPr>
                <w:rFonts w:cs="Segoe UI Light"/>
                <w:sz w:val="18"/>
              </w:rPr>
              <w:t xml:space="preserve">both </w:t>
            </w:r>
            <w:r w:rsidRPr="00044A7E">
              <w:rPr>
                <w:rFonts w:cs="Segoe UI Light"/>
                <w:sz w:val="18"/>
              </w:rPr>
              <w:t>existing and those issued post-commencement) and these may result in v</w:t>
            </w:r>
            <w:r>
              <w:rPr>
                <w:rFonts w:cs="Segoe UI Light"/>
                <w:sz w:val="18"/>
              </w:rPr>
              <w:t>ariation of licence conditions, or</w:t>
            </w:r>
            <w:r w:rsidRPr="00044A7E">
              <w:rPr>
                <w:rFonts w:cs="Segoe UI Light"/>
                <w:sz w:val="18"/>
              </w:rPr>
              <w:t xml:space="preserve"> revocation of a licence</w:t>
            </w:r>
            <w:r>
              <w:rPr>
                <w:rFonts w:cs="Segoe UI Light"/>
                <w:sz w:val="18"/>
              </w:rPr>
              <w:t>.</w:t>
            </w:r>
          </w:p>
          <w:p w14:paraId="656B13DE" w14:textId="77777777" w:rsidR="00992B2B" w:rsidRPr="00153F27" w:rsidRDefault="00992B2B" w:rsidP="00153F27">
            <w:pPr>
              <w:spacing w:after="0" w:line="240" w:lineRule="auto"/>
              <w:rPr>
                <w:rFonts w:cs="Segoe UI Light"/>
                <w:sz w:val="18"/>
              </w:rPr>
            </w:pPr>
            <w:r w:rsidRPr="00153F27">
              <w:rPr>
                <w:rFonts w:cs="Segoe UI Light"/>
                <w:sz w:val="18"/>
              </w:rPr>
              <w:t xml:space="preserve">New activities introduced into the permission framework include: </w:t>
            </w:r>
          </w:p>
          <w:p w14:paraId="656B13DF" w14:textId="77777777" w:rsidR="00992B2B" w:rsidRPr="00153F27" w:rsidRDefault="00992B2B" w:rsidP="00044A7E">
            <w:pPr>
              <w:numPr>
                <w:ilvl w:val="1"/>
                <w:numId w:val="202"/>
              </w:numPr>
              <w:spacing w:after="0" w:line="240" w:lineRule="auto"/>
              <w:ind w:left="746" w:hanging="425"/>
              <w:rPr>
                <w:rFonts w:cs="Segoe UI Light"/>
                <w:sz w:val="18"/>
              </w:rPr>
            </w:pPr>
            <w:r w:rsidRPr="00153F27">
              <w:rPr>
                <w:rFonts w:cs="Segoe UI Light"/>
                <w:sz w:val="18"/>
              </w:rPr>
              <w:t>Waste Resource and Recovery Activities (required to hold a licence, permit or registration, based on prescribed thresholds)</w:t>
            </w:r>
            <w:r w:rsidR="00675AB2">
              <w:rPr>
                <w:rFonts w:cs="Segoe UI Light"/>
                <w:sz w:val="18"/>
              </w:rPr>
              <w:t>.</w:t>
            </w:r>
          </w:p>
          <w:p w14:paraId="656B13E0" w14:textId="77777777" w:rsidR="00992B2B" w:rsidRPr="00153F27" w:rsidRDefault="00992B2B" w:rsidP="00044A7E">
            <w:pPr>
              <w:numPr>
                <w:ilvl w:val="1"/>
                <w:numId w:val="202"/>
              </w:numPr>
              <w:spacing w:after="0" w:line="240" w:lineRule="auto"/>
              <w:ind w:left="746" w:hanging="425"/>
              <w:rPr>
                <w:rFonts w:cs="Segoe UI Light"/>
                <w:sz w:val="18"/>
              </w:rPr>
            </w:pPr>
            <w:r w:rsidRPr="00153F27">
              <w:rPr>
                <w:rFonts w:cs="Segoe UI Light"/>
                <w:sz w:val="18"/>
              </w:rPr>
              <w:t>Supplying or using reportable priority waste (required to hold a permit)</w:t>
            </w:r>
            <w:r w:rsidR="00675AB2">
              <w:rPr>
                <w:rFonts w:cs="Segoe UI Light"/>
                <w:sz w:val="18"/>
              </w:rPr>
              <w:t>.</w:t>
            </w:r>
          </w:p>
          <w:p w14:paraId="656B13E1" w14:textId="77777777" w:rsidR="00992B2B" w:rsidRPr="00153F27" w:rsidRDefault="00992B2B" w:rsidP="00044A7E">
            <w:pPr>
              <w:numPr>
                <w:ilvl w:val="1"/>
                <w:numId w:val="202"/>
              </w:numPr>
              <w:spacing w:after="0" w:line="240" w:lineRule="auto"/>
              <w:ind w:left="746" w:hanging="425"/>
              <w:rPr>
                <w:rFonts w:cs="Segoe UI Light"/>
                <w:sz w:val="18"/>
              </w:rPr>
            </w:pPr>
            <w:r w:rsidRPr="00153F27">
              <w:rPr>
                <w:rFonts w:cs="Segoe UI Light"/>
                <w:sz w:val="18"/>
              </w:rPr>
              <w:t>Containment of category D contaminated soil on a project site (required to hold a permit)</w:t>
            </w:r>
            <w:r w:rsidR="00675AB2">
              <w:rPr>
                <w:rFonts w:cs="Segoe UI Light"/>
                <w:sz w:val="18"/>
              </w:rPr>
              <w:t>.</w:t>
            </w:r>
          </w:p>
          <w:p w14:paraId="656B13E2" w14:textId="77777777" w:rsidR="00992B2B" w:rsidRPr="00153F27" w:rsidRDefault="00992B2B" w:rsidP="00044A7E">
            <w:pPr>
              <w:numPr>
                <w:ilvl w:val="1"/>
                <w:numId w:val="202"/>
              </w:numPr>
              <w:spacing w:after="0" w:line="240" w:lineRule="auto"/>
              <w:ind w:left="746" w:hanging="425"/>
              <w:rPr>
                <w:rFonts w:cs="Segoe UI Light"/>
                <w:sz w:val="18"/>
              </w:rPr>
            </w:pPr>
            <w:r w:rsidRPr="00153F27">
              <w:rPr>
                <w:rFonts w:cs="Segoe UI Light"/>
                <w:sz w:val="18"/>
              </w:rPr>
              <w:t>Small-scale (below licence threshold) reprocessing of specified e-waste (required to hold a registration)</w:t>
            </w:r>
            <w:r w:rsidR="00675AB2">
              <w:rPr>
                <w:rFonts w:cs="Segoe UI Light"/>
                <w:sz w:val="18"/>
              </w:rPr>
              <w:t>.</w:t>
            </w:r>
          </w:p>
          <w:p w14:paraId="656B13E3" w14:textId="77777777" w:rsidR="00992B2B" w:rsidRPr="00153F27" w:rsidRDefault="00992B2B" w:rsidP="00044A7E">
            <w:pPr>
              <w:numPr>
                <w:ilvl w:val="1"/>
                <w:numId w:val="202"/>
              </w:numPr>
              <w:spacing w:after="0" w:line="240" w:lineRule="auto"/>
              <w:ind w:left="746" w:hanging="425"/>
              <w:rPr>
                <w:rFonts w:cs="Segoe UI Light"/>
                <w:sz w:val="18"/>
              </w:rPr>
            </w:pPr>
            <w:r w:rsidRPr="00153F27">
              <w:rPr>
                <w:rFonts w:cs="Segoe UI Light"/>
                <w:sz w:val="18"/>
              </w:rPr>
              <w:t>Small-scale (below licence threshold) organic waste processing (required to hold a registration)</w:t>
            </w:r>
            <w:r w:rsidR="00675AB2">
              <w:rPr>
                <w:rFonts w:cs="Segoe UI Light"/>
                <w:sz w:val="18"/>
              </w:rPr>
              <w:t>.</w:t>
            </w:r>
          </w:p>
          <w:p w14:paraId="656B13E4" w14:textId="77777777" w:rsidR="00992B2B" w:rsidRPr="00153F27" w:rsidRDefault="00992B2B" w:rsidP="00044A7E">
            <w:pPr>
              <w:numPr>
                <w:ilvl w:val="1"/>
                <w:numId w:val="202"/>
              </w:numPr>
              <w:spacing w:after="0" w:line="240" w:lineRule="auto"/>
              <w:ind w:left="746" w:hanging="425"/>
              <w:rPr>
                <w:rFonts w:cs="Segoe UI Light"/>
                <w:sz w:val="18"/>
              </w:rPr>
            </w:pPr>
            <w:r w:rsidRPr="00153F27">
              <w:rPr>
                <w:rFonts w:cs="Segoe UI Light"/>
                <w:sz w:val="18"/>
              </w:rPr>
              <w:t>Small-scale (below licence threshold) waste tyre storage (required to hold a registration)</w:t>
            </w:r>
            <w:r w:rsidR="00675AB2">
              <w:rPr>
                <w:rFonts w:cs="Segoe UI Light"/>
                <w:sz w:val="18"/>
              </w:rPr>
              <w:t>.</w:t>
            </w:r>
          </w:p>
          <w:p w14:paraId="656B13E5" w14:textId="77777777" w:rsidR="00992B2B" w:rsidRDefault="00992B2B" w:rsidP="00153F27">
            <w:pPr>
              <w:numPr>
                <w:ilvl w:val="1"/>
                <w:numId w:val="202"/>
              </w:numPr>
              <w:spacing w:after="0" w:line="240" w:lineRule="auto"/>
              <w:ind w:left="746" w:hanging="425"/>
              <w:rPr>
                <w:rFonts w:cs="Segoe UI Light"/>
                <w:sz w:val="18"/>
              </w:rPr>
            </w:pPr>
            <w:r w:rsidRPr="00153F27">
              <w:rPr>
                <w:rFonts w:cs="Segoe UI Light"/>
                <w:sz w:val="18"/>
              </w:rPr>
              <w:t>Small-scale (below licence threshold) glass reprocessing (required to hold a registration)</w:t>
            </w:r>
            <w:r w:rsidR="00675AB2">
              <w:rPr>
                <w:rFonts w:cs="Segoe UI Light"/>
                <w:sz w:val="18"/>
              </w:rPr>
              <w:t>.</w:t>
            </w:r>
          </w:p>
          <w:p w14:paraId="656B13E6" w14:textId="77777777" w:rsidR="00675AB2" w:rsidRDefault="00675AB2" w:rsidP="00153F27">
            <w:pPr>
              <w:spacing w:after="0" w:line="240" w:lineRule="auto"/>
              <w:rPr>
                <w:rFonts w:cs="Segoe UI Light"/>
                <w:sz w:val="18"/>
              </w:rPr>
            </w:pPr>
          </w:p>
          <w:p w14:paraId="656B13E7" w14:textId="77777777" w:rsidR="00992B2B" w:rsidRPr="00153F27" w:rsidRDefault="00992B2B" w:rsidP="00153F27">
            <w:pPr>
              <w:spacing w:after="0" w:line="240" w:lineRule="auto"/>
              <w:rPr>
                <w:rFonts w:cs="Segoe UI Light"/>
                <w:sz w:val="18"/>
              </w:rPr>
            </w:pPr>
            <w:r w:rsidRPr="00153F27">
              <w:rPr>
                <w:rFonts w:cs="Segoe UI Light"/>
                <w:sz w:val="18"/>
              </w:rPr>
              <w:t>Where appropriate, existing approvals under other instruments have been rehoused as equivalent permissions, meaning that instead of applying through different/varied approval pathways to obtain permission to operate, duty holders will instead apply for the necessary permission. This will increase clarity, fairness and transparency, as well as providing a streamlined and consistent assessment and approval process. Activities which have been reframed in this manner include:</w:t>
            </w:r>
          </w:p>
          <w:p w14:paraId="656B13E8" w14:textId="77777777" w:rsidR="00992B2B" w:rsidRPr="00153F27" w:rsidRDefault="00992B2B" w:rsidP="00153F27">
            <w:pPr>
              <w:numPr>
                <w:ilvl w:val="1"/>
                <w:numId w:val="202"/>
              </w:numPr>
              <w:spacing w:after="0" w:line="240" w:lineRule="auto"/>
              <w:ind w:left="746" w:hanging="425"/>
              <w:rPr>
                <w:rFonts w:cs="Segoe UI Light"/>
                <w:sz w:val="18"/>
              </w:rPr>
            </w:pPr>
            <w:r w:rsidRPr="00153F27">
              <w:rPr>
                <w:rFonts w:cs="Segoe UI Light"/>
                <w:sz w:val="18"/>
              </w:rPr>
              <w:t>Environment Improvement Plans (EIPs) for animal industries, livestock saleyards and holding pens, supplying or reusing biosolids or effluent/wastewater (replaced by a permit requirement)</w:t>
            </w:r>
            <w:r w:rsidR="00675AB2">
              <w:rPr>
                <w:rFonts w:cs="Segoe UI Light"/>
                <w:sz w:val="18"/>
              </w:rPr>
              <w:t>.</w:t>
            </w:r>
          </w:p>
          <w:p w14:paraId="656B13E9" w14:textId="77777777" w:rsidR="00992B2B" w:rsidRPr="00153F27" w:rsidRDefault="00992B2B" w:rsidP="00153F27">
            <w:pPr>
              <w:numPr>
                <w:ilvl w:val="1"/>
                <w:numId w:val="202"/>
              </w:numPr>
              <w:spacing w:after="0" w:line="240" w:lineRule="auto"/>
              <w:ind w:left="746" w:hanging="425"/>
              <w:rPr>
                <w:rFonts w:cs="Segoe UI Light"/>
                <w:sz w:val="18"/>
              </w:rPr>
            </w:pPr>
            <w:r w:rsidRPr="00153F27">
              <w:rPr>
                <w:rFonts w:cs="Segoe UI Light"/>
                <w:sz w:val="18"/>
              </w:rPr>
              <w:t xml:space="preserve">Interstate movement of controlled waste </w:t>
            </w:r>
            <w:r w:rsidR="00343739" w:rsidRPr="00153F27">
              <w:rPr>
                <w:rFonts w:cs="Segoe UI Light"/>
                <w:sz w:val="18"/>
              </w:rPr>
              <w:t>(Consignment Authorisations)</w:t>
            </w:r>
            <w:r w:rsidRPr="00153F27">
              <w:rPr>
                <w:rFonts w:cs="Segoe UI Light"/>
                <w:sz w:val="18"/>
              </w:rPr>
              <w:t>/ reportable priority waste (replaced by a permit requirement)</w:t>
            </w:r>
            <w:r w:rsidR="00675AB2">
              <w:rPr>
                <w:rFonts w:cs="Segoe UI Light"/>
                <w:sz w:val="18"/>
              </w:rPr>
              <w:t>.</w:t>
            </w:r>
          </w:p>
          <w:p w14:paraId="656B13EA" w14:textId="77777777" w:rsidR="00992B2B" w:rsidRPr="00153F27" w:rsidRDefault="00992B2B" w:rsidP="00153F27">
            <w:pPr>
              <w:numPr>
                <w:ilvl w:val="1"/>
                <w:numId w:val="202"/>
              </w:numPr>
              <w:spacing w:after="0" w:line="240" w:lineRule="auto"/>
              <w:ind w:left="746" w:hanging="425"/>
              <w:rPr>
                <w:rFonts w:cs="Segoe UI Light"/>
                <w:sz w:val="18"/>
              </w:rPr>
            </w:pPr>
            <w:r w:rsidRPr="00153F27">
              <w:rPr>
                <w:rFonts w:cs="Segoe UI Light"/>
                <w:sz w:val="18"/>
              </w:rPr>
              <w:t>EPA-issued approvals for outdoor concerts at outdoor venues (replaced by a permit requirement)</w:t>
            </w:r>
            <w:r w:rsidR="00675AB2">
              <w:rPr>
                <w:rFonts w:cs="Segoe UI Light"/>
                <w:sz w:val="18"/>
              </w:rPr>
              <w:t>.</w:t>
            </w:r>
          </w:p>
          <w:p w14:paraId="656B13EB" w14:textId="77777777" w:rsidR="00992B2B" w:rsidRDefault="00992B2B" w:rsidP="00153F27">
            <w:pPr>
              <w:numPr>
                <w:ilvl w:val="1"/>
                <w:numId w:val="202"/>
              </w:numPr>
              <w:spacing w:after="0" w:line="240" w:lineRule="auto"/>
              <w:ind w:left="746" w:hanging="425"/>
              <w:rPr>
                <w:rFonts w:cs="Segoe UI Light"/>
                <w:sz w:val="18"/>
              </w:rPr>
            </w:pPr>
            <w:r w:rsidRPr="00153F27">
              <w:rPr>
                <w:rFonts w:cs="Segoe UI Light"/>
                <w:sz w:val="18"/>
              </w:rPr>
              <w:t>Permits to transport Prescribed Industrial Waste (replaced by a permit or registration, depending on the type of waste being transported – the vast majority of waste types will require a registration</w:t>
            </w:r>
            <w:r w:rsidR="00DC7A63">
              <w:rPr>
                <w:rFonts w:cs="Segoe UI Light"/>
                <w:sz w:val="18"/>
              </w:rPr>
              <w:t xml:space="preserve">. </w:t>
            </w:r>
            <w:r w:rsidRPr="00044A7E">
              <w:rPr>
                <w:rFonts w:cs="Segoe UI Light"/>
                <w:sz w:val="18"/>
              </w:rPr>
              <w:t>Permit requirements will only apply to the transport of a small number of prescribed waste codes)</w:t>
            </w:r>
            <w:r w:rsidR="00C624E0">
              <w:rPr>
                <w:rFonts w:cs="Segoe UI Light"/>
                <w:sz w:val="18"/>
              </w:rPr>
              <w:t>.</w:t>
            </w:r>
          </w:p>
          <w:p w14:paraId="656B13EC" w14:textId="77777777" w:rsidR="00992B2B" w:rsidRDefault="00232FD6">
            <w:pPr>
              <w:ind w:right="262"/>
              <w:mirrorIndents/>
              <w:rPr>
                <w:rFonts w:cs="Segoe UI Light"/>
                <w:sz w:val="18"/>
              </w:rPr>
            </w:pPr>
            <w:r>
              <w:rPr>
                <w:rFonts w:cs="Segoe UI Light"/>
                <w:sz w:val="18"/>
              </w:rPr>
              <w:t xml:space="preserve">A range of businesses which are currently not required to register their activities with the EPA will now be required to do so, including dry-cleaners and various waste processing and re-processing facilities. </w:t>
            </w:r>
          </w:p>
          <w:p w14:paraId="656B13ED" w14:textId="77777777" w:rsidR="00404F71" w:rsidRPr="00153F27" w:rsidRDefault="00992B2B" w:rsidP="00037AF8">
            <w:pPr>
              <w:spacing w:after="0"/>
              <w:ind w:right="262"/>
              <w:mirrorIndents/>
              <w:rPr>
                <w:rFonts w:cs="Segoe UI Light"/>
                <w:sz w:val="18"/>
              </w:rPr>
            </w:pPr>
            <w:r w:rsidRPr="00044A7E">
              <w:rPr>
                <w:rFonts w:cs="Segoe UI Light"/>
                <w:sz w:val="18"/>
              </w:rPr>
              <w:t xml:space="preserve">Under the existing Scheduled Premises regulations, if a scheduled premises is prescribed such that a financial assurance is required, all duty holders conducting this activity must provide a financial assurance. The </w:t>
            </w:r>
            <w:r w:rsidR="00060DCA">
              <w:rPr>
                <w:rFonts w:cs="Segoe UI Light"/>
                <w:sz w:val="18"/>
              </w:rPr>
              <w:t>proposed</w:t>
            </w:r>
            <w:r w:rsidR="00060DCA" w:rsidRPr="00044A7E">
              <w:rPr>
                <w:rFonts w:cs="Segoe UI Light"/>
                <w:sz w:val="18"/>
              </w:rPr>
              <w:t xml:space="preserve"> </w:t>
            </w:r>
            <w:r w:rsidRPr="00044A7E">
              <w:rPr>
                <w:rFonts w:cs="Segoe UI Light"/>
                <w:sz w:val="18"/>
              </w:rPr>
              <w:t>regulations will instead prescribe the scheduled activities for which a financial assurance may be required, subject to case-by-case assessment against the prescribed risk assessment criteria</w:t>
            </w:r>
            <w:r w:rsidR="00675AB2">
              <w:rPr>
                <w:rFonts w:cs="Segoe UI Light"/>
                <w:sz w:val="18"/>
              </w:rPr>
              <w:t>.</w:t>
            </w:r>
          </w:p>
        </w:tc>
      </w:tr>
      <w:tr w:rsidR="00DD30D6" w:rsidRPr="00005F17" w14:paraId="656B13F2" w14:textId="77777777" w:rsidTr="00603FBA">
        <w:tc>
          <w:tcPr>
            <w:tcW w:w="1275" w:type="dxa"/>
          </w:tcPr>
          <w:p w14:paraId="656B13EF" w14:textId="77777777" w:rsidR="00DD30D6" w:rsidRPr="00005F17" w:rsidRDefault="00DD30D6">
            <w:pPr>
              <w:mirrorIndents/>
              <w:rPr>
                <w:rFonts w:cs="Segoe UI Light"/>
                <w:b/>
                <w:sz w:val="18"/>
              </w:rPr>
            </w:pPr>
            <w:r>
              <w:rPr>
                <w:rFonts w:cs="Segoe UI Light"/>
                <w:b/>
                <w:sz w:val="18"/>
              </w:rPr>
              <w:t xml:space="preserve">On-site </w:t>
            </w:r>
            <w:r w:rsidR="00992B2B">
              <w:rPr>
                <w:rFonts w:cs="Segoe UI Light"/>
                <w:b/>
                <w:sz w:val="18"/>
              </w:rPr>
              <w:t xml:space="preserve">  </w:t>
            </w:r>
            <w:r>
              <w:rPr>
                <w:rFonts w:cs="Segoe UI Light"/>
                <w:b/>
                <w:sz w:val="18"/>
              </w:rPr>
              <w:t>systems</w:t>
            </w:r>
          </w:p>
        </w:tc>
        <w:tc>
          <w:tcPr>
            <w:tcW w:w="8931" w:type="dxa"/>
          </w:tcPr>
          <w:p w14:paraId="656B13F0" w14:textId="77777777" w:rsidR="00992B2B" w:rsidRDefault="002671A2">
            <w:pPr>
              <w:ind w:right="262"/>
              <w:mirrorIndents/>
              <w:rPr>
                <w:sz w:val="18"/>
              </w:rPr>
            </w:pPr>
            <w:r w:rsidRPr="00153F27">
              <w:rPr>
                <w:sz w:val="18"/>
              </w:rPr>
              <w:t>While the introduction of the GED may impact the role of councils and duty holders’ obligations</w:t>
            </w:r>
            <w:r>
              <w:rPr>
                <w:sz w:val="18"/>
              </w:rPr>
              <w:t xml:space="preserve"> going forward, the </w:t>
            </w:r>
            <w:r w:rsidR="00A114C2">
              <w:rPr>
                <w:sz w:val="18"/>
              </w:rPr>
              <w:t xml:space="preserve">proposed </w:t>
            </w:r>
            <w:r>
              <w:rPr>
                <w:sz w:val="18"/>
              </w:rPr>
              <w:t xml:space="preserve">regulations </w:t>
            </w:r>
            <w:r w:rsidR="00992B2B">
              <w:rPr>
                <w:sz w:val="18"/>
              </w:rPr>
              <w:t>largely represent</w:t>
            </w:r>
            <w:r>
              <w:rPr>
                <w:sz w:val="18"/>
              </w:rPr>
              <w:t xml:space="preserve"> a continuation of the existing framework for the management of on-site systems. </w:t>
            </w:r>
          </w:p>
          <w:p w14:paraId="656B13F1" w14:textId="77777777" w:rsidR="00DD30D6" w:rsidRDefault="00992B2B" w:rsidP="00037AF8">
            <w:pPr>
              <w:spacing w:after="0"/>
              <w:ind w:right="262"/>
              <w:mirrorIndents/>
              <w:rPr>
                <w:sz w:val="18"/>
              </w:rPr>
            </w:pPr>
            <w:r w:rsidRPr="00153F27">
              <w:rPr>
                <w:sz w:val="18"/>
              </w:rPr>
              <w:t>For duty holders</w:t>
            </w:r>
            <w:r w:rsidR="00A114C2">
              <w:rPr>
                <w:sz w:val="18"/>
              </w:rPr>
              <w:t>, t</w:t>
            </w:r>
            <w:r>
              <w:rPr>
                <w:sz w:val="18"/>
              </w:rPr>
              <w:t xml:space="preserve">he preferred option provides clearer </w:t>
            </w:r>
            <w:r w:rsidRPr="00153F27">
              <w:rPr>
                <w:sz w:val="18"/>
              </w:rPr>
              <w:t xml:space="preserve">criteria addressing how </w:t>
            </w:r>
            <w:r w:rsidR="00060DCA">
              <w:rPr>
                <w:sz w:val="18"/>
              </w:rPr>
              <w:t>c</w:t>
            </w:r>
            <w:r w:rsidR="00060DCA" w:rsidRPr="00153F27">
              <w:rPr>
                <w:sz w:val="18"/>
              </w:rPr>
              <w:t xml:space="preserve">ouncils </w:t>
            </w:r>
            <w:r w:rsidRPr="00153F27">
              <w:rPr>
                <w:sz w:val="18"/>
              </w:rPr>
              <w:t>assess applications</w:t>
            </w:r>
            <w:r w:rsidR="004510CC">
              <w:rPr>
                <w:sz w:val="18"/>
              </w:rPr>
              <w:t xml:space="preserve"> for on-site systems.</w:t>
            </w:r>
          </w:p>
        </w:tc>
      </w:tr>
      <w:tr w:rsidR="00DD30D6" w:rsidRPr="00005F17" w14:paraId="656B13FC" w14:textId="77777777" w:rsidTr="00603FBA">
        <w:tc>
          <w:tcPr>
            <w:tcW w:w="1275" w:type="dxa"/>
          </w:tcPr>
          <w:p w14:paraId="656B13F3" w14:textId="77777777" w:rsidR="00DD30D6" w:rsidRPr="00005F17" w:rsidRDefault="002671A2" w:rsidP="00DD30D6">
            <w:pPr>
              <w:mirrorIndents/>
              <w:rPr>
                <w:rFonts w:cs="Segoe UI Light"/>
                <w:b/>
                <w:sz w:val="18"/>
              </w:rPr>
            </w:pPr>
            <w:r>
              <w:rPr>
                <w:rFonts w:cs="Segoe UI Light"/>
                <w:b/>
                <w:sz w:val="18"/>
              </w:rPr>
              <w:t>Waste</w:t>
            </w:r>
          </w:p>
        </w:tc>
        <w:tc>
          <w:tcPr>
            <w:tcW w:w="8931" w:type="dxa"/>
          </w:tcPr>
          <w:p w14:paraId="656B13F4" w14:textId="77777777" w:rsidR="00992B2B" w:rsidRPr="00153F27" w:rsidRDefault="00992B2B">
            <w:pPr>
              <w:ind w:right="262"/>
              <w:mirrorIndents/>
              <w:rPr>
                <w:sz w:val="18"/>
              </w:rPr>
            </w:pPr>
            <w:r w:rsidRPr="00153F27">
              <w:rPr>
                <w:sz w:val="18"/>
              </w:rPr>
              <w:t>Key changes</w:t>
            </w:r>
            <w:r w:rsidR="007C56E0" w:rsidRPr="000B008F">
              <w:rPr>
                <w:sz w:val="18"/>
              </w:rPr>
              <w:t xml:space="preserve"> for </w:t>
            </w:r>
            <w:r w:rsidRPr="00153F27">
              <w:rPr>
                <w:sz w:val="18"/>
              </w:rPr>
              <w:t>stakeholder include:</w:t>
            </w:r>
          </w:p>
          <w:p w14:paraId="656B13F5" w14:textId="77777777" w:rsidR="00992B2B" w:rsidRPr="00EF47F7" w:rsidRDefault="00992B2B" w:rsidP="00153F27">
            <w:pPr>
              <w:pStyle w:val="ListParagraph"/>
              <w:numPr>
                <w:ilvl w:val="0"/>
                <w:numId w:val="62"/>
              </w:numPr>
              <w:ind w:left="285" w:right="262" w:hanging="285"/>
              <w:mirrorIndents/>
              <w:rPr>
                <w:sz w:val="18"/>
              </w:rPr>
            </w:pPr>
            <w:r w:rsidRPr="00EF47F7">
              <w:rPr>
                <w:sz w:val="18"/>
              </w:rPr>
              <w:t xml:space="preserve">The preferred option </w:t>
            </w:r>
            <w:r w:rsidRPr="00153F27">
              <w:rPr>
                <w:sz w:val="18"/>
              </w:rPr>
              <w:t>enable</w:t>
            </w:r>
            <w:r w:rsidRPr="00EF47F7">
              <w:rPr>
                <w:sz w:val="18"/>
              </w:rPr>
              <w:t>s</w:t>
            </w:r>
            <w:r w:rsidRPr="00153F27">
              <w:rPr>
                <w:sz w:val="18"/>
              </w:rPr>
              <w:t xml:space="preserve"> ‘</w:t>
            </w:r>
            <w:r w:rsidR="00060DCA" w:rsidRPr="00EF47F7">
              <w:rPr>
                <w:sz w:val="18"/>
              </w:rPr>
              <w:t>a</w:t>
            </w:r>
            <w:r w:rsidR="00060DCA" w:rsidRPr="00153F27">
              <w:rPr>
                <w:sz w:val="18"/>
              </w:rPr>
              <w:t xml:space="preserve">ccredited </w:t>
            </w:r>
            <w:r w:rsidRPr="00153F27">
              <w:rPr>
                <w:sz w:val="18"/>
              </w:rPr>
              <w:t xml:space="preserve">consigners’ to accept management or control of waste </w:t>
            </w:r>
            <w:r w:rsidR="00BE6FC1" w:rsidRPr="00153F27">
              <w:rPr>
                <w:sz w:val="18"/>
              </w:rPr>
              <w:t xml:space="preserve">from </w:t>
            </w:r>
            <w:r w:rsidRPr="00153F27">
              <w:rPr>
                <w:sz w:val="18"/>
              </w:rPr>
              <w:t xml:space="preserve">a waste generator; </w:t>
            </w:r>
            <w:r w:rsidR="00BE6FC1" w:rsidRPr="00153F27">
              <w:rPr>
                <w:sz w:val="18"/>
              </w:rPr>
              <w:t xml:space="preserve">assisting with </w:t>
            </w:r>
            <w:r w:rsidRPr="00153F27">
              <w:rPr>
                <w:sz w:val="18"/>
              </w:rPr>
              <w:t xml:space="preserve">waste consignment duties </w:t>
            </w:r>
            <w:r w:rsidR="00390684" w:rsidRPr="00153F27">
              <w:rPr>
                <w:sz w:val="18"/>
              </w:rPr>
              <w:t>for</w:t>
            </w:r>
            <w:r w:rsidRPr="00153F27">
              <w:rPr>
                <w:sz w:val="18"/>
              </w:rPr>
              <w:t xml:space="preserve"> the waste producer</w:t>
            </w:r>
            <w:r w:rsidRPr="00EF47F7">
              <w:rPr>
                <w:sz w:val="18"/>
              </w:rPr>
              <w:t xml:space="preserve">. Under the current framework, no such role exists. This proposed role will reduce administrative burden on waste producers, as </w:t>
            </w:r>
            <w:r w:rsidR="00060DCA" w:rsidRPr="00467705">
              <w:rPr>
                <w:sz w:val="18"/>
              </w:rPr>
              <w:t xml:space="preserve">accredited </w:t>
            </w:r>
            <w:r w:rsidRPr="003D6AF8">
              <w:rPr>
                <w:sz w:val="18"/>
              </w:rPr>
              <w:t xml:space="preserve">consigners can take </w:t>
            </w:r>
            <w:r w:rsidR="00390684" w:rsidRPr="003D6AF8">
              <w:rPr>
                <w:sz w:val="18"/>
              </w:rPr>
              <w:t>a significant role</w:t>
            </w:r>
            <w:r w:rsidR="00C624E0">
              <w:rPr>
                <w:sz w:val="18"/>
              </w:rPr>
              <w:t xml:space="preserve"> </w:t>
            </w:r>
            <w:r w:rsidR="005A41C6" w:rsidRPr="00EF47F7">
              <w:rPr>
                <w:sz w:val="18"/>
              </w:rPr>
              <w:t xml:space="preserve">to assist </w:t>
            </w:r>
            <w:r w:rsidRPr="003D6AF8">
              <w:rPr>
                <w:sz w:val="18"/>
              </w:rPr>
              <w:t>those unfamiliar with the regulatory process</w:t>
            </w:r>
            <w:r w:rsidR="00AF39AD" w:rsidRPr="003D6AF8">
              <w:rPr>
                <w:sz w:val="18"/>
              </w:rPr>
              <w:t xml:space="preserve"> or dealing with complex waste classif</w:t>
            </w:r>
            <w:r w:rsidR="00AF39AD" w:rsidRPr="009F12CD">
              <w:rPr>
                <w:sz w:val="18"/>
              </w:rPr>
              <w:t>ications</w:t>
            </w:r>
            <w:r w:rsidR="00AF39AD" w:rsidRPr="00EF47F7">
              <w:rPr>
                <w:sz w:val="18"/>
              </w:rPr>
              <w:t>.</w:t>
            </w:r>
          </w:p>
          <w:p w14:paraId="656B13F6" w14:textId="77777777" w:rsidR="00992B2B" w:rsidRPr="00EF47F7" w:rsidRDefault="00992B2B" w:rsidP="00153F27">
            <w:pPr>
              <w:pStyle w:val="ListParagraph"/>
              <w:numPr>
                <w:ilvl w:val="0"/>
                <w:numId w:val="62"/>
              </w:numPr>
              <w:ind w:left="285" w:right="262" w:hanging="285"/>
              <w:mirrorIndents/>
              <w:rPr>
                <w:sz w:val="18"/>
              </w:rPr>
            </w:pPr>
            <w:r>
              <w:rPr>
                <w:sz w:val="18"/>
              </w:rPr>
              <w:t>The preferred option proposes a</w:t>
            </w:r>
            <w:r w:rsidRPr="00153F27">
              <w:rPr>
                <w:sz w:val="18"/>
              </w:rPr>
              <w:t xml:space="preserve"> new approach to waste classification, designed to provide clearer structure and certainty through provision of a list of pre-classified</w:t>
            </w:r>
            <w:r>
              <w:rPr>
                <w:sz w:val="18"/>
              </w:rPr>
              <w:t>,</w:t>
            </w:r>
            <w:r w:rsidRPr="00153F27">
              <w:rPr>
                <w:sz w:val="18"/>
              </w:rPr>
              <w:t xml:space="preserve"> commonly-generated wastes. The new approach also adopts an enhanced hazard-based approach (hazard criteria and thresholds) to waste classification for waste that does not automatically fall within a pre-classified list).</w:t>
            </w:r>
          </w:p>
          <w:p w14:paraId="656B13F7" w14:textId="77777777" w:rsidR="00992B2B" w:rsidRPr="007841B0" w:rsidRDefault="00992B2B" w:rsidP="00153F27">
            <w:pPr>
              <w:pStyle w:val="ListParagraph"/>
              <w:numPr>
                <w:ilvl w:val="0"/>
                <w:numId w:val="62"/>
              </w:numPr>
              <w:ind w:left="285" w:right="262" w:hanging="285"/>
              <w:mirrorIndents/>
              <w:rPr>
                <w:sz w:val="18"/>
              </w:rPr>
            </w:pPr>
            <w:r w:rsidRPr="000B008F">
              <w:rPr>
                <w:sz w:val="18"/>
              </w:rPr>
              <w:t xml:space="preserve">The </w:t>
            </w:r>
            <w:r>
              <w:rPr>
                <w:sz w:val="18"/>
              </w:rPr>
              <w:t xml:space="preserve">preferred option for determining </w:t>
            </w:r>
            <w:r w:rsidRPr="000B008F">
              <w:rPr>
                <w:sz w:val="18"/>
              </w:rPr>
              <w:t xml:space="preserve">lawful place </w:t>
            </w:r>
            <w:r w:rsidR="001E1D0B">
              <w:rPr>
                <w:sz w:val="18"/>
              </w:rPr>
              <w:t>for the</w:t>
            </w:r>
            <w:r w:rsidRPr="000B008F">
              <w:rPr>
                <w:sz w:val="18"/>
              </w:rPr>
              <w:t xml:space="preserve"> use of waste materials </w:t>
            </w:r>
            <w:r w:rsidR="00F04108">
              <w:rPr>
                <w:sz w:val="18"/>
              </w:rPr>
              <w:t xml:space="preserve">is </w:t>
            </w:r>
            <w:r w:rsidRPr="000B008F">
              <w:rPr>
                <w:sz w:val="18"/>
              </w:rPr>
              <w:t>under a new Declaration of Use (DoU) mechanism. It is a self-assessed tool for satisfying lawful place requirements outside of permissioning, by declaring what the waste materials are and their intended uses and fitness for those uses. The waste intended for use would not be exempt</w:t>
            </w:r>
            <w:r w:rsidR="007C56E0" w:rsidRPr="000B008F">
              <w:rPr>
                <w:sz w:val="18"/>
              </w:rPr>
              <w:t xml:space="preserve"> from </w:t>
            </w:r>
            <w:r w:rsidRPr="000B008F">
              <w:rPr>
                <w:sz w:val="18"/>
              </w:rPr>
              <w:t xml:space="preserve">the industrial waste duties, but compliant as a lawful place if the declaration is true. </w:t>
            </w:r>
            <w:r w:rsidRPr="00153F27">
              <w:rPr>
                <w:sz w:val="18"/>
              </w:rPr>
              <w:t xml:space="preserve">As it is a self-assessed tool that does not require </w:t>
            </w:r>
            <w:r w:rsidR="007C56E0" w:rsidRPr="000B008F">
              <w:rPr>
                <w:sz w:val="18"/>
              </w:rPr>
              <w:t>EPA</w:t>
            </w:r>
            <w:r w:rsidRPr="00153F27">
              <w:rPr>
                <w:sz w:val="18"/>
              </w:rPr>
              <w:t xml:space="preserve"> approval, it is not expected to be</w:t>
            </w:r>
            <w:r w:rsidR="00C624E0">
              <w:rPr>
                <w:sz w:val="18"/>
              </w:rPr>
              <w:t xml:space="preserve"> a</w:t>
            </w:r>
            <w:r w:rsidR="00F04108" w:rsidRPr="00153F27">
              <w:rPr>
                <w:sz w:val="18"/>
              </w:rPr>
              <w:t xml:space="preserve"> significant</w:t>
            </w:r>
            <w:r w:rsidR="00AF39AD" w:rsidRPr="00153F27">
              <w:rPr>
                <w:sz w:val="18"/>
              </w:rPr>
              <w:t xml:space="preserve"> </w:t>
            </w:r>
            <w:r w:rsidRPr="00153F27">
              <w:rPr>
                <w:sz w:val="18"/>
              </w:rPr>
              <w:t>impediment to legitimate resource recovery. A DoU would cover industrial waste or priority waste, other than reportable priority waste for the purposes of section 143 of the Act.</w:t>
            </w:r>
          </w:p>
          <w:p w14:paraId="656B13F8" w14:textId="77777777" w:rsidR="00992B2B" w:rsidRPr="00EF47F7" w:rsidRDefault="00992B2B">
            <w:pPr>
              <w:ind w:right="262"/>
              <w:mirrorIndents/>
              <w:rPr>
                <w:sz w:val="18"/>
              </w:rPr>
            </w:pPr>
            <w:r w:rsidRPr="00153F27">
              <w:rPr>
                <w:sz w:val="18"/>
              </w:rPr>
              <w:t>Three major changes have been proposed for regulating contaminated soil. The key changes are summarised below</w:t>
            </w:r>
            <w:r w:rsidRPr="00EF47F7">
              <w:rPr>
                <w:sz w:val="18"/>
              </w:rPr>
              <w:t>:</w:t>
            </w:r>
          </w:p>
          <w:p w14:paraId="656B13F9" w14:textId="77777777" w:rsidR="00992B2B" w:rsidRPr="00153F27" w:rsidRDefault="00992B2B" w:rsidP="00153F27">
            <w:pPr>
              <w:pStyle w:val="ListParagraph"/>
              <w:numPr>
                <w:ilvl w:val="0"/>
                <w:numId w:val="62"/>
              </w:numPr>
              <w:ind w:left="285" w:right="262" w:hanging="285"/>
              <w:mirrorIndents/>
              <w:rPr>
                <w:sz w:val="18"/>
              </w:rPr>
            </w:pPr>
            <w:r w:rsidRPr="00153F27">
              <w:rPr>
                <w:sz w:val="18"/>
              </w:rPr>
              <w:t>A new Category D would be created, which would cover current Category C soil that has low-level hazardous properties</w:t>
            </w:r>
            <w:r w:rsidR="009B0443">
              <w:rPr>
                <w:sz w:val="18"/>
              </w:rPr>
              <w:t xml:space="preserve">. </w:t>
            </w:r>
            <w:r w:rsidRPr="00153F27">
              <w:rPr>
                <w:sz w:val="18"/>
              </w:rPr>
              <w:t xml:space="preserve">Threshold limits for Category D </w:t>
            </w:r>
            <w:r w:rsidR="00060DCA">
              <w:rPr>
                <w:sz w:val="18"/>
              </w:rPr>
              <w:t>will be</w:t>
            </w:r>
            <w:r w:rsidR="00060DCA" w:rsidRPr="00153F27">
              <w:rPr>
                <w:sz w:val="18"/>
              </w:rPr>
              <w:t xml:space="preserve"> </w:t>
            </w:r>
            <w:r w:rsidRPr="00153F27">
              <w:rPr>
                <w:sz w:val="18"/>
              </w:rPr>
              <w:t>set using landfill modelling and largely equate to the less hazardous portion of the current Category C thresholds.</w:t>
            </w:r>
          </w:p>
          <w:p w14:paraId="656B13FA" w14:textId="77777777" w:rsidR="00992B2B" w:rsidRPr="009B0443" w:rsidRDefault="00992B2B" w:rsidP="00153F27">
            <w:pPr>
              <w:pStyle w:val="ListParagraph"/>
              <w:numPr>
                <w:ilvl w:val="0"/>
                <w:numId w:val="62"/>
              </w:numPr>
              <w:ind w:left="285" w:right="262" w:hanging="285"/>
              <w:mirrorIndents/>
              <w:rPr>
                <w:sz w:val="18"/>
              </w:rPr>
            </w:pPr>
            <w:r w:rsidRPr="009B0443">
              <w:rPr>
                <w:sz w:val="18"/>
              </w:rPr>
              <w:t>F</w:t>
            </w:r>
            <w:r w:rsidRPr="00153F27">
              <w:rPr>
                <w:sz w:val="18"/>
              </w:rPr>
              <w:t xml:space="preserve">ill material would need to be classified and be </w:t>
            </w:r>
            <w:r w:rsidRPr="009B0443">
              <w:rPr>
                <w:sz w:val="18"/>
              </w:rPr>
              <w:t xml:space="preserve">included as an industrial waste, </w:t>
            </w:r>
            <w:r w:rsidRPr="00153F27">
              <w:rPr>
                <w:sz w:val="18"/>
              </w:rPr>
              <w:t xml:space="preserve">to ensure that </w:t>
            </w:r>
            <w:r w:rsidRPr="009B0443">
              <w:rPr>
                <w:sz w:val="18"/>
              </w:rPr>
              <w:t xml:space="preserve">it </w:t>
            </w:r>
            <w:r w:rsidRPr="00153F27">
              <w:rPr>
                <w:sz w:val="18"/>
              </w:rPr>
              <w:t>is taken to an appropriate site and managed correctly</w:t>
            </w:r>
          </w:p>
          <w:p w14:paraId="656B13FB" w14:textId="77777777" w:rsidR="00DD30D6" w:rsidRDefault="00992B2B" w:rsidP="00037AF8">
            <w:pPr>
              <w:pStyle w:val="ListParagraph"/>
              <w:numPr>
                <w:ilvl w:val="0"/>
                <w:numId w:val="62"/>
              </w:numPr>
              <w:spacing w:after="0"/>
              <w:ind w:left="285" w:right="262" w:hanging="285"/>
              <w:mirrorIndents/>
              <w:rPr>
                <w:sz w:val="18"/>
              </w:rPr>
            </w:pPr>
            <w:r w:rsidRPr="00153F27">
              <w:rPr>
                <w:sz w:val="18"/>
              </w:rPr>
              <w:t>Duty holders would only be allowed to blend contaminated soil waste, to change the categorisation or classification of that waste, if it is in accordance with an EPA-issued designation</w:t>
            </w:r>
            <w:r w:rsidR="005B0FDB">
              <w:rPr>
                <w:sz w:val="18"/>
              </w:rPr>
              <w:t>.</w:t>
            </w:r>
          </w:p>
        </w:tc>
      </w:tr>
      <w:tr w:rsidR="00DD30D6" w:rsidRPr="00005F17" w14:paraId="656B1401" w14:textId="77777777" w:rsidTr="00603FBA">
        <w:tc>
          <w:tcPr>
            <w:tcW w:w="1275" w:type="dxa"/>
          </w:tcPr>
          <w:p w14:paraId="656B13FD" w14:textId="77777777" w:rsidR="00DD30D6" w:rsidRPr="00005F17" w:rsidRDefault="00DD30D6" w:rsidP="00DD30D6">
            <w:pPr>
              <w:mirrorIndents/>
              <w:rPr>
                <w:rFonts w:cs="Segoe UI Light"/>
                <w:b/>
                <w:sz w:val="18"/>
              </w:rPr>
            </w:pPr>
            <w:r>
              <w:rPr>
                <w:rFonts w:cs="Segoe UI Light"/>
                <w:b/>
                <w:sz w:val="18"/>
              </w:rPr>
              <w:t>Contaminated land</w:t>
            </w:r>
          </w:p>
        </w:tc>
        <w:tc>
          <w:tcPr>
            <w:tcW w:w="8931" w:type="dxa"/>
          </w:tcPr>
          <w:p w14:paraId="656B13FE" w14:textId="77777777" w:rsidR="00DD30D6" w:rsidRPr="00DD30D6" w:rsidRDefault="00DD30D6" w:rsidP="00DD30D6">
            <w:pPr>
              <w:ind w:right="262"/>
              <w:mirrorIndents/>
              <w:rPr>
                <w:sz w:val="18"/>
              </w:rPr>
            </w:pPr>
            <w:r w:rsidRPr="00DD30D6">
              <w:rPr>
                <w:sz w:val="18"/>
              </w:rPr>
              <w:t xml:space="preserve">There are currently no general obligations on land owners to manage or remediate contaminated sites or to notify </w:t>
            </w:r>
            <w:r>
              <w:rPr>
                <w:sz w:val="18"/>
              </w:rPr>
              <w:t xml:space="preserve">EPA </w:t>
            </w:r>
            <w:r w:rsidRPr="00DD30D6">
              <w:rPr>
                <w:sz w:val="18"/>
              </w:rPr>
              <w:t xml:space="preserve">of their contaminated sites (when identified). However, there are some exceptions. Where land contamination poses an acute risk, EPA </w:t>
            </w:r>
            <w:r>
              <w:rPr>
                <w:sz w:val="18"/>
              </w:rPr>
              <w:t>can direct</w:t>
            </w:r>
            <w:r w:rsidRPr="00DD30D6">
              <w:rPr>
                <w:sz w:val="18"/>
              </w:rPr>
              <w:t xml:space="preserve"> a site owner to remediate. Site owners seeking to redevelop a site to a higher beneficial use (e.g. residential or a child care facility) may be captured by the environmental audit system. </w:t>
            </w:r>
          </w:p>
          <w:p w14:paraId="656B13FF" w14:textId="77777777" w:rsidR="00DD30D6" w:rsidRPr="00DD30D6" w:rsidRDefault="00DD30D6" w:rsidP="00DD30D6">
            <w:pPr>
              <w:ind w:right="262"/>
              <w:mirrorIndents/>
              <w:rPr>
                <w:sz w:val="18"/>
              </w:rPr>
            </w:pPr>
            <w:r w:rsidRPr="00DD30D6">
              <w:rPr>
                <w:sz w:val="18"/>
              </w:rPr>
              <w:t xml:space="preserve">Under the new EP legislation, all owners and occupiers of land in Victoria will have obligations to manage risks of contaminated land to human health and environment. They will also have a duty to notify </w:t>
            </w:r>
            <w:r>
              <w:rPr>
                <w:sz w:val="18"/>
              </w:rPr>
              <w:t xml:space="preserve">EPA </w:t>
            </w:r>
            <w:r w:rsidRPr="00DD30D6">
              <w:rPr>
                <w:sz w:val="18"/>
              </w:rPr>
              <w:t xml:space="preserve">of </w:t>
            </w:r>
            <w:r w:rsidR="00060DCA">
              <w:rPr>
                <w:sz w:val="18"/>
              </w:rPr>
              <w:t>contaminated land</w:t>
            </w:r>
            <w:r w:rsidRPr="00DD30D6">
              <w:rPr>
                <w:sz w:val="18"/>
              </w:rPr>
              <w:t xml:space="preserve">. </w:t>
            </w:r>
          </w:p>
          <w:p w14:paraId="656B1400" w14:textId="77777777" w:rsidR="00DD30D6" w:rsidRDefault="00DD30D6" w:rsidP="00037AF8">
            <w:pPr>
              <w:spacing w:after="0"/>
              <w:ind w:right="262"/>
              <w:mirrorIndents/>
              <w:rPr>
                <w:sz w:val="18"/>
              </w:rPr>
            </w:pPr>
            <w:r w:rsidRPr="00DD30D6">
              <w:rPr>
                <w:sz w:val="18"/>
              </w:rPr>
              <w:t xml:space="preserve">The regulations will specify what types of contamination must be notified to </w:t>
            </w:r>
            <w:r>
              <w:rPr>
                <w:sz w:val="18"/>
              </w:rPr>
              <w:t>EPA</w:t>
            </w:r>
            <w:r w:rsidRPr="00DD30D6">
              <w:rPr>
                <w:sz w:val="18"/>
              </w:rPr>
              <w:t xml:space="preserve">. </w:t>
            </w:r>
            <w:r>
              <w:rPr>
                <w:sz w:val="18"/>
              </w:rPr>
              <w:t>F</w:t>
            </w:r>
            <w:r w:rsidRPr="00DD30D6">
              <w:rPr>
                <w:sz w:val="18"/>
              </w:rPr>
              <w:t>or matters prescribed in the regulations, duty holders will now need to identify whether their contamination is notifiable and then will provide their proposed management response</w:t>
            </w:r>
            <w:r w:rsidR="00060DCA">
              <w:rPr>
                <w:sz w:val="18"/>
              </w:rPr>
              <w:t xml:space="preserve"> to EPA</w:t>
            </w:r>
            <w:r w:rsidRPr="00DD30D6">
              <w:rPr>
                <w:sz w:val="18"/>
              </w:rPr>
              <w:t>.</w:t>
            </w:r>
          </w:p>
        </w:tc>
      </w:tr>
      <w:tr w:rsidR="00DD30D6" w:rsidRPr="00005F17" w14:paraId="656B1404" w14:textId="77777777" w:rsidTr="00603FBA">
        <w:tc>
          <w:tcPr>
            <w:tcW w:w="1275" w:type="dxa"/>
          </w:tcPr>
          <w:p w14:paraId="656B1402" w14:textId="77777777" w:rsidR="00DD30D6" w:rsidRPr="00005F17" w:rsidRDefault="006C0537" w:rsidP="00DD30D6">
            <w:pPr>
              <w:mirrorIndents/>
              <w:rPr>
                <w:rFonts w:cs="Segoe UI Light"/>
                <w:b/>
                <w:sz w:val="18"/>
              </w:rPr>
            </w:pPr>
            <w:r>
              <w:rPr>
                <w:rFonts w:cs="Segoe UI Light"/>
                <w:b/>
                <w:sz w:val="18"/>
              </w:rPr>
              <w:t>Litter</w:t>
            </w:r>
          </w:p>
        </w:tc>
        <w:tc>
          <w:tcPr>
            <w:tcW w:w="8931" w:type="dxa"/>
          </w:tcPr>
          <w:p w14:paraId="656B1403" w14:textId="23753E52" w:rsidR="00DD30D6" w:rsidRDefault="006C0537" w:rsidP="00037AF8">
            <w:pPr>
              <w:spacing w:after="0"/>
              <w:ind w:right="262"/>
              <w:mirrorIndents/>
              <w:rPr>
                <w:sz w:val="18"/>
              </w:rPr>
            </w:pPr>
            <w:r>
              <w:rPr>
                <w:sz w:val="18"/>
              </w:rPr>
              <w:t xml:space="preserve">Relative to existing arrangements, </w:t>
            </w:r>
            <w:r w:rsidR="00060DCA">
              <w:rPr>
                <w:sz w:val="18"/>
              </w:rPr>
              <w:t>changes are very minor</w:t>
            </w:r>
            <w:r w:rsidR="00DC7A63">
              <w:rPr>
                <w:sz w:val="18"/>
              </w:rPr>
              <w:t xml:space="preserve">. </w:t>
            </w:r>
            <w:r>
              <w:rPr>
                <w:sz w:val="18"/>
              </w:rPr>
              <w:t>The</w:t>
            </w:r>
            <w:r w:rsidR="00060DCA">
              <w:rPr>
                <w:sz w:val="18"/>
              </w:rPr>
              <w:t xml:space="preserve"> proposed </w:t>
            </w:r>
            <w:r>
              <w:rPr>
                <w:sz w:val="18"/>
              </w:rPr>
              <w:t xml:space="preserve">offences </w:t>
            </w:r>
            <w:r w:rsidR="00060DCA">
              <w:rPr>
                <w:sz w:val="18"/>
              </w:rPr>
              <w:t xml:space="preserve">to be included in the Regulations </w:t>
            </w:r>
            <w:r>
              <w:rPr>
                <w:sz w:val="18"/>
              </w:rPr>
              <w:t xml:space="preserve">already exist in the EP Act 1970 and are enforceable by litter enforcement </w:t>
            </w:r>
            <w:r w:rsidR="00A3080D">
              <w:rPr>
                <w:sz w:val="18"/>
              </w:rPr>
              <w:t>authorities</w:t>
            </w:r>
            <w:r>
              <w:rPr>
                <w:sz w:val="18"/>
              </w:rPr>
              <w:t>.</w:t>
            </w:r>
          </w:p>
        </w:tc>
      </w:tr>
      <w:tr w:rsidR="00DD30D6" w:rsidRPr="00005F17" w14:paraId="656B1407" w14:textId="77777777" w:rsidTr="00603FBA">
        <w:tc>
          <w:tcPr>
            <w:tcW w:w="1275" w:type="dxa"/>
          </w:tcPr>
          <w:p w14:paraId="656B1405" w14:textId="77777777" w:rsidR="00DD30D6" w:rsidRPr="00005F17" w:rsidRDefault="002671A2" w:rsidP="00DD30D6">
            <w:pPr>
              <w:mirrorIndents/>
              <w:rPr>
                <w:rFonts w:cs="Segoe UI Light"/>
                <w:b/>
                <w:sz w:val="18"/>
              </w:rPr>
            </w:pPr>
            <w:r>
              <w:rPr>
                <w:rFonts w:cs="Segoe UI Light"/>
                <w:b/>
                <w:sz w:val="18"/>
              </w:rPr>
              <w:t>Plastic bags</w:t>
            </w:r>
          </w:p>
        </w:tc>
        <w:tc>
          <w:tcPr>
            <w:tcW w:w="8931" w:type="dxa"/>
          </w:tcPr>
          <w:p w14:paraId="656B1406" w14:textId="77777777" w:rsidR="00DD30D6" w:rsidRDefault="00992B2B" w:rsidP="00153F27">
            <w:pPr>
              <w:rPr>
                <w:sz w:val="18"/>
              </w:rPr>
            </w:pPr>
            <w:r w:rsidRPr="00EF47F7">
              <w:rPr>
                <w:sz w:val="18"/>
              </w:rPr>
              <w:t>R</w:t>
            </w:r>
            <w:r w:rsidRPr="00153F27">
              <w:rPr>
                <w:sz w:val="18"/>
              </w:rPr>
              <w:t>etailers</w:t>
            </w:r>
            <w:r w:rsidRPr="00EF47F7">
              <w:rPr>
                <w:sz w:val="18"/>
              </w:rPr>
              <w:t xml:space="preserve"> will be prohibited from supplying </w:t>
            </w:r>
            <w:r w:rsidRPr="00153F27">
              <w:rPr>
                <w:sz w:val="18"/>
              </w:rPr>
              <w:t>lightweight plastic bags</w:t>
            </w:r>
            <w:r w:rsidRPr="00EF47F7">
              <w:rPr>
                <w:sz w:val="18"/>
              </w:rPr>
              <w:t xml:space="preserve"> in Victorian stores</w:t>
            </w:r>
            <w:r w:rsidR="00DC7A63">
              <w:rPr>
                <w:sz w:val="18"/>
              </w:rPr>
              <w:t xml:space="preserve">. </w:t>
            </w:r>
            <w:r w:rsidR="00060DCA" w:rsidRPr="00EF47F7">
              <w:rPr>
                <w:sz w:val="18"/>
              </w:rPr>
              <w:t xml:space="preserve">No such </w:t>
            </w:r>
            <w:r w:rsidR="00060DCA" w:rsidRPr="003D6AF8">
              <w:rPr>
                <w:sz w:val="18"/>
              </w:rPr>
              <w:t>prohibition exists at present, although some major retailers have voluntarily ceased providing lightweight bags.</w:t>
            </w:r>
          </w:p>
        </w:tc>
      </w:tr>
      <w:tr w:rsidR="006C0537" w:rsidRPr="00005F17" w14:paraId="656B140B" w14:textId="77777777" w:rsidTr="00603FBA">
        <w:tc>
          <w:tcPr>
            <w:tcW w:w="1275" w:type="dxa"/>
          </w:tcPr>
          <w:p w14:paraId="656B1408" w14:textId="77777777" w:rsidR="006C0537" w:rsidRDefault="006C0537" w:rsidP="006C0537">
            <w:pPr>
              <w:mirrorIndents/>
              <w:rPr>
                <w:rFonts w:cs="Segoe UI Light"/>
                <w:b/>
                <w:sz w:val="18"/>
              </w:rPr>
            </w:pPr>
            <w:r>
              <w:rPr>
                <w:rFonts w:cs="Segoe UI Light"/>
                <w:b/>
                <w:sz w:val="18"/>
              </w:rPr>
              <w:t>Air</w:t>
            </w:r>
          </w:p>
        </w:tc>
        <w:tc>
          <w:tcPr>
            <w:tcW w:w="8931" w:type="dxa"/>
          </w:tcPr>
          <w:p w14:paraId="656B1409" w14:textId="77777777" w:rsidR="00992B2B" w:rsidRDefault="00992B2B">
            <w:pPr>
              <w:ind w:right="262"/>
              <w:mirrorIndents/>
              <w:rPr>
                <w:sz w:val="18"/>
              </w:rPr>
            </w:pPr>
            <w:r>
              <w:rPr>
                <w:sz w:val="18"/>
              </w:rPr>
              <w:t>O</w:t>
            </w:r>
            <w:r w:rsidRPr="00D732D1">
              <w:rPr>
                <w:sz w:val="18"/>
              </w:rPr>
              <w:t xml:space="preserve">bligations </w:t>
            </w:r>
            <w:r w:rsidR="00060DCA">
              <w:rPr>
                <w:sz w:val="18"/>
              </w:rPr>
              <w:t>proposed for</w:t>
            </w:r>
            <w:r w:rsidR="00060DCA" w:rsidRPr="00D732D1">
              <w:rPr>
                <w:sz w:val="18"/>
              </w:rPr>
              <w:t xml:space="preserve"> </w:t>
            </w:r>
            <w:r w:rsidRPr="00D732D1">
              <w:rPr>
                <w:sz w:val="18"/>
              </w:rPr>
              <w:t xml:space="preserve">duty holders who handle methyl bromide </w:t>
            </w:r>
            <w:r>
              <w:rPr>
                <w:sz w:val="18"/>
              </w:rPr>
              <w:t xml:space="preserve">are </w:t>
            </w:r>
            <w:r w:rsidRPr="00D732D1">
              <w:rPr>
                <w:sz w:val="18"/>
              </w:rPr>
              <w:t>similar to existing requirements in the Industrial Waste Management Policy (Protection of the Ozone Layer) [IWMP POL]</w:t>
            </w:r>
            <w:r>
              <w:rPr>
                <w:sz w:val="18"/>
              </w:rPr>
              <w:t>,</w:t>
            </w:r>
            <w:r w:rsidRPr="00D732D1">
              <w:rPr>
                <w:sz w:val="18"/>
              </w:rPr>
              <w:t xml:space="preserve"> except </w:t>
            </w:r>
            <w:r>
              <w:rPr>
                <w:sz w:val="18"/>
              </w:rPr>
              <w:t xml:space="preserve">this now </w:t>
            </w:r>
            <w:r w:rsidRPr="00D732D1">
              <w:rPr>
                <w:sz w:val="18"/>
              </w:rPr>
              <w:t>only applies to methyl bromide as this is a risk where state-based obligations can complement Commonwealth requirements.</w:t>
            </w:r>
          </w:p>
          <w:p w14:paraId="656B140A" w14:textId="77777777" w:rsidR="006C0537" w:rsidRDefault="00992B2B" w:rsidP="00037AF8">
            <w:pPr>
              <w:spacing w:after="0"/>
              <w:ind w:right="262"/>
              <w:mirrorIndents/>
              <w:rPr>
                <w:sz w:val="18"/>
              </w:rPr>
            </w:pPr>
            <w:r>
              <w:rPr>
                <w:sz w:val="18"/>
              </w:rPr>
              <w:t xml:space="preserve">Under the new framework, </w:t>
            </w:r>
            <w:r w:rsidRPr="00153F27">
              <w:rPr>
                <w:sz w:val="18"/>
              </w:rPr>
              <w:t xml:space="preserve">it is proposed that duty holders (development licence applicants, operating licence holders and pilot licence holders) </w:t>
            </w:r>
            <w:r w:rsidR="00060DCA">
              <w:rPr>
                <w:sz w:val="18"/>
              </w:rPr>
              <w:t xml:space="preserve">will </w:t>
            </w:r>
            <w:r w:rsidRPr="00153F27">
              <w:rPr>
                <w:sz w:val="18"/>
              </w:rPr>
              <w:t>have obligations to eliminate emissions of Class 3 substances so far as reasonably practicable, and to reduce the generation of Class 3 substances where elimination is not reasonably practicable</w:t>
            </w:r>
            <w:r w:rsidR="00B0145A">
              <w:rPr>
                <w:sz w:val="18"/>
              </w:rPr>
              <w:t>. This is similar to current requirements in SEPP</w:t>
            </w:r>
            <w:r w:rsidR="005B0FDB">
              <w:rPr>
                <w:sz w:val="18"/>
              </w:rPr>
              <w:t xml:space="preserve"> </w:t>
            </w:r>
            <w:r w:rsidR="00B0145A">
              <w:rPr>
                <w:sz w:val="18"/>
              </w:rPr>
              <w:t>(AQM).</w:t>
            </w:r>
          </w:p>
        </w:tc>
      </w:tr>
      <w:tr w:rsidR="006C0537" w:rsidRPr="00005F17" w14:paraId="656B140E" w14:textId="77777777" w:rsidTr="00603FBA">
        <w:tc>
          <w:tcPr>
            <w:tcW w:w="1275" w:type="dxa"/>
          </w:tcPr>
          <w:p w14:paraId="656B140C" w14:textId="77777777" w:rsidR="006C0537" w:rsidRDefault="006C0537" w:rsidP="006C0537">
            <w:pPr>
              <w:mirrorIndents/>
              <w:rPr>
                <w:rFonts w:cs="Segoe UI Light"/>
                <w:b/>
                <w:sz w:val="18"/>
              </w:rPr>
            </w:pPr>
            <w:r>
              <w:rPr>
                <w:rFonts w:cs="Segoe UI Light"/>
                <w:b/>
                <w:sz w:val="18"/>
              </w:rPr>
              <w:t>Water</w:t>
            </w:r>
          </w:p>
        </w:tc>
        <w:tc>
          <w:tcPr>
            <w:tcW w:w="8931" w:type="dxa"/>
          </w:tcPr>
          <w:p w14:paraId="656B140D" w14:textId="77777777" w:rsidR="006C0537" w:rsidRDefault="009B0443" w:rsidP="00037AF8">
            <w:pPr>
              <w:spacing w:after="0"/>
              <w:ind w:right="262"/>
              <w:mirrorIndents/>
              <w:rPr>
                <w:sz w:val="18"/>
              </w:rPr>
            </w:pPr>
            <w:r>
              <w:rPr>
                <w:rFonts w:cs="Segoe UI Light"/>
                <w:sz w:val="18"/>
              </w:rPr>
              <w:t>The preferred option</w:t>
            </w:r>
            <w:r w:rsidR="006C0537" w:rsidRPr="006C0537">
              <w:rPr>
                <w:rFonts w:cs="Segoe UI Light"/>
                <w:sz w:val="18"/>
              </w:rPr>
              <w:t xml:space="preserve"> is consistent with the current regulatory position</w:t>
            </w:r>
            <w:r w:rsidR="006C0537">
              <w:rPr>
                <w:rFonts w:cs="Segoe UI Light"/>
                <w:sz w:val="18"/>
              </w:rPr>
              <w:t>, and as such, does not represent a new burden on vessel owners</w:t>
            </w:r>
            <w:r w:rsidR="00DC7A63">
              <w:rPr>
                <w:rFonts w:cs="Segoe UI Light"/>
                <w:sz w:val="18"/>
              </w:rPr>
              <w:t xml:space="preserve">. </w:t>
            </w:r>
          </w:p>
        </w:tc>
      </w:tr>
      <w:tr w:rsidR="00DD30D6" w:rsidRPr="00005F17" w14:paraId="656B1418" w14:textId="77777777" w:rsidTr="00603FBA">
        <w:tc>
          <w:tcPr>
            <w:tcW w:w="1275" w:type="dxa"/>
          </w:tcPr>
          <w:p w14:paraId="656B140F" w14:textId="77777777" w:rsidR="00DD30D6" w:rsidRPr="00005F17" w:rsidRDefault="002671A2" w:rsidP="00DD30D6">
            <w:pPr>
              <w:mirrorIndents/>
              <w:rPr>
                <w:rFonts w:cs="Segoe UI Light"/>
                <w:b/>
                <w:sz w:val="18"/>
              </w:rPr>
            </w:pPr>
            <w:r>
              <w:rPr>
                <w:rFonts w:cs="Segoe UI Light"/>
                <w:b/>
                <w:sz w:val="18"/>
              </w:rPr>
              <w:t>Noise</w:t>
            </w:r>
          </w:p>
        </w:tc>
        <w:tc>
          <w:tcPr>
            <w:tcW w:w="8931" w:type="dxa"/>
          </w:tcPr>
          <w:p w14:paraId="656B1410" w14:textId="77777777" w:rsidR="00992B2B" w:rsidRDefault="00992B2B" w:rsidP="00153F27">
            <w:pPr>
              <w:ind w:right="262"/>
              <w:mirrorIndents/>
              <w:rPr>
                <w:rFonts w:cs="Segoe UI Light"/>
                <w:sz w:val="18"/>
              </w:rPr>
            </w:pPr>
            <w:r w:rsidRPr="00153F27">
              <w:rPr>
                <w:rFonts w:cs="Segoe UI Light"/>
                <w:sz w:val="18"/>
              </w:rPr>
              <w:t>Aggravated noise is defined under section 168 as noise that is prescribed to be aggravated noise</w:t>
            </w:r>
            <w:r w:rsidR="00DC7A63">
              <w:rPr>
                <w:rFonts w:cs="Segoe UI Light"/>
                <w:sz w:val="18"/>
              </w:rPr>
              <w:t xml:space="preserve">. </w:t>
            </w:r>
            <w:r w:rsidRPr="00153F27">
              <w:rPr>
                <w:rFonts w:cs="Segoe UI Light"/>
                <w:sz w:val="18"/>
              </w:rPr>
              <w:t>It is proposed to set regulations to define aggravated noise for residential, industrial, commercial and trade premises and entertainment venues. These do not exist under the current framework.</w:t>
            </w:r>
          </w:p>
          <w:p w14:paraId="656B1411" w14:textId="77777777" w:rsidR="00992B2B" w:rsidRDefault="00992B2B" w:rsidP="00153F27">
            <w:pPr>
              <w:ind w:right="262"/>
              <w:mirrorIndents/>
              <w:rPr>
                <w:rFonts w:cs="Segoe UI Light"/>
                <w:sz w:val="18"/>
              </w:rPr>
            </w:pPr>
            <w:r w:rsidRPr="00153F27">
              <w:rPr>
                <w:rFonts w:cs="Segoe UI Light"/>
                <w:sz w:val="18"/>
              </w:rPr>
              <w:t>Some enhancements to the existing framework for noise are being made to contemporise the management of noise and make it more fit for purpose. Key changes are:</w:t>
            </w:r>
          </w:p>
          <w:p w14:paraId="656B1412" w14:textId="77777777" w:rsidR="00992B2B" w:rsidRPr="00153F27" w:rsidRDefault="00992B2B" w:rsidP="00153F27">
            <w:pPr>
              <w:pStyle w:val="ListParagraph"/>
              <w:numPr>
                <w:ilvl w:val="0"/>
                <w:numId w:val="62"/>
              </w:numPr>
              <w:ind w:left="285" w:right="262" w:hanging="285"/>
              <w:mirrorIndents/>
              <w:rPr>
                <w:rFonts w:cs="Segoe UI Light"/>
                <w:sz w:val="18"/>
              </w:rPr>
            </w:pPr>
            <w:r w:rsidRPr="00153F27">
              <w:rPr>
                <w:rFonts w:cs="Segoe UI Light"/>
                <w:sz w:val="18"/>
              </w:rPr>
              <w:t xml:space="preserve">Noise sensitive areas: </w:t>
            </w:r>
            <w:r w:rsidR="00060DCA" w:rsidRPr="00153F27">
              <w:rPr>
                <w:rFonts w:cs="Segoe UI Light"/>
                <w:sz w:val="18"/>
              </w:rPr>
              <w:t xml:space="preserve">The existing </w:t>
            </w:r>
            <w:r w:rsidRPr="00153F27">
              <w:rPr>
                <w:rFonts w:cs="Segoe UI Light"/>
                <w:sz w:val="18"/>
              </w:rPr>
              <w:t>number of sensitive receptors (noise sensitive areas) will be expanded to include childcare centres, kindergartens, primary and secondary schools, and camping grounds and caravan parks in quiet rural areas</w:t>
            </w:r>
          </w:p>
          <w:p w14:paraId="656B1413" w14:textId="77777777" w:rsidR="00992B2B" w:rsidRPr="00153F27" w:rsidRDefault="00992B2B" w:rsidP="00153F27">
            <w:pPr>
              <w:pStyle w:val="ListParagraph"/>
              <w:numPr>
                <w:ilvl w:val="0"/>
                <w:numId w:val="62"/>
              </w:numPr>
              <w:ind w:left="285" w:right="262" w:hanging="285"/>
              <w:mirrorIndents/>
              <w:rPr>
                <w:rFonts w:cs="Segoe UI Light"/>
                <w:sz w:val="18"/>
              </w:rPr>
            </w:pPr>
            <w:r w:rsidRPr="00153F27">
              <w:rPr>
                <w:rFonts w:cs="Segoe UI Light"/>
                <w:sz w:val="18"/>
              </w:rPr>
              <w:t xml:space="preserve">Frequency spectrum noise: </w:t>
            </w:r>
            <w:r w:rsidR="00060DCA" w:rsidRPr="00153F27">
              <w:rPr>
                <w:rFonts w:cs="Segoe UI Light"/>
                <w:sz w:val="18"/>
              </w:rPr>
              <w:t xml:space="preserve">This will clarify </w:t>
            </w:r>
            <w:r w:rsidRPr="00153F27">
              <w:rPr>
                <w:rFonts w:cs="Segoe UI Light"/>
                <w:sz w:val="18"/>
              </w:rPr>
              <w:t>that noise at varying frequencies can be unreasonable noise and sets an expectation of the need to control such noise.</w:t>
            </w:r>
          </w:p>
          <w:p w14:paraId="656B1414" w14:textId="77777777" w:rsidR="00992B2B" w:rsidRPr="00153F27" w:rsidRDefault="00992B2B" w:rsidP="00153F27">
            <w:pPr>
              <w:pStyle w:val="ListParagraph"/>
              <w:numPr>
                <w:ilvl w:val="0"/>
                <w:numId w:val="62"/>
              </w:numPr>
              <w:ind w:left="285" w:right="262" w:hanging="285"/>
              <w:mirrorIndents/>
              <w:rPr>
                <w:rFonts w:cs="Segoe UI Light"/>
                <w:sz w:val="18"/>
              </w:rPr>
            </w:pPr>
            <w:r w:rsidRPr="00153F27">
              <w:rPr>
                <w:rFonts w:cs="Segoe UI Light"/>
                <w:sz w:val="18"/>
              </w:rPr>
              <w:t xml:space="preserve">Application boundary: </w:t>
            </w:r>
            <w:r w:rsidR="00060DCA">
              <w:rPr>
                <w:rFonts w:cs="Segoe UI Light"/>
                <w:sz w:val="18"/>
              </w:rPr>
              <w:t>It is proposed to a</w:t>
            </w:r>
            <w:r w:rsidRPr="00153F27">
              <w:rPr>
                <w:rFonts w:cs="Segoe UI Light"/>
                <w:sz w:val="18"/>
              </w:rPr>
              <w:t>mend the current boundary in SEPP N-1 (Control of noise from Industry, commerce and Trade) to the Urban Growth Boundary.</w:t>
            </w:r>
          </w:p>
          <w:p w14:paraId="656B1415" w14:textId="77777777" w:rsidR="00992B2B" w:rsidRPr="00153F27" w:rsidRDefault="00992B2B" w:rsidP="00153F27">
            <w:pPr>
              <w:pStyle w:val="ListParagraph"/>
              <w:numPr>
                <w:ilvl w:val="0"/>
                <w:numId w:val="62"/>
              </w:numPr>
              <w:ind w:left="285" w:right="262" w:hanging="285"/>
              <w:mirrorIndents/>
              <w:rPr>
                <w:rFonts w:cs="Segoe UI Light"/>
                <w:sz w:val="18"/>
              </w:rPr>
            </w:pPr>
            <w:r w:rsidRPr="00153F27">
              <w:rPr>
                <w:rFonts w:cs="Segoe UI Light"/>
                <w:sz w:val="18"/>
              </w:rPr>
              <w:t xml:space="preserve">Saturday evening period determination: </w:t>
            </w:r>
            <w:r w:rsidR="00060DCA">
              <w:rPr>
                <w:rFonts w:cs="Segoe UI Light"/>
                <w:sz w:val="18"/>
              </w:rPr>
              <w:t>It is proposed to a</w:t>
            </w:r>
            <w:r w:rsidRPr="00153F27">
              <w:rPr>
                <w:rFonts w:cs="Segoe UI Light"/>
                <w:sz w:val="18"/>
              </w:rPr>
              <w:t>lign the Saturday ‘evening’ period for the purpose of setting limits to be the same as for Monday to Friday</w:t>
            </w:r>
            <w:r w:rsidR="00DC7A63">
              <w:rPr>
                <w:rFonts w:cs="Segoe UI Light"/>
                <w:sz w:val="18"/>
              </w:rPr>
              <w:t xml:space="preserve">. </w:t>
            </w:r>
            <w:r w:rsidRPr="00153F27">
              <w:rPr>
                <w:rFonts w:cs="Segoe UI Light"/>
                <w:sz w:val="18"/>
              </w:rPr>
              <w:t xml:space="preserve">The rationale for this is the changing </w:t>
            </w:r>
            <w:r w:rsidR="00675AB2">
              <w:rPr>
                <w:rFonts w:cs="Segoe UI Light"/>
                <w:sz w:val="18"/>
              </w:rPr>
              <w:t>nature</w:t>
            </w:r>
            <w:r w:rsidR="00675AB2" w:rsidRPr="00153F27">
              <w:rPr>
                <w:rFonts w:cs="Segoe UI Light"/>
                <w:sz w:val="18"/>
              </w:rPr>
              <w:t xml:space="preserve"> </w:t>
            </w:r>
            <w:r w:rsidRPr="00153F27">
              <w:rPr>
                <w:rFonts w:cs="Segoe UI Light"/>
                <w:sz w:val="18"/>
              </w:rPr>
              <w:t>of Saturday afternoon economic activity.</w:t>
            </w:r>
          </w:p>
          <w:p w14:paraId="656B1416" w14:textId="77777777" w:rsidR="00992B2B" w:rsidRPr="00153F27" w:rsidRDefault="00992B2B" w:rsidP="00153F27">
            <w:pPr>
              <w:pStyle w:val="ListParagraph"/>
              <w:numPr>
                <w:ilvl w:val="0"/>
                <w:numId w:val="62"/>
              </w:numPr>
              <w:ind w:left="285" w:right="262" w:hanging="285"/>
              <w:mirrorIndents/>
              <w:rPr>
                <w:rFonts w:cs="Segoe UI Light"/>
                <w:sz w:val="18"/>
              </w:rPr>
            </w:pPr>
            <w:r w:rsidRPr="00153F27">
              <w:rPr>
                <w:rFonts w:cs="Segoe UI Light"/>
                <w:sz w:val="18"/>
              </w:rPr>
              <w:t xml:space="preserve">Night time noise from industry: A 55dB limit </w:t>
            </w:r>
            <w:r w:rsidR="00060DCA" w:rsidRPr="00153F27">
              <w:rPr>
                <w:rFonts w:cs="Segoe UI Light"/>
                <w:sz w:val="18"/>
              </w:rPr>
              <w:t>wil</w:t>
            </w:r>
            <w:r w:rsidR="00153F27">
              <w:rPr>
                <w:rFonts w:cs="Segoe UI Light"/>
                <w:sz w:val="18"/>
              </w:rPr>
              <w:t>l</w:t>
            </w:r>
            <w:r w:rsidR="00060DCA" w:rsidRPr="00153F27">
              <w:rPr>
                <w:rFonts w:cs="Segoe UI Light"/>
                <w:sz w:val="18"/>
              </w:rPr>
              <w:t xml:space="preserve"> be set </w:t>
            </w:r>
            <w:r w:rsidRPr="00153F27">
              <w:rPr>
                <w:rFonts w:cs="Segoe UI Light"/>
                <w:sz w:val="18"/>
              </w:rPr>
              <w:t>for industry at night time.</w:t>
            </w:r>
          </w:p>
          <w:p w14:paraId="656B1417" w14:textId="77777777" w:rsidR="00DD30D6" w:rsidRPr="00EF47F7" w:rsidRDefault="00992B2B" w:rsidP="00037AF8">
            <w:pPr>
              <w:pStyle w:val="ListParagraph"/>
              <w:numPr>
                <w:ilvl w:val="0"/>
                <w:numId w:val="62"/>
              </w:numPr>
              <w:spacing w:after="0"/>
              <w:ind w:left="285" w:right="262" w:hanging="285"/>
              <w:mirrorIndents/>
              <w:rPr>
                <w:rFonts w:cs="Segoe UI Light"/>
                <w:sz w:val="18"/>
              </w:rPr>
            </w:pPr>
            <w:r w:rsidRPr="00153F27">
              <w:rPr>
                <w:rFonts w:cs="Segoe UI Light"/>
                <w:sz w:val="18"/>
              </w:rPr>
              <w:t xml:space="preserve">Public transport noise: Align the definition of a Commercial, Industrial and Trade premise to the noise exemption in the Victorian </w:t>
            </w:r>
            <w:hyperlink r:id="rId78" w:history="1">
              <w:r w:rsidRPr="00153F27">
                <w:rPr>
                  <w:sz w:val="18"/>
                </w:rPr>
                <w:t>Transport (Compliance and Miscellaneous) Act 1983</w:t>
              </w:r>
            </w:hyperlink>
            <w:r w:rsidR="005B0FDB">
              <w:rPr>
                <w:sz w:val="18"/>
              </w:rPr>
              <w:t>.</w:t>
            </w:r>
          </w:p>
        </w:tc>
      </w:tr>
      <w:tr w:rsidR="002671A2" w:rsidRPr="00005F17" w14:paraId="656B141B" w14:textId="77777777" w:rsidTr="00603FBA">
        <w:tc>
          <w:tcPr>
            <w:tcW w:w="1275" w:type="dxa"/>
          </w:tcPr>
          <w:p w14:paraId="656B1419" w14:textId="77777777" w:rsidR="002671A2" w:rsidRDefault="00BC7B64" w:rsidP="00DD30D6">
            <w:pPr>
              <w:mirrorIndents/>
              <w:rPr>
                <w:rFonts w:cs="Segoe UI Light"/>
                <w:b/>
                <w:sz w:val="18"/>
              </w:rPr>
            </w:pPr>
            <w:r>
              <w:rPr>
                <w:rFonts w:cs="Segoe UI Light"/>
                <w:b/>
                <w:sz w:val="18"/>
              </w:rPr>
              <w:t>Vehicle  emissions</w:t>
            </w:r>
          </w:p>
        </w:tc>
        <w:tc>
          <w:tcPr>
            <w:tcW w:w="8931" w:type="dxa"/>
          </w:tcPr>
          <w:p w14:paraId="656B141A" w14:textId="77777777" w:rsidR="002671A2" w:rsidRDefault="00BC21A1" w:rsidP="00153F27">
            <w:pPr>
              <w:rPr>
                <w:sz w:val="18"/>
              </w:rPr>
            </w:pPr>
            <w:r>
              <w:rPr>
                <w:sz w:val="18"/>
              </w:rPr>
              <w:t xml:space="preserve">Stakeholders would experience minimal change from existing arrangements. </w:t>
            </w:r>
          </w:p>
        </w:tc>
      </w:tr>
      <w:tr w:rsidR="00992B2B" w:rsidRPr="00005F17" w14:paraId="656B1434" w14:textId="77777777" w:rsidTr="00603FBA">
        <w:tc>
          <w:tcPr>
            <w:tcW w:w="1275" w:type="dxa"/>
          </w:tcPr>
          <w:p w14:paraId="656B141C" w14:textId="77777777" w:rsidR="00992B2B" w:rsidRDefault="00992B2B" w:rsidP="00DD30D6">
            <w:pPr>
              <w:mirrorIndents/>
              <w:rPr>
                <w:rFonts w:cs="Segoe UI Light"/>
                <w:b/>
                <w:sz w:val="18"/>
              </w:rPr>
            </w:pPr>
            <w:r>
              <w:rPr>
                <w:rFonts w:cs="Segoe UI Light"/>
                <w:b/>
                <w:sz w:val="18"/>
              </w:rPr>
              <w:t>Fees</w:t>
            </w:r>
          </w:p>
        </w:tc>
        <w:tc>
          <w:tcPr>
            <w:tcW w:w="8931" w:type="dxa"/>
          </w:tcPr>
          <w:p w14:paraId="1A9615E1" w14:textId="77777777" w:rsidR="003D69B6" w:rsidRPr="00EF47F7" w:rsidRDefault="003D69B6" w:rsidP="003D69B6">
            <w:pPr>
              <w:spacing w:after="0"/>
              <w:ind w:right="262"/>
              <w:mirrorIndents/>
              <w:rPr>
                <w:rFonts w:cs="Segoe UI Light"/>
                <w:sz w:val="18"/>
              </w:rPr>
            </w:pPr>
            <w:r>
              <w:rPr>
                <w:rFonts w:cs="Segoe UI Light"/>
                <w:sz w:val="18"/>
              </w:rPr>
              <w:t>The following fees would be unchanged under the preferred fees options (together these account for over 80% of EPA’s total fee revenue):</w:t>
            </w:r>
          </w:p>
          <w:p w14:paraId="0AD21608" w14:textId="77777777" w:rsidR="003D69B6" w:rsidRPr="000B008F" w:rsidRDefault="003D69B6" w:rsidP="003D69B6">
            <w:pPr>
              <w:pStyle w:val="ListParagraph"/>
              <w:numPr>
                <w:ilvl w:val="0"/>
                <w:numId w:val="62"/>
              </w:numPr>
              <w:ind w:left="285" w:right="262" w:hanging="285"/>
              <w:mirrorIndents/>
              <w:rPr>
                <w:rFonts w:cs="Segoe UI Light"/>
                <w:sz w:val="18"/>
              </w:rPr>
            </w:pPr>
            <w:r w:rsidRPr="000B008F">
              <w:rPr>
                <w:rFonts w:cs="Segoe UI Light"/>
                <w:sz w:val="18"/>
              </w:rPr>
              <w:t>Development licence: application</w:t>
            </w:r>
          </w:p>
          <w:p w14:paraId="38A3FAB6" w14:textId="77777777" w:rsidR="003D69B6" w:rsidRPr="000B008F" w:rsidRDefault="003D69B6" w:rsidP="003D69B6">
            <w:pPr>
              <w:pStyle w:val="ListParagraph"/>
              <w:numPr>
                <w:ilvl w:val="0"/>
                <w:numId w:val="62"/>
              </w:numPr>
              <w:ind w:left="285" w:right="262" w:hanging="285"/>
              <w:mirrorIndents/>
              <w:rPr>
                <w:rFonts w:cs="Segoe UI Light"/>
                <w:sz w:val="18"/>
              </w:rPr>
            </w:pPr>
            <w:r w:rsidRPr="000B008F">
              <w:rPr>
                <w:rFonts w:cs="Segoe UI Light"/>
                <w:sz w:val="18"/>
              </w:rPr>
              <w:t>Operating licence: annual fee</w:t>
            </w:r>
            <w:r>
              <w:rPr>
                <w:rFonts w:cs="Segoe UI Light"/>
                <w:sz w:val="18"/>
              </w:rPr>
              <w:t>.</w:t>
            </w:r>
          </w:p>
          <w:p w14:paraId="05D5EEBD" w14:textId="77777777" w:rsidR="003D69B6" w:rsidRPr="00EF47F7" w:rsidRDefault="003D69B6" w:rsidP="003D69B6">
            <w:pPr>
              <w:spacing w:after="0"/>
              <w:ind w:right="262"/>
              <w:mirrorIndents/>
              <w:rPr>
                <w:rFonts w:cs="Segoe UI Light"/>
                <w:sz w:val="18"/>
              </w:rPr>
            </w:pPr>
            <w:r w:rsidRPr="00153F27">
              <w:rPr>
                <w:rFonts w:cs="Segoe UI Light"/>
                <w:sz w:val="18"/>
              </w:rPr>
              <w:t>The following fees would be revised under the preferred fees options:</w:t>
            </w:r>
          </w:p>
          <w:p w14:paraId="7B347B3C" w14:textId="77777777" w:rsidR="003D69B6" w:rsidRPr="000B008F" w:rsidRDefault="003D69B6" w:rsidP="003D69B6">
            <w:pPr>
              <w:pStyle w:val="ListParagraph"/>
              <w:numPr>
                <w:ilvl w:val="0"/>
                <w:numId w:val="62"/>
              </w:numPr>
              <w:ind w:left="285" w:right="262" w:hanging="285"/>
              <w:mirrorIndents/>
              <w:rPr>
                <w:rFonts w:cs="Segoe UI Light"/>
                <w:sz w:val="18"/>
              </w:rPr>
            </w:pPr>
            <w:r w:rsidRPr="000B008F">
              <w:rPr>
                <w:rFonts w:cs="Segoe UI Light"/>
                <w:sz w:val="18"/>
              </w:rPr>
              <w:t>Development licence: transfer</w:t>
            </w:r>
          </w:p>
          <w:p w14:paraId="27689DF1" w14:textId="77777777" w:rsidR="003D69B6" w:rsidRPr="000B008F" w:rsidRDefault="003D69B6" w:rsidP="003D69B6">
            <w:pPr>
              <w:pStyle w:val="ListParagraph"/>
              <w:numPr>
                <w:ilvl w:val="0"/>
                <w:numId w:val="62"/>
              </w:numPr>
              <w:ind w:left="285" w:right="262" w:hanging="285"/>
              <w:mirrorIndents/>
              <w:rPr>
                <w:rFonts w:cs="Segoe UI Light"/>
                <w:sz w:val="18"/>
              </w:rPr>
            </w:pPr>
            <w:r w:rsidRPr="000B008F">
              <w:rPr>
                <w:rFonts w:cs="Segoe UI Light"/>
                <w:sz w:val="18"/>
              </w:rPr>
              <w:t>Environmental auditor: application for appointment, application for reappointment, environmental audit statement and report</w:t>
            </w:r>
          </w:p>
          <w:p w14:paraId="737FE4D0" w14:textId="77777777" w:rsidR="003D69B6" w:rsidRPr="000B008F" w:rsidRDefault="003D69B6" w:rsidP="003D69B6">
            <w:pPr>
              <w:pStyle w:val="ListParagraph"/>
              <w:numPr>
                <w:ilvl w:val="0"/>
                <w:numId w:val="62"/>
              </w:numPr>
              <w:ind w:left="285" w:right="262" w:hanging="285"/>
              <w:mirrorIndents/>
              <w:rPr>
                <w:rFonts w:cs="Segoe UI Light"/>
                <w:sz w:val="18"/>
              </w:rPr>
            </w:pPr>
            <w:r w:rsidRPr="000B008F">
              <w:rPr>
                <w:rFonts w:cs="Segoe UI Light"/>
                <w:sz w:val="18"/>
              </w:rPr>
              <w:t>Operating licence: amendment, transfer</w:t>
            </w:r>
          </w:p>
          <w:p w14:paraId="0C79FD98" w14:textId="77777777" w:rsidR="003D69B6" w:rsidRPr="000B008F" w:rsidRDefault="003D69B6" w:rsidP="003D69B6">
            <w:pPr>
              <w:pStyle w:val="ListParagraph"/>
              <w:numPr>
                <w:ilvl w:val="0"/>
                <w:numId w:val="62"/>
              </w:numPr>
              <w:ind w:left="285" w:right="262" w:hanging="285"/>
              <w:mirrorIndents/>
              <w:rPr>
                <w:rFonts w:cs="Segoe UI Light"/>
                <w:sz w:val="18"/>
              </w:rPr>
            </w:pPr>
            <w:r w:rsidRPr="000B008F">
              <w:rPr>
                <w:rFonts w:cs="Segoe UI Light"/>
                <w:sz w:val="18"/>
              </w:rPr>
              <w:t xml:space="preserve">Pilot project licence: application, transfer </w:t>
            </w:r>
          </w:p>
          <w:p w14:paraId="3F0277C7" w14:textId="77777777" w:rsidR="003D69B6" w:rsidRPr="000B008F" w:rsidRDefault="003D69B6" w:rsidP="003D69B6">
            <w:pPr>
              <w:pStyle w:val="ListParagraph"/>
              <w:numPr>
                <w:ilvl w:val="0"/>
                <w:numId w:val="62"/>
              </w:numPr>
              <w:ind w:left="285" w:right="262" w:hanging="285"/>
              <w:mirrorIndents/>
              <w:rPr>
                <w:rFonts w:cs="Segoe UI Light"/>
                <w:sz w:val="18"/>
              </w:rPr>
            </w:pPr>
            <w:r w:rsidRPr="000B008F">
              <w:rPr>
                <w:rFonts w:cs="Segoe UI Light"/>
                <w:sz w:val="18"/>
              </w:rPr>
              <w:t>Reportable priority waste transport permit: application, transfer, amendment, renewal</w:t>
            </w:r>
            <w:r>
              <w:rPr>
                <w:rFonts w:cs="Segoe UI Light"/>
                <w:sz w:val="18"/>
              </w:rPr>
              <w:t>.</w:t>
            </w:r>
          </w:p>
          <w:p w14:paraId="5CB9D2AD" w14:textId="77777777" w:rsidR="003D69B6" w:rsidRPr="00153F27" w:rsidRDefault="003D69B6" w:rsidP="003D69B6">
            <w:pPr>
              <w:spacing w:after="0"/>
              <w:ind w:right="262"/>
              <w:mirrorIndents/>
              <w:rPr>
                <w:rFonts w:cs="Segoe UI Light"/>
                <w:sz w:val="18"/>
              </w:rPr>
            </w:pPr>
            <w:r w:rsidRPr="00153F27">
              <w:rPr>
                <w:rFonts w:cs="Segoe UI Light"/>
                <w:sz w:val="18"/>
              </w:rPr>
              <w:t>The following fees would be introduced under the preferred fee options:</w:t>
            </w:r>
          </w:p>
          <w:p w14:paraId="5FD41854" w14:textId="77777777" w:rsidR="003D69B6" w:rsidRPr="009903FE" w:rsidRDefault="003D69B6" w:rsidP="003D69B6">
            <w:pPr>
              <w:pStyle w:val="ListParagraph"/>
              <w:numPr>
                <w:ilvl w:val="0"/>
                <w:numId w:val="62"/>
              </w:numPr>
              <w:ind w:left="285" w:right="262" w:hanging="285"/>
              <w:mirrorIndents/>
              <w:rPr>
                <w:rFonts w:cs="Segoe UI Light"/>
                <w:sz w:val="18"/>
              </w:rPr>
            </w:pPr>
            <w:r w:rsidRPr="000B008F">
              <w:rPr>
                <w:rFonts w:cs="Segoe UI Light"/>
                <w:sz w:val="18"/>
              </w:rPr>
              <w:t xml:space="preserve">Appointment of </w:t>
            </w:r>
            <w:r w:rsidRPr="009903FE">
              <w:rPr>
                <w:rFonts w:cs="Segoe UI Light"/>
                <w:sz w:val="18"/>
              </w:rPr>
              <w:t>prescribed roles: accredited consigners</w:t>
            </w:r>
          </w:p>
          <w:p w14:paraId="66B6346B" w14:textId="77777777" w:rsidR="003D69B6" w:rsidRPr="009903FE" w:rsidRDefault="003D69B6" w:rsidP="003D69B6">
            <w:pPr>
              <w:pStyle w:val="ListParagraph"/>
              <w:numPr>
                <w:ilvl w:val="0"/>
                <w:numId w:val="62"/>
              </w:numPr>
              <w:ind w:left="285" w:right="262" w:hanging="285"/>
              <w:mirrorIndents/>
              <w:rPr>
                <w:rFonts w:cs="Segoe UI Light"/>
                <w:sz w:val="18"/>
              </w:rPr>
            </w:pPr>
            <w:r w:rsidRPr="009903FE">
              <w:rPr>
                <w:rFonts w:cs="Segoe UI Light"/>
                <w:sz w:val="18"/>
              </w:rPr>
              <w:t>Better environment plans: services to advise or assist a person to prepare, submission, amendment</w:t>
            </w:r>
          </w:p>
          <w:p w14:paraId="7705C7E8" w14:textId="77777777" w:rsidR="003D69B6" w:rsidRPr="009903FE" w:rsidRDefault="003D69B6" w:rsidP="003D69B6">
            <w:pPr>
              <w:pStyle w:val="ListParagraph"/>
              <w:numPr>
                <w:ilvl w:val="0"/>
                <w:numId w:val="62"/>
              </w:numPr>
              <w:ind w:left="285" w:right="262" w:hanging="285"/>
              <w:mirrorIndents/>
              <w:rPr>
                <w:rFonts w:cs="Segoe UI Light"/>
                <w:sz w:val="18"/>
              </w:rPr>
            </w:pPr>
            <w:r w:rsidRPr="009903FE">
              <w:rPr>
                <w:rFonts w:cs="Segoe UI Light"/>
                <w:sz w:val="18"/>
              </w:rPr>
              <w:t>Development licence: amendment, exemption</w:t>
            </w:r>
          </w:p>
          <w:p w14:paraId="33D303B9" w14:textId="77777777" w:rsidR="003D69B6" w:rsidRPr="009903FE" w:rsidRDefault="003D69B6" w:rsidP="003D69B6">
            <w:pPr>
              <w:pStyle w:val="ListParagraph"/>
              <w:numPr>
                <w:ilvl w:val="0"/>
                <w:numId w:val="62"/>
              </w:numPr>
              <w:ind w:left="285" w:right="262" w:hanging="285"/>
              <w:mirrorIndents/>
              <w:rPr>
                <w:rFonts w:cs="Segoe UI Light"/>
                <w:sz w:val="18"/>
              </w:rPr>
            </w:pPr>
            <w:r w:rsidRPr="009903FE">
              <w:rPr>
                <w:rFonts w:cs="Segoe UI Light"/>
                <w:sz w:val="18"/>
              </w:rPr>
              <w:t>Emergency storage, use, etc of waste: application for authorisation (commissioning)</w:t>
            </w:r>
          </w:p>
          <w:p w14:paraId="41428E2C" w14:textId="77777777" w:rsidR="003D69B6" w:rsidRPr="009903FE" w:rsidRDefault="003D69B6" w:rsidP="003D69B6">
            <w:pPr>
              <w:pStyle w:val="ListParagraph"/>
              <w:numPr>
                <w:ilvl w:val="0"/>
                <w:numId w:val="62"/>
              </w:numPr>
              <w:ind w:left="285" w:right="262" w:hanging="285"/>
              <w:mirrorIndents/>
              <w:rPr>
                <w:rFonts w:cs="Segoe UI Light"/>
                <w:sz w:val="18"/>
              </w:rPr>
            </w:pPr>
            <w:r w:rsidRPr="009903FE">
              <w:rPr>
                <w:rFonts w:cs="Segoe UI Light"/>
                <w:sz w:val="18"/>
              </w:rPr>
              <w:t>Environmental auditor: administrative and technical support services in relation to appointment, administrative and technical support services in relation to reappointment, preliminary risk screen assessment statement and report</w:t>
            </w:r>
          </w:p>
          <w:p w14:paraId="31551024" w14:textId="77777777" w:rsidR="003D69B6" w:rsidRPr="009903FE" w:rsidRDefault="003D69B6" w:rsidP="003D69B6">
            <w:pPr>
              <w:pStyle w:val="ListParagraph"/>
              <w:numPr>
                <w:ilvl w:val="0"/>
                <w:numId w:val="62"/>
              </w:numPr>
              <w:ind w:left="285" w:right="262" w:hanging="285"/>
              <w:mirrorIndents/>
              <w:rPr>
                <w:rFonts w:cs="Segoe UI Light"/>
                <w:sz w:val="18"/>
              </w:rPr>
            </w:pPr>
            <w:r w:rsidRPr="009903FE">
              <w:rPr>
                <w:rFonts w:cs="Segoe UI Light"/>
                <w:sz w:val="18"/>
              </w:rPr>
              <w:t>Exemption from any provision of the regulations or of a legislative instrument made under the Act</w:t>
            </w:r>
          </w:p>
          <w:p w14:paraId="27590CF9" w14:textId="77777777" w:rsidR="003D69B6" w:rsidRPr="009903FE" w:rsidRDefault="003D69B6" w:rsidP="003D69B6">
            <w:pPr>
              <w:pStyle w:val="ListParagraph"/>
              <w:numPr>
                <w:ilvl w:val="0"/>
                <w:numId w:val="62"/>
              </w:numPr>
              <w:ind w:left="285" w:right="262" w:hanging="285"/>
              <w:mirrorIndents/>
              <w:rPr>
                <w:rFonts w:cs="Segoe UI Light"/>
                <w:sz w:val="18"/>
              </w:rPr>
            </w:pPr>
            <w:r w:rsidRPr="009903FE">
              <w:rPr>
                <w:rFonts w:cs="Segoe UI Light"/>
                <w:sz w:val="18"/>
              </w:rPr>
              <w:t>Financial assurances: request for review of form, application for release</w:t>
            </w:r>
          </w:p>
          <w:p w14:paraId="1E536268" w14:textId="77777777" w:rsidR="003D69B6" w:rsidRPr="009903FE" w:rsidRDefault="003D69B6" w:rsidP="003D69B6">
            <w:pPr>
              <w:pStyle w:val="ListParagraph"/>
              <w:numPr>
                <w:ilvl w:val="0"/>
                <w:numId w:val="62"/>
              </w:numPr>
              <w:ind w:left="285" w:right="262" w:hanging="285"/>
              <w:mirrorIndents/>
              <w:rPr>
                <w:rFonts w:cs="Segoe UI Light"/>
                <w:sz w:val="18"/>
              </w:rPr>
            </w:pPr>
            <w:r w:rsidRPr="009903FE">
              <w:rPr>
                <w:rFonts w:cs="Segoe UI Light"/>
                <w:sz w:val="18"/>
              </w:rPr>
              <w:t>Operating licence: application, exemption, surrender</w:t>
            </w:r>
          </w:p>
          <w:p w14:paraId="7FF3013A" w14:textId="77777777" w:rsidR="003D69B6" w:rsidRPr="000B008F" w:rsidRDefault="003D69B6" w:rsidP="003D69B6">
            <w:pPr>
              <w:pStyle w:val="ListParagraph"/>
              <w:numPr>
                <w:ilvl w:val="0"/>
                <w:numId w:val="62"/>
              </w:numPr>
              <w:ind w:left="285" w:right="262" w:hanging="285"/>
              <w:mirrorIndents/>
              <w:rPr>
                <w:rFonts w:cs="Segoe UI Light"/>
                <w:sz w:val="18"/>
              </w:rPr>
            </w:pPr>
            <w:r w:rsidRPr="000B008F">
              <w:rPr>
                <w:rFonts w:cs="Segoe UI Light"/>
                <w:sz w:val="18"/>
              </w:rPr>
              <w:t>Other Authority-issued permits: application, transfer, amendment, surrender, exemption, renewal</w:t>
            </w:r>
          </w:p>
          <w:p w14:paraId="2882F8EB" w14:textId="77777777" w:rsidR="003D69B6" w:rsidRPr="000B008F" w:rsidRDefault="003D69B6" w:rsidP="003D69B6">
            <w:pPr>
              <w:pStyle w:val="ListParagraph"/>
              <w:numPr>
                <w:ilvl w:val="0"/>
                <w:numId w:val="62"/>
              </w:numPr>
              <w:ind w:left="285" w:right="262" w:hanging="285"/>
              <w:mirrorIndents/>
              <w:rPr>
                <w:rFonts w:cs="Segoe UI Light"/>
                <w:sz w:val="18"/>
              </w:rPr>
            </w:pPr>
            <w:r w:rsidRPr="000B008F">
              <w:rPr>
                <w:rFonts w:cs="Segoe UI Light"/>
                <w:sz w:val="18"/>
              </w:rPr>
              <w:t>On</w:t>
            </w:r>
            <w:r>
              <w:rPr>
                <w:rFonts w:cs="Segoe UI Light"/>
                <w:sz w:val="18"/>
              </w:rPr>
              <w:t>-</w:t>
            </w:r>
            <w:r w:rsidRPr="000B008F">
              <w:rPr>
                <w:rFonts w:cs="Segoe UI Light"/>
                <w:sz w:val="18"/>
              </w:rPr>
              <w:t>site wastewater management permit: application, exemption</w:t>
            </w:r>
          </w:p>
          <w:p w14:paraId="43942A1C" w14:textId="77777777" w:rsidR="003D69B6" w:rsidRPr="000B008F" w:rsidRDefault="003D69B6" w:rsidP="003D69B6">
            <w:pPr>
              <w:pStyle w:val="ListParagraph"/>
              <w:numPr>
                <w:ilvl w:val="0"/>
                <w:numId w:val="62"/>
              </w:numPr>
              <w:ind w:left="285" w:right="262" w:hanging="285"/>
              <w:mirrorIndents/>
              <w:rPr>
                <w:rFonts w:cs="Segoe UI Light"/>
                <w:sz w:val="18"/>
              </w:rPr>
            </w:pPr>
            <w:r w:rsidRPr="000B008F">
              <w:rPr>
                <w:rFonts w:cs="Segoe UI Light"/>
                <w:sz w:val="18"/>
              </w:rPr>
              <w:t>Pilot project licence: amendment</w:t>
            </w:r>
          </w:p>
          <w:p w14:paraId="26204CBD" w14:textId="77777777" w:rsidR="003D69B6" w:rsidRPr="000B008F" w:rsidRDefault="003D69B6" w:rsidP="003D69B6">
            <w:pPr>
              <w:pStyle w:val="ListParagraph"/>
              <w:numPr>
                <w:ilvl w:val="0"/>
                <w:numId w:val="62"/>
              </w:numPr>
              <w:ind w:left="285" w:right="262" w:hanging="285"/>
              <w:mirrorIndents/>
              <w:rPr>
                <w:rFonts w:cs="Segoe UI Light"/>
                <w:sz w:val="18"/>
              </w:rPr>
            </w:pPr>
            <w:r w:rsidRPr="000B008F">
              <w:rPr>
                <w:rFonts w:cs="Segoe UI Light"/>
                <w:sz w:val="18"/>
              </w:rPr>
              <w:t>Reportable priority waste transport permit: surrender, exemption, exemption (mutual recognition)</w:t>
            </w:r>
          </w:p>
          <w:p w14:paraId="5CCDF05F" w14:textId="77777777" w:rsidR="003D69B6" w:rsidRDefault="003D69B6" w:rsidP="003D69B6">
            <w:pPr>
              <w:spacing w:after="0"/>
              <w:ind w:right="262"/>
              <w:mirrorIndents/>
              <w:rPr>
                <w:rFonts w:cs="Segoe UI Light"/>
                <w:sz w:val="18"/>
              </w:rPr>
            </w:pPr>
            <w:r w:rsidRPr="000B008F">
              <w:rPr>
                <w:rFonts w:cs="Segoe UI Light"/>
                <w:sz w:val="18"/>
              </w:rPr>
              <w:t>Reportable priority waste transport registration: application, renewal</w:t>
            </w:r>
            <w:r>
              <w:rPr>
                <w:rFonts w:cs="Segoe UI Light"/>
                <w:sz w:val="18"/>
              </w:rPr>
              <w:t>.</w:t>
            </w:r>
          </w:p>
          <w:p w14:paraId="656B1433" w14:textId="65081709" w:rsidR="00992B2B" w:rsidRPr="00EF47F7" w:rsidRDefault="00992B2B" w:rsidP="009903FE">
            <w:pPr>
              <w:pStyle w:val="ListParagraph"/>
              <w:spacing w:after="0"/>
              <w:ind w:left="285" w:right="262"/>
              <w:mirrorIndents/>
              <w:rPr>
                <w:rFonts w:cs="Segoe UI Light"/>
                <w:sz w:val="18"/>
              </w:rPr>
            </w:pPr>
          </w:p>
        </w:tc>
      </w:tr>
    </w:tbl>
    <w:p w14:paraId="656B1435" w14:textId="77777777" w:rsidR="00404F71" w:rsidRDefault="00404F71"/>
    <w:p w14:paraId="656B1436" w14:textId="77777777" w:rsidR="00F9762B" w:rsidRDefault="00F9762B" w:rsidP="00982D63">
      <w:pPr>
        <w:pStyle w:val="Heading2"/>
      </w:pPr>
      <w:r>
        <w:t>Summary of costs and benefits</w:t>
      </w:r>
    </w:p>
    <w:p w14:paraId="656B1437" w14:textId="77777777" w:rsidR="0095615D" w:rsidRDefault="00F9762B" w:rsidP="0095615D">
      <w:r>
        <w:t xml:space="preserve">The nature of the costs and benefits vary across the </w:t>
      </w:r>
      <w:r w:rsidR="00472852">
        <w:t xml:space="preserve">numerous </w:t>
      </w:r>
      <w:r>
        <w:t>problem areas</w:t>
      </w:r>
      <w:r w:rsidR="00472852">
        <w:t xml:space="preserve"> considered throughout the RIS. Similarly,</w:t>
      </w:r>
      <w:r>
        <w:t xml:space="preserve"> the groups that will be impacted by the proposed Regulations</w:t>
      </w:r>
      <w:r w:rsidR="00472852">
        <w:t xml:space="preserve"> also differ. </w:t>
      </w:r>
      <w:r w:rsidR="0095615D">
        <w:t>These c</w:t>
      </w:r>
      <w:r w:rsidR="0095615D" w:rsidRPr="0095615D">
        <w:t>osts and benefits cannot be quantified for</w:t>
      </w:r>
      <w:r w:rsidR="0095615D">
        <w:t xml:space="preserve"> each individual problem area, nor combined into aggregate estimates for all preferred options combined. However, this RIS has assessed that the benefits of each preferred option outweigh the costs</w:t>
      </w:r>
      <w:r w:rsidR="00DC7A63">
        <w:t xml:space="preserve">. </w:t>
      </w:r>
      <w:r w:rsidR="0095615D">
        <w:t xml:space="preserve">The table below summarises </w:t>
      </w:r>
      <w:r w:rsidR="005E26C1">
        <w:t xml:space="preserve">a range of the types of </w:t>
      </w:r>
      <w:r w:rsidR="0095615D">
        <w:t xml:space="preserve">costs and benefits, across </w:t>
      </w:r>
      <w:r w:rsidR="005E26C1">
        <w:t>4</w:t>
      </w:r>
      <w:r w:rsidR="0095615D">
        <w:t xml:space="preserve"> broad stakeholder group categories, relative to the Base Case. </w:t>
      </w:r>
    </w:p>
    <w:p w14:paraId="656B1438" w14:textId="77777777" w:rsidR="00F9762B" w:rsidRPr="008050D5" w:rsidRDefault="008050D5" w:rsidP="008050D5">
      <w:pPr>
        <w:pStyle w:val="Caption"/>
        <w:rPr>
          <w:rFonts w:cs="Segoe UI Light"/>
          <w:sz w:val="18"/>
          <w:szCs w:val="20"/>
        </w:rPr>
      </w:pPr>
      <w:r w:rsidRPr="009B0443">
        <w:rPr>
          <w:rFonts w:cs="Segoe UI Light"/>
          <w:iCs w:val="0"/>
          <w:sz w:val="18"/>
          <w:szCs w:val="20"/>
        </w:rPr>
        <w:t xml:space="preserve">Table </w:t>
      </w:r>
      <w:r w:rsidRPr="009B0443">
        <w:rPr>
          <w:rFonts w:cs="Segoe UI Light"/>
          <w:color w:val="2B579A"/>
          <w:sz w:val="18"/>
          <w:szCs w:val="20"/>
          <w:shd w:val="clear" w:color="auto" w:fill="E6E6E6"/>
        </w:rPr>
        <w:fldChar w:fldCharType="begin"/>
      </w:r>
      <w:r w:rsidRPr="009B0443">
        <w:rPr>
          <w:rFonts w:cs="Segoe UI Light"/>
          <w:iCs w:val="0"/>
          <w:sz w:val="18"/>
          <w:szCs w:val="20"/>
        </w:rPr>
        <w:instrText xml:space="preserve"> STYLEREF 1 \s </w:instrText>
      </w:r>
      <w:r w:rsidRPr="009B0443">
        <w:rPr>
          <w:rFonts w:cs="Segoe UI Light"/>
          <w:color w:val="2B579A"/>
          <w:sz w:val="18"/>
          <w:szCs w:val="20"/>
          <w:shd w:val="clear" w:color="auto" w:fill="E6E6E6"/>
        </w:rPr>
        <w:fldChar w:fldCharType="separate"/>
      </w:r>
      <w:r w:rsidR="00B11C1E">
        <w:rPr>
          <w:rFonts w:cs="Segoe UI Light"/>
          <w:iCs w:val="0"/>
          <w:noProof/>
          <w:sz w:val="18"/>
          <w:szCs w:val="20"/>
        </w:rPr>
        <w:t>17</w:t>
      </w:r>
      <w:r w:rsidRPr="009B0443">
        <w:rPr>
          <w:rFonts w:cs="Segoe UI Light"/>
          <w:color w:val="2B579A"/>
          <w:sz w:val="18"/>
          <w:szCs w:val="20"/>
          <w:shd w:val="clear" w:color="auto" w:fill="E6E6E6"/>
        </w:rPr>
        <w:fldChar w:fldCharType="end"/>
      </w:r>
      <w:r w:rsidRPr="009B0443">
        <w:rPr>
          <w:rFonts w:cs="Segoe UI Light"/>
          <w:iCs w:val="0"/>
          <w:sz w:val="18"/>
          <w:szCs w:val="20"/>
        </w:rPr>
        <w:noBreakHyphen/>
      </w:r>
      <w:r w:rsidRPr="009B0443">
        <w:rPr>
          <w:rFonts w:cs="Segoe UI Light"/>
          <w:color w:val="2B579A"/>
          <w:sz w:val="18"/>
          <w:szCs w:val="20"/>
          <w:shd w:val="clear" w:color="auto" w:fill="E6E6E6"/>
        </w:rPr>
        <w:fldChar w:fldCharType="begin"/>
      </w:r>
      <w:r w:rsidRPr="009B0443">
        <w:rPr>
          <w:rFonts w:cs="Segoe UI Light"/>
          <w:iCs w:val="0"/>
          <w:sz w:val="18"/>
          <w:szCs w:val="20"/>
        </w:rPr>
        <w:instrText xml:space="preserve"> SEQ Table \* ARABIC \s 1 </w:instrText>
      </w:r>
      <w:r w:rsidRPr="009B0443">
        <w:rPr>
          <w:rFonts w:cs="Segoe UI Light"/>
          <w:color w:val="2B579A"/>
          <w:sz w:val="18"/>
          <w:szCs w:val="20"/>
          <w:shd w:val="clear" w:color="auto" w:fill="E6E6E6"/>
        </w:rPr>
        <w:fldChar w:fldCharType="separate"/>
      </w:r>
      <w:r w:rsidR="00B11C1E">
        <w:rPr>
          <w:rFonts w:cs="Segoe UI Light"/>
          <w:iCs w:val="0"/>
          <w:noProof/>
          <w:sz w:val="18"/>
          <w:szCs w:val="20"/>
        </w:rPr>
        <w:t>3</w:t>
      </w:r>
      <w:r w:rsidRPr="009B0443">
        <w:rPr>
          <w:rFonts w:cs="Segoe UI Light"/>
          <w:color w:val="2B579A"/>
          <w:sz w:val="18"/>
          <w:szCs w:val="20"/>
          <w:shd w:val="clear" w:color="auto" w:fill="E6E6E6"/>
        </w:rPr>
        <w:fldChar w:fldCharType="end"/>
      </w:r>
      <w:r w:rsidRPr="00153F27">
        <w:rPr>
          <w:rFonts w:cs="Segoe UI Light"/>
          <w:iCs w:val="0"/>
          <w:sz w:val="18"/>
          <w:szCs w:val="20"/>
        </w:rPr>
        <w:t xml:space="preserve"> </w:t>
      </w:r>
      <w:r w:rsidR="0095615D">
        <w:rPr>
          <w:rFonts w:cs="Segoe UI Light"/>
          <w:iCs w:val="0"/>
          <w:sz w:val="18"/>
          <w:szCs w:val="20"/>
        </w:rPr>
        <w:t>Examples</w:t>
      </w:r>
      <w:r>
        <w:rPr>
          <w:rFonts w:cs="Segoe UI Light"/>
          <w:iCs w:val="0"/>
          <w:sz w:val="18"/>
          <w:szCs w:val="20"/>
        </w:rPr>
        <w:t xml:space="preserve"> of costs and benefits from preferred option</w:t>
      </w:r>
      <w:r w:rsidR="00060DCA">
        <w:rPr>
          <w:rFonts w:cs="Segoe UI Light"/>
          <w:iCs w:val="0"/>
          <w:sz w:val="18"/>
          <w:szCs w:val="20"/>
        </w:rPr>
        <w:t>s</w:t>
      </w:r>
      <w:r w:rsidR="00ED18D4">
        <w:rPr>
          <w:rFonts w:cs="Segoe UI Light"/>
          <w:iCs w:val="0"/>
          <w:sz w:val="18"/>
          <w:szCs w:val="20"/>
        </w:rPr>
        <w:t xml:space="preserve"> </w:t>
      </w:r>
    </w:p>
    <w:tbl>
      <w:tblPr>
        <w:tblStyle w:val="Deloittetable"/>
        <w:tblW w:w="10600" w:type="dxa"/>
        <w:tblLook w:val="04A0" w:firstRow="1" w:lastRow="0" w:firstColumn="1" w:lastColumn="0" w:noHBand="0" w:noVBand="1"/>
      </w:tblPr>
      <w:tblGrid>
        <w:gridCol w:w="2322"/>
        <w:gridCol w:w="4139"/>
        <w:gridCol w:w="4139"/>
      </w:tblGrid>
      <w:tr w:rsidR="00F9762B" w:rsidRPr="00005F17" w14:paraId="656B143C" w14:textId="77777777" w:rsidTr="00F9762B">
        <w:trPr>
          <w:cnfStyle w:val="100000000000" w:firstRow="1" w:lastRow="0" w:firstColumn="0" w:lastColumn="0" w:oddVBand="0" w:evenVBand="0" w:oddHBand="0" w:evenHBand="0" w:firstRowFirstColumn="0" w:firstRowLastColumn="0" w:lastRowFirstColumn="0" w:lastRowLastColumn="0"/>
          <w:trHeight w:val="370"/>
          <w:tblHeader/>
        </w:trPr>
        <w:tc>
          <w:tcPr>
            <w:tcW w:w="2322" w:type="dxa"/>
          </w:tcPr>
          <w:p w14:paraId="656B1439" w14:textId="77777777" w:rsidR="00F9762B" w:rsidRPr="00005F17" w:rsidRDefault="00F9762B" w:rsidP="00F9762B">
            <w:pPr>
              <w:mirrorIndents/>
              <w:rPr>
                <w:rFonts w:cs="Segoe UI Light"/>
                <w:b/>
                <w:sz w:val="18"/>
              </w:rPr>
            </w:pPr>
            <w:r>
              <w:rPr>
                <w:rFonts w:cs="Segoe UI Light"/>
                <w:b/>
                <w:sz w:val="18"/>
              </w:rPr>
              <w:t>Stakeholder group</w:t>
            </w:r>
          </w:p>
        </w:tc>
        <w:tc>
          <w:tcPr>
            <w:tcW w:w="4139" w:type="dxa"/>
          </w:tcPr>
          <w:p w14:paraId="656B143A" w14:textId="77777777" w:rsidR="00F9762B" w:rsidRPr="00005F17" w:rsidRDefault="00F9762B" w:rsidP="00F9762B">
            <w:pPr>
              <w:mirrorIndents/>
              <w:rPr>
                <w:rFonts w:cs="Segoe UI Light"/>
                <w:b/>
                <w:sz w:val="18"/>
              </w:rPr>
            </w:pPr>
            <w:r>
              <w:rPr>
                <w:rFonts w:cs="Segoe UI Light"/>
                <w:b/>
                <w:sz w:val="18"/>
              </w:rPr>
              <w:t>Costs</w:t>
            </w:r>
          </w:p>
        </w:tc>
        <w:tc>
          <w:tcPr>
            <w:tcW w:w="4139" w:type="dxa"/>
          </w:tcPr>
          <w:p w14:paraId="656B143B" w14:textId="77777777" w:rsidR="00F9762B" w:rsidRPr="00005F17" w:rsidRDefault="00F9762B" w:rsidP="00F9762B">
            <w:pPr>
              <w:mirrorIndents/>
              <w:rPr>
                <w:rFonts w:cs="Segoe UI Light"/>
                <w:b/>
                <w:sz w:val="18"/>
              </w:rPr>
            </w:pPr>
            <w:r>
              <w:rPr>
                <w:rFonts w:cs="Segoe UI Light"/>
                <w:b/>
                <w:sz w:val="18"/>
              </w:rPr>
              <w:t>Benefits</w:t>
            </w:r>
          </w:p>
        </w:tc>
      </w:tr>
      <w:tr w:rsidR="00F9762B" w:rsidRPr="00005F17" w14:paraId="656B144B" w14:textId="77777777" w:rsidTr="00F9762B">
        <w:trPr>
          <w:trHeight w:val="358"/>
        </w:trPr>
        <w:tc>
          <w:tcPr>
            <w:tcW w:w="2322" w:type="dxa"/>
          </w:tcPr>
          <w:p w14:paraId="656B143D" w14:textId="77777777" w:rsidR="00F9762B" w:rsidRPr="00F9762B" w:rsidRDefault="00F9762B" w:rsidP="00F9762B">
            <w:pPr>
              <w:mirrorIndents/>
              <w:rPr>
                <w:rFonts w:cs="Segoe UI Light"/>
                <w:sz w:val="18"/>
              </w:rPr>
            </w:pPr>
            <w:r w:rsidRPr="00F9762B">
              <w:rPr>
                <w:rFonts w:cs="Segoe UI Light"/>
                <w:sz w:val="18"/>
              </w:rPr>
              <w:t>Business</w:t>
            </w:r>
          </w:p>
        </w:tc>
        <w:tc>
          <w:tcPr>
            <w:tcW w:w="4139" w:type="dxa"/>
          </w:tcPr>
          <w:p w14:paraId="656B143E" w14:textId="77777777" w:rsidR="00F9762B" w:rsidRDefault="0095615D" w:rsidP="00F9762B">
            <w:pPr>
              <w:pStyle w:val="ListParagraph"/>
              <w:numPr>
                <w:ilvl w:val="0"/>
                <w:numId w:val="62"/>
              </w:numPr>
              <w:ind w:left="285" w:right="262" w:hanging="285"/>
              <w:mirrorIndents/>
              <w:rPr>
                <w:rFonts w:cs="Segoe UI Light"/>
                <w:sz w:val="18"/>
              </w:rPr>
            </w:pPr>
            <w:r>
              <w:rPr>
                <w:rFonts w:cs="Segoe UI Light"/>
                <w:sz w:val="18"/>
              </w:rPr>
              <w:t>Costs to comply</w:t>
            </w:r>
            <w:r w:rsidR="00F9762B">
              <w:rPr>
                <w:rFonts w:cs="Segoe UI Light"/>
                <w:sz w:val="18"/>
              </w:rPr>
              <w:t xml:space="preserve"> with new requirements</w:t>
            </w:r>
          </w:p>
          <w:p w14:paraId="656B143F" w14:textId="77777777" w:rsidR="00F9762B" w:rsidRDefault="00F9762B" w:rsidP="00F9762B">
            <w:pPr>
              <w:pStyle w:val="ListParagraph"/>
              <w:numPr>
                <w:ilvl w:val="0"/>
                <w:numId w:val="62"/>
              </w:numPr>
              <w:ind w:left="285" w:right="262" w:hanging="285"/>
              <w:mirrorIndents/>
              <w:rPr>
                <w:rFonts w:cs="Segoe UI Light"/>
                <w:sz w:val="18"/>
              </w:rPr>
            </w:pPr>
            <w:r>
              <w:rPr>
                <w:rFonts w:cs="Segoe UI Light"/>
                <w:sz w:val="18"/>
              </w:rPr>
              <w:t>Pollution abatement costs</w:t>
            </w:r>
          </w:p>
          <w:p w14:paraId="656B1440" w14:textId="77777777" w:rsidR="00F9762B" w:rsidRDefault="00F9762B" w:rsidP="00F9762B">
            <w:pPr>
              <w:pStyle w:val="ListParagraph"/>
              <w:numPr>
                <w:ilvl w:val="0"/>
                <w:numId w:val="62"/>
              </w:numPr>
              <w:ind w:left="285" w:right="262" w:hanging="285"/>
              <w:mirrorIndents/>
              <w:rPr>
                <w:rFonts w:cs="Segoe UI Light"/>
                <w:sz w:val="18"/>
              </w:rPr>
            </w:pPr>
            <w:r>
              <w:rPr>
                <w:rFonts w:cs="Segoe UI Light"/>
                <w:sz w:val="18"/>
              </w:rPr>
              <w:t>Compliance with permission conditions</w:t>
            </w:r>
          </w:p>
          <w:p w14:paraId="656B1441" w14:textId="77777777" w:rsidR="00F9762B" w:rsidRDefault="00F9762B" w:rsidP="00F9762B">
            <w:pPr>
              <w:pStyle w:val="ListParagraph"/>
              <w:numPr>
                <w:ilvl w:val="0"/>
                <w:numId w:val="62"/>
              </w:numPr>
              <w:ind w:left="285" w:right="262" w:hanging="285"/>
              <w:mirrorIndents/>
              <w:rPr>
                <w:rFonts w:cs="Segoe UI Light"/>
                <w:sz w:val="18"/>
              </w:rPr>
            </w:pPr>
            <w:r>
              <w:rPr>
                <w:rFonts w:cs="Segoe UI Light"/>
                <w:sz w:val="18"/>
              </w:rPr>
              <w:t>Fees paid to EPA</w:t>
            </w:r>
          </w:p>
          <w:p w14:paraId="656B1442" w14:textId="77777777" w:rsidR="00F9762B" w:rsidRDefault="00F9762B" w:rsidP="00F9762B">
            <w:pPr>
              <w:pStyle w:val="ListParagraph"/>
              <w:numPr>
                <w:ilvl w:val="0"/>
                <w:numId w:val="62"/>
              </w:numPr>
              <w:ind w:left="285" w:right="262" w:hanging="285"/>
              <w:mirrorIndents/>
              <w:rPr>
                <w:rFonts w:cs="Segoe UI Light"/>
                <w:sz w:val="18"/>
              </w:rPr>
            </w:pPr>
            <w:r>
              <w:rPr>
                <w:rFonts w:cs="Segoe UI Light"/>
                <w:sz w:val="18"/>
              </w:rPr>
              <w:t>Costs to remove NAPL</w:t>
            </w:r>
          </w:p>
          <w:p w14:paraId="656B1443" w14:textId="77777777" w:rsidR="00F9762B" w:rsidRDefault="005E26C1" w:rsidP="00F9762B">
            <w:pPr>
              <w:pStyle w:val="ListParagraph"/>
              <w:numPr>
                <w:ilvl w:val="0"/>
                <w:numId w:val="62"/>
              </w:numPr>
              <w:ind w:left="285" w:right="262" w:hanging="285"/>
              <w:mirrorIndents/>
              <w:rPr>
                <w:rFonts w:cs="Segoe UI Light"/>
                <w:sz w:val="18"/>
              </w:rPr>
            </w:pPr>
            <w:r>
              <w:rPr>
                <w:rFonts w:cs="Segoe UI Light"/>
                <w:sz w:val="18"/>
              </w:rPr>
              <w:t>Emissions m</w:t>
            </w:r>
            <w:r w:rsidR="00F9762B">
              <w:rPr>
                <w:rFonts w:cs="Segoe UI Light"/>
                <w:sz w:val="18"/>
              </w:rPr>
              <w:t>onitoring and reporting costs</w:t>
            </w:r>
          </w:p>
          <w:p w14:paraId="656B1444" w14:textId="77777777" w:rsidR="0095615D" w:rsidRDefault="00F9762B" w:rsidP="0095615D">
            <w:pPr>
              <w:pStyle w:val="ListParagraph"/>
              <w:numPr>
                <w:ilvl w:val="0"/>
                <w:numId w:val="62"/>
              </w:numPr>
              <w:ind w:left="285" w:right="262" w:hanging="285"/>
              <w:mirrorIndents/>
              <w:rPr>
                <w:rFonts w:cs="Segoe UI Light"/>
                <w:sz w:val="18"/>
              </w:rPr>
            </w:pPr>
            <w:r>
              <w:rPr>
                <w:rFonts w:cs="Segoe UI Light"/>
                <w:sz w:val="18"/>
              </w:rPr>
              <w:t>Noise attenuation costs</w:t>
            </w:r>
          </w:p>
          <w:p w14:paraId="656B1445" w14:textId="77777777" w:rsidR="00F9762B" w:rsidRPr="00F9762B" w:rsidRDefault="0095615D" w:rsidP="00F9762B">
            <w:pPr>
              <w:pStyle w:val="ListParagraph"/>
              <w:numPr>
                <w:ilvl w:val="0"/>
                <w:numId w:val="62"/>
              </w:numPr>
              <w:ind w:left="285" w:right="262" w:hanging="285"/>
              <w:mirrorIndents/>
              <w:rPr>
                <w:rFonts w:cs="Segoe UI Light"/>
                <w:sz w:val="18"/>
              </w:rPr>
            </w:pPr>
            <w:r>
              <w:rPr>
                <w:rFonts w:cs="Segoe UI Light"/>
                <w:sz w:val="18"/>
              </w:rPr>
              <w:t xml:space="preserve">Delays to major </w:t>
            </w:r>
            <w:r w:rsidR="005E26C1">
              <w:rPr>
                <w:rFonts w:cs="Segoe UI Light"/>
                <w:sz w:val="18"/>
              </w:rPr>
              <w:t>works</w:t>
            </w:r>
          </w:p>
        </w:tc>
        <w:tc>
          <w:tcPr>
            <w:tcW w:w="4139" w:type="dxa"/>
          </w:tcPr>
          <w:p w14:paraId="656B1446" w14:textId="77777777" w:rsidR="00F9762B" w:rsidRDefault="00F9762B" w:rsidP="00F9762B">
            <w:pPr>
              <w:pStyle w:val="ListParagraph"/>
              <w:numPr>
                <w:ilvl w:val="0"/>
                <w:numId w:val="62"/>
              </w:numPr>
              <w:ind w:left="285" w:right="262" w:hanging="285"/>
              <w:mirrorIndents/>
              <w:rPr>
                <w:rFonts w:cs="Segoe UI Light"/>
                <w:sz w:val="18"/>
              </w:rPr>
            </w:pPr>
            <w:r>
              <w:rPr>
                <w:rFonts w:cs="Segoe UI Light"/>
                <w:sz w:val="18"/>
              </w:rPr>
              <w:t>Increased certainty of duties and obligations</w:t>
            </w:r>
          </w:p>
          <w:p w14:paraId="656B1447" w14:textId="77777777" w:rsidR="00F9762B" w:rsidRDefault="00F9762B" w:rsidP="00F9762B">
            <w:pPr>
              <w:pStyle w:val="ListParagraph"/>
              <w:numPr>
                <w:ilvl w:val="0"/>
                <w:numId w:val="62"/>
              </w:numPr>
              <w:ind w:left="285" w:right="262" w:hanging="285"/>
              <w:mirrorIndents/>
              <w:rPr>
                <w:rFonts w:cs="Segoe UI Light"/>
                <w:sz w:val="18"/>
              </w:rPr>
            </w:pPr>
            <w:r>
              <w:rPr>
                <w:rFonts w:cs="Segoe UI Light"/>
                <w:sz w:val="18"/>
              </w:rPr>
              <w:t>Reduced burden from notifying of contaminated land</w:t>
            </w:r>
          </w:p>
          <w:p w14:paraId="656B1448" w14:textId="77777777" w:rsidR="008050D5" w:rsidRDefault="008050D5" w:rsidP="00F9762B">
            <w:pPr>
              <w:pStyle w:val="ListParagraph"/>
              <w:numPr>
                <w:ilvl w:val="0"/>
                <w:numId w:val="62"/>
              </w:numPr>
              <w:ind w:left="285" w:right="262" w:hanging="285"/>
              <w:mirrorIndents/>
              <w:rPr>
                <w:rFonts w:cs="Segoe UI Light"/>
                <w:sz w:val="18"/>
              </w:rPr>
            </w:pPr>
            <w:r>
              <w:rPr>
                <w:rFonts w:cs="Segoe UI Light"/>
                <w:sz w:val="18"/>
              </w:rPr>
              <w:t xml:space="preserve">Streamlined waste classification </w:t>
            </w:r>
          </w:p>
          <w:p w14:paraId="656B1449" w14:textId="77777777" w:rsidR="0095615D" w:rsidRPr="00D7621B" w:rsidRDefault="0095615D" w:rsidP="00D7621B">
            <w:pPr>
              <w:pStyle w:val="ListParagraph"/>
              <w:numPr>
                <w:ilvl w:val="0"/>
                <w:numId w:val="62"/>
              </w:numPr>
              <w:ind w:left="285" w:right="262" w:hanging="285"/>
              <w:mirrorIndents/>
              <w:rPr>
                <w:rFonts w:cs="Segoe UI Light"/>
                <w:sz w:val="18"/>
              </w:rPr>
            </w:pPr>
            <w:r>
              <w:rPr>
                <w:rFonts w:cs="Segoe UI Light"/>
                <w:sz w:val="18"/>
              </w:rPr>
              <w:t>Reduced pollution incidents</w:t>
            </w:r>
          </w:p>
          <w:p w14:paraId="656B144A" w14:textId="77777777" w:rsidR="00F9762B" w:rsidRPr="00005F17" w:rsidRDefault="00F9762B" w:rsidP="00F9762B">
            <w:pPr>
              <w:ind w:right="262"/>
              <w:mirrorIndents/>
              <w:rPr>
                <w:rFonts w:cs="Segoe UI Light"/>
                <w:sz w:val="18"/>
              </w:rPr>
            </w:pPr>
          </w:p>
        </w:tc>
      </w:tr>
      <w:tr w:rsidR="005E26C1" w:rsidRPr="00005F17" w14:paraId="656B1453" w14:textId="77777777" w:rsidTr="00F9762B">
        <w:trPr>
          <w:trHeight w:val="358"/>
        </w:trPr>
        <w:tc>
          <w:tcPr>
            <w:tcW w:w="2322" w:type="dxa"/>
          </w:tcPr>
          <w:p w14:paraId="656B144C" w14:textId="77777777" w:rsidR="005E26C1" w:rsidRDefault="005E26C1" w:rsidP="00F9762B">
            <w:pPr>
              <w:mirrorIndents/>
              <w:rPr>
                <w:rFonts w:cs="Segoe UI Light"/>
                <w:sz w:val="18"/>
              </w:rPr>
            </w:pPr>
            <w:r>
              <w:rPr>
                <w:rFonts w:cs="Segoe UI Light"/>
                <w:sz w:val="18"/>
              </w:rPr>
              <w:t>Government</w:t>
            </w:r>
          </w:p>
        </w:tc>
        <w:tc>
          <w:tcPr>
            <w:tcW w:w="4139" w:type="dxa"/>
          </w:tcPr>
          <w:p w14:paraId="656B144D" w14:textId="77777777" w:rsidR="005E26C1" w:rsidRDefault="005E26C1" w:rsidP="008050D5">
            <w:pPr>
              <w:pStyle w:val="ListParagraph"/>
              <w:numPr>
                <w:ilvl w:val="0"/>
                <w:numId w:val="62"/>
              </w:numPr>
              <w:ind w:left="285" w:right="262" w:hanging="285"/>
              <w:mirrorIndents/>
              <w:rPr>
                <w:rFonts w:cs="Segoe UI Light"/>
                <w:sz w:val="18"/>
              </w:rPr>
            </w:pPr>
            <w:r>
              <w:rPr>
                <w:rFonts w:cs="Segoe UI Light"/>
                <w:sz w:val="18"/>
              </w:rPr>
              <w:t>Permissioning administration costs</w:t>
            </w:r>
          </w:p>
          <w:p w14:paraId="656B144E" w14:textId="77777777" w:rsidR="005E26C1" w:rsidRDefault="005E26C1" w:rsidP="008050D5">
            <w:pPr>
              <w:pStyle w:val="ListParagraph"/>
              <w:numPr>
                <w:ilvl w:val="0"/>
                <w:numId w:val="62"/>
              </w:numPr>
              <w:ind w:left="285" w:right="262" w:hanging="285"/>
              <w:mirrorIndents/>
              <w:rPr>
                <w:rFonts w:cs="Segoe UI Light"/>
                <w:sz w:val="18"/>
              </w:rPr>
            </w:pPr>
            <w:r>
              <w:rPr>
                <w:rFonts w:cs="Segoe UI Light"/>
                <w:sz w:val="18"/>
              </w:rPr>
              <w:t>Compliance and monitoring costs</w:t>
            </w:r>
          </w:p>
          <w:p w14:paraId="656B144F" w14:textId="77777777" w:rsidR="005E26C1" w:rsidRDefault="005E26C1" w:rsidP="008050D5">
            <w:pPr>
              <w:pStyle w:val="ListParagraph"/>
              <w:numPr>
                <w:ilvl w:val="0"/>
                <w:numId w:val="62"/>
              </w:numPr>
              <w:ind w:left="285" w:right="262" w:hanging="285"/>
              <w:mirrorIndents/>
              <w:rPr>
                <w:rFonts w:cs="Segoe UI Light"/>
                <w:sz w:val="18"/>
              </w:rPr>
            </w:pPr>
            <w:r>
              <w:rPr>
                <w:rFonts w:cs="Segoe UI Light"/>
                <w:sz w:val="18"/>
              </w:rPr>
              <w:t>Enforcement costs</w:t>
            </w:r>
          </w:p>
          <w:p w14:paraId="656B1450" w14:textId="77777777" w:rsidR="005E26C1" w:rsidRPr="005E26C1" w:rsidRDefault="005E26C1" w:rsidP="005E26C1">
            <w:pPr>
              <w:pStyle w:val="ListParagraph"/>
              <w:numPr>
                <w:ilvl w:val="0"/>
                <w:numId w:val="62"/>
              </w:numPr>
              <w:ind w:left="285" w:right="262" w:hanging="285"/>
              <w:mirrorIndents/>
              <w:rPr>
                <w:rFonts w:cs="Segoe UI Light"/>
                <w:sz w:val="18"/>
              </w:rPr>
            </w:pPr>
            <w:r>
              <w:rPr>
                <w:rFonts w:cs="Segoe UI Light"/>
                <w:sz w:val="18"/>
              </w:rPr>
              <w:t>Costs to determine contamination background levels</w:t>
            </w:r>
          </w:p>
        </w:tc>
        <w:tc>
          <w:tcPr>
            <w:tcW w:w="4139" w:type="dxa"/>
          </w:tcPr>
          <w:p w14:paraId="656B1451" w14:textId="77777777" w:rsidR="005E26C1" w:rsidRDefault="005E26C1" w:rsidP="005E26C1">
            <w:pPr>
              <w:pStyle w:val="ListParagraph"/>
              <w:numPr>
                <w:ilvl w:val="0"/>
                <w:numId w:val="62"/>
              </w:numPr>
              <w:ind w:left="285" w:right="262" w:hanging="285"/>
              <w:mirrorIndents/>
              <w:rPr>
                <w:rFonts w:cs="Segoe UI Light"/>
                <w:sz w:val="18"/>
              </w:rPr>
            </w:pPr>
            <w:r>
              <w:rPr>
                <w:rFonts w:cs="Segoe UI Light"/>
                <w:sz w:val="18"/>
              </w:rPr>
              <w:t>Reduced administrative burden</w:t>
            </w:r>
          </w:p>
          <w:p w14:paraId="656B1452" w14:textId="77777777" w:rsidR="005E26C1" w:rsidRPr="005E26C1" w:rsidRDefault="005E26C1" w:rsidP="005E26C1">
            <w:pPr>
              <w:pStyle w:val="ListParagraph"/>
              <w:numPr>
                <w:ilvl w:val="0"/>
                <w:numId w:val="62"/>
              </w:numPr>
              <w:ind w:left="285" w:right="262" w:hanging="285"/>
              <w:mirrorIndents/>
              <w:rPr>
                <w:rFonts w:cs="Segoe UI Light"/>
                <w:sz w:val="18"/>
              </w:rPr>
            </w:pPr>
            <w:r>
              <w:rPr>
                <w:rFonts w:cs="Segoe UI Light"/>
                <w:sz w:val="18"/>
              </w:rPr>
              <w:t>Reduced administrative costs</w:t>
            </w:r>
          </w:p>
        </w:tc>
      </w:tr>
      <w:tr w:rsidR="00F9762B" w:rsidRPr="00005F17" w14:paraId="656B145A" w14:textId="77777777" w:rsidTr="00F9762B">
        <w:trPr>
          <w:trHeight w:val="358"/>
        </w:trPr>
        <w:tc>
          <w:tcPr>
            <w:tcW w:w="2322" w:type="dxa"/>
          </w:tcPr>
          <w:p w14:paraId="656B1454" w14:textId="77777777" w:rsidR="00F9762B" w:rsidRPr="00F9762B" w:rsidRDefault="00F9762B" w:rsidP="00F9762B">
            <w:pPr>
              <w:mirrorIndents/>
              <w:rPr>
                <w:rFonts w:cs="Segoe UI Light"/>
                <w:sz w:val="18"/>
              </w:rPr>
            </w:pPr>
            <w:r>
              <w:rPr>
                <w:rFonts w:cs="Segoe UI Light"/>
                <w:sz w:val="18"/>
              </w:rPr>
              <w:t>Council</w:t>
            </w:r>
          </w:p>
        </w:tc>
        <w:tc>
          <w:tcPr>
            <w:tcW w:w="4139" w:type="dxa"/>
          </w:tcPr>
          <w:p w14:paraId="656B1455" w14:textId="77777777" w:rsidR="008050D5" w:rsidRDefault="008050D5" w:rsidP="008050D5">
            <w:pPr>
              <w:pStyle w:val="ListParagraph"/>
              <w:numPr>
                <w:ilvl w:val="0"/>
                <w:numId w:val="62"/>
              </w:numPr>
              <w:ind w:left="285" w:right="262" w:hanging="285"/>
              <w:mirrorIndents/>
              <w:rPr>
                <w:rFonts w:cs="Segoe UI Light"/>
                <w:sz w:val="18"/>
              </w:rPr>
            </w:pPr>
            <w:r>
              <w:rPr>
                <w:rFonts w:cs="Segoe UI Light"/>
                <w:sz w:val="18"/>
              </w:rPr>
              <w:t>On-site system inspections and approvals</w:t>
            </w:r>
          </w:p>
          <w:p w14:paraId="656B1456" w14:textId="77777777" w:rsidR="008050D5" w:rsidRPr="008050D5" w:rsidRDefault="0095615D" w:rsidP="008050D5">
            <w:pPr>
              <w:pStyle w:val="ListParagraph"/>
              <w:numPr>
                <w:ilvl w:val="0"/>
                <w:numId w:val="62"/>
              </w:numPr>
              <w:ind w:left="285" w:right="262" w:hanging="285"/>
              <w:mirrorIndents/>
              <w:rPr>
                <w:rFonts w:cs="Segoe UI Light"/>
                <w:sz w:val="18"/>
              </w:rPr>
            </w:pPr>
            <w:r>
              <w:rPr>
                <w:rFonts w:cs="Segoe UI Light"/>
                <w:sz w:val="18"/>
              </w:rPr>
              <w:t>Litter enforcement costs</w:t>
            </w:r>
          </w:p>
        </w:tc>
        <w:tc>
          <w:tcPr>
            <w:tcW w:w="4139" w:type="dxa"/>
          </w:tcPr>
          <w:p w14:paraId="656B1457" w14:textId="77777777" w:rsidR="00F9762B" w:rsidRDefault="0095615D" w:rsidP="00153F27">
            <w:pPr>
              <w:pStyle w:val="ListParagraph"/>
              <w:numPr>
                <w:ilvl w:val="0"/>
                <w:numId w:val="62"/>
              </w:numPr>
              <w:ind w:left="285" w:right="262" w:hanging="285"/>
              <w:mirrorIndents/>
              <w:rPr>
                <w:rFonts w:cs="Segoe UI Light"/>
                <w:sz w:val="18"/>
              </w:rPr>
            </w:pPr>
            <w:r>
              <w:rPr>
                <w:rFonts w:cs="Segoe UI Light"/>
                <w:sz w:val="18"/>
              </w:rPr>
              <w:t>Reduced contamination of plastic bags in municipal recycling</w:t>
            </w:r>
          </w:p>
          <w:p w14:paraId="656B1458" w14:textId="77777777" w:rsidR="009A639C" w:rsidRDefault="009A639C" w:rsidP="009A639C">
            <w:pPr>
              <w:pStyle w:val="ListParagraph"/>
              <w:numPr>
                <w:ilvl w:val="0"/>
                <w:numId w:val="62"/>
              </w:numPr>
              <w:ind w:left="285" w:right="262" w:hanging="285"/>
              <w:mirrorIndents/>
              <w:rPr>
                <w:rFonts w:cs="Segoe UI Light"/>
                <w:sz w:val="18"/>
              </w:rPr>
            </w:pPr>
            <w:r>
              <w:rPr>
                <w:rFonts w:cs="Segoe UI Light"/>
                <w:sz w:val="18"/>
              </w:rPr>
              <w:t>Reduced costs to clean up litter and illegally dumped waste</w:t>
            </w:r>
          </w:p>
          <w:p w14:paraId="656B1459" w14:textId="77777777" w:rsidR="00F9762B" w:rsidRPr="00275036" w:rsidRDefault="00D7621B" w:rsidP="009A639C">
            <w:pPr>
              <w:pStyle w:val="ListParagraph"/>
              <w:numPr>
                <w:ilvl w:val="0"/>
                <w:numId w:val="62"/>
              </w:numPr>
              <w:ind w:left="285" w:right="262" w:hanging="285"/>
              <w:mirrorIndents/>
              <w:rPr>
                <w:rFonts w:cs="Segoe UI Light"/>
                <w:sz w:val="18"/>
              </w:rPr>
            </w:pPr>
            <w:r>
              <w:rPr>
                <w:rFonts w:cs="Segoe UI Light"/>
                <w:sz w:val="18"/>
              </w:rPr>
              <w:t>Reduced noise administration costs</w:t>
            </w:r>
          </w:p>
        </w:tc>
      </w:tr>
      <w:tr w:rsidR="008050D5" w:rsidRPr="00005F17" w14:paraId="656B1463" w14:textId="77777777" w:rsidTr="00F9762B">
        <w:trPr>
          <w:trHeight w:val="358"/>
        </w:trPr>
        <w:tc>
          <w:tcPr>
            <w:tcW w:w="2322" w:type="dxa"/>
          </w:tcPr>
          <w:p w14:paraId="656B145B" w14:textId="77777777" w:rsidR="008050D5" w:rsidRDefault="008050D5" w:rsidP="008050D5">
            <w:pPr>
              <w:mirrorIndents/>
              <w:rPr>
                <w:rFonts w:cs="Segoe UI Light"/>
                <w:sz w:val="18"/>
              </w:rPr>
            </w:pPr>
            <w:r>
              <w:rPr>
                <w:rFonts w:cs="Segoe UI Light"/>
                <w:sz w:val="18"/>
              </w:rPr>
              <w:t>Community/environment</w:t>
            </w:r>
          </w:p>
        </w:tc>
        <w:tc>
          <w:tcPr>
            <w:tcW w:w="4139" w:type="dxa"/>
          </w:tcPr>
          <w:p w14:paraId="656B145C" w14:textId="77777777" w:rsidR="008050D5" w:rsidRPr="008050D5" w:rsidRDefault="0095615D" w:rsidP="00472852">
            <w:pPr>
              <w:pStyle w:val="ListParagraph"/>
              <w:numPr>
                <w:ilvl w:val="0"/>
                <w:numId w:val="62"/>
              </w:numPr>
              <w:ind w:left="285" w:right="262" w:hanging="285"/>
              <w:mirrorIndents/>
              <w:rPr>
                <w:rFonts w:cs="Segoe UI Light"/>
                <w:sz w:val="18"/>
              </w:rPr>
            </w:pPr>
            <w:r>
              <w:rPr>
                <w:rFonts w:cs="Segoe UI Light"/>
                <w:sz w:val="18"/>
              </w:rPr>
              <w:t>Reduced convenience for shoppers that use lightweight plastic bags</w:t>
            </w:r>
          </w:p>
        </w:tc>
        <w:tc>
          <w:tcPr>
            <w:tcW w:w="4139" w:type="dxa"/>
          </w:tcPr>
          <w:p w14:paraId="656B145D" w14:textId="77777777" w:rsidR="008050D5" w:rsidRDefault="008050D5" w:rsidP="008050D5">
            <w:pPr>
              <w:pStyle w:val="ListParagraph"/>
              <w:numPr>
                <w:ilvl w:val="0"/>
                <w:numId w:val="62"/>
              </w:numPr>
              <w:ind w:left="285" w:right="262" w:hanging="285"/>
              <w:mirrorIndents/>
              <w:rPr>
                <w:rFonts w:cs="Segoe UI Light"/>
                <w:sz w:val="18"/>
              </w:rPr>
            </w:pPr>
            <w:r>
              <w:rPr>
                <w:rFonts w:cs="Segoe UI Light"/>
                <w:sz w:val="18"/>
              </w:rPr>
              <w:t>Reduced exposure to hazardous pollutants</w:t>
            </w:r>
          </w:p>
          <w:p w14:paraId="656B145E" w14:textId="77777777" w:rsidR="008050D5" w:rsidRDefault="008050D5" w:rsidP="008050D5">
            <w:pPr>
              <w:pStyle w:val="ListParagraph"/>
              <w:numPr>
                <w:ilvl w:val="0"/>
                <w:numId w:val="62"/>
              </w:numPr>
              <w:ind w:left="285" w:right="262" w:hanging="285"/>
              <w:mirrorIndents/>
              <w:rPr>
                <w:rFonts w:cs="Segoe UI Light"/>
                <w:sz w:val="18"/>
              </w:rPr>
            </w:pPr>
            <w:r>
              <w:rPr>
                <w:rFonts w:cs="Segoe UI Light"/>
                <w:sz w:val="18"/>
              </w:rPr>
              <w:t xml:space="preserve">Reduced health and amenity impacts from septic tanks </w:t>
            </w:r>
          </w:p>
          <w:p w14:paraId="656B145F" w14:textId="77777777" w:rsidR="008050D5" w:rsidRDefault="008050D5" w:rsidP="008050D5">
            <w:pPr>
              <w:pStyle w:val="ListParagraph"/>
              <w:numPr>
                <w:ilvl w:val="0"/>
                <w:numId w:val="62"/>
              </w:numPr>
              <w:ind w:left="285" w:right="262" w:hanging="285"/>
              <w:mirrorIndents/>
              <w:rPr>
                <w:rFonts w:cs="Segoe UI Light"/>
                <w:sz w:val="18"/>
              </w:rPr>
            </w:pPr>
            <w:r>
              <w:rPr>
                <w:rFonts w:cs="Segoe UI Light"/>
                <w:sz w:val="18"/>
              </w:rPr>
              <w:t>Less pollution in waterways</w:t>
            </w:r>
          </w:p>
          <w:p w14:paraId="656B1460" w14:textId="77777777" w:rsidR="008050D5" w:rsidRDefault="008050D5" w:rsidP="008050D5">
            <w:pPr>
              <w:pStyle w:val="ListParagraph"/>
              <w:numPr>
                <w:ilvl w:val="0"/>
                <w:numId w:val="62"/>
              </w:numPr>
              <w:ind w:left="285" w:right="262" w:hanging="285"/>
              <w:mirrorIndents/>
              <w:rPr>
                <w:rFonts w:cs="Segoe UI Light"/>
                <w:sz w:val="18"/>
              </w:rPr>
            </w:pPr>
            <w:r>
              <w:rPr>
                <w:rFonts w:cs="Segoe UI Light"/>
                <w:sz w:val="18"/>
              </w:rPr>
              <w:t>Reduced litter</w:t>
            </w:r>
          </w:p>
          <w:p w14:paraId="656B1461" w14:textId="77777777" w:rsidR="008050D5" w:rsidRDefault="008050D5" w:rsidP="00F9762B">
            <w:pPr>
              <w:pStyle w:val="ListParagraph"/>
              <w:numPr>
                <w:ilvl w:val="0"/>
                <w:numId w:val="62"/>
              </w:numPr>
              <w:ind w:left="285" w:right="262" w:hanging="285"/>
              <w:mirrorIndents/>
              <w:rPr>
                <w:rFonts w:cs="Segoe UI Light"/>
                <w:sz w:val="18"/>
              </w:rPr>
            </w:pPr>
            <w:r>
              <w:rPr>
                <w:rFonts w:cs="Segoe UI Light"/>
                <w:sz w:val="18"/>
              </w:rPr>
              <w:t>Improved air quality</w:t>
            </w:r>
          </w:p>
          <w:p w14:paraId="656B1462" w14:textId="77777777" w:rsidR="008050D5" w:rsidRPr="008050D5" w:rsidRDefault="008050D5" w:rsidP="00F9762B">
            <w:pPr>
              <w:pStyle w:val="ListParagraph"/>
              <w:numPr>
                <w:ilvl w:val="0"/>
                <w:numId w:val="62"/>
              </w:numPr>
              <w:ind w:left="285" w:right="262" w:hanging="285"/>
              <w:mirrorIndents/>
              <w:rPr>
                <w:rFonts w:cs="Segoe UI Light"/>
                <w:sz w:val="18"/>
              </w:rPr>
            </w:pPr>
            <w:r>
              <w:rPr>
                <w:rFonts w:cs="Segoe UI Light"/>
                <w:sz w:val="18"/>
              </w:rPr>
              <w:t>Reduced depletion of the ozone layer</w:t>
            </w:r>
          </w:p>
        </w:tc>
      </w:tr>
    </w:tbl>
    <w:p w14:paraId="656B1464" w14:textId="77777777" w:rsidR="00F9762B" w:rsidRDefault="00F9762B" w:rsidP="00F9762B"/>
    <w:p w14:paraId="656B1465" w14:textId="77777777" w:rsidR="00F12BDF" w:rsidRDefault="000B3873" w:rsidP="00982D63">
      <w:pPr>
        <w:pStyle w:val="Heading2"/>
      </w:pPr>
      <w:r>
        <w:t>S</w:t>
      </w:r>
      <w:r w:rsidR="00DD30D6">
        <w:t xml:space="preserve">mall business </w:t>
      </w:r>
      <w:r>
        <w:t xml:space="preserve">and competition </w:t>
      </w:r>
      <w:r w:rsidR="00DD30D6">
        <w:t>impacts</w:t>
      </w:r>
    </w:p>
    <w:p w14:paraId="656B1466" w14:textId="77777777" w:rsidR="000B3873" w:rsidRDefault="000B3873" w:rsidP="000B3873">
      <w:r>
        <w:t>This section assesses the small business and competition impacts</w:t>
      </w:r>
      <w:r w:rsidR="00F9762B">
        <w:t xml:space="preserve"> of the preferred options. </w:t>
      </w:r>
    </w:p>
    <w:p w14:paraId="656B1467" w14:textId="77777777" w:rsidR="000B3873" w:rsidRDefault="000B3873" w:rsidP="000B3873">
      <w:r>
        <w:t>Small businesses may experience disproportionate effects from regulatory requirements for a range of reasons</w:t>
      </w:r>
      <w:r w:rsidR="00DC7A63">
        <w:t xml:space="preserve">. </w:t>
      </w:r>
      <w:r w:rsidR="00510AA4">
        <w:t xml:space="preserve">These include that </w:t>
      </w:r>
      <w:r>
        <w:t xml:space="preserve">the requirement </w:t>
      </w:r>
      <w:r w:rsidR="00510AA4">
        <w:t>applies</w:t>
      </w:r>
      <w:r>
        <w:t xml:space="preserve"> mostly to small businesses, or </w:t>
      </w:r>
      <w:r w:rsidR="00510AA4">
        <w:t>because small businesses have</w:t>
      </w:r>
      <w:r>
        <w:t xml:space="preserve"> limited resources to interpret compliance requirements or meet substantive compliance requirements compared to larger businesses.</w:t>
      </w:r>
    </w:p>
    <w:p w14:paraId="656B1468" w14:textId="77777777" w:rsidR="000B3873" w:rsidRDefault="000B3873" w:rsidP="000B3873">
      <w:r>
        <w:t xml:space="preserve">The Victorian Guide to Regulation also requires a RIS to assess the impact of regulations on competition. Regulations can affect competition by preventing or limiting the ability of businesses and individuals to enter and compete within particular markets. In undertaking this assessment we have considered questions such as: </w:t>
      </w:r>
    </w:p>
    <w:p w14:paraId="656B1469" w14:textId="77777777" w:rsidR="000B3873" w:rsidRDefault="000B3873" w:rsidP="000B3873">
      <w:pPr>
        <w:pStyle w:val="ListParagraph"/>
        <w:numPr>
          <w:ilvl w:val="0"/>
          <w:numId w:val="182"/>
        </w:numPr>
      </w:pPr>
      <w:r>
        <w:t xml:space="preserve">Is the proposed measure likely to affect the market structure of the affected sector(s) – i.e. will it reduce the number of participants in the market, or increase the size of incumbent firms? </w:t>
      </w:r>
    </w:p>
    <w:p w14:paraId="656B146A" w14:textId="77777777" w:rsidR="000B3873" w:rsidRDefault="000B3873" w:rsidP="000B3873">
      <w:pPr>
        <w:pStyle w:val="ListParagraph"/>
        <w:numPr>
          <w:ilvl w:val="0"/>
          <w:numId w:val="182"/>
        </w:numPr>
      </w:pPr>
      <w:r>
        <w:t>Will it be more difficult for new firms or individuals to enter the industry after the imposition of the proposed measure?</w:t>
      </w:r>
    </w:p>
    <w:p w14:paraId="656B146B" w14:textId="77777777" w:rsidR="000B3873" w:rsidRDefault="000B3873" w:rsidP="000B3873">
      <w:pPr>
        <w:pStyle w:val="ListParagraph"/>
        <w:numPr>
          <w:ilvl w:val="0"/>
          <w:numId w:val="182"/>
        </w:numPr>
      </w:pPr>
      <w:r>
        <w:t>Will the costs/benefits associated with the proposed measure affect some firms or individuals substantially more than others (e.g. small firms, part-time participants in occupations etc</w:t>
      </w:r>
      <w:r w:rsidR="00675AB2">
        <w:t>.</w:t>
      </w:r>
      <w:r>
        <w:t>)?</w:t>
      </w:r>
    </w:p>
    <w:p w14:paraId="656B146C" w14:textId="77777777" w:rsidR="000B3873" w:rsidRDefault="000B3873" w:rsidP="000B3873">
      <w:pPr>
        <w:pStyle w:val="ListParagraph"/>
        <w:numPr>
          <w:ilvl w:val="0"/>
          <w:numId w:val="182"/>
        </w:numPr>
      </w:pPr>
      <w:r>
        <w:t>Will the proposed measure restrict the ability of businesses to choose the price, quality, range or location of their products?</w:t>
      </w:r>
    </w:p>
    <w:p w14:paraId="656B146D" w14:textId="77777777" w:rsidR="000B3873" w:rsidRDefault="000B3873" w:rsidP="000B3873">
      <w:pPr>
        <w:pStyle w:val="ListParagraph"/>
        <w:numPr>
          <w:ilvl w:val="0"/>
          <w:numId w:val="182"/>
        </w:numPr>
      </w:pPr>
      <w:r>
        <w:t>Will the proposed measure lead to higher ongoing costs for new entrants that existing firms do not have to meet?</w:t>
      </w:r>
    </w:p>
    <w:p w14:paraId="656B146E" w14:textId="77777777" w:rsidR="000B3873" w:rsidRDefault="000B3873" w:rsidP="000B3873">
      <w:pPr>
        <w:pStyle w:val="ListParagraph"/>
        <w:numPr>
          <w:ilvl w:val="0"/>
          <w:numId w:val="182"/>
        </w:numPr>
      </w:pPr>
      <w:r>
        <w:t>Is the ability or incentive to innovate or develop new products or services likely to be affected by the proposed measure?</w:t>
      </w:r>
    </w:p>
    <w:p w14:paraId="656B146F" w14:textId="77777777" w:rsidR="002F6FA1" w:rsidRDefault="000B3873" w:rsidP="000B3873">
      <w:r>
        <w:t xml:space="preserve">The analysis of small business and competition impacts is provided in the following table. In summary, </w:t>
      </w:r>
      <w:r w:rsidR="00510AA4">
        <w:t>most</w:t>
      </w:r>
      <w:r>
        <w:t xml:space="preserve"> </w:t>
      </w:r>
      <w:r w:rsidR="000E7548">
        <w:t xml:space="preserve">elements of the </w:t>
      </w:r>
      <w:r>
        <w:t xml:space="preserve">proposed Regulations are not expected to have </w:t>
      </w:r>
      <w:r w:rsidR="00510AA4">
        <w:t>a material</w:t>
      </w:r>
      <w:r w:rsidR="00265E2F">
        <w:t xml:space="preserve"> impact</w:t>
      </w:r>
      <w:r w:rsidR="00510AA4">
        <w:t xml:space="preserve">, or </w:t>
      </w:r>
      <w:r w:rsidR="00265E2F">
        <w:t xml:space="preserve">be </w:t>
      </w:r>
      <w:r w:rsidR="00510AA4">
        <w:t>relatively more significant</w:t>
      </w:r>
      <w:r w:rsidR="00265E2F">
        <w:t>, for</w:t>
      </w:r>
      <w:r>
        <w:t xml:space="preserve"> small business</w:t>
      </w:r>
      <w:r w:rsidR="00265E2F">
        <w:t>es</w:t>
      </w:r>
      <w:r>
        <w:t xml:space="preserve">. Proposed Regulations that are expected to have an impact on small business include </w:t>
      </w:r>
      <w:r w:rsidR="00510AA4">
        <w:t>those for</w:t>
      </w:r>
      <w:r>
        <w:t xml:space="preserve"> permissions, plastic bag</w:t>
      </w:r>
      <w:r w:rsidR="00510AA4">
        <w:t>s</w:t>
      </w:r>
      <w:r>
        <w:t xml:space="preserve">, waste, contaminated land, air (wood heaters), noise and water. However, the impact on small businesses in </w:t>
      </w:r>
      <w:r w:rsidR="002F6FA1">
        <w:t xml:space="preserve">most of </w:t>
      </w:r>
      <w:r>
        <w:t>these cases is likely to be small</w:t>
      </w:r>
      <w:r w:rsidR="002F6FA1">
        <w:t xml:space="preserve"> and</w:t>
      </w:r>
      <w:r>
        <w:t xml:space="preserve"> </w:t>
      </w:r>
      <w:r w:rsidR="000E7548">
        <w:t xml:space="preserve">DELWP/EPA consider they will be </w:t>
      </w:r>
      <w:r>
        <w:t>proportionate (i.e. commensurate to risk)</w:t>
      </w:r>
      <w:r w:rsidR="00DC7A63">
        <w:t xml:space="preserve">. </w:t>
      </w:r>
      <w:r w:rsidR="002F6FA1">
        <w:t>In a small number cases it is difficult to predict whether small businesses will be disproportionately impacted.</w:t>
      </w:r>
    </w:p>
    <w:p w14:paraId="656B1470" w14:textId="77777777" w:rsidR="005B0FDB" w:rsidRDefault="000E7548" w:rsidP="00037AF8">
      <w:r w:rsidRPr="000E7548">
        <w:t xml:space="preserve">For the regulations that are expected to have an impact on competition, DELWP/EPA consider that the restriction on competition is necessary to reduce the risk of harms to human health and the environment, and that the benefits of the restriction outweigh the costs. </w:t>
      </w:r>
    </w:p>
    <w:p w14:paraId="656B1471" w14:textId="77777777" w:rsidR="00A4439A" w:rsidRDefault="00A4439A">
      <w:pPr>
        <w:spacing w:after="0"/>
        <w:rPr>
          <w:rFonts w:cs="Segoe UI Light"/>
          <w:iCs/>
          <w:sz w:val="18"/>
          <w:szCs w:val="20"/>
        </w:rPr>
      </w:pPr>
    </w:p>
    <w:p w14:paraId="656B1472" w14:textId="77777777" w:rsidR="000B3873" w:rsidRPr="00A4439A" w:rsidRDefault="009B0443" w:rsidP="001A1CDF">
      <w:pPr>
        <w:rPr>
          <w:rFonts w:cs="Segoe UI Light"/>
          <w:color w:val="75787B" w:themeColor="accent6"/>
          <w:sz w:val="18"/>
          <w:szCs w:val="20"/>
        </w:rPr>
      </w:pPr>
      <w:r w:rsidRPr="00A4439A">
        <w:rPr>
          <w:rFonts w:cs="Segoe UI Light"/>
          <w:iCs/>
          <w:color w:val="75787B" w:themeColor="accent6"/>
          <w:sz w:val="18"/>
          <w:szCs w:val="20"/>
        </w:rPr>
        <w:t xml:space="preserve">Table </w:t>
      </w:r>
      <w:r w:rsidRPr="00A4439A">
        <w:rPr>
          <w:rFonts w:cs="Segoe UI Light"/>
          <w:color w:val="75787B" w:themeColor="accent6"/>
          <w:sz w:val="18"/>
          <w:szCs w:val="20"/>
          <w:shd w:val="clear" w:color="auto" w:fill="E6E6E6"/>
        </w:rPr>
        <w:fldChar w:fldCharType="begin"/>
      </w:r>
      <w:r w:rsidRPr="00A4439A">
        <w:rPr>
          <w:rFonts w:cs="Segoe UI Light"/>
          <w:iCs/>
          <w:color w:val="75787B" w:themeColor="accent6"/>
          <w:sz w:val="18"/>
          <w:szCs w:val="20"/>
        </w:rPr>
        <w:instrText xml:space="preserve"> STYLEREF 1 \s </w:instrText>
      </w:r>
      <w:r w:rsidRPr="00A4439A">
        <w:rPr>
          <w:rFonts w:cs="Segoe UI Light"/>
          <w:color w:val="75787B" w:themeColor="accent6"/>
          <w:sz w:val="18"/>
          <w:szCs w:val="20"/>
          <w:shd w:val="clear" w:color="auto" w:fill="E6E6E6"/>
        </w:rPr>
        <w:fldChar w:fldCharType="separate"/>
      </w:r>
      <w:r w:rsidR="00B11C1E">
        <w:rPr>
          <w:rFonts w:cs="Segoe UI Light"/>
          <w:iCs/>
          <w:noProof/>
          <w:color w:val="75787B" w:themeColor="accent6"/>
          <w:sz w:val="18"/>
          <w:szCs w:val="20"/>
        </w:rPr>
        <w:t>17</w:t>
      </w:r>
      <w:r w:rsidRPr="00A4439A">
        <w:rPr>
          <w:rFonts w:cs="Segoe UI Light"/>
          <w:color w:val="75787B" w:themeColor="accent6"/>
          <w:sz w:val="18"/>
          <w:szCs w:val="20"/>
          <w:shd w:val="clear" w:color="auto" w:fill="E6E6E6"/>
        </w:rPr>
        <w:fldChar w:fldCharType="end"/>
      </w:r>
      <w:r w:rsidRPr="00A4439A">
        <w:rPr>
          <w:rFonts w:cs="Segoe UI Light"/>
          <w:iCs/>
          <w:color w:val="75787B" w:themeColor="accent6"/>
          <w:sz w:val="18"/>
          <w:szCs w:val="20"/>
        </w:rPr>
        <w:noBreakHyphen/>
      </w:r>
      <w:r w:rsidRPr="00A4439A">
        <w:rPr>
          <w:rFonts w:cs="Segoe UI Light"/>
          <w:color w:val="75787B" w:themeColor="accent6"/>
          <w:sz w:val="18"/>
          <w:szCs w:val="20"/>
          <w:shd w:val="clear" w:color="auto" w:fill="E6E6E6"/>
        </w:rPr>
        <w:fldChar w:fldCharType="begin"/>
      </w:r>
      <w:r w:rsidRPr="00A4439A">
        <w:rPr>
          <w:rFonts w:cs="Segoe UI Light"/>
          <w:iCs/>
          <w:color w:val="75787B" w:themeColor="accent6"/>
          <w:sz w:val="18"/>
          <w:szCs w:val="20"/>
        </w:rPr>
        <w:instrText xml:space="preserve"> SEQ Table \* ARABIC \s 1 </w:instrText>
      </w:r>
      <w:r w:rsidRPr="00A4439A">
        <w:rPr>
          <w:rFonts w:cs="Segoe UI Light"/>
          <w:color w:val="75787B" w:themeColor="accent6"/>
          <w:sz w:val="18"/>
          <w:szCs w:val="20"/>
          <w:shd w:val="clear" w:color="auto" w:fill="E6E6E6"/>
        </w:rPr>
        <w:fldChar w:fldCharType="separate"/>
      </w:r>
      <w:r w:rsidR="00B11C1E">
        <w:rPr>
          <w:rFonts w:cs="Segoe UI Light"/>
          <w:iCs/>
          <w:noProof/>
          <w:color w:val="75787B" w:themeColor="accent6"/>
          <w:sz w:val="18"/>
          <w:szCs w:val="20"/>
        </w:rPr>
        <w:t>4</w:t>
      </w:r>
      <w:r w:rsidRPr="00A4439A">
        <w:rPr>
          <w:rFonts w:cs="Segoe UI Light"/>
          <w:color w:val="75787B" w:themeColor="accent6"/>
          <w:sz w:val="18"/>
          <w:szCs w:val="20"/>
          <w:shd w:val="clear" w:color="auto" w:fill="E6E6E6"/>
        </w:rPr>
        <w:fldChar w:fldCharType="end"/>
      </w:r>
      <w:r w:rsidRPr="00A4439A">
        <w:rPr>
          <w:rFonts w:cs="Segoe UI Light"/>
          <w:iCs/>
          <w:color w:val="75787B" w:themeColor="accent6"/>
          <w:sz w:val="18"/>
          <w:szCs w:val="20"/>
        </w:rPr>
        <w:t xml:space="preserve"> Small business and competition impacts</w:t>
      </w:r>
    </w:p>
    <w:tbl>
      <w:tblPr>
        <w:tblStyle w:val="Deloittetable"/>
        <w:tblW w:w="5000" w:type="pct"/>
        <w:tblLook w:val="04A0" w:firstRow="1" w:lastRow="0" w:firstColumn="1" w:lastColumn="0" w:noHBand="0" w:noVBand="1"/>
      </w:tblPr>
      <w:tblGrid>
        <w:gridCol w:w="1677"/>
        <w:gridCol w:w="4097"/>
        <w:gridCol w:w="3581"/>
      </w:tblGrid>
      <w:tr w:rsidR="005B0FDB" w:rsidRPr="00005F17" w14:paraId="656B1476" w14:textId="77777777" w:rsidTr="00A12184">
        <w:trPr>
          <w:cnfStyle w:val="100000000000" w:firstRow="1" w:lastRow="0" w:firstColumn="0" w:lastColumn="0" w:oddVBand="0" w:evenVBand="0" w:oddHBand="0" w:evenHBand="0" w:firstRowFirstColumn="0" w:firstRowLastColumn="0" w:lastRowFirstColumn="0" w:lastRowLastColumn="0"/>
          <w:cantSplit/>
          <w:tblHeader/>
        </w:trPr>
        <w:tc>
          <w:tcPr>
            <w:tcW w:w="896" w:type="pct"/>
          </w:tcPr>
          <w:p w14:paraId="656B1473" w14:textId="77777777" w:rsidR="005B0FDB" w:rsidRPr="00005F17" w:rsidRDefault="005B0FDB" w:rsidP="005B5CDF">
            <w:pPr>
              <w:spacing w:after="0"/>
              <w:mirrorIndents/>
              <w:rPr>
                <w:rFonts w:cs="Segoe UI Light"/>
                <w:b/>
                <w:sz w:val="18"/>
              </w:rPr>
            </w:pPr>
            <w:r w:rsidRPr="00005F17">
              <w:rPr>
                <w:rFonts w:cs="Segoe UI Light"/>
                <w:b/>
                <w:sz w:val="18"/>
              </w:rPr>
              <w:t>Problem area</w:t>
            </w:r>
          </w:p>
        </w:tc>
        <w:tc>
          <w:tcPr>
            <w:tcW w:w="2190" w:type="pct"/>
          </w:tcPr>
          <w:p w14:paraId="656B1474" w14:textId="77777777" w:rsidR="005B0FDB" w:rsidRPr="00005F17" w:rsidRDefault="005B0FDB" w:rsidP="005B5CDF">
            <w:pPr>
              <w:spacing w:after="0"/>
              <w:mirrorIndents/>
              <w:rPr>
                <w:rFonts w:cs="Segoe UI Light"/>
                <w:b/>
                <w:sz w:val="18"/>
              </w:rPr>
            </w:pPr>
            <w:r>
              <w:rPr>
                <w:rFonts w:cs="Segoe UI Light"/>
                <w:b/>
                <w:sz w:val="18"/>
              </w:rPr>
              <w:t>Impact on small business</w:t>
            </w:r>
          </w:p>
        </w:tc>
        <w:tc>
          <w:tcPr>
            <w:tcW w:w="1914" w:type="pct"/>
          </w:tcPr>
          <w:p w14:paraId="656B1475" w14:textId="77777777" w:rsidR="005B0FDB" w:rsidRDefault="005B0FDB" w:rsidP="005B5CDF">
            <w:pPr>
              <w:mirrorIndents/>
              <w:rPr>
                <w:rFonts w:cs="Segoe UI Light"/>
                <w:b/>
                <w:sz w:val="18"/>
              </w:rPr>
            </w:pPr>
            <w:r>
              <w:rPr>
                <w:rFonts w:cs="Segoe UI Light"/>
                <w:b/>
                <w:sz w:val="18"/>
              </w:rPr>
              <w:t>Competition</w:t>
            </w:r>
          </w:p>
        </w:tc>
      </w:tr>
      <w:tr w:rsidR="005B0FDB" w:rsidRPr="00005F17" w14:paraId="656B147C" w14:textId="77777777" w:rsidTr="00A12184">
        <w:trPr>
          <w:cantSplit/>
        </w:trPr>
        <w:tc>
          <w:tcPr>
            <w:tcW w:w="0" w:type="pct"/>
          </w:tcPr>
          <w:p w14:paraId="656B1477" w14:textId="77777777" w:rsidR="005B0FDB" w:rsidRPr="00005F17" w:rsidRDefault="005B0FDB" w:rsidP="005B5CDF">
            <w:pPr>
              <w:spacing w:after="0"/>
              <w:mirrorIndents/>
              <w:rPr>
                <w:rFonts w:cs="Segoe UI Light"/>
                <w:b/>
                <w:sz w:val="18"/>
              </w:rPr>
            </w:pPr>
            <w:r w:rsidRPr="00005F17">
              <w:rPr>
                <w:rFonts w:cs="Segoe UI Light"/>
                <w:b/>
                <w:sz w:val="18"/>
              </w:rPr>
              <w:t>Permissions</w:t>
            </w:r>
          </w:p>
        </w:tc>
        <w:tc>
          <w:tcPr>
            <w:tcW w:w="0" w:type="pct"/>
          </w:tcPr>
          <w:p w14:paraId="656B1478" w14:textId="77777777" w:rsidR="005B0FDB" w:rsidRDefault="005B0FDB" w:rsidP="005B5CDF">
            <w:pPr>
              <w:spacing w:after="0"/>
              <w:ind w:right="262"/>
              <w:mirrorIndents/>
              <w:rPr>
                <w:rFonts w:cs="Segoe UI Light"/>
                <w:sz w:val="18"/>
              </w:rPr>
            </w:pPr>
            <w:r>
              <w:rPr>
                <w:rFonts w:cs="Segoe UI Light"/>
                <w:sz w:val="18"/>
              </w:rPr>
              <w:t xml:space="preserve">Most of the impact of permissions will be borne by medium and large businesses. Some small businesses will be required to obtain a permit or registration, such as waste transporters. The cost of obtaining a permit </w:t>
            </w:r>
            <w:r w:rsidRPr="0EF9C433">
              <w:rPr>
                <w:rFonts w:cs="Segoe UI Light"/>
                <w:sz w:val="18"/>
              </w:rPr>
              <w:t>may</w:t>
            </w:r>
            <w:r>
              <w:rPr>
                <w:rFonts w:cs="Segoe UI Light"/>
                <w:sz w:val="18"/>
              </w:rPr>
              <w:t xml:space="preserve"> impact small businesses</w:t>
            </w:r>
            <w:r w:rsidRPr="0EF9C433">
              <w:rPr>
                <w:rFonts w:cs="Segoe UI Light"/>
                <w:sz w:val="18"/>
              </w:rPr>
              <w:t>. T</w:t>
            </w:r>
            <w:r>
              <w:rPr>
                <w:rFonts w:cs="Segoe UI Light"/>
                <w:sz w:val="18"/>
              </w:rPr>
              <w:t>h</w:t>
            </w:r>
            <w:r w:rsidRPr="0EF9C433">
              <w:rPr>
                <w:rFonts w:cs="Segoe UI Light"/>
                <w:sz w:val="18"/>
              </w:rPr>
              <w:t>e</w:t>
            </w:r>
            <w:r>
              <w:rPr>
                <w:rFonts w:cs="Segoe UI Light"/>
                <w:sz w:val="18"/>
              </w:rPr>
              <w:t xml:space="preserve"> permissioning system is designed to reflect risk, and typically the level of risk is higher for larger businesses. Therefore it is generally expected that the impact on small businesses will not be disproportionate. </w:t>
            </w:r>
          </w:p>
          <w:p w14:paraId="656B1479" w14:textId="77777777" w:rsidR="005B0FDB" w:rsidRPr="00464804" w:rsidRDefault="005B0FDB" w:rsidP="005B5CDF">
            <w:pPr>
              <w:spacing w:after="0"/>
              <w:ind w:right="262"/>
              <w:mirrorIndents/>
              <w:rPr>
                <w:rFonts w:cs="Segoe UI Light"/>
                <w:sz w:val="18"/>
              </w:rPr>
            </w:pPr>
            <w:r>
              <w:rPr>
                <w:rFonts w:cs="Segoe UI Light"/>
                <w:sz w:val="18"/>
              </w:rPr>
              <w:t xml:space="preserve">Up to 3,000 small businesses (such as dry cleaners and MRFs) will be required to be registered, however the registration requirement imposes only a small cost and is not considered material, even for a small business. </w:t>
            </w:r>
          </w:p>
        </w:tc>
        <w:tc>
          <w:tcPr>
            <w:tcW w:w="0" w:type="pct"/>
          </w:tcPr>
          <w:p w14:paraId="656B147A" w14:textId="77777777" w:rsidR="005B0FDB" w:rsidRDefault="005B0FDB" w:rsidP="005B5CDF">
            <w:pPr>
              <w:ind w:right="262"/>
              <w:mirrorIndents/>
              <w:rPr>
                <w:rFonts w:cs="Segoe UI Light"/>
                <w:sz w:val="18"/>
              </w:rPr>
            </w:pPr>
            <w:r>
              <w:rPr>
                <w:rFonts w:cs="Segoe UI Light"/>
                <w:sz w:val="18"/>
              </w:rPr>
              <w:t xml:space="preserve">Current permissions arrangements do impose barriers to entry (i.e. requirement for licence to undertake certain polluting activities) and the proposed system will continue to do so. The cost of permissions could have the potential to change the industry structure (e.g. reduce number of participants) or deter entry (compared to if there were no permissions </w:t>
            </w:r>
            <w:r w:rsidRPr="2FD74D95">
              <w:rPr>
                <w:rFonts w:cs="Segoe UI Light"/>
                <w:sz w:val="18"/>
              </w:rPr>
              <w:t>in</w:t>
            </w:r>
            <w:r>
              <w:rPr>
                <w:rFonts w:cs="Segoe UI Light"/>
                <w:sz w:val="18"/>
              </w:rPr>
              <w:t xml:space="preserve"> place). </w:t>
            </w:r>
            <w:r w:rsidRPr="00153F27">
              <w:rPr>
                <w:rFonts w:cs="Segoe UI Light"/>
                <w:sz w:val="18"/>
              </w:rPr>
              <w:t xml:space="preserve">The </w:t>
            </w:r>
            <w:r w:rsidR="00675AB2">
              <w:rPr>
                <w:rFonts w:cs="Segoe UI Light"/>
                <w:sz w:val="18"/>
              </w:rPr>
              <w:t>p</w:t>
            </w:r>
            <w:r w:rsidR="00675AB2" w:rsidRPr="00153F27">
              <w:rPr>
                <w:rFonts w:cs="Segoe UI Light"/>
                <w:sz w:val="18"/>
              </w:rPr>
              <w:t xml:space="preserve">ermissions </w:t>
            </w:r>
            <w:r w:rsidRPr="00153F27">
              <w:rPr>
                <w:rFonts w:cs="Segoe UI Light"/>
                <w:sz w:val="18"/>
              </w:rPr>
              <w:t>framework will help facilitate a more even and level playing field for all business.</w:t>
            </w:r>
          </w:p>
          <w:p w14:paraId="656B147B" w14:textId="4AC21A64" w:rsidR="005B0FDB" w:rsidRDefault="005B0FDB" w:rsidP="005B5CDF">
            <w:pPr>
              <w:ind w:right="262"/>
              <w:mirrorIndents/>
              <w:rPr>
                <w:rFonts w:cs="Segoe UI Light"/>
                <w:sz w:val="18"/>
              </w:rPr>
            </w:pPr>
            <w:r>
              <w:rPr>
                <w:rFonts w:cs="Segoe UI Light"/>
                <w:sz w:val="18"/>
              </w:rPr>
              <w:t>However, as noted, the permissions system is designed to be proportionate to risk: the cost of permissions will increase as the level of hazardous risk increases. The restriction on competition is therefore considered to be necessary to reduce the risks of harm to human health and the environment</w:t>
            </w:r>
            <w:r w:rsidR="005B5CDF">
              <w:rPr>
                <w:rFonts w:cs="Segoe UI Light"/>
                <w:sz w:val="18"/>
              </w:rPr>
              <w:t xml:space="preserve">, and is expected to generate a net benefit when those reduced risks are considered. </w:t>
            </w:r>
          </w:p>
        </w:tc>
      </w:tr>
      <w:tr w:rsidR="005B0FDB" w:rsidRPr="00005F17" w14:paraId="656B1481" w14:textId="77777777" w:rsidTr="00A12184">
        <w:trPr>
          <w:cantSplit/>
        </w:trPr>
        <w:tc>
          <w:tcPr>
            <w:tcW w:w="0" w:type="pct"/>
          </w:tcPr>
          <w:p w14:paraId="656B147D" w14:textId="77777777" w:rsidR="005B0FDB" w:rsidRDefault="005B0FDB" w:rsidP="005B5CDF">
            <w:pPr>
              <w:spacing w:after="0"/>
              <w:mirrorIndents/>
              <w:rPr>
                <w:rFonts w:cs="Segoe UI Light"/>
                <w:b/>
                <w:sz w:val="18"/>
              </w:rPr>
            </w:pPr>
            <w:r w:rsidRPr="00041D04">
              <w:rPr>
                <w:rFonts w:cs="Segoe UI Light"/>
                <w:b/>
                <w:sz w:val="18"/>
              </w:rPr>
              <w:t>On</w:t>
            </w:r>
            <w:r>
              <w:rPr>
                <w:rFonts w:cs="Segoe UI Light"/>
                <w:b/>
                <w:sz w:val="18"/>
              </w:rPr>
              <w:t>-</w:t>
            </w:r>
            <w:r w:rsidRPr="00041D04">
              <w:rPr>
                <w:rFonts w:cs="Segoe UI Light"/>
                <w:b/>
                <w:sz w:val="18"/>
              </w:rPr>
              <w:t xml:space="preserve">site wastewater management </w:t>
            </w:r>
          </w:p>
          <w:p w14:paraId="656B147E" w14:textId="77777777" w:rsidR="005B0FDB" w:rsidRPr="00041D04" w:rsidRDefault="005B0FDB" w:rsidP="005B5CDF">
            <w:pPr>
              <w:spacing w:after="0"/>
              <w:mirrorIndents/>
              <w:rPr>
                <w:rFonts w:cs="Segoe UI Light"/>
                <w:b/>
                <w:sz w:val="18"/>
              </w:rPr>
            </w:pPr>
            <w:r w:rsidRPr="00041D04">
              <w:rPr>
                <w:rFonts w:cs="Segoe UI Light"/>
                <w:b/>
                <w:sz w:val="18"/>
              </w:rPr>
              <w:t>systems</w:t>
            </w:r>
            <w:r>
              <w:rPr>
                <w:rFonts w:cs="Segoe UI Light"/>
                <w:b/>
                <w:sz w:val="18"/>
              </w:rPr>
              <w:t xml:space="preserve"> (septic tank systems)</w:t>
            </w:r>
          </w:p>
        </w:tc>
        <w:tc>
          <w:tcPr>
            <w:tcW w:w="0" w:type="pct"/>
          </w:tcPr>
          <w:p w14:paraId="656B147F" w14:textId="77777777" w:rsidR="005B0FDB" w:rsidRPr="00A82D6C" w:rsidRDefault="005B0FDB" w:rsidP="005B5CDF">
            <w:pPr>
              <w:spacing w:after="0"/>
              <w:ind w:right="262"/>
              <w:mirrorIndents/>
              <w:rPr>
                <w:rFonts w:cs="Segoe UI Light"/>
                <w:sz w:val="18"/>
              </w:rPr>
            </w:pPr>
            <w:r>
              <w:rPr>
                <w:rFonts w:cs="Segoe UI Light"/>
                <w:sz w:val="18"/>
              </w:rPr>
              <w:t>The proposed Regulations are not expected to materially impact small business as there is not a disproportionate number of small businesses impacted.</w:t>
            </w:r>
          </w:p>
        </w:tc>
        <w:tc>
          <w:tcPr>
            <w:tcW w:w="0" w:type="pct"/>
          </w:tcPr>
          <w:p w14:paraId="656B1480" w14:textId="77777777" w:rsidR="005B0FDB" w:rsidRDefault="005B0FDB" w:rsidP="005B5CDF">
            <w:pPr>
              <w:ind w:right="262"/>
              <w:mirrorIndents/>
              <w:rPr>
                <w:rFonts w:cs="Segoe UI Light"/>
                <w:sz w:val="18"/>
              </w:rPr>
            </w:pPr>
            <w:r w:rsidRPr="005E55AE">
              <w:rPr>
                <w:rFonts w:cs="Segoe UI Light"/>
                <w:sz w:val="18"/>
              </w:rPr>
              <w:t>The proposed Regulations are not ex</w:t>
            </w:r>
            <w:r>
              <w:rPr>
                <w:rFonts w:cs="Segoe UI Light"/>
                <w:sz w:val="18"/>
              </w:rPr>
              <w:t>pected to impact on competition – no likely impacts on market structure, market entry or particular market participants have been identified.</w:t>
            </w:r>
          </w:p>
        </w:tc>
      </w:tr>
      <w:tr w:rsidR="005B0FDB" w:rsidRPr="00005F17" w14:paraId="656B1487" w14:textId="77777777" w:rsidTr="00A12184">
        <w:trPr>
          <w:cantSplit/>
        </w:trPr>
        <w:tc>
          <w:tcPr>
            <w:tcW w:w="0" w:type="pct"/>
          </w:tcPr>
          <w:p w14:paraId="656B1482" w14:textId="77777777" w:rsidR="005B0FDB" w:rsidRPr="00005F17" w:rsidRDefault="005B0FDB" w:rsidP="005B5CDF">
            <w:pPr>
              <w:spacing w:after="0"/>
              <w:mirrorIndents/>
              <w:rPr>
                <w:rFonts w:cs="Segoe UI Light"/>
                <w:b/>
                <w:sz w:val="18"/>
              </w:rPr>
            </w:pPr>
            <w:r w:rsidRPr="00005F17">
              <w:rPr>
                <w:rFonts w:cs="Segoe UI Light"/>
                <w:b/>
                <w:sz w:val="18"/>
              </w:rPr>
              <w:t>Contaminated land</w:t>
            </w:r>
          </w:p>
        </w:tc>
        <w:tc>
          <w:tcPr>
            <w:tcW w:w="0" w:type="pct"/>
          </w:tcPr>
          <w:p w14:paraId="656B1483" w14:textId="77777777" w:rsidR="005B0FDB" w:rsidRDefault="005B0FDB" w:rsidP="005B5CDF">
            <w:pPr>
              <w:spacing w:after="0"/>
              <w:ind w:right="262"/>
              <w:mirrorIndents/>
              <w:rPr>
                <w:rFonts w:cs="Segoe UI Light"/>
                <w:sz w:val="18"/>
              </w:rPr>
            </w:pPr>
            <w:r>
              <w:rPr>
                <w:rFonts w:cs="Segoe UI Light"/>
                <w:sz w:val="18"/>
              </w:rPr>
              <w:t>The proposed Regulations for contaminated land could have two opposing impacts on small business:</w:t>
            </w:r>
          </w:p>
          <w:p w14:paraId="656B1484" w14:textId="77777777" w:rsidR="005B0FDB" w:rsidRDefault="005B0FDB" w:rsidP="005B5CDF">
            <w:pPr>
              <w:pStyle w:val="ListParagraph"/>
              <w:numPr>
                <w:ilvl w:val="0"/>
                <w:numId w:val="62"/>
              </w:numPr>
              <w:spacing w:after="0"/>
              <w:ind w:left="285" w:right="262" w:hanging="285"/>
              <w:mirrorIndents/>
              <w:rPr>
                <w:rFonts w:cs="Segoe UI Light"/>
                <w:sz w:val="18"/>
              </w:rPr>
            </w:pPr>
            <w:r>
              <w:rPr>
                <w:rFonts w:cs="Segoe UI Light"/>
                <w:sz w:val="18"/>
              </w:rPr>
              <w:t>Increased clarity around the duty to manage and duty to notify could reduce the impact on small business by reducing the amount of time and resources businesses need to spend on interpreting compliance requirements.</w:t>
            </w:r>
          </w:p>
          <w:p w14:paraId="656B1485" w14:textId="77777777" w:rsidR="005B0FDB" w:rsidRPr="00FA4895" w:rsidRDefault="005B0FDB" w:rsidP="005B5CDF">
            <w:pPr>
              <w:pStyle w:val="ListParagraph"/>
              <w:numPr>
                <w:ilvl w:val="0"/>
                <w:numId w:val="62"/>
              </w:numPr>
              <w:spacing w:after="0"/>
              <w:ind w:left="285" w:right="262" w:hanging="285"/>
              <w:mirrorIndents/>
              <w:rPr>
                <w:rFonts w:cs="Segoe UI Light"/>
                <w:sz w:val="18"/>
              </w:rPr>
            </w:pPr>
            <w:r>
              <w:rPr>
                <w:rFonts w:cs="Segoe UI Light"/>
                <w:sz w:val="18"/>
              </w:rPr>
              <w:t xml:space="preserve">Prescribing the clean-up and removal of NAPL is expected to impose significant costs on a relatively small number of duty holders, which would disproportionately impact a small business if they had a NAPL contamination problem. However as noted in the RIS, it is very difficult to estimate the number of NAPL contamination instances, and the number of small businesses that would be impacted is not known. However, some petrol stations (which are commonly small businesses) are likely to be impacted by this requirement. </w:t>
            </w:r>
          </w:p>
        </w:tc>
        <w:tc>
          <w:tcPr>
            <w:tcW w:w="0" w:type="pct"/>
          </w:tcPr>
          <w:p w14:paraId="656B1486" w14:textId="77777777" w:rsidR="005B0FDB" w:rsidRDefault="005B0FDB" w:rsidP="005B5CDF">
            <w:pPr>
              <w:spacing w:after="0"/>
              <w:ind w:right="262"/>
              <w:mirrorIndents/>
              <w:rPr>
                <w:rFonts w:cs="Segoe UI Light"/>
                <w:sz w:val="18"/>
              </w:rPr>
            </w:pPr>
            <w:r w:rsidRPr="005E55AE">
              <w:rPr>
                <w:rFonts w:cs="Segoe UI Light"/>
                <w:sz w:val="18"/>
              </w:rPr>
              <w:t>The proposed Regulations are not ex</w:t>
            </w:r>
            <w:r>
              <w:rPr>
                <w:rFonts w:cs="Segoe UI Light"/>
                <w:sz w:val="18"/>
              </w:rPr>
              <w:t>pected to impact on competition – no likely impacts on market structure, market entry or particular market participants have been identified.</w:t>
            </w:r>
          </w:p>
        </w:tc>
      </w:tr>
      <w:tr w:rsidR="005B0FDB" w:rsidRPr="00005F17" w14:paraId="656B148F" w14:textId="77777777" w:rsidTr="00A12184">
        <w:trPr>
          <w:cantSplit/>
        </w:trPr>
        <w:tc>
          <w:tcPr>
            <w:tcW w:w="0" w:type="pct"/>
          </w:tcPr>
          <w:p w14:paraId="656B1488" w14:textId="77777777" w:rsidR="005B0FDB" w:rsidRPr="00005F17" w:rsidRDefault="005B0FDB" w:rsidP="005B5CDF">
            <w:pPr>
              <w:spacing w:after="0"/>
              <w:mirrorIndents/>
              <w:rPr>
                <w:rFonts w:cs="Segoe UI Light"/>
                <w:b/>
                <w:sz w:val="18"/>
              </w:rPr>
            </w:pPr>
            <w:r w:rsidRPr="00005F17">
              <w:rPr>
                <w:rFonts w:cs="Segoe UI Light"/>
                <w:b/>
                <w:sz w:val="18"/>
              </w:rPr>
              <w:t>Waste</w:t>
            </w:r>
          </w:p>
        </w:tc>
        <w:tc>
          <w:tcPr>
            <w:tcW w:w="0" w:type="pct"/>
          </w:tcPr>
          <w:p w14:paraId="656B1489" w14:textId="77777777" w:rsidR="005B0FDB" w:rsidRPr="00EF2F6D" w:rsidRDefault="005B0FDB" w:rsidP="005B5CDF">
            <w:pPr>
              <w:spacing w:after="0"/>
              <w:ind w:right="262"/>
              <w:mirrorIndents/>
              <w:rPr>
                <w:rFonts w:cs="Segoe UI Light"/>
                <w:sz w:val="18"/>
              </w:rPr>
            </w:pPr>
            <w:r>
              <w:rPr>
                <w:rFonts w:cs="Segoe UI Light"/>
                <w:sz w:val="18"/>
              </w:rPr>
              <w:t>As noted in the discussion of permissions, the proposed Regulations for waste are designed to be proportionate to risk, and typically the level of risk is higher for larger businesses. Therefore it is generally expected that the impact on small businesses will not be disproportionate.</w:t>
            </w:r>
          </w:p>
        </w:tc>
        <w:tc>
          <w:tcPr>
            <w:tcW w:w="0" w:type="pct"/>
          </w:tcPr>
          <w:p w14:paraId="656B148A" w14:textId="77777777" w:rsidR="005B0FDB" w:rsidRDefault="005B0FDB" w:rsidP="00A12184">
            <w:pPr>
              <w:spacing w:after="0" w:line="240" w:lineRule="auto"/>
              <w:ind w:right="261"/>
              <w:mirrorIndents/>
              <w:rPr>
                <w:rFonts w:cs="Segoe UI Light"/>
                <w:sz w:val="17"/>
                <w:szCs w:val="17"/>
              </w:rPr>
            </w:pPr>
            <w:r w:rsidRPr="00A12184">
              <w:rPr>
                <w:rFonts w:cs="Segoe UI Light"/>
                <w:sz w:val="17"/>
                <w:szCs w:val="17"/>
              </w:rPr>
              <w:t xml:space="preserve">The proposed Regulations are likely to make it more costly for businesses to operate in the less hazardous parts of the waste sector, for example businesses dealing with industrial wastes and priority wastes. This is likely to impact on competition in that it might reduce the number of participants in the market if existing businesses in the market or potentially new entrants find it too costly to comply with the requirements. </w:t>
            </w:r>
          </w:p>
          <w:p w14:paraId="656B148B" w14:textId="77777777" w:rsidR="005B5CDF" w:rsidRPr="00A12184" w:rsidRDefault="005B5CDF" w:rsidP="00A12184">
            <w:pPr>
              <w:spacing w:after="0" w:line="240" w:lineRule="auto"/>
              <w:ind w:right="261"/>
              <w:mirrorIndents/>
              <w:rPr>
                <w:rFonts w:cs="Segoe UI Light"/>
                <w:sz w:val="17"/>
                <w:szCs w:val="17"/>
              </w:rPr>
            </w:pPr>
          </w:p>
          <w:p w14:paraId="656B148C" w14:textId="77777777" w:rsidR="005B5CDF" w:rsidRDefault="005B0FDB" w:rsidP="00A12184">
            <w:pPr>
              <w:spacing w:after="0" w:line="240" w:lineRule="auto"/>
              <w:ind w:right="261"/>
              <w:mirrorIndents/>
              <w:rPr>
                <w:rFonts w:cs="Segoe UI Light"/>
                <w:sz w:val="17"/>
                <w:szCs w:val="17"/>
              </w:rPr>
            </w:pPr>
            <w:r w:rsidRPr="00A12184">
              <w:rPr>
                <w:rFonts w:cs="Segoe UI Light"/>
                <w:sz w:val="17"/>
                <w:szCs w:val="17"/>
              </w:rPr>
              <w:t>However, as already discussed, the proposed Regulations for waste are designed to be proportionate to risk: costs associated with the Regulations will increase as the level of hazardous risk increases. The restriction on competition is therefore considered to be necessary to reduce the risks of harm to human health and the environment</w:t>
            </w:r>
            <w:r w:rsidR="005B5CDF" w:rsidRPr="00A12184">
              <w:rPr>
                <w:rFonts w:cs="Segoe UI Light"/>
                <w:sz w:val="17"/>
                <w:szCs w:val="17"/>
              </w:rPr>
              <w:t xml:space="preserve"> and is expected to generate a net benefit when those reduced risks are considered.</w:t>
            </w:r>
            <w:r w:rsidRPr="00A12184">
              <w:rPr>
                <w:rFonts w:cs="Segoe UI Light"/>
                <w:sz w:val="17"/>
                <w:szCs w:val="17"/>
              </w:rPr>
              <w:t xml:space="preserve"> </w:t>
            </w:r>
          </w:p>
          <w:p w14:paraId="656B148D" w14:textId="77777777" w:rsidR="005B5CDF" w:rsidRPr="00A12184" w:rsidRDefault="005B5CDF" w:rsidP="00A12184">
            <w:pPr>
              <w:spacing w:after="0" w:line="240" w:lineRule="auto"/>
              <w:ind w:right="261"/>
              <w:mirrorIndents/>
              <w:rPr>
                <w:rFonts w:cs="Segoe UI Light"/>
                <w:sz w:val="17"/>
                <w:szCs w:val="17"/>
              </w:rPr>
            </w:pPr>
          </w:p>
          <w:p w14:paraId="656B148E" w14:textId="77777777" w:rsidR="005B0FDB" w:rsidRPr="00EF2F6D" w:rsidRDefault="005B0FDB" w:rsidP="00A12184">
            <w:pPr>
              <w:spacing w:after="0" w:line="240" w:lineRule="auto"/>
              <w:ind w:right="261"/>
              <w:mirrorIndents/>
              <w:rPr>
                <w:rFonts w:cs="Segoe UI Light"/>
                <w:sz w:val="18"/>
              </w:rPr>
            </w:pPr>
            <w:r w:rsidRPr="00A12184">
              <w:rPr>
                <w:rFonts w:cs="Segoe UI Light"/>
                <w:sz w:val="17"/>
                <w:szCs w:val="17"/>
              </w:rPr>
              <w:t>In some cases, due to the level of hazardous risk and also the existence of illegal activities in the sector, departures of non-compliant existing businesses from the industry or deterrence of rogue businesses from entering the industry might also be beneficial for the community.</w:t>
            </w:r>
          </w:p>
        </w:tc>
      </w:tr>
      <w:tr w:rsidR="005B0FDB" w:rsidRPr="00005F17" w14:paraId="656B1493" w14:textId="77777777" w:rsidTr="00A12184">
        <w:trPr>
          <w:cantSplit/>
        </w:trPr>
        <w:tc>
          <w:tcPr>
            <w:tcW w:w="0" w:type="pct"/>
          </w:tcPr>
          <w:p w14:paraId="656B1490" w14:textId="77777777" w:rsidR="005B0FDB" w:rsidRPr="00005F17" w:rsidRDefault="005B0FDB" w:rsidP="005B5CDF">
            <w:pPr>
              <w:spacing w:after="0"/>
              <w:mirrorIndents/>
              <w:rPr>
                <w:rFonts w:cs="Segoe UI Light"/>
                <w:b/>
                <w:sz w:val="18"/>
              </w:rPr>
            </w:pPr>
            <w:r w:rsidRPr="00005F17">
              <w:rPr>
                <w:rFonts w:cs="Segoe UI Light"/>
                <w:b/>
                <w:sz w:val="18"/>
              </w:rPr>
              <w:t>Litter</w:t>
            </w:r>
          </w:p>
        </w:tc>
        <w:tc>
          <w:tcPr>
            <w:tcW w:w="0" w:type="pct"/>
          </w:tcPr>
          <w:p w14:paraId="656B1491" w14:textId="43F5A98B" w:rsidR="005B0FDB" w:rsidRPr="00EF2F6D" w:rsidRDefault="005B0FDB" w:rsidP="005B5CDF">
            <w:pPr>
              <w:spacing w:after="0"/>
              <w:ind w:right="262"/>
              <w:mirrorIndents/>
              <w:rPr>
                <w:rFonts w:cs="Segoe UI Light"/>
                <w:sz w:val="18"/>
              </w:rPr>
            </w:pPr>
            <w:r>
              <w:rPr>
                <w:rFonts w:cs="Segoe UI Light"/>
                <w:sz w:val="18"/>
              </w:rPr>
              <w:t>The proposed Regulation</w:t>
            </w:r>
            <w:r w:rsidR="00675AB2">
              <w:rPr>
                <w:rFonts w:cs="Segoe UI Light"/>
                <w:sz w:val="18"/>
              </w:rPr>
              <w:t>s are</w:t>
            </w:r>
            <w:r w:rsidR="00425693">
              <w:rPr>
                <w:rFonts w:cs="Segoe UI Light"/>
                <w:sz w:val="18"/>
              </w:rPr>
              <w:t xml:space="preserve"> </w:t>
            </w:r>
            <w:r>
              <w:rPr>
                <w:rFonts w:cs="Segoe UI Light"/>
                <w:sz w:val="18"/>
              </w:rPr>
              <w:t>not expected to materially impact small business, with the requirements focused on the general community rather than businesses.</w:t>
            </w:r>
          </w:p>
        </w:tc>
        <w:tc>
          <w:tcPr>
            <w:tcW w:w="0" w:type="pct"/>
          </w:tcPr>
          <w:p w14:paraId="656B1492" w14:textId="77777777" w:rsidR="005B0FDB" w:rsidRDefault="005B0FDB" w:rsidP="005B5CDF">
            <w:pPr>
              <w:spacing w:after="0"/>
              <w:ind w:right="262"/>
              <w:mirrorIndents/>
              <w:rPr>
                <w:rFonts w:cs="Segoe UI Light"/>
                <w:sz w:val="18"/>
              </w:rPr>
            </w:pPr>
            <w:r>
              <w:rPr>
                <w:rFonts w:cs="Segoe UI Light"/>
                <w:sz w:val="18"/>
              </w:rPr>
              <w:t>The proposed Regulations are not expected to impact on competition – no likely impacts on market structure, market entry or particular market participants have been identified.</w:t>
            </w:r>
          </w:p>
        </w:tc>
      </w:tr>
      <w:tr w:rsidR="005B0FDB" w:rsidRPr="00005F17" w14:paraId="656B149B" w14:textId="77777777" w:rsidTr="00A12184">
        <w:trPr>
          <w:cantSplit/>
        </w:trPr>
        <w:tc>
          <w:tcPr>
            <w:tcW w:w="0" w:type="pct"/>
          </w:tcPr>
          <w:p w14:paraId="656B1494" w14:textId="77777777" w:rsidR="005B0FDB" w:rsidRPr="00005F17" w:rsidRDefault="005B0FDB" w:rsidP="005B5CDF">
            <w:pPr>
              <w:spacing w:after="0"/>
              <w:mirrorIndents/>
              <w:rPr>
                <w:rFonts w:cs="Segoe UI Light"/>
                <w:b/>
                <w:sz w:val="18"/>
              </w:rPr>
            </w:pPr>
            <w:r w:rsidRPr="00005F17">
              <w:rPr>
                <w:rFonts w:cs="Segoe UI Light"/>
                <w:b/>
                <w:sz w:val="18"/>
              </w:rPr>
              <w:t>Plastic bags</w:t>
            </w:r>
          </w:p>
        </w:tc>
        <w:tc>
          <w:tcPr>
            <w:tcW w:w="0" w:type="pct"/>
          </w:tcPr>
          <w:p w14:paraId="656B1495" w14:textId="77777777" w:rsidR="005B0FDB" w:rsidRDefault="005B0FDB" w:rsidP="005B5CDF">
            <w:pPr>
              <w:spacing w:after="0"/>
              <w:ind w:right="262"/>
              <w:mirrorIndents/>
              <w:rPr>
                <w:rFonts w:cs="Segoe UI Light"/>
                <w:sz w:val="18"/>
              </w:rPr>
            </w:pPr>
            <w:r>
              <w:rPr>
                <w:rFonts w:cs="Segoe UI Light"/>
                <w:sz w:val="18"/>
              </w:rPr>
              <w:t xml:space="preserve">The proposed Regulations will impact a large number of Victorian businesses, the majority of which are likely to be small businesses. In section 11.4.2 it was noted that, based on ABS counts of retail businesses in Victoria, there might be about 16,500 businesses </w:t>
            </w:r>
            <w:r w:rsidRPr="00DA0536">
              <w:rPr>
                <w:rFonts w:cs="Segoe UI Light"/>
                <w:sz w:val="18"/>
              </w:rPr>
              <w:t xml:space="preserve">that are currently considered likely to use plastic bags and </w:t>
            </w:r>
            <w:r>
              <w:rPr>
                <w:rFonts w:cs="Segoe UI Light"/>
                <w:sz w:val="18"/>
              </w:rPr>
              <w:t>will be</w:t>
            </w:r>
            <w:r w:rsidRPr="00DA0536">
              <w:rPr>
                <w:rFonts w:cs="Segoe UI Light"/>
                <w:sz w:val="18"/>
              </w:rPr>
              <w:t xml:space="preserve"> impacted by the proposed Regulations. </w:t>
            </w:r>
          </w:p>
          <w:p w14:paraId="656B1496" w14:textId="77777777" w:rsidR="005B0FDB" w:rsidRDefault="005B0FDB" w:rsidP="005B5CDF">
            <w:pPr>
              <w:spacing w:after="0"/>
              <w:ind w:right="262"/>
              <w:mirrorIndents/>
              <w:rPr>
                <w:rFonts w:cs="Segoe UI Light"/>
                <w:sz w:val="18"/>
              </w:rPr>
            </w:pPr>
            <w:r>
              <w:rPr>
                <w:rFonts w:cs="Segoe UI Light"/>
                <w:sz w:val="18"/>
              </w:rPr>
              <w:t xml:space="preserve">The proposed Regulations will apply equally to all businesses, but might disproportionately impact small businesses that have more limited resources to respond in different ways to the changes. For example, small businesses may be less likely to be able to offer alternative options to customers such as re-usable bags or pre-packaged products (e.g. meat) in the absence of plastic bags. It is possible that this could provide larger businesses with a competitive advantage, however this possible impact is uncertain. </w:t>
            </w:r>
          </w:p>
          <w:p w14:paraId="656B1497" w14:textId="77777777" w:rsidR="005B0FDB" w:rsidRDefault="005B0FDB" w:rsidP="005B5CDF">
            <w:pPr>
              <w:spacing w:after="0"/>
              <w:ind w:right="262"/>
              <w:mirrorIndents/>
              <w:rPr>
                <w:rFonts w:cs="Segoe UI Light"/>
                <w:sz w:val="18"/>
              </w:rPr>
            </w:pPr>
            <w:r>
              <w:rPr>
                <w:rFonts w:cs="Segoe UI Light"/>
                <w:sz w:val="18"/>
              </w:rPr>
              <w:t>Ultimately, some of this cost will be passed onto consumers, although small businesses might need to absorb relatively more of the cost compared to large retailers if they have less market power and therefore less power to set their prices at a level that will recover their costs.</w:t>
            </w:r>
          </w:p>
          <w:p w14:paraId="656B1498" w14:textId="77777777" w:rsidR="005B0FDB" w:rsidRDefault="005B0FDB" w:rsidP="005B5CDF">
            <w:pPr>
              <w:spacing w:after="0"/>
              <w:ind w:right="262"/>
              <w:mirrorIndents/>
              <w:rPr>
                <w:rFonts w:cs="Segoe UI Light"/>
                <w:sz w:val="18"/>
              </w:rPr>
            </w:pPr>
            <w:r>
              <w:rPr>
                <w:rFonts w:cs="Segoe UI Light"/>
                <w:sz w:val="18"/>
              </w:rPr>
              <w:t>However, it is expected that the voluntary move to phase out plastic bags by large retailers will have assisted smaller retailers, e.g. by changing consumer habits and equipping consumers with re-usable bags that they can also use at smaller retailers.</w:t>
            </w:r>
          </w:p>
          <w:p w14:paraId="656B1499" w14:textId="77777777" w:rsidR="005B0FDB" w:rsidRPr="00EF2F6D" w:rsidRDefault="005B0FDB" w:rsidP="005B5CDF">
            <w:pPr>
              <w:spacing w:after="0"/>
              <w:ind w:right="262"/>
              <w:mirrorIndents/>
              <w:rPr>
                <w:rFonts w:cs="Segoe UI Light"/>
                <w:sz w:val="18"/>
              </w:rPr>
            </w:pPr>
            <w:r>
              <w:rPr>
                <w:rFonts w:cs="Segoe UI Light"/>
                <w:sz w:val="18"/>
              </w:rPr>
              <w:t>Overall, it is difficult to estimate with certainty the impact on small businesses</w:t>
            </w:r>
          </w:p>
        </w:tc>
        <w:tc>
          <w:tcPr>
            <w:tcW w:w="0" w:type="pct"/>
          </w:tcPr>
          <w:p w14:paraId="656B149A" w14:textId="77777777" w:rsidR="005B0FDB" w:rsidRDefault="005B0FDB" w:rsidP="005B5CDF">
            <w:pPr>
              <w:ind w:right="262"/>
              <w:mirrorIndents/>
              <w:rPr>
                <w:rFonts w:cs="Segoe UI Light"/>
                <w:sz w:val="18"/>
              </w:rPr>
            </w:pPr>
            <w:r>
              <w:rPr>
                <w:rFonts w:cs="Segoe UI Light"/>
                <w:sz w:val="18"/>
              </w:rPr>
              <w:t>Because the impact is small per customer and very dispersed across a large number of retailers, some of the cost</w:t>
            </w:r>
            <w:r w:rsidR="00C33D51">
              <w:rPr>
                <w:rFonts w:cs="Segoe UI Light"/>
                <w:sz w:val="18"/>
              </w:rPr>
              <w:t>s will be passed onto customers. It is possible smaller businesses with tighter margins might have more difficulty passing on costs to customers, and therefore be more impacted, however there it is difficult to establish whether this is the case (due to limited information) and to estimate the size of this impact. Overall DELWP/EPA consider the preferred option</w:t>
            </w:r>
            <w:r>
              <w:rPr>
                <w:rFonts w:cs="Segoe UI Light"/>
                <w:sz w:val="18"/>
              </w:rPr>
              <w:t xml:space="preserve"> unlikely to lead to any </w:t>
            </w:r>
            <w:r w:rsidR="00675AB2">
              <w:rPr>
                <w:rFonts w:cs="Segoe UI Light"/>
                <w:sz w:val="18"/>
              </w:rPr>
              <w:t xml:space="preserve">material </w:t>
            </w:r>
            <w:r>
              <w:rPr>
                <w:rFonts w:cs="Segoe UI Light"/>
                <w:sz w:val="18"/>
              </w:rPr>
              <w:t>impacts on competition such as affecting the market structure of the retail sector or making it more difficult for new firms to enter the market.</w:t>
            </w:r>
          </w:p>
        </w:tc>
      </w:tr>
      <w:tr w:rsidR="005B0FDB" w:rsidRPr="002A4828" w14:paraId="656B14A2" w14:textId="77777777" w:rsidTr="00A12184">
        <w:trPr>
          <w:cantSplit/>
        </w:trPr>
        <w:tc>
          <w:tcPr>
            <w:tcW w:w="0" w:type="pct"/>
          </w:tcPr>
          <w:p w14:paraId="656B149C" w14:textId="77777777" w:rsidR="005B0FDB" w:rsidRPr="00005F17" w:rsidRDefault="005B0FDB" w:rsidP="005B5CDF">
            <w:pPr>
              <w:spacing w:after="0"/>
              <w:mirrorIndents/>
              <w:rPr>
                <w:rFonts w:cs="Segoe UI Light"/>
                <w:b/>
                <w:sz w:val="18"/>
              </w:rPr>
            </w:pPr>
            <w:r w:rsidRPr="00005F17">
              <w:rPr>
                <w:rFonts w:cs="Segoe UI Light"/>
                <w:b/>
                <w:sz w:val="18"/>
              </w:rPr>
              <w:t>Air</w:t>
            </w:r>
          </w:p>
        </w:tc>
        <w:tc>
          <w:tcPr>
            <w:tcW w:w="0" w:type="pct"/>
          </w:tcPr>
          <w:p w14:paraId="656B149D" w14:textId="77777777" w:rsidR="005B0FDB" w:rsidRDefault="005B0FDB" w:rsidP="005B5CDF">
            <w:pPr>
              <w:spacing w:after="0"/>
              <w:ind w:right="262"/>
              <w:mirrorIndents/>
              <w:rPr>
                <w:rFonts w:cs="Segoe UI Light"/>
                <w:sz w:val="18"/>
              </w:rPr>
            </w:pPr>
            <w:r>
              <w:rPr>
                <w:rFonts w:cs="Segoe UI Light"/>
                <w:sz w:val="18"/>
              </w:rPr>
              <w:t xml:space="preserve">The proposed Regulations relating to wood heaters will require </w:t>
            </w:r>
            <w:r w:rsidRPr="00374C6D">
              <w:rPr>
                <w:rFonts w:cs="Segoe UI Light"/>
                <w:sz w:val="18"/>
              </w:rPr>
              <w:t>Victorian businesses to supply or manufacture wood heaters that comply with AS/NZS 4012:2014 and AS/NZS 4013 standards. Larger businesses are already understood to be operating in compliance with the standards. It is more likely to be small businesses that will need to take action to achieve compliance with the standard</w:t>
            </w:r>
            <w:r>
              <w:rPr>
                <w:rFonts w:cs="Segoe UI Light"/>
                <w:sz w:val="18"/>
              </w:rPr>
              <w:t>s. This is therefore likely to disproportionately impact small businesses, particularly as they have more limited resources to undertake the necessary testing and certification process.</w:t>
            </w:r>
          </w:p>
          <w:p w14:paraId="656B149E" w14:textId="77777777" w:rsidR="005B0FDB" w:rsidRPr="00EF2F6D" w:rsidRDefault="005B0FDB" w:rsidP="005B5CDF">
            <w:pPr>
              <w:spacing w:after="0"/>
              <w:ind w:right="262"/>
              <w:mirrorIndents/>
              <w:rPr>
                <w:rFonts w:cs="Segoe UI Light"/>
                <w:sz w:val="18"/>
              </w:rPr>
            </w:pPr>
            <w:r>
              <w:rPr>
                <w:rFonts w:cs="Segoe UI Light"/>
                <w:sz w:val="18"/>
              </w:rPr>
              <w:t xml:space="preserve">The proposed Regulations impose obligations in relation to the management of methyl bromide and Class 3 substances (which are highly hazardous substances). They are currently regulated under WMP POL and SEPP AQM respectively. There is no evidence to suggest that proposed Regulations for these substances will disproportionately impact small businesses. </w:t>
            </w:r>
          </w:p>
        </w:tc>
        <w:tc>
          <w:tcPr>
            <w:tcW w:w="0" w:type="pct"/>
          </w:tcPr>
          <w:p w14:paraId="656B149F" w14:textId="17FA751C" w:rsidR="00C93A18" w:rsidRDefault="005B0FDB" w:rsidP="005B5CDF">
            <w:pPr>
              <w:ind w:right="262"/>
              <w:mirrorIndents/>
              <w:rPr>
                <w:rFonts w:cs="Segoe UI Light"/>
                <w:sz w:val="18"/>
              </w:rPr>
            </w:pPr>
            <w:r>
              <w:rPr>
                <w:rFonts w:cs="Segoe UI Light"/>
                <w:sz w:val="18"/>
              </w:rPr>
              <w:t xml:space="preserve">Some impact on competition is likely as a result of the wood heater obligations, as wood heater models need to be tested </w:t>
            </w:r>
            <w:r w:rsidR="00C93A18">
              <w:rPr>
                <w:rFonts w:cs="Segoe UI Light"/>
                <w:sz w:val="18"/>
              </w:rPr>
              <w:t>in accordance with</w:t>
            </w:r>
            <w:r>
              <w:rPr>
                <w:rFonts w:cs="Segoe UI Light"/>
                <w:sz w:val="18"/>
              </w:rPr>
              <w:t xml:space="preserve"> the AS/NZS standards. This might make it more costly to operate or enter the market with a new model. However, this impact on competition is considered </w:t>
            </w:r>
            <w:r w:rsidR="002B716C">
              <w:rPr>
                <w:rFonts w:cs="Segoe UI Light"/>
                <w:sz w:val="18"/>
              </w:rPr>
              <w:t xml:space="preserve">necessary </w:t>
            </w:r>
            <w:r>
              <w:rPr>
                <w:rFonts w:cs="Segoe UI Light"/>
                <w:sz w:val="18"/>
              </w:rPr>
              <w:t xml:space="preserve">to reduce the </w:t>
            </w:r>
            <w:r w:rsidRPr="00A91253">
              <w:rPr>
                <w:rFonts w:cs="Segoe UI Light"/>
                <w:sz w:val="18"/>
              </w:rPr>
              <w:t>health risks from wood heater particulate matter emissions in Victoria</w:t>
            </w:r>
            <w:r w:rsidR="002B716C">
              <w:rPr>
                <w:rFonts w:cs="Segoe UI Light"/>
                <w:sz w:val="18"/>
              </w:rPr>
              <w:t xml:space="preserve">, and is expected to result in a net benefit </w:t>
            </w:r>
            <w:r w:rsidR="00C93A18">
              <w:rPr>
                <w:rFonts w:cs="Segoe UI Light"/>
                <w:sz w:val="18"/>
              </w:rPr>
              <w:t xml:space="preserve">as any reduction in population exposure to PM can have improved health outcomes and reduce the burden from associated health impacts. </w:t>
            </w:r>
          </w:p>
          <w:p w14:paraId="656B14A1" w14:textId="6CAFC31F" w:rsidR="005B0FDB" w:rsidRPr="00EF2F6D" w:rsidRDefault="005B0FDB" w:rsidP="00A12184">
            <w:pPr>
              <w:ind w:right="262"/>
              <w:mirrorIndents/>
              <w:rPr>
                <w:rFonts w:cs="Segoe UI Light"/>
                <w:sz w:val="18"/>
              </w:rPr>
            </w:pPr>
            <w:r>
              <w:rPr>
                <w:rFonts w:cs="Segoe UI Light"/>
                <w:sz w:val="18"/>
              </w:rPr>
              <w:t xml:space="preserve">Proposed Regulations relating to the management of methyl bromide and Class 3 substances might result in deterrence of some businesses from entering markets where these substances are used/emitted, however the substances are either very hazardous or can significantly deplete the ozone layer, and businesses impacted are likely to be very specialised. Consequently, the restriction on competition is expected to be </w:t>
            </w:r>
            <w:r w:rsidRPr="004C2731">
              <w:rPr>
                <w:rFonts w:cs="Segoe UI Light"/>
                <w:sz w:val="18"/>
              </w:rPr>
              <w:t xml:space="preserve">small. </w:t>
            </w:r>
            <w:r w:rsidR="002B716C" w:rsidRPr="004C2731">
              <w:rPr>
                <w:rFonts w:cs="Segoe UI Light"/>
                <w:sz w:val="18"/>
              </w:rPr>
              <w:t>This restriction is considered necessary</w:t>
            </w:r>
            <w:r w:rsidR="004C2731" w:rsidRPr="004C2731">
              <w:rPr>
                <w:rFonts w:cs="Segoe UI Light"/>
                <w:sz w:val="18"/>
              </w:rPr>
              <w:t xml:space="preserve"> </w:t>
            </w:r>
            <w:r w:rsidR="004C2731" w:rsidRPr="00A12184">
              <w:rPr>
                <w:rFonts w:cs="Segoe UI Light"/>
                <w:sz w:val="18"/>
              </w:rPr>
              <w:t xml:space="preserve">to reduce risks from use of these substances because they are particularly harmful to health and the environment. </w:t>
            </w:r>
            <w:r w:rsidR="005223B8">
              <w:rPr>
                <w:rFonts w:cs="Segoe UI Light"/>
                <w:sz w:val="18"/>
              </w:rPr>
              <w:t>m</w:t>
            </w:r>
            <w:r w:rsidR="004C2731" w:rsidRPr="00A12184">
              <w:rPr>
                <w:rFonts w:cs="Segoe UI Light"/>
                <w:sz w:val="18"/>
              </w:rPr>
              <w:t xml:space="preserve">ethyl </w:t>
            </w:r>
            <w:r w:rsidR="005223B8">
              <w:rPr>
                <w:rFonts w:cs="Segoe UI Light"/>
                <w:sz w:val="18"/>
              </w:rPr>
              <w:t>b</w:t>
            </w:r>
            <w:r w:rsidR="004C2731" w:rsidRPr="00A12184">
              <w:rPr>
                <w:rFonts w:cs="Segoe UI Light"/>
                <w:sz w:val="18"/>
              </w:rPr>
              <w:t xml:space="preserve">romide is considered to be one of the most harmful substances in terms of depleting the ozone layer, and Australia is a signatory to international conventions governing the use of methyl bromide (The Montreal Protocol). Class 3 indicators are the most significant carcinogenic, mutagenic and teratogenic substances, meaning they can cause cancer, or harm the embryo during pregnancy. </w:t>
            </w:r>
            <w:r w:rsidR="004C2731" w:rsidRPr="00D20422">
              <w:rPr>
                <w:rFonts w:cs="Segoe UI Light"/>
                <w:sz w:val="18"/>
              </w:rPr>
              <w:t>Considering the increased safety this will generate, the restriction is expected to generate a net benefit.</w:t>
            </w:r>
            <w:r w:rsidR="002B716C">
              <w:rPr>
                <w:rFonts w:cs="Segoe UI Light"/>
                <w:sz w:val="18"/>
              </w:rPr>
              <w:t xml:space="preserve"> </w:t>
            </w:r>
          </w:p>
        </w:tc>
      </w:tr>
      <w:tr w:rsidR="005B0FDB" w:rsidRPr="00005F17" w14:paraId="656B14A6" w14:textId="77777777" w:rsidTr="00A12184">
        <w:trPr>
          <w:cantSplit/>
        </w:trPr>
        <w:tc>
          <w:tcPr>
            <w:tcW w:w="0" w:type="pct"/>
          </w:tcPr>
          <w:p w14:paraId="656B14A3" w14:textId="77777777" w:rsidR="005B0FDB" w:rsidRPr="00005F17" w:rsidRDefault="005B0FDB" w:rsidP="005B5CDF">
            <w:pPr>
              <w:spacing w:after="0"/>
              <w:mirrorIndents/>
              <w:rPr>
                <w:rFonts w:cs="Segoe UI Light"/>
                <w:b/>
                <w:sz w:val="18"/>
              </w:rPr>
            </w:pPr>
            <w:r w:rsidRPr="00005F17">
              <w:rPr>
                <w:rFonts w:cs="Segoe UI Light"/>
                <w:b/>
                <w:sz w:val="18"/>
              </w:rPr>
              <w:t>Water</w:t>
            </w:r>
          </w:p>
        </w:tc>
        <w:tc>
          <w:tcPr>
            <w:tcW w:w="0" w:type="pct"/>
          </w:tcPr>
          <w:p w14:paraId="656B14A4" w14:textId="77777777" w:rsidR="005B0FDB" w:rsidRPr="00EF2F6D" w:rsidRDefault="005B0FDB" w:rsidP="005B5CDF">
            <w:pPr>
              <w:spacing w:after="0"/>
              <w:ind w:right="262"/>
              <w:mirrorIndents/>
              <w:rPr>
                <w:sz w:val="18"/>
              </w:rPr>
            </w:pPr>
            <w:r>
              <w:rPr>
                <w:sz w:val="18"/>
              </w:rPr>
              <w:t xml:space="preserve">The proposed Regulations, in relation to vessel discharges, do </w:t>
            </w:r>
            <w:r w:rsidRPr="00153F27">
              <w:rPr>
                <w:sz w:val="18"/>
              </w:rPr>
              <w:t>not impose any additional requirements relative to the new EP legislation (it simply provides clarification to further support duty holders)</w:t>
            </w:r>
            <w:r>
              <w:rPr>
                <w:sz w:val="18"/>
              </w:rPr>
              <w:t>.</w:t>
            </w:r>
            <w:r w:rsidRPr="00153F27">
              <w:rPr>
                <w:sz w:val="18"/>
              </w:rPr>
              <w:t xml:space="preserve"> </w:t>
            </w:r>
            <w:r>
              <w:rPr>
                <w:sz w:val="18"/>
              </w:rPr>
              <w:t>I</w:t>
            </w:r>
            <w:r w:rsidRPr="00153F27">
              <w:rPr>
                <w:sz w:val="18"/>
              </w:rPr>
              <w:t xml:space="preserve">t is </w:t>
            </w:r>
            <w:r>
              <w:rPr>
                <w:sz w:val="18"/>
              </w:rPr>
              <w:t xml:space="preserve">therefore </w:t>
            </w:r>
            <w:r w:rsidRPr="00153F27">
              <w:rPr>
                <w:sz w:val="18"/>
              </w:rPr>
              <w:t xml:space="preserve">not expected to </w:t>
            </w:r>
            <w:r>
              <w:rPr>
                <w:sz w:val="18"/>
              </w:rPr>
              <w:t>impact small businesses</w:t>
            </w:r>
          </w:p>
        </w:tc>
        <w:tc>
          <w:tcPr>
            <w:tcW w:w="0" w:type="pct"/>
          </w:tcPr>
          <w:p w14:paraId="656B14A5" w14:textId="77777777" w:rsidR="005B0FDB" w:rsidRPr="00EF2F6D" w:rsidRDefault="005B0FDB" w:rsidP="005B5CDF">
            <w:pPr>
              <w:ind w:right="262"/>
              <w:mirrorIndents/>
              <w:rPr>
                <w:sz w:val="18"/>
              </w:rPr>
            </w:pPr>
            <w:r>
              <w:rPr>
                <w:rFonts w:cs="Segoe UI Light"/>
                <w:sz w:val="18"/>
              </w:rPr>
              <w:t>The proposed Regulations are not expected to impact on competition – no likely impacts on market structure, market entry or particular market participants have been identified.</w:t>
            </w:r>
          </w:p>
        </w:tc>
      </w:tr>
      <w:tr w:rsidR="005B0FDB" w:rsidRPr="00005F17" w14:paraId="656B14AB" w14:textId="77777777" w:rsidTr="00A12184">
        <w:trPr>
          <w:cantSplit/>
        </w:trPr>
        <w:tc>
          <w:tcPr>
            <w:tcW w:w="0" w:type="pct"/>
          </w:tcPr>
          <w:p w14:paraId="656B14A7" w14:textId="77777777" w:rsidR="005B0FDB" w:rsidRPr="00005F17" w:rsidRDefault="005B0FDB" w:rsidP="005B5CDF">
            <w:pPr>
              <w:spacing w:after="0"/>
              <w:mirrorIndents/>
              <w:rPr>
                <w:rFonts w:cs="Segoe UI Light"/>
                <w:b/>
                <w:sz w:val="18"/>
              </w:rPr>
            </w:pPr>
            <w:r w:rsidRPr="00005F17">
              <w:rPr>
                <w:rFonts w:cs="Segoe UI Light"/>
                <w:b/>
                <w:sz w:val="18"/>
              </w:rPr>
              <w:t>Noise</w:t>
            </w:r>
          </w:p>
        </w:tc>
        <w:tc>
          <w:tcPr>
            <w:tcW w:w="0" w:type="pct"/>
          </w:tcPr>
          <w:p w14:paraId="656B14A8" w14:textId="77777777" w:rsidR="005B0FDB" w:rsidRDefault="005B0FDB" w:rsidP="005B5CDF">
            <w:pPr>
              <w:spacing w:after="0"/>
              <w:ind w:right="262"/>
              <w:mirrorIndents/>
              <w:rPr>
                <w:rFonts w:cs="Segoe UI Light"/>
                <w:sz w:val="18"/>
              </w:rPr>
            </w:pPr>
            <w:r>
              <w:rPr>
                <w:rFonts w:cs="Segoe UI Light"/>
                <w:sz w:val="18"/>
              </w:rPr>
              <w:t>Additional requirements on CIT premises will impose higher costs on affected duty holders, however the number of duty holders affected is not known. It is likely there will be an impact on small businesses, however there is no evidence to suggest that small businesses will be disproportionately impacted. It is also not possible to estimate the number of small businesses likely to be impacted.</w:t>
            </w:r>
          </w:p>
          <w:p w14:paraId="656B14A9" w14:textId="77777777" w:rsidR="005B0FDB" w:rsidRDefault="005B0FDB" w:rsidP="005B5CDF">
            <w:pPr>
              <w:spacing w:after="0"/>
              <w:ind w:right="262"/>
              <w:mirrorIndents/>
              <w:rPr>
                <w:sz w:val="18"/>
              </w:rPr>
            </w:pPr>
            <w:r>
              <w:rPr>
                <w:rFonts w:cs="Segoe UI Light"/>
                <w:sz w:val="18"/>
              </w:rPr>
              <w:t xml:space="preserve">By establishing </w:t>
            </w:r>
            <w:r w:rsidRPr="009D0BFA">
              <w:rPr>
                <w:rFonts w:cs="Segoe UI Light"/>
                <w:sz w:val="18"/>
              </w:rPr>
              <w:t xml:space="preserve">a framework for establishing noise limits for entertainment premises and defining aggravated noise, the preferred option may assist small businesses </w:t>
            </w:r>
            <w:r>
              <w:rPr>
                <w:rFonts w:cs="Segoe UI Light"/>
                <w:sz w:val="18"/>
              </w:rPr>
              <w:t xml:space="preserve">that operate entertainment premises </w:t>
            </w:r>
            <w:r w:rsidRPr="009D0BFA">
              <w:rPr>
                <w:rFonts w:cs="Segoe UI Light"/>
                <w:sz w:val="18"/>
              </w:rPr>
              <w:t>in understanding how to comply with the unreasonable and aggravated noise provisions in the new EP legislation.</w:t>
            </w:r>
          </w:p>
        </w:tc>
        <w:tc>
          <w:tcPr>
            <w:tcW w:w="0" w:type="pct"/>
          </w:tcPr>
          <w:p w14:paraId="656B14AA" w14:textId="77777777" w:rsidR="005B0FDB" w:rsidRDefault="005B0FDB" w:rsidP="005B5CDF">
            <w:pPr>
              <w:ind w:right="262"/>
              <w:mirrorIndents/>
              <w:rPr>
                <w:rFonts w:cs="Segoe UI Light"/>
                <w:sz w:val="18"/>
              </w:rPr>
            </w:pPr>
            <w:r>
              <w:rPr>
                <w:rFonts w:cs="Segoe UI Light"/>
                <w:sz w:val="18"/>
              </w:rPr>
              <w:t>The proposed Regulations are not expected to impact on competition – no likely impacts on market structure, market entry or particular market participants have been identified.</w:t>
            </w:r>
          </w:p>
        </w:tc>
      </w:tr>
      <w:tr w:rsidR="005B0FDB" w:rsidRPr="00005F17" w14:paraId="656B14AF" w14:textId="77777777" w:rsidTr="00A12184">
        <w:trPr>
          <w:cantSplit/>
        </w:trPr>
        <w:tc>
          <w:tcPr>
            <w:tcW w:w="0" w:type="pct"/>
          </w:tcPr>
          <w:p w14:paraId="656B14AC" w14:textId="77777777" w:rsidR="005B0FDB" w:rsidRPr="00005F17" w:rsidRDefault="005B0FDB" w:rsidP="005B5CDF">
            <w:pPr>
              <w:spacing w:after="0"/>
              <w:mirrorIndents/>
              <w:rPr>
                <w:rFonts w:cs="Segoe UI Light"/>
                <w:b/>
                <w:sz w:val="18"/>
              </w:rPr>
            </w:pPr>
            <w:r w:rsidRPr="00005F17">
              <w:rPr>
                <w:rFonts w:cs="Segoe UI Light"/>
                <w:b/>
                <w:sz w:val="18"/>
              </w:rPr>
              <w:t>Vehicle emissions</w:t>
            </w:r>
          </w:p>
        </w:tc>
        <w:tc>
          <w:tcPr>
            <w:tcW w:w="0" w:type="pct"/>
          </w:tcPr>
          <w:p w14:paraId="656B14AD" w14:textId="77777777" w:rsidR="005B0FDB" w:rsidRDefault="005B0FDB" w:rsidP="005B5CDF">
            <w:pPr>
              <w:spacing w:after="0"/>
              <w:ind w:right="262"/>
              <w:mirrorIndents/>
              <w:rPr>
                <w:rFonts w:cs="Segoe UI Light"/>
                <w:sz w:val="18"/>
              </w:rPr>
            </w:pPr>
            <w:r>
              <w:rPr>
                <w:rFonts w:cs="Segoe UI Light"/>
                <w:sz w:val="18"/>
              </w:rPr>
              <w:t>The preferred option t</w:t>
            </w:r>
            <w:r w:rsidRPr="008F71E7">
              <w:rPr>
                <w:rFonts w:cs="Segoe UI Light"/>
                <w:sz w:val="18"/>
              </w:rPr>
              <w:t>ranslates the Vehicle Emissions Regulations into the proposed Regulations, with small amendments</w:t>
            </w:r>
            <w:r>
              <w:rPr>
                <w:rFonts w:cs="Segoe UI Light"/>
                <w:sz w:val="18"/>
              </w:rPr>
              <w:t xml:space="preserve"> that will likely result in a small reduction in costs for businesses. Most impacts of the preferred option are borne by larger businesses, although smaller businesses may also be impacted. However, there is no material change compared to the status quo for small businesses.</w:t>
            </w:r>
          </w:p>
        </w:tc>
        <w:tc>
          <w:tcPr>
            <w:tcW w:w="0" w:type="pct"/>
          </w:tcPr>
          <w:p w14:paraId="656B14AE" w14:textId="77777777" w:rsidR="005B0FDB" w:rsidRDefault="005B0FDB" w:rsidP="005B5CDF">
            <w:pPr>
              <w:ind w:right="262"/>
              <w:mirrorIndents/>
              <w:rPr>
                <w:rFonts w:cs="Segoe UI Light"/>
                <w:sz w:val="18"/>
              </w:rPr>
            </w:pPr>
            <w:r>
              <w:rPr>
                <w:rFonts w:cs="Segoe UI Light"/>
                <w:sz w:val="18"/>
              </w:rPr>
              <w:t>The proposed Regulations are not expected to impact on competition – no likely impacts on market structure, market entry or particular market participants have been identified.</w:t>
            </w:r>
          </w:p>
        </w:tc>
      </w:tr>
    </w:tbl>
    <w:p w14:paraId="656B14B0" w14:textId="77777777" w:rsidR="000B3873" w:rsidRPr="00A5755B" w:rsidRDefault="000B3873" w:rsidP="000B3873"/>
    <w:p w14:paraId="656B14B1" w14:textId="77777777" w:rsidR="00FE2423" w:rsidRPr="00741D87" w:rsidRDefault="00D23978" w:rsidP="00153F27">
      <w:pPr>
        <w:pStyle w:val="Heading1un-numbered"/>
      </w:pPr>
      <w:bookmarkStart w:id="1941" w:name="_Toc508207691"/>
      <w:bookmarkStart w:id="1942" w:name="_Toc508207692"/>
      <w:bookmarkStart w:id="1943" w:name="_Toc508207693"/>
      <w:bookmarkStart w:id="1944" w:name="_Toc508207703"/>
      <w:bookmarkStart w:id="1945" w:name="_Toc508207715"/>
      <w:bookmarkStart w:id="1946" w:name="_Toc508207724"/>
      <w:bookmarkStart w:id="1947" w:name="_Toc508207733"/>
      <w:bookmarkStart w:id="1948" w:name="_Toc508207745"/>
      <w:bookmarkStart w:id="1949" w:name="_Toc508207763"/>
      <w:bookmarkStart w:id="1950" w:name="_Toc508207781"/>
      <w:bookmarkStart w:id="1951" w:name="_Toc508207799"/>
      <w:bookmarkStart w:id="1952" w:name="_Toc508207817"/>
      <w:bookmarkStart w:id="1953" w:name="_Toc508207835"/>
      <w:bookmarkStart w:id="1954" w:name="_Toc508207853"/>
      <w:bookmarkStart w:id="1955" w:name="_Toc508207862"/>
      <w:bookmarkStart w:id="1956" w:name="_Toc508207880"/>
      <w:bookmarkStart w:id="1957" w:name="_Toc508207890"/>
      <w:bookmarkStart w:id="1958" w:name="_Toc8021212"/>
      <w:bookmarkStart w:id="1959" w:name="_Toc10008816"/>
      <w:bookmarkStart w:id="1960" w:name="_Toc10018339"/>
      <w:bookmarkStart w:id="1961" w:name="_Toc10021446"/>
      <w:bookmarkStart w:id="1962" w:name="_Toc10021860"/>
      <w:bookmarkStart w:id="1963" w:name="_Toc10523759"/>
      <w:bookmarkStart w:id="1964" w:name="_Toc10523850"/>
      <w:bookmarkStart w:id="1965" w:name="_Toc12892344"/>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rsidRPr="00FE2423">
        <w:rPr>
          <w:noProof/>
          <w:color w:val="2B579A"/>
          <w:shd w:val="clear" w:color="auto" w:fill="E6E6E6"/>
          <w:lang w:eastAsia="en-AU"/>
        </w:rPr>
        <mc:AlternateContent>
          <mc:Choice Requires="wps">
            <w:drawing>
              <wp:anchor distT="0" distB="0" distL="114300" distR="114300" simplePos="0" relativeHeight="251658240" behindDoc="0" locked="0" layoutInCell="1" allowOverlap="1" wp14:anchorId="656B1EC6" wp14:editId="656B1EC7">
                <wp:simplePos x="0" y="0"/>
                <wp:positionH relativeFrom="page">
                  <wp:posOffset>-118533</wp:posOffset>
                </wp:positionH>
                <wp:positionV relativeFrom="paragraph">
                  <wp:posOffset>-1294342</wp:posOffset>
                </wp:positionV>
                <wp:extent cx="8186420" cy="15844097"/>
                <wp:effectExtent l="0" t="0" r="24130" b="24765"/>
                <wp:wrapNone/>
                <wp:docPr id="1700302020" name="Rectangle 1700302020"/>
                <wp:cNvGraphicFramePr/>
                <a:graphic xmlns:a="http://schemas.openxmlformats.org/drawingml/2006/main">
                  <a:graphicData uri="http://schemas.microsoft.com/office/word/2010/wordprocessingShape">
                    <wps:wsp>
                      <wps:cNvSpPr/>
                      <wps:spPr bwMode="gray">
                        <a:xfrm>
                          <a:off x="0" y="0"/>
                          <a:ext cx="8186420" cy="15844097"/>
                        </a:xfrm>
                        <a:prstGeom prst="rect">
                          <a:avLst/>
                        </a:prstGeom>
                        <a:solidFill>
                          <a:srgbClr val="00B0F0"/>
                        </a:solidFill>
                        <a:ln w="19050" algn="ctr">
                          <a:solidFill>
                            <a:srgbClr val="62B5E5"/>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2992B" id="Rectangle 1700302020" o:spid="_x0000_s1026" style="position:absolute;margin-left:-9.35pt;margin-top:-101.9pt;width:644.6pt;height:124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" fillcolor="#00b0f0" strokecolor="#62b5e5" strokeweight="1.5pt">
                <v:textbox inset="7pt,7pt,7pt,7pt"/>
                <w10:wrap anchorx="page"/>
              </v:rect>
            </w:pict>
          </mc:Fallback>
        </mc:AlternateContent>
      </w:r>
      <w:r w:rsidR="00FE2423" w:rsidRPr="00741D87">
        <w:rPr>
          <w:noProof/>
          <w:color w:val="2B579A"/>
          <w:sz w:val="20"/>
          <w:shd w:val="clear" w:color="auto" w:fill="E6E6E6"/>
          <w:lang w:eastAsia="en-AU"/>
        </w:rPr>
        <mc:AlternateContent>
          <mc:Choice Requires="wps">
            <w:drawing>
              <wp:anchor distT="0" distB="0" distL="114300" distR="114300" simplePos="0" relativeHeight="251658251" behindDoc="0" locked="0" layoutInCell="1" allowOverlap="1" wp14:anchorId="656B1EC8" wp14:editId="656B1EC9">
                <wp:simplePos x="0" y="0"/>
                <wp:positionH relativeFrom="column">
                  <wp:posOffset>73025</wp:posOffset>
                </wp:positionH>
                <wp:positionV relativeFrom="paragraph">
                  <wp:posOffset>815975</wp:posOffset>
                </wp:positionV>
                <wp:extent cx="6979920" cy="1295400"/>
                <wp:effectExtent l="0" t="0" r="0" b="0"/>
                <wp:wrapNone/>
                <wp:docPr id="643307993" name="Rectangle 643307993"/>
                <wp:cNvGraphicFramePr/>
                <a:graphic xmlns:a="http://schemas.openxmlformats.org/drawingml/2006/main">
                  <a:graphicData uri="http://schemas.microsoft.com/office/word/2010/wordprocessingShape">
                    <wps:wsp>
                      <wps:cNvSpPr/>
                      <wps:spPr bwMode="gray">
                        <a:xfrm>
                          <a:off x="0" y="0"/>
                          <a:ext cx="6979920" cy="1295400"/>
                        </a:xfrm>
                        <a:prstGeom prst="rect">
                          <a:avLst/>
                        </a:prstGeom>
                        <a:solidFill>
                          <a:srgbClr val="00B0F0"/>
                        </a:solidFill>
                        <a:ln w="19050" algn="ctr">
                          <a:noFill/>
                          <a:miter lim="800000"/>
                          <a:headEnd/>
                          <a:tailEnd/>
                        </a:ln>
                      </wps:spPr>
                      <wps:txbx>
                        <w:txbxContent>
                          <w:p w14:paraId="656B2236" w14:textId="77777777" w:rsidR="00E752DE" w:rsidRPr="00CD67C6" w:rsidRDefault="00E752DE" w:rsidP="000E7C5E">
                            <w:pPr>
                              <w:pStyle w:val="Heading1un-numbered"/>
                            </w:pPr>
                            <w:bookmarkStart w:id="1966" w:name="_Toc10018340"/>
                            <w:bookmarkStart w:id="1967" w:name="_Toc10021447"/>
                            <w:bookmarkStart w:id="1968" w:name="_Toc10021861"/>
                            <w:bookmarkStart w:id="1969" w:name="_Toc12892345"/>
                            <w:r w:rsidRPr="00CD67C6">
                              <w:t>PART 3 – IMPLEMENTATION AND EVALUATION</w:t>
                            </w:r>
                            <w:bookmarkEnd w:id="1966"/>
                            <w:bookmarkEnd w:id="1967"/>
                            <w:bookmarkEnd w:id="1968"/>
                            <w:bookmarkEnd w:id="1969"/>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1EC8" id="Rectangle 643307993" o:spid="_x0000_s1080" style="position:absolute;margin-left:5.75pt;margin-top:64.25pt;width:549.6pt;height:1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" fillcolor="#00b0f0" stroked="f" strokeweight="1.5pt">
                <v:textbox inset="7pt,7pt,7pt,7pt">
                  <w:txbxContent>
                    <w:p w14:paraId="656B2236" w14:textId="77777777" w:rsidR="00E752DE" w:rsidRPr="00CD67C6" w:rsidRDefault="00E752DE" w:rsidP="000E7C5E">
                      <w:pPr>
                        <w:pStyle w:val="Heading1un-numbered"/>
                      </w:pPr>
                      <w:bookmarkStart w:id="1970" w:name="_Toc10018340"/>
                      <w:bookmarkStart w:id="1971" w:name="_Toc10021447"/>
                      <w:bookmarkStart w:id="1972" w:name="_Toc10021861"/>
                      <w:bookmarkStart w:id="1973" w:name="_Toc12892345"/>
                      <w:r w:rsidRPr="00CD67C6">
                        <w:t>PART 3 – IMPLEMENTATION AND EVALUATION</w:t>
                      </w:r>
                      <w:bookmarkEnd w:id="1970"/>
                      <w:bookmarkEnd w:id="1971"/>
                      <w:bookmarkEnd w:id="1972"/>
                      <w:bookmarkEnd w:id="1973"/>
                    </w:p>
                  </w:txbxContent>
                </v:textbox>
              </v:rect>
            </w:pict>
          </mc:Fallback>
        </mc:AlternateContent>
      </w:r>
      <w:r w:rsidR="00FE2423" w:rsidRPr="00741D87">
        <w:rPr>
          <w:noProof/>
          <w:color w:val="2B579A"/>
          <w:sz w:val="20"/>
          <w:shd w:val="clear" w:color="auto" w:fill="E6E6E6"/>
          <w:lang w:eastAsia="en-AU"/>
        </w:rPr>
        <mc:AlternateContent>
          <mc:Choice Requires="wps">
            <w:drawing>
              <wp:anchor distT="0" distB="0" distL="114300" distR="114300" simplePos="0" relativeHeight="251658248" behindDoc="0" locked="0" layoutInCell="1" allowOverlap="1" wp14:anchorId="656B1ECA" wp14:editId="656B1ECB">
                <wp:simplePos x="0" y="0"/>
                <wp:positionH relativeFrom="column">
                  <wp:posOffset>73025</wp:posOffset>
                </wp:positionH>
                <wp:positionV relativeFrom="paragraph">
                  <wp:posOffset>815975</wp:posOffset>
                </wp:positionV>
                <wp:extent cx="6979920" cy="1295400"/>
                <wp:effectExtent l="0" t="0" r="0" b="0"/>
                <wp:wrapNone/>
                <wp:docPr id="1565245758" name="Rectangle 1565245758"/>
                <wp:cNvGraphicFramePr/>
                <a:graphic xmlns:a="http://schemas.openxmlformats.org/drawingml/2006/main">
                  <a:graphicData uri="http://schemas.microsoft.com/office/word/2010/wordprocessingShape">
                    <wps:wsp>
                      <wps:cNvSpPr/>
                      <wps:spPr bwMode="gray">
                        <a:xfrm>
                          <a:off x="0" y="0"/>
                          <a:ext cx="6979920" cy="1295400"/>
                        </a:xfrm>
                        <a:prstGeom prst="rect">
                          <a:avLst/>
                        </a:prstGeom>
                        <a:solidFill>
                          <a:srgbClr val="00B0F0"/>
                        </a:solidFill>
                        <a:ln w="19050" algn="ctr">
                          <a:noFill/>
                          <a:miter lim="800000"/>
                          <a:headEnd/>
                          <a:tailEnd/>
                        </a:ln>
                      </wps:spPr>
                      <wps:txbx>
                        <w:txbxContent>
                          <w:p w14:paraId="656B2237" w14:textId="77777777" w:rsidR="00E752DE" w:rsidRPr="00FE2423" w:rsidRDefault="00E752DE" w:rsidP="00FE2423">
                            <w:pPr>
                              <w:tabs>
                                <w:tab w:val="left" w:pos="1560"/>
                              </w:tabs>
                              <w:rPr>
                                <w:sz w:val="60"/>
                                <w:szCs w:val="60"/>
                              </w:rPr>
                            </w:pPr>
                            <w:r>
                              <w:rPr>
                                <w:sz w:val="60"/>
                                <w:szCs w:val="60"/>
                              </w:rPr>
                              <w:t>PART 3 – IMPLEMENTATION AND EVALUATION</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1ECA" id="Rectangle 1565245758" o:spid="_x0000_s1081" style="position:absolute;margin-left:5.75pt;margin-top:64.25pt;width:549.6pt;height:1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" fillcolor="#00b0f0" stroked="f" strokeweight="1.5pt">
                <v:textbox inset="7pt,7pt,7pt,7pt">
                  <w:txbxContent>
                    <w:p w14:paraId="656B2237" w14:textId="77777777" w:rsidR="00E752DE" w:rsidRPr="00FE2423" w:rsidRDefault="00E752DE" w:rsidP="00FE2423">
                      <w:pPr>
                        <w:tabs>
                          <w:tab w:val="left" w:pos="1560"/>
                        </w:tabs>
                        <w:rPr>
                          <w:sz w:val="60"/>
                          <w:szCs w:val="60"/>
                        </w:rPr>
                      </w:pPr>
                      <w:r>
                        <w:rPr>
                          <w:sz w:val="60"/>
                          <w:szCs w:val="60"/>
                        </w:rPr>
                        <w:t>PART 3 – IMPLEMENTATION AND EVALUATION</w:t>
                      </w:r>
                    </w:p>
                  </w:txbxContent>
                </v:textbox>
              </v:rect>
            </w:pict>
          </mc:Fallback>
        </mc:AlternateContent>
      </w:r>
      <w:r w:rsidR="00FE2423" w:rsidRPr="00741D87">
        <w:rPr>
          <w:noProof/>
          <w:color w:val="2B579A"/>
          <w:sz w:val="20"/>
          <w:shd w:val="clear" w:color="auto" w:fill="E6E6E6"/>
          <w:lang w:eastAsia="en-AU"/>
        </w:rPr>
        <mc:AlternateContent>
          <mc:Choice Requires="wps">
            <w:drawing>
              <wp:anchor distT="0" distB="0" distL="114300" distR="114300" simplePos="0" relativeHeight="251658244" behindDoc="0" locked="0" layoutInCell="1" allowOverlap="1" wp14:anchorId="656B1ECC" wp14:editId="656B1ECD">
                <wp:simplePos x="0" y="0"/>
                <wp:positionH relativeFrom="column">
                  <wp:posOffset>73025</wp:posOffset>
                </wp:positionH>
                <wp:positionV relativeFrom="paragraph">
                  <wp:posOffset>815975</wp:posOffset>
                </wp:positionV>
                <wp:extent cx="6979920" cy="1295400"/>
                <wp:effectExtent l="0" t="0" r="0" b="0"/>
                <wp:wrapNone/>
                <wp:docPr id="9" name="Rectangle 9"/>
                <wp:cNvGraphicFramePr/>
                <a:graphic xmlns:a="http://schemas.openxmlformats.org/drawingml/2006/main">
                  <a:graphicData uri="http://schemas.microsoft.com/office/word/2010/wordprocessingShape">
                    <wps:wsp>
                      <wps:cNvSpPr/>
                      <wps:spPr bwMode="gray">
                        <a:xfrm>
                          <a:off x="0" y="0"/>
                          <a:ext cx="6979920" cy="1295400"/>
                        </a:xfrm>
                        <a:prstGeom prst="rect">
                          <a:avLst/>
                        </a:prstGeom>
                        <a:solidFill>
                          <a:srgbClr val="00B0F0"/>
                        </a:solidFill>
                        <a:ln w="19050" algn="ctr">
                          <a:noFill/>
                          <a:miter lim="800000"/>
                          <a:headEnd/>
                          <a:tailEnd/>
                        </a:ln>
                      </wps:spPr>
                      <wps:txbx>
                        <w:txbxContent>
                          <w:p w14:paraId="656B2238" w14:textId="77777777" w:rsidR="00E752DE" w:rsidRPr="00FE2423" w:rsidRDefault="00E752DE" w:rsidP="00FE2423">
                            <w:pPr>
                              <w:tabs>
                                <w:tab w:val="left" w:pos="1560"/>
                              </w:tabs>
                              <w:rPr>
                                <w:sz w:val="60"/>
                                <w:szCs w:val="60"/>
                              </w:rPr>
                            </w:pPr>
                            <w:r>
                              <w:rPr>
                                <w:sz w:val="60"/>
                                <w:szCs w:val="60"/>
                              </w:rPr>
                              <w:t>PART 3 – IMPLEMENTATION AND EVALUATION</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1ECC" id="Rectangle 9" o:spid="_x0000_s1082" style="position:absolute;margin-left:5.75pt;margin-top:64.25pt;width:549.6pt;height:10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" fillcolor="#00b0f0" stroked="f" strokeweight="1.5pt">
                <v:textbox inset="7pt,7pt,7pt,7pt">
                  <w:txbxContent>
                    <w:p w14:paraId="656B2238" w14:textId="77777777" w:rsidR="00E752DE" w:rsidRPr="00FE2423" w:rsidRDefault="00E752DE" w:rsidP="00FE2423">
                      <w:pPr>
                        <w:tabs>
                          <w:tab w:val="left" w:pos="1560"/>
                        </w:tabs>
                        <w:rPr>
                          <w:sz w:val="60"/>
                          <w:szCs w:val="60"/>
                        </w:rPr>
                      </w:pPr>
                      <w:r>
                        <w:rPr>
                          <w:sz w:val="60"/>
                          <w:szCs w:val="60"/>
                        </w:rPr>
                        <w:t>PART 3 – IMPLEMENTATION AND EVALUATION</w:t>
                      </w:r>
                    </w:p>
                  </w:txbxContent>
                </v:textbox>
              </v:rect>
            </w:pict>
          </mc:Fallback>
        </mc:AlternateContent>
      </w:r>
      <w:r w:rsidR="00741D87" w:rsidRPr="00741D87">
        <w:t>PART 3 – IMPLEMENTATION AND EVALUATION</w:t>
      </w:r>
      <w:bookmarkEnd w:id="1958"/>
      <w:bookmarkEnd w:id="1959"/>
      <w:bookmarkEnd w:id="1960"/>
      <w:bookmarkEnd w:id="1961"/>
      <w:bookmarkEnd w:id="1962"/>
      <w:bookmarkEnd w:id="1963"/>
      <w:bookmarkEnd w:id="1964"/>
      <w:bookmarkEnd w:id="1965"/>
      <w:r w:rsidRPr="00D23978">
        <w:rPr>
          <w:noProof/>
          <w:lang w:eastAsia="en-AU"/>
        </w:rPr>
        <w:t xml:space="preserve"> </w:t>
      </w:r>
    </w:p>
    <w:p w14:paraId="656B14B2" w14:textId="77777777" w:rsidR="006F6084" w:rsidRDefault="006F6084" w:rsidP="00153F27">
      <w:pPr>
        <w:pStyle w:val="Heading1"/>
      </w:pPr>
      <w:bookmarkStart w:id="1974" w:name="_Toc10018341"/>
      <w:bookmarkStart w:id="1975" w:name="_Toc10021448"/>
      <w:bookmarkStart w:id="1976" w:name="_Toc10021862"/>
      <w:bookmarkStart w:id="1977" w:name="_Toc12892346"/>
      <w:r>
        <w:t>Implementation plan</w:t>
      </w:r>
      <w:bookmarkEnd w:id="1924"/>
      <w:bookmarkEnd w:id="1925"/>
      <w:bookmarkEnd w:id="1974"/>
      <w:bookmarkEnd w:id="1975"/>
      <w:bookmarkEnd w:id="1976"/>
      <w:bookmarkEnd w:id="1977"/>
    </w:p>
    <w:p w14:paraId="656B14B3" w14:textId="77777777" w:rsidR="006F6084" w:rsidRDefault="006F6084" w:rsidP="00982D63">
      <w:pPr>
        <w:pStyle w:val="Heading2"/>
      </w:pPr>
      <w:r>
        <w:t>Implementing the</w:t>
      </w:r>
      <w:r w:rsidR="00AC64E3">
        <w:t xml:space="preserve"> proposed</w:t>
      </w:r>
      <w:r>
        <w:t xml:space="preserve"> Regulations</w:t>
      </w:r>
    </w:p>
    <w:p w14:paraId="656B14B4" w14:textId="77777777" w:rsidR="006F6084" w:rsidRDefault="006F6084" w:rsidP="006F6084">
      <w:r>
        <w:t xml:space="preserve">This implementation plan outlines: </w:t>
      </w:r>
    </w:p>
    <w:p w14:paraId="656B14B5" w14:textId="77777777" w:rsidR="006F6084" w:rsidRDefault="006F6084" w:rsidP="004A2442">
      <w:pPr>
        <w:pStyle w:val="ListParagraph"/>
        <w:numPr>
          <w:ilvl w:val="0"/>
          <w:numId w:val="35"/>
        </w:numPr>
        <w:spacing w:after="0"/>
      </w:pPr>
      <w:r>
        <w:t xml:space="preserve">What needs to be done? </w:t>
      </w:r>
    </w:p>
    <w:p w14:paraId="656B14B6" w14:textId="77777777" w:rsidR="006F6084" w:rsidRDefault="006F6084" w:rsidP="004A2442">
      <w:pPr>
        <w:pStyle w:val="ListParagraph"/>
        <w:numPr>
          <w:ilvl w:val="0"/>
          <w:numId w:val="35"/>
        </w:numPr>
        <w:spacing w:after="170"/>
      </w:pPr>
      <w:r>
        <w:t xml:space="preserve">When will it be done? </w:t>
      </w:r>
    </w:p>
    <w:p w14:paraId="656B14B7" w14:textId="77777777" w:rsidR="006F6084" w:rsidRDefault="006F6084" w:rsidP="004A2442">
      <w:pPr>
        <w:pStyle w:val="ListParagraph"/>
        <w:numPr>
          <w:ilvl w:val="0"/>
          <w:numId w:val="35"/>
        </w:numPr>
        <w:spacing w:after="170"/>
      </w:pPr>
      <w:r>
        <w:t xml:space="preserve">Who will be doing it? </w:t>
      </w:r>
    </w:p>
    <w:p w14:paraId="656B14B8" w14:textId="77777777" w:rsidR="006F6084" w:rsidRDefault="006F6084" w:rsidP="004A2442">
      <w:pPr>
        <w:pStyle w:val="ListParagraph"/>
        <w:numPr>
          <w:ilvl w:val="0"/>
          <w:numId w:val="35"/>
        </w:numPr>
        <w:spacing w:after="170"/>
      </w:pPr>
      <w:r>
        <w:t>Who will monitor implementation?</w:t>
      </w:r>
    </w:p>
    <w:p w14:paraId="656B14B9" w14:textId="77777777" w:rsidR="006F6084" w:rsidRDefault="006F6084" w:rsidP="00982D63">
      <w:pPr>
        <w:pStyle w:val="Heading2"/>
      </w:pPr>
      <w:r>
        <w:t>EPA modernisation and legislative reform</w:t>
      </w:r>
    </w:p>
    <w:p w14:paraId="656B14BA" w14:textId="77777777" w:rsidR="00A717E7" w:rsidRDefault="006F6084" w:rsidP="00A717E7">
      <w:r>
        <w:t>As noted earlier in this RIS, t</w:t>
      </w:r>
      <w:r w:rsidRPr="0011623E">
        <w:t xml:space="preserve">he Victorian Government is undertaking a once-in-a-generation transformation of </w:t>
      </w:r>
      <w:r w:rsidR="001B4CE3">
        <w:t>EPA</w:t>
      </w:r>
      <w:r w:rsidRPr="0011623E">
        <w:t xml:space="preserve"> to equip it for the future. A significant </w:t>
      </w:r>
      <w:r>
        <w:t xml:space="preserve">organisational transformation </w:t>
      </w:r>
      <w:r w:rsidRPr="0011623E">
        <w:t xml:space="preserve">program is currently underway within </w:t>
      </w:r>
      <w:r w:rsidR="001B4CE3">
        <w:t>EPA</w:t>
      </w:r>
      <w:r>
        <w:t xml:space="preserve"> to transform </w:t>
      </w:r>
      <w:r w:rsidR="001B4CE3">
        <w:t>EPA</w:t>
      </w:r>
      <w:r>
        <w:t xml:space="preserve"> to a flexible and adaptable, knowledge based, world-class regulator and influential authority. </w:t>
      </w:r>
      <w:r w:rsidRPr="00ED173F">
        <w:t xml:space="preserve">Implementation of the </w:t>
      </w:r>
      <w:r w:rsidR="000D139E">
        <w:t>new EP legislation</w:t>
      </w:r>
      <w:r w:rsidRPr="00ED173F">
        <w:t xml:space="preserve"> and proposed Regulations will form part of this </w:t>
      </w:r>
      <w:r w:rsidR="00A717E7" w:rsidRPr="00ED173F">
        <w:t xml:space="preserve">transformation. </w:t>
      </w:r>
    </w:p>
    <w:p w14:paraId="656B14BB" w14:textId="77777777" w:rsidR="006F6084" w:rsidRDefault="00A717E7" w:rsidP="00A717E7">
      <w:r>
        <w:t xml:space="preserve">Implementation of the new EP legislation, </w:t>
      </w:r>
      <w:r w:rsidR="00441907">
        <w:t xml:space="preserve">proposed Regulations </w:t>
      </w:r>
      <w:r>
        <w:t>and ERS will occur concurrently and in an integrated way where appropriate.</w:t>
      </w:r>
      <w:r>
        <w:rPr>
          <w:rStyle w:val="FootnoteReference"/>
        </w:rPr>
        <w:footnoteReference w:id="326"/>
      </w:r>
      <w:r>
        <w:t xml:space="preserve"> It will be important to </w:t>
      </w:r>
      <w:r w:rsidR="006F6084">
        <w:t xml:space="preserve">manage the implementation program such that all stakeholders (including </w:t>
      </w:r>
      <w:r w:rsidR="001B4CE3">
        <w:t>EPA</w:t>
      </w:r>
      <w:r w:rsidR="006F6084">
        <w:t xml:space="preserve"> itself) have a complete picture of the new arrangements, including roles, obligations, responsibilities and duties. </w:t>
      </w:r>
    </w:p>
    <w:p w14:paraId="656B14BC" w14:textId="77777777" w:rsidR="006F6084" w:rsidRDefault="006F6084" w:rsidP="006F6084">
      <w:r>
        <w:t>This implementation plan identifies what tasks need to be done for the implementation of the proposed Regulations and how each task is being addressed as part of the broader transformation project.</w:t>
      </w:r>
    </w:p>
    <w:p w14:paraId="656B14BD" w14:textId="77777777" w:rsidR="006F6084" w:rsidRDefault="006F6084" w:rsidP="00982D63">
      <w:pPr>
        <w:pStyle w:val="Heading2"/>
      </w:pPr>
      <w:r>
        <w:t>What needs to be done and when will it be done?</w:t>
      </w:r>
    </w:p>
    <w:p w14:paraId="656B14BE" w14:textId="77777777" w:rsidR="006F6084" w:rsidRDefault="006F6084" w:rsidP="006F6084">
      <w:r>
        <w:t xml:space="preserve">This section provides an overview of the tasks needed to implement </w:t>
      </w:r>
      <w:r w:rsidR="00AC64E3">
        <w:t>proposed Regulations</w:t>
      </w:r>
      <w:r>
        <w:t xml:space="preserve">, how this is being addressed by </w:t>
      </w:r>
      <w:r w:rsidR="001B4CE3">
        <w:t>EPA</w:t>
      </w:r>
      <w:r>
        <w:t xml:space="preserve">, and the expected timing for completion. Tasks are described in </w:t>
      </w:r>
      <w:r w:rsidR="00204BE2">
        <w:rPr>
          <w:color w:val="2B579A"/>
          <w:shd w:val="clear" w:color="auto" w:fill="E6E6E6"/>
        </w:rPr>
        <w:fldChar w:fldCharType="begin"/>
      </w:r>
      <w:r w:rsidR="00204BE2">
        <w:instrText xml:space="preserve"> REF _Ref307936 \h </w:instrText>
      </w:r>
      <w:r w:rsidR="00204BE2">
        <w:rPr>
          <w:color w:val="2B579A"/>
          <w:shd w:val="clear" w:color="auto" w:fill="E6E6E6"/>
        </w:rPr>
      </w:r>
      <w:r w:rsidR="00204BE2">
        <w:rPr>
          <w:color w:val="2B579A"/>
          <w:shd w:val="clear" w:color="auto" w:fill="E6E6E6"/>
        </w:rPr>
        <w:fldChar w:fldCharType="separate"/>
      </w:r>
      <w:r w:rsidR="00B11C1E">
        <w:t xml:space="preserve">Table </w:t>
      </w:r>
      <w:r w:rsidR="00B11C1E">
        <w:rPr>
          <w:noProof/>
        </w:rPr>
        <w:t>18</w:t>
      </w:r>
      <w:r w:rsidR="00B11C1E">
        <w:noBreakHyphen/>
      </w:r>
      <w:r w:rsidR="00B11C1E">
        <w:rPr>
          <w:noProof/>
        </w:rPr>
        <w:t>1</w:t>
      </w:r>
      <w:r w:rsidR="00204BE2">
        <w:rPr>
          <w:color w:val="2B579A"/>
          <w:shd w:val="clear" w:color="auto" w:fill="E6E6E6"/>
        </w:rPr>
        <w:fldChar w:fldCharType="end"/>
      </w:r>
      <w:r>
        <w:t xml:space="preserve">. Unless otherwise stated, responsibility for the actions lies with </w:t>
      </w:r>
      <w:r w:rsidR="001B4CE3">
        <w:t>EPA</w:t>
      </w:r>
      <w:r>
        <w:t>.</w:t>
      </w:r>
    </w:p>
    <w:p w14:paraId="656B14BF" w14:textId="77777777" w:rsidR="00A0705A" w:rsidRDefault="006F6084" w:rsidP="00A0705A">
      <w:r>
        <w:t xml:space="preserve">In some areas implementation arrangements are well developed; in others </w:t>
      </w:r>
      <w:r w:rsidR="00A0705A">
        <w:t>further detail will need to be developed.</w:t>
      </w:r>
    </w:p>
    <w:p w14:paraId="656B14C0" w14:textId="77777777" w:rsidR="006F6084" w:rsidRPr="005B6713" w:rsidRDefault="006F6084" w:rsidP="006F6084">
      <w:r>
        <w:t xml:space="preserve">More information on the stakeholder engagement and communications plan is provided below the table. </w:t>
      </w:r>
    </w:p>
    <w:p w14:paraId="656B14C1" w14:textId="77777777" w:rsidR="006F6084" w:rsidRDefault="006F6084" w:rsidP="006F6084">
      <w:pPr>
        <w:pStyle w:val="Caption"/>
      </w:pPr>
      <w:bookmarkStart w:id="1978" w:name="_Ref307936"/>
      <w:bookmarkStart w:id="1979" w:name="_Ref536693032"/>
      <w:r>
        <w:t xml:space="preserve">Table </w:t>
      </w:r>
      <w:r w:rsidR="00DC24EE">
        <w:rPr>
          <w:color w:val="2B579A"/>
          <w:shd w:val="clear" w:color="auto" w:fill="E6E6E6"/>
        </w:rPr>
        <w:fldChar w:fldCharType="begin"/>
      </w:r>
      <w:r w:rsidR="00DC24EE">
        <w:instrText xml:space="preserve"> STYLEREF 1 \s </w:instrText>
      </w:r>
      <w:r w:rsidR="00DC24EE">
        <w:rPr>
          <w:color w:val="2B579A"/>
          <w:shd w:val="clear" w:color="auto" w:fill="E6E6E6"/>
        </w:rPr>
        <w:fldChar w:fldCharType="separate"/>
      </w:r>
      <w:r w:rsidR="00B11C1E">
        <w:rPr>
          <w:noProof/>
        </w:rPr>
        <w:t>18</w:t>
      </w:r>
      <w:r w:rsidR="00DC24EE">
        <w:rPr>
          <w:color w:val="2B579A"/>
          <w:shd w:val="clear" w:color="auto" w:fill="E6E6E6"/>
        </w:rPr>
        <w:fldChar w:fldCharType="end"/>
      </w:r>
      <w:r w:rsidR="00DC24EE">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1</w:t>
      </w:r>
      <w:r w:rsidR="00997CFA">
        <w:rPr>
          <w:color w:val="2B579A"/>
          <w:shd w:val="clear" w:color="auto" w:fill="E6E6E6"/>
        </w:rPr>
        <w:fldChar w:fldCharType="end"/>
      </w:r>
      <w:bookmarkEnd w:id="1978"/>
      <w:bookmarkEnd w:id="1979"/>
      <w:r>
        <w:t xml:space="preserve"> </w:t>
      </w:r>
      <w:r w:rsidR="00204BE2">
        <w:t>Tasks and timing</w:t>
      </w:r>
    </w:p>
    <w:tbl>
      <w:tblPr>
        <w:tblStyle w:val="Deloittetable"/>
        <w:tblW w:w="5000" w:type="pct"/>
        <w:tblLayout w:type="fixed"/>
        <w:tblLook w:val="04A0" w:firstRow="1" w:lastRow="0" w:firstColumn="1" w:lastColumn="0" w:noHBand="0" w:noVBand="1"/>
      </w:tblPr>
      <w:tblGrid>
        <w:gridCol w:w="3118"/>
        <w:gridCol w:w="3118"/>
        <w:gridCol w:w="3119"/>
      </w:tblGrid>
      <w:tr w:rsidR="006F6084" w14:paraId="656B14C6" w14:textId="77777777" w:rsidTr="00CB1191">
        <w:trPr>
          <w:cnfStyle w:val="100000000000" w:firstRow="1" w:lastRow="0" w:firstColumn="0" w:lastColumn="0" w:oddVBand="0" w:evenVBand="0" w:oddHBand="0" w:evenHBand="0" w:firstRowFirstColumn="0" w:firstRowLastColumn="0" w:lastRowFirstColumn="0" w:lastRowLastColumn="0"/>
          <w:trHeight w:val="585"/>
          <w:tblHeader/>
        </w:trPr>
        <w:tc>
          <w:tcPr>
            <w:tcW w:w="3118" w:type="dxa"/>
          </w:tcPr>
          <w:p w14:paraId="656B14C2" w14:textId="77777777" w:rsidR="006F6084" w:rsidRPr="00D85A7F" w:rsidRDefault="006F6084" w:rsidP="00172B68">
            <w:pPr>
              <w:rPr>
                <w:rFonts w:cs="Segoe UI Light"/>
                <w:b/>
                <w:sz w:val="18"/>
              </w:rPr>
            </w:pPr>
            <w:r w:rsidRPr="00D85A7F">
              <w:rPr>
                <w:rFonts w:cs="Segoe UI Light"/>
                <w:b/>
                <w:sz w:val="18"/>
              </w:rPr>
              <w:t>Task</w:t>
            </w:r>
          </w:p>
        </w:tc>
        <w:tc>
          <w:tcPr>
            <w:tcW w:w="3118" w:type="dxa"/>
          </w:tcPr>
          <w:p w14:paraId="656B14C3" w14:textId="77777777" w:rsidR="006F6084" w:rsidRPr="00D85A7F" w:rsidRDefault="006F6084" w:rsidP="00172B68">
            <w:pPr>
              <w:spacing w:after="0"/>
              <w:rPr>
                <w:rFonts w:cs="Segoe UI Light"/>
                <w:b/>
                <w:sz w:val="18"/>
              </w:rPr>
            </w:pPr>
            <w:r w:rsidRPr="00D85A7F">
              <w:rPr>
                <w:rFonts w:cs="Segoe UI Light"/>
                <w:b/>
                <w:sz w:val="18"/>
              </w:rPr>
              <w:t xml:space="preserve">EPA transformation project </w:t>
            </w:r>
          </w:p>
          <w:p w14:paraId="656B14C4" w14:textId="77777777" w:rsidR="006F6084" w:rsidRPr="00D85A7F" w:rsidRDefault="006F6084" w:rsidP="00172B68">
            <w:pPr>
              <w:spacing w:after="0"/>
              <w:rPr>
                <w:rFonts w:cs="Segoe UI Light"/>
                <w:b/>
                <w:sz w:val="18"/>
              </w:rPr>
            </w:pPr>
            <w:r w:rsidRPr="00D85A7F">
              <w:rPr>
                <w:rFonts w:cs="Segoe UI Light"/>
                <w:b/>
                <w:sz w:val="18"/>
              </w:rPr>
              <w:t>stream and project</w:t>
            </w:r>
          </w:p>
        </w:tc>
        <w:tc>
          <w:tcPr>
            <w:tcW w:w="3119" w:type="dxa"/>
          </w:tcPr>
          <w:p w14:paraId="656B14C5" w14:textId="77777777" w:rsidR="006F6084" w:rsidRPr="00D85A7F" w:rsidRDefault="006F6084" w:rsidP="00172B68">
            <w:pPr>
              <w:rPr>
                <w:rFonts w:cs="Segoe UI Light"/>
                <w:b/>
                <w:sz w:val="18"/>
              </w:rPr>
            </w:pPr>
            <w:r w:rsidRPr="00D85A7F">
              <w:rPr>
                <w:rFonts w:cs="Segoe UI Light"/>
                <w:b/>
                <w:sz w:val="18"/>
              </w:rPr>
              <w:t>Timing</w:t>
            </w:r>
          </w:p>
        </w:tc>
      </w:tr>
      <w:tr w:rsidR="001F1337" w14:paraId="656B14CA" w14:textId="77777777" w:rsidTr="00CB1191">
        <w:trPr>
          <w:trHeight w:val="523"/>
        </w:trPr>
        <w:tc>
          <w:tcPr>
            <w:tcW w:w="3118" w:type="dxa"/>
          </w:tcPr>
          <w:p w14:paraId="656B14C7" w14:textId="77777777" w:rsidR="001F1337" w:rsidRPr="00040A06" w:rsidRDefault="001F1337" w:rsidP="001F1337">
            <w:pPr>
              <w:ind w:right="284"/>
              <w:rPr>
                <w:sz w:val="18"/>
                <w:lang w:val="en-GB"/>
              </w:rPr>
            </w:pPr>
            <w:r w:rsidRPr="00040A06">
              <w:rPr>
                <w:sz w:val="18"/>
                <w:lang w:val="en-GB"/>
              </w:rPr>
              <w:t>Public consultation on RIS</w:t>
            </w:r>
          </w:p>
        </w:tc>
        <w:tc>
          <w:tcPr>
            <w:tcW w:w="3118" w:type="dxa"/>
          </w:tcPr>
          <w:p w14:paraId="656B14C8" w14:textId="77777777" w:rsidR="001F1337" w:rsidRPr="00040A06" w:rsidRDefault="001F1337" w:rsidP="001F1337">
            <w:pPr>
              <w:rPr>
                <w:sz w:val="18"/>
                <w:lang w:val="en-GB"/>
              </w:rPr>
            </w:pPr>
            <w:r w:rsidRPr="00040A06">
              <w:rPr>
                <w:sz w:val="18"/>
                <w:lang w:val="en-GB"/>
              </w:rPr>
              <w:t>This process is outlined in section 1.2 of this RIS</w:t>
            </w:r>
            <w:r w:rsidR="00DC7A63">
              <w:rPr>
                <w:sz w:val="18"/>
                <w:lang w:val="en-GB"/>
              </w:rPr>
              <w:t xml:space="preserve">. </w:t>
            </w:r>
          </w:p>
        </w:tc>
        <w:tc>
          <w:tcPr>
            <w:tcW w:w="3119" w:type="dxa"/>
          </w:tcPr>
          <w:p w14:paraId="656B14C9" w14:textId="258E00E6" w:rsidR="001F1337" w:rsidRPr="00040A06" w:rsidRDefault="001F1337" w:rsidP="0092021F">
            <w:pPr>
              <w:pStyle w:val="BodyText"/>
              <w:rPr>
                <w:sz w:val="18"/>
                <w:lang w:val="en-GB"/>
              </w:rPr>
            </w:pPr>
            <w:r>
              <w:rPr>
                <w:sz w:val="18"/>
                <w:lang w:val="en-GB"/>
              </w:rPr>
              <w:t xml:space="preserve">The </w:t>
            </w:r>
            <w:r w:rsidRPr="002B716C">
              <w:rPr>
                <w:sz w:val="18"/>
                <w:lang w:val="en-GB"/>
              </w:rPr>
              <w:t xml:space="preserve">proposed Regulations and this RIS will be released for a </w:t>
            </w:r>
            <w:r w:rsidR="00C074CA" w:rsidRPr="002B716C">
              <w:rPr>
                <w:sz w:val="18"/>
                <w:lang w:val="en-GB"/>
              </w:rPr>
              <w:t>6</w:t>
            </w:r>
            <w:r w:rsidRPr="002B716C">
              <w:rPr>
                <w:sz w:val="18"/>
                <w:lang w:val="en-GB"/>
              </w:rPr>
              <w:t>0</w:t>
            </w:r>
            <w:r w:rsidR="002B716C" w:rsidRPr="002B716C">
              <w:rPr>
                <w:sz w:val="18"/>
                <w:lang w:val="en-GB"/>
              </w:rPr>
              <w:t xml:space="preserve"> </w:t>
            </w:r>
            <w:r w:rsidRPr="002B716C">
              <w:rPr>
                <w:sz w:val="18"/>
                <w:lang w:val="en-GB"/>
              </w:rPr>
              <w:t>day period.</w:t>
            </w:r>
            <w:r w:rsidR="002B716C" w:rsidRPr="002B716C">
              <w:rPr>
                <w:sz w:val="18"/>
                <w:lang w:val="en-GB"/>
              </w:rPr>
              <w:t xml:space="preserve"> </w:t>
            </w:r>
            <w:r w:rsidR="002B716C" w:rsidRPr="006B41FE">
              <w:rPr>
                <w:sz w:val="18"/>
                <w:lang w:eastAsia="en-AU"/>
              </w:rPr>
              <w:t xml:space="preserve">The closing date </w:t>
            </w:r>
            <w:r w:rsidR="002B716C" w:rsidRPr="0014751B">
              <w:rPr>
                <w:sz w:val="18"/>
                <w:lang w:eastAsia="en-AU"/>
              </w:rPr>
              <w:t xml:space="preserve">for submissions is </w:t>
            </w:r>
            <w:r w:rsidR="0092021F" w:rsidRPr="0014751B">
              <w:rPr>
                <w:sz w:val="18"/>
                <w:lang w:eastAsia="en-AU"/>
              </w:rPr>
              <w:t>31</w:t>
            </w:r>
            <w:r w:rsidR="002B716C" w:rsidRPr="0014751B">
              <w:rPr>
                <w:sz w:val="18"/>
                <w:lang w:eastAsia="en-AU"/>
              </w:rPr>
              <w:t xml:space="preserve"> October 2019.</w:t>
            </w:r>
            <w:r w:rsidR="002B716C">
              <w:rPr>
                <w:lang w:eastAsia="en-AU"/>
              </w:rPr>
              <w:t xml:space="preserve"> </w:t>
            </w:r>
          </w:p>
        </w:tc>
      </w:tr>
      <w:tr w:rsidR="001F1337" w14:paraId="656B14D0" w14:textId="77777777" w:rsidTr="00CB1191">
        <w:trPr>
          <w:trHeight w:val="523"/>
        </w:trPr>
        <w:tc>
          <w:tcPr>
            <w:tcW w:w="3118" w:type="dxa"/>
          </w:tcPr>
          <w:p w14:paraId="656B14CB" w14:textId="77777777" w:rsidR="001F1337" w:rsidRPr="00D85A7F" w:rsidRDefault="001F1337" w:rsidP="001F1337">
            <w:pPr>
              <w:spacing w:after="0"/>
              <w:ind w:right="284"/>
              <w:rPr>
                <w:rFonts w:cs="Segoe UI Light"/>
                <w:sz w:val="18"/>
              </w:rPr>
            </w:pPr>
            <w:r w:rsidRPr="00D85A7F">
              <w:rPr>
                <w:rFonts w:cs="Segoe UI Light"/>
                <w:sz w:val="18"/>
              </w:rPr>
              <w:t xml:space="preserve">Develop and deliver high level education and information campaign to promote industry and public awareness of the new legislative and regulatory framework and inform duty holders and the broader public that they may have new obligations and duties. </w:t>
            </w:r>
          </w:p>
        </w:tc>
        <w:tc>
          <w:tcPr>
            <w:tcW w:w="3118" w:type="dxa"/>
          </w:tcPr>
          <w:p w14:paraId="656B14CC" w14:textId="77777777" w:rsidR="001F1337" w:rsidRPr="00D85A7F" w:rsidRDefault="001F1337" w:rsidP="001F1337">
            <w:pPr>
              <w:spacing w:after="0"/>
              <w:ind w:right="284"/>
              <w:rPr>
                <w:rFonts w:cs="Segoe UI Light"/>
                <w:i/>
                <w:sz w:val="18"/>
              </w:rPr>
            </w:pPr>
            <w:r w:rsidRPr="00D85A7F">
              <w:rPr>
                <w:rFonts w:cs="Segoe UI Light"/>
                <w:i/>
                <w:sz w:val="18"/>
              </w:rPr>
              <w:t xml:space="preserve">Improving communications and engagement: </w:t>
            </w:r>
          </w:p>
          <w:p w14:paraId="656B14CD" w14:textId="77777777" w:rsidR="001F1337" w:rsidRPr="00D85A7F" w:rsidRDefault="001F1337" w:rsidP="008059FB">
            <w:pPr>
              <w:pStyle w:val="ListParagraph"/>
              <w:numPr>
                <w:ilvl w:val="0"/>
                <w:numId w:val="36"/>
              </w:numPr>
              <w:spacing w:after="0"/>
              <w:ind w:left="284" w:right="284" w:hanging="284"/>
              <w:rPr>
                <w:rFonts w:cs="Segoe UI Light"/>
                <w:sz w:val="18"/>
              </w:rPr>
            </w:pPr>
            <w:r w:rsidRPr="00D85A7F">
              <w:rPr>
                <w:rFonts w:cs="Segoe UI Light"/>
                <w:sz w:val="18"/>
              </w:rPr>
              <w:t>Stakeholder and duty</w:t>
            </w:r>
            <w:r>
              <w:rPr>
                <w:rFonts w:cs="Segoe UI Light"/>
                <w:sz w:val="18"/>
              </w:rPr>
              <w:t xml:space="preserve"> </w:t>
            </w:r>
            <w:r w:rsidRPr="00D85A7F">
              <w:rPr>
                <w:rFonts w:cs="Segoe UI Light"/>
                <w:sz w:val="18"/>
              </w:rPr>
              <w:t>holder communication and transition engagement.</w:t>
            </w:r>
            <w:r>
              <w:rPr>
                <w:rFonts w:cs="Segoe UI Light"/>
                <w:sz w:val="18"/>
              </w:rPr>
              <w:t xml:space="preserve"> Stakeholders include </w:t>
            </w:r>
            <w:r w:rsidR="002D3FB9">
              <w:rPr>
                <w:rFonts w:cs="Segoe UI Light"/>
                <w:sz w:val="18"/>
              </w:rPr>
              <w:t xml:space="preserve">duty holders, </w:t>
            </w:r>
            <w:r>
              <w:rPr>
                <w:rFonts w:cs="Segoe UI Light"/>
                <w:sz w:val="18"/>
              </w:rPr>
              <w:t>government departments, agencies, regulators, community groups (such as environment groups) that may have regulatory roles, or may be impacted by the new legislative framework, or may represent members who are impacted.</w:t>
            </w:r>
          </w:p>
        </w:tc>
        <w:tc>
          <w:tcPr>
            <w:tcW w:w="3119" w:type="dxa"/>
          </w:tcPr>
          <w:p w14:paraId="656B14CE" w14:textId="77777777" w:rsidR="00A0705A" w:rsidRPr="00A0705A" w:rsidRDefault="00A0705A" w:rsidP="00A0705A">
            <w:pPr>
              <w:ind w:right="284"/>
              <w:rPr>
                <w:sz w:val="18"/>
                <w:lang w:val="en-GB"/>
              </w:rPr>
            </w:pPr>
            <w:r w:rsidRPr="00A0705A">
              <w:rPr>
                <w:sz w:val="18"/>
                <w:lang w:val="en-GB"/>
              </w:rPr>
              <w:t xml:space="preserve">Planning for the broader education and information campaign has been completed, </w:t>
            </w:r>
            <w:r>
              <w:rPr>
                <w:sz w:val="18"/>
                <w:lang w:val="en-GB"/>
              </w:rPr>
              <w:t xml:space="preserve">and activities have commenced. </w:t>
            </w:r>
          </w:p>
          <w:p w14:paraId="656B14CF" w14:textId="77777777" w:rsidR="001F1337" w:rsidRPr="00D85A7F" w:rsidRDefault="00A0705A" w:rsidP="001F1337">
            <w:pPr>
              <w:spacing w:after="0"/>
              <w:ind w:right="284"/>
              <w:rPr>
                <w:rFonts w:cs="Segoe UI Light"/>
                <w:sz w:val="18"/>
              </w:rPr>
            </w:pPr>
            <w:bookmarkStart w:id="1980" w:name="_Hlk10294262"/>
            <w:r w:rsidRPr="00A0705A">
              <w:rPr>
                <w:sz w:val="18"/>
                <w:lang w:val="en-GB"/>
              </w:rPr>
              <w:t xml:space="preserve">Upon making of the </w:t>
            </w:r>
            <w:r w:rsidR="00572F04">
              <w:rPr>
                <w:sz w:val="18"/>
                <w:lang w:val="en-GB"/>
              </w:rPr>
              <w:t>R</w:t>
            </w:r>
            <w:r w:rsidRPr="00A0705A">
              <w:rPr>
                <w:sz w:val="18"/>
                <w:lang w:val="en-GB"/>
              </w:rPr>
              <w:t xml:space="preserve">egulations (anticipated April 2020) there will be specific education and information rolled out to support duty holders, with the </w:t>
            </w:r>
            <w:r w:rsidR="00CE18A5">
              <w:rPr>
                <w:sz w:val="18"/>
                <w:lang w:val="en-GB"/>
              </w:rPr>
              <w:t xml:space="preserve">education </w:t>
            </w:r>
            <w:r w:rsidRPr="00A0705A">
              <w:rPr>
                <w:sz w:val="18"/>
                <w:lang w:val="en-GB"/>
              </w:rPr>
              <w:t>campaigns likely to continue throughout 2020</w:t>
            </w:r>
            <w:r>
              <w:rPr>
                <w:sz w:val="18"/>
                <w:lang w:val="en-GB"/>
              </w:rPr>
              <w:t>.</w:t>
            </w:r>
            <w:bookmarkEnd w:id="1980"/>
          </w:p>
        </w:tc>
      </w:tr>
      <w:tr w:rsidR="00A0705A" w14:paraId="656B14D6" w14:textId="77777777" w:rsidTr="00CB1191">
        <w:trPr>
          <w:trHeight w:val="523"/>
        </w:trPr>
        <w:tc>
          <w:tcPr>
            <w:tcW w:w="3118" w:type="dxa"/>
          </w:tcPr>
          <w:p w14:paraId="656B14D1" w14:textId="77777777" w:rsidR="00A0705A" w:rsidRPr="00D85A7F" w:rsidRDefault="00A0705A" w:rsidP="008059FB">
            <w:pPr>
              <w:spacing w:after="0"/>
              <w:ind w:right="284"/>
              <w:rPr>
                <w:rFonts w:cs="Segoe UI Light"/>
                <w:sz w:val="18"/>
              </w:rPr>
            </w:pPr>
            <w:r w:rsidRPr="00D85A7F">
              <w:rPr>
                <w:rFonts w:cs="Segoe UI Light"/>
                <w:sz w:val="18"/>
              </w:rPr>
              <w:t xml:space="preserve">Prepare and send communication informing stakeholders and Government Departments that </w:t>
            </w:r>
            <w:r>
              <w:rPr>
                <w:rFonts w:cs="Segoe UI Light"/>
                <w:sz w:val="18"/>
              </w:rPr>
              <w:t>proposed Regulations</w:t>
            </w:r>
            <w:r w:rsidRPr="00D85A7F">
              <w:rPr>
                <w:rFonts w:cs="Segoe UI Light"/>
                <w:sz w:val="18"/>
              </w:rPr>
              <w:t xml:space="preserve"> </w:t>
            </w:r>
            <w:r w:rsidR="00F375B9">
              <w:rPr>
                <w:rFonts w:cs="Segoe UI Light"/>
                <w:sz w:val="18"/>
              </w:rPr>
              <w:t xml:space="preserve">have </w:t>
            </w:r>
            <w:r w:rsidRPr="00D85A7F">
              <w:rPr>
                <w:rFonts w:cs="Segoe UI Light"/>
                <w:sz w:val="18"/>
              </w:rPr>
              <w:t>gone “live”.</w:t>
            </w:r>
            <w:r w:rsidR="00EF47F7">
              <w:rPr>
                <w:rFonts w:cs="Segoe UI Light"/>
                <w:sz w:val="18"/>
              </w:rPr>
              <w:t xml:space="preserve"> E</w:t>
            </w:r>
            <w:r w:rsidR="00EF47F7" w:rsidRPr="00D85A7F">
              <w:rPr>
                <w:rFonts w:cs="Segoe UI Light"/>
                <w:sz w:val="18"/>
              </w:rPr>
              <w:t>ducation and information campaigns to be developed and delivered to support duty holder understanding of their duties and obligations under the new Regulations.</w:t>
            </w:r>
          </w:p>
        </w:tc>
        <w:tc>
          <w:tcPr>
            <w:tcW w:w="3118" w:type="dxa"/>
          </w:tcPr>
          <w:p w14:paraId="656B14D2" w14:textId="77777777" w:rsidR="00A0705A" w:rsidRPr="00D85A7F" w:rsidRDefault="00A0705A" w:rsidP="00A0705A">
            <w:pPr>
              <w:spacing w:after="0"/>
              <w:ind w:right="284"/>
              <w:rPr>
                <w:rFonts w:cs="Segoe UI Light"/>
                <w:i/>
                <w:color w:val="000000" w:themeColor="text1"/>
                <w:sz w:val="18"/>
                <w:lang w:val="en-US"/>
              </w:rPr>
            </w:pPr>
            <w:r w:rsidRPr="00D85A7F">
              <w:rPr>
                <w:rFonts w:cs="Segoe UI Light"/>
                <w:i/>
                <w:color w:val="000000" w:themeColor="text1"/>
                <w:sz w:val="18"/>
                <w:lang w:val="en-US"/>
              </w:rPr>
              <w:t xml:space="preserve">Improving communications and engagement: </w:t>
            </w:r>
          </w:p>
          <w:p w14:paraId="656B14D3" w14:textId="77777777" w:rsidR="00A0705A" w:rsidRPr="00D85A7F" w:rsidRDefault="00A0705A">
            <w:pPr>
              <w:pStyle w:val="ListParagraph"/>
              <w:numPr>
                <w:ilvl w:val="0"/>
                <w:numId w:val="36"/>
              </w:numPr>
              <w:spacing w:after="0"/>
              <w:ind w:left="284" w:right="284" w:hanging="284"/>
              <w:rPr>
                <w:rFonts w:cs="Segoe UI Light"/>
                <w:sz w:val="18"/>
              </w:rPr>
            </w:pPr>
            <w:r w:rsidRPr="00D85A7F">
              <w:rPr>
                <w:rFonts w:cs="Segoe UI Light"/>
                <w:sz w:val="18"/>
              </w:rPr>
              <w:t>Stakeholder and duty</w:t>
            </w:r>
            <w:r>
              <w:rPr>
                <w:rFonts w:cs="Segoe UI Light"/>
                <w:sz w:val="18"/>
              </w:rPr>
              <w:t xml:space="preserve"> </w:t>
            </w:r>
            <w:r w:rsidRPr="00D85A7F">
              <w:rPr>
                <w:rFonts w:cs="Segoe UI Light"/>
                <w:sz w:val="18"/>
              </w:rPr>
              <w:t>holder communication and transition engagement</w:t>
            </w:r>
          </w:p>
        </w:tc>
        <w:tc>
          <w:tcPr>
            <w:tcW w:w="3119" w:type="dxa"/>
          </w:tcPr>
          <w:p w14:paraId="656B14D4" w14:textId="22E2A86A" w:rsidR="00EF47F7" w:rsidRPr="00153F27" w:rsidRDefault="00A0705A" w:rsidP="00D66FCE">
            <w:pPr>
              <w:ind w:right="284"/>
              <w:rPr>
                <w:sz w:val="18"/>
                <w:lang w:val="en-GB"/>
              </w:rPr>
            </w:pPr>
            <w:r w:rsidRPr="00153F27">
              <w:rPr>
                <w:sz w:val="18"/>
                <w:lang w:val="en-GB"/>
              </w:rPr>
              <w:t xml:space="preserve">Upon making of the </w:t>
            </w:r>
            <w:r w:rsidR="00572F04" w:rsidRPr="00153F27">
              <w:rPr>
                <w:sz w:val="18"/>
                <w:lang w:val="en-GB"/>
              </w:rPr>
              <w:t>R</w:t>
            </w:r>
            <w:r w:rsidRPr="00153F27">
              <w:rPr>
                <w:sz w:val="18"/>
                <w:lang w:val="en-GB"/>
              </w:rPr>
              <w:t xml:space="preserve">egulations (anticipated </w:t>
            </w:r>
            <w:r w:rsidR="000A6B8C">
              <w:rPr>
                <w:sz w:val="18"/>
                <w:lang w:val="en-GB"/>
              </w:rPr>
              <w:t>May</w:t>
            </w:r>
            <w:r w:rsidRPr="00153F27">
              <w:rPr>
                <w:sz w:val="18"/>
                <w:lang w:val="en-GB"/>
              </w:rPr>
              <w:t xml:space="preserve"> 2020) and again on July 1 2020 (upon commencement of new EP legislation).</w:t>
            </w:r>
            <w:r w:rsidR="00EF47F7" w:rsidRPr="00153F27">
              <w:rPr>
                <w:sz w:val="18"/>
                <w:lang w:val="en-GB"/>
              </w:rPr>
              <w:t xml:space="preserve"> </w:t>
            </w:r>
          </w:p>
          <w:p w14:paraId="656B14D5" w14:textId="77777777" w:rsidR="00A0705A" w:rsidRPr="00040A06" w:rsidRDefault="00EF47F7" w:rsidP="00A0705A">
            <w:pPr>
              <w:spacing w:after="0"/>
              <w:ind w:right="284"/>
              <w:rPr>
                <w:rFonts w:cs="Segoe UI Light"/>
                <w:sz w:val="18"/>
                <w:lang w:val="en-US"/>
              </w:rPr>
            </w:pPr>
            <w:r>
              <w:rPr>
                <w:sz w:val="18"/>
                <w:lang w:val="en-US"/>
              </w:rPr>
              <w:t xml:space="preserve">This </w:t>
            </w:r>
            <w:r>
              <w:rPr>
                <w:sz w:val="18"/>
                <w:lang w:val="en-GB"/>
              </w:rPr>
              <w:t>will continue through 2020 alongside the broader information and education campaign for the new EP legislation.</w:t>
            </w:r>
          </w:p>
        </w:tc>
      </w:tr>
      <w:tr w:rsidR="00A0705A" w14:paraId="656B14DB" w14:textId="77777777" w:rsidTr="00CB1191">
        <w:trPr>
          <w:trHeight w:val="959"/>
        </w:trPr>
        <w:tc>
          <w:tcPr>
            <w:tcW w:w="3118" w:type="dxa"/>
          </w:tcPr>
          <w:p w14:paraId="656B14D7" w14:textId="77777777" w:rsidR="00A0705A" w:rsidRPr="00D85A7F" w:rsidRDefault="00A0705A" w:rsidP="00A0705A">
            <w:pPr>
              <w:spacing w:after="0"/>
              <w:ind w:right="284"/>
              <w:rPr>
                <w:rFonts w:cs="Segoe UI Light"/>
                <w:sz w:val="18"/>
              </w:rPr>
            </w:pPr>
            <w:r w:rsidRPr="00D85A7F">
              <w:rPr>
                <w:rFonts w:cs="Segoe UI Light"/>
                <w:sz w:val="18"/>
              </w:rPr>
              <w:t>Provide feedback to all participating parties and public who expressed interests during RIS process</w:t>
            </w:r>
            <w:r w:rsidR="00F375B9">
              <w:rPr>
                <w:rFonts w:cs="Segoe UI Light"/>
                <w:sz w:val="18"/>
              </w:rPr>
              <w:t xml:space="preserve"> (required under the </w:t>
            </w:r>
            <w:r w:rsidR="00F375B9">
              <w:rPr>
                <w:rFonts w:cs="Segoe UI Light"/>
                <w:i/>
                <w:sz w:val="18"/>
              </w:rPr>
              <w:t>Subordinate Legislation Act 1994).</w:t>
            </w:r>
          </w:p>
        </w:tc>
        <w:tc>
          <w:tcPr>
            <w:tcW w:w="3118" w:type="dxa"/>
          </w:tcPr>
          <w:p w14:paraId="656B14D8" w14:textId="77777777" w:rsidR="00A0705A" w:rsidRPr="00D85A7F" w:rsidRDefault="00A0705A" w:rsidP="00A0705A">
            <w:pPr>
              <w:spacing w:after="0"/>
              <w:ind w:right="284"/>
              <w:rPr>
                <w:rFonts w:cs="Segoe UI Light"/>
                <w:i/>
                <w:sz w:val="18"/>
              </w:rPr>
            </w:pPr>
            <w:r w:rsidRPr="00D85A7F">
              <w:rPr>
                <w:rFonts w:cs="Segoe UI Light"/>
                <w:i/>
                <w:sz w:val="18"/>
              </w:rPr>
              <w:t xml:space="preserve">Improving communications and engagement: </w:t>
            </w:r>
          </w:p>
          <w:p w14:paraId="656B14D9" w14:textId="77777777" w:rsidR="00A0705A" w:rsidRPr="00D85A7F" w:rsidRDefault="00A0705A">
            <w:pPr>
              <w:pStyle w:val="ListParagraph"/>
              <w:numPr>
                <w:ilvl w:val="0"/>
                <w:numId w:val="36"/>
              </w:numPr>
              <w:spacing w:after="0"/>
              <w:ind w:left="284" w:right="284" w:hanging="284"/>
              <w:rPr>
                <w:rFonts w:cs="Segoe UI Light"/>
                <w:i/>
                <w:sz w:val="18"/>
              </w:rPr>
            </w:pPr>
            <w:r w:rsidRPr="00D85A7F">
              <w:rPr>
                <w:rFonts w:cs="Segoe UI Light"/>
                <w:sz w:val="18"/>
              </w:rPr>
              <w:t>Stakeholder and duty</w:t>
            </w:r>
            <w:r>
              <w:rPr>
                <w:rFonts w:cs="Segoe UI Light"/>
                <w:sz w:val="18"/>
              </w:rPr>
              <w:t xml:space="preserve"> </w:t>
            </w:r>
            <w:r w:rsidRPr="00D85A7F">
              <w:rPr>
                <w:rFonts w:cs="Segoe UI Light"/>
                <w:sz w:val="18"/>
              </w:rPr>
              <w:t>holder communication and transition engagement</w:t>
            </w:r>
          </w:p>
        </w:tc>
        <w:tc>
          <w:tcPr>
            <w:tcW w:w="3119" w:type="dxa"/>
          </w:tcPr>
          <w:p w14:paraId="656B14DA" w14:textId="52BBEECD" w:rsidR="00A0705A" w:rsidRPr="00040A06" w:rsidRDefault="000A6B8C" w:rsidP="00A0705A">
            <w:pPr>
              <w:spacing w:after="0"/>
              <w:ind w:right="284"/>
              <w:rPr>
                <w:rFonts w:cs="Segoe UI Light"/>
                <w:sz w:val="18"/>
                <w:lang w:val="en-US"/>
              </w:rPr>
            </w:pPr>
            <w:r>
              <w:rPr>
                <w:sz w:val="18"/>
                <w:lang w:val="en-US"/>
              </w:rPr>
              <w:t>May</w:t>
            </w:r>
            <w:r w:rsidR="00A0705A">
              <w:rPr>
                <w:sz w:val="18"/>
                <w:lang w:val="en-US"/>
              </w:rPr>
              <w:t xml:space="preserve"> 2020.</w:t>
            </w:r>
          </w:p>
        </w:tc>
      </w:tr>
      <w:tr w:rsidR="00A0705A" w14:paraId="656B14E1" w14:textId="77777777" w:rsidTr="00CB1191">
        <w:trPr>
          <w:trHeight w:val="523"/>
        </w:trPr>
        <w:tc>
          <w:tcPr>
            <w:tcW w:w="3118" w:type="dxa"/>
          </w:tcPr>
          <w:p w14:paraId="656B14DC" w14:textId="77777777" w:rsidR="00A0705A" w:rsidRPr="00D85A7F" w:rsidRDefault="00A0705A" w:rsidP="00A0705A">
            <w:pPr>
              <w:spacing w:after="0"/>
              <w:ind w:right="284"/>
              <w:rPr>
                <w:rFonts w:cs="Segoe UI Light"/>
                <w:sz w:val="18"/>
              </w:rPr>
            </w:pPr>
            <w:r w:rsidRPr="00D85A7F">
              <w:rPr>
                <w:rFonts w:cs="Segoe UI Light"/>
                <w:sz w:val="18"/>
              </w:rPr>
              <w:t>Coordinate implementation of new Regulations with implementation of new Environment Reference Standards</w:t>
            </w:r>
          </w:p>
        </w:tc>
        <w:tc>
          <w:tcPr>
            <w:tcW w:w="3118" w:type="dxa"/>
          </w:tcPr>
          <w:p w14:paraId="656B14DD" w14:textId="77777777" w:rsidR="00A0705A" w:rsidRPr="00D85A7F" w:rsidRDefault="00A0705A" w:rsidP="00A0705A">
            <w:pPr>
              <w:spacing w:after="0"/>
              <w:ind w:right="284"/>
              <w:rPr>
                <w:rFonts w:cs="Segoe UI Light"/>
                <w:i/>
                <w:color w:val="000000" w:themeColor="text1"/>
                <w:sz w:val="18"/>
                <w:lang w:val="en-US"/>
              </w:rPr>
            </w:pPr>
            <w:r w:rsidRPr="00D85A7F">
              <w:rPr>
                <w:rFonts w:cs="Segoe UI Light"/>
                <w:i/>
                <w:color w:val="000000" w:themeColor="text1"/>
                <w:sz w:val="18"/>
                <w:lang w:val="en-US"/>
              </w:rPr>
              <w:t>Setting regulatory direction</w:t>
            </w:r>
          </w:p>
          <w:p w14:paraId="656B14DE"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Regulatory Transition Management</w:t>
            </w:r>
          </w:p>
          <w:p w14:paraId="656B14DF" w14:textId="77777777" w:rsidR="00A0705A" w:rsidRPr="00D85A7F" w:rsidRDefault="00A0705A" w:rsidP="00A0705A">
            <w:pPr>
              <w:spacing w:before="60" w:after="0"/>
              <w:ind w:right="284"/>
              <w:rPr>
                <w:rFonts w:cs="Segoe UI Light"/>
                <w:i/>
                <w:color w:val="000000" w:themeColor="text1"/>
                <w:sz w:val="18"/>
                <w:lang w:val="en-US"/>
              </w:rPr>
            </w:pPr>
            <w:r w:rsidRPr="00D85A7F">
              <w:rPr>
                <w:rFonts w:cs="Segoe UI Light"/>
                <w:i/>
                <w:color w:val="000000" w:themeColor="text1"/>
                <w:sz w:val="18"/>
                <w:lang w:val="en-US"/>
              </w:rPr>
              <w:t>Building subordinate legislative framework</w:t>
            </w:r>
          </w:p>
        </w:tc>
        <w:tc>
          <w:tcPr>
            <w:tcW w:w="3119" w:type="dxa"/>
          </w:tcPr>
          <w:p w14:paraId="656B14E0" w14:textId="46D8C635" w:rsidR="00A0705A" w:rsidRPr="00D85A7F" w:rsidRDefault="000A6B8C" w:rsidP="00A0705A">
            <w:pPr>
              <w:spacing w:after="0"/>
              <w:ind w:right="284"/>
              <w:rPr>
                <w:rFonts w:cs="Segoe UI Light"/>
                <w:color w:val="000000" w:themeColor="text1"/>
                <w:sz w:val="18"/>
                <w:lang w:val="en-US"/>
              </w:rPr>
            </w:pPr>
            <w:r>
              <w:rPr>
                <w:rFonts w:cs="Segoe UI Light"/>
                <w:color w:val="000000" w:themeColor="text1"/>
                <w:sz w:val="18"/>
                <w:lang w:val="en-US"/>
              </w:rPr>
              <w:t>May</w:t>
            </w:r>
            <w:r w:rsidR="00A0705A">
              <w:rPr>
                <w:rFonts w:cs="Segoe UI Light"/>
                <w:color w:val="000000" w:themeColor="text1"/>
                <w:sz w:val="18"/>
                <w:lang w:val="en-US"/>
              </w:rPr>
              <w:t xml:space="preserve"> 2020 – July 2020 alongside implementation activities associated with the commencement of the new EP legislation</w:t>
            </w:r>
            <w:r w:rsidR="00DC7A63">
              <w:rPr>
                <w:rFonts w:cs="Segoe UI Light"/>
                <w:color w:val="000000" w:themeColor="text1"/>
                <w:sz w:val="18"/>
                <w:lang w:val="en-US"/>
              </w:rPr>
              <w:t xml:space="preserve">. </w:t>
            </w:r>
          </w:p>
        </w:tc>
      </w:tr>
      <w:tr w:rsidR="00A0705A" w14:paraId="656B14E7" w14:textId="77777777" w:rsidTr="00CB1191">
        <w:trPr>
          <w:trHeight w:val="523"/>
        </w:trPr>
        <w:tc>
          <w:tcPr>
            <w:tcW w:w="3118" w:type="dxa"/>
          </w:tcPr>
          <w:p w14:paraId="656B14E2" w14:textId="77777777" w:rsidR="00A0705A" w:rsidRPr="00D85A7F" w:rsidRDefault="00A0705A" w:rsidP="00A0705A">
            <w:pPr>
              <w:spacing w:after="0"/>
              <w:ind w:right="284"/>
              <w:rPr>
                <w:rFonts w:cs="Segoe UI Light"/>
                <w:sz w:val="18"/>
              </w:rPr>
            </w:pPr>
            <w:r w:rsidRPr="00D85A7F">
              <w:rPr>
                <w:rFonts w:cs="Segoe UI Light"/>
                <w:sz w:val="18"/>
              </w:rPr>
              <w:t xml:space="preserve">Develop compliance and enforcement </w:t>
            </w:r>
            <w:r>
              <w:rPr>
                <w:rFonts w:cs="Segoe UI Light"/>
                <w:sz w:val="18"/>
              </w:rPr>
              <w:t xml:space="preserve">policy </w:t>
            </w:r>
            <w:r w:rsidRPr="00D85A7F">
              <w:rPr>
                <w:rFonts w:cs="Segoe UI Light"/>
                <w:sz w:val="18"/>
              </w:rPr>
              <w:t>for new EP legislation and proposed Regulations</w:t>
            </w:r>
          </w:p>
        </w:tc>
        <w:tc>
          <w:tcPr>
            <w:tcW w:w="3118" w:type="dxa"/>
          </w:tcPr>
          <w:p w14:paraId="656B14E3" w14:textId="77777777" w:rsidR="00A0705A" w:rsidRPr="00D85A7F" w:rsidRDefault="00A0705A" w:rsidP="00A0705A">
            <w:pPr>
              <w:spacing w:after="0"/>
              <w:ind w:right="284"/>
              <w:rPr>
                <w:rFonts w:cs="Segoe UI Light"/>
                <w:sz w:val="18"/>
              </w:rPr>
            </w:pPr>
            <w:r w:rsidRPr="00D85A7F">
              <w:rPr>
                <w:rFonts w:cs="Segoe UI Light"/>
                <w:i/>
                <w:sz w:val="18"/>
              </w:rPr>
              <w:t>Improving sanctions impact</w:t>
            </w:r>
            <w:r w:rsidRPr="00D85A7F">
              <w:rPr>
                <w:rFonts w:cs="Segoe UI Light"/>
                <w:sz w:val="18"/>
              </w:rPr>
              <w:t>:</w:t>
            </w:r>
          </w:p>
          <w:p w14:paraId="656B14E4"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Sanctions Strategy Implementation</w:t>
            </w:r>
            <w:r>
              <w:rPr>
                <w:rFonts w:cs="Segoe UI Light"/>
                <w:sz w:val="18"/>
              </w:rPr>
              <w:t xml:space="preserve"> (including compliance and enforcement policy)</w:t>
            </w:r>
          </w:p>
          <w:p w14:paraId="656B14E5"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Build future sanctions capability and capacity</w:t>
            </w:r>
          </w:p>
        </w:tc>
        <w:tc>
          <w:tcPr>
            <w:tcW w:w="3119" w:type="dxa"/>
          </w:tcPr>
          <w:p w14:paraId="656B14E6" w14:textId="77777777" w:rsidR="00A0705A" w:rsidRPr="00D85A7F" w:rsidRDefault="00A0705A" w:rsidP="00A0705A">
            <w:pPr>
              <w:spacing w:after="0"/>
              <w:ind w:right="284"/>
              <w:rPr>
                <w:rFonts w:cs="Segoe UI Light"/>
                <w:color w:val="000000" w:themeColor="text1"/>
                <w:sz w:val="18"/>
                <w:lang w:val="en-US"/>
              </w:rPr>
            </w:pPr>
            <w:r>
              <w:rPr>
                <w:rFonts w:cs="Segoe UI Light"/>
                <w:color w:val="000000" w:themeColor="text1"/>
                <w:sz w:val="18"/>
                <w:lang w:val="en-US"/>
              </w:rPr>
              <w:t>Initial d</w:t>
            </w:r>
            <w:r w:rsidRPr="00256CD9">
              <w:rPr>
                <w:rFonts w:cs="Segoe UI Light"/>
                <w:color w:val="000000" w:themeColor="text1"/>
                <w:sz w:val="18"/>
                <w:lang w:val="en-US"/>
              </w:rPr>
              <w:t xml:space="preserve">raft </w:t>
            </w:r>
            <w:r>
              <w:rPr>
                <w:rFonts w:cs="Segoe UI Light"/>
                <w:color w:val="000000" w:themeColor="text1"/>
                <w:sz w:val="18"/>
                <w:lang w:val="en-US"/>
              </w:rPr>
              <w:t xml:space="preserve">anticipated in </w:t>
            </w:r>
            <w:r w:rsidRPr="00256CD9">
              <w:rPr>
                <w:rFonts w:cs="Segoe UI Light"/>
                <w:color w:val="000000" w:themeColor="text1"/>
                <w:sz w:val="18"/>
                <w:lang w:val="en-US"/>
              </w:rPr>
              <w:t>late 2019</w:t>
            </w:r>
            <w:r>
              <w:rPr>
                <w:rFonts w:cs="Segoe UI Light"/>
                <w:color w:val="000000" w:themeColor="text1"/>
                <w:sz w:val="18"/>
                <w:lang w:val="en-US"/>
              </w:rPr>
              <w:t>, with a finalised policy anticipate</w:t>
            </w:r>
            <w:r w:rsidR="00C33D51">
              <w:rPr>
                <w:rFonts w:cs="Segoe UI Light"/>
                <w:color w:val="000000" w:themeColor="text1"/>
                <w:sz w:val="18"/>
                <w:lang w:val="en-US"/>
              </w:rPr>
              <w:t>d</w:t>
            </w:r>
            <w:r>
              <w:rPr>
                <w:rFonts w:cs="Segoe UI Light"/>
                <w:color w:val="000000" w:themeColor="text1"/>
                <w:sz w:val="18"/>
                <w:lang w:val="en-US"/>
              </w:rPr>
              <w:t xml:space="preserve"> in April 2020. </w:t>
            </w:r>
          </w:p>
        </w:tc>
      </w:tr>
      <w:tr w:rsidR="00A0705A" w14:paraId="656B14EF" w14:textId="77777777" w:rsidTr="00CB1191">
        <w:trPr>
          <w:trHeight w:val="523"/>
        </w:trPr>
        <w:tc>
          <w:tcPr>
            <w:tcW w:w="3118" w:type="dxa"/>
          </w:tcPr>
          <w:p w14:paraId="656B14E8" w14:textId="77777777" w:rsidR="00A0705A" w:rsidRPr="00D85A7F" w:rsidRDefault="00A0705A" w:rsidP="00A0705A">
            <w:pPr>
              <w:spacing w:after="0"/>
              <w:ind w:right="284"/>
              <w:rPr>
                <w:rFonts w:cs="Segoe UI Light"/>
                <w:sz w:val="18"/>
              </w:rPr>
            </w:pPr>
            <w:r w:rsidRPr="00D85A7F">
              <w:rPr>
                <w:rFonts w:cs="Segoe UI Light"/>
                <w:sz w:val="18"/>
              </w:rPr>
              <w:t>Develop evaluation information and data strategy</w:t>
            </w:r>
          </w:p>
        </w:tc>
        <w:tc>
          <w:tcPr>
            <w:tcW w:w="3118" w:type="dxa"/>
          </w:tcPr>
          <w:p w14:paraId="656B14E9" w14:textId="77777777" w:rsidR="00A0705A" w:rsidRPr="00D85A7F" w:rsidRDefault="00A0705A" w:rsidP="00A0705A">
            <w:pPr>
              <w:spacing w:after="0"/>
              <w:ind w:right="284"/>
              <w:rPr>
                <w:rFonts w:cs="Segoe UI Light"/>
                <w:i/>
                <w:sz w:val="18"/>
              </w:rPr>
            </w:pPr>
            <w:r w:rsidRPr="00D85A7F">
              <w:rPr>
                <w:rFonts w:cs="Segoe UI Light"/>
                <w:i/>
                <w:sz w:val="18"/>
              </w:rPr>
              <w:t>Improving surveillance, monitoring &amp; reporting:</w:t>
            </w:r>
          </w:p>
          <w:p w14:paraId="656B14EA"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Implementing EPA</w:t>
            </w:r>
            <w:r w:rsidR="00FF76AC">
              <w:rPr>
                <w:rFonts w:cs="Segoe UI Light"/>
                <w:sz w:val="18"/>
              </w:rPr>
              <w:t>’</w:t>
            </w:r>
            <w:r w:rsidRPr="00D85A7F">
              <w:rPr>
                <w:rFonts w:cs="Segoe UI Light"/>
                <w:sz w:val="18"/>
              </w:rPr>
              <w:t>s Environmental Public Health Tracking Network</w:t>
            </w:r>
          </w:p>
          <w:p w14:paraId="656B14EB"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Environmental and Health Indicators</w:t>
            </w:r>
          </w:p>
          <w:p w14:paraId="656B14EC"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Environmental Monitoring Strategic Framework</w:t>
            </w:r>
          </w:p>
          <w:p w14:paraId="656B14ED" w14:textId="77777777" w:rsidR="00A0705A" w:rsidRPr="00D85A7F" w:rsidRDefault="00A0705A" w:rsidP="00A0705A">
            <w:pPr>
              <w:spacing w:before="60" w:after="0"/>
              <w:ind w:right="284"/>
              <w:rPr>
                <w:rFonts w:cs="Segoe UI Light"/>
                <w:i/>
                <w:sz w:val="18"/>
              </w:rPr>
            </w:pPr>
            <w:r w:rsidRPr="00D85A7F">
              <w:rPr>
                <w:rFonts w:cs="Segoe UI Light"/>
                <w:i/>
                <w:sz w:val="18"/>
              </w:rPr>
              <w:t>Enhancing enterprise analytics and intelligence capability</w:t>
            </w:r>
          </w:p>
        </w:tc>
        <w:tc>
          <w:tcPr>
            <w:tcW w:w="3119" w:type="dxa"/>
          </w:tcPr>
          <w:p w14:paraId="656B14EE" w14:textId="77777777" w:rsidR="00A0705A" w:rsidRPr="00D85A7F" w:rsidRDefault="00A0705A" w:rsidP="00A0705A">
            <w:pPr>
              <w:spacing w:after="0"/>
              <w:ind w:right="284"/>
              <w:rPr>
                <w:rFonts w:cs="Segoe UI Light"/>
                <w:color w:val="000000" w:themeColor="text1"/>
                <w:sz w:val="18"/>
                <w:lang w:val="en-US"/>
              </w:rPr>
            </w:pPr>
            <w:r>
              <w:rPr>
                <w:rFonts w:cs="Segoe UI Light"/>
                <w:color w:val="000000" w:themeColor="text1"/>
                <w:sz w:val="18"/>
                <w:lang w:val="en-US"/>
              </w:rPr>
              <w:t>December 2019 - July 1 2020, and ongoing.</w:t>
            </w:r>
          </w:p>
        </w:tc>
      </w:tr>
      <w:tr w:rsidR="00A0705A" w14:paraId="656B14FD" w14:textId="77777777" w:rsidTr="00CB1191">
        <w:trPr>
          <w:trHeight w:val="523"/>
        </w:trPr>
        <w:tc>
          <w:tcPr>
            <w:tcW w:w="3118" w:type="dxa"/>
          </w:tcPr>
          <w:p w14:paraId="656B14F0" w14:textId="77777777" w:rsidR="00A0705A" w:rsidRPr="00D85A7F" w:rsidRDefault="00A0705A" w:rsidP="00A0705A">
            <w:pPr>
              <w:spacing w:after="0"/>
              <w:rPr>
                <w:rFonts w:cs="Segoe UI Light"/>
                <w:sz w:val="18"/>
              </w:rPr>
            </w:pPr>
            <w:r w:rsidRPr="00D85A7F">
              <w:rPr>
                <w:rFonts w:cs="Segoe UI Light"/>
                <w:sz w:val="18"/>
              </w:rPr>
              <w:t>Internal training</w:t>
            </w:r>
            <w:r w:rsidRPr="00D85A7F" w:rsidDel="00453FAE">
              <w:rPr>
                <w:rFonts w:cs="Segoe UI Light"/>
                <w:sz w:val="18"/>
              </w:rPr>
              <w:t xml:space="preserve"> </w:t>
            </w:r>
            <w:r w:rsidRPr="00D85A7F">
              <w:rPr>
                <w:rFonts w:cs="Segoe UI Light"/>
                <w:sz w:val="18"/>
              </w:rPr>
              <w:t>of staff about systems, processes and procedures to be able to administer and enforce the new Regulations.</w:t>
            </w:r>
          </w:p>
        </w:tc>
        <w:tc>
          <w:tcPr>
            <w:tcW w:w="3118" w:type="dxa"/>
          </w:tcPr>
          <w:p w14:paraId="656B14F1" w14:textId="77777777" w:rsidR="00A0705A" w:rsidRPr="00D85A7F" w:rsidRDefault="00A0705A" w:rsidP="00A0705A">
            <w:pPr>
              <w:spacing w:after="0"/>
              <w:ind w:right="284"/>
              <w:rPr>
                <w:rFonts w:cs="Segoe UI Light"/>
                <w:i/>
                <w:sz w:val="18"/>
              </w:rPr>
            </w:pPr>
            <w:r w:rsidRPr="00D85A7F">
              <w:rPr>
                <w:rFonts w:cs="Segoe UI Light"/>
                <w:i/>
                <w:sz w:val="18"/>
              </w:rPr>
              <w:t>Building a workforce of the future</w:t>
            </w:r>
          </w:p>
          <w:p w14:paraId="656B14F2"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Workforce planning / capability</w:t>
            </w:r>
          </w:p>
          <w:p w14:paraId="656B14F3"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People and Culture Transformation program</w:t>
            </w:r>
            <w:r w:rsidR="00014F56">
              <w:rPr>
                <w:rFonts w:cs="Segoe UI Light"/>
                <w:sz w:val="18"/>
              </w:rPr>
              <w:t xml:space="preserve"> </w:t>
            </w:r>
          </w:p>
          <w:p w14:paraId="656B14F4" w14:textId="77777777" w:rsidR="00A0705A" w:rsidRPr="00D85A7F" w:rsidRDefault="00A0705A" w:rsidP="00A0705A">
            <w:pPr>
              <w:spacing w:before="60" w:after="0"/>
              <w:ind w:right="284"/>
              <w:rPr>
                <w:rFonts w:cs="Segoe UI Light"/>
                <w:i/>
                <w:sz w:val="18"/>
              </w:rPr>
            </w:pPr>
            <w:r w:rsidRPr="00D85A7F">
              <w:rPr>
                <w:rFonts w:cs="Segoe UI Light"/>
                <w:i/>
                <w:sz w:val="18"/>
              </w:rPr>
              <w:t>Build regulatory excellence</w:t>
            </w:r>
          </w:p>
          <w:p w14:paraId="656B14F5"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Regulatory Excellence Framework including building and delivering frontline training</w:t>
            </w:r>
          </w:p>
          <w:p w14:paraId="656B14F6" w14:textId="77777777" w:rsidR="00A0705A" w:rsidRPr="00D85A7F" w:rsidRDefault="00A0705A" w:rsidP="00A0705A">
            <w:pPr>
              <w:spacing w:before="60" w:after="0"/>
              <w:ind w:right="284"/>
              <w:rPr>
                <w:rFonts w:cs="Segoe UI Light"/>
                <w:i/>
                <w:sz w:val="18"/>
              </w:rPr>
            </w:pPr>
            <w:r w:rsidRPr="00D85A7F">
              <w:rPr>
                <w:rFonts w:cs="Segoe UI Light"/>
                <w:i/>
                <w:sz w:val="18"/>
              </w:rPr>
              <w:t>Enhancing strategic management</w:t>
            </w:r>
          </w:p>
          <w:p w14:paraId="656B14F7"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Regulatory strategy, planning and management capability</w:t>
            </w:r>
          </w:p>
          <w:p w14:paraId="656B14F8"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Organisational performance management framework</w:t>
            </w:r>
          </w:p>
        </w:tc>
        <w:tc>
          <w:tcPr>
            <w:tcW w:w="3119" w:type="dxa"/>
          </w:tcPr>
          <w:p w14:paraId="656B14F9" w14:textId="77777777" w:rsidR="00A0705A" w:rsidRDefault="00A0705A" w:rsidP="00A0705A">
            <w:pPr>
              <w:spacing w:after="0"/>
              <w:ind w:right="284"/>
              <w:rPr>
                <w:rFonts w:cs="Segoe UI Light"/>
                <w:color w:val="000000" w:themeColor="text1"/>
                <w:sz w:val="18"/>
                <w:lang w:val="en-US"/>
              </w:rPr>
            </w:pPr>
            <w:r>
              <w:rPr>
                <w:rFonts w:cs="Segoe UI Light"/>
                <w:color w:val="000000" w:themeColor="text1"/>
                <w:sz w:val="18"/>
                <w:lang w:val="en-US"/>
              </w:rPr>
              <w:t xml:space="preserve">By July 1 2020, and ongoing. Specifically: </w:t>
            </w:r>
          </w:p>
          <w:p w14:paraId="656B14FA" w14:textId="77777777" w:rsidR="00A0705A" w:rsidRDefault="00A0705A" w:rsidP="00A0705A">
            <w:pPr>
              <w:pStyle w:val="ListParagraph"/>
              <w:numPr>
                <w:ilvl w:val="0"/>
                <w:numId w:val="36"/>
              </w:numPr>
              <w:spacing w:after="0"/>
              <w:ind w:left="284" w:right="284" w:hanging="284"/>
              <w:rPr>
                <w:rFonts w:cs="Segoe UI Light"/>
                <w:sz w:val="18"/>
              </w:rPr>
            </w:pPr>
            <w:r>
              <w:rPr>
                <w:rFonts w:cs="Segoe UI Light"/>
                <w:sz w:val="18"/>
              </w:rPr>
              <w:t>Workforce planning: Mach 2020</w:t>
            </w:r>
          </w:p>
          <w:p w14:paraId="656B14FB" w14:textId="77777777" w:rsidR="00A0705A" w:rsidRDefault="00A0705A" w:rsidP="00A0705A">
            <w:pPr>
              <w:pStyle w:val="ListParagraph"/>
              <w:numPr>
                <w:ilvl w:val="0"/>
                <w:numId w:val="36"/>
              </w:numPr>
              <w:spacing w:after="0"/>
              <w:ind w:left="284" w:right="284" w:hanging="284"/>
              <w:rPr>
                <w:rFonts w:cs="Segoe UI Light"/>
                <w:sz w:val="18"/>
              </w:rPr>
            </w:pPr>
            <w:r>
              <w:rPr>
                <w:rFonts w:cs="Segoe UI Light"/>
                <w:sz w:val="18"/>
              </w:rPr>
              <w:t>Regulatory Excellence Framework: commencing 2019, concluded by July 1 2020</w:t>
            </w:r>
          </w:p>
          <w:p w14:paraId="656B14FC" w14:textId="469C2E72" w:rsidR="00A0705A" w:rsidRPr="00D85A7F" w:rsidRDefault="00A0705A" w:rsidP="00A0705A">
            <w:pPr>
              <w:spacing w:after="0"/>
              <w:ind w:right="284"/>
              <w:rPr>
                <w:rFonts w:cs="Segoe UI Light"/>
                <w:color w:val="000000" w:themeColor="text1"/>
                <w:sz w:val="18"/>
                <w:lang w:val="en-US"/>
              </w:rPr>
            </w:pPr>
            <w:r>
              <w:rPr>
                <w:rFonts w:cs="Segoe UI Light"/>
                <w:sz w:val="18"/>
              </w:rPr>
              <w:t xml:space="preserve">Regulatory strategy, planning and management capability: anticipated </w:t>
            </w:r>
            <w:r w:rsidR="005A1158">
              <w:rPr>
                <w:rFonts w:cs="Segoe UI Light"/>
                <w:sz w:val="18"/>
              </w:rPr>
              <w:t>August</w:t>
            </w:r>
            <w:r>
              <w:rPr>
                <w:rFonts w:cs="Segoe UI Light"/>
                <w:sz w:val="18"/>
              </w:rPr>
              <w:t xml:space="preserve"> 2019</w:t>
            </w:r>
          </w:p>
        </w:tc>
      </w:tr>
      <w:tr w:rsidR="00A0705A" w14:paraId="656B1505" w14:textId="77777777" w:rsidTr="00CB1191">
        <w:trPr>
          <w:trHeight w:val="523"/>
        </w:trPr>
        <w:tc>
          <w:tcPr>
            <w:tcW w:w="3118" w:type="dxa"/>
          </w:tcPr>
          <w:p w14:paraId="656B14FE" w14:textId="77777777" w:rsidR="00A0705A" w:rsidRPr="00D85A7F" w:rsidRDefault="00A0705A" w:rsidP="00A0705A">
            <w:pPr>
              <w:spacing w:after="0"/>
              <w:rPr>
                <w:rFonts w:cs="Segoe UI Light"/>
                <w:sz w:val="18"/>
              </w:rPr>
            </w:pPr>
            <w:r w:rsidRPr="00D85A7F">
              <w:rPr>
                <w:rFonts w:cs="Segoe UI Light"/>
                <w:sz w:val="18"/>
              </w:rPr>
              <w:t xml:space="preserve">Resource planning and </w:t>
            </w:r>
          </w:p>
          <w:p w14:paraId="656B14FF" w14:textId="77777777" w:rsidR="00A0705A" w:rsidRPr="00D85A7F" w:rsidRDefault="00A0705A" w:rsidP="00A0705A">
            <w:pPr>
              <w:spacing w:after="0"/>
              <w:rPr>
                <w:rFonts w:cs="Segoe UI Light"/>
                <w:sz w:val="18"/>
              </w:rPr>
            </w:pPr>
            <w:r w:rsidRPr="00D85A7F">
              <w:rPr>
                <w:rFonts w:cs="Segoe UI Light"/>
                <w:sz w:val="18"/>
              </w:rPr>
              <w:t>management:</w:t>
            </w:r>
          </w:p>
          <w:p w14:paraId="656B1500"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Increased workload due to commencement of new Regulations</w:t>
            </w:r>
          </w:p>
          <w:p w14:paraId="656B1501"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Peak workload requirements.</w:t>
            </w:r>
          </w:p>
        </w:tc>
        <w:tc>
          <w:tcPr>
            <w:tcW w:w="3118" w:type="dxa"/>
          </w:tcPr>
          <w:p w14:paraId="656B1502" w14:textId="77777777" w:rsidR="00A0705A" w:rsidRPr="00D85A7F" w:rsidRDefault="00A0705A" w:rsidP="00A0705A">
            <w:pPr>
              <w:spacing w:after="0"/>
              <w:ind w:right="284"/>
              <w:rPr>
                <w:rFonts w:cs="Segoe UI Light"/>
                <w:i/>
                <w:sz w:val="18"/>
              </w:rPr>
            </w:pPr>
            <w:r w:rsidRPr="00D85A7F">
              <w:rPr>
                <w:rFonts w:cs="Segoe UI Light"/>
                <w:i/>
                <w:sz w:val="18"/>
              </w:rPr>
              <w:t>Building a workforce of the future</w:t>
            </w:r>
          </w:p>
          <w:p w14:paraId="656B1503"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Workforce planning / capability</w:t>
            </w:r>
          </w:p>
        </w:tc>
        <w:tc>
          <w:tcPr>
            <w:tcW w:w="3119" w:type="dxa"/>
          </w:tcPr>
          <w:p w14:paraId="656B1504" w14:textId="77777777" w:rsidR="00A0705A" w:rsidRPr="00D85A7F" w:rsidRDefault="00A0705A" w:rsidP="00A0705A">
            <w:pPr>
              <w:spacing w:after="0"/>
              <w:ind w:right="284"/>
              <w:rPr>
                <w:rFonts w:cs="Segoe UI Light"/>
                <w:sz w:val="18"/>
              </w:rPr>
            </w:pPr>
            <w:r>
              <w:rPr>
                <w:rFonts w:cs="Segoe UI Light"/>
                <w:color w:val="000000" w:themeColor="text1"/>
                <w:sz w:val="18"/>
                <w:lang w:val="en-US"/>
              </w:rPr>
              <w:t>July 1 2019 (and ongoing).</w:t>
            </w:r>
          </w:p>
        </w:tc>
      </w:tr>
      <w:tr w:rsidR="00A0705A" w14:paraId="656B1513" w14:textId="77777777" w:rsidTr="00CB1191">
        <w:trPr>
          <w:trHeight w:val="523"/>
        </w:trPr>
        <w:tc>
          <w:tcPr>
            <w:tcW w:w="3118" w:type="dxa"/>
          </w:tcPr>
          <w:p w14:paraId="656B1506" w14:textId="77777777" w:rsidR="00A0705A" w:rsidRPr="00D85A7F" w:rsidRDefault="00A0705A" w:rsidP="00A0705A">
            <w:pPr>
              <w:spacing w:after="0"/>
              <w:rPr>
                <w:rFonts w:cs="Segoe UI Light"/>
                <w:sz w:val="18"/>
              </w:rPr>
            </w:pPr>
            <w:r w:rsidRPr="00D85A7F">
              <w:rPr>
                <w:rFonts w:cs="Segoe UI Light"/>
                <w:sz w:val="18"/>
              </w:rPr>
              <w:t xml:space="preserve">Develop requirements, processes </w:t>
            </w:r>
          </w:p>
          <w:p w14:paraId="656B1507" w14:textId="77777777" w:rsidR="00A0705A" w:rsidRPr="00D85A7F" w:rsidRDefault="00A0705A" w:rsidP="00A0705A">
            <w:pPr>
              <w:spacing w:after="0"/>
              <w:rPr>
                <w:rFonts w:cs="Segoe UI Light"/>
                <w:sz w:val="18"/>
              </w:rPr>
            </w:pPr>
            <w:r w:rsidRPr="00D85A7F">
              <w:rPr>
                <w:rFonts w:cs="Segoe UI Light"/>
                <w:sz w:val="18"/>
              </w:rPr>
              <w:t>and procedures for new permissions framework, including:</w:t>
            </w:r>
          </w:p>
          <w:p w14:paraId="656B1508" w14:textId="77777777" w:rsidR="00A0705A" w:rsidRPr="00D85A7F" w:rsidRDefault="00A0705A" w:rsidP="00A0705A">
            <w:pPr>
              <w:pStyle w:val="ListParagraph"/>
              <w:numPr>
                <w:ilvl w:val="0"/>
                <w:numId w:val="36"/>
              </w:numPr>
              <w:spacing w:after="0"/>
              <w:ind w:left="444" w:right="284" w:hanging="283"/>
              <w:rPr>
                <w:rFonts w:cs="Segoe UI Light"/>
                <w:sz w:val="18"/>
              </w:rPr>
            </w:pPr>
            <w:r w:rsidRPr="00D85A7F">
              <w:rPr>
                <w:rFonts w:cs="Segoe UI Light"/>
                <w:sz w:val="18"/>
              </w:rPr>
              <w:t>Develop the new licensing, permit and registration conditions.</w:t>
            </w:r>
          </w:p>
          <w:p w14:paraId="656B1509" w14:textId="77777777" w:rsidR="00A0705A" w:rsidRPr="00D85A7F" w:rsidRDefault="00A0705A" w:rsidP="00A0705A">
            <w:pPr>
              <w:pStyle w:val="ListParagraph"/>
              <w:numPr>
                <w:ilvl w:val="0"/>
                <w:numId w:val="36"/>
              </w:numPr>
              <w:spacing w:after="0"/>
              <w:ind w:left="444" w:right="284" w:hanging="283"/>
              <w:rPr>
                <w:rFonts w:cs="Segoe UI Light"/>
                <w:sz w:val="18"/>
              </w:rPr>
            </w:pPr>
            <w:r w:rsidRPr="00D85A7F">
              <w:rPr>
                <w:rFonts w:cs="Segoe UI Light"/>
                <w:sz w:val="18"/>
              </w:rPr>
              <w:t xml:space="preserve">Transition of existing permissions holders to new framework under Part 16.3 of </w:t>
            </w:r>
            <w:r w:rsidR="00EA6812">
              <w:rPr>
                <w:rFonts w:cs="Segoe UI Light"/>
                <w:sz w:val="18"/>
              </w:rPr>
              <w:t xml:space="preserve">the EP </w:t>
            </w:r>
            <w:r w:rsidRPr="00D85A7F">
              <w:rPr>
                <w:rFonts w:cs="Segoe UI Light"/>
                <w:sz w:val="18"/>
              </w:rPr>
              <w:t>Amendment Act</w:t>
            </w:r>
            <w:r w:rsidR="00EA6812">
              <w:rPr>
                <w:rFonts w:cs="Segoe UI Light"/>
                <w:sz w:val="18"/>
              </w:rPr>
              <w:t xml:space="preserve"> 2018.</w:t>
            </w:r>
          </w:p>
          <w:p w14:paraId="656B150A" w14:textId="77777777" w:rsidR="00A0705A" w:rsidRPr="00D85A7F" w:rsidRDefault="00A0705A" w:rsidP="00BC1A0C">
            <w:pPr>
              <w:pStyle w:val="ListParagraph"/>
              <w:numPr>
                <w:ilvl w:val="0"/>
                <w:numId w:val="36"/>
              </w:numPr>
              <w:spacing w:after="0"/>
              <w:ind w:left="444" w:right="284" w:hanging="283"/>
              <w:rPr>
                <w:rFonts w:cs="Segoe UI Light"/>
                <w:sz w:val="18"/>
              </w:rPr>
            </w:pPr>
            <w:r w:rsidRPr="00D85A7F">
              <w:rPr>
                <w:rFonts w:cs="Segoe UI Light"/>
                <w:sz w:val="18"/>
              </w:rPr>
              <w:t xml:space="preserve">Other permission transition arrangements e.g., applications received under </w:t>
            </w:r>
            <w:r w:rsidR="001F5F46">
              <w:rPr>
                <w:rFonts w:cs="Segoe UI Light"/>
                <w:sz w:val="18"/>
              </w:rPr>
              <w:t>the EPA Act 1970</w:t>
            </w:r>
            <w:r w:rsidRPr="00D85A7F">
              <w:rPr>
                <w:rFonts w:cs="Segoe UI Light"/>
                <w:sz w:val="18"/>
              </w:rPr>
              <w:t>.</w:t>
            </w:r>
          </w:p>
        </w:tc>
        <w:tc>
          <w:tcPr>
            <w:tcW w:w="3118" w:type="dxa"/>
          </w:tcPr>
          <w:p w14:paraId="656B150B" w14:textId="77777777" w:rsidR="00A0705A" w:rsidRPr="00D85A7F" w:rsidRDefault="00A0705A" w:rsidP="00A0705A">
            <w:pPr>
              <w:spacing w:after="0"/>
              <w:ind w:right="284"/>
              <w:rPr>
                <w:rFonts w:cs="Segoe UI Light"/>
                <w:i/>
                <w:sz w:val="18"/>
              </w:rPr>
            </w:pPr>
            <w:r w:rsidRPr="00D85A7F">
              <w:rPr>
                <w:rFonts w:cs="Segoe UI Light"/>
                <w:i/>
                <w:sz w:val="18"/>
              </w:rPr>
              <w:t>Setting regulatory direction:</w:t>
            </w:r>
          </w:p>
          <w:p w14:paraId="656B150C" w14:textId="77777777" w:rsidR="00A0705A" w:rsidRPr="00D85A7F" w:rsidRDefault="00A0705A" w:rsidP="00A0705A">
            <w:pPr>
              <w:pStyle w:val="ListParagraph"/>
              <w:numPr>
                <w:ilvl w:val="0"/>
                <w:numId w:val="36"/>
              </w:numPr>
              <w:spacing w:after="0"/>
              <w:ind w:left="284" w:right="284" w:hanging="284"/>
              <w:rPr>
                <w:rFonts w:cs="Segoe UI Light"/>
                <w:i/>
                <w:sz w:val="18"/>
              </w:rPr>
            </w:pPr>
            <w:r w:rsidRPr="00D85A7F">
              <w:rPr>
                <w:rFonts w:cs="Segoe UI Light"/>
                <w:sz w:val="18"/>
              </w:rPr>
              <w:t>Regulatory transition management</w:t>
            </w:r>
          </w:p>
          <w:p w14:paraId="656B150D" w14:textId="77777777" w:rsidR="00A0705A" w:rsidRPr="00D85A7F" w:rsidRDefault="00A0705A" w:rsidP="00A0705A">
            <w:pPr>
              <w:spacing w:before="60" w:after="0"/>
              <w:ind w:right="284"/>
              <w:rPr>
                <w:rFonts w:cs="Segoe UI Light"/>
                <w:i/>
                <w:sz w:val="18"/>
              </w:rPr>
            </w:pPr>
            <w:r w:rsidRPr="00D85A7F">
              <w:rPr>
                <w:rFonts w:cs="Segoe UI Light"/>
                <w:i/>
                <w:sz w:val="18"/>
              </w:rPr>
              <w:t>Building subordinate legislative framework</w:t>
            </w:r>
          </w:p>
          <w:p w14:paraId="656B150E"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Design and build of regulatory strategy, planning and management capability</w:t>
            </w:r>
          </w:p>
          <w:p w14:paraId="656B150F"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Review and refine regulatory tools</w:t>
            </w:r>
          </w:p>
        </w:tc>
        <w:tc>
          <w:tcPr>
            <w:tcW w:w="3119" w:type="dxa"/>
          </w:tcPr>
          <w:p w14:paraId="656B1510" w14:textId="2434C50B" w:rsidR="00A0705A" w:rsidRDefault="005A1158" w:rsidP="00A0705A">
            <w:pPr>
              <w:spacing w:after="0"/>
              <w:ind w:right="284"/>
              <w:rPr>
                <w:rFonts w:cs="Segoe UI Light"/>
                <w:color w:val="000000" w:themeColor="text1"/>
                <w:sz w:val="18"/>
                <w:lang w:val="en-US"/>
              </w:rPr>
            </w:pPr>
            <w:r>
              <w:rPr>
                <w:rFonts w:cs="Segoe UI Light"/>
                <w:color w:val="000000" w:themeColor="text1"/>
                <w:sz w:val="18"/>
                <w:lang w:val="en-US"/>
              </w:rPr>
              <w:t>April / May</w:t>
            </w:r>
            <w:r w:rsidR="00A0705A">
              <w:rPr>
                <w:rFonts w:cs="Segoe UI Light"/>
                <w:color w:val="000000" w:themeColor="text1"/>
                <w:sz w:val="18"/>
                <w:lang w:val="en-US"/>
              </w:rPr>
              <w:t xml:space="preserve"> 2020</w:t>
            </w:r>
          </w:p>
          <w:p w14:paraId="656B1511" w14:textId="77777777" w:rsidR="00A0705A" w:rsidRDefault="00A0705A" w:rsidP="00A0705A">
            <w:pPr>
              <w:spacing w:after="0"/>
              <w:ind w:right="284"/>
              <w:rPr>
                <w:rFonts w:cs="Segoe UI Light"/>
                <w:color w:val="000000" w:themeColor="text1"/>
                <w:sz w:val="18"/>
                <w:lang w:val="en-US"/>
              </w:rPr>
            </w:pPr>
          </w:p>
          <w:p w14:paraId="656B1512" w14:textId="77777777" w:rsidR="00A0705A" w:rsidRPr="00D85A7F" w:rsidRDefault="00A0705A" w:rsidP="00A0705A">
            <w:pPr>
              <w:spacing w:after="0"/>
              <w:ind w:right="284"/>
              <w:rPr>
                <w:rFonts w:cs="Segoe UI Light"/>
                <w:sz w:val="18"/>
              </w:rPr>
            </w:pPr>
            <w:r>
              <w:rPr>
                <w:rFonts w:cs="Segoe UI Light"/>
                <w:color w:val="000000" w:themeColor="text1"/>
                <w:sz w:val="18"/>
                <w:lang w:val="en-US"/>
              </w:rPr>
              <w:t>Full transition – July 2021</w:t>
            </w:r>
          </w:p>
        </w:tc>
      </w:tr>
      <w:tr w:rsidR="00A0705A" w14:paraId="656B1519" w14:textId="77777777" w:rsidTr="00CB1191">
        <w:trPr>
          <w:trHeight w:val="523"/>
        </w:trPr>
        <w:tc>
          <w:tcPr>
            <w:tcW w:w="3118" w:type="dxa"/>
          </w:tcPr>
          <w:p w14:paraId="656B1514" w14:textId="77777777" w:rsidR="00A0705A" w:rsidRPr="00D85A7F" w:rsidRDefault="00A0705A" w:rsidP="00A0705A">
            <w:pPr>
              <w:spacing w:after="0"/>
              <w:ind w:right="284"/>
              <w:rPr>
                <w:rFonts w:cs="Segoe UI Light"/>
                <w:sz w:val="18"/>
              </w:rPr>
            </w:pPr>
            <w:r w:rsidRPr="00D85A7F">
              <w:rPr>
                <w:rFonts w:cs="Segoe UI Light"/>
                <w:sz w:val="18"/>
              </w:rPr>
              <w:t>New permissions communication: develop and publish communication about process to be followed by parties applying for a permission where their activity is newly subject to a permission requirement.</w:t>
            </w:r>
          </w:p>
        </w:tc>
        <w:tc>
          <w:tcPr>
            <w:tcW w:w="3118" w:type="dxa"/>
          </w:tcPr>
          <w:p w14:paraId="656B1515" w14:textId="77777777" w:rsidR="00A0705A" w:rsidRPr="00D85A7F" w:rsidRDefault="00A0705A" w:rsidP="00A0705A">
            <w:pPr>
              <w:spacing w:after="0"/>
              <w:ind w:right="284"/>
              <w:rPr>
                <w:rFonts w:cs="Segoe UI Light"/>
                <w:i/>
                <w:sz w:val="18"/>
              </w:rPr>
            </w:pPr>
            <w:r w:rsidRPr="00D85A7F">
              <w:rPr>
                <w:rFonts w:cs="Segoe UI Light"/>
                <w:i/>
                <w:sz w:val="18"/>
              </w:rPr>
              <w:t>Developing state of knowledge:</w:t>
            </w:r>
          </w:p>
          <w:p w14:paraId="656B1516"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State of knowledge industry guidance: (stocktake, partnerships, develop guidance)</w:t>
            </w:r>
          </w:p>
          <w:p w14:paraId="656B1517" w14:textId="77777777" w:rsidR="00A0705A" w:rsidRPr="00D85A7F" w:rsidRDefault="00A0705A" w:rsidP="00A0705A">
            <w:pPr>
              <w:spacing w:after="0"/>
              <w:ind w:right="284"/>
              <w:rPr>
                <w:rFonts w:cs="Segoe UI Light"/>
                <w:i/>
                <w:sz w:val="18"/>
              </w:rPr>
            </w:pPr>
          </w:p>
        </w:tc>
        <w:tc>
          <w:tcPr>
            <w:tcW w:w="3119" w:type="dxa"/>
          </w:tcPr>
          <w:p w14:paraId="656B1518" w14:textId="75B85924" w:rsidR="00A0705A" w:rsidRPr="00D85A7F" w:rsidRDefault="005A1158" w:rsidP="00A0705A">
            <w:pPr>
              <w:spacing w:after="0"/>
              <w:ind w:right="284"/>
              <w:rPr>
                <w:rFonts w:cs="Segoe UI Light"/>
                <w:sz w:val="18"/>
              </w:rPr>
            </w:pPr>
            <w:r>
              <w:rPr>
                <w:rFonts w:cs="Segoe UI Light"/>
                <w:color w:val="000000" w:themeColor="text1"/>
                <w:sz w:val="18"/>
                <w:lang w:val="en-US"/>
              </w:rPr>
              <w:t>May</w:t>
            </w:r>
            <w:r w:rsidR="00A0705A">
              <w:rPr>
                <w:rFonts w:cs="Segoe UI Light"/>
                <w:color w:val="000000" w:themeColor="text1"/>
                <w:sz w:val="18"/>
                <w:lang w:val="en-US"/>
              </w:rPr>
              <w:t xml:space="preserve"> 2020, with </w:t>
            </w:r>
            <w:r w:rsidR="00C33D51">
              <w:rPr>
                <w:rFonts w:cs="Segoe UI Light"/>
                <w:color w:val="000000" w:themeColor="text1"/>
                <w:sz w:val="18"/>
                <w:lang w:val="en-US"/>
              </w:rPr>
              <w:t xml:space="preserve">new </w:t>
            </w:r>
            <w:r w:rsidR="00A0705A">
              <w:rPr>
                <w:rFonts w:cs="Segoe UI Light"/>
                <w:color w:val="000000" w:themeColor="text1"/>
                <w:sz w:val="18"/>
                <w:lang w:val="en-US"/>
              </w:rPr>
              <w:t>‘state of knowledge’</w:t>
            </w:r>
            <w:r w:rsidR="00A212F0">
              <w:rPr>
                <w:rFonts w:cs="Segoe UI Light"/>
                <w:color w:val="000000" w:themeColor="text1"/>
                <w:sz w:val="18"/>
                <w:lang w:val="en-US"/>
              </w:rPr>
              <w:t xml:space="preserve"> (including use of existing industry and EPA guidance and regulatory controls)</w:t>
            </w:r>
            <w:r w:rsidR="00A0705A">
              <w:rPr>
                <w:rFonts w:cs="Segoe UI Light"/>
                <w:color w:val="000000" w:themeColor="text1"/>
                <w:sz w:val="18"/>
                <w:lang w:val="en-US"/>
              </w:rPr>
              <w:t xml:space="preserve"> industry guidance </w:t>
            </w:r>
            <w:r w:rsidR="00923F95">
              <w:rPr>
                <w:rFonts w:cs="Segoe UI Light"/>
                <w:color w:val="000000" w:themeColor="text1"/>
                <w:sz w:val="18"/>
                <w:lang w:val="en-US"/>
              </w:rPr>
              <w:t xml:space="preserve">development </w:t>
            </w:r>
            <w:r w:rsidR="00A0705A">
              <w:rPr>
                <w:rFonts w:cs="Segoe UI Light"/>
                <w:color w:val="000000" w:themeColor="text1"/>
                <w:sz w:val="18"/>
                <w:lang w:val="en-US"/>
              </w:rPr>
              <w:t>ongoing.</w:t>
            </w:r>
          </w:p>
        </w:tc>
      </w:tr>
      <w:tr w:rsidR="00A0705A" w14:paraId="656B151E" w14:textId="77777777" w:rsidTr="00CB1191">
        <w:trPr>
          <w:trHeight w:val="523"/>
        </w:trPr>
        <w:tc>
          <w:tcPr>
            <w:tcW w:w="3118" w:type="dxa"/>
          </w:tcPr>
          <w:p w14:paraId="656B151A" w14:textId="77777777" w:rsidR="00A0705A" w:rsidRPr="00D85A7F" w:rsidRDefault="00A0705A" w:rsidP="00A0705A">
            <w:pPr>
              <w:spacing w:after="0"/>
              <w:ind w:right="284"/>
              <w:rPr>
                <w:rFonts w:cs="Segoe UI Light"/>
                <w:sz w:val="18"/>
              </w:rPr>
            </w:pPr>
            <w:r>
              <w:rPr>
                <w:rFonts w:cs="Segoe UI Light"/>
                <w:sz w:val="18"/>
              </w:rPr>
              <w:t>Transition arrangements - transition provisions for lawful place will need to be determined.</w:t>
            </w:r>
          </w:p>
        </w:tc>
        <w:tc>
          <w:tcPr>
            <w:tcW w:w="3118" w:type="dxa"/>
          </w:tcPr>
          <w:p w14:paraId="656B151B" w14:textId="77777777" w:rsidR="00A0705A" w:rsidRPr="00D85A7F" w:rsidRDefault="00A0705A" w:rsidP="00A0705A">
            <w:pPr>
              <w:spacing w:after="0"/>
              <w:ind w:right="284"/>
              <w:rPr>
                <w:rFonts w:cs="Segoe UI Light"/>
                <w:i/>
                <w:color w:val="000000" w:themeColor="text1"/>
                <w:sz w:val="18"/>
                <w:lang w:val="en-US"/>
              </w:rPr>
            </w:pPr>
            <w:r w:rsidRPr="00D85A7F">
              <w:rPr>
                <w:rFonts w:cs="Segoe UI Light"/>
                <w:i/>
                <w:color w:val="000000" w:themeColor="text1"/>
                <w:sz w:val="18"/>
                <w:lang w:val="en-US"/>
              </w:rPr>
              <w:t>Setting regulatory direction</w:t>
            </w:r>
          </w:p>
          <w:p w14:paraId="656B151C" w14:textId="77777777" w:rsidR="00A0705A" w:rsidRPr="00040A06"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Regulatory Transition Management</w:t>
            </w:r>
          </w:p>
        </w:tc>
        <w:tc>
          <w:tcPr>
            <w:tcW w:w="3119" w:type="dxa"/>
          </w:tcPr>
          <w:p w14:paraId="656B151D" w14:textId="77777777" w:rsidR="00A0705A" w:rsidRPr="00D85A7F" w:rsidRDefault="00A0705A" w:rsidP="00A0705A">
            <w:pPr>
              <w:spacing w:after="0"/>
              <w:ind w:right="284"/>
              <w:rPr>
                <w:rFonts w:cs="Segoe UI Light"/>
                <w:color w:val="000000" w:themeColor="text1"/>
                <w:sz w:val="18"/>
                <w:lang w:val="en-US"/>
              </w:rPr>
            </w:pPr>
            <w:r>
              <w:rPr>
                <w:rFonts w:cs="Segoe UI Light"/>
                <w:color w:val="000000" w:themeColor="text1"/>
                <w:sz w:val="18"/>
                <w:lang w:val="en-US"/>
              </w:rPr>
              <w:t>July 1 2020.</w:t>
            </w:r>
          </w:p>
        </w:tc>
      </w:tr>
      <w:tr w:rsidR="00A0705A" w14:paraId="656B1527" w14:textId="77777777" w:rsidTr="00CB1191">
        <w:trPr>
          <w:trHeight w:val="523"/>
        </w:trPr>
        <w:tc>
          <w:tcPr>
            <w:tcW w:w="3118" w:type="dxa"/>
          </w:tcPr>
          <w:p w14:paraId="656B151F" w14:textId="77777777" w:rsidR="00A0705A" w:rsidRPr="00D85A7F" w:rsidRDefault="00A0705A" w:rsidP="00A0705A">
            <w:pPr>
              <w:spacing w:after="0"/>
              <w:ind w:right="284"/>
              <w:rPr>
                <w:rFonts w:cs="Segoe UI Light"/>
                <w:sz w:val="18"/>
              </w:rPr>
            </w:pPr>
            <w:r w:rsidRPr="00D85A7F">
              <w:rPr>
                <w:rFonts w:cs="Segoe UI Light"/>
                <w:sz w:val="18"/>
              </w:rPr>
              <w:t>Capacity building of other regulators with environment protection responsibilities e.g. in noise and septic tank regulation areas.</w:t>
            </w:r>
          </w:p>
        </w:tc>
        <w:tc>
          <w:tcPr>
            <w:tcW w:w="3118" w:type="dxa"/>
          </w:tcPr>
          <w:p w14:paraId="656B1520" w14:textId="77777777" w:rsidR="00A0705A" w:rsidRPr="00D85A7F" w:rsidRDefault="00A0705A" w:rsidP="00A0705A">
            <w:pPr>
              <w:spacing w:after="0"/>
              <w:ind w:right="284"/>
              <w:rPr>
                <w:rFonts w:cs="Segoe UI Light"/>
                <w:i/>
                <w:sz w:val="18"/>
              </w:rPr>
            </w:pPr>
            <w:r w:rsidRPr="00D85A7F">
              <w:rPr>
                <w:rFonts w:cs="Segoe UI Light"/>
                <w:i/>
                <w:sz w:val="18"/>
              </w:rPr>
              <w:t>Developing state of knowledge:</w:t>
            </w:r>
          </w:p>
          <w:p w14:paraId="656B1521"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State of knowledge industry guidance: (stocktake, partnerships, develop guidance)</w:t>
            </w:r>
          </w:p>
          <w:p w14:paraId="656B1522" w14:textId="77777777" w:rsidR="00A0705A" w:rsidRPr="00D85A7F" w:rsidRDefault="00A0705A" w:rsidP="00A0705A">
            <w:pPr>
              <w:spacing w:before="60" w:after="0"/>
              <w:ind w:right="284"/>
              <w:rPr>
                <w:rFonts w:cs="Segoe UI Light"/>
                <w:i/>
                <w:color w:val="000000" w:themeColor="text1"/>
                <w:sz w:val="18"/>
                <w:lang w:val="en-US"/>
              </w:rPr>
            </w:pPr>
            <w:r w:rsidRPr="00D85A7F">
              <w:rPr>
                <w:rFonts w:cs="Segoe UI Light"/>
                <w:i/>
                <w:color w:val="000000" w:themeColor="text1"/>
                <w:sz w:val="18"/>
                <w:lang w:val="en-US"/>
              </w:rPr>
              <w:t>Setting regulatory direction</w:t>
            </w:r>
          </w:p>
          <w:p w14:paraId="656B1523"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Regulatory Transition Management</w:t>
            </w:r>
          </w:p>
          <w:p w14:paraId="656B1524" w14:textId="77777777" w:rsidR="00A0705A" w:rsidRPr="00D85A7F" w:rsidRDefault="00A0705A" w:rsidP="00A0705A">
            <w:pPr>
              <w:spacing w:before="60" w:after="0"/>
              <w:ind w:right="284"/>
              <w:rPr>
                <w:rFonts w:cs="Segoe UI Light"/>
                <w:i/>
                <w:sz w:val="18"/>
              </w:rPr>
            </w:pPr>
            <w:r w:rsidRPr="00D85A7F">
              <w:rPr>
                <w:rFonts w:cs="Segoe UI Light"/>
                <w:i/>
                <w:sz w:val="18"/>
              </w:rPr>
              <w:t xml:space="preserve">Improving communications and engagement: </w:t>
            </w:r>
          </w:p>
          <w:p w14:paraId="656B1525" w14:textId="77777777" w:rsidR="00A0705A" w:rsidRPr="00D85A7F" w:rsidRDefault="00A0705A" w:rsidP="00A0705A">
            <w:pPr>
              <w:pStyle w:val="ListParagraph"/>
              <w:numPr>
                <w:ilvl w:val="0"/>
                <w:numId w:val="36"/>
              </w:numPr>
              <w:spacing w:after="0"/>
              <w:ind w:left="284" w:right="284" w:hanging="284"/>
              <w:rPr>
                <w:rFonts w:cs="Segoe UI Light"/>
                <w:i/>
                <w:sz w:val="18"/>
              </w:rPr>
            </w:pPr>
            <w:r w:rsidRPr="00D85A7F">
              <w:rPr>
                <w:rFonts w:cs="Segoe UI Light"/>
                <w:sz w:val="18"/>
              </w:rPr>
              <w:t>Regulatory partnership management function</w:t>
            </w:r>
          </w:p>
        </w:tc>
        <w:tc>
          <w:tcPr>
            <w:tcW w:w="3119" w:type="dxa"/>
          </w:tcPr>
          <w:p w14:paraId="656B1526" w14:textId="77777777" w:rsidR="00A0705A" w:rsidRPr="00D85A7F" w:rsidRDefault="00A0705A" w:rsidP="00A0705A">
            <w:pPr>
              <w:spacing w:after="0"/>
              <w:ind w:right="284"/>
              <w:rPr>
                <w:rFonts w:cs="Segoe UI Light"/>
                <w:sz w:val="18"/>
              </w:rPr>
            </w:pPr>
            <w:r>
              <w:rPr>
                <w:rFonts w:cs="Segoe UI Light"/>
                <w:color w:val="000000" w:themeColor="text1"/>
                <w:sz w:val="18"/>
                <w:lang w:val="en-US"/>
              </w:rPr>
              <w:t>July 1 2020, ongoing.</w:t>
            </w:r>
          </w:p>
        </w:tc>
      </w:tr>
      <w:tr w:rsidR="00A0705A" w14:paraId="656B1532" w14:textId="77777777" w:rsidTr="00CB1191">
        <w:trPr>
          <w:trHeight w:val="523"/>
        </w:trPr>
        <w:tc>
          <w:tcPr>
            <w:tcW w:w="3118" w:type="dxa"/>
          </w:tcPr>
          <w:p w14:paraId="656B1528" w14:textId="77777777" w:rsidR="00A0705A" w:rsidRPr="00D85A7F" w:rsidRDefault="00A0705A" w:rsidP="00A0705A">
            <w:pPr>
              <w:spacing w:after="0"/>
              <w:ind w:right="284"/>
              <w:rPr>
                <w:rFonts w:cs="Segoe UI Light"/>
                <w:sz w:val="18"/>
              </w:rPr>
            </w:pPr>
            <w:r w:rsidRPr="00D85A7F">
              <w:rPr>
                <w:rFonts w:cs="Segoe UI Light"/>
                <w:sz w:val="18"/>
              </w:rPr>
              <w:t>Permissions applications and ongoing management</w:t>
            </w:r>
          </w:p>
          <w:p w14:paraId="656B1529" w14:textId="77777777" w:rsidR="00A0705A" w:rsidRPr="00D85A7F" w:rsidRDefault="00A0705A" w:rsidP="00A0705A">
            <w:pPr>
              <w:pStyle w:val="ListParagraph"/>
              <w:numPr>
                <w:ilvl w:val="0"/>
                <w:numId w:val="36"/>
              </w:numPr>
              <w:spacing w:after="0"/>
              <w:ind w:left="444" w:right="284" w:hanging="283"/>
              <w:rPr>
                <w:rFonts w:cs="Segoe UI Light"/>
                <w:sz w:val="18"/>
              </w:rPr>
            </w:pPr>
            <w:r w:rsidRPr="00D85A7F">
              <w:rPr>
                <w:rFonts w:cs="Segoe UI Light"/>
                <w:sz w:val="18"/>
              </w:rPr>
              <w:t>Application process, procedures, and system requirements.</w:t>
            </w:r>
          </w:p>
        </w:tc>
        <w:tc>
          <w:tcPr>
            <w:tcW w:w="3118" w:type="dxa"/>
          </w:tcPr>
          <w:p w14:paraId="656B152A" w14:textId="77777777" w:rsidR="00A0705A" w:rsidRPr="00D85A7F" w:rsidRDefault="00A0705A" w:rsidP="00A0705A">
            <w:pPr>
              <w:spacing w:after="0"/>
              <w:ind w:right="284"/>
              <w:rPr>
                <w:rFonts w:cs="Segoe UI Light"/>
                <w:i/>
                <w:sz w:val="18"/>
              </w:rPr>
            </w:pPr>
            <w:r w:rsidRPr="00D85A7F">
              <w:rPr>
                <w:rFonts w:cs="Segoe UI Light"/>
                <w:i/>
                <w:sz w:val="18"/>
              </w:rPr>
              <w:t>Enhancing corporate systems</w:t>
            </w:r>
          </w:p>
          <w:p w14:paraId="656B152B"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Business Planning Reform</w:t>
            </w:r>
          </w:p>
          <w:p w14:paraId="656B152C"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IT operating model</w:t>
            </w:r>
          </w:p>
          <w:p w14:paraId="656B152D" w14:textId="77777777" w:rsidR="00A0705A" w:rsidRPr="00D85A7F" w:rsidRDefault="00A0705A" w:rsidP="00A0705A">
            <w:pPr>
              <w:spacing w:after="0"/>
              <w:ind w:right="284"/>
              <w:rPr>
                <w:rFonts w:cs="Segoe UI Light"/>
                <w:i/>
                <w:sz w:val="18"/>
              </w:rPr>
            </w:pPr>
            <w:r w:rsidRPr="00D85A7F">
              <w:rPr>
                <w:rFonts w:cs="Segoe UI Light"/>
                <w:i/>
                <w:sz w:val="18"/>
              </w:rPr>
              <w:t>Building subordinate legislative framework</w:t>
            </w:r>
          </w:p>
          <w:p w14:paraId="656B152E"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Design and build of regulatory strategy, planning and management capability</w:t>
            </w:r>
          </w:p>
          <w:p w14:paraId="656B152F"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Review and refine regulatory tools</w:t>
            </w:r>
          </w:p>
          <w:p w14:paraId="656B1530" w14:textId="77777777" w:rsidR="00A0705A" w:rsidRPr="00D85A7F" w:rsidRDefault="00A0705A" w:rsidP="00A0705A">
            <w:pPr>
              <w:spacing w:before="60" w:after="60"/>
              <w:ind w:right="284"/>
              <w:rPr>
                <w:rFonts w:cs="Segoe UI Light"/>
                <w:i/>
                <w:sz w:val="18"/>
              </w:rPr>
            </w:pPr>
            <w:r w:rsidRPr="00D85A7F">
              <w:rPr>
                <w:rFonts w:cs="Segoe UI Light"/>
                <w:i/>
                <w:sz w:val="18"/>
              </w:rPr>
              <w:t>IT Transformation program</w:t>
            </w:r>
          </w:p>
        </w:tc>
        <w:tc>
          <w:tcPr>
            <w:tcW w:w="3119" w:type="dxa"/>
          </w:tcPr>
          <w:p w14:paraId="656B1531" w14:textId="77777777" w:rsidR="00A0705A" w:rsidRPr="00D85A7F" w:rsidRDefault="00A0705A" w:rsidP="00A0705A">
            <w:pPr>
              <w:spacing w:after="0"/>
              <w:ind w:right="284"/>
              <w:rPr>
                <w:rFonts w:cs="Segoe UI Light"/>
                <w:sz w:val="18"/>
              </w:rPr>
            </w:pPr>
            <w:r>
              <w:rPr>
                <w:rFonts w:cs="Segoe UI Light"/>
                <w:color w:val="000000" w:themeColor="text1"/>
                <w:sz w:val="18"/>
                <w:lang w:val="en-US"/>
              </w:rPr>
              <w:t>2021-22.</w:t>
            </w:r>
          </w:p>
        </w:tc>
      </w:tr>
      <w:tr w:rsidR="00A0705A" w14:paraId="656B153A" w14:textId="77777777" w:rsidTr="00CB1191">
        <w:trPr>
          <w:trHeight w:val="523"/>
        </w:trPr>
        <w:tc>
          <w:tcPr>
            <w:tcW w:w="3118" w:type="dxa"/>
          </w:tcPr>
          <w:p w14:paraId="656B1533" w14:textId="77777777" w:rsidR="00A0705A" w:rsidRPr="00D85A7F" w:rsidRDefault="00A0705A" w:rsidP="00A0705A">
            <w:pPr>
              <w:spacing w:after="0"/>
              <w:ind w:right="284"/>
              <w:rPr>
                <w:rFonts w:cs="Segoe UI Light"/>
                <w:sz w:val="18"/>
              </w:rPr>
            </w:pPr>
            <w:r w:rsidRPr="00D85A7F">
              <w:rPr>
                <w:rFonts w:cs="Segoe UI Light"/>
                <w:sz w:val="18"/>
              </w:rPr>
              <w:t>Develop new or update existing guidance materials to support the new Regulations.</w:t>
            </w:r>
          </w:p>
        </w:tc>
        <w:tc>
          <w:tcPr>
            <w:tcW w:w="3118" w:type="dxa"/>
          </w:tcPr>
          <w:p w14:paraId="656B1534" w14:textId="77777777" w:rsidR="00A0705A" w:rsidRPr="00D85A7F" w:rsidRDefault="00A0705A" w:rsidP="00A0705A">
            <w:pPr>
              <w:spacing w:after="0"/>
              <w:ind w:right="284"/>
              <w:rPr>
                <w:rFonts w:cs="Segoe UI Light"/>
                <w:i/>
                <w:sz w:val="18"/>
              </w:rPr>
            </w:pPr>
            <w:r w:rsidRPr="00D85A7F">
              <w:rPr>
                <w:rFonts w:cs="Segoe UI Light"/>
                <w:i/>
                <w:sz w:val="18"/>
              </w:rPr>
              <w:t>Developing state of knowledge:</w:t>
            </w:r>
          </w:p>
          <w:p w14:paraId="656B1535"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State of knowledge industry guidance: (stocktake, partnerships, develop guidance)</w:t>
            </w:r>
          </w:p>
          <w:p w14:paraId="656B1536" w14:textId="77777777" w:rsidR="00A0705A" w:rsidRPr="00D85A7F" w:rsidRDefault="00A0705A" w:rsidP="00A0705A">
            <w:pPr>
              <w:spacing w:before="120" w:after="0"/>
              <w:ind w:right="284"/>
              <w:rPr>
                <w:rFonts w:cs="Segoe UI Light"/>
                <w:i/>
                <w:sz w:val="18"/>
              </w:rPr>
            </w:pPr>
            <w:r w:rsidRPr="00D85A7F">
              <w:rPr>
                <w:rFonts w:cs="Segoe UI Light"/>
                <w:i/>
                <w:sz w:val="18"/>
              </w:rPr>
              <w:t>Building subordinate legislative framework</w:t>
            </w:r>
          </w:p>
          <w:p w14:paraId="656B1537"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Design and build of regulatory strategy, planning and management capability</w:t>
            </w:r>
          </w:p>
          <w:p w14:paraId="656B1538"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Review and refine regulatory tools</w:t>
            </w:r>
          </w:p>
        </w:tc>
        <w:tc>
          <w:tcPr>
            <w:tcW w:w="3119" w:type="dxa"/>
          </w:tcPr>
          <w:p w14:paraId="656B1539" w14:textId="77777777" w:rsidR="00A0705A" w:rsidRPr="00D85A7F" w:rsidRDefault="00C33D51" w:rsidP="00A0705A">
            <w:pPr>
              <w:spacing w:after="0"/>
              <w:ind w:right="284"/>
              <w:rPr>
                <w:rFonts w:cs="Segoe UI Light"/>
                <w:sz w:val="18"/>
              </w:rPr>
            </w:pPr>
            <w:r>
              <w:rPr>
                <w:rFonts w:cs="Segoe UI Light"/>
                <w:color w:val="000000" w:themeColor="text1"/>
                <w:sz w:val="18"/>
                <w:lang w:val="en-US"/>
              </w:rPr>
              <w:t xml:space="preserve">Taking </w:t>
            </w:r>
            <w:r w:rsidR="00923F95">
              <w:rPr>
                <w:rFonts w:cs="Segoe UI Light"/>
                <w:color w:val="000000" w:themeColor="text1"/>
                <w:sz w:val="18"/>
                <w:lang w:val="en-US"/>
              </w:rPr>
              <w:t xml:space="preserve">effect </w:t>
            </w:r>
            <w:r w:rsidR="00A0705A">
              <w:rPr>
                <w:rFonts w:cs="Segoe UI Light"/>
                <w:color w:val="000000" w:themeColor="text1"/>
                <w:sz w:val="18"/>
                <w:lang w:val="en-US"/>
              </w:rPr>
              <w:t>July 1 2020</w:t>
            </w:r>
            <w:r w:rsidR="00923F95">
              <w:rPr>
                <w:rFonts w:cs="Segoe UI Light"/>
                <w:color w:val="000000" w:themeColor="text1"/>
                <w:sz w:val="18"/>
                <w:lang w:val="en-US"/>
              </w:rPr>
              <w:t xml:space="preserve"> (development of guidance has commenced and will be progressively released before, on and following commencement of the regulations)</w:t>
            </w:r>
            <w:r w:rsidR="00A0705A">
              <w:rPr>
                <w:rFonts w:cs="Segoe UI Light"/>
                <w:color w:val="000000" w:themeColor="text1"/>
                <w:sz w:val="18"/>
                <w:lang w:val="en-US"/>
              </w:rPr>
              <w:t>.</w:t>
            </w:r>
          </w:p>
        </w:tc>
      </w:tr>
      <w:tr w:rsidR="00A0705A" w14:paraId="656B1548" w14:textId="77777777" w:rsidTr="00CB1191">
        <w:trPr>
          <w:trHeight w:val="523"/>
        </w:trPr>
        <w:tc>
          <w:tcPr>
            <w:tcW w:w="3118" w:type="dxa"/>
          </w:tcPr>
          <w:p w14:paraId="656B153B" w14:textId="77777777" w:rsidR="00A0705A" w:rsidRPr="00D85A7F" w:rsidRDefault="00A0705A" w:rsidP="00A0705A">
            <w:pPr>
              <w:spacing w:after="0"/>
              <w:ind w:right="284"/>
              <w:rPr>
                <w:rFonts w:cs="Segoe UI Light"/>
                <w:sz w:val="18"/>
              </w:rPr>
            </w:pPr>
            <w:r w:rsidRPr="00D85A7F">
              <w:rPr>
                <w:rFonts w:cs="Segoe UI Light"/>
                <w:sz w:val="18"/>
              </w:rPr>
              <w:t>Review need for updated or amended internal EPA operating procedures, methodologies, systems, processes, procedures and databases to support new Regulations.</w:t>
            </w:r>
          </w:p>
        </w:tc>
        <w:tc>
          <w:tcPr>
            <w:tcW w:w="3118" w:type="dxa"/>
          </w:tcPr>
          <w:p w14:paraId="656B153C" w14:textId="77777777" w:rsidR="00A0705A" w:rsidRPr="00D85A7F" w:rsidRDefault="00A0705A" w:rsidP="00A0705A">
            <w:pPr>
              <w:spacing w:after="0"/>
              <w:ind w:right="284"/>
              <w:rPr>
                <w:rFonts w:cs="Segoe UI Light"/>
                <w:i/>
                <w:sz w:val="18"/>
              </w:rPr>
            </w:pPr>
            <w:r w:rsidRPr="00D85A7F">
              <w:rPr>
                <w:rFonts w:cs="Segoe UI Light"/>
                <w:i/>
                <w:sz w:val="18"/>
              </w:rPr>
              <w:t>Enhancing corporate systems:</w:t>
            </w:r>
          </w:p>
          <w:p w14:paraId="656B153D"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Business Planning Reform</w:t>
            </w:r>
          </w:p>
          <w:p w14:paraId="656B153E"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IT operating model</w:t>
            </w:r>
          </w:p>
          <w:p w14:paraId="656B153F" w14:textId="77777777" w:rsidR="00A0705A" w:rsidRPr="00D85A7F" w:rsidRDefault="00A0705A" w:rsidP="00A0705A">
            <w:pPr>
              <w:spacing w:before="120" w:after="0"/>
              <w:ind w:right="284"/>
              <w:rPr>
                <w:rFonts w:cs="Segoe UI Light"/>
                <w:i/>
                <w:sz w:val="18"/>
              </w:rPr>
            </w:pPr>
            <w:r w:rsidRPr="00D85A7F">
              <w:rPr>
                <w:rFonts w:cs="Segoe UI Light"/>
                <w:i/>
                <w:sz w:val="18"/>
              </w:rPr>
              <w:t>Setting regulatory direction:</w:t>
            </w:r>
          </w:p>
          <w:p w14:paraId="656B1540"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Design and build of regulatory strategy, planning and management capability</w:t>
            </w:r>
          </w:p>
          <w:p w14:paraId="656B1541" w14:textId="77777777" w:rsidR="00A0705A" w:rsidRPr="00D85A7F" w:rsidRDefault="00A0705A" w:rsidP="00A0705A">
            <w:pPr>
              <w:spacing w:before="120" w:after="0"/>
              <w:ind w:right="284"/>
              <w:rPr>
                <w:rFonts w:cs="Segoe UI Light"/>
                <w:i/>
                <w:sz w:val="18"/>
              </w:rPr>
            </w:pPr>
            <w:r w:rsidRPr="00D85A7F">
              <w:rPr>
                <w:rFonts w:cs="Segoe UI Light"/>
                <w:i/>
                <w:sz w:val="18"/>
              </w:rPr>
              <w:t>Managing land for the future:</w:t>
            </w:r>
          </w:p>
          <w:p w14:paraId="656B1542"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Creating an integrated system to manage contaminated land</w:t>
            </w:r>
          </w:p>
          <w:p w14:paraId="656B1543"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Statewide database of potentially contaminated sites (Historical Land Use Database)</w:t>
            </w:r>
          </w:p>
          <w:p w14:paraId="656B1544"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Improving contaminated land risk assessment</w:t>
            </w:r>
          </w:p>
          <w:p w14:paraId="656B1545"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Improve planning standards and guidance</w:t>
            </w:r>
          </w:p>
          <w:p w14:paraId="656B1546" w14:textId="77777777" w:rsidR="00A0705A" w:rsidRPr="00D85A7F" w:rsidRDefault="00A0705A" w:rsidP="00A0705A">
            <w:pPr>
              <w:spacing w:before="60" w:after="0"/>
              <w:ind w:right="284"/>
              <w:rPr>
                <w:rFonts w:cs="Segoe UI Light"/>
                <w:i/>
                <w:sz w:val="18"/>
              </w:rPr>
            </w:pPr>
            <w:r w:rsidRPr="00D85A7F">
              <w:rPr>
                <w:rFonts w:cs="Segoe UI Light"/>
                <w:i/>
                <w:sz w:val="18"/>
              </w:rPr>
              <w:t>IT Transformation program</w:t>
            </w:r>
          </w:p>
        </w:tc>
        <w:tc>
          <w:tcPr>
            <w:tcW w:w="3119" w:type="dxa"/>
          </w:tcPr>
          <w:p w14:paraId="656B1547" w14:textId="77777777" w:rsidR="00A0705A" w:rsidRPr="00D85A7F" w:rsidRDefault="00A0705A" w:rsidP="00A0705A">
            <w:pPr>
              <w:spacing w:after="0"/>
              <w:ind w:right="284"/>
              <w:rPr>
                <w:rFonts w:cs="Segoe UI Light"/>
                <w:sz w:val="18"/>
              </w:rPr>
            </w:pPr>
            <w:r>
              <w:rPr>
                <w:rFonts w:cs="Segoe UI Light"/>
                <w:sz w:val="18"/>
              </w:rPr>
              <w:t>July 1 2020, ongoing.</w:t>
            </w:r>
          </w:p>
        </w:tc>
      </w:tr>
      <w:tr w:rsidR="00A0705A" w14:paraId="656B1550" w14:textId="77777777" w:rsidTr="00CB1191">
        <w:trPr>
          <w:trHeight w:val="523"/>
        </w:trPr>
        <w:tc>
          <w:tcPr>
            <w:tcW w:w="3118" w:type="dxa"/>
          </w:tcPr>
          <w:p w14:paraId="656B1549" w14:textId="77777777" w:rsidR="00A0705A" w:rsidRPr="00D85A7F" w:rsidRDefault="00A0705A">
            <w:pPr>
              <w:spacing w:after="0"/>
              <w:ind w:right="284"/>
              <w:rPr>
                <w:rFonts w:cs="Segoe UI Light"/>
                <w:sz w:val="18"/>
              </w:rPr>
            </w:pPr>
            <w:r w:rsidRPr="00D85A7F">
              <w:rPr>
                <w:rFonts w:cs="Segoe UI Light"/>
                <w:sz w:val="18"/>
              </w:rPr>
              <w:t>Quality Assurance and independent evaluation implementation for transition to new legislative and regulatory framework</w:t>
            </w:r>
          </w:p>
        </w:tc>
        <w:tc>
          <w:tcPr>
            <w:tcW w:w="3118" w:type="dxa"/>
          </w:tcPr>
          <w:p w14:paraId="656B154A" w14:textId="77777777" w:rsidR="00A0705A" w:rsidRPr="00D85A7F" w:rsidRDefault="00A0705A" w:rsidP="00A0705A">
            <w:pPr>
              <w:spacing w:after="0"/>
              <w:ind w:right="284"/>
              <w:rPr>
                <w:rFonts w:cs="Segoe UI Light"/>
                <w:i/>
                <w:sz w:val="18"/>
              </w:rPr>
            </w:pPr>
            <w:r w:rsidRPr="00D85A7F">
              <w:rPr>
                <w:rFonts w:cs="Segoe UI Light"/>
                <w:i/>
                <w:sz w:val="18"/>
              </w:rPr>
              <w:t>Build regulatory excellence</w:t>
            </w:r>
          </w:p>
          <w:p w14:paraId="656B154B"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Establish internal review function</w:t>
            </w:r>
          </w:p>
          <w:p w14:paraId="656B154C" w14:textId="77777777" w:rsidR="00A0705A" w:rsidRPr="00D85A7F" w:rsidRDefault="00A0705A" w:rsidP="00A0705A">
            <w:pPr>
              <w:pStyle w:val="ListParagraph"/>
              <w:numPr>
                <w:ilvl w:val="0"/>
                <w:numId w:val="36"/>
              </w:numPr>
              <w:spacing w:after="0"/>
              <w:ind w:left="284" w:right="284" w:hanging="284"/>
              <w:rPr>
                <w:rFonts w:cs="Segoe UI Light"/>
                <w:sz w:val="18"/>
              </w:rPr>
            </w:pPr>
            <w:r w:rsidRPr="00D85A7F">
              <w:rPr>
                <w:rFonts w:cs="Segoe UI Light"/>
                <w:sz w:val="18"/>
              </w:rPr>
              <w:t>Regulatory Excellence Framework</w:t>
            </w:r>
          </w:p>
        </w:tc>
        <w:tc>
          <w:tcPr>
            <w:tcW w:w="3119" w:type="dxa"/>
          </w:tcPr>
          <w:p w14:paraId="656B154D" w14:textId="77777777" w:rsidR="00A0705A" w:rsidRDefault="00A0705A" w:rsidP="00A0705A">
            <w:pPr>
              <w:spacing w:after="0"/>
              <w:ind w:right="284"/>
              <w:rPr>
                <w:rFonts w:cs="Segoe UI Light"/>
                <w:sz w:val="18"/>
              </w:rPr>
            </w:pPr>
            <w:r>
              <w:rPr>
                <w:rFonts w:cs="Segoe UI Light"/>
                <w:sz w:val="18"/>
              </w:rPr>
              <w:t>2021-22.</w:t>
            </w:r>
          </w:p>
          <w:p w14:paraId="656B154E" w14:textId="77777777" w:rsidR="00A0705A" w:rsidRDefault="00A0705A" w:rsidP="00A0705A">
            <w:pPr>
              <w:spacing w:after="0"/>
              <w:ind w:right="284"/>
              <w:rPr>
                <w:rFonts w:cs="Segoe UI Light"/>
                <w:sz w:val="18"/>
              </w:rPr>
            </w:pPr>
          </w:p>
          <w:p w14:paraId="656B154F" w14:textId="77777777" w:rsidR="00A0705A" w:rsidRPr="00D85A7F" w:rsidRDefault="00A0705A" w:rsidP="00A0705A">
            <w:pPr>
              <w:spacing w:after="0"/>
              <w:ind w:right="284"/>
              <w:rPr>
                <w:rFonts w:cs="Segoe UI Light"/>
                <w:sz w:val="18"/>
              </w:rPr>
            </w:pPr>
            <w:r>
              <w:rPr>
                <w:rFonts w:cs="Segoe UI Light"/>
                <w:sz w:val="18"/>
              </w:rPr>
              <w:t>Internal Review function: established July 1 2020.</w:t>
            </w:r>
          </w:p>
        </w:tc>
      </w:tr>
      <w:tr w:rsidR="00A673DF" w14:paraId="656B155B" w14:textId="77777777" w:rsidTr="00CB1191">
        <w:trPr>
          <w:trHeight w:val="1872"/>
        </w:trPr>
        <w:tc>
          <w:tcPr>
            <w:tcW w:w="3118" w:type="dxa"/>
            <w:tcBorders>
              <w:top w:val="single" w:sz="24" w:space="0" w:color="A5A5A5"/>
              <w:left w:val="nil"/>
              <w:bottom w:val="single" w:sz="8" w:space="0" w:color="000000"/>
              <w:right w:val="nil"/>
            </w:tcBorders>
          </w:tcPr>
          <w:p w14:paraId="656B1551" w14:textId="77777777" w:rsidR="00A673DF" w:rsidRPr="00CB1191" w:rsidRDefault="00A673DF" w:rsidP="00CB1191">
            <w:pPr>
              <w:spacing w:after="0"/>
              <w:ind w:right="284"/>
              <w:rPr>
                <w:rFonts w:cs="Segoe UI Light"/>
                <w:sz w:val="18"/>
                <w:lang w:val="en-GB"/>
              </w:rPr>
            </w:pPr>
            <w:r w:rsidRPr="00CB1191">
              <w:rPr>
                <w:sz w:val="18"/>
                <w:lang w:val="en-GB"/>
              </w:rPr>
              <w:t>Delegation and Authorisations</w:t>
            </w:r>
          </w:p>
          <w:p w14:paraId="656B1552" w14:textId="77777777" w:rsidR="00A673DF" w:rsidRPr="00CB1191" w:rsidRDefault="00A673DF" w:rsidP="00CB1191">
            <w:pPr>
              <w:pStyle w:val="AmendHeading1s"/>
              <w:spacing w:before="0" w:line="240" w:lineRule="atLeast"/>
              <w:rPr>
                <w:rFonts w:ascii="Segoe UI Light" w:hAnsi="Segoe UI Light" w:cs="Segoe UI Light"/>
                <w:b w:val="0"/>
                <w:sz w:val="18"/>
                <w:szCs w:val="18"/>
                <w:lang w:val="en-GB"/>
              </w:rPr>
            </w:pPr>
            <w:r w:rsidRPr="00CB1191">
              <w:rPr>
                <w:rFonts w:ascii="Segoe UI Light" w:hAnsi="Segoe UI Light" w:cs="Segoe UI Light"/>
                <w:b w:val="0"/>
                <w:bCs/>
                <w:sz w:val="18"/>
                <w:szCs w:val="18"/>
                <w:lang w:val="en-GB"/>
              </w:rPr>
              <w:t>In accordance with section 437 of the EP legislation, EPA’s Governing Board may by instrument in writing delegate all or any of the Auth</w:t>
            </w:r>
            <w:r>
              <w:rPr>
                <w:rFonts w:ascii="Segoe UI Light" w:hAnsi="Segoe UI Light" w:cs="Segoe UI Light"/>
                <w:b w:val="0"/>
                <w:bCs/>
                <w:sz w:val="18"/>
                <w:szCs w:val="18"/>
                <w:lang w:val="en-GB"/>
              </w:rPr>
              <w:t>ority's powers and functions to -</w:t>
            </w:r>
          </w:p>
          <w:p w14:paraId="656B1553" w14:textId="77777777" w:rsidR="00A673DF" w:rsidRPr="00CB1191" w:rsidRDefault="00A673DF" w:rsidP="00CB1191">
            <w:pPr>
              <w:pStyle w:val="AmendHeading1s"/>
              <w:numPr>
                <w:ilvl w:val="4"/>
                <w:numId w:val="399"/>
              </w:numPr>
              <w:spacing w:before="0" w:line="240" w:lineRule="atLeast"/>
              <w:ind w:left="567" w:hanging="425"/>
              <w:rPr>
                <w:rFonts w:ascii="Segoe UI Light" w:hAnsi="Segoe UI Light" w:cs="Segoe UI Light"/>
                <w:b w:val="0"/>
                <w:bCs/>
                <w:sz w:val="18"/>
                <w:szCs w:val="18"/>
                <w:lang w:val="en-GB"/>
              </w:rPr>
            </w:pPr>
            <w:r w:rsidRPr="00CB1191">
              <w:rPr>
                <w:rFonts w:ascii="Segoe UI Light" w:hAnsi="Segoe UI Light" w:cs="Segoe UI Light"/>
                <w:b w:val="0"/>
                <w:bCs/>
                <w:sz w:val="18"/>
                <w:szCs w:val="18"/>
                <w:lang w:val="en-GB"/>
              </w:rPr>
              <w:t>a public sector body; or</w:t>
            </w:r>
          </w:p>
          <w:p w14:paraId="656B1554" w14:textId="77777777" w:rsidR="00A673DF" w:rsidRPr="00CB1191" w:rsidRDefault="00A673DF" w:rsidP="00CB1191">
            <w:pPr>
              <w:pStyle w:val="AmendHeading1s"/>
              <w:numPr>
                <w:ilvl w:val="4"/>
                <w:numId w:val="399"/>
              </w:numPr>
              <w:spacing w:before="0" w:line="240" w:lineRule="atLeast"/>
              <w:ind w:left="567" w:hanging="425"/>
              <w:rPr>
                <w:rFonts w:ascii="Segoe UI Light" w:hAnsi="Segoe UI Light" w:cs="Segoe UI Light"/>
                <w:b w:val="0"/>
                <w:bCs/>
                <w:sz w:val="18"/>
                <w:szCs w:val="18"/>
                <w:lang w:val="en-GB"/>
              </w:rPr>
            </w:pPr>
            <w:r w:rsidRPr="00CB1191">
              <w:rPr>
                <w:rFonts w:ascii="Segoe UI Light" w:hAnsi="Segoe UI Light" w:cs="Segoe UI Light"/>
                <w:b w:val="0"/>
                <w:bCs/>
                <w:sz w:val="18"/>
                <w:szCs w:val="18"/>
                <w:lang w:val="en-GB"/>
              </w:rPr>
              <w:t>a council; or</w:t>
            </w:r>
          </w:p>
          <w:p w14:paraId="656B1555" w14:textId="77777777" w:rsidR="00A673DF" w:rsidRPr="00CB1191" w:rsidRDefault="00A673DF" w:rsidP="00CB1191">
            <w:pPr>
              <w:pStyle w:val="AmendHeading1s"/>
              <w:numPr>
                <w:ilvl w:val="4"/>
                <w:numId w:val="399"/>
              </w:numPr>
              <w:spacing w:before="0" w:line="240" w:lineRule="atLeast"/>
              <w:ind w:left="567" w:hanging="425"/>
              <w:rPr>
                <w:rFonts w:ascii="Segoe UI Light" w:hAnsi="Segoe UI Light" w:cs="Segoe UI Light"/>
                <w:b w:val="0"/>
                <w:bCs/>
                <w:sz w:val="18"/>
                <w:szCs w:val="18"/>
                <w:lang w:val="en-GB"/>
              </w:rPr>
            </w:pPr>
            <w:r w:rsidRPr="00CB1191">
              <w:rPr>
                <w:rFonts w:ascii="Segoe UI Light" w:hAnsi="Segoe UI Light" w:cs="Segoe UI Light"/>
                <w:b w:val="0"/>
                <w:bCs/>
                <w:sz w:val="18"/>
                <w:szCs w:val="18"/>
                <w:lang w:val="en-GB"/>
              </w:rPr>
              <w:t>an officer or employee, or class of officer or employee, of the Authority; or</w:t>
            </w:r>
          </w:p>
          <w:p w14:paraId="656B1556" w14:textId="77777777" w:rsidR="00A673DF" w:rsidRPr="00CB1191" w:rsidRDefault="00A673DF" w:rsidP="00CB1191">
            <w:pPr>
              <w:pStyle w:val="AmendHeading1s"/>
              <w:numPr>
                <w:ilvl w:val="4"/>
                <w:numId w:val="399"/>
              </w:numPr>
              <w:spacing w:before="0" w:after="120" w:line="240" w:lineRule="atLeast"/>
              <w:ind w:left="567" w:hanging="425"/>
              <w:rPr>
                <w:rFonts w:cs="Segoe UI Light"/>
                <w:bCs/>
                <w:sz w:val="18"/>
                <w:lang w:val="en-GB"/>
              </w:rPr>
            </w:pPr>
            <w:r w:rsidRPr="00CB1191">
              <w:rPr>
                <w:rFonts w:ascii="Segoe UI Light" w:hAnsi="Segoe UI Light" w:cs="Segoe UI Light"/>
                <w:b w:val="0"/>
                <w:bCs/>
                <w:sz w:val="18"/>
                <w:szCs w:val="18"/>
                <w:lang w:val="en-GB"/>
              </w:rPr>
              <w:t>an officer or employee, or class of officer or employee, of any other public sector body or a council.</w:t>
            </w:r>
          </w:p>
          <w:p w14:paraId="656B1557" w14:textId="77777777" w:rsidR="00A673DF" w:rsidRPr="00CB1191" w:rsidRDefault="00A673DF" w:rsidP="00CB1191">
            <w:pPr>
              <w:spacing w:after="0"/>
              <w:rPr>
                <w:rFonts w:ascii="Calibri" w:hAnsi="Calibri" w:cs="Calibri"/>
                <w:sz w:val="18"/>
                <w:lang w:val="en-GB"/>
              </w:rPr>
            </w:pPr>
            <w:r w:rsidRPr="00CB1191">
              <w:rPr>
                <w:sz w:val="18"/>
                <w:lang w:val="en-GB"/>
              </w:rPr>
              <w:t xml:space="preserve">Delegations under the existing framework will need to be revised under the new EP legislation.  You can find out more about EPA’s delegation’s here: </w:t>
            </w:r>
            <w:hyperlink r:id="rId79" w:history="1">
              <w:r w:rsidRPr="00A673DF">
                <w:rPr>
                  <w:rStyle w:val="Hyperlink"/>
                  <w:sz w:val="18"/>
                  <w:lang w:val="en-GB"/>
                </w:rPr>
                <w:t>https://www.epa.vic.gov.au/~/media/Publications/1478%204.pdf</w:t>
              </w:r>
            </w:hyperlink>
          </w:p>
        </w:tc>
        <w:tc>
          <w:tcPr>
            <w:tcW w:w="3118" w:type="dxa"/>
            <w:tcBorders>
              <w:top w:val="single" w:sz="24" w:space="0" w:color="A5A5A5"/>
              <w:left w:val="nil"/>
              <w:bottom w:val="single" w:sz="8" w:space="0" w:color="000000"/>
              <w:right w:val="nil"/>
            </w:tcBorders>
          </w:tcPr>
          <w:p w14:paraId="656B1558" w14:textId="77777777" w:rsidR="00FF454C" w:rsidRDefault="00A673DF" w:rsidP="00CB1191">
            <w:pPr>
              <w:rPr>
                <w:sz w:val="18"/>
                <w:lang w:val="en-GB"/>
              </w:rPr>
            </w:pPr>
            <w:r w:rsidRPr="00CB1191">
              <w:rPr>
                <w:i/>
                <w:iCs/>
                <w:sz w:val="18"/>
                <w:lang w:val="en-GB"/>
              </w:rPr>
              <w:t>Delegation and Authorisations</w:t>
            </w:r>
          </w:p>
          <w:p w14:paraId="656B1559" w14:textId="77777777" w:rsidR="00A673DF" w:rsidRPr="00CB1191" w:rsidRDefault="00FF454C" w:rsidP="00CB1191">
            <w:pPr>
              <w:rPr>
                <w:i/>
              </w:rPr>
            </w:pPr>
            <w:r>
              <w:rPr>
                <w:rFonts w:cs="Segoe UI Light"/>
                <w:sz w:val="18"/>
              </w:rPr>
              <w:t xml:space="preserve">- </w:t>
            </w:r>
            <w:r w:rsidRPr="00FF454C">
              <w:rPr>
                <w:rFonts w:cs="Segoe UI Light"/>
                <w:sz w:val="18"/>
              </w:rPr>
              <w:t xml:space="preserve">Preparation of the necessary instrument of delegation and authorisations of powers under the EP Act 2017 and the proposed regulations (for EPA and required external delegation) </w:t>
            </w:r>
          </w:p>
        </w:tc>
        <w:tc>
          <w:tcPr>
            <w:tcW w:w="3119" w:type="dxa"/>
            <w:tcBorders>
              <w:top w:val="single" w:sz="24" w:space="0" w:color="A5A5A5"/>
              <w:left w:val="nil"/>
              <w:bottom w:val="single" w:sz="8" w:space="0" w:color="000000"/>
              <w:right w:val="nil"/>
            </w:tcBorders>
          </w:tcPr>
          <w:p w14:paraId="656B155A" w14:textId="77777777" w:rsidR="00A673DF" w:rsidRPr="00CB1191" w:rsidRDefault="00A673DF" w:rsidP="00A673DF">
            <w:pPr>
              <w:spacing w:after="0"/>
              <w:ind w:right="284"/>
              <w:rPr>
                <w:rFonts w:cs="Segoe UI Light"/>
                <w:sz w:val="18"/>
              </w:rPr>
            </w:pPr>
            <w:r w:rsidRPr="00CB1191">
              <w:rPr>
                <w:sz w:val="18"/>
                <w:lang w:val="en-GB"/>
              </w:rPr>
              <w:t>Required to be in place by 1 July 2020</w:t>
            </w:r>
          </w:p>
        </w:tc>
      </w:tr>
    </w:tbl>
    <w:p w14:paraId="656B155C" w14:textId="77777777" w:rsidR="006F6084" w:rsidRDefault="006F6084" w:rsidP="006F6084"/>
    <w:p w14:paraId="656B155D" w14:textId="77777777" w:rsidR="006F6084" w:rsidRDefault="006F6084" w:rsidP="00153F27">
      <w:pPr>
        <w:pStyle w:val="Heading3"/>
        <w:ind w:left="720"/>
      </w:pPr>
      <w:bookmarkStart w:id="1981" w:name="_Ref536702234"/>
      <w:r>
        <w:t>Stakeholder communications and engagement plan</w:t>
      </w:r>
      <w:bookmarkEnd w:id="1981"/>
    </w:p>
    <w:p w14:paraId="656B155E" w14:textId="77777777" w:rsidR="006F6084" w:rsidRDefault="006F6084" w:rsidP="006F6084">
      <w:r>
        <w:t xml:space="preserve">The </w:t>
      </w:r>
      <w:r w:rsidR="000D139E">
        <w:t>new EP legislation</w:t>
      </w:r>
      <w:r>
        <w:t xml:space="preserve"> establishes a new regulatory environment whereby all Victorians have a general duty to</w:t>
      </w:r>
      <w:r w:rsidRPr="00905454">
        <w:rPr>
          <w:rFonts w:eastAsia="Calibri"/>
        </w:rPr>
        <w:t xml:space="preserve"> </w:t>
      </w:r>
      <w:r w:rsidRPr="00EC4EDF">
        <w:rPr>
          <w:rFonts w:cs="Segoe UI Light"/>
          <w:szCs w:val="20"/>
        </w:rPr>
        <w:t>take reasonably practicable steps to eliminate or otherwise reduce the risk of harm to human health and the environment from pollution and waste</w:t>
      </w:r>
      <w:r>
        <w:rPr>
          <w:rFonts w:cs="Segoe UI Light"/>
          <w:szCs w:val="20"/>
        </w:rPr>
        <w:t xml:space="preserve">. </w:t>
      </w:r>
    </w:p>
    <w:p w14:paraId="656B155F" w14:textId="77777777" w:rsidR="006F6084" w:rsidRDefault="006F6084" w:rsidP="006F6084">
      <w:r>
        <w:t>This change significantly impact</w:t>
      </w:r>
      <w:r w:rsidR="001C4CD6">
        <w:t>s</w:t>
      </w:r>
      <w:r>
        <w:t xml:space="preserve"> how </w:t>
      </w:r>
      <w:r w:rsidR="001B4CE3">
        <w:t>EPA</w:t>
      </w:r>
      <w:r>
        <w:t xml:space="preserve"> needs to engage and consult. </w:t>
      </w:r>
      <w:r w:rsidR="001B4CE3">
        <w:t>EPA</w:t>
      </w:r>
      <w:r>
        <w:t xml:space="preserve">’s focus </w:t>
      </w:r>
      <w:r w:rsidR="008059FB">
        <w:t xml:space="preserve">prior to </w:t>
      </w:r>
      <w:r>
        <w:t xml:space="preserve">the </w:t>
      </w:r>
      <w:r w:rsidR="000D139E">
        <w:t>new EP legislation</w:t>
      </w:r>
      <w:r>
        <w:t xml:space="preserve"> was on a relatively small number of high-risk industries</w:t>
      </w:r>
      <w:r w:rsidR="002D3FB9">
        <w:t xml:space="preserve">, </w:t>
      </w:r>
      <w:r>
        <w:t>businesses</w:t>
      </w:r>
      <w:r w:rsidR="002D3FB9">
        <w:t xml:space="preserve"> and activities</w:t>
      </w:r>
      <w:r>
        <w:t>. Its focus is now broadened to encompass all Victorian businesses and the community.</w:t>
      </w:r>
    </w:p>
    <w:p w14:paraId="656B1560" w14:textId="77777777" w:rsidR="006F6084" w:rsidRDefault="001B4CE3" w:rsidP="006F6084">
      <w:r>
        <w:t>EPA</w:t>
      </w:r>
      <w:r w:rsidR="006F6084">
        <w:t xml:space="preserve"> has developed a Legislative Transition Stakeholder Consultation and Engagement Plan </w:t>
      </w:r>
      <w:r w:rsidR="007E791C">
        <w:t xml:space="preserve">(Stakeholder Consultation and Engagement Plan) </w:t>
      </w:r>
      <w:r w:rsidR="006F6084">
        <w:t>which, amongst other things, reflects this broadened responsibility. The aim of the Plan is to:</w:t>
      </w:r>
    </w:p>
    <w:p w14:paraId="656B1561" w14:textId="77777777" w:rsidR="006F6084" w:rsidRDefault="00A9529C" w:rsidP="004A2442">
      <w:pPr>
        <w:numPr>
          <w:ilvl w:val="0"/>
          <w:numId w:val="37"/>
        </w:numPr>
        <w:spacing w:after="0" w:line="240" w:lineRule="auto"/>
        <w:rPr>
          <w:color w:val="000000"/>
        </w:rPr>
      </w:pPr>
      <w:r>
        <w:rPr>
          <w:noProof/>
          <w:color w:val="000000"/>
          <w:shd w:val="clear" w:color="auto" w:fill="E6E6E6"/>
          <w:lang w:eastAsia="en-AU"/>
        </w:rPr>
        <mc:AlternateContent>
          <mc:Choice Requires="wps">
            <w:drawing>
              <wp:anchor distT="0" distB="0" distL="114300" distR="114300" simplePos="0" relativeHeight="251658252" behindDoc="0" locked="0" layoutInCell="1" allowOverlap="1" wp14:anchorId="656B1ECE" wp14:editId="656B1ECF">
                <wp:simplePos x="0" y="0"/>
                <wp:positionH relativeFrom="column">
                  <wp:posOffset>-730217</wp:posOffset>
                </wp:positionH>
                <wp:positionV relativeFrom="paragraph">
                  <wp:posOffset>316798</wp:posOffset>
                </wp:positionV>
                <wp:extent cx="0" cy="34758"/>
                <wp:effectExtent l="0" t="0" r="38100" b="22860"/>
                <wp:wrapNone/>
                <wp:docPr id="1797047342" name="Straight Connector 1797047342"/>
                <wp:cNvGraphicFramePr/>
                <a:graphic xmlns:a="http://schemas.openxmlformats.org/drawingml/2006/main">
                  <a:graphicData uri="http://schemas.microsoft.com/office/word/2010/wordprocessingShape">
                    <wps:wsp>
                      <wps:cNvCnPr/>
                      <wps:spPr>
                        <a:xfrm flipH="1" flipV="1">
                          <a:off x="0" y="0"/>
                          <a:ext cx="0" cy="34758"/>
                        </a:xfrm>
                        <a:prstGeom prst="line">
                          <a:avLst/>
                        </a:prstGeom>
                        <a:ln>
                          <a:solidFill>
                            <a:srgbClr val="445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850C7" id="Straight Connector 1797047342" o:spid="_x0000_s1026" style="position:absolute;flip:x 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24.95pt" to="-5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" strokecolor="#44546a"/>
            </w:pict>
          </mc:Fallback>
        </mc:AlternateContent>
      </w:r>
      <w:r w:rsidR="006F6084">
        <w:rPr>
          <w:color w:val="000000"/>
        </w:rPr>
        <w:t xml:space="preserve">Build business, government and community awareness about the new </w:t>
      </w:r>
      <w:r w:rsidR="002D3FB9">
        <w:rPr>
          <w:color w:val="000000"/>
        </w:rPr>
        <w:t>EP legislation</w:t>
      </w:r>
      <w:r w:rsidR="006F6084">
        <w:rPr>
          <w:color w:val="000000"/>
        </w:rPr>
        <w:t xml:space="preserve"> and its importance to protect human health and the environment by reducing the harmful effects of pollution and waste.</w:t>
      </w:r>
    </w:p>
    <w:p w14:paraId="656B1562" w14:textId="77777777" w:rsidR="006F6084" w:rsidRDefault="006F6084" w:rsidP="004A2442">
      <w:pPr>
        <w:numPr>
          <w:ilvl w:val="0"/>
          <w:numId w:val="37"/>
        </w:numPr>
        <w:spacing w:after="0" w:line="240" w:lineRule="auto"/>
        <w:rPr>
          <w:color w:val="000000"/>
        </w:rPr>
      </w:pPr>
      <w:r>
        <w:rPr>
          <w:color w:val="000000"/>
        </w:rPr>
        <w:t>Inform</w:t>
      </w:r>
      <w:r w:rsidR="00E41F45">
        <w:rPr>
          <w:color w:val="000000"/>
        </w:rPr>
        <w:t>,</w:t>
      </w:r>
      <w:r>
        <w:rPr>
          <w:color w:val="000000"/>
        </w:rPr>
        <w:t xml:space="preserve"> and educate and collaborate with businesses and individuals on what they need to do to be compliant with the new </w:t>
      </w:r>
      <w:r w:rsidR="002D3FB9">
        <w:rPr>
          <w:color w:val="000000"/>
        </w:rPr>
        <w:t xml:space="preserve">EP legislation </w:t>
      </w:r>
      <w:r>
        <w:rPr>
          <w:color w:val="000000"/>
        </w:rPr>
        <w:t>once it comes into operation and what they can do to prepare.</w:t>
      </w:r>
    </w:p>
    <w:p w14:paraId="656B1563" w14:textId="77777777" w:rsidR="006F6084" w:rsidRDefault="006F6084" w:rsidP="004A2442">
      <w:pPr>
        <w:numPr>
          <w:ilvl w:val="0"/>
          <w:numId w:val="37"/>
        </w:numPr>
        <w:spacing w:line="240" w:lineRule="auto"/>
        <w:rPr>
          <w:color w:val="000000"/>
        </w:rPr>
      </w:pPr>
      <w:r>
        <w:rPr>
          <w:color w:val="000000"/>
        </w:rPr>
        <w:t>Ensure key stakeholders have an opportunity to provide their expert input into the development of the new subordinate instruments, industry guidance and EPA policy documents through formal and informal consultation.</w:t>
      </w:r>
    </w:p>
    <w:p w14:paraId="656B1564" w14:textId="77777777" w:rsidR="006F6084" w:rsidRDefault="006F6084" w:rsidP="006F6084">
      <w:r>
        <w:t xml:space="preserve">The </w:t>
      </w:r>
      <w:r w:rsidR="007E791C">
        <w:t xml:space="preserve">Stakeholder Consultation and Engagement Plan </w:t>
      </w:r>
      <w:r>
        <w:t>sets out:</w:t>
      </w:r>
    </w:p>
    <w:p w14:paraId="656B1565" w14:textId="77777777" w:rsidR="006F6084" w:rsidRDefault="006F6084" w:rsidP="004A2442">
      <w:pPr>
        <w:pStyle w:val="ListParagraph"/>
        <w:numPr>
          <w:ilvl w:val="0"/>
          <w:numId w:val="39"/>
        </w:numPr>
        <w:spacing w:after="170"/>
      </w:pPr>
      <w:r>
        <w:t>Objectives of the Plan</w:t>
      </w:r>
    </w:p>
    <w:p w14:paraId="656B1566" w14:textId="77777777" w:rsidR="006F6084" w:rsidRDefault="006F6084" w:rsidP="004A2442">
      <w:pPr>
        <w:pStyle w:val="ListParagraph"/>
        <w:numPr>
          <w:ilvl w:val="0"/>
          <w:numId w:val="39"/>
        </w:numPr>
        <w:spacing w:after="170"/>
      </w:pPr>
      <w:r>
        <w:t>Information to be communicated</w:t>
      </w:r>
    </w:p>
    <w:p w14:paraId="656B1567" w14:textId="77777777" w:rsidR="006F6084" w:rsidRDefault="006F6084" w:rsidP="004A2442">
      <w:pPr>
        <w:pStyle w:val="ListParagraph"/>
        <w:numPr>
          <w:ilvl w:val="0"/>
          <w:numId w:val="39"/>
        </w:numPr>
        <w:spacing w:after="170"/>
      </w:pPr>
      <w:r>
        <w:t>Key streams of activity, work tasks and timelines</w:t>
      </w:r>
    </w:p>
    <w:p w14:paraId="656B1568" w14:textId="77777777" w:rsidR="006F6084" w:rsidRDefault="006F6084" w:rsidP="004A2442">
      <w:pPr>
        <w:pStyle w:val="ListParagraph"/>
        <w:numPr>
          <w:ilvl w:val="0"/>
          <w:numId w:val="39"/>
        </w:numPr>
        <w:spacing w:after="170"/>
      </w:pPr>
      <w:r>
        <w:t>Risk management</w:t>
      </w:r>
    </w:p>
    <w:p w14:paraId="656B1569" w14:textId="77777777" w:rsidR="006F6084" w:rsidRDefault="006F6084" w:rsidP="004A2442">
      <w:pPr>
        <w:pStyle w:val="ListParagraph"/>
        <w:numPr>
          <w:ilvl w:val="0"/>
          <w:numId w:val="39"/>
        </w:numPr>
        <w:spacing w:after="170"/>
      </w:pPr>
      <w:r>
        <w:t>Evaluation methods.</w:t>
      </w:r>
    </w:p>
    <w:p w14:paraId="656B156A" w14:textId="77777777" w:rsidR="002D3FB9" w:rsidRDefault="002D3FB9" w:rsidP="000E7C5E">
      <w:r>
        <w:t>A coordinated approach will be used by EPA to manage its consultation and engagement with stakeholders including five streams:</w:t>
      </w:r>
    </w:p>
    <w:p w14:paraId="656B156B" w14:textId="77777777" w:rsidR="00A34F7B" w:rsidRDefault="006F6084" w:rsidP="004A2442">
      <w:pPr>
        <w:numPr>
          <w:ilvl w:val="0"/>
          <w:numId w:val="40"/>
        </w:numPr>
        <w:spacing w:line="240" w:lineRule="auto"/>
        <w:rPr>
          <w:color w:val="000000"/>
        </w:rPr>
      </w:pPr>
      <w:r>
        <w:rPr>
          <w:color w:val="000000"/>
        </w:rPr>
        <w:t xml:space="preserve">General education, awareness and guidance about the </w:t>
      </w:r>
      <w:r w:rsidR="000D139E">
        <w:rPr>
          <w:color w:val="000000"/>
        </w:rPr>
        <w:t>new EP legislation</w:t>
      </w:r>
      <w:r>
        <w:rPr>
          <w:color w:val="000000"/>
        </w:rPr>
        <w:t>, who it applies to and how it works, including a public awareness campaign.</w:t>
      </w:r>
      <w:r w:rsidR="00A34F7B" w:rsidRPr="00A34F7B">
        <w:rPr>
          <w:color w:val="000000"/>
        </w:rPr>
        <w:t xml:space="preserve"> This will include</w:t>
      </w:r>
      <w:r w:rsidR="00A34F7B">
        <w:rPr>
          <w:color w:val="000000"/>
        </w:rPr>
        <w:t>:</w:t>
      </w:r>
    </w:p>
    <w:p w14:paraId="656B156C" w14:textId="77777777" w:rsidR="00A34F7B" w:rsidRDefault="00A34F7B" w:rsidP="004A2442">
      <w:pPr>
        <w:pStyle w:val="ListParagraph"/>
        <w:numPr>
          <w:ilvl w:val="0"/>
          <w:numId w:val="68"/>
        </w:numPr>
        <w:spacing w:after="0" w:line="240" w:lineRule="auto"/>
        <w:textboxTightWrap w:val="none"/>
        <w:rPr>
          <w:color w:val="000000"/>
        </w:rPr>
      </w:pPr>
      <w:r>
        <w:rPr>
          <w:color w:val="000000"/>
        </w:rPr>
        <w:t xml:space="preserve">Communication and engagement with the community </w:t>
      </w:r>
      <w:r w:rsidRPr="00A34F7B">
        <w:rPr>
          <w:color w:val="000000"/>
        </w:rPr>
        <w:t xml:space="preserve">about the new </w:t>
      </w:r>
      <w:r w:rsidR="002D3FB9">
        <w:rPr>
          <w:color w:val="000000"/>
        </w:rPr>
        <w:t>EP legislation</w:t>
      </w:r>
      <w:r w:rsidRPr="00A34F7B">
        <w:rPr>
          <w:color w:val="000000"/>
        </w:rPr>
        <w:t xml:space="preserve">, and support to comply with the new </w:t>
      </w:r>
      <w:r>
        <w:rPr>
          <w:color w:val="000000"/>
        </w:rPr>
        <w:t xml:space="preserve">scheme, primarily via </w:t>
      </w:r>
      <w:r w:rsidR="000514DD">
        <w:rPr>
          <w:color w:val="000000"/>
        </w:rPr>
        <w:t>EPA</w:t>
      </w:r>
      <w:r>
        <w:rPr>
          <w:color w:val="000000"/>
        </w:rPr>
        <w:t xml:space="preserve"> website and an advertising campaign.</w:t>
      </w:r>
    </w:p>
    <w:p w14:paraId="656B156D" w14:textId="77777777" w:rsidR="00A34F7B" w:rsidRDefault="00A34F7B" w:rsidP="004A2442">
      <w:pPr>
        <w:pStyle w:val="ListParagraph"/>
        <w:numPr>
          <w:ilvl w:val="0"/>
          <w:numId w:val="68"/>
        </w:numPr>
        <w:spacing w:after="0" w:line="240" w:lineRule="auto"/>
        <w:textboxTightWrap w:val="none"/>
        <w:rPr>
          <w:color w:val="000000"/>
        </w:rPr>
      </w:pPr>
      <w:r>
        <w:rPr>
          <w:color w:val="000000"/>
        </w:rPr>
        <w:t>T</w:t>
      </w:r>
      <w:r w:rsidRPr="00040A06">
        <w:rPr>
          <w:color w:val="000000"/>
        </w:rPr>
        <w:t xml:space="preserve">argeted communications to existing licence holders </w:t>
      </w:r>
      <w:r>
        <w:rPr>
          <w:color w:val="000000"/>
        </w:rPr>
        <w:t>at different risk levels: high risk</w:t>
      </w:r>
      <w:r w:rsidRPr="00040A06">
        <w:rPr>
          <w:color w:val="000000"/>
        </w:rPr>
        <w:t>, medium to high risk, and low risk businesses and individuals</w:t>
      </w:r>
      <w:r w:rsidRPr="00A34F7B">
        <w:rPr>
          <w:color w:val="000000"/>
        </w:rPr>
        <w:t>.</w:t>
      </w:r>
      <w:r>
        <w:rPr>
          <w:color w:val="000000"/>
        </w:rPr>
        <w:t xml:space="preserve"> This will be undertaken via direct contact, </w:t>
      </w:r>
      <w:r w:rsidR="000514DD">
        <w:rPr>
          <w:color w:val="000000"/>
        </w:rPr>
        <w:t>EPA</w:t>
      </w:r>
      <w:r>
        <w:rPr>
          <w:color w:val="000000"/>
        </w:rPr>
        <w:t xml:space="preserve"> website, and other channels such as social media and EPA newsletters.</w:t>
      </w:r>
    </w:p>
    <w:p w14:paraId="656B156E" w14:textId="77777777" w:rsidR="00A34F7B" w:rsidRPr="00A34F7B" w:rsidRDefault="00A34F7B" w:rsidP="004A2442">
      <w:pPr>
        <w:pStyle w:val="ListParagraph"/>
        <w:numPr>
          <w:ilvl w:val="0"/>
          <w:numId w:val="68"/>
        </w:numPr>
        <w:rPr>
          <w:color w:val="000000"/>
        </w:rPr>
      </w:pPr>
      <w:r>
        <w:rPr>
          <w:color w:val="000000"/>
        </w:rPr>
        <w:t>E</w:t>
      </w:r>
      <w:r w:rsidRPr="00A34F7B">
        <w:rPr>
          <w:color w:val="000000"/>
        </w:rPr>
        <w:t>ngagement with stakeholder groups and joint regulator</w:t>
      </w:r>
      <w:r>
        <w:rPr>
          <w:color w:val="000000"/>
        </w:rPr>
        <w:t xml:space="preserve"> via workshops and information sessions.</w:t>
      </w:r>
    </w:p>
    <w:p w14:paraId="656B156F" w14:textId="77777777" w:rsidR="00A34F7B" w:rsidRDefault="00A34F7B" w:rsidP="004A2442">
      <w:pPr>
        <w:numPr>
          <w:ilvl w:val="0"/>
          <w:numId w:val="40"/>
        </w:numPr>
        <w:spacing w:line="240" w:lineRule="auto"/>
        <w:rPr>
          <w:color w:val="000000"/>
        </w:rPr>
      </w:pPr>
      <w:r w:rsidRPr="00A34F7B">
        <w:rPr>
          <w:color w:val="000000"/>
        </w:rPr>
        <w:t>Engagement and consultation to develop specific guidance for a hazard or an industry sector to comply with the GED.</w:t>
      </w:r>
      <w:r w:rsidR="00A17AF6">
        <w:rPr>
          <w:color w:val="000000"/>
        </w:rPr>
        <w:t xml:space="preserve"> </w:t>
      </w:r>
      <w:r w:rsidR="002D3FB9">
        <w:t>EPA will, where appropriate, engage directly with</w:t>
      </w:r>
      <w:r w:rsidR="002D3FB9" w:rsidDel="002D3FB9">
        <w:t xml:space="preserve"> </w:t>
      </w:r>
      <w:r w:rsidR="00A17AF6">
        <w:t xml:space="preserve">the industry groups and businesses within specific sectors sector and/or who undertake the particular activity that is the subject of guidance. </w:t>
      </w:r>
    </w:p>
    <w:p w14:paraId="656B1570" w14:textId="77777777" w:rsidR="006F6084" w:rsidRDefault="006F6084" w:rsidP="004A2442">
      <w:pPr>
        <w:numPr>
          <w:ilvl w:val="0"/>
          <w:numId w:val="40"/>
        </w:numPr>
        <w:spacing w:line="240" w:lineRule="auto"/>
        <w:rPr>
          <w:color w:val="000000"/>
        </w:rPr>
      </w:pPr>
      <w:r>
        <w:rPr>
          <w:color w:val="000000"/>
        </w:rPr>
        <w:t xml:space="preserve">Engagement and consultation on the development of proposed Regulations and other subordinate instruments (a joint DELWP </w:t>
      </w:r>
      <w:r w:rsidR="000D139E">
        <w:rPr>
          <w:color w:val="000000"/>
        </w:rPr>
        <w:t xml:space="preserve">and EPA </w:t>
      </w:r>
      <w:r>
        <w:rPr>
          <w:color w:val="000000"/>
        </w:rPr>
        <w:t>responsibility)</w:t>
      </w:r>
      <w:r w:rsidR="00A17AF6">
        <w:rPr>
          <w:color w:val="000000"/>
        </w:rPr>
        <w:t xml:space="preserve">. This includes stakeholder consultation </w:t>
      </w:r>
      <w:r w:rsidR="00251245">
        <w:rPr>
          <w:color w:val="000000"/>
        </w:rPr>
        <w:t xml:space="preserve">to prepare this </w:t>
      </w:r>
      <w:r w:rsidR="00A17AF6">
        <w:rPr>
          <w:color w:val="000000"/>
        </w:rPr>
        <w:t xml:space="preserve">RIS, and </w:t>
      </w:r>
      <w:r w:rsidR="00085F47">
        <w:rPr>
          <w:color w:val="000000"/>
        </w:rPr>
        <w:t xml:space="preserve">any consultation </w:t>
      </w:r>
      <w:r w:rsidR="00A17AF6">
        <w:rPr>
          <w:color w:val="000000"/>
        </w:rPr>
        <w:t xml:space="preserve">which will occur </w:t>
      </w:r>
      <w:r w:rsidR="00251245">
        <w:rPr>
          <w:color w:val="000000"/>
        </w:rPr>
        <w:t xml:space="preserve">following the public release of the </w:t>
      </w:r>
      <w:r w:rsidR="00A17AF6">
        <w:rPr>
          <w:color w:val="000000"/>
        </w:rPr>
        <w:t>RIS.</w:t>
      </w:r>
    </w:p>
    <w:p w14:paraId="656B1571" w14:textId="77777777" w:rsidR="00A17AF6" w:rsidRPr="00040A06" w:rsidRDefault="006F6084" w:rsidP="00572F04">
      <w:pPr>
        <w:pStyle w:val="ListParagraph"/>
        <w:numPr>
          <w:ilvl w:val="0"/>
          <w:numId w:val="69"/>
        </w:numPr>
        <w:spacing w:after="0" w:line="240" w:lineRule="auto"/>
        <w:ind w:left="1134"/>
        <w:textboxTightWrap w:val="none"/>
        <w:rPr>
          <w:rFonts w:ascii="Arial" w:hAnsi="Arial"/>
        </w:rPr>
      </w:pPr>
      <w:r>
        <w:rPr>
          <w:color w:val="000000"/>
        </w:rPr>
        <w:t>Information and consultation about the transition of existing licence and permit holders.</w:t>
      </w:r>
      <w:r w:rsidR="00A17AF6">
        <w:rPr>
          <w:color w:val="000000"/>
        </w:rPr>
        <w:t xml:space="preserve"> This will be highly targeted consultation including </w:t>
      </w:r>
      <w:r w:rsidR="00A17AF6">
        <w:t>direct communication with licen</w:t>
      </w:r>
      <w:r w:rsidR="00251245">
        <w:t>s</w:t>
      </w:r>
      <w:r w:rsidR="00A17AF6">
        <w:t>ees and works approval holders, and engagement and information provision through the key industry groups. There will also be strong overlaps with consultation that occurs in other streams.</w:t>
      </w:r>
    </w:p>
    <w:p w14:paraId="656B1572" w14:textId="77777777" w:rsidR="006F6084" w:rsidRDefault="006F6084" w:rsidP="004A2442">
      <w:pPr>
        <w:numPr>
          <w:ilvl w:val="0"/>
          <w:numId w:val="40"/>
        </w:numPr>
        <w:spacing w:line="240" w:lineRule="auto"/>
        <w:rPr>
          <w:color w:val="000000"/>
        </w:rPr>
      </w:pPr>
      <w:r>
        <w:rPr>
          <w:color w:val="000000"/>
        </w:rPr>
        <w:t xml:space="preserve">Engagement and consultation on the development of key policy documents, such as the Charter of Consultation (required under </w:t>
      </w:r>
      <w:r w:rsidR="00BC4DAA">
        <w:rPr>
          <w:color w:val="000000"/>
        </w:rPr>
        <w:t xml:space="preserve">section 53 of </w:t>
      </w:r>
      <w:r>
        <w:rPr>
          <w:color w:val="000000"/>
        </w:rPr>
        <w:t xml:space="preserve">the new </w:t>
      </w:r>
      <w:r w:rsidR="000D139E">
        <w:rPr>
          <w:color w:val="000000"/>
        </w:rPr>
        <w:t xml:space="preserve">EP </w:t>
      </w:r>
      <w:r>
        <w:rPr>
          <w:color w:val="000000"/>
        </w:rPr>
        <w:t>legislation) and a Compliance and Enforcement Policy.</w:t>
      </w:r>
      <w:r w:rsidR="00A17AF6">
        <w:rPr>
          <w:color w:val="000000"/>
        </w:rPr>
        <w:t xml:space="preserve"> </w:t>
      </w:r>
      <w:r w:rsidR="002D3FB9">
        <w:rPr>
          <w:color w:val="000000"/>
        </w:rPr>
        <w:t>Where appropriate, t</w:t>
      </w:r>
      <w:r w:rsidR="00A17AF6">
        <w:rPr>
          <w:color w:val="000000"/>
        </w:rPr>
        <w:t>his will include direct consultation with businesses, industry groups and community groups.</w:t>
      </w:r>
    </w:p>
    <w:p w14:paraId="656B1573" w14:textId="77777777" w:rsidR="006F6084" w:rsidRDefault="006F6084" w:rsidP="006F6084">
      <w:r>
        <w:t xml:space="preserve">To help prioritise effort and tailor messaging to different stakeholder groups, the Plan is segmented by the type of stakeholder and their risk profile: </w:t>
      </w:r>
    </w:p>
    <w:p w14:paraId="656B1574" w14:textId="77777777" w:rsidR="006F6084" w:rsidRDefault="006F6084" w:rsidP="004A2442">
      <w:pPr>
        <w:pStyle w:val="ListParagraph"/>
        <w:numPr>
          <w:ilvl w:val="0"/>
          <w:numId w:val="38"/>
        </w:numPr>
        <w:spacing w:after="170"/>
      </w:pPr>
      <w:r>
        <w:t>Businesses with high risk activities: major sites/high complexity/high risk.</w:t>
      </w:r>
    </w:p>
    <w:p w14:paraId="656B1575" w14:textId="77777777" w:rsidR="006F6084" w:rsidRDefault="006F6084" w:rsidP="004A2442">
      <w:pPr>
        <w:pStyle w:val="ListParagraph"/>
        <w:numPr>
          <w:ilvl w:val="0"/>
          <w:numId w:val="38"/>
        </w:numPr>
        <w:spacing w:after="170"/>
      </w:pPr>
      <w:r>
        <w:t>Businesses with medium to high risk activities: business with material but not major risk of harm to the environment and human health (often specifically linked to waste generated via activities)</w:t>
      </w:r>
      <w:r w:rsidR="008059FB">
        <w:t>.</w:t>
      </w:r>
    </w:p>
    <w:p w14:paraId="656B1576" w14:textId="77777777" w:rsidR="006F6084" w:rsidRDefault="006F6084" w:rsidP="004A2442">
      <w:pPr>
        <w:pStyle w:val="ListParagraph"/>
        <w:numPr>
          <w:ilvl w:val="0"/>
          <w:numId w:val="38"/>
        </w:numPr>
        <w:spacing w:after="170"/>
      </w:pPr>
      <w:r>
        <w:t>Low or Negligible Risk Activities: businesses or activities that represent low or negligible risk, provided appropriate and basic waste management occurs</w:t>
      </w:r>
      <w:r w:rsidR="008059FB">
        <w:t>.</w:t>
      </w:r>
    </w:p>
    <w:p w14:paraId="656B1577" w14:textId="77777777" w:rsidR="006F6084" w:rsidRDefault="006F6084" w:rsidP="004A2442">
      <w:pPr>
        <w:pStyle w:val="ListParagraph"/>
        <w:numPr>
          <w:ilvl w:val="0"/>
          <w:numId w:val="38"/>
        </w:numPr>
        <w:spacing w:after="170"/>
      </w:pPr>
      <w:r>
        <w:t>Victorian Government Departments and Agencies: joint regulators (Local government, Worksafe, Earth Resources Regulator, Victoria Police, Metropolitan Fire Brigade, Country Fire Authority)</w:t>
      </w:r>
      <w:r w:rsidR="008059FB">
        <w:t>.</w:t>
      </w:r>
    </w:p>
    <w:p w14:paraId="656B1578" w14:textId="77777777" w:rsidR="006F6084" w:rsidRDefault="006F6084" w:rsidP="004A2442">
      <w:pPr>
        <w:pStyle w:val="ListParagraph"/>
        <w:numPr>
          <w:ilvl w:val="0"/>
          <w:numId w:val="38"/>
        </w:numPr>
        <w:spacing w:after="170"/>
      </w:pPr>
      <w:r>
        <w:t>Local community environmental groups and State-wide environmental groups.</w:t>
      </w:r>
    </w:p>
    <w:p w14:paraId="656B1579" w14:textId="77777777" w:rsidR="006F6084" w:rsidRDefault="006F6084" w:rsidP="004A2442">
      <w:pPr>
        <w:pStyle w:val="ListParagraph"/>
        <w:numPr>
          <w:ilvl w:val="0"/>
          <w:numId w:val="38"/>
        </w:numPr>
        <w:spacing w:after="170"/>
      </w:pPr>
      <w:r>
        <w:t>General community.</w:t>
      </w:r>
    </w:p>
    <w:p w14:paraId="656B157A" w14:textId="77777777" w:rsidR="00D15A8D" w:rsidRPr="00153F27" w:rsidRDefault="00D15A8D" w:rsidP="00153F27">
      <w:pPr>
        <w:pStyle w:val="Heading3"/>
        <w:ind w:left="720"/>
        <w:rPr>
          <w:b w:val="0"/>
          <w:bCs w:val="0"/>
        </w:rPr>
      </w:pPr>
      <w:r w:rsidRPr="00153F27">
        <w:rPr>
          <w:rStyle w:val="normaltextrun1"/>
        </w:rPr>
        <w:t>Transition measures for the permission holder</w:t>
      </w:r>
      <w:r w:rsidR="00F118E7" w:rsidRPr="00153F27">
        <w:rPr>
          <w:rStyle w:val="normaltextrun1"/>
        </w:rPr>
        <w:t>s</w:t>
      </w:r>
      <w:r w:rsidR="00014F56">
        <w:rPr>
          <w:rStyle w:val="normaltextrun1"/>
        </w:rPr>
        <w:t xml:space="preserve"> </w:t>
      </w:r>
    </w:p>
    <w:p w14:paraId="656B157B" w14:textId="77777777" w:rsidR="00D15A8D" w:rsidRDefault="00D15A8D" w:rsidP="00D15A8D">
      <w:pPr>
        <w:pStyle w:val="paragraph"/>
        <w:textAlignment w:val="baseline"/>
        <w:rPr>
          <w:lang w:val="en-US"/>
        </w:rPr>
      </w:pPr>
      <w:r>
        <w:rPr>
          <w:rStyle w:val="normaltextrun1"/>
          <w:rFonts w:ascii="Segoe UI Light" w:hAnsi="Segoe UI Light" w:cs="Segoe UI Light"/>
          <w:sz w:val="20"/>
          <w:szCs w:val="20"/>
        </w:rPr>
        <w:t>Permission holders (both new and existing) will be required to transition to the new permissioning framework. To facilitate this process effectively:</w:t>
      </w:r>
      <w:r w:rsidR="00014F56">
        <w:rPr>
          <w:rStyle w:val="normaltextrun1"/>
          <w:rFonts w:ascii="Segoe UI Light" w:hAnsi="Segoe UI Light" w:cs="Segoe UI Light"/>
          <w:sz w:val="20"/>
          <w:szCs w:val="20"/>
        </w:rPr>
        <w:t xml:space="preserve"> </w:t>
      </w:r>
    </w:p>
    <w:p w14:paraId="656B157C" w14:textId="77777777" w:rsidR="00D15A8D" w:rsidRPr="00153F27" w:rsidRDefault="2228C71F" w:rsidP="00153F27">
      <w:pPr>
        <w:pStyle w:val="ListParagraph"/>
        <w:numPr>
          <w:ilvl w:val="0"/>
          <w:numId w:val="38"/>
        </w:numPr>
        <w:spacing w:after="170"/>
      </w:pPr>
      <w:r w:rsidRPr="00153F27">
        <w:t xml:space="preserve">Existing licence holders will automatically be taken to </w:t>
      </w:r>
      <w:r w:rsidR="00D15A8D" w:rsidRPr="00153F27">
        <w:t xml:space="preserve">hold </w:t>
      </w:r>
      <w:r w:rsidRPr="00153F27">
        <w:t xml:space="preserve">a ‘new’ licence </w:t>
      </w:r>
      <w:r w:rsidR="00D15A8D" w:rsidRPr="00153F27">
        <w:t xml:space="preserve">for the relevant operating licence activity </w:t>
      </w:r>
      <w:r w:rsidRPr="00153F27">
        <w:t xml:space="preserve">and will not need to reapply. </w:t>
      </w:r>
      <w:r w:rsidR="00D15A8D" w:rsidRPr="00153F27">
        <w:t>Their licences</w:t>
      </w:r>
      <w:r w:rsidRPr="00153F27">
        <w:t xml:space="preserve"> will </w:t>
      </w:r>
      <w:r w:rsidR="00D15A8D" w:rsidRPr="00153F27">
        <w:t xml:space="preserve">remain </w:t>
      </w:r>
      <w:r w:rsidRPr="00153F27">
        <w:t xml:space="preserve">perpetual to </w:t>
      </w:r>
      <w:r w:rsidR="00D15A8D" w:rsidRPr="00153F27">
        <w:t xml:space="preserve">and will not become </w:t>
      </w:r>
      <w:r w:rsidRPr="00153F27">
        <w:t>time bound licences.</w:t>
      </w:r>
      <w:r w:rsidR="00D15A8D" w:rsidRPr="00153F27">
        <w:t> </w:t>
      </w:r>
    </w:p>
    <w:p w14:paraId="656B157D" w14:textId="77777777" w:rsidR="00D15A8D" w:rsidRPr="00153F27" w:rsidRDefault="00D15A8D">
      <w:pPr>
        <w:pStyle w:val="ListParagraph"/>
        <w:numPr>
          <w:ilvl w:val="0"/>
          <w:numId w:val="38"/>
        </w:numPr>
        <w:spacing w:after="170"/>
      </w:pPr>
      <w:r w:rsidRPr="00153F27">
        <w:t>For existing businesses or duty holders conducting an activity that will newly require a permission under the proposed regulations such as transfer stations and dry cleaners), the regulations propose a ‘grace period’ of 3 or 6 months from the commencement of the regulations for these businesses to apply for their licence or permit or to register with EPA (as applicable). This time is being provided as a matter of fairness, to ensure these existing businesses have time to become aware of their new obligation, prepare their permission application and make any necessary adjustments to their operations to align with EPA’s permission conditions.</w:t>
      </w:r>
      <w:r w:rsidR="00C33D51">
        <w:t xml:space="preserve"> It is noted that other requirements in the proposed Regulations that are not related to the permissioning framework will not have a </w:t>
      </w:r>
      <w:r w:rsidR="00971A87">
        <w:t xml:space="preserve">similar </w:t>
      </w:r>
      <w:r w:rsidR="00C33D51">
        <w:t>grace period.</w:t>
      </w:r>
    </w:p>
    <w:p w14:paraId="656B157E" w14:textId="77777777" w:rsidR="00D15A8D" w:rsidRPr="00153F27" w:rsidRDefault="00D15A8D" w:rsidP="00153F27">
      <w:pPr>
        <w:pStyle w:val="ListParagraph"/>
        <w:numPr>
          <w:ilvl w:val="0"/>
          <w:numId w:val="38"/>
        </w:numPr>
        <w:spacing w:after="170"/>
      </w:pPr>
      <w:r w:rsidRPr="00153F27">
        <w:t>Where a licence or permit is newly required, the ‘grace period’ for the existing business will continue until EPA finalises its assessment of their application</w:t>
      </w:r>
      <w:r w:rsidR="00DC7A63">
        <w:t xml:space="preserve">. </w:t>
      </w:r>
    </w:p>
    <w:p w14:paraId="656B157F" w14:textId="77777777" w:rsidR="00D15A8D" w:rsidRPr="00153F27" w:rsidRDefault="00D15A8D" w:rsidP="00153F27">
      <w:pPr>
        <w:pStyle w:val="ListParagraph"/>
        <w:numPr>
          <w:ilvl w:val="0"/>
          <w:numId w:val="38"/>
        </w:numPr>
        <w:spacing w:after="170"/>
      </w:pPr>
      <w:r w:rsidRPr="00153F27">
        <w:t>Where a permissioned activity involves the receipt of industrial waste, the proposed regulations deem the site to be authorised to receive the industrial waste that they receive as part of the relevant permissioned activity (for the purposes of section 134 of the new EP legislation) for the duration of the relevant grace period</w:t>
      </w:r>
      <w:r w:rsidR="00DC7A63">
        <w:t xml:space="preserve">. </w:t>
      </w:r>
    </w:p>
    <w:p w14:paraId="656B1580" w14:textId="77777777" w:rsidR="2228C71F" w:rsidRDefault="2228C71F" w:rsidP="00982D63">
      <w:pPr>
        <w:pStyle w:val="Heading2"/>
      </w:pPr>
      <w:r>
        <w:t xml:space="preserve">Who will be doing it? </w:t>
      </w:r>
    </w:p>
    <w:p w14:paraId="656B1581" w14:textId="77777777" w:rsidR="2228C71F" w:rsidRDefault="2228C71F">
      <w:r>
        <w:t xml:space="preserve">EPA will be primarily responsible for implementation of the proposed Regulations. DELWP will provide input into key strategic policy development and support EPA in identifying any necessary linkages with whole of Government policy, specifically providing support in determining whether any whole of Government policies influence the implementation of the new subordinate legislation. </w:t>
      </w:r>
    </w:p>
    <w:p w14:paraId="656B1582" w14:textId="77777777" w:rsidR="006F6084" w:rsidRDefault="006F6084" w:rsidP="00982D63">
      <w:pPr>
        <w:pStyle w:val="Heading2"/>
      </w:pPr>
      <w:r>
        <w:t>Who will monitor implementation?</w:t>
      </w:r>
    </w:p>
    <w:p w14:paraId="656B1583" w14:textId="77777777" w:rsidR="006F6084" w:rsidRDefault="00330C99" w:rsidP="006F6084">
      <w:r>
        <w:t xml:space="preserve">Monitoring of implementation, including identification and management of implementation risks, will be undertaken by </w:t>
      </w:r>
      <w:r w:rsidR="000514DD">
        <w:t>EPA</w:t>
      </w:r>
      <w:r w:rsidRPr="00040A06">
        <w:t>, with support from</w:t>
      </w:r>
      <w:r>
        <w:t xml:space="preserve"> DELWP.</w:t>
      </w:r>
      <w:r w:rsidR="006F6084">
        <w:t xml:space="preserve"> </w:t>
      </w:r>
    </w:p>
    <w:p w14:paraId="656B1584" w14:textId="77777777" w:rsidR="00040231" w:rsidRDefault="00E92B8E">
      <w:pPr>
        <w:pStyle w:val="Heading1"/>
      </w:pPr>
      <w:bookmarkStart w:id="1982" w:name="_Ref288827"/>
      <w:bookmarkStart w:id="1983" w:name="_Toc342688"/>
      <w:bookmarkStart w:id="1984" w:name="_Toc10018342"/>
      <w:bookmarkStart w:id="1985" w:name="_Toc10021449"/>
      <w:bookmarkStart w:id="1986" w:name="_Toc10021863"/>
      <w:bookmarkStart w:id="1987" w:name="_Toc12892347"/>
      <w:r>
        <w:t>Evaluation strategy</w:t>
      </w:r>
      <w:bookmarkEnd w:id="1982"/>
      <w:bookmarkEnd w:id="1983"/>
      <w:bookmarkEnd w:id="1984"/>
      <w:bookmarkEnd w:id="1985"/>
      <w:bookmarkEnd w:id="1986"/>
      <w:bookmarkEnd w:id="1987"/>
    </w:p>
    <w:p w14:paraId="656B1585" w14:textId="77777777" w:rsidR="00E92B8E" w:rsidRPr="00B943BC" w:rsidRDefault="00E92B8E" w:rsidP="00982D63">
      <w:pPr>
        <w:pStyle w:val="Heading2"/>
      </w:pPr>
      <w:bookmarkStart w:id="1988" w:name="_Toc462317846"/>
      <w:bookmarkStart w:id="1989" w:name="_Toc462397809"/>
      <w:bookmarkStart w:id="1990" w:name="_Toc463002434"/>
      <w:bookmarkStart w:id="1991" w:name="_Toc472586348"/>
      <w:bookmarkStart w:id="1992" w:name="_Toc482168126"/>
      <w:bookmarkStart w:id="1993" w:name="_Toc482174913"/>
      <w:bookmarkStart w:id="1994" w:name="_Toc528907814"/>
      <w:r w:rsidRPr="00B943BC">
        <w:t>Purpose</w:t>
      </w:r>
    </w:p>
    <w:p w14:paraId="656B1586" w14:textId="77777777" w:rsidR="00E92B8E" w:rsidRDefault="00E92B8E" w:rsidP="00E92B8E">
      <w:pPr>
        <w:rPr>
          <w:rFonts w:cs="Segoe UI Light"/>
          <w:szCs w:val="20"/>
        </w:rPr>
      </w:pPr>
      <w:r w:rsidRPr="00947320">
        <w:rPr>
          <w:rFonts w:cs="Segoe UI Light"/>
          <w:szCs w:val="20"/>
        </w:rPr>
        <w:t>This evaluation strategy has been developed to evaluate the effectiveness and efficiency of the proposed Regulations and to ensure that there is continuous improvement in enviro</w:t>
      </w:r>
      <w:r>
        <w:rPr>
          <w:rFonts w:cs="Segoe UI Light"/>
          <w:szCs w:val="20"/>
        </w:rPr>
        <w:t xml:space="preserve">nmental protection in Victoria. The </w:t>
      </w:r>
      <w:r w:rsidRPr="00947320">
        <w:rPr>
          <w:rFonts w:cs="Segoe UI Light"/>
          <w:szCs w:val="20"/>
        </w:rPr>
        <w:t xml:space="preserve">evaluation strategy will </w:t>
      </w:r>
      <w:r>
        <w:rPr>
          <w:rFonts w:cs="Segoe UI Light"/>
          <w:szCs w:val="20"/>
        </w:rPr>
        <w:t>assess the proposed R</w:t>
      </w:r>
      <w:r w:rsidRPr="00947320">
        <w:rPr>
          <w:rFonts w:cs="Segoe UI Light"/>
          <w:szCs w:val="20"/>
        </w:rPr>
        <w:t xml:space="preserve">egulations as an integrated part of the </w:t>
      </w:r>
      <w:r>
        <w:rPr>
          <w:rFonts w:cs="Segoe UI Light"/>
          <w:szCs w:val="20"/>
        </w:rPr>
        <w:t xml:space="preserve">new </w:t>
      </w:r>
      <w:r w:rsidRPr="00947320">
        <w:rPr>
          <w:rFonts w:cs="Segoe UI Light"/>
          <w:szCs w:val="20"/>
        </w:rPr>
        <w:t>environment</w:t>
      </w:r>
      <w:r>
        <w:rPr>
          <w:rFonts w:cs="Segoe UI Light"/>
          <w:szCs w:val="20"/>
        </w:rPr>
        <w:t>al</w:t>
      </w:r>
      <w:r w:rsidRPr="00947320">
        <w:rPr>
          <w:rFonts w:cs="Segoe UI Light"/>
          <w:szCs w:val="20"/>
        </w:rPr>
        <w:t xml:space="preserve"> protection legislative framework in </w:t>
      </w:r>
      <w:r>
        <w:rPr>
          <w:rFonts w:cs="Segoe UI Light"/>
          <w:szCs w:val="20"/>
        </w:rPr>
        <w:t xml:space="preserve">terms of whether they </w:t>
      </w:r>
      <w:r w:rsidRPr="00947320">
        <w:rPr>
          <w:rFonts w:cs="Segoe UI Light"/>
          <w:szCs w:val="20"/>
        </w:rPr>
        <w:t>meet</w:t>
      </w:r>
      <w:r>
        <w:rPr>
          <w:rFonts w:cs="Segoe UI Light"/>
          <w:szCs w:val="20"/>
        </w:rPr>
        <w:t xml:space="preserve"> t</w:t>
      </w:r>
      <w:r w:rsidRPr="00947320">
        <w:rPr>
          <w:rFonts w:cs="Segoe UI Light"/>
          <w:szCs w:val="20"/>
        </w:rPr>
        <w:t xml:space="preserve">he Victorian Government </w:t>
      </w:r>
      <w:r>
        <w:rPr>
          <w:rFonts w:cs="Segoe UI Light"/>
          <w:szCs w:val="20"/>
        </w:rPr>
        <w:t xml:space="preserve">objectives </w:t>
      </w:r>
      <w:r w:rsidRPr="00947320">
        <w:rPr>
          <w:rFonts w:cs="Segoe UI Light"/>
          <w:szCs w:val="20"/>
        </w:rPr>
        <w:t xml:space="preserve">to </w:t>
      </w:r>
      <w:r>
        <w:rPr>
          <w:rFonts w:cs="Segoe UI Light"/>
          <w:szCs w:val="20"/>
        </w:rPr>
        <w:t xml:space="preserve">protect </w:t>
      </w:r>
      <w:r w:rsidRPr="00947320">
        <w:rPr>
          <w:rFonts w:cs="Segoe UI Light"/>
          <w:szCs w:val="20"/>
        </w:rPr>
        <w:t>human health and the environment from pollution and waste.</w:t>
      </w:r>
    </w:p>
    <w:p w14:paraId="656B1587" w14:textId="77777777" w:rsidR="00E92B8E" w:rsidRPr="00B943BC" w:rsidRDefault="00E92B8E" w:rsidP="00E92B8E">
      <w:pPr>
        <w:rPr>
          <w:rFonts w:cs="Segoe UI Light"/>
          <w:szCs w:val="20"/>
        </w:rPr>
      </w:pPr>
      <w:r w:rsidRPr="00B943BC">
        <w:rPr>
          <w:rFonts w:cs="Segoe UI Light"/>
          <w:szCs w:val="20"/>
        </w:rPr>
        <w:t xml:space="preserve">As per the </w:t>
      </w:r>
      <w:r w:rsidRPr="00B943BC">
        <w:rPr>
          <w:rFonts w:cs="Segoe UI Light"/>
          <w:i/>
          <w:szCs w:val="20"/>
        </w:rPr>
        <w:t>Victorian Guide to Regulation</w:t>
      </w:r>
      <w:r w:rsidRPr="00CB1191">
        <w:rPr>
          <w:rStyle w:val="FootnoteReference"/>
          <w:rFonts w:cs="Segoe UI Light"/>
          <w:szCs w:val="20"/>
        </w:rPr>
        <w:footnoteReference w:id="327"/>
      </w:r>
      <w:r w:rsidRPr="00B943BC">
        <w:rPr>
          <w:rFonts w:cs="Segoe UI Light"/>
          <w:szCs w:val="20"/>
        </w:rPr>
        <w:t xml:space="preserve"> the key elements of the evaluation strategy are as follows: </w:t>
      </w:r>
    </w:p>
    <w:p w14:paraId="656B1588" w14:textId="77777777" w:rsidR="00E92B8E" w:rsidRPr="00B943BC" w:rsidRDefault="00E92B8E" w:rsidP="004A2442">
      <w:pPr>
        <w:pStyle w:val="ListParagraph"/>
        <w:numPr>
          <w:ilvl w:val="0"/>
          <w:numId w:val="49"/>
        </w:numPr>
        <w:spacing w:after="0"/>
        <w:rPr>
          <w:rFonts w:cs="Segoe UI Light"/>
          <w:szCs w:val="20"/>
        </w:rPr>
      </w:pPr>
      <w:r w:rsidRPr="00B943BC">
        <w:rPr>
          <w:rFonts w:cs="Segoe UI Light"/>
          <w:szCs w:val="20"/>
        </w:rPr>
        <w:t>What will be evaluated</w:t>
      </w:r>
    </w:p>
    <w:p w14:paraId="656B1589" w14:textId="77777777" w:rsidR="00E92B8E" w:rsidRPr="00B943BC" w:rsidRDefault="00E92B8E" w:rsidP="004A2442">
      <w:pPr>
        <w:pStyle w:val="ListParagraph"/>
        <w:numPr>
          <w:ilvl w:val="0"/>
          <w:numId w:val="49"/>
        </w:numPr>
        <w:spacing w:after="0"/>
        <w:rPr>
          <w:rFonts w:cs="Segoe UI Light"/>
          <w:szCs w:val="20"/>
        </w:rPr>
      </w:pPr>
      <w:r w:rsidRPr="00B943BC">
        <w:rPr>
          <w:rFonts w:cs="Segoe UI Light"/>
          <w:szCs w:val="20"/>
        </w:rPr>
        <w:t>How it will be done</w:t>
      </w:r>
    </w:p>
    <w:p w14:paraId="656B158A" w14:textId="77777777" w:rsidR="00E92B8E" w:rsidRPr="00B943BC" w:rsidRDefault="00E92B8E" w:rsidP="004A2442">
      <w:pPr>
        <w:pStyle w:val="ListParagraph"/>
        <w:numPr>
          <w:ilvl w:val="0"/>
          <w:numId w:val="49"/>
        </w:numPr>
        <w:spacing w:after="0"/>
        <w:rPr>
          <w:rFonts w:cs="Segoe UI Light"/>
          <w:szCs w:val="20"/>
        </w:rPr>
      </w:pPr>
      <w:r w:rsidRPr="00B943BC">
        <w:rPr>
          <w:rFonts w:cs="Segoe UI Light"/>
          <w:szCs w:val="20"/>
        </w:rPr>
        <w:t>Who will do it</w:t>
      </w:r>
    </w:p>
    <w:p w14:paraId="656B158B" w14:textId="77777777" w:rsidR="00E92B8E" w:rsidRPr="00B943BC" w:rsidRDefault="00E92B8E" w:rsidP="004A2442">
      <w:pPr>
        <w:pStyle w:val="ListParagraph"/>
        <w:numPr>
          <w:ilvl w:val="0"/>
          <w:numId w:val="49"/>
        </w:numPr>
        <w:rPr>
          <w:rFonts w:cs="Segoe UI Light"/>
          <w:szCs w:val="20"/>
        </w:rPr>
      </w:pPr>
      <w:r w:rsidRPr="00B943BC">
        <w:rPr>
          <w:rFonts w:cs="Segoe UI Light"/>
          <w:szCs w:val="20"/>
        </w:rPr>
        <w:t>When it will be done.</w:t>
      </w:r>
    </w:p>
    <w:p w14:paraId="656B158C" w14:textId="77777777" w:rsidR="00E92B8E" w:rsidRPr="00B943BC" w:rsidRDefault="00E92B8E" w:rsidP="00982D63">
      <w:pPr>
        <w:pStyle w:val="Heading2"/>
      </w:pPr>
      <w:r w:rsidRPr="00B943BC">
        <w:t>What will be evaluated</w:t>
      </w:r>
    </w:p>
    <w:p w14:paraId="656B158D" w14:textId="77777777" w:rsidR="00E92B8E" w:rsidRDefault="00E92B8E" w:rsidP="00E92B8E">
      <w:pPr>
        <w:rPr>
          <w:rFonts w:cs="Segoe UI Light"/>
          <w:iCs/>
          <w:szCs w:val="20"/>
        </w:rPr>
      </w:pPr>
      <w:r w:rsidRPr="00B943BC">
        <w:rPr>
          <w:rFonts w:cs="Segoe UI Light"/>
          <w:iCs/>
          <w:szCs w:val="20"/>
        </w:rPr>
        <w:t>An evaluati</w:t>
      </w:r>
      <w:r w:rsidRPr="00B943BC">
        <w:rPr>
          <w:rFonts w:cs="Segoe UI Light"/>
          <w:szCs w:val="20"/>
        </w:rPr>
        <w:t xml:space="preserve">on logic map highlighting the activities, outputs and outcomes underpinning the regulatory objectives is </w:t>
      </w:r>
      <w:r>
        <w:rPr>
          <w:rFonts w:cs="Segoe UI Light"/>
          <w:szCs w:val="20"/>
        </w:rPr>
        <w:t>set out</w:t>
      </w:r>
      <w:r w:rsidRPr="00B943BC">
        <w:rPr>
          <w:rFonts w:cs="Segoe UI Light"/>
          <w:szCs w:val="20"/>
        </w:rPr>
        <w:t xml:space="preserve"> in</w:t>
      </w:r>
      <w:r w:rsidR="008958F9">
        <w:rPr>
          <w:rFonts w:cs="Segoe UI Light"/>
          <w:szCs w:val="20"/>
        </w:rPr>
        <w:t xml:space="preserve"> </w:t>
      </w:r>
      <w:r w:rsidR="009C2FCE">
        <w:rPr>
          <w:rFonts w:cs="Segoe UI Light"/>
          <w:szCs w:val="20"/>
        </w:rPr>
        <w:t>the figure below</w:t>
      </w:r>
      <w:r w:rsidRPr="00B943BC">
        <w:rPr>
          <w:rFonts w:cs="Segoe UI Light"/>
          <w:iCs/>
          <w:szCs w:val="20"/>
        </w:rPr>
        <w:t xml:space="preserve">. The logic map defines the objectives of the </w:t>
      </w:r>
      <w:r w:rsidR="00AC64E3">
        <w:rPr>
          <w:rFonts w:cs="Segoe UI Light"/>
          <w:iCs/>
          <w:szCs w:val="20"/>
        </w:rPr>
        <w:t xml:space="preserve">proposed </w:t>
      </w:r>
      <w:r w:rsidRPr="00B943BC">
        <w:rPr>
          <w:rFonts w:cs="Segoe UI Light"/>
          <w:iCs/>
          <w:szCs w:val="20"/>
        </w:rPr>
        <w:t xml:space="preserve">Regulations and the strategies or activities that will be used to achieve those objectives. The evaluation will measure the efficiency and effectiveness of the </w:t>
      </w:r>
      <w:r w:rsidR="00AC64E3">
        <w:rPr>
          <w:rFonts w:cs="Segoe UI Light"/>
          <w:iCs/>
          <w:szCs w:val="20"/>
        </w:rPr>
        <w:t xml:space="preserve">proposed </w:t>
      </w:r>
      <w:r w:rsidRPr="00B943BC">
        <w:rPr>
          <w:rFonts w:cs="Segoe UI Light"/>
          <w:iCs/>
          <w:szCs w:val="20"/>
        </w:rPr>
        <w:t xml:space="preserve">Regulations in meeting </w:t>
      </w:r>
      <w:r>
        <w:rPr>
          <w:rFonts w:cs="Segoe UI Light"/>
          <w:iCs/>
          <w:szCs w:val="20"/>
        </w:rPr>
        <w:t xml:space="preserve">the objectives and outcomes of the </w:t>
      </w:r>
      <w:r w:rsidR="00AC64E3">
        <w:rPr>
          <w:rFonts w:cs="Segoe UI Light"/>
          <w:iCs/>
          <w:szCs w:val="20"/>
        </w:rPr>
        <w:t xml:space="preserve">proposed </w:t>
      </w:r>
      <w:r>
        <w:rPr>
          <w:rFonts w:cs="Segoe UI Light"/>
          <w:iCs/>
          <w:szCs w:val="20"/>
        </w:rPr>
        <w:t>Regulations.</w:t>
      </w:r>
    </w:p>
    <w:p w14:paraId="656B158E" w14:textId="77777777" w:rsidR="00E92B8E" w:rsidRDefault="00E92B8E" w:rsidP="00E92B8E">
      <w:pPr>
        <w:rPr>
          <w:rFonts w:cs="Segoe UI Light"/>
          <w:szCs w:val="20"/>
        </w:rPr>
      </w:pPr>
      <w:r w:rsidRPr="00023B6D">
        <w:rPr>
          <w:rFonts w:cs="Segoe UI Light"/>
          <w:szCs w:val="20"/>
        </w:rPr>
        <w:t xml:space="preserve">It is expected that the </w:t>
      </w:r>
      <w:r w:rsidR="004C6915">
        <w:rPr>
          <w:rFonts w:cs="Segoe UI Light"/>
          <w:szCs w:val="20"/>
        </w:rPr>
        <w:t>new EP legislation</w:t>
      </w:r>
      <w:r w:rsidRPr="00023B6D">
        <w:rPr>
          <w:rFonts w:cs="Segoe UI Light"/>
          <w:szCs w:val="20"/>
        </w:rPr>
        <w:t>, the proposed Regulations and ERS will all take effect on the same date (1 July 2020)</w:t>
      </w:r>
      <w:r>
        <w:rPr>
          <w:rFonts w:cs="Segoe UI Light"/>
          <w:szCs w:val="20"/>
        </w:rPr>
        <w:t>. Hence it</w:t>
      </w:r>
      <w:r w:rsidRPr="00023B6D">
        <w:rPr>
          <w:rFonts w:cs="Segoe UI Light"/>
          <w:szCs w:val="20"/>
        </w:rPr>
        <w:t xml:space="preserve"> will</w:t>
      </w:r>
      <w:r>
        <w:rPr>
          <w:rFonts w:cs="Segoe UI Light"/>
          <w:szCs w:val="20"/>
        </w:rPr>
        <w:t xml:space="preserve"> be difficult to separate the</w:t>
      </w:r>
      <w:r w:rsidRPr="00023B6D">
        <w:rPr>
          <w:rFonts w:cs="Segoe UI Light"/>
          <w:szCs w:val="20"/>
        </w:rPr>
        <w:t xml:space="preserve"> impact </w:t>
      </w:r>
      <w:r>
        <w:rPr>
          <w:rFonts w:cs="Segoe UI Light"/>
          <w:szCs w:val="20"/>
        </w:rPr>
        <w:t xml:space="preserve">of the </w:t>
      </w:r>
      <w:r w:rsidR="00AC64E3">
        <w:rPr>
          <w:rFonts w:cs="Segoe UI Light"/>
          <w:szCs w:val="20"/>
        </w:rPr>
        <w:t xml:space="preserve">proposed </w:t>
      </w:r>
      <w:r>
        <w:rPr>
          <w:rFonts w:cs="Segoe UI Light"/>
          <w:szCs w:val="20"/>
        </w:rPr>
        <w:t xml:space="preserve">Regulations </w:t>
      </w:r>
      <w:r w:rsidRPr="00023B6D">
        <w:rPr>
          <w:rFonts w:cs="Segoe UI Light"/>
          <w:szCs w:val="20"/>
        </w:rPr>
        <w:t xml:space="preserve">from the impact of </w:t>
      </w:r>
      <w:r w:rsidR="008059FB">
        <w:rPr>
          <w:rFonts w:cs="Segoe UI Light"/>
          <w:szCs w:val="20"/>
        </w:rPr>
        <w:t xml:space="preserve">changes to </w:t>
      </w:r>
      <w:r w:rsidRPr="00023B6D">
        <w:rPr>
          <w:rFonts w:cs="Segoe UI Light"/>
          <w:szCs w:val="20"/>
        </w:rPr>
        <w:t xml:space="preserve">other parts of the </w:t>
      </w:r>
      <w:r>
        <w:rPr>
          <w:rFonts w:cs="Segoe UI Light"/>
          <w:szCs w:val="20"/>
        </w:rPr>
        <w:t xml:space="preserve">legislative </w:t>
      </w:r>
      <w:r w:rsidRPr="00023B6D">
        <w:rPr>
          <w:rFonts w:cs="Segoe UI Light"/>
          <w:szCs w:val="20"/>
        </w:rPr>
        <w:t xml:space="preserve">framework. </w:t>
      </w:r>
      <w:r>
        <w:rPr>
          <w:rFonts w:cs="Segoe UI Light"/>
          <w:szCs w:val="20"/>
        </w:rPr>
        <w:t>Despite this</w:t>
      </w:r>
      <w:r w:rsidRPr="00023B6D">
        <w:rPr>
          <w:rFonts w:cs="Segoe UI Light"/>
          <w:szCs w:val="20"/>
        </w:rPr>
        <w:t>, the aim is to identify impacts and review of the effectiveness of the proposed Regulations, separate to other impacts, as comprehensively as possible</w:t>
      </w:r>
      <w:r w:rsidR="00DC7A63">
        <w:rPr>
          <w:rFonts w:cs="Segoe UI Light"/>
          <w:szCs w:val="20"/>
        </w:rPr>
        <w:t xml:space="preserve">. </w:t>
      </w:r>
    </w:p>
    <w:p w14:paraId="656B158F" w14:textId="77777777" w:rsidR="00E92B8E" w:rsidRPr="00023B6D" w:rsidRDefault="00E92B8E" w:rsidP="00E92B8E">
      <w:pPr>
        <w:rPr>
          <w:rFonts w:cs="Segoe UI Light"/>
          <w:szCs w:val="20"/>
        </w:rPr>
      </w:pPr>
      <w:r w:rsidRPr="00023B6D">
        <w:rPr>
          <w:rFonts w:cs="Segoe UI Light"/>
          <w:szCs w:val="20"/>
        </w:rPr>
        <w:t xml:space="preserve">Where possible the evaluation will identify specific aspects of the </w:t>
      </w:r>
      <w:r w:rsidR="00AC64E3">
        <w:rPr>
          <w:rFonts w:cs="Segoe UI Light"/>
          <w:szCs w:val="20"/>
        </w:rPr>
        <w:t xml:space="preserve">proposed </w:t>
      </w:r>
      <w:r w:rsidRPr="00023B6D">
        <w:rPr>
          <w:rFonts w:cs="Segoe UI Light"/>
          <w:szCs w:val="20"/>
        </w:rPr>
        <w:t>Regulations that can be reviewed in isolation. It is expected that it will be easier t</w:t>
      </w:r>
      <w:r w:rsidR="00AC64E3">
        <w:rPr>
          <w:rFonts w:cs="Segoe UI Light"/>
          <w:szCs w:val="20"/>
        </w:rPr>
        <w:t xml:space="preserve">o isolate the impact of the proposed </w:t>
      </w:r>
      <w:r w:rsidRPr="00023B6D">
        <w:rPr>
          <w:rFonts w:cs="Segoe UI Light"/>
          <w:szCs w:val="20"/>
        </w:rPr>
        <w:t xml:space="preserve">Regulations for some areas of </w:t>
      </w:r>
      <w:r w:rsidR="00AC64E3">
        <w:rPr>
          <w:rFonts w:cs="Segoe UI Light"/>
          <w:szCs w:val="20"/>
        </w:rPr>
        <w:t>proposed Regulations</w:t>
      </w:r>
      <w:r w:rsidRPr="00023B6D">
        <w:rPr>
          <w:rFonts w:cs="Segoe UI Light"/>
          <w:szCs w:val="20"/>
        </w:rPr>
        <w:t xml:space="preserve"> than others. </w:t>
      </w:r>
      <w:r>
        <w:rPr>
          <w:rFonts w:cs="Segoe UI Light"/>
          <w:szCs w:val="20"/>
        </w:rPr>
        <w:t xml:space="preserve">Examples include those </w:t>
      </w:r>
      <w:r w:rsidR="008059FB">
        <w:rPr>
          <w:rFonts w:cs="Segoe UI Light"/>
          <w:szCs w:val="20"/>
        </w:rPr>
        <w:t xml:space="preserve">regulations </w:t>
      </w:r>
      <w:r>
        <w:rPr>
          <w:rFonts w:cs="Segoe UI Light"/>
          <w:szCs w:val="20"/>
        </w:rPr>
        <w:t>in whose absence</w:t>
      </w:r>
      <w:r w:rsidRPr="00023B6D">
        <w:rPr>
          <w:rFonts w:cs="Segoe UI Light"/>
          <w:szCs w:val="20"/>
        </w:rPr>
        <w:t xml:space="preserve"> the </w:t>
      </w:r>
      <w:r w:rsidR="000D139E">
        <w:rPr>
          <w:rFonts w:cs="Segoe UI Light"/>
          <w:szCs w:val="20"/>
        </w:rPr>
        <w:t>new EP legislation</w:t>
      </w:r>
      <w:r w:rsidRPr="00023B6D">
        <w:rPr>
          <w:rFonts w:cs="Segoe UI Light"/>
          <w:szCs w:val="20"/>
        </w:rPr>
        <w:t xml:space="preserve"> would not be able to operate, or where </w:t>
      </w:r>
      <w:r w:rsidR="008059FB">
        <w:rPr>
          <w:rFonts w:cs="Segoe UI Light"/>
          <w:szCs w:val="20"/>
        </w:rPr>
        <w:t>r</w:t>
      </w:r>
      <w:r w:rsidR="00AC64E3">
        <w:rPr>
          <w:rFonts w:cs="Segoe UI Light"/>
          <w:szCs w:val="20"/>
        </w:rPr>
        <w:t>egulations</w:t>
      </w:r>
      <w:r w:rsidRPr="00023B6D">
        <w:rPr>
          <w:rFonts w:cs="Segoe UI Light"/>
          <w:szCs w:val="20"/>
        </w:rPr>
        <w:t xml:space="preserve"> address a gap in the </w:t>
      </w:r>
      <w:r w:rsidR="000D139E">
        <w:rPr>
          <w:rFonts w:cs="Segoe UI Light"/>
          <w:szCs w:val="20"/>
        </w:rPr>
        <w:t>new EP legislation</w:t>
      </w:r>
      <w:r w:rsidRPr="00023B6D">
        <w:rPr>
          <w:rFonts w:cs="Segoe UI Light"/>
          <w:szCs w:val="20"/>
        </w:rPr>
        <w:t xml:space="preserve">. It will be more difficult to isolate the impacts of </w:t>
      </w:r>
      <w:r w:rsidR="008059FB">
        <w:rPr>
          <w:rFonts w:cs="Segoe UI Light"/>
          <w:szCs w:val="20"/>
        </w:rPr>
        <w:t>r</w:t>
      </w:r>
      <w:r w:rsidR="008059FB" w:rsidRPr="00023B6D">
        <w:rPr>
          <w:rFonts w:cs="Segoe UI Light"/>
          <w:szCs w:val="20"/>
        </w:rPr>
        <w:t xml:space="preserve">egulations </w:t>
      </w:r>
      <w:r w:rsidRPr="00023B6D">
        <w:rPr>
          <w:rFonts w:cs="Segoe UI Light"/>
          <w:szCs w:val="20"/>
        </w:rPr>
        <w:t xml:space="preserve">aimed at addressing lack of clarity or prescription in the legislation. </w:t>
      </w:r>
      <w:r>
        <w:rPr>
          <w:rFonts w:cs="Segoe UI Light"/>
          <w:szCs w:val="20"/>
        </w:rPr>
        <w:t>In these case</w:t>
      </w:r>
      <w:r w:rsidR="0062211C">
        <w:rPr>
          <w:rFonts w:cs="Segoe UI Light"/>
          <w:szCs w:val="20"/>
        </w:rPr>
        <w:t>s</w:t>
      </w:r>
      <w:r>
        <w:rPr>
          <w:rFonts w:cs="Segoe UI Light"/>
          <w:szCs w:val="20"/>
        </w:rPr>
        <w:t xml:space="preserve"> the</w:t>
      </w:r>
      <w:r w:rsidRPr="00023B6D">
        <w:rPr>
          <w:rFonts w:cs="Segoe UI Light"/>
          <w:szCs w:val="20"/>
        </w:rPr>
        <w:t xml:space="preserve"> analysis is expected to be qualitative. </w:t>
      </w:r>
    </w:p>
    <w:p w14:paraId="656B1590" w14:textId="77777777" w:rsidR="00E92B8E" w:rsidRPr="00B943BC" w:rsidRDefault="00E92B8E" w:rsidP="00E92B8E">
      <w:pPr>
        <w:rPr>
          <w:rFonts w:cs="Segoe UI Light"/>
          <w:szCs w:val="20"/>
        </w:rPr>
      </w:pPr>
      <w:r w:rsidRPr="00D85A7F">
        <w:rPr>
          <w:rFonts w:cs="Segoe UI Light"/>
          <w:szCs w:val="20"/>
        </w:rPr>
        <w:t xml:space="preserve">Given the </w:t>
      </w:r>
      <w:r w:rsidRPr="00B943BC">
        <w:rPr>
          <w:rFonts w:cs="Segoe UI Light"/>
          <w:szCs w:val="20"/>
        </w:rPr>
        <w:t xml:space="preserve">difficulty in separating the varying effects </w:t>
      </w:r>
      <w:r w:rsidR="00E41F45">
        <w:rPr>
          <w:rFonts w:cs="Segoe UI Light"/>
          <w:szCs w:val="20"/>
        </w:rPr>
        <w:t xml:space="preserve">of the </w:t>
      </w:r>
      <w:r w:rsidRPr="00B943BC">
        <w:rPr>
          <w:rFonts w:cs="Segoe UI Light"/>
          <w:szCs w:val="20"/>
        </w:rPr>
        <w:t>legislative framework and other measures aimed at addressing the Government’s objective for environmental protection, the scope of th</w:t>
      </w:r>
      <w:r>
        <w:rPr>
          <w:rFonts w:cs="Segoe UI Light"/>
          <w:szCs w:val="20"/>
        </w:rPr>
        <w:t>e</w:t>
      </w:r>
      <w:r w:rsidRPr="00B943BC">
        <w:rPr>
          <w:rFonts w:cs="Segoe UI Light"/>
          <w:szCs w:val="20"/>
        </w:rPr>
        <w:t xml:space="preserve"> logic map includes a broad range of EPA activities</w:t>
      </w:r>
      <w:r w:rsidR="00E2577D">
        <w:rPr>
          <w:rFonts w:cs="Segoe UI Light"/>
          <w:szCs w:val="20"/>
        </w:rPr>
        <w:t xml:space="preserve"> such as administration of the new EP legislation and ERS</w:t>
      </w:r>
      <w:r w:rsidRPr="00B943BC">
        <w:rPr>
          <w:rFonts w:cs="Segoe UI Light"/>
          <w:szCs w:val="20"/>
        </w:rPr>
        <w:t>, not just the administration of the proposed Regulations.</w:t>
      </w:r>
    </w:p>
    <w:p w14:paraId="656B1591" w14:textId="77777777" w:rsidR="00C63810" w:rsidRDefault="00C63810" w:rsidP="00C63810">
      <w:pPr>
        <w:pStyle w:val="Caption"/>
      </w:pPr>
      <w:r>
        <w:t xml:space="preserve">Figure </w:t>
      </w:r>
      <w:r w:rsidR="008C5D06">
        <w:rPr>
          <w:color w:val="2B579A"/>
          <w:shd w:val="clear" w:color="auto" w:fill="E6E6E6"/>
        </w:rPr>
        <w:fldChar w:fldCharType="begin"/>
      </w:r>
      <w:r w:rsidR="008C5D06">
        <w:instrText xml:space="preserve"> STYLEREF 1 \s </w:instrText>
      </w:r>
      <w:r w:rsidR="008C5D06">
        <w:rPr>
          <w:color w:val="2B579A"/>
          <w:shd w:val="clear" w:color="auto" w:fill="E6E6E6"/>
        </w:rPr>
        <w:fldChar w:fldCharType="separate"/>
      </w:r>
      <w:r w:rsidR="00B11C1E">
        <w:rPr>
          <w:noProof/>
        </w:rPr>
        <w:t>19</w:t>
      </w:r>
      <w:r w:rsidR="008C5D06">
        <w:rPr>
          <w:color w:val="2B579A"/>
          <w:shd w:val="clear" w:color="auto" w:fill="E6E6E6"/>
        </w:rPr>
        <w:fldChar w:fldCharType="end"/>
      </w:r>
      <w:r w:rsidR="008C5D06">
        <w:noBreakHyphen/>
      </w:r>
      <w:r w:rsidR="008C5D06">
        <w:rPr>
          <w:color w:val="2B579A"/>
          <w:shd w:val="clear" w:color="auto" w:fill="E6E6E6"/>
        </w:rPr>
        <w:fldChar w:fldCharType="begin"/>
      </w:r>
      <w:r w:rsidR="008C5D06">
        <w:instrText xml:space="preserve"> SEQ Figure \* ARABIC \s 1 </w:instrText>
      </w:r>
      <w:r w:rsidR="008C5D06">
        <w:rPr>
          <w:color w:val="2B579A"/>
          <w:shd w:val="clear" w:color="auto" w:fill="E6E6E6"/>
        </w:rPr>
        <w:fldChar w:fldCharType="separate"/>
      </w:r>
      <w:r w:rsidR="00B11C1E">
        <w:rPr>
          <w:noProof/>
        </w:rPr>
        <w:t>1</w:t>
      </w:r>
      <w:r w:rsidR="008C5D06">
        <w:rPr>
          <w:color w:val="2B579A"/>
          <w:shd w:val="clear" w:color="auto" w:fill="E6E6E6"/>
        </w:rPr>
        <w:fldChar w:fldCharType="end"/>
      </w:r>
      <w:r w:rsidRPr="00C63810">
        <w:rPr>
          <w:rFonts w:cs="Segoe UI Light"/>
          <w:sz w:val="20"/>
          <w:szCs w:val="20"/>
        </w:rPr>
        <w:t xml:space="preserve"> </w:t>
      </w:r>
      <w:r w:rsidRPr="00B943BC">
        <w:rPr>
          <w:rFonts w:cs="Segoe UI Light"/>
          <w:sz w:val="20"/>
          <w:szCs w:val="20"/>
        </w:rPr>
        <w:t>Evaluation logic map</w:t>
      </w:r>
    </w:p>
    <w:p w14:paraId="656B1592" w14:textId="77777777" w:rsidR="00E92B8E" w:rsidRDefault="00E2577D" w:rsidP="00C63810">
      <w:pPr>
        <w:keepNext/>
      </w:pPr>
      <w:r w:rsidRPr="00E2577D">
        <w:rPr>
          <w:noProof/>
          <w:color w:val="2B579A"/>
          <w:shd w:val="clear" w:color="auto" w:fill="E6E6E6"/>
          <w:lang w:eastAsia="en-AU"/>
        </w:rPr>
        <w:drawing>
          <wp:inline distT="0" distB="0" distL="0" distR="0" wp14:anchorId="656B1ED0" wp14:editId="656B1ED1">
            <wp:extent cx="5981533" cy="3657807"/>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83468" cy="3658990"/>
                    </a:xfrm>
                    <a:prstGeom prst="rect">
                      <a:avLst/>
                    </a:prstGeom>
                    <a:noFill/>
                    <a:ln>
                      <a:noFill/>
                    </a:ln>
                  </pic:spPr>
                </pic:pic>
              </a:graphicData>
            </a:graphic>
          </wp:inline>
        </w:drawing>
      </w:r>
      <w:r w:rsidRPr="00E2577D" w:rsidDel="00E2577D">
        <w:t xml:space="preserve"> </w:t>
      </w:r>
    </w:p>
    <w:p w14:paraId="656B1593" w14:textId="77777777" w:rsidR="00E92B8E" w:rsidRPr="00E92B8E" w:rsidRDefault="00E92B8E" w:rsidP="00982D63">
      <w:pPr>
        <w:pStyle w:val="Heading2"/>
      </w:pPr>
      <w:r w:rsidRPr="00E92B8E">
        <w:t>How it will be done</w:t>
      </w:r>
    </w:p>
    <w:p w14:paraId="656B1594" w14:textId="77777777" w:rsidR="00E92B8E" w:rsidRPr="00B943BC" w:rsidRDefault="00E92B8E" w:rsidP="00E92B8E">
      <w:pPr>
        <w:spacing w:after="0"/>
        <w:rPr>
          <w:rFonts w:cs="Segoe UI Light"/>
          <w:i/>
          <w:szCs w:val="20"/>
        </w:rPr>
      </w:pPr>
      <w:r w:rsidRPr="00B943BC">
        <w:rPr>
          <w:rFonts w:cs="Segoe UI Light"/>
          <w:i/>
          <w:szCs w:val="20"/>
        </w:rPr>
        <w:t>Design</w:t>
      </w:r>
    </w:p>
    <w:p w14:paraId="656B1595" w14:textId="77777777" w:rsidR="00E92B8E" w:rsidRPr="00B943BC" w:rsidRDefault="00E92B8E" w:rsidP="00E92B8E">
      <w:pPr>
        <w:rPr>
          <w:rFonts w:cs="Segoe UI Light"/>
          <w:szCs w:val="20"/>
        </w:rPr>
      </w:pPr>
      <w:r w:rsidRPr="00B943BC">
        <w:rPr>
          <w:rFonts w:cs="Segoe UI Light"/>
          <w:szCs w:val="20"/>
        </w:rPr>
        <w:t xml:space="preserve">The design of the evaluation comprises before-Regulations and after-Regulations information collection to assess how and whether change has occurred, and in what direction. Before-Regulations measurement is the baseline measure of outcomes. </w:t>
      </w:r>
    </w:p>
    <w:p w14:paraId="656B1596" w14:textId="77777777" w:rsidR="00E92B8E" w:rsidRPr="00B943BC" w:rsidRDefault="00E92B8E" w:rsidP="00E92B8E">
      <w:pPr>
        <w:rPr>
          <w:rFonts w:cs="Segoe UI Light"/>
          <w:szCs w:val="20"/>
        </w:rPr>
      </w:pPr>
      <w:r w:rsidRPr="00B943BC">
        <w:rPr>
          <w:rFonts w:cs="Segoe UI Light"/>
          <w:szCs w:val="20"/>
        </w:rPr>
        <w:t xml:space="preserve">The evaluation will </w:t>
      </w:r>
      <w:r>
        <w:rPr>
          <w:rFonts w:cs="Segoe UI Light"/>
          <w:szCs w:val="20"/>
        </w:rPr>
        <w:t>adopt</w:t>
      </w:r>
      <w:r w:rsidRPr="00B943BC">
        <w:rPr>
          <w:rFonts w:cs="Segoe UI Light"/>
          <w:szCs w:val="20"/>
        </w:rPr>
        <w:t xml:space="preserve"> a mix of both qualitative and quantitative methods.</w:t>
      </w:r>
    </w:p>
    <w:p w14:paraId="656B1597" w14:textId="77777777" w:rsidR="00E92B8E" w:rsidRPr="00B943BC" w:rsidRDefault="00E92B8E" w:rsidP="00E92B8E">
      <w:pPr>
        <w:rPr>
          <w:rFonts w:cs="Segoe UI Light"/>
          <w:szCs w:val="20"/>
        </w:rPr>
      </w:pPr>
      <w:r w:rsidRPr="00B943BC">
        <w:rPr>
          <w:rFonts w:cs="Segoe UI Light"/>
          <w:szCs w:val="20"/>
        </w:rPr>
        <w:t>Qualitative evaluation methods will draw on stakeholder consultation (such as interview and surveys) with organisations that are impacted by the</w:t>
      </w:r>
      <w:r w:rsidR="00AC64E3">
        <w:rPr>
          <w:rFonts w:cs="Segoe UI Light"/>
          <w:szCs w:val="20"/>
        </w:rPr>
        <w:t xml:space="preserve"> proposed</w:t>
      </w:r>
      <w:r w:rsidRPr="00B943BC">
        <w:rPr>
          <w:rFonts w:cs="Segoe UI Light"/>
          <w:szCs w:val="20"/>
        </w:rPr>
        <w:t xml:space="preserve"> Regulations, regulators with responsibility for the administering the </w:t>
      </w:r>
      <w:r w:rsidR="00AC64E3">
        <w:rPr>
          <w:rFonts w:cs="Segoe UI Light"/>
          <w:szCs w:val="20"/>
        </w:rPr>
        <w:t xml:space="preserve">proposed </w:t>
      </w:r>
      <w:r w:rsidRPr="00B943BC">
        <w:rPr>
          <w:rFonts w:cs="Segoe UI Light"/>
          <w:szCs w:val="20"/>
        </w:rPr>
        <w:t xml:space="preserve">Regulations (EPA and joint regulators), DELWP and other Victorian Government Departments and agencies as appropriate. This will primarily comprise the </w:t>
      </w:r>
      <w:r w:rsidR="00AC64E3">
        <w:rPr>
          <w:rFonts w:cs="Segoe UI Light"/>
          <w:szCs w:val="20"/>
        </w:rPr>
        <w:t xml:space="preserve">stakeholders outlined in section </w:t>
      </w:r>
      <w:r w:rsidR="008059FB">
        <w:rPr>
          <w:rFonts w:cs="Segoe UI Light"/>
          <w:szCs w:val="20"/>
        </w:rPr>
        <w:t>18 of this RIS</w:t>
      </w:r>
      <w:r w:rsidRPr="00B943BC">
        <w:rPr>
          <w:rFonts w:cs="Segoe UI Light"/>
          <w:szCs w:val="20"/>
        </w:rPr>
        <w:t xml:space="preserve">. This will enable collection of information regarding, for example: </w:t>
      </w:r>
    </w:p>
    <w:p w14:paraId="656B1598" w14:textId="77777777" w:rsidR="00E92B8E" w:rsidRPr="00B943BC" w:rsidRDefault="00BC098E" w:rsidP="004A2442">
      <w:pPr>
        <w:pStyle w:val="ListParagraph"/>
        <w:numPr>
          <w:ilvl w:val="0"/>
          <w:numId w:val="50"/>
        </w:numPr>
        <w:spacing w:after="170"/>
        <w:rPr>
          <w:rFonts w:cs="Segoe UI Light"/>
          <w:szCs w:val="20"/>
        </w:rPr>
      </w:pPr>
      <w:r>
        <w:rPr>
          <w:rFonts w:cs="Segoe UI Light"/>
          <w:szCs w:val="20"/>
        </w:rPr>
        <w:t>S</w:t>
      </w:r>
      <w:r w:rsidR="00E92B8E" w:rsidRPr="00B943BC">
        <w:rPr>
          <w:rFonts w:cs="Segoe UI Light"/>
          <w:szCs w:val="20"/>
        </w:rPr>
        <w:t>takeholders’ understanding of the proposed Regulations, costs of compliance and changes in behaviour brought about by the</w:t>
      </w:r>
      <w:r w:rsidR="00AC64E3">
        <w:rPr>
          <w:rFonts w:cs="Segoe UI Light"/>
          <w:szCs w:val="20"/>
        </w:rPr>
        <w:t xml:space="preserve"> proposed</w:t>
      </w:r>
      <w:r w:rsidR="00E92B8E" w:rsidRPr="00B943BC">
        <w:rPr>
          <w:rFonts w:cs="Segoe UI Light"/>
          <w:szCs w:val="20"/>
        </w:rPr>
        <w:t xml:space="preserve"> Regulations</w:t>
      </w:r>
      <w:r>
        <w:rPr>
          <w:rFonts w:cs="Segoe UI Light"/>
          <w:szCs w:val="20"/>
        </w:rPr>
        <w:t>.</w:t>
      </w:r>
    </w:p>
    <w:p w14:paraId="656B1599" w14:textId="77777777" w:rsidR="00E92B8E" w:rsidRPr="00B943BC" w:rsidRDefault="00BC098E" w:rsidP="004A2442">
      <w:pPr>
        <w:pStyle w:val="ListParagraph"/>
        <w:numPr>
          <w:ilvl w:val="0"/>
          <w:numId w:val="50"/>
        </w:numPr>
        <w:spacing w:after="170"/>
        <w:rPr>
          <w:rFonts w:cs="Segoe UI Light"/>
          <w:szCs w:val="20"/>
        </w:rPr>
      </w:pPr>
      <w:r>
        <w:rPr>
          <w:rFonts w:cs="Segoe UI Light"/>
          <w:szCs w:val="20"/>
        </w:rPr>
        <w:t>S</w:t>
      </w:r>
      <w:r w:rsidR="00E92B8E" w:rsidRPr="00B943BC">
        <w:rPr>
          <w:rFonts w:cs="Segoe UI Light"/>
          <w:szCs w:val="20"/>
        </w:rPr>
        <w:t xml:space="preserve">takeholders’ understanding of the requirements of the </w:t>
      </w:r>
      <w:r w:rsidR="000D139E">
        <w:rPr>
          <w:rFonts w:cs="Segoe UI Light"/>
          <w:szCs w:val="20"/>
        </w:rPr>
        <w:t>new EP legislation</w:t>
      </w:r>
      <w:r w:rsidR="00E92B8E" w:rsidRPr="00B943BC">
        <w:rPr>
          <w:rFonts w:cs="Segoe UI Light"/>
          <w:szCs w:val="20"/>
        </w:rPr>
        <w:t xml:space="preserve"> versus </w:t>
      </w:r>
      <w:r w:rsidR="00AC64E3">
        <w:rPr>
          <w:rFonts w:cs="Segoe UI Light"/>
          <w:szCs w:val="20"/>
        </w:rPr>
        <w:t>proposed Regulations</w:t>
      </w:r>
      <w:r>
        <w:rPr>
          <w:rFonts w:cs="Segoe UI Light"/>
          <w:szCs w:val="20"/>
        </w:rPr>
        <w:t>.</w:t>
      </w:r>
    </w:p>
    <w:p w14:paraId="656B159A" w14:textId="77777777" w:rsidR="00E92B8E" w:rsidRPr="00B943BC" w:rsidRDefault="00BC098E" w:rsidP="004A2442">
      <w:pPr>
        <w:pStyle w:val="ListParagraph"/>
        <w:numPr>
          <w:ilvl w:val="0"/>
          <w:numId w:val="50"/>
        </w:numPr>
        <w:rPr>
          <w:rFonts w:cs="Segoe UI Light"/>
          <w:szCs w:val="20"/>
        </w:rPr>
      </w:pPr>
      <w:r>
        <w:rPr>
          <w:rFonts w:cs="Segoe UI Light"/>
          <w:szCs w:val="20"/>
        </w:rPr>
        <w:t>I</w:t>
      </w:r>
      <w:r w:rsidR="00E92B8E" w:rsidRPr="00B943BC">
        <w:rPr>
          <w:rFonts w:cs="Segoe UI Light"/>
          <w:szCs w:val="20"/>
        </w:rPr>
        <w:t xml:space="preserve">ssues encountered by environmental protection joint regulators regarding administration, compliance and enforcement of the proposed Regulations. </w:t>
      </w:r>
    </w:p>
    <w:p w14:paraId="656B159B" w14:textId="77777777" w:rsidR="00E92B8E" w:rsidRPr="00B943BC" w:rsidRDefault="00E92B8E" w:rsidP="00E92B8E">
      <w:pPr>
        <w:rPr>
          <w:rFonts w:cs="Segoe UI Light"/>
          <w:szCs w:val="20"/>
        </w:rPr>
      </w:pPr>
      <w:r w:rsidRPr="00B943BC">
        <w:rPr>
          <w:rFonts w:cs="Segoe UI Light"/>
          <w:szCs w:val="20"/>
        </w:rPr>
        <w:t xml:space="preserve">The quantitative method of evaluation will involve assessment of baseline data against </w:t>
      </w:r>
      <w:r w:rsidR="00DB3414">
        <w:rPr>
          <w:rFonts w:cs="Segoe UI Light"/>
          <w:szCs w:val="20"/>
        </w:rPr>
        <w:t>after</w:t>
      </w:r>
      <w:r w:rsidRPr="00B943BC">
        <w:rPr>
          <w:rFonts w:cs="Segoe UI Light"/>
          <w:szCs w:val="20"/>
        </w:rPr>
        <w:t>-Regulations data. Specific methodologies for the collection and analysis of data will vary depending on the indicator in question.</w:t>
      </w:r>
    </w:p>
    <w:p w14:paraId="656B159C" w14:textId="77777777" w:rsidR="00E92B8E" w:rsidRPr="00B943BC" w:rsidRDefault="00E92B8E" w:rsidP="00E92B8E">
      <w:pPr>
        <w:spacing w:after="0"/>
        <w:rPr>
          <w:rFonts w:cs="Segoe UI Light"/>
          <w:i/>
          <w:szCs w:val="20"/>
        </w:rPr>
      </w:pPr>
      <w:r w:rsidRPr="00B943BC">
        <w:rPr>
          <w:rFonts w:cs="Segoe UI Light"/>
          <w:i/>
          <w:szCs w:val="20"/>
        </w:rPr>
        <w:t>Current</w:t>
      </w:r>
      <w:r>
        <w:rPr>
          <w:rFonts w:cs="Segoe UI Light"/>
          <w:i/>
          <w:szCs w:val="20"/>
        </w:rPr>
        <w:t>ly</w:t>
      </w:r>
      <w:r w:rsidRPr="00B943BC">
        <w:rPr>
          <w:rFonts w:cs="Segoe UI Light"/>
          <w:i/>
          <w:szCs w:val="20"/>
        </w:rPr>
        <w:t xml:space="preserve"> available data sources</w:t>
      </w:r>
    </w:p>
    <w:p w14:paraId="656B159D" w14:textId="77777777" w:rsidR="00E92B8E" w:rsidRPr="00B943BC" w:rsidRDefault="00E92B8E" w:rsidP="00E92B8E">
      <w:pPr>
        <w:rPr>
          <w:rFonts w:cs="Segoe UI Light"/>
          <w:i/>
          <w:szCs w:val="20"/>
        </w:rPr>
      </w:pPr>
      <w:r w:rsidRPr="00B943BC">
        <w:rPr>
          <w:rFonts w:cs="Segoe UI Light"/>
          <w:szCs w:val="20"/>
        </w:rPr>
        <w:t xml:space="preserve">The evaluation will largely </w:t>
      </w:r>
      <w:r>
        <w:rPr>
          <w:rFonts w:cs="Segoe UI Light"/>
          <w:szCs w:val="20"/>
        </w:rPr>
        <w:t>use</w:t>
      </w:r>
      <w:r w:rsidRPr="00B943BC">
        <w:rPr>
          <w:rFonts w:cs="Segoe UI Light"/>
          <w:szCs w:val="20"/>
        </w:rPr>
        <w:t xml:space="preserve"> currently available data sources, including:</w:t>
      </w:r>
    </w:p>
    <w:p w14:paraId="656B159E" w14:textId="77777777" w:rsidR="00E92B8E" w:rsidRPr="00B943BC" w:rsidRDefault="00E92B8E" w:rsidP="004A2442">
      <w:pPr>
        <w:pStyle w:val="ListParagraph"/>
        <w:numPr>
          <w:ilvl w:val="0"/>
          <w:numId w:val="50"/>
        </w:numPr>
        <w:spacing w:after="170"/>
        <w:rPr>
          <w:rFonts w:cs="Segoe UI Light"/>
          <w:szCs w:val="20"/>
        </w:rPr>
      </w:pPr>
      <w:r w:rsidRPr="00B943BC">
        <w:rPr>
          <w:rFonts w:cs="Segoe UI Light"/>
          <w:szCs w:val="20"/>
        </w:rPr>
        <w:t>Incidents: number of incidents recorded, attended, assessed as requiring planned or immediate EPA attendance.</w:t>
      </w:r>
    </w:p>
    <w:p w14:paraId="656B159F" w14:textId="77777777" w:rsidR="00E92B8E" w:rsidRPr="00B943BC" w:rsidRDefault="00E92B8E" w:rsidP="004A2442">
      <w:pPr>
        <w:pStyle w:val="ListParagraph"/>
        <w:numPr>
          <w:ilvl w:val="0"/>
          <w:numId w:val="50"/>
        </w:numPr>
        <w:spacing w:after="170"/>
        <w:rPr>
          <w:rFonts w:cs="Segoe UI Light"/>
          <w:szCs w:val="20"/>
        </w:rPr>
      </w:pPr>
      <w:r w:rsidRPr="00B943BC">
        <w:rPr>
          <w:rFonts w:cs="Segoe UI Light"/>
          <w:szCs w:val="20"/>
        </w:rPr>
        <w:t>Pollution reports: total number, by type.</w:t>
      </w:r>
    </w:p>
    <w:p w14:paraId="656B15A0" w14:textId="77777777" w:rsidR="00E92B8E" w:rsidRPr="00B943BC" w:rsidRDefault="00E92B8E" w:rsidP="004A2442">
      <w:pPr>
        <w:pStyle w:val="ListParagraph"/>
        <w:numPr>
          <w:ilvl w:val="0"/>
          <w:numId w:val="50"/>
        </w:numPr>
        <w:spacing w:after="170"/>
        <w:rPr>
          <w:rFonts w:cs="Segoe UI Light"/>
          <w:szCs w:val="20"/>
        </w:rPr>
      </w:pPr>
      <w:r w:rsidRPr="00B943BC">
        <w:rPr>
          <w:rFonts w:cs="Segoe UI Light"/>
          <w:szCs w:val="20"/>
        </w:rPr>
        <w:t>Inspection reports: report information, total inspections, by type.</w:t>
      </w:r>
    </w:p>
    <w:p w14:paraId="656B15A1" w14:textId="77777777" w:rsidR="00E92B8E" w:rsidRPr="00B943BC" w:rsidRDefault="00E92B8E" w:rsidP="004A2442">
      <w:pPr>
        <w:pStyle w:val="ListParagraph"/>
        <w:numPr>
          <w:ilvl w:val="0"/>
          <w:numId w:val="50"/>
        </w:numPr>
        <w:spacing w:after="170"/>
        <w:rPr>
          <w:rFonts w:cs="Segoe UI Light"/>
          <w:szCs w:val="20"/>
        </w:rPr>
      </w:pPr>
      <w:r w:rsidRPr="00B943BC">
        <w:rPr>
          <w:rFonts w:cs="Segoe UI Light"/>
          <w:szCs w:val="20"/>
        </w:rPr>
        <w:t>Remedial notices: total notices issued and by type, number complied with or revoked and escalated, number issued for illegal dumping of waste.</w:t>
      </w:r>
    </w:p>
    <w:p w14:paraId="656B15A2" w14:textId="77777777" w:rsidR="00E92B8E" w:rsidRPr="00B943BC" w:rsidRDefault="00E92B8E" w:rsidP="004A2442">
      <w:pPr>
        <w:pStyle w:val="ListParagraph"/>
        <w:numPr>
          <w:ilvl w:val="0"/>
          <w:numId w:val="50"/>
        </w:numPr>
        <w:spacing w:after="170"/>
        <w:rPr>
          <w:rFonts w:cs="Segoe UI Light"/>
          <w:szCs w:val="20"/>
        </w:rPr>
      </w:pPr>
      <w:r w:rsidRPr="00B943BC">
        <w:rPr>
          <w:rFonts w:cs="Segoe UI Light"/>
          <w:szCs w:val="20"/>
        </w:rPr>
        <w:t>Official warnings: total number, number complied with.</w:t>
      </w:r>
    </w:p>
    <w:p w14:paraId="656B15A3" w14:textId="77777777" w:rsidR="00E92B8E" w:rsidRPr="00B943BC" w:rsidRDefault="00E92B8E" w:rsidP="004A2442">
      <w:pPr>
        <w:pStyle w:val="ListParagraph"/>
        <w:numPr>
          <w:ilvl w:val="0"/>
          <w:numId w:val="50"/>
        </w:numPr>
        <w:spacing w:after="170"/>
        <w:rPr>
          <w:rFonts w:cs="Segoe UI Light"/>
          <w:szCs w:val="20"/>
        </w:rPr>
      </w:pPr>
      <w:r w:rsidRPr="00B943BC">
        <w:rPr>
          <w:rFonts w:cs="Segoe UI Light"/>
          <w:szCs w:val="20"/>
        </w:rPr>
        <w:t>Environmental monitoring data</w:t>
      </w:r>
      <w:r w:rsidR="008958F9">
        <w:rPr>
          <w:rFonts w:cs="Segoe UI Light"/>
          <w:szCs w:val="20"/>
        </w:rPr>
        <w:t xml:space="preserve"> </w:t>
      </w:r>
      <w:r w:rsidR="00C22DA3">
        <w:rPr>
          <w:rFonts w:cs="Segoe UI Light"/>
          <w:szCs w:val="20"/>
        </w:rPr>
        <w:t xml:space="preserve">from the Victorian </w:t>
      </w:r>
      <w:r w:rsidR="00BC098E">
        <w:rPr>
          <w:szCs w:val="16"/>
        </w:rPr>
        <w:t>State of the Environment 2018 report.</w:t>
      </w:r>
      <w:r w:rsidR="00BC098E">
        <w:rPr>
          <w:rStyle w:val="FootnoteReference"/>
          <w:szCs w:val="16"/>
        </w:rPr>
        <w:footnoteReference w:id="328"/>
      </w:r>
    </w:p>
    <w:p w14:paraId="656B15A4" w14:textId="77777777" w:rsidR="00E92B8E" w:rsidRPr="00B943BC" w:rsidRDefault="00E92B8E" w:rsidP="004A2442">
      <w:pPr>
        <w:pStyle w:val="ListParagraph"/>
        <w:numPr>
          <w:ilvl w:val="0"/>
          <w:numId w:val="50"/>
        </w:numPr>
        <w:spacing w:after="170"/>
        <w:rPr>
          <w:rFonts w:cs="Segoe UI Light"/>
          <w:szCs w:val="20"/>
        </w:rPr>
      </w:pPr>
      <w:r w:rsidRPr="00B943BC">
        <w:rPr>
          <w:rFonts w:cs="Segoe UI Light"/>
          <w:szCs w:val="20"/>
        </w:rPr>
        <w:t>Permissions data: number and type of permissions.</w:t>
      </w:r>
    </w:p>
    <w:p w14:paraId="656B15A5" w14:textId="77777777" w:rsidR="00E92B8E" w:rsidRPr="00B943BC" w:rsidRDefault="00E92B8E" w:rsidP="004A2442">
      <w:pPr>
        <w:pStyle w:val="ListParagraph"/>
        <w:numPr>
          <w:ilvl w:val="0"/>
          <w:numId w:val="50"/>
        </w:numPr>
        <w:spacing w:after="170"/>
        <w:rPr>
          <w:rFonts w:cs="Segoe UI Light"/>
          <w:szCs w:val="20"/>
        </w:rPr>
      </w:pPr>
      <w:r w:rsidRPr="00B943BC">
        <w:rPr>
          <w:rFonts w:cs="Segoe UI Light"/>
          <w:szCs w:val="20"/>
        </w:rPr>
        <w:t>Investigations and prosecutions: number initiated and completed.</w:t>
      </w:r>
    </w:p>
    <w:p w14:paraId="656B15A6" w14:textId="77777777" w:rsidR="00E92B8E" w:rsidRPr="00B943BC" w:rsidRDefault="00E92B8E" w:rsidP="004A2442">
      <w:pPr>
        <w:pStyle w:val="ListParagraph"/>
        <w:numPr>
          <w:ilvl w:val="0"/>
          <w:numId w:val="50"/>
        </w:numPr>
        <w:spacing w:after="170"/>
        <w:rPr>
          <w:rFonts w:cs="Segoe UI Light"/>
          <w:szCs w:val="20"/>
        </w:rPr>
      </w:pPr>
      <w:r w:rsidRPr="00B943BC">
        <w:rPr>
          <w:rFonts w:cs="Segoe UI Light"/>
          <w:szCs w:val="20"/>
        </w:rPr>
        <w:t>Litter reports: number of reports and infringements.</w:t>
      </w:r>
    </w:p>
    <w:p w14:paraId="656B15A7" w14:textId="77777777" w:rsidR="00E92B8E" w:rsidRPr="00B943BC" w:rsidRDefault="00E92B8E" w:rsidP="004A2442">
      <w:pPr>
        <w:pStyle w:val="ListParagraph"/>
        <w:numPr>
          <w:ilvl w:val="0"/>
          <w:numId w:val="50"/>
        </w:numPr>
        <w:spacing w:after="170"/>
        <w:rPr>
          <w:rFonts w:cs="Segoe UI Light"/>
          <w:szCs w:val="20"/>
        </w:rPr>
      </w:pPr>
      <w:r w:rsidRPr="00B943BC">
        <w:rPr>
          <w:rFonts w:cs="Segoe UI Light"/>
          <w:szCs w:val="20"/>
        </w:rPr>
        <w:t>Environmental audits and preliminary risk screening reports.</w:t>
      </w:r>
    </w:p>
    <w:p w14:paraId="656B15A8" w14:textId="77777777" w:rsidR="00E92B8E" w:rsidRPr="00B943BC" w:rsidRDefault="00E92B8E" w:rsidP="004A2442">
      <w:pPr>
        <w:pStyle w:val="ListParagraph"/>
        <w:numPr>
          <w:ilvl w:val="0"/>
          <w:numId w:val="50"/>
        </w:numPr>
        <w:spacing w:after="170"/>
        <w:rPr>
          <w:rFonts w:cs="Segoe UI Light"/>
          <w:szCs w:val="20"/>
        </w:rPr>
      </w:pPr>
      <w:r w:rsidRPr="00B943BC">
        <w:rPr>
          <w:rFonts w:cs="Segoe UI Light"/>
          <w:szCs w:val="20"/>
        </w:rPr>
        <w:t>Social research projects.</w:t>
      </w:r>
    </w:p>
    <w:p w14:paraId="656B15A9" w14:textId="77777777" w:rsidR="00E92B8E" w:rsidRDefault="00E92B8E" w:rsidP="004A2442">
      <w:pPr>
        <w:pStyle w:val="ListParagraph"/>
        <w:numPr>
          <w:ilvl w:val="0"/>
          <w:numId w:val="50"/>
        </w:numPr>
        <w:spacing w:after="170"/>
        <w:rPr>
          <w:rFonts w:cs="Segoe UI Light"/>
          <w:szCs w:val="20"/>
        </w:rPr>
      </w:pPr>
      <w:r w:rsidRPr="00B943BC">
        <w:rPr>
          <w:rFonts w:cs="Segoe UI Light"/>
          <w:szCs w:val="20"/>
        </w:rPr>
        <w:t>Third party data from other agencies, research organisations and industry, especially any generated by outcome based funding agreements.</w:t>
      </w:r>
    </w:p>
    <w:p w14:paraId="656B15AA" w14:textId="77777777" w:rsidR="00E92B8E" w:rsidRPr="00B943BC" w:rsidRDefault="00E92B8E" w:rsidP="00E92B8E">
      <w:pPr>
        <w:spacing w:after="0"/>
        <w:rPr>
          <w:rFonts w:cs="Segoe UI Light"/>
          <w:i/>
          <w:szCs w:val="20"/>
        </w:rPr>
      </w:pPr>
      <w:r w:rsidRPr="00B943BC">
        <w:rPr>
          <w:rFonts w:cs="Segoe UI Light"/>
          <w:i/>
          <w:szCs w:val="20"/>
        </w:rPr>
        <w:t>Establishing a baseline</w:t>
      </w:r>
    </w:p>
    <w:p w14:paraId="656B15AB" w14:textId="77777777" w:rsidR="00E92B8E" w:rsidRDefault="00E92B8E" w:rsidP="00E92B8E">
      <w:pPr>
        <w:pStyle w:val="BodyText"/>
        <w:spacing w:after="120"/>
        <w:rPr>
          <w:rFonts w:cs="Segoe UI Light"/>
          <w:szCs w:val="20"/>
        </w:rPr>
      </w:pPr>
      <w:r w:rsidRPr="00B943BC">
        <w:rPr>
          <w:rFonts w:cs="Segoe UI Light"/>
          <w:szCs w:val="20"/>
        </w:rPr>
        <w:t>The proposed baseline is the 2019-20 financial year, which is the final year of operation</w:t>
      </w:r>
      <w:r>
        <w:rPr>
          <w:rFonts w:cs="Segoe UI Light"/>
          <w:szCs w:val="20"/>
        </w:rPr>
        <w:t xml:space="preserve"> of</w:t>
      </w:r>
      <w:r w:rsidRPr="00B943BC">
        <w:rPr>
          <w:rFonts w:cs="Segoe UI Light"/>
          <w:szCs w:val="20"/>
        </w:rPr>
        <w:t xml:space="preserve"> the current legislative and regulatory framework. </w:t>
      </w:r>
      <w:r>
        <w:rPr>
          <w:rFonts w:cs="Segoe UI Light"/>
          <w:szCs w:val="20"/>
        </w:rPr>
        <w:t>As noted above, t</w:t>
      </w:r>
      <w:r w:rsidRPr="00B943BC">
        <w:rPr>
          <w:rFonts w:cs="Segoe UI Light"/>
          <w:szCs w:val="20"/>
        </w:rPr>
        <w:t xml:space="preserve">he evaluation will have to closely analyse and judge the impact of the </w:t>
      </w:r>
      <w:r w:rsidR="000D139E">
        <w:rPr>
          <w:rFonts w:cs="Segoe UI Light"/>
          <w:szCs w:val="20"/>
        </w:rPr>
        <w:t>new EP legislation</w:t>
      </w:r>
      <w:r w:rsidRPr="00B943BC">
        <w:rPr>
          <w:rFonts w:cs="Segoe UI Light"/>
          <w:szCs w:val="20"/>
        </w:rPr>
        <w:t xml:space="preserve"> versus </w:t>
      </w:r>
      <w:r w:rsidR="00AC64E3">
        <w:rPr>
          <w:rFonts w:cs="Segoe UI Light"/>
          <w:szCs w:val="20"/>
        </w:rPr>
        <w:t>proposed Regulations</w:t>
      </w:r>
      <w:r w:rsidRPr="00B943BC">
        <w:rPr>
          <w:rFonts w:cs="Segoe UI Light"/>
          <w:szCs w:val="20"/>
        </w:rPr>
        <w:t>. This complexity is standard for evaluation projects, which always have to closely assess what factors (i.e. program/Regulators and/or external factors) are impacting outcomes.</w:t>
      </w:r>
    </w:p>
    <w:p w14:paraId="656B15AC" w14:textId="77777777" w:rsidR="00892965" w:rsidRPr="00B943BC" w:rsidRDefault="00FF76AC" w:rsidP="00040A06">
      <w:pPr>
        <w:pStyle w:val="CommentText"/>
        <w:rPr>
          <w:rFonts w:cs="Segoe UI Light"/>
        </w:rPr>
      </w:pPr>
      <w:r>
        <w:rPr>
          <w:rFonts w:cs="Segoe UI Light"/>
        </w:rPr>
        <w:t>I</w:t>
      </w:r>
      <w:r w:rsidR="00892965">
        <w:rPr>
          <w:rFonts w:cs="Segoe UI Light"/>
        </w:rPr>
        <w:t>t is possible that ‘</w:t>
      </w:r>
      <w:r w:rsidR="00892965">
        <w:t xml:space="preserve">pre-emptive’ changes might be made in 2019-20 by businesses knowing that some changes to the regulatory framework will be made. </w:t>
      </w:r>
      <w:r w:rsidR="00892965">
        <w:rPr>
          <w:rFonts w:cs="Segoe UI Light"/>
        </w:rPr>
        <w:t>A</w:t>
      </w:r>
      <w:r w:rsidR="00892965" w:rsidRPr="00A811AD">
        <w:rPr>
          <w:rFonts w:cs="Segoe UI Light"/>
        </w:rPr>
        <w:t xml:space="preserve"> sense check of the baseline will be taken </w:t>
      </w:r>
      <w:r w:rsidR="00892965">
        <w:rPr>
          <w:rFonts w:cs="Segoe UI Light"/>
        </w:rPr>
        <w:t xml:space="preserve">to assess whether this has occurred </w:t>
      </w:r>
      <w:r w:rsidR="00892965" w:rsidRPr="00A811AD">
        <w:rPr>
          <w:rFonts w:cs="Segoe UI Light"/>
        </w:rPr>
        <w:t>e.g. a check of numbers against the previous year to assess whether there have been significant changes.</w:t>
      </w:r>
    </w:p>
    <w:p w14:paraId="656B15AD" w14:textId="77777777" w:rsidR="00E92B8E" w:rsidRPr="00B943BC" w:rsidRDefault="00E92B8E" w:rsidP="00E92B8E">
      <w:pPr>
        <w:pStyle w:val="BodyText"/>
        <w:spacing w:after="120"/>
        <w:rPr>
          <w:rFonts w:cs="Segoe UI Light"/>
          <w:szCs w:val="20"/>
        </w:rPr>
      </w:pPr>
      <w:r w:rsidRPr="00B943BC">
        <w:rPr>
          <w:rFonts w:cs="Segoe UI Light"/>
          <w:szCs w:val="20"/>
        </w:rPr>
        <w:t>The current available data sources as outlined above will be the main data sources used to establish the baseline for comparison.</w:t>
      </w:r>
    </w:p>
    <w:p w14:paraId="656B15AE" w14:textId="77777777" w:rsidR="00E92B8E" w:rsidRPr="00B943BC" w:rsidRDefault="00E92B8E" w:rsidP="00E92B8E">
      <w:pPr>
        <w:pStyle w:val="BodyText"/>
        <w:spacing w:after="0"/>
        <w:rPr>
          <w:rFonts w:cs="Segoe UI Light"/>
          <w:i/>
          <w:szCs w:val="20"/>
        </w:rPr>
      </w:pPr>
      <w:r w:rsidRPr="00B943BC">
        <w:rPr>
          <w:rFonts w:cs="Segoe UI Light"/>
          <w:i/>
          <w:szCs w:val="20"/>
        </w:rPr>
        <w:t>Data improvement</w:t>
      </w:r>
    </w:p>
    <w:p w14:paraId="656B15AF" w14:textId="77777777" w:rsidR="006242DD" w:rsidRPr="007F60A5" w:rsidRDefault="00E92B8E" w:rsidP="00E92B8E">
      <w:pPr>
        <w:rPr>
          <w:rFonts w:cs="Segoe UI Light"/>
          <w:szCs w:val="20"/>
        </w:rPr>
      </w:pPr>
      <w:r w:rsidRPr="00B943BC">
        <w:rPr>
          <w:rFonts w:cs="Segoe UI Light"/>
          <w:szCs w:val="20"/>
        </w:rPr>
        <w:t xml:space="preserve">As part of the implementation process for the proposed Regulations, </w:t>
      </w:r>
      <w:r w:rsidR="001B4CE3">
        <w:rPr>
          <w:rFonts w:cs="Segoe UI Light"/>
          <w:szCs w:val="20"/>
        </w:rPr>
        <w:t>EPA</w:t>
      </w:r>
      <w:r w:rsidRPr="00B943BC">
        <w:rPr>
          <w:rFonts w:cs="Segoe UI Light"/>
          <w:szCs w:val="20"/>
        </w:rPr>
        <w:t xml:space="preserve"> will undertake a review of existing data sources to assess gaps in data and identify areas</w:t>
      </w:r>
      <w:r w:rsidR="009E49D5">
        <w:rPr>
          <w:rFonts w:cs="Segoe UI Light"/>
          <w:szCs w:val="20"/>
        </w:rPr>
        <w:t xml:space="preserve"> and strategies</w:t>
      </w:r>
      <w:r w:rsidRPr="00B943BC">
        <w:rPr>
          <w:rFonts w:cs="Segoe UI Light"/>
          <w:szCs w:val="20"/>
        </w:rPr>
        <w:t xml:space="preserve"> for improvement.</w:t>
      </w:r>
      <w:r w:rsidR="008958F9">
        <w:rPr>
          <w:rFonts w:cs="Segoe UI Light"/>
          <w:szCs w:val="20"/>
        </w:rPr>
        <w:t xml:space="preserve"> </w:t>
      </w:r>
      <w:r w:rsidR="00892965">
        <w:t xml:space="preserve">This will include considering whether new types of data/information will need to be collected to better understand the effects of the new approach. </w:t>
      </w:r>
      <w:r w:rsidRPr="00B943BC">
        <w:rPr>
          <w:rFonts w:cs="Segoe UI Light"/>
          <w:szCs w:val="20"/>
        </w:rPr>
        <w:t>The objective will be to ensure that adequate data is available to enable effective evaluation of the proposed Regulations. Depending on the outcomes of this review, quantitative data sources will be developed to ensure that appropriate data is collected and managed. However, it is not expected that changes to data collection will be implemented within the initial years after commencement of the new framework</w:t>
      </w:r>
      <w:r w:rsidR="000D29F0" w:rsidRPr="000D29F0">
        <w:rPr>
          <w:rFonts w:cs="Segoe UI Light"/>
          <w:szCs w:val="20"/>
        </w:rPr>
        <w:t xml:space="preserve"> </w:t>
      </w:r>
      <w:r w:rsidR="000D29F0">
        <w:rPr>
          <w:rFonts w:cs="Segoe UI Light"/>
          <w:szCs w:val="20"/>
        </w:rPr>
        <w:t>because gaps in data will not be addressed before the new framework is in place.</w:t>
      </w:r>
      <w:r w:rsidR="008958F9">
        <w:rPr>
          <w:rFonts w:cs="Segoe UI Light"/>
          <w:szCs w:val="20"/>
        </w:rPr>
        <w:t xml:space="preserve"> This will impact the baseline measurement i.e. before-</w:t>
      </w:r>
      <w:r w:rsidR="00527FA8">
        <w:rPr>
          <w:rFonts w:cs="Segoe UI Light"/>
          <w:szCs w:val="20"/>
        </w:rPr>
        <w:t xml:space="preserve">regulations </w:t>
      </w:r>
      <w:r w:rsidR="008958F9">
        <w:rPr>
          <w:rFonts w:cs="Segoe UI Light"/>
          <w:szCs w:val="20"/>
        </w:rPr>
        <w:t xml:space="preserve">in some areas. </w:t>
      </w:r>
      <w:r w:rsidR="008958F9" w:rsidRPr="00A811AD">
        <w:rPr>
          <w:rFonts w:cs="Segoe UI Light"/>
          <w:szCs w:val="20"/>
        </w:rPr>
        <w:t>Evaluation will not be able to rely just on quantitative assessment</w:t>
      </w:r>
      <w:r w:rsidR="008958F9">
        <w:rPr>
          <w:rFonts w:cs="Segoe UI Light"/>
          <w:szCs w:val="20"/>
        </w:rPr>
        <w:t>; other techniques such as collection of data via stakeholder consultation will be used.</w:t>
      </w:r>
      <w:r w:rsidR="007F60A5">
        <w:rPr>
          <w:rFonts w:cs="Segoe UI Light"/>
          <w:szCs w:val="20"/>
        </w:rPr>
        <w:t xml:space="preserve"> </w:t>
      </w:r>
      <w:r w:rsidR="000D29F0" w:rsidRPr="00153F27">
        <w:rPr>
          <w:rFonts w:cs="Segoe UI Light"/>
          <w:szCs w:val="20"/>
        </w:rPr>
        <w:fldChar w:fldCharType="begin"/>
      </w:r>
      <w:r w:rsidR="000D29F0">
        <w:rPr>
          <w:rFonts w:cs="Segoe UI Light"/>
          <w:szCs w:val="20"/>
        </w:rPr>
        <w:instrText xml:space="preserve"> REF _Ref7556452 \h </w:instrText>
      </w:r>
      <w:r w:rsidR="00C6094E">
        <w:rPr>
          <w:rFonts w:cs="Segoe UI Light"/>
          <w:szCs w:val="20"/>
        </w:rPr>
        <w:instrText xml:space="preserve"> \* MERGEFORMAT </w:instrText>
      </w:r>
      <w:r w:rsidR="000D29F0" w:rsidRPr="00153F27">
        <w:rPr>
          <w:rFonts w:cs="Segoe UI Light"/>
          <w:szCs w:val="20"/>
        </w:rPr>
      </w:r>
      <w:r w:rsidR="000D29F0" w:rsidRPr="00153F27">
        <w:rPr>
          <w:rFonts w:cs="Segoe UI Light"/>
          <w:szCs w:val="20"/>
        </w:rPr>
        <w:fldChar w:fldCharType="separate"/>
      </w:r>
      <w:r w:rsidR="00B51904" w:rsidRPr="00B51904">
        <w:rPr>
          <w:rFonts w:cs="Segoe UI Light"/>
          <w:szCs w:val="20"/>
        </w:rPr>
        <w:t>Table 19</w:t>
      </w:r>
      <w:r w:rsidR="00B51904" w:rsidRPr="00B51904">
        <w:rPr>
          <w:rFonts w:cs="Segoe UI Light"/>
          <w:szCs w:val="20"/>
        </w:rPr>
        <w:noBreakHyphen/>
        <w:t>1</w:t>
      </w:r>
      <w:r w:rsidR="000D29F0" w:rsidRPr="00153F27">
        <w:rPr>
          <w:rFonts w:cs="Segoe UI Light"/>
          <w:szCs w:val="20"/>
        </w:rPr>
        <w:fldChar w:fldCharType="end"/>
      </w:r>
      <w:r w:rsidR="000D29F0">
        <w:rPr>
          <w:rFonts w:cs="Segoe UI Light"/>
          <w:szCs w:val="20"/>
        </w:rPr>
        <w:t xml:space="preserve"> </w:t>
      </w:r>
      <w:r w:rsidR="00BF18A2">
        <w:rPr>
          <w:rFonts w:cs="Segoe UI Light"/>
          <w:szCs w:val="20"/>
        </w:rPr>
        <w:t>identifies availability of baseline data and gaps.</w:t>
      </w:r>
    </w:p>
    <w:p w14:paraId="656B15B0" w14:textId="77777777" w:rsidR="00E92B8E" w:rsidRPr="00B943BC" w:rsidRDefault="00E92B8E" w:rsidP="00E92B8E">
      <w:pPr>
        <w:spacing w:after="0"/>
        <w:rPr>
          <w:rFonts w:cs="Segoe UI Light"/>
          <w:i/>
          <w:szCs w:val="20"/>
        </w:rPr>
      </w:pPr>
      <w:r w:rsidRPr="00B943BC">
        <w:rPr>
          <w:rFonts w:cs="Segoe UI Light"/>
          <w:i/>
          <w:szCs w:val="20"/>
        </w:rPr>
        <w:t>Evaluation questions</w:t>
      </w:r>
    </w:p>
    <w:p w14:paraId="656B15B1" w14:textId="77777777" w:rsidR="0031726F" w:rsidRDefault="00A045CB" w:rsidP="0031726F">
      <w:pPr>
        <w:rPr>
          <w:rFonts w:cs="Segoe UI Light"/>
          <w:szCs w:val="20"/>
        </w:rPr>
      </w:pPr>
      <w:r>
        <w:rPr>
          <w:rFonts w:cs="Segoe UI Light"/>
          <w:szCs w:val="20"/>
        </w:rPr>
        <w:t>The table below</w:t>
      </w:r>
      <w:r w:rsidR="00E92B8E">
        <w:rPr>
          <w:rFonts w:cs="Segoe UI Light"/>
          <w:szCs w:val="20"/>
        </w:rPr>
        <w:t xml:space="preserve"> </w:t>
      </w:r>
      <w:r w:rsidR="00E92B8E" w:rsidRPr="00B943BC">
        <w:rPr>
          <w:rFonts w:cs="Segoe UI Light"/>
          <w:szCs w:val="20"/>
        </w:rPr>
        <w:t xml:space="preserve">contains evaluation questions and potential measurement and indicators that could be used to inform the assessment of whether </w:t>
      </w:r>
      <w:r w:rsidR="00E92B8E">
        <w:rPr>
          <w:rFonts w:cs="Segoe UI Light"/>
          <w:szCs w:val="20"/>
        </w:rPr>
        <w:t xml:space="preserve">objectives of </w:t>
      </w:r>
      <w:r w:rsidR="00527FA8">
        <w:rPr>
          <w:rFonts w:cs="Segoe UI Light"/>
          <w:szCs w:val="20"/>
        </w:rPr>
        <w:t xml:space="preserve">the </w:t>
      </w:r>
      <w:r w:rsidR="00AC64E3">
        <w:rPr>
          <w:rFonts w:cs="Segoe UI Light"/>
          <w:szCs w:val="20"/>
        </w:rPr>
        <w:t>proposed Regulations</w:t>
      </w:r>
      <w:r w:rsidR="00E92B8E">
        <w:rPr>
          <w:rFonts w:cs="Segoe UI Light"/>
          <w:szCs w:val="20"/>
        </w:rPr>
        <w:t xml:space="preserve"> have</w:t>
      </w:r>
      <w:r w:rsidR="00E92B8E" w:rsidRPr="00B943BC">
        <w:rPr>
          <w:rFonts w:cs="Segoe UI Light"/>
          <w:szCs w:val="20"/>
        </w:rPr>
        <w:t xml:space="preserve"> been achieved. Due to data availability, </w:t>
      </w:r>
      <w:r w:rsidR="00B17B9F">
        <w:rPr>
          <w:rFonts w:cs="Segoe UI Light"/>
          <w:szCs w:val="20"/>
        </w:rPr>
        <w:t>the vast majority of</w:t>
      </w:r>
      <w:r w:rsidR="00E92B8E" w:rsidRPr="00B943BC">
        <w:rPr>
          <w:rFonts w:cs="Segoe UI Light"/>
          <w:szCs w:val="20"/>
        </w:rPr>
        <w:t xml:space="preserve"> indicators are output measures rather than outcome measures</w:t>
      </w:r>
      <w:r w:rsidR="00CD251B">
        <w:rPr>
          <w:rFonts w:cs="Segoe UI Light"/>
          <w:szCs w:val="20"/>
        </w:rPr>
        <w:t xml:space="preserve">. </w:t>
      </w:r>
      <w:r w:rsidR="00D17A8E">
        <w:rPr>
          <w:rFonts w:cs="Segoe UI Light"/>
          <w:szCs w:val="20"/>
        </w:rPr>
        <w:t>This</w:t>
      </w:r>
      <w:r w:rsidR="008958F9">
        <w:rPr>
          <w:rFonts w:cs="Segoe UI Light"/>
          <w:szCs w:val="20"/>
        </w:rPr>
        <w:t xml:space="preserve"> </w:t>
      </w:r>
      <w:r w:rsidR="00D17A8E">
        <w:rPr>
          <w:rFonts w:cs="Segoe UI Light"/>
          <w:szCs w:val="20"/>
        </w:rPr>
        <w:t>may</w:t>
      </w:r>
      <w:r w:rsidR="008958F9">
        <w:rPr>
          <w:rFonts w:cs="Segoe UI Light"/>
          <w:szCs w:val="20"/>
        </w:rPr>
        <w:t xml:space="preserve"> limit the extent to which the evaluation will be able to</w:t>
      </w:r>
      <w:r w:rsidR="008958F9" w:rsidRPr="00A811AD">
        <w:rPr>
          <w:rFonts w:cs="Segoe UI Light"/>
          <w:szCs w:val="20"/>
        </w:rPr>
        <w:t xml:space="preserve"> assess effectiveness against the objectives.</w:t>
      </w:r>
      <w:r w:rsidR="00471AED">
        <w:rPr>
          <w:rFonts w:cs="Segoe UI Light"/>
          <w:szCs w:val="20"/>
        </w:rPr>
        <w:t xml:space="preserve"> </w:t>
      </w:r>
      <w:r w:rsidR="00B17B9F">
        <w:rPr>
          <w:rFonts w:cs="Segoe UI Light"/>
          <w:szCs w:val="20"/>
        </w:rPr>
        <w:t xml:space="preserve">In the longer term </w:t>
      </w:r>
      <w:r w:rsidR="00471AED">
        <w:rPr>
          <w:rFonts w:cs="Segoe UI Light"/>
          <w:szCs w:val="20"/>
        </w:rPr>
        <w:t xml:space="preserve">(i.e. over a period of three or more years) </w:t>
      </w:r>
      <w:r w:rsidR="00B17B9F">
        <w:rPr>
          <w:rFonts w:cs="Segoe UI Light"/>
          <w:szCs w:val="20"/>
        </w:rPr>
        <w:t xml:space="preserve">it may be possible to </w:t>
      </w:r>
      <w:r w:rsidR="00471AED">
        <w:rPr>
          <w:rFonts w:cs="Segoe UI Light"/>
          <w:szCs w:val="20"/>
        </w:rPr>
        <w:t xml:space="preserve">develop </w:t>
      </w:r>
      <w:r w:rsidR="00B17B9F">
        <w:rPr>
          <w:rFonts w:cs="Segoe UI Light"/>
          <w:szCs w:val="20"/>
        </w:rPr>
        <w:t xml:space="preserve">indicators that measure harms (e.g. health impacts from certain types of pollution), however </w:t>
      </w:r>
      <w:r w:rsidR="00D17A8E">
        <w:rPr>
          <w:rFonts w:cs="Segoe UI Light"/>
          <w:szCs w:val="20"/>
        </w:rPr>
        <w:t xml:space="preserve">such indicators are not likely to be available in the short to medium term; in addition, for such indicators it is more difficult to isolate the impacts of the Regulations </w:t>
      </w:r>
      <w:r w:rsidR="00527FA8">
        <w:rPr>
          <w:rFonts w:cs="Segoe UI Light"/>
          <w:szCs w:val="20"/>
        </w:rPr>
        <w:t xml:space="preserve">from </w:t>
      </w:r>
      <w:r w:rsidR="00D17A8E">
        <w:rPr>
          <w:rFonts w:cs="Segoe UI Light"/>
          <w:szCs w:val="20"/>
        </w:rPr>
        <w:t>the new EP legislation and other external factors.</w:t>
      </w:r>
      <w:r w:rsidR="00B17B9F">
        <w:rPr>
          <w:rFonts w:cs="Segoe UI Light"/>
          <w:szCs w:val="20"/>
        </w:rPr>
        <w:t xml:space="preserve"> </w:t>
      </w:r>
      <w:r w:rsidR="008958F9">
        <w:rPr>
          <w:rFonts w:cs="Segoe UI Light"/>
          <w:szCs w:val="20"/>
        </w:rPr>
        <w:t>The evaluation</w:t>
      </w:r>
      <w:r w:rsidR="008958F9" w:rsidRPr="00A811AD">
        <w:rPr>
          <w:rFonts w:cs="Segoe UI Light"/>
          <w:szCs w:val="20"/>
        </w:rPr>
        <w:t xml:space="preserve"> will </w:t>
      </w:r>
      <w:r w:rsidR="008958F9">
        <w:rPr>
          <w:rFonts w:cs="Segoe UI Light"/>
          <w:szCs w:val="20"/>
        </w:rPr>
        <w:t xml:space="preserve">also </w:t>
      </w:r>
      <w:r w:rsidR="008958F9" w:rsidRPr="00A811AD">
        <w:rPr>
          <w:rFonts w:cs="Segoe UI Light"/>
          <w:szCs w:val="20"/>
        </w:rPr>
        <w:t>consider whether there ha</w:t>
      </w:r>
      <w:r w:rsidR="008958F9">
        <w:rPr>
          <w:rFonts w:cs="Segoe UI Light"/>
          <w:szCs w:val="20"/>
        </w:rPr>
        <w:t>ve been unintended consequences</w:t>
      </w:r>
      <w:r w:rsidR="00FF76AC">
        <w:rPr>
          <w:rFonts w:cs="Segoe UI Light"/>
          <w:szCs w:val="20"/>
        </w:rPr>
        <w:t>, such as an increase in illegal dumping due to higher costs or increased burden associated with legally disposing of waste (whether actual or perceived)</w:t>
      </w:r>
      <w:r w:rsidR="008958F9">
        <w:rPr>
          <w:rFonts w:cs="Segoe UI Light"/>
          <w:szCs w:val="20"/>
        </w:rPr>
        <w:t>.</w:t>
      </w:r>
      <w:r w:rsidR="0031726F" w:rsidRPr="0031726F">
        <w:rPr>
          <w:rFonts w:cs="Segoe UI Light"/>
          <w:szCs w:val="20"/>
        </w:rPr>
        <w:t xml:space="preserve"> </w:t>
      </w:r>
    </w:p>
    <w:p w14:paraId="656B15B2" w14:textId="77777777" w:rsidR="00F118E7" w:rsidRDefault="0031726F" w:rsidP="00040A06">
      <w:pPr>
        <w:rPr>
          <w:rFonts w:cs="Segoe UI Light"/>
          <w:szCs w:val="20"/>
        </w:rPr>
      </w:pPr>
      <w:r>
        <w:rPr>
          <w:rFonts w:cs="Segoe UI Light"/>
          <w:szCs w:val="20"/>
        </w:rPr>
        <w:t xml:space="preserve">Furthermore, the use of indicators can make it difficult to ascertain whether a movement in detected activities actually represents a ‘good’ outcome or not. For instance, a reduction in the volume of illegally dumped waste may reflect actual changes (a good outcome) or a simply reduction in detection. This possibility will need to be considered </w:t>
      </w:r>
      <w:r>
        <w:t>to assess whether there has been an actual improvement in environmental outcomes</w:t>
      </w:r>
      <w:r w:rsidR="00DC7A63">
        <w:t xml:space="preserve">. </w:t>
      </w:r>
      <w:r w:rsidR="000D29F0">
        <w:rPr>
          <w:rFonts w:cs="Segoe UI Light"/>
          <w:szCs w:val="20"/>
        </w:rPr>
        <w:t xml:space="preserve">One way to address these issues is to </w:t>
      </w:r>
      <w:r w:rsidR="000D29F0" w:rsidRPr="00A27256">
        <w:rPr>
          <w:rFonts w:cs="Segoe UI Light"/>
          <w:szCs w:val="20"/>
        </w:rPr>
        <w:t>use a mixed method t</w:t>
      </w:r>
      <w:r w:rsidR="000D29F0">
        <w:rPr>
          <w:rFonts w:cs="Segoe UI Light"/>
          <w:szCs w:val="20"/>
        </w:rPr>
        <w:t xml:space="preserve">hat involves both quantitative </w:t>
      </w:r>
      <w:r w:rsidR="00CD251B">
        <w:rPr>
          <w:rFonts w:cs="Segoe UI Light"/>
          <w:szCs w:val="20"/>
        </w:rPr>
        <w:t xml:space="preserve">and qualitative </w:t>
      </w:r>
      <w:r w:rsidR="000D29F0" w:rsidRPr="00A27256">
        <w:rPr>
          <w:rFonts w:cs="Segoe UI Light"/>
          <w:szCs w:val="20"/>
        </w:rPr>
        <w:t xml:space="preserve">collection and analysis. </w:t>
      </w:r>
      <w:r w:rsidR="00CD251B">
        <w:rPr>
          <w:rFonts w:cs="Segoe UI Light"/>
          <w:szCs w:val="20"/>
        </w:rPr>
        <w:t>Evidence could be</w:t>
      </w:r>
      <w:r w:rsidR="008958F9" w:rsidRPr="00A811AD">
        <w:rPr>
          <w:rFonts w:cs="Segoe UI Light"/>
          <w:szCs w:val="20"/>
        </w:rPr>
        <w:t xml:space="preserve"> gathered via stakeholder consults </w:t>
      </w:r>
      <w:r w:rsidR="008958F9">
        <w:rPr>
          <w:rFonts w:cs="Segoe UI Light"/>
          <w:szCs w:val="20"/>
        </w:rPr>
        <w:t xml:space="preserve">undertaken </w:t>
      </w:r>
      <w:r w:rsidR="008958F9" w:rsidRPr="00A811AD">
        <w:rPr>
          <w:rFonts w:cs="Segoe UI Light"/>
          <w:szCs w:val="20"/>
        </w:rPr>
        <w:t>for the evaluation and from EPA’s ongoing monitoring and engagement with duty holders and other stakeholders.</w:t>
      </w:r>
    </w:p>
    <w:p w14:paraId="656B15B3" w14:textId="77777777" w:rsidR="007E575A" w:rsidRPr="00153F27" w:rsidRDefault="007E575A" w:rsidP="007E575A">
      <w:pPr>
        <w:pStyle w:val="Caption"/>
        <w:rPr>
          <w:sz w:val="18"/>
        </w:rPr>
      </w:pPr>
      <w:bookmarkStart w:id="1995" w:name="_Ref7556452"/>
      <w:r w:rsidRPr="00153F27">
        <w:rPr>
          <w:sz w:val="18"/>
        </w:rPr>
        <w:t xml:space="preserve">Table </w:t>
      </w:r>
      <w:r w:rsidRPr="00153F27">
        <w:rPr>
          <w:color w:val="2B579A"/>
          <w:sz w:val="18"/>
          <w:shd w:val="clear" w:color="auto" w:fill="E6E6E6"/>
        </w:rPr>
        <w:fldChar w:fldCharType="begin"/>
      </w:r>
      <w:r w:rsidRPr="00153F27">
        <w:rPr>
          <w:sz w:val="18"/>
        </w:rPr>
        <w:instrText xml:space="preserve"> STYLEREF 1 \s </w:instrText>
      </w:r>
      <w:r w:rsidRPr="00153F27">
        <w:rPr>
          <w:color w:val="2B579A"/>
          <w:sz w:val="18"/>
          <w:shd w:val="clear" w:color="auto" w:fill="E6E6E6"/>
        </w:rPr>
        <w:fldChar w:fldCharType="separate"/>
      </w:r>
      <w:r w:rsidR="00B11C1E">
        <w:rPr>
          <w:noProof/>
          <w:sz w:val="18"/>
        </w:rPr>
        <w:t>19</w:t>
      </w:r>
      <w:r w:rsidRPr="00153F27">
        <w:rPr>
          <w:color w:val="2B579A"/>
          <w:sz w:val="18"/>
          <w:shd w:val="clear" w:color="auto" w:fill="E6E6E6"/>
        </w:rPr>
        <w:fldChar w:fldCharType="end"/>
      </w:r>
      <w:r w:rsidRPr="00153F27">
        <w:rPr>
          <w:sz w:val="18"/>
        </w:rPr>
        <w:noBreakHyphen/>
      </w:r>
      <w:r w:rsidR="00997CFA" w:rsidRPr="00153F27">
        <w:rPr>
          <w:color w:val="2B579A"/>
          <w:sz w:val="18"/>
          <w:shd w:val="clear" w:color="auto" w:fill="E6E6E6"/>
        </w:rPr>
        <w:fldChar w:fldCharType="begin"/>
      </w:r>
      <w:r w:rsidR="00997CFA" w:rsidRPr="00153F27">
        <w:rPr>
          <w:sz w:val="18"/>
        </w:rPr>
        <w:instrText xml:space="preserve"> SEQ Table \* ARABIC \s 1 </w:instrText>
      </w:r>
      <w:r w:rsidR="00997CFA" w:rsidRPr="00153F27">
        <w:rPr>
          <w:color w:val="2B579A"/>
          <w:sz w:val="18"/>
          <w:shd w:val="clear" w:color="auto" w:fill="E6E6E6"/>
        </w:rPr>
        <w:fldChar w:fldCharType="separate"/>
      </w:r>
      <w:r w:rsidR="00B11C1E">
        <w:rPr>
          <w:noProof/>
          <w:sz w:val="18"/>
        </w:rPr>
        <w:t>1</w:t>
      </w:r>
      <w:r w:rsidR="00997CFA" w:rsidRPr="00153F27">
        <w:rPr>
          <w:color w:val="2B579A"/>
          <w:sz w:val="18"/>
          <w:shd w:val="clear" w:color="auto" w:fill="E6E6E6"/>
        </w:rPr>
        <w:fldChar w:fldCharType="end"/>
      </w:r>
      <w:bookmarkEnd w:id="1995"/>
      <w:r w:rsidRPr="00153F27">
        <w:rPr>
          <w:rFonts w:cs="Segoe UI Light"/>
          <w:sz w:val="18"/>
        </w:rPr>
        <w:t xml:space="preserve"> Evaluation questions</w:t>
      </w:r>
      <w:r w:rsidR="000D29F0" w:rsidRPr="00153F27">
        <w:rPr>
          <w:rFonts w:cs="Segoe UI Light"/>
          <w:sz w:val="18"/>
        </w:rPr>
        <w:t>, measurement and data availability</w:t>
      </w:r>
    </w:p>
    <w:tbl>
      <w:tblPr>
        <w:tblStyle w:val="Deloittetable"/>
        <w:tblW w:w="5000" w:type="pct"/>
        <w:tblLayout w:type="fixed"/>
        <w:tblLook w:val="04A0" w:firstRow="1" w:lastRow="0" w:firstColumn="1" w:lastColumn="0" w:noHBand="0" w:noVBand="1"/>
      </w:tblPr>
      <w:tblGrid>
        <w:gridCol w:w="2267"/>
        <w:gridCol w:w="3828"/>
        <w:gridCol w:w="1136"/>
        <w:gridCol w:w="2124"/>
      </w:tblGrid>
      <w:tr w:rsidR="00E92B8E" w:rsidRPr="00947320" w14:paraId="656B15B8" w14:textId="77777777" w:rsidTr="00040A06">
        <w:trPr>
          <w:cnfStyle w:val="100000000000" w:firstRow="1" w:lastRow="0" w:firstColumn="0" w:lastColumn="0" w:oddVBand="0" w:evenVBand="0" w:oddHBand="0" w:evenHBand="0" w:firstRowFirstColumn="0" w:firstRowLastColumn="0" w:lastRowFirstColumn="0" w:lastRowLastColumn="0"/>
          <w:trHeight w:val="622"/>
          <w:tblHeader/>
        </w:trPr>
        <w:tc>
          <w:tcPr>
            <w:tcW w:w="1212" w:type="pct"/>
          </w:tcPr>
          <w:p w14:paraId="656B15B4" w14:textId="77777777" w:rsidR="00E92B8E" w:rsidRPr="00204BE2" w:rsidRDefault="00E92B8E" w:rsidP="00B41D79">
            <w:pPr>
              <w:spacing w:after="0"/>
              <w:rPr>
                <w:rFonts w:cs="Segoe UI Light"/>
                <w:b/>
                <w:sz w:val="18"/>
              </w:rPr>
            </w:pPr>
            <w:r w:rsidRPr="00D85A7F">
              <w:rPr>
                <w:rFonts w:cs="Segoe UI Light"/>
                <w:b/>
                <w:sz w:val="18"/>
              </w:rPr>
              <w:t>Evaluation question</w:t>
            </w:r>
          </w:p>
        </w:tc>
        <w:tc>
          <w:tcPr>
            <w:tcW w:w="2046" w:type="pct"/>
          </w:tcPr>
          <w:p w14:paraId="656B15B5" w14:textId="77777777" w:rsidR="00E92B8E" w:rsidRPr="00204BE2" w:rsidRDefault="00E92B8E" w:rsidP="00B41D79">
            <w:pPr>
              <w:spacing w:after="0"/>
              <w:rPr>
                <w:rFonts w:cs="Segoe UI Light"/>
                <w:b/>
                <w:sz w:val="18"/>
              </w:rPr>
            </w:pPr>
            <w:r w:rsidRPr="00D85A7F">
              <w:rPr>
                <w:rFonts w:cs="Segoe UI Light"/>
                <w:b/>
                <w:sz w:val="18"/>
              </w:rPr>
              <w:t>Measurement and indicators</w:t>
            </w:r>
          </w:p>
        </w:tc>
        <w:tc>
          <w:tcPr>
            <w:tcW w:w="607" w:type="pct"/>
          </w:tcPr>
          <w:p w14:paraId="656B15B6" w14:textId="77777777" w:rsidR="00C22DA3" w:rsidRDefault="00C22DA3" w:rsidP="00B41D79">
            <w:pPr>
              <w:spacing w:after="0"/>
              <w:rPr>
                <w:rFonts w:cs="Segoe UI Light"/>
                <w:b/>
                <w:sz w:val="18"/>
              </w:rPr>
            </w:pPr>
            <w:r>
              <w:rPr>
                <w:rFonts w:cs="Segoe UI Light"/>
                <w:b/>
                <w:sz w:val="18"/>
              </w:rPr>
              <w:t>Outcome or output data</w:t>
            </w:r>
          </w:p>
        </w:tc>
        <w:tc>
          <w:tcPr>
            <w:tcW w:w="1135" w:type="pct"/>
          </w:tcPr>
          <w:p w14:paraId="656B15B7" w14:textId="77777777" w:rsidR="00C22DA3" w:rsidRDefault="00C22DA3">
            <w:pPr>
              <w:spacing w:after="0"/>
              <w:rPr>
                <w:rFonts w:cs="Segoe UI Light"/>
                <w:b/>
                <w:sz w:val="18"/>
              </w:rPr>
            </w:pPr>
            <w:r>
              <w:rPr>
                <w:rFonts w:cs="Segoe UI Light"/>
                <w:b/>
                <w:sz w:val="18"/>
              </w:rPr>
              <w:t xml:space="preserve">Availability of data </w:t>
            </w:r>
          </w:p>
        </w:tc>
      </w:tr>
      <w:tr w:rsidR="00E92B8E" w:rsidRPr="00947320" w14:paraId="656B15BC" w14:textId="77777777" w:rsidTr="00040A06">
        <w:trPr>
          <w:trHeight w:val="335"/>
        </w:trPr>
        <w:tc>
          <w:tcPr>
            <w:tcW w:w="3258" w:type="pct"/>
            <w:gridSpan w:val="2"/>
          </w:tcPr>
          <w:p w14:paraId="656B15B9" w14:textId="77777777" w:rsidR="00E92B8E" w:rsidRPr="00204BE2" w:rsidRDefault="00E92B8E" w:rsidP="00B41D79">
            <w:pPr>
              <w:spacing w:after="0"/>
              <w:rPr>
                <w:rFonts w:cs="Segoe UI Light"/>
                <w:b/>
                <w:sz w:val="18"/>
              </w:rPr>
            </w:pPr>
            <w:r w:rsidRPr="00D85A7F">
              <w:rPr>
                <w:rFonts w:cs="Segoe UI Light"/>
                <w:b/>
                <w:sz w:val="18"/>
              </w:rPr>
              <w:t>Reduce risks of harm to human health and environment</w:t>
            </w:r>
          </w:p>
        </w:tc>
        <w:tc>
          <w:tcPr>
            <w:tcW w:w="607" w:type="pct"/>
          </w:tcPr>
          <w:p w14:paraId="656B15BA" w14:textId="77777777" w:rsidR="00C22DA3" w:rsidRPr="00D85A7F" w:rsidRDefault="00C22DA3" w:rsidP="00B41D79">
            <w:pPr>
              <w:spacing w:after="0"/>
              <w:rPr>
                <w:rFonts w:cs="Segoe UI Light"/>
                <w:b/>
                <w:sz w:val="18"/>
              </w:rPr>
            </w:pPr>
          </w:p>
        </w:tc>
        <w:tc>
          <w:tcPr>
            <w:tcW w:w="1135" w:type="pct"/>
          </w:tcPr>
          <w:p w14:paraId="656B15BB" w14:textId="77777777" w:rsidR="00C22DA3" w:rsidRDefault="00C22DA3" w:rsidP="00B41D79">
            <w:pPr>
              <w:spacing w:after="0"/>
              <w:rPr>
                <w:rFonts w:cs="Segoe UI Light"/>
                <w:b/>
                <w:sz w:val="18"/>
              </w:rPr>
            </w:pPr>
          </w:p>
        </w:tc>
      </w:tr>
      <w:tr w:rsidR="00E92B8E" w:rsidRPr="00947320" w14:paraId="656B15C5" w14:textId="77777777" w:rsidTr="00040A06">
        <w:trPr>
          <w:trHeight w:val="1308"/>
        </w:trPr>
        <w:tc>
          <w:tcPr>
            <w:tcW w:w="1212" w:type="pct"/>
          </w:tcPr>
          <w:p w14:paraId="656B15BD" w14:textId="77777777" w:rsidR="00E92B8E" w:rsidRPr="00204BE2" w:rsidRDefault="00E92B8E" w:rsidP="00B41D79">
            <w:pPr>
              <w:spacing w:after="0"/>
              <w:rPr>
                <w:rFonts w:cs="Segoe UI Light"/>
                <w:sz w:val="18"/>
              </w:rPr>
            </w:pPr>
            <w:r w:rsidRPr="00D85A7F">
              <w:rPr>
                <w:rFonts w:cs="Segoe UI Light"/>
                <w:sz w:val="18"/>
              </w:rPr>
              <w:t xml:space="preserve">Have more organisations applied reasonable preventative measures to manage and minimise the risks of harm to human health and the environment posed by pollution and waste as a result of the </w:t>
            </w:r>
            <w:r w:rsidR="000D139E" w:rsidRPr="00D85A7F">
              <w:rPr>
                <w:rFonts w:cs="Segoe UI Light"/>
                <w:sz w:val="18"/>
              </w:rPr>
              <w:t>new EP legislation</w:t>
            </w:r>
            <w:r w:rsidRPr="00D85A7F">
              <w:rPr>
                <w:rFonts w:cs="Segoe UI Light"/>
                <w:sz w:val="18"/>
              </w:rPr>
              <w:t xml:space="preserve"> and Regulations?</w:t>
            </w:r>
          </w:p>
        </w:tc>
        <w:tc>
          <w:tcPr>
            <w:tcW w:w="2046" w:type="pct"/>
          </w:tcPr>
          <w:p w14:paraId="656B15BE" w14:textId="77777777" w:rsidR="00E92B8E" w:rsidRPr="00E92E4D" w:rsidRDefault="00E92B8E" w:rsidP="00CD251B">
            <w:pPr>
              <w:spacing w:after="0"/>
              <w:ind w:right="146"/>
              <w:rPr>
                <w:rFonts w:cs="Segoe UI Light"/>
                <w:sz w:val="18"/>
              </w:rPr>
            </w:pPr>
            <w:r w:rsidRPr="00E92E4D">
              <w:rPr>
                <w:rFonts w:cs="Segoe UI Light"/>
                <w:sz w:val="18"/>
              </w:rPr>
              <w:t>Information will be collected through stakeholder consultation on measures such as:</w:t>
            </w:r>
          </w:p>
          <w:p w14:paraId="656B15BF" w14:textId="77777777" w:rsidR="00E92B8E" w:rsidRPr="00204BE2" w:rsidRDefault="00E92B8E" w:rsidP="00CD251B">
            <w:pPr>
              <w:pStyle w:val="ListParagraph"/>
              <w:numPr>
                <w:ilvl w:val="0"/>
                <w:numId w:val="48"/>
              </w:numPr>
              <w:spacing w:after="0"/>
              <w:ind w:left="280" w:right="146" w:hanging="280"/>
              <w:rPr>
                <w:rFonts w:cs="Segoe UI Light"/>
                <w:sz w:val="18"/>
              </w:rPr>
            </w:pPr>
            <w:r w:rsidRPr="00D85A7F">
              <w:rPr>
                <w:rFonts w:cs="Segoe UI Light"/>
                <w:sz w:val="18"/>
              </w:rPr>
              <w:t>% of organisations that report a change in preventative measures</w:t>
            </w:r>
            <w:r w:rsidR="002D13AB">
              <w:rPr>
                <w:rFonts w:cs="Segoe UI Light"/>
                <w:sz w:val="18"/>
              </w:rPr>
              <w:t xml:space="preserve"> (as a result of the new EP legislation or the Regulations) </w:t>
            </w:r>
          </w:p>
          <w:p w14:paraId="656B15C0" w14:textId="77777777" w:rsidR="00E92B8E" w:rsidRDefault="00E92B8E" w:rsidP="00CD251B">
            <w:pPr>
              <w:pStyle w:val="ListParagraph"/>
              <w:numPr>
                <w:ilvl w:val="0"/>
                <w:numId w:val="48"/>
              </w:numPr>
              <w:spacing w:after="0"/>
              <w:ind w:left="280" w:right="146" w:hanging="280"/>
              <w:rPr>
                <w:rFonts w:cs="Segoe UI Light"/>
                <w:sz w:val="18"/>
              </w:rPr>
            </w:pPr>
            <w:r w:rsidRPr="00D85A7F">
              <w:rPr>
                <w:rFonts w:cs="Segoe UI Light"/>
                <w:sz w:val="18"/>
              </w:rPr>
              <w:t xml:space="preserve">The nature of the change undertaken, including whether activities have been maintained/amended /added/reduced compared to what was in place before the </w:t>
            </w:r>
            <w:r w:rsidR="000D139E" w:rsidRPr="00D85A7F">
              <w:rPr>
                <w:rFonts w:cs="Segoe UI Light"/>
                <w:sz w:val="18"/>
              </w:rPr>
              <w:t>new EP legislation</w:t>
            </w:r>
            <w:r w:rsidRPr="00D85A7F">
              <w:rPr>
                <w:rFonts w:cs="Segoe UI Light"/>
                <w:sz w:val="18"/>
              </w:rPr>
              <w:t xml:space="preserve"> was introduced. </w:t>
            </w:r>
          </w:p>
          <w:p w14:paraId="656B15C1" w14:textId="77777777" w:rsidR="00E92B8E" w:rsidRPr="00D85A7F" w:rsidRDefault="00FF76AC" w:rsidP="00CD251B">
            <w:pPr>
              <w:pStyle w:val="ListParagraph"/>
              <w:numPr>
                <w:ilvl w:val="0"/>
                <w:numId w:val="48"/>
              </w:numPr>
              <w:spacing w:after="0"/>
              <w:ind w:left="280" w:right="146" w:hanging="280"/>
              <w:rPr>
                <w:rFonts w:cs="Segoe UI Light"/>
                <w:sz w:val="18"/>
              </w:rPr>
            </w:pPr>
            <w:r>
              <w:rPr>
                <w:rFonts w:cs="Segoe UI Light"/>
                <w:sz w:val="18"/>
              </w:rPr>
              <w:t xml:space="preserve">Environmental harms by industry activity (in order to consider </w:t>
            </w:r>
            <w:r w:rsidR="002F6FA1">
              <w:rPr>
                <w:rFonts w:cs="Segoe UI Light"/>
                <w:sz w:val="18"/>
              </w:rPr>
              <w:t xml:space="preserve">the need for </w:t>
            </w:r>
            <w:r>
              <w:rPr>
                <w:rFonts w:cs="Segoe UI Light"/>
                <w:sz w:val="18"/>
              </w:rPr>
              <w:t>changes to the permissioning cohorts in future</w:t>
            </w:r>
          </w:p>
        </w:tc>
        <w:tc>
          <w:tcPr>
            <w:tcW w:w="607" w:type="pct"/>
          </w:tcPr>
          <w:p w14:paraId="656B15C2" w14:textId="77777777" w:rsidR="00686093" w:rsidRDefault="00BA13C5" w:rsidP="00040A06">
            <w:pPr>
              <w:spacing w:after="0"/>
            </w:pPr>
            <w:r>
              <w:t xml:space="preserve">Output </w:t>
            </w:r>
          </w:p>
          <w:p w14:paraId="656B15C3" w14:textId="77777777" w:rsidR="00C22DA3" w:rsidRPr="00D85A7F" w:rsidRDefault="00BA13C5" w:rsidP="00040A06">
            <w:pPr>
              <w:spacing w:after="0"/>
              <w:rPr>
                <w:rFonts w:cs="Segoe UI Light"/>
                <w:sz w:val="18"/>
              </w:rPr>
            </w:pPr>
            <w:r>
              <w:t>data</w:t>
            </w:r>
          </w:p>
        </w:tc>
        <w:tc>
          <w:tcPr>
            <w:tcW w:w="1135" w:type="pct"/>
          </w:tcPr>
          <w:p w14:paraId="656B15C4" w14:textId="77777777" w:rsidR="00C22DA3" w:rsidRDefault="00471AED" w:rsidP="00040A06">
            <w:pPr>
              <w:spacing w:after="0"/>
              <w:rPr>
                <w:rFonts w:cs="Segoe UI Light"/>
                <w:sz w:val="18"/>
              </w:rPr>
            </w:pPr>
            <w:r>
              <w:rPr>
                <w:rFonts w:cs="Segoe UI Light"/>
                <w:sz w:val="18"/>
              </w:rPr>
              <w:t xml:space="preserve">Not currently available – stakeholder consultation </w:t>
            </w:r>
            <w:r w:rsidR="00FF76AC">
              <w:rPr>
                <w:rFonts w:cs="Segoe UI Light"/>
                <w:sz w:val="18"/>
              </w:rPr>
              <w:t xml:space="preserve">will </w:t>
            </w:r>
            <w:r>
              <w:rPr>
                <w:rFonts w:cs="Segoe UI Light"/>
                <w:sz w:val="18"/>
              </w:rPr>
              <w:t>need to be undertaken.</w:t>
            </w:r>
          </w:p>
        </w:tc>
      </w:tr>
      <w:tr w:rsidR="00E92E4D" w:rsidRPr="00947320" w14:paraId="656B15D8" w14:textId="77777777" w:rsidTr="00040A06">
        <w:trPr>
          <w:trHeight w:val="1308"/>
        </w:trPr>
        <w:tc>
          <w:tcPr>
            <w:tcW w:w="1212" w:type="pct"/>
          </w:tcPr>
          <w:p w14:paraId="656B15C6" w14:textId="77777777" w:rsidR="00E92E4D" w:rsidRPr="00D85A7F" w:rsidRDefault="00E92E4D" w:rsidP="00E92E4D">
            <w:pPr>
              <w:spacing w:after="0"/>
              <w:rPr>
                <w:rFonts w:cs="Segoe UI Light"/>
                <w:sz w:val="18"/>
              </w:rPr>
            </w:pPr>
            <w:r>
              <w:rPr>
                <w:rFonts w:cs="Segoe UI Light"/>
                <w:sz w:val="18"/>
              </w:rPr>
              <w:t>Permissions</w:t>
            </w:r>
          </w:p>
        </w:tc>
        <w:tc>
          <w:tcPr>
            <w:tcW w:w="2046" w:type="pct"/>
          </w:tcPr>
          <w:p w14:paraId="656B15C7" w14:textId="77777777" w:rsidR="00E92E4D" w:rsidRPr="00D85A7F" w:rsidRDefault="00E92E4D" w:rsidP="000E7C5E">
            <w:pPr>
              <w:pStyle w:val="ListParagraph"/>
              <w:numPr>
                <w:ilvl w:val="0"/>
                <w:numId w:val="48"/>
              </w:numPr>
              <w:spacing w:after="0"/>
              <w:ind w:left="280" w:right="146" w:hanging="280"/>
              <w:rPr>
                <w:rFonts w:cs="Segoe UI Light"/>
                <w:sz w:val="18"/>
              </w:rPr>
            </w:pPr>
            <w:r w:rsidRPr="00D85A7F">
              <w:rPr>
                <w:rFonts w:cs="Segoe UI Light"/>
                <w:sz w:val="18"/>
              </w:rPr>
              <w:t>Number of pollution incidents (e.g. tyre fires) at sites of permission holders</w:t>
            </w:r>
          </w:p>
          <w:p w14:paraId="656B15C8" w14:textId="77777777" w:rsidR="00E92E4D" w:rsidRDefault="00E92E4D" w:rsidP="000E7C5E">
            <w:pPr>
              <w:pStyle w:val="ListParagraph"/>
              <w:numPr>
                <w:ilvl w:val="0"/>
                <w:numId w:val="48"/>
              </w:numPr>
              <w:spacing w:after="0"/>
              <w:ind w:left="280" w:right="146" w:hanging="280"/>
              <w:rPr>
                <w:rFonts w:cs="Segoe UI Light"/>
                <w:sz w:val="18"/>
              </w:rPr>
            </w:pPr>
            <w:r w:rsidRPr="00D85A7F">
              <w:rPr>
                <w:rFonts w:cs="Segoe UI Light"/>
                <w:sz w:val="18"/>
              </w:rPr>
              <w:t>Duration of pollution incidents (e.g. tyre fires) at sites of new permission holders.</w:t>
            </w:r>
          </w:p>
          <w:p w14:paraId="656B15C9" w14:textId="77777777" w:rsidR="00E92E4D" w:rsidRDefault="00E92E4D" w:rsidP="000E7C5E">
            <w:pPr>
              <w:pStyle w:val="ListParagraph"/>
              <w:numPr>
                <w:ilvl w:val="0"/>
                <w:numId w:val="48"/>
              </w:numPr>
              <w:spacing w:after="0"/>
              <w:ind w:left="280" w:right="146" w:hanging="280"/>
              <w:rPr>
                <w:rFonts w:cs="Segoe UI Light"/>
                <w:sz w:val="18"/>
              </w:rPr>
            </w:pPr>
            <w:r>
              <w:rPr>
                <w:rFonts w:cs="Segoe UI Light"/>
                <w:sz w:val="18"/>
              </w:rPr>
              <w:t>Particulate matter in air.</w:t>
            </w:r>
          </w:p>
          <w:p w14:paraId="656B15CA" w14:textId="77777777" w:rsidR="00E92E4D" w:rsidRPr="00040A06" w:rsidRDefault="00E92E4D" w:rsidP="000E7C5E">
            <w:pPr>
              <w:pStyle w:val="ListParagraph"/>
              <w:numPr>
                <w:ilvl w:val="0"/>
                <w:numId w:val="48"/>
              </w:numPr>
              <w:spacing w:after="0"/>
              <w:ind w:left="280" w:right="146" w:hanging="280"/>
              <w:rPr>
                <w:rFonts w:cs="Segoe UI Light"/>
                <w:i/>
                <w:sz w:val="18"/>
              </w:rPr>
            </w:pPr>
            <w:r>
              <w:rPr>
                <w:rFonts w:cs="Segoe UI Light"/>
                <w:sz w:val="18"/>
              </w:rPr>
              <w:t>Water quality levels</w:t>
            </w:r>
          </w:p>
          <w:p w14:paraId="656B15CB" w14:textId="77777777" w:rsidR="00E92E4D" w:rsidRPr="00D85A7F" w:rsidRDefault="00E92E4D" w:rsidP="000E7C5E">
            <w:pPr>
              <w:pStyle w:val="ListParagraph"/>
              <w:numPr>
                <w:ilvl w:val="0"/>
                <w:numId w:val="48"/>
              </w:numPr>
              <w:spacing w:after="0"/>
              <w:ind w:left="280" w:right="146" w:hanging="280"/>
              <w:rPr>
                <w:rFonts w:cs="Segoe UI Light"/>
                <w:i/>
                <w:sz w:val="18"/>
              </w:rPr>
            </w:pPr>
            <w:r>
              <w:rPr>
                <w:rFonts w:cs="Segoe UI Light"/>
                <w:sz w:val="18"/>
              </w:rPr>
              <w:t>Harms to human health and environment e.g. hospital admissions from pollution incidents, fish deaths etc</w:t>
            </w:r>
          </w:p>
        </w:tc>
        <w:tc>
          <w:tcPr>
            <w:tcW w:w="607" w:type="pct"/>
          </w:tcPr>
          <w:p w14:paraId="656B15CC" w14:textId="77777777" w:rsidR="00E92E4D" w:rsidRDefault="00E92E4D" w:rsidP="00E92E4D">
            <w:pPr>
              <w:spacing w:after="0"/>
              <w:rPr>
                <w:rFonts w:cs="Segoe UI Light"/>
                <w:sz w:val="18"/>
              </w:rPr>
            </w:pPr>
            <w:r>
              <w:rPr>
                <w:rFonts w:cs="Segoe UI Light"/>
                <w:sz w:val="18"/>
              </w:rPr>
              <w:t>Output</w:t>
            </w:r>
          </w:p>
          <w:p w14:paraId="656B15CD" w14:textId="77777777" w:rsidR="00E92E4D" w:rsidRDefault="00E92E4D" w:rsidP="00E92E4D">
            <w:pPr>
              <w:spacing w:after="0"/>
              <w:rPr>
                <w:rFonts w:cs="Segoe UI Light"/>
                <w:sz w:val="18"/>
              </w:rPr>
            </w:pPr>
          </w:p>
          <w:p w14:paraId="656B15CE" w14:textId="77777777" w:rsidR="00E92E4D" w:rsidRDefault="00E92E4D" w:rsidP="00E92E4D">
            <w:pPr>
              <w:spacing w:after="0"/>
              <w:rPr>
                <w:rFonts w:cs="Segoe UI Light"/>
                <w:sz w:val="18"/>
              </w:rPr>
            </w:pPr>
          </w:p>
          <w:p w14:paraId="656B15CF" w14:textId="77777777" w:rsidR="00E92E4D" w:rsidRDefault="00E92E4D" w:rsidP="00E92E4D">
            <w:pPr>
              <w:spacing w:after="0"/>
              <w:rPr>
                <w:rFonts w:cs="Segoe UI Light"/>
                <w:sz w:val="18"/>
              </w:rPr>
            </w:pPr>
          </w:p>
          <w:p w14:paraId="656B15D0" w14:textId="77777777" w:rsidR="00E92E4D" w:rsidRDefault="00E92E4D" w:rsidP="00E92E4D">
            <w:pPr>
              <w:spacing w:after="0"/>
              <w:rPr>
                <w:rFonts w:cs="Segoe UI Light"/>
                <w:sz w:val="18"/>
              </w:rPr>
            </w:pPr>
            <w:r>
              <w:rPr>
                <w:rFonts w:cs="Segoe UI Light"/>
                <w:sz w:val="18"/>
              </w:rPr>
              <w:t>Output</w:t>
            </w:r>
          </w:p>
          <w:p w14:paraId="656B15D1" w14:textId="77777777" w:rsidR="00E92E4D" w:rsidRDefault="00E92E4D" w:rsidP="00E92E4D">
            <w:pPr>
              <w:spacing w:after="0"/>
              <w:rPr>
                <w:rFonts w:cs="Segoe UI Light"/>
                <w:sz w:val="18"/>
              </w:rPr>
            </w:pPr>
            <w:r>
              <w:rPr>
                <w:rFonts w:cs="Segoe UI Light"/>
                <w:sz w:val="18"/>
              </w:rPr>
              <w:t>Output</w:t>
            </w:r>
          </w:p>
          <w:p w14:paraId="656B15D2" w14:textId="77777777" w:rsidR="00E92E4D" w:rsidRDefault="00E92E4D" w:rsidP="00E92E4D">
            <w:pPr>
              <w:spacing w:after="0"/>
              <w:rPr>
                <w:rFonts w:cs="Segoe UI Light"/>
                <w:sz w:val="18"/>
              </w:rPr>
            </w:pPr>
            <w:r>
              <w:rPr>
                <w:rFonts w:cs="Segoe UI Light"/>
                <w:sz w:val="18"/>
              </w:rPr>
              <w:t>Outcome</w:t>
            </w:r>
          </w:p>
        </w:tc>
        <w:tc>
          <w:tcPr>
            <w:tcW w:w="1135" w:type="pct"/>
          </w:tcPr>
          <w:p w14:paraId="656B15D3" w14:textId="77777777" w:rsidR="00E92E4D" w:rsidRDefault="00A27256" w:rsidP="00E92E4D">
            <w:pPr>
              <w:spacing w:after="0"/>
              <w:rPr>
                <w:rFonts w:cs="Segoe UI Light"/>
                <w:sz w:val="18"/>
              </w:rPr>
            </w:pPr>
            <w:r>
              <w:rPr>
                <w:rFonts w:cs="Segoe UI Light"/>
                <w:sz w:val="18"/>
              </w:rPr>
              <w:t>Existing data a</w:t>
            </w:r>
            <w:r w:rsidR="00E92E4D">
              <w:rPr>
                <w:rFonts w:cs="Segoe UI Light"/>
                <w:sz w:val="18"/>
              </w:rPr>
              <w:t>vailable, or readily able to be collected.</w:t>
            </w:r>
          </w:p>
          <w:p w14:paraId="656B15D4" w14:textId="77777777" w:rsidR="00E92E4D" w:rsidRDefault="00E92E4D" w:rsidP="00E92E4D">
            <w:pPr>
              <w:spacing w:after="0"/>
              <w:rPr>
                <w:rFonts w:cs="Segoe UI Light"/>
                <w:sz w:val="18"/>
              </w:rPr>
            </w:pPr>
          </w:p>
          <w:p w14:paraId="656B15D5" w14:textId="77777777" w:rsidR="00CD251B" w:rsidRDefault="00CD251B" w:rsidP="00E92E4D">
            <w:pPr>
              <w:spacing w:after="0"/>
              <w:rPr>
                <w:rFonts w:cs="Segoe UI Light"/>
                <w:sz w:val="18"/>
              </w:rPr>
            </w:pPr>
          </w:p>
          <w:p w14:paraId="656B15D6" w14:textId="77777777" w:rsidR="00CD251B" w:rsidRDefault="00A27256" w:rsidP="00E92E4D">
            <w:pPr>
              <w:spacing w:after="0"/>
              <w:rPr>
                <w:rFonts w:cs="Segoe UI Light"/>
                <w:sz w:val="18"/>
              </w:rPr>
            </w:pPr>
            <w:r>
              <w:rPr>
                <w:rFonts w:cs="Segoe UI Light"/>
                <w:sz w:val="18"/>
              </w:rPr>
              <w:t>Existing data available</w:t>
            </w:r>
            <w:r w:rsidDel="00A27256">
              <w:rPr>
                <w:rFonts w:cs="Segoe UI Light"/>
                <w:sz w:val="18"/>
              </w:rPr>
              <w:t xml:space="preserve"> </w:t>
            </w:r>
            <w:r>
              <w:rPr>
                <w:rFonts w:cs="Segoe UI Light"/>
                <w:sz w:val="18"/>
              </w:rPr>
              <w:t>Existing data available</w:t>
            </w:r>
            <w:r w:rsidDel="00A27256">
              <w:rPr>
                <w:rFonts w:cs="Segoe UI Light"/>
                <w:sz w:val="18"/>
              </w:rPr>
              <w:t xml:space="preserve"> </w:t>
            </w:r>
          </w:p>
          <w:p w14:paraId="656B15D7" w14:textId="77777777" w:rsidR="00E92E4D" w:rsidRDefault="00E92E4D" w:rsidP="00E92E4D">
            <w:pPr>
              <w:spacing w:after="0"/>
              <w:rPr>
                <w:rFonts w:cs="Segoe UI Light"/>
                <w:sz w:val="18"/>
              </w:rPr>
            </w:pPr>
            <w:r>
              <w:rPr>
                <w:rFonts w:cs="Segoe UI Light"/>
                <w:sz w:val="18"/>
              </w:rPr>
              <w:t>Potentially available from public research and different EPA data sets, but ad hoc.</w:t>
            </w:r>
          </w:p>
        </w:tc>
      </w:tr>
      <w:tr w:rsidR="00F42A8C" w:rsidRPr="00947320" w14:paraId="656B15DE" w14:textId="77777777" w:rsidTr="00040A06">
        <w:trPr>
          <w:trHeight w:val="1121"/>
        </w:trPr>
        <w:tc>
          <w:tcPr>
            <w:tcW w:w="1212" w:type="pct"/>
          </w:tcPr>
          <w:p w14:paraId="656B15D9" w14:textId="77777777" w:rsidR="00F42A8C" w:rsidRPr="00686093" w:rsidRDefault="00F42A8C" w:rsidP="00B41D79">
            <w:pPr>
              <w:spacing w:after="0"/>
              <w:rPr>
                <w:rFonts w:cs="Segoe UI Light"/>
                <w:sz w:val="18"/>
              </w:rPr>
            </w:pPr>
            <w:r w:rsidRPr="00686093">
              <w:rPr>
                <w:rFonts w:cs="Segoe UI Light"/>
                <w:sz w:val="18"/>
              </w:rPr>
              <w:t>Septic tanks</w:t>
            </w:r>
          </w:p>
        </w:tc>
        <w:tc>
          <w:tcPr>
            <w:tcW w:w="2046" w:type="pct"/>
          </w:tcPr>
          <w:p w14:paraId="656B15DA" w14:textId="77777777" w:rsidR="00686093" w:rsidRPr="00040A06" w:rsidRDefault="00686093" w:rsidP="004A2442">
            <w:pPr>
              <w:pStyle w:val="ListParagraph"/>
              <w:numPr>
                <w:ilvl w:val="0"/>
                <w:numId w:val="48"/>
              </w:numPr>
              <w:spacing w:after="0"/>
              <w:ind w:left="280" w:hanging="280"/>
              <w:rPr>
                <w:rFonts w:cs="Segoe UI Light"/>
                <w:sz w:val="18"/>
              </w:rPr>
            </w:pPr>
            <w:r w:rsidRPr="00040A06">
              <w:rPr>
                <w:rFonts w:cs="Segoe UI Light"/>
                <w:sz w:val="18"/>
              </w:rPr>
              <w:t>Odour levels in towns or regions</w:t>
            </w:r>
          </w:p>
          <w:p w14:paraId="656B15DB" w14:textId="77777777" w:rsidR="00F42A8C" w:rsidRPr="00686093" w:rsidRDefault="00686093" w:rsidP="004A2442">
            <w:pPr>
              <w:pStyle w:val="ListParagraph"/>
              <w:numPr>
                <w:ilvl w:val="0"/>
                <w:numId w:val="48"/>
              </w:numPr>
              <w:spacing w:after="0"/>
              <w:ind w:left="280" w:hanging="280"/>
              <w:rPr>
                <w:rFonts w:cs="Segoe UI Light"/>
                <w:i/>
                <w:sz w:val="18"/>
              </w:rPr>
            </w:pPr>
            <w:r w:rsidRPr="00040A06">
              <w:rPr>
                <w:rFonts w:cs="Segoe UI Light"/>
                <w:sz w:val="18"/>
              </w:rPr>
              <w:t>Water contamination incidents</w:t>
            </w:r>
          </w:p>
        </w:tc>
        <w:tc>
          <w:tcPr>
            <w:tcW w:w="607" w:type="pct"/>
          </w:tcPr>
          <w:p w14:paraId="656B15DC" w14:textId="77777777" w:rsidR="00F42A8C" w:rsidRPr="000E7C5E" w:rsidRDefault="00686093" w:rsidP="000E7C5E">
            <w:pPr>
              <w:spacing w:after="0"/>
              <w:ind w:right="146"/>
              <w:rPr>
                <w:rFonts w:cs="Segoe UI Light"/>
                <w:sz w:val="18"/>
              </w:rPr>
            </w:pPr>
            <w:r w:rsidRPr="000E7C5E">
              <w:rPr>
                <w:rFonts w:cs="Segoe UI Light"/>
                <w:sz w:val="18"/>
              </w:rPr>
              <w:t>Output</w:t>
            </w:r>
          </w:p>
        </w:tc>
        <w:tc>
          <w:tcPr>
            <w:tcW w:w="1135" w:type="pct"/>
          </w:tcPr>
          <w:p w14:paraId="656B15DD" w14:textId="77777777" w:rsidR="00F42A8C" w:rsidRPr="000E7C5E" w:rsidRDefault="00686093" w:rsidP="000E7C5E">
            <w:pPr>
              <w:spacing w:after="0"/>
              <w:ind w:right="146"/>
              <w:rPr>
                <w:rFonts w:cs="Segoe UI Light"/>
                <w:sz w:val="18"/>
              </w:rPr>
            </w:pPr>
            <w:r w:rsidRPr="000E7C5E">
              <w:rPr>
                <w:rFonts w:cs="Segoe UI Light"/>
                <w:sz w:val="18"/>
              </w:rPr>
              <w:t>Not available – information would need to be collected via consultation with local councils.</w:t>
            </w:r>
          </w:p>
        </w:tc>
      </w:tr>
      <w:tr w:rsidR="00F42A8C" w:rsidRPr="00947320" w14:paraId="656B15E9" w14:textId="77777777" w:rsidTr="00040A06">
        <w:trPr>
          <w:trHeight w:val="1308"/>
        </w:trPr>
        <w:tc>
          <w:tcPr>
            <w:tcW w:w="1212" w:type="pct"/>
          </w:tcPr>
          <w:p w14:paraId="656B15DF" w14:textId="77777777" w:rsidR="00F42A8C" w:rsidRDefault="00F42A8C" w:rsidP="00B41D79">
            <w:pPr>
              <w:spacing w:after="0"/>
              <w:rPr>
                <w:rFonts w:cs="Segoe UI Light"/>
                <w:sz w:val="18"/>
              </w:rPr>
            </w:pPr>
            <w:r>
              <w:rPr>
                <w:rFonts w:cs="Segoe UI Light"/>
                <w:sz w:val="18"/>
              </w:rPr>
              <w:t>Contaminated land</w:t>
            </w:r>
          </w:p>
        </w:tc>
        <w:tc>
          <w:tcPr>
            <w:tcW w:w="2046" w:type="pct"/>
          </w:tcPr>
          <w:p w14:paraId="656B15E0" w14:textId="77777777" w:rsidR="00F42A8C" w:rsidRPr="00204BE2" w:rsidRDefault="00F42A8C" w:rsidP="004A2442">
            <w:pPr>
              <w:pStyle w:val="ListParagraph"/>
              <w:numPr>
                <w:ilvl w:val="0"/>
                <w:numId w:val="48"/>
              </w:numPr>
              <w:spacing w:after="0"/>
              <w:ind w:left="280" w:hanging="280"/>
              <w:rPr>
                <w:rFonts w:cs="Segoe UI Light"/>
                <w:sz w:val="18"/>
              </w:rPr>
            </w:pPr>
            <w:r w:rsidRPr="00D85A7F">
              <w:rPr>
                <w:rFonts w:cs="Segoe UI Light"/>
                <w:sz w:val="18"/>
              </w:rPr>
              <w:t>Number of sites on EPA's contaminated sites register.</w:t>
            </w:r>
          </w:p>
          <w:p w14:paraId="656B15E1" w14:textId="77777777" w:rsidR="00F42A8C" w:rsidRPr="00204BE2" w:rsidRDefault="00F42A8C" w:rsidP="004A2442">
            <w:pPr>
              <w:pStyle w:val="ListParagraph"/>
              <w:numPr>
                <w:ilvl w:val="0"/>
                <w:numId w:val="48"/>
              </w:numPr>
              <w:spacing w:after="0"/>
              <w:ind w:left="280" w:hanging="280"/>
              <w:rPr>
                <w:rFonts w:cs="Segoe UI Light"/>
                <w:sz w:val="18"/>
              </w:rPr>
            </w:pPr>
            <w:r w:rsidRPr="00D85A7F">
              <w:rPr>
                <w:rFonts w:cs="Segoe UI Light"/>
                <w:sz w:val="18"/>
              </w:rPr>
              <w:t xml:space="preserve">Number of sites that </w:t>
            </w:r>
            <w:r w:rsidR="00795CCA">
              <w:rPr>
                <w:rFonts w:cs="Segoe UI Light"/>
                <w:sz w:val="18"/>
              </w:rPr>
              <w:t xml:space="preserve">pose a </w:t>
            </w:r>
            <w:r w:rsidRPr="00D85A7F">
              <w:rPr>
                <w:rFonts w:cs="Segoe UI Light"/>
                <w:sz w:val="18"/>
              </w:rPr>
              <w:t>known risk of harm.</w:t>
            </w:r>
          </w:p>
          <w:p w14:paraId="656B15E2" w14:textId="77777777" w:rsidR="00F42A8C" w:rsidRPr="00204BE2" w:rsidRDefault="00F42A8C" w:rsidP="004A2442">
            <w:pPr>
              <w:pStyle w:val="ListParagraph"/>
              <w:numPr>
                <w:ilvl w:val="0"/>
                <w:numId w:val="48"/>
              </w:numPr>
              <w:spacing w:after="0"/>
              <w:ind w:left="280" w:hanging="280"/>
              <w:rPr>
                <w:rFonts w:cs="Segoe UI Light"/>
                <w:sz w:val="18"/>
              </w:rPr>
            </w:pPr>
            <w:r w:rsidRPr="00D85A7F">
              <w:rPr>
                <w:rFonts w:cs="Segoe UI Light"/>
                <w:sz w:val="18"/>
              </w:rPr>
              <w:t>Number of audits completed and proportion of sites not meeting standard.</w:t>
            </w:r>
          </w:p>
          <w:p w14:paraId="656B15E3" w14:textId="77777777" w:rsidR="00F42A8C" w:rsidRPr="00204BE2" w:rsidRDefault="00F42A8C" w:rsidP="004A2442">
            <w:pPr>
              <w:pStyle w:val="ListParagraph"/>
              <w:numPr>
                <w:ilvl w:val="0"/>
                <w:numId w:val="48"/>
              </w:numPr>
              <w:spacing w:after="0"/>
              <w:ind w:left="280" w:hanging="280"/>
              <w:rPr>
                <w:rFonts w:cs="Segoe UI Light"/>
                <w:sz w:val="18"/>
              </w:rPr>
            </w:pPr>
            <w:r w:rsidRPr="00D85A7F">
              <w:rPr>
                <w:rFonts w:cs="Segoe UI Light"/>
                <w:sz w:val="18"/>
              </w:rPr>
              <w:t>Number of sites that move to a more sensitive use based on audit.</w:t>
            </w:r>
          </w:p>
          <w:p w14:paraId="656B15E4" w14:textId="77777777" w:rsidR="00F42A8C" w:rsidRPr="00040A06" w:rsidRDefault="00F42A8C" w:rsidP="004A2442">
            <w:pPr>
              <w:pStyle w:val="ListParagraph"/>
              <w:numPr>
                <w:ilvl w:val="0"/>
                <w:numId w:val="48"/>
              </w:numPr>
              <w:spacing w:after="0"/>
              <w:ind w:left="280" w:hanging="280"/>
              <w:rPr>
                <w:rFonts w:cs="Segoe UI Light"/>
                <w:sz w:val="18"/>
              </w:rPr>
            </w:pPr>
            <w:r w:rsidRPr="00D85A7F">
              <w:rPr>
                <w:rFonts w:cs="Segoe UI Light"/>
                <w:sz w:val="18"/>
              </w:rPr>
              <w:t xml:space="preserve">Number of enquiries received by </w:t>
            </w:r>
            <w:r>
              <w:rPr>
                <w:rFonts w:cs="Segoe UI Light"/>
                <w:sz w:val="18"/>
              </w:rPr>
              <w:t>EPA</w:t>
            </w:r>
            <w:r w:rsidRPr="00D85A7F">
              <w:rPr>
                <w:rFonts w:cs="Segoe UI Light"/>
                <w:sz w:val="18"/>
              </w:rPr>
              <w:t xml:space="preserve"> about contaminated land.</w:t>
            </w:r>
          </w:p>
        </w:tc>
        <w:tc>
          <w:tcPr>
            <w:tcW w:w="607" w:type="pct"/>
          </w:tcPr>
          <w:p w14:paraId="656B15E5" w14:textId="77777777" w:rsidR="00F42A8C" w:rsidRPr="000E7C5E" w:rsidRDefault="00471AED" w:rsidP="000E7C5E">
            <w:pPr>
              <w:spacing w:after="0"/>
              <w:ind w:right="146"/>
              <w:rPr>
                <w:rFonts w:cs="Segoe UI Light"/>
                <w:sz w:val="18"/>
              </w:rPr>
            </w:pPr>
            <w:r w:rsidRPr="000E7C5E">
              <w:rPr>
                <w:rFonts w:cs="Segoe UI Light"/>
                <w:sz w:val="18"/>
              </w:rPr>
              <w:t>Output</w:t>
            </w:r>
          </w:p>
          <w:p w14:paraId="656B15E6" w14:textId="77777777" w:rsidR="00A15187" w:rsidRPr="00471AED" w:rsidRDefault="00A15187" w:rsidP="000E7C5E">
            <w:pPr>
              <w:pStyle w:val="ListParagraph"/>
              <w:spacing w:after="0"/>
              <w:ind w:left="280" w:right="146"/>
              <w:rPr>
                <w:rFonts w:cs="Segoe UI Light"/>
                <w:sz w:val="18"/>
              </w:rPr>
            </w:pPr>
          </w:p>
          <w:p w14:paraId="656B15E7" w14:textId="77777777" w:rsidR="00A15187" w:rsidRPr="00040A06" w:rsidRDefault="00A15187" w:rsidP="000E7C5E">
            <w:pPr>
              <w:pStyle w:val="ListParagraph"/>
              <w:spacing w:after="0"/>
              <w:ind w:left="280" w:right="146"/>
              <w:rPr>
                <w:rFonts w:cs="Segoe UI Light"/>
                <w:sz w:val="18"/>
              </w:rPr>
            </w:pPr>
          </w:p>
        </w:tc>
        <w:tc>
          <w:tcPr>
            <w:tcW w:w="1135" w:type="pct"/>
          </w:tcPr>
          <w:p w14:paraId="656B15E8" w14:textId="77777777" w:rsidR="00F42A8C" w:rsidRPr="000E7C5E" w:rsidRDefault="00A27256" w:rsidP="000E7C5E">
            <w:pPr>
              <w:spacing w:after="0"/>
              <w:ind w:right="146"/>
              <w:rPr>
                <w:rFonts w:cs="Segoe UI Light"/>
                <w:sz w:val="18"/>
              </w:rPr>
            </w:pPr>
            <w:r w:rsidRPr="000E7C5E">
              <w:rPr>
                <w:rFonts w:cs="Segoe UI Light"/>
                <w:sz w:val="18"/>
              </w:rPr>
              <w:t>Existing data available or partially available</w:t>
            </w:r>
          </w:p>
        </w:tc>
      </w:tr>
      <w:tr w:rsidR="00F42A8C" w:rsidRPr="00947320" w14:paraId="656B161F" w14:textId="77777777" w:rsidTr="00040A06">
        <w:trPr>
          <w:trHeight w:val="1308"/>
        </w:trPr>
        <w:tc>
          <w:tcPr>
            <w:tcW w:w="1212" w:type="pct"/>
          </w:tcPr>
          <w:p w14:paraId="656B15EA" w14:textId="77777777" w:rsidR="00F42A8C" w:rsidRDefault="00F42A8C" w:rsidP="00B41D79">
            <w:pPr>
              <w:spacing w:after="0"/>
              <w:rPr>
                <w:rFonts w:cs="Segoe UI Light"/>
                <w:sz w:val="18"/>
              </w:rPr>
            </w:pPr>
            <w:r>
              <w:rPr>
                <w:rFonts w:cs="Segoe UI Light"/>
                <w:sz w:val="18"/>
              </w:rPr>
              <w:t>Waste</w:t>
            </w:r>
          </w:p>
        </w:tc>
        <w:tc>
          <w:tcPr>
            <w:tcW w:w="2046" w:type="pct"/>
          </w:tcPr>
          <w:p w14:paraId="656B15EB" w14:textId="77777777" w:rsidR="00F42A8C" w:rsidRPr="00204BE2" w:rsidRDefault="00F42A8C" w:rsidP="004A2442">
            <w:pPr>
              <w:pStyle w:val="ListParagraph"/>
              <w:numPr>
                <w:ilvl w:val="0"/>
                <w:numId w:val="48"/>
              </w:numPr>
              <w:spacing w:after="0"/>
              <w:ind w:left="280" w:hanging="280"/>
              <w:rPr>
                <w:rFonts w:cs="Segoe UI Light"/>
                <w:sz w:val="18"/>
              </w:rPr>
            </w:pPr>
            <w:r w:rsidRPr="00D85A7F">
              <w:rPr>
                <w:rFonts w:cs="Segoe UI Light"/>
                <w:sz w:val="18"/>
              </w:rPr>
              <w:t xml:space="preserve">Reduce the share of waste that ends up in landfill </w:t>
            </w:r>
          </w:p>
          <w:p w14:paraId="656B15EC" w14:textId="77777777" w:rsidR="00F42A8C" w:rsidRPr="00204BE2" w:rsidRDefault="00F42A8C" w:rsidP="004A2442">
            <w:pPr>
              <w:pStyle w:val="ListParagraph"/>
              <w:numPr>
                <w:ilvl w:val="1"/>
                <w:numId w:val="48"/>
              </w:numPr>
              <w:spacing w:after="0"/>
              <w:ind w:left="563" w:right="284" w:hanging="283"/>
              <w:rPr>
                <w:rFonts w:cs="Segoe UI Light"/>
                <w:sz w:val="18"/>
              </w:rPr>
            </w:pPr>
            <w:r w:rsidRPr="00D85A7F">
              <w:rPr>
                <w:rFonts w:cs="Segoe UI Light"/>
                <w:sz w:val="18"/>
              </w:rPr>
              <w:t>Share of waste that is recovered, by waste type</w:t>
            </w:r>
          </w:p>
          <w:p w14:paraId="656B15ED" w14:textId="77777777" w:rsidR="00F42A8C" w:rsidRPr="00204BE2" w:rsidRDefault="00F42A8C" w:rsidP="004A2442">
            <w:pPr>
              <w:pStyle w:val="ListParagraph"/>
              <w:numPr>
                <w:ilvl w:val="0"/>
                <w:numId w:val="48"/>
              </w:numPr>
              <w:spacing w:after="0"/>
              <w:ind w:left="280" w:hanging="280"/>
              <w:rPr>
                <w:rFonts w:cs="Segoe UI Light"/>
                <w:sz w:val="18"/>
              </w:rPr>
            </w:pPr>
            <w:r w:rsidRPr="00D85A7F">
              <w:rPr>
                <w:rFonts w:cs="Segoe UI Light"/>
                <w:sz w:val="18"/>
              </w:rPr>
              <w:t>Reduce the volume of illegally dumped waste</w:t>
            </w:r>
            <w:r w:rsidR="00FF76AC">
              <w:rPr>
                <w:rFonts w:cs="Segoe UI Light"/>
                <w:sz w:val="18"/>
              </w:rPr>
              <w:t xml:space="preserve"> </w:t>
            </w:r>
          </w:p>
          <w:p w14:paraId="656B15EE" w14:textId="77777777" w:rsidR="00F42A8C" w:rsidRPr="00204BE2" w:rsidRDefault="00F42A8C" w:rsidP="004A2442">
            <w:pPr>
              <w:pStyle w:val="ListParagraph"/>
              <w:numPr>
                <w:ilvl w:val="1"/>
                <w:numId w:val="48"/>
              </w:numPr>
              <w:spacing w:after="0"/>
              <w:ind w:left="563" w:right="284" w:hanging="283"/>
              <w:rPr>
                <w:rFonts w:cs="Segoe UI Light"/>
                <w:sz w:val="18"/>
              </w:rPr>
            </w:pPr>
            <w:r w:rsidRPr="00D85A7F">
              <w:rPr>
                <w:rFonts w:cs="Segoe UI Light"/>
                <w:sz w:val="18"/>
              </w:rPr>
              <w:t>Number of recorded incidents of illegal waste dumping, remedial notices, official warnings, investigations and prosecutions.</w:t>
            </w:r>
          </w:p>
          <w:p w14:paraId="656B15EF" w14:textId="77777777" w:rsidR="00F42A8C" w:rsidRPr="00204BE2" w:rsidRDefault="00F42A8C" w:rsidP="004A2442">
            <w:pPr>
              <w:pStyle w:val="ListParagraph"/>
              <w:numPr>
                <w:ilvl w:val="0"/>
                <w:numId w:val="48"/>
              </w:numPr>
              <w:ind w:left="280" w:hanging="280"/>
              <w:rPr>
                <w:rFonts w:cs="Segoe UI Light"/>
                <w:sz w:val="18"/>
              </w:rPr>
            </w:pPr>
            <w:r w:rsidRPr="00D85A7F">
              <w:rPr>
                <w:rFonts w:cs="Segoe UI Light"/>
                <w:sz w:val="18"/>
              </w:rPr>
              <w:t>Reducing the share of waste delivered to incorrect facilities</w:t>
            </w:r>
          </w:p>
          <w:p w14:paraId="656B15F0" w14:textId="77777777" w:rsidR="00F42A8C" w:rsidRPr="00204BE2" w:rsidRDefault="00F42A8C" w:rsidP="004A2442">
            <w:pPr>
              <w:pStyle w:val="ListParagraph"/>
              <w:numPr>
                <w:ilvl w:val="1"/>
                <w:numId w:val="48"/>
              </w:numPr>
              <w:spacing w:after="0"/>
              <w:ind w:left="563" w:right="284" w:hanging="283"/>
              <w:rPr>
                <w:rFonts w:cs="Segoe UI Light"/>
                <w:sz w:val="18"/>
              </w:rPr>
            </w:pPr>
            <w:r w:rsidRPr="00D85A7F">
              <w:rPr>
                <w:rFonts w:cs="Segoe UI Light"/>
                <w:sz w:val="18"/>
              </w:rPr>
              <w:t>Proportion of waste that arrives at the correct facility</w:t>
            </w:r>
          </w:p>
          <w:p w14:paraId="656B15F1" w14:textId="77777777" w:rsidR="00F42A8C" w:rsidRDefault="00F42A8C" w:rsidP="004A2442">
            <w:pPr>
              <w:pStyle w:val="ListParagraph"/>
              <w:numPr>
                <w:ilvl w:val="1"/>
                <w:numId w:val="48"/>
              </w:numPr>
              <w:ind w:left="563" w:right="284" w:hanging="283"/>
              <w:rPr>
                <w:rFonts w:cs="Segoe UI Light"/>
                <w:sz w:val="18"/>
              </w:rPr>
            </w:pPr>
            <w:r w:rsidRPr="00D85A7F">
              <w:rPr>
                <w:rFonts w:cs="Segoe UI Light"/>
                <w:sz w:val="18"/>
              </w:rPr>
              <w:t>Number of instances (once-off determinations made by EPA) where waste has no lawful place to go.</w:t>
            </w:r>
          </w:p>
          <w:p w14:paraId="656B15F2" w14:textId="77777777" w:rsidR="00A15187" w:rsidRDefault="00A15187" w:rsidP="004A2442">
            <w:pPr>
              <w:pStyle w:val="ListParagraph"/>
              <w:numPr>
                <w:ilvl w:val="0"/>
                <w:numId w:val="48"/>
              </w:numPr>
              <w:spacing w:after="0"/>
              <w:ind w:left="280" w:hanging="280"/>
              <w:rPr>
                <w:rFonts w:cs="Segoe UI Light"/>
                <w:sz w:val="18"/>
              </w:rPr>
            </w:pPr>
            <w:r>
              <w:rPr>
                <w:rFonts w:cs="Segoe UI Light"/>
                <w:sz w:val="18"/>
              </w:rPr>
              <w:t>Reducing the impact and number of pollution incidents</w:t>
            </w:r>
          </w:p>
          <w:p w14:paraId="656B15F3" w14:textId="77777777" w:rsidR="00A15187" w:rsidRPr="00D85A7F" w:rsidRDefault="00A15187" w:rsidP="004A2442">
            <w:pPr>
              <w:pStyle w:val="ListParagraph"/>
              <w:numPr>
                <w:ilvl w:val="1"/>
                <w:numId w:val="48"/>
              </w:numPr>
              <w:spacing w:after="0"/>
              <w:ind w:left="563" w:right="284" w:hanging="283"/>
              <w:rPr>
                <w:rFonts w:cs="Segoe UI Light"/>
                <w:sz w:val="18"/>
              </w:rPr>
            </w:pPr>
            <w:r w:rsidRPr="00D85A7F">
              <w:rPr>
                <w:rFonts w:cs="Segoe UI Light"/>
                <w:sz w:val="18"/>
              </w:rPr>
              <w:t>Number of pollut</w:t>
            </w:r>
            <w:r>
              <w:rPr>
                <w:rFonts w:cs="Segoe UI Light"/>
                <w:sz w:val="18"/>
              </w:rPr>
              <w:t>ion incidents (e.g. tyre fires)</w:t>
            </w:r>
          </w:p>
          <w:p w14:paraId="656B15F4" w14:textId="77777777" w:rsidR="00A15187" w:rsidRDefault="00A15187" w:rsidP="004A2442">
            <w:pPr>
              <w:pStyle w:val="ListParagraph"/>
              <w:numPr>
                <w:ilvl w:val="1"/>
                <w:numId w:val="48"/>
              </w:numPr>
              <w:spacing w:after="0"/>
              <w:ind w:left="563" w:right="284" w:hanging="283"/>
              <w:rPr>
                <w:rFonts w:cs="Segoe UI Light"/>
                <w:sz w:val="18"/>
              </w:rPr>
            </w:pPr>
            <w:r w:rsidRPr="00D85A7F">
              <w:rPr>
                <w:rFonts w:cs="Segoe UI Light"/>
                <w:sz w:val="18"/>
              </w:rPr>
              <w:t>Duration of pollution incidents (e.g. tyre fires)</w:t>
            </w:r>
          </w:p>
          <w:p w14:paraId="656B15F5" w14:textId="77777777" w:rsidR="00A15187" w:rsidRPr="00040A06" w:rsidRDefault="00A15187" w:rsidP="004A2442">
            <w:pPr>
              <w:pStyle w:val="ListParagraph"/>
              <w:numPr>
                <w:ilvl w:val="1"/>
                <w:numId w:val="48"/>
              </w:numPr>
              <w:spacing w:after="0"/>
              <w:ind w:left="563" w:right="284" w:hanging="283"/>
              <w:rPr>
                <w:rFonts w:cs="Segoe UI Light"/>
                <w:sz w:val="18"/>
              </w:rPr>
            </w:pPr>
            <w:r>
              <w:rPr>
                <w:rFonts w:cs="Segoe UI Light"/>
                <w:sz w:val="18"/>
              </w:rPr>
              <w:t>Estimated cost of pollution incidents</w:t>
            </w:r>
          </w:p>
        </w:tc>
        <w:tc>
          <w:tcPr>
            <w:tcW w:w="607" w:type="pct"/>
          </w:tcPr>
          <w:p w14:paraId="656B15F6" w14:textId="77777777" w:rsidR="00F42A8C" w:rsidRDefault="00A15187" w:rsidP="00040A06">
            <w:pPr>
              <w:spacing w:after="0"/>
              <w:rPr>
                <w:rFonts w:cs="Segoe UI Light"/>
                <w:sz w:val="18"/>
              </w:rPr>
            </w:pPr>
            <w:r>
              <w:rPr>
                <w:rFonts w:cs="Segoe UI Light"/>
                <w:sz w:val="18"/>
              </w:rPr>
              <w:t>Output</w:t>
            </w:r>
          </w:p>
          <w:p w14:paraId="656B15F7" w14:textId="77777777" w:rsidR="00A15187" w:rsidRDefault="00A15187" w:rsidP="00040A06">
            <w:pPr>
              <w:spacing w:after="0"/>
              <w:rPr>
                <w:rFonts w:cs="Segoe UI Light"/>
                <w:sz w:val="18"/>
              </w:rPr>
            </w:pPr>
          </w:p>
          <w:p w14:paraId="656B15F8" w14:textId="77777777" w:rsidR="00A15187" w:rsidRDefault="00A15187" w:rsidP="00040A06">
            <w:pPr>
              <w:spacing w:after="0"/>
              <w:rPr>
                <w:rFonts w:cs="Segoe UI Light"/>
                <w:sz w:val="18"/>
              </w:rPr>
            </w:pPr>
          </w:p>
          <w:p w14:paraId="656B15F9" w14:textId="77777777" w:rsidR="00A15187" w:rsidRDefault="00A15187" w:rsidP="00040A06">
            <w:pPr>
              <w:spacing w:after="0"/>
              <w:rPr>
                <w:rFonts w:cs="Segoe UI Light"/>
                <w:sz w:val="18"/>
              </w:rPr>
            </w:pPr>
          </w:p>
          <w:p w14:paraId="656B15FA" w14:textId="77777777" w:rsidR="00A15187" w:rsidRDefault="00A15187" w:rsidP="00040A06">
            <w:pPr>
              <w:spacing w:after="0"/>
              <w:rPr>
                <w:rFonts w:cs="Segoe UI Light"/>
                <w:sz w:val="18"/>
              </w:rPr>
            </w:pPr>
            <w:r>
              <w:rPr>
                <w:rFonts w:cs="Segoe UI Light"/>
                <w:sz w:val="18"/>
              </w:rPr>
              <w:t>Output</w:t>
            </w:r>
          </w:p>
          <w:p w14:paraId="656B15FB" w14:textId="77777777" w:rsidR="00A15187" w:rsidRDefault="00A15187" w:rsidP="00040A06">
            <w:pPr>
              <w:spacing w:after="0"/>
              <w:rPr>
                <w:rFonts w:cs="Segoe UI Light"/>
                <w:sz w:val="18"/>
              </w:rPr>
            </w:pPr>
          </w:p>
          <w:p w14:paraId="656B15FC" w14:textId="77777777" w:rsidR="00A15187" w:rsidRDefault="00A15187" w:rsidP="00040A06">
            <w:pPr>
              <w:spacing w:after="0"/>
              <w:rPr>
                <w:rFonts w:cs="Segoe UI Light"/>
                <w:sz w:val="18"/>
              </w:rPr>
            </w:pPr>
          </w:p>
          <w:p w14:paraId="656B15FD" w14:textId="77777777" w:rsidR="00A15187" w:rsidRDefault="00A15187" w:rsidP="00040A06">
            <w:pPr>
              <w:spacing w:after="0"/>
              <w:rPr>
                <w:rFonts w:cs="Segoe UI Light"/>
                <w:sz w:val="18"/>
              </w:rPr>
            </w:pPr>
          </w:p>
          <w:p w14:paraId="656B15FE" w14:textId="77777777" w:rsidR="00A15187" w:rsidRDefault="00A15187" w:rsidP="00040A06">
            <w:pPr>
              <w:spacing w:after="0"/>
              <w:rPr>
                <w:rFonts w:cs="Segoe UI Light"/>
                <w:sz w:val="18"/>
              </w:rPr>
            </w:pPr>
          </w:p>
          <w:p w14:paraId="656B15FF" w14:textId="77777777" w:rsidR="00A15187" w:rsidRDefault="00A15187" w:rsidP="00040A06">
            <w:pPr>
              <w:spacing w:after="0"/>
              <w:rPr>
                <w:rFonts w:cs="Segoe UI Light"/>
                <w:sz w:val="18"/>
              </w:rPr>
            </w:pPr>
            <w:r>
              <w:rPr>
                <w:rFonts w:cs="Segoe UI Light"/>
                <w:sz w:val="18"/>
              </w:rPr>
              <w:t>Output</w:t>
            </w:r>
          </w:p>
          <w:p w14:paraId="656B1600" w14:textId="77777777" w:rsidR="00A15187" w:rsidRDefault="00A15187" w:rsidP="00040A06">
            <w:pPr>
              <w:spacing w:after="0"/>
              <w:rPr>
                <w:rFonts w:cs="Segoe UI Light"/>
                <w:sz w:val="18"/>
              </w:rPr>
            </w:pPr>
          </w:p>
          <w:p w14:paraId="656B1601" w14:textId="77777777" w:rsidR="00A15187" w:rsidRDefault="00A15187" w:rsidP="00040A06">
            <w:pPr>
              <w:spacing w:after="0"/>
              <w:rPr>
                <w:rFonts w:cs="Segoe UI Light"/>
                <w:sz w:val="18"/>
              </w:rPr>
            </w:pPr>
          </w:p>
          <w:p w14:paraId="656B1602" w14:textId="77777777" w:rsidR="00A15187" w:rsidRDefault="00A15187" w:rsidP="00040A06">
            <w:pPr>
              <w:spacing w:after="0"/>
              <w:rPr>
                <w:rFonts w:cs="Segoe UI Light"/>
                <w:sz w:val="18"/>
              </w:rPr>
            </w:pPr>
          </w:p>
          <w:p w14:paraId="656B1603" w14:textId="77777777" w:rsidR="00A15187" w:rsidRDefault="00A15187" w:rsidP="00040A06">
            <w:pPr>
              <w:spacing w:after="0"/>
              <w:rPr>
                <w:rFonts w:cs="Segoe UI Light"/>
                <w:sz w:val="18"/>
              </w:rPr>
            </w:pPr>
          </w:p>
          <w:p w14:paraId="656B1604" w14:textId="77777777" w:rsidR="00A15187" w:rsidRDefault="00A15187" w:rsidP="00040A06">
            <w:pPr>
              <w:spacing w:after="0"/>
              <w:rPr>
                <w:rFonts w:cs="Segoe UI Light"/>
                <w:sz w:val="18"/>
              </w:rPr>
            </w:pPr>
          </w:p>
          <w:p w14:paraId="656B1605" w14:textId="77777777" w:rsidR="00A15187" w:rsidRDefault="00A15187" w:rsidP="00040A06">
            <w:pPr>
              <w:spacing w:after="0"/>
              <w:rPr>
                <w:rFonts w:cs="Segoe UI Light"/>
                <w:sz w:val="18"/>
              </w:rPr>
            </w:pPr>
          </w:p>
          <w:p w14:paraId="656B1606" w14:textId="77777777" w:rsidR="00A15187" w:rsidRDefault="00A15187" w:rsidP="00040A06">
            <w:pPr>
              <w:spacing w:after="0"/>
              <w:rPr>
                <w:rFonts w:cs="Segoe UI Light"/>
                <w:sz w:val="18"/>
              </w:rPr>
            </w:pPr>
          </w:p>
          <w:p w14:paraId="656B1607" w14:textId="77777777" w:rsidR="00A15187" w:rsidRDefault="00A15187" w:rsidP="00040A06">
            <w:pPr>
              <w:spacing w:after="0"/>
              <w:rPr>
                <w:rFonts w:cs="Segoe UI Light"/>
                <w:sz w:val="18"/>
              </w:rPr>
            </w:pPr>
          </w:p>
          <w:p w14:paraId="656B1608" w14:textId="77777777" w:rsidR="00A15187" w:rsidRDefault="00A15187" w:rsidP="00040A06">
            <w:pPr>
              <w:spacing w:after="0"/>
              <w:rPr>
                <w:rFonts w:cs="Segoe UI Light"/>
                <w:sz w:val="18"/>
              </w:rPr>
            </w:pPr>
            <w:r>
              <w:rPr>
                <w:rFonts w:cs="Segoe UI Light"/>
                <w:sz w:val="18"/>
              </w:rPr>
              <w:t>Output</w:t>
            </w:r>
          </w:p>
          <w:p w14:paraId="656B1609" w14:textId="77777777" w:rsidR="00A15187" w:rsidRDefault="00A15187" w:rsidP="00040A06">
            <w:pPr>
              <w:spacing w:after="0"/>
              <w:rPr>
                <w:rFonts w:cs="Segoe UI Light"/>
                <w:sz w:val="18"/>
              </w:rPr>
            </w:pPr>
          </w:p>
          <w:p w14:paraId="656B160A" w14:textId="77777777" w:rsidR="00A15187" w:rsidRDefault="00A15187" w:rsidP="00040A06">
            <w:pPr>
              <w:spacing w:after="0"/>
              <w:rPr>
                <w:rFonts w:cs="Segoe UI Light"/>
                <w:sz w:val="18"/>
              </w:rPr>
            </w:pPr>
            <w:r>
              <w:rPr>
                <w:rFonts w:cs="Segoe UI Light"/>
                <w:sz w:val="18"/>
              </w:rPr>
              <w:t>Output</w:t>
            </w:r>
          </w:p>
          <w:p w14:paraId="656B160B" w14:textId="77777777" w:rsidR="00A15187" w:rsidRDefault="00A15187" w:rsidP="00040A06">
            <w:pPr>
              <w:spacing w:after="0"/>
              <w:rPr>
                <w:rFonts w:cs="Segoe UI Light"/>
                <w:sz w:val="18"/>
              </w:rPr>
            </w:pPr>
          </w:p>
          <w:p w14:paraId="656B160C" w14:textId="77777777" w:rsidR="00A15187" w:rsidRPr="00040A06" w:rsidRDefault="00A15187" w:rsidP="00040A06">
            <w:pPr>
              <w:spacing w:after="0"/>
              <w:rPr>
                <w:rFonts w:cs="Segoe UI Light"/>
                <w:sz w:val="18"/>
              </w:rPr>
            </w:pPr>
            <w:r>
              <w:rPr>
                <w:rFonts w:cs="Segoe UI Light"/>
                <w:sz w:val="18"/>
              </w:rPr>
              <w:t>Outcome</w:t>
            </w:r>
          </w:p>
        </w:tc>
        <w:tc>
          <w:tcPr>
            <w:tcW w:w="1135" w:type="pct"/>
          </w:tcPr>
          <w:p w14:paraId="656B160D" w14:textId="77777777" w:rsidR="00A15187" w:rsidRDefault="00D65C11" w:rsidP="00040A06">
            <w:pPr>
              <w:spacing w:after="0"/>
              <w:rPr>
                <w:rFonts w:cs="Segoe UI Light"/>
                <w:sz w:val="18"/>
              </w:rPr>
            </w:pPr>
            <w:r>
              <w:rPr>
                <w:rFonts w:cs="Segoe UI Light"/>
                <w:sz w:val="18"/>
              </w:rPr>
              <w:t xml:space="preserve">Existing data available </w:t>
            </w:r>
          </w:p>
          <w:p w14:paraId="656B160E" w14:textId="77777777" w:rsidR="00D65C11" w:rsidRDefault="00D65C11" w:rsidP="00040A06">
            <w:pPr>
              <w:spacing w:after="0"/>
              <w:rPr>
                <w:rFonts w:cs="Segoe UI Light"/>
                <w:sz w:val="18"/>
              </w:rPr>
            </w:pPr>
          </w:p>
          <w:p w14:paraId="656B160F" w14:textId="77777777" w:rsidR="00D65C11" w:rsidRDefault="00D65C11" w:rsidP="00040A06">
            <w:pPr>
              <w:spacing w:after="0"/>
              <w:rPr>
                <w:rFonts w:cs="Segoe UI Light"/>
                <w:sz w:val="18"/>
              </w:rPr>
            </w:pPr>
          </w:p>
          <w:p w14:paraId="656B1610" w14:textId="77777777" w:rsidR="00F37249" w:rsidRDefault="00F37249" w:rsidP="00040A06">
            <w:pPr>
              <w:spacing w:after="0"/>
              <w:rPr>
                <w:rFonts w:cs="Segoe UI Light"/>
                <w:sz w:val="18"/>
              </w:rPr>
            </w:pPr>
          </w:p>
          <w:p w14:paraId="656B1611" w14:textId="77777777" w:rsidR="00E852F5" w:rsidRPr="00E852F5" w:rsidRDefault="00D65C11" w:rsidP="00E852F5">
            <w:pPr>
              <w:spacing w:after="0"/>
              <w:rPr>
                <w:rFonts w:cs="Segoe UI Light"/>
                <w:sz w:val="18"/>
              </w:rPr>
            </w:pPr>
            <w:r>
              <w:rPr>
                <w:rFonts w:cs="Segoe UI Light"/>
                <w:sz w:val="18"/>
              </w:rPr>
              <w:t xml:space="preserve">Existing data available </w:t>
            </w:r>
            <w:r w:rsidR="00F37249">
              <w:rPr>
                <w:rFonts w:cs="Segoe UI Light"/>
                <w:sz w:val="18"/>
              </w:rPr>
              <w:t>(</w:t>
            </w:r>
            <w:r w:rsidR="00575E12">
              <w:rPr>
                <w:rFonts w:cs="Segoe UI Light"/>
                <w:sz w:val="18"/>
              </w:rPr>
              <w:t xml:space="preserve">analysed in conjunction with assessment of </w:t>
            </w:r>
            <w:r w:rsidR="00F37249">
              <w:rPr>
                <w:rFonts w:cs="Segoe UI Light"/>
                <w:sz w:val="18"/>
              </w:rPr>
              <w:t>impacts of enforcement activities)</w:t>
            </w:r>
          </w:p>
          <w:p w14:paraId="656B1612" w14:textId="77777777" w:rsidR="00F37249" w:rsidRDefault="00F37249" w:rsidP="00040A06">
            <w:pPr>
              <w:spacing w:after="0"/>
              <w:rPr>
                <w:rFonts w:cs="Segoe UI Light"/>
                <w:sz w:val="18"/>
              </w:rPr>
            </w:pPr>
          </w:p>
          <w:p w14:paraId="656B1613" w14:textId="77777777" w:rsidR="00A15187" w:rsidRDefault="00D65C11" w:rsidP="00040A06">
            <w:pPr>
              <w:spacing w:after="0"/>
              <w:rPr>
                <w:rFonts w:cs="Segoe UI Light"/>
                <w:sz w:val="18"/>
              </w:rPr>
            </w:pPr>
            <w:r>
              <w:rPr>
                <w:rFonts w:cs="Segoe UI Light"/>
                <w:sz w:val="18"/>
              </w:rPr>
              <w:t xml:space="preserve">Existing data available </w:t>
            </w:r>
          </w:p>
          <w:p w14:paraId="656B1614" w14:textId="77777777" w:rsidR="00A15187" w:rsidRDefault="00575E12" w:rsidP="00040A06">
            <w:pPr>
              <w:spacing w:after="0"/>
              <w:rPr>
                <w:rFonts w:cs="Segoe UI Light"/>
                <w:sz w:val="18"/>
              </w:rPr>
            </w:pPr>
            <w:r>
              <w:rPr>
                <w:rFonts w:cs="Segoe UI Light"/>
                <w:sz w:val="18"/>
              </w:rPr>
              <w:t>(analysed in conjunction with assessment of impacts of enforcement activities)</w:t>
            </w:r>
          </w:p>
          <w:p w14:paraId="656B1615" w14:textId="77777777" w:rsidR="00A15187" w:rsidRDefault="00A15187" w:rsidP="00040A06">
            <w:pPr>
              <w:spacing w:after="0"/>
              <w:rPr>
                <w:rFonts w:cs="Segoe UI Light"/>
                <w:sz w:val="18"/>
              </w:rPr>
            </w:pPr>
          </w:p>
          <w:p w14:paraId="656B1616" w14:textId="77777777" w:rsidR="00A15187" w:rsidRDefault="00A15187" w:rsidP="00040A06">
            <w:pPr>
              <w:spacing w:after="0"/>
              <w:rPr>
                <w:rFonts w:cs="Segoe UI Light"/>
                <w:sz w:val="18"/>
              </w:rPr>
            </w:pPr>
          </w:p>
          <w:p w14:paraId="656B1617" w14:textId="77777777" w:rsidR="00A15187" w:rsidRDefault="00A15187" w:rsidP="00040A06">
            <w:pPr>
              <w:spacing w:after="0"/>
              <w:rPr>
                <w:rFonts w:cs="Segoe UI Light"/>
                <w:sz w:val="18"/>
              </w:rPr>
            </w:pPr>
          </w:p>
          <w:p w14:paraId="656B1618" w14:textId="77777777" w:rsidR="00A15187" w:rsidRDefault="00A15187" w:rsidP="00040A06">
            <w:pPr>
              <w:spacing w:after="0"/>
              <w:rPr>
                <w:rFonts w:cs="Segoe UI Light"/>
                <w:sz w:val="18"/>
              </w:rPr>
            </w:pPr>
          </w:p>
          <w:p w14:paraId="656B1619" w14:textId="77777777" w:rsidR="00D65C11" w:rsidRDefault="00D65C11" w:rsidP="00040A06">
            <w:pPr>
              <w:spacing w:after="0"/>
              <w:rPr>
                <w:rFonts w:cs="Segoe UI Light"/>
                <w:sz w:val="18"/>
              </w:rPr>
            </w:pPr>
          </w:p>
          <w:p w14:paraId="656B161A" w14:textId="77777777" w:rsidR="00A15187" w:rsidRDefault="00D65C11" w:rsidP="00040A06">
            <w:pPr>
              <w:spacing w:after="0"/>
              <w:rPr>
                <w:rFonts w:cs="Segoe UI Light"/>
                <w:sz w:val="18"/>
              </w:rPr>
            </w:pPr>
            <w:r>
              <w:rPr>
                <w:rFonts w:cs="Segoe UI Light"/>
                <w:sz w:val="18"/>
              </w:rPr>
              <w:t>Existing data a</w:t>
            </w:r>
            <w:r w:rsidR="00A15187">
              <w:rPr>
                <w:rFonts w:cs="Segoe UI Light"/>
                <w:sz w:val="18"/>
              </w:rPr>
              <w:t xml:space="preserve">vailable </w:t>
            </w:r>
          </w:p>
          <w:p w14:paraId="656B161B" w14:textId="77777777" w:rsidR="00A15187" w:rsidRDefault="00A15187" w:rsidP="00040A06">
            <w:pPr>
              <w:spacing w:after="0"/>
              <w:rPr>
                <w:rFonts w:cs="Segoe UI Light"/>
                <w:sz w:val="18"/>
              </w:rPr>
            </w:pPr>
          </w:p>
          <w:p w14:paraId="656B161C" w14:textId="77777777" w:rsidR="00A15187" w:rsidRDefault="00D65C11" w:rsidP="00040A06">
            <w:pPr>
              <w:spacing w:after="0"/>
              <w:rPr>
                <w:rFonts w:cs="Segoe UI Light"/>
                <w:sz w:val="18"/>
              </w:rPr>
            </w:pPr>
            <w:r>
              <w:rPr>
                <w:rFonts w:cs="Segoe UI Light"/>
                <w:sz w:val="18"/>
              </w:rPr>
              <w:t>Existing data a</w:t>
            </w:r>
            <w:r w:rsidR="00A15187">
              <w:rPr>
                <w:rFonts w:cs="Segoe UI Light"/>
                <w:sz w:val="18"/>
              </w:rPr>
              <w:t>vailable</w:t>
            </w:r>
          </w:p>
          <w:p w14:paraId="656B161D" w14:textId="77777777" w:rsidR="00A15187" w:rsidRDefault="00A15187" w:rsidP="00040A06">
            <w:pPr>
              <w:spacing w:after="0"/>
              <w:rPr>
                <w:rFonts w:cs="Segoe UI Light"/>
                <w:sz w:val="18"/>
              </w:rPr>
            </w:pPr>
          </w:p>
          <w:p w14:paraId="656B161E" w14:textId="77777777" w:rsidR="00F42A8C" w:rsidRPr="00040A06" w:rsidRDefault="00D65C11" w:rsidP="00040A06">
            <w:pPr>
              <w:spacing w:after="0"/>
              <w:rPr>
                <w:rFonts w:cs="Segoe UI Light"/>
                <w:sz w:val="18"/>
              </w:rPr>
            </w:pPr>
            <w:r>
              <w:rPr>
                <w:rFonts w:cs="Segoe UI Light"/>
                <w:sz w:val="18"/>
              </w:rPr>
              <w:t>Existing data a</w:t>
            </w:r>
            <w:r w:rsidR="00A15187">
              <w:rPr>
                <w:rFonts w:cs="Segoe UI Light"/>
                <w:sz w:val="18"/>
              </w:rPr>
              <w:t>vailable although ad hoc and not easily aggregated</w:t>
            </w:r>
          </w:p>
        </w:tc>
      </w:tr>
      <w:tr w:rsidR="00F42A8C" w:rsidRPr="00947320" w14:paraId="656B1626" w14:textId="77777777" w:rsidTr="00040A06">
        <w:trPr>
          <w:trHeight w:val="1308"/>
        </w:trPr>
        <w:tc>
          <w:tcPr>
            <w:tcW w:w="1212" w:type="pct"/>
          </w:tcPr>
          <w:p w14:paraId="656B1620" w14:textId="77777777" w:rsidR="00F42A8C" w:rsidRDefault="00F42A8C" w:rsidP="00B41D79">
            <w:pPr>
              <w:spacing w:after="0"/>
              <w:rPr>
                <w:rFonts w:cs="Segoe UI Light"/>
                <w:sz w:val="18"/>
              </w:rPr>
            </w:pPr>
            <w:r>
              <w:rPr>
                <w:rFonts w:cs="Segoe UI Light"/>
                <w:sz w:val="18"/>
              </w:rPr>
              <w:t>Litter and other wastes</w:t>
            </w:r>
          </w:p>
        </w:tc>
        <w:tc>
          <w:tcPr>
            <w:tcW w:w="2046" w:type="pct"/>
          </w:tcPr>
          <w:p w14:paraId="656B1621" w14:textId="77777777" w:rsidR="00F42A8C" w:rsidRPr="00204BE2" w:rsidRDefault="00F42A8C" w:rsidP="004A2442">
            <w:pPr>
              <w:pStyle w:val="ListParagraph"/>
              <w:numPr>
                <w:ilvl w:val="0"/>
                <w:numId w:val="48"/>
              </w:numPr>
              <w:spacing w:after="0"/>
              <w:ind w:left="280" w:hanging="280"/>
              <w:rPr>
                <w:rFonts w:cs="Segoe UI Light"/>
                <w:sz w:val="18"/>
              </w:rPr>
            </w:pPr>
            <w:r w:rsidRPr="00D85A7F">
              <w:rPr>
                <w:rFonts w:cs="Segoe UI Light"/>
                <w:sz w:val="18"/>
              </w:rPr>
              <w:t>Reduce littering of the environment</w:t>
            </w:r>
            <w:r w:rsidR="00A15187">
              <w:rPr>
                <w:rFonts w:cs="Segoe UI Light"/>
                <w:sz w:val="18"/>
              </w:rPr>
              <w:t xml:space="preserve"> from material that might become litter</w:t>
            </w:r>
          </w:p>
          <w:p w14:paraId="656B1622" w14:textId="77777777" w:rsidR="00F42A8C" w:rsidRPr="00040A06" w:rsidRDefault="00A15187" w:rsidP="004A2442">
            <w:pPr>
              <w:pStyle w:val="ListParagraph"/>
              <w:numPr>
                <w:ilvl w:val="1"/>
                <w:numId w:val="48"/>
              </w:numPr>
              <w:spacing w:after="0"/>
              <w:ind w:left="563" w:right="284" w:hanging="283"/>
              <w:rPr>
                <w:rFonts w:cs="Segoe UI Light"/>
                <w:sz w:val="18"/>
              </w:rPr>
            </w:pPr>
            <w:r w:rsidRPr="00686093">
              <w:rPr>
                <w:rFonts w:cs="Segoe UI Light"/>
                <w:sz w:val="18"/>
              </w:rPr>
              <w:t>Stakeholder consultation with local councils on effectiveness of regulations</w:t>
            </w:r>
            <w:r w:rsidR="00686093" w:rsidRPr="00686093">
              <w:rPr>
                <w:rFonts w:cs="Segoe UI Light"/>
                <w:sz w:val="18"/>
              </w:rPr>
              <w:t xml:space="preserve"> and to </w:t>
            </w:r>
            <w:r w:rsidR="00686093">
              <w:rPr>
                <w:rFonts w:cs="Segoe UI Light"/>
                <w:sz w:val="18"/>
              </w:rPr>
              <w:t>collect data on council enforcement of l</w:t>
            </w:r>
            <w:r w:rsidR="00686093" w:rsidRPr="00686093">
              <w:rPr>
                <w:rFonts w:cs="Segoe UI Light"/>
                <w:sz w:val="18"/>
              </w:rPr>
              <w:t xml:space="preserve">itter offences for advertising material, leaflets etc. </w:t>
            </w:r>
          </w:p>
        </w:tc>
        <w:tc>
          <w:tcPr>
            <w:tcW w:w="607" w:type="pct"/>
          </w:tcPr>
          <w:p w14:paraId="656B1623" w14:textId="77777777" w:rsidR="00F42A8C" w:rsidRDefault="00A15187" w:rsidP="00040A06">
            <w:pPr>
              <w:spacing w:after="0"/>
              <w:rPr>
                <w:rFonts w:cs="Segoe UI Light"/>
                <w:sz w:val="18"/>
              </w:rPr>
            </w:pPr>
            <w:r>
              <w:rPr>
                <w:rFonts w:cs="Segoe UI Light"/>
                <w:sz w:val="18"/>
              </w:rPr>
              <w:t>Output</w:t>
            </w:r>
          </w:p>
          <w:p w14:paraId="656B1624" w14:textId="77777777" w:rsidR="00A15187" w:rsidRPr="00040A06" w:rsidRDefault="00A15187" w:rsidP="00040A06">
            <w:pPr>
              <w:spacing w:after="0"/>
              <w:rPr>
                <w:rFonts w:cs="Segoe UI Light"/>
                <w:sz w:val="18"/>
              </w:rPr>
            </w:pPr>
          </w:p>
        </w:tc>
        <w:tc>
          <w:tcPr>
            <w:tcW w:w="1135" w:type="pct"/>
          </w:tcPr>
          <w:p w14:paraId="656B1625" w14:textId="77777777" w:rsidR="00F42A8C" w:rsidRPr="00040A06" w:rsidRDefault="00686093" w:rsidP="00040A06">
            <w:pPr>
              <w:spacing w:after="0"/>
              <w:rPr>
                <w:rFonts w:cs="Segoe UI Light"/>
                <w:sz w:val="18"/>
              </w:rPr>
            </w:pPr>
            <w:r>
              <w:rPr>
                <w:rFonts w:cs="Segoe UI Light"/>
                <w:sz w:val="18"/>
              </w:rPr>
              <w:t xml:space="preserve">Information </w:t>
            </w:r>
            <w:r w:rsidR="00E92E4D">
              <w:rPr>
                <w:rFonts w:cs="Segoe UI Light"/>
                <w:sz w:val="18"/>
              </w:rPr>
              <w:t xml:space="preserve">was </w:t>
            </w:r>
            <w:r>
              <w:rPr>
                <w:rFonts w:cs="Segoe UI Light"/>
                <w:sz w:val="18"/>
              </w:rPr>
              <w:t xml:space="preserve">collected via consultations with councils undertaken for this RIS. Consultation would </w:t>
            </w:r>
            <w:r w:rsidR="00E92E4D">
              <w:rPr>
                <w:rFonts w:cs="Segoe UI Light"/>
                <w:sz w:val="18"/>
              </w:rPr>
              <w:t xml:space="preserve">be </w:t>
            </w:r>
            <w:r>
              <w:rPr>
                <w:rFonts w:cs="Segoe UI Light"/>
                <w:sz w:val="18"/>
              </w:rPr>
              <w:t>need</w:t>
            </w:r>
            <w:r w:rsidR="00E92E4D">
              <w:rPr>
                <w:rFonts w:cs="Segoe UI Light"/>
                <w:sz w:val="18"/>
              </w:rPr>
              <w:t>ed</w:t>
            </w:r>
            <w:r>
              <w:rPr>
                <w:rFonts w:cs="Segoe UI Light"/>
                <w:sz w:val="18"/>
              </w:rPr>
              <w:t xml:space="preserve"> to collect </w:t>
            </w:r>
            <w:r w:rsidR="00E92E4D">
              <w:rPr>
                <w:rFonts w:cs="Segoe UI Light"/>
                <w:sz w:val="18"/>
              </w:rPr>
              <w:t xml:space="preserve">further </w:t>
            </w:r>
            <w:r>
              <w:rPr>
                <w:rFonts w:cs="Segoe UI Light"/>
                <w:sz w:val="18"/>
              </w:rPr>
              <w:t>data</w:t>
            </w:r>
            <w:r w:rsidR="00E92E4D">
              <w:rPr>
                <w:rFonts w:cs="Segoe UI Light"/>
                <w:sz w:val="18"/>
              </w:rPr>
              <w:t xml:space="preserve"> in future.</w:t>
            </w:r>
          </w:p>
        </w:tc>
      </w:tr>
      <w:tr w:rsidR="00F42A8C" w:rsidRPr="00947320" w14:paraId="656B1651" w14:textId="77777777" w:rsidTr="00040A06">
        <w:trPr>
          <w:trHeight w:val="500"/>
        </w:trPr>
        <w:tc>
          <w:tcPr>
            <w:tcW w:w="1212" w:type="pct"/>
          </w:tcPr>
          <w:p w14:paraId="656B1627" w14:textId="77777777" w:rsidR="00F42A8C" w:rsidRDefault="00F42A8C" w:rsidP="00B41D79">
            <w:pPr>
              <w:spacing w:after="0"/>
              <w:rPr>
                <w:rFonts w:cs="Segoe UI Light"/>
                <w:sz w:val="18"/>
              </w:rPr>
            </w:pPr>
            <w:r>
              <w:rPr>
                <w:rFonts w:cs="Segoe UI Light"/>
                <w:sz w:val="18"/>
              </w:rPr>
              <w:t>Plastic bags</w:t>
            </w:r>
          </w:p>
        </w:tc>
        <w:tc>
          <w:tcPr>
            <w:tcW w:w="2046" w:type="pct"/>
          </w:tcPr>
          <w:p w14:paraId="656B1628" w14:textId="77777777" w:rsidR="00F42A8C" w:rsidRPr="00204BE2" w:rsidRDefault="00F42A8C" w:rsidP="004A2442">
            <w:pPr>
              <w:pStyle w:val="ListParagraph"/>
              <w:numPr>
                <w:ilvl w:val="0"/>
                <w:numId w:val="48"/>
              </w:numPr>
              <w:spacing w:after="0"/>
              <w:rPr>
                <w:rFonts w:cs="Segoe UI Light"/>
                <w:sz w:val="18"/>
              </w:rPr>
            </w:pPr>
            <w:r w:rsidRPr="00D85A7F">
              <w:rPr>
                <w:rFonts w:cs="Segoe UI Light"/>
                <w:sz w:val="18"/>
              </w:rPr>
              <w:t>Reduce plastic bags being used</w:t>
            </w:r>
          </w:p>
          <w:p w14:paraId="656B1629" w14:textId="77777777" w:rsidR="00F42A8C" w:rsidRPr="00204BE2" w:rsidRDefault="00F42A8C" w:rsidP="004A2442">
            <w:pPr>
              <w:pStyle w:val="ListParagraph"/>
              <w:numPr>
                <w:ilvl w:val="1"/>
                <w:numId w:val="48"/>
              </w:numPr>
              <w:spacing w:after="0"/>
              <w:ind w:left="563" w:right="284" w:hanging="283"/>
              <w:rPr>
                <w:rFonts w:cs="Segoe UI Light"/>
                <w:sz w:val="18"/>
              </w:rPr>
            </w:pPr>
            <w:r w:rsidRPr="00D85A7F">
              <w:rPr>
                <w:rFonts w:cs="Segoe UI Light"/>
                <w:sz w:val="18"/>
              </w:rPr>
              <w:t>Volume of plastic bags being consumed.</w:t>
            </w:r>
          </w:p>
          <w:p w14:paraId="656B162A" w14:textId="77777777" w:rsidR="0031726F" w:rsidRPr="00204BE2" w:rsidRDefault="0031726F" w:rsidP="004A2442">
            <w:pPr>
              <w:pStyle w:val="ListParagraph"/>
              <w:numPr>
                <w:ilvl w:val="1"/>
                <w:numId w:val="48"/>
              </w:numPr>
              <w:spacing w:after="0"/>
              <w:ind w:left="563" w:right="284" w:hanging="283"/>
              <w:rPr>
                <w:rFonts w:cs="Segoe UI Light"/>
                <w:sz w:val="18"/>
              </w:rPr>
            </w:pPr>
            <w:r>
              <w:rPr>
                <w:rFonts w:cs="Segoe UI Light"/>
                <w:sz w:val="18"/>
              </w:rPr>
              <w:t>Increase in sale of bin liners and other plastic alternatives</w:t>
            </w:r>
          </w:p>
          <w:p w14:paraId="656B162B" w14:textId="77777777" w:rsidR="00BD4B21" w:rsidRPr="00040A06" w:rsidRDefault="00BD4B21" w:rsidP="00040A06">
            <w:pPr>
              <w:spacing w:after="0"/>
              <w:rPr>
                <w:rFonts w:cs="Segoe UI Light"/>
                <w:sz w:val="18"/>
              </w:rPr>
            </w:pPr>
          </w:p>
          <w:p w14:paraId="656B162C" w14:textId="77777777" w:rsidR="00BD4B21" w:rsidRDefault="00BD4B21" w:rsidP="00040A06">
            <w:pPr>
              <w:pStyle w:val="ListParagraph"/>
              <w:spacing w:after="0"/>
              <w:ind w:left="360"/>
              <w:rPr>
                <w:rFonts w:cs="Segoe UI Light"/>
                <w:sz w:val="18"/>
              </w:rPr>
            </w:pPr>
          </w:p>
          <w:p w14:paraId="656B162D" w14:textId="77777777" w:rsidR="00F42A8C" w:rsidRPr="00204BE2" w:rsidRDefault="00F42A8C" w:rsidP="004A2442">
            <w:pPr>
              <w:pStyle w:val="ListParagraph"/>
              <w:numPr>
                <w:ilvl w:val="0"/>
                <w:numId w:val="48"/>
              </w:numPr>
              <w:spacing w:after="0"/>
              <w:rPr>
                <w:rFonts w:cs="Segoe UI Light"/>
                <w:sz w:val="18"/>
              </w:rPr>
            </w:pPr>
            <w:r w:rsidRPr="00D85A7F">
              <w:rPr>
                <w:rFonts w:cs="Segoe UI Light"/>
                <w:sz w:val="18"/>
              </w:rPr>
              <w:t>Reduce plastic bags being disposed of incorrectly</w:t>
            </w:r>
          </w:p>
          <w:p w14:paraId="656B162E" w14:textId="77777777" w:rsidR="0031726F" w:rsidRDefault="00F42A8C" w:rsidP="004A2442">
            <w:pPr>
              <w:pStyle w:val="ListParagraph"/>
              <w:numPr>
                <w:ilvl w:val="1"/>
                <w:numId w:val="48"/>
              </w:numPr>
              <w:ind w:left="563" w:right="284" w:hanging="283"/>
              <w:rPr>
                <w:rFonts w:cs="Segoe UI Light"/>
                <w:sz w:val="18"/>
              </w:rPr>
            </w:pPr>
            <w:r w:rsidRPr="00D85A7F">
              <w:rPr>
                <w:rFonts w:cs="Segoe UI Light"/>
                <w:sz w:val="18"/>
              </w:rPr>
              <w:t>Volume of plastic bags ending up as litter</w:t>
            </w:r>
          </w:p>
          <w:p w14:paraId="656B162F" w14:textId="77777777" w:rsidR="00D23978" w:rsidRDefault="00D23978" w:rsidP="004A2442">
            <w:pPr>
              <w:pStyle w:val="ListParagraph"/>
              <w:numPr>
                <w:ilvl w:val="1"/>
                <w:numId w:val="48"/>
              </w:numPr>
              <w:ind w:left="563" w:right="284" w:hanging="283"/>
              <w:rPr>
                <w:rFonts w:cs="Segoe UI Light"/>
                <w:sz w:val="18"/>
              </w:rPr>
            </w:pPr>
            <w:r>
              <w:rPr>
                <w:rFonts w:cs="Segoe UI Light"/>
                <w:sz w:val="18"/>
              </w:rPr>
              <w:t>Volume of plastic bags contaminating municipal recycling</w:t>
            </w:r>
          </w:p>
          <w:p w14:paraId="656B1630" w14:textId="77777777" w:rsidR="00F42A8C" w:rsidRDefault="0031726F" w:rsidP="004A2442">
            <w:pPr>
              <w:pStyle w:val="ListParagraph"/>
              <w:numPr>
                <w:ilvl w:val="1"/>
                <w:numId w:val="48"/>
              </w:numPr>
              <w:ind w:left="563" w:right="284" w:hanging="283"/>
              <w:rPr>
                <w:rFonts w:cs="Segoe UI Light"/>
                <w:sz w:val="18"/>
              </w:rPr>
            </w:pPr>
            <w:r>
              <w:rPr>
                <w:rFonts w:cs="Segoe UI Light"/>
                <w:sz w:val="18"/>
              </w:rPr>
              <w:t>Total volume of litter (plastic bags may have played a role in containing litter)</w:t>
            </w:r>
          </w:p>
          <w:p w14:paraId="656B1631" w14:textId="77777777" w:rsidR="00153F27" w:rsidRDefault="00153F27" w:rsidP="00153F27">
            <w:pPr>
              <w:pStyle w:val="ListParagraph"/>
              <w:spacing w:after="0"/>
              <w:ind w:left="360"/>
              <w:rPr>
                <w:rFonts w:cs="Segoe UI Light"/>
                <w:sz w:val="18"/>
              </w:rPr>
            </w:pPr>
          </w:p>
          <w:p w14:paraId="656B1632" w14:textId="77777777" w:rsidR="00B7667F" w:rsidRPr="00040A06" w:rsidRDefault="00B7667F" w:rsidP="004A2442">
            <w:pPr>
              <w:pStyle w:val="ListParagraph"/>
              <w:numPr>
                <w:ilvl w:val="0"/>
                <w:numId w:val="48"/>
              </w:numPr>
              <w:spacing w:after="0"/>
              <w:rPr>
                <w:rFonts w:cs="Segoe UI Light"/>
                <w:sz w:val="18"/>
              </w:rPr>
            </w:pPr>
            <w:r>
              <w:rPr>
                <w:rFonts w:cs="Segoe UI Light"/>
                <w:sz w:val="18"/>
              </w:rPr>
              <w:t>Cost of cleaning up litter</w:t>
            </w:r>
          </w:p>
        </w:tc>
        <w:tc>
          <w:tcPr>
            <w:tcW w:w="607" w:type="pct"/>
          </w:tcPr>
          <w:p w14:paraId="656B1633" w14:textId="77777777" w:rsidR="00686093" w:rsidRDefault="00686093" w:rsidP="00040A06">
            <w:pPr>
              <w:spacing w:after="0"/>
              <w:rPr>
                <w:rFonts w:cs="Segoe UI Light"/>
                <w:sz w:val="18"/>
              </w:rPr>
            </w:pPr>
            <w:r>
              <w:rPr>
                <w:rFonts w:cs="Segoe UI Light"/>
                <w:sz w:val="18"/>
              </w:rPr>
              <w:t>Output</w:t>
            </w:r>
          </w:p>
          <w:p w14:paraId="656B1634" w14:textId="77777777" w:rsidR="00686093" w:rsidRDefault="00686093" w:rsidP="00040A06">
            <w:pPr>
              <w:spacing w:after="0"/>
              <w:rPr>
                <w:rFonts w:cs="Segoe UI Light"/>
                <w:sz w:val="18"/>
              </w:rPr>
            </w:pPr>
          </w:p>
          <w:p w14:paraId="656B1635" w14:textId="77777777" w:rsidR="00686093" w:rsidRDefault="00686093" w:rsidP="00040A06">
            <w:pPr>
              <w:spacing w:after="0"/>
              <w:rPr>
                <w:rFonts w:cs="Segoe UI Light"/>
                <w:sz w:val="18"/>
              </w:rPr>
            </w:pPr>
          </w:p>
          <w:p w14:paraId="656B1636" w14:textId="77777777" w:rsidR="00686093" w:rsidRDefault="00686093" w:rsidP="00040A06">
            <w:pPr>
              <w:spacing w:after="0"/>
              <w:rPr>
                <w:rFonts w:cs="Segoe UI Light"/>
                <w:sz w:val="18"/>
              </w:rPr>
            </w:pPr>
          </w:p>
          <w:p w14:paraId="656B1637" w14:textId="77777777" w:rsidR="00686093" w:rsidRDefault="00686093" w:rsidP="00040A06">
            <w:pPr>
              <w:spacing w:after="0"/>
              <w:rPr>
                <w:rFonts w:cs="Segoe UI Light"/>
                <w:sz w:val="18"/>
              </w:rPr>
            </w:pPr>
          </w:p>
          <w:p w14:paraId="656B1638" w14:textId="77777777" w:rsidR="00BD4B21" w:rsidRDefault="00BD4B21" w:rsidP="00040A06">
            <w:pPr>
              <w:spacing w:after="0"/>
              <w:rPr>
                <w:rFonts w:cs="Segoe UI Light"/>
                <w:sz w:val="18"/>
              </w:rPr>
            </w:pPr>
          </w:p>
          <w:p w14:paraId="656B1639" w14:textId="77777777" w:rsidR="00BD4B21" w:rsidRDefault="00BD4B21" w:rsidP="00040A06">
            <w:pPr>
              <w:spacing w:after="0"/>
              <w:rPr>
                <w:rFonts w:cs="Segoe UI Light"/>
                <w:sz w:val="18"/>
              </w:rPr>
            </w:pPr>
          </w:p>
          <w:p w14:paraId="656B163A" w14:textId="77777777" w:rsidR="00BD4B21" w:rsidRDefault="00BD4B21" w:rsidP="00040A06">
            <w:pPr>
              <w:spacing w:after="0"/>
              <w:rPr>
                <w:rFonts w:cs="Segoe UI Light"/>
                <w:sz w:val="18"/>
              </w:rPr>
            </w:pPr>
          </w:p>
          <w:p w14:paraId="656B163B" w14:textId="77777777" w:rsidR="00B7667F" w:rsidRDefault="00B7667F" w:rsidP="00040A06">
            <w:pPr>
              <w:spacing w:after="0"/>
              <w:rPr>
                <w:rFonts w:cs="Segoe UI Light"/>
                <w:sz w:val="18"/>
              </w:rPr>
            </w:pPr>
            <w:r>
              <w:rPr>
                <w:rFonts w:cs="Segoe UI Light"/>
                <w:sz w:val="18"/>
              </w:rPr>
              <w:t>Output</w:t>
            </w:r>
          </w:p>
          <w:p w14:paraId="656B163C" w14:textId="77777777" w:rsidR="00B7667F" w:rsidRDefault="00B7667F" w:rsidP="00040A06">
            <w:pPr>
              <w:spacing w:after="0"/>
              <w:rPr>
                <w:rFonts w:cs="Segoe UI Light"/>
                <w:sz w:val="18"/>
              </w:rPr>
            </w:pPr>
          </w:p>
          <w:p w14:paraId="656B163D" w14:textId="77777777" w:rsidR="00B7667F" w:rsidRDefault="00B7667F" w:rsidP="00040A06">
            <w:pPr>
              <w:spacing w:after="0"/>
              <w:rPr>
                <w:rFonts w:cs="Segoe UI Light"/>
                <w:sz w:val="18"/>
              </w:rPr>
            </w:pPr>
          </w:p>
          <w:p w14:paraId="656B163E" w14:textId="77777777" w:rsidR="00B7667F" w:rsidRDefault="00B7667F" w:rsidP="00040A06">
            <w:pPr>
              <w:spacing w:after="0"/>
              <w:rPr>
                <w:rFonts w:cs="Segoe UI Light"/>
                <w:sz w:val="18"/>
              </w:rPr>
            </w:pPr>
          </w:p>
          <w:p w14:paraId="656B163F" w14:textId="77777777" w:rsidR="00B7667F" w:rsidRDefault="00B7667F" w:rsidP="00040A06">
            <w:pPr>
              <w:spacing w:after="0"/>
              <w:rPr>
                <w:rFonts w:cs="Segoe UI Light"/>
                <w:sz w:val="18"/>
              </w:rPr>
            </w:pPr>
          </w:p>
          <w:p w14:paraId="656B1640" w14:textId="77777777" w:rsidR="00B7667F" w:rsidRDefault="00B7667F" w:rsidP="00040A06">
            <w:pPr>
              <w:spacing w:after="0"/>
              <w:rPr>
                <w:rFonts w:cs="Segoe UI Light"/>
                <w:sz w:val="18"/>
              </w:rPr>
            </w:pPr>
          </w:p>
          <w:p w14:paraId="656B1641" w14:textId="77777777" w:rsidR="00D23978" w:rsidRDefault="00D23978" w:rsidP="00040A06">
            <w:pPr>
              <w:spacing w:after="0"/>
              <w:rPr>
                <w:rFonts w:cs="Segoe UI Light"/>
                <w:sz w:val="18"/>
              </w:rPr>
            </w:pPr>
          </w:p>
          <w:p w14:paraId="656B1642" w14:textId="77777777" w:rsidR="00D23978" w:rsidRDefault="00D23978" w:rsidP="00040A06">
            <w:pPr>
              <w:spacing w:after="0"/>
              <w:rPr>
                <w:rFonts w:cs="Segoe UI Light"/>
                <w:sz w:val="18"/>
              </w:rPr>
            </w:pPr>
          </w:p>
          <w:p w14:paraId="656B1643" w14:textId="77777777" w:rsidR="00A07276" w:rsidRDefault="00A07276" w:rsidP="00040A06">
            <w:pPr>
              <w:spacing w:after="0"/>
              <w:rPr>
                <w:rFonts w:cs="Segoe UI Light"/>
                <w:sz w:val="18"/>
              </w:rPr>
            </w:pPr>
          </w:p>
          <w:p w14:paraId="656B1644" w14:textId="77777777" w:rsidR="00B7667F" w:rsidRPr="00040A06" w:rsidRDefault="00471AED" w:rsidP="00040A06">
            <w:pPr>
              <w:spacing w:after="0"/>
              <w:rPr>
                <w:rFonts w:cs="Segoe UI Light"/>
                <w:sz w:val="18"/>
              </w:rPr>
            </w:pPr>
            <w:r>
              <w:rPr>
                <w:rFonts w:cs="Segoe UI Light"/>
                <w:sz w:val="18"/>
              </w:rPr>
              <w:t>Output</w:t>
            </w:r>
          </w:p>
        </w:tc>
        <w:tc>
          <w:tcPr>
            <w:tcW w:w="1135" w:type="pct"/>
          </w:tcPr>
          <w:p w14:paraId="656B1645" w14:textId="77777777" w:rsidR="00B7667F" w:rsidRDefault="00686093" w:rsidP="00040A06">
            <w:pPr>
              <w:spacing w:after="0"/>
              <w:rPr>
                <w:rFonts w:cs="Segoe UI Light"/>
                <w:sz w:val="18"/>
              </w:rPr>
            </w:pPr>
            <w:r>
              <w:rPr>
                <w:rFonts w:cs="Segoe UI Light"/>
                <w:sz w:val="18"/>
              </w:rPr>
              <w:t>Not publicly available – would need to be collected via consultation with retailers.</w:t>
            </w:r>
            <w:r w:rsidR="00BD4B21">
              <w:rPr>
                <w:rFonts w:cs="Segoe UI Light"/>
                <w:sz w:val="18"/>
              </w:rPr>
              <w:t xml:space="preserve"> Baseline would take into account voluntary action already taken by retailers.</w:t>
            </w:r>
          </w:p>
          <w:p w14:paraId="656B1646" w14:textId="77777777" w:rsidR="00E92E4D" w:rsidRDefault="00E92E4D" w:rsidP="00040A06">
            <w:pPr>
              <w:spacing w:after="0"/>
              <w:rPr>
                <w:rFonts w:cs="Segoe UI Light"/>
                <w:sz w:val="18"/>
              </w:rPr>
            </w:pPr>
          </w:p>
          <w:p w14:paraId="656B1647" w14:textId="77777777" w:rsidR="00B7667F" w:rsidRDefault="00D65C11" w:rsidP="00040A06">
            <w:pPr>
              <w:spacing w:after="0"/>
              <w:rPr>
                <w:rFonts w:cs="Segoe UI Light"/>
                <w:sz w:val="18"/>
              </w:rPr>
            </w:pPr>
            <w:r>
              <w:rPr>
                <w:rFonts w:cs="Segoe UI Light"/>
                <w:sz w:val="18"/>
              </w:rPr>
              <w:t xml:space="preserve">Existing data available </w:t>
            </w:r>
          </w:p>
          <w:p w14:paraId="656B1648" w14:textId="77777777" w:rsidR="00686093" w:rsidRDefault="00686093" w:rsidP="00040A06">
            <w:pPr>
              <w:spacing w:after="0"/>
              <w:rPr>
                <w:rFonts w:cs="Segoe UI Light"/>
                <w:sz w:val="18"/>
              </w:rPr>
            </w:pPr>
          </w:p>
          <w:p w14:paraId="656B1649" w14:textId="77777777" w:rsidR="00686093" w:rsidRDefault="00686093" w:rsidP="00040A06">
            <w:pPr>
              <w:spacing w:after="0"/>
              <w:rPr>
                <w:rFonts w:cs="Segoe UI Light"/>
                <w:sz w:val="18"/>
              </w:rPr>
            </w:pPr>
          </w:p>
          <w:p w14:paraId="656B164A" w14:textId="77777777" w:rsidR="00686093" w:rsidRDefault="00686093" w:rsidP="00040A06">
            <w:pPr>
              <w:spacing w:after="0"/>
              <w:rPr>
                <w:rFonts w:cs="Segoe UI Light"/>
                <w:sz w:val="18"/>
              </w:rPr>
            </w:pPr>
          </w:p>
          <w:p w14:paraId="656B164B" w14:textId="77777777" w:rsidR="00686093" w:rsidRDefault="00686093" w:rsidP="00040A06">
            <w:pPr>
              <w:spacing w:after="0"/>
              <w:rPr>
                <w:rFonts w:cs="Segoe UI Light"/>
                <w:sz w:val="18"/>
              </w:rPr>
            </w:pPr>
          </w:p>
          <w:p w14:paraId="656B164C" w14:textId="77777777" w:rsidR="00CD251B" w:rsidRDefault="00CD251B" w:rsidP="00040A06">
            <w:pPr>
              <w:spacing w:after="0"/>
              <w:rPr>
                <w:rFonts w:cs="Segoe UI Light"/>
                <w:sz w:val="18"/>
              </w:rPr>
            </w:pPr>
          </w:p>
          <w:p w14:paraId="656B164D" w14:textId="77777777" w:rsidR="00D23978" w:rsidRDefault="00D23978" w:rsidP="00040A06">
            <w:pPr>
              <w:spacing w:after="0"/>
              <w:rPr>
                <w:rFonts w:cs="Segoe UI Light"/>
                <w:sz w:val="18"/>
              </w:rPr>
            </w:pPr>
          </w:p>
          <w:p w14:paraId="656B164E" w14:textId="77777777" w:rsidR="00D23978" w:rsidRDefault="00D23978" w:rsidP="00040A06">
            <w:pPr>
              <w:spacing w:after="0"/>
              <w:rPr>
                <w:rFonts w:cs="Segoe UI Light"/>
                <w:sz w:val="18"/>
              </w:rPr>
            </w:pPr>
          </w:p>
          <w:p w14:paraId="656B164F" w14:textId="77777777" w:rsidR="00A07276" w:rsidRDefault="00A07276" w:rsidP="00040A06">
            <w:pPr>
              <w:spacing w:after="0"/>
              <w:rPr>
                <w:rFonts w:cs="Segoe UI Light"/>
                <w:sz w:val="18"/>
              </w:rPr>
            </w:pPr>
          </w:p>
          <w:p w14:paraId="656B1650" w14:textId="77777777" w:rsidR="00F42A8C" w:rsidRPr="00040A06" w:rsidRDefault="00B7667F" w:rsidP="00040A06">
            <w:pPr>
              <w:spacing w:after="0"/>
              <w:rPr>
                <w:rFonts w:cs="Segoe UI Light"/>
                <w:sz w:val="18"/>
              </w:rPr>
            </w:pPr>
            <w:r>
              <w:rPr>
                <w:rFonts w:cs="Segoe UI Light"/>
                <w:sz w:val="18"/>
              </w:rPr>
              <w:t>Council cleaning costs – available but not at</w:t>
            </w:r>
            <w:r w:rsidR="00686093">
              <w:rPr>
                <w:rFonts w:cs="Segoe UI Light"/>
                <w:sz w:val="18"/>
              </w:rPr>
              <w:t xml:space="preserve"> disaggregated</w:t>
            </w:r>
            <w:r>
              <w:rPr>
                <w:rFonts w:cs="Segoe UI Light"/>
                <w:sz w:val="18"/>
              </w:rPr>
              <w:t xml:space="preserve"> level of plastic bags</w:t>
            </w:r>
          </w:p>
        </w:tc>
      </w:tr>
      <w:tr w:rsidR="00F42A8C" w:rsidRPr="00947320" w14:paraId="656B165F" w14:textId="77777777" w:rsidTr="00040A06">
        <w:trPr>
          <w:trHeight w:val="1308"/>
        </w:trPr>
        <w:tc>
          <w:tcPr>
            <w:tcW w:w="1212" w:type="pct"/>
          </w:tcPr>
          <w:p w14:paraId="656B1652" w14:textId="77777777" w:rsidR="00F42A8C" w:rsidRDefault="00F42A8C" w:rsidP="00B41D79">
            <w:pPr>
              <w:spacing w:after="0"/>
              <w:rPr>
                <w:rFonts w:cs="Segoe UI Light"/>
                <w:sz w:val="18"/>
              </w:rPr>
            </w:pPr>
            <w:r>
              <w:rPr>
                <w:rFonts w:cs="Segoe UI Light"/>
                <w:sz w:val="18"/>
              </w:rPr>
              <w:t>Air</w:t>
            </w:r>
          </w:p>
        </w:tc>
        <w:tc>
          <w:tcPr>
            <w:tcW w:w="2046" w:type="pct"/>
          </w:tcPr>
          <w:p w14:paraId="656B1653" w14:textId="77777777" w:rsidR="00F42A8C" w:rsidRDefault="00F42A8C" w:rsidP="004A2442">
            <w:pPr>
              <w:pStyle w:val="ListParagraph"/>
              <w:numPr>
                <w:ilvl w:val="0"/>
                <w:numId w:val="48"/>
              </w:numPr>
              <w:spacing w:after="0"/>
              <w:ind w:left="280" w:hanging="280"/>
              <w:rPr>
                <w:rFonts w:cs="Segoe UI Light"/>
                <w:sz w:val="18"/>
              </w:rPr>
            </w:pPr>
            <w:r w:rsidRPr="00D85A7F">
              <w:rPr>
                <w:rFonts w:cs="Segoe UI Light"/>
                <w:sz w:val="18"/>
              </w:rPr>
              <w:t>Reduce emissions of highly hazardous air pollutants</w:t>
            </w:r>
          </w:p>
          <w:p w14:paraId="656B1654" w14:textId="77777777" w:rsidR="00F42A8C" w:rsidRPr="00D85A7F" w:rsidRDefault="00F42A8C" w:rsidP="004A2442">
            <w:pPr>
              <w:pStyle w:val="ListParagraph"/>
              <w:numPr>
                <w:ilvl w:val="1"/>
                <w:numId w:val="48"/>
              </w:numPr>
              <w:spacing w:after="0"/>
              <w:ind w:left="563" w:right="284" w:hanging="283"/>
              <w:rPr>
                <w:rFonts w:cs="Segoe UI Light"/>
                <w:sz w:val="18"/>
              </w:rPr>
            </w:pPr>
            <w:r>
              <w:rPr>
                <w:rFonts w:cs="Segoe UI Light"/>
                <w:sz w:val="18"/>
              </w:rPr>
              <w:t>Level of particle pollution in air</w:t>
            </w:r>
          </w:p>
          <w:p w14:paraId="656B1655" w14:textId="77777777" w:rsidR="00F42A8C" w:rsidRPr="00204BE2" w:rsidRDefault="00F42A8C" w:rsidP="004A2442">
            <w:pPr>
              <w:pStyle w:val="ListParagraph"/>
              <w:numPr>
                <w:ilvl w:val="0"/>
                <w:numId w:val="48"/>
              </w:numPr>
              <w:spacing w:after="0"/>
              <w:ind w:left="280" w:hanging="280"/>
              <w:rPr>
                <w:rFonts w:cs="Segoe UI Light"/>
                <w:sz w:val="18"/>
              </w:rPr>
            </w:pPr>
            <w:r w:rsidRPr="00D85A7F">
              <w:rPr>
                <w:rFonts w:cs="Segoe UI Light"/>
                <w:sz w:val="18"/>
              </w:rPr>
              <w:t>Meet standards for the manufacture and/or sale of solid fuel heaters</w:t>
            </w:r>
          </w:p>
          <w:p w14:paraId="656B1656" w14:textId="77777777" w:rsidR="00B7667F" w:rsidRPr="00005F17" w:rsidRDefault="00B7667F" w:rsidP="004A2442">
            <w:pPr>
              <w:pStyle w:val="ListParagraph"/>
              <w:numPr>
                <w:ilvl w:val="1"/>
                <w:numId w:val="48"/>
              </w:numPr>
              <w:spacing w:after="0"/>
              <w:ind w:left="563" w:right="284" w:hanging="283"/>
              <w:rPr>
                <w:rFonts w:cs="Segoe UI Light"/>
                <w:sz w:val="18"/>
              </w:rPr>
            </w:pPr>
            <w:r>
              <w:rPr>
                <w:rFonts w:cs="Segoe UI Light"/>
                <w:sz w:val="18"/>
              </w:rPr>
              <w:t>Level of particle</w:t>
            </w:r>
            <w:r w:rsidR="00F42A8C">
              <w:rPr>
                <w:rFonts w:cs="Segoe UI Light"/>
                <w:sz w:val="18"/>
              </w:rPr>
              <w:t xml:space="preserve"> pollution in air</w:t>
            </w:r>
          </w:p>
        </w:tc>
        <w:tc>
          <w:tcPr>
            <w:tcW w:w="607" w:type="pct"/>
          </w:tcPr>
          <w:p w14:paraId="656B1657" w14:textId="77777777" w:rsidR="00F42A8C" w:rsidRDefault="00B7667F" w:rsidP="00040A06">
            <w:pPr>
              <w:spacing w:after="0"/>
              <w:rPr>
                <w:rFonts w:cs="Segoe UI Light"/>
                <w:sz w:val="18"/>
              </w:rPr>
            </w:pPr>
            <w:r>
              <w:rPr>
                <w:rFonts w:cs="Segoe UI Light"/>
                <w:sz w:val="18"/>
              </w:rPr>
              <w:t>Output</w:t>
            </w:r>
          </w:p>
          <w:p w14:paraId="656B1658" w14:textId="77777777" w:rsidR="00B7667F" w:rsidRDefault="00B7667F" w:rsidP="00040A06">
            <w:pPr>
              <w:spacing w:after="0"/>
              <w:rPr>
                <w:rFonts w:cs="Segoe UI Light"/>
                <w:sz w:val="18"/>
              </w:rPr>
            </w:pPr>
          </w:p>
          <w:p w14:paraId="656B1659" w14:textId="77777777" w:rsidR="00B7667F" w:rsidRDefault="00B7667F" w:rsidP="00040A06">
            <w:pPr>
              <w:spacing w:after="0"/>
              <w:rPr>
                <w:rFonts w:cs="Segoe UI Light"/>
                <w:sz w:val="18"/>
              </w:rPr>
            </w:pPr>
          </w:p>
          <w:p w14:paraId="656B165A" w14:textId="77777777" w:rsidR="00B7667F" w:rsidRPr="00040A06" w:rsidRDefault="00B7667F" w:rsidP="00040A06">
            <w:pPr>
              <w:spacing w:after="0"/>
              <w:rPr>
                <w:rFonts w:cs="Segoe UI Light"/>
                <w:sz w:val="18"/>
              </w:rPr>
            </w:pPr>
            <w:r>
              <w:rPr>
                <w:rFonts w:cs="Segoe UI Light"/>
                <w:sz w:val="18"/>
              </w:rPr>
              <w:t>Output</w:t>
            </w:r>
          </w:p>
        </w:tc>
        <w:tc>
          <w:tcPr>
            <w:tcW w:w="1135" w:type="pct"/>
          </w:tcPr>
          <w:p w14:paraId="656B165B" w14:textId="77777777" w:rsidR="00B7667F" w:rsidRDefault="00D65C11" w:rsidP="00040A06">
            <w:pPr>
              <w:spacing w:after="0"/>
              <w:rPr>
                <w:rFonts w:cs="Segoe UI Light"/>
                <w:sz w:val="18"/>
              </w:rPr>
            </w:pPr>
            <w:r>
              <w:rPr>
                <w:rFonts w:cs="Segoe UI Light"/>
                <w:sz w:val="18"/>
              </w:rPr>
              <w:t xml:space="preserve">Existing data available </w:t>
            </w:r>
          </w:p>
          <w:p w14:paraId="656B165C" w14:textId="77777777" w:rsidR="00B7667F" w:rsidRDefault="00B7667F" w:rsidP="00040A06">
            <w:pPr>
              <w:spacing w:after="0"/>
              <w:rPr>
                <w:rFonts w:cs="Segoe UI Light"/>
                <w:sz w:val="18"/>
              </w:rPr>
            </w:pPr>
          </w:p>
          <w:p w14:paraId="656B165D" w14:textId="77777777" w:rsidR="00D65C11" w:rsidRDefault="00D65C11" w:rsidP="00040A06">
            <w:pPr>
              <w:spacing w:after="0"/>
              <w:rPr>
                <w:rFonts w:cs="Segoe UI Light"/>
                <w:sz w:val="18"/>
              </w:rPr>
            </w:pPr>
          </w:p>
          <w:p w14:paraId="656B165E" w14:textId="77777777" w:rsidR="00F42A8C" w:rsidRPr="00040A06" w:rsidRDefault="00D65C11" w:rsidP="00040A06">
            <w:pPr>
              <w:spacing w:after="0"/>
              <w:rPr>
                <w:rFonts w:cs="Segoe UI Light"/>
                <w:sz w:val="18"/>
              </w:rPr>
            </w:pPr>
            <w:r>
              <w:rPr>
                <w:rFonts w:cs="Segoe UI Light"/>
                <w:sz w:val="18"/>
              </w:rPr>
              <w:t>Existing data available</w:t>
            </w:r>
          </w:p>
        </w:tc>
      </w:tr>
      <w:tr w:rsidR="00F42A8C" w:rsidRPr="00947320" w14:paraId="656B1665" w14:textId="77777777" w:rsidTr="00040A06">
        <w:trPr>
          <w:trHeight w:val="1308"/>
        </w:trPr>
        <w:tc>
          <w:tcPr>
            <w:tcW w:w="1212" w:type="pct"/>
          </w:tcPr>
          <w:p w14:paraId="656B1660" w14:textId="77777777" w:rsidR="00F42A8C" w:rsidRDefault="00F42A8C" w:rsidP="00B41D79">
            <w:pPr>
              <w:spacing w:after="0"/>
              <w:rPr>
                <w:rFonts w:cs="Segoe UI Light"/>
                <w:sz w:val="18"/>
              </w:rPr>
            </w:pPr>
            <w:r>
              <w:rPr>
                <w:rFonts w:cs="Segoe UI Light"/>
                <w:sz w:val="18"/>
              </w:rPr>
              <w:t>Water</w:t>
            </w:r>
          </w:p>
        </w:tc>
        <w:tc>
          <w:tcPr>
            <w:tcW w:w="2046" w:type="pct"/>
          </w:tcPr>
          <w:p w14:paraId="656B1661" w14:textId="77777777" w:rsidR="00F42A8C" w:rsidRPr="00204BE2" w:rsidRDefault="00F42A8C" w:rsidP="004A2442">
            <w:pPr>
              <w:pStyle w:val="ListParagraph"/>
              <w:numPr>
                <w:ilvl w:val="0"/>
                <w:numId w:val="48"/>
              </w:numPr>
              <w:spacing w:after="0"/>
              <w:ind w:left="280" w:hanging="280"/>
              <w:rPr>
                <w:rFonts w:cs="Segoe UI Light"/>
                <w:sz w:val="18"/>
              </w:rPr>
            </w:pPr>
            <w:r w:rsidRPr="00D85A7F">
              <w:rPr>
                <w:rFonts w:cs="Segoe UI Light"/>
                <w:sz w:val="18"/>
              </w:rPr>
              <w:t>Reducing vessel discharge into waters</w:t>
            </w:r>
          </w:p>
          <w:p w14:paraId="656B1662" w14:textId="77777777" w:rsidR="00686093" w:rsidRPr="00040A06" w:rsidRDefault="00F42A8C" w:rsidP="004A2442">
            <w:pPr>
              <w:pStyle w:val="ListParagraph"/>
              <w:numPr>
                <w:ilvl w:val="1"/>
                <w:numId w:val="48"/>
              </w:numPr>
              <w:spacing w:after="0"/>
              <w:ind w:left="563" w:right="284" w:hanging="283"/>
              <w:rPr>
                <w:rFonts w:cs="Segoe UI Light"/>
                <w:i/>
                <w:sz w:val="18"/>
              </w:rPr>
            </w:pPr>
            <w:r w:rsidRPr="00D85A7F">
              <w:rPr>
                <w:rFonts w:cs="Segoe UI Light"/>
                <w:sz w:val="18"/>
              </w:rPr>
              <w:t>Number of recorded incidents of illegal waste dumping, remedial notices, official warnings, investigations and prosecutions.</w:t>
            </w:r>
          </w:p>
        </w:tc>
        <w:tc>
          <w:tcPr>
            <w:tcW w:w="607" w:type="pct"/>
          </w:tcPr>
          <w:p w14:paraId="656B1663" w14:textId="77777777" w:rsidR="00F42A8C" w:rsidRPr="00040A06" w:rsidRDefault="00B17B9F" w:rsidP="00040A06">
            <w:pPr>
              <w:spacing w:after="0"/>
              <w:rPr>
                <w:rFonts w:cs="Segoe UI Light"/>
                <w:sz w:val="18"/>
              </w:rPr>
            </w:pPr>
            <w:r>
              <w:rPr>
                <w:rFonts w:cs="Segoe UI Light"/>
                <w:sz w:val="18"/>
              </w:rPr>
              <w:t>Output</w:t>
            </w:r>
          </w:p>
        </w:tc>
        <w:tc>
          <w:tcPr>
            <w:tcW w:w="1135" w:type="pct"/>
          </w:tcPr>
          <w:p w14:paraId="656B1664" w14:textId="77777777" w:rsidR="00F42A8C" w:rsidRPr="00040A06" w:rsidRDefault="00686093" w:rsidP="00040A06">
            <w:pPr>
              <w:spacing w:after="0"/>
              <w:rPr>
                <w:rFonts w:cs="Segoe UI Light"/>
                <w:sz w:val="18"/>
              </w:rPr>
            </w:pPr>
            <w:r>
              <w:rPr>
                <w:rFonts w:cs="Segoe UI Light"/>
                <w:sz w:val="18"/>
              </w:rPr>
              <w:t>Not currently available at disaggregated level of vessel discharge offences</w:t>
            </w:r>
          </w:p>
        </w:tc>
      </w:tr>
      <w:tr w:rsidR="00E92B8E" w:rsidRPr="00947320" w14:paraId="656B166C" w14:textId="77777777" w:rsidTr="000E7C5E">
        <w:trPr>
          <w:trHeight w:val="795"/>
        </w:trPr>
        <w:tc>
          <w:tcPr>
            <w:tcW w:w="1212" w:type="pct"/>
          </w:tcPr>
          <w:p w14:paraId="656B1666" w14:textId="77777777" w:rsidR="00E92B8E" w:rsidRPr="00204BE2" w:rsidRDefault="00F42A8C" w:rsidP="00B41D79">
            <w:pPr>
              <w:rPr>
                <w:rFonts w:cs="Segoe UI Light"/>
                <w:sz w:val="18"/>
              </w:rPr>
            </w:pPr>
            <w:r>
              <w:rPr>
                <w:rFonts w:cs="Segoe UI Light"/>
                <w:sz w:val="18"/>
              </w:rPr>
              <w:t>Noise</w:t>
            </w:r>
          </w:p>
        </w:tc>
        <w:tc>
          <w:tcPr>
            <w:tcW w:w="2046" w:type="pct"/>
          </w:tcPr>
          <w:p w14:paraId="656B1667" w14:textId="77777777" w:rsidR="00CD251B" w:rsidRDefault="00464578" w:rsidP="000E7C5E">
            <w:pPr>
              <w:pStyle w:val="ListParagraph"/>
              <w:numPr>
                <w:ilvl w:val="0"/>
                <w:numId w:val="48"/>
              </w:numPr>
              <w:spacing w:after="0"/>
              <w:ind w:left="280" w:hanging="280"/>
              <w:rPr>
                <w:rFonts w:cs="Segoe UI Light"/>
                <w:sz w:val="18"/>
              </w:rPr>
            </w:pPr>
            <w:r>
              <w:rPr>
                <w:rFonts w:cs="Segoe UI Light"/>
                <w:sz w:val="18"/>
              </w:rPr>
              <w:t>Compilation of n</w:t>
            </w:r>
            <w:r w:rsidR="00CD251B" w:rsidRPr="00D85A7F">
              <w:rPr>
                <w:rFonts w:cs="Segoe UI Light"/>
                <w:sz w:val="18"/>
              </w:rPr>
              <w:t xml:space="preserve">oise pollution </w:t>
            </w:r>
            <w:r w:rsidR="00CD251B">
              <w:rPr>
                <w:rFonts w:cs="Segoe UI Light"/>
                <w:sz w:val="18"/>
              </w:rPr>
              <w:t xml:space="preserve">complaints and </w:t>
            </w:r>
            <w:r w:rsidR="00CD251B" w:rsidRPr="00D85A7F">
              <w:rPr>
                <w:rFonts w:cs="Segoe UI Light"/>
                <w:sz w:val="18"/>
              </w:rPr>
              <w:t>reports</w:t>
            </w:r>
            <w:r>
              <w:rPr>
                <w:rFonts w:cs="Segoe UI Light"/>
                <w:sz w:val="18"/>
              </w:rPr>
              <w:t xml:space="preserve"> across EPA, Victoria Police, local councils, and the </w:t>
            </w:r>
            <w:r w:rsidRPr="000E7C5E">
              <w:rPr>
                <w:rFonts w:cs="Segoe UI Light"/>
                <w:sz w:val="18"/>
              </w:rPr>
              <w:t>Victorian Commission for Gambling and Liquor Regulation</w:t>
            </w:r>
            <w:r w:rsidR="00CD251B">
              <w:rPr>
                <w:rFonts w:cs="Segoe UI Light"/>
                <w:sz w:val="18"/>
              </w:rPr>
              <w:t>.</w:t>
            </w:r>
          </w:p>
          <w:p w14:paraId="656B1668" w14:textId="77777777" w:rsidR="00E92B8E" w:rsidRPr="00204BE2" w:rsidRDefault="00CD251B" w:rsidP="000E7C5E">
            <w:pPr>
              <w:pStyle w:val="ListParagraph"/>
              <w:numPr>
                <w:ilvl w:val="0"/>
                <w:numId w:val="48"/>
              </w:numPr>
              <w:spacing w:after="0"/>
              <w:ind w:left="280" w:hanging="280"/>
            </w:pPr>
            <w:r w:rsidRPr="000E7C5E">
              <w:rPr>
                <w:rFonts w:cs="Segoe UI Light"/>
                <w:sz w:val="18"/>
              </w:rPr>
              <w:t>Sources of noise affecting Victorians.</w:t>
            </w:r>
          </w:p>
        </w:tc>
        <w:tc>
          <w:tcPr>
            <w:tcW w:w="607" w:type="pct"/>
          </w:tcPr>
          <w:p w14:paraId="656B1669" w14:textId="77777777" w:rsidR="00C22DA3" w:rsidRPr="000E7C5E" w:rsidRDefault="00CD251B" w:rsidP="00B41D79">
            <w:pPr>
              <w:spacing w:after="0"/>
              <w:rPr>
                <w:rFonts w:cs="Segoe UI Light"/>
                <w:sz w:val="18"/>
              </w:rPr>
            </w:pPr>
            <w:r>
              <w:rPr>
                <w:rFonts w:cs="Segoe UI Light"/>
                <w:sz w:val="18"/>
              </w:rPr>
              <w:t>Output</w:t>
            </w:r>
          </w:p>
        </w:tc>
        <w:tc>
          <w:tcPr>
            <w:tcW w:w="1135" w:type="pct"/>
          </w:tcPr>
          <w:p w14:paraId="656B166A" w14:textId="77777777" w:rsidR="00CD251B" w:rsidRDefault="00CD251B" w:rsidP="00B41D79">
            <w:pPr>
              <w:spacing w:after="0"/>
              <w:rPr>
                <w:rFonts w:cs="Segoe UI Light"/>
                <w:sz w:val="18"/>
              </w:rPr>
            </w:pPr>
            <w:r>
              <w:rPr>
                <w:rFonts w:cs="Segoe UI Light"/>
                <w:sz w:val="18"/>
              </w:rPr>
              <w:t>Existing data available.</w:t>
            </w:r>
          </w:p>
          <w:p w14:paraId="656B166B" w14:textId="77777777" w:rsidR="00C22DA3" w:rsidRPr="000E7C5E" w:rsidRDefault="00CD251B" w:rsidP="00B41D79">
            <w:pPr>
              <w:spacing w:after="0"/>
              <w:rPr>
                <w:rFonts w:cs="Segoe UI Light"/>
                <w:sz w:val="18"/>
              </w:rPr>
            </w:pPr>
            <w:r>
              <w:rPr>
                <w:rFonts w:cs="Segoe UI Light"/>
                <w:sz w:val="18"/>
              </w:rPr>
              <w:t>Surveys conducted by EPA on a regular basis.</w:t>
            </w:r>
          </w:p>
        </w:tc>
      </w:tr>
      <w:tr w:rsidR="00F42A8C" w:rsidRPr="00947320" w14:paraId="656B1672" w14:textId="77777777" w:rsidTr="000E7C5E">
        <w:trPr>
          <w:trHeight w:val="569"/>
        </w:trPr>
        <w:tc>
          <w:tcPr>
            <w:tcW w:w="1212" w:type="pct"/>
          </w:tcPr>
          <w:p w14:paraId="656B166D" w14:textId="77777777" w:rsidR="00F42A8C" w:rsidRDefault="00F42A8C" w:rsidP="00B41D79">
            <w:pPr>
              <w:rPr>
                <w:rFonts w:cs="Segoe UI Light"/>
                <w:sz w:val="18"/>
              </w:rPr>
            </w:pPr>
            <w:r>
              <w:rPr>
                <w:rFonts w:cs="Segoe UI Light"/>
                <w:sz w:val="18"/>
              </w:rPr>
              <w:t>Vehicles emissions</w:t>
            </w:r>
          </w:p>
        </w:tc>
        <w:tc>
          <w:tcPr>
            <w:tcW w:w="2046" w:type="pct"/>
          </w:tcPr>
          <w:p w14:paraId="656B166E" w14:textId="77777777" w:rsidR="000D29F0" w:rsidRPr="000D29F0" w:rsidRDefault="000D29F0" w:rsidP="000E7C5E">
            <w:pPr>
              <w:pStyle w:val="ListParagraph"/>
              <w:numPr>
                <w:ilvl w:val="0"/>
                <w:numId w:val="48"/>
              </w:numPr>
              <w:spacing w:after="0"/>
              <w:ind w:left="280" w:hanging="280"/>
              <w:rPr>
                <w:rFonts w:cs="Segoe UI Light"/>
                <w:sz w:val="18"/>
              </w:rPr>
            </w:pPr>
            <w:r>
              <w:rPr>
                <w:rFonts w:cs="Segoe UI Light"/>
                <w:sz w:val="18"/>
              </w:rPr>
              <w:t>Carbon monoxide emissions</w:t>
            </w:r>
          </w:p>
          <w:p w14:paraId="656B166F" w14:textId="77777777" w:rsidR="00F42A8C" w:rsidRPr="000E7C5E" w:rsidRDefault="000D29F0" w:rsidP="000E7C5E">
            <w:pPr>
              <w:pStyle w:val="ListParagraph"/>
              <w:numPr>
                <w:ilvl w:val="0"/>
                <w:numId w:val="48"/>
              </w:numPr>
              <w:spacing w:after="0"/>
              <w:ind w:left="280" w:hanging="280"/>
              <w:rPr>
                <w:rFonts w:cs="Segoe UI Light"/>
                <w:sz w:val="18"/>
              </w:rPr>
            </w:pPr>
            <w:r>
              <w:rPr>
                <w:rFonts w:cs="Segoe UI Light"/>
                <w:sz w:val="18"/>
              </w:rPr>
              <w:t>Nitrogen oxides</w:t>
            </w:r>
            <w:r w:rsidRPr="000D29F0">
              <w:rPr>
                <w:rFonts w:cs="Segoe UI Light"/>
                <w:sz w:val="18"/>
              </w:rPr>
              <w:t xml:space="preserve"> emissions.</w:t>
            </w:r>
          </w:p>
        </w:tc>
        <w:tc>
          <w:tcPr>
            <w:tcW w:w="607" w:type="pct"/>
          </w:tcPr>
          <w:p w14:paraId="656B1670" w14:textId="77777777" w:rsidR="00F42A8C" w:rsidRPr="000E7C5E" w:rsidRDefault="000D29F0" w:rsidP="00B41D79">
            <w:pPr>
              <w:spacing w:after="0"/>
              <w:rPr>
                <w:rFonts w:cs="Segoe UI Light"/>
                <w:sz w:val="18"/>
              </w:rPr>
            </w:pPr>
            <w:r>
              <w:rPr>
                <w:rFonts w:cs="Segoe UI Light"/>
                <w:sz w:val="18"/>
              </w:rPr>
              <w:t>Output</w:t>
            </w:r>
          </w:p>
        </w:tc>
        <w:tc>
          <w:tcPr>
            <w:tcW w:w="1135" w:type="pct"/>
          </w:tcPr>
          <w:p w14:paraId="656B1671" w14:textId="77777777" w:rsidR="00F42A8C" w:rsidRPr="000E7C5E" w:rsidRDefault="009A7661" w:rsidP="00B41D79">
            <w:pPr>
              <w:spacing w:after="0"/>
              <w:rPr>
                <w:rFonts w:cs="Segoe UI Light"/>
                <w:sz w:val="18"/>
              </w:rPr>
            </w:pPr>
            <w:r w:rsidRPr="000E7C5E">
              <w:rPr>
                <w:rFonts w:cs="Segoe UI Light"/>
                <w:sz w:val="18"/>
              </w:rPr>
              <w:t>Existing data available</w:t>
            </w:r>
            <w:r>
              <w:rPr>
                <w:rFonts w:cs="Segoe UI Light"/>
                <w:sz w:val="18"/>
              </w:rPr>
              <w:t>.</w:t>
            </w:r>
          </w:p>
        </w:tc>
      </w:tr>
      <w:tr w:rsidR="00E92B8E" w:rsidRPr="00947320" w14:paraId="656B1679" w14:textId="77777777" w:rsidTr="00040A06">
        <w:trPr>
          <w:trHeight w:val="523"/>
        </w:trPr>
        <w:tc>
          <w:tcPr>
            <w:tcW w:w="1212" w:type="pct"/>
          </w:tcPr>
          <w:p w14:paraId="656B1673" w14:textId="77777777" w:rsidR="00E92B8E" w:rsidRPr="00204BE2" w:rsidRDefault="00E92B8E" w:rsidP="00B41D79">
            <w:pPr>
              <w:spacing w:after="0"/>
              <w:rPr>
                <w:rFonts w:cs="Segoe UI Light"/>
                <w:sz w:val="18"/>
              </w:rPr>
            </w:pPr>
            <w:r w:rsidRPr="00D85A7F">
              <w:rPr>
                <w:rFonts w:cs="Segoe UI Light"/>
                <w:sz w:val="18"/>
              </w:rPr>
              <w:t xml:space="preserve">To what extent do duty holders and permission holders understand their duties and obligations under the new framework and how they may comply with </w:t>
            </w:r>
            <w:r w:rsidR="00AC64E3">
              <w:rPr>
                <w:rFonts w:cs="Segoe UI Light"/>
                <w:sz w:val="18"/>
              </w:rPr>
              <w:t>proposed Regulations</w:t>
            </w:r>
            <w:r w:rsidRPr="00D85A7F">
              <w:rPr>
                <w:rFonts w:cs="Segoe UI Light"/>
                <w:sz w:val="18"/>
              </w:rPr>
              <w:t>?</w:t>
            </w:r>
          </w:p>
        </w:tc>
        <w:tc>
          <w:tcPr>
            <w:tcW w:w="2046" w:type="pct"/>
          </w:tcPr>
          <w:p w14:paraId="656B1674" w14:textId="77777777" w:rsidR="00E92B8E" w:rsidRPr="00E92E4D" w:rsidRDefault="00E92B8E" w:rsidP="00040A06">
            <w:pPr>
              <w:spacing w:after="0"/>
              <w:rPr>
                <w:rFonts w:cs="Segoe UI Light"/>
                <w:sz w:val="18"/>
              </w:rPr>
            </w:pPr>
            <w:r w:rsidRPr="00E92E4D">
              <w:rPr>
                <w:rFonts w:cs="Segoe UI Light"/>
                <w:sz w:val="18"/>
              </w:rPr>
              <w:t>Qualitative analysis based on stakeholder consultation feedback. Consultation could request information on:</w:t>
            </w:r>
          </w:p>
          <w:p w14:paraId="656B1675" w14:textId="77777777" w:rsidR="00E92B8E" w:rsidRPr="00204BE2" w:rsidRDefault="00E92B8E" w:rsidP="004A2442">
            <w:pPr>
              <w:pStyle w:val="ListParagraph"/>
              <w:numPr>
                <w:ilvl w:val="1"/>
                <w:numId w:val="48"/>
              </w:numPr>
              <w:spacing w:after="0"/>
              <w:ind w:left="563" w:right="284" w:hanging="283"/>
              <w:rPr>
                <w:rFonts w:cs="Segoe UI Light"/>
                <w:sz w:val="18"/>
              </w:rPr>
            </w:pPr>
            <w:r w:rsidRPr="00D85A7F">
              <w:rPr>
                <w:rFonts w:cs="Segoe UI Light"/>
                <w:sz w:val="18"/>
              </w:rPr>
              <w:t>Proportion of businesses that sought EPA advice, professional/expert advice or advice from professional/industry organisations.</w:t>
            </w:r>
          </w:p>
          <w:p w14:paraId="656B1676" w14:textId="77777777" w:rsidR="00E92B8E" w:rsidRPr="00204BE2" w:rsidRDefault="00E92B8E" w:rsidP="004A2442">
            <w:pPr>
              <w:pStyle w:val="ListParagraph"/>
              <w:numPr>
                <w:ilvl w:val="1"/>
                <w:numId w:val="48"/>
              </w:numPr>
              <w:spacing w:after="0"/>
              <w:ind w:left="563" w:right="284" w:hanging="283"/>
              <w:rPr>
                <w:rFonts w:cs="Segoe UI Light"/>
                <w:sz w:val="18"/>
              </w:rPr>
            </w:pPr>
            <w:r w:rsidRPr="00D85A7F">
              <w:rPr>
                <w:rFonts w:cs="Segoe UI Light"/>
                <w:sz w:val="18"/>
              </w:rPr>
              <w:t>Estimated costs per businesses of seeking such advice.</w:t>
            </w:r>
          </w:p>
        </w:tc>
        <w:tc>
          <w:tcPr>
            <w:tcW w:w="607" w:type="pct"/>
          </w:tcPr>
          <w:p w14:paraId="656B1677" w14:textId="77777777" w:rsidR="00C22DA3" w:rsidRPr="000E7C5E" w:rsidRDefault="00E92E4D" w:rsidP="00040A06">
            <w:pPr>
              <w:spacing w:after="0"/>
              <w:rPr>
                <w:rFonts w:cs="Segoe UI Light"/>
                <w:sz w:val="18"/>
              </w:rPr>
            </w:pPr>
            <w:r w:rsidRPr="000E7C5E">
              <w:rPr>
                <w:rFonts w:cs="Segoe UI Light"/>
                <w:sz w:val="18"/>
              </w:rPr>
              <w:t>Output</w:t>
            </w:r>
          </w:p>
        </w:tc>
        <w:tc>
          <w:tcPr>
            <w:tcW w:w="1135" w:type="pct"/>
          </w:tcPr>
          <w:p w14:paraId="656B1678" w14:textId="77777777" w:rsidR="00C22DA3" w:rsidRPr="000E7C5E" w:rsidRDefault="00E92E4D" w:rsidP="00040A06">
            <w:pPr>
              <w:spacing w:after="0"/>
              <w:rPr>
                <w:rFonts w:cs="Segoe UI Light"/>
                <w:sz w:val="18"/>
              </w:rPr>
            </w:pPr>
            <w:r w:rsidRPr="000E7C5E">
              <w:rPr>
                <w:rFonts w:cs="Segoe UI Light"/>
                <w:sz w:val="18"/>
              </w:rPr>
              <w:t xml:space="preserve">Not currently available. For future evaluations </w:t>
            </w:r>
            <w:r w:rsidR="00D23978">
              <w:rPr>
                <w:rFonts w:cs="Segoe UI Light"/>
                <w:sz w:val="18"/>
              </w:rPr>
              <w:t xml:space="preserve">will </w:t>
            </w:r>
            <w:r w:rsidRPr="000E7C5E">
              <w:rPr>
                <w:rFonts w:cs="Segoe UI Light"/>
                <w:sz w:val="18"/>
              </w:rPr>
              <w:t>need to be collected via stakeholder consultation</w:t>
            </w:r>
            <w:r w:rsidR="008E605C">
              <w:rPr>
                <w:rFonts w:cs="Segoe UI Light"/>
                <w:sz w:val="18"/>
              </w:rPr>
              <w:t xml:space="preserve"> (through </w:t>
            </w:r>
            <w:r w:rsidR="00C36104">
              <w:rPr>
                <w:rFonts w:cs="Segoe UI Light"/>
                <w:sz w:val="18"/>
              </w:rPr>
              <w:t>duty holder direct contact with EPA or through ongoing interaction with EPA’s Industry Reference Groups)</w:t>
            </w:r>
            <w:r w:rsidRPr="000E7C5E">
              <w:rPr>
                <w:rFonts w:cs="Segoe UI Light"/>
                <w:sz w:val="18"/>
              </w:rPr>
              <w:t xml:space="preserve">. </w:t>
            </w:r>
          </w:p>
        </w:tc>
      </w:tr>
      <w:tr w:rsidR="00E92B8E" w:rsidRPr="00947320" w14:paraId="656B167E" w14:textId="77777777" w:rsidTr="00040A06">
        <w:trPr>
          <w:trHeight w:val="523"/>
        </w:trPr>
        <w:tc>
          <w:tcPr>
            <w:tcW w:w="1212" w:type="pct"/>
          </w:tcPr>
          <w:p w14:paraId="656B167A" w14:textId="77777777" w:rsidR="00E92B8E" w:rsidRPr="00204BE2" w:rsidRDefault="00E92B8E" w:rsidP="00B41D79">
            <w:pPr>
              <w:spacing w:after="0"/>
              <w:rPr>
                <w:rFonts w:cs="Segoe UI Light"/>
                <w:sz w:val="18"/>
              </w:rPr>
            </w:pPr>
            <w:r w:rsidRPr="00D85A7F">
              <w:rPr>
                <w:rFonts w:cs="Segoe UI Light"/>
                <w:sz w:val="18"/>
              </w:rPr>
              <w:t>To what extent do regulators (EPA and joint regulators) understand their administrative, compliance and enforcement responsibilities?</w:t>
            </w:r>
          </w:p>
        </w:tc>
        <w:tc>
          <w:tcPr>
            <w:tcW w:w="2046" w:type="pct"/>
          </w:tcPr>
          <w:p w14:paraId="656B167B" w14:textId="77777777" w:rsidR="00E92B8E" w:rsidRPr="00204BE2" w:rsidRDefault="00E92B8E" w:rsidP="004A2442">
            <w:pPr>
              <w:pStyle w:val="ListParagraph"/>
              <w:numPr>
                <w:ilvl w:val="0"/>
                <w:numId w:val="48"/>
              </w:numPr>
              <w:spacing w:after="0"/>
              <w:ind w:left="280" w:hanging="280"/>
              <w:rPr>
                <w:rFonts w:cs="Segoe UI Light"/>
                <w:i/>
                <w:sz w:val="18"/>
              </w:rPr>
            </w:pPr>
            <w:r w:rsidRPr="00D85A7F">
              <w:rPr>
                <w:rFonts w:cs="Segoe UI Light"/>
                <w:sz w:val="18"/>
              </w:rPr>
              <w:t>Qualitative analysis based on stakeholder consultation feedback. Consultation could request information on cost of resources required to deliver regulatory role.</w:t>
            </w:r>
          </w:p>
        </w:tc>
        <w:tc>
          <w:tcPr>
            <w:tcW w:w="607" w:type="pct"/>
          </w:tcPr>
          <w:p w14:paraId="656B167C" w14:textId="77777777" w:rsidR="00C22DA3" w:rsidRPr="00D85A7F" w:rsidRDefault="00E92E4D" w:rsidP="00040A06">
            <w:pPr>
              <w:spacing w:after="0"/>
              <w:rPr>
                <w:rFonts w:cs="Segoe UI Light"/>
                <w:sz w:val="18"/>
              </w:rPr>
            </w:pPr>
            <w:r w:rsidRPr="000E7C5E">
              <w:rPr>
                <w:rFonts w:cs="Segoe UI Light"/>
                <w:sz w:val="18"/>
              </w:rPr>
              <w:t>Output</w:t>
            </w:r>
          </w:p>
        </w:tc>
        <w:tc>
          <w:tcPr>
            <w:tcW w:w="1135" w:type="pct"/>
          </w:tcPr>
          <w:p w14:paraId="656B167D" w14:textId="77777777" w:rsidR="00C22DA3" w:rsidRDefault="00E92E4D" w:rsidP="00F118E7">
            <w:pPr>
              <w:spacing w:after="0"/>
              <w:rPr>
                <w:rFonts w:cs="Segoe UI Light"/>
                <w:sz w:val="18"/>
              </w:rPr>
            </w:pPr>
            <w:r w:rsidRPr="000E7C5E">
              <w:rPr>
                <w:rFonts w:cs="Segoe UI Light"/>
                <w:sz w:val="18"/>
              </w:rPr>
              <w:t xml:space="preserve">Not currently available. For future evaluations </w:t>
            </w:r>
            <w:r w:rsidR="00D23978">
              <w:rPr>
                <w:rFonts w:cs="Segoe UI Light"/>
                <w:sz w:val="18"/>
              </w:rPr>
              <w:t xml:space="preserve">will </w:t>
            </w:r>
            <w:r w:rsidRPr="000E7C5E">
              <w:rPr>
                <w:rFonts w:cs="Segoe UI Light"/>
                <w:sz w:val="18"/>
              </w:rPr>
              <w:t>need to be collected via stakeholder consultation</w:t>
            </w:r>
            <w:r w:rsidR="00C36104">
              <w:rPr>
                <w:rFonts w:cs="Segoe UI Light"/>
                <w:sz w:val="18"/>
              </w:rPr>
              <w:t xml:space="preserve"> (through duty holder direct contact with EPA or through ongoing interaction with EPA’s Industry Reference Groups)</w:t>
            </w:r>
            <w:r w:rsidR="00C36104" w:rsidRPr="000E7C5E">
              <w:rPr>
                <w:rFonts w:cs="Segoe UI Light"/>
                <w:sz w:val="18"/>
              </w:rPr>
              <w:t>.</w:t>
            </w:r>
            <w:r w:rsidRPr="000E7C5E">
              <w:rPr>
                <w:rFonts w:cs="Segoe UI Light"/>
                <w:sz w:val="18"/>
              </w:rPr>
              <w:t xml:space="preserve"> </w:t>
            </w:r>
          </w:p>
        </w:tc>
      </w:tr>
      <w:tr w:rsidR="00E92B8E" w:rsidRPr="00947320" w14:paraId="656B1683" w14:textId="77777777" w:rsidTr="00040A06">
        <w:trPr>
          <w:trHeight w:val="265"/>
        </w:trPr>
        <w:tc>
          <w:tcPr>
            <w:tcW w:w="1212" w:type="pct"/>
          </w:tcPr>
          <w:p w14:paraId="656B167F" w14:textId="77777777" w:rsidR="00E92B8E" w:rsidRPr="00204BE2" w:rsidRDefault="00E92B8E" w:rsidP="00B41D79">
            <w:pPr>
              <w:rPr>
                <w:rFonts w:cs="Segoe UI Light"/>
                <w:b/>
                <w:sz w:val="18"/>
              </w:rPr>
            </w:pPr>
            <w:r w:rsidRPr="00D85A7F">
              <w:rPr>
                <w:rFonts w:cs="Segoe UI Light"/>
                <w:b/>
                <w:sz w:val="18"/>
              </w:rPr>
              <w:t>Regulatory burden</w:t>
            </w:r>
          </w:p>
        </w:tc>
        <w:tc>
          <w:tcPr>
            <w:tcW w:w="2046" w:type="pct"/>
          </w:tcPr>
          <w:p w14:paraId="656B1680" w14:textId="77777777" w:rsidR="00E92B8E" w:rsidRPr="00204BE2" w:rsidRDefault="00E92B8E" w:rsidP="00B41D79">
            <w:pPr>
              <w:spacing w:after="0"/>
              <w:rPr>
                <w:rFonts w:cs="Segoe UI Light"/>
                <w:b/>
                <w:sz w:val="18"/>
                <w:lang w:val="en-US"/>
              </w:rPr>
            </w:pPr>
          </w:p>
        </w:tc>
        <w:tc>
          <w:tcPr>
            <w:tcW w:w="607" w:type="pct"/>
          </w:tcPr>
          <w:p w14:paraId="656B1681" w14:textId="77777777" w:rsidR="00C22DA3" w:rsidRPr="00204BE2" w:rsidRDefault="00C22DA3" w:rsidP="00B41D79">
            <w:pPr>
              <w:spacing w:after="0"/>
              <w:rPr>
                <w:rFonts w:cs="Segoe UI Light"/>
                <w:b/>
                <w:sz w:val="18"/>
                <w:lang w:val="en-US"/>
              </w:rPr>
            </w:pPr>
          </w:p>
        </w:tc>
        <w:tc>
          <w:tcPr>
            <w:tcW w:w="1135" w:type="pct"/>
          </w:tcPr>
          <w:p w14:paraId="656B1682" w14:textId="77777777" w:rsidR="00C22DA3" w:rsidRDefault="00C22DA3" w:rsidP="00B41D79">
            <w:pPr>
              <w:spacing w:after="0"/>
              <w:rPr>
                <w:rFonts w:cs="Segoe UI Light"/>
                <w:b/>
                <w:sz w:val="18"/>
                <w:lang w:val="en-US"/>
              </w:rPr>
            </w:pPr>
          </w:p>
        </w:tc>
      </w:tr>
      <w:tr w:rsidR="00E92B8E" w:rsidRPr="00947320" w14:paraId="656B169E" w14:textId="77777777" w:rsidTr="00040A06">
        <w:trPr>
          <w:trHeight w:val="523"/>
        </w:trPr>
        <w:tc>
          <w:tcPr>
            <w:tcW w:w="1212" w:type="pct"/>
          </w:tcPr>
          <w:p w14:paraId="656B1684" w14:textId="77777777" w:rsidR="00E92B8E" w:rsidRPr="00204BE2" w:rsidRDefault="00E92B8E" w:rsidP="000E7C5E">
            <w:pPr>
              <w:spacing w:after="0"/>
              <w:ind w:right="143"/>
              <w:rPr>
                <w:rFonts w:cs="Segoe UI Light"/>
                <w:sz w:val="18"/>
              </w:rPr>
            </w:pPr>
            <w:r w:rsidRPr="00D85A7F">
              <w:rPr>
                <w:rFonts w:cs="Segoe UI Light"/>
                <w:sz w:val="18"/>
              </w:rPr>
              <w:t xml:space="preserve">To what extent has the cost of duty holders and permission holders meeting environment protection duties and obligations increased, decreased or not changed compared to the current framework? </w:t>
            </w:r>
          </w:p>
          <w:p w14:paraId="656B1685" w14:textId="77777777" w:rsidR="00D65C11" w:rsidRDefault="00D65C11" w:rsidP="000E7C5E">
            <w:pPr>
              <w:spacing w:after="0"/>
              <w:ind w:right="143"/>
              <w:rPr>
                <w:rFonts w:cs="Segoe UI Light"/>
                <w:sz w:val="18"/>
              </w:rPr>
            </w:pPr>
          </w:p>
          <w:p w14:paraId="656B1686" w14:textId="77777777" w:rsidR="00E92B8E" w:rsidRPr="00204BE2" w:rsidRDefault="00E92B8E" w:rsidP="000E7C5E">
            <w:pPr>
              <w:spacing w:after="0"/>
              <w:ind w:right="143"/>
              <w:rPr>
                <w:rFonts w:cs="Segoe UI Light"/>
                <w:sz w:val="18"/>
              </w:rPr>
            </w:pPr>
            <w:r w:rsidRPr="00D85A7F">
              <w:rPr>
                <w:rFonts w:cs="Segoe UI Light"/>
                <w:sz w:val="18"/>
              </w:rPr>
              <w:t xml:space="preserve">Compared to if just the </w:t>
            </w:r>
            <w:r w:rsidR="000D139E" w:rsidRPr="00D85A7F">
              <w:rPr>
                <w:rFonts w:cs="Segoe UI Light"/>
                <w:sz w:val="18"/>
              </w:rPr>
              <w:t>new EP legislation</w:t>
            </w:r>
            <w:r w:rsidRPr="00D85A7F">
              <w:rPr>
                <w:rFonts w:cs="Segoe UI Light"/>
                <w:sz w:val="18"/>
              </w:rPr>
              <w:t xml:space="preserve"> was in place, to what extent have proposed Regulations increased, decreased or not changed the costs of duty holders and permission holders meeting environment protection duties and obligations? </w:t>
            </w:r>
          </w:p>
        </w:tc>
        <w:tc>
          <w:tcPr>
            <w:tcW w:w="2046" w:type="pct"/>
          </w:tcPr>
          <w:p w14:paraId="656B1687" w14:textId="77777777" w:rsidR="00E92B8E" w:rsidRDefault="00E92B8E" w:rsidP="000E7C5E">
            <w:pPr>
              <w:pStyle w:val="ListParagraph"/>
              <w:numPr>
                <w:ilvl w:val="0"/>
                <w:numId w:val="48"/>
              </w:numPr>
              <w:spacing w:after="0"/>
              <w:ind w:left="280" w:hanging="280"/>
              <w:rPr>
                <w:rFonts w:cs="Segoe UI Light"/>
                <w:sz w:val="18"/>
              </w:rPr>
            </w:pPr>
            <w:r w:rsidRPr="00D85A7F">
              <w:rPr>
                <w:rFonts w:cs="Segoe UI Light"/>
                <w:sz w:val="18"/>
              </w:rPr>
              <w:t>Estimate</w:t>
            </w:r>
            <w:r w:rsidR="00D65C11">
              <w:rPr>
                <w:rFonts w:cs="Segoe UI Light"/>
                <w:sz w:val="18"/>
              </w:rPr>
              <w:t>d</w:t>
            </w:r>
            <w:r w:rsidRPr="00D85A7F">
              <w:rPr>
                <w:rFonts w:cs="Segoe UI Light"/>
                <w:sz w:val="18"/>
              </w:rPr>
              <w:t xml:space="preserve"> cost to meet obligations under current framework (EPA Act 1970) versus new framework, by area of regulation.</w:t>
            </w:r>
          </w:p>
          <w:p w14:paraId="656B1688" w14:textId="77777777" w:rsidR="00D65C11" w:rsidRPr="00204BE2" w:rsidRDefault="000D29F0" w:rsidP="000E7C5E">
            <w:pPr>
              <w:pStyle w:val="ListParagraph"/>
              <w:numPr>
                <w:ilvl w:val="0"/>
                <w:numId w:val="48"/>
              </w:numPr>
              <w:spacing w:after="0"/>
              <w:ind w:left="280" w:hanging="280"/>
              <w:rPr>
                <w:rFonts w:cs="Segoe UI Light"/>
                <w:sz w:val="18"/>
              </w:rPr>
            </w:pPr>
            <w:r>
              <w:rPr>
                <w:rFonts w:cs="Segoe UI Light"/>
                <w:sz w:val="18"/>
              </w:rPr>
              <w:t>Estimated time to assess permission applications.</w:t>
            </w:r>
          </w:p>
          <w:p w14:paraId="656B1689" w14:textId="77777777" w:rsidR="00E92B8E" w:rsidRPr="00204BE2" w:rsidRDefault="00E92B8E" w:rsidP="000E7C5E">
            <w:pPr>
              <w:pStyle w:val="ListParagraph"/>
              <w:spacing w:after="0"/>
              <w:ind w:left="280"/>
              <w:rPr>
                <w:rFonts w:cs="Segoe UI Light"/>
                <w:sz w:val="18"/>
              </w:rPr>
            </w:pPr>
          </w:p>
          <w:p w14:paraId="656B168A" w14:textId="77777777" w:rsidR="00E92B8E" w:rsidRPr="00204BE2" w:rsidRDefault="00E92B8E" w:rsidP="000E7C5E">
            <w:pPr>
              <w:pStyle w:val="ListParagraph"/>
              <w:spacing w:after="0"/>
              <w:ind w:left="280"/>
              <w:rPr>
                <w:rFonts w:cs="Segoe UI Light"/>
                <w:sz w:val="18"/>
              </w:rPr>
            </w:pPr>
          </w:p>
          <w:p w14:paraId="656B168B" w14:textId="77777777" w:rsidR="00E92B8E" w:rsidRPr="00204BE2" w:rsidRDefault="00E92B8E" w:rsidP="000E7C5E">
            <w:pPr>
              <w:pStyle w:val="ListParagraph"/>
              <w:spacing w:after="0"/>
              <w:ind w:left="280"/>
              <w:rPr>
                <w:rFonts w:cs="Segoe UI Light"/>
                <w:sz w:val="18"/>
              </w:rPr>
            </w:pPr>
          </w:p>
          <w:p w14:paraId="656B168C" w14:textId="77777777" w:rsidR="00E92B8E" w:rsidRPr="00204BE2" w:rsidRDefault="00E92B8E" w:rsidP="000E7C5E">
            <w:pPr>
              <w:pStyle w:val="ListParagraph"/>
              <w:spacing w:after="0"/>
              <w:ind w:left="280"/>
              <w:rPr>
                <w:rFonts w:cs="Segoe UI Light"/>
                <w:sz w:val="18"/>
              </w:rPr>
            </w:pPr>
          </w:p>
          <w:p w14:paraId="656B168D" w14:textId="77777777" w:rsidR="00E92B8E" w:rsidRPr="00204BE2" w:rsidRDefault="000D29F0" w:rsidP="000E7C5E">
            <w:pPr>
              <w:pStyle w:val="ListParagraph"/>
              <w:spacing w:after="0"/>
              <w:ind w:left="280"/>
              <w:rPr>
                <w:rFonts w:cs="Segoe UI Light"/>
                <w:sz w:val="18"/>
              </w:rPr>
            </w:pPr>
            <w:r>
              <w:rPr>
                <w:rFonts w:cs="Segoe UI Light"/>
                <w:sz w:val="18"/>
              </w:rPr>
              <w:t>As above</w:t>
            </w:r>
          </w:p>
        </w:tc>
        <w:tc>
          <w:tcPr>
            <w:tcW w:w="607" w:type="pct"/>
          </w:tcPr>
          <w:p w14:paraId="656B168E" w14:textId="77777777" w:rsidR="00E92E4D" w:rsidRPr="000E7C5E" w:rsidRDefault="00E92E4D" w:rsidP="000E7C5E">
            <w:pPr>
              <w:spacing w:after="0"/>
              <w:ind w:right="143"/>
              <w:rPr>
                <w:rFonts w:cs="Segoe UI Light"/>
                <w:sz w:val="18"/>
              </w:rPr>
            </w:pPr>
            <w:r w:rsidRPr="000E7C5E">
              <w:rPr>
                <w:rFonts w:cs="Segoe UI Light"/>
                <w:sz w:val="18"/>
              </w:rPr>
              <w:t>Output</w:t>
            </w:r>
          </w:p>
          <w:p w14:paraId="656B168F" w14:textId="77777777" w:rsidR="00E92E4D" w:rsidRPr="000E7C5E" w:rsidRDefault="00E92E4D" w:rsidP="000E7C5E">
            <w:pPr>
              <w:spacing w:after="0"/>
              <w:ind w:right="143"/>
              <w:rPr>
                <w:rFonts w:cs="Segoe UI Light"/>
                <w:sz w:val="18"/>
              </w:rPr>
            </w:pPr>
          </w:p>
          <w:p w14:paraId="656B1690" w14:textId="77777777" w:rsidR="00E92E4D" w:rsidRPr="000E7C5E" w:rsidRDefault="00E92E4D" w:rsidP="000E7C5E">
            <w:pPr>
              <w:spacing w:after="0"/>
              <w:ind w:right="143"/>
              <w:rPr>
                <w:rFonts w:cs="Segoe UI Light"/>
                <w:sz w:val="18"/>
              </w:rPr>
            </w:pPr>
          </w:p>
          <w:p w14:paraId="656B1691" w14:textId="77777777" w:rsidR="00E92E4D" w:rsidRPr="000E7C5E" w:rsidRDefault="00E92E4D" w:rsidP="000E7C5E">
            <w:pPr>
              <w:spacing w:after="0"/>
              <w:ind w:right="143"/>
              <w:rPr>
                <w:rFonts w:cs="Segoe UI Light"/>
                <w:sz w:val="18"/>
              </w:rPr>
            </w:pPr>
          </w:p>
          <w:p w14:paraId="656B1692" w14:textId="77777777" w:rsidR="00E92E4D" w:rsidRPr="000E7C5E" w:rsidRDefault="00E92E4D" w:rsidP="000E7C5E">
            <w:pPr>
              <w:spacing w:after="0"/>
              <w:ind w:right="143"/>
              <w:rPr>
                <w:rFonts w:cs="Segoe UI Light"/>
                <w:sz w:val="18"/>
              </w:rPr>
            </w:pPr>
          </w:p>
          <w:p w14:paraId="656B1693" w14:textId="77777777" w:rsidR="00D65C11" w:rsidRDefault="00D65C11" w:rsidP="000E7C5E">
            <w:pPr>
              <w:spacing w:after="0"/>
              <w:ind w:right="143"/>
              <w:rPr>
                <w:rFonts w:cs="Segoe UI Light"/>
                <w:sz w:val="18"/>
              </w:rPr>
            </w:pPr>
          </w:p>
          <w:p w14:paraId="656B1694" w14:textId="77777777" w:rsidR="00D65C11" w:rsidRDefault="00D65C11" w:rsidP="000E7C5E">
            <w:pPr>
              <w:spacing w:after="0"/>
              <w:ind w:right="143"/>
              <w:rPr>
                <w:rFonts w:cs="Segoe UI Light"/>
                <w:sz w:val="18"/>
              </w:rPr>
            </w:pPr>
          </w:p>
          <w:p w14:paraId="656B1695" w14:textId="77777777" w:rsidR="00D65C11" w:rsidRDefault="00D65C11" w:rsidP="000E7C5E">
            <w:pPr>
              <w:spacing w:after="0"/>
              <w:ind w:right="143"/>
              <w:rPr>
                <w:rFonts w:cs="Segoe UI Light"/>
                <w:sz w:val="18"/>
              </w:rPr>
            </w:pPr>
          </w:p>
          <w:p w14:paraId="656B1696" w14:textId="77777777" w:rsidR="00D65C11" w:rsidRDefault="00D65C11" w:rsidP="000E7C5E">
            <w:pPr>
              <w:spacing w:after="0"/>
              <w:ind w:right="143"/>
              <w:rPr>
                <w:rFonts w:cs="Segoe UI Light"/>
                <w:sz w:val="18"/>
              </w:rPr>
            </w:pPr>
          </w:p>
          <w:p w14:paraId="656B1697" w14:textId="77777777" w:rsidR="00C22DA3" w:rsidRPr="00E92E4D" w:rsidRDefault="00E92E4D" w:rsidP="000E7C5E">
            <w:pPr>
              <w:spacing w:after="0"/>
              <w:ind w:right="143"/>
              <w:rPr>
                <w:rFonts w:cs="Segoe UI Light"/>
                <w:sz w:val="18"/>
              </w:rPr>
            </w:pPr>
            <w:r w:rsidRPr="000E7C5E">
              <w:rPr>
                <w:rFonts w:cs="Segoe UI Light"/>
                <w:sz w:val="18"/>
              </w:rPr>
              <w:t>Output</w:t>
            </w:r>
          </w:p>
        </w:tc>
        <w:tc>
          <w:tcPr>
            <w:tcW w:w="1135" w:type="pct"/>
          </w:tcPr>
          <w:p w14:paraId="656B1698" w14:textId="77777777" w:rsidR="00E92E4D" w:rsidRDefault="00E92E4D" w:rsidP="000E7C5E">
            <w:pPr>
              <w:spacing w:after="0"/>
              <w:ind w:right="143"/>
              <w:rPr>
                <w:rFonts w:cs="Segoe UI Light"/>
                <w:sz w:val="18"/>
              </w:rPr>
            </w:pPr>
            <w:r>
              <w:rPr>
                <w:rFonts w:cs="Segoe UI Light"/>
                <w:sz w:val="18"/>
              </w:rPr>
              <w:t xml:space="preserve">Some cost information was collected for this RIS. </w:t>
            </w:r>
            <w:r w:rsidR="0041556B">
              <w:rPr>
                <w:rFonts w:cs="Segoe UI Light"/>
                <w:sz w:val="18"/>
              </w:rPr>
              <w:t>Periodic c</w:t>
            </w:r>
            <w:r>
              <w:rPr>
                <w:rFonts w:cs="Segoe UI Light"/>
                <w:sz w:val="18"/>
              </w:rPr>
              <w:t xml:space="preserve">onsultation </w:t>
            </w:r>
            <w:r w:rsidR="00D23978">
              <w:rPr>
                <w:rFonts w:cs="Segoe UI Light"/>
                <w:sz w:val="18"/>
              </w:rPr>
              <w:t xml:space="preserve">will </w:t>
            </w:r>
            <w:r>
              <w:rPr>
                <w:rFonts w:cs="Segoe UI Light"/>
                <w:sz w:val="18"/>
              </w:rPr>
              <w:t>be needed to collect further data in future.</w:t>
            </w:r>
          </w:p>
          <w:p w14:paraId="656B1699" w14:textId="77777777" w:rsidR="00E92E4D" w:rsidRDefault="00E92E4D" w:rsidP="000E7C5E">
            <w:pPr>
              <w:spacing w:after="0"/>
              <w:ind w:right="143"/>
              <w:rPr>
                <w:rFonts w:cs="Segoe UI Light"/>
                <w:sz w:val="18"/>
              </w:rPr>
            </w:pPr>
          </w:p>
          <w:p w14:paraId="656B169A" w14:textId="77777777" w:rsidR="00E92E4D" w:rsidRDefault="00E92E4D" w:rsidP="000E7C5E">
            <w:pPr>
              <w:spacing w:after="0"/>
              <w:ind w:right="143"/>
              <w:rPr>
                <w:rFonts w:cs="Segoe UI Light"/>
                <w:sz w:val="18"/>
              </w:rPr>
            </w:pPr>
          </w:p>
          <w:p w14:paraId="656B169B" w14:textId="77777777" w:rsidR="00D65C11" w:rsidRDefault="00D65C11" w:rsidP="000E7C5E">
            <w:pPr>
              <w:spacing w:after="0"/>
              <w:ind w:right="143"/>
              <w:rPr>
                <w:rFonts w:cs="Segoe UI Light"/>
                <w:sz w:val="18"/>
              </w:rPr>
            </w:pPr>
          </w:p>
          <w:p w14:paraId="656B169C" w14:textId="77777777" w:rsidR="00D65C11" w:rsidRDefault="00D65C11" w:rsidP="000E7C5E">
            <w:pPr>
              <w:spacing w:after="0"/>
              <w:ind w:right="143"/>
              <w:rPr>
                <w:rFonts w:cs="Segoe UI Light"/>
                <w:sz w:val="18"/>
              </w:rPr>
            </w:pPr>
          </w:p>
          <w:p w14:paraId="656B169D" w14:textId="77777777" w:rsidR="00C22DA3" w:rsidRPr="00E92E4D" w:rsidRDefault="00E92E4D" w:rsidP="000E7C5E">
            <w:pPr>
              <w:spacing w:after="0"/>
              <w:ind w:right="143"/>
              <w:rPr>
                <w:rFonts w:cs="Segoe UI Light"/>
                <w:sz w:val="18"/>
              </w:rPr>
            </w:pPr>
            <w:r>
              <w:rPr>
                <w:rFonts w:cs="Segoe UI Light"/>
                <w:sz w:val="18"/>
              </w:rPr>
              <w:t>As above</w:t>
            </w:r>
          </w:p>
        </w:tc>
      </w:tr>
    </w:tbl>
    <w:p w14:paraId="656B169F" w14:textId="77777777" w:rsidR="00E92B8E" w:rsidRPr="00B943BC" w:rsidRDefault="00E92B8E" w:rsidP="00E92B8E">
      <w:pPr>
        <w:rPr>
          <w:rFonts w:cs="Segoe UI Light"/>
          <w:szCs w:val="20"/>
        </w:rPr>
      </w:pPr>
    </w:p>
    <w:p w14:paraId="656B16A0" w14:textId="77777777" w:rsidR="00E92B8E" w:rsidRPr="00E92B8E" w:rsidRDefault="00E92B8E" w:rsidP="00982D63">
      <w:pPr>
        <w:pStyle w:val="Heading2"/>
      </w:pPr>
      <w:r w:rsidRPr="00E92B8E">
        <w:t>Who will do it</w:t>
      </w:r>
    </w:p>
    <w:p w14:paraId="656B16A1" w14:textId="77777777" w:rsidR="00E92B8E" w:rsidRPr="00B943BC" w:rsidRDefault="00E92B8E" w:rsidP="00D85A7F">
      <w:pPr>
        <w:pStyle w:val="Body2"/>
        <w:spacing w:after="120"/>
        <w:rPr>
          <w:rFonts w:ascii="Segoe UI Light" w:eastAsiaTheme="minorHAnsi" w:hAnsi="Segoe UI Light" w:cs="Segoe UI Light"/>
          <w:sz w:val="20"/>
          <w:szCs w:val="20"/>
        </w:rPr>
      </w:pPr>
      <w:r w:rsidRPr="00B943BC">
        <w:rPr>
          <w:rFonts w:ascii="Segoe UI Light" w:eastAsiaTheme="minorHAnsi" w:hAnsi="Segoe UI Light" w:cs="Segoe UI Light"/>
          <w:sz w:val="20"/>
          <w:szCs w:val="20"/>
        </w:rPr>
        <w:t xml:space="preserve">Responsibility for the evaluation will be shared between DELWP and EPA as the primary regulator. Integrated and coordinated delivery of the evaluation will provide for the clearest lines for meeting the evaluation objectives and ensure learning and improvement can occur at both the departmental (legislative) and regulator levels. </w:t>
      </w:r>
    </w:p>
    <w:p w14:paraId="656B16A2" w14:textId="77777777" w:rsidR="00E92B8E" w:rsidRPr="000E7C5E" w:rsidRDefault="00D65C11" w:rsidP="00D85A7F">
      <w:pPr>
        <w:pStyle w:val="Body2"/>
        <w:spacing w:after="120"/>
        <w:rPr>
          <w:rFonts w:ascii="Segoe UI Light" w:hAnsi="Segoe UI Light" w:cs="Segoe UI Light"/>
          <w:sz w:val="20"/>
          <w:szCs w:val="20"/>
        </w:rPr>
      </w:pPr>
      <w:r w:rsidRPr="000E7C5E">
        <w:rPr>
          <w:rFonts w:ascii="Segoe UI Light" w:hAnsi="Segoe UI Light" w:cs="Segoe UI Light"/>
          <w:sz w:val="20"/>
          <w:szCs w:val="20"/>
        </w:rPr>
        <w:t xml:space="preserve">While EPA has overall ownership of the evaluation strategy, DELWP will be responsible for the whole of government policy evaluation. EPA is responsible for ongoing monitoring and will play a significant role in data collection and management activities. </w:t>
      </w:r>
      <w:r w:rsidR="00E92B8E" w:rsidRPr="00B943BC">
        <w:rPr>
          <w:rFonts w:ascii="Segoe UI Light" w:hAnsi="Segoe UI Light" w:cs="Segoe UI Light"/>
          <w:sz w:val="20"/>
          <w:szCs w:val="20"/>
        </w:rPr>
        <w:t>Joint regulators will also have responsibility for data collection and management in those areas that share regulatory responsibility.</w:t>
      </w:r>
    </w:p>
    <w:p w14:paraId="656B16A3" w14:textId="77777777" w:rsidR="00E92B8E" w:rsidRPr="00E92B8E" w:rsidRDefault="00E92B8E" w:rsidP="00982D63">
      <w:pPr>
        <w:pStyle w:val="Heading2"/>
      </w:pPr>
      <w:r w:rsidRPr="00E92B8E">
        <w:t>When it will be done</w:t>
      </w:r>
    </w:p>
    <w:p w14:paraId="656B16A4" w14:textId="77777777" w:rsidR="00E92B8E" w:rsidRPr="00B943BC" w:rsidRDefault="00A07276" w:rsidP="00E92B8E">
      <w:pPr>
        <w:rPr>
          <w:rFonts w:cs="Segoe UI Light"/>
          <w:szCs w:val="20"/>
        </w:rPr>
      </w:pPr>
      <w:r>
        <w:rPr>
          <w:rFonts w:cs="Segoe UI Light"/>
          <w:szCs w:val="20"/>
        </w:rPr>
        <w:fldChar w:fldCharType="begin"/>
      </w:r>
      <w:r>
        <w:rPr>
          <w:rFonts w:cs="Segoe UI Light"/>
          <w:szCs w:val="20"/>
        </w:rPr>
        <w:instrText xml:space="preserve"> REF _Ref287781 \h </w:instrText>
      </w:r>
      <w:r>
        <w:rPr>
          <w:rFonts w:cs="Segoe UI Light"/>
          <w:szCs w:val="20"/>
        </w:rPr>
      </w:r>
      <w:r>
        <w:rPr>
          <w:rFonts w:cs="Segoe UI Light"/>
          <w:szCs w:val="20"/>
        </w:rPr>
        <w:fldChar w:fldCharType="separate"/>
      </w:r>
      <w:r w:rsidR="00B11C1E">
        <w:t xml:space="preserve">Table </w:t>
      </w:r>
      <w:r w:rsidR="00B11C1E">
        <w:rPr>
          <w:noProof/>
        </w:rPr>
        <w:t>19</w:t>
      </w:r>
      <w:r w:rsidR="00B11C1E">
        <w:noBreakHyphen/>
      </w:r>
      <w:r w:rsidR="00B11C1E">
        <w:rPr>
          <w:noProof/>
        </w:rPr>
        <w:t>2</w:t>
      </w:r>
      <w:r>
        <w:rPr>
          <w:rFonts w:cs="Segoe UI Light"/>
          <w:szCs w:val="20"/>
        </w:rPr>
        <w:fldChar w:fldCharType="end"/>
      </w:r>
      <w:r w:rsidR="00E92B8E">
        <w:rPr>
          <w:rFonts w:cs="Segoe UI Light"/>
          <w:szCs w:val="20"/>
        </w:rPr>
        <w:t xml:space="preserve"> </w:t>
      </w:r>
      <w:r w:rsidR="00E92B8E" w:rsidRPr="00B943BC">
        <w:rPr>
          <w:rFonts w:cs="Segoe UI Light"/>
          <w:szCs w:val="20"/>
        </w:rPr>
        <w:t xml:space="preserve">outlines a high-level overview of when evaluation activities will occur. </w:t>
      </w:r>
    </w:p>
    <w:p w14:paraId="656B16A5" w14:textId="77777777" w:rsidR="00E92B8E" w:rsidRDefault="00E92B8E" w:rsidP="00E92B8E">
      <w:pPr>
        <w:pStyle w:val="Caption"/>
      </w:pPr>
      <w:bookmarkStart w:id="1996" w:name="_Ref287781"/>
      <w:r>
        <w:t xml:space="preserve">Table </w:t>
      </w:r>
      <w:r w:rsidR="00DC24EE">
        <w:rPr>
          <w:color w:val="2B579A"/>
          <w:shd w:val="clear" w:color="auto" w:fill="E6E6E6"/>
        </w:rPr>
        <w:fldChar w:fldCharType="begin"/>
      </w:r>
      <w:r w:rsidR="00DC24EE">
        <w:instrText xml:space="preserve"> STYLEREF 1 \s </w:instrText>
      </w:r>
      <w:r w:rsidR="00DC24EE">
        <w:rPr>
          <w:color w:val="2B579A"/>
          <w:shd w:val="clear" w:color="auto" w:fill="E6E6E6"/>
        </w:rPr>
        <w:fldChar w:fldCharType="separate"/>
      </w:r>
      <w:r w:rsidR="00B11C1E">
        <w:rPr>
          <w:noProof/>
        </w:rPr>
        <w:t>19</w:t>
      </w:r>
      <w:r w:rsidR="00DC24EE">
        <w:rPr>
          <w:color w:val="2B579A"/>
          <w:shd w:val="clear" w:color="auto" w:fill="E6E6E6"/>
        </w:rPr>
        <w:fldChar w:fldCharType="end"/>
      </w:r>
      <w:r w:rsidR="00DC24EE">
        <w:noBreakHyphen/>
      </w:r>
      <w:r w:rsidR="00997CFA">
        <w:rPr>
          <w:color w:val="2B579A"/>
          <w:shd w:val="clear" w:color="auto" w:fill="E6E6E6"/>
        </w:rPr>
        <w:fldChar w:fldCharType="begin"/>
      </w:r>
      <w:r w:rsidR="00997CFA">
        <w:instrText xml:space="preserve"> SEQ Table \* ARABIC \s 1 </w:instrText>
      </w:r>
      <w:r w:rsidR="00997CFA">
        <w:rPr>
          <w:color w:val="2B579A"/>
          <w:shd w:val="clear" w:color="auto" w:fill="E6E6E6"/>
        </w:rPr>
        <w:fldChar w:fldCharType="separate"/>
      </w:r>
      <w:r w:rsidR="00B11C1E">
        <w:rPr>
          <w:noProof/>
        </w:rPr>
        <w:t>2</w:t>
      </w:r>
      <w:r w:rsidR="00997CFA">
        <w:rPr>
          <w:color w:val="2B579A"/>
          <w:shd w:val="clear" w:color="auto" w:fill="E6E6E6"/>
        </w:rPr>
        <w:fldChar w:fldCharType="end"/>
      </w:r>
      <w:bookmarkEnd w:id="1996"/>
      <w:r>
        <w:t xml:space="preserve"> Timeline for evaluation</w:t>
      </w:r>
    </w:p>
    <w:tbl>
      <w:tblPr>
        <w:tblStyle w:val="Deloittetable"/>
        <w:tblW w:w="5000" w:type="pct"/>
        <w:tblLook w:val="04A0" w:firstRow="1" w:lastRow="0" w:firstColumn="1" w:lastColumn="0" w:noHBand="0" w:noVBand="1"/>
      </w:tblPr>
      <w:tblGrid>
        <w:gridCol w:w="3119"/>
        <w:gridCol w:w="6236"/>
      </w:tblGrid>
      <w:tr w:rsidR="00E92B8E" w:rsidRPr="00204BE2" w14:paraId="656B16A8" w14:textId="77777777" w:rsidTr="00037AF8">
        <w:trPr>
          <w:cnfStyle w:val="100000000000" w:firstRow="1" w:lastRow="0" w:firstColumn="0" w:lastColumn="0" w:oddVBand="0" w:evenVBand="0" w:oddHBand="0" w:evenHBand="0" w:firstRowFirstColumn="0" w:firstRowLastColumn="0" w:lastRowFirstColumn="0" w:lastRowLastColumn="0"/>
          <w:trHeight w:val="376"/>
          <w:tblHeader/>
        </w:trPr>
        <w:tc>
          <w:tcPr>
            <w:tcW w:w="0" w:type="pct"/>
          </w:tcPr>
          <w:p w14:paraId="656B16A6" w14:textId="77777777" w:rsidR="00E92B8E" w:rsidRPr="00204BE2" w:rsidRDefault="00E92B8E" w:rsidP="00B41D79">
            <w:pPr>
              <w:spacing w:after="0"/>
              <w:rPr>
                <w:rFonts w:cs="Segoe UI Light"/>
                <w:b/>
                <w:sz w:val="18"/>
              </w:rPr>
            </w:pPr>
            <w:r w:rsidRPr="00D85A7F">
              <w:rPr>
                <w:rFonts w:cs="Segoe UI Light"/>
                <w:b/>
                <w:sz w:val="18"/>
              </w:rPr>
              <w:t>Activity</w:t>
            </w:r>
          </w:p>
        </w:tc>
        <w:tc>
          <w:tcPr>
            <w:tcW w:w="0" w:type="pct"/>
          </w:tcPr>
          <w:p w14:paraId="656B16A7" w14:textId="77777777" w:rsidR="00E92B8E" w:rsidRPr="00204BE2" w:rsidRDefault="00E92B8E" w:rsidP="00B41D79">
            <w:pPr>
              <w:spacing w:after="0"/>
              <w:rPr>
                <w:rFonts w:cs="Segoe UI Light"/>
                <w:b/>
                <w:sz w:val="18"/>
              </w:rPr>
            </w:pPr>
            <w:r w:rsidRPr="00D85A7F">
              <w:rPr>
                <w:rFonts w:cs="Segoe UI Light"/>
                <w:b/>
                <w:sz w:val="18"/>
              </w:rPr>
              <w:t xml:space="preserve">Timing </w:t>
            </w:r>
          </w:p>
        </w:tc>
      </w:tr>
      <w:tr w:rsidR="00E92B8E" w:rsidRPr="00204BE2" w14:paraId="656B16AB" w14:textId="77777777" w:rsidTr="00040A06">
        <w:trPr>
          <w:trHeight w:val="763"/>
        </w:trPr>
        <w:tc>
          <w:tcPr>
            <w:tcW w:w="1667" w:type="pct"/>
          </w:tcPr>
          <w:p w14:paraId="656B16A9" w14:textId="77777777" w:rsidR="00E92B8E" w:rsidRPr="00204BE2" w:rsidRDefault="00E92B8E" w:rsidP="00037AF8">
            <w:pPr>
              <w:spacing w:after="0"/>
              <w:ind w:right="285"/>
              <w:rPr>
                <w:rFonts w:cs="Segoe UI Light"/>
                <w:sz w:val="18"/>
              </w:rPr>
            </w:pPr>
            <w:r w:rsidRPr="00D85A7F">
              <w:rPr>
                <w:rFonts w:cs="Segoe UI Light"/>
                <w:sz w:val="18"/>
                <w:lang w:val="en-US"/>
              </w:rPr>
              <w:t>Establish baseline.</w:t>
            </w:r>
          </w:p>
        </w:tc>
        <w:tc>
          <w:tcPr>
            <w:tcW w:w="3333" w:type="pct"/>
          </w:tcPr>
          <w:p w14:paraId="656B16AA" w14:textId="77777777" w:rsidR="00E92B8E" w:rsidRPr="00204BE2" w:rsidRDefault="001B4CE3" w:rsidP="00037AF8">
            <w:pPr>
              <w:spacing w:after="0"/>
              <w:rPr>
                <w:rFonts w:cs="Segoe UI Light"/>
                <w:sz w:val="18"/>
              </w:rPr>
            </w:pPr>
            <w:r>
              <w:rPr>
                <w:rFonts w:cs="Segoe UI Light"/>
                <w:sz w:val="18"/>
                <w:lang w:val="en-US"/>
              </w:rPr>
              <w:t>EPA</w:t>
            </w:r>
            <w:r w:rsidR="00E92B8E" w:rsidRPr="00D85A7F">
              <w:rPr>
                <w:rFonts w:cs="Segoe UI Light"/>
                <w:sz w:val="18"/>
                <w:lang w:val="en-US"/>
              </w:rPr>
              <w:t xml:space="preserve"> has already commenced this process as part of establishing a baseline for assessing the new legislative framework. This will inform ongoing monitoring systems and reporting below.</w:t>
            </w:r>
          </w:p>
        </w:tc>
      </w:tr>
      <w:tr w:rsidR="00E92B8E" w:rsidRPr="00204BE2" w14:paraId="656B16AE" w14:textId="77777777" w:rsidTr="00040A06">
        <w:trPr>
          <w:trHeight w:val="721"/>
        </w:trPr>
        <w:tc>
          <w:tcPr>
            <w:tcW w:w="1667" w:type="pct"/>
          </w:tcPr>
          <w:p w14:paraId="656B16AC" w14:textId="77777777" w:rsidR="00E92B8E" w:rsidRPr="00204BE2" w:rsidRDefault="00E92B8E" w:rsidP="00037AF8">
            <w:pPr>
              <w:spacing w:after="0"/>
              <w:ind w:right="285"/>
              <w:rPr>
                <w:rFonts w:cs="Segoe UI Light"/>
                <w:sz w:val="18"/>
              </w:rPr>
            </w:pPr>
            <w:r w:rsidRPr="00D85A7F">
              <w:rPr>
                <w:rFonts w:cs="Segoe UI Light"/>
                <w:sz w:val="18"/>
                <w:lang w:val="en-US"/>
              </w:rPr>
              <w:t>Data collection.</w:t>
            </w:r>
          </w:p>
        </w:tc>
        <w:tc>
          <w:tcPr>
            <w:tcW w:w="3333" w:type="pct"/>
          </w:tcPr>
          <w:p w14:paraId="656B16AD" w14:textId="77777777" w:rsidR="00E92B8E" w:rsidRPr="00204BE2" w:rsidRDefault="001B4CE3" w:rsidP="00037AF8">
            <w:pPr>
              <w:spacing w:after="0"/>
              <w:rPr>
                <w:rFonts w:cs="Segoe UI Light"/>
                <w:sz w:val="18"/>
              </w:rPr>
            </w:pPr>
            <w:r>
              <w:rPr>
                <w:rFonts w:cs="Segoe UI Light"/>
                <w:sz w:val="18"/>
                <w:lang w:val="en-US"/>
              </w:rPr>
              <w:t>EPA</w:t>
            </w:r>
            <w:r w:rsidR="00E92B8E" w:rsidRPr="00D85A7F">
              <w:rPr>
                <w:rFonts w:cs="Segoe UI Light"/>
                <w:sz w:val="18"/>
                <w:lang w:val="en-US"/>
              </w:rPr>
              <w:t xml:space="preserve">’s existing data collection processes will continue. </w:t>
            </w:r>
            <w:r w:rsidR="009E49D5">
              <w:rPr>
                <w:rFonts w:cs="Segoe UI Light"/>
                <w:sz w:val="18"/>
                <w:lang w:val="en-US"/>
              </w:rPr>
              <w:t xml:space="preserve">As noted in section 18.3, </w:t>
            </w:r>
            <w:r w:rsidRPr="009E49D5">
              <w:rPr>
                <w:rFonts w:cs="Segoe UI Light"/>
                <w:sz w:val="18"/>
                <w:lang w:val="en-US"/>
              </w:rPr>
              <w:t>EPA</w:t>
            </w:r>
            <w:r w:rsidR="00E92B8E" w:rsidRPr="009E49D5">
              <w:rPr>
                <w:rFonts w:cs="Segoe UI Light"/>
                <w:sz w:val="18"/>
                <w:lang w:val="en-US"/>
              </w:rPr>
              <w:t xml:space="preserve"> will </w:t>
            </w:r>
            <w:r w:rsidR="009E49D5" w:rsidRPr="00040A06">
              <w:rPr>
                <w:rFonts w:cs="Segoe UI Light"/>
                <w:sz w:val="18"/>
                <w:lang w:val="en-US"/>
              </w:rPr>
              <w:t>undertake a review of existing data sources to assess gaps in data and identify areas and strategies for improvement.</w:t>
            </w:r>
            <w:r w:rsidR="009E49D5">
              <w:rPr>
                <w:rFonts w:cs="Segoe UI Light"/>
                <w:szCs w:val="20"/>
              </w:rPr>
              <w:t xml:space="preserve"> </w:t>
            </w:r>
          </w:p>
        </w:tc>
      </w:tr>
      <w:tr w:rsidR="00E92B8E" w:rsidRPr="00204BE2" w14:paraId="656B16B1" w14:textId="77777777" w:rsidTr="00040A06">
        <w:trPr>
          <w:trHeight w:val="212"/>
        </w:trPr>
        <w:tc>
          <w:tcPr>
            <w:tcW w:w="1667" w:type="pct"/>
          </w:tcPr>
          <w:p w14:paraId="656B16AF" w14:textId="77777777" w:rsidR="00E92B8E" w:rsidRPr="00204BE2" w:rsidRDefault="00E92B8E" w:rsidP="00037AF8">
            <w:pPr>
              <w:spacing w:after="0"/>
              <w:ind w:right="285"/>
              <w:rPr>
                <w:rFonts w:cs="Segoe UI Light"/>
                <w:sz w:val="18"/>
                <w:lang w:val="en-US"/>
              </w:rPr>
            </w:pPr>
            <w:r w:rsidRPr="00D85A7F">
              <w:rPr>
                <w:rFonts w:cs="Segoe UI Light"/>
                <w:sz w:val="18"/>
                <w:lang w:val="en-US"/>
              </w:rPr>
              <w:t>Data monitoring and reporting.</w:t>
            </w:r>
          </w:p>
        </w:tc>
        <w:tc>
          <w:tcPr>
            <w:tcW w:w="3333" w:type="pct"/>
          </w:tcPr>
          <w:p w14:paraId="656B16B0" w14:textId="77777777" w:rsidR="00E92B8E" w:rsidRPr="00204BE2" w:rsidRDefault="00E92B8E" w:rsidP="00037AF8">
            <w:pPr>
              <w:spacing w:after="0"/>
              <w:rPr>
                <w:rFonts w:cs="Segoe UI Light"/>
                <w:sz w:val="18"/>
                <w:lang w:val="en-US"/>
              </w:rPr>
            </w:pPr>
            <w:r w:rsidRPr="00D85A7F">
              <w:rPr>
                <w:rFonts w:cs="Segoe UI Light"/>
                <w:sz w:val="18"/>
                <w:lang w:val="en-US"/>
              </w:rPr>
              <w:t>Annual</w:t>
            </w:r>
            <w:r w:rsidR="009E49D5">
              <w:rPr>
                <w:rFonts w:cs="Segoe UI Light"/>
                <w:sz w:val="18"/>
                <w:lang w:val="en-US"/>
              </w:rPr>
              <w:t xml:space="preserve"> reporting by EPA.</w:t>
            </w:r>
          </w:p>
        </w:tc>
      </w:tr>
      <w:tr w:rsidR="00E92B8E" w:rsidRPr="00204BE2" w14:paraId="656B16B4" w14:textId="77777777" w:rsidTr="00040A06">
        <w:trPr>
          <w:trHeight w:val="523"/>
        </w:trPr>
        <w:tc>
          <w:tcPr>
            <w:tcW w:w="1667" w:type="pct"/>
          </w:tcPr>
          <w:p w14:paraId="656B16B2" w14:textId="77777777" w:rsidR="00E92B8E" w:rsidRPr="00204BE2" w:rsidRDefault="00E92B8E" w:rsidP="00037AF8">
            <w:pPr>
              <w:spacing w:after="0"/>
              <w:ind w:right="285"/>
              <w:rPr>
                <w:rFonts w:cs="Segoe UI Light"/>
                <w:sz w:val="18"/>
              </w:rPr>
            </w:pPr>
            <w:r w:rsidRPr="00D85A7F">
              <w:rPr>
                <w:rFonts w:cs="Segoe UI Light"/>
                <w:sz w:val="18"/>
                <w:lang w:val="en-US"/>
              </w:rPr>
              <w:t xml:space="preserve">Intermediate evaluation that assesses short term outcomes and identifies potential improvements in the design and use of </w:t>
            </w:r>
            <w:r w:rsidR="00AC64E3">
              <w:rPr>
                <w:rFonts w:cs="Segoe UI Light"/>
                <w:sz w:val="18"/>
                <w:lang w:val="en-US"/>
              </w:rPr>
              <w:t>proposed Regulations</w:t>
            </w:r>
            <w:r w:rsidRPr="00D85A7F">
              <w:rPr>
                <w:rFonts w:cs="Segoe UI Light"/>
                <w:sz w:val="18"/>
                <w:lang w:val="en-US"/>
              </w:rPr>
              <w:t>, including cost recovery review.</w:t>
            </w:r>
          </w:p>
        </w:tc>
        <w:tc>
          <w:tcPr>
            <w:tcW w:w="3333" w:type="pct"/>
          </w:tcPr>
          <w:p w14:paraId="656B16B3" w14:textId="77777777" w:rsidR="00E92B8E" w:rsidRPr="00040A06" w:rsidRDefault="00E92B8E" w:rsidP="00037AF8">
            <w:pPr>
              <w:spacing w:after="0"/>
              <w:rPr>
                <w:rFonts w:cs="Segoe UI Light"/>
                <w:szCs w:val="20"/>
              </w:rPr>
            </w:pPr>
            <w:r w:rsidRPr="00D85A7F">
              <w:rPr>
                <w:rFonts w:cs="Segoe UI Light"/>
                <w:sz w:val="18"/>
                <w:lang w:val="en-US"/>
              </w:rPr>
              <w:t xml:space="preserve">2 to 3 years following the </w:t>
            </w:r>
            <w:r w:rsidR="004C6915" w:rsidRPr="00D85A7F">
              <w:rPr>
                <w:rFonts w:cs="Segoe UI Light"/>
                <w:sz w:val="18"/>
                <w:lang w:val="en-US"/>
              </w:rPr>
              <w:t>new EP legislation</w:t>
            </w:r>
            <w:r w:rsidRPr="00D85A7F">
              <w:rPr>
                <w:rFonts w:cs="Segoe UI Light"/>
                <w:sz w:val="18"/>
                <w:lang w:val="en-US"/>
              </w:rPr>
              <w:t xml:space="preserve"> and Regulations taking effect. </w:t>
            </w:r>
            <w:r w:rsidR="009E49D5">
              <w:rPr>
                <w:rFonts w:cs="Segoe UI Light"/>
                <w:sz w:val="18"/>
                <w:lang w:val="en-US"/>
              </w:rPr>
              <w:t xml:space="preserve">This will include consultation with </w:t>
            </w:r>
            <w:r w:rsidR="009E49D5" w:rsidRPr="00040A06">
              <w:rPr>
                <w:rFonts w:cs="Segoe UI Light"/>
                <w:sz w:val="18"/>
                <w:lang w:val="en-US"/>
              </w:rPr>
              <w:t>key government departments, agencies and regulators, plus key industry group, environment groups and community groups</w:t>
            </w:r>
            <w:r w:rsidR="00DC7A63">
              <w:rPr>
                <w:rFonts w:cs="Segoe UI Light"/>
                <w:sz w:val="18"/>
                <w:lang w:val="en-US"/>
              </w:rPr>
              <w:t xml:space="preserve">. </w:t>
            </w:r>
            <w:r w:rsidR="00971A87">
              <w:rPr>
                <w:rFonts w:cs="Segoe UI Light"/>
                <w:sz w:val="18"/>
                <w:lang w:val="en-US"/>
              </w:rPr>
              <w:t>This review is being undertaken for best practice and to improve understanding of how the Regulations are operating. It will also inform understanding of progress working to address data gaps.</w:t>
            </w:r>
            <w:r w:rsidR="00E57D81">
              <w:rPr>
                <w:rFonts w:cs="Segoe UI Light"/>
                <w:sz w:val="18"/>
                <w:lang w:val="en-US"/>
              </w:rPr>
              <w:t xml:space="preserve"> The review will follow the principles and steps set out in sections 19.2 and 19.3</w:t>
            </w:r>
            <w:r w:rsidR="00B44AB6">
              <w:rPr>
                <w:rFonts w:cs="Segoe UI Light"/>
                <w:sz w:val="18"/>
                <w:lang w:val="en-US"/>
              </w:rPr>
              <w:t>.</w:t>
            </w:r>
          </w:p>
        </w:tc>
      </w:tr>
      <w:tr w:rsidR="00E92B8E" w:rsidRPr="00204BE2" w14:paraId="656B16B7" w14:textId="77777777" w:rsidTr="00040A06">
        <w:trPr>
          <w:trHeight w:val="523"/>
        </w:trPr>
        <w:tc>
          <w:tcPr>
            <w:tcW w:w="1667" w:type="pct"/>
          </w:tcPr>
          <w:p w14:paraId="656B16B5" w14:textId="77777777" w:rsidR="00E92B8E" w:rsidRPr="00204BE2" w:rsidRDefault="00E92B8E" w:rsidP="00037AF8">
            <w:pPr>
              <w:spacing w:after="0"/>
              <w:ind w:right="285"/>
              <w:rPr>
                <w:rFonts w:cs="Segoe UI Light"/>
                <w:sz w:val="18"/>
              </w:rPr>
            </w:pPr>
            <w:r w:rsidRPr="00D85A7F">
              <w:rPr>
                <w:rFonts w:cs="Segoe UI Light"/>
                <w:sz w:val="18"/>
                <w:lang w:val="en-US"/>
              </w:rPr>
              <w:t>Evaluation of effectiveness and efficiency of Regulations, including cost recovery review.</w:t>
            </w:r>
          </w:p>
        </w:tc>
        <w:tc>
          <w:tcPr>
            <w:tcW w:w="3333" w:type="pct"/>
          </w:tcPr>
          <w:p w14:paraId="656B16B6" w14:textId="77777777" w:rsidR="00E92B8E" w:rsidRPr="00204BE2" w:rsidRDefault="00E92B8E" w:rsidP="00037AF8">
            <w:pPr>
              <w:spacing w:after="0"/>
              <w:rPr>
                <w:rFonts w:cs="Segoe UI Light"/>
                <w:sz w:val="18"/>
                <w:lang w:val="en-US"/>
              </w:rPr>
            </w:pPr>
            <w:r w:rsidRPr="00D85A7F">
              <w:rPr>
                <w:rFonts w:cs="Segoe UI Light"/>
                <w:sz w:val="18"/>
                <w:lang w:val="en-US"/>
              </w:rPr>
              <w:t xml:space="preserve">This evaluation will commence after the new legislative and regulatory framework has been operational for 4.5 years, and will take approximately 6 months to complete. </w:t>
            </w:r>
            <w:r w:rsidR="00E57D81">
              <w:rPr>
                <w:rFonts w:cs="Segoe UI Light"/>
                <w:sz w:val="18"/>
                <w:lang w:val="en-US"/>
              </w:rPr>
              <w:t>The review will follow the principles and steps set out in sections 19.2 and 19.3</w:t>
            </w:r>
            <w:r w:rsidR="00B44AB6">
              <w:rPr>
                <w:rFonts w:cs="Segoe UI Light"/>
                <w:sz w:val="18"/>
                <w:lang w:val="en-US"/>
              </w:rPr>
              <w:t>.</w:t>
            </w:r>
          </w:p>
        </w:tc>
      </w:tr>
      <w:bookmarkEnd w:id="1988"/>
      <w:bookmarkEnd w:id="1989"/>
      <w:bookmarkEnd w:id="1990"/>
      <w:bookmarkEnd w:id="1991"/>
      <w:bookmarkEnd w:id="1992"/>
      <w:bookmarkEnd w:id="1993"/>
      <w:bookmarkEnd w:id="1994"/>
    </w:tbl>
    <w:p w14:paraId="656B16B8" w14:textId="77777777" w:rsidR="00E92B8E" w:rsidRDefault="00E92B8E" w:rsidP="00E92B8E"/>
    <w:p w14:paraId="656B16B9" w14:textId="77777777" w:rsidR="00040231" w:rsidRDefault="00040231" w:rsidP="00ED173F">
      <w:pPr>
        <w:mirrorIndents/>
        <w:rPr>
          <w:rFonts w:eastAsiaTheme="majorEastAsia"/>
          <w:sz w:val="60"/>
          <w:szCs w:val="28"/>
        </w:rPr>
      </w:pPr>
      <w:r>
        <w:br w:type="page"/>
      </w:r>
    </w:p>
    <w:p w14:paraId="656B16BA" w14:textId="77777777" w:rsidR="00A2264F" w:rsidRDefault="00A2264F">
      <w:pPr>
        <w:pStyle w:val="Heading1"/>
      </w:pPr>
      <w:bookmarkStart w:id="1997" w:name="_Ref536484272"/>
      <w:bookmarkStart w:id="1998" w:name="_Toc536807112"/>
      <w:bookmarkStart w:id="1999" w:name="_Toc342689"/>
      <w:bookmarkStart w:id="2000" w:name="_Ref10007486"/>
      <w:bookmarkStart w:id="2001" w:name="_Toc10018343"/>
      <w:bookmarkStart w:id="2002" w:name="_Toc10021450"/>
      <w:bookmarkStart w:id="2003" w:name="_Toc10021864"/>
      <w:bookmarkStart w:id="2004" w:name="_Toc12892348"/>
      <w:bookmarkStart w:id="2005" w:name="_Toc536055014"/>
      <w:bookmarkStart w:id="2006" w:name="_Ref536465764"/>
      <w:r>
        <w:t>Stakeholder consultation</w:t>
      </w:r>
      <w:bookmarkEnd w:id="1997"/>
      <w:bookmarkEnd w:id="1998"/>
      <w:bookmarkEnd w:id="1999"/>
      <w:bookmarkEnd w:id="2000"/>
      <w:bookmarkEnd w:id="2001"/>
      <w:bookmarkEnd w:id="2002"/>
      <w:bookmarkEnd w:id="2003"/>
      <w:bookmarkEnd w:id="2004"/>
    </w:p>
    <w:p w14:paraId="656B16BB" w14:textId="77777777" w:rsidR="005502D5" w:rsidRPr="00527FA8" w:rsidRDefault="005502D5" w:rsidP="00982D63">
      <w:pPr>
        <w:pStyle w:val="Heading2"/>
        <w:rPr>
          <w:szCs w:val="20"/>
        </w:rPr>
      </w:pPr>
      <w:r w:rsidRPr="00527FA8">
        <w:t xml:space="preserve">Who was </w:t>
      </w:r>
      <w:r w:rsidR="005D3B6D" w:rsidRPr="00527FA8">
        <w:t>consulted?</w:t>
      </w:r>
    </w:p>
    <w:p w14:paraId="656B16BC" w14:textId="77777777" w:rsidR="001C4CD6" w:rsidRDefault="001C4CD6">
      <w:r>
        <w:t>DELWP and EPA undertook a comprehensive stakeholder engagement approach, which utilised newly formed Stak</w:t>
      </w:r>
      <w:r w:rsidR="00A72DAC">
        <w:t>e</w:t>
      </w:r>
      <w:r>
        <w:t>holder Working Groups to test the viability of different options considered for regulatory and non-regulatory controls. These Stak</w:t>
      </w:r>
      <w:r w:rsidR="00A72DAC">
        <w:t>e</w:t>
      </w:r>
      <w:r>
        <w:t xml:space="preserve">holder Working Groups consisted </w:t>
      </w:r>
      <w:r w:rsidR="00527FA8">
        <w:t xml:space="preserve">of </w:t>
      </w:r>
      <w:r>
        <w:t>representatives from peak and industry bodies, environmental justice groups, community members, industry and licence holders</w:t>
      </w:r>
      <w:r w:rsidR="00DC7A63">
        <w:t xml:space="preserve">. </w:t>
      </w:r>
    </w:p>
    <w:p w14:paraId="656B16BD" w14:textId="77777777" w:rsidR="00E21494" w:rsidRDefault="00E21494">
      <w:r>
        <w:t xml:space="preserve">In addition to the Stakeholder Working Groups, DELWP and EPA also consulted with local </w:t>
      </w:r>
      <w:r w:rsidR="004614CC">
        <w:t xml:space="preserve">councils </w:t>
      </w:r>
      <w:r>
        <w:t>via workshops and focus groups</w:t>
      </w:r>
      <w:r w:rsidR="00DC7A63">
        <w:t xml:space="preserve">. </w:t>
      </w:r>
      <w:r>
        <w:t xml:space="preserve">These workshops and focus groups were </w:t>
      </w:r>
      <w:r w:rsidR="00313133">
        <w:t>established in collaboration with Municipal Association of Victoria</w:t>
      </w:r>
      <w:r w:rsidR="00815BA3">
        <w:t xml:space="preserve"> (MAV)</w:t>
      </w:r>
      <w:r w:rsidR="00313133">
        <w:t xml:space="preserve">. </w:t>
      </w:r>
    </w:p>
    <w:p w14:paraId="656B16BE" w14:textId="77777777" w:rsidR="005502D5" w:rsidRDefault="005D3B6D">
      <w:r>
        <w:t>During the process of this RIS, Deloitte Access Economics</w:t>
      </w:r>
      <w:r w:rsidR="001C4CD6">
        <w:t xml:space="preserve"> also</w:t>
      </w:r>
      <w:r>
        <w:t xml:space="preserve"> conducted </w:t>
      </w:r>
      <w:r w:rsidR="00044857">
        <w:t xml:space="preserve">extensive </w:t>
      </w:r>
      <w:r>
        <w:t>consultations with businesses, environmental consultants, industry associations, Victorian Government departments and agencies and local councils. In total, Deloitte consulted with (conducted either face-to-face or over the phone):</w:t>
      </w:r>
    </w:p>
    <w:p w14:paraId="656B16BF" w14:textId="77777777" w:rsidR="005D3B6D" w:rsidRDefault="005D3B6D" w:rsidP="00527FA8">
      <w:pPr>
        <w:pStyle w:val="EPANormal"/>
        <w:numPr>
          <w:ilvl w:val="0"/>
          <w:numId w:val="48"/>
        </w:numPr>
        <w:spacing w:after="0"/>
        <w:ind w:left="851"/>
        <w:rPr>
          <w:rFonts w:ascii="Segoe UI Light" w:hAnsi="Segoe UI Light" w:cs="Segoe UI Light"/>
          <w:sz w:val="20"/>
          <w:szCs w:val="20"/>
        </w:rPr>
      </w:pPr>
      <w:r>
        <w:rPr>
          <w:rFonts w:ascii="Segoe UI Light" w:hAnsi="Segoe UI Light" w:cs="Segoe UI Light"/>
          <w:sz w:val="20"/>
          <w:szCs w:val="20"/>
        </w:rPr>
        <w:t>25 Industry associations or experts (or similar organisations)</w:t>
      </w:r>
    </w:p>
    <w:p w14:paraId="656B16C0" w14:textId="77777777" w:rsidR="005D3B6D" w:rsidRDefault="005D3B6D" w:rsidP="00527FA8">
      <w:pPr>
        <w:pStyle w:val="EPANormal"/>
        <w:numPr>
          <w:ilvl w:val="0"/>
          <w:numId w:val="48"/>
        </w:numPr>
        <w:spacing w:after="0"/>
        <w:ind w:left="851"/>
        <w:rPr>
          <w:rFonts w:ascii="Segoe UI Light" w:hAnsi="Segoe UI Light" w:cs="Segoe UI Light"/>
          <w:sz w:val="20"/>
          <w:szCs w:val="20"/>
        </w:rPr>
      </w:pPr>
      <w:r>
        <w:rPr>
          <w:rFonts w:ascii="Segoe UI Light" w:hAnsi="Segoe UI Light" w:cs="Segoe UI Light"/>
          <w:sz w:val="20"/>
          <w:szCs w:val="20"/>
        </w:rPr>
        <w:t xml:space="preserve">13 businesses (including both private and government businesses) </w:t>
      </w:r>
    </w:p>
    <w:p w14:paraId="656B16C1" w14:textId="77777777" w:rsidR="005D3B6D" w:rsidRDefault="005D3B6D" w:rsidP="00527FA8">
      <w:pPr>
        <w:pStyle w:val="EPANormal"/>
        <w:numPr>
          <w:ilvl w:val="0"/>
          <w:numId w:val="48"/>
        </w:numPr>
        <w:spacing w:after="0"/>
        <w:ind w:left="851"/>
        <w:rPr>
          <w:rFonts w:ascii="Segoe UI Light" w:hAnsi="Segoe UI Light" w:cs="Segoe UI Light"/>
          <w:sz w:val="20"/>
          <w:szCs w:val="20"/>
        </w:rPr>
      </w:pPr>
      <w:r>
        <w:rPr>
          <w:rFonts w:ascii="Segoe UI Light" w:hAnsi="Segoe UI Light" w:cs="Segoe UI Light"/>
          <w:sz w:val="20"/>
          <w:szCs w:val="20"/>
        </w:rPr>
        <w:t>10 Victorian government agencies</w:t>
      </w:r>
    </w:p>
    <w:p w14:paraId="656B16C2" w14:textId="77777777" w:rsidR="005D3B6D" w:rsidRDefault="005D3B6D" w:rsidP="00527FA8">
      <w:pPr>
        <w:pStyle w:val="EPANormal"/>
        <w:numPr>
          <w:ilvl w:val="0"/>
          <w:numId w:val="48"/>
        </w:numPr>
        <w:spacing w:after="0"/>
        <w:ind w:left="851"/>
        <w:rPr>
          <w:rFonts w:ascii="Segoe UI Light" w:hAnsi="Segoe UI Light" w:cs="Segoe UI Light"/>
          <w:sz w:val="20"/>
          <w:szCs w:val="20"/>
        </w:rPr>
      </w:pPr>
      <w:r>
        <w:rPr>
          <w:rFonts w:ascii="Segoe UI Light" w:hAnsi="Segoe UI Light" w:cs="Segoe UI Light"/>
          <w:sz w:val="20"/>
          <w:szCs w:val="20"/>
        </w:rPr>
        <w:t>8 local councils</w:t>
      </w:r>
      <w:r w:rsidR="00044857">
        <w:rPr>
          <w:rFonts w:ascii="Segoe UI Light" w:hAnsi="Segoe UI Light" w:cs="Segoe UI Light"/>
          <w:sz w:val="20"/>
          <w:szCs w:val="20"/>
        </w:rPr>
        <w:t>.</w:t>
      </w:r>
      <w:r>
        <w:rPr>
          <w:rFonts w:ascii="Segoe UI Light" w:hAnsi="Segoe UI Light" w:cs="Segoe UI Light"/>
          <w:sz w:val="20"/>
          <w:szCs w:val="20"/>
        </w:rPr>
        <w:t xml:space="preserve"> </w:t>
      </w:r>
    </w:p>
    <w:p w14:paraId="656B16C3" w14:textId="77777777" w:rsidR="005D3B6D" w:rsidRDefault="005D3B6D">
      <w:r>
        <w:t>Furthermore, Deloitte conducted a survey to supplement this information</w:t>
      </w:r>
      <w:r w:rsidR="006C75E6">
        <w:t xml:space="preserve"> with further responses around the costs, benefits and other impacts of the proposed Regulations. This online survey </w:t>
      </w:r>
      <w:r>
        <w:t xml:space="preserve">was completed by 105 participants, comprising: </w:t>
      </w:r>
    </w:p>
    <w:p w14:paraId="656B16C4" w14:textId="77777777" w:rsidR="005D3B6D" w:rsidRDefault="006C75E6" w:rsidP="00527FA8">
      <w:pPr>
        <w:pStyle w:val="EPANormal"/>
        <w:numPr>
          <w:ilvl w:val="0"/>
          <w:numId w:val="48"/>
        </w:numPr>
        <w:spacing w:after="0"/>
        <w:ind w:left="851"/>
        <w:rPr>
          <w:rFonts w:ascii="Segoe UI Light" w:hAnsi="Segoe UI Light" w:cs="Segoe UI Light"/>
          <w:sz w:val="20"/>
          <w:szCs w:val="20"/>
        </w:rPr>
      </w:pPr>
      <w:r>
        <w:rPr>
          <w:rFonts w:ascii="Segoe UI Light" w:hAnsi="Segoe UI Light" w:cs="Segoe UI Light"/>
          <w:sz w:val="20"/>
          <w:szCs w:val="20"/>
        </w:rPr>
        <w:t>64 private businesses</w:t>
      </w:r>
    </w:p>
    <w:p w14:paraId="656B16C5" w14:textId="77777777" w:rsidR="006C75E6" w:rsidRPr="009D2339" w:rsidRDefault="006C75E6" w:rsidP="00527FA8">
      <w:pPr>
        <w:pStyle w:val="EPANormal"/>
        <w:numPr>
          <w:ilvl w:val="0"/>
          <w:numId w:val="48"/>
        </w:numPr>
        <w:spacing w:after="0"/>
        <w:ind w:left="851"/>
        <w:rPr>
          <w:rFonts w:ascii="Segoe UI Light" w:hAnsi="Segoe UI Light" w:cs="Segoe UI Light"/>
          <w:sz w:val="20"/>
          <w:szCs w:val="20"/>
        </w:rPr>
      </w:pPr>
      <w:r>
        <w:rPr>
          <w:rFonts w:ascii="Segoe UI Light" w:hAnsi="Segoe UI Light" w:cs="Segoe UI Light"/>
          <w:sz w:val="20"/>
          <w:szCs w:val="20"/>
        </w:rPr>
        <w:t>16 Government-</w:t>
      </w:r>
      <w:r w:rsidRPr="009D2339">
        <w:rPr>
          <w:rFonts w:ascii="Segoe UI Light" w:hAnsi="Segoe UI Light" w:cs="Segoe UI Light"/>
          <w:sz w:val="20"/>
          <w:szCs w:val="20"/>
        </w:rPr>
        <w:t xml:space="preserve">owned entities </w:t>
      </w:r>
    </w:p>
    <w:p w14:paraId="656B16C6" w14:textId="77777777" w:rsidR="001C4CD6" w:rsidRPr="0093229A" w:rsidRDefault="006C75E6" w:rsidP="00527FA8">
      <w:pPr>
        <w:pStyle w:val="EPANormal"/>
        <w:numPr>
          <w:ilvl w:val="0"/>
          <w:numId w:val="48"/>
        </w:numPr>
        <w:spacing w:after="0"/>
        <w:ind w:left="851"/>
        <w:rPr>
          <w:rFonts w:ascii="Segoe UI Light" w:hAnsi="Segoe UI Light" w:cs="Segoe UI Light"/>
          <w:b/>
          <w:i/>
          <w:sz w:val="20"/>
          <w:szCs w:val="20"/>
        </w:rPr>
      </w:pPr>
      <w:r w:rsidRPr="00950AFE">
        <w:rPr>
          <w:rFonts w:ascii="Segoe UI Light" w:hAnsi="Segoe UI Light" w:cs="Segoe UI Light"/>
          <w:sz w:val="20"/>
          <w:szCs w:val="20"/>
        </w:rPr>
        <w:t xml:space="preserve">24 local council representatives. </w:t>
      </w:r>
    </w:p>
    <w:p w14:paraId="656B16C7" w14:textId="77777777" w:rsidR="005502D5" w:rsidRPr="009D2339" w:rsidRDefault="005502D5" w:rsidP="00982D63">
      <w:pPr>
        <w:pStyle w:val="Heading2"/>
        <w:rPr>
          <w:szCs w:val="20"/>
        </w:rPr>
      </w:pPr>
      <w:r w:rsidRPr="009D2339">
        <w:t>How were they consulted</w:t>
      </w:r>
      <w:r w:rsidR="005D3B6D" w:rsidRPr="006B41FE">
        <w:t>?</w:t>
      </w:r>
    </w:p>
    <w:p w14:paraId="656B16C8" w14:textId="77777777" w:rsidR="006C75E6" w:rsidRPr="009D2339" w:rsidRDefault="006C75E6" w:rsidP="00F118E7">
      <w:pPr>
        <w:pStyle w:val="EPANormal"/>
        <w:spacing w:after="0"/>
        <w:rPr>
          <w:rFonts w:ascii="Segoe UI Light" w:hAnsi="Segoe UI Light" w:cs="Segoe UI Light"/>
          <w:sz w:val="20"/>
          <w:szCs w:val="20"/>
        </w:rPr>
      </w:pPr>
      <w:r w:rsidRPr="009D2339">
        <w:rPr>
          <w:rFonts w:ascii="Segoe UI Light" w:hAnsi="Segoe UI Light" w:cs="Segoe UI Light"/>
          <w:sz w:val="20"/>
          <w:szCs w:val="20"/>
        </w:rPr>
        <w:t xml:space="preserve">Stakeholders were consulted in one of four ways: </w:t>
      </w:r>
    </w:p>
    <w:p w14:paraId="656B16C9" w14:textId="77777777" w:rsidR="005502D5" w:rsidRPr="009D2339" w:rsidRDefault="006C75E6" w:rsidP="00527FA8">
      <w:pPr>
        <w:pStyle w:val="EPANormal"/>
        <w:numPr>
          <w:ilvl w:val="0"/>
          <w:numId w:val="48"/>
        </w:numPr>
        <w:spacing w:after="0"/>
        <w:ind w:left="851"/>
        <w:rPr>
          <w:sz w:val="20"/>
          <w:szCs w:val="20"/>
        </w:rPr>
      </w:pPr>
      <w:r w:rsidRPr="009D2339">
        <w:rPr>
          <w:rFonts w:ascii="Segoe UI Light" w:hAnsi="Segoe UI Light" w:cs="Segoe UI Light"/>
          <w:sz w:val="20"/>
          <w:szCs w:val="20"/>
        </w:rPr>
        <w:t xml:space="preserve">Online survey </w:t>
      </w:r>
    </w:p>
    <w:p w14:paraId="656B16CA" w14:textId="77777777" w:rsidR="006C75E6" w:rsidRPr="009D2339" w:rsidRDefault="006C75E6" w:rsidP="00527FA8">
      <w:pPr>
        <w:pStyle w:val="EPANormal"/>
        <w:numPr>
          <w:ilvl w:val="0"/>
          <w:numId w:val="48"/>
        </w:numPr>
        <w:spacing w:after="0"/>
        <w:ind w:left="851"/>
        <w:rPr>
          <w:rFonts w:ascii="Segoe UI Light" w:hAnsi="Segoe UI Light" w:cs="Segoe UI Light"/>
          <w:sz w:val="20"/>
          <w:szCs w:val="20"/>
        </w:rPr>
      </w:pPr>
      <w:r w:rsidRPr="009D2339">
        <w:rPr>
          <w:rFonts w:ascii="Segoe UI Light" w:hAnsi="Segoe UI Light" w:cs="Segoe UI Light"/>
          <w:sz w:val="20"/>
          <w:szCs w:val="20"/>
        </w:rPr>
        <w:t>Face-to-face consultations</w:t>
      </w:r>
    </w:p>
    <w:p w14:paraId="656B16CB" w14:textId="77777777" w:rsidR="006C75E6" w:rsidRPr="009D2339" w:rsidRDefault="006C75E6" w:rsidP="00527FA8">
      <w:pPr>
        <w:pStyle w:val="EPANormal"/>
        <w:numPr>
          <w:ilvl w:val="0"/>
          <w:numId w:val="48"/>
        </w:numPr>
        <w:spacing w:after="0"/>
        <w:ind w:left="851"/>
        <w:rPr>
          <w:rFonts w:ascii="Segoe UI Light" w:hAnsi="Segoe UI Light" w:cs="Segoe UI Light"/>
          <w:sz w:val="20"/>
          <w:szCs w:val="20"/>
        </w:rPr>
      </w:pPr>
      <w:r w:rsidRPr="009D2339">
        <w:rPr>
          <w:rFonts w:ascii="Segoe UI Light" w:hAnsi="Segoe UI Light" w:cs="Segoe UI Light"/>
          <w:sz w:val="20"/>
          <w:szCs w:val="20"/>
        </w:rPr>
        <w:t>One-on-one phone consultations</w:t>
      </w:r>
    </w:p>
    <w:p w14:paraId="656B16CC" w14:textId="77777777" w:rsidR="001C4CD6" w:rsidRPr="009D2339" w:rsidRDefault="006C75E6" w:rsidP="00527FA8">
      <w:pPr>
        <w:pStyle w:val="EPANormal"/>
        <w:numPr>
          <w:ilvl w:val="0"/>
          <w:numId w:val="48"/>
        </w:numPr>
        <w:spacing w:after="0"/>
        <w:ind w:left="851"/>
        <w:rPr>
          <w:rFonts w:ascii="Segoe UI Light" w:hAnsi="Segoe UI Light" w:cs="Segoe UI Light"/>
          <w:b/>
          <w:i/>
          <w:sz w:val="20"/>
          <w:szCs w:val="20"/>
        </w:rPr>
      </w:pPr>
      <w:r w:rsidRPr="009D2339">
        <w:rPr>
          <w:rFonts w:ascii="Segoe UI Light" w:hAnsi="Segoe UI Light" w:cs="Segoe UI Light"/>
          <w:sz w:val="20"/>
          <w:szCs w:val="20"/>
        </w:rPr>
        <w:t>Workshop (for local councils, in relation to on</w:t>
      </w:r>
      <w:r w:rsidR="00DD5CE9" w:rsidRPr="009D2339">
        <w:rPr>
          <w:rFonts w:ascii="Segoe UI Light" w:hAnsi="Segoe UI Light" w:cs="Segoe UI Light"/>
          <w:sz w:val="20"/>
          <w:szCs w:val="20"/>
        </w:rPr>
        <w:t>-</w:t>
      </w:r>
      <w:r w:rsidRPr="009D2339">
        <w:rPr>
          <w:rFonts w:ascii="Segoe UI Light" w:hAnsi="Segoe UI Light" w:cs="Segoe UI Light"/>
          <w:sz w:val="20"/>
          <w:szCs w:val="20"/>
        </w:rPr>
        <w:t xml:space="preserve">site wastewater management system regulations). </w:t>
      </w:r>
    </w:p>
    <w:p w14:paraId="656B16CD" w14:textId="77777777" w:rsidR="005502D5" w:rsidRPr="009D2339" w:rsidRDefault="005502D5" w:rsidP="00982D63">
      <w:pPr>
        <w:pStyle w:val="Heading2"/>
        <w:rPr>
          <w:szCs w:val="20"/>
        </w:rPr>
      </w:pPr>
      <w:r w:rsidRPr="009D2339">
        <w:t>What information was collected</w:t>
      </w:r>
      <w:r w:rsidR="005D3B6D" w:rsidRPr="006B41FE">
        <w:t>?</w:t>
      </w:r>
    </w:p>
    <w:p w14:paraId="656B16CE" w14:textId="77777777" w:rsidR="00DE5D4E" w:rsidRPr="00DE5D4E" w:rsidRDefault="00050F5E" w:rsidP="00F118E7">
      <w:r w:rsidRPr="009D2339">
        <w:t>In consultation with businesses, questions were</w:t>
      </w:r>
      <w:r w:rsidRPr="00DE5D4E">
        <w:t xml:space="preserve"> asked about the costs of the proposed Regulations and the possible costs associated with the proposed Regulations. </w:t>
      </w:r>
      <w:r w:rsidR="005D3B6D">
        <w:t xml:space="preserve">Some government agencies and councils were also able to provide estimated costs of the proposed regulations: some from the perspective of an enforcement agency, and other from the perspective of a duty holder. </w:t>
      </w:r>
    </w:p>
    <w:p w14:paraId="656B16CF" w14:textId="77777777" w:rsidR="005D3B6D" w:rsidRPr="005D3B6D" w:rsidRDefault="00050F5E" w:rsidP="00DE5D4E">
      <w:pPr>
        <w:pStyle w:val="EPANormal"/>
        <w:rPr>
          <w:rFonts w:ascii="Segoe UI Light" w:hAnsi="Segoe UI Light" w:cs="Segoe UI Light"/>
          <w:sz w:val="20"/>
          <w:szCs w:val="20"/>
        </w:rPr>
      </w:pPr>
      <w:r w:rsidRPr="00DE5D4E">
        <w:rPr>
          <w:rFonts w:ascii="Segoe UI Light" w:hAnsi="Segoe UI Light" w:cs="Segoe UI Light"/>
          <w:sz w:val="20"/>
          <w:szCs w:val="20"/>
        </w:rPr>
        <w:t>The consultation with industry groups focussed on understanding the impacts of the proposed Regulations rather than asking industry groups to provide cost details.</w:t>
      </w:r>
      <w:r w:rsidR="00044857">
        <w:rPr>
          <w:rFonts w:ascii="Segoe UI Light" w:hAnsi="Segoe UI Light" w:cs="Segoe UI Light"/>
          <w:sz w:val="20"/>
          <w:szCs w:val="20"/>
        </w:rPr>
        <w:t xml:space="preserve"> However, where information on cost details could reasonably be provided then this was explored with relevant industry stakeholders. </w:t>
      </w:r>
    </w:p>
    <w:p w14:paraId="656B16D0" w14:textId="77777777" w:rsidR="00DE5D4E" w:rsidRPr="00CB1191" w:rsidRDefault="00DE5D4E" w:rsidP="00982D63">
      <w:pPr>
        <w:pStyle w:val="Heading2"/>
        <w:rPr>
          <w:rFonts w:cs="Segoe UI Light"/>
          <w:szCs w:val="20"/>
        </w:rPr>
      </w:pPr>
      <w:r w:rsidRPr="00CB1191">
        <w:t>How information collected has been incorporated into the RIS</w:t>
      </w:r>
    </w:p>
    <w:p w14:paraId="656B16D1" w14:textId="77777777" w:rsidR="005D3B6D" w:rsidRDefault="005D3B6D" w:rsidP="00F118E7">
      <w:r>
        <w:t xml:space="preserve">This information has been incorporated into the RIS </w:t>
      </w:r>
      <w:r w:rsidR="006C75E6">
        <w:t>primarily to inform the analysis of the costs and benefits associated with the proposed regulations. In some cases, the level of information collected was insufficient to inform the analysis, either because the sample size was insufficient, or businesses were uncertain of the impact of the proposed regulations and were therefore unable to provide reliable estimates</w:t>
      </w:r>
      <w:r w:rsidR="00044857">
        <w:t xml:space="preserve"> or insights</w:t>
      </w:r>
      <w:r w:rsidR="006C75E6">
        <w:t xml:space="preserve">. </w:t>
      </w:r>
    </w:p>
    <w:p w14:paraId="656B16D2" w14:textId="77777777" w:rsidR="006C75E6" w:rsidRDefault="006C75E6" w:rsidP="00F118E7">
      <w:r>
        <w:t xml:space="preserve">Where consultation information has been used as a modelling assumption or information source, it has been referenced in the RIS. </w:t>
      </w:r>
    </w:p>
    <w:p w14:paraId="656B16D3" w14:textId="77777777" w:rsidR="00822768" w:rsidRDefault="00822768" w:rsidP="00982D63">
      <w:pPr>
        <w:pStyle w:val="Heading2"/>
      </w:pPr>
      <w:r>
        <w:t>Key themes by topic</w:t>
      </w:r>
    </w:p>
    <w:p w14:paraId="656B16D4" w14:textId="77777777" w:rsidR="00822768" w:rsidRPr="00DF2D21" w:rsidRDefault="00822768" w:rsidP="00822768">
      <w:pPr>
        <w:rPr>
          <w:rFonts w:cs="Segoe UI Light"/>
        </w:rPr>
      </w:pPr>
      <w:r w:rsidRPr="00DF2D21">
        <w:rPr>
          <w:rFonts w:cs="Segoe UI Light"/>
        </w:rPr>
        <w:t>A number of key themes emerged from the stakeholder consultations. These are summarised below.</w:t>
      </w:r>
    </w:p>
    <w:p w14:paraId="656B16D5" w14:textId="77777777" w:rsidR="007203AE" w:rsidRDefault="007203AE" w:rsidP="007203AE">
      <w:pPr>
        <w:pStyle w:val="Caption"/>
      </w:pPr>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B11C1E">
        <w:rPr>
          <w:noProof/>
        </w:rPr>
        <w:t>20</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B11C1E">
        <w:rPr>
          <w:noProof/>
        </w:rPr>
        <w:t>1</w:t>
      </w:r>
      <w:r>
        <w:rPr>
          <w:color w:val="2B579A"/>
          <w:shd w:val="clear" w:color="auto" w:fill="E6E6E6"/>
        </w:rPr>
        <w:fldChar w:fldCharType="end"/>
      </w:r>
      <w:r>
        <w:t xml:space="preserve"> Consultation themes</w:t>
      </w:r>
    </w:p>
    <w:tbl>
      <w:tblPr>
        <w:tblStyle w:val="Deloittetable12"/>
        <w:tblW w:w="0" w:type="auto"/>
        <w:tblLook w:val="04A0" w:firstRow="1" w:lastRow="0" w:firstColumn="1" w:lastColumn="0" w:noHBand="0" w:noVBand="1"/>
      </w:tblPr>
      <w:tblGrid>
        <w:gridCol w:w="1449"/>
        <w:gridCol w:w="7906"/>
      </w:tblGrid>
      <w:tr w:rsidR="00044857" w14:paraId="656B16D8" w14:textId="77777777" w:rsidTr="00BD480F">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656B16D6" w14:textId="77777777" w:rsidR="00044857" w:rsidRPr="00044857" w:rsidRDefault="00044857" w:rsidP="00BD480F">
            <w:pPr>
              <w:spacing w:line="240" w:lineRule="auto"/>
              <w:rPr>
                <w:rFonts w:cs="Segoe UI Light"/>
                <w:b/>
              </w:rPr>
            </w:pPr>
            <w:r w:rsidRPr="00044857">
              <w:rPr>
                <w:rFonts w:cs="Segoe UI Light"/>
                <w:b/>
              </w:rPr>
              <w:t xml:space="preserve">Theme </w:t>
            </w:r>
          </w:p>
        </w:tc>
        <w:tc>
          <w:tcPr>
            <w:tcW w:w="0" w:type="auto"/>
          </w:tcPr>
          <w:p w14:paraId="656B16D7" w14:textId="77777777" w:rsidR="00044857" w:rsidRPr="00044857" w:rsidRDefault="00044857" w:rsidP="00BD480F">
            <w:pPr>
              <w:spacing w:line="240" w:lineRule="auto"/>
              <w:rPr>
                <w:rFonts w:cs="Segoe UI Light"/>
                <w:b/>
              </w:rPr>
            </w:pPr>
            <w:r w:rsidRPr="00044857">
              <w:rPr>
                <w:rFonts w:cs="Segoe UI Light"/>
                <w:b/>
              </w:rPr>
              <w:t>Key discussion points</w:t>
            </w:r>
          </w:p>
        </w:tc>
      </w:tr>
      <w:tr w:rsidR="00044857" w14:paraId="656B16DC" w14:textId="77777777" w:rsidTr="00BD480F">
        <w:trPr>
          <w:cantSplit/>
        </w:trPr>
        <w:tc>
          <w:tcPr>
            <w:tcW w:w="0" w:type="auto"/>
          </w:tcPr>
          <w:p w14:paraId="656B16D9" w14:textId="77777777" w:rsidR="00044857" w:rsidRDefault="00044857" w:rsidP="00BD480F">
            <w:pPr>
              <w:spacing w:line="240" w:lineRule="auto"/>
              <w:rPr>
                <w:rFonts w:cs="Segoe UI Light"/>
              </w:rPr>
            </w:pPr>
            <w:r>
              <w:rPr>
                <w:rFonts w:cs="Segoe UI Light"/>
              </w:rPr>
              <w:t>Permissioning</w:t>
            </w:r>
          </w:p>
        </w:tc>
        <w:tc>
          <w:tcPr>
            <w:tcW w:w="0" w:type="auto"/>
          </w:tcPr>
          <w:p w14:paraId="656B16DA" w14:textId="77777777" w:rsidR="00044857" w:rsidRPr="00414C0D" w:rsidRDefault="00044857" w:rsidP="00BD480F">
            <w:pPr>
              <w:spacing w:line="240" w:lineRule="auto"/>
              <w:rPr>
                <w:rFonts w:cs="Segoe UI Light"/>
              </w:rPr>
            </w:pPr>
            <w:r w:rsidRPr="00414C0D">
              <w:rPr>
                <w:rFonts w:cs="Segoe UI Light"/>
                <w:szCs w:val="17"/>
              </w:rPr>
              <w:t xml:space="preserve">Stakeholders provided detailed cost information about the permissioning framework which informed the cost-benefit analysis in the report. </w:t>
            </w:r>
          </w:p>
          <w:p w14:paraId="656B16DB" w14:textId="77777777" w:rsidR="00044857" w:rsidRDefault="00044857" w:rsidP="00BD480F">
            <w:pPr>
              <w:spacing w:line="240" w:lineRule="auto"/>
              <w:rPr>
                <w:rFonts w:cs="Segoe UI Light"/>
              </w:rPr>
            </w:pPr>
            <w:r w:rsidRPr="00414C0D">
              <w:rPr>
                <w:rFonts w:cs="Segoe UI Light"/>
                <w:szCs w:val="17"/>
              </w:rPr>
              <w:t>Generally, permission-holders saw value in holding an EPA permission, since it provided greater clarity to them in terms of their environmental obligations, and also provided a ‘level playing field’ with their competitors</w:t>
            </w:r>
            <w:r w:rsidR="00DC7A63">
              <w:rPr>
                <w:rFonts w:cs="Segoe UI Light"/>
                <w:szCs w:val="17"/>
              </w:rPr>
              <w:t xml:space="preserve">. </w:t>
            </w:r>
          </w:p>
        </w:tc>
      </w:tr>
      <w:tr w:rsidR="00044857" w14:paraId="656B16DF" w14:textId="77777777" w:rsidTr="00BD480F">
        <w:trPr>
          <w:cantSplit/>
        </w:trPr>
        <w:tc>
          <w:tcPr>
            <w:tcW w:w="0" w:type="auto"/>
          </w:tcPr>
          <w:p w14:paraId="656B16DD" w14:textId="77777777" w:rsidR="00044857" w:rsidRDefault="00044857" w:rsidP="00BD480F">
            <w:pPr>
              <w:spacing w:line="240" w:lineRule="auto"/>
              <w:rPr>
                <w:rFonts w:cs="Segoe UI Light"/>
              </w:rPr>
            </w:pPr>
            <w:r>
              <w:rPr>
                <w:rFonts w:cs="Segoe UI Light"/>
              </w:rPr>
              <w:t>Water</w:t>
            </w:r>
          </w:p>
        </w:tc>
        <w:tc>
          <w:tcPr>
            <w:tcW w:w="0" w:type="auto"/>
          </w:tcPr>
          <w:p w14:paraId="656B16DE" w14:textId="77777777" w:rsidR="00044857" w:rsidRDefault="00BD480F" w:rsidP="00BD480F">
            <w:pPr>
              <w:spacing w:line="240" w:lineRule="auto"/>
              <w:rPr>
                <w:rFonts w:cs="Segoe UI Light"/>
              </w:rPr>
            </w:pPr>
            <w:r>
              <w:rPr>
                <w:rFonts w:cs="Segoe UI Light"/>
              </w:rPr>
              <w:t>Stakeholders were generally of the view that n</w:t>
            </w:r>
            <w:r w:rsidRPr="00DF2D21">
              <w:rPr>
                <w:rFonts w:cs="Segoe UI Light"/>
              </w:rPr>
              <w:t xml:space="preserve">ew regulations </w:t>
            </w:r>
            <w:r>
              <w:rPr>
                <w:rFonts w:cs="Segoe UI Light"/>
              </w:rPr>
              <w:t xml:space="preserve">are unlikely to </w:t>
            </w:r>
            <w:r w:rsidRPr="00DF2D21">
              <w:rPr>
                <w:rFonts w:cs="Segoe UI Light"/>
              </w:rPr>
              <w:t>impose any additional constraints on industry</w:t>
            </w:r>
            <w:r>
              <w:rPr>
                <w:rFonts w:cs="Segoe UI Light"/>
              </w:rPr>
              <w:t>.</w:t>
            </w:r>
          </w:p>
        </w:tc>
      </w:tr>
      <w:tr w:rsidR="00044857" w14:paraId="656B16EA" w14:textId="77777777" w:rsidTr="00BD480F">
        <w:trPr>
          <w:cantSplit/>
        </w:trPr>
        <w:tc>
          <w:tcPr>
            <w:tcW w:w="0" w:type="auto"/>
          </w:tcPr>
          <w:p w14:paraId="656B16E0" w14:textId="77777777" w:rsidR="00BD480F" w:rsidRPr="00BD480F" w:rsidRDefault="00BD480F" w:rsidP="00BD480F">
            <w:pPr>
              <w:spacing w:line="240" w:lineRule="auto"/>
              <w:rPr>
                <w:rFonts w:cs="Segoe UI Light"/>
              </w:rPr>
            </w:pPr>
            <w:r w:rsidRPr="00BD480F">
              <w:rPr>
                <w:rFonts w:cs="Segoe UI Light"/>
              </w:rPr>
              <w:t>On</w:t>
            </w:r>
            <w:r w:rsidR="00DD5CE9">
              <w:rPr>
                <w:rFonts w:cs="Segoe UI Light"/>
              </w:rPr>
              <w:t>-</w:t>
            </w:r>
            <w:r w:rsidRPr="00BD480F">
              <w:rPr>
                <w:rFonts w:cs="Segoe UI Light"/>
              </w:rPr>
              <w:t xml:space="preserve">site Wastewater management </w:t>
            </w:r>
          </w:p>
          <w:p w14:paraId="656B16E1" w14:textId="77777777" w:rsidR="00044857" w:rsidRDefault="00044857" w:rsidP="00BD480F">
            <w:pPr>
              <w:spacing w:line="240" w:lineRule="auto"/>
              <w:rPr>
                <w:rFonts w:cs="Segoe UI Light"/>
              </w:rPr>
            </w:pPr>
          </w:p>
        </w:tc>
        <w:tc>
          <w:tcPr>
            <w:tcW w:w="0" w:type="auto"/>
          </w:tcPr>
          <w:p w14:paraId="656B16E2" w14:textId="77777777" w:rsidR="00BD480F" w:rsidRDefault="00BD480F" w:rsidP="00BD480F">
            <w:pPr>
              <w:spacing w:line="240" w:lineRule="auto"/>
              <w:rPr>
                <w:rFonts w:cs="Segoe UI Light"/>
              </w:rPr>
            </w:pPr>
            <w:r>
              <w:rPr>
                <w:rFonts w:cs="Segoe UI Light"/>
              </w:rPr>
              <w:t>Local councils were able to provide estimates surrounding the costs of administering Permits for on</w:t>
            </w:r>
            <w:r w:rsidR="00DD5CE9">
              <w:rPr>
                <w:rFonts w:cs="Segoe UI Light"/>
              </w:rPr>
              <w:t>-</w:t>
            </w:r>
            <w:r>
              <w:rPr>
                <w:rFonts w:cs="Segoe UI Light"/>
              </w:rPr>
              <w:t xml:space="preserve">site wastewater management systems. </w:t>
            </w:r>
          </w:p>
          <w:p w14:paraId="656B16E3" w14:textId="77777777" w:rsidR="00BD480F" w:rsidRPr="00DF2D21" w:rsidRDefault="00BD480F" w:rsidP="00BD480F">
            <w:pPr>
              <w:spacing w:line="240" w:lineRule="auto"/>
              <w:rPr>
                <w:rFonts w:cs="Segoe UI Light"/>
              </w:rPr>
            </w:pPr>
            <w:r>
              <w:rPr>
                <w:rFonts w:cs="Segoe UI Light"/>
              </w:rPr>
              <w:t>They were generally of the view that</w:t>
            </w:r>
            <w:r w:rsidRPr="00DF2D21">
              <w:rPr>
                <w:rFonts w:cs="Segoe UI Light"/>
              </w:rPr>
              <w:t xml:space="preserve"> </w:t>
            </w:r>
            <w:r>
              <w:rPr>
                <w:rFonts w:cs="Segoe UI Light"/>
              </w:rPr>
              <w:t>it was important to continue the existing permit system (for installation of and alteration to on</w:t>
            </w:r>
            <w:r w:rsidR="00DD5CE9">
              <w:rPr>
                <w:rFonts w:cs="Segoe UI Light"/>
              </w:rPr>
              <w:t>-</w:t>
            </w:r>
            <w:r>
              <w:rPr>
                <w:rFonts w:cs="Segoe UI Light"/>
              </w:rPr>
              <w:t xml:space="preserve">site systems), for the following reasons: </w:t>
            </w:r>
          </w:p>
          <w:p w14:paraId="656B16E4" w14:textId="77777777" w:rsidR="00BD480F" w:rsidRPr="00DF2D21" w:rsidRDefault="00527FA8" w:rsidP="00BD480F">
            <w:pPr>
              <w:pStyle w:val="ListParagraph"/>
              <w:numPr>
                <w:ilvl w:val="0"/>
                <w:numId w:val="194"/>
              </w:numPr>
              <w:spacing w:line="240" w:lineRule="auto"/>
              <w:textboxTightWrap w:val="none"/>
              <w:rPr>
                <w:rFonts w:cs="Segoe UI Light"/>
              </w:rPr>
            </w:pPr>
            <w:r>
              <w:rPr>
                <w:rFonts w:cs="Segoe UI Light"/>
              </w:rPr>
              <w:t xml:space="preserve">Improvements </w:t>
            </w:r>
            <w:r w:rsidR="00BD480F">
              <w:rPr>
                <w:rFonts w:cs="Segoe UI Light"/>
              </w:rPr>
              <w:t>in public health</w:t>
            </w:r>
          </w:p>
          <w:p w14:paraId="656B16E5" w14:textId="77777777" w:rsidR="00BD480F" w:rsidRPr="00DF2D21" w:rsidRDefault="00527FA8" w:rsidP="00BD480F">
            <w:pPr>
              <w:pStyle w:val="ListParagraph"/>
              <w:numPr>
                <w:ilvl w:val="0"/>
                <w:numId w:val="194"/>
              </w:numPr>
              <w:spacing w:line="240" w:lineRule="auto"/>
              <w:textboxTightWrap w:val="none"/>
              <w:rPr>
                <w:rFonts w:cs="Segoe UI Light"/>
              </w:rPr>
            </w:pPr>
            <w:r>
              <w:rPr>
                <w:rFonts w:cs="Segoe UI Light"/>
              </w:rPr>
              <w:t>I</w:t>
            </w:r>
            <w:r w:rsidR="00BD480F" w:rsidRPr="00DF2D21">
              <w:rPr>
                <w:rFonts w:cs="Segoe UI Light"/>
              </w:rPr>
              <w:t>mproved experience for septic system users, including maintained quality and in</w:t>
            </w:r>
            <w:r w:rsidR="00BD480F">
              <w:rPr>
                <w:rFonts w:cs="Segoe UI Light"/>
              </w:rPr>
              <w:t>creased awareness and education</w:t>
            </w:r>
          </w:p>
          <w:p w14:paraId="656B16E6" w14:textId="77777777" w:rsidR="00BD480F" w:rsidRPr="00DF2D21" w:rsidRDefault="00527FA8" w:rsidP="00BD480F">
            <w:pPr>
              <w:pStyle w:val="ListParagraph"/>
              <w:numPr>
                <w:ilvl w:val="0"/>
                <w:numId w:val="194"/>
              </w:numPr>
              <w:spacing w:line="240" w:lineRule="auto"/>
              <w:textboxTightWrap w:val="none"/>
              <w:rPr>
                <w:rFonts w:cs="Segoe UI Light"/>
              </w:rPr>
            </w:pPr>
            <w:r>
              <w:rPr>
                <w:rFonts w:cs="Segoe UI Light"/>
              </w:rPr>
              <w:t>R</w:t>
            </w:r>
            <w:r w:rsidR="00BD480F" w:rsidRPr="00DF2D21">
              <w:rPr>
                <w:rFonts w:cs="Segoe UI Light"/>
              </w:rPr>
              <w:t xml:space="preserve">eduction in the future workload of </w:t>
            </w:r>
            <w:r w:rsidR="00BD480F">
              <w:rPr>
                <w:rFonts w:cs="Segoe UI Light"/>
              </w:rPr>
              <w:t>Councils regarding septic tanks</w:t>
            </w:r>
          </w:p>
          <w:p w14:paraId="656B16E7" w14:textId="77777777" w:rsidR="00BD480F" w:rsidRPr="00DF2D21" w:rsidRDefault="00527FA8" w:rsidP="00BD480F">
            <w:pPr>
              <w:pStyle w:val="ListParagraph"/>
              <w:numPr>
                <w:ilvl w:val="0"/>
                <w:numId w:val="194"/>
              </w:numPr>
              <w:spacing w:line="240" w:lineRule="auto"/>
              <w:textboxTightWrap w:val="none"/>
              <w:rPr>
                <w:rFonts w:cs="Segoe UI Light"/>
              </w:rPr>
            </w:pPr>
            <w:r>
              <w:rPr>
                <w:rFonts w:cs="Segoe UI Light"/>
              </w:rPr>
              <w:t>E</w:t>
            </w:r>
            <w:r w:rsidR="00BD480F" w:rsidRPr="00DF2D21">
              <w:rPr>
                <w:rFonts w:cs="Segoe UI Light"/>
              </w:rPr>
              <w:t>nvironmental benefits from incre</w:t>
            </w:r>
            <w:r w:rsidR="00BD480F">
              <w:rPr>
                <w:rFonts w:cs="Segoe UI Light"/>
              </w:rPr>
              <w:t>ased and proper septic tank use</w:t>
            </w:r>
          </w:p>
          <w:p w14:paraId="656B16E8" w14:textId="77777777" w:rsidR="00BD480F" w:rsidRPr="00DF2D21" w:rsidRDefault="00527FA8" w:rsidP="00BD480F">
            <w:pPr>
              <w:pStyle w:val="ListParagraph"/>
              <w:numPr>
                <w:ilvl w:val="0"/>
                <w:numId w:val="194"/>
              </w:numPr>
              <w:spacing w:line="240" w:lineRule="auto"/>
              <w:textboxTightWrap w:val="none"/>
              <w:rPr>
                <w:rFonts w:cs="Segoe UI Light"/>
              </w:rPr>
            </w:pPr>
            <w:r>
              <w:rPr>
                <w:rFonts w:cs="Segoe UI Light"/>
              </w:rPr>
              <w:t>B</w:t>
            </w:r>
            <w:r w:rsidR="00BD480F" w:rsidRPr="00DF2D21">
              <w:rPr>
                <w:rFonts w:cs="Segoe UI Light"/>
              </w:rPr>
              <w:t>enefits to regional areas with high septic tank density, with improvements to local air quality.</w:t>
            </w:r>
          </w:p>
          <w:p w14:paraId="656B16E9" w14:textId="77777777" w:rsidR="00044857" w:rsidRDefault="00BD480F" w:rsidP="00BD480F">
            <w:pPr>
              <w:spacing w:line="240" w:lineRule="auto"/>
              <w:rPr>
                <w:rFonts w:cs="Segoe UI Light"/>
              </w:rPr>
            </w:pPr>
            <w:r>
              <w:rPr>
                <w:rFonts w:cs="Segoe UI Light"/>
              </w:rPr>
              <w:t xml:space="preserve">Council officers were generally of the view that a system of operating permits would be very costly for councils, and difficult to enforce in specific areas where financial hardship was an issue. However, as aging and failing on-site systems is considered a significant issue in certain areas across the state, any actions that enabled councils to address this issue were viewed favourably. </w:t>
            </w:r>
          </w:p>
        </w:tc>
      </w:tr>
      <w:tr w:rsidR="00044857" w14:paraId="656B16EE" w14:textId="77777777" w:rsidTr="00BD480F">
        <w:trPr>
          <w:cantSplit/>
        </w:trPr>
        <w:tc>
          <w:tcPr>
            <w:tcW w:w="0" w:type="auto"/>
          </w:tcPr>
          <w:p w14:paraId="656B16EB" w14:textId="77777777" w:rsidR="00044857" w:rsidRDefault="00BD480F" w:rsidP="00BD480F">
            <w:pPr>
              <w:spacing w:line="240" w:lineRule="auto"/>
              <w:rPr>
                <w:rFonts w:cs="Segoe UI Light"/>
              </w:rPr>
            </w:pPr>
            <w:r>
              <w:rPr>
                <w:rFonts w:cs="Segoe UI Light"/>
              </w:rPr>
              <w:t>Landfill</w:t>
            </w:r>
          </w:p>
        </w:tc>
        <w:tc>
          <w:tcPr>
            <w:tcW w:w="0" w:type="auto"/>
          </w:tcPr>
          <w:p w14:paraId="656B16EC" w14:textId="77777777" w:rsidR="00BD480F" w:rsidRDefault="00BD480F" w:rsidP="00BD480F">
            <w:pPr>
              <w:pStyle w:val="ListBullet"/>
              <w:spacing w:line="240" w:lineRule="auto"/>
              <w:ind w:left="0" w:firstLine="0"/>
              <w:contextualSpacing w:val="0"/>
              <w:rPr>
                <w:rFonts w:cs="Segoe UI Light"/>
              </w:rPr>
            </w:pPr>
            <w:r>
              <w:rPr>
                <w:rFonts w:cs="Segoe UI Light"/>
              </w:rPr>
              <w:t xml:space="preserve">Stakeholders broadly considered existing </w:t>
            </w:r>
            <w:r w:rsidRPr="00DF2D21">
              <w:rPr>
                <w:rFonts w:cs="Segoe UI Light"/>
              </w:rPr>
              <w:t>re</w:t>
            </w:r>
            <w:r>
              <w:rPr>
                <w:rFonts w:cs="Segoe UI Light"/>
              </w:rPr>
              <w:t xml:space="preserve">gulations as too prescriptive. Stakeholders generally indicated they </w:t>
            </w:r>
            <w:r w:rsidRPr="00DF2D21">
              <w:rPr>
                <w:rFonts w:cs="Segoe UI Light"/>
              </w:rPr>
              <w:t xml:space="preserve">would </w:t>
            </w:r>
            <w:r>
              <w:rPr>
                <w:rFonts w:cs="Segoe UI Light"/>
              </w:rPr>
              <w:t xml:space="preserve">prefer the </w:t>
            </w:r>
            <w:r w:rsidRPr="00DF2D21">
              <w:rPr>
                <w:rFonts w:cs="Segoe UI Light"/>
              </w:rPr>
              <w:t xml:space="preserve">BPEM to remain a </w:t>
            </w:r>
            <w:r>
              <w:rPr>
                <w:rFonts w:cs="Segoe UI Light"/>
              </w:rPr>
              <w:t>‘</w:t>
            </w:r>
            <w:r w:rsidRPr="00DF2D21">
              <w:rPr>
                <w:rFonts w:cs="Segoe UI Light"/>
              </w:rPr>
              <w:t>live document</w:t>
            </w:r>
            <w:r>
              <w:rPr>
                <w:rFonts w:cs="Segoe UI Light"/>
              </w:rPr>
              <w:t>’</w:t>
            </w:r>
            <w:r w:rsidRPr="00DF2D21">
              <w:rPr>
                <w:rFonts w:cs="Segoe UI Light"/>
              </w:rPr>
              <w:t xml:space="preserve"> that the industry can update as</w:t>
            </w:r>
            <w:r>
              <w:rPr>
                <w:rFonts w:cs="Segoe UI Light"/>
              </w:rPr>
              <w:t xml:space="preserve"> best practice standards evolve. Furthermore, stakeholders indicated a clear preference for </w:t>
            </w:r>
            <w:r w:rsidRPr="00DF2D21">
              <w:rPr>
                <w:rFonts w:cs="Segoe UI Light"/>
              </w:rPr>
              <w:t>clear, prescriptive guidelines on how to comply with EPA regulations.</w:t>
            </w:r>
          </w:p>
          <w:p w14:paraId="656B16ED" w14:textId="77777777" w:rsidR="00044857" w:rsidRDefault="00BD480F" w:rsidP="00BD480F">
            <w:pPr>
              <w:pStyle w:val="ListBullet"/>
              <w:spacing w:line="240" w:lineRule="auto"/>
              <w:ind w:left="0" w:firstLine="0"/>
              <w:contextualSpacing w:val="0"/>
              <w:rPr>
                <w:rFonts w:cs="Segoe UI Light"/>
              </w:rPr>
            </w:pPr>
            <w:r>
              <w:rPr>
                <w:rFonts w:cs="Segoe UI Light"/>
              </w:rPr>
              <w:t>Stakeholders consulted were n</w:t>
            </w:r>
            <w:r w:rsidRPr="00DF2D21">
              <w:rPr>
                <w:rFonts w:cs="Segoe UI Light"/>
              </w:rPr>
              <w:t xml:space="preserve">ot </w:t>
            </w:r>
            <w:r>
              <w:rPr>
                <w:rFonts w:cs="Segoe UI Light"/>
              </w:rPr>
              <w:t xml:space="preserve">overly </w:t>
            </w:r>
            <w:r w:rsidRPr="00DF2D21">
              <w:rPr>
                <w:rFonts w:cs="Segoe UI Light"/>
              </w:rPr>
              <w:t>concerned with landfill design requirements</w:t>
            </w:r>
            <w:r>
              <w:rPr>
                <w:rFonts w:cs="Segoe UI Light"/>
              </w:rPr>
              <w:t xml:space="preserve">, given new </w:t>
            </w:r>
            <w:r w:rsidRPr="00DF2D21">
              <w:rPr>
                <w:rFonts w:cs="Segoe UI Light"/>
              </w:rPr>
              <w:t xml:space="preserve">landfills are designed to the highest standard. </w:t>
            </w:r>
            <w:r>
              <w:rPr>
                <w:rFonts w:cs="Segoe UI Light"/>
              </w:rPr>
              <w:t>However, stakeholders were p</w:t>
            </w:r>
            <w:r w:rsidRPr="00DF2D21">
              <w:rPr>
                <w:rFonts w:cs="Segoe UI Light"/>
              </w:rPr>
              <w:t xml:space="preserve">rimarily interested in how the EPA will ensure environmental protection regulations are applied consistently </w:t>
            </w:r>
            <w:r>
              <w:rPr>
                <w:rFonts w:cs="Segoe UI Light"/>
              </w:rPr>
              <w:t xml:space="preserve">across all sites to ensure a </w:t>
            </w:r>
            <w:r w:rsidRPr="00DF2D21">
              <w:rPr>
                <w:rFonts w:cs="Segoe UI Light"/>
              </w:rPr>
              <w:t xml:space="preserve">level </w:t>
            </w:r>
            <w:r>
              <w:rPr>
                <w:rFonts w:cs="Segoe UI Light"/>
              </w:rPr>
              <w:t>‘</w:t>
            </w:r>
            <w:r w:rsidRPr="00DF2D21">
              <w:rPr>
                <w:rFonts w:cs="Segoe UI Light"/>
              </w:rPr>
              <w:t>playing field</w:t>
            </w:r>
            <w:r>
              <w:rPr>
                <w:rFonts w:cs="Segoe UI Light"/>
              </w:rPr>
              <w:t>’</w:t>
            </w:r>
            <w:r w:rsidRPr="00DF2D21">
              <w:rPr>
                <w:rFonts w:cs="Segoe UI Light"/>
              </w:rPr>
              <w:t xml:space="preserve"> for all businesses. </w:t>
            </w:r>
          </w:p>
        </w:tc>
      </w:tr>
      <w:tr w:rsidR="00044857" w14:paraId="656B16F2" w14:textId="77777777" w:rsidTr="00BD480F">
        <w:trPr>
          <w:cantSplit/>
        </w:trPr>
        <w:tc>
          <w:tcPr>
            <w:tcW w:w="0" w:type="auto"/>
          </w:tcPr>
          <w:p w14:paraId="656B16EF" w14:textId="77777777" w:rsidR="00044857" w:rsidRDefault="00BD480F" w:rsidP="00BD480F">
            <w:pPr>
              <w:spacing w:line="240" w:lineRule="auto"/>
              <w:rPr>
                <w:rFonts w:cs="Segoe UI Light"/>
              </w:rPr>
            </w:pPr>
            <w:r>
              <w:rPr>
                <w:rFonts w:cs="Segoe UI Light"/>
              </w:rPr>
              <w:t>Air</w:t>
            </w:r>
          </w:p>
        </w:tc>
        <w:tc>
          <w:tcPr>
            <w:tcW w:w="0" w:type="auto"/>
          </w:tcPr>
          <w:p w14:paraId="656B16F0" w14:textId="77777777" w:rsidR="00BE6455" w:rsidRDefault="00BD480F" w:rsidP="00BD480F">
            <w:pPr>
              <w:spacing w:line="240" w:lineRule="auto"/>
              <w:rPr>
                <w:rFonts w:cs="Segoe UI Light"/>
              </w:rPr>
            </w:pPr>
            <w:r w:rsidRPr="00C46E0E">
              <w:rPr>
                <w:rFonts w:cs="Segoe UI Light"/>
              </w:rPr>
              <w:t>Stakeholders were generally supportive of a general environmental duty to manage air emissions, although were unsure how this would be mo</w:t>
            </w:r>
            <w:r>
              <w:rPr>
                <w:rFonts w:cs="Segoe UI Light"/>
              </w:rPr>
              <w:t>nitored and applied in practice. They also generally</w:t>
            </w:r>
            <w:r w:rsidRPr="00C46E0E">
              <w:rPr>
                <w:rFonts w:cs="Segoe UI Light"/>
              </w:rPr>
              <w:t xml:space="preserve"> supported a provision that requires the manufacture and sale of home heaters to be in line with Australian and New Zealand standards</w:t>
            </w:r>
            <w:r>
              <w:rPr>
                <w:rFonts w:cs="Segoe UI Light"/>
              </w:rPr>
              <w:t>.</w:t>
            </w:r>
          </w:p>
          <w:p w14:paraId="656B16F1" w14:textId="77777777" w:rsidR="00044857" w:rsidRDefault="00BD480F" w:rsidP="00BE6455">
            <w:pPr>
              <w:spacing w:line="240" w:lineRule="auto"/>
              <w:rPr>
                <w:rFonts w:cs="Segoe UI Light"/>
              </w:rPr>
            </w:pPr>
            <w:r w:rsidRPr="00C46E0E">
              <w:rPr>
                <w:rFonts w:cs="Segoe UI Light"/>
              </w:rPr>
              <w:t>Most, but not all, larger businesses supported the requirement to report air emissions to the NPI; those in support generally saw this activity as part of their nat</w:t>
            </w:r>
            <w:r w:rsidR="00BE6455">
              <w:rPr>
                <w:rFonts w:cs="Segoe UI Light"/>
              </w:rPr>
              <w:t xml:space="preserve">ional practices and general duty. Those </w:t>
            </w:r>
            <w:r w:rsidRPr="00C46E0E">
              <w:rPr>
                <w:rFonts w:cs="Segoe UI Light"/>
              </w:rPr>
              <w:t xml:space="preserve">that were </w:t>
            </w:r>
            <w:r w:rsidR="00BE6455">
              <w:rPr>
                <w:rFonts w:cs="Segoe UI Light"/>
              </w:rPr>
              <w:t xml:space="preserve">largely </w:t>
            </w:r>
            <w:r w:rsidRPr="00C46E0E">
              <w:rPr>
                <w:rFonts w:cs="Segoe UI Light"/>
              </w:rPr>
              <w:t xml:space="preserve">indifferent </w:t>
            </w:r>
            <w:r>
              <w:rPr>
                <w:rFonts w:cs="Segoe UI Light"/>
              </w:rPr>
              <w:t xml:space="preserve">indicated that </w:t>
            </w:r>
            <w:r w:rsidRPr="00C46E0E">
              <w:rPr>
                <w:rFonts w:cs="Segoe UI Light"/>
              </w:rPr>
              <w:t xml:space="preserve">they would </w:t>
            </w:r>
            <w:r>
              <w:rPr>
                <w:rFonts w:cs="Segoe UI Light"/>
              </w:rPr>
              <w:t>be unlikely to</w:t>
            </w:r>
            <w:r w:rsidRPr="00C46E0E">
              <w:rPr>
                <w:rFonts w:cs="Segoe UI Light"/>
              </w:rPr>
              <w:t xml:space="preserve"> continue to monitor and report to the NPI if it was not </w:t>
            </w:r>
            <w:r w:rsidR="00BE6455">
              <w:rPr>
                <w:rFonts w:cs="Segoe UI Light"/>
              </w:rPr>
              <w:t>a statutory requirement</w:t>
            </w:r>
            <w:r w:rsidRPr="00C46E0E">
              <w:rPr>
                <w:rFonts w:cs="Segoe UI Light"/>
              </w:rPr>
              <w:t>.</w:t>
            </w:r>
          </w:p>
        </w:tc>
      </w:tr>
      <w:tr w:rsidR="00044857" w14:paraId="656B16F7" w14:textId="77777777" w:rsidTr="00BD480F">
        <w:trPr>
          <w:cantSplit/>
        </w:trPr>
        <w:tc>
          <w:tcPr>
            <w:tcW w:w="0" w:type="auto"/>
          </w:tcPr>
          <w:p w14:paraId="656B16F3" w14:textId="77777777" w:rsidR="00044857" w:rsidRDefault="00BD480F" w:rsidP="00BD480F">
            <w:pPr>
              <w:spacing w:line="240" w:lineRule="auto"/>
              <w:rPr>
                <w:rFonts w:cs="Segoe UI Light"/>
              </w:rPr>
            </w:pPr>
            <w:r>
              <w:rPr>
                <w:rFonts w:cs="Segoe UI Light"/>
              </w:rPr>
              <w:t>Contaminated land</w:t>
            </w:r>
          </w:p>
        </w:tc>
        <w:tc>
          <w:tcPr>
            <w:tcW w:w="0" w:type="auto"/>
          </w:tcPr>
          <w:p w14:paraId="656B16F4" w14:textId="77777777" w:rsidR="00BD480F" w:rsidRPr="00BD480F" w:rsidRDefault="00BD480F" w:rsidP="00BD480F">
            <w:pPr>
              <w:spacing w:line="240" w:lineRule="auto"/>
            </w:pPr>
            <w:r w:rsidRPr="003631CB">
              <w:rPr>
                <w:rFonts w:cs="Segoe UI Light"/>
              </w:rPr>
              <w:t xml:space="preserve">Stakeholders overwhelmingly agreed that the $50,000 threshold triggering the duty to notify </w:t>
            </w:r>
            <w:r w:rsidR="00BE6455">
              <w:rPr>
                <w:rFonts w:cs="Segoe UI Light"/>
              </w:rPr>
              <w:t xml:space="preserve">for contamination land </w:t>
            </w:r>
            <w:r w:rsidRPr="003631CB">
              <w:rPr>
                <w:rFonts w:cs="Segoe UI Light"/>
              </w:rPr>
              <w:t xml:space="preserve">was too low and unlikely to address the policy intent of the new EP legislation. There was consensus among stakeholders that a risk-based approach to triggering the duty would better enable the EPA to manage sites that represented a high-risk to human health and environment. </w:t>
            </w:r>
          </w:p>
          <w:p w14:paraId="656B16F5" w14:textId="77777777" w:rsidR="00BD480F" w:rsidRPr="003631CB" w:rsidRDefault="00BD480F" w:rsidP="00BD480F">
            <w:pPr>
              <w:spacing w:line="240" w:lineRule="auto"/>
              <w:rPr>
                <w:rFonts w:cs="Segoe UI Light"/>
              </w:rPr>
            </w:pPr>
            <w:r w:rsidRPr="003631CB">
              <w:rPr>
                <w:rFonts w:cs="Segoe UI Light"/>
              </w:rPr>
              <w:t xml:space="preserve">Stakeholders broadly agreed that a mechanism that enabled the EPA to make determinations with respect to what constitutes ‘background contamination’ for specific contaminants and wastes in specific locations was reasonable and appropriate. Stakeholders </w:t>
            </w:r>
            <w:r w:rsidR="00BE6455">
              <w:rPr>
                <w:rFonts w:cs="Segoe UI Light"/>
              </w:rPr>
              <w:t xml:space="preserve">also </w:t>
            </w:r>
            <w:r w:rsidRPr="003631CB">
              <w:rPr>
                <w:rFonts w:cs="Segoe UI Light"/>
              </w:rPr>
              <w:t>overwhelmingly welcomed the addition to include information on their proposed approach to managing contamination as part of their notification to the EPA.</w:t>
            </w:r>
          </w:p>
          <w:p w14:paraId="656B16F6" w14:textId="77777777" w:rsidR="00044857" w:rsidRDefault="00BD480F" w:rsidP="00BD480F">
            <w:pPr>
              <w:spacing w:line="240" w:lineRule="auto"/>
              <w:rPr>
                <w:rFonts w:cs="Segoe UI Light"/>
              </w:rPr>
            </w:pPr>
            <w:r w:rsidRPr="003631CB">
              <w:rPr>
                <w:rFonts w:cs="Segoe UI Light"/>
              </w:rPr>
              <w:t xml:space="preserve">It was generally noted that noted that the duty to manage contaminated land is likely to have greater implications for smaller businesses. Small businesses are less likely to have the internal resources, knowledge, and environmental management systems in place, and are more likely to require greater education and guidance to ensure compliance with the duty to manage contaminated land. </w:t>
            </w:r>
          </w:p>
        </w:tc>
      </w:tr>
      <w:tr w:rsidR="00BD480F" w14:paraId="656B16FC" w14:textId="77777777" w:rsidTr="00BD480F">
        <w:trPr>
          <w:cantSplit/>
        </w:trPr>
        <w:tc>
          <w:tcPr>
            <w:tcW w:w="0" w:type="auto"/>
          </w:tcPr>
          <w:p w14:paraId="656B16F8" w14:textId="77777777" w:rsidR="00BD480F" w:rsidRDefault="00BD480F" w:rsidP="00BD480F">
            <w:pPr>
              <w:spacing w:line="240" w:lineRule="auto"/>
              <w:rPr>
                <w:rFonts w:cs="Segoe UI Light"/>
              </w:rPr>
            </w:pPr>
            <w:r>
              <w:rPr>
                <w:rFonts w:cs="Segoe UI Light"/>
              </w:rPr>
              <w:t>Noise</w:t>
            </w:r>
          </w:p>
        </w:tc>
        <w:tc>
          <w:tcPr>
            <w:tcW w:w="0" w:type="auto"/>
          </w:tcPr>
          <w:p w14:paraId="656B16F9" w14:textId="77777777" w:rsidR="00BD480F" w:rsidRDefault="00BE6455" w:rsidP="00BD480F">
            <w:pPr>
              <w:spacing w:line="240" w:lineRule="auto"/>
              <w:rPr>
                <w:rFonts w:cs="Segoe UI Light"/>
              </w:rPr>
            </w:pPr>
            <w:r>
              <w:rPr>
                <w:rFonts w:cs="Segoe UI Light"/>
              </w:rPr>
              <w:t>S</w:t>
            </w:r>
            <w:r w:rsidR="00BD480F" w:rsidRPr="003631CB">
              <w:rPr>
                <w:rFonts w:cs="Segoe UI Light"/>
              </w:rPr>
              <w:t xml:space="preserve">takeholders agreed that an accompanying </w:t>
            </w:r>
            <w:r>
              <w:rPr>
                <w:rFonts w:cs="Segoe UI Light"/>
              </w:rPr>
              <w:t xml:space="preserve">noise assessment </w:t>
            </w:r>
            <w:r w:rsidR="00BD480F" w:rsidRPr="003631CB">
              <w:rPr>
                <w:rFonts w:cs="Segoe UI Light"/>
              </w:rPr>
              <w:t>framework that enable</w:t>
            </w:r>
            <w:r>
              <w:rPr>
                <w:rFonts w:cs="Segoe UI Light"/>
              </w:rPr>
              <w:t xml:space="preserve">s </w:t>
            </w:r>
            <w:r w:rsidR="00BD480F" w:rsidRPr="003631CB">
              <w:rPr>
                <w:rFonts w:cs="Segoe UI Light"/>
              </w:rPr>
              <w:t>the clear measurement and monitoring of noise was required to give full effect to the new EP legislation</w:t>
            </w:r>
            <w:r>
              <w:rPr>
                <w:rFonts w:cs="Segoe UI Light"/>
              </w:rPr>
              <w:t xml:space="preserve">. It was widely agreed that such a framework would </w:t>
            </w:r>
            <w:r w:rsidR="00BD480F" w:rsidRPr="003631CB">
              <w:rPr>
                <w:rFonts w:cs="Segoe UI Light"/>
              </w:rPr>
              <w:t xml:space="preserve">provide greater certainty to duty holders in complying </w:t>
            </w:r>
            <w:r>
              <w:rPr>
                <w:rFonts w:cs="Segoe UI Light"/>
              </w:rPr>
              <w:t xml:space="preserve">with </w:t>
            </w:r>
            <w:r w:rsidR="00BD480F" w:rsidRPr="003631CB">
              <w:rPr>
                <w:rFonts w:cs="Segoe UI Light"/>
              </w:rPr>
              <w:t xml:space="preserve">unreasonable and aggravated noise provisions. </w:t>
            </w:r>
          </w:p>
          <w:p w14:paraId="656B16FA" w14:textId="77777777" w:rsidR="00BE6455" w:rsidRDefault="00BE6455" w:rsidP="00BE6455">
            <w:pPr>
              <w:spacing w:line="240" w:lineRule="auto"/>
              <w:rPr>
                <w:rFonts w:cs="Segoe UI Light"/>
              </w:rPr>
            </w:pPr>
            <w:r>
              <w:rPr>
                <w:rFonts w:cs="Segoe UI Light"/>
              </w:rPr>
              <w:t xml:space="preserve">Stakeholders broadly </w:t>
            </w:r>
            <w:r w:rsidR="00BD480F" w:rsidRPr="003631CB">
              <w:rPr>
                <w:rFonts w:cs="Segoe UI Light"/>
              </w:rPr>
              <w:t xml:space="preserve">supported the proposed enhancements to the management of noise from CIT premises and entertainment venues, noting that the changes reflected a more modern approach that reflected society’s expectations with respect to noise and activities. </w:t>
            </w:r>
          </w:p>
          <w:p w14:paraId="656B16FB" w14:textId="77777777" w:rsidR="00BD480F" w:rsidRDefault="00BD480F" w:rsidP="00BE6455">
            <w:pPr>
              <w:spacing w:line="240" w:lineRule="auto"/>
              <w:rPr>
                <w:rFonts w:cs="Segoe UI Light"/>
              </w:rPr>
            </w:pPr>
            <w:r w:rsidRPr="003631CB">
              <w:rPr>
                <w:rFonts w:cs="Segoe UI Light"/>
              </w:rPr>
              <w:t xml:space="preserve">Stakeholders noted </w:t>
            </w:r>
            <w:r w:rsidR="00BE6455">
              <w:rPr>
                <w:rFonts w:cs="Segoe UI Light"/>
              </w:rPr>
              <w:t xml:space="preserve">in consultations </w:t>
            </w:r>
            <w:r w:rsidRPr="003631CB">
              <w:rPr>
                <w:rFonts w:cs="Segoe UI Light"/>
              </w:rPr>
              <w:t xml:space="preserve">that the issue of the ‘Agent of Change’ (which </w:t>
            </w:r>
            <w:r w:rsidR="00BE6455">
              <w:rPr>
                <w:rFonts w:cs="Segoe UI Light"/>
              </w:rPr>
              <w:t xml:space="preserve">was recognised as </w:t>
            </w:r>
            <w:r w:rsidRPr="003631CB">
              <w:rPr>
                <w:rFonts w:cs="Segoe UI Light"/>
              </w:rPr>
              <w:t>predominantly a planning issue) remains an area of concern for duty holders</w:t>
            </w:r>
            <w:r w:rsidR="00DC7A63">
              <w:rPr>
                <w:rFonts w:cs="Segoe UI Light"/>
              </w:rPr>
              <w:t xml:space="preserve">. </w:t>
            </w:r>
          </w:p>
        </w:tc>
      </w:tr>
      <w:tr w:rsidR="00BD480F" w14:paraId="656B1705" w14:textId="77777777" w:rsidTr="00BD480F">
        <w:trPr>
          <w:cantSplit/>
        </w:trPr>
        <w:tc>
          <w:tcPr>
            <w:tcW w:w="0" w:type="auto"/>
          </w:tcPr>
          <w:p w14:paraId="656B16FD" w14:textId="77777777" w:rsidR="00BD480F" w:rsidRDefault="00BD480F" w:rsidP="00BD480F">
            <w:pPr>
              <w:spacing w:line="240" w:lineRule="auto"/>
              <w:rPr>
                <w:rFonts w:cs="Segoe UI Light"/>
              </w:rPr>
            </w:pPr>
            <w:r>
              <w:rPr>
                <w:rFonts w:cs="Segoe UI Light"/>
              </w:rPr>
              <w:t>Waste</w:t>
            </w:r>
          </w:p>
        </w:tc>
        <w:tc>
          <w:tcPr>
            <w:tcW w:w="0" w:type="auto"/>
          </w:tcPr>
          <w:p w14:paraId="656B16FE" w14:textId="77777777" w:rsidR="00BD480F" w:rsidRDefault="00BE6455" w:rsidP="00BD480F">
            <w:pPr>
              <w:spacing w:line="240" w:lineRule="auto"/>
              <w:rPr>
                <w:rFonts w:cs="Segoe UI Light"/>
              </w:rPr>
            </w:pPr>
            <w:r>
              <w:rPr>
                <w:rFonts w:cs="Segoe UI Light"/>
              </w:rPr>
              <w:t>L</w:t>
            </w:r>
            <w:r w:rsidR="00BD480F">
              <w:rPr>
                <w:rFonts w:cs="Segoe UI Light"/>
              </w:rPr>
              <w:t xml:space="preserve">arger waste businesses </w:t>
            </w:r>
            <w:r>
              <w:rPr>
                <w:rFonts w:cs="Segoe UI Light"/>
              </w:rPr>
              <w:t xml:space="preserve">indicated that </w:t>
            </w:r>
            <w:r w:rsidR="00BD480F" w:rsidRPr="006C3A16">
              <w:rPr>
                <w:rFonts w:cs="Segoe UI Light"/>
              </w:rPr>
              <w:t>waste classification, priority</w:t>
            </w:r>
            <w:r w:rsidR="00BD480F">
              <w:rPr>
                <w:rFonts w:cs="Segoe UI Light"/>
              </w:rPr>
              <w:t xml:space="preserve"> waste and lawful place duties </w:t>
            </w:r>
            <w:r w:rsidR="00BD480F" w:rsidRPr="006C3A16">
              <w:rPr>
                <w:rFonts w:cs="Segoe UI Light"/>
              </w:rPr>
              <w:t>will not materially change their operations. The impacts of waste regulations would mostly be felt by smaller businesses at the sub-threshold of current permissions who would have new obligations.</w:t>
            </w:r>
          </w:p>
          <w:p w14:paraId="656B16FF" w14:textId="77777777" w:rsidR="00BD480F" w:rsidRDefault="00BD480F" w:rsidP="00BD480F">
            <w:pPr>
              <w:spacing w:line="240" w:lineRule="auto"/>
              <w:rPr>
                <w:rFonts w:cs="Segoe UI Light"/>
              </w:rPr>
            </w:pPr>
            <w:r>
              <w:rPr>
                <w:rFonts w:cs="Segoe UI Light"/>
              </w:rPr>
              <w:t>There was a g</w:t>
            </w:r>
            <w:r w:rsidRPr="006C3A16">
              <w:rPr>
                <w:rFonts w:cs="Segoe UI Light"/>
              </w:rPr>
              <w:t xml:space="preserve">eneral acceptance that the high level waste regulations </w:t>
            </w:r>
            <w:r w:rsidR="00BE6455">
              <w:rPr>
                <w:rFonts w:cs="Segoe UI Light"/>
              </w:rPr>
              <w:t xml:space="preserve">were appropriate, noting that a </w:t>
            </w:r>
            <w:r w:rsidRPr="006C3A16">
              <w:rPr>
                <w:rFonts w:cs="Segoe UI Light"/>
              </w:rPr>
              <w:t>streamlined waste classification option was pragmatic and priority waste contr</w:t>
            </w:r>
            <w:r>
              <w:rPr>
                <w:rFonts w:cs="Segoe UI Light"/>
              </w:rPr>
              <w:t>ols were proportional to risk. There was s</w:t>
            </w:r>
            <w:r w:rsidRPr="006C3A16">
              <w:rPr>
                <w:rFonts w:cs="Segoe UI Light"/>
              </w:rPr>
              <w:t>ome uncertainty around how the new instruments (DoU, SoA) for lawful place would</w:t>
            </w:r>
            <w:r>
              <w:rPr>
                <w:rFonts w:cs="Segoe UI Light"/>
              </w:rPr>
              <w:t xml:space="preserve"> </w:t>
            </w:r>
            <w:r w:rsidR="00BE6455">
              <w:rPr>
                <w:rFonts w:cs="Segoe UI Light"/>
              </w:rPr>
              <w:t>i</w:t>
            </w:r>
            <w:r w:rsidRPr="006C3A16">
              <w:rPr>
                <w:rFonts w:cs="Segoe UI Light"/>
              </w:rPr>
              <w:t>mpact</w:t>
            </w:r>
            <w:r w:rsidR="00BE6455">
              <w:rPr>
                <w:rFonts w:cs="Segoe UI Light"/>
              </w:rPr>
              <w:t xml:space="preserve"> businesses</w:t>
            </w:r>
            <w:r w:rsidRPr="006C3A16">
              <w:rPr>
                <w:rFonts w:cs="Segoe UI Light"/>
              </w:rPr>
              <w:t>.</w:t>
            </w:r>
          </w:p>
          <w:p w14:paraId="656B1700" w14:textId="77777777" w:rsidR="00BD480F" w:rsidRDefault="00BD480F" w:rsidP="00BD480F">
            <w:pPr>
              <w:spacing w:line="240" w:lineRule="auto"/>
              <w:rPr>
                <w:rFonts w:cs="Segoe UI Light"/>
              </w:rPr>
            </w:pPr>
            <w:r w:rsidRPr="006C3A16">
              <w:rPr>
                <w:rFonts w:cs="Segoe UI Light"/>
              </w:rPr>
              <w:t>Stakeholders</w:t>
            </w:r>
            <w:r>
              <w:rPr>
                <w:rFonts w:cs="Segoe UI Light"/>
              </w:rPr>
              <w:t xml:space="preserve"> were</w:t>
            </w:r>
            <w:r w:rsidRPr="006C3A16">
              <w:rPr>
                <w:rFonts w:cs="Segoe UI Light"/>
              </w:rPr>
              <w:t xml:space="preserve"> generally more interested in the detail on the regulations</w:t>
            </w:r>
            <w:r>
              <w:rPr>
                <w:rFonts w:cs="Segoe UI Light"/>
              </w:rPr>
              <w:t>, as th</w:t>
            </w:r>
            <w:r w:rsidRPr="006C3A16">
              <w:rPr>
                <w:rFonts w:cs="Segoe UI Light"/>
              </w:rPr>
              <w:t>e detail is needed to determine c</w:t>
            </w:r>
            <w:r>
              <w:rPr>
                <w:rFonts w:cs="Segoe UI Light"/>
              </w:rPr>
              <w:t xml:space="preserve">ost implications. In particular, stakeholders were interested and, in some instances, raised concerns about </w:t>
            </w:r>
            <w:r w:rsidRPr="006C3A16">
              <w:rPr>
                <w:rFonts w:cs="Segoe UI Light"/>
              </w:rPr>
              <w:t xml:space="preserve">how individual waste types would be treated (e.g. farm wastes and soils), the volume thresholds for certain waste, and the definition of a site. </w:t>
            </w:r>
            <w:r>
              <w:rPr>
                <w:rFonts w:cs="Segoe UI Light"/>
              </w:rPr>
              <w:t>Finally, a</w:t>
            </w:r>
            <w:r w:rsidRPr="006C3A16">
              <w:rPr>
                <w:rFonts w:cs="Segoe UI Light"/>
              </w:rPr>
              <w:t>ssociations expressed the need for EPA guidance for small businesses on how to meet the GED and comply</w:t>
            </w:r>
            <w:r>
              <w:rPr>
                <w:rFonts w:cs="Segoe UI Light"/>
              </w:rPr>
              <w:t xml:space="preserve"> with specific waste regulations, and c</w:t>
            </w:r>
            <w:r w:rsidRPr="006C3A16">
              <w:rPr>
                <w:rFonts w:cs="Segoe UI Light"/>
              </w:rPr>
              <w:t>oncern</w:t>
            </w:r>
            <w:r>
              <w:rPr>
                <w:rFonts w:cs="Segoe UI Light"/>
              </w:rPr>
              <w:t>s</w:t>
            </w:r>
            <w:r w:rsidRPr="006C3A16">
              <w:rPr>
                <w:rFonts w:cs="Segoe UI Light"/>
              </w:rPr>
              <w:t xml:space="preserve"> </w:t>
            </w:r>
            <w:r>
              <w:rPr>
                <w:rFonts w:cs="Segoe UI Light"/>
              </w:rPr>
              <w:t xml:space="preserve">were </w:t>
            </w:r>
            <w:r w:rsidRPr="006C3A16">
              <w:rPr>
                <w:rFonts w:cs="Segoe UI Light"/>
              </w:rPr>
              <w:t xml:space="preserve">raised by </w:t>
            </w:r>
            <w:r>
              <w:rPr>
                <w:rFonts w:cs="Segoe UI Light"/>
              </w:rPr>
              <w:t xml:space="preserve">some </w:t>
            </w:r>
            <w:r w:rsidRPr="006C3A16">
              <w:rPr>
                <w:rFonts w:cs="Segoe UI Light"/>
              </w:rPr>
              <w:t>stakeholders around how the regulations ensure coverage of non-compliant businesses</w:t>
            </w:r>
            <w:r>
              <w:rPr>
                <w:rFonts w:cs="Segoe UI Light"/>
              </w:rPr>
              <w:t>.</w:t>
            </w:r>
          </w:p>
          <w:p w14:paraId="656B1701" w14:textId="77777777" w:rsidR="00BD480F" w:rsidRDefault="00BD480F" w:rsidP="00BD480F">
            <w:pPr>
              <w:spacing w:line="240" w:lineRule="auto"/>
              <w:rPr>
                <w:rFonts w:cs="Segoe UI Light"/>
              </w:rPr>
            </w:pPr>
            <w:r>
              <w:rPr>
                <w:rFonts w:cs="Segoe UI Light"/>
              </w:rPr>
              <w:t>Stakeholders were generally of the view that f</w:t>
            </w:r>
            <w:r w:rsidRPr="00DF2D21">
              <w:rPr>
                <w:rFonts w:cs="Segoe UI Light"/>
              </w:rPr>
              <w:t>or the stability of the industry it would make sense to increase the levy at a faster rate to help with economic and market responses to recycling</w:t>
            </w:r>
            <w:r w:rsidR="00DC7A63">
              <w:rPr>
                <w:rFonts w:cs="Segoe UI Light"/>
              </w:rPr>
              <w:t xml:space="preserve">. </w:t>
            </w:r>
            <w:r>
              <w:rPr>
                <w:rFonts w:cs="Segoe UI Light"/>
              </w:rPr>
              <w:t xml:space="preserve">There are also remaining </w:t>
            </w:r>
            <w:r w:rsidRPr="00DF2D21">
              <w:rPr>
                <w:rFonts w:cs="Segoe UI Light"/>
              </w:rPr>
              <w:t>challenges with waste moving interstate</w:t>
            </w:r>
            <w:r w:rsidR="00DC7A63">
              <w:rPr>
                <w:rFonts w:cs="Segoe UI Light"/>
              </w:rPr>
              <w:t xml:space="preserve">. </w:t>
            </w:r>
          </w:p>
          <w:p w14:paraId="656B1702" w14:textId="77777777" w:rsidR="00BD480F" w:rsidRPr="005526BB" w:rsidRDefault="00BD480F" w:rsidP="00BD480F">
            <w:pPr>
              <w:spacing w:line="240" w:lineRule="auto"/>
              <w:rPr>
                <w:rFonts w:cs="Segoe UI Light"/>
              </w:rPr>
            </w:pPr>
            <w:r>
              <w:rPr>
                <w:rFonts w:cs="Segoe UI Light"/>
              </w:rPr>
              <w:t>Stakeholders expressed concern with regards to cover material, that the</w:t>
            </w:r>
            <w:r w:rsidRPr="00DF2D21">
              <w:rPr>
                <w:rFonts w:cs="Segoe UI Light"/>
              </w:rPr>
              <w:t xml:space="preserve"> levy scheme and timing to claim a rebate may discourage sustainable or innovative uses of materials – for example, importing and stockpiling cover material from a nearby construction site to use for </w:t>
            </w:r>
            <w:r w:rsidR="00F118E7" w:rsidRPr="00DF2D21">
              <w:rPr>
                <w:rFonts w:cs="Segoe UI Light"/>
              </w:rPr>
              <w:t xml:space="preserve">a </w:t>
            </w:r>
            <w:r w:rsidR="00F118E7">
              <w:rPr>
                <w:rFonts w:cs="Segoe UI Light"/>
              </w:rPr>
              <w:t>number</w:t>
            </w:r>
            <w:r w:rsidRPr="00DF2D21">
              <w:rPr>
                <w:rFonts w:cs="Segoe UI Light"/>
              </w:rPr>
              <w:t xml:space="preserve"> of years may be discouraged due to the time</w:t>
            </w:r>
            <w:r>
              <w:rPr>
                <w:rFonts w:cs="Segoe UI Light"/>
              </w:rPr>
              <w:t xml:space="preserve"> limits on claiming the rebate. </w:t>
            </w:r>
            <w:r w:rsidRPr="005526BB">
              <w:rPr>
                <w:rFonts w:cs="Segoe UI Light"/>
              </w:rPr>
              <w:t xml:space="preserve">Cover material is </w:t>
            </w:r>
            <w:r w:rsidR="00BE6455">
              <w:rPr>
                <w:rFonts w:cs="Segoe UI Light"/>
              </w:rPr>
              <w:t xml:space="preserve">recognised as a major </w:t>
            </w:r>
            <w:r w:rsidRPr="005526BB">
              <w:rPr>
                <w:rFonts w:cs="Segoe UI Light"/>
              </w:rPr>
              <w:t>issue as the current system creates a perverse incentive to minimise use of cover material as it is costly to obtain clean fill.</w:t>
            </w:r>
          </w:p>
          <w:p w14:paraId="656B1703" w14:textId="77777777" w:rsidR="00BD480F" w:rsidRDefault="00BD480F" w:rsidP="00BD480F">
            <w:pPr>
              <w:spacing w:line="240" w:lineRule="auto"/>
              <w:rPr>
                <w:rFonts w:cs="Segoe UI Light"/>
              </w:rPr>
            </w:pPr>
            <w:r w:rsidRPr="005526BB">
              <w:rPr>
                <w:rFonts w:cs="Segoe UI Light"/>
              </w:rPr>
              <w:t xml:space="preserve">Stakeholders </w:t>
            </w:r>
            <w:r>
              <w:rPr>
                <w:rFonts w:cs="Segoe UI Light"/>
              </w:rPr>
              <w:t>indicated that they would</w:t>
            </w:r>
            <w:r w:rsidRPr="005526BB">
              <w:rPr>
                <w:rFonts w:cs="Segoe UI Light"/>
              </w:rPr>
              <w:t xml:space="preserve"> like the EPA to consider waste to energy and how landfills may in future be able to claim the rebate on waste that is ‘mined’. </w:t>
            </w:r>
            <w:r>
              <w:rPr>
                <w:rFonts w:cs="Segoe UI Light"/>
              </w:rPr>
              <w:t>They felt that timing in claiming the rebate was important, and that s</w:t>
            </w:r>
            <w:r w:rsidRPr="00DF2D21">
              <w:rPr>
                <w:rFonts w:cs="Segoe UI Light"/>
              </w:rPr>
              <w:t xml:space="preserve">horter periods would be more expensive as administrative tasks need to be repeated for each claim period. </w:t>
            </w:r>
          </w:p>
          <w:p w14:paraId="656B1704" w14:textId="77777777" w:rsidR="00BD480F" w:rsidRDefault="00BD480F" w:rsidP="00BE6455">
            <w:pPr>
              <w:pStyle w:val="ListBullet"/>
              <w:spacing w:line="240" w:lineRule="auto"/>
              <w:ind w:left="0" w:firstLine="0"/>
              <w:rPr>
                <w:rFonts w:cs="Segoe UI Light"/>
              </w:rPr>
            </w:pPr>
            <w:r>
              <w:rPr>
                <w:rFonts w:cs="Segoe UI Light"/>
              </w:rPr>
              <w:t>There were n</w:t>
            </w:r>
            <w:r w:rsidRPr="00DF2D21">
              <w:rPr>
                <w:rFonts w:cs="Segoe UI Light"/>
              </w:rPr>
              <w:t>o concerns</w:t>
            </w:r>
            <w:r>
              <w:rPr>
                <w:rFonts w:cs="Segoe UI Light"/>
              </w:rPr>
              <w:t xml:space="preserve"> expressed by stakeholders</w:t>
            </w:r>
            <w:r w:rsidRPr="00DF2D21">
              <w:rPr>
                <w:rFonts w:cs="Segoe UI Light"/>
              </w:rPr>
              <w:t xml:space="preserve"> with</w:t>
            </w:r>
            <w:r>
              <w:rPr>
                <w:rFonts w:cs="Segoe UI Light"/>
              </w:rPr>
              <w:t xml:space="preserve"> respect to</w:t>
            </w:r>
            <w:r w:rsidRPr="00DF2D21">
              <w:rPr>
                <w:rFonts w:cs="Segoe UI Light"/>
              </w:rPr>
              <w:t xml:space="preserve"> proposed information collection and retention requirements</w:t>
            </w:r>
            <w:r>
              <w:rPr>
                <w:rFonts w:cs="Segoe UI Light"/>
              </w:rPr>
              <w:t xml:space="preserve"> concerning the operation of the levy system,</w:t>
            </w:r>
            <w:r w:rsidRPr="00DF2D21">
              <w:rPr>
                <w:rFonts w:cs="Segoe UI Light"/>
              </w:rPr>
              <w:t xml:space="preserve"> as current landfill operations already do this.</w:t>
            </w:r>
          </w:p>
        </w:tc>
      </w:tr>
      <w:tr w:rsidR="00BD480F" w14:paraId="656B1708" w14:textId="77777777" w:rsidTr="00BD480F">
        <w:trPr>
          <w:cantSplit/>
        </w:trPr>
        <w:tc>
          <w:tcPr>
            <w:tcW w:w="0" w:type="auto"/>
          </w:tcPr>
          <w:p w14:paraId="656B1706" w14:textId="77777777" w:rsidR="00BD480F" w:rsidRDefault="00BD480F" w:rsidP="00BD480F">
            <w:pPr>
              <w:spacing w:line="240" w:lineRule="auto"/>
              <w:rPr>
                <w:rFonts w:cs="Segoe UI Light"/>
              </w:rPr>
            </w:pPr>
            <w:r>
              <w:rPr>
                <w:rFonts w:cs="Segoe UI Light"/>
              </w:rPr>
              <w:t>Vehicle emissions</w:t>
            </w:r>
          </w:p>
        </w:tc>
        <w:tc>
          <w:tcPr>
            <w:tcW w:w="0" w:type="auto"/>
          </w:tcPr>
          <w:p w14:paraId="656B1707" w14:textId="77777777" w:rsidR="00BD480F" w:rsidRDefault="00BD480F" w:rsidP="00BE6455">
            <w:pPr>
              <w:pStyle w:val="ListBullet"/>
              <w:spacing w:line="240" w:lineRule="auto"/>
              <w:ind w:left="0" w:firstLine="0"/>
              <w:rPr>
                <w:rFonts w:cs="Segoe UI Light"/>
              </w:rPr>
            </w:pPr>
            <w:r>
              <w:rPr>
                <w:rFonts w:cs="Segoe UI Light"/>
              </w:rPr>
              <w:t>No consultations were undertaken in relation to Vehicle emissions, reflecting the similarity between the Base Case and Options.</w:t>
            </w:r>
          </w:p>
        </w:tc>
      </w:tr>
      <w:tr w:rsidR="00BD480F" w14:paraId="656B170B" w14:textId="77777777" w:rsidTr="00BD480F">
        <w:trPr>
          <w:cantSplit/>
        </w:trPr>
        <w:tc>
          <w:tcPr>
            <w:tcW w:w="0" w:type="auto"/>
          </w:tcPr>
          <w:p w14:paraId="656B1709" w14:textId="77777777" w:rsidR="00BD480F" w:rsidRDefault="00BD480F" w:rsidP="00BD480F">
            <w:pPr>
              <w:spacing w:line="240" w:lineRule="auto"/>
              <w:rPr>
                <w:rFonts w:cs="Segoe UI Light"/>
              </w:rPr>
            </w:pPr>
            <w:r>
              <w:rPr>
                <w:rFonts w:cs="Segoe UI Light"/>
              </w:rPr>
              <w:t>Plastic bags</w:t>
            </w:r>
          </w:p>
        </w:tc>
        <w:tc>
          <w:tcPr>
            <w:tcW w:w="0" w:type="auto"/>
          </w:tcPr>
          <w:p w14:paraId="656B170A" w14:textId="77777777" w:rsidR="00BD480F" w:rsidRDefault="00BD480F" w:rsidP="00BE6455">
            <w:pPr>
              <w:spacing w:line="240" w:lineRule="auto"/>
              <w:rPr>
                <w:rFonts w:cs="Segoe UI Light"/>
              </w:rPr>
            </w:pPr>
            <w:r>
              <w:rPr>
                <w:rFonts w:cs="Segoe UI Light"/>
              </w:rPr>
              <w:t xml:space="preserve">Limited consultation was undertaken for plastic bags, since DELWP had already undertaken consultations separately on this issue through engage Victoria (see </w:t>
            </w:r>
            <w:hyperlink r:id="rId81" w:history="1">
              <w:r>
                <w:rPr>
                  <w:rStyle w:val="Hyperlink"/>
                </w:rPr>
                <w:t>https://engage.vic.gov.au/waste/plastic-pollution</w:t>
              </w:r>
            </w:hyperlink>
            <w:r>
              <w:t>)</w:t>
            </w:r>
            <w:r w:rsidR="00BE6455">
              <w:t>.</w:t>
            </w:r>
            <w:r>
              <w:t xml:space="preserve"> </w:t>
            </w:r>
          </w:p>
        </w:tc>
      </w:tr>
      <w:tr w:rsidR="00BD480F" w14:paraId="656B170E" w14:textId="77777777" w:rsidTr="00BD480F">
        <w:trPr>
          <w:cantSplit/>
        </w:trPr>
        <w:tc>
          <w:tcPr>
            <w:tcW w:w="0" w:type="auto"/>
          </w:tcPr>
          <w:p w14:paraId="656B170C" w14:textId="77777777" w:rsidR="00BD480F" w:rsidRDefault="00BD480F" w:rsidP="00BD480F">
            <w:pPr>
              <w:spacing w:line="240" w:lineRule="auto"/>
              <w:rPr>
                <w:rFonts w:cs="Segoe UI Light"/>
              </w:rPr>
            </w:pPr>
            <w:r>
              <w:rPr>
                <w:rFonts w:cs="Segoe UI Light"/>
              </w:rPr>
              <w:t xml:space="preserve">Litter </w:t>
            </w:r>
          </w:p>
        </w:tc>
        <w:tc>
          <w:tcPr>
            <w:tcW w:w="0" w:type="auto"/>
          </w:tcPr>
          <w:p w14:paraId="656B170D" w14:textId="77777777" w:rsidR="00BD480F" w:rsidRDefault="00BD480F" w:rsidP="00BE6455">
            <w:pPr>
              <w:spacing w:line="240" w:lineRule="auto"/>
              <w:rPr>
                <w:rFonts w:cs="Segoe UI Light"/>
              </w:rPr>
            </w:pPr>
            <w:r>
              <w:rPr>
                <w:rFonts w:cs="Segoe UI Light"/>
              </w:rPr>
              <w:t xml:space="preserve">Council litter officers expressed support towards re-introducing offences that were previously included in the EP Act 1970 (and excluded from the new EP Legislation), but noted that such offences were </w:t>
            </w:r>
            <w:r w:rsidR="0083665F">
              <w:rPr>
                <w:rFonts w:cs="Segoe UI Light"/>
              </w:rPr>
              <w:t xml:space="preserve">not regularly </w:t>
            </w:r>
            <w:r>
              <w:rPr>
                <w:rFonts w:cs="Segoe UI Light"/>
              </w:rPr>
              <w:t xml:space="preserve">used rarely and that there was some overlap with other legislation (such as the </w:t>
            </w:r>
            <w:r>
              <w:rPr>
                <w:rFonts w:cs="Segoe UI Light"/>
                <w:i/>
              </w:rPr>
              <w:t>Summary Offences Act 1996).</w:t>
            </w:r>
          </w:p>
        </w:tc>
      </w:tr>
    </w:tbl>
    <w:p w14:paraId="656B170F" w14:textId="77777777" w:rsidR="00822768" w:rsidRPr="00DF2D21" w:rsidRDefault="00822768" w:rsidP="00822768">
      <w:pPr>
        <w:rPr>
          <w:rFonts w:cs="Segoe UI Light"/>
        </w:rPr>
      </w:pPr>
    </w:p>
    <w:p w14:paraId="656B1710" w14:textId="77777777" w:rsidR="006C75E6" w:rsidRPr="00DE5D4E" w:rsidRDefault="006C75E6" w:rsidP="00DE5D4E">
      <w:pPr>
        <w:pStyle w:val="EPANormal"/>
        <w:rPr>
          <w:rFonts w:ascii="Segoe UI Light" w:hAnsi="Segoe UI Light" w:cs="Segoe UI Light"/>
          <w:b/>
          <w:i/>
          <w:sz w:val="20"/>
          <w:szCs w:val="20"/>
        </w:rPr>
      </w:pPr>
    </w:p>
    <w:p w14:paraId="656B1711" w14:textId="77777777" w:rsidR="00F72784" w:rsidRDefault="00F72784" w:rsidP="00A07276">
      <w:pPr>
        <w:pStyle w:val="Heading1un-numbered"/>
      </w:pPr>
      <w:bookmarkStart w:id="2007" w:name="_Ref8910088"/>
      <w:bookmarkStart w:id="2008" w:name="_Ref9011338"/>
      <w:bookmarkStart w:id="2009" w:name="_Toc10018344"/>
      <w:bookmarkStart w:id="2010" w:name="_Toc10021451"/>
      <w:bookmarkStart w:id="2011" w:name="_Toc10021865"/>
      <w:bookmarkStart w:id="2012" w:name="_Toc12892349"/>
      <w:r>
        <w:t xml:space="preserve">Appendix </w:t>
      </w:r>
      <w:r w:rsidR="00822768">
        <w:t>1</w:t>
      </w:r>
      <w:r>
        <w:t xml:space="preserve"> – Environment Reference Standard</w:t>
      </w:r>
      <w:bookmarkEnd w:id="2007"/>
      <w:bookmarkEnd w:id="2008"/>
      <w:bookmarkEnd w:id="2009"/>
      <w:bookmarkEnd w:id="2010"/>
      <w:bookmarkEnd w:id="2011"/>
      <w:bookmarkEnd w:id="2012"/>
    </w:p>
    <w:p w14:paraId="656B1712" w14:textId="77777777" w:rsidR="00B2202D" w:rsidRDefault="00B2202D" w:rsidP="00AE4BDD">
      <w:pPr>
        <w:spacing w:line="240" w:lineRule="auto"/>
        <w:rPr>
          <w:rFonts w:ascii="Times New Roman" w:hAnsi="Times New Roman" w:cs="Times New Roman"/>
          <w:sz w:val="24"/>
          <w:szCs w:val="24"/>
          <w:lang w:eastAsia="en-AU"/>
        </w:rPr>
      </w:pPr>
      <w:r>
        <w:t xml:space="preserve">An </w:t>
      </w:r>
      <w:r>
        <w:rPr>
          <w:rFonts w:cs="Segoe UI Light"/>
          <w:szCs w:val="20"/>
        </w:rPr>
        <w:t>e</w:t>
      </w:r>
      <w:r w:rsidRPr="00F72784">
        <w:rPr>
          <w:rFonts w:cs="Segoe UI Light"/>
          <w:szCs w:val="20"/>
        </w:rPr>
        <w:t xml:space="preserve">nvironment </w:t>
      </w:r>
      <w:r>
        <w:rPr>
          <w:rFonts w:cs="Segoe UI Light"/>
          <w:szCs w:val="20"/>
        </w:rPr>
        <w:t>r</w:t>
      </w:r>
      <w:r w:rsidRPr="00F72784">
        <w:rPr>
          <w:rFonts w:cs="Segoe UI Light"/>
          <w:szCs w:val="20"/>
        </w:rPr>
        <w:t xml:space="preserve">eference </w:t>
      </w:r>
      <w:r>
        <w:rPr>
          <w:rFonts w:cs="Segoe UI Light"/>
          <w:szCs w:val="20"/>
        </w:rPr>
        <w:t>s</w:t>
      </w:r>
      <w:r w:rsidRPr="00F72784">
        <w:rPr>
          <w:rFonts w:cs="Segoe UI Light"/>
          <w:szCs w:val="20"/>
        </w:rPr>
        <w:t>tandard</w:t>
      </w:r>
      <w:r>
        <w:rPr>
          <w:rFonts w:cs="Segoe UI Light"/>
          <w:szCs w:val="20"/>
        </w:rPr>
        <w:t xml:space="preserve"> (ERS) </w:t>
      </w:r>
      <w:r>
        <w:t xml:space="preserve">is a subordinate legislative instrument of the </w:t>
      </w:r>
      <w:r w:rsidRPr="00181261">
        <w:t>EP Amendment Act 2018</w:t>
      </w:r>
      <w:r>
        <w:t xml:space="preserve">, which may be made on the recommendation of the Minister. The </w:t>
      </w:r>
      <w:r w:rsidRPr="00181261">
        <w:t xml:space="preserve">EP Amendment Act 2018 </w:t>
      </w:r>
      <w:r>
        <w:t>declares that an ERS is used to assess and report on environmental conditions - and must identify environmental values that specify the environmental condition and uses of the environment to be achieved or maintained - in the whole or any part of Victoria.</w:t>
      </w:r>
      <w:r w:rsidRPr="00181261">
        <w:rPr>
          <w:vertAlign w:val="superscript"/>
        </w:rPr>
        <w:footnoteReference w:id="329"/>
      </w:r>
      <w:r w:rsidRPr="00181261">
        <w:rPr>
          <w:vertAlign w:val="superscript"/>
        </w:rPr>
        <w:t xml:space="preserve"> </w:t>
      </w:r>
    </w:p>
    <w:p w14:paraId="656B1713" w14:textId="77777777" w:rsidR="00F72784" w:rsidRPr="00040A06" w:rsidRDefault="00B2202D" w:rsidP="00F72784">
      <w:pPr>
        <w:rPr>
          <w:rFonts w:cs="Segoe UI Light"/>
          <w:szCs w:val="20"/>
        </w:rPr>
      </w:pPr>
      <w:r>
        <w:t xml:space="preserve">An </w:t>
      </w:r>
      <w:r>
        <w:rPr>
          <w:rFonts w:cs="Segoe UI Light"/>
          <w:szCs w:val="20"/>
        </w:rPr>
        <w:t>e</w:t>
      </w:r>
      <w:r w:rsidRPr="00F72784">
        <w:rPr>
          <w:rFonts w:cs="Segoe UI Light"/>
          <w:szCs w:val="20"/>
        </w:rPr>
        <w:t xml:space="preserve">nvironment </w:t>
      </w:r>
      <w:r>
        <w:rPr>
          <w:rFonts w:cs="Segoe UI Light"/>
          <w:szCs w:val="20"/>
        </w:rPr>
        <w:t>r</w:t>
      </w:r>
      <w:r w:rsidRPr="00F72784">
        <w:rPr>
          <w:rFonts w:cs="Segoe UI Light"/>
          <w:szCs w:val="20"/>
        </w:rPr>
        <w:t xml:space="preserve">eference </w:t>
      </w:r>
      <w:r>
        <w:rPr>
          <w:rFonts w:cs="Segoe UI Light"/>
          <w:szCs w:val="20"/>
        </w:rPr>
        <w:t>s</w:t>
      </w:r>
      <w:r w:rsidRPr="00F72784">
        <w:rPr>
          <w:rFonts w:cs="Segoe UI Light"/>
          <w:szCs w:val="20"/>
        </w:rPr>
        <w:t>tandard</w:t>
      </w:r>
      <w:r>
        <w:rPr>
          <w:rFonts w:cs="Segoe UI Light"/>
          <w:szCs w:val="20"/>
        </w:rPr>
        <w:t xml:space="preserve"> </w:t>
      </w:r>
      <w:r w:rsidR="00F72784" w:rsidRPr="00040A06">
        <w:rPr>
          <w:rFonts w:cs="Segoe UI Light"/>
          <w:szCs w:val="20"/>
        </w:rPr>
        <w:t>describe</w:t>
      </w:r>
      <w:r w:rsidR="00F72784">
        <w:rPr>
          <w:rFonts w:cs="Segoe UI Light"/>
          <w:szCs w:val="20"/>
        </w:rPr>
        <w:t>s</w:t>
      </w:r>
      <w:r w:rsidR="00F72784" w:rsidRPr="00040A06">
        <w:rPr>
          <w:rFonts w:cs="Segoe UI Light"/>
          <w:szCs w:val="20"/>
        </w:rPr>
        <w:t xml:space="preserve"> the environment in terms of the features that we value to allow a range of important uses. </w:t>
      </w:r>
      <w:r w:rsidR="00F72784" w:rsidRPr="00040A06">
        <w:rPr>
          <w:rFonts w:eastAsia="Arial" w:cs="Segoe UI Light"/>
          <w:szCs w:val="20"/>
        </w:rPr>
        <w:t xml:space="preserve">For example, a standard may describe the quality of water for its use as </w:t>
      </w:r>
      <w:r w:rsidR="001C4CD6">
        <w:rPr>
          <w:rFonts w:eastAsia="Arial" w:cs="Segoe UI Light"/>
          <w:szCs w:val="20"/>
        </w:rPr>
        <w:t xml:space="preserve">a </w:t>
      </w:r>
      <w:r w:rsidR="00F72784" w:rsidRPr="00040A06">
        <w:rPr>
          <w:rFonts w:eastAsia="Arial" w:cs="Segoe UI Light"/>
          <w:szCs w:val="20"/>
        </w:rPr>
        <w:t>drinking source, or as a place to swim in, as being environmental values</w:t>
      </w:r>
      <w:r w:rsidR="00DC7A63">
        <w:rPr>
          <w:rFonts w:eastAsia="Arial" w:cs="Segoe UI Light"/>
          <w:szCs w:val="20"/>
        </w:rPr>
        <w:t xml:space="preserve">. </w:t>
      </w:r>
    </w:p>
    <w:p w14:paraId="656B1714" w14:textId="77777777" w:rsidR="00F72784" w:rsidRPr="00040A06" w:rsidRDefault="00B2202D" w:rsidP="00F72784">
      <w:pPr>
        <w:pStyle w:val="CommentText"/>
        <w:rPr>
          <w:rFonts w:cs="Segoe UI Light"/>
        </w:rPr>
      </w:pPr>
      <w:r w:rsidRPr="00B2202D">
        <w:rPr>
          <w:szCs w:val="18"/>
        </w:rPr>
        <w:t xml:space="preserve">An </w:t>
      </w:r>
      <w:r w:rsidRPr="00B2202D">
        <w:rPr>
          <w:rFonts w:cs="Segoe UI Light"/>
          <w:szCs w:val="18"/>
        </w:rPr>
        <w:t xml:space="preserve">environment reference standard </w:t>
      </w:r>
      <w:r w:rsidR="00F72784">
        <w:rPr>
          <w:rFonts w:cs="Segoe UI Light"/>
        </w:rPr>
        <w:t>is</w:t>
      </w:r>
      <w:r w:rsidR="00F72784" w:rsidRPr="00F72784">
        <w:rPr>
          <w:rFonts w:cs="Segoe UI Light"/>
        </w:rPr>
        <w:t xml:space="preserve"> </w:t>
      </w:r>
      <w:r w:rsidR="00F72784" w:rsidRPr="00040A06">
        <w:rPr>
          <w:rFonts w:cs="Segoe UI Light"/>
        </w:rPr>
        <w:t>made up of objectives for supporting different u</w:t>
      </w:r>
      <w:r w:rsidR="00F72784" w:rsidRPr="00F72784">
        <w:rPr>
          <w:rFonts w:cs="Segoe UI Light"/>
        </w:rPr>
        <w:t xml:space="preserve">ses, and indicators that tell </w:t>
      </w:r>
      <w:r w:rsidR="00F72784">
        <w:rPr>
          <w:rFonts w:cs="Segoe UI Light"/>
        </w:rPr>
        <w:t>policy makers</w:t>
      </w:r>
      <w:r w:rsidR="00F72784" w:rsidRPr="00040A06">
        <w:rPr>
          <w:rFonts w:cs="Segoe UI Light"/>
        </w:rPr>
        <w:t xml:space="preserve"> whether those objectives are being met</w:t>
      </w:r>
    </w:p>
    <w:p w14:paraId="656B1715" w14:textId="77777777" w:rsidR="00F72784" w:rsidRPr="00040A06" w:rsidRDefault="00F72784" w:rsidP="00F72784">
      <w:pPr>
        <w:pStyle w:val="CommentText"/>
        <w:rPr>
          <w:rFonts w:cs="Segoe UI Light"/>
        </w:rPr>
      </w:pPr>
      <w:r w:rsidRPr="00040A06">
        <w:rPr>
          <w:rFonts w:cs="Segoe UI Light"/>
        </w:rPr>
        <w:t xml:space="preserve">Each </w:t>
      </w:r>
      <w:r w:rsidR="001C4CD6">
        <w:rPr>
          <w:rFonts w:cs="Segoe UI Light"/>
        </w:rPr>
        <w:t xml:space="preserve">standard </w:t>
      </w:r>
      <w:r w:rsidRPr="00040A06">
        <w:rPr>
          <w:rFonts w:cs="Segoe UI Light"/>
        </w:rPr>
        <w:t>specifies which part of the environment it applies to as a location within Victoria. This means that a standard may apply only to a specific location, for example, Port Phillip Bay, or to the whole of Victoria.</w:t>
      </w:r>
    </w:p>
    <w:p w14:paraId="656B1716" w14:textId="77777777" w:rsidR="005856B0" w:rsidRPr="00040A06" w:rsidRDefault="00B2202D" w:rsidP="00040A06">
      <w:pPr>
        <w:pStyle w:val="CommentText"/>
        <w:rPr>
          <w:rFonts w:cs="Segoe UI Light"/>
        </w:rPr>
      </w:pPr>
      <w:r>
        <w:rPr>
          <w:rFonts w:cs="Segoe UI Light"/>
        </w:rPr>
        <w:t>An e</w:t>
      </w:r>
      <w:r w:rsidR="005856B0" w:rsidRPr="00040A06">
        <w:rPr>
          <w:rFonts w:cs="Segoe UI Light"/>
        </w:rPr>
        <w:t>nvironment reference standards will assist in assessing and reporting on current environmental conditions, and changes in those conditions over time, creating a set of benchmark values.</w:t>
      </w:r>
    </w:p>
    <w:p w14:paraId="656B1717" w14:textId="77777777" w:rsidR="005856B0" w:rsidRPr="00040A06" w:rsidRDefault="005856B0" w:rsidP="00040A06">
      <w:pPr>
        <w:pStyle w:val="CommentText"/>
        <w:rPr>
          <w:rFonts w:cs="Segoe UI Light"/>
        </w:rPr>
      </w:pPr>
      <w:r w:rsidRPr="00040A06">
        <w:rPr>
          <w:rFonts w:cs="Segoe UI Light"/>
        </w:rPr>
        <w:t xml:space="preserve">Although the environment reference standards are not ‘compliance standards’ for businesses, EPA must consider environment reference standards when assessing development, operating licences and pilot licences under the new </w:t>
      </w:r>
      <w:r w:rsidR="00B91282">
        <w:rPr>
          <w:rFonts w:cs="Segoe UI Light"/>
        </w:rPr>
        <w:t>EP legislation</w:t>
      </w:r>
      <w:r w:rsidRPr="00040A06">
        <w:rPr>
          <w:rFonts w:cs="Segoe UI Light"/>
        </w:rPr>
        <w:t>.</w:t>
      </w:r>
    </w:p>
    <w:p w14:paraId="656B1718" w14:textId="77777777" w:rsidR="00F72784" w:rsidRPr="00040A06" w:rsidRDefault="00190412" w:rsidP="00F72784">
      <w:pPr>
        <w:rPr>
          <w:rFonts w:cs="Segoe UI Light"/>
          <w:szCs w:val="20"/>
        </w:rPr>
      </w:pPr>
      <w:r>
        <w:rPr>
          <w:rFonts w:cs="Segoe UI Light"/>
          <w:szCs w:val="20"/>
        </w:rPr>
        <w:t>EPA</w:t>
      </w:r>
      <w:r w:rsidR="00F72784" w:rsidRPr="00040A06">
        <w:rPr>
          <w:rFonts w:cs="Segoe UI Light"/>
          <w:szCs w:val="20"/>
        </w:rPr>
        <w:t xml:space="preserve"> may also use </w:t>
      </w:r>
      <w:r w:rsidR="003C77E3">
        <w:rPr>
          <w:rFonts w:cs="Segoe UI Light"/>
          <w:szCs w:val="20"/>
        </w:rPr>
        <w:t>environment reference standard</w:t>
      </w:r>
      <w:r>
        <w:rPr>
          <w:rFonts w:cs="Segoe UI Light"/>
          <w:szCs w:val="20"/>
        </w:rPr>
        <w:t>s</w:t>
      </w:r>
      <w:r w:rsidR="00F72784" w:rsidRPr="00040A06">
        <w:rPr>
          <w:rFonts w:cs="Segoe UI Light"/>
          <w:szCs w:val="20"/>
        </w:rPr>
        <w:t xml:space="preserve"> for: </w:t>
      </w:r>
    </w:p>
    <w:p w14:paraId="656B1719" w14:textId="77777777" w:rsidR="00F72784" w:rsidRPr="00040A06" w:rsidRDefault="00527FA8" w:rsidP="004A2442">
      <w:pPr>
        <w:pStyle w:val="ListParagraph"/>
        <w:numPr>
          <w:ilvl w:val="0"/>
          <w:numId w:val="57"/>
        </w:numPr>
        <w:spacing w:after="160" w:line="256" w:lineRule="auto"/>
        <w:textboxTightWrap w:val="none"/>
        <w:rPr>
          <w:rFonts w:cs="Segoe UI Light"/>
          <w:szCs w:val="20"/>
        </w:rPr>
      </w:pPr>
      <w:r>
        <w:rPr>
          <w:rFonts w:cs="Segoe UI Light"/>
          <w:szCs w:val="20"/>
        </w:rPr>
        <w:t>M</w:t>
      </w:r>
      <w:r w:rsidRPr="00040A06">
        <w:rPr>
          <w:rFonts w:cs="Segoe UI Light"/>
          <w:szCs w:val="20"/>
        </w:rPr>
        <w:t xml:space="preserve">aking </w:t>
      </w:r>
      <w:r w:rsidR="00F72784" w:rsidRPr="00040A06">
        <w:rPr>
          <w:rFonts w:cs="Segoe UI Light"/>
          <w:szCs w:val="20"/>
        </w:rPr>
        <w:t xml:space="preserve">other decisions under the </w:t>
      </w:r>
      <w:r w:rsidR="00190412">
        <w:rPr>
          <w:rFonts w:cs="Segoe UI Light"/>
          <w:szCs w:val="20"/>
        </w:rPr>
        <w:t xml:space="preserve">new EP legislation </w:t>
      </w:r>
      <w:r w:rsidR="00F72784" w:rsidRPr="00040A06">
        <w:rPr>
          <w:rFonts w:cs="Segoe UI Light"/>
          <w:szCs w:val="20"/>
        </w:rPr>
        <w:t xml:space="preserve">that may have an impact on the environmental values of a location </w:t>
      </w:r>
    </w:p>
    <w:p w14:paraId="656B171A" w14:textId="77777777" w:rsidR="00F72784" w:rsidRPr="00040A06" w:rsidRDefault="00527FA8" w:rsidP="004A2442">
      <w:pPr>
        <w:pStyle w:val="ListParagraph"/>
        <w:numPr>
          <w:ilvl w:val="0"/>
          <w:numId w:val="57"/>
        </w:numPr>
        <w:spacing w:after="160" w:line="256" w:lineRule="auto"/>
        <w:textboxTightWrap w:val="none"/>
        <w:rPr>
          <w:rFonts w:cs="Segoe UI Light"/>
          <w:szCs w:val="20"/>
        </w:rPr>
      </w:pPr>
      <w:r>
        <w:rPr>
          <w:rFonts w:cs="Segoe UI Light"/>
          <w:szCs w:val="20"/>
        </w:rPr>
        <w:t>S</w:t>
      </w:r>
      <w:r w:rsidR="00F72784" w:rsidRPr="00040A06">
        <w:rPr>
          <w:rFonts w:cs="Segoe UI Light"/>
          <w:szCs w:val="20"/>
        </w:rPr>
        <w:t>etting benchmarks and goals for maintaining environment values in the long term</w:t>
      </w:r>
    </w:p>
    <w:p w14:paraId="656B171B" w14:textId="77777777" w:rsidR="00F72784" w:rsidRPr="00040A06" w:rsidRDefault="00527FA8" w:rsidP="004A2442">
      <w:pPr>
        <w:pStyle w:val="ListParagraph"/>
        <w:numPr>
          <w:ilvl w:val="0"/>
          <w:numId w:val="57"/>
        </w:numPr>
        <w:spacing w:after="160" w:line="256" w:lineRule="auto"/>
        <w:textboxTightWrap w:val="none"/>
        <w:rPr>
          <w:rFonts w:cs="Segoe UI Light"/>
          <w:szCs w:val="20"/>
        </w:rPr>
      </w:pPr>
      <w:r>
        <w:rPr>
          <w:rFonts w:cs="Segoe UI Light"/>
          <w:szCs w:val="20"/>
        </w:rPr>
        <w:t>M</w:t>
      </w:r>
      <w:r w:rsidR="00F72784" w:rsidRPr="00040A06">
        <w:rPr>
          <w:rFonts w:cs="Segoe UI Light"/>
          <w:szCs w:val="20"/>
        </w:rPr>
        <w:t>onitoring changes in the environment over time.</w:t>
      </w:r>
    </w:p>
    <w:p w14:paraId="656B171C" w14:textId="77777777" w:rsidR="00F72784" w:rsidRPr="00040A06" w:rsidRDefault="008A35D1" w:rsidP="00F72784">
      <w:pPr>
        <w:rPr>
          <w:rFonts w:cs="Segoe UI Light"/>
          <w:szCs w:val="20"/>
        </w:rPr>
      </w:pPr>
      <w:r>
        <w:rPr>
          <w:rFonts w:cs="Segoe UI Light"/>
          <w:szCs w:val="20"/>
        </w:rPr>
        <w:t xml:space="preserve">An </w:t>
      </w:r>
      <w:r w:rsidR="003C77E3">
        <w:rPr>
          <w:rFonts w:cs="Segoe UI Light"/>
          <w:szCs w:val="20"/>
        </w:rPr>
        <w:t>environment reference standard</w:t>
      </w:r>
      <w:r w:rsidR="00F72784" w:rsidRPr="00040A06">
        <w:rPr>
          <w:rFonts w:cs="Segoe UI Light"/>
          <w:szCs w:val="20"/>
        </w:rPr>
        <w:t xml:space="preserve"> </w:t>
      </w:r>
      <w:r w:rsidR="00190412">
        <w:rPr>
          <w:rFonts w:cs="Segoe UI Light"/>
          <w:szCs w:val="20"/>
        </w:rPr>
        <w:t>will also be required to</w:t>
      </w:r>
      <w:r w:rsidR="00F72784" w:rsidRPr="00040A06">
        <w:rPr>
          <w:rFonts w:cs="Segoe UI Light"/>
          <w:szCs w:val="20"/>
        </w:rPr>
        <w:t xml:space="preserve"> be considered by:</w:t>
      </w:r>
    </w:p>
    <w:p w14:paraId="656B171D" w14:textId="77777777" w:rsidR="00F72784" w:rsidRPr="00040A06" w:rsidRDefault="00527FA8" w:rsidP="004A2442">
      <w:pPr>
        <w:pStyle w:val="ListParagraph"/>
        <w:numPr>
          <w:ilvl w:val="0"/>
          <w:numId w:val="56"/>
        </w:numPr>
        <w:spacing w:after="160" w:line="256" w:lineRule="auto"/>
        <w:textboxTightWrap w:val="none"/>
        <w:rPr>
          <w:rFonts w:cs="Segoe UI Light"/>
          <w:szCs w:val="20"/>
        </w:rPr>
      </w:pPr>
      <w:r>
        <w:rPr>
          <w:rFonts w:cs="Segoe UI Light"/>
          <w:szCs w:val="20"/>
        </w:rPr>
        <w:t>T</w:t>
      </w:r>
      <w:r w:rsidR="00F72784" w:rsidRPr="00040A06">
        <w:rPr>
          <w:rFonts w:cs="Segoe UI Light"/>
          <w:szCs w:val="20"/>
        </w:rPr>
        <w:t>he Minister when:</w:t>
      </w:r>
    </w:p>
    <w:p w14:paraId="656B171E" w14:textId="77777777" w:rsidR="00F72784" w:rsidRPr="00F72784" w:rsidRDefault="00527FA8" w:rsidP="004A2442">
      <w:pPr>
        <w:pStyle w:val="ListParagraph"/>
        <w:numPr>
          <w:ilvl w:val="1"/>
          <w:numId w:val="56"/>
        </w:numPr>
        <w:spacing w:after="160" w:line="256" w:lineRule="auto"/>
        <w:ind w:left="1134" w:hanging="425"/>
        <w:textboxTightWrap w:val="none"/>
        <w:rPr>
          <w:rFonts w:cs="Segoe UI Light"/>
          <w:szCs w:val="20"/>
        </w:rPr>
      </w:pPr>
      <w:r>
        <w:rPr>
          <w:rFonts w:cs="Segoe UI Light"/>
          <w:szCs w:val="20"/>
        </w:rPr>
        <w:t>M</w:t>
      </w:r>
      <w:r w:rsidR="00F72784" w:rsidRPr="00040A06">
        <w:rPr>
          <w:rFonts w:cs="Segoe UI Light"/>
          <w:szCs w:val="20"/>
        </w:rPr>
        <w:t>aking Regulations</w:t>
      </w:r>
    </w:p>
    <w:p w14:paraId="656B171F" w14:textId="77777777" w:rsidR="00F72784" w:rsidRPr="00F72784" w:rsidRDefault="00527FA8" w:rsidP="004A2442">
      <w:pPr>
        <w:pStyle w:val="ListParagraph"/>
        <w:numPr>
          <w:ilvl w:val="1"/>
          <w:numId w:val="56"/>
        </w:numPr>
        <w:spacing w:after="160" w:line="256" w:lineRule="auto"/>
        <w:ind w:left="1134" w:hanging="425"/>
        <w:textboxTightWrap w:val="none"/>
        <w:rPr>
          <w:rFonts w:cs="Segoe UI Light"/>
          <w:szCs w:val="20"/>
        </w:rPr>
      </w:pPr>
      <w:r>
        <w:rPr>
          <w:rFonts w:cs="Segoe UI Light"/>
          <w:szCs w:val="20"/>
        </w:rPr>
        <w:t>D</w:t>
      </w:r>
      <w:r w:rsidR="00F72784" w:rsidRPr="00040A06">
        <w:rPr>
          <w:rFonts w:cs="Segoe UI Light"/>
          <w:szCs w:val="20"/>
        </w:rPr>
        <w:t xml:space="preserve">eveloping compliance codes </w:t>
      </w:r>
    </w:p>
    <w:p w14:paraId="656B1720" w14:textId="77777777" w:rsidR="00F72784" w:rsidRPr="00F72784" w:rsidRDefault="00527FA8" w:rsidP="004A2442">
      <w:pPr>
        <w:pStyle w:val="ListParagraph"/>
        <w:numPr>
          <w:ilvl w:val="1"/>
          <w:numId w:val="56"/>
        </w:numPr>
        <w:spacing w:after="160" w:line="256" w:lineRule="auto"/>
        <w:ind w:left="1134" w:hanging="425"/>
        <w:textboxTightWrap w:val="none"/>
        <w:rPr>
          <w:rFonts w:cs="Segoe UI Light"/>
          <w:szCs w:val="20"/>
        </w:rPr>
      </w:pPr>
      <w:r>
        <w:rPr>
          <w:rFonts w:cs="Segoe UI Light"/>
          <w:szCs w:val="20"/>
        </w:rPr>
        <w:t>D</w:t>
      </w:r>
      <w:r w:rsidR="00F72784" w:rsidRPr="00040A06">
        <w:rPr>
          <w:rFonts w:cs="Segoe UI Light"/>
          <w:szCs w:val="20"/>
        </w:rPr>
        <w:t>eclaring issues of environmental concern</w:t>
      </w:r>
    </w:p>
    <w:p w14:paraId="656B1721" w14:textId="77777777" w:rsidR="00F72784" w:rsidRPr="00F72784" w:rsidRDefault="00527FA8" w:rsidP="004A2442">
      <w:pPr>
        <w:pStyle w:val="ListParagraph"/>
        <w:numPr>
          <w:ilvl w:val="0"/>
          <w:numId w:val="56"/>
        </w:numPr>
        <w:spacing w:after="160" w:line="256" w:lineRule="auto"/>
        <w:textboxTightWrap w:val="none"/>
        <w:rPr>
          <w:rFonts w:cs="Segoe UI Light"/>
          <w:szCs w:val="20"/>
        </w:rPr>
      </w:pPr>
      <w:r>
        <w:rPr>
          <w:rFonts w:cs="Segoe UI Light"/>
          <w:szCs w:val="20"/>
        </w:rPr>
        <w:t>E</w:t>
      </w:r>
      <w:r w:rsidR="00F72784" w:rsidRPr="00040A06">
        <w:rPr>
          <w:rFonts w:cs="Segoe UI Light"/>
          <w:szCs w:val="20"/>
        </w:rPr>
        <w:t>nvironmental auditors when conducting audits</w:t>
      </w:r>
    </w:p>
    <w:p w14:paraId="656B1722" w14:textId="77777777" w:rsidR="00F72784" w:rsidRPr="00F72784" w:rsidRDefault="00F72784" w:rsidP="004A2442">
      <w:pPr>
        <w:pStyle w:val="ListParagraph"/>
        <w:numPr>
          <w:ilvl w:val="0"/>
          <w:numId w:val="56"/>
        </w:numPr>
        <w:spacing w:after="160" w:line="256" w:lineRule="auto"/>
        <w:textboxTightWrap w:val="none"/>
        <w:rPr>
          <w:rFonts w:cs="Segoe UI Light"/>
          <w:szCs w:val="20"/>
        </w:rPr>
      </w:pPr>
      <w:r w:rsidRPr="00040A06">
        <w:rPr>
          <w:rFonts w:cs="Segoe UI Light"/>
          <w:szCs w:val="20"/>
        </w:rPr>
        <w:t xml:space="preserve">VCAT when relevant to reviewing EPA decisions </w:t>
      </w:r>
    </w:p>
    <w:p w14:paraId="656B1723" w14:textId="77777777" w:rsidR="00F72784" w:rsidRPr="00F72784" w:rsidRDefault="00527FA8" w:rsidP="004A2442">
      <w:pPr>
        <w:pStyle w:val="ListParagraph"/>
        <w:numPr>
          <w:ilvl w:val="0"/>
          <w:numId w:val="56"/>
        </w:numPr>
        <w:spacing w:after="160" w:line="256" w:lineRule="auto"/>
        <w:textboxTightWrap w:val="none"/>
        <w:rPr>
          <w:rFonts w:cs="Segoe UI Light"/>
          <w:szCs w:val="20"/>
        </w:rPr>
      </w:pPr>
      <w:r>
        <w:rPr>
          <w:rFonts w:cs="Segoe UI Light"/>
          <w:szCs w:val="20"/>
        </w:rPr>
        <w:t>R</w:t>
      </w:r>
      <w:r w:rsidR="00F72784" w:rsidRPr="00040A06">
        <w:rPr>
          <w:rFonts w:cs="Segoe UI Light"/>
          <w:szCs w:val="20"/>
        </w:rPr>
        <w:t>esponsible authorities, when making planning decisions.</w:t>
      </w:r>
      <w:r w:rsidR="00F72784" w:rsidRPr="00040A06">
        <w:rPr>
          <w:rFonts w:cs="Segoe UI Light"/>
          <w:szCs w:val="20"/>
        </w:rPr>
        <w:tab/>
      </w:r>
    </w:p>
    <w:p w14:paraId="656B1724" w14:textId="77777777" w:rsidR="00F72784" w:rsidRPr="00040A06" w:rsidRDefault="00190412" w:rsidP="00F72784">
      <w:pPr>
        <w:rPr>
          <w:rFonts w:cs="Segoe UI Light"/>
          <w:szCs w:val="20"/>
        </w:rPr>
      </w:pPr>
      <w:r>
        <w:rPr>
          <w:rFonts w:cs="Segoe UI Light"/>
          <w:szCs w:val="20"/>
        </w:rPr>
        <w:t>EPA is</w:t>
      </w:r>
      <w:r w:rsidR="00F72784" w:rsidRPr="00040A06">
        <w:rPr>
          <w:rFonts w:cs="Segoe UI Light"/>
          <w:szCs w:val="20"/>
        </w:rPr>
        <w:t xml:space="preserve"> currently developing the first set of </w:t>
      </w:r>
      <w:r w:rsidR="001C4CD6">
        <w:rPr>
          <w:rFonts w:cs="Segoe UI Light"/>
          <w:szCs w:val="20"/>
        </w:rPr>
        <w:t xml:space="preserve">standards </w:t>
      </w:r>
      <w:r w:rsidRPr="00190412">
        <w:rPr>
          <w:rFonts w:cs="Segoe UI Light"/>
          <w:szCs w:val="20"/>
        </w:rPr>
        <w:t>that will take effect w</w:t>
      </w:r>
      <w:r>
        <w:rPr>
          <w:rFonts w:cs="Segoe UI Light"/>
          <w:szCs w:val="20"/>
        </w:rPr>
        <w:t>hen the</w:t>
      </w:r>
      <w:r w:rsidR="00F72784" w:rsidRPr="00040A06">
        <w:rPr>
          <w:rFonts w:cs="Segoe UI Light"/>
          <w:szCs w:val="20"/>
        </w:rPr>
        <w:t xml:space="preserve"> new</w:t>
      </w:r>
      <w:r>
        <w:rPr>
          <w:rFonts w:cs="Segoe UI Light"/>
          <w:szCs w:val="20"/>
        </w:rPr>
        <w:t xml:space="preserve"> EP legislation comes into effect</w:t>
      </w:r>
      <w:r w:rsidR="00F72784" w:rsidRPr="00040A06">
        <w:rPr>
          <w:rFonts w:cs="Segoe UI Light"/>
          <w:szCs w:val="20"/>
        </w:rPr>
        <w:t xml:space="preserve">. To support a smooth transition, </w:t>
      </w:r>
      <w:r>
        <w:rPr>
          <w:rFonts w:cs="Segoe UI Light"/>
          <w:szCs w:val="20"/>
        </w:rPr>
        <w:t>EPA</w:t>
      </w:r>
      <w:r w:rsidR="00F72784" w:rsidRPr="00040A06">
        <w:rPr>
          <w:rFonts w:cs="Segoe UI Light"/>
          <w:szCs w:val="20"/>
        </w:rPr>
        <w:t xml:space="preserve"> will look at th</w:t>
      </w:r>
      <w:r w:rsidRPr="00190412">
        <w:rPr>
          <w:rFonts w:cs="Segoe UI Light"/>
          <w:szCs w:val="20"/>
        </w:rPr>
        <w:t>e beneficial uses set out in</w:t>
      </w:r>
      <w:r w:rsidR="00F72784" w:rsidRPr="00040A06">
        <w:rPr>
          <w:rFonts w:cs="Segoe UI Light"/>
          <w:szCs w:val="20"/>
        </w:rPr>
        <w:t xml:space="preserve"> existing </w:t>
      </w:r>
      <w:r>
        <w:rPr>
          <w:rFonts w:cs="Segoe UI Light"/>
          <w:szCs w:val="20"/>
        </w:rPr>
        <w:t>SEPPs</w:t>
      </w:r>
      <w:r w:rsidR="00F72784" w:rsidRPr="00040A06">
        <w:rPr>
          <w:rFonts w:cs="Segoe UI Light"/>
          <w:szCs w:val="20"/>
        </w:rPr>
        <w:t xml:space="preserve">, as a starting point. The </w:t>
      </w:r>
      <w:r w:rsidRPr="00EB64CC">
        <w:t xml:space="preserve">proposed </w:t>
      </w:r>
      <w:r w:rsidRPr="00EB64CC">
        <w:rPr>
          <w:rFonts w:cs="Segoe UI Light"/>
          <w:szCs w:val="20"/>
        </w:rPr>
        <w:t>ERS</w:t>
      </w:r>
      <w:r w:rsidRPr="00EB64CC">
        <w:t xml:space="preserve"> </w:t>
      </w:r>
      <w:r w:rsidR="00F72784" w:rsidRPr="00040A06">
        <w:rPr>
          <w:rFonts w:cs="Segoe UI Light"/>
          <w:szCs w:val="20"/>
        </w:rPr>
        <w:t>and impact statement will be published for public comment in mid-2019.</w:t>
      </w:r>
    </w:p>
    <w:p w14:paraId="656B1725" w14:textId="77777777" w:rsidR="00CA5AC4" w:rsidRPr="00040A06" w:rsidRDefault="0074755E" w:rsidP="00040A06">
      <w:pPr>
        <w:rPr>
          <w:rFonts w:cs="Segoe UI Light"/>
          <w:szCs w:val="20"/>
        </w:rPr>
      </w:pPr>
      <w:r>
        <w:rPr>
          <w:rFonts w:cs="Segoe UI Light"/>
          <w:szCs w:val="20"/>
        </w:rPr>
        <w:t xml:space="preserve">The </w:t>
      </w:r>
      <w:r w:rsidR="008A35D1">
        <w:rPr>
          <w:rFonts w:cs="Segoe UI Light"/>
          <w:szCs w:val="20"/>
        </w:rPr>
        <w:t xml:space="preserve">ERS </w:t>
      </w:r>
      <w:r w:rsidR="00F72784" w:rsidRPr="00040A06">
        <w:rPr>
          <w:rFonts w:cs="Segoe UI Light"/>
          <w:szCs w:val="20"/>
        </w:rPr>
        <w:t>must be reviewed every 10 years, but can also be updated more often as new knowledge becomes available, such as when our understanding of risks of harm change.</w:t>
      </w:r>
      <w:r w:rsidR="001C4CD6">
        <w:rPr>
          <w:rFonts w:cs="Segoe UI Light"/>
          <w:szCs w:val="20"/>
        </w:rPr>
        <w:t xml:space="preserve"> </w:t>
      </w:r>
      <w:r w:rsidR="00CA5AC4">
        <w:rPr>
          <w:rFonts w:cs="Segoe UI Light"/>
          <w:szCs w:val="20"/>
        </w:rPr>
        <w:t xml:space="preserve">Information about </w:t>
      </w:r>
      <w:r>
        <w:rPr>
          <w:rFonts w:cs="Segoe UI Light"/>
          <w:szCs w:val="20"/>
        </w:rPr>
        <w:t xml:space="preserve">the </w:t>
      </w:r>
      <w:r w:rsidR="00CA5AC4">
        <w:rPr>
          <w:rFonts w:cs="Segoe UI Light"/>
          <w:szCs w:val="20"/>
        </w:rPr>
        <w:t>ERS is available on</w:t>
      </w:r>
      <w:r w:rsidR="001C4CD6">
        <w:rPr>
          <w:rFonts w:cs="Segoe UI Light"/>
          <w:szCs w:val="20"/>
        </w:rPr>
        <w:t xml:space="preserve"> the</w:t>
      </w:r>
      <w:r w:rsidR="00CA5AC4">
        <w:rPr>
          <w:rFonts w:cs="Segoe UI Light"/>
          <w:szCs w:val="20"/>
        </w:rPr>
        <w:t xml:space="preserve"> </w:t>
      </w:r>
      <w:r w:rsidR="000514DD">
        <w:rPr>
          <w:rFonts w:cs="Segoe UI Light"/>
          <w:szCs w:val="20"/>
        </w:rPr>
        <w:t>EPA</w:t>
      </w:r>
      <w:r w:rsidR="00CA5AC4">
        <w:rPr>
          <w:rFonts w:cs="Segoe UI Light"/>
          <w:szCs w:val="20"/>
        </w:rPr>
        <w:t xml:space="preserve"> website at </w:t>
      </w:r>
      <w:r w:rsidR="00CA5AC4" w:rsidRPr="00CA5AC4">
        <w:rPr>
          <w:rFonts w:cs="Segoe UI Light"/>
          <w:szCs w:val="20"/>
        </w:rPr>
        <w:t>https://www.epa.vic.gov.au/about-us/response-to-epa-inquiry/understanding-environment-reference-standards</w:t>
      </w:r>
      <w:r w:rsidR="00CA5AC4">
        <w:rPr>
          <w:rFonts w:cs="Segoe UI Light"/>
          <w:szCs w:val="20"/>
        </w:rPr>
        <w:t>.</w:t>
      </w:r>
    </w:p>
    <w:bookmarkEnd w:id="2005"/>
    <w:bookmarkEnd w:id="2006"/>
    <w:p w14:paraId="656B1726" w14:textId="77777777" w:rsidR="00400785" w:rsidRDefault="00400785" w:rsidP="00741D87"/>
    <w:p w14:paraId="656B1727" w14:textId="77777777" w:rsidR="002E0EEB" w:rsidRDefault="002E0EEB" w:rsidP="006B41FE">
      <w:pPr>
        <w:pStyle w:val="Heading1un-numbered"/>
        <w:spacing w:after="120"/>
      </w:pPr>
      <w:bookmarkStart w:id="2013" w:name="_Toc10018346"/>
      <w:bookmarkStart w:id="2014" w:name="_Toc10021452"/>
      <w:bookmarkStart w:id="2015" w:name="_Toc10021866"/>
      <w:bookmarkStart w:id="2016" w:name="_Toc12892350"/>
      <w:r>
        <w:t xml:space="preserve">Appendix </w:t>
      </w:r>
      <w:r w:rsidR="00D23978">
        <w:t>2</w:t>
      </w:r>
      <w:r>
        <w:t xml:space="preserve"> – Noise pollution legislative and regulatory instruments</w:t>
      </w:r>
      <w:bookmarkEnd w:id="2013"/>
      <w:bookmarkEnd w:id="2014"/>
      <w:bookmarkEnd w:id="2015"/>
      <w:bookmarkEnd w:id="2016"/>
    </w:p>
    <w:p w14:paraId="656B1728" w14:textId="77777777" w:rsidR="002E0EEB" w:rsidRPr="00253311" w:rsidRDefault="002E0EEB" w:rsidP="002E0EEB">
      <w:pPr>
        <w:tabs>
          <w:tab w:val="left" w:pos="5231"/>
        </w:tabs>
        <w:mirrorIndents/>
        <w:rPr>
          <w:rFonts w:eastAsia="Arial" w:cs="Arial"/>
        </w:rPr>
      </w:pPr>
      <w:r>
        <w:rPr>
          <w:lang w:eastAsia="ja-JP"/>
        </w:rPr>
        <w:t xml:space="preserve">Instruments controlling various types of noise outside of the </w:t>
      </w:r>
      <w:r w:rsidRPr="443B5F9E">
        <w:rPr>
          <w:lang w:eastAsia="ja-JP"/>
        </w:rPr>
        <w:t>EP Act</w:t>
      </w:r>
      <w:r>
        <w:rPr>
          <w:lang w:eastAsia="ja-JP"/>
        </w:rPr>
        <w:t xml:space="preserve"> 1970 or new EP legislation </w:t>
      </w:r>
      <w:r w:rsidR="00576195">
        <w:rPr>
          <w:lang w:eastAsia="ja-JP"/>
        </w:rPr>
        <w:t>are outlined below</w:t>
      </w:r>
      <w:r>
        <w:rPr>
          <w:lang w:eastAsia="ja-JP"/>
        </w:rPr>
        <w:t>:</w:t>
      </w:r>
      <w:r w:rsidRPr="005B2256">
        <w:rPr>
          <w:vertAlign w:val="superscript"/>
          <w:lang w:eastAsia="ja-JP"/>
        </w:rPr>
        <w:footnoteReference w:id="330"/>
      </w:r>
    </w:p>
    <w:p w14:paraId="656B1729" w14:textId="77777777" w:rsidR="002E0EEB" w:rsidRPr="002965B2" w:rsidRDefault="002E0EEB" w:rsidP="002E0EEB">
      <w:pPr>
        <w:pStyle w:val="Heading3un-numbered"/>
        <w:rPr>
          <w:b w:val="0"/>
          <w:i/>
          <w:lang w:eastAsia="ja-JP"/>
        </w:rPr>
      </w:pPr>
      <w:r w:rsidRPr="002965B2">
        <w:rPr>
          <w:lang w:eastAsia="ja-JP"/>
        </w:rPr>
        <w:t>Residential noise</w:t>
      </w:r>
    </w:p>
    <w:p w14:paraId="656B172A" w14:textId="77777777" w:rsidR="002E0EEB" w:rsidRPr="002965B2" w:rsidRDefault="002E0EEB" w:rsidP="004A2442">
      <w:pPr>
        <w:pStyle w:val="Bullet1"/>
        <w:numPr>
          <w:ilvl w:val="0"/>
          <w:numId w:val="26"/>
        </w:numPr>
      </w:pPr>
      <w:r w:rsidRPr="002965B2">
        <w:t>Local government bylaws - some councils have local laws about certain noise sources (e.g. residential intruder alarms). These laws vary across the different councils.</w:t>
      </w:r>
    </w:p>
    <w:p w14:paraId="656B172B" w14:textId="77777777" w:rsidR="002E0EEB" w:rsidRPr="00365C4C" w:rsidRDefault="002E0EEB" w:rsidP="004A2442">
      <w:pPr>
        <w:pStyle w:val="Bullet1"/>
        <w:numPr>
          <w:ilvl w:val="0"/>
          <w:numId w:val="26"/>
        </w:numPr>
      </w:pPr>
      <w:r w:rsidRPr="00365C4C">
        <w:rPr>
          <w:i/>
        </w:rPr>
        <w:t>Public Health and Wellbeing Act 2008</w:t>
      </w:r>
      <w:r w:rsidRPr="002965B2">
        <w:t xml:space="preserve"> - Nuisance provisions provide local government with the flexibility to determine nuisance noise and require appropriate action to remedy. The focus is on the impact on a person, not the source of noise.</w:t>
      </w:r>
    </w:p>
    <w:p w14:paraId="656B172C" w14:textId="77777777" w:rsidR="002E0EEB" w:rsidRPr="00F118E7" w:rsidRDefault="002E0EEB" w:rsidP="00F118E7">
      <w:pPr>
        <w:pStyle w:val="Bullet1"/>
        <w:numPr>
          <w:ilvl w:val="0"/>
          <w:numId w:val="26"/>
        </w:numPr>
        <w:rPr>
          <w:i/>
        </w:rPr>
      </w:pPr>
      <w:r w:rsidRPr="00F118E7">
        <w:rPr>
          <w:i/>
        </w:rPr>
        <w:t>Domestic Animals Act 1994.</w:t>
      </w:r>
    </w:p>
    <w:p w14:paraId="656B172D" w14:textId="77777777" w:rsidR="002E0EEB" w:rsidRPr="00576195" w:rsidRDefault="002E0EEB" w:rsidP="00576195">
      <w:pPr>
        <w:pStyle w:val="Bullet1"/>
        <w:numPr>
          <w:ilvl w:val="0"/>
          <w:numId w:val="26"/>
        </w:numPr>
        <w:rPr>
          <w:i/>
        </w:rPr>
      </w:pPr>
      <w:r w:rsidRPr="00756CC5">
        <w:rPr>
          <w:i/>
        </w:rPr>
        <w:t xml:space="preserve">Planning and Environment Act </w:t>
      </w:r>
      <w:r w:rsidRPr="00F118E7">
        <w:rPr>
          <w:i/>
        </w:rPr>
        <w:t>1987</w:t>
      </w:r>
      <w:r w:rsidRPr="00576195">
        <w:rPr>
          <w:i/>
        </w:rPr>
        <w:t xml:space="preserve"> - </w:t>
      </w:r>
      <w:r w:rsidRPr="00576195">
        <w:t>developments that are likely to cause noise must identify the likely effects of noise emissions. Planning authorities must consider these when deciding whether to approve a development through a permit. As an example, the Apartment Design Guidelines for Victoria include design standards (including noise, energy, waste and landscaping, among others) that have been incorporated into the planning schemes of all councils</w:t>
      </w:r>
      <w:r w:rsidR="00DC7A63" w:rsidRPr="00576195">
        <w:t>.</w:t>
      </w:r>
      <w:r w:rsidR="00DC7A63" w:rsidRPr="00576195">
        <w:rPr>
          <w:i/>
        </w:rPr>
        <w:t xml:space="preserve"> </w:t>
      </w:r>
    </w:p>
    <w:p w14:paraId="656B172E" w14:textId="77777777" w:rsidR="002E0EEB" w:rsidRPr="00756CC5" w:rsidRDefault="002E0EEB" w:rsidP="002E0EEB">
      <w:pPr>
        <w:spacing w:after="0"/>
        <w:rPr>
          <w:b/>
          <w:i/>
          <w:lang w:eastAsia="ja-JP"/>
        </w:rPr>
      </w:pPr>
      <w:r w:rsidRPr="00756CC5">
        <w:rPr>
          <w:b/>
          <w:lang w:eastAsia="ja-JP"/>
        </w:rPr>
        <w:t>Commercial, industrial and trade noise</w:t>
      </w:r>
    </w:p>
    <w:p w14:paraId="656B172F" w14:textId="77777777" w:rsidR="002E0EEB" w:rsidRPr="002965B2" w:rsidRDefault="002E0EEB" w:rsidP="004A2442">
      <w:pPr>
        <w:pStyle w:val="Bullet1"/>
        <w:numPr>
          <w:ilvl w:val="0"/>
          <w:numId w:val="26"/>
        </w:numPr>
      </w:pPr>
      <w:r w:rsidRPr="002965B2">
        <w:rPr>
          <w:i/>
          <w:iCs/>
        </w:rPr>
        <w:t>Planning and Environment Act 1987</w:t>
      </w:r>
      <w:r w:rsidRPr="002965B2">
        <w:t xml:space="preserve"> - provides framework for integrating controls for land use and development, and associated environmental and social protection, including from excessive noise. Council planning permit conditions can apply SEPP N-1 or NIRV. </w:t>
      </w:r>
    </w:p>
    <w:p w14:paraId="656B1730" w14:textId="77777777" w:rsidR="002E0EEB" w:rsidRPr="00A07276" w:rsidRDefault="002E0EEB" w:rsidP="00A07276">
      <w:pPr>
        <w:spacing w:after="0"/>
        <w:rPr>
          <w:b/>
          <w:lang w:eastAsia="ja-JP"/>
        </w:rPr>
      </w:pPr>
      <w:r w:rsidRPr="00F118E7">
        <w:rPr>
          <w:b/>
          <w:lang w:eastAsia="ja-JP"/>
        </w:rPr>
        <w:t>Transport noise</w:t>
      </w:r>
    </w:p>
    <w:p w14:paraId="656B1731" w14:textId="77777777" w:rsidR="002E0EEB" w:rsidRPr="00576195" w:rsidRDefault="002E0EEB" w:rsidP="004A2442">
      <w:pPr>
        <w:pStyle w:val="Bullet1"/>
        <w:numPr>
          <w:ilvl w:val="0"/>
          <w:numId w:val="26"/>
        </w:numPr>
      </w:pPr>
      <w:r w:rsidRPr="002B4349">
        <w:t xml:space="preserve">Local laws - some Victorian local councils have laws about certain noise sources (e.g. recreational </w:t>
      </w:r>
      <w:r w:rsidRPr="00576195">
        <w:t xml:space="preserve">vehicles). There is no consistency across the state and laws apply only in that municipality. </w:t>
      </w:r>
    </w:p>
    <w:p w14:paraId="656B1732" w14:textId="77777777" w:rsidR="002E0EEB" w:rsidRPr="002B4349" w:rsidRDefault="00576195" w:rsidP="004A2442">
      <w:pPr>
        <w:pStyle w:val="Bullet1"/>
        <w:numPr>
          <w:ilvl w:val="0"/>
          <w:numId w:val="26"/>
        </w:numPr>
      </w:pPr>
      <w:r w:rsidRPr="00576195">
        <w:t xml:space="preserve">Department of Economic Development, Jobs, Transport and Resources’ </w:t>
      </w:r>
      <w:r w:rsidR="002E0EEB" w:rsidRPr="00576195">
        <w:t>Passenger Rail Infrastructure Noise Policy (2013) - guidance for transport bodies and planning authorities for redevelopment/design of new passenger rail infrastructure</w:t>
      </w:r>
      <w:r w:rsidR="002E0EEB" w:rsidRPr="002B4349">
        <w:t xml:space="preserve"> and changes to land use near existing and planned rail corridors.</w:t>
      </w:r>
    </w:p>
    <w:p w14:paraId="656B1733" w14:textId="77777777" w:rsidR="002E0EEB" w:rsidRPr="002965B2" w:rsidRDefault="002E0EEB" w:rsidP="004A2442">
      <w:pPr>
        <w:pStyle w:val="Bullet1"/>
        <w:numPr>
          <w:ilvl w:val="0"/>
          <w:numId w:val="26"/>
        </w:numPr>
      </w:pPr>
      <w:r w:rsidRPr="002965B2">
        <w:t xml:space="preserve">VicRoads </w:t>
      </w:r>
      <w:hyperlink r:id="rId82">
        <w:r w:rsidRPr="002965B2">
          <w:t>Traffic noise reduction policy</w:t>
        </w:r>
      </w:hyperlink>
      <w:r w:rsidR="00014F56">
        <w:t xml:space="preserve"> </w:t>
      </w:r>
      <w:r w:rsidRPr="002965B2">
        <w:t>- sets noise criteria for freeways and aims to limit noise impacts from new or upgraded roads. This policy is currently </w:t>
      </w:r>
      <w:hyperlink r:id="rId83">
        <w:r w:rsidRPr="002965B2">
          <w:t>under review</w:t>
        </w:r>
      </w:hyperlink>
      <w:r w:rsidRPr="002965B2">
        <w:t xml:space="preserve"> by VicRoads. </w:t>
      </w:r>
    </w:p>
    <w:p w14:paraId="656B1734" w14:textId="77777777" w:rsidR="002E0EEB" w:rsidRPr="002B4349" w:rsidRDefault="002E0EEB" w:rsidP="004A2442">
      <w:pPr>
        <w:pStyle w:val="Bullet1"/>
        <w:numPr>
          <w:ilvl w:val="0"/>
          <w:numId w:val="26"/>
        </w:numPr>
      </w:pPr>
      <w:r w:rsidRPr="002B4349">
        <w:t xml:space="preserve">VicRoads’ </w:t>
      </w:r>
      <w:hyperlink r:id="rId84">
        <w:r w:rsidRPr="002B4349">
          <w:t>A guide to the reduction of traffic noise for use by builders, designers and residents</w:t>
        </w:r>
      </w:hyperlink>
      <w:r w:rsidRPr="002B4349">
        <w:t xml:space="preserve"> aims to reduce the impacts of road traffic noise by building improvements and other measures.</w:t>
      </w:r>
    </w:p>
    <w:p w14:paraId="656B1735" w14:textId="77777777" w:rsidR="002E0EEB" w:rsidRPr="00A07276" w:rsidRDefault="002E0EEB" w:rsidP="00A07276">
      <w:pPr>
        <w:spacing w:after="0"/>
        <w:rPr>
          <w:b/>
          <w:lang w:eastAsia="ja-JP"/>
        </w:rPr>
      </w:pPr>
      <w:r w:rsidRPr="00F118E7">
        <w:rPr>
          <w:b/>
          <w:lang w:eastAsia="ja-JP"/>
        </w:rPr>
        <w:t xml:space="preserve">Entertainment venues </w:t>
      </w:r>
    </w:p>
    <w:p w14:paraId="656B1736" w14:textId="77777777" w:rsidR="002E0EEB" w:rsidRPr="002965B2" w:rsidRDefault="002E0EEB" w:rsidP="004A2442">
      <w:pPr>
        <w:pStyle w:val="Bullet1"/>
        <w:numPr>
          <w:ilvl w:val="0"/>
          <w:numId w:val="26"/>
        </w:numPr>
      </w:pPr>
      <w:r w:rsidRPr="00365C4C">
        <w:rPr>
          <w:i/>
        </w:rPr>
        <w:t>Liquor Control Reform Act 1998</w:t>
      </w:r>
      <w:r w:rsidRPr="002965B2">
        <w:t xml:space="preserve"> (LCR Act) - noise levels are considered as part of the licensing process. Some licences contain conditions for licensees to follow certain noise management practices. Local councils, police and the Victorian Commission for Gaming and Liquor Regulation (VCGLR) is responsible for enforcement under this Act. </w:t>
      </w:r>
    </w:p>
    <w:p w14:paraId="656B1737" w14:textId="77777777" w:rsidR="002E0EEB" w:rsidRPr="00040231" w:rsidRDefault="002E0EEB" w:rsidP="00D66FCE">
      <w:pPr>
        <w:pStyle w:val="Bullet1"/>
        <w:numPr>
          <w:ilvl w:val="0"/>
          <w:numId w:val="26"/>
        </w:numPr>
      </w:pPr>
      <w:r w:rsidRPr="00365C4C">
        <w:rPr>
          <w:i/>
        </w:rPr>
        <w:t>Planning and Environment Act 1987</w:t>
      </w:r>
      <w:r w:rsidRPr="002965B2">
        <w:t xml:space="preserve"> - council planning permit conditions can apply SEPP N-2. </w:t>
      </w:r>
    </w:p>
    <w:p w14:paraId="656B1738" w14:textId="77777777" w:rsidR="002E0EEB" w:rsidRDefault="002E0EEB" w:rsidP="006B41FE">
      <w:pPr>
        <w:pStyle w:val="Heading1un-numbered"/>
        <w:spacing w:after="240"/>
      </w:pPr>
      <w:bookmarkStart w:id="2017" w:name="_Toc10018347"/>
      <w:bookmarkStart w:id="2018" w:name="_Toc10021453"/>
      <w:bookmarkStart w:id="2019" w:name="_Toc10021867"/>
      <w:bookmarkStart w:id="2020" w:name="_Toc12892351"/>
      <w:r>
        <w:t xml:space="preserve">Appendix </w:t>
      </w:r>
      <w:r w:rsidR="00D23978">
        <w:t>3</w:t>
      </w:r>
      <w:r>
        <w:t xml:space="preserve"> – Contaminated land current legislative and regulatory framework</w:t>
      </w:r>
      <w:bookmarkEnd w:id="2017"/>
      <w:bookmarkEnd w:id="2018"/>
      <w:bookmarkEnd w:id="2019"/>
      <w:bookmarkEnd w:id="2020"/>
    </w:p>
    <w:p w14:paraId="656B1739" w14:textId="77777777" w:rsidR="002E0EEB" w:rsidRPr="00040231" w:rsidRDefault="002E0EEB" w:rsidP="002E0EEB">
      <w:pPr>
        <w:mirrorIndents/>
      </w:pPr>
    </w:p>
    <w:p w14:paraId="656B173A" w14:textId="77777777" w:rsidR="002E0EEB" w:rsidRPr="00B02D02" w:rsidRDefault="002E0EEB" w:rsidP="002E0EEB">
      <w:pPr>
        <w:mirrorIndents/>
        <w:rPr>
          <w:rFonts w:cs="Segoe UI Light"/>
          <w:color w:val="7F7F7F" w:themeColor="text1" w:themeTint="80"/>
          <w:szCs w:val="20"/>
        </w:rPr>
      </w:pPr>
      <w:r w:rsidRPr="00B02D02">
        <w:rPr>
          <w:rFonts w:cs="Segoe UI Light"/>
          <w:szCs w:val="20"/>
        </w:rPr>
        <w:t xml:space="preserve">The legislative and regulatory framework for managing potentially contaminated and contaminated sites encompasses the </w:t>
      </w:r>
      <w:r w:rsidRPr="00040A06">
        <w:rPr>
          <w:rFonts w:cs="Segoe UI Light"/>
          <w:i/>
          <w:szCs w:val="20"/>
        </w:rPr>
        <w:t>EP Act 1970</w:t>
      </w:r>
      <w:r w:rsidRPr="00B02D02">
        <w:rPr>
          <w:rFonts w:cs="Segoe UI Light"/>
          <w:szCs w:val="20"/>
        </w:rPr>
        <w:t xml:space="preserve">, the </w:t>
      </w:r>
      <w:r w:rsidRPr="00B02D02">
        <w:rPr>
          <w:rFonts w:cs="Segoe UI Light"/>
          <w:i/>
          <w:szCs w:val="20"/>
        </w:rPr>
        <w:t>Planning and Environment Act 1987</w:t>
      </w:r>
      <w:r w:rsidRPr="00B02D02">
        <w:rPr>
          <w:rFonts w:cs="Segoe UI Light"/>
          <w:szCs w:val="20"/>
        </w:rPr>
        <w:t xml:space="preserve">, a range of complementary directions and practice notes, and an environmental audit system. A summary is provided </w:t>
      </w:r>
      <w:r w:rsidR="00104E3D">
        <w:rPr>
          <w:rFonts w:cs="Segoe UI Light"/>
          <w:szCs w:val="20"/>
        </w:rPr>
        <w:t>in the table below.</w:t>
      </w:r>
    </w:p>
    <w:p w14:paraId="656B173B" w14:textId="77777777" w:rsidR="002E0EEB" w:rsidRDefault="00104E3D" w:rsidP="00A07276">
      <w:pPr>
        <w:pStyle w:val="CaptionTable"/>
      </w:pPr>
      <w:r w:rsidRPr="00A07276">
        <w:t xml:space="preserve">Table: </w:t>
      </w:r>
      <w:r w:rsidR="002E0EEB" w:rsidRPr="0096395F">
        <w:t>Current legislative</w:t>
      </w:r>
      <w:r w:rsidR="002E0EEB">
        <w:t xml:space="preserve"> framework - contaminated l</w:t>
      </w:r>
      <w:r w:rsidR="002E0EEB" w:rsidRPr="007C70D4">
        <w:t>and</w:t>
      </w:r>
    </w:p>
    <w:tbl>
      <w:tblPr>
        <w:tblStyle w:val="Deloittetable"/>
        <w:tblW w:w="5000" w:type="pct"/>
        <w:tblLook w:val="04A0" w:firstRow="1" w:lastRow="0" w:firstColumn="1" w:lastColumn="0" w:noHBand="0" w:noVBand="1"/>
      </w:tblPr>
      <w:tblGrid>
        <w:gridCol w:w="1985"/>
        <w:gridCol w:w="7370"/>
      </w:tblGrid>
      <w:tr w:rsidR="002E0EEB" w:rsidRPr="0008495E" w14:paraId="656B173E" w14:textId="77777777" w:rsidTr="00040A06">
        <w:trPr>
          <w:cnfStyle w:val="100000000000" w:firstRow="1" w:lastRow="0" w:firstColumn="0" w:lastColumn="0" w:oddVBand="0" w:evenVBand="0" w:oddHBand="0" w:evenHBand="0" w:firstRowFirstColumn="0" w:firstRowLastColumn="0" w:lastRowFirstColumn="0" w:lastRowLastColumn="0"/>
          <w:trHeight w:val="350"/>
        </w:trPr>
        <w:tc>
          <w:tcPr>
            <w:tcW w:w="1061" w:type="pct"/>
          </w:tcPr>
          <w:p w14:paraId="656B173C" w14:textId="77777777" w:rsidR="002E0EEB" w:rsidRPr="00A07276" w:rsidRDefault="002E0EEB" w:rsidP="00E563DC">
            <w:pPr>
              <w:mirrorIndents/>
              <w:rPr>
                <w:rFonts w:cs="Segoe UI Light"/>
                <w:b/>
                <w:sz w:val="18"/>
                <w:szCs w:val="20"/>
              </w:rPr>
            </w:pPr>
            <w:r w:rsidRPr="00A07276">
              <w:rPr>
                <w:rFonts w:cs="Segoe UI Light"/>
                <w:b/>
                <w:sz w:val="18"/>
                <w:szCs w:val="20"/>
              </w:rPr>
              <w:t>Instrument</w:t>
            </w:r>
          </w:p>
        </w:tc>
        <w:tc>
          <w:tcPr>
            <w:tcW w:w="3939" w:type="pct"/>
          </w:tcPr>
          <w:p w14:paraId="656B173D" w14:textId="77777777" w:rsidR="002E0EEB" w:rsidRPr="00A07276" w:rsidRDefault="002E0EEB" w:rsidP="00E563DC">
            <w:pPr>
              <w:mirrorIndents/>
              <w:rPr>
                <w:rFonts w:cs="Segoe UI Light"/>
                <w:b/>
                <w:sz w:val="18"/>
                <w:szCs w:val="20"/>
              </w:rPr>
            </w:pPr>
            <w:r w:rsidRPr="00A07276">
              <w:rPr>
                <w:rFonts w:cs="Segoe UI Light"/>
                <w:b/>
                <w:sz w:val="18"/>
                <w:szCs w:val="20"/>
              </w:rPr>
              <w:t>Description</w:t>
            </w:r>
          </w:p>
        </w:tc>
      </w:tr>
      <w:tr w:rsidR="002E0EEB" w:rsidRPr="0008495E" w14:paraId="656B1745" w14:textId="77777777" w:rsidTr="00040A06">
        <w:trPr>
          <w:trHeight w:val="1095"/>
        </w:trPr>
        <w:tc>
          <w:tcPr>
            <w:tcW w:w="1061" w:type="pct"/>
          </w:tcPr>
          <w:p w14:paraId="656B173F" w14:textId="77777777" w:rsidR="002E0EEB" w:rsidRPr="0008495E" w:rsidRDefault="002E0EEB" w:rsidP="00E563DC">
            <w:pPr>
              <w:mirrorIndents/>
              <w:rPr>
                <w:rFonts w:cs="Segoe UI Light"/>
                <w:sz w:val="18"/>
                <w:szCs w:val="20"/>
              </w:rPr>
            </w:pPr>
            <w:r>
              <w:rPr>
                <w:rFonts w:cs="Segoe UI Light"/>
                <w:bCs/>
                <w:i/>
                <w:sz w:val="18"/>
                <w:szCs w:val="20"/>
              </w:rPr>
              <w:t>EP Act</w:t>
            </w:r>
            <w:r w:rsidRPr="002137CE">
              <w:rPr>
                <w:rFonts w:cs="Segoe UI Light"/>
                <w:bCs/>
                <w:i/>
                <w:sz w:val="18"/>
                <w:szCs w:val="20"/>
              </w:rPr>
              <w:t xml:space="preserve"> 1970</w:t>
            </w:r>
          </w:p>
        </w:tc>
        <w:tc>
          <w:tcPr>
            <w:tcW w:w="3939" w:type="pct"/>
          </w:tcPr>
          <w:p w14:paraId="656B1740" w14:textId="77777777" w:rsidR="002E0EEB" w:rsidRPr="0008495E" w:rsidRDefault="002E0EEB" w:rsidP="00E563DC">
            <w:pPr>
              <w:spacing w:after="60"/>
              <w:mirrorIndents/>
              <w:rPr>
                <w:rFonts w:cs="Segoe UI Light"/>
                <w:sz w:val="18"/>
                <w:szCs w:val="20"/>
              </w:rPr>
            </w:pPr>
            <w:r w:rsidRPr="0008495E">
              <w:rPr>
                <w:rFonts w:cs="Segoe UI Light"/>
                <w:sz w:val="18"/>
                <w:szCs w:val="20"/>
              </w:rPr>
              <w:t>PART VII – Control of Solid Wastes and Pollution of Land</w:t>
            </w:r>
          </w:p>
          <w:p w14:paraId="656B1741" w14:textId="77777777" w:rsidR="002E0EEB" w:rsidRPr="0008495E" w:rsidRDefault="002E0EEB" w:rsidP="00E563DC">
            <w:pPr>
              <w:spacing w:after="60"/>
              <w:mirrorIndents/>
              <w:rPr>
                <w:rFonts w:cs="Segoe UI Light"/>
                <w:sz w:val="18"/>
                <w:szCs w:val="20"/>
              </w:rPr>
            </w:pPr>
            <w:r w:rsidRPr="0008495E">
              <w:rPr>
                <w:rFonts w:cs="Segoe UI Light"/>
                <w:sz w:val="18"/>
                <w:szCs w:val="20"/>
              </w:rPr>
              <w:t xml:space="preserve">PART IXD – Environmental Audits - including sections 53R through to 53ZE. </w:t>
            </w:r>
          </w:p>
          <w:p w14:paraId="656B1742" w14:textId="77777777" w:rsidR="002E0EEB" w:rsidRDefault="002E0EEB" w:rsidP="00E563DC">
            <w:pPr>
              <w:spacing w:after="60"/>
              <w:mirrorIndents/>
              <w:rPr>
                <w:rFonts w:cs="Segoe UI Light"/>
                <w:sz w:val="18"/>
                <w:szCs w:val="20"/>
              </w:rPr>
            </w:pPr>
            <w:r w:rsidRPr="0008495E">
              <w:rPr>
                <w:rFonts w:cs="Segoe UI Light"/>
                <w:sz w:val="18"/>
                <w:szCs w:val="20"/>
              </w:rPr>
              <w:t>Specific attention is given to 53X, 53V, 53Y and 53Z with regards to the environmental audit framework.</w:t>
            </w:r>
          </w:p>
          <w:p w14:paraId="656B1743" w14:textId="77777777" w:rsidR="003B0669" w:rsidRPr="00A07276" w:rsidRDefault="003B0669" w:rsidP="003B0669">
            <w:pPr>
              <w:spacing w:after="60"/>
              <w:rPr>
                <w:rFonts w:cs="Segoe UI Light"/>
                <w:sz w:val="18"/>
                <w:szCs w:val="20"/>
              </w:rPr>
            </w:pPr>
            <w:r w:rsidRPr="00A07276">
              <w:rPr>
                <w:rFonts w:cs="Segoe UI Light"/>
                <w:sz w:val="18"/>
                <w:szCs w:val="20"/>
              </w:rPr>
              <w:t>PART III – Pollution abatement notices</w:t>
            </w:r>
          </w:p>
          <w:p w14:paraId="656B1744" w14:textId="77777777" w:rsidR="003B0669" w:rsidRPr="0008495E" w:rsidRDefault="003B0669" w:rsidP="003B0669">
            <w:pPr>
              <w:spacing w:after="60"/>
              <w:mirrorIndents/>
              <w:rPr>
                <w:rFonts w:cs="Segoe UI Light"/>
                <w:sz w:val="18"/>
                <w:szCs w:val="20"/>
              </w:rPr>
            </w:pPr>
            <w:r w:rsidRPr="00A07276">
              <w:rPr>
                <w:rFonts w:cs="Segoe UI Light"/>
                <w:sz w:val="18"/>
                <w:szCs w:val="20"/>
              </w:rPr>
              <w:t>PART X - Notice to take clean up and on-going management measures</w:t>
            </w:r>
          </w:p>
        </w:tc>
      </w:tr>
      <w:tr w:rsidR="002E0EEB" w:rsidRPr="0008495E" w14:paraId="656B1749" w14:textId="77777777" w:rsidTr="00040A06">
        <w:trPr>
          <w:trHeight w:val="768"/>
        </w:trPr>
        <w:tc>
          <w:tcPr>
            <w:tcW w:w="1061" w:type="pct"/>
          </w:tcPr>
          <w:p w14:paraId="656B1746" w14:textId="77777777" w:rsidR="002E0EEB" w:rsidRPr="002137CE" w:rsidRDefault="002E0EEB" w:rsidP="00E563DC">
            <w:pPr>
              <w:mirrorIndents/>
              <w:rPr>
                <w:rFonts w:cs="Segoe UI Light"/>
                <w:i/>
                <w:sz w:val="18"/>
                <w:szCs w:val="20"/>
              </w:rPr>
            </w:pPr>
            <w:r w:rsidRPr="002137CE">
              <w:rPr>
                <w:rFonts w:cs="Segoe UI Light"/>
                <w:bCs/>
                <w:i/>
                <w:sz w:val="18"/>
                <w:szCs w:val="20"/>
              </w:rPr>
              <w:t xml:space="preserve">Planning and </w:t>
            </w:r>
            <w:r w:rsidR="00576195">
              <w:rPr>
                <w:rFonts w:cs="Segoe UI Light"/>
                <w:bCs/>
                <w:i/>
                <w:sz w:val="18"/>
                <w:szCs w:val="20"/>
              </w:rPr>
              <w:t xml:space="preserve"> </w:t>
            </w:r>
            <w:r w:rsidRPr="002137CE">
              <w:rPr>
                <w:rFonts w:cs="Segoe UI Light"/>
                <w:bCs/>
                <w:i/>
                <w:sz w:val="18"/>
                <w:szCs w:val="20"/>
              </w:rPr>
              <w:t>Environment Act 1987</w:t>
            </w:r>
          </w:p>
        </w:tc>
        <w:tc>
          <w:tcPr>
            <w:tcW w:w="3939" w:type="pct"/>
          </w:tcPr>
          <w:p w14:paraId="656B1747" w14:textId="77777777" w:rsidR="003B0669" w:rsidRPr="00A07276" w:rsidRDefault="003B0669" w:rsidP="003B0669">
            <w:pPr>
              <w:spacing w:after="60"/>
              <w:rPr>
                <w:rFonts w:cs="Segoe UI Light"/>
                <w:sz w:val="18"/>
                <w:szCs w:val="20"/>
              </w:rPr>
            </w:pPr>
            <w:r w:rsidRPr="00A07276">
              <w:rPr>
                <w:rFonts w:cs="Segoe UI Light"/>
                <w:sz w:val="18"/>
                <w:szCs w:val="20"/>
              </w:rPr>
              <w:t>When preparing a planning scheme or planning scheme amendment to, planning authorities are required to ‘take into account any significant effects which it considers the scheme or amendment might have on the environment or which it considers the environment might have on any use or development envisaged in the scheme or amendment’ (Section 12).</w:t>
            </w:r>
          </w:p>
          <w:p w14:paraId="656B1748" w14:textId="77777777" w:rsidR="002E0EEB" w:rsidRPr="001C48AC" w:rsidRDefault="002E0EEB" w:rsidP="00E563DC">
            <w:pPr>
              <w:spacing w:after="60"/>
              <w:mirrorIndents/>
              <w:rPr>
                <w:rFonts w:cs="Segoe UI Light"/>
                <w:sz w:val="18"/>
                <w:szCs w:val="20"/>
              </w:rPr>
            </w:pPr>
            <w:r w:rsidRPr="001C48AC">
              <w:rPr>
                <w:rFonts w:cs="Segoe UI Light"/>
                <w:sz w:val="18"/>
                <w:szCs w:val="20"/>
              </w:rPr>
              <w:t xml:space="preserve">Ministerial Direction No.1 – Potentially Contaminated Land (MDN1) – A Ministerial Directive that specifically outlines that an environmental audit must be undertaken in certain circumstances, including </w:t>
            </w:r>
            <w:r w:rsidR="00576195">
              <w:rPr>
                <w:rFonts w:cs="Segoe UI Light"/>
                <w:sz w:val="18"/>
                <w:szCs w:val="20"/>
              </w:rPr>
              <w:t xml:space="preserve">the </w:t>
            </w:r>
            <w:r w:rsidRPr="001C48AC">
              <w:rPr>
                <w:rFonts w:cs="Segoe UI Light"/>
                <w:sz w:val="18"/>
                <w:szCs w:val="20"/>
              </w:rPr>
              <w:t xml:space="preserve">rezoning </w:t>
            </w:r>
            <w:r w:rsidR="00576195">
              <w:rPr>
                <w:rFonts w:cs="Segoe UI Light"/>
                <w:sz w:val="18"/>
                <w:szCs w:val="20"/>
              </w:rPr>
              <w:t xml:space="preserve">of </w:t>
            </w:r>
            <w:r w:rsidRPr="001C48AC">
              <w:rPr>
                <w:rFonts w:cs="Segoe UI Light"/>
                <w:sz w:val="18"/>
                <w:szCs w:val="20"/>
              </w:rPr>
              <w:t>industrial land to residential.</w:t>
            </w:r>
          </w:p>
        </w:tc>
      </w:tr>
      <w:tr w:rsidR="002E0EEB" w:rsidRPr="0008495E" w14:paraId="656B174E" w14:textId="77777777" w:rsidTr="00040A06">
        <w:trPr>
          <w:trHeight w:val="416"/>
        </w:trPr>
        <w:tc>
          <w:tcPr>
            <w:tcW w:w="1061" w:type="pct"/>
          </w:tcPr>
          <w:p w14:paraId="656B174A" w14:textId="77777777" w:rsidR="002E0EEB" w:rsidRPr="0008495E" w:rsidRDefault="002E0EEB" w:rsidP="00E563DC">
            <w:pPr>
              <w:mirrorIndents/>
              <w:rPr>
                <w:rFonts w:cs="Segoe UI Light"/>
                <w:sz w:val="18"/>
                <w:szCs w:val="20"/>
              </w:rPr>
            </w:pPr>
            <w:r w:rsidRPr="0008495E">
              <w:rPr>
                <w:rFonts w:cs="Segoe UI Light"/>
                <w:bCs/>
                <w:sz w:val="18"/>
                <w:szCs w:val="20"/>
              </w:rPr>
              <w:t>Regulations</w:t>
            </w:r>
          </w:p>
        </w:tc>
        <w:tc>
          <w:tcPr>
            <w:tcW w:w="3939" w:type="pct"/>
          </w:tcPr>
          <w:p w14:paraId="656B174B" w14:textId="77777777" w:rsidR="002E0EEB" w:rsidRPr="0008495E" w:rsidRDefault="002E0EEB" w:rsidP="00E563DC">
            <w:pPr>
              <w:spacing w:after="60"/>
              <w:mirrorIndents/>
              <w:rPr>
                <w:rFonts w:cs="Segoe UI Light"/>
                <w:sz w:val="18"/>
                <w:szCs w:val="20"/>
              </w:rPr>
            </w:pPr>
            <w:r w:rsidRPr="0008495E">
              <w:rPr>
                <w:rFonts w:cs="Segoe UI Light"/>
                <w:sz w:val="18"/>
                <w:szCs w:val="20"/>
              </w:rPr>
              <w:t>Environment Protection (Fees) Regulations 2012 – namely fees for auditors</w:t>
            </w:r>
          </w:p>
          <w:p w14:paraId="656B174C" w14:textId="77777777" w:rsidR="002E0EEB" w:rsidRPr="0008495E" w:rsidRDefault="002E0EEB" w:rsidP="00E563DC">
            <w:pPr>
              <w:spacing w:after="60"/>
              <w:mirrorIndents/>
              <w:rPr>
                <w:rFonts w:cs="Segoe UI Light"/>
                <w:sz w:val="18"/>
                <w:szCs w:val="20"/>
              </w:rPr>
            </w:pPr>
            <w:r w:rsidRPr="0008495E">
              <w:rPr>
                <w:rFonts w:cs="Segoe UI Light"/>
                <w:sz w:val="18"/>
                <w:szCs w:val="20"/>
              </w:rPr>
              <w:t>Victorian Planning Provisions 45.03</w:t>
            </w:r>
          </w:p>
          <w:p w14:paraId="656B174D" w14:textId="77777777" w:rsidR="002E0EEB" w:rsidRPr="0008495E" w:rsidRDefault="002E0EEB" w:rsidP="00E563DC">
            <w:pPr>
              <w:spacing w:after="60"/>
              <w:mirrorIndents/>
              <w:rPr>
                <w:rFonts w:cs="Segoe UI Light"/>
                <w:sz w:val="18"/>
                <w:szCs w:val="20"/>
              </w:rPr>
            </w:pPr>
            <w:r w:rsidRPr="0008495E">
              <w:rPr>
                <w:rFonts w:cs="Segoe UI Light"/>
                <w:sz w:val="18"/>
                <w:szCs w:val="20"/>
              </w:rPr>
              <w:t>Planning and Environment Regulations 2015 - Section 8(o)</w:t>
            </w:r>
          </w:p>
        </w:tc>
      </w:tr>
      <w:tr w:rsidR="002E0EEB" w:rsidRPr="0008495E" w14:paraId="656B1753" w14:textId="77777777" w:rsidTr="00040A06">
        <w:trPr>
          <w:trHeight w:val="1635"/>
        </w:trPr>
        <w:tc>
          <w:tcPr>
            <w:tcW w:w="1061" w:type="pct"/>
          </w:tcPr>
          <w:p w14:paraId="656B174F" w14:textId="77777777" w:rsidR="002E0EEB" w:rsidRPr="0008495E" w:rsidRDefault="002E0EEB" w:rsidP="00E563DC">
            <w:pPr>
              <w:mirrorIndents/>
              <w:rPr>
                <w:rFonts w:cs="Segoe UI Light"/>
                <w:sz w:val="18"/>
                <w:szCs w:val="20"/>
              </w:rPr>
            </w:pPr>
            <w:r w:rsidRPr="0008495E">
              <w:rPr>
                <w:rFonts w:cs="Segoe UI Light"/>
                <w:sz w:val="18"/>
                <w:szCs w:val="20"/>
              </w:rPr>
              <w:t>Subordinate instruments</w:t>
            </w:r>
          </w:p>
        </w:tc>
        <w:tc>
          <w:tcPr>
            <w:tcW w:w="3939" w:type="pct"/>
          </w:tcPr>
          <w:p w14:paraId="656B1750" w14:textId="77777777" w:rsidR="002E0EEB" w:rsidRDefault="002E0EEB" w:rsidP="00E563DC">
            <w:pPr>
              <w:spacing w:after="60"/>
              <w:mirrorIndents/>
              <w:rPr>
                <w:rFonts w:cs="Segoe UI Light"/>
                <w:sz w:val="18"/>
                <w:szCs w:val="20"/>
              </w:rPr>
            </w:pPr>
            <w:r w:rsidRPr="0008495E">
              <w:rPr>
                <w:rFonts w:cs="Segoe UI Light"/>
                <w:sz w:val="18"/>
                <w:szCs w:val="20"/>
              </w:rPr>
              <w:t xml:space="preserve">State Environment Protection Policies </w:t>
            </w:r>
            <w:r>
              <w:rPr>
                <w:rFonts w:cs="Segoe UI Light"/>
                <w:sz w:val="18"/>
                <w:szCs w:val="20"/>
              </w:rPr>
              <w:t>(SEPPs)</w:t>
            </w:r>
          </w:p>
          <w:p w14:paraId="656B1751" w14:textId="77777777" w:rsidR="002E0EEB" w:rsidRPr="0008495E" w:rsidRDefault="002E0EEB" w:rsidP="00E563DC">
            <w:pPr>
              <w:spacing w:after="60"/>
              <w:mirrorIndents/>
              <w:rPr>
                <w:rFonts w:cs="Segoe UI Light"/>
                <w:sz w:val="18"/>
                <w:szCs w:val="20"/>
              </w:rPr>
            </w:pPr>
            <w:r>
              <w:rPr>
                <w:rFonts w:cs="Segoe UI Light"/>
                <w:sz w:val="18"/>
                <w:szCs w:val="20"/>
              </w:rPr>
              <w:t xml:space="preserve">In particular, </w:t>
            </w:r>
            <w:r w:rsidR="00576195">
              <w:rPr>
                <w:rFonts w:cs="Segoe UI Light"/>
                <w:sz w:val="18"/>
                <w:szCs w:val="20"/>
              </w:rPr>
              <w:t>SEPP (</w:t>
            </w:r>
            <w:r w:rsidRPr="0008495E">
              <w:rPr>
                <w:rFonts w:cs="Segoe UI Light"/>
                <w:sz w:val="18"/>
                <w:szCs w:val="20"/>
              </w:rPr>
              <w:t>Ground</w:t>
            </w:r>
            <w:r w:rsidR="00576195">
              <w:rPr>
                <w:rFonts w:cs="Segoe UI Light"/>
                <w:sz w:val="18"/>
                <w:szCs w:val="20"/>
              </w:rPr>
              <w:t>w</w:t>
            </w:r>
            <w:r w:rsidRPr="0008495E">
              <w:rPr>
                <w:rFonts w:cs="Segoe UI Light"/>
                <w:sz w:val="18"/>
                <w:szCs w:val="20"/>
              </w:rPr>
              <w:t>aters of Victoria</w:t>
            </w:r>
            <w:r w:rsidR="00576195">
              <w:rPr>
                <w:rFonts w:cs="Segoe UI Light"/>
                <w:sz w:val="18"/>
                <w:szCs w:val="20"/>
              </w:rPr>
              <w:t>)</w:t>
            </w:r>
            <w:r>
              <w:rPr>
                <w:rFonts w:cs="Segoe UI Light"/>
                <w:sz w:val="18"/>
                <w:szCs w:val="20"/>
              </w:rPr>
              <w:t xml:space="preserve"> </w:t>
            </w:r>
            <w:r w:rsidR="00576195">
              <w:rPr>
                <w:rFonts w:cs="Segoe UI Light"/>
                <w:sz w:val="18"/>
                <w:szCs w:val="20"/>
              </w:rPr>
              <w:t xml:space="preserve">and </w:t>
            </w:r>
            <w:r>
              <w:rPr>
                <w:rFonts w:cs="Segoe UI Light"/>
                <w:sz w:val="18"/>
                <w:szCs w:val="20"/>
              </w:rPr>
              <w:t xml:space="preserve">SEPP </w:t>
            </w:r>
            <w:r w:rsidR="00576195">
              <w:rPr>
                <w:rFonts w:cs="Segoe UI Light"/>
                <w:sz w:val="18"/>
                <w:szCs w:val="20"/>
              </w:rPr>
              <w:t>(</w:t>
            </w:r>
            <w:r w:rsidRPr="0008495E">
              <w:rPr>
                <w:rFonts w:cs="Segoe UI Light"/>
                <w:sz w:val="18"/>
                <w:szCs w:val="20"/>
              </w:rPr>
              <w:t>Prevention and Management of Contamination of Land</w:t>
            </w:r>
            <w:r w:rsidR="00576195">
              <w:rPr>
                <w:rFonts w:cs="Segoe UI Light"/>
                <w:sz w:val="18"/>
                <w:szCs w:val="20"/>
              </w:rPr>
              <w:t>)</w:t>
            </w:r>
            <w:r>
              <w:rPr>
                <w:rFonts w:cs="Segoe UI Light"/>
                <w:sz w:val="18"/>
                <w:szCs w:val="20"/>
              </w:rPr>
              <w:t xml:space="preserve"> </w:t>
            </w:r>
            <w:r w:rsidRPr="0008495E">
              <w:rPr>
                <w:rFonts w:cs="Segoe UI Light"/>
                <w:sz w:val="18"/>
                <w:szCs w:val="20"/>
              </w:rPr>
              <w:t>outline the health and environmental objectives for specific segments of the Victorian environment.</w:t>
            </w:r>
            <w:r>
              <w:rPr>
                <w:rFonts w:cs="Segoe UI Light"/>
                <w:sz w:val="18"/>
                <w:szCs w:val="20"/>
              </w:rPr>
              <w:t xml:space="preserve"> </w:t>
            </w:r>
          </w:p>
          <w:p w14:paraId="656B1752" w14:textId="77777777" w:rsidR="002E0EEB" w:rsidRPr="0008495E" w:rsidRDefault="002E0EEB" w:rsidP="00E563DC">
            <w:pPr>
              <w:spacing w:after="0"/>
              <w:mirrorIndents/>
              <w:rPr>
                <w:rFonts w:cs="Segoe UI Light"/>
                <w:sz w:val="18"/>
                <w:szCs w:val="20"/>
              </w:rPr>
            </w:pPr>
            <w:r w:rsidRPr="0008495E">
              <w:rPr>
                <w:rFonts w:cs="Segoe UI Light"/>
                <w:sz w:val="18"/>
                <w:szCs w:val="20"/>
              </w:rPr>
              <w:t>These are the key SEPPs for contaminated environments, however all SEPP</w:t>
            </w:r>
            <w:r>
              <w:rPr>
                <w:rFonts w:cs="Segoe UI Light"/>
                <w:sz w:val="18"/>
                <w:szCs w:val="20"/>
              </w:rPr>
              <w:t>s</w:t>
            </w:r>
            <w:r w:rsidRPr="0008495E">
              <w:rPr>
                <w:rFonts w:cs="Segoe UI Light"/>
                <w:sz w:val="18"/>
                <w:szCs w:val="20"/>
              </w:rPr>
              <w:t xml:space="preserve"> are relevant to the audit system</w:t>
            </w:r>
            <w:r>
              <w:rPr>
                <w:rFonts w:cs="Segoe UI Light"/>
                <w:sz w:val="18"/>
                <w:szCs w:val="20"/>
              </w:rPr>
              <w:t>.</w:t>
            </w:r>
          </w:p>
        </w:tc>
      </w:tr>
      <w:tr w:rsidR="002E0EEB" w:rsidRPr="0008495E" w14:paraId="656B1759" w14:textId="77777777" w:rsidTr="00040A06">
        <w:trPr>
          <w:trHeight w:val="642"/>
        </w:trPr>
        <w:tc>
          <w:tcPr>
            <w:tcW w:w="1061" w:type="pct"/>
          </w:tcPr>
          <w:p w14:paraId="656B1754" w14:textId="77777777" w:rsidR="002E0EEB" w:rsidRPr="0008495E" w:rsidRDefault="002E0EEB" w:rsidP="00E563DC">
            <w:pPr>
              <w:mirrorIndents/>
              <w:rPr>
                <w:rFonts w:cs="Segoe UI Light"/>
                <w:sz w:val="18"/>
                <w:szCs w:val="20"/>
              </w:rPr>
            </w:pPr>
            <w:r w:rsidRPr="0008495E">
              <w:rPr>
                <w:rFonts w:cs="Segoe UI Light"/>
                <w:bCs/>
                <w:sz w:val="18"/>
                <w:szCs w:val="20"/>
              </w:rPr>
              <w:t>Guidance</w:t>
            </w:r>
          </w:p>
        </w:tc>
        <w:tc>
          <w:tcPr>
            <w:tcW w:w="3939" w:type="pct"/>
          </w:tcPr>
          <w:p w14:paraId="656B1755" w14:textId="77777777" w:rsidR="002E0EEB" w:rsidRPr="0008495E" w:rsidRDefault="002E0EEB" w:rsidP="00E563DC">
            <w:pPr>
              <w:spacing w:after="60"/>
              <w:mirrorIndents/>
              <w:rPr>
                <w:rFonts w:cs="Segoe UI Light"/>
                <w:sz w:val="18"/>
                <w:szCs w:val="20"/>
              </w:rPr>
            </w:pPr>
            <w:r w:rsidRPr="0008495E">
              <w:rPr>
                <w:rFonts w:cs="Segoe UI Light"/>
                <w:sz w:val="18"/>
                <w:szCs w:val="20"/>
              </w:rPr>
              <w:t xml:space="preserve">Industrial Waste Resource Guidelines </w:t>
            </w:r>
            <w:r>
              <w:rPr>
                <w:rFonts w:cs="Segoe UI Light"/>
                <w:sz w:val="18"/>
                <w:szCs w:val="20"/>
              </w:rPr>
              <w:t xml:space="preserve">(IWRG) </w:t>
            </w:r>
            <w:r w:rsidRPr="0008495E">
              <w:rPr>
                <w:rFonts w:cs="Segoe UI Light"/>
                <w:sz w:val="18"/>
                <w:szCs w:val="20"/>
              </w:rPr>
              <w:t>- Environment Protection (Industrial Waste Resource) Regulations 2009. With regards to contaminated soil, IWRG outline the guidelines for the handling and destination of prescribed industrial waste.</w:t>
            </w:r>
          </w:p>
          <w:p w14:paraId="656B1756" w14:textId="77777777" w:rsidR="002E0EEB" w:rsidRDefault="002E0EEB" w:rsidP="00E563DC">
            <w:pPr>
              <w:spacing w:after="60"/>
              <w:mirrorIndents/>
              <w:rPr>
                <w:rFonts w:cs="Segoe UI Light"/>
                <w:sz w:val="18"/>
                <w:szCs w:val="20"/>
              </w:rPr>
            </w:pPr>
            <w:r w:rsidRPr="0008495E">
              <w:rPr>
                <w:rFonts w:cs="Segoe UI Light"/>
                <w:sz w:val="18"/>
                <w:szCs w:val="20"/>
              </w:rPr>
              <w:t xml:space="preserve">DSE General Practice Note 30: Potentially Contaminated Land provides guidance on potentially </w:t>
            </w:r>
            <w:r w:rsidR="00576195" w:rsidRPr="0008495E">
              <w:rPr>
                <w:rFonts w:cs="Segoe UI Light"/>
                <w:sz w:val="18"/>
                <w:szCs w:val="20"/>
              </w:rPr>
              <w:t>contaminat</w:t>
            </w:r>
            <w:r w:rsidR="00576195">
              <w:rPr>
                <w:rFonts w:cs="Segoe UI Light"/>
                <w:sz w:val="18"/>
                <w:szCs w:val="20"/>
              </w:rPr>
              <w:t>ed</w:t>
            </w:r>
            <w:r w:rsidR="00576195" w:rsidRPr="0008495E">
              <w:rPr>
                <w:rFonts w:cs="Segoe UI Light"/>
                <w:sz w:val="18"/>
                <w:szCs w:val="20"/>
              </w:rPr>
              <w:t xml:space="preserve"> </w:t>
            </w:r>
            <w:r w:rsidRPr="0008495E">
              <w:rPr>
                <w:rFonts w:cs="Segoe UI Light"/>
                <w:sz w:val="18"/>
                <w:szCs w:val="20"/>
              </w:rPr>
              <w:t>sites</w:t>
            </w:r>
            <w:r w:rsidR="00576195">
              <w:rPr>
                <w:rFonts w:cs="Segoe UI Light"/>
                <w:sz w:val="18"/>
                <w:szCs w:val="20"/>
              </w:rPr>
              <w:t>’</w:t>
            </w:r>
            <w:r w:rsidRPr="0008495E">
              <w:rPr>
                <w:rFonts w:cs="Segoe UI Light"/>
                <w:sz w:val="18"/>
                <w:szCs w:val="20"/>
              </w:rPr>
              <w:t xml:space="preserve"> uses and their inherent risks.</w:t>
            </w:r>
          </w:p>
          <w:p w14:paraId="656B1757" w14:textId="77777777" w:rsidR="002E0EEB" w:rsidRPr="001B4F86" w:rsidRDefault="002E0EEB" w:rsidP="00E563DC">
            <w:pPr>
              <w:spacing w:after="60"/>
              <w:mirrorIndents/>
              <w:rPr>
                <w:rFonts w:cs="Segoe UI Light"/>
                <w:sz w:val="18"/>
              </w:rPr>
            </w:pPr>
            <w:r w:rsidRPr="008C5DE1">
              <w:rPr>
                <w:rFonts w:cs="Segoe UI Light"/>
                <w:sz w:val="18"/>
                <w:szCs w:val="20"/>
              </w:rPr>
              <w:t>National</w:t>
            </w:r>
            <w:r>
              <w:rPr>
                <w:rFonts w:cs="Segoe UI Light"/>
                <w:sz w:val="18"/>
                <w:szCs w:val="20"/>
              </w:rPr>
              <w:t xml:space="preserve"> </w:t>
            </w:r>
            <w:r w:rsidRPr="00965F22">
              <w:rPr>
                <w:rFonts w:cs="Segoe UI Light"/>
                <w:sz w:val="18"/>
              </w:rPr>
              <w:t>Environment Protection (Assessment of Site Contamination)</w:t>
            </w:r>
            <w:r w:rsidRPr="001B4F86">
              <w:rPr>
                <w:rFonts w:cs="Segoe UI Light"/>
                <w:sz w:val="18"/>
              </w:rPr>
              <w:t xml:space="preserve"> Measure (ASC NEPM) was created in 1999, and is intended for use by the broader contaminated environments community which includes regulators, site assessors, environmental auditors, land owners, developers and industry. In Victoria, the ASC NEPM is mainly implemented through the </w:t>
            </w:r>
            <w:r>
              <w:rPr>
                <w:rFonts w:cs="Segoe UI Light"/>
                <w:sz w:val="18"/>
              </w:rPr>
              <w:t xml:space="preserve">SEPP </w:t>
            </w:r>
            <w:r w:rsidRPr="001B4F86">
              <w:rPr>
                <w:rFonts w:cs="Segoe UI Light"/>
                <w:sz w:val="18"/>
              </w:rPr>
              <w:t xml:space="preserve">(Prevention and Management of Contamination of Land) 2002. </w:t>
            </w:r>
          </w:p>
          <w:p w14:paraId="656B1758" w14:textId="77777777" w:rsidR="002E0EEB" w:rsidRPr="00965F22" w:rsidRDefault="002E0EEB" w:rsidP="00E563DC">
            <w:pPr>
              <w:spacing w:after="60"/>
              <w:mirrorIndents/>
              <w:rPr>
                <w:rFonts w:cs="Segoe UI Light"/>
                <w:sz w:val="18"/>
                <w:szCs w:val="20"/>
              </w:rPr>
            </w:pPr>
          </w:p>
        </w:tc>
      </w:tr>
    </w:tbl>
    <w:p w14:paraId="656B175A" w14:textId="77777777" w:rsidR="002E0EEB" w:rsidRDefault="002E0EEB" w:rsidP="002E0EEB"/>
    <w:p w14:paraId="656B175B" w14:textId="77777777" w:rsidR="00400785" w:rsidRDefault="00400785">
      <w:pPr>
        <w:spacing w:after="0"/>
        <w:rPr>
          <w:rFonts w:ascii="Arial" w:eastAsia="Times New Roman" w:hAnsi="Arial" w:cs="Arial"/>
          <w:b/>
          <w:bCs/>
          <w:kern w:val="32"/>
          <w:sz w:val="32"/>
          <w:szCs w:val="32"/>
          <w:lang w:eastAsia="en-AU"/>
        </w:rPr>
      </w:pPr>
      <w:r>
        <w:br w:type="page"/>
      </w:r>
    </w:p>
    <w:p w14:paraId="656B175C" w14:textId="77777777" w:rsidR="00F8453F" w:rsidRDefault="00F8453F" w:rsidP="00A07276">
      <w:pPr>
        <w:pStyle w:val="Heading1un-numbered"/>
      </w:pPr>
      <w:bookmarkStart w:id="2021" w:name="_Toc10018348"/>
      <w:bookmarkStart w:id="2022" w:name="_Toc10021454"/>
      <w:bookmarkStart w:id="2023" w:name="_Toc10021868"/>
      <w:bookmarkStart w:id="2024" w:name="_Toc12892352"/>
      <w:bookmarkStart w:id="2025" w:name="_Toc463002439"/>
      <w:bookmarkStart w:id="2026" w:name="_Toc472586353"/>
      <w:bookmarkStart w:id="2027" w:name="_Toc482168131"/>
      <w:bookmarkStart w:id="2028" w:name="_Toc482174916"/>
      <w:bookmarkStart w:id="2029" w:name="_Toc525554727"/>
      <w:bookmarkStart w:id="2030" w:name="_Toc536055019"/>
      <w:bookmarkStart w:id="2031" w:name="_Toc536807115"/>
      <w:bookmarkStart w:id="2032" w:name="_Toc342691"/>
      <w:bookmarkEnd w:id="546"/>
      <w:bookmarkEnd w:id="547"/>
      <w:bookmarkEnd w:id="548"/>
      <w:bookmarkEnd w:id="549"/>
      <w:bookmarkEnd w:id="550"/>
      <w:bookmarkEnd w:id="551"/>
      <w:bookmarkEnd w:id="552"/>
      <w:r>
        <w:t xml:space="preserve">Appendix </w:t>
      </w:r>
      <w:r w:rsidR="00D23978">
        <w:t>4</w:t>
      </w:r>
      <w:r>
        <w:t xml:space="preserve"> – Marginal air and water emissions values</w:t>
      </w:r>
      <w:bookmarkEnd w:id="2021"/>
      <w:bookmarkEnd w:id="2022"/>
      <w:bookmarkEnd w:id="2023"/>
      <w:bookmarkEnd w:id="2024"/>
    </w:p>
    <w:p w14:paraId="656B175D" w14:textId="77777777" w:rsidR="00F8453F" w:rsidRDefault="00F8453F">
      <w:pPr>
        <w:spacing w:after="0"/>
      </w:pPr>
      <w:r>
        <w:t xml:space="preserve">The following tables display the marginal air emissions values and water emissions values for different regions of Victoria. </w:t>
      </w:r>
    </w:p>
    <w:p w14:paraId="656B175E" w14:textId="77777777" w:rsidR="00F8453F" w:rsidRDefault="00F8453F">
      <w:pPr>
        <w:spacing w:after="0"/>
      </w:pPr>
    </w:p>
    <w:p w14:paraId="656B175F" w14:textId="77777777" w:rsidR="00F8453F" w:rsidRDefault="00576195">
      <w:pPr>
        <w:spacing w:after="0"/>
      </w:pPr>
      <w:r w:rsidRPr="004D7E16">
        <w:rPr>
          <w:noProof/>
          <w:color w:val="2B579A"/>
          <w:shd w:val="clear" w:color="auto" w:fill="E6E6E6"/>
          <w:lang w:eastAsia="en-AU"/>
        </w:rPr>
        <w:drawing>
          <wp:inline distT="0" distB="0" distL="0" distR="0" wp14:anchorId="656B1ED2" wp14:editId="656B1ED3">
            <wp:extent cx="5939640" cy="3183890"/>
            <wp:effectExtent l="0" t="0" r="4445" b="0"/>
            <wp:docPr id="1048826394" name="Picture 1048826394"/>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85"/>
                    <a:srcRect t="6233"/>
                    <a:stretch/>
                  </pic:blipFill>
                  <pic:spPr bwMode="auto">
                    <a:xfrm>
                      <a:off x="0" y="0"/>
                      <a:ext cx="5940425" cy="3184311"/>
                    </a:xfrm>
                    <a:prstGeom prst="rect">
                      <a:avLst/>
                    </a:prstGeom>
                    <a:ln>
                      <a:noFill/>
                    </a:ln>
                    <a:extLst>
                      <a:ext uri="{53640926-AAD7-44D8-BBD7-CCE9431645EC}">
                        <a14:shadowObscured xmlns:a14="http://schemas.microsoft.com/office/drawing/2010/main"/>
                      </a:ext>
                    </a:extLst>
                  </pic:spPr>
                </pic:pic>
              </a:graphicData>
            </a:graphic>
          </wp:inline>
        </w:drawing>
      </w:r>
    </w:p>
    <w:p w14:paraId="656B1760" w14:textId="77777777" w:rsidR="0052072F" w:rsidRDefault="00F8453F" w:rsidP="0052072F">
      <w:pPr>
        <w:pStyle w:val="2Source"/>
      </w:pPr>
      <w:r>
        <w:t xml:space="preserve">Source: EPA 2017, </w:t>
      </w:r>
      <w:r w:rsidRPr="00F8453F">
        <w:t>Regulatory Impact</w:t>
      </w:r>
      <w:r>
        <w:t xml:space="preserve"> Statement </w:t>
      </w:r>
      <w:r w:rsidR="0052072F">
        <w:t>for Environment Protection (Scheduled Premises) Regulations 2017</w:t>
      </w:r>
    </w:p>
    <w:p w14:paraId="656B1761" w14:textId="77777777" w:rsidR="0052072F" w:rsidRDefault="0052072F">
      <w:pPr>
        <w:spacing w:after="0"/>
        <w:rPr>
          <w:i/>
        </w:rPr>
      </w:pPr>
      <w:r>
        <w:rPr>
          <w:i/>
        </w:rPr>
        <w:br w:type="page"/>
      </w:r>
    </w:p>
    <w:p w14:paraId="656B1762" w14:textId="77777777" w:rsidR="00F8453F" w:rsidRPr="00F8453F" w:rsidRDefault="00F8453F">
      <w:pPr>
        <w:spacing w:after="0"/>
        <w:rPr>
          <w:i/>
        </w:rPr>
      </w:pPr>
    </w:p>
    <w:p w14:paraId="656B1763" w14:textId="77777777" w:rsidR="0052072F" w:rsidRPr="00576195" w:rsidRDefault="00576195">
      <w:pPr>
        <w:spacing w:after="0"/>
      </w:pPr>
      <w:r w:rsidRPr="004D7E16">
        <w:rPr>
          <w:noProof/>
          <w:color w:val="2B579A"/>
          <w:shd w:val="clear" w:color="auto" w:fill="E6E6E6"/>
          <w:lang w:eastAsia="en-AU"/>
        </w:rPr>
        <w:drawing>
          <wp:inline distT="0" distB="0" distL="0" distR="0" wp14:anchorId="656B1ED4" wp14:editId="656B1ED5">
            <wp:extent cx="5940425" cy="3098165"/>
            <wp:effectExtent l="0" t="0" r="3175" b="6985"/>
            <wp:docPr id="1048826395" name="Picture 104882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6335"/>
                    <a:stretch/>
                  </pic:blipFill>
                  <pic:spPr bwMode="auto">
                    <a:xfrm>
                      <a:off x="0" y="0"/>
                      <a:ext cx="5940425" cy="3098165"/>
                    </a:xfrm>
                    <a:prstGeom prst="rect">
                      <a:avLst/>
                    </a:prstGeom>
                    <a:ln>
                      <a:noFill/>
                    </a:ln>
                    <a:extLst>
                      <a:ext uri="{53640926-AAD7-44D8-BBD7-CCE9431645EC}">
                        <a14:shadowObscured xmlns:a14="http://schemas.microsoft.com/office/drawing/2010/main"/>
                      </a:ext>
                    </a:extLst>
                  </pic:spPr>
                </pic:pic>
              </a:graphicData>
            </a:graphic>
          </wp:inline>
        </w:drawing>
      </w:r>
    </w:p>
    <w:p w14:paraId="656B1764" w14:textId="77777777" w:rsidR="0052072F" w:rsidRDefault="0052072F" w:rsidP="0052072F">
      <w:pPr>
        <w:pStyle w:val="2Source"/>
      </w:pPr>
      <w:r w:rsidRPr="00576195">
        <w:t>Source: EPA 2017, Regulatory Impact Statement for Environment Protection (Scheduled Premises) Regulations 2017</w:t>
      </w:r>
    </w:p>
    <w:p w14:paraId="656B1765" w14:textId="77777777" w:rsidR="0052072F" w:rsidRDefault="0052072F" w:rsidP="00A07276">
      <w:pPr>
        <w:pStyle w:val="Heading1un-numbered"/>
      </w:pPr>
      <w:bookmarkStart w:id="2033" w:name="_Toc10018349"/>
      <w:bookmarkStart w:id="2034" w:name="_Toc10021455"/>
      <w:bookmarkStart w:id="2035" w:name="_Toc10021869"/>
      <w:bookmarkStart w:id="2036" w:name="_Toc12892353"/>
      <w:r>
        <w:t xml:space="preserve">Appendix </w:t>
      </w:r>
      <w:r w:rsidR="00D23978">
        <w:t>5</w:t>
      </w:r>
      <w:r>
        <w:t xml:space="preserve"> – </w:t>
      </w:r>
      <w:r w:rsidR="009402A8">
        <w:t>C</w:t>
      </w:r>
      <w:r>
        <w:t>ohort size for proposed permission tier</w:t>
      </w:r>
      <w:bookmarkEnd w:id="2033"/>
      <w:bookmarkEnd w:id="2034"/>
      <w:bookmarkEnd w:id="2035"/>
      <w:bookmarkEnd w:id="2036"/>
    </w:p>
    <w:p w14:paraId="656B1766" w14:textId="77777777" w:rsidR="0089147D" w:rsidRDefault="0089147D">
      <w:pPr>
        <w:spacing w:after="0"/>
      </w:pPr>
    </w:p>
    <w:p w14:paraId="656B1767" w14:textId="77777777" w:rsidR="00FF5043" w:rsidRDefault="00FF5043">
      <w:pPr>
        <w:spacing w:after="0"/>
      </w:pPr>
      <w:r>
        <w:t>EPA has estimated the cohort size for each proposed permission activity. These estimates are outlined in the tables below</w:t>
      </w:r>
      <w:r w:rsidR="00DC7A63">
        <w:t xml:space="preserve">. </w:t>
      </w:r>
    </w:p>
    <w:p w14:paraId="656B1768" w14:textId="77777777" w:rsidR="00FF5043" w:rsidRPr="00FF5043" w:rsidRDefault="00FF5043">
      <w:pPr>
        <w:spacing w:after="0"/>
      </w:pPr>
    </w:p>
    <w:p w14:paraId="656B1769" w14:textId="77777777" w:rsidR="0089147D" w:rsidRPr="0089147D" w:rsidRDefault="0089147D">
      <w:pPr>
        <w:spacing w:after="0"/>
        <w:rPr>
          <w:b/>
          <w:i/>
        </w:rPr>
      </w:pPr>
      <w:r>
        <w:rPr>
          <w:b/>
          <w:i/>
        </w:rPr>
        <w:t>Licences</w:t>
      </w:r>
    </w:p>
    <w:tbl>
      <w:tblPr>
        <w:tblStyle w:val="TableGrid"/>
        <w:tblW w:w="9186" w:type="dxa"/>
        <w:tblInd w:w="-5" w:type="dxa"/>
        <w:tblLook w:val="04A0" w:firstRow="1" w:lastRow="0" w:firstColumn="1" w:lastColumn="0" w:noHBand="0" w:noVBand="1"/>
      </w:tblPr>
      <w:tblGrid>
        <w:gridCol w:w="4947"/>
        <w:gridCol w:w="4239"/>
      </w:tblGrid>
      <w:tr w:rsidR="0089147D" w14:paraId="656B176C" w14:textId="77777777" w:rsidTr="002B6801">
        <w:trPr>
          <w:cnfStyle w:val="100000000000" w:firstRow="1" w:lastRow="0" w:firstColumn="0" w:lastColumn="0" w:oddVBand="0" w:evenVBand="0" w:oddHBand="0" w:evenHBand="0" w:firstRowFirstColumn="0" w:firstRowLastColumn="0" w:lastRowFirstColumn="0" w:lastRowLastColumn="0"/>
          <w:trHeight w:val="328"/>
        </w:trPr>
        <w:tc>
          <w:tcPr>
            <w:tcW w:w="49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vAlign w:val="center"/>
          </w:tcPr>
          <w:p w14:paraId="656B176A" w14:textId="77777777" w:rsidR="0089147D" w:rsidRPr="0089147D" w:rsidRDefault="0089147D" w:rsidP="00FF5043">
            <w:pPr>
              <w:rPr>
                <w:rFonts w:cs="Segoe UI Light"/>
                <w:b/>
                <w:color w:val="FFFFFF" w:themeColor="background1"/>
                <w:szCs w:val="20"/>
              </w:rPr>
            </w:pPr>
            <w:r w:rsidRPr="0089147D">
              <w:rPr>
                <w:rFonts w:cs="Segoe UI Light"/>
                <w:b/>
                <w:color w:val="FFFFFF" w:themeColor="background1"/>
                <w:szCs w:val="20"/>
              </w:rPr>
              <w:t>Activity/Tool</w:t>
            </w:r>
          </w:p>
        </w:tc>
        <w:tc>
          <w:tcPr>
            <w:tcW w:w="423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vAlign w:val="center"/>
          </w:tcPr>
          <w:p w14:paraId="656B176B" w14:textId="77777777" w:rsidR="0089147D" w:rsidRPr="0089147D" w:rsidRDefault="0089147D" w:rsidP="00FF5043">
            <w:pPr>
              <w:jc w:val="right"/>
              <w:rPr>
                <w:rFonts w:cs="Segoe UI Light"/>
                <w:b/>
                <w:color w:val="FFFFFF" w:themeColor="background1"/>
                <w:szCs w:val="20"/>
              </w:rPr>
            </w:pPr>
            <w:r w:rsidRPr="0089147D">
              <w:rPr>
                <w:rFonts w:cs="Segoe UI Light"/>
                <w:b/>
                <w:color w:val="FFFFFF" w:themeColor="background1"/>
                <w:szCs w:val="20"/>
              </w:rPr>
              <w:t>Cohort Size</w:t>
            </w:r>
          </w:p>
        </w:tc>
      </w:tr>
      <w:tr w:rsidR="0089147D" w14:paraId="656B1770" w14:textId="77777777" w:rsidTr="002B6801">
        <w:trPr>
          <w:trHeight w:val="359"/>
        </w:trPr>
        <w:tc>
          <w:tcPr>
            <w:tcW w:w="4947" w:type="dxa"/>
            <w:vAlign w:val="center"/>
          </w:tcPr>
          <w:p w14:paraId="656B176D" w14:textId="77777777" w:rsidR="0089147D" w:rsidRPr="0089147D" w:rsidRDefault="0089147D" w:rsidP="0089147D">
            <w:pPr>
              <w:rPr>
                <w:rFonts w:cs="Segoe UI Light"/>
                <w:b/>
                <w:sz w:val="18"/>
              </w:rPr>
            </w:pPr>
            <w:r>
              <w:rPr>
                <w:rFonts w:cs="Segoe UI Light"/>
                <w:b/>
                <w:sz w:val="18"/>
              </w:rPr>
              <w:t>Option 1 and Option 2</w:t>
            </w:r>
          </w:p>
          <w:p w14:paraId="656B176E" w14:textId="77777777" w:rsidR="0089147D" w:rsidRPr="00D63D29" w:rsidRDefault="0089147D" w:rsidP="0089147D">
            <w:pPr>
              <w:rPr>
                <w:rFonts w:cs="Segoe UI Light"/>
                <w:sz w:val="18"/>
              </w:rPr>
            </w:pPr>
            <w:r w:rsidRPr="00D63D29">
              <w:rPr>
                <w:rFonts w:cs="Segoe UI Light"/>
                <w:sz w:val="18"/>
              </w:rPr>
              <w:t xml:space="preserve">All activities which require a works approval and licence under the current Environment Protection (Scheduled Premises) Regulations 2017 </w:t>
            </w:r>
          </w:p>
        </w:tc>
        <w:tc>
          <w:tcPr>
            <w:tcW w:w="4239" w:type="dxa"/>
            <w:vAlign w:val="center"/>
          </w:tcPr>
          <w:p w14:paraId="656B176F" w14:textId="77777777" w:rsidR="0089147D" w:rsidRPr="00D63D29" w:rsidRDefault="0089147D" w:rsidP="009402A8">
            <w:pPr>
              <w:jc w:val="right"/>
              <w:rPr>
                <w:rFonts w:cs="Segoe UI Light"/>
                <w:sz w:val="18"/>
              </w:rPr>
            </w:pPr>
            <w:r w:rsidRPr="00D63D29">
              <w:rPr>
                <w:rFonts w:cs="Segoe UI Light"/>
                <w:sz w:val="18"/>
              </w:rPr>
              <w:t>~663</w:t>
            </w:r>
            <w:r w:rsidR="00FF5043">
              <w:rPr>
                <w:rFonts w:cs="Segoe UI Light"/>
                <w:sz w:val="18"/>
              </w:rPr>
              <w:t xml:space="preserve"> </w:t>
            </w:r>
            <w:r w:rsidR="009402A8">
              <w:rPr>
                <w:rFonts w:cs="Segoe UI Light"/>
                <w:sz w:val="18"/>
              </w:rPr>
              <w:t>sites</w:t>
            </w:r>
          </w:p>
        </w:tc>
      </w:tr>
      <w:tr w:rsidR="0089147D" w14:paraId="656B1775" w14:textId="77777777" w:rsidTr="002B6801">
        <w:trPr>
          <w:trHeight w:val="433"/>
        </w:trPr>
        <w:tc>
          <w:tcPr>
            <w:tcW w:w="4947" w:type="dxa"/>
            <w:shd w:val="clear" w:color="auto" w:fill="E3E3E4" w:themeFill="accent6" w:themeFillTint="33"/>
            <w:vAlign w:val="center"/>
          </w:tcPr>
          <w:p w14:paraId="656B1771" w14:textId="77777777" w:rsidR="0089147D" w:rsidRPr="00D63D29" w:rsidRDefault="0089147D" w:rsidP="0089147D">
            <w:pPr>
              <w:rPr>
                <w:rFonts w:cs="Segoe UI Light"/>
                <w:sz w:val="18"/>
              </w:rPr>
            </w:pPr>
            <w:r>
              <w:rPr>
                <w:rFonts w:cs="Segoe UI Light"/>
                <w:b/>
                <w:sz w:val="18"/>
              </w:rPr>
              <w:t>Option 2</w:t>
            </w:r>
            <w:r w:rsidR="00FF5043">
              <w:rPr>
                <w:rFonts w:cs="Segoe UI Light"/>
                <w:b/>
                <w:sz w:val="18"/>
              </w:rPr>
              <w:t xml:space="preserve"> only</w:t>
            </w:r>
          </w:p>
          <w:p w14:paraId="656B1772" w14:textId="77777777" w:rsidR="0089147D" w:rsidRPr="00D63D29" w:rsidRDefault="0089147D" w:rsidP="0089147D">
            <w:pPr>
              <w:rPr>
                <w:rFonts w:cs="Segoe UI Light"/>
                <w:sz w:val="18"/>
              </w:rPr>
            </w:pPr>
            <w:r w:rsidRPr="00D63D29">
              <w:rPr>
                <w:rFonts w:cs="Segoe UI Light"/>
                <w:sz w:val="18"/>
              </w:rPr>
              <w:t>Materials recovery – receiving 4,000 tonnes (or more) of combustible waste in any month.</w:t>
            </w:r>
          </w:p>
        </w:tc>
        <w:tc>
          <w:tcPr>
            <w:tcW w:w="4239" w:type="dxa"/>
            <w:shd w:val="clear" w:color="auto" w:fill="E3E3E4" w:themeFill="accent6" w:themeFillTint="33"/>
            <w:vAlign w:val="center"/>
          </w:tcPr>
          <w:p w14:paraId="656B1773" w14:textId="77777777" w:rsidR="00FF5043" w:rsidRDefault="00FF5043" w:rsidP="00FF5043">
            <w:pPr>
              <w:jc w:val="right"/>
              <w:rPr>
                <w:rFonts w:cs="Segoe UI Light"/>
                <w:sz w:val="18"/>
              </w:rPr>
            </w:pPr>
          </w:p>
          <w:p w14:paraId="656B1774" w14:textId="77777777" w:rsidR="0089147D" w:rsidRPr="00D63D29" w:rsidRDefault="0089147D" w:rsidP="00370DB1">
            <w:pPr>
              <w:jc w:val="right"/>
              <w:rPr>
                <w:rFonts w:cs="Segoe UI Light"/>
                <w:sz w:val="18"/>
              </w:rPr>
            </w:pPr>
            <w:r w:rsidRPr="00104E3D">
              <w:rPr>
                <w:rFonts w:cs="Segoe UI Light"/>
                <w:sz w:val="18"/>
              </w:rPr>
              <w:t xml:space="preserve">Approximately </w:t>
            </w:r>
            <w:r w:rsidR="00370DB1" w:rsidRPr="00A07276">
              <w:rPr>
                <w:rFonts w:cs="Segoe UI Light"/>
                <w:sz w:val="18"/>
              </w:rPr>
              <w:t>15</w:t>
            </w:r>
            <w:r w:rsidR="00370DB1" w:rsidRPr="00104E3D">
              <w:rPr>
                <w:rFonts w:cs="Segoe UI Light"/>
                <w:sz w:val="18"/>
              </w:rPr>
              <w:t xml:space="preserve"> </w:t>
            </w:r>
            <w:r w:rsidRPr="00104E3D">
              <w:rPr>
                <w:rFonts w:cs="Segoe UI Light"/>
                <w:sz w:val="18"/>
              </w:rPr>
              <w:t>sites</w:t>
            </w:r>
            <w:r w:rsidR="009402A8" w:rsidRPr="00104E3D">
              <w:rPr>
                <w:rFonts w:cs="Segoe UI Light"/>
                <w:sz w:val="18"/>
              </w:rPr>
              <w:t xml:space="preserve"> (in ad</w:t>
            </w:r>
            <w:r w:rsidR="009402A8">
              <w:rPr>
                <w:rFonts w:cs="Segoe UI Light"/>
                <w:sz w:val="18"/>
              </w:rPr>
              <w:t>dition to the 663 sites)</w:t>
            </w:r>
          </w:p>
        </w:tc>
      </w:tr>
    </w:tbl>
    <w:p w14:paraId="656B1776" w14:textId="77777777" w:rsidR="0089147D" w:rsidRDefault="0089147D">
      <w:pPr>
        <w:spacing w:after="0"/>
      </w:pPr>
    </w:p>
    <w:p w14:paraId="656B1777" w14:textId="77777777" w:rsidR="0089147D" w:rsidRDefault="0089147D" w:rsidP="0089147D">
      <w:pPr>
        <w:spacing w:after="0"/>
        <w:rPr>
          <w:b/>
          <w:i/>
        </w:rPr>
      </w:pPr>
      <w:r>
        <w:rPr>
          <w:b/>
          <w:i/>
        </w:rPr>
        <w:t>Permits</w:t>
      </w:r>
    </w:p>
    <w:tbl>
      <w:tblPr>
        <w:tblStyle w:val="TableGrid"/>
        <w:tblpPr w:leftFromText="180" w:rightFromText="180" w:vertAnchor="text" w:tblpY="1"/>
        <w:tblOverlap w:val="never"/>
        <w:tblW w:w="9191" w:type="dxa"/>
        <w:tblLook w:val="04A0" w:firstRow="1" w:lastRow="0" w:firstColumn="1" w:lastColumn="0" w:noHBand="0" w:noVBand="1"/>
      </w:tblPr>
      <w:tblGrid>
        <w:gridCol w:w="6558"/>
        <w:gridCol w:w="2633"/>
      </w:tblGrid>
      <w:tr w:rsidR="0089147D" w14:paraId="656B177A" w14:textId="77777777" w:rsidTr="002B6801">
        <w:trPr>
          <w:cnfStyle w:val="100000000000" w:firstRow="1" w:lastRow="0" w:firstColumn="0" w:lastColumn="0" w:oddVBand="0" w:evenVBand="0" w:oddHBand="0" w:evenHBand="0" w:firstRowFirstColumn="0" w:firstRowLastColumn="0" w:lastRowFirstColumn="0" w:lastRowLastColumn="0"/>
          <w:trHeight w:val="223"/>
        </w:trPr>
        <w:tc>
          <w:tcPr>
            <w:tcW w:w="655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vAlign w:val="center"/>
          </w:tcPr>
          <w:p w14:paraId="656B1778" w14:textId="77777777" w:rsidR="0089147D" w:rsidRPr="00D63D29" w:rsidRDefault="0089147D" w:rsidP="008D6D7B">
            <w:pPr>
              <w:jc w:val="center"/>
              <w:rPr>
                <w:rFonts w:cs="Segoe UI Light"/>
                <w:b/>
                <w:color w:val="FFFFFF" w:themeColor="background1"/>
              </w:rPr>
            </w:pPr>
            <w:r w:rsidRPr="00D63D29">
              <w:rPr>
                <w:rFonts w:cs="Segoe UI Light"/>
                <w:b/>
                <w:color w:val="FFFFFF" w:themeColor="background1"/>
              </w:rPr>
              <w:t>Activity/Tool</w:t>
            </w:r>
          </w:p>
        </w:tc>
        <w:tc>
          <w:tcPr>
            <w:tcW w:w="263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vAlign w:val="center"/>
          </w:tcPr>
          <w:p w14:paraId="656B1779" w14:textId="77777777" w:rsidR="0089147D" w:rsidRPr="00D63D29" w:rsidRDefault="0089147D" w:rsidP="00603FBA">
            <w:pPr>
              <w:ind w:right="57"/>
              <w:jc w:val="right"/>
              <w:rPr>
                <w:rFonts w:cs="Segoe UI Light"/>
                <w:b/>
                <w:color w:val="FFFFFF" w:themeColor="background1"/>
              </w:rPr>
            </w:pPr>
            <w:r w:rsidRPr="00D63D29">
              <w:rPr>
                <w:rFonts w:cs="Segoe UI Light"/>
                <w:b/>
                <w:color w:val="FFFFFF" w:themeColor="background1"/>
              </w:rPr>
              <w:t>Approx. Cohort Size</w:t>
            </w:r>
          </w:p>
        </w:tc>
      </w:tr>
      <w:tr w:rsidR="0089147D" w14:paraId="656B177F" w14:textId="77777777" w:rsidTr="002B6801">
        <w:trPr>
          <w:trHeight w:val="346"/>
        </w:trPr>
        <w:tc>
          <w:tcPr>
            <w:tcW w:w="6558" w:type="dxa"/>
            <w:shd w:val="clear" w:color="auto" w:fill="FFFFFF" w:themeFill="background1"/>
            <w:vAlign w:val="center"/>
          </w:tcPr>
          <w:p w14:paraId="656B177B" w14:textId="77777777" w:rsidR="0089147D" w:rsidRPr="0089147D" w:rsidRDefault="0089147D" w:rsidP="0089147D">
            <w:pPr>
              <w:rPr>
                <w:rFonts w:cs="Segoe UI Light"/>
                <w:b/>
                <w:sz w:val="18"/>
              </w:rPr>
            </w:pPr>
            <w:r>
              <w:rPr>
                <w:rFonts w:cs="Segoe UI Light"/>
                <w:b/>
                <w:sz w:val="18"/>
              </w:rPr>
              <w:t>Option 1 and Option 2</w:t>
            </w:r>
          </w:p>
          <w:p w14:paraId="656B177C" w14:textId="77777777" w:rsidR="0089147D" w:rsidRPr="00D63D29" w:rsidRDefault="0089147D" w:rsidP="0089147D">
            <w:pPr>
              <w:rPr>
                <w:rFonts w:cs="Segoe UI Light"/>
                <w:sz w:val="18"/>
              </w:rPr>
            </w:pPr>
            <w:r w:rsidRPr="00D63D29">
              <w:rPr>
                <w:rFonts w:cs="Segoe UI Light"/>
                <w:sz w:val="18"/>
              </w:rPr>
              <w:t>Category B01 (Animal Industries)</w:t>
            </w:r>
          </w:p>
        </w:tc>
        <w:tc>
          <w:tcPr>
            <w:tcW w:w="2633" w:type="dxa"/>
            <w:shd w:val="clear" w:color="auto" w:fill="FFFFFF" w:themeFill="background1"/>
            <w:vAlign w:val="center"/>
          </w:tcPr>
          <w:p w14:paraId="656B177D" w14:textId="77777777" w:rsidR="0089147D" w:rsidRDefault="0089147D" w:rsidP="00603FBA">
            <w:pPr>
              <w:ind w:right="57"/>
              <w:jc w:val="right"/>
              <w:rPr>
                <w:rFonts w:cs="Segoe UI Light"/>
                <w:sz w:val="18"/>
              </w:rPr>
            </w:pPr>
          </w:p>
          <w:p w14:paraId="656B177E" w14:textId="77777777" w:rsidR="0089147D" w:rsidRPr="00D63D29" w:rsidRDefault="0089147D" w:rsidP="00603FBA">
            <w:pPr>
              <w:ind w:right="57"/>
              <w:jc w:val="right"/>
              <w:rPr>
                <w:rFonts w:cs="Segoe UI Light"/>
                <w:sz w:val="18"/>
              </w:rPr>
            </w:pPr>
            <w:r w:rsidRPr="00D63D29">
              <w:rPr>
                <w:rFonts w:cs="Segoe UI Light"/>
                <w:sz w:val="18"/>
              </w:rPr>
              <w:t>~20</w:t>
            </w:r>
            <w:r>
              <w:rPr>
                <w:rFonts w:cs="Segoe UI Light"/>
                <w:sz w:val="18"/>
              </w:rPr>
              <w:t xml:space="preserve"> in operation</w:t>
            </w:r>
          </w:p>
        </w:tc>
      </w:tr>
      <w:tr w:rsidR="0089147D" w14:paraId="656B1782" w14:textId="77777777" w:rsidTr="002B6801">
        <w:trPr>
          <w:trHeight w:val="346"/>
        </w:trPr>
        <w:tc>
          <w:tcPr>
            <w:tcW w:w="6558" w:type="dxa"/>
            <w:shd w:val="clear" w:color="auto" w:fill="FFFFFF" w:themeFill="background1"/>
            <w:vAlign w:val="center"/>
          </w:tcPr>
          <w:p w14:paraId="656B1780" w14:textId="77777777" w:rsidR="0089147D" w:rsidRPr="00D63D29" w:rsidRDefault="0089147D" w:rsidP="0089147D">
            <w:pPr>
              <w:rPr>
                <w:rFonts w:cs="Segoe UI Light"/>
                <w:sz w:val="18"/>
              </w:rPr>
            </w:pPr>
            <w:r w:rsidRPr="00D63D29">
              <w:rPr>
                <w:rFonts w:cs="Segoe UI Light"/>
                <w:sz w:val="18"/>
              </w:rPr>
              <w:t>Category B02 (Livestock saleyards or holding pens)</w:t>
            </w:r>
          </w:p>
        </w:tc>
        <w:tc>
          <w:tcPr>
            <w:tcW w:w="2633" w:type="dxa"/>
            <w:shd w:val="clear" w:color="auto" w:fill="FFFFFF" w:themeFill="background1"/>
            <w:vAlign w:val="center"/>
          </w:tcPr>
          <w:p w14:paraId="656B1781" w14:textId="77777777" w:rsidR="0089147D" w:rsidRPr="00D63D29" w:rsidRDefault="0089147D" w:rsidP="00603FBA">
            <w:pPr>
              <w:ind w:right="57"/>
              <w:jc w:val="right"/>
              <w:rPr>
                <w:rFonts w:cs="Segoe UI Light"/>
                <w:sz w:val="18"/>
              </w:rPr>
            </w:pPr>
            <w:r w:rsidRPr="00D63D29">
              <w:rPr>
                <w:rFonts w:cs="Segoe UI Light"/>
                <w:sz w:val="18"/>
              </w:rPr>
              <w:t>~2</w:t>
            </w:r>
            <w:r>
              <w:rPr>
                <w:rFonts w:cs="Segoe UI Light"/>
                <w:sz w:val="18"/>
              </w:rPr>
              <w:t xml:space="preserve"> in operation</w:t>
            </w:r>
          </w:p>
        </w:tc>
      </w:tr>
      <w:tr w:rsidR="0089147D" w14:paraId="656B1785" w14:textId="77777777" w:rsidTr="002B6801">
        <w:trPr>
          <w:trHeight w:val="346"/>
        </w:trPr>
        <w:tc>
          <w:tcPr>
            <w:tcW w:w="6558" w:type="dxa"/>
            <w:shd w:val="clear" w:color="auto" w:fill="FFFFFF" w:themeFill="background1"/>
            <w:vAlign w:val="center"/>
          </w:tcPr>
          <w:p w14:paraId="656B1783" w14:textId="77777777" w:rsidR="0089147D" w:rsidRPr="00D63D29" w:rsidRDefault="0089147D" w:rsidP="0089147D">
            <w:pPr>
              <w:rPr>
                <w:rFonts w:cs="Segoe UI Light"/>
                <w:sz w:val="18"/>
              </w:rPr>
            </w:pPr>
            <w:r w:rsidRPr="00D63D29">
              <w:rPr>
                <w:rFonts w:cs="Segoe UI Light"/>
                <w:sz w:val="18"/>
              </w:rPr>
              <w:t>Waste Transport (Prescribed waste codes)</w:t>
            </w:r>
          </w:p>
        </w:tc>
        <w:tc>
          <w:tcPr>
            <w:tcW w:w="2633" w:type="dxa"/>
            <w:shd w:val="clear" w:color="auto" w:fill="FFFFFF" w:themeFill="background1"/>
            <w:vAlign w:val="center"/>
          </w:tcPr>
          <w:p w14:paraId="656B1784" w14:textId="77777777" w:rsidR="0089147D" w:rsidRPr="00D63D29" w:rsidRDefault="0089147D" w:rsidP="00603FBA">
            <w:pPr>
              <w:ind w:right="57"/>
              <w:jc w:val="right"/>
              <w:rPr>
                <w:rFonts w:cs="Segoe UI Light"/>
                <w:sz w:val="18"/>
              </w:rPr>
            </w:pPr>
            <w:r w:rsidRPr="00D63D29">
              <w:rPr>
                <w:rFonts w:cs="Segoe UI Light"/>
                <w:sz w:val="18"/>
              </w:rPr>
              <w:t>~24 applications annually</w:t>
            </w:r>
          </w:p>
        </w:tc>
      </w:tr>
      <w:tr w:rsidR="0089147D" w14:paraId="656B1788" w14:textId="77777777" w:rsidTr="002B6801">
        <w:trPr>
          <w:trHeight w:val="346"/>
        </w:trPr>
        <w:tc>
          <w:tcPr>
            <w:tcW w:w="6558" w:type="dxa"/>
            <w:shd w:val="clear" w:color="auto" w:fill="FFFFFF" w:themeFill="background1"/>
            <w:vAlign w:val="center"/>
          </w:tcPr>
          <w:p w14:paraId="656B1786" w14:textId="77777777" w:rsidR="0089147D" w:rsidRPr="00D63D29" w:rsidRDefault="0089147D" w:rsidP="0089147D">
            <w:pPr>
              <w:rPr>
                <w:rFonts w:cs="Segoe UI Light"/>
                <w:sz w:val="18"/>
              </w:rPr>
            </w:pPr>
            <w:r w:rsidRPr="00D63D29">
              <w:rPr>
                <w:rFonts w:cs="Segoe UI Light"/>
                <w:sz w:val="18"/>
              </w:rPr>
              <w:t>Movement of Controlled Waste into Victoria</w:t>
            </w:r>
          </w:p>
        </w:tc>
        <w:tc>
          <w:tcPr>
            <w:tcW w:w="2633" w:type="dxa"/>
            <w:shd w:val="clear" w:color="auto" w:fill="FFFFFF" w:themeFill="background1"/>
            <w:vAlign w:val="center"/>
          </w:tcPr>
          <w:p w14:paraId="656B1787" w14:textId="77777777" w:rsidR="0089147D" w:rsidRPr="00D63D29" w:rsidRDefault="0089147D" w:rsidP="00603FBA">
            <w:pPr>
              <w:ind w:right="57"/>
              <w:jc w:val="right"/>
              <w:rPr>
                <w:rFonts w:cs="Segoe UI Light"/>
                <w:sz w:val="18"/>
              </w:rPr>
            </w:pPr>
            <w:r w:rsidRPr="00D63D29">
              <w:rPr>
                <w:rFonts w:cs="Segoe UI Light"/>
                <w:sz w:val="18"/>
              </w:rPr>
              <w:t>~416 applications annually</w:t>
            </w:r>
          </w:p>
        </w:tc>
      </w:tr>
      <w:tr w:rsidR="0089147D" w14:paraId="656B178B" w14:textId="77777777" w:rsidTr="002B6801">
        <w:trPr>
          <w:trHeight w:val="346"/>
        </w:trPr>
        <w:tc>
          <w:tcPr>
            <w:tcW w:w="6558" w:type="dxa"/>
            <w:shd w:val="clear" w:color="auto" w:fill="FFFFFF" w:themeFill="background1"/>
            <w:vAlign w:val="center"/>
          </w:tcPr>
          <w:p w14:paraId="656B1789" w14:textId="77777777" w:rsidR="0089147D" w:rsidRPr="00D63D29" w:rsidRDefault="0089147D" w:rsidP="0089147D">
            <w:pPr>
              <w:rPr>
                <w:rFonts w:cs="Segoe UI Light"/>
                <w:sz w:val="18"/>
              </w:rPr>
            </w:pPr>
            <w:r w:rsidRPr="00D63D29">
              <w:rPr>
                <w:rFonts w:cs="Segoe UI Light"/>
                <w:sz w:val="18"/>
              </w:rPr>
              <w:t>Movement of Reportable Priority Waste out of Victoria</w:t>
            </w:r>
          </w:p>
        </w:tc>
        <w:tc>
          <w:tcPr>
            <w:tcW w:w="2633" w:type="dxa"/>
            <w:shd w:val="clear" w:color="auto" w:fill="FFFFFF" w:themeFill="background1"/>
            <w:vAlign w:val="center"/>
          </w:tcPr>
          <w:p w14:paraId="656B178A" w14:textId="77777777" w:rsidR="0089147D" w:rsidRPr="00D63D29" w:rsidRDefault="0089147D" w:rsidP="00603FBA">
            <w:pPr>
              <w:ind w:right="57"/>
              <w:jc w:val="right"/>
              <w:rPr>
                <w:rFonts w:cs="Segoe UI Light"/>
                <w:sz w:val="18"/>
              </w:rPr>
            </w:pPr>
            <w:r w:rsidRPr="00D63D29">
              <w:rPr>
                <w:rFonts w:cs="Segoe UI Light"/>
                <w:sz w:val="18"/>
              </w:rPr>
              <w:t>~</w:t>
            </w:r>
            <w:r w:rsidR="00104E3D">
              <w:rPr>
                <w:rFonts w:cs="Segoe UI Light"/>
                <w:sz w:val="18"/>
              </w:rPr>
              <w:t>2</w:t>
            </w:r>
            <w:r w:rsidRPr="00D63D29">
              <w:rPr>
                <w:rFonts w:cs="Segoe UI Light"/>
                <w:sz w:val="18"/>
              </w:rPr>
              <w:t>0 applications annually</w:t>
            </w:r>
          </w:p>
        </w:tc>
      </w:tr>
      <w:tr w:rsidR="0089147D" w14:paraId="656B178E" w14:textId="77777777" w:rsidTr="002B6801">
        <w:trPr>
          <w:trHeight w:val="346"/>
        </w:trPr>
        <w:tc>
          <w:tcPr>
            <w:tcW w:w="6558" w:type="dxa"/>
            <w:shd w:val="clear" w:color="auto" w:fill="FFFFFF" w:themeFill="background1"/>
            <w:vAlign w:val="center"/>
          </w:tcPr>
          <w:p w14:paraId="656B178C" w14:textId="77777777" w:rsidR="0089147D" w:rsidRPr="00D63D29" w:rsidRDefault="0089147D" w:rsidP="002B6801">
            <w:pPr>
              <w:rPr>
                <w:rFonts w:cs="Segoe UI Light"/>
                <w:sz w:val="18"/>
              </w:rPr>
            </w:pPr>
            <w:r w:rsidRPr="00D63D29">
              <w:rPr>
                <w:rFonts w:cs="Segoe UI Light"/>
                <w:sz w:val="18"/>
              </w:rPr>
              <w:t>Outdoor concerts -</w:t>
            </w:r>
            <w:r w:rsidR="00014F56">
              <w:rPr>
                <w:rFonts w:cs="Segoe UI Light"/>
                <w:sz w:val="18"/>
              </w:rPr>
              <w:t xml:space="preserve"> </w:t>
            </w:r>
            <w:r w:rsidR="002B6801">
              <w:rPr>
                <w:rFonts w:cs="Segoe UI Light"/>
                <w:sz w:val="18"/>
              </w:rPr>
              <w:t>L</w:t>
            </w:r>
            <w:r w:rsidRPr="00D63D29">
              <w:rPr>
                <w:rFonts w:cs="Segoe UI Light"/>
                <w:sz w:val="18"/>
              </w:rPr>
              <w:t>ater operations (outside of hours)</w:t>
            </w:r>
          </w:p>
        </w:tc>
        <w:tc>
          <w:tcPr>
            <w:tcW w:w="2633" w:type="dxa"/>
            <w:shd w:val="clear" w:color="auto" w:fill="FFFFFF" w:themeFill="background1"/>
            <w:vAlign w:val="center"/>
          </w:tcPr>
          <w:p w14:paraId="656B178D" w14:textId="77777777" w:rsidR="0089147D" w:rsidRPr="00D63D29" w:rsidRDefault="0089147D" w:rsidP="00603FBA">
            <w:pPr>
              <w:ind w:right="57"/>
              <w:jc w:val="right"/>
              <w:rPr>
                <w:rFonts w:cs="Segoe UI Light"/>
                <w:sz w:val="18"/>
              </w:rPr>
            </w:pPr>
            <w:r w:rsidRPr="00D63D29">
              <w:rPr>
                <w:rFonts w:cs="Segoe UI Light"/>
                <w:sz w:val="18"/>
              </w:rPr>
              <w:t xml:space="preserve">~20 </w:t>
            </w:r>
            <w:r>
              <w:rPr>
                <w:rFonts w:cs="Segoe UI Light"/>
                <w:sz w:val="18"/>
              </w:rPr>
              <w:t xml:space="preserve">applications </w:t>
            </w:r>
            <w:r w:rsidRPr="00D63D29">
              <w:rPr>
                <w:rFonts w:cs="Segoe UI Light"/>
                <w:sz w:val="18"/>
              </w:rPr>
              <w:t>annually</w:t>
            </w:r>
          </w:p>
        </w:tc>
      </w:tr>
      <w:tr w:rsidR="0089147D" w14:paraId="656B1791" w14:textId="77777777" w:rsidTr="002B6801">
        <w:trPr>
          <w:trHeight w:val="346"/>
        </w:trPr>
        <w:tc>
          <w:tcPr>
            <w:tcW w:w="6558" w:type="dxa"/>
            <w:shd w:val="clear" w:color="auto" w:fill="FFFFFF" w:themeFill="background1"/>
            <w:vAlign w:val="center"/>
          </w:tcPr>
          <w:p w14:paraId="656B178F" w14:textId="77777777" w:rsidR="0089147D" w:rsidRPr="00D63D29" w:rsidRDefault="0089147D" w:rsidP="002B6801">
            <w:pPr>
              <w:rPr>
                <w:rFonts w:cs="Segoe UI Light"/>
                <w:sz w:val="18"/>
              </w:rPr>
            </w:pPr>
            <w:r w:rsidRPr="00D63D29">
              <w:rPr>
                <w:rFonts w:cs="Segoe UI Light"/>
                <w:sz w:val="18"/>
              </w:rPr>
              <w:t>Outdoor concerts -</w:t>
            </w:r>
            <w:r w:rsidR="00014F56">
              <w:rPr>
                <w:rFonts w:cs="Segoe UI Light"/>
                <w:sz w:val="18"/>
              </w:rPr>
              <w:t xml:space="preserve"> </w:t>
            </w:r>
            <w:r w:rsidR="002B6801">
              <w:rPr>
                <w:rFonts w:cs="Segoe UI Light"/>
                <w:sz w:val="18"/>
              </w:rPr>
              <w:t>O</w:t>
            </w:r>
            <w:r w:rsidRPr="00D63D29">
              <w:rPr>
                <w:rFonts w:cs="Segoe UI Light"/>
                <w:sz w:val="18"/>
              </w:rPr>
              <w:t>utdoor venue to conduct more than six concerts in a year</w:t>
            </w:r>
          </w:p>
        </w:tc>
        <w:tc>
          <w:tcPr>
            <w:tcW w:w="2633" w:type="dxa"/>
            <w:shd w:val="clear" w:color="auto" w:fill="FFFFFF" w:themeFill="background1"/>
            <w:vAlign w:val="center"/>
          </w:tcPr>
          <w:p w14:paraId="656B1790" w14:textId="77777777" w:rsidR="0089147D" w:rsidRPr="00D63D29" w:rsidRDefault="0089147D" w:rsidP="00603FBA">
            <w:pPr>
              <w:ind w:right="57"/>
              <w:jc w:val="right"/>
              <w:rPr>
                <w:rFonts w:cs="Segoe UI Light"/>
                <w:sz w:val="18"/>
              </w:rPr>
            </w:pPr>
            <w:r w:rsidRPr="00D63D29">
              <w:rPr>
                <w:rFonts w:cs="Segoe UI Light"/>
                <w:sz w:val="18"/>
              </w:rPr>
              <w:t xml:space="preserve">~2 </w:t>
            </w:r>
            <w:r>
              <w:rPr>
                <w:rFonts w:cs="Segoe UI Light"/>
                <w:sz w:val="18"/>
              </w:rPr>
              <w:t xml:space="preserve">applications </w:t>
            </w:r>
            <w:r w:rsidRPr="00D63D29">
              <w:rPr>
                <w:rFonts w:cs="Segoe UI Light"/>
                <w:sz w:val="18"/>
              </w:rPr>
              <w:t xml:space="preserve">annually </w:t>
            </w:r>
          </w:p>
        </w:tc>
      </w:tr>
      <w:tr w:rsidR="0089147D" w14:paraId="656B1794" w14:textId="77777777" w:rsidTr="002B6801">
        <w:trPr>
          <w:trHeight w:val="346"/>
        </w:trPr>
        <w:tc>
          <w:tcPr>
            <w:tcW w:w="6558" w:type="dxa"/>
            <w:shd w:val="clear" w:color="auto" w:fill="FFFFFF" w:themeFill="background1"/>
            <w:vAlign w:val="center"/>
          </w:tcPr>
          <w:p w14:paraId="656B1792" w14:textId="77777777" w:rsidR="0089147D" w:rsidRPr="00D63D29" w:rsidRDefault="0089147D" w:rsidP="0089147D">
            <w:pPr>
              <w:rPr>
                <w:rFonts w:cs="Segoe UI Light"/>
                <w:sz w:val="18"/>
              </w:rPr>
            </w:pPr>
            <w:r w:rsidRPr="00D63D29">
              <w:rPr>
                <w:rFonts w:cs="Segoe UI Light"/>
                <w:sz w:val="18"/>
              </w:rPr>
              <w:t>Municipal landfills serving less than 5000 people</w:t>
            </w:r>
          </w:p>
        </w:tc>
        <w:tc>
          <w:tcPr>
            <w:tcW w:w="2633" w:type="dxa"/>
            <w:shd w:val="clear" w:color="auto" w:fill="FFFFFF" w:themeFill="background1"/>
            <w:vAlign w:val="center"/>
          </w:tcPr>
          <w:p w14:paraId="656B1793" w14:textId="77777777" w:rsidR="0089147D" w:rsidRPr="00D63D29" w:rsidRDefault="0089147D" w:rsidP="00603FBA">
            <w:pPr>
              <w:ind w:right="57"/>
              <w:jc w:val="right"/>
              <w:rPr>
                <w:rFonts w:cs="Segoe UI Light"/>
                <w:sz w:val="18"/>
              </w:rPr>
            </w:pPr>
            <w:r w:rsidRPr="00D63D29">
              <w:rPr>
                <w:rFonts w:cs="Segoe UI Light"/>
                <w:sz w:val="18"/>
              </w:rPr>
              <w:t xml:space="preserve">~16 </w:t>
            </w:r>
            <w:r>
              <w:rPr>
                <w:rFonts w:cs="Segoe UI Light"/>
                <w:sz w:val="18"/>
              </w:rPr>
              <w:t>in operation</w:t>
            </w:r>
          </w:p>
        </w:tc>
      </w:tr>
      <w:tr w:rsidR="0089147D" w14:paraId="656B1797" w14:textId="77777777" w:rsidTr="002B6801">
        <w:trPr>
          <w:trHeight w:val="346"/>
        </w:trPr>
        <w:tc>
          <w:tcPr>
            <w:tcW w:w="6558" w:type="dxa"/>
            <w:shd w:val="clear" w:color="auto" w:fill="FFFFFF" w:themeFill="background1"/>
            <w:vAlign w:val="center"/>
          </w:tcPr>
          <w:p w14:paraId="656B1795" w14:textId="77777777" w:rsidR="0089147D" w:rsidRPr="00D63D29" w:rsidRDefault="0089147D" w:rsidP="0089147D">
            <w:pPr>
              <w:rPr>
                <w:rFonts w:cs="Segoe UI Light"/>
                <w:sz w:val="18"/>
              </w:rPr>
            </w:pPr>
            <w:r w:rsidRPr="00D63D29">
              <w:rPr>
                <w:rFonts w:cs="Segoe UI Light"/>
                <w:sz w:val="18"/>
              </w:rPr>
              <w:t>Supply or use of wastewater</w:t>
            </w:r>
          </w:p>
        </w:tc>
        <w:tc>
          <w:tcPr>
            <w:tcW w:w="2633" w:type="dxa"/>
            <w:shd w:val="clear" w:color="auto" w:fill="FFFFFF" w:themeFill="background1"/>
            <w:vAlign w:val="center"/>
          </w:tcPr>
          <w:p w14:paraId="656B1796" w14:textId="77777777" w:rsidR="0089147D" w:rsidRPr="00D63D29" w:rsidRDefault="0089147D" w:rsidP="00603FBA">
            <w:pPr>
              <w:ind w:right="57"/>
              <w:jc w:val="right"/>
              <w:rPr>
                <w:rFonts w:cs="Segoe UI Light"/>
                <w:sz w:val="18"/>
              </w:rPr>
            </w:pPr>
            <w:r w:rsidRPr="00D63D29">
              <w:rPr>
                <w:rFonts w:cs="Segoe UI Light"/>
                <w:sz w:val="18"/>
              </w:rPr>
              <w:t>~</w:t>
            </w:r>
            <w:r w:rsidR="00136148">
              <w:rPr>
                <w:rFonts w:cs="Segoe UI Light"/>
                <w:sz w:val="18"/>
              </w:rPr>
              <w:t>25</w:t>
            </w:r>
            <w:r w:rsidRPr="00D63D29">
              <w:rPr>
                <w:rFonts w:cs="Segoe UI Light"/>
                <w:sz w:val="18"/>
              </w:rPr>
              <w:t xml:space="preserve"> applications annually</w:t>
            </w:r>
          </w:p>
        </w:tc>
      </w:tr>
      <w:tr w:rsidR="0089147D" w14:paraId="656B179A" w14:textId="77777777" w:rsidTr="002B6801">
        <w:trPr>
          <w:trHeight w:val="346"/>
        </w:trPr>
        <w:tc>
          <w:tcPr>
            <w:tcW w:w="6558" w:type="dxa"/>
            <w:shd w:val="clear" w:color="auto" w:fill="FFFFFF" w:themeFill="background1"/>
            <w:vAlign w:val="center"/>
          </w:tcPr>
          <w:p w14:paraId="656B1798" w14:textId="77777777" w:rsidR="0089147D" w:rsidRPr="00D63D29" w:rsidRDefault="0089147D" w:rsidP="0089147D">
            <w:pPr>
              <w:rPr>
                <w:rFonts w:cs="Segoe UI Light"/>
                <w:sz w:val="18"/>
              </w:rPr>
            </w:pPr>
            <w:r w:rsidRPr="00D63D29">
              <w:rPr>
                <w:rFonts w:cs="Segoe UI Light"/>
                <w:sz w:val="18"/>
              </w:rPr>
              <w:t>Supply or use of biosolids</w:t>
            </w:r>
          </w:p>
        </w:tc>
        <w:tc>
          <w:tcPr>
            <w:tcW w:w="2633" w:type="dxa"/>
            <w:shd w:val="clear" w:color="auto" w:fill="FFFFFF" w:themeFill="background1"/>
            <w:vAlign w:val="center"/>
          </w:tcPr>
          <w:p w14:paraId="656B1799" w14:textId="77777777" w:rsidR="0089147D" w:rsidRPr="00D63D29" w:rsidRDefault="0089147D" w:rsidP="00603FBA">
            <w:pPr>
              <w:ind w:right="57"/>
              <w:jc w:val="right"/>
              <w:rPr>
                <w:rFonts w:cs="Segoe UI Light"/>
                <w:sz w:val="18"/>
              </w:rPr>
            </w:pPr>
            <w:r w:rsidRPr="00D63D29">
              <w:rPr>
                <w:rFonts w:cs="Segoe UI Light"/>
                <w:sz w:val="18"/>
              </w:rPr>
              <w:t>~4 applications annually</w:t>
            </w:r>
          </w:p>
        </w:tc>
      </w:tr>
      <w:tr w:rsidR="0089147D" w14:paraId="656B179D" w14:textId="77777777" w:rsidTr="002B6801">
        <w:trPr>
          <w:trHeight w:val="346"/>
        </w:trPr>
        <w:tc>
          <w:tcPr>
            <w:tcW w:w="6558" w:type="dxa"/>
            <w:shd w:val="clear" w:color="auto" w:fill="FFFFFF" w:themeFill="background1"/>
            <w:vAlign w:val="center"/>
          </w:tcPr>
          <w:p w14:paraId="656B179B" w14:textId="77777777" w:rsidR="0089147D" w:rsidRPr="00D63D29" w:rsidRDefault="0089147D" w:rsidP="0089147D">
            <w:pPr>
              <w:rPr>
                <w:rFonts w:cs="Segoe UI Light"/>
                <w:sz w:val="18"/>
              </w:rPr>
            </w:pPr>
            <w:r w:rsidRPr="00D63D29">
              <w:rPr>
                <w:rFonts w:cs="Segoe UI Light"/>
                <w:sz w:val="18"/>
              </w:rPr>
              <w:t>Temporary plant for on-site waste treatment</w:t>
            </w:r>
          </w:p>
        </w:tc>
        <w:tc>
          <w:tcPr>
            <w:tcW w:w="2633" w:type="dxa"/>
            <w:shd w:val="clear" w:color="auto" w:fill="FFFFFF" w:themeFill="background1"/>
            <w:vAlign w:val="center"/>
          </w:tcPr>
          <w:p w14:paraId="656B179C" w14:textId="77777777" w:rsidR="0089147D" w:rsidRPr="00D63D29" w:rsidRDefault="0089147D" w:rsidP="00603FBA">
            <w:pPr>
              <w:ind w:right="57"/>
              <w:jc w:val="right"/>
              <w:rPr>
                <w:rFonts w:cs="Segoe UI Light"/>
                <w:sz w:val="18"/>
              </w:rPr>
            </w:pPr>
            <w:r w:rsidRPr="00D63D29">
              <w:rPr>
                <w:rFonts w:cs="Segoe UI Light"/>
                <w:sz w:val="18"/>
              </w:rPr>
              <w:t>~2 applications annually</w:t>
            </w:r>
          </w:p>
        </w:tc>
      </w:tr>
      <w:tr w:rsidR="0089147D" w14:paraId="656B17A0" w14:textId="77777777" w:rsidTr="002B6801">
        <w:trPr>
          <w:trHeight w:val="346"/>
        </w:trPr>
        <w:tc>
          <w:tcPr>
            <w:tcW w:w="6558" w:type="dxa"/>
            <w:shd w:val="clear" w:color="auto" w:fill="FFFFFF" w:themeFill="background1"/>
            <w:vAlign w:val="center"/>
          </w:tcPr>
          <w:p w14:paraId="656B179E" w14:textId="77777777" w:rsidR="0089147D" w:rsidRPr="00D63D29" w:rsidRDefault="0089147D" w:rsidP="0089147D">
            <w:pPr>
              <w:rPr>
                <w:rFonts w:cs="Segoe UI Light"/>
                <w:sz w:val="18"/>
              </w:rPr>
            </w:pPr>
            <w:r w:rsidRPr="00D63D29">
              <w:rPr>
                <w:rFonts w:cs="Segoe UI Light"/>
                <w:sz w:val="18"/>
              </w:rPr>
              <w:t>Discharge of waste to aquifer</w:t>
            </w:r>
          </w:p>
        </w:tc>
        <w:tc>
          <w:tcPr>
            <w:tcW w:w="2633" w:type="dxa"/>
            <w:shd w:val="clear" w:color="auto" w:fill="FFFFFF" w:themeFill="background1"/>
            <w:vAlign w:val="center"/>
          </w:tcPr>
          <w:p w14:paraId="656B179F" w14:textId="77777777" w:rsidR="0089147D" w:rsidRPr="00D63D29" w:rsidRDefault="0089147D" w:rsidP="00603FBA">
            <w:pPr>
              <w:ind w:right="57"/>
              <w:jc w:val="right"/>
              <w:rPr>
                <w:rFonts w:cs="Segoe UI Light"/>
                <w:sz w:val="18"/>
              </w:rPr>
            </w:pPr>
            <w:r w:rsidRPr="00D63D29">
              <w:rPr>
                <w:rFonts w:cs="Segoe UI Light"/>
                <w:sz w:val="18"/>
              </w:rPr>
              <w:t>~5</w:t>
            </w:r>
            <w:r>
              <w:rPr>
                <w:rFonts w:cs="Segoe UI Light"/>
                <w:sz w:val="18"/>
              </w:rPr>
              <w:t xml:space="preserve"> applications annually</w:t>
            </w:r>
          </w:p>
        </w:tc>
      </w:tr>
      <w:tr w:rsidR="0089147D" w14:paraId="656B17A4" w14:textId="77777777" w:rsidTr="002B6801">
        <w:trPr>
          <w:trHeight w:val="346"/>
        </w:trPr>
        <w:tc>
          <w:tcPr>
            <w:tcW w:w="6558" w:type="dxa"/>
            <w:shd w:val="clear" w:color="auto" w:fill="E3E3E4" w:themeFill="accent6" w:themeFillTint="33"/>
            <w:vAlign w:val="center"/>
          </w:tcPr>
          <w:p w14:paraId="656B17A1" w14:textId="77777777" w:rsidR="0089147D" w:rsidRPr="0089147D" w:rsidRDefault="0089147D" w:rsidP="0089147D">
            <w:pPr>
              <w:rPr>
                <w:rFonts w:cs="Segoe UI Light"/>
                <w:b/>
                <w:sz w:val="18"/>
              </w:rPr>
            </w:pPr>
            <w:r>
              <w:rPr>
                <w:rFonts w:cs="Segoe UI Light"/>
                <w:b/>
                <w:sz w:val="18"/>
              </w:rPr>
              <w:t>Option 2 only</w:t>
            </w:r>
          </w:p>
          <w:p w14:paraId="656B17A2" w14:textId="77777777" w:rsidR="0089147D" w:rsidRPr="00D63D29" w:rsidRDefault="0089147D" w:rsidP="009402A8">
            <w:pPr>
              <w:rPr>
                <w:rFonts w:cs="Segoe UI Light"/>
                <w:sz w:val="18"/>
              </w:rPr>
            </w:pPr>
            <w:r w:rsidRPr="00D63D29">
              <w:rPr>
                <w:rFonts w:cs="Segoe UI Light"/>
                <w:sz w:val="18"/>
              </w:rPr>
              <w:t>Materials recovery – Moderate scale</w:t>
            </w:r>
            <w:r w:rsidR="009402A8">
              <w:rPr>
                <w:rFonts w:cs="Segoe UI Light"/>
                <w:sz w:val="18"/>
              </w:rPr>
              <w:t xml:space="preserve"> (</w:t>
            </w:r>
            <w:r w:rsidR="009402A8" w:rsidRPr="009402A8">
              <w:rPr>
                <w:rFonts w:cs="Segoe UI Light"/>
                <w:sz w:val="18"/>
              </w:rPr>
              <w:t>Containing 5,000 cubic metres (or more) on the premises at any time OR receiving 4,000 tonnes of more of waste in any month</w:t>
            </w:r>
            <w:r w:rsidR="009402A8">
              <w:rPr>
                <w:rFonts w:cs="Segoe UI Light"/>
                <w:sz w:val="18"/>
              </w:rPr>
              <w:t>)</w:t>
            </w:r>
          </w:p>
        </w:tc>
        <w:tc>
          <w:tcPr>
            <w:tcW w:w="2633" w:type="dxa"/>
            <w:shd w:val="clear" w:color="auto" w:fill="E3E3E4" w:themeFill="accent6" w:themeFillTint="33"/>
            <w:vAlign w:val="center"/>
          </w:tcPr>
          <w:p w14:paraId="656B17A3" w14:textId="77777777" w:rsidR="0089147D" w:rsidRPr="00D63D29" w:rsidRDefault="0089147D" w:rsidP="00603FBA">
            <w:pPr>
              <w:ind w:right="57"/>
              <w:jc w:val="right"/>
              <w:rPr>
                <w:rFonts w:cs="Segoe UI Light"/>
                <w:sz w:val="18"/>
              </w:rPr>
            </w:pPr>
            <w:r w:rsidRPr="00D63D29">
              <w:rPr>
                <w:rFonts w:cs="Segoe UI Light"/>
                <w:sz w:val="18"/>
              </w:rPr>
              <w:t>Approximately 50 sites</w:t>
            </w:r>
          </w:p>
        </w:tc>
      </w:tr>
      <w:tr w:rsidR="0089147D" w14:paraId="656B17A7" w14:textId="77777777" w:rsidTr="002B6801">
        <w:trPr>
          <w:trHeight w:val="346"/>
        </w:trPr>
        <w:tc>
          <w:tcPr>
            <w:tcW w:w="6558" w:type="dxa"/>
            <w:shd w:val="clear" w:color="auto" w:fill="E3E3E4" w:themeFill="accent6" w:themeFillTint="33"/>
            <w:vAlign w:val="center"/>
          </w:tcPr>
          <w:p w14:paraId="656B17A5" w14:textId="77777777" w:rsidR="0089147D" w:rsidRPr="00D63D29" w:rsidRDefault="0089147D" w:rsidP="0089147D">
            <w:pPr>
              <w:rPr>
                <w:rFonts w:cs="Segoe UI Light"/>
                <w:sz w:val="18"/>
              </w:rPr>
            </w:pPr>
            <w:r w:rsidRPr="00D63D29">
              <w:rPr>
                <w:rFonts w:cs="Segoe UI Light"/>
                <w:sz w:val="18"/>
              </w:rPr>
              <w:t>Supply or Use of Reportable Priority Waste and liquid wastes</w:t>
            </w:r>
          </w:p>
        </w:tc>
        <w:tc>
          <w:tcPr>
            <w:tcW w:w="2633" w:type="dxa"/>
            <w:shd w:val="clear" w:color="auto" w:fill="E3E3E4" w:themeFill="accent6" w:themeFillTint="33"/>
            <w:vAlign w:val="center"/>
          </w:tcPr>
          <w:p w14:paraId="656B17A6" w14:textId="77777777" w:rsidR="0089147D" w:rsidRPr="00140866" w:rsidRDefault="009402A8" w:rsidP="00603FBA">
            <w:pPr>
              <w:ind w:right="57"/>
              <w:jc w:val="right"/>
              <w:rPr>
                <w:rFonts w:cs="Segoe UI Light"/>
                <w:sz w:val="18"/>
              </w:rPr>
            </w:pPr>
            <w:r w:rsidRPr="00A07276">
              <w:rPr>
                <w:rFonts w:cs="Segoe UI Light"/>
                <w:sz w:val="18"/>
              </w:rPr>
              <w:t>50 applications annually</w:t>
            </w:r>
          </w:p>
        </w:tc>
      </w:tr>
      <w:tr w:rsidR="0089147D" w14:paraId="656B17AA" w14:textId="77777777" w:rsidTr="002B6801">
        <w:trPr>
          <w:trHeight w:val="346"/>
        </w:trPr>
        <w:tc>
          <w:tcPr>
            <w:tcW w:w="6558" w:type="dxa"/>
            <w:shd w:val="clear" w:color="auto" w:fill="E3E3E4" w:themeFill="accent6" w:themeFillTint="33"/>
            <w:vAlign w:val="center"/>
          </w:tcPr>
          <w:p w14:paraId="656B17A8" w14:textId="77777777" w:rsidR="0089147D" w:rsidRPr="00D63D29" w:rsidRDefault="0089147D" w:rsidP="0089147D">
            <w:pPr>
              <w:rPr>
                <w:rFonts w:cs="Segoe UI Light"/>
                <w:sz w:val="18"/>
              </w:rPr>
            </w:pPr>
            <w:r w:rsidRPr="00D63D29">
              <w:rPr>
                <w:rFonts w:cs="Segoe UI Light"/>
                <w:sz w:val="18"/>
              </w:rPr>
              <w:t>Containment of Category D soils on project site</w:t>
            </w:r>
          </w:p>
        </w:tc>
        <w:tc>
          <w:tcPr>
            <w:tcW w:w="2633" w:type="dxa"/>
            <w:shd w:val="clear" w:color="auto" w:fill="E3E3E4" w:themeFill="accent6" w:themeFillTint="33"/>
            <w:vAlign w:val="center"/>
          </w:tcPr>
          <w:p w14:paraId="656B17A9" w14:textId="77777777" w:rsidR="0089147D" w:rsidRPr="00140866" w:rsidRDefault="009402A8" w:rsidP="00603FBA">
            <w:pPr>
              <w:ind w:right="57"/>
              <w:jc w:val="right"/>
              <w:rPr>
                <w:rFonts w:cs="Segoe UI Light"/>
                <w:sz w:val="18"/>
              </w:rPr>
            </w:pPr>
            <w:r w:rsidRPr="00140866">
              <w:rPr>
                <w:rFonts w:cs="Segoe UI Light"/>
                <w:sz w:val="18"/>
              </w:rPr>
              <w:t>8-10 applications annually</w:t>
            </w:r>
          </w:p>
        </w:tc>
      </w:tr>
    </w:tbl>
    <w:p w14:paraId="656B17AB" w14:textId="77777777" w:rsidR="002B6801" w:rsidRDefault="002B6801" w:rsidP="00FF5043">
      <w:pPr>
        <w:spacing w:after="0"/>
        <w:rPr>
          <w:b/>
          <w:i/>
        </w:rPr>
      </w:pPr>
    </w:p>
    <w:p w14:paraId="656B17AC" w14:textId="77777777" w:rsidR="00FF5043" w:rsidRDefault="00FF5043" w:rsidP="00FF5043">
      <w:pPr>
        <w:spacing w:after="0"/>
        <w:rPr>
          <w:b/>
          <w:i/>
        </w:rPr>
      </w:pPr>
      <w:r>
        <w:rPr>
          <w:b/>
          <w:i/>
        </w:rPr>
        <w:t>Registrations</w:t>
      </w:r>
    </w:p>
    <w:tbl>
      <w:tblPr>
        <w:tblStyle w:val="TableGrid"/>
        <w:tblpPr w:leftFromText="180" w:rightFromText="180" w:vertAnchor="text" w:tblpY="1"/>
        <w:tblOverlap w:val="never"/>
        <w:tblW w:w="9214" w:type="dxa"/>
        <w:tblLook w:val="04A0" w:firstRow="1" w:lastRow="0" w:firstColumn="1" w:lastColumn="0" w:noHBand="0" w:noVBand="1"/>
      </w:tblPr>
      <w:tblGrid>
        <w:gridCol w:w="6026"/>
        <w:gridCol w:w="3188"/>
      </w:tblGrid>
      <w:tr w:rsidR="00FF5043" w:rsidRPr="00D63D29" w14:paraId="656B17AF" w14:textId="77777777" w:rsidTr="00603FBA">
        <w:trPr>
          <w:cnfStyle w:val="100000000000" w:firstRow="1" w:lastRow="0" w:firstColumn="0" w:lastColumn="0" w:oddVBand="0" w:evenVBand="0" w:oddHBand="0" w:evenHBand="0" w:firstRowFirstColumn="0" w:firstRowLastColumn="0" w:lastRowFirstColumn="0" w:lastRowLastColumn="0"/>
          <w:trHeight w:val="175"/>
        </w:trPr>
        <w:tc>
          <w:tcPr>
            <w:tcW w:w="60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vAlign w:val="center"/>
          </w:tcPr>
          <w:p w14:paraId="656B17AD" w14:textId="77777777" w:rsidR="00FF5043" w:rsidRPr="00D63D29" w:rsidRDefault="00FF5043" w:rsidP="008D6D7B">
            <w:pPr>
              <w:jc w:val="center"/>
              <w:rPr>
                <w:rFonts w:cs="Segoe UI Light"/>
                <w:b/>
                <w:color w:val="FFFFFF" w:themeColor="background1"/>
                <w:szCs w:val="20"/>
              </w:rPr>
            </w:pPr>
            <w:r w:rsidRPr="00D63D29">
              <w:rPr>
                <w:rFonts w:cs="Segoe UI Light"/>
                <w:b/>
                <w:color w:val="FFFFFF" w:themeColor="background1"/>
                <w:szCs w:val="20"/>
              </w:rPr>
              <w:t>Activity/Tool</w:t>
            </w:r>
          </w:p>
        </w:tc>
        <w:tc>
          <w:tcPr>
            <w:tcW w:w="318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vAlign w:val="center"/>
          </w:tcPr>
          <w:p w14:paraId="656B17AE" w14:textId="77777777" w:rsidR="00FF5043" w:rsidRPr="00D63D29" w:rsidRDefault="00FF5043" w:rsidP="00FF5043">
            <w:pPr>
              <w:jc w:val="right"/>
              <w:rPr>
                <w:rFonts w:cs="Segoe UI Light"/>
                <w:b/>
                <w:color w:val="FFFFFF" w:themeColor="background1"/>
                <w:szCs w:val="20"/>
              </w:rPr>
            </w:pPr>
            <w:r w:rsidRPr="00D63D29">
              <w:rPr>
                <w:rFonts w:cs="Segoe UI Light"/>
                <w:b/>
                <w:color w:val="FFFFFF" w:themeColor="background1"/>
                <w:szCs w:val="20"/>
              </w:rPr>
              <w:t>Approx. Cohort Size</w:t>
            </w:r>
          </w:p>
        </w:tc>
      </w:tr>
      <w:tr w:rsidR="00FF5043" w:rsidRPr="00D63D29" w14:paraId="656B17B3" w14:textId="77777777" w:rsidTr="00603FBA">
        <w:trPr>
          <w:trHeight w:val="275"/>
        </w:trPr>
        <w:tc>
          <w:tcPr>
            <w:tcW w:w="6026" w:type="dxa"/>
            <w:shd w:val="clear" w:color="auto" w:fill="auto"/>
            <w:vAlign w:val="center"/>
          </w:tcPr>
          <w:p w14:paraId="656B17B0" w14:textId="77777777" w:rsidR="00FF5043" w:rsidRPr="00104E3D" w:rsidRDefault="00FF5043" w:rsidP="00FF5043">
            <w:pPr>
              <w:rPr>
                <w:rFonts w:cs="Segoe UI Light"/>
                <w:b/>
                <w:sz w:val="18"/>
              </w:rPr>
            </w:pPr>
            <w:r w:rsidRPr="00104E3D">
              <w:rPr>
                <w:rFonts w:cs="Segoe UI Light"/>
                <w:b/>
                <w:sz w:val="18"/>
              </w:rPr>
              <w:t>Option 1 and Option 2</w:t>
            </w:r>
          </w:p>
          <w:p w14:paraId="656B17B1" w14:textId="77777777" w:rsidR="00FF5043" w:rsidRPr="00104E3D" w:rsidRDefault="00104E3D" w:rsidP="00FF5043">
            <w:pPr>
              <w:rPr>
                <w:rFonts w:cs="Segoe UI Light"/>
                <w:sz w:val="18"/>
              </w:rPr>
            </w:pPr>
            <w:r w:rsidRPr="00104E3D">
              <w:rPr>
                <w:rFonts w:cs="Segoe UI Light"/>
                <w:sz w:val="18"/>
              </w:rPr>
              <w:t>B</w:t>
            </w:r>
            <w:r w:rsidR="00FF5043" w:rsidRPr="00104E3D">
              <w:rPr>
                <w:rFonts w:cs="Segoe UI Light"/>
                <w:sz w:val="18"/>
              </w:rPr>
              <w:t>iomedical storage by a council, health service or ambulance service</w:t>
            </w:r>
          </w:p>
        </w:tc>
        <w:tc>
          <w:tcPr>
            <w:tcW w:w="3188" w:type="dxa"/>
            <w:shd w:val="clear" w:color="auto" w:fill="auto"/>
            <w:vAlign w:val="center"/>
          </w:tcPr>
          <w:p w14:paraId="656B17B2" w14:textId="77777777" w:rsidR="00FF5043" w:rsidRPr="00A07276" w:rsidRDefault="00FF5043" w:rsidP="00603FBA">
            <w:pPr>
              <w:ind w:right="57"/>
              <w:jc w:val="right"/>
              <w:rPr>
                <w:rFonts w:cs="Segoe UI Light"/>
                <w:sz w:val="18"/>
              </w:rPr>
            </w:pPr>
            <w:r w:rsidRPr="00A07276">
              <w:rPr>
                <w:rFonts w:cs="Segoe UI Light"/>
                <w:sz w:val="18"/>
              </w:rPr>
              <w:t>Varied (case by case)</w:t>
            </w:r>
          </w:p>
        </w:tc>
      </w:tr>
      <w:tr w:rsidR="00FF5043" w:rsidRPr="00D63D29" w14:paraId="656B17B6" w14:textId="77777777" w:rsidTr="00603FBA">
        <w:trPr>
          <w:trHeight w:val="275"/>
        </w:trPr>
        <w:tc>
          <w:tcPr>
            <w:tcW w:w="6026" w:type="dxa"/>
            <w:shd w:val="clear" w:color="auto" w:fill="auto"/>
            <w:vAlign w:val="center"/>
          </w:tcPr>
          <w:p w14:paraId="656B17B4" w14:textId="77777777" w:rsidR="00FF5043" w:rsidRPr="00104E3D" w:rsidRDefault="00104E3D" w:rsidP="0096395F">
            <w:pPr>
              <w:rPr>
                <w:rFonts w:cs="Segoe UI Light"/>
                <w:sz w:val="18"/>
              </w:rPr>
            </w:pPr>
            <w:r w:rsidRPr="00104E3D">
              <w:rPr>
                <w:rFonts w:cs="Segoe UI Light"/>
                <w:sz w:val="18"/>
              </w:rPr>
              <w:t>T</w:t>
            </w:r>
            <w:r w:rsidR="00FF5043" w:rsidRPr="00104E3D">
              <w:rPr>
                <w:rFonts w:cs="Segoe UI Light"/>
                <w:sz w:val="18"/>
              </w:rPr>
              <w:t>emporary asbestos storage</w:t>
            </w:r>
          </w:p>
        </w:tc>
        <w:tc>
          <w:tcPr>
            <w:tcW w:w="3188" w:type="dxa"/>
            <w:shd w:val="clear" w:color="auto" w:fill="auto"/>
            <w:vAlign w:val="center"/>
          </w:tcPr>
          <w:p w14:paraId="656B17B5" w14:textId="77777777" w:rsidR="00FF5043" w:rsidRPr="00A07276" w:rsidRDefault="00FF5043" w:rsidP="00603FBA">
            <w:pPr>
              <w:ind w:right="57"/>
              <w:jc w:val="right"/>
              <w:rPr>
                <w:rFonts w:cs="Segoe UI Light"/>
                <w:sz w:val="18"/>
              </w:rPr>
            </w:pPr>
            <w:r w:rsidRPr="00A07276">
              <w:rPr>
                <w:rFonts w:cs="Segoe UI Light"/>
                <w:sz w:val="18"/>
              </w:rPr>
              <w:t>Varied (case by case)</w:t>
            </w:r>
          </w:p>
        </w:tc>
      </w:tr>
      <w:tr w:rsidR="00FF5043" w:rsidRPr="00D63D29" w14:paraId="656B17B9" w14:textId="77777777" w:rsidTr="00603FBA">
        <w:trPr>
          <w:trHeight w:val="275"/>
        </w:trPr>
        <w:tc>
          <w:tcPr>
            <w:tcW w:w="6026" w:type="dxa"/>
            <w:shd w:val="clear" w:color="auto" w:fill="auto"/>
            <w:vAlign w:val="center"/>
          </w:tcPr>
          <w:p w14:paraId="656B17B7" w14:textId="77777777" w:rsidR="00FF5043" w:rsidRPr="00104E3D" w:rsidRDefault="00104E3D" w:rsidP="00FF5043">
            <w:pPr>
              <w:rPr>
                <w:rFonts w:cs="Segoe UI Light"/>
                <w:sz w:val="18"/>
              </w:rPr>
            </w:pPr>
            <w:r w:rsidRPr="00104E3D">
              <w:rPr>
                <w:rFonts w:cs="Segoe UI Light"/>
                <w:sz w:val="18"/>
              </w:rPr>
              <w:t>T</w:t>
            </w:r>
            <w:r w:rsidR="00FF5043" w:rsidRPr="00104E3D">
              <w:rPr>
                <w:rFonts w:cs="Segoe UI Light"/>
                <w:sz w:val="18"/>
              </w:rPr>
              <w:t>emporary storage of 1000 litres or less of designated waste not generated at the premises</w:t>
            </w:r>
          </w:p>
        </w:tc>
        <w:tc>
          <w:tcPr>
            <w:tcW w:w="3188" w:type="dxa"/>
            <w:shd w:val="clear" w:color="auto" w:fill="auto"/>
            <w:vAlign w:val="center"/>
          </w:tcPr>
          <w:p w14:paraId="656B17B8" w14:textId="77777777" w:rsidR="00FF5043" w:rsidRPr="00A07276" w:rsidRDefault="00FF5043" w:rsidP="00603FBA">
            <w:pPr>
              <w:ind w:right="57"/>
              <w:jc w:val="right"/>
              <w:rPr>
                <w:rFonts w:cs="Segoe UI Light"/>
                <w:sz w:val="18"/>
              </w:rPr>
            </w:pPr>
            <w:r w:rsidRPr="00A07276">
              <w:rPr>
                <w:rFonts w:cs="Segoe UI Light"/>
                <w:sz w:val="18"/>
              </w:rPr>
              <w:t>Varied (case by case)</w:t>
            </w:r>
          </w:p>
        </w:tc>
      </w:tr>
      <w:tr w:rsidR="00FF5043" w:rsidRPr="00D63D29" w14:paraId="656B17BC" w14:textId="77777777" w:rsidTr="00603FBA">
        <w:trPr>
          <w:trHeight w:val="275"/>
        </w:trPr>
        <w:tc>
          <w:tcPr>
            <w:tcW w:w="6026" w:type="dxa"/>
            <w:shd w:val="clear" w:color="auto" w:fill="FFFFFF" w:themeFill="background1"/>
            <w:vAlign w:val="center"/>
          </w:tcPr>
          <w:p w14:paraId="656B17BA" w14:textId="77777777" w:rsidR="00FF5043" w:rsidRPr="00D63D29" w:rsidRDefault="00FF5043" w:rsidP="0096395F">
            <w:pPr>
              <w:rPr>
                <w:rFonts w:cs="Segoe UI Light"/>
                <w:sz w:val="18"/>
              </w:rPr>
            </w:pPr>
            <w:r w:rsidRPr="00D63D29">
              <w:rPr>
                <w:rFonts w:cs="Segoe UI Light"/>
                <w:sz w:val="18"/>
              </w:rPr>
              <w:t xml:space="preserve">Waste Transport (wastes requiring a </w:t>
            </w:r>
            <w:r w:rsidR="00136148">
              <w:rPr>
                <w:rFonts w:cs="Segoe UI Light"/>
                <w:sz w:val="18"/>
              </w:rPr>
              <w:t>Registration</w:t>
            </w:r>
            <w:r w:rsidRPr="00D63D29">
              <w:rPr>
                <w:rFonts w:cs="Segoe UI Light"/>
                <w:sz w:val="18"/>
              </w:rPr>
              <w:t>)</w:t>
            </w:r>
          </w:p>
        </w:tc>
        <w:tc>
          <w:tcPr>
            <w:tcW w:w="3188" w:type="dxa"/>
            <w:shd w:val="clear" w:color="auto" w:fill="FFFFFF" w:themeFill="background1"/>
            <w:vAlign w:val="center"/>
          </w:tcPr>
          <w:p w14:paraId="656B17BB" w14:textId="77777777" w:rsidR="00FF5043" w:rsidRPr="00D63D29" w:rsidRDefault="00FF5043" w:rsidP="00603FBA">
            <w:pPr>
              <w:ind w:right="57"/>
              <w:jc w:val="right"/>
              <w:rPr>
                <w:rFonts w:cs="Segoe UI Light"/>
                <w:sz w:val="18"/>
              </w:rPr>
            </w:pPr>
            <w:r w:rsidRPr="00D63D29">
              <w:rPr>
                <w:rFonts w:cs="Segoe UI Light"/>
                <w:sz w:val="18"/>
              </w:rPr>
              <w:t>~3000</w:t>
            </w:r>
            <w:r>
              <w:rPr>
                <w:rFonts w:cs="Segoe UI Light"/>
                <w:sz w:val="18"/>
              </w:rPr>
              <w:t xml:space="preserve"> in operation</w:t>
            </w:r>
            <w:r w:rsidRPr="00D63D29">
              <w:rPr>
                <w:rFonts w:cs="Segoe UI Light"/>
                <w:sz w:val="18"/>
              </w:rPr>
              <w:t xml:space="preserve"> (~500 new applications annually)</w:t>
            </w:r>
          </w:p>
        </w:tc>
      </w:tr>
      <w:tr w:rsidR="00FF5043" w:rsidRPr="00D63D29" w14:paraId="656B17C1" w14:textId="77777777" w:rsidTr="00603FBA">
        <w:trPr>
          <w:trHeight w:val="275"/>
        </w:trPr>
        <w:tc>
          <w:tcPr>
            <w:tcW w:w="6026" w:type="dxa"/>
            <w:shd w:val="clear" w:color="auto" w:fill="E7E6E6" w:themeFill="background2"/>
            <w:vAlign w:val="center"/>
          </w:tcPr>
          <w:p w14:paraId="656B17BD" w14:textId="77777777" w:rsidR="00FF5043" w:rsidRPr="00FF5043" w:rsidRDefault="00FF5043" w:rsidP="00FF5043">
            <w:pPr>
              <w:rPr>
                <w:rFonts w:cs="Segoe UI Light"/>
                <w:b/>
                <w:sz w:val="18"/>
              </w:rPr>
            </w:pPr>
            <w:r>
              <w:rPr>
                <w:rFonts w:cs="Segoe UI Light"/>
                <w:b/>
                <w:sz w:val="18"/>
              </w:rPr>
              <w:t>Option 2 only</w:t>
            </w:r>
          </w:p>
          <w:p w14:paraId="656B17BE" w14:textId="77777777" w:rsidR="00FF5043" w:rsidRPr="00D63D29" w:rsidRDefault="00FF5043" w:rsidP="00FF5043">
            <w:pPr>
              <w:rPr>
                <w:rFonts w:cs="Segoe UI Light"/>
                <w:sz w:val="18"/>
              </w:rPr>
            </w:pPr>
            <w:r w:rsidRPr="00D63D29">
              <w:rPr>
                <w:rFonts w:cs="Segoe UI Light"/>
                <w:sz w:val="18"/>
              </w:rPr>
              <w:t>Materials recovery – Less than 5,000 cubic metres on premises at any time.</w:t>
            </w:r>
          </w:p>
        </w:tc>
        <w:tc>
          <w:tcPr>
            <w:tcW w:w="3188" w:type="dxa"/>
            <w:shd w:val="clear" w:color="auto" w:fill="E7E6E6" w:themeFill="background2"/>
            <w:vAlign w:val="center"/>
          </w:tcPr>
          <w:p w14:paraId="656B17BF" w14:textId="77777777" w:rsidR="00FF5043" w:rsidRDefault="00FF5043" w:rsidP="00603FBA">
            <w:pPr>
              <w:ind w:right="57"/>
              <w:jc w:val="right"/>
              <w:rPr>
                <w:rFonts w:cs="Segoe UI Light"/>
                <w:sz w:val="18"/>
              </w:rPr>
            </w:pPr>
          </w:p>
          <w:p w14:paraId="656B17C0" w14:textId="77777777" w:rsidR="00FF5043" w:rsidRPr="00D63D29" w:rsidRDefault="00FF5043" w:rsidP="00603FBA">
            <w:pPr>
              <w:ind w:right="57"/>
              <w:jc w:val="right"/>
              <w:rPr>
                <w:rFonts w:cs="Segoe UI Light"/>
                <w:sz w:val="18"/>
              </w:rPr>
            </w:pPr>
            <w:r w:rsidRPr="00D63D29">
              <w:rPr>
                <w:rFonts w:cs="Segoe UI Light"/>
                <w:sz w:val="18"/>
              </w:rPr>
              <w:t>~2500</w:t>
            </w:r>
            <w:r w:rsidR="00136148">
              <w:rPr>
                <w:rFonts w:cs="Segoe UI Light"/>
                <w:sz w:val="18"/>
              </w:rPr>
              <w:t xml:space="preserve"> in operation</w:t>
            </w:r>
          </w:p>
        </w:tc>
      </w:tr>
      <w:tr w:rsidR="00FF5043" w:rsidRPr="00D63D29" w14:paraId="656B17C4" w14:textId="77777777" w:rsidTr="00603FBA">
        <w:trPr>
          <w:trHeight w:val="275"/>
        </w:trPr>
        <w:tc>
          <w:tcPr>
            <w:tcW w:w="6026" w:type="dxa"/>
            <w:shd w:val="clear" w:color="auto" w:fill="E7E6E6" w:themeFill="background2"/>
            <w:vAlign w:val="center"/>
          </w:tcPr>
          <w:p w14:paraId="656B17C2" w14:textId="77777777" w:rsidR="00FF5043" w:rsidRPr="00D63D29" w:rsidRDefault="00FF5043" w:rsidP="00FF5043">
            <w:pPr>
              <w:rPr>
                <w:rFonts w:cs="Segoe UI Light"/>
                <w:sz w:val="18"/>
              </w:rPr>
            </w:pPr>
            <w:r w:rsidRPr="00D63D29">
              <w:rPr>
                <w:rFonts w:cs="Segoe UI Light"/>
                <w:sz w:val="18"/>
              </w:rPr>
              <w:t>Dry-cleaning</w:t>
            </w:r>
          </w:p>
        </w:tc>
        <w:tc>
          <w:tcPr>
            <w:tcW w:w="3188" w:type="dxa"/>
            <w:shd w:val="clear" w:color="auto" w:fill="E7E6E6" w:themeFill="background2"/>
            <w:vAlign w:val="center"/>
          </w:tcPr>
          <w:p w14:paraId="656B17C3" w14:textId="77777777" w:rsidR="00FF5043" w:rsidRPr="00D63D29" w:rsidRDefault="00FF5043" w:rsidP="00603FBA">
            <w:pPr>
              <w:ind w:right="57"/>
              <w:jc w:val="right"/>
              <w:rPr>
                <w:rFonts w:cs="Segoe UI Light"/>
                <w:sz w:val="18"/>
              </w:rPr>
            </w:pPr>
            <w:r w:rsidRPr="00D63D29">
              <w:rPr>
                <w:rFonts w:cs="Segoe UI Light"/>
                <w:sz w:val="18"/>
              </w:rPr>
              <w:t>~330</w:t>
            </w:r>
            <w:r w:rsidR="00136148">
              <w:rPr>
                <w:rFonts w:cs="Segoe UI Light"/>
                <w:sz w:val="18"/>
              </w:rPr>
              <w:t xml:space="preserve"> in operation</w:t>
            </w:r>
          </w:p>
        </w:tc>
      </w:tr>
      <w:tr w:rsidR="00FF5043" w:rsidRPr="00D63D29" w14:paraId="656B17C7" w14:textId="77777777" w:rsidTr="00603FBA">
        <w:trPr>
          <w:trHeight w:val="275"/>
        </w:trPr>
        <w:tc>
          <w:tcPr>
            <w:tcW w:w="6026" w:type="dxa"/>
            <w:shd w:val="clear" w:color="auto" w:fill="E7E6E6" w:themeFill="background2"/>
            <w:vAlign w:val="center"/>
          </w:tcPr>
          <w:p w14:paraId="656B17C5" w14:textId="77777777" w:rsidR="00FF5043" w:rsidRPr="00D63D29" w:rsidRDefault="00FF5043" w:rsidP="00FF5043">
            <w:pPr>
              <w:rPr>
                <w:rFonts w:cs="Segoe UI Light"/>
                <w:sz w:val="18"/>
              </w:rPr>
            </w:pPr>
            <w:r w:rsidRPr="00D63D29">
              <w:rPr>
                <w:rFonts w:cs="Segoe UI Light"/>
                <w:sz w:val="18"/>
              </w:rPr>
              <w:t>Sub-threshold reprocessing of specified e-waste</w:t>
            </w:r>
          </w:p>
        </w:tc>
        <w:tc>
          <w:tcPr>
            <w:tcW w:w="3188" w:type="dxa"/>
            <w:shd w:val="clear" w:color="auto" w:fill="E7E6E6" w:themeFill="background2"/>
            <w:vAlign w:val="center"/>
          </w:tcPr>
          <w:p w14:paraId="656B17C6" w14:textId="77777777" w:rsidR="00FF5043" w:rsidRPr="00D63D29" w:rsidRDefault="00FF5043" w:rsidP="00603FBA">
            <w:pPr>
              <w:ind w:right="57"/>
              <w:jc w:val="right"/>
              <w:rPr>
                <w:rFonts w:cs="Segoe UI Light"/>
                <w:sz w:val="18"/>
              </w:rPr>
            </w:pPr>
            <w:r w:rsidRPr="00D63D29">
              <w:rPr>
                <w:rFonts w:cs="Segoe UI Light"/>
                <w:sz w:val="18"/>
              </w:rPr>
              <w:t>~5</w:t>
            </w:r>
            <w:r w:rsidR="00136148">
              <w:rPr>
                <w:rFonts w:cs="Segoe UI Light"/>
                <w:sz w:val="18"/>
              </w:rPr>
              <w:t xml:space="preserve"> in operation</w:t>
            </w:r>
          </w:p>
        </w:tc>
      </w:tr>
      <w:tr w:rsidR="00FF5043" w:rsidRPr="00D63D29" w14:paraId="656B17CA" w14:textId="77777777" w:rsidTr="00603FBA">
        <w:trPr>
          <w:trHeight w:val="275"/>
        </w:trPr>
        <w:tc>
          <w:tcPr>
            <w:tcW w:w="6026" w:type="dxa"/>
            <w:shd w:val="clear" w:color="auto" w:fill="E7E6E6" w:themeFill="background2"/>
            <w:vAlign w:val="center"/>
          </w:tcPr>
          <w:p w14:paraId="656B17C8" w14:textId="77777777" w:rsidR="00FF5043" w:rsidRPr="00D63D29" w:rsidRDefault="00FF5043" w:rsidP="00FF5043">
            <w:pPr>
              <w:rPr>
                <w:rFonts w:cs="Segoe UI Light"/>
                <w:sz w:val="18"/>
              </w:rPr>
            </w:pPr>
            <w:r w:rsidRPr="00D63D29">
              <w:rPr>
                <w:rFonts w:cs="Segoe UI Light"/>
                <w:sz w:val="18"/>
              </w:rPr>
              <w:t>Sub-threshold A07 (Organic waste processing)</w:t>
            </w:r>
          </w:p>
        </w:tc>
        <w:tc>
          <w:tcPr>
            <w:tcW w:w="3188" w:type="dxa"/>
            <w:shd w:val="clear" w:color="auto" w:fill="E7E6E6" w:themeFill="background2"/>
            <w:vAlign w:val="center"/>
          </w:tcPr>
          <w:p w14:paraId="656B17C9" w14:textId="77777777" w:rsidR="00FF5043" w:rsidRPr="00D63D29" w:rsidRDefault="00136148" w:rsidP="00603FBA">
            <w:pPr>
              <w:ind w:right="57"/>
              <w:jc w:val="right"/>
              <w:rPr>
                <w:rFonts w:cs="Segoe UI Light"/>
                <w:sz w:val="18"/>
              </w:rPr>
            </w:pPr>
            <w:r>
              <w:rPr>
                <w:rFonts w:cs="Segoe UI Light"/>
                <w:sz w:val="18"/>
              </w:rPr>
              <w:t>unknown</w:t>
            </w:r>
          </w:p>
        </w:tc>
      </w:tr>
      <w:tr w:rsidR="00FF5043" w:rsidRPr="00D63D29" w14:paraId="656B17CD" w14:textId="77777777" w:rsidTr="00603FBA">
        <w:trPr>
          <w:trHeight w:val="275"/>
        </w:trPr>
        <w:tc>
          <w:tcPr>
            <w:tcW w:w="6026" w:type="dxa"/>
            <w:shd w:val="clear" w:color="auto" w:fill="E7E6E6" w:themeFill="background2"/>
            <w:vAlign w:val="center"/>
          </w:tcPr>
          <w:p w14:paraId="656B17CB" w14:textId="77777777" w:rsidR="00FF5043" w:rsidRPr="00D63D29" w:rsidRDefault="00FF5043" w:rsidP="00FF5043">
            <w:pPr>
              <w:rPr>
                <w:rFonts w:cs="Segoe UI Light"/>
                <w:sz w:val="18"/>
              </w:rPr>
            </w:pPr>
            <w:r w:rsidRPr="00D63D29">
              <w:rPr>
                <w:rFonts w:cs="Segoe UI Light"/>
                <w:sz w:val="18"/>
              </w:rPr>
              <w:t>Sub-threshold A09 (Waste tyre storage)</w:t>
            </w:r>
          </w:p>
        </w:tc>
        <w:tc>
          <w:tcPr>
            <w:tcW w:w="3188" w:type="dxa"/>
            <w:shd w:val="clear" w:color="auto" w:fill="E7E6E6" w:themeFill="background2"/>
            <w:vAlign w:val="center"/>
          </w:tcPr>
          <w:p w14:paraId="656B17CC" w14:textId="77777777" w:rsidR="00FF5043" w:rsidRPr="00D63D29" w:rsidRDefault="00FF5043" w:rsidP="00603FBA">
            <w:pPr>
              <w:ind w:right="57"/>
              <w:jc w:val="right"/>
              <w:rPr>
                <w:rFonts w:cs="Segoe UI Light"/>
                <w:sz w:val="18"/>
              </w:rPr>
            </w:pPr>
            <w:r w:rsidRPr="00D63D29">
              <w:rPr>
                <w:rFonts w:cs="Segoe UI Light"/>
                <w:sz w:val="18"/>
              </w:rPr>
              <w:t>~85</w:t>
            </w:r>
            <w:r w:rsidR="00136148">
              <w:rPr>
                <w:rFonts w:cs="Segoe UI Light"/>
                <w:sz w:val="18"/>
              </w:rPr>
              <w:t xml:space="preserve"> in operation</w:t>
            </w:r>
          </w:p>
        </w:tc>
      </w:tr>
      <w:tr w:rsidR="00FF5043" w:rsidRPr="00D63D29" w14:paraId="656B17D0" w14:textId="77777777" w:rsidTr="00603FBA">
        <w:trPr>
          <w:trHeight w:val="275"/>
        </w:trPr>
        <w:tc>
          <w:tcPr>
            <w:tcW w:w="6026" w:type="dxa"/>
            <w:shd w:val="clear" w:color="auto" w:fill="E7E6E6" w:themeFill="background2"/>
            <w:vAlign w:val="center"/>
          </w:tcPr>
          <w:p w14:paraId="656B17CE" w14:textId="77777777" w:rsidR="00FF5043" w:rsidRPr="00D63D29" w:rsidRDefault="00FF5043" w:rsidP="00FF5043">
            <w:pPr>
              <w:rPr>
                <w:rFonts w:cs="Segoe UI Light"/>
                <w:sz w:val="18"/>
              </w:rPr>
            </w:pPr>
            <w:r w:rsidRPr="00D63D29">
              <w:rPr>
                <w:rFonts w:cs="Segoe UI Light"/>
                <w:sz w:val="18"/>
              </w:rPr>
              <w:t>Sub-threshold H05 (Glass works)</w:t>
            </w:r>
          </w:p>
        </w:tc>
        <w:tc>
          <w:tcPr>
            <w:tcW w:w="3188" w:type="dxa"/>
            <w:shd w:val="clear" w:color="auto" w:fill="E7E6E6" w:themeFill="background2"/>
            <w:vAlign w:val="center"/>
          </w:tcPr>
          <w:p w14:paraId="656B17CF" w14:textId="77777777" w:rsidR="00FF5043" w:rsidRPr="00D63D29" w:rsidRDefault="00FF5043" w:rsidP="00603FBA">
            <w:pPr>
              <w:ind w:right="57"/>
              <w:jc w:val="right"/>
              <w:rPr>
                <w:rFonts w:cs="Segoe UI Light"/>
                <w:sz w:val="18"/>
              </w:rPr>
            </w:pPr>
            <w:r w:rsidRPr="00D63D29">
              <w:rPr>
                <w:rFonts w:cs="Segoe UI Light"/>
                <w:sz w:val="18"/>
              </w:rPr>
              <w:t>~5</w:t>
            </w:r>
            <w:r w:rsidR="00136148">
              <w:rPr>
                <w:rFonts w:cs="Segoe UI Light"/>
                <w:sz w:val="18"/>
              </w:rPr>
              <w:t xml:space="preserve"> in operation</w:t>
            </w:r>
          </w:p>
        </w:tc>
      </w:tr>
    </w:tbl>
    <w:p w14:paraId="656B17D1" w14:textId="77777777" w:rsidR="00FF5043" w:rsidRDefault="00FF5043" w:rsidP="00FF5043">
      <w:pPr>
        <w:spacing w:after="0"/>
        <w:rPr>
          <w:b/>
          <w:i/>
        </w:rPr>
      </w:pPr>
    </w:p>
    <w:p w14:paraId="656B17D2" w14:textId="77777777" w:rsidR="00FF5043" w:rsidRDefault="00FF5043" w:rsidP="00FF5043">
      <w:pPr>
        <w:spacing w:after="0"/>
        <w:rPr>
          <w:b/>
          <w:i/>
        </w:rPr>
      </w:pPr>
    </w:p>
    <w:p w14:paraId="656B17D3" w14:textId="77777777" w:rsidR="00F8453F" w:rsidRDefault="00F8453F">
      <w:pPr>
        <w:spacing w:after="0"/>
        <w:rPr>
          <w:rFonts w:ascii="Arial" w:eastAsia="Times New Roman" w:hAnsi="Arial" w:cs="Arial"/>
          <w:b/>
          <w:bCs/>
          <w:kern w:val="32"/>
          <w:sz w:val="32"/>
          <w:szCs w:val="32"/>
          <w:lang w:eastAsia="en-AU"/>
        </w:rPr>
      </w:pPr>
    </w:p>
    <w:p w14:paraId="656B17D4" w14:textId="77777777" w:rsidR="00835FDF" w:rsidRDefault="00835FDF">
      <w:pPr>
        <w:spacing w:after="0"/>
      </w:pPr>
      <w:r>
        <w:br w:type="page"/>
      </w:r>
    </w:p>
    <w:p w14:paraId="656B17D5" w14:textId="77777777" w:rsidR="00BF4D06" w:rsidRDefault="00BF4D06" w:rsidP="00A07276">
      <w:pPr>
        <w:pStyle w:val="Heading1un-numbered"/>
      </w:pPr>
      <w:bookmarkStart w:id="2037" w:name="_Toc10018350"/>
      <w:bookmarkStart w:id="2038" w:name="_Toc10021456"/>
      <w:bookmarkStart w:id="2039" w:name="_Toc10021870"/>
      <w:bookmarkStart w:id="2040" w:name="_Toc12892354"/>
      <w:r>
        <w:t xml:space="preserve">Appendix </w:t>
      </w:r>
      <w:r w:rsidR="00D23978">
        <w:t>6</w:t>
      </w:r>
      <w:r>
        <w:t xml:space="preserve"> – P</w:t>
      </w:r>
      <w:r w:rsidRPr="00BF4D06">
        <w:t>rocess map example</w:t>
      </w:r>
      <w:bookmarkEnd w:id="2037"/>
      <w:bookmarkEnd w:id="2038"/>
      <w:bookmarkEnd w:id="2039"/>
      <w:bookmarkEnd w:id="2040"/>
    </w:p>
    <w:p w14:paraId="656B17D6" w14:textId="77777777" w:rsidR="00BF4D06" w:rsidRPr="003644F0" w:rsidRDefault="00BF4D06" w:rsidP="00BF4D06">
      <w:pPr>
        <w:spacing w:after="0"/>
        <w:rPr>
          <w:rFonts w:cs="Segoe UI Light"/>
          <w:sz w:val="18"/>
        </w:rPr>
      </w:pPr>
      <w:r w:rsidRPr="003644F0">
        <w:rPr>
          <w:rFonts w:cs="Segoe UI Light"/>
          <w:sz w:val="18"/>
        </w:rPr>
        <w:t xml:space="preserve">The following </w:t>
      </w:r>
      <w:r w:rsidR="00576195">
        <w:rPr>
          <w:rFonts w:cs="Segoe UI Light"/>
          <w:sz w:val="18"/>
        </w:rPr>
        <w:t xml:space="preserve">table outlines </w:t>
      </w:r>
      <w:r w:rsidRPr="003644F0">
        <w:rPr>
          <w:rFonts w:cs="Segoe UI Light"/>
          <w:sz w:val="18"/>
        </w:rPr>
        <w:t xml:space="preserve">the steps in the process map developed for development licence applications (standard application). It should be noted that not every step incurs a cost for every development licence application. For example, only some applications would end up going to VCAT review. </w:t>
      </w:r>
    </w:p>
    <w:p w14:paraId="656B17D7" w14:textId="77777777" w:rsidR="00BF4D06" w:rsidRPr="003644F0" w:rsidRDefault="00BF4D06" w:rsidP="00BF4D06">
      <w:pPr>
        <w:spacing w:after="0"/>
        <w:rPr>
          <w:rFonts w:cs="Segoe UI Light"/>
          <w:sz w:val="18"/>
        </w:rPr>
      </w:pPr>
    </w:p>
    <w:tbl>
      <w:tblPr>
        <w:tblStyle w:val="Deloittetable"/>
        <w:tblW w:w="5000" w:type="pct"/>
        <w:tblLook w:val="04A0" w:firstRow="1" w:lastRow="0" w:firstColumn="1" w:lastColumn="0" w:noHBand="0" w:noVBand="1"/>
      </w:tblPr>
      <w:tblGrid>
        <w:gridCol w:w="1858"/>
        <w:gridCol w:w="7497"/>
      </w:tblGrid>
      <w:tr w:rsidR="00BF4D06" w:rsidRPr="001F4A02" w14:paraId="656B17DA" w14:textId="77777777" w:rsidTr="008971D3">
        <w:trPr>
          <w:cnfStyle w:val="100000000000" w:firstRow="1" w:lastRow="0" w:firstColumn="0" w:lastColumn="0" w:oddVBand="0" w:evenVBand="0" w:oddHBand="0" w:evenHBand="0" w:firstRowFirstColumn="0" w:firstRowLastColumn="0" w:lastRowFirstColumn="0" w:lastRowLastColumn="0"/>
          <w:trHeight w:val="300"/>
        </w:trPr>
        <w:tc>
          <w:tcPr>
            <w:tcW w:w="993" w:type="pct"/>
            <w:vMerge w:val="restart"/>
            <w:hideMark/>
          </w:tcPr>
          <w:p w14:paraId="656B17D8"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Application planning</w:t>
            </w:r>
          </w:p>
        </w:tc>
        <w:tc>
          <w:tcPr>
            <w:tcW w:w="4007" w:type="pct"/>
            <w:hideMark/>
          </w:tcPr>
          <w:p w14:paraId="656B17D9"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Create development licence service order</w:t>
            </w:r>
          </w:p>
        </w:tc>
      </w:tr>
      <w:tr w:rsidR="00BF4D06" w:rsidRPr="001F4A02" w14:paraId="656B17DD" w14:textId="77777777" w:rsidTr="008971D3">
        <w:trPr>
          <w:trHeight w:val="300"/>
        </w:trPr>
        <w:tc>
          <w:tcPr>
            <w:tcW w:w="993" w:type="pct"/>
            <w:vMerge/>
            <w:hideMark/>
          </w:tcPr>
          <w:p w14:paraId="656B17DB"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7DC"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Review application</w:t>
            </w:r>
          </w:p>
        </w:tc>
      </w:tr>
      <w:tr w:rsidR="00BF4D06" w:rsidRPr="001F4A02" w14:paraId="656B17E0" w14:textId="77777777" w:rsidTr="008971D3">
        <w:trPr>
          <w:trHeight w:val="300"/>
        </w:trPr>
        <w:tc>
          <w:tcPr>
            <w:tcW w:w="993" w:type="pct"/>
            <w:vMerge/>
            <w:hideMark/>
          </w:tcPr>
          <w:p w14:paraId="656B17DE"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7DF" w14:textId="77777777" w:rsidR="00BF4D06" w:rsidRPr="003644F0" w:rsidRDefault="00BF4D06">
            <w:pPr>
              <w:spacing w:after="0" w:line="240" w:lineRule="auto"/>
              <w:rPr>
                <w:rFonts w:eastAsia="Times New Roman" w:cs="Segoe UI Light"/>
                <w:sz w:val="18"/>
                <w:lang w:eastAsia="en-AU"/>
              </w:rPr>
            </w:pPr>
            <w:r w:rsidRPr="003644F0">
              <w:rPr>
                <w:rFonts w:eastAsia="Times New Roman" w:cs="Segoe UI Light"/>
                <w:sz w:val="18"/>
                <w:lang w:eastAsia="en-AU"/>
              </w:rPr>
              <w:t>Contact the applicant and preparing for the meeting</w:t>
            </w:r>
          </w:p>
        </w:tc>
      </w:tr>
      <w:tr w:rsidR="00BF4D06" w:rsidRPr="001F4A02" w14:paraId="656B17E3" w14:textId="77777777" w:rsidTr="008971D3">
        <w:trPr>
          <w:trHeight w:val="300"/>
        </w:trPr>
        <w:tc>
          <w:tcPr>
            <w:tcW w:w="993" w:type="pct"/>
            <w:vMerge/>
            <w:hideMark/>
          </w:tcPr>
          <w:p w14:paraId="656B17E1"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7E2"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Conduct meeting and update application documents</w:t>
            </w:r>
          </w:p>
        </w:tc>
      </w:tr>
      <w:tr w:rsidR="00BF4D06" w:rsidRPr="001F4A02" w14:paraId="656B17E6" w14:textId="77777777" w:rsidTr="008971D3">
        <w:trPr>
          <w:trHeight w:val="300"/>
        </w:trPr>
        <w:tc>
          <w:tcPr>
            <w:tcW w:w="993" w:type="pct"/>
            <w:vMerge/>
            <w:hideMark/>
          </w:tcPr>
          <w:p w14:paraId="656B17E4"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7E5"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Receive and review draft application</w:t>
            </w:r>
          </w:p>
        </w:tc>
      </w:tr>
      <w:tr w:rsidR="00BF4D06" w:rsidRPr="001F4A02" w14:paraId="656B17E9" w14:textId="77777777" w:rsidTr="008971D3">
        <w:trPr>
          <w:trHeight w:val="256"/>
        </w:trPr>
        <w:tc>
          <w:tcPr>
            <w:tcW w:w="993" w:type="pct"/>
            <w:vMerge/>
            <w:hideMark/>
          </w:tcPr>
          <w:p w14:paraId="656B17E7"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7E8"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Review the environment/health harm assessment details</w:t>
            </w:r>
          </w:p>
        </w:tc>
      </w:tr>
      <w:tr w:rsidR="00BF4D06" w:rsidRPr="001F4A02" w14:paraId="656B17EC" w14:textId="77777777" w:rsidTr="008971D3">
        <w:trPr>
          <w:trHeight w:val="238"/>
        </w:trPr>
        <w:tc>
          <w:tcPr>
            <w:tcW w:w="993" w:type="pct"/>
            <w:vMerge/>
            <w:hideMark/>
          </w:tcPr>
          <w:p w14:paraId="656B17EA"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7EB"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Review the community/stakeholder impact/interest details</w:t>
            </w:r>
          </w:p>
        </w:tc>
      </w:tr>
      <w:tr w:rsidR="00BF4D06" w:rsidRPr="001F4A02" w14:paraId="656B17EF" w14:textId="77777777" w:rsidTr="008971D3">
        <w:trPr>
          <w:trHeight w:val="300"/>
        </w:trPr>
        <w:tc>
          <w:tcPr>
            <w:tcW w:w="993" w:type="pct"/>
            <w:vMerge/>
            <w:hideMark/>
          </w:tcPr>
          <w:p w14:paraId="656B17ED"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7EE"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Advise applicant to submit application and fees</w:t>
            </w:r>
          </w:p>
        </w:tc>
      </w:tr>
      <w:tr w:rsidR="00BF4D06" w:rsidRPr="001F4A02" w14:paraId="656B17F2" w14:textId="77777777" w:rsidTr="008971D3">
        <w:trPr>
          <w:trHeight w:val="300"/>
        </w:trPr>
        <w:tc>
          <w:tcPr>
            <w:tcW w:w="993" w:type="pct"/>
            <w:vMerge/>
            <w:hideMark/>
          </w:tcPr>
          <w:p w14:paraId="656B17F0"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7F1"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Process application fee</w:t>
            </w:r>
          </w:p>
        </w:tc>
      </w:tr>
      <w:tr w:rsidR="00BF4D06" w:rsidRPr="001F4A02" w14:paraId="656B17F5" w14:textId="77777777" w:rsidTr="008971D3">
        <w:trPr>
          <w:trHeight w:val="300"/>
        </w:trPr>
        <w:tc>
          <w:tcPr>
            <w:tcW w:w="993" w:type="pct"/>
            <w:vMerge/>
            <w:hideMark/>
          </w:tcPr>
          <w:p w14:paraId="656B17F3"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7F4"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Receive and formally accept the application</w:t>
            </w:r>
          </w:p>
        </w:tc>
      </w:tr>
      <w:tr w:rsidR="00BF4D06" w:rsidRPr="001F4A02" w14:paraId="656B17F8" w14:textId="77777777" w:rsidTr="008971D3">
        <w:trPr>
          <w:trHeight w:val="379"/>
        </w:trPr>
        <w:tc>
          <w:tcPr>
            <w:tcW w:w="993" w:type="pct"/>
            <w:vMerge/>
            <w:hideMark/>
          </w:tcPr>
          <w:p w14:paraId="656B17F6"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7F7"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Complete and review a works approval project plan template</w:t>
            </w:r>
          </w:p>
        </w:tc>
      </w:tr>
      <w:tr w:rsidR="00BF4D06" w:rsidRPr="001F4A02" w14:paraId="656B17FB" w14:textId="77777777" w:rsidTr="008971D3">
        <w:trPr>
          <w:trHeight w:val="300"/>
        </w:trPr>
        <w:tc>
          <w:tcPr>
            <w:tcW w:w="993" w:type="pct"/>
            <w:vMerge w:val="restart"/>
            <w:hideMark/>
          </w:tcPr>
          <w:p w14:paraId="656B17F9"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Assessment</w:t>
            </w:r>
          </w:p>
        </w:tc>
        <w:tc>
          <w:tcPr>
            <w:tcW w:w="4007" w:type="pct"/>
            <w:hideMark/>
          </w:tcPr>
          <w:p w14:paraId="656B17FA"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Referrals and assessment</w:t>
            </w:r>
          </w:p>
        </w:tc>
      </w:tr>
      <w:tr w:rsidR="00BF4D06" w:rsidRPr="001F4A02" w14:paraId="656B17FE" w14:textId="77777777" w:rsidTr="008971D3">
        <w:trPr>
          <w:trHeight w:val="300"/>
        </w:trPr>
        <w:tc>
          <w:tcPr>
            <w:tcW w:w="993" w:type="pct"/>
            <w:vMerge/>
            <w:hideMark/>
          </w:tcPr>
          <w:p w14:paraId="656B17FC"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7FD"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Internal referrals</w:t>
            </w:r>
          </w:p>
        </w:tc>
      </w:tr>
      <w:tr w:rsidR="00BF4D06" w:rsidRPr="001F4A02" w14:paraId="656B1801" w14:textId="77777777" w:rsidTr="008971D3">
        <w:trPr>
          <w:trHeight w:val="300"/>
        </w:trPr>
        <w:tc>
          <w:tcPr>
            <w:tcW w:w="993" w:type="pct"/>
            <w:vMerge/>
            <w:hideMark/>
          </w:tcPr>
          <w:p w14:paraId="656B17FF"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00"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External referrals &amp; advertising</w:t>
            </w:r>
          </w:p>
        </w:tc>
      </w:tr>
      <w:tr w:rsidR="00BF4D06" w:rsidRPr="001F4A02" w14:paraId="656B1804" w14:textId="77777777" w:rsidTr="008971D3">
        <w:trPr>
          <w:trHeight w:val="300"/>
        </w:trPr>
        <w:tc>
          <w:tcPr>
            <w:tcW w:w="993" w:type="pct"/>
            <w:vMerge/>
            <w:hideMark/>
          </w:tcPr>
          <w:p w14:paraId="656B1802"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03"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Upload formal application to EPA Portal</w:t>
            </w:r>
          </w:p>
        </w:tc>
      </w:tr>
      <w:tr w:rsidR="00BF4D06" w:rsidRPr="001F4A02" w14:paraId="656B1807" w14:textId="77777777" w:rsidTr="008971D3">
        <w:trPr>
          <w:trHeight w:val="300"/>
        </w:trPr>
        <w:tc>
          <w:tcPr>
            <w:tcW w:w="993" w:type="pct"/>
            <w:vMerge/>
            <w:hideMark/>
          </w:tcPr>
          <w:p w14:paraId="656B1805"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06"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Prepare &amp; send referral letters</w:t>
            </w:r>
          </w:p>
        </w:tc>
      </w:tr>
      <w:tr w:rsidR="00BF4D06" w:rsidRPr="001F4A02" w14:paraId="656B180A" w14:textId="77777777" w:rsidTr="008971D3">
        <w:trPr>
          <w:trHeight w:val="300"/>
        </w:trPr>
        <w:tc>
          <w:tcPr>
            <w:tcW w:w="993" w:type="pct"/>
            <w:vMerge/>
            <w:hideMark/>
          </w:tcPr>
          <w:p w14:paraId="656B1808"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09"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Develop and obtain consent for advertising content</w:t>
            </w:r>
          </w:p>
        </w:tc>
      </w:tr>
      <w:tr w:rsidR="00BF4D06" w:rsidRPr="001F4A02" w14:paraId="656B180D" w14:textId="77777777" w:rsidTr="008971D3">
        <w:trPr>
          <w:trHeight w:val="300"/>
        </w:trPr>
        <w:tc>
          <w:tcPr>
            <w:tcW w:w="993" w:type="pct"/>
            <w:vMerge/>
            <w:hideMark/>
          </w:tcPr>
          <w:p w14:paraId="656B180B"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0C"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Placing an advertisement in a publication</w:t>
            </w:r>
          </w:p>
        </w:tc>
      </w:tr>
      <w:tr w:rsidR="00BF4D06" w:rsidRPr="001F4A02" w14:paraId="656B1810" w14:textId="77777777" w:rsidTr="008971D3">
        <w:trPr>
          <w:trHeight w:val="300"/>
        </w:trPr>
        <w:tc>
          <w:tcPr>
            <w:tcW w:w="993" w:type="pct"/>
            <w:vMerge/>
            <w:hideMark/>
          </w:tcPr>
          <w:p w14:paraId="656B180E"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0F"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Receive and review public comments</w:t>
            </w:r>
          </w:p>
        </w:tc>
      </w:tr>
      <w:tr w:rsidR="00BF4D06" w:rsidRPr="001F4A02" w14:paraId="656B1813" w14:textId="77777777" w:rsidTr="008971D3">
        <w:trPr>
          <w:trHeight w:val="300"/>
        </w:trPr>
        <w:tc>
          <w:tcPr>
            <w:tcW w:w="993" w:type="pct"/>
            <w:vMerge/>
            <w:hideMark/>
          </w:tcPr>
          <w:p w14:paraId="656B1811"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12"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20B conference requirement details</w:t>
            </w:r>
          </w:p>
        </w:tc>
      </w:tr>
      <w:tr w:rsidR="00BF4D06" w:rsidRPr="001F4A02" w14:paraId="656B1816" w14:textId="77777777" w:rsidTr="008971D3">
        <w:trPr>
          <w:trHeight w:val="392"/>
        </w:trPr>
        <w:tc>
          <w:tcPr>
            <w:tcW w:w="993" w:type="pct"/>
            <w:vMerge/>
            <w:hideMark/>
          </w:tcPr>
          <w:p w14:paraId="656B1814"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15"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Requesting further information (s22 notice &amp; 67A time waiver)</w:t>
            </w:r>
          </w:p>
        </w:tc>
      </w:tr>
      <w:tr w:rsidR="00BF4D06" w:rsidRPr="001F4A02" w14:paraId="656B1819" w14:textId="77777777" w:rsidTr="008971D3">
        <w:trPr>
          <w:trHeight w:val="300"/>
        </w:trPr>
        <w:tc>
          <w:tcPr>
            <w:tcW w:w="993" w:type="pct"/>
            <w:vMerge/>
            <w:hideMark/>
          </w:tcPr>
          <w:p w14:paraId="656B1817"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18"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Writing the assessment report</w:t>
            </w:r>
          </w:p>
        </w:tc>
      </w:tr>
      <w:tr w:rsidR="00BF4D06" w:rsidRPr="001F4A02" w14:paraId="656B181C" w14:textId="77777777" w:rsidTr="008971D3">
        <w:trPr>
          <w:trHeight w:val="300"/>
        </w:trPr>
        <w:tc>
          <w:tcPr>
            <w:tcW w:w="993" w:type="pct"/>
            <w:vMerge/>
            <w:hideMark/>
          </w:tcPr>
          <w:p w14:paraId="656B181A"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1B"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Identify the impacts of the application</w:t>
            </w:r>
          </w:p>
        </w:tc>
      </w:tr>
      <w:tr w:rsidR="00BF4D06" w:rsidRPr="001F4A02" w14:paraId="656B181F" w14:textId="77777777" w:rsidTr="008971D3">
        <w:trPr>
          <w:trHeight w:val="300"/>
        </w:trPr>
        <w:tc>
          <w:tcPr>
            <w:tcW w:w="993" w:type="pct"/>
            <w:vMerge/>
            <w:hideMark/>
          </w:tcPr>
          <w:p w14:paraId="656B181D"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1E"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Identify standards that apply to the application</w:t>
            </w:r>
          </w:p>
        </w:tc>
      </w:tr>
      <w:tr w:rsidR="00BF4D06" w:rsidRPr="001F4A02" w14:paraId="656B1822" w14:textId="77777777" w:rsidTr="008971D3">
        <w:trPr>
          <w:trHeight w:val="300"/>
        </w:trPr>
        <w:tc>
          <w:tcPr>
            <w:tcW w:w="993" w:type="pct"/>
            <w:vMerge/>
            <w:hideMark/>
          </w:tcPr>
          <w:p w14:paraId="656B1820"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21"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Assess the estimated impacts against standards</w:t>
            </w:r>
          </w:p>
        </w:tc>
      </w:tr>
      <w:tr w:rsidR="00BF4D06" w:rsidRPr="001F4A02" w14:paraId="656B1825" w14:textId="77777777" w:rsidTr="008971D3">
        <w:trPr>
          <w:trHeight w:val="300"/>
        </w:trPr>
        <w:tc>
          <w:tcPr>
            <w:tcW w:w="993" w:type="pct"/>
            <w:vMerge/>
            <w:hideMark/>
          </w:tcPr>
          <w:p w14:paraId="656B1823"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24"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Write a works approval assessment report</w:t>
            </w:r>
          </w:p>
        </w:tc>
      </w:tr>
      <w:tr w:rsidR="00BF4D06" w:rsidRPr="001F4A02" w14:paraId="656B1828" w14:textId="77777777" w:rsidTr="008971D3">
        <w:trPr>
          <w:trHeight w:val="316"/>
        </w:trPr>
        <w:tc>
          <w:tcPr>
            <w:tcW w:w="993" w:type="pct"/>
            <w:vMerge/>
            <w:hideMark/>
          </w:tcPr>
          <w:p w14:paraId="656B1826"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27"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Provide recommendations and draft WA statutory document</w:t>
            </w:r>
          </w:p>
        </w:tc>
      </w:tr>
      <w:tr w:rsidR="00BF4D06" w:rsidRPr="001F4A02" w14:paraId="656B182B" w14:textId="77777777" w:rsidTr="008971D3">
        <w:trPr>
          <w:trHeight w:val="446"/>
        </w:trPr>
        <w:tc>
          <w:tcPr>
            <w:tcW w:w="993" w:type="pct"/>
            <w:vMerge/>
            <w:hideMark/>
          </w:tcPr>
          <w:p w14:paraId="656B1829"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2A"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Complete draft works approval assessment report and works approval, send for legal review</w:t>
            </w:r>
          </w:p>
        </w:tc>
      </w:tr>
      <w:tr w:rsidR="00BF4D06" w:rsidRPr="001F4A02" w14:paraId="656B182E" w14:textId="77777777" w:rsidTr="008971D3">
        <w:trPr>
          <w:trHeight w:val="300"/>
        </w:trPr>
        <w:tc>
          <w:tcPr>
            <w:tcW w:w="993" w:type="pct"/>
            <w:vMerge/>
            <w:hideMark/>
          </w:tcPr>
          <w:p w14:paraId="656B182C"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2D"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Send for peer review</w:t>
            </w:r>
          </w:p>
        </w:tc>
      </w:tr>
      <w:tr w:rsidR="00BF4D06" w:rsidRPr="001F4A02" w14:paraId="656B1831" w14:textId="77777777" w:rsidTr="008971D3">
        <w:trPr>
          <w:trHeight w:val="282"/>
        </w:trPr>
        <w:tc>
          <w:tcPr>
            <w:tcW w:w="993" w:type="pct"/>
            <w:vMerge/>
            <w:hideMark/>
          </w:tcPr>
          <w:p w14:paraId="656B182F"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30"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Receive feedback and update draft works approval assessment report</w:t>
            </w:r>
          </w:p>
        </w:tc>
      </w:tr>
      <w:tr w:rsidR="00BF4D06" w:rsidRPr="001F4A02" w14:paraId="656B1834" w14:textId="77777777" w:rsidTr="008971D3">
        <w:trPr>
          <w:trHeight w:val="300"/>
        </w:trPr>
        <w:tc>
          <w:tcPr>
            <w:tcW w:w="993" w:type="pct"/>
            <w:vMerge/>
            <w:hideMark/>
          </w:tcPr>
          <w:p w14:paraId="656B1832"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33"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Send to applicant for review of conditions</w:t>
            </w:r>
          </w:p>
        </w:tc>
      </w:tr>
      <w:tr w:rsidR="00BF4D06" w:rsidRPr="001F4A02" w14:paraId="656B1837" w14:textId="77777777" w:rsidTr="008971D3">
        <w:trPr>
          <w:trHeight w:val="334"/>
        </w:trPr>
        <w:tc>
          <w:tcPr>
            <w:tcW w:w="993" w:type="pct"/>
            <w:vMerge/>
            <w:hideMark/>
          </w:tcPr>
          <w:p w14:paraId="656B1835"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36"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Receive feedback and finalise draft works approval assessment report</w:t>
            </w:r>
          </w:p>
        </w:tc>
      </w:tr>
      <w:tr w:rsidR="00BF4D06" w:rsidRPr="001F4A02" w14:paraId="656B183A" w14:textId="77777777" w:rsidTr="008971D3">
        <w:trPr>
          <w:trHeight w:val="300"/>
        </w:trPr>
        <w:tc>
          <w:tcPr>
            <w:tcW w:w="993" w:type="pct"/>
            <w:hideMark/>
          </w:tcPr>
          <w:p w14:paraId="656B1838"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Decision</w:t>
            </w:r>
          </w:p>
        </w:tc>
        <w:tc>
          <w:tcPr>
            <w:tcW w:w="4007" w:type="pct"/>
            <w:hideMark/>
          </w:tcPr>
          <w:p w14:paraId="656B1839"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Decision</w:t>
            </w:r>
          </w:p>
        </w:tc>
      </w:tr>
      <w:tr w:rsidR="00BF4D06" w:rsidRPr="001F4A02" w14:paraId="656B183D" w14:textId="77777777" w:rsidTr="008971D3">
        <w:trPr>
          <w:trHeight w:val="300"/>
        </w:trPr>
        <w:tc>
          <w:tcPr>
            <w:tcW w:w="993" w:type="pct"/>
            <w:vMerge w:val="restart"/>
            <w:hideMark/>
          </w:tcPr>
          <w:p w14:paraId="656B183B"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Post decision</w:t>
            </w:r>
          </w:p>
        </w:tc>
        <w:tc>
          <w:tcPr>
            <w:tcW w:w="4007" w:type="pct"/>
            <w:hideMark/>
          </w:tcPr>
          <w:p w14:paraId="656B183C"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Media and communications</w:t>
            </w:r>
          </w:p>
        </w:tc>
      </w:tr>
      <w:tr w:rsidR="00BF4D06" w:rsidRPr="001F4A02" w14:paraId="656B1840" w14:textId="77777777" w:rsidTr="008971D3">
        <w:trPr>
          <w:trHeight w:val="300"/>
        </w:trPr>
        <w:tc>
          <w:tcPr>
            <w:tcW w:w="993" w:type="pct"/>
            <w:vMerge/>
            <w:hideMark/>
          </w:tcPr>
          <w:p w14:paraId="656B183E"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3F"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Prepare for communication of decision</w:t>
            </w:r>
          </w:p>
        </w:tc>
      </w:tr>
      <w:tr w:rsidR="00BF4D06" w:rsidRPr="001F4A02" w14:paraId="656B1843" w14:textId="77777777" w:rsidTr="008971D3">
        <w:trPr>
          <w:trHeight w:val="300"/>
        </w:trPr>
        <w:tc>
          <w:tcPr>
            <w:tcW w:w="993" w:type="pct"/>
            <w:vMerge/>
            <w:hideMark/>
          </w:tcPr>
          <w:p w14:paraId="656B1841"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42"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Notice of decision</w:t>
            </w:r>
          </w:p>
        </w:tc>
      </w:tr>
      <w:tr w:rsidR="00BF4D06" w:rsidRPr="001F4A02" w14:paraId="656B1846" w14:textId="77777777" w:rsidTr="008971D3">
        <w:trPr>
          <w:trHeight w:val="300"/>
        </w:trPr>
        <w:tc>
          <w:tcPr>
            <w:tcW w:w="993" w:type="pct"/>
            <w:vMerge/>
            <w:hideMark/>
          </w:tcPr>
          <w:p w14:paraId="656B1844"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45"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Publish to EPA</w:t>
            </w:r>
            <w:r w:rsidR="00247956">
              <w:rPr>
                <w:rFonts w:eastAsia="Times New Roman" w:cs="Segoe UI Light"/>
                <w:sz w:val="18"/>
                <w:lang w:eastAsia="en-AU"/>
              </w:rPr>
              <w:t>’s</w:t>
            </w:r>
            <w:r w:rsidRPr="003644F0">
              <w:rPr>
                <w:rFonts w:eastAsia="Times New Roman" w:cs="Segoe UI Light"/>
                <w:sz w:val="18"/>
                <w:lang w:eastAsia="en-AU"/>
              </w:rPr>
              <w:t xml:space="preserve"> website</w:t>
            </w:r>
          </w:p>
        </w:tc>
      </w:tr>
      <w:tr w:rsidR="00BF4D06" w:rsidRPr="001F4A02" w14:paraId="656B1849" w14:textId="77777777" w:rsidTr="008971D3">
        <w:trPr>
          <w:trHeight w:val="300"/>
        </w:trPr>
        <w:tc>
          <w:tcPr>
            <w:tcW w:w="993" w:type="pct"/>
            <w:vMerge/>
            <w:hideMark/>
          </w:tcPr>
          <w:p w14:paraId="656B1847"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48"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Media release</w:t>
            </w:r>
          </w:p>
        </w:tc>
      </w:tr>
      <w:tr w:rsidR="00BF4D06" w:rsidRPr="001F4A02" w14:paraId="656B184C" w14:textId="77777777" w:rsidTr="008971D3">
        <w:trPr>
          <w:trHeight w:val="300"/>
        </w:trPr>
        <w:tc>
          <w:tcPr>
            <w:tcW w:w="993" w:type="pct"/>
            <w:vMerge/>
            <w:hideMark/>
          </w:tcPr>
          <w:p w14:paraId="656B184A"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4B"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Response to community concern</w:t>
            </w:r>
          </w:p>
        </w:tc>
      </w:tr>
      <w:tr w:rsidR="00BF4D06" w:rsidRPr="001F4A02" w14:paraId="656B184F" w14:textId="77777777" w:rsidTr="008971D3">
        <w:trPr>
          <w:trHeight w:val="300"/>
        </w:trPr>
        <w:tc>
          <w:tcPr>
            <w:tcW w:w="993" w:type="pct"/>
            <w:vMerge/>
            <w:hideMark/>
          </w:tcPr>
          <w:p w14:paraId="656B184D"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4E"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Community mail out</w:t>
            </w:r>
          </w:p>
        </w:tc>
      </w:tr>
      <w:tr w:rsidR="00BF4D06" w:rsidRPr="001F4A02" w14:paraId="656B1852" w14:textId="77777777" w:rsidTr="008971D3">
        <w:trPr>
          <w:trHeight w:val="300"/>
        </w:trPr>
        <w:tc>
          <w:tcPr>
            <w:tcW w:w="993" w:type="pct"/>
            <w:vMerge/>
            <w:hideMark/>
          </w:tcPr>
          <w:p w14:paraId="656B1850"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51"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Update the webpage</w:t>
            </w:r>
          </w:p>
        </w:tc>
      </w:tr>
      <w:tr w:rsidR="00BF4D06" w:rsidRPr="001F4A02" w14:paraId="656B1855" w14:textId="77777777" w:rsidTr="008971D3">
        <w:trPr>
          <w:trHeight w:val="300"/>
        </w:trPr>
        <w:tc>
          <w:tcPr>
            <w:tcW w:w="993" w:type="pct"/>
            <w:vMerge/>
            <w:hideMark/>
          </w:tcPr>
          <w:p w14:paraId="656B1853"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54"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Closing dedicated webpages</w:t>
            </w:r>
          </w:p>
        </w:tc>
      </w:tr>
      <w:tr w:rsidR="00BF4D06" w:rsidRPr="001F4A02" w14:paraId="656B1858" w14:textId="77777777" w:rsidTr="008971D3">
        <w:trPr>
          <w:trHeight w:val="300"/>
        </w:trPr>
        <w:tc>
          <w:tcPr>
            <w:tcW w:w="993" w:type="pct"/>
            <w:vMerge/>
            <w:hideMark/>
          </w:tcPr>
          <w:p w14:paraId="656B1856"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57"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VCAT review period</w:t>
            </w:r>
          </w:p>
        </w:tc>
      </w:tr>
      <w:tr w:rsidR="00BF4D06" w:rsidRPr="001F4A02" w14:paraId="656B185B" w14:textId="77777777" w:rsidTr="008971D3">
        <w:trPr>
          <w:trHeight w:val="300"/>
        </w:trPr>
        <w:tc>
          <w:tcPr>
            <w:tcW w:w="993" w:type="pct"/>
            <w:vMerge/>
            <w:hideMark/>
          </w:tcPr>
          <w:p w14:paraId="656B1859"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5A"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Pre-hearing actions</w:t>
            </w:r>
          </w:p>
        </w:tc>
      </w:tr>
      <w:tr w:rsidR="00BF4D06" w:rsidRPr="001F4A02" w14:paraId="656B185E" w14:textId="77777777" w:rsidTr="008971D3">
        <w:trPr>
          <w:trHeight w:val="300"/>
        </w:trPr>
        <w:tc>
          <w:tcPr>
            <w:tcW w:w="993" w:type="pct"/>
            <w:vMerge/>
            <w:hideMark/>
          </w:tcPr>
          <w:p w14:paraId="656B185C"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5D"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VCAT hearing actions</w:t>
            </w:r>
          </w:p>
        </w:tc>
      </w:tr>
      <w:tr w:rsidR="00BF4D06" w:rsidRPr="001F4A02" w14:paraId="656B1861" w14:textId="77777777" w:rsidTr="008971D3">
        <w:trPr>
          <w:trHeight w:val="300"/>
        </w:trPr>
        <w:tc>
          <w:tcPr>
            <w:tcW w:w="993" w:type="pct"/>
            <w:vMerge/>
            <w:hideMark/>
          </w:tcPr>
          <w:p w14:paraId="656B185F"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60"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Post</w:t>
            </w:r>
            <w:r w:rsidR="00576195">
              <w:rPr>
                <w:rFonts w:eastAsia="Times New Roman" w:cs="Segoe UI Light"/>
                <w:sz w:val="18"/>
                <w:lang w:eastAsia="en-AU"/>
              </w:rPr>
              <w:t>-</w:t>
            </w:r>
            <w:r w:rsidRPr="003644F0">
              <w:rPr>
                <w:rFonts w:eastAsia="Times New Roman" w:cs="Segoe UI Light"/>
                <w:sz w:val="18"/>
                <w:lang w:eastAsia="en-AU"/>
              </w:rPr>
              <w:t>VCAT hearing actions</w:t>
            </w:r>
          </w:p>
        </w:tc>
      </w:tr>
      <w:tr w:rsidR="00BF4D06" w:rsidRPr="001F4A02" w14:paraId="656B1864" w14:textId="77777777" w:rsidTr="008971D3">
        <w:trPr>
          <w:trHeight w:val="300"/>
        </w:trPr>
        <w:tc>
          <w:tcPr>
            <w:tcW w:w="993" w:type="pct"/>
            <w:vMerge/>
            <w:hideMark/>
          </w:tcPr>
          <w:p w14:paraId="656B1862"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63"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Recording post processing activities</w:t>
            </w:r>
          </w:p>
        </w:tc>
      </w:tr>
      <w:tr w:rsidR="00BF4D06" w:rsidRPr="001F4A02" w14:paraId="656B1867" w14:textId="77777777" w:rsidTr="008971D3">
        <w:trPr>
          <w:trHeight w:val="300"/>
        </w:trPr>
        <w:tc>
          <w:tcPr>
            <w:tcW w:w="993" w:type="pct"/>
            <w:vMerge/>
            <w:hideMark/>
          </w:tcPr>
          <w:p w14:paraId="656B1865"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66"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Completion strategy</w:t>
            </w:r>
          </w:p>
        </w:tc>
      </w:tr>
      <w:tr w:rsidR="00BF4D06" w:rsidRPr="001F4A02" w14:paraId="656B186A" w14:textId="77777777" w:rsidTr="008971D3">
        <w:trPr>
          <w:trHeight w:val="300"/>
        </w:trPr>
        <w:tc>
          <w:tcPr>
            <w:tcW w:w="993" w:type="pct"/>
            <w:vMerge/>
            <w:hideMark/>
          </w:tcPr>
          <w:p w14:paraId="656B1868"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69"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Recording dates in IBIS</w:t>
            </w:r>
          </w:p>
        </w:tc>
      </w:tr>
      <w:tr w:rsidR="00BF4D06" w:rsidRPr="001F4A02" w14:paraId="656B186D" w14:textId="77777777" w:rsidTr="008971D3">
        <w:trPr>
          <w:trHeight w:val="300"/>
        </w:trPr>
        <w:tc>
          <w:tcPr>
            <w:tcW w:w="993" w:type="pct"/>
            <w:vMerge/>
            <w:hideMark/>
          </w:tcPr>
          <w:p w14:paraId="656B186B"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6C"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Completion of development licence inspection</w:t>
            </w:r>
          </w:p>
        </w:tc>
      </w:tr>
      <w:tr w:rsidR="00BF4D06" w:rsidRPr="001F4A02" w14:paraId="656B1870" w14:textId="77777777" w:rsidTr="008971D3">
        <w:trPr>
          <w:trHeight w:val="312"/>
        </w:trPr>
        <w:tc>
          <w:tcPr>
            <w:tcW w:w="993" w:type="pct"/>
            <w:vMerge/>
            <w:hideMark/>
          </w:tcPr>
          <w:p w14:paraId="656B186E" w14:textId="77777777" w:rsidR="00BF4D06" w:rsidRPr="003644F0" w:rsidRDefault="00BF4D06" w:rsidP="008971D3">
            <w:pPr>
              <w:spacing w:after="0" w:line="240" w:lineRule="auto"/>
              <w:rPr>
                <w:rFonts w:eastAsia="Times New Roman" w:cs="Segoe UI Light"/>
                <w:sz w:val="18"/>
                <w:lang w:eastAsia="en-AU"/>
              </w:rPr>
            </w:pPr>
          </w:p>
        </w:tc>
        <w:tc>
          <w:tcPr>
            <w:tcW w:w="4007" w:type="pct"/>
            <w:hideMark/>
          </w:tcPr>
          <w:p w14:paraId="656B186F" w14:textId="77777777" w:rsidR="00BF4D06" w:rsidRPr="003644F0" w:rsidRDefault="00BF4D06" w:rsidP="00BF4D06">
            <w:pPr>
              <w:pStyle w:val="ListParagraph"/>
              <w:numPr>
                <w:ilvl w:val="2"/>
                <w:numId w:val="20"/>
              </w:numPr>
              <w:spacing w:after="0" w:line="240" w:lineRule="auto"/>
              <w:rPr>
                <w:rFonts w:eastAsia="Times New Roman" w:cs="Segoe UI Light"/>
                <w:sz w:val="18"/>
                <w:lang w:eastAsia="en-AU"/>
              </w:rPr>
            </w:pPr>
            <w:r w:rsidRPr="003644F0">
              <w:rPr>
                <w:rFonts w:eastAsia="Times New Roman" w:cs="Segoe UI Light"/>
                <w:sz w:val="18"/>
                <w:lang w:eastAsia="en-AU"/>
              </w:rPr>
              <w:t>Commissioning</w:t>
            </w:r>
          </w:p>
        </w:tc>
      </w:tr>
      <w:tr w:rsidR="00BF4D06" w:rsidRPr="001F4A02" w14:paraId="656B1873" w14:textId="77777777" w:rsidTr="008971D3">
        <w:trPr>
          <w:trHeight w:val="300"/>
        </w:trPr>
        <w:tc>
          <w:tcPr>
            <w:tcW w:w="993" w:type="pct"/>
            <w:hideMark/>
          </w:tcPr>
          <w:p w14:paraId="656B1871"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General peer review</w:t>
            </w:r>
          </w:p>
        </w:tc>
        <w:tc>
          <w:tcPr>
            <w:tcW w:w="4007" w:type="pct"/>
            <w:hideMark/>
          </w:tcPr>
          <w:p w14:paraId="656B1872" w14:textId="77777777" w:rsidR="00BF4D06" w:rsidRPr="003644F0" w:rsidRDefault="00BF4D06" w:rsidP="008971D3">
            <w:pPr>
              <w:spacing w:after="0" w:line="240" w:lineRule="auto"/>
              <w:rPr>
                <w:rFonts w:eastAsia="Times New Roman" w:cs="Segoe UI Light"/>
                <w:sz w:val="18"/>
                <w:lang w:eastAsia="en-AU"/>
              </w:rPr>
            </w:pPr>
            <w:r w:rsidRPr="003644F0">
              <w:rPr>
                <w:rFonts w:eastAsia="Times New Roman" w:cs="Segoe UI Light"/>
                <w:sz w:val="18"/>
                <w:lang w:eastAsia="en-AU"/>
              </w:rPr>
              <w:t>General peer review across all steps</w:t>
            </w:r>
          </w:p>
        </w:tc>
      </w:tr>
    </w:tbl>
    <w:p w14:paraId="656B1874" w14:textId="77777777" w:rsidR="00BF4D06" w:rsidRDefault="00BF4D06" w:rsidP="00BF4D06">
      <w:pPr>
        <w:sectPr w:rsidR="00BF4D06" w:rsidSect="0081263E">
          <w:headerReference w:type="even" r:id="rId87"/>
          <w:headerReference w:type="default" r:id="rId88"/>
          <w:footerReference w:type="even" r:id="rId89"/>
          <w:footerReference w:type="default" r:id="rId90"/>
          <w:headerReference w:type="first" r:id="rId91"/>
          <w:footerReference w:type="first" r:id="rId92"/>
          <w:pgSz w:w="11906" w:h="16838" w:code="9"/>
          <w:pgMar w:top="1985" w:right="1700" w:bottom="1134" w:left="851" w:header="680" w:footer="425" w:gutter="0"/>
          <w:cols w:space="284"/>
          <w:titlePg/>
          <w:docGrid w:linePitch="360"/>
        </w:sectPr>
      </w:pPr>
    </w:p>
    <w:p w14:paraId="656B1875" w14:textId="77777777" w:rsidR="00BF4D06" w:rsidRDefault="00BF4D06" w:rsidP="00A07276">
      <w:pPr>
        <w:pStyle w:val="Heading1un-numbered"/>
        <w:keepLines w:val="0"/>
      </w:pPr>
      <w:bookmarkStart w:id="2044" w:name="_Toc10018351"/>
      <w:bookmarkStart w:id="2045" w:name="_Toc10021457"/>
      <w:bookmarkStart w:id="2046" w:name="_Toc10021871"/>
      <w:bookmarkStart w:id="2047" w:name="_Toc12892355"/>
      <w:r>
        <w:t xml:space="preserve">Appendix </w:t>
      </w:r>
      <w:r w:rsidR="005F58DF">
        <w:t>7</w:t>
      </w:r>
      <w:r>
        <w:t xml:space="preserve"> – List of fees</w:t>
      </w:r>
      <w:bookmarkEnd w:id="2044"/>
      <w:bookmarkEnd w:id="2045"/>
      <w:bookmarkEnd w:id="2046"/>
      <w:bookmarkEnd w:id="2047"/>
    </w:p>
    <w:tbl>
      <w:tblPr>
        <w:tblStyle w:val="Deloittetable2"/>
        <w:tblW w:w="5115" w:type="pct"/>
        <w:tblLayout w:type="fixed"/>
        <w:tblLook w:val="04A0" w:firstRow="1" w:lastRow="0" w:firstColumn="1" w:lastColumn="0" w:noHBand="0" w:noVBand="1"/>
      </w:tblPr>
      <w:tblGrid>
        <w:gridCol w:w="1434"/>
        <w:gridCol w:w="1179"/>
        <w:gridCol w:w="1156"/>
        <w:gridCol w:w="772"/>
        <w:gridCol w:w="1092"/>
        <w:gridCol w:w="977"/>
        <w:gridCol w:w="1044"/>
        <w:gridCol w:w="2394"/>
        <w:gridCol w:w="1151"/>
        <w:gridCol w:w="991"/>
        <w:gridCol w:w="851"/>
        <w:gridCol w:w="994"/>
      </w:tblGrid>
      <w:tr w:rsidR="005C0531" w:rsidRPr="00A648FA" w14:paraId="656B1885" w14:textId="77777777" w:rsidTr="00A86267">
        <w:trPr>
          <w:cnfStyle w:val="100000000000" w:firstRow="1" w:lastRow="0" w:firstColumn="0" w:lastColumn="0" w:oddVBand="0" w:evenVBand="0" w:oddHBand="0" w:evenHBand="0" w:firstRowFirstColumn="0" w:firstRowLastColumn="0" w:lastRowFirstColumn="0" w:lastRowLastColumn="0"/>
          <w:trHeight w:val="1084"/>
          <w:tblHeader/>
        </w:trPr>
        <w:tc>
          <w:tcPr>
            <w:tcW w:w="511" w:type="pct"/>
          </w:tcPr>
          <w:p w14:paraId="656B1876" w14:textId="77777777" w:rsidR="00AA7ACF" w:rsidRPr="00CB51FF" w:rsidRDefault="00AA7ACF" w:rsidP="00A673DF">
            <w:pPr>
              <w:spacing w:after="0"/>
              <w:rPr>
                <w:rFonts w:cs="Segoe UI Light"/>
                <w:b/>
                <w:color w:val="62B5E5" w:themeColor="accent3"/>
                <w:sz w:val="18"/>
              </w:rPr>
            </w:pPr>
            <w:r w:rsidRPr="00CB51FF">
              <w:rPr>
                <w:rFonts w:cs="Segoe UI Light"/>
                <w:b/>
                <w:color w:val="62B5E5" w:themeColor="accent3"/>
                <w:sz w:val="18"/>
              </w:rPr>
              <w:t>Type</w:t>
            </w:r>
          </w:p>
        </w:tc>
        <w:tc>
          <w:tcPr>
            <w:tcW w:w="420" w:type="pct"/>
          </w:tcPr>
          <w:p w14:paraId="656B1877" w14:textId="77777777" w:rsidR="00AA7ACF" w:rsidRPr="00CB51FF" w:rsidRDefault="00AA7ACF" w:rsidP="00A673DF">
            <w:pPr>
              <w:spacing w:after="0"/>
              <w:rPr>
                <w:rFonts w:cs="Segoe UI Light"/>
                <w:b/>
                <w:color w:val="62B5E5" w:themeColor="accent3"/>
                <w:sz w:val="18"/>
              </w:rPr>
            </w:pPr>
            <w:r w:rsidRPr="00CB51FF">
              <w:rPr>
                <w:rFonts w:cs="Segoe UI Light"/>
                <w:b/>
                <w:color w:val="62B5E5" w:themeColor="accent3"/>
                <w:sz w:val="18"/>
              </w:rPr>
              <w:t>Stage</w:t>
            </w:r>
          </w:p>
        </w:tc>
        <w:tc>
          <w:tcPr>
            <w:tcW w:w="412" w:type="pct"/>
          </w:tcPr>
          <w:p w14:paraId="656B1878" w14:textId="77777777" w:rsidR="00AA7ACF" w:rsidRPr="00CB51FF" w:rsidRDefault="00AA7ACF" w:rsidP="00A673DF">
            <w:pPr>
              <w:spacing w:after="0"/>
              <w:rPr>
                <w:rFonts w:cs="Segoe UI Light"/>
                <w:b/>
                <w:color w:val="62B5E5" w:themeColor="accent3"/>
                <w:sz w:val="18"/>
              </w:rPr>
            </w:pPr>
            <w:r w:rsidRPr="00CB51FF">
              <w:rPr>
                <w:rFonts w:cs="Segoe UI Light"/>
                <w:b/>
                <w:color w:val="62B5E5" w:themeColor="accent3"/>
                <w:sz w:val="18"/>
              </w:rPr>
              <w:t>Variation</w:t>
            </w:r>
          </w:p>
        </w:tc>
        <w:tc>
          <w:tcPr>
            <w:tcW w:w="275" w:type="pct"/>
          </w:tcPr>
          <w:p w14:paraId="656B1879" w14:textId="77777777" w:rsidR="00AA7ACF" w:rsidRPr="00CB51FF" w:rsidRDefault="00AA7ACF" w:rsidP="00A673DF">
            <w:pPr>
              <w:spacing w:after="0"/>
              <w:rPr>
                <w:rFonts w:cs="Segoe UI Light"/>
                <w:b/>
                <w:color w:val="62B5E5" w:themeColor="accent3"/>
                <w:sz w:val="18"/>
              </w:rPr>
            </w:pPr>
            <w:r w:rsidRPr="00CB51FF">
              <w:rPr>
                <w:rFonts w:cs="Segoe UI Light"/>
                <w:b/>
                <w:color w:val="62B5E5" w:themeColor="accent3"/>
                <w:sz w:val="18"/>
              </w:rPr>
              <w:t>Volume</w:t>
            </w:r>
          </w:p>
        </w:tc>
        <w:tc>
          <w:tcPr>
            <w:tcW w:w="389" w:type="pct"/>
          </w:tcPr>
          <w:p w14:paraId="656B187A" w14:textId="77777777" w:rsidR="00AA7ACF" w:rsidRPr="000D7D82" w:rsidRDefault="00AA7ACF" w:rsidP="00A673DF">
            <w:pPr>
              <w:spacing w:after="0"/>
              <w:rPr>
                <w:rFonts w:cs="Segoe UI Light"/>
                <w:b/>
                <w:color w:val="62B5E5" w:themeColor="accent3"/>
                <w:sz w:val="18"/>
              </w:rPr>
            </w:pPr>
            <w:r w:rsidRPr="000D7D82">
              <w:rPr>
                <w:rFonts w:cs="Segoe UI Light"/>
                <w:b/>
                <w:color w:val="62B5E5" w:themeColor="accent3"/>
                <w:sz w:val="18"/>
              </w:rPr>
              <w:t>Hours in admin.</w:t>
            </w:r>
          </w:p>
          <w:p w14:paraId="656B187B" w14:textId="77777777" w:rsidR="00AA7ACF" w:rsidRPr="000D7D82" w:rsidRDefault="00AA7ACF" w:rsidP="00A673DF">
            <w:pPr>
              <w:spacing w:after="0"/>
              <w:rPr>
                <w:rFonts w:cs="Segoe UI Light"/>
                <w:b/>
                <w:color w:val="62B5E5" w:themeColor="accent3"/>
                <w:sz w:val="18"/>
              </w:rPr>
            </w:pPr>
            <w:r w:rsidRPr="000D7D82">
              <w:rPr>
                <w:rFonts w:cs="Segoe UI Light"/>
                <w:b/>
                <w:color w:val="62B5E5" w:themeColor="accent3"/>
                <w:sz w:val="18"/>
              </w:rPr>
              <w:t>time likely</w:t>
            </w:r>
          </w:p>
        </w:tc>
        <w:tc>
          <w:tcPr>
            <w:tcW w:w="348" w:type="pct"/>
          </w:tcPr>
          <w:p w14:paraId="656B187C" w14:textId="77777777" w:rsidR="00AA7ACF" w:rsidRPr="000D7D82" w:rsidRDefault="00AA7ACF" w:rsidP="00A673DF">
            <w:pPr>
              <w:spacing w:after="0"/>
              <w:rPr>
                <w:rFonts w:cs="Segoe UI Light"/>
                <w:b/>
                <w:color w:val="62B5E5" w:themeColor="accent3"/>
                <w:sz w:val="18"/>
              </w:rPr>
            </w:pPr>
            <w:r w:rsidRPr="000D7D82">
              <w:rPr>
                <w:rFonts w:cs="Segoe UI Light"/>
                <w:b/>
                <w:color w:val="62B5E5" w:themeColor="accent3"/>
                <w:sz w:val="18"/>
              </w:rPr>
              <w:t xml:space="preserve">Average cost </w:t>
            </w:r>
          </w:p>
        </w:tc>
        <w:tc>
          <w:tcPr>
            <w:tcW w:w="372" w:type="pct"/>
          </w:tcPr>
          <w:p w14:paraId="656B187D" w14:textId="77777777" w:rsidR="00AA7ACF" w:rsidRPr="000D7D82" w:rsidRDefault="00AA7ACF" w:rsidP="00A673DF">
            <w:pPr>
              <w:spacing w:after="0"/>
              <w:rPr>
                <w:rFonts w:cs="Segoe UI Light"/>
                <w:b/>
                <w:color w:val="62B5E5" w:themeColor="accent3"/>
                <w:sz w:val="18"/>
              </w:rPr>
            </w:pPr>
            <w:r w:rsidRPr="000D7D82">
              <w:rPr>
                <w:rFonts w:cs="Segoe UI Light"/>
                <w:b/>
                <w:color w:val="62B5E5" w:themeColor="accent3"/>
                <w:sz w:val="18"/>
              </w:rPr>
              <w:t xml:space="preserve"> Total cost </w:t>
            </w:r>
          </w:p>
        </w:tc>
        <w:tc>
          <w:tcPr>
            <w:tcW w:w="853" w:type="pct"/>
          </w:tcPr>
          <w:p w14:paraId="656B187E" w14:textId="77777777" w:rsidR="00AA7ACF" w:rsidRPr="000D7D82" w:rsidRDefault="00AA7ACF" w:rsidP="00A673DF">
            <w:pPr>
              <w:spacing w:after="0"/>
              <w:rPr>
                <w:rFonts w:cs="Segoe UI Light"/>
                <w:b/>
                <w:color w:val="62B5E5" w:themeColor="accent3"/>
                <w:sz w:val="18"/>
              </w:rPr>
            </w:pPr>
            <w:r w:rsidRPr="000D7D82">
              <w:rPr>
                <w:rFonts w:cs="Segoe UI Light"/>
                <w:b/>
                <w:color w:val="62B5E5" w:themeColor="accent3"/>
                <w:sz w:val="18"/>
              </w:rPr>
              <w:t>Proposed fee</w:t>
            </w:r>
          </w:p>
        </w:tc>
        <w:tc>
          <w:tcPr>
            <w:tcW w:w="410" w:type="pct"/>
          </w:tcPr>
          <w:p w14:paraId="656B187F" w14:textId="77777777" w:rsidR="00AA7ACF" w:rsidRPr="00CB51FF" w:rsidRDefault="00AA7ACF" w:rsidP="00A673DF">
            <w:pPr>
              <w:spacing w:after="0"/>
              <w:rPr>
                <w:rFonts w:cs="Segoe UI Light"/>
                <w:b/>
                <w:color w:val="62B5E5" w:themeColor="accent3"/>
                <w:sz w:val="18"/>
              </w:rPr>
            </w:pPr>
            <w:r w:rsidRPr="00CB51FF">
              <w:rPr>
                <w:rFonts w:cs="Segoe UI Light"/>
                <w:b/>
                <w:color w:val="62B5E5" w:themeColor="accent3"/>
                <w:sz w:val="18"/>
              </w:rPr>
              <w:t xml:space="preserve">Average fee </w:t>
            </w:r>
          </w:p>
        </w:tc>
        <w:tc>
          <w:tcPr>
            <w:tcW w:w="353" w:type="pct"/>
          </w:tcPr>
          <w:p w14:paraId="656B1880" w14:textId="77777777" w:rsidR="00AA7ACF" w:rsidRPr="00CB51FF" w:rsidRDefault="00AA7ACF" w:rsidP="00A673DF">
            <w:pPr>
              <w:spacing w:after="0"/>
              <w:rPr>
                <w:rFonts w:cs="Segoe UI Light"/>
                <w:b/>
                <w:color w:val="62B5E5" w:themeColor="accent3"/>
                <w:sz w:val="18"/>
              </w:rPr>
            </w:pPr>
            <w:r w:rsidRPr="00CB51FF">
              <w:rPr>
                <w:rFonts w:cs="Segoe UI Light"/>
                <w:b/>
                <w:color w:val="62B5E5" w:themeColor="accent3"/>
                <w:sz w:val="18"/>
              </w:rPr>
              <w:t xml:space="preserve"> Total fee revenue </w:t>
            </w:r>
          </w:p>
        </w:tc>
        <w:tc>
          <w:tcPr>
            <w:tcW w:w="303" w:type="pct"/>
          </w:tcPr>
          <w:p w14:paraId="656B1881" w14:textId="77777777" w:rsidR="00AA7ACF" w:rsidRDefault="00AA7ACF" w:rsidP="00A673DF">
            <w:pPr>
              <w:spacing w:after="0"/>
              <w:rPr>
                <w:rFonts w:cs="Segoe UI Light"/>
                <w:b/>
                <w:color w:val="62B5E5" w:themeColor="accent3"/>
                <w:sz w:val="18"/>
              </w:rPr>
            </w:pPr>
            <w:r w:rsidRPr="00CB51FF">
              <w:rPr>
                <w:rFonts w:cs="Segoe UI Light"/>
                <w:b/>
                <w:color w:val="62B5E5" w:themeColor="accent3"/>
                <w:sz w:val="18"/>
              </w:rPr>
              <w:t xml:space="preserve">Cost </w:t>
            </w:r>
          </w:p>
          <w:p w14:paraId="656B1882" w14:textId="77777777" w:rsidR="00AA7ACF" w:rsidRDefault="00AA7ACF" w:rsidP="00A673DF">
            <w:pPr>
              <w:spacing w:after="0"/>
              <w:rPr>
                <w:rFonts w:cs="Segoe UI Light"/>
                <w:b/>
                <w:color w:val="62B5E5" w:themeColor="accent3"/>
                <w:sz w:val="18"/>
              </w:rPr>
            </w:pPr>
            <w:r w:rsidRPr="00CB51FF">
              <w:rPr>
                <w:rFonts w:cs="Segoe UI Light"/>
                <w:b/>
                <w:color w:val="62B5E5" w:themeColor="accent3"/>
                <w:sz w:val="18"/>
              </w:rPr>
              <w:t xml:space="preserve">recovery </w:t>
            </w:r>
          </w:p>
          <w:p w14:paraId="656B1883" w14:textId="77777777" w:rsidR="00AA7ACF" w:rsidRPr="00CB51FF" w:rsidRDefault="00AA7ACF" w:rsidP="00A673DF">
            <w:pPr>
              <w:spacing w:after="0"/>
              <w:rPr>
                <w:rFonts w:cs="Segoe UI Light"/>
                <w:b/>
                <w:color w:val="62B5E5" w:themeColor="accent3"/>
                <w:sz w:val="18"/>
              </w:rPr>
            </w:pPr>
            <w:r w:rsidRPr="00CB51FF">
              <w:rPr>
                <w:rFonts w:cs="Segoe UI Light"/>
                <w:b/>
                <w:color w:val="62B5E5" w:themeColor="accent3"/>
                <w:sz w:val="18"/>
              </w:rPr>
              <w:t>%</w:t>
            </w:r>
          </w:p>
        </w:tc>
        <w:tc>
          <w:tcPr>
            <w:tcW w:w="354" w:type="pct"/>
          </w:tcPr>
          <w:p w14:paraId="656B1884" w14:textId="77777777" w:rsidR="00AA7ACF" w:rsidRPr="00E57755" w:rsidRDefault="00AA7ACF" w:rsidP="00A673DF">
            <w:pPr>
              <w:spacing w:after="0"/>
              <w:rPr>
                <w:rFonts w:cs="Segoe UI Light"/>
                <w:b/>
                <w:color w:val="62B5E5" w:themeColor="accent3"/>
                <w:sz w:val="18"/>
              </w:rPr>
            </w:pPr>
            <w:r w:rsidRPr="00E57755">
              <w:rPr>
                <w:rFonts w:cs="Segoe UI Light"/>
                <w:b/>
                <w:color w:val="62B5E5" w:themeColor="accent3"/>
                <w:sz w:val="18"/>
              </w:rPr>
              <w:t>Summary of change</w:t>
            </w:r>
          </w:p>
        </w:tc>
      </w:tr>
      <w:tr w:rsidR="005C0531" w:rsidRPr="00A648FA" w14:paraId="656B1892" w14:textId="77777777" w:rsidTr="00A86267">
        <w:trPr>
          <w:trHeight w:val="1056"/>
        </w:trPr>
        <w:tc>
          <w:tcPr>
            <w:tcW w:w="511" w:type="pct"/>
          </w:tcPr>
          <w:p w14:paraId="656B1886" w14:textId="77777777" w:rsidR="00AA7ACF" w:rsidRPr="00A07276" w:rsidRDefault="00AA7ACF" w:rsidP="00A673DF">
            <w:pPr>
              <w:spacing w:after="0"/>
              <w:rPr>
                <w:rFonts w:cs="Segoe UI Light"/>
                <w:sz w:val="18"/>
              </w:rPr>
            </w:pPr>
            <w:r w:rsidRPr="00CB51FF">
              <w:rPr>
                <w:rFonts w:cs="Segoe UI Light"/>
                <w:sz w:val="18"/>
              </w:rPr>
              <w:t>Development licence</w:t>
            </w:r>
          </w:p>
        </w:tc>
        <w:tc>
          <w:tcPr>
            <w:tcW w:w="420" w:type="pct"/>
          </w:tcPr>
          <w:p w14:paraId="656B1887" w14:textId="77777777" w:rsidR="00AA7ACF" w:rsidRPr="00A07276" w:rsidRDefault="00AA7ACF" w:rsidP="00A673DF">
            <w:pPr>
              <w:spacing w:after="0"/>
              <w:rPr>
                <w:rFonts w:cs="Segoe UI Light"/>
                <w:sz w:val="18"/>
              </w:rPr>
            </w:pPr>
            <w:r w:rsidRPr="00CB51FF">
              <w:rPr>
                <w:rFonts w:cs="Segoe UI Light"/>
                <w:sz w:val="18"/>
              </w:rPr>
              <w:t>Application</w:t>
            </w:r>
          </w:p>
        </w:tc>
        <w:tc>
          <w:tcPr>
            <w:tcW w:w="412" w:type="pct"/>
          </w:tcPr>
          <w:p w14:paraId="656B1888" w14:textId="77777777" w:rsidR="00AA7ACF" w:rsidRPr="00A07276" w:rsidRDefault="00AA7ACF" w:rsidP="00A673DF">
            <w:pPr>
              <w:spacing w:after="0"/>
              <w:rPr>
                <w:rFonts w:cs="Segoe UI Light"/>
                <w:sz w:val="18"/>
              </w:rPr>
            </w:pPr>
          </w:p>
        </w:tc>
        <w:tc>
          <w:tcPr>
            <w:tcW w:w="275" w:type="pct"/>
          </w:tcPr>
          <w:p w14:paraId="656B1889" w14:textId="77777777" w:rsidR="00AA7ACF" w:rsidRPr="00A07276" w:rsidRDefault="00AA7ACF" w:rsidP="00A673DF">
            <w:pPr>
              <w:spacing w:after="0"/>
              <w:rPr>
                <w:rFonts w:cs="Segoe UI Light"/>
                <w:sz w:val="18"/>
              </w:rPr>
            </w:pPr>
            <w:r w:rsidRPr="00CB51FF">
              <w:rPr>
                <w:rFonts w:cs="Segoe UI Light"/>
                <w:sz w:val="18"/>
              </w:rPr>
              <w:t>33</w:t>
            </w:r>
          </w:p>
        </w:tc>
        <w:tc>
          <w:tcPr>
            <w:tcW w:w="389" w:type="pct"/>
          </w:tcPr>
          <w:p w14:paraId="656B188A" w14:textId="1F0059CA" w:rsidR="00AA7ACF" w:rsidRPr="000D7D82" w:rsidRDefault="002A2DFB" w:rsidP="00A673DF">
            <w:pPr>
              <w:spacing w:after="0"/>
              <w:rPr>
                <w:rFonts w:cs="Segoe UI Light"/>
                <w:sz w:val="18"/>
              </w:rPr>
            </w:pPr>
            <w:r>
              <w:rPr>
                <w:rFonts w:cs="Segoe UI Light"/>
                <w:sz w:val="18"/>
              </w:rPr>
              <w:t>214.53</w:t>
            </w:r>
            <w:r w:rsidR="00AA7ACF" w:rsidRPr="000D7D82">
              <w:rPr>
                <w:rFonts w:cs="Segoe UI Light"/>
                <w:sz w:val="18"/>
              </w:rPr>
              <w:t>-</w:t>
            </w:r>
            <w:r>
              <w:rPr>
                <w:rFonts w:cs="Segoe UI Light"/>
                <w:sz w:val="18"/>
              </w:rPr>
              <w:t>1313.26</w:t>
            </w:r>
          </w:p>
        </w:tc>
        <w:tc>
          <w:tcPr>
            <w:tcW w:w="348" w:type="pct"/>
          </w:tcPr>
          <w:p w14:paraId="656B188B" w14:textId="48BD3A2E" w:rsidR="00AA7ACF" w:rsidRPr="000D7D82" w:rsidRDefault="00AA7ACF" w:rsidP="00AB2644">
            <w:pPr>
              <w:spacing w:after="0"/>
              <w:rPr>
                <w:rFonts w:cs="Segoe UI Light"/>
                <w:sz w:val="18"/>
              </w:rPr>
            </w:pPr>
            <w:r w:rsidRPr="000D7D82">
              <w:rPr>
                <w:rFonts w:cs="Segoe UI Light"/>
                <w:sz w:val="18"/>
              </w:rPr>
              <w:t>$</w:t>
            </w:r>
            <w:r w:rsidR="00AB2644" w:rsidRPr="000D7D82">
              <w:rPr>
                <w:rFonts w:cs="Segoe UI Light"/>
                <w:sz w:val="18"/>
              </w:rPr>
              <w:t>49,730.25</w:t>
            </w:r>
            <w:r w:rsidRPr="000D7D82">
              <w:rPr>
                <w:rFonts w:cs="Segoe UI Light"/>
                <w:sz w:val="18"/>
              </w:rPr>
              <w:t xml:space="preserve"> </w:t>
            </w:r>
          </w:p>
        </w:tc>
        <w:tc>
          <w:tcPr>
            <w:tcW w:w="372" w:type="pct"/>
          </w:tcPr>
          <w:p w14:paraId="656B188C" w14:textId="329DC9A0" w:rsidR="00AA7ACF" w:rsidRPr="000D7D82" w:rsidRDefault="00AA7ACF" w:rsidP="00AB2644">
            <w:pPr>
              <w:spacing w:after="0"/>
              <w:rPr>
                <w:rFonts w:cs="Segoe UI Light"/>
                <w:sz w:val="18"/>
              </w:rPr>
            </w:pPr>
            <w:r w:rsidRPr="000D7D82">
              <w:rPr>
                <w:rFonts w:cs="Segoe UI Light"/>
                <w:sz w:val="18"/>
              </w:rPr>
              <w:t xml:space="preserve"> $1,</w:t>
            </w:r>
            <w:r w:rsidR="00AB2644" w:rsidRPr="000D7D82">
              <w:rPr>
                <w:rFonts w:cs="Segoe UI Light"/>
                <w:sz w:val="18"/>
              </w:rPr>
              <w:t>641,098</w:t>
            </w:r>
            <w:r w:rsidR="00F40806">
              <w:rPr>
                <w:rFonts w:cs="Segoe UI Light"/>
                <w:sz w:val="18"/>
              </w:rPr>
              <w:t>.25</w:t>
            </w:r>
            <w:r w:rsidRPr="000D7D82">
              <w:rPr>
                <w:rFonts w:cs="Segoe UI Light"/>
                <w:sz w:val="18"/>
              </w:rPr>
              <w:t xml:space="preserve"> </w:t>
            </w:r>
          </w:p>
        </w:tc>
        <w:tc>
          <w:tcPr>
            <w:tcW w:w="853" w:type="pct"/>
          </w:tcPr>
          <w:p w14:paraId="656B188D" w14:textId="77777777" w:rsidR="00AA7ACF" w:rsidRPr="000D7D82" w:rsidRDefault="00AA7ACF" w:rsidP="00A673DF">
            <w:pPr>
              <w:spacing w:after="0"/>
              <w:rPr>
                <w:rFonts w:cs="Segoe UI Light"/>
                <w:sz w:val="18"/>
              </w:rPr>
            </w:pPr>
            <w:r w:rsidRPr="000D7D82">
              <w:rPr>
                <w:rFonts w:cs="Segoe UI Light"/>
                <w:sz w:val="18"/>
              </w:rPr>
              <w:t>Greater of 1% of the estimated cost or a minimum flat fee of 81.83 fee units (capped at 4500 fee units)</w:t>
            </w:r>
          </w:p>
        </w:tc>
        <w:tc>
          <w:tcPr>
            <w:tcW w:w="410" w:type="pct"/>
          </w:tcPr>
          <w:p w14:paraId="656B188E" w14:textId="6B815F3D" w:rsidR="00AA7ACF" w:rsidRPr="00A07276" w:rsidRDefault="00AA7ACF" w:rsidP="00A673DF">
            <w:pPr>
              <w:spacing w:after="0"/>
              <w:rPr>
                <w:rFonts w:cs="Segoe UI Light"/>
                <w:sz w:val="18"/>
              </w:rPr>
            </w:pPr>
            <w:r>
              <w:rPr>
                <w:rFonts w:cs="Segoe UI Light"/>
                <w:sz w:val="18"/>
              </w:rPr>
              <w:t xml:space="preserve"> </w:t>
            </w:r>
            <w:r w:rsidRPr="00CB51FF">
              <w:rPr>
                <w:rFonts w:cs="Segoe UI Light"/>
                <w:sz w:val="18"/>
              </w:rPr>
              <w:t>$18,400.</w:t>
            </w:r>
            <w:r w:rsidR="00F40806">
              <w:rPr>
                <w:rFonts w:cs="Segoe UI Light"/>
                <w:sz w:val="18"/>
              </w:rPr>
              <w:t>19</w:t>
            </w:r>
            <w:r w:rsidR="00F40806" w:rsidRPr="00CB51FF">
              <w:rPr>
                <w:rFonts w:cs="Segoe UI Light"/>
                <w:sz w:val="18"/>
              </w:rPr>
              <w:t xml:space="preserve"> </w:t>
            </w:r>
          </w:p>
        </w:tc>
        <w:tc>
          <w:tcPr>
            <w:tcW w:w="353" w:type="pct"/>
          </w:tcPr>
          <w:p w14:paraId="656B188F" w14:textId="3D5E6575" w:rsidR="00AA7ACF" w:rsidRPr="00A07276" w:rsidRDefault="00AA7ACF" w:rsidP="00A673DF">
            <w:pPr>
              <w:spacing w:after="0"/>
              <w:rPr>
                <w:rFonts w:cs="Segoe UI Light"/>
                <w:sz w:val="18"/>
              </w:rPr>
            </w:pPr>
            <w:r w:rsidRPr="00CB51FF">
              <w:rPr>
                <w:rFonts w:cs="Segoe UI Light"/>
                <w:sz w:val="18"/>
              </w:rPr>
              <w:t xml:space="preserve"> $607,209</w:t>
            </w:r>
            <w:r w:rsidR="00F40806">
              <w:rPr>
                <w:rFonts w:cs="Segoe UI Light"/>
                <w:sz w:val="18"/>
              </w:rPr>
              <w:t>.27</w:t>
            </w:r>
            <w:r w:rsidRPr="00CB51FF">
              <w:rPr>
                <w:rFonts w:cs="Segoe UI Light"/>
                <w:sz w:val="18"/>
              </w:rPr>
              <w:t xml:space="preserve"> </w:t>
            </w:r>
          </w:p>
        </w:tc>
        <w:tc>
          <w:tcPr>
            <w:tcW w:w="303" w:type="pct"/>
          </w:tcPr>
          <w:p w14:paraId="656B1890" w14:textId="77777777" w:rsidR="00AA7ACF" w:rsidRPr="00A07276" w:rsidRDefault="00AA7ACF" w:rsidP="00A673DF">
            <w:pPr>
              <w:spacing w:after="0"/>
              <w:rPr>
                <w:rFonts w:cs="Segoe UI Light"/>
                <w:sz w:val="18"/>
              </w:rPr>
            </w:pPr>
            <w:r w:rsidRPr="00CB51FF">
              <w:rPr>
                <w:rFonts w:cs="Segoe UI Light"/>
                <w:sz w:val="18"/>
              </w:rPr>
              <w:t>37%</w:t>
            </w:r>
          </w:p>
        </w:tc>
        <w:tc>
          <w:tcPr>
            <w:tcW w:w="354" w:type="pct"/>
          </w:tcPr>
          <w:p w14:paraId="656B1891" w14:textId="08A7BA5B" w:rsidR="00AA7ACF" w:rsidRPr="006B41FE" w:rsidRDefault="00AA7ACF" w:rsidP="006B41FE">
            <w:pPr>
              <w:spacing w:after="0" w:line="240" w:lineRule="auto"/>
              <w:rPr>
                <w:rFonts w:cs="Segoe UI Light"/>
                <w:sz w:val="16"/>
                <w:szCs w:val="16"/>
              </w:rPr>
            </w:pPr>
            <w:r w:rsidRPr="006B41FE">
              <w:rPr>
                <w:rFonts w:cs="Segoe UI Light"/>
                <w:sz w:val="16"/>
                <w:szCs w:val="16"/>
              </w:rPr>
              <w:t xml:space="preserve">Same design and fee level </w:t>
            </w:r>
          </w:p>
        </w:tc>
      </w:tr>
      <w:tr w:rsidR="005C0531" w:rsidRPr="00A648FA" w14:paraId="656B189F" w14:textId="77777777" w:rsidTr="00A86267">
        <w:trPr>
          <w:trHeight w:val="1168"/>
        </w:trPr>
        <w:tc>
          <w:tcPr>
            <w:tcW w:w="511" w:type="pct"/>
          </w:tcPr>
          <w:p w14:paraId="656B1893" w14:textId="77777777" w:rsidR="00AA7ACF" w:rsidRPr="00A07276" w:rsidRDefault="00AA7ACF" w:rsidP="00A673DF">
            <w:pPr>
              <w:spacing w:after="0"/>
              <w:rPr>
                <w:rFonts w:cs="Segoe UI Light"/>
                <w:sz w:val="18"/>
              </w:rPr>
            </w:pPr>
            <w:r w:rsidRPr="00CB51FF">
              <w:rPr>
                <w:rFonts w:cs="Segoe UI Light"/>
                <w:sz w:val="18"/>
              </w:rPr>
              <w:t>Development licence</w:t>
            </w:r>
          </w:p>
        </w:tc>
        <w:tc>
          <w:tcPr>
            <w:tcW w:w="420" w:type="pct"/>
          </w:tcPr>
          <w:p w14:paraId="656B1894" w14:textId="77777777" w:rsidR="00AA7ACF" w:rsidRPr="00A07276" w:rsidRDefault="00AA7ACF" w:rsidP="00A673DF">
            <w:pPr>
              <w:spacing w:after="0"/>
              <w:rPr>
                <w:rFonts w:cs="Segoe UI Light"/>
                <w:sz w:val="18"/>
              </w:rPr>
            </w:pPr>
            <w:r w:rsidRPr="00CB51FF">
              <w:rPr>
                <w:rFonts w:cs="Segoe UI Light"/>
                <w:sz w:val="18"/>
              </w:rPr>
              <w:t>Exemption</w:t>
            </w:r>
          </w:p>
        </w:tc>
        <w:tc>
          <w:tcPr>
            <w:tcW w:w="412" w:type="pct"/>
          </w:tcPr>
          <w:p w14:paraId="656B1895" w14:textId="77777777" w:rsidR="00AA7ACF" w:rsidRPr="00A07276" w:rsidRDefault="00AA7ACF" w:rsidP="00A673DF">
            <w:pPr>
              <w:spacing w:after="0"/>
              <w:rPr>
                <w:rFonts w:cs="Segoe UI Light"/>
                <w:sz w:val="18"/>
              </w:rPr>
            </w:pPr>
            <w:r w:rsidRPr="00CB51FF">
              <w:rPr>
                <w:rFonts w:cs="Segoe UI Light"/>
                <w:sz w:val="18"/>
              </w:rPr>
              <w:t>-</w:t>
            </w:r>
          </w:p>
        </w:tc>
        <w:tc>
          <w:tcPr>
            <w:tcW w:w="275" w:type="pct"/>
          </w:tcPr>
          <w:p w14:paraId="656B1896" w14:textId="77777777" w:rsidR="00AA7ACF" w:rsidRPr="00A07276" w:rsidRDefault="00AA7ACF" w:rsidP="00A673DF">
            <w:pPr>
              <w:spacing w:after="0"/>
              <w:rPr>
                <w:rFonts w:cs="Segoe UI Light"/>
                <w:sz w:val="18"/>
              </w:rPr>
            </w:pPr>
            <w:r w:rsidRPr="00CB51FF">
              <w:rPr>
                <w:rFonts w:cs="Segoe UI Light"/>
                <w:sz w:val="18"/>
              </w:rPr>
              <w:t>40</w:t>
            </w:r>
          </w:p>
        </w:tc>
        <w:tc>
          <w:tcPr>
            <w:tcW w:w="389" w:type="pct"/>
          </w:tcPr>
          <w:p w14:paraId="656B1897" w14:textId="5D2FA497" w:rsidR="00AA7ACF" w:rsidRPr="00A07276" w:rsidRDefault="002A2DFB" w:rsidP="00A673DF">
            <w:pPr>
              <w:spacing w:after="0"/>
              <w:rPr>
                <w:rFonts w:cs="Segoe UI Light"/>
                <w:sz w:val="18"/>
              </w:rPr>
            </w:pPr>
            <w:r>
              <w:rPr>
                <w:rFonts w:cs="Segoe UI Light"/>
                <w:sz w:val="18"/>
              </w:rPr>
              <w:t>81.44</w:t>
            </w:r>
          </w:p>
        </w:tc>
        <w:tc>
          <w:tcPr>
            <w:tcW w:w="348" w:type="pct"/>
          </w:tcPr>
          <w:p w14:paraId="656B1898" w14:textId="07CA1165" w:rsidR="00AA7ACF" w:rsidRPr="00A07276" w:rsidRDefault="00AA7ACF" w:rsidP="00A673DF">
            <w:pPr>
              <w:spacing w:after="0"/>
              <w:rPr>
                <w:rFonts w:cs="Segoe UI Light"/>
                <w:sz w:val="18"/>
              </w:rPr>
            </w:pPr>
            <w:r w:rsidRPr="00CB51FF">
              <w:rPr>
                <w:rFonts w:cs="Segoe UI Light"/>
                <w:sz w:val="18"/>
              </w:rPr>
              <w:t>$</w:t>
            </w:r>
            <w:r w:rsidR="002A2DFB">
              <w:rPr>
                <w:rFonts w:cs="Segoe UI Light"/>
                <w:sz w:val="18"/>
              </w:rPr>
              <w:t>7,399.60</w:t>
            </w:r>
            <w:r w:rsidRPr="00CB51FF">
              <w:rPr>
                <w:rFonts w:cs="Segoe UI Light"/>
                <w:sz w:val="18"/>
              </w:rPr>
              <w:t xml:space="preserve"> </w:t>
            </w:r>
          </w:p>
        </w:tc>
        <w:tc>
          <w:tcPr>
            <w:tcW w:w="372" w:type="pct"/>
          </w:tcPr>
          <w:p w14:paraId="656B1899" w14:textId="6E0A0FAD" w:rsidR="00AA7ACF" w:rsidRPr="00A07276" w:rsidRDefault="00AA7ACF" w:rsidP="00A673DF">
            <w:pPr>
              <w:spacing w:after="0"/>
              <w:rPr>
                <w:rFonts w:cs="Segoe UI Light"/>
                <w:sz w:val="18"/>
              </w:rPr>
            </w:pPr>
            <w:r w:rsidRPr="00CB51FF">
              <w:rPr>
                <w:rFonts w:cs="Segoe UI Light"/>
                <w:sz w:val="18"/>
              </w:rPr>
              <w:t xml:space="preserve"> $</w:t>
            </w:r>
            <w:r w:rsidR="002A2DFB">
              <w:rPr>
                <w:rFonts w:cs="Segoe UI Light"/>
                <w:sz w:val="18"/>
              </w:rPr>
              <w:t>295,984</w:t>
            </w:r>
            <w:r w:rsidR="00F40806">
              <w:rPr>
                <w:rFonts w:cs="Segoe UI Light"/>
                <w:sz w:val="18"/>
              </w:rPr>
              <w:t>.00</w:t>
            </w:r>
            <w:r w:rsidRPr="00CB51FF">
              <w:rPr>
                <w:rFonts w:cs="Segoe UI Light"/>
                <w:sz w:val="18"/>
              </w:rPr>
              <w:t xml:space="preserve"> </w:t>
            </w:r>
          </w:p>
        </w:tc>
        <w:tc>
          <w:tcPr>
            <w:tcW w:w="853" w:type="pct"/>
          </w:tcPr>
          <w:p w14:paraId="656B189A" w14:textId="77777777" w:rsidR="00AA7ACF" w:rsidRPr="00A07276" w:rsidRDefault="00AA7ACF" w:rsidP="00A673DF">
            <w:pPr>
              <w:spacing w:after="0"/>
              <w:rPr>
                <w:rFonts w:cs="Segoe UI Light"/>
                <w:sz w:val="18"/>
              </w:rPr>
            </w:pPr>
            <w:r w:rsidRPr="00A07276">
              <w:rPr>
                <w:rFonts w:cs="Segoe UI Light"/>
                <w:sz w:val="18"/>
              </w:rPr>
              <w:t>68.8 fee units on application plus 6.29 fee units per hour for assessments exceeding 10.95 hours up to a maximum of 780.32 fee units.</w:t>
            </w:r>
          </w:p>
        </w:tc>
        <w:tc>
          <w:tcPr>
            <w:tcW w:w="410" w:type="pct"/>
          </w:tcPr>
          <w:p w14:paraId="656B189B" w14:textId="130864B3" w:rsidR="00AA7ACF" w:rsidRPr="00A07276" w:rsidRDefault="00AA7ACF" w:rsidP="00A673DF">
            <w:pPr>
              <w:spacing w:after="0"/>
              <w:rPr>
                <w:rFonts w:cs="Segoe UI Light"/>
                <w:sz w:val="18"/>
              </w:rPr>
            </w:pPr>
            <w:r w:rsidRPr="00CB51FF">
              <w:rPr>
                <w:rFonts w:cs="Segoe UI Light"/>
                <w:sz w:val="18"/>
              </w:rPr>
              <w:t xml:space="preserve"> $</w:t>
            </w:r>
            <w:r w:rsidR="002A2DFB">
              <w:rPr>
                <w:rFonts w:cs="Segoe UI Light"/>
                <w:sz w:val="18"/>
              </w:rPr>
              <w:t>7,399.60</w:t>
            </w:r>
            <w:r w:rsidRPr="00CB51FF">
              <w:rPr>
                <w:rFonts w:cs="Segoe UI Light"/>
                <w:sz w:val="18"/>
              </w:rPr>
              <w:t xml:space="preserve"> </w:t>
            </w:r>
          </w:p>
        </w:tc>
        <w:tc>
          <w:tcPr>
            <w:tcW w:w="353" w:type="pct"/>
          </w:tcPr>
          <w:p w14:paraId="656B189C" w14:textId="440BDC74" w:rsidR="00AA7ACF" w:rsidRPr="00A07276" w:rsidRDefault="00AA7ACF" w:rsidP="00A673DF">
            <w:pPr>
              <w:spacing w:after="0"/>
              <w:rPr>
                <w:rFonts w:cs="Segoe UI Light"/>
                <w:sz w:val="18"/>
              </w:rPr>
            </w:pPr>
            <w:r w:rsidRPr="00CB51FF">
              <w:rPr>
                <w:rFonts w:cs="Segoe UI Light"/>
                <w:sz w:val="18"/>
              </w:rPr>
              <w:t xml:space="preserve"> $</w:t>
            </w:r>
            <w:r w:rsidR="002A2DFB">
              <w:rPr>
                <w:rFonts w:cs="Segoe UI Light"/>
                <w:sz w:val="18"/>
              </w:rPr>
              <w:t>295,984</w:t>
            </w:r>
            <w:r w:rsidR="00F40806">
              <w:rPr>
                <w:rFonts w:cs="Segoe UI Light"/>
                <w:sz w:val="18"/>
              </w:rPr>
              <w:t>.00</w:t>
            </w:r>
            <w:r w:rsidRPr="00CB51FF">
              <w:rPr>
                <w:rFonts w:cs="Segoe UI Light"/>
                <w:sz w:val="18"/>
              </w:rPr>
              <w:t xml:space="preserve"> </w:t>
            </w:r>
          </w:p>
        </w:tc>
        <w:tc>
          <w:tcPr>
            <w:tcW w:w="303" w:type="pct"/>
          </w:tcPr>
          <w:p w14:paraId="656B189D" w14:textId="77777777" w:rsidR="00AA7ACF" w:rsidRPr="00A07276" w:rsidRDefault="00AA7ACF" w:rsidP="00A673DF">
            <w:pPr>
              <w:spacing w:after="0"/>
              <w:rPr>
                <w:rFonts w:cs="Segoe UI Light"/>
                <w:sz w:val="18"/>
              </w:rPr>
            </w:pPr>
            <w:r w:rsidRPr="00CB51FF">
              <w:rPr>
                <w:rFonts w:cs="Segoe UI Light"/>
                <w:sz w:val="18"/>
              </w:rPr>
              <w:t>100%</w:t>
            </w:r>
          </w:p>
        </w:tc>
        <w:tc>
          <w:tcPr>
            <w:tcW w:w="354" w:type="pct"/>
          </w:tcPr>
          <w:p w14:paraId="656B189E" w14:textId="77777777" w:rsidR="00AA7ACF" w:rsidRPr="006B41FE" w:rsidRDefault="00AA7ACF" w:rsidP="006B41FE">
            <w:pPr>
              <w:spacing w:after="0" w:line="240" w:lineRule="auto"/>
              <w:rPr>
                <w:rFonts w:cs="Segoe UI Light"/>
                <w:sz w:val="16"/>
                <w:szCs w:val="16"/>
              </w:rPr>
            </w:pPr>
            <w:r w:rsidRPr="006B41FE">
              <w:rPr>
                <w:rFonts w:cs="Segoe UI Light"/>
                <w:sz w:val="16"/>
                <w:szCs w:val="16"/>
              </w:rPr>
              <w:t>New fee</w:t>
            </w:r>
          </w:p>
        </w:tc>
      </w:tr>
      <w:tr w:rsidR="005C0531" w:rsidRPr="00A648FA" w14:paraId="656B18B1" w14:textId="77777777" w:rsidTr="00A86267">
        <w:trPr>
          <w:trHeight w:val="216"/>
        </w:trPr>
        <w:tc>
          <w:tcPr>
            <w:tcW w:w="511" w:type="pct"/>
          </w:tcPr>
          <w:p w14:paraId="656B18A0" w14:textId="77777777" w:rsidR="00AA7ACF" w:rsidRDefault="00AA7ACF" w:rsidP="00A673DF">
            <w:pPr>
              <w:spacing w:after="0"/>
              <w:rPr>
                <w:rFonts w:cs="Segoe UI Light"/>
                <w:sz w:val="18"/>
              </w:rPr>
            </w:pPr>
            <w:r w:rsidRPr="00CB51FF">
              <w:rPr>
                <w:rFonts w:cs="Segoe UI Light"/>
                <w:sz w:val="18"/>
              </w:rPr>
              <w:t>Development/</w:t>
            </w:r>
          </w:p>
          <w:p w14:paraId="656B18A1" w14:textId="77777777" w:rsidR="00AA7ACF" w:rsidRPr="00A07276" w:rsidRDefault="00AA7ACF" w:rsidP="00A673DF">
            <w:pPr>
              <w:spacing w:after="0"/>
              <w:rPr>
                <w:rFonts w:cs="Segoe UI Light"/>
                <w:sz w:val="18"/>
              </w:rPr>
            </w:pPr>
            <w:r w:rsidRPr="00CB51FF">
              <w:rPr>
                <w:rFonts w:cs="Segoe UI Light"/>
                <w:sz w:val="18"/>
              </w:rPr>
              <w:t>Pilot project licences</w:t>
            </w:r>
          </w:p>
        </w:tc>
        <w:tc>
          <w:tcPr>
            <w:tcW w:w="420" w:type="pct"/>
          </w:tcPr>
          <w:p w14:paraId="656B18A2" w14:textId="77777777" w:rsidR="00AA7ACF" w:rsidRPr="00A07276" w:rsidRDefault="00AA7ACF" w:rsidP="00A673DF">
            <w:pPr>
              <w:spacing w:after="0"/>
              <w:rPr>
                <w:rFonts w:cs="Segoe UI Light"/>
                <w:sz w:val="18"/>
              </w:rPr>
            </w:pPr>
            <w:r w:rsidRPr="00CB51FF">
              <w:rPr>
                <w:rFonts w:cs="Segoe UI Light"/>
                <w:sz w:val="18"/>
              </w:rPr>
              <w:t>Transfer</w:t>
            </w:r>
          </w:p>
        </w:tc>
        <w:tc>
          <w:tcPr>
            <w:tcW w:w="412" w:type="pct"/>
          </w:tcPr>
          <w:p w14:paraId="656B18A3" w14:textId="77777777" w:rsidR="00AA7ACF" w:rsidRPr="00A07276" w:rsidRDefault="00AA7ACF" w:rsidP="00A673DF">
            <w:pPr>
              <w:spacing w:after="0"/>
              <w:rPr>
                <w:rFonts w:cs="Segoe UI Light"/>
                <w:sz w:val="18"/>
              </w:rPr>
            </w:pPr>
            <w:r w:rsidRPr="00CB51FF">
              <w:rPr>
                <w:rFonts w:cs="Segoe UI Light"/>
                <w:sz w:val="18"/>
              </w:rPr>
              <w:t>-</w:t>
            </w:r>
          </w:p>
        </w:tc>
        <w:tc>
          <w:tcPr>
            <w:tcW w:w="275" w:type="pct"/>
          </w:tcPr>
          <w:p w14:paraId="656B18A4" w14:textId="77777777" w:rsidR="00AA7ACF" w:rsidRPr="00D761CE" w:rsidRDefault="00AA7ACF" w:rsidP="00A673DF">
            <w:pPr>
              <w:spacing w:after="0"/>
              <w:rPr>
                <w:rFonts w:cs="Segoe UI Light"/>
                <w:sz w:val="18"/>
              </w:rPr>
            </w:pPr>
            <w:r w:rsidRPr="00D761CE">
              <w:rPr>
                <w:rFonts w:cs="Segoe UI Light"/>
                <w:sz w:val="18"/>
              </w:rPr>
              <w:t>4</w:t>
            </w:r>
          </w:p>
        </w:tc>
        <w:tc>
          <w:tcPr>
            <w:tcW w:w="389" w:type="pct"/>
          </w:tcPr>
          <w:p w14:paraId="656B18A5" w14:textId="41DA1A51" w:rsidR="00AA7ACF" w:rsidRPr="00D761CE" w:rsidRDefault="002A2DFB" w:rsidP="00D761CE">
            <w:pPr>
              <w:spacing w:after="0"/>
              <w:rPr>
                <w:rFonts w:cs="Segoe UI Light"/>
                <w:sz w:val="18"/>
              </w:rPr>
            </w:pPr>
            <w:r w:rsidRPr="00D761CE">
              <w:rPr>
                <w:rFonts w:cs="Segoe UI Light"/>
                <w:sz w:val="18"/>
              </w:rPr>
              <w:t>8.58</w:t>
            </w:r>
          </w:p>
        </w:tc>
        <w:tc>
          <w:tcPr>
            <w:tcW w:w="348" w:type="pct"/>
          </w:tcPr>
          <w:p w14:paraId="656B18A6" w14:textId="6337E7D2" w:rsidR="00AA7ACF" w:rsidRPr="00A07276" w:rsidRDefault="00AA7ACF" w:rsidP="00A673DF">
            <w:pPr>
              <w:spacing w:after="0"/>
              <w:rPr>
                <w:rFonts w:cs="Segoe UI Light"/>
                <w:sz w:val="18"/>
              </w:rPr>
            </w:pPr>
            <w:r w:rsidRPr="00CB51FF">
              <w:rPr>
                <w:rFonts w:cs="Segoe UI Light"/>
                <w:sz w:val="18"/>
              </w:rPr>
              <w:t>$</w:t>
            </w:r>
            <w:r w:rsidR="00AF28C6">
              <w:rPr>
                <w:rFonts w:cs="Segoe UI Light"/>
                <w:sz w:val="18"/>
              </w:rPr>
              <w:t>754.58</w:t>
            </w:r>
            <w:r w:rsidRPr="00CB51FF">
              <w:rPr>
                <w:rFonts w:cs="Segoe UI Light"/>
                <w:sz w:val="18"/>
              </w:rPr>
              <w:t xml:space="preserve"> </w:t>
            </w:r>
            <w:r w:rsidR="002A2DFB" w:rsidRPr="00CB51FF">
              <w:rPr>
                <w:rFonts w:cs="Segoe UI Light"/>
                <w:sz w:val="18"/>
              </w:rPr>
              <w:t xml:space="preserve"> </w:t>
            </w:r>
          </w:p>
        </w:tc>
        <w:tc>
          <w:tcPr>
            <w:tcW w:w="372" w:type="pct"/>
          </w:tcPr>
          <w:p w14:paraId="656B18A7" w14:textId="2364425C" w:rsidR="00AA7ACF" w:rsidRPr="00A07276" w:rsidRDefault="00AA7ACF" w:rsidP="00A673DF">
            <w:pPr>
              <w:spacing w:after="0"/>
              <w:rPr>
                <w:rFonts w:cs="Segoe UI Light"/>
                <w:sz w:val="18"/>
              </w:rPr>
            </w:pPr>
            <w:r w:rsidRPr="00CB51FF">
              <w:rPr>
                <w:rFonts w:cs="Segoe UI Light"/>
                <w:sz w:val="18"/>
              </w:rPr>
              <w:t xml:space="preserve"> </w:t>
            </w:r>
            <w:r w:rsidR="002A2DFB">
              <w:rPr>
                <w:rFonts w:cs="Segoe UI Light"/>
                <w:sz w:val="18"/>
              </w:rPr>
              <w:t>$</w:t>
            </w:r>
            <w:r w:rsidRPr="00CB51FF">
              <w:rPr>
                <w:rFonts w:cs="Segoe UI Light"/>
                <w:sz w:val="18"/>
              </w:rPr>
              <w:t>3,018</w:t>
            </w:r>
            <w:r w:rsidR="002A2DFB">
              <w:rPr>
                <w:rFonts w:cs="Segoe UI Light"/>
                <w:sz w:val="18"/>
              </w:rPr>
              <w:t>.</w:t>
            </w:r>
            <w:r w:rsidR="00F40806">
              <w:rPr>
                <w:rFonts w:cs="Segoe UI Light"/>
                <w:sz w:val="18"/>
              </w:rPr>
              <w:t>32</w:t>
            </w:r>
          </w:p>
        </w:tc>
        <w:tc>
          <w:tcPr>
            <w:tcW w:w="853" w:type="pct"/>
          </w:tcPr>
          <w:p w14:paraId="656B18A8" w14:textId="77777777" w:rsidR="00AA7ACF" w:rsidRPr="00A07276" w:rsidRDefault="00AA7ACF" w:rsidP="00A673DF">
            <w:pPr>
              <w:spacing w:after="0"/>
              <w:rPr>
                <w:rFonts w:cs="Segoe UI Light"/>
                <w:sz w:val="18"/>
              </w:rPr>
            </w:pPr>
            <w:r w:rsidRPr="00A07276">
              <w:rPr>
                <w:rFonts w:cs="Segoe UI Light"/>
                <w:sz w:val="18"/>
              </w:rPr>
              <w:t>Flat fee - 52.22 fee units</w:t>
            </w:r>
          </w:p>
        </w:tc>
        <w:tc>
          <w:tcPr>
            <w:tcW w:w="410" w:type="pct"/>
          </w:tcPr>
          <w:p w14:paraId="656B18A9" w14:textId="585297A4" w:rsidR="00AA7ACF" w:rsidRPr="00A07276" w:rsidRDefault="00AA7ACF" w:rsidP="00A673DF">
            <w:pPr>
              <w:spacing w:after="0"/>
              <w:rPr>
                <w:rFonts w:cs="Segoe UI Light"/>
                <w:sz w:val="18"/>
              </w:rPr>
            </w:pPr>
            <w:r w:rsidRPr="00CB51FF">
              <w:rPr>
                <w:rFonts w:cs="Segoe UI Light"/>
                <w:sz w:val="18"/>
              </w:rPr>
              <w:t xml:space="preserve"> $754.58 </w:t>
            </w:r>
          </w:p>
        </w:tc>
        <w:tc>
          <w:tcPr>
            <w:tcW w:w="353" w:type="pct"/>
          </w:tcPr>
          <w:p w14:paraId="656B18AA" w14:textId="19D34E78" w:rsidR="00AA7ACF" w:rsidRPr="00A07276" w:rsidRDefault="00AA7ACF" w:rsidP="00A673DF">
            <w:pPr>
              <w:spacing w:after="0"/>
              <w:rPr>
                <w:rFonts w:cs="Segoe UI Light"/>
                <w:sz w:val="18"/>
              </w:rPr>
            </w:pPr>
            <w:r w:rsidRPr="00CB51FF">
              <w:rPr>
                <w:rFonts w:cs="Segoe UI Light"/>
                <w:sz w:val="18"/>
              </w:rPr>
              <w:t xml:space="preserve"> $3,018</w:t>
            </w:r>
            <w:r w:rsidR="00F40806">
              <w:rPr>
                <w:rFonts w:cs="Segoe UI Light"/>
                <w:sz w:val="18"/>
              </w:rPr>
              <w:t>.32</w:t>
            </w:r>
            <w:r w:rsidRPr="00CB51FF">
              <w:rPr>
                <w:rFonts w:cs="Segoe UI Light"/>
                <w:sz w:val="18"/>
              </w:rPr>
              <w:t xml:space="preserve"> </w:t>
            </w:r>
          </w:p>
        </w:tc>
        <w:tc>
          <w:tcPr>
            <w:tcW w:w="303" w:type="pct"/>
          </w:tcPr>
          <w:p w14:paraId="656B18AB" w14:textId="77777777" w:rsidR="00AA7ACF" w:rsidRPr="00A07276" w:rsidRDefault="00AA7ACF" w:rsidP="00A673DF">
            <w:pPr>
              <w:spacing w:after="0"/>
              <w:rPr>
                <w:rFonts w:cs="Segoe UI Light"/>
                <w:sz w:val="18"/>
              </w:rPr>
            </w:pPr>
            <w:r w:rsidRPr="00CB51FF">
              <w:rPr>
                <w:rFonts w:cs="Segoe UI Light"/>
                <w:sz w:val="18"/>
              </w:rPr>
              <w:t>100%</w:t>
            </w:r>
          </w:p>
        </w:tc>
        <w:tc>
          <w:tcPr>
            <w:tcW w:w="354" w:type="pct"/>
          </w:tcPr>
          <w:p w14:paraId="656B18AC" w14:textId="77777777" w:rsidR="00AA7ACF" w:rsidRPr="006B41FE" w:rsidRDefault="00AA7ACF" w:rsidP="006B41FE">
            <w:pPr>
              <w:spacing w:after="0" w:line="240" w:lineRule="auto"/>
              <w:rPr>
                <w:rFonts w:cs="Segoe UI Light"/>
                <w:sz w:val="16"/>
                <w:szCs w:val="16"/>
              </w:rPr>
            </w:pPr>
            <w:r w:rsidRPr="006B41FE">
              <w:rPr>
                <w:rFonts w:cs="Segoe UI Light"/>
                <w:sz w:val="16"/>
                <w:szCs w:val="16"/>
              </w:rPr>
              <w:t>Development licence:</w:t>
            </w:r>
          </w:p>
          <w:p w14:paraId="656B18AE" w14:textId="00A9A2BA" w:rsidR="00AA7ACF" w:rsidRPr="006B41FE" w:rsidRDefault="00AA7ACF" w:rsidP="006B41FE">
            <w:pPr>
              <w:spacing w:after="0" w:line="240" w:lineRule="auto"/>
              <w:rPr>
                <w:rFonts w:cs="Segoe UI Light"/>
                <w:sz w:val="16"/>
                <w:szCs w:val="16"/>
              </w:rPr>
            </w:pPr>
            <w:r w:rsidRPr="006B41FE">
              <w:rPr>
                <w:rFonts w:cs="Segoe UI Light"/>
                <w:sz w:val="16"/>
                <w:szCs w:val="16"/>
              </w:rPr>
              <w:t>Same design different fee level</w:t>
            </w:r>
            <w:r w:rsidR="00D238CB" w:rsidRPr="006B41FE">
              <w:rPr>
                <w:rFonts w:cs="Segoe UI Light"/>
                <w:sz w:val="16"/>
                <w:szCs w:val="16"/>
              </w:rPr>
              <w:t xml:space="preserve"> </w:t>
            </w:r>
          </w:p>
          <w:p w14:paraId="656B18AF" w14:textId="77777777" w:rsidR="00AA7ACF" w:rsidRPr="006B41FE" w:rsidRDefault="00AA7ACF" w:rsidP="006B41FE">
            <w:pPr>
              <w:spacing w:after="0" w:line="240" w:lineRule="auto"/>
              <w:rPr>
                <w:rFonts w:cs="Segoe UI Light"/>
                <w:sz w:val="16"/>
                <w:szCs w:val="16"/>
              </w:rPr>
            </w:pPr>
            <w:r w:rsidRPr="006B41FE">
              <w:rPr>
                <w:rFonts w:cs="Segoe UI Light"/>
                <w:sz w:val="16"/>
                <w:szCs w:val="16"/>
              </w:rPr>
              <w:t>Pilot project licence:</w:t>
            </w:r>
          </w:p>
          <w:p w14:paraId="656B18B0" w14:textId="77777777" w:rsidR="00AA7ACF" w:rsidRPr="006B41FE" w:rsidRDefault="00AA7ACF" w:rsidP="006B41FE">
            <w:pPr>
              <w:spacing w:after="0" w:line="240" w:lineRule="auto"/>
              <w:rPr>
                <w:rFonts w:cs="Segoe UI Light"/>
                <w:sz w:val="16"/>
                <w:szCs w:val="16"/>
              </w:rPr>
            </w:pPr>
            <w:r w:rsidRPr="006B41FE">
              <w:rPr>
                <w:rFonts w:cs="Segoe UI Light"/>
                <w:sz w:val="16"/>
                <w:szCs w:val="16"/>
              </w:rPr>
              <w:t>New fee</w:t>
            </w:r>
          </w:p>
        </w:tc>
      </w:tr>
      <w:tr w:rsidR="005C0531" w:rsidRPr="00A648FA" w14:paraId="656B18BF" w14:textId="77777777" w:rsidTr="00A86267">
        <w:trPr>
          <w:trHeight w:val="216"/>
        </w:trPr>
        <w:tc>
          <w:tcPr>
            <w:tcW w:w="511" w:type="pct"/>
          </w:tcPr>
          <w:p w14:paraId="656B18B2" w14:textId="77777777" w:rsidR="00AA7ACF" w:rsidRPr="00A07276" w:rsidRDefault="00AA7ACF" w:rsidP="00A673DF">
            <w:pPr>
              <w:spacing w:after="0"/>
              <w:rPr>
                <w:rFonts w:cs="Segoe UI Light"/>
                <w:sz w:val="18"/>
              </w:rPr>
            </w:pPr>
            <w:r w:rsidRPr="00CB51FF">
              <w:rPr>
                <w:rFonts w:cs="Segoe UI Light"/>
                <w:sz w:val="18"/>
              </w:rPr>
              <w:t>Development/</w:t>
            </w:r>
            <w:r>
              <w:rPr>
                <w:rFonts w:cs="Segoe UI Light"/>
                <w:sz w:val="18"/>
              </w:rPr>
              <w:t xml:space="preserve"> </w:t>
            </w:r>
            <w:r w:rsidRPr="00CB51FF">
              <w:rPr>
                <w:rFonts w:cs="Segoe UI Light"/>
                <w:sz w:val="18"/>
              </w:rPr>
              <w:t>Pilot project licences</w:t>
            </w:r>
          </w:p>
        </w:tc>
        <w:tc>
          <w:tcPr>
            <w:tcW w:w="420" w:type="pct"/>
          </w:tcPr>
          <w:p w14:paraId="656B18B3" w14:textId="77777777" w:rsidR="00AA7ACF" w:rsidRPr="00A07276" w:rsidRDefault="00AA7ACF" w:rsidP="00A673DF">
            <w:pPr>
              <w:spacing w:after="0"/>
              <w:rPr>
                <w:rFonts w:cs="Segoe UI Light"/>
                <w:sz w:val="18"/>
              </w:rPr>
            </w:pPr>
            <w:r w:rsidRPr="00CB51FF">
              <w:rPr>
                <w:rFonts w:cs="Segoe UI Light"/>
                <w:sz w:val="18"/>
              </w:rPr>
              <w:t>Amendment</w:t>
            </w:r>
          </w:p>
        </w:tc>
        <w:tc>
          <w:tcPr>
            <w:tcW w:w="412" w:type="pct"/>
          </w:tcPr>
          <w:p w14:paraId="656B18B4" w14:textId="77777777" w:rsidR="00AA7ACF" w:rsidRDefault="00AA7ACF" w:rsidP="00A673DF">
            <w:pPr>
              <w:spacing w:after="0"/>
              <w:rPr>
                <w:rFonts w:cs="Segoe UI Light"/>
                <w:sz w:val="18"/>
              </w:rPr>
            </w:pPr>
            <w:r w:rsidRPr="00CB51FF">
              <w:rPr>
                <w:rFonts w:cs="Segoe UI Light"/>
                <w:sz w:val="18"/>
              </w:rPr>
              <w:t xml:space="preserve">Start date/ </w:t>
            </w:r>
          </w:p>
          <w:p w14:paraId="656B18B5" w14:textId="77777777" w:rsidR="00AA7ACF" w:rsidRPr="00A07276" w:rsidRDefault="00AA7ACF" w:rsidP="00A673DF">
            <w:pPr>
              <w:spacing w:after="0"/>
              <w:rPr>
                <w:rFonts w:cs="Segoe UI Light"/>
                <w:sz w:val="18"/>
              </w:rPr>
            </w:pPr>
            <w:r w:rsidRPr="00CB51FF">
              <w:rPr>
                <w:rFonts w:cs="Segoe UI Light"/>
                <w:sz w:val="18"/>
              </w:rPr>
              <w:t>Duration</w:t>
            </w:r>
          </w:p>
        </w:tc>
        <w:tc>
          <w:tcPr>
            <w:tcW w:w="275" w:type="pct"/>
          </w:tcPr>
          <w:p w14:paraId="656B18B6" w14:textId="77777777" w:rsidR="00AA7ACF" w:rsidRPr="00A07276" w:rsidRDefault="00AA7ACF" w:rsidP="00A673DF">
            <w:pPr>
              <w:spacing w:after="0"/>
              <w:rPr>
                <w:rFonts w:cs="Segoe UI Light"/>
                <w:sz w:val="18"/>
              </w:rPr>
            </w:pPr>
            <w:r w:rsidRPr="00CB51FF">
              <w:rPr>
                <w:rFonts w:cs="Segoe UI Light"/>
                <w:sz w:val="18"/>
              </w:rPr>
              <w:t>10</w:t>
            </w:r>
          </w:p>
        </w:tc>
        <w:tc>
          <w:tcPr>
            <w:tcW w:w="389" w:type="pct"/>
          </w:tcPr>
          <w:p w14:paraId="656B18B7" w14:textId="67306D64" w:rsidR="00AA7ACF" w:rsidRPr="00A07276" w:rsidRDefault="00AA7ACF" w:rsidP="00A673DF">
            <w:pPr>
              <w:spacing w:after="0"/>
              <w:rPr>
                <w:rFonts w:cs="Segoe UI Light"/>
                <w:sz w:val="18"/>
              </w:rPr>
            </w:pPr>
            <w:r w:rsidRPr="00CB51FF">
              <w:rPr>
                <w:rFonts w:cs="Segoe UI Light"/>
                <w:sz w:val="18"/>
              </w:rPr>
              <w:t>9.</w:t>
            </w:r>
            <w:r w:rsidR="002A2DFB">
              <w:rPr>
                <w:rFonts w:cs="Segoe UI Light"/>
                <w:sz w:val="18"/>
              </w:rPr>
              <w:t>58</w:t>
            </w:r>
          </w:p>
        </w:tc>
        <w:tc>
          <w:tcPr>
            <w:tcW w:w="348" w:type="pct"/>
          </w:tcPr>
          <w:p w14:paraId="656B18B8" w14:textId="7E70A0E7" w:rsidR="00AA7ACF" w:rsidRPr="00A07276" w:rsidRDefault="00AA7ACF" w:rsidP="00A673DF">
            <w:pPr>
              <w:spacing w:after="0"/>
              <w:rPr>
                <w:rFonts w:cs="Segoe UI Light"/>
                <w:sz w:val="18"/>
              </w:rPr>
            </w:pPr>
            <w:r w:rsidRPr="00CB51FF">
              <w:rPr>
                <w:rFonts w:cs="Segoe UI Light"/>
                <w:sz w:val="18"/>
              </w:rPr>
              <w:t xml:space="preserve"> $815.27 </w:t>
            </w:r>
          </w:p>
        </w:tc>
        <w:tc>
          <w:tcPr>
            <w:tcW w:w="372" w:type="pct"/>
          </w:tcPr>
          <w:p w14:paraId="656B18B9" w14:textId="47E1789C" w:rsidR="00AA7ACF" w:rsidRPr="00A07276" w:rsidRDefault="00AA7ACF" w:rsidP="00A673DF">
            <w:pPr>
              <w:spacing w:after="0"/>
              <w:rPr>
                <w:rFonts w:cs="Segoe UI Light"/>
                <w:sz w:val="18"/>
              </w:rPr>
            </w:pPr>
            <w:r w:rsidRPr="00CB51FF">
              <w:rPr>
                <w:rFonts w:cs="Segoe UI Light"/>
                <w:sz w:val="18"/>
              </w:rPr>
              <w:t xml:space="preserve"> $8,15</w:t>
            </w:r>
            <w:r w:rsidR="00F40806">
              <w:rPr>
                <w:rFonts w:cs="Segoe UI Light"/>
                <w:sz w:val="18"/>
              </w:rPr>
              <w:t>2.70</w:t>
            </w:r>
            <w:r w:rsidRPr="00CB51FF">
              <w:rPr>
                <w:rFonts w:cs="Segoe UI Light"/>
                <w:sz w:val="18"/>
              </w:rPr>
              <w:t xml:space="preserve"> </w:t>
            </w:r>
          </w:p>
        </w:tc>
        <w:tc>
          <w:tcPr>
            <w:tcW w:w="853" w:type="pct"/>
          </w:tcPr>
          <w:p w14:paraId="656B18BA" w14:textId="77777777" w:rsidR="00AA7ACF" w:rsidRPr="00A07276" w:rsidRDefault="00AA7ACF" w:rsidP="00A673DF">
            <w:pPr>
              <w:spacing w:after="0"/>
              <w:rPr>
                <w:rFonts w:cs="Segoe UI Light"/>
                <w:sz w:val="18"/>
              </w:rPr>
            </w:pPr>
            <w:r w:rsidRPr="00A07276">
              <w:rPr>
                <w:rFonts w:cs="Segoe UI Light"/>
                <w:sz w:val="18"/>
              </w:rPr>
              <w:t>Flat fee - 56.42 fee units</w:t>
            </w:r>
          </w:p>
        </w:tc>
        <w:tc>
          <w:tcPr>
            <w:tcW w:w="410" w:type="pct"/>
          </w:tcPr>
          <w:p w14:paraId="656B18BB" w14:textId="320DE18C" w:rsidR="00AA7ACF" w:rsidRPr="00A07276" w:rsidRDefault="00AA7ACF" w:rsidP="00A673DF">
            <w:pPr>
              <w:spacing w:after="0"/>
              <w:rPr>
                <w:rFonts w:cs="Segoe UI Light"/>
                <w:sz w:val="18"/>
              </w:rPr>
            </w:pPr>
            <w:r w:rsidRPr="00CB51FF">
              <w:rPr>
                <w:rFonts w:cs="Segoe UI Light"/>
                <w:sz w:val="18"/>
              </w:rPr>
              <w:t xml:space="preserve"> $815.27 </w:t>
            </w:r>
          </w:p>
        </w:tc>
        <w:tc>
          <w:tcPr>
            <w:tcW w:w="353" w:type="pct"/>
          </w:tcPr>
          <w:p w14:paraId="656B18BC" w14:textId="2FDCC600" w:rsidR="00AA7ACF" w:rsidRPr="00A07276" w:rsidRDefault="00AA7ACF" w:rsidP="00A673DF">
            <w:pPr>
              <w:spacing w:after="0"/>
              <w:rPr>
                <w:rFonts w:cs="Segoe UI Light"/>
                <w:sz w:val="18"/>
              </w:rPr>
            </w:pPr>
            <w:r w:rsidRPr="00CB51FF">
              <w:rPr>
                <w:rFonts w:cs="Segoe UI Light"/>
                <w:sz w:val="18"/>
              </w:rPr>
              <w:t xml:space="preserve"> $8,15</w:t>
            </w:r>
            <w:r w:rsidR="00F40806">
              <w:rPr>
                <w:rFonts w:cs="Segoe UI Light"/>
                <w:sz w:val="18"/>
              </w:rPr>
              <w:t>2.70</w:t>
            </w:r>
            <w:r w:rsidRPr="00CB51FF">
              <w:rPr>
                <w:rFonts w:cs="Segoe UI Light"/>
                <w:sz w:val="18"/>
              </w:rPr>
              <w:t xml:space="preserve"> </w:t>
            </w:r>
          </w:p>
        </w:tc>
        <w:tc>
          <w:tcPr>
            <w:tcW w:w="303" w:type="pct"/>
          </w:tcPr>
          <w:p w14:paraId="656B18BD" w14:textId="77777777" w:rsidR="00AA7ACF" w:rsidRPr="00A07276" w:rsidRDefault="00AA7ACF" w:rsidP="00A673DF">
            <w:pPr>
              <w:spacing w:after="0"/>
              <w:rPr>
                <w:rFonts w:cs="Segoe UI Light"/>
                <w:sz w:val="18"/>
              </w:rPr>
            </w:pPr>
            <w:r w:rsidRPr="00CB51FF">
              <w:rPr>
                <w:rFonts w:cs="Segoe UI Light"/>
                <w:sz w:val="18"/>
              </w:rPr>
              <w:t>100%</w:t>
            </w:r>
          </w:p>
        </w:tc>
        <w:tc>
          <w:tcPr>
            <w:tcW w:w="354" w:type="pct"/>
          </w:tcPr>
          <w:p w14:paraId="656B18BE" w14:textId="77777777" w:rsidR="00AA7ACF" w:rsidRPr="006B41FE" w:rsidRDefault="00AA7ACF" w:rsidP="006B41FE">
            <w:pPr>
              <w:spacing w:after="0" w:line="240" w:lineRule="auto"/>
              <w:rPr>
                <w:rFonts w:cs="Segoe UI Light"/>
                <w:sz w:val="16"/>
                <w:szCs w:val="16"/>
              </w:rPr>
            </w:pPr>
            <w:r w:rsidRPr="006B41FE">
              <w:rPr>
                <w:rFonts w:cs="Segoe UI Light"/>
                <w:sz w:val="16"/>
                <w:szCs w:val="16"/>
              </w:rPr>
              <w:t>New fee</w:t>
            </w:r>
          </w:p>
        </w:tc>
      </w:tr>
      <w:tr w:rsidR="002A2DFB" w:rsidRPr="00A648FA" w14:paraId="656B18CC" w14:textId="77777777" w:rsidTr="00A86267">
        <w:trPr>
          <w:trHeight w:val="461"/>
        </w:trPr>
        <w:tc>
          <w:tcPr>
            <w:tcW w:w="511" w:type="pct"/>
          </w:tcPr>
          <w:p w14:paraId="656B18C0" w14:textId="77777777" w:rsidR="002A2DFB" w:rsidRPr="00A07276" w:rsidRDefault="002A2DFB" w:rsidP="00A673DF">
            <w:pPr>
              <w:spacing w:after="0"/>
              <w:rPr>
                <w:rFonts w:cs="Segoe UI Light"/>
                <w:sz w:val="18"/>
              </w:rPr>
            </w:pPr>
            <w:r w:rsidRPr="00CB51FF">
              <w:rPr>
                <w:rFonts w:cs="Segoe UI Light"/>
                <w:sz w:val="18"/>
              </w:rPr>
              <w:t>Development/ Pilot project licences</w:t>
            </w:r>
          </w:p>
        </w:tc>
        <w:tc>
          <w:tcPr>
            <w:tcW w:w="420" w:type="pct"/>
          </w:tcPr>
          <w:p w14:paraId="656B18C1" w14:textId="77777777" w:rsidR="002A2DFB" w:rsidRPr="00CB51FF" w:rsidRDefault="002A2DFB" w:rsidP="00A673DF">
            <w:pPr>
              <w:spacing w:after="0"/>
              <w:rPr>
                <w:rFonts w:cs="Segoe UI Light"/>
                <w:sz w:val="18"/>
              </w:rPr>
            </w:pPr>
            <w:r w:rsidRPr="00CB51FF">
              <w:rPr>
                <w:rFonts w:cs="Segoe UI Light"/>
                <w:sz w:val="18"/>
              </w:rPr>
              <w:t>Amendment</w:t>
            </w:r>
          </w:p>
        </w:tc>
        <w:tc>
          <w:tcPr>
            <w:tcW w:w="412" w:type="pct"/>
          </w:tcPr>
          <w:p w14:paraId="656B18C2" w14:textId="77777777" w:rsidR="002A2DFB" w:rsidRPr="00CB51FF" w:rsidRDefault="002A2DFB" w:rsidP="00A673DF">
            <w:pPr>
              <w:spacing w:after="0"/>
              <w:rPr>
                <w:rFonts w:cs="Segoe UI Light"/>
                <w:sz w:val="18"/>
              </w:rPr>
            </w:pPr>
            <w:r w:rsidRPr="00CB51FF">
              <w:rPr>
                <w:rFonts w:cs="Segoe UI Light"/>
                <w:sz w:val="18"/>
              </w:rPr>
              <w:t>Terms and conditions</w:t>
            </w:r>
          </w:p>
        </w:tc>
        <w:tc>
          <w:tcPr>
            <w:tcW w:w="275" w:type="pct"/>
          </w:tcPr>
          <w:p w14:paraId="656B18C3" w14:textId="77777777" w:rsidR="002A2DFB" w:rsidRPr="00A07276" w:rsidRDefault="002A2DFB" w:rsidP="00A673DF">
            <w:pPr>
              <w:spacing w:after="0"/>
              <w:rPr>
                <w:rFonts w:cs="Segoe UI Light"/>
                <w:sz w:val="18"/>
              </w:rPr>
            </w:pPr>
            <w:r w:rsidRPr="00CB51FF">
              <w:rPr>
                <w:rFonts w:cs="Segoe UI Light"/>
                <w:sz w:val="18"/>
              </w:rPr>
              <w:t>4</w:t>
            </w:r>
          </w:p>
        </w:tc>
        <w:tc>
          <w:tcPr>
            <w:tcW w:w="389" w:type="pct"/>
          </w:tcPr>
          <w:p w14:paraId="656B18C4" w14:textId="43A4B2DC" w:rsidR="002A2DFB" w:rsidRPr="00A07276" w:rsidRDefault="002A2DFB" w:rsidP="00A673DF">
            <w:pPr>
              <w:spacing w:after="0"/>
              <w:rPr>
                <w:rFonts w:cs="Segoe UI Light"/>
                <w:sz w:val="18"/>
              </w:rPr>
            </w:pPr>
            <w:r w:rsidRPr="00CB51FF">
              <w:rPr>
                <w:rFonts w:cs="Segoe UI Light"/>
                <w:sz w:val="18"/>
              </w:rPr>
              <w:t>57.</w:t>
            </w:r>
            <w:r>
              <w:rPr>
                <w:rFonts w:cs="Segoe UI Light"/>
                <w:sz w:val="18"/>
              </w:rPr>
              <w:t>08</w:t>
            </w:r>
          </w:p>
        </w:tc>
        <w:tc>
          <w:tcPr>
            <w:tcW w:w="348" w:type="pct"/>
          </w:tcPr>
          <w:p w14:paraId="656B18C5" w14:textId="3FBD7AB6" w:rsidR="002A2DFB" w:rsidRPr="00A07276" w:rsidRDefault="002A2DFB" w:rsidP="00A673DF">
            <w:pPr>
              <w:spacing w:after="0"/>
              <w:rPr>
                <w:rFonts w:cs="Segoe UI Light"/>
                <w:sz w:val="18"/>
              </w:rPr>
            </w:pPr>
            <w:r w:rsidRPr="00CB51FF">
              <w:rPr>
                <w:rFonts w:cs="Segoe UI Light"/>
                <w:sz w:val="18"/>
              </w:rPr>
              <w:t xml:space="preserve"> $5,280.69  </w:t>
            </w:r>
          </w:p>
        </w:tc>
        <w:tc>
          <w:tcPr>
            <w:tcW w:w="372" w:type="pct"/>
          </w:tcPr>
          <w:p w14:paraId="656B18C6" w14:textId="206E78FE" w:rsidR="002A2DFB" w:rsidRPr="00A07276" w:rsidRDefault="002A2DFB" w:rsidP="00A673DF">
            <w:pPr>
              <w:spacing w:after="0"/>
              <w:rPr>
                <w:rFonts w:cs="Segoe UI Light"/>
                <w:sz w:val="18"/>
              </w:rPr>
            </w:pPr>
            <w:r w:rsidRPr="00CB51FF">
              <w:rPr>
                <w:rFonts w:cs="Segoe UI Light"/>
                <w:sz w:val="18"/>
              </w:rPr>
              <w:t xml:space="preserve"> $21,12</w:t>
            </w:r>
            <w:r w:rsidR="00F40806">
              <w:rPr>
                <w:rFonts w:cs="Segoe UI Light"/>
                <w:sz w:val="18"/>
              </w:rPr>
              <w:t>2.76</w:t>
            </w:r>
            <w:r w:rsidRPr="00CB51FF">
              <w:rPr>
                <w:rFonts w:cs="Segoe UI Light"/>
                <w:sz w:val="18"/>
              </w:rPr>
              <w:t xml:space="preserve"> </w:t>
            </w:r>
          </w:p>
        </w:tc>
        <w:tc>
          <w:tcPr>
            <w:tcW w:w="853" w:type="pct"/>
          </w:tcPr>
          <w:p w14:paraId="656B18C7" w14:textId="77777777" w:rsidR="002A2DFB" w:rsidRPr="00A07276" w:rsidRDefault="002A2DFB" w:rsidP="00A673DF">
            <w:pPr>
              <w:spacing w:after="0"/>
              <w:rPr>
                <w:rFonts w:cs="Segoe UI Light"/>
                <w:sz w:val="18"/>
              </w:rPr>
            </w:pPr>
            <w:r w:rsidRPr="00A07276">
              <w:rPr>
                <w:rFonts w:cs="Segoe UI Light"/>
                <w:sz w:val="18"/>
              </w:rPr>
              <w:t>243.73 fee units on application plus 6.4 fee units per hour for assessments exceeding 38.1 hours up to a maximum of 706.96 fee units.</w:t>
            </w:r>
          </w:p>
        </w:tc>
        <w:tc>
          <w:tcPr>
            <w:tcW w:w="410" w:type="pct"/>
          </w:tcPr>
          <w:p w14:paraId="656B18C8" w14:textId="753C3E8D" w:rsidR="002A2DFB" w:rsidRPr="00A07276" w:rsidRDefault="002A2DFB" w:rsidP="00A673DF">
            <w:pPr>
              <w:spacing w:after="0"/>
              <w:rPr>
                <w:rFonts w:cs="Segoe UI Light"/>
                <w:sz w:val="18"/>
              </w:rPr>
            </w:pPr>
            <w:r w:rsidRPr="00CB51FF">
              <w:rPr>
                <w:rFonts w:cs="Segoe UI Light"/>
                <w:sz w:val="18"/>
              </w:rPr>
              <w:t xml:space="preserve"> $5,280.69  </w:t>
            </w:r>
          </w:p>
        </w:tc>
        <w:tc>
          <w:tcPr>
            <w:tcW w:w="353" w:type="pct"/>
          </w:tcPr>
          <w:p w14:paraId="656B18C9" w14:textId="49245E4C" w:rsidR="002A2DFB" w:rsidRPr="00A07276" w:rsidRDefault="002A2DFB" w:rsidP="00A673DF">
            <w:pPr>
              <w:spacing w:after="0"/>
              <w:rPr>
                <w:rFonts w:cs="Segoe UI Light"/>
                <w:sz w:val="18"/>
              </w:rPr>
            </w:pPr>
            <w:r w:rsidRPr="00CB51FF">
              <w:rPr>
                <w:rFonts w:cs="Segoe UI Light"/>
                <w:sz w:val="18"/>
              </w:rPr>
              <w:t xml:space="preserve"> $21,12</w:t>
            </w:r>
            <w:r w:rsidR="00F40806">
              <w:rPr>
                <w:rFonts w:cs="Segoe UI Light"/>
                <w:sz w:val="18"/>
              </w:rPr>
              <w:t>2.76</w:t>
            </w:r>
            <w:r w:rsidRPr="00CB51FF">
              <w:rPr>
                <w:rFonts w:cs="Segoe UI Light"/>
                <w:sz w:val="18"/>
              </w:rPr>
              <w:t xml:space="preserve"> </w:t>
            </w:r>
          </w:p>
        </w:tc>
        <w:tc>
          <w:tcPr>
            <w:tcW w:w="303" w:type="pct"/>
          </w:tcPr>
          <w:p w14:paraId="656B18CA" w14:textId="77777777" w:rsidR="002A2DFB" w:rsidRPr="00A07276" w:rsidRDefault="002A2DFB" w:rsidP="00A673DF">
            <w:pPr>
              <w:spacing w:after="0"/>
              <w:rPr>
                <w:rFonts w:cs="Segoe UI Light"/>
                <w:sz w:val="18"/>
              </w:rPr>
            </w:pPr>
            <w:r w:rsidRPr="00CB51FF">
              <w:rPr>
                <w:rFonts w:cs="Segoe UI Light"/>
                <w:sz w:val="18"/>
              </w:rPr>
              <w:t>100%</w:t>
            </w:r>
          </w:p>
        </w:tc>
        <w:tc>
          <w:tcPr>
            <w:tcW w:w="354" w:type="pct"/>
          </w:tcPr>
          <w:p w14:paraId="656B18CB" w14:textId="77777777" w:rsidR="002A2DFB" w:rsidRPr="006B41FE" w:rsidRDefault="002A2DFB" w:rsidP="006B41FE">
            <w:pPr>
              <w:spacing w:after="0" w:line="240" w:lineRule="auto"/>
              <w:rPr>
                <w:rFonts w:cs="Segoe UI Light"/>
                <w:sz w:val="16"/>
                <w:szCs w:val="16"/>
              </w:rPr>
            </w:pPr>
            <w:r w:rsidRPr="006B41FE">
              <w:rPr>
                <w:rFonts w:cs="Segoe UI Light"/>
                <w:sz w:val="16"/>
                <w:szCs w:val="16"/>
              </w:rPr>
              <w:t>New fee</w:t>
            </w:r>
          </w:p>
        </w:tc>
      </w:tr>
      <w:tr w:rsidR="002A2DFB" w:rsidRPr="00A648FA" w14:paraId="1631B11E" w14:textId="77777777" w:rsidTr="00A86267">
        <w:trPr>
          <w:trHeight w:val="461"/>
        </w:trPr>
        <w:tc>
          <w:tcPr>
            <w:tcW w:w="511" w:type="pct"/>
          </w:tcPr>
          <w:p w14:paraId="4379D3D7" w14:textId="4072574E" w:rsidR="002A2DFB" w:rsidRPr="00CB51FF" w:rsidRDefault="002A2DFB" w:rsidP="002A2DFB">
            <w:pPr>
              <w:spacing w:after="0"/>
              <w:rPr>
                <w:rFonts w:cs="Segoe UI Light"/>
                <w:sz w:val="18"/>
              </w:rPr>
            </w:pPr>
            <w:r w:rsidRPr="00CB51FF">
              <w:rPr>
                <w:rFonts w:cs="Segoe UI Light"/>
                <w:sz w:val="18"/>
              </w:rPr>
              <w:t>Development/ Pilot project licences</w:t>
            </w:r>
          </w:p>
        </w:tc>
        <w:tc>
          <w:tcPr>
            <w:tcW w:w="420" w:type="pct"/>
          </w:tcPr>
          <w:p w14:paraId="33C0BB7E" w14:textId="7D8C32F6" w:rsidR="002A2DFB" w:rsidRPr="00CB51FF" w:rsidRDefault="002A2DFB" w:rsidP="002A2DFB">
            <w:pPr>
              <w:spacing w:after="0"/>
              <w:rPr>
                <w:rFonts w:cs="Segoe UI Light"/>
                <w:sz w:val="18"/>
              </w:rPr>
            </w:pPr>
            <w:r w:rsidRPr="00CB51FF">
              <w:rPr>
                <w:rFonts w:cs="Segoe UI Light"/>
                <w:sz w:val="18"/>
              </w:rPr>
              <w:t>Surrender</w:t>
            </w:r>
          </w:p>
        </w:tc>
        <w:tc>
          <w:tcPr>
            <w:tcW w:w="412" w:type="pct"/>
          </w:tcPr>
          <w:p w14:paraId="03E5A931" w14:textId="77777777" w:rsidR="002A2DFB" w:rsidRPr="00CB51FF" w:rsidRDefault="002A2DFB" w:rsidP="002A2DFB">
            <w:pPr>
              <w:spacing w:after="0"/>
              <w:rPr>
                <w:rFonts w:cs="Segoe UI Light"/>
                <w:sz w:val="18"/>
              </w:rPr>
            </w:pPr>
          </w:p>
        </w:tc>
        <w:tc>
          <w:tcPr>
            <w:tcW w:w="275" w:type="pct"/>
          </w:tcPr>
          <w:p w14:paraId="1C987D2B" w14:textId="068BF4B1" w:rsidR="002A2DFB" w:rsidRPr="00CB51FF" w:rsidRDefault="002A2DFB" w:rsidP="002A2DFB">
            <w:pPr>
              <w:spacing w:after="0"/>
              <w:rPr>
                <w:rFonts w:cs="Segoe UI Light"/>
                <w:sz w:val="18"/>
              </w:rPr>
            </w:pPr>
            <w:r w:rsidRPr="00CB51FF">
              <w:rPr>
                <w:rFonts w:cs="Segoe UI Light"/>
                <w:sz w:val="18"/>
              </w:rPr>
              <w:t xml:space="preserve">Unknown </w:t>
            </w:r>
          </w:p>
        </w:tc>
        <w:tc>
          <w:tcPr>
            <w:tcW w:w="389" w:type="pct"/>
          </w:tcPr>
          <w:p w14:paraId="21068F39" w14:textId="4236DE60" w:rsidR="002A2DFB" w:rsidRPr="00CB51FF" w:rsidRDefault="002A2DFB" w:rsidP="002A2DFB">
            <w:pPr>
              <w:spacing w:after="0"/>
              <w:rPr>
                <w:rFonts w:cs="Segoe UI Light"/>
                <w:sz w:val="18"/>
              </w:rPr>
            </w:pPr>
            <w:r w:rsidRPr="00CB51FF">
              <w:rPr>
                <w:rFonts w:cs="Segoe UI Light"/>
                <w:sz w:val="18"/>
              </w:rPr>
              <w:t xml:space="preserve">Unknown </w:t>
            </w:r>
          </w:p>
        </w:tc>
        <w:tc>
          <w:tcPr>
            <w:tcW w:w="348" w:type="pct"/>
          </w:tcPr>
          <w:p w14:paraId="13B144D1" w14:textId="4DFDEBEE" w:rsidR="002A2DFB" w:rsidRPr="00CB51FF" w:rsidRDefault="002A2DFB" w:rsidP="002A2DFB">
            <w:pPr>
              <w:spacing w:after="0"/>
              <w:rPr>
                <w:rFonts w:cs="Segoe UI Light"/>
                <w:sz w:val="18"/>
              </w:rPr>
            </w:pPr>
            <w:r w:rsidRPr="00CB51FF">
              <w:rPr>
                <w:rFonts w:cs="Segoe UI Light"/>
                <w:sz w:val="18"/>
              </w:rPr>
              <w:t xml:space="preserve">Unknown </w:t>
            </w:r>
          </w:p>
        </w:tc>
        <w:tc>
          <w:tcPr>
            <w:tcW w:w="372" w:type="pct"/>
          </w:tcPr>
          <w:p w14:paraId="12A9C7DE" w14:textId="2150E83F" w:rsidR="002A2DFB" w:rsidRPr="00CB51FF" w:rsidRDefault="002A2DFB" w:rsidP="002A2DFB">
            <w:pPr>
              <w:spacing w:after="0"/>
              <w:rPr>
                <w:rFonts w:cs="Segoe UI Light"/>
                <w:sz w:val="18"/>
              </w:rPr>
            </w:pPr>
            <w:r w:rsidRPr="00CB51FF">
              <w:rPr>
                <w:rFonts w:cs="Segoe UI Light"/>
                <w:sz w:val="18"/>
              </w:rPr>
              <w:t xml:space="preserve">Unknown </w:t>
            </w:r>
          </w:p>
        </w:tc>
        <w:tc>
          <w:tcPr>
            <w:tcW w:w="853" w:type="pct"/>
          </w:tcPr>
          <w:p w14:paraId="16653D22" w14:textId="37EA8A1C" w:rsidR="002A2DFB" w:rsidRPr="00A07276" w:rsidRDefault="002A2DFB" w:rsidP="002A2DFB">
            <w:pPr>
              <w:spacing w:after="0"/>
              <w:rPr>
                <w:rFonts w:cs="Segoe UI Light"/>
                <w:sz w:val="18"/>
              </w:rPr>
            </w:pPr>
            <w:r w:rsidRPr="00A07276">
              <w:rPr>
                <w:rFonts w:cs="Segoe UI Light"/>
                <w:sz w:val="18"/>
              </w:rPr>
              <w:t>No fee</w:t>
            </w:r>
          </w:p>
        </w:tc>
        <w:tc>
          <w:tcPr>
            <w:tcW w:w="410" w:type="pct"/>
          </w:tcPr>
          <w:p w14:paraId="44E6FEA5" w14:textId="3BC12A1D" w:rsidR="002A2DFB" w:rsidRPr="00CB51FF" w:rsidRDefault="002A2DFB" w:rsidP="002A2DFB">
            <w:pPr>
              <w:spacing w:after="0"/>
              <w:rPr>
                <w:rFonts w:cs="Segoe UI Light"/>
                <w:sz w:val="18"/>
              </w:rPr>
            </w:pPr>
            <w:r w:rsidRPr="00CB51FF">
              <w:rPr>
                <w:rFonts w:cs="Segoe UI Light"/>
                <w:sz w:val="18"/>
              </w:rPr>
              <w:t>-</w:t>
            </w:r>
          </w:p>
        </w:tc>
        <w:tc>
          <w:tcPr>
            <w:tcW w:w="353" w:type="pct"/>
          </w:tcPr>
          <w:p w14:paraId="6CC3C9BE" w14:textId="7C79817C" w:rsidR="002A2DFB" w:rsidRPr="00CB51FF" w:rsidRDefault="002A2DFB" w:rsidP="002A2DFB">
            <w:pPr>
              <w:spacing w:after="0"/>
              <w:rPr>
                <w:rFonts w:cs="Segoe UI Light"/>
                <w:sz w:val="18"/>
              </w:rPr>
            </w:pPr>
            <w:r w:rsidRPr="00CB51FF">
              <w:rPr>
                <w:rFonts w:cs="Segoe UI Light"/>
                <w:sz w:val="18"/>
              </w:rPr>
              <w:t>-</w:t>
            </w:r>
          </w:p>
        </w:tc>
        <w:tc>
          <w:tcPr>
            <w:tcW w:w="303" w:type="pct"/>
          </w:tcPr>
          <w:p w14:paraId="2E1F7B01" w14:textId="5C6961EA" w:rsidR="002A2DFB" w:rsidRPr="00CB51FF" w:rsidRDefault="002A2DFB" w:rsidP="002A2DFB">
            <w:pPr>
              <w:spacing w:after="0"/>
              <w:rPr>
                <w:rFonts w:cs="Segoe UI Light"/>
                <w:sz w:val="18"/>
              </w:rPr>
            </w:pPr>
            <w:r w:rsidRPr="00CB51FF">
              <w:rPr>
                <w:rFonts w:cs="Segoe UI Light"/>
                <w:sz w:val="18"/>
              </w:rPr>
              <w:t>0%</w:t>
            </w:r>
          </w:p>
        </w:tc>
        <w:tc>
          <w:tcPr>
            <w:tcW w:w="354" w:type="pct"/>
          </w:tcPr>
          <w:p w14:paraId="08BEAE4F" w14:textId="51DE2F30" w:rsidR="002A2DFB" w:rsidRPr="006B41FE" w:rsidRDefault="002A2DFB" w:rsidP="002A2DFB">
            <w:pPr>
              <w:spacing w:after="0" w:line="240" w:lineRule="auto"/>
              <w:rPr>
                <w:rFonts w:cs="Segoe UI Light"/>
                <w:sz w:val="16"/>
                <w:szCs w:val="16"/>
              </w:rPr>
            </w:pPr>
            <w:r w:rsidRPr="00737FF3">
              <w:rPr>
                <w:rFonts w:cs="Segoe UI Light"/>
                <w:sz w:val="16"/>
                <w:szCs w:val="16"/>
              </w:rPr>
              <w:t>NA</w:t>
            </w:r>
          </w:p>
        </w:tc>
      </w:tr>
      <w:tr w:rsidR="002A2DFB" w:rsidRPr="00A648FA" w14:paraId="656B18E6" w14:textId="77777777" w:rsidTr="00A86267">
        <w:trPr>
          <w:trHeight w:val="1180"/>
        </w:trPr>
        <w:tc>
          <w:tcPr>
            <w:tcW w:w="511" w:type="pct"/>
          </w:tcPr>
          <w:p w14:paraId="656B18DA" w14:textId="77777777" w:rsidR="002A2DFB" w:rsidRPr="00A07276" w:rsidRDefault="002A2DFB" w:rsidP="002A2DFB">
            <w:pPr>
              <w:spacing w:after="0" w:line="240" w:lineRule="auto"/>
              <w:rPr>
                <w:rFonts w:cs="Segoe UI Light"/>
                <w:sz w:val="18"/>
              </w:rPr>
            </w:pPr>
            <w:r w:rsidRPr="00CB51FF">
              <w:rPr>
                <w:rFonts w:cs="Segoe UI Light"/>
                <w:sz w:val="18"/>
              </w:rPr>
              <w:t>Pilot project licence</w:t>
            </w:r>
          </w:p>
        </w:tc>
        <w:tc>
          <w:tcPr>
            <w:tcW w:w="420" w:type="pct"/>
          </w:tcPr>
          <w:p w14:paraId="656B18DB" w14:textId="77777777" w:rsidR="002A2DFB" w:rsidRPr="00A07276" w:rsidRDefault="002A2DFB" w:rsidP="002A2DFB">
            <w:pPr>
              <w:spacing w:after="0"/>
              <w:rPr>
                <w:rFonts w:cs="Segoe UI Light"/>
                <w:sz w:val="18"/>
              </w:rPr>
            </w:pPr>
            <w:r w:rsidRPr="00CB51FF">
              <w:rPr>
                <w:rFonts w:cs="Segoe UI Light"/>
                <w:sz w:val="18"/>
              </w:rPr>
              <w:t>Application</w:t>
            </w:r>
          </w:p>
        </w:tc>
        <w:tc>
          <w:tcPr>
            <w:tcW w:w="412" w:type="pct"/>
          </w:tcPr>
          <w:p w14:paraId="656B18DC" w14:textId="77777777" w:rsidR="002A2DFB" w:rsidRPr="00CB51FF" w:rsidRDefault="002A2DFB" w:rsidP="002A2DFB">
            <w:pPr>
              <w:spacing w:after="0"/>
              <w:rPr>
                <w:rFonts w:cs="Segoe UI Light"/>
                <w:sz w:val="18"/>
              </w:rPr>
            </w:pPr>
            <w:r w:rsidRPr="00CB51FF">
              <w:rPr>
                <w:rFonts w:cs="Segoe UI Light"/>
                <w:sz w:val="18"/>
              </w:rPr>
              <w:t>-</w:t>
            </w:r>
          </w:p>
        </w:tc>
        <w:tc>
          <w:tcPr>
            <w:tcW w:w="275" w:type="pct"/>
          </w:tcPr>
          <w:p w14:paraId="656B18DD" w14:textId="77777777" w:rsidR="002A2DFB" w:rsidRPr="00D761CE" w:rsidRDefault="002A2DFB" w:rsidP="002A2DFB">
            <w:pPr>
              <w:spacing w:after="0"/>
              <w:rPr>
                <w:rFonts w:cs="Segoe UI Light"/>
                <w:sz w:val="18"/>
              </w:rPr>
            </w:pPr>
            <w:r w:rsidRPr="00D761CE">
              <w:rPr>
                <w:rFonts w:cs="Segoe UI Light"/>
                <w:sz w:val="18"/>
              </w:rPr>
              <w:t>5</w:t>
            </w:r>
          </w:p>
        </w:tc>
        <w:tc>
          <w:tcPr>
            <w:tcW w:w="389" w:type="pct"/>
          </w:tcPr>
          <w:p w14:paraId="656B18DE" w14:textId="3AF3AD3F" w:rsidR="002A2DFB" w:rsidRPr="00D761CE" w:rsidRDefault="002A2DFB" w:rsidP="002A2DFB">
            <w:pPr>
              <w:spacing w:after="0"/>
              <w:rPr>
                <w:rFonts w:cs="Segoe UI Light"/>
                <w:sz w:val="18"/>
              </w:rPr>
            </w:pPr>
            <w:r w:rsidRPr="00D761CE">
              <w:rPr>
                <w:rFonts w:cs="Segoe UI Light"/>
                <w:sz w:val="18"/>
              </w:rPr>
              <w:t>237.</w:t>
            </w:r>
            <w:r w:rsidR="004952FE" w:rsidRPr="00D761CE">
              <w:rPr>
                <w:rFonts w:cs="Segoe UI Light"/>
                <w:sz w:val="18"/>
              </w:rPr>
              <w:t>91</w:t>
            </w:r>
          </w:p>
        </w:tc>
        <w:tc>
          <w:tcPr>
            <w:tcW w:w="348" w:type="pct"/>
          </w:tcPr>
          <w:p w14:paraId="656B18DF" w14:textId="46E17436" w:rsidR="002A2DFB" w:rsidRPr="000D7D82" w:rsidRDefault="002A2DFB" w:rsidP="002A2DFB">
            <w:pPr>
              <w:spacing w:after="0"/>
              <w:rPr>
                <w:rFonts w:cs="Segoe UI Light"/>
                <w:sz w:val="18"/>
              </w:rPr>
            </w:pPr>
            <w:r w:rsidRPr="000D7D82">
              <w:rPr>
                <w:rFonts w:cs="Segoe UI Light"/>
                <w:sz w:val="18"/>
              </w:rPr>
              <w:t xml:space="preserve"> $24,658.11 </w:t>
            </w:r>
          </w:p>
        </w:tc>
        <w:tc>
          <w:tcPr>
            <w:tcW w:w="372" w:type="pct"/>
          </w:tcPr>
          <w:p w14:paraId="656B18E0" w14:textId="314A1125" w:rsidR="002A2DFB" w:rsidRPr="000D7D82" w:rsidRDefault="002A2DFB" w:rsidP="002A2DFB">
            <w:pPr>
              <w:spacing w:after="0"/>
              <w:rPr>
                <w:rFonts w:cs="Segoe UI Light"/>
                <w:sz w:val="18"/>
              </w:rPr>
            </w:pPr>
            <w:r w:rsidRPr="000D7D82">
              <w:rPr>
                <w:rFonts w:cs="Segoe UI Light"/>
                <w:sz w:val="18"/>
              </w:rPr>
              <w:t xml:space="preserve"> $123,29</w:t>
            </w:r>
            <w:r w:rsidR="00F40806">
              <w:rPr>
                <w:rFonts w:cs="Segoe UI Light"/>
                <w:sz w:val="18"/>
              </w:rPr>
              <w:t>0.55</w:t>
            </w:r>
            <w:r w:rsidRPr="000D7D82">
              <w:rPr>
                <w:rFonts w:cs="Segoe UI Light"/>
                <w:sz w:val="18"/>
              </w:rPr>
              <w:t xml:space="preserve"> </w:t>
            </w:r>
          </w:p>
        </w:tc>
        <w:tc>
          <w:tcPr>
            <w:tcW w:w="853" w:type="pct"/>
          </w:tcPr>
          <w:p w14:paraId="656B18E1" w14:textId="77777777" w:rsidR="002A2DFB" w:rsidRPr="000D7D82" w:rsidRDefault="002A2DFB" w:rsidP="002A2DFB">
            <w:pPr>
              <w:spacing w:after="0"/>
              <w:rPr>
                <w:rFonts w:cs="Segoe UI Light"/>
                <w:sz w:val="18"/>
              </w:rPr>
            </w:pPr>
            <w:r w:rsidRPr="000D7D82">
              <w:rPr>
                <w:rFonts w:cs="Segoe UI Light"/>
                <w:sz w:val="18"/>
              </w:rPr>
              <w:t>1047.39 fee units on application plus 7.18 fee units per hour for assessments exceeding 145.9 hours up to a maximum of 2361.11 fee units.</w:t>
            </w:r>
          </w:p>
        </w:tc>
        <w:tc>
          <w:tcPr>
            <w:tcW w:w="410" w:type="pct"/>
          </w:tcPr>
          <w:p w14:paraId="656B18E2" w14:textId="63950695" w:rsidR="002A2DFB" w:rsidRPr="000D7D82" w:rsidRDefault="002A2DFB" w:rsidP="002A2DFB">
            <w:pPr>
              <w:spacing w:after="0"/>
              <w:rPr>
                <w:rFonts w:cs="Segoe UI Light"/>
                <w:sz w:val="18"/>
              </w:rPr>
            </w:pPr>
            <w:r w:rsidRPr="000D7D82">
              <w:rPr>
                <w:rFonts w:cs="Segoe UI Light"/>
                <w:sz w:val="18"/>
              </w:rPr>
              <w:t xml:space="preserve"> $24,658.11</w:t>
            </w:r>
          </w:p>
        </w:tc>
        <w:tc>
          <w:tcPr>
            <w:tcW w:w="353" w:type="pct"/>
          </w:tcPr>
          <w:p w14:paraId="656B18E3" w14:textId="01808852" w:rsidR="002A2DFB" w:rsidRPr="000D7D82" w:rsidRDefault="002A2DFB" w:rsidP="002A2DFB">
            <w:pPr>
              <w:spacing w:after="0"/>
              <w:rPr>
                <w:rFonts w:cs="Segoe UI Light"/>
                <w:sz w:val="18"/>
              </w:rPr>
            </w:pPr>
            <w:r w:rsidRPr="000D7D82">
              <w:rPr>
                <w:rFonts w:cs="Segoe UI Light"/>
                <w:sz w:val="18"/>
              </w:rPr>
              <w:t xml:space="preserve"> $123,29</w:t>
            </w:r>
            <w:r w:rsidR="00F40806">
              <w:rPr>
                <w:rFonts w:cs="Segoe UI Light"/>
                <w:sz w:val="18"/>
              </w:rPr>
              <w:t>0.55</w:t>
            </w:r>
          </w:p>
        </w:tc>
        <w:tc>
          <w:tcPr>
            <w:tcW w:w="303" w:type="pct"/>
          </w:tcPr>
          <w:p w14:paraId="656B18E4" w14:textId="77777777" w:rsidR="002A2DFB" w:rsidRPr="000D7D82" w:rsidRDefault="002A2DFB" w:rsidP="002A2DFB">
            <w:pPr>
              <w:spacing w:after="0"/>
              <w:rPr>
                <w:rFonts w:cs="Segoe UI Light"/>
                <w:sz w:val="18"/>
              </w:rPr>
            </w:pPr>
            <w:r w:rsidRPr="000D7D82">
              <w:rPr>
                <w:rFonts w:cs="Segoe UI Light"/>
                <w:sz w:val="18"/>
              </w:rPr>
              <w:t>100%</w:t>
            </w:r>
          </w:p>
        </w:tc>
        <w:tc>
          <w:tcPr>
            <w:tcW w:w="354" w:type="pct"/>
          </w:tcPr>
          <w:p w14:paraId="656B18E5" w14:textId="374623C3" w:rsidR="002A2DFB" w:rsidRPr="00737FF3" w:rsidRDefault="002A2DFB" w:rsidP="002A2DFB">
            <w:pPr>
              <w:spacing w:after="0" w:line="240" w:lineRule="auto"/>
              <w:rPr>
                <w:rFonts w:cs="Segoe UI Light"/>
                <w:sz w:val="16"/>
                <w:szCs w:val="16"/>
              </w:rPr>
            </w:pPr>
            <w:r w:rsidRPr="00737FF3">
              <w:rPr>
                <w:rFonts w:cs="Segoe UI Light"/>
                <w:sz w:val="16"/>
                <w:szCs w:val="16"/>
              </w:rPr>
              <w:t xml:space="preserve">New design  </w:t>
            </w:r>
          </w:p>
        </w:tc>
      </w:tr>
      <w:tr w:rsidR="002A2DFB" w:rsidRPr="00A648FA" w14:paraId="656B18F3" w14:textId="77777777" w:rsidTr="00A86267">
        <w:trPr>
          <w:trHeight w:val="216"/>
        </w:trPr>
        <w:tc>
          <w:tcPr>
            <w:tcW w:w="511" w:type="pct"/>
          </w:tcPr>
          <w:p w14:paraId="656B18E7" w14:textId="77777777" w:rsidR="002A2DFB" w:rsidRPr="00A07276" w:rsidRDefault="002A2DFB" w:rsidP="002A2DFB">
            <w:pPr>
              <w:spacing w:after="0"/>
              <w:rPr>
                <w:rFonts w:cs="Segoe UI Light"/>
                <w:sz w:val="18"/>
              </w:rPr>
            </w:pPr>
            <w:r w:rsidRPr="00CB51FF">
              <w:rPr>
                <w:rFonts w:cs="Segoe UI Light"/>
                <w:sz w:val="18"/>
              </w:rPr>
              <w:t>Operating licence</w:t>
            </w:r>
          </w:p>
        </w:tc>
        <w:tc>
          <w:tcPr>
            <w:tcW w:w="420" w:type="pct"/>
          </w:tcPr>
          <w:p w14:paraId="656B18E8" w14:textId="77777777" w:rsidR="002A2DFB" w:rsidRPr="00A07276" w:rsidRDefault="002A2DFB" w:rsidP="002A2DFB">
            <w:pPr>
              <w:spacing w:after="0"/>
              <w:rPr>
                <w:rFonts w:cs="Segoe UI Light"/>
                <w:sz w:val="18"/>
              </w:rPr>
            </w:pPr>
            <w:r w:rsidRPr="00CB51FF">
              <w:rPr>
                <w:rFonts w:cs="Segoe UI Light"/>
                <w:sz w:val="18"/>
              </w:rPr>
              <w:t>Application</w:t>
            </w:r>
          </w:p>
        </w:tc>
        <w:tc>
          <w:tcPr>
            <w:tcW w:w="412" w:type="pct"/>
          </w:tcPr>
          <w:p w14:paraId="656B18E9" w14:textId="77777777" w:rsidR="002A2DFB" w:rsidRPr="00CB51FF" w:rsidRDefault="002A2DFB" w:rsidP="002A2DFB">
            <w:pPr>
              <w:spacing w:after="0"/>
              <w:rPr>
                <w:rFonts w:cs="Segoe UI Light"/>
                <w:sz w:val="18"/>
              </w:rPr>
            </w:pPr>
            <w:r w:rsidRPr="00CB51FF">
              <w:rPr>
                <w:rFonts w:cs="Segoe UI Light"/>
                <w:sz w:val="18"/>
              </w:rPr>
              <w:t>-</w:t>
            </w:r>
          </w:p>
        </w:tc>
        <w:tc>
          <w:tcPr>
            <w:tcW w:w="275" w:type="pct"/>
          </w:tcPr>
          <w:p w14:paraId="656B18EA" w14:textId="77777777" w:rsidR="002A2DFB" w:rsidRPr="00CB51FF" w:rsidRDefault="002A2DFB" w:rsidP="002A2DFB">
            <w:pPr>
              <w:spacing w:after="0"/>
              <w:rPr>
                <w:rFonts w:cs="Segoe UI Light"/>
                <w:sz w:val="18"/>
              </w:rPr>
            </w:pPr>
            <w:r w:rsidRPr="00CB51FF">
              <w:rPr>
                <w:rFonts w:cs="Segoe UI Light"/>
                <w:sz w:val="18"/>
              </w:rPr>
              <w:t>4</w:t>
            </w:r>
          </w:p>
        </w:tc>
        <w:tc>
          <w:tcPr>
            <w:tcW w:w="389" w:type="pct"/>
          </w:tcPr>
          <w:p w14:paraId="656B18EB" w14:textId="145A6AE9" w:rsidR="002A2DFB" w:rsidRPr="000D7D82" w:rsidRDefault="002A2DFB" w:rsidP="002A2DFB">
            <w:pPr>
              <w:spacing w:after="0"/>
              <w:rPr>
                <w:rFonts w:cs="Segoe UI Light"/>
                <w:sz w:val="18"/>
              </w:rPr>
            </w:pPr>
            <w:r w:rsidRPr="000D7D82">
              <w:rPr>
                <w:rFonts w:cs="Segoe UI Light"/>
                <w:sz w:val="18"/>
              </w:rPr>
              <w:t>58.4</w:t>
            </w:r>
            <w:r w:rsidR="00610D9B">
              <w:rPr>
                <w:rFonts w:cs="Segoe UI Light"/>
                <w:sz w:val="18"/>
              </w:rPr>
              <w:t>3</w:t>
            </w:r>
          </w:p>
        </w:tc>
        <w:tc>
          <w:tcPr>
            <w:tcW w:w="348" w:type="pct"/>
          </w:tcPr>
          <w:p w14:paraId="656B18EC" w14:textId="3AFA5707" w:rsidR="002A2DFB" w:rsidRPr="000D7D82" w:rsidRDefault="002A2DFB" w:rsidP="002A2DFB">
            <w:pPr>
              <w:spacing w:after="0"/>
              <w:rPr>
                <w:rFonts w:cs="Segoe UI Light"/>
                <w:sz w:val="18"/>
              </w:rPr>
            </w:pPr>
            <w:r w:rsidRPr="000D7D82">
              <w:rPr>
                <w:rFonts w:cs="Segoe UI Light"/>
                <w:sz w:val="18"/>
              </w:rPr>
              <w:t xml:space="preserve"> $</w:t>
            </w:r>
            <w:r w:rsidR="00610D9B">
              <w:rPr>
                <w:rFonts w:cs="Segoe UI Light"/>
                <w:sz w:val="18"/>
              </w:rPr>
              <w:t>5,51</w:t>
            </w:r>
            <w:r w:rsidR="00F40806">
              <w:rPr>
                <w:rFonts w:cs="Segoe UI Light"/>
                <w:sz w:val="18"/>
              </w:rPr>
              <w:t>2.91</w:t>
            </w:r>
            <w:r w:rsidRPr="000D7D82">
              <w:rPr>
                <w:rFonts w:cs="Segoe UI Light"/>
                <w:sz w:val="18"/>
              </w:rPr>
              <w:t xml:space="preserve"> </w:t>
            </w:r>
          </w:p>
        </w:tc>
        <w:tc>
          <w:tcPr>
            <w:tcW w:w="372" w:type="pct"/>
          </w:tcPr>
          <w:p w14:paraId="656B18ED" w14:textId="30E98BF3" w:rsidR="002A2DFB" w:rsidRPr="000D7D82" w:rsidRDefault="002A2DFB" w:rsidP="002A2DFB">
            <w:pPr>
              <w:spacing w:after="0"/>
              <w:rPr>
                <w:rFonts w:cs="Segoe UI Light"/>
                <w:sz w:val="18"/>
              </w:rPr>
            </w:pPr>
            <w:r w:rsidRPr="000D7D82">
              <w:rPr>
                <w:rFonts w:cs="Segoe UI Light"/>
                <w:sz w:val="18"/>
              </w:rPr>
              <w:t xml:space="preserve"> $</w:t>
            </w:r>
            <w:r w:rsidR="00610D9B">
              <w:rPr>
                <w:rFonts w:cs="Segoe UI Light"/>
                <w:sz w:val="18"/>
              </w:rPr>
              <w:t>22,05</w:t>
            </w:r>
            <w:r w:rsidR="00F40806">
              <w:rPr>
                <w:rFonts w:cs="Segoe UI Light"/>
                <w:sz w:val="18"/>
              </w:rPr>
              <w:t>1.64</w:t>
            </w:r>
            <w:r w:rsidRPr="000D7D82">
              <w:rPr>
                <w:rFonts w:cs="Segoe UI Light"/>
                <w:sz w:val="18"/>
              </w:rPr>
              <w:t xml:space="preserve"> </w:t>
            </w:r>
          </w:p>
        </w:tc>
        <w:tc>
          <w:tcPr>
            <w:tcW w:w="853" w:type="pct"/>
          </w:tcPr>
          <w:p w14:paraId="656B18EE" w14:textId="77777777" w:rsidR="002A2DFB" w:rsidRPr="000D7D82" w:rsidRDefault="002A2DFB" w:rsidP="002A2DFB">
            <w:pPr>
              <w:spacing w:after="0"/>
              <w:rPr>
                <w:rFonts w:cs="Segoe UI Light"/>
                <w:sz w:val="18"/>
              </w:rPr>
            </w:pPr>
            <w:r w:rsidRPr="000D7D82">
              <w:rPr>
                <w:rFonts w:cs="Segoe UI Light"/>
                <w:sz w:val="18"/>
              </w:rPr>
              <w:t>84.78 fee units on application plus 6.53 fee units per hour for assessments exceeding 13 hours up to a maximum of 965.35 fee units.</w:t>
            </w:r>
          </w:p>
        </w:tc>
        <w:tc>
          <w:tcPr>
            <w:tcW w:w="410" w:type="pct"/>
          </w:tcPr>
          <w:p w14:paraId="656B18EF" w14:textId="0AAAB782" w:rsidR="002A2DFB" w:rsidRPr="000D7D82" w:rsidRDefault="002A2DFB" w:rsidP="002A2DFB">
            <w:pPr>
              <w:spacing w:after="0"/>
              <w:rPr>
                <w:rFonts w:cs="Segoe UI Light"/>
                <w:sz w:val="18"/>
              </w:rPr>
            </w:pPr>
            <w:r w:rsidRPr="000D7D82">
              <w:rPr>
                <w:rFonts w:cs="Segoe UI Light"/>
                <w:sz w:val="18"/>
              </w:rPr>
              <w:t xml:space="preserve"> $</w:t>
            </w:r>
            <w:r w:rsidR="00610D9B">
              <w:rPr>
                <w:rFonts w:cs="Segoe UI Light"/>
                <w:sz w:val="18"/>
              </w:rPr>
              <w:t>5,51</w:t>
            </w:r>
            <w:r w:rsidR="00F40806">
              <w:rPr>
                <w:rFonts w:cs="Segoe UI Light"/>
                <w:sz w:val="18"/>
              </w:rPr>
              <w:t>2.91</w:t>
            </w:r>
            <w:r w:rsidRPr="000D7D82">
              <w:rPr>
                <w:rFonts w:cs="Segoe UI Light"/>
                <w:sz w:val="18"/>
              </w:rPr>
              <w:t xml:space="preserve"> </w:t>
            </w:r>
          </w:p>
        </w:tc>
        <w:tc>
          <w:tcPr>
            <w:tcW w:w="353" w:type="pct"/>
          </w:tcPr>
          <w:p w14:paraId="656B18F0" w14:textId="524E9B9D" w:rsidR="002A2DFB" w:rsidRPr="000D7D82" w:rsidRDefault="002A2DFB" w:rsidP="002A2DFB">
            <w:pPr>
              <w:spacing w:after="0"/>
              <w:rPr>
                <w:rFonts w:cs="Segoe UI Light"/>
                <w:sz w:val="18"/>
              </w:rPr>
            </w:pPr>
            <w:r w:rsidRPr="000D7D82">
              <w:rPr>
                <w:rFonts w:cs="Segoe UI Light"/>
                <w:sz w:val="18"/>
              </w:rPr>
              <w:t xml:space="preserve"> $</w:t>
            </w:r>
            <w:r w:rsidR="00610D9B">
              <w:rPr>
                <w:rFonts w:cs="Segoe UI Light"/>
                <w:sz w:val="18"/>
              </w:rPr>
              <w:t>22,05</w:t>
            </w:r>
            <w:r w:rsidR="00F40806">
              <w:rPr>
                <w:rFonts w:cs="Segoe UI Light"/>
                <w:sz w:val="18"/>
              </w:rPr>
              <w:t>1.64</w:t>
            </w:r>
            <w:r w:rsidRPr="000D7D82">
              <w:rPr>
                <w:rFonts w:cs="Segoe UI Light"/>
                <w:sz w:val="18"/>
              </w:rPr>
              <w:t xml:space="preserve"> </w:t>
            </w:r>
          </w:p>
        </w:tc>
        <w:tc>
          <w:tcPr>
            <w:tcW w:w="303" w:type="pct"/>
          </w:tcPr>
          <w:p w14:paraId="656B18F1" w14:textId="77777777" w:rsidR="002A2DFB" w:rsidRPr="000D7D82" w:rsidRDefault="002A2DFB" w:rsidP="002A2DFB">
            <w:pPr>
              <w:spacing w:after="0"/>
              <w:rPr>
                <w:rFonts w:cs="Segoe UI Light"/>
                <w:sz w:val="18"/>
              </w:rPr>
            </w:pPr>
            <w:r w:rsidRPr="000D7D82">
              <w:rPr>
                <w:rFonts w:cs="Segoe UI Light"/>
                <w:sz w:val="18"/>
              </w:rPr>
              <w:t>100%</w:t>
            </w:r>
          </w:p>
        </w:tc>
        <w:tc>
          <w:tcPr>
            <w:tcW w:w="354" w:type="pct"/>
          </w:tcPr>
          <w:p w14:paraId="656B18F2" w14:textId="77777777" w:rsidR="002A2DFB" w:rsidRPr="00737FF3" w:rsidRDefault="002A2DFB" w:rsidP="002A2DFB">
            <w:pPr>
              <w:spacing w:after="0" w:line="240" w:lineRule="auto"/>
              <w:rPr>
                <w:rFonts w:cs="Segoe UI Light"/>
                <w:sz w:val="16"/>
                <w:szCs w:val="16"/>
              </w:rPr>
            </w:pPr>
            <w:r w:rsidRPr="00737FF3">
              <w:rPr>
                <w:rFonts w:cs="Segoe UI Light"/>
                <w:sz w:val="16"/>
                <w:szCs w:val="16"/>
              </w:rPr>
              <w:t>New fee</w:t>
            </w:r>
          </w:p>
        </w:tc>
      </w:tr>
      <w:tr w:rsidR="002A2DFB" w:rsidRPr="00A648FA" w14:paraId="656B1905" w14:textId="77777777" w:rsidTr="00A86267">
        <w:trPr>
          <w:trHeight w:val="216"/>
        </w:trPr>
        <w:tc>
          <w:tcPr>
            <w:tcW w:w="511" w:type="pct"/>
          </w:tcPr>
          <w:p w14:paraId="656B18F4" w14:textId="77777777" w:rsidR="002A2DFB" w:rsidRPr="00CB51FF" w:rsidRDefault="002A2DFB" w:rsidP="002A2DFB">
            <w:pPr>
              <w:spacing w:after="0"/>
              <w:rPr>
                <w:rFonts w:cs="Segoe UI Light"/>
                <w:sz w:val="18"/>
              </w:rPr>
            </w:pPr>
            <w:r w:rsidRPr="00CB51FF">
              <w:rPr>
                <w:rFonts w:cs="Segoe UI Light"/>
                <w:sz w:val="18"/>
              </w:rPr>
              <w:t>Operating licence</w:t>
            </w:r>
          </w:p>
          <w:p w14:paraId="656B18F5" w14:textId="77777777" w:rsidR="002A2DFB" w:rsidRPr="00A07276" w:rsidRDefault="002A2DFB" w:rsidP="002A2DFB">
            <w:pPr>
              <w:spacing w:after="0"/>
              <w:rPr>
                <w:rFonts w:cs="Segoe UI Light"/>
                <w:sz w:val="18"/>
              </w:rPr>
            </w:pPr>
          </w:p>
        </w:tc>
        <w:tc>
          <w:tcPr>
            <w:tcW w:w="420" w:type="pct"/>
          </w:tcPr>
          <w:p w14:paraId="656B18F6" w14:textId="77777777" w:rsidR="002A2DFB" w:rsidRPr="00CB51FF" w:rsidRDefault="002A2DFB" w:rsidP="002A2DFB">
            <w:pPr>
              <w:spacing w:after="0"/>
              <w:rPr>
                <w:rFonts w:cs="Segoe UI Light"/>
                <w:sz w:val="18"/>
              </w:rPr>
            </w:pPr>
            <w:r w:rsidRPr="00CB51FF">
              <w:rPr>
                <w:rFonts w:cs="Segoe UI Light"/>
                <w:sz w:val="18"/>
              </w:rPr>
              <w:t>Annual</w:t>
            </w:r>
          </w:p>
          <w:p w14:paraId="656B18F7" w14:textId="77777777" w:rsidR="002A2DFB" w:rsidRPr="00A07276" w:rsidRDefault="002A2DFB" w:rsidP="002A2DFB">
            <w:pPr>
              <w:spacing w:after="0"/>
              <w:rPr>
                <w:rFonts w:cs="Segoe UI Light"/>
                <w:sz w:val="18"/>
              </w:rPr>
            </w:pPr>
          </w:p>
        </w:tc>
        <w:tc>
          <w:tcPr>
            <w:tcW w:w="412" w:type="pct"/>
          </w:tcPr>
          <w:p w14:paraId="656B18F8" w14:textId="77777777" w:rsidR="002A2DFB" w:rsidRPr="00CB51FF" w:rsidRDefault="002A2DFB" w:rsidP="002A2DFB">
            <w:pPr>
              <w:spacing w:after="0"/>
              <w:rPr>
                <w:rFonts w:cs="Segoe UI Light"/>
                <w:sz w:val="18"/>
              </w:rPr>
            </w:pPr>
            <w:r w:rsidRPr="00CB51FF">
              <w:rPr>
                <w:rFonts w:cs="Segoe UI Light"/>
                <w:sz w:val="18"/>
              </w:rPr>
              <w:t>-</w:t>
            </w:r>
          </w:p>
        </w:tc>
        <w:tc>
          <w:tcPr>
            <w:tcW w:w="275" w:type="pct"/>
          </w:tcPr>
          <w:p w14:paraId="656B18F9" w14:textId="77777777" w:rsidR="002A2DFB" w:rsidRPr="00CB51FF" w:rsidRDefault="002A2DFB" w:rsidP="002A2DFB">
            <w:pPr>
              <w:spacing w:after="0"/>
              <w:rPr>
                <w:rFonts w:cs="Segoe UI Light"/>
                <w:sz w:val="18"/>
              </w:rPr>
            </w:pPr>
            <w:r w:rsidRPr="00CB51FF">
              <w:rPr>
                <w:rFonts w:cs="Segoe UI Light"/>
                <w:sz w:val="18"/>
              </w:rPr>
              <w:t>680</w:t>
            </w:r>
          </w:p>
        </w:tc>
        <w:tc>
          <w:tcPr>
            <w:tcW w:w="389" w:type="pct"/>
          </w:tcPr>
          <w:p w14:paraId="656B18FA" w14:textId="77777777" w:rsidR="002A2DFB" w:rsidRPr="00CB51FF" w:rsidRDefault="002A2DFB" w:rsidP="002A2DFB">
            <w:pPr>
              <w:spacing w:after="0"/>
              <w:rPr>
                <w:rFonts w:cs="Segoe UI Light"/>
                <w:sz w:val="18"/>
              </w:rPr>
            </w:pPr>
            <w:r w:rsidRPr="00CB51FF">
              <w:rPr>
                <w:rFonts w:cs="Segoe UI Light"/>
                <w:sz w:val="18"/>
              </w:rPr>
              <w:t>-</w:t>
            </w:r>
          </w:p>
        </w:tc>
        <w:tc>
          <w:tcPr>
            <w:tcW w:w="348" w:type="pct"/>
          </w:tcPr>
          <w:p w14:paraId="72BF488C" w14:textId="2CB4C861" w:rsidR="002A2DFB" w:rsidRDefault="002A2DFB" w:rsidP="002A2DFB">
            <w:pPr>
              <w:spacing w:after="0"/>
              <w:rPr>
                <w:rFonts w:cs="Segoe UI Light"/>
                <w:sz w:val="18"/>
              </w:rPr>
            </w:pPr>
            <w:r w:rsidRPr="00CB51FF">
              <w:rPr>
                <w:rFonts w:cs="Segoe UI Light"/>
                <w:sz w:val="18"/>
              </w:rPr>
              <w:t>$13,</w:t>
            </w:r>
            <w:r w:rsidR="00D761CE">
              <w:rPr>
                <w:rFonts w:cs="Segoe UI Light"/>
                <w:sz w:val="18"/>
              </w:rPr>
              <w:t>939.00</w:t>
            </w:r>
          </w:p>
          <w:p w14:paraId="656B18FB" w14:textId="22996B8A" w:rsidR="00EA6859" w:rsidRPr="00CB51FF" w:rsidRDefault="00EA6859" w:rsidP="002A2DFB">
            <w:pPr>
              <w:spacing w:after="0"/>
              <w:rPr>
                <w:rFonts w:cs="Segoe UI Light"/>
                <w:sz w:val="18"/>
              </w:rPr>
            </w:pPr>
          </w:p>
        </w:tc>
        <w:tc>
          <w:tcPr>
            <w:tcW w:w="372" w:type="pct"/>
          </w:tcPr>
          <w:p w14:paraId="656B18FC" w14:textId="039184F3" w:rsidR="002A2DFB" w:rsidRPr="00CB51FF" w:rsidRDefault="002A2DFB" w:rsidP="002A2DFB">
            <w:pPr>
              <w:spacing w:after="0"/>
              <w:rPr>
                <w:rFonts w:cs="Segoe UI Light"/>
                <w:sz w:val="18"/>
              </w:rPr>
            </w:pPr>
            <w:r w:rsidRPr="00CB51FF">
              <w:rPr>
                <w:rFonts w:cs="Segoe UI Light"/>
                <w:sz w:val="18"/>
              </w:rPr>
              <w:t>$9,</w:t>
            </w:r>
            <w:r w:rsidR="00D761CE">
              <w:rPr>
                <w:rFonts w:cs="Segoe UI Light"/>
                <w:sz w:val="18"/>
              </w:rPr>
              <w:t>478,241</w:t>
            </w:r>
            <w:r w:rsidR="001E3AF7">
              <w:rPr>
                <w:rFonts w:cs="Segoe UI Light"/>
                <w:sz w:val="18"/>
              </w:rPr>
              <w:t>.00</w:t>
            </w:r>
          </w:p>
        </w:tc>
        <w:tc>
          <w:tcPr>
            <w:tcW w:w="853" w:type="pct"/>
          </w:tcPr>
          <w:p w14:paraId="656B18FD" w14:textId="77777777" w:rsidR="002A2DFB" w:rsidRPr="00CB51FF" w:rsidRDefault="002A2DFB" w:rsidP="002A2DFB">
            <w:pPr>
              <w:spacing w:after="0"/>
              <w:rPr>
                <w:rFonts w:cs="Segoe UI Light"/>
                <w:sz w:val="18"/>
              </w:rPr>
            </w:pPr>
            <w:r w:rsidRPr="00A07276">
              <w:rPr>
                <w:rFonts w:cs="Segoe UI Light"/>
                <w:sz w:val="18"/>
              </w:rPr>
              <w:t>Existing annual fee (capped at 42000 fee units)</w:t>
            </w:r>
          </w:p>
        </w:tc>
        <w:tc>
          <w:tcPr>
            <w:tcW w:w="410" w:type="pct"/>
          </w:tcPr>
          <w:p w14:paraId="656B18FE" w14:textId="2E77EBC2" w:rsidR="002A2DFB" w:rsidRPr="00CB51FF" w:rsidRDefault="002A2DFB" w:rsidP="002A2DFB">
            <w:pPr>
              <w:spacing w:after="0"/>
              <w:rPr>
                <w:rFonts w:cs="Segoe UI Light"/>
                <w:sz w:val="18"/>
              </w:rPr>
            </w:pPr>
            <w:r w:rsidRPr="00CB51FF">
              <w:rPr>
                <w:rFonts w:cs="Segoe UI Light"/>
                <w:sz w:val="18"/>
              </w:rPr>
              <w:t>$17,</w:t>
            </w:r>
            <w:r w:rsidR="001E3AF7" w:rsidRPr="00CB51FF">
              <w:rPr>
                <w:rFonts w:cs="Segoe UI Light"/>
                <w:sz w:val="18"/>
              </w:rPr>
              <w:t>79</w:t>
            </w:r>
            <w:r w:rsidR="001E3AF7">
              <w:rPr>
                <w:rFonts w:cs="Segoe UI Light"/>
                <w:sz w:val="18"/>
              </w:rPr>
              <w:t>4.11</w:t>
            </w:r>
          </w:p>
        </w:tc>
        <w:tc>
          <w:tcPr>
            <w:tcW w:w="353" w:type="pct"/>
          </w:tcPr>
          <w:p w14:paraId="656B18FF" w14:textId="77777777" w:rsidR="002A2DFB" w:rsidRPr="00CB51FF" w:rsidRDefault="002A2DFB" w:rsidP="002A2DFB">
            <w:pPr>
              <w:spacing w:after="0"/>
              <w:rPr>
                <w:rFonts w:cs="Segoe UI Light"/>
                <w:sz w:val="18"/>
              </w:rPr>
            </w:pPr>
            <w:r>
              <w:rPr>
                <w:rFonts w:cs="Segoe UI Light"/>
                <w:sz w:val="18"/>
              </w:rPr>
              <w:t>$12.</w:t>
            </w:r>
            <w:r w:rsidRPr="00CB51FF">
              <w:rPr>
                <w:rFonts w:cs="Segoe UI Light"/>
                <w:sz w:val="18"/>
              </w:rPr>
              <w:t>1</w:t>
            </w:r>
            <w:r>
              <w:rPr>
                <w:rFonts w:cs="Segoe UI Light"/>
                <w:sz w:val="18"/>
              </w:rPr>
              <w:t>m</w:t>
            </w:r>
            <w:r w:rsidRPr="00CB51FF">
              <w:rPr>
                <w:rFonts w:cs="Segoe UI Light"/>
                <w:sz w:val="18"/>
              </w:rPr>
              <w:t xml:space="preserve"> (based on 2017-18 revenue amount)</w:t>
            </w:r>
          </w:p>
        </w:tc>
        <w:tc>
          <w:tcPr>
            <w:tcW w:w="303" w:type="pct"/>
          </w:tcPr>
          <w:p w14:paraId="656B1900" w14:textId="77777777" w:rsidR="002A2DFB" w:rsidRPr="00CB51FF" w:rsidRDefault="002A2DFB" w:rsidP="002A2DFB">
            <w:pPr>
              <w:spacing w:after="0"/>
              <w:rPr>
                <w:rFonts w:cs="Segoe UI Light"/>
                <w:sz w:val="18"/>
              </w:rPr>
            </w:pPr>
            <w:r w:rsidRPr="00CB51FF">
              <w:rPr>
                <w:rFonts w:cs="Segoe UI Light"/>
                <w:sz w:val="18"/>
              </w:rPr>
              <w:t>128% - subsidising development licences</w:t>
            </w:r>
          </w:p>
        </w:tc>
        <w:tc>
          <w:tcPr>
            <w:tcW w:w="354" w:type="pct"/>
          </w:tcPr>
          <w:p w14:paraId="656B1902" w14:textId="0B361D49" w:rsidR="002A2DFB" w:rsidRPr="00737FF3" w:rsidRDefault="002A2DFB" w:rsidP="002A2DFB">
            <w:pPr>
              <w:spacing w:after="0" w:line="240" w:lineRule="auto"/>
              <w:rPr>
                <w:rFonts w:cs="Segoe UI Light"/>
                <w:sz w:val="16"/>
                <w:szCs w:val="16"/>
              </w:rPr>
            </w:pPr>
            <w:r w:rsidRPr="00737FF3">
              <w:rPr>
                <w:rFonts w:cs="Segoe UI Light"/>
                <w:sz w:val="16"/>
                <w:szCs w:val="16"/>
              </w:rPr>
              <w:t xml:space="preserve">New fee for A02b, </w:t>
            </w:r>
            <w:r w:rsidR="00610D9B">
              <w:rPr>
                <w:rFonts w:cs="Segoe UI Light"/>
                <w:sz w:val="16"/>
                <w:szCs w:val="16"/>
              </w:rPr>
              <w:t>A13a</w:t>
            </w:r>
            <w:r w:rsidRPr="00737FF3">
              <w:rPr>
                <w:rFonts w:cs="Segoe UI Light"/>
                <w:sz w:val="16"/>
                <w:szCs w:val="16"/>
              </w:rPr>
              <w:t xml:space="preserve">  and H05b</w:t>
            </w:r>
          </w:p>
          <w:p w14:paraId="656B1903" w14:textId="77777777" w:rsidR="002A2DFB" w:rsidRPr="00737FF3" w:rsidRDefault="002A2DFB" w:rsidP="002A2DFB">
            <w:pPr>
              <w:spacing w:after="0" w:line="240" w:lineRule="auto"/>
              <w:rPr>
                <w:rFonts w:cs="Segoe UI Light"/>
                <w:sz w:val="16"/>
                <w:szCs w:val="16"/>
              </w:rPr>
            </w:pPr>
          </w:p>
          <w:p w14:paraId="656B1904" w14:textId="77777777" w:rsidR="002A2DFB" w:rsidRPr="00737FF3" w:rsidRDefault="002A2DFB" w:rsidP="002A2DFB">
            <w:pPr>
              <w:spacing w:after="0" w:line="240" w:lineRule="auto"/>
              <w:rPr>
                <w:rFonts w:cs="Segoe UI Light"/>
                <w:sz w:val="16"/>
                <w:szCs w:val="16"/>
              </w:rPr>
            </w:pPr>
            <w:r w:rsidRPr="00737FF3">
              <w:rPr>
                <w:rFonts w:cs="Segoe UI Light"/>
                <w:sz w:val="16"/>
                <w:szCs w:val="16"/>
              </w:rPr>
              <w:t>Same design and fee level for all other activities</w:t>
            </w:r>
          </w:p>
        </w:tc>
      </w:tr>
      <w:tr w:rsidR="002A2DFB" w:rsidRPr="00A648FA" w14:paraId="656B1912" w14:textId="77777777" w:rsidTr="00A86267">
        <w:trPr>
          <w:trHeight w:val="216"/>
        </w:trPr>
        <w:tc>
          <w:tcPr>
            <w:tcW w:w="511" w:type="pct"/>
          </w:tcPr>
          <w:p w14:paraId="656B1906" w14:textId="77777777" w:rsidR="002A2DFB" w:rsidRPr="00A07276" w:rsidRDefault="002A2DFB" w:rsidP="002A2DFB">
            <w:pPr>
              <w:spacing w:after="0"/>
              <w:rPr>
                <w:rFonts w:cs="Segoe UI Light"/>
                <w:sz w:val="18"/>
              </w:rPr>
            </w:pPr>
            <w:r w:rsidRPr="00CB51FF">
              <w:rPr>
                <w:rFonts w:cs="Segoe UI Light"/>
                <w:sz w:val="18"/>
              </w:rPr>
              <w:t>Operating licence</w:t>
            </w:r>
          </w:p>
        </w:tc>
        <w:tc>
          <w:tcPr>
            <w:tcW w:w="420" w:type="pct"/>
          </w:tcPr>
          <w:p w14:paraId="656B1907" w14:textId="77777777" w:rsidR="002A2DFB" w:rsidRPr="00A07276" w:rsidRDefault="002A2DFB" w:rsidP="002A2DFB">
            <w:pPr>
              <w:spacing w:after="0"/>
              <w:rPr>
                <w:rFonts w:cs="Segoe UI Light"/>
                <w:sz w:val="18"/>
              </w:rPr>
            </w:pPr>
            <w:r w:rsidRPr="00CB51FF">
              <w:rPr>
                <w:rFonts w:cs="Segoe UI Light"/>
                <w:sz w:val="18"/>
              </w:rPr>
              <w:t>Amendment</w:t>
            </w:r>
          </w:p>
        </w:tc>
        <w:tc>
          <w:tcPr>
            <w:tcW w:w="412" w:type="pct"/>
          </w:tcPr>
          <w:p w14:paraId="656B1908" w14:textId="77777777" w:rsidR="002A2DFB" w:rsidRPr="00CB51FF" w:rsidRDefault="002A2DFB" w:rsidP="002A2DFB">
            <w:pPr>
              <w:spacing w:after="0"/>
              <w:rPr>
                <w:rFonts w:cs="Segoe UI Light"/>
                <w:sz w:val="18"/>
              </w:rPr>
            </w:pPr>
            <w:r w:rsidRPr="00CB51FF">
              <w:rPr>
                <w:rFonts w:cs="Segoe UI Light"/>
                <w:sz w:val="18"/>
              </w:rPr>
              <w:t>Administrative</w:t>
            </w:r>
          </w:p>
        </w:tc>
        <w:tc>
          <w:tcPr>
            <w:tcW w:w="275" w:type="pct"/>
          </w:tcPr>
          <w:p w14:paraId="656B1909" w14:textId="77777777" w:rsidR="002A2DFB" w:rsidRPr="00CB51FF" w:rsidRDefault="002A2DFB" w:rsidP="002A2DFB">
            <w:pPr>
              <w:spacing w:after="0"/>
              <w:rPr>
                <w:rFonts w:cs="Segoe UI Light"/>
                <w:sz w:val="18"/>
              </w:rPr>
            </w:pPr>
            <w:r w:rsidRPr="00CB51FF">
              <w:rPr>
                <w:rFonts w:cs="Segoe UI Light"/>
                <w:sz w:val="18"/>
              </w:rPr>
              <w:t>60</w:t>
            </w:r>
          </w:p>
        </w:tc>
        <w:tc>
          <w:tcPr>
            <w:tcW w:w="389" w:type="pct"/>
          </w:tcPr>
          <w:p w14:paraId="656B190A" w14:textId="4282047D" w:rsidR="002A2DFB" w:rsidRPr="00CB51FF" w:rsidRDefault="002A2DFB" w:rsidP="002A2DFB">
            <w:pPr>
              <w:spacing w:after="0"/>
              <w:rPr>
                <w:rFonts w:cs="Segoe UI Light"/>
                <w:sz w:val="18"/>
              </w:rPr>
            </w:pPr>
            <w:r w:rsidRPr="00CB51FF">
              <w:rPr>
                <w:rFonts w:cs="Segoe UI Light"/>
                <w:sz w:val="18"/>
              </w:rPr>
              <w:t>9.4</w:t>
            </w:r>
            <w:r w:rsidR="00610D9B">
              <w:rPr>
                <w:rFonts w:cs="Segoe UI Light"/>
                <w:sz w:val="18"/>
              </w:rPr>
              <w:t>3</w:t>
            </w:r>
          </w:p>
        </w:tc>
        <w:tc>
          <w:tcPr>
            <w:tcW w:w="348" w:type="pct"/>
          </w:tcPr>
          <w:p w14:paraId="656B190B" w14:textId="669BD0F6" w:rsidR="002A2DFB" w:rsidRPr="00CB51FF" w:rsidRDefault="002A2DFB" w:rsidP="002A2DFB">
            <w:pPr>
              <w:spacing w:after="0"/>
              <w:rPr>
                <w:rFonts w:cs="Segoe UI Light"/>
                <w:sz w:val="18"/>
              </w:rPr>
            </w:pPr>
            <w:r w:rsidRPr="00CB51FF">
              <w:rPr>
                <w:rFonts w:cs="Segoe UI Light"/>
                <w:sz w:val="18"/>
              </w:rPr>
              <w:t xml:space="preserve"> $849.55 </w:t>
            </w:r>
          </w:p>
        </w:tc>
        <w:tc>
          <w:tcPr>
            <w:tcW w:w="372" w:type="pct"/>
          </w:tcPr>
          <w:p w14:paraId="656B190C" w14:textId="73B6534D" w:rsidR="002A2DFB" w:rsidRPr="00CB51FF" w:rsidRDefault="002A2DFB" w:rsidP="002A2DFB">
            <w:pPr>
              <w:spacing w:after="0"/>
              <w:rPr>
                <w:rFonts w:cs="Segoe UI Light"/>
                <w:sz w:val="18"/>
              </w:rPr>
            </w:pPr>
            <w:r w:rsidRPr="00CB51FF">
              <w:rPr>
                <w:rFonts w:cs="Segoe UI Light"/>
                <w:sz w:val="18"/>
              </w:rPr>
              <w:t xml:space="preserve"> $50,973</w:t>
            </w:r>
            <w:r w:rsidR="00671C07">
              <w:rPr>
                <w:rFonts w:cs="Segoe UI Light"/>
                <w:sz w:val="18"/>
              </w:rPr>
              <w:t>.00</w:t>
            </w:r>
            <w:r w:rsidRPr="00CB51FF">
              <w:rPr>
                <w:rFonts w:cs="Segoe UI Light"/>
                <w:sz w:val="18"/>
              </w:rPr>
              <w:t xml:space="preserve"> </w:t>
            </w:r>
          </w:p>
        </w:tc>
        <w:tc>
          <w:tcPr>
            <w:tcW w:w="853" w:type="pct"/>
          </w:tcPr>
          <w:p w14:paraId="656B190D" w14:textId="77777777" w:rsidR="002A2DFB" w:rsidRPr="00CB51FF" w:rsidRDefault="002A2DFB" w:rsidP="002A2DFB">
            <w:pPr>
              <w:spacing w:after="0"/>
              <w:rPr>
                <w:rFonts w:cs="Segoe UI Light"/>
                <w:sz w:val="18"/>
              </w:rPr>
            </w:pPr>
            <w:r w:rsidRPr="00A07276">
              <w:rPr>
                <w:rFonts w:cs="Segoe UI Light"/>
                <w:sz w:val="18"/>
              </w:rPr>
              <w:t>Lesser of 10% of the annual fee or a flat fee of 58.79 fee units</w:t>
            </w:r>
          </w:p>
        </w:tc>
        <w:tc>
          <w:tcPr>
            <w:tcW w:w="410" w:type="pct"/>
          </w:tcPr>
          <w:p w14:paraId="656B190E" w14:textId="34A695C1" w:rsidR="002A2DFB" w:rsidRPr="00CB51FF" w:rsidRDefault="002A2DFB" w:rsidP="002A2DFB">
            <w:pPr>
              <w:spacing w:after="0"/>
              <w:rPr>
                <w:rFonts w:cs="Segoe UI Light"/>
                <w:sz w:val="18"/>
              </w:rPr>
            </w:pPr>
            <w:r w:rsidRPr="00CB51FF">
              <w:rPr>
                <w:rFonts w:cs="Segoe UI Light"/>
                <w:sz w:val="18"/>
              </w:rPr>
              <w:t xml:space="preserve"> $849.55 </w:t>
            </w:r>
          </w:p>
        </w:tc>
        <w:tc>
          <w:tcPr>
            <w:tcW w:w="353" w:type="pct"/>
          </w:tcPr>
          <w:p w14:paraId="656B190F" w14:textId="2B2C7697" w:rsidR="002A2DFB" w:rsidRPr="00CB51FF" w:rsidRDefault="002A2DFB" w:rsidP="002A2DFB">
            <w:pPr>
              <w:spacing w:after="0"/>
              <w:rPr>
                <w:rFonts w:cs="Segoe UI Light"/>
                <w:sz w:val="18"/>
              </w:rPr>
            </w:pPr>
            <w:r w:rsidRPr="00CB51FF">
              <w:rPr>
                <w:rFonts w:cs="Segoe UI Light"/>
                <w:sz w:val="18"/>
              </w:rPr>
              <w:t xml:space="preserve"> $50,973</w:t>
            </w:r>
            <w:r w:rsidR="00671C07">
              <w:rPr>
                <w:rFonts w:cs="Segoe UI Light"/>
                <w:sz w:val="18"/>
              </w:rPr>
              <w:t>.00</w:t>
            </w:r>
            <w:r w:rsidRPr="00CB51FF">
              <w:rPr>
                <w:rFonts w:cs="Segoe UI Light"/>
                <w:sz w:val="18"/>
              </w:rPr>
              <w:t xml:space="preserve"> </w:t>
            </w:r>
          </w:p>
        </w:tc>
        <w:tc>
          <w:tcPr>
            <w:tcW w:w="303" w:type="pct"/>
          </w:tcPr>
          <w:p w14:paraId="656B1910"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11" w14:textId="7D84B6EB" w:rsidR="002A2DFB" w:rsidRPr="00737FF3" w:rsidRDefault="002A2DFB" w:rsidP="002A2DFB">
            <w:pPr>
              <w:spacing w:after="0" w:line="240" w:lineRule="auto"/>
              <w:rPr>
                <w:rFonts w:cs="Segoe UI Light"/>
                <w:sz w:val="16"/>
                <w:szCs w:val="16"/>
              </w:rPr>
            </w:pPr>
            <w:r w:rsidRPr="00737FF3">
              <w:rPr>
                <w:rFonts w:cs="Segoe UI Light"/>
                <w:sz w:val="16"/>
                <w:szCs w:val="16"/>
              </w:rPr>
              <w:t xml:space="preserve">Same design different fee level </w:t>
            </w:r>
          </w:p>
        </w:tc>
      </w:tr>
      <w:tr w:rsidR="002A2DFB" w:rsidRPr="00A648FA" w14:paraId="656B191F" w14:textId="77777777" w:rsidTr="00A86267">
        <w:trPr>
          <w:trHeight w:val="813"/>
        </w:trPr>
        <w:tc>
          <w:tcPr>
            <w:tcW w:w="511" w:type="pct"/>
          </w:tcPr>
          <w:p w14:paraId="656B1913" w14:textId="77777777" w:rsidR="002A2DFB" w:rsidRPr="00A07276" w:rsidRDefault="002A2DFB" w:rsidP="002A2DFB">
            <w:pPr>
              <w:spacing w:after="0"/>
              <w:rPr>
                <w:rFonts w:cs="Segoe UI Light"/>
                <w:sz w:val="18"/>
              </w:rPr>
            </w:pPr>
            <w:r w:rsidRPr="00CB51FF">
              <w:rPr>
                <w:rFonts w:cs="Segoe UI Light"/>
                <w:sz w:val="18"/>
              </w:rPr>
              <w:t>Operating licence</w:t>
            </w:r>
          </w:p>
        </w:tc>
        <w:tc>
          <w:tcPr>
            <w:tcW w:w="420" w:type="pct"/>
          </w:tcPr>
          <w:p w14:paraId="656B1914" w14:textId="77777777" w:rsidR="002A2DFB" w:rsidRPr="00A07276" w:rsidRDefault="002A2DFB" w:rsidP="002A2DFB">
            <w:pPr>
              <w:spacing w:after="0"/>
              <w:rPr>
                <w:rFonts w:cs="Segoe UI Light"/>
                <w:sz w:val="18"/>
              </w:rPr>
            </w:pPr>
            <w:r w:rsidRPr="00CB51FF">
              <w:rPr>
                <w:rFonts w:cs="Segoe UI Light"/>
                <w:sz w:val="18"/>
              </w:rPr>
              <w:t>Amendment</w:t>
            </w:r>
          </w:p>
        </w:tc>
        <w:tc>
          <w:tcPr>
            <w:tcW w:w="412" w:type="pct"/>
          </w:tcPr>
          <w:p w14:paraId="656B1915" w14:textId="77777777" w:rsidR="002A2DFB" w:rsidRPr="00CB51FF" w:rsidRDefault="002A2DFB" w:rsidP="002A2DFB">
            <w:pPr>
              <w:spacing w:after="0"/>
              <w:rPr>
                <w:rFonts w:cs="Segoe UI Light"/>
                <w:sz w:val="18"/>
              </w:rPr>
            </w:pPr>
            <w:r w:rsidRPr="00CB51FF">
              <w:rPr>
                <w:rFonts w:cs="Segoe UI Light"/>
                <w:sz w:val="18"/>
              </w:rPr>
              <w:t>Terms and conditions</w:t>
            </w:r>
          </w:p>
        </w:tc>
        <w:tc>
          <w:tcPr>
            <w:tcW w:w="275" w:type="pct"/>
          </w:tcPr>
          <w:p w14:paraId="656B1916" w14:textId="77777777" w:rsidR="002A2DFB" w:rsidRPr="00CB51FF" w:rsidRDefault="002A2DFB" w:rsidP="002A2DFB">
            <w:pPr>
              <w:spacing w:after="0"/>
              <w:rPr>
                <w:rFonts w:cs="Segoe UI Light"/>
                <w:sz w:val="18"/>
              </w:rPr>
            </w:pPr>
            <w:r w:rsidRPr="00CB51FF">
              <w:rPr>
                <w:rFonts w:cs="Segoe UI Light"/>
                <w:sz w:val="18"/>
              </w:rPr>
              <w:t>20</w:t>
            </w:r>
          </w:p>
        </w:tc>
        <w:tc>
          <w:tcPr>
            <w:tcW w:w="389" w:type="pct"/>
          </w:tcPr>
          <w:p w14:paraId="656B1917" w14:textId="1249D912" w:rsidR="002A2DFB" w:rsidRPr="00CB51FF" w:rsidRDefault="002A2DFB" w:rsidP="002A2DFB">
            <w:pPr>
              <w:spacing w:after="0"/>
              <w:rPr>
                <w:rFonts w:cs="Segoe UI Light"/>
                <w:sz w:val="18"/>
              </w:rPr>
            </w:pPr>
            <w:r w:rsidRPr="00CB51FF">
              <w:rPr>
                <w:rFonts w:cs="Segoe UI Light"/>
                <w:sz w:val="18"/>
              </w:rPr>
              <w:t>56.9</w:t>
            </w:r>
            <w:r w:rsidR="00610D9B">
              <w:rPr>
                <w:rFonts w:cs="Segoe UI Light"/>
                <w:sz w:val="18"/>
              </w:rPr>
              <w:t>3</w:t>
            </w:r>
          </w:p>
        </w:tc>
        <w:tc>
          <w:tcPr>
            <w:tcW w:w="348" w:type="pct"/>
          </w:tcPr>
          <w:p w14:paraId="656B1918" w14:textId="360E1E3C" w:rsidR="002A2DFB" w:rsidRPr="00CB51FF" w:rsidRDefault="002A2DFB" w:rsidP="002A2DFB">
            <w:pPr>
              <w:spacing w:after="0"/>
              <w:rPr>
                <w:rFonts w:cs="Segoe UI Light"/>
                <w:sz w:val="18"/>
              </w:rPr>
            </w:pPr>
            <w:r w:rsidRPr="00CB51FF">
              <w:rPr>
                <w:rFonts w:cs="Segoe UI Light"/>
                <w:sz w:val="18"/>
              </w:rPr>
              <w:t xml:space="preserve"> $</w:t>
            </w:r>
            <w:r w:rsidR="00610D9B">
              <w:rPr>
                <w:rFonts w:cs="Segoe UI Light"/>
                <w:sz w:val="18"/>
              </w:rPr>
              <w:t>5,380.70</w:t>
            </w:r>
            <w:r w:rsidRPr="00CB51FF">
              <w:rPr>
                <w:rFonts w:cs="Segoe UI Light"/>
                <w:sz w:val="18"/>
              </w:rPr>
              <w:t xml:space="preserve"> </w:t>
            </w:r>
          </w:p>
        </w:tc>
        <w:tc>
          <w:tcPr>
            <w:tcW w:w="372" w:type="pct"/>
          </w:tcPr>
          <w:p w14:paraId="6A85BCE2" w14:textId="56AABDC9" w:rsidR="00610D9B" w:rsidRDefault="002A2DFB" w:rsidP="002A2DFB">
            <w:pPr>
              <w:spacing w:after="0"/>
              <w:rPr>
                <w:rFonts w:cs="Segoe UI Light"/>
                <w:sz w:val="18"/>
              </w:rPr>
            </w:pPr>
            <w:r w:rsidRPr="00CB51FF">
              <w:rPr>
                <w:rFonts w:cs="Segoe UI Light"/>
                <w:sz w:val="18"/>
              </w:rPr>
              <w:t xml:space="preserve"> $</w:t>
            </w:r>
            <w:r w:rsidR="00610D9B">
              <w:rPr>
                <w:rFonts w:cs="Segoe UI Light"/>
                <w:sz w:val="18"/>
              </w:rPr>
              <w:t>107,614</w:t>
            </w:r>
            <w:r w:rsidR="00671C07">
              <w:rPr>
                <w:rFonts w:cs="Segoe UI Light"/>
                <w:sz w:val="18"/>
              </w:rPr>
              <w:t>.00</w:t>
            </w:r>
          </w:p>
          <w:p w14:paraId="656B1919" w14:textId="2F97B84A" w:rsidR="002A2DFB" w:rsidRPr="00CB51FF" w:rsidRDefault="002A2DFB" w:rsidP="002A2DFB">
            <w:pPr>
              <w:spacing w:after="0"/>
              <w:rPr>
                <w:rFonts w:cs="Segoe UI Light"/>
                <w:sz w:val="18"/>
              </w:rPr>
            </w:pPr>
            <w:r w:rsidRPr="00CB51FF">
              <w:rPr>
                <w:rFonts w:cs="Segoe UI Light"/>
                <w:sz w:val="18"/>
              </w:rPr>
              <w:t xml:space="preserve"> </w:t>
            </w:r>
          </w:p>
        </w:tc>
        <w:tc>
          <w:tcPr>
            <w:tcW w:w="853" w:type="pct"/>
          </w:tcPr>
          <w:p w14:paraId="656B191A" w14:textId="77777777" w:rsidR="002A2DFB" w:rsidRPr="00CB51FF" w:rsidRDefault="002A2DFB" w:rsidP="002A2DFB">
            <w:pPr>
              <w:spacing w:after="0"/>
              <w:rPr>
                <w:rFonts w:cs="Segoe UI Light"/>
                <w:sz w:val="18"/>
              </w:rPr>
            </w:pPr>
            <w:r w:rsidRPr="00A07276">
              <w:rPr>
                <w:rFonts w:cs="Segoe UI Light"/>
                <w:sz w:val="18"/>
              </w:rPr>
              <w:t>126.12 fee units on application plus 6.28 fee units per hour for assessments exceeding 20.1 hours up to a maximum of 1119.18 fee units.</w:t>
            </w:r>
          </w:p>
        </w:tc>
        <w:tc>
          <w:tcPr>
            <w:tcW w:w="410" w:type="pct"/>
          </w:tcPr>
          <w:p w14:paraId="656B191B" w14:textId="6F3FA7A0" w:rsidR="002A2DFB" w:rsidRPr="00CB51FF" w:rsidRDefault="002A2DFB" w:rsidP="002A2DFB">
            <w:pPr>
              <w:spacing w:after="0"/>
              <w:rPr>
                <w:rFonts w:cs="Segoe UI Light"/>
                <w:sz w:val="18"/>
              </w:rPr>
            </w:pPr>
            <w:r w:rsidRPr="00CB51FF">
              <w:rPr>
                <w:rFonts w:cs="Segoe UI Light"/>
                <w:sz w:val="18"/>
              </w:rPr>
              <w:t xml:space="preserve"> $</w:t>
            </w:r>
            <w:r w:rsidR="00610D9B">
              <w:rPr>
                <w:rFonts w:cs="Segoe UI Light"/>
                <w:sz w:val="18"/>
              </w:rPr>
              <w:t>5,380.70</w:t>
            </w:r>
            <w:r w:rsidRPr="00CB51FF">
              <w:rPr>
                <w:rFonts w:cs="Segoe UI Light"/>
                <w:sz w:val="18"/>
              </w:rPr>
              <w:t xml:space="preserve"> </w:t>
            </w:r>
          </w:p>
        </w:tc>
        <w:tc>
          <w:tcPr>
            <w:tcW w:w="353" w:type="pct"/>
          </w:tcPr>
          <w:p w14:paraId="656B191C" w14:textId="780E9CA2" w:rsidR="002A2DFB" w:rsidRPr="00CB51FF" w:rsidRDefault="002A2DFB" w:rsidP="002A2DFB">
            <w:pPr>
              <w:spacing w:after="0"/>
              <w:rPr>
                <w:rFonts w:cs="Segoe UI Light"/>
                <w:sz w:val="18"/>
              </w:rPr>
            </w:pPr>
            <w:r w:rsidRPr="00CB51FF">
              <w:rPr>
                <w:rFonts w:cs="Segoe UI Light"/>
                <w:sz w:val="18"/>
              </w:rPr>
              <w:t xml:space="preserve"> $</w:t>
            </w:r>
            <w:r w:rsidR="00610D9B">
              <w:rPr>
                <w:rFonts w:cs="Segoe UI Light"/>
                <w:sz w:val="18"/>
              </w:rPr>
              <w:t>107,614</w:t>
            </w:r>
            <w:r w:rsidR="00671C07">
              <w:rPr>
                <w:rFonts w:cs="Segoe UI Light"/>
                <w:sz w:val="18"/>
              </w:rPr>
              <w:t>.00</w:t>
            </w:r>
            <w:r w:rsidRPr="00CB51FF">
              <w:rPr>
                <w:rFonts w:cs="Segoe UI Light"/>
                <w:sz w:val="18"/>
              </w:rPr>
              <w:t xml:space="preserve"> </w:t>
            </w:r>
          </w:p>
        </w:tc>
        <w:tc>
          <w:tcPr>
            <w:tcW w:w="303" w:type="pct"/>
          </w:tcPr>
          <w:p w14:paraId="656B191D"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1E" w14:textId="78C64B39" w:rsidR="002A2DFB" w:rsidRPr="00737FF3" w:rsidRDefault="002A2DFB" w:rsidP="002A2DFB">
            <w:pPr>
              <w:spacing w:after="0" w:line="240" w:lineRule="auto"/>
              <w:rPr>
                <w:rFonts w:cs="Segoe UI Light"/>
                <w:sz w:val="16"/>
                <w:szCs w:val="16"/>
              </w:rPr>
            </w:pPr>
            <w:r w:rsidRPr="00737FF3">
              <w:rPr>
                <w:rFonts w:cs="Segoe UI Light"/>
                <w:sz w:val="16"/>
                <w:szCs w:val="16"/>
              </w:rPr>
              <w:t xml:space="preserve">New fee design </w:t>
            </w:r>
          </w:p>
        </w:tc>
      </w:tr>
      <w:tr w:rsidR="002A2DFB" w:rsidRPr="00A648FA" w14:paraId="656B192D" w14:textId="77777777" w:rsidTr="00A86267">
        <w:trPr>
          <w:trHeight w:val="216"/>
        </w:trPr>
        <w:tc>
          <w:tcPr>
            <w:tcW w:w="511" w:type="pct"/>
          </w:tcPr>
          <w:p w14:paraId="656B1920" w14:textId="77777777" w:rsidR="002A2DFB" w:rsidRPr="00A07276" w:rsidRDefault="002A2DFB" w:rsidP="002A2DFB">
            <w:pPr>
              <w:spacing w:after="0"/>
              <w:rPr>
                <w:rFonts w:cs="Segoe UI Light"/>
                <w:sz w:val="18"/>
              </w:rPr>
            </w:pPr>
            <w:r w:rsidRPr="00CB51FF">
              <w:rPr>
                <w:rFonts w:cs="Segoe UI Light"/>
                <w:sz w:val="18"/>
              </w:rPr>
              <w:t>Operating licence</w:t>
            </w:r>
          </w:p>
        </w:tc>
        <w:tc>
          <w:tcPr>
            <w:tcW w:w="420" w:type="pct"/>
          </w:tcPr>
          <w:p w14:paraId="656B1921" w14:textId="77777777" w:rsidR="002A2DFB" w:rsidRPr="00A07276" w:rsidRDefault="002A2DFB" w:rsidP="002A2DFB">
            <w:pPr>
              <w:spacing w:after="0"/>
              <w:rPr>
                <w:rFonts w:cs="Segoe UI Light"/>
                <w:sz w:val="18"/>
              </w:rPr>
            </w:pPr>
            <w:r w:rsidRPr="00CB51FF">
              <w:rPr>
                <w:rFonts w:cs="Segoe UI Light"/>
                <w:sz w:val="18"/>
              </w:rPr>
              <w:t>Transfer</w:t>
            </w:r>
          </w:p>
        </w:tc>
        <w:tc>
          <w:tcPr>
            <w:tcW w:w="412" w:type="pct"/>
          </w:tcPr>
          <w:p w14:paraId="656B1922" w14:textId="77777777" w:rsidR="002A2DFB" w:rsidRPr="00CB51FF" w:rsidRDefault="002A2DFB" w:rsidP="002A2DFB">
            <w:pPr>
              <w:spacing w:after="0"/>
              <w:rPr>
                <w:rFonts w:cs="Segoe UI Light"/>
                <w:sz w:val="18"/>
              </w:rPr>
            </w:pPr>
            <w:r w:rsidRPr="00CB51FF">
              <w:rPr>
                <w:rFonts w:cs="Segoe UI Light"/>
                <w:sz w:val="18"/>
              </w:rPr>
              <w:t>-</w:t>
            </w:r>
          </w:p>
        </w:tc>
        <w:tc>
          <w:tcPr>
            <w:tcW w:w="275" w:type="pct"/>
          </w:tcPr>
          <w:p w14:paraId="656B1923" w14:textId="77777777" w:rsidR="002A2DFB" w:rsidRPr="00CB51FF" w:rsidRDefault="002A2DFB" w:rsidP="002A2DFB">
            <w:pPr>
              <w:spacing w:after="0"/>
              <w:rPr>
                <w:rFonts w:cs="Segoe UI Light"/>
                <w:sz w:val="18"/>
              </w:rPr>
            </w:pPr>
            <w:r w:rsidRPr="00CB51FF">
              <w:rPr>
                <w:rFonts w:cs="Segoe UI Light"/>
                <w:sz w:val="18"/>
              </w:rPr>
              <w:t>15</w:t>
            </w:r>
          </w:p>
        </w:tc>
        <w:tc>
          <w:tcPr>
            <w:tcW w:w="389" w:type="pct"/>
          </w:tcPr>
          <w:p w14:paraId="656B1924" w14:textId="639BE843" w:rsidR="002A2DFB" w:rsidRPr="00CB51FF" w:rsidRDefault="002A2DFB" w:rsidP="002A2DFB">
            <w:pPr>
              <w:spacing w:after="0"/>
              <w:rPr>
                <w:rFonts w:cs="Segoe UI Light"/>
                <w:sz w:val="18"/>
              </w:rPr>
            </w:pPr>
            <w:r w:rsidRPr="00CB51FF">
              <w:rPr>
                <w:rFonts w:cs="Segoe UI Light"/>
                <w:sz w:val="18"/>
              </w:rPr>
              <w:t>8.</w:t>
            </w:r>
            <w:r w:rsidR="00610D9B">
              <w:rPr>
                <w:rFonts w:cs="Segoe UI Light"/>
                <w:sz w:val="18"/>
              </w:rPr>
              <w:t>58</w:t>
            </w:r>
          </w:p>
        </w:tc>
        <w:tc>
          <w:tcPr>
            <w:tcW w:w="348" w:type="pct"/>
          </w:tcPr>
          <w:p w14:paraId="656B1925" w14:textId="7919C724" w:rsidR="002A2DFB" w:rsidRPr="00CB51FF" w:rsidRDefault="002A2DFB" w:rsidP="002A2DFB">
            <w:pPr>
              <w:spacing w:after="0"/>
              <w:rPr>
                <w:rFonts w:cs="Segoe UI Light"/>
                <w:sz w:val="18"/>
              </w:rPr>
            </w:pPr>
            <w:r w:rsidRPr="00CB51FF">
              <w:rPr>
                <w:rFonts w:cs="Segoe UI Light"/>
                <w:sz w:val="18"/>
              </w:rPr>
              <w:t xml:space="preserve"> $754.58 </w:t>
            </w:r>
            <w:r w:rsidR="00610D9B" w:rsidRPr="00CB51FF">
              <w:rPr>
                <w:rFonts w:cs="Segoe UI Light"/>
                <w:sz w:val="18"/>
              </w:rPr>
              <w:t xml:space="preserve"> </w:t>
            </w:r>
          </w:p>
        </w:tc>
        <w:tc>
          <w:tcPr>
            <w:tcW w:w="372" w:type="pct"/>
          </w:tcPr>
          <w:p w14:paraId="656B1926" w14:textId="6F2A4474" w:rsidR="002A2DFB" w:rsidRPr="00CB51FF" w:rsidRDefault="002A2DFB" w:rsidP="002A2DFB">
            <w:pPr>
              <w:spacing w:after="0"/>
              <w:rPr>
                <w:rFonts w:cs="Segoe UI Light"/>
                <w:sz w:val="18"/>
              </w:rPr>
            </w:pPr>
            <w:r w:rsidRPr="00CB51FF">
              <w:rPr>
                <w:rFonts w:cs="Segoe UI Light"/>
                <w:sz w:val="18"/>
              </w:rPr>
              <w:t xml:space="preserve"> $11,31</w:t>
            </w:r>
            <w:r w:rsidR="00671C07">
              <w:rPr>
                <w:rFonts w:cs="Segoe UI Light"/>
                <w:sz w:val="18"/>
              </w:rPr>
              <w:t>8.70</w:t>
            </w:r>
            <w:r w:rsidRPr="00CB51FF">
              <w:rPr>
                <w:rFonts w:cs="Segoe UI Light"/>
                <w:sz w:val="18"/>
              </w:rPr>
              <w:t xml:space="preserve"> </w:t>
            </w:r>
          </w:p>
        </w:tc>
        <w:tc>
          <w:tcPr>
            <w:tcW w:w="853" w:type="pct"/>
          </w:tcPr>
          <w:p w14:paraId="656B1927" w14:textId="77777777" w:rsidR="002A2DFB" w:rsidRPr="00A07276" w:rsidRDefault="002A2DFB" w:rsidP="002A2DFB">
            <w:pPr>
              <w:spacing w:after="0"/>
              <w:rPr>
                <w:rFonts w:cs="Segoe UI Light"/>
                <w:sz w:val="18"/>
              </w:rPr>
            </w:pPr>
            <w:r w:rsidRPr="00A648FA">
              <w:rPr>
                <w:rFonts w:cs="Segoe UI Light"/>
                <w:sz w:val="18"/>
              </w:rPr>
              <w:t>Lesser of 10% of the annual fee or a flat fee of 52.22 fee units</w:t>
            </w:r>
          </w:p>
        </w:tc>
        <w:tc>
          <w:tcPr>
            <w:tcW w:w="410" w:type="pct"/>
          </w:tcPr>
          <w:p w14:paraId="656B1928" w14:textId="47350405" w:rsidR="002A2DFB" w:rsidRPr="00A648FA" w:rsidRDefault="002A2DFB" w:rsidP="002A2DFB">
            <w:pPr>
              <w:spacing w:after="0"/>
              <w:rPr>
                <w:rFonts w:cs="Segoe UI Light"/>
                <w:sz w:val="18"/>
              </w:rPr>
            </w:pPr>
            <w:r w:rsidRPr="00CB51FF">
              <w:rPr>
                <w:rFonts w:cs="Segoe UI Light"/>
                <w:sz w:val="18"/>
              </w:rPr>
              <w:t xml:space="preserve"> $754.58 </w:t>
            </w:r>
          </w:p>
          <w:p w14:paraId="656B1929" w14:textId="77777777" w:rsidR="002A2DFB" w:rsidRPr="00CB51FF" w:rsidRDefault="002A2DFB" w:rsidP="002A2DFB">
            <w:pPr>
              <w:spacing w:after="0"/>
              <w:rPr>
                <w:rFonts w:cs="Segoe UI Light"/>
                <w:sz w:val="18"/>
              </w:rPr>
            </w:pPr>
          </w:p>
        </w:tc>
        <w:tc>
          <w:tcPr>
            <w:tcW w:w="353" w:type="pct"/>
          </w:tcPr>
          <w:p w14:paraId="656B192A" w14:textId="4391087B" w:rsidR="002A2DFB" w:rsidRPr="00CB51FF" w:rsidRDefault="002A2DFB" w:rsidP="002A2DFB">
            <w:pPr>
              <w:spacing w:after="0"/>
              <w:rPr>
                <w:rFonts w:cs="Segoe UI Light"/>
                <w:sz w:val="18"/>
              </w:rPr>
            </w:pPr>
            <w:r w:rsidRPr="00CB51FF">
              <w:rPr>
                <w:rFonts w:cs="Segoe UI Light"/>
                <w:sz w:val="18"/>
              </w:rPr>
              <w:t xml:space="preserve"> $11,31</w:t>
            </w:r>
            <w:r w:rsidR="00671C07">
              <w:rPr>
                <w:rFonts w:cs="Segoe UI Light"/>
                <w:sz w:val="18"/>
              </w:rPr>
              <w:t>8.70</w:t>
            </w:r>
            <w:r w:rsidRPr="00CB51FF">
              <w:rPr>
                <w:rFonts w:cs="Segoe UI Light"/>
                <w:sz w:val="18"/>
              </w:rPr>
              <w:t xml:space="preserve"> </w:t>
            </w:r>
          </w:p>
        </w:tc>
        <w:tc>
          <w:tcPr>
            <w:tcW w:w="303" w:type="pct"/>
          </w:tcPr>
          <w:p w14:paraId="656B192B"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2C" w14:textId="2DFF37B8" w:rsidR="002A2DFB" w:rsidRPr="00737FF3" w:rsidRDefault="002A2DFB" w:rsidP="002A2DFB">
            <w:pPr>
              <w:spacing w:after="0" w:line="240" w:lineRule="auto"/>
              <w:rPr>
                <w:rFonts w:cs="Segoe UI Light"/>
                <w:sz w:val="16"/>
                <w:szCs w:val="16"/>
              </w:rPr>
            </w:pPr>
            <w:r w:rsidRPr="00737FF3">
              <w:rPr>
                <w:rFonts w:cs="Segoe UI Light"/>
                <w:sz w:val="16"/>
                <w:szCs w:val="16"/>
              </w:rPr>
              <w:t>Same design different fee level</w:t>
            </w:r>
          </w:p>
        </w:tc>
      </w:tr>
      <w:tr w:rsidR="002A2DFB" w:rsidRPr="00A648FA" w14:paraId="656B193B" w14:textId="77777777" w:rsidTr="00A86267">
        <w:trPr>
          <w:trHeight w:val="216"/>
        </w:trPr>
        <w:tc>
          <w:tcPr>
            <w:tcW w:w="511" w:type="pct"/>
          </w:tcPr>
          <w:p w14:paraId="656B192E" w14:textId="77777777" w:rsidR="002A2DFB" w:rsidRPr="00A07276" w:rsidRDefault="002A2DFB" w:rsidP="002A2DFB">
            <w:pPr>
              <w:spacing w:after="0"/>
              <w:rPr>
                <w:rFonts w:cs="Segoe UI Light"/>
                <w:sz w:val="18"/>
              </w:rPr>
            </w:pPr>
            <w:r w:rsidRPr="00CB51FF">
              <w:rPr>
                <w:rFonts w:cs="Segoe UI Light"/>
                <w:sz w:val="18"/>
              </w:rPr>
              <w:t>Operating licence</w:t>
            </w:r>
          </w:p>
        </w:tc>
        <w:tc>
          <w:tcPr>
            <w:tcW w:w="420" w:type="pct"/>
          </w:tcPr>
          <w:p w14:paraId="656B192F" w14:textId="77777777" w:rsidR="002A2DFB" w:rsidRPr="00A07276" w:rsidRDefault="002A2DFB" w:rsidP="002A2DFB">
            <w:pPr>
              <w:spacing w:after="0"/>
              <w:rPr>
                <w:rFonts w:cs="Segoe UI Light"/>
                <w:sz w:val="18"/>
              </w:rPr>
            </w:pPr>
            <w:r w:rsidRPr="00CB51FF">
              <w:rPr>
                <w:rFonts w:cs="Segoe UI Light"/>
                <w:sz w:val="18"/>
              </w:rPr>
              <w:t xml:space="preserve">Surrender </w:t>
            </w:r>
          </w:p>
        </w:tc>
        <w:tc>
          <w:tcPr>
            <w:tcW w:w="412" w:type="pct"/>
          </w:tcPr>
          <w:p w14:paraId="656B1930" w14:textId="77777777" w:rsidR="002A2DFB" w:rsidRPr="00CB51FF" w:rsidRDefault="002A2DFB" w:rsidP="002A2DFB">
            <w:pPr>
              <w:spacing w:after="0"/>
              <w:rPr>
                <w:rFonts w:cs="Segoe UI Light"/>
                <w:sz w:val="18"/>
              </w:rPr>
            </w:pPr>
            <w:r w:rsidRPr="00CB51FF">
              <w:rPr>
                <w:rFonts w:cs="Segoe UI Light"/>
                <w:sz w:val="18"/>
              </w:rPr>
              <w:t>-</w:t>
            </w:r>
          </w:p>
        </w:tc>
        <w:tc>
          <w:tcPr>
            <w:tcW w:w="275" w:type="pct"/>
          </w:tcPr>
          <w:p w14:paraId="656B1931" w14:textId="77777777" w:rsidR="002A2DFB" w:rsidRPr="00CB51FF" w:rsidRDefault="002A2DFB" w:rsidP="002A2DFB">
            <w:pPr>
              <w:spacing w:after="0"/>
              <w:rPr>
                <w:rFonts w:cs="Segoe UI Light"/>
                <w:sz w:val="18"/>
              </w:rPr>
            </w:pPr>
            <w:r w:rsidRPr="00CB51FF">
              <w:rPr>
                <w:rFonts w:cs="Segoe UI Light"/>
                <w:sz w:val="18"/>
              </w:rPr>
              <w:t>20</w:t>
            </w:r>
          </w:p>
        </w:tc>
        <w:tc>
          <w:tcPr>
            <w:tcW w:w="389" w:type="pct"/>
          </w:tcPr>
          <w:p w14:paraId="656B1932" w14:textId="330949F0" w:rsidR="002A2DFB" w:rsidRPr="00CB51FF" w:rsidRDefault="002A2DFB" w:rsidP="002A2DFB">
            <w:pPr>
              <w:spacing w:after="0"/>
              <w:rPr>
                <w:rFonts w:cs="Segoe UI Light"/>
                <w:sz w:val="18"/>
              </w:rPr>
            </w:pPr>
            <w:r w:rsidRPr="00CB51FF">
              <w:rPr>
                <w:rFonts w:cs="Segoe UI Light"/>
                <w:sz w:val="18"/>
              </w:rPr>
              <w:t>24.</w:t>
            </w:r>
            <w:r w:rsidR="00610D9B">
              <w:rPr>
                <w:rFonts w:cs="Segoe UI Light"/>
                <w:sz w:val="18"/>
              </w:rPr>
              <w:t>4</w:t>
            </w:r>
            <w:r w:rsidR="00671C07">
              <w:rPr>
                <w:rFonts w:cs="Segoe UI Light"/>
                <w:sz w:val="18"/>
              </w:rPr>
              <w:t>9</w:t>
            </w:r>
          </w:p>
        </w:tc>
        <w:tc>
          <w:tcPr>
            <w:tcW w:w="348" w:type="pct"/>
          </w:tcPr>
          <w:p w14:paraId="656B1933" w14:textId="747CC0C5" w:rsidR="002A2DFB" w:rsidRPr="00CB51FF" w:rsidRDefault="002A2DFB" w:rsidP="002A2DFB">
            <w:pPr>
              <w:spacing w:after="0"/>
              <w:rPr>
                <w:rFonts w:cs="Segoe UI Light"/>
                <w:sz w:val="18"/>
              </w:rPr>
            </w:pPr>
            <w:r w:rsidRPr="00CB51FF">
              <w:rPr>
                <w:rFonts w:cs="Segoe UI Light"/>
                <w:sz w:val="18"/>
              </w:rPr>
              <w:t xml:space="preserve"> $2,196.61 </w:t>
            </w:r>
          </w:p>
        </w:tc>
        <w:tc>
          <w:tcPr>
            <w:tcW w:w="372" w:type="pct"/>
          </w:tcPr>
          <w:p w14:paraId="656B1934" w14:textId="72DF8CF3" w:rsidR="002A2DFB" w:rsidRPr="00CB51FF" w:rsidRDefault="002A2DFB" w:rsidP="002A2DFB">
            <w:pPr>
              <w:spacing w:after="0"/>
              <w:rPr>
                <w:rFonts w:cs="Segoe UI Light"/>
                <w:sz w:val="18"/>
              </w:rPr>
            </w:pPr>
            <w:r w:rsidRPr="00CB51FF">
              <w:rPr>
                <w:rFonts w:cs="Segoe UI Light"/>
                <w:sz w:val="18"/>
              </w:rPr>
              <w:t xml:space="preserve"> $43,932</w:t>
            </w:r>
            <w:r w:rsidR="00671C07">
              <w:rPr>
                <w:rFonts w:cs="Segoe UI Light"/>
                <w:sz w:val="18"/>
              </w:rPr>
              <w:t>.00</w:t>
            </w:r>
            <w:r w:rsidRPr="00CB51FF">
              <w:rPr>
                <w:rFonts w:cs="Segoe UI Light"/>
                <w:sz w:val="18"/>
              </w:rPr>
              <w:t xml:space="preserve"> </w:t>
            </w:r>
          </w:p>
        </w:tc>
        <w:tc>
          <w:tcPr>
            <w:tcW w:w="853" w:type="pct"/>
          </w:tcPr>
          <w:p w14:paraId="656B1935" w14:textId="77777777" w:rsidR="002A2DFB" w:rsidRPr="00A07276" w:rsidRDefault="002A2DFB" w:rsidP="002A2DFB">
            <w:pPr>
              <w:spacing w:after="0"/>
              <w:rPr>
                <w:rFonts w:cs="Segoe UI Light"/>
                <w:sz w:val="18"/>
              </w:rPr>
            </w:pPr>
            <w:r w:rsidRPr="00A648FA">
              <w:rPr>
                <w:rFonts w:cs="Segoe UI Light"/>
                <w:sz w:val="18"/>
              </w:rPr>
              <w:t>Lesser of 10% of the annual fee or a flat fee of 152.01 fee units</w:t>
            </w:r>
          </w:p>
        </w:tc>
        <w:tc>
          <w:tcPr>
            <w:tcW w:w="410" w:type="pct"/>
          </w:tcPr>
          <w:p w14:paraId="656B1936" w14:textId="208EF248" w:rsidR="002A2DFB" w:rsidRPr="00A648FA" w:rsidRDefault="002A2DFB" w:rsidP="002A2DFB">
            <w:pPr>
              <w:spacing w:after="0"/>
              <w:rPr>
                <w:rFonts w:cs="Segoe UI Light"/>
                <w:sz w:val="18"/>
              </w:rPr>
            </w:pPr>
            <w:r w:rsidRPr="00CB51FF">
              <w:rPr>
                <w:rFonts w:cs="Segoe UI Light"/>
                <w:sz w:val="18"/>
              </w:rPr>
              <w:t xml:space="preserve"> $2,196.61 </w:t>
            </w:r>
          </w:p>
          <w:p w14:paraId="656B1937" w14:textId="77777777" w:rsidR="002A2DFB" w:rsidRPr="00CB51FF" w:rsidRDefault="002A2DFB" w:rsidP="002A2DFB">
            <w:pPr>
              <w:spacing w:after="0"/>
              <w:rPr>
                <w:rFonts w:cs="Segoe UI Light"/>
                <w:sz w:val="18"/>
              </w:rPr>
            </w:pPr>
          </w:p>
        </w:tc>
        <w:tc>
          <w:tcPr>
            <w:tcW w:w="353" w:type="pct"/>
          </w:tcPr>
          <w:p w14:paraId="656B1938" w14:textId="7507A7F6" w:rsidR="002A2DFB" w:rsidRPr="00CB51FF" w:rsidRDefault="002A2DFB" w:rsidP="002A2DFB">
            <w:pPr>
              <w:spacing w:after="0"/>
              <w:rPr>
                <w:rFonts w:cs="Segoe UI Light"/>
                <w:sz w:val="18"/>
              </w:rPr>
            </w:pPr>
            <w:r w:rsidRPr="00CB51FF">
              <w:rPr>
                <w:rFonts w:cs="Segoe UI Light"/>
                <w:sz w:val="18"/>
              </w:rPr>
              <w:t xml:space="preserve"> $43,932</w:t>
            </w:r>
            <w:r w:rsidR="00671C07">
              <w:rPr>
                <w:rFonts w:cs="Segoe UI Light"/>
                <w:sz w:val="18"/>
              </w:rPr>
              <w:t>.00</w:t>
            </w:r>
            <w:r w:rsidRPr="00CB51FF">
              <w:rPr>
                <w:rFonts w:cs="Segoe UI Light"/>
                <w:sz w:val="18"/>
              </w:rPr>
              <w:t xml:space="preserve"> </w:t>
            </w:r>
          </w:p>
        </w:tc>
        <w:tc>
          <w:tcPr>
            <w:tcW w:w="303" w:type="pct"/>
          </w:tcPr>
          <w:p w14:paraId="656B1939"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3A" w14:textId="77777777" w:rsidR="002A2DFB" w:rsidRPr="00737FF3" w:rsidRDefault="002A2DFB" w:rsidP="002A2DFB">
            <w:pPr>
              <w:spacing w:after="0" w:line="240" w:lineRule="auto"/>
              <w:rPr>
                <w:rFonts w:cs="Segoe UI Light"/>
                <w:sz w:val="16"/>
                <w:szCs w:val="16"/>
              </w:rPr>
            </w:pPr>
            <w:r w:rsidRPr="00737FF3">
              <w:rPr>
                <w:rFonts w:cs="Segoe UI Light"/>
                <w:sz w:val="16"/>
                <w:szCs w:val="16"/>
              </w:rPr>
              <w:t>New fee</w:t>
            </w:r>
          </w:p>
        </w:tc>
      </w:tr>
      <w:tr w:rsidR="002A2DFB" w:rsidRPr="00A648FA" w14:paraId="656B1949" w14:textId="77777777" w:rsidTr="00A86267">
        <w:trPr>
          <w:trHeight w:val="1293"/>
        </w:trPr>
        <w:tc>
          <w:tcPr>
            <w:tcW w:w="511" w:type="pct"/>
          </w:tcPr>
          <w:p w14:paraId="656B193C" w14:textId="77777777" w:rsidR="002A2DFB" w:rsidRPr="00A07276" w:rsidRDefault="002A2DFB" w:rsidP="002A2DFB">
            <w:pPr>
              <w:spacing w:after="0"/>
              <w:rPr>
                <w:rFonts w:cs="Segoe UI Light"/>
                <w:sz w:val="18"/>
              </w:rPr>
            </w:pPr>
            <w:r w:rsidRPr="00CB51FF">
              <w:rPr>
                <w:rFonts w:cs="Segoe UI Light"/>
                <w:sz w:val="18"/>
              </w:rPr>
              <w:t>Operating licence</w:t>
            </w:r>
          </w:p>
        </w:tc>
        <w:tc>
          <w:tcPr>
            <w:tcW w:w="420" w:type="pct"/>
          </w:tcPr>
          <w:p w14:paraId="656B193D" w14:textId="77777777" w:rsidR="002A2DFB" w:rsidRPr="00A07276" w:rsidRDefault="002A2DFB" w:rsidP="002A2DFB">
            <w:pPr>
              <w:spacing w:after="0"/>
              <w:rPr>
                <w:rFonts w:cs="Segoe UI Light"/>
                <w:sz w:val="18"/>
              </w:rPr>
            </w:pPr>
            <w:r w:rsidRPr="00CB51FF">
              <w:rPr>
                <w:rFonts w:cs="Segoe UI Light"/>
                <w:sz w:val="18"/>
              </w:rPr>
              <w:t>Exemption</w:t>
            </w:r>
          </w:p>
        </w:tc>
        <w:tc>
          <w:tcPr>
            <w:tcW w:w="412" w:type="pct"/>
          </w:tcPr>
          <w:p w14:paraId="656B193E" w14:textId="77777777" w:rsidR="002A2DFB" w:rsidRPr="00CB51FF" w:rsidRDefault="002A2DFB" w:rsidP="002A2DFB">
            <w:pPr>
              <w:spacing w:after="0"/>
              <w:rPr>
                <w:rFonts w:cs="Segoe UI Light"/>
                <w:sz w:val="18"/>
              </w:rPr>
            </w:pPr>
            <w:r w:rsidRPr="00CB51FF">
              <w:rPr>
                <w:rFonts w:cs="Segoe UI Light"/>
                <w:sz w:val="18"/>
              </w:rPr>
              <w:t>-</w:t>
            </w:r>
          </w:p>
        </w:tc>
        <w:tc>
          <w:tcPr>
            <w:tcW w:w="275" w:type="pct"/>
          </w:tcPr>
          <w:p w14:paraId="656B193F" w14:textId="77777777" w:rsidR="002A2DFB" w:rsidRPr="00CB51FF" w:rsidRDefault="002A2DFB" w:rsidP="002A2DFB">
            <w:pPr>
              <w:spacing w:after="0"/>
              <w:rPr>
                <w:rFonts w:cs="Segoe UI Light"/>
                <w:sz w:val="18"/>
              </w:rPr>
            </w:pPr>
            <w:r w:rsidRPr="00CB51FF">
              <w:rPr>
                <w:rFonts w:cs="Segoe UI Light"/>
                <w:sz w:val="18"/>
              </w:rPr>
              <w:t xml:space="preserve">Unknown </w:t>
            </w:r>
          </w:p>
        </w:tc>
        <w:tc>
          <w:tcPr>
            <w:tcW w:w="389" w:type="pct"/>
          </w:tcPr>
          <w:p w14:paraId="656B1940" w14:textId="06664998" w:rsidR="002A2DFB" w:rsidRPr="00CB51FF" w:rsidRDefault="00610D9B" w:rsidP="002A2DFB">
            <w:pPr>
              <w:spacing w:after="0"/>
              <w:rPr>
                <w:rFonts w:cs="Segoe UI Light"/>
                <w:sz w:val="18"/>
              </w:rPr>
            </w:pPr>
            <w:r>
              <w:rPr>
                <w:rFonts w:cs="Segoe UI Light"/>
                <w:sz w:val="18"/>
              </w:rPr>
              <w:t>81.44</w:t>
            </w:r>
          </w:p>
        </w:tc>
        <w:tc>
          <w:tcPr>
            <w:tcW w:w="348" w:type="pct"/>
          </w:tcPr>
          <w:p w14:paraId="656B1941" w14:textId="1D21F1AF" w:rsidR="002A2DFB" w:rsidRPr="00CB51FF" w:rsidRDefault="002A2DFB" w:rsidP="002A2DFB">
            <w:pPr>
              <w:spacing w:after="0"/>
              <w:rPr>
                <w:rFonts w:cs="Segoe UI Light"/>
                <w:sz w:val="18"/>
              </w:rPr>
            </w:pPr>
            <w:r w:rsidRPr="00CB51FF">
              <w:rPr>
                <w:rFonts w:cs="Segoe UI Light"/>
                <w:sz w:val="18"/>
              </w:rPr>
              <w:t xml:space="preserve"> $</w:t>
            </w:r>
            <w:r w:rsidR="00610D9B">
              <w:rPr>
                <w:rFonts w:cs="Segoe UI Light"/>
                <w:sz w:val="18"/>
              </w:rPr>
              <w:t>7,399.60</w:t>
            </w:r>
            <w:r w:rsidRPr="00CB51FF">
              <w:rPr>
                <w:rFonts w:cs="Segoe UI Light"/>
                <w:sz w:val="18"/>
              </w:rPr>
              <w:t xml:space="preserve"> </w:t>
            </w:r>
          </w:p>
        </w:tc>
        <w:tc>
          <w:tcPr>
            <w:tcW w:w="372" w:type="pct"/>
          </w:tcPr>
          <w:p w14:paraId="656B1942"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853" w:type="pct"/>
          </w:tcPr>
          <w:p w14:paraId="656B1943" w14:textId="77777777" w:rsidR="002A2DFB" w:rsidRPr="00A07276" w:rsidRDefault="002A2DFB" w:rsidP="002A2DFB">
            <w:pPr>
              <w:spacing w:after="0"/>
              <w:rPr>
                <w:rFonts w:cs="Segoe UI Light"/>
                <w:sz w:val="18"/>
              </w:rPr>
            </w:pPr>
            <w:r w:rsidRPr="00A648FA">
              <w:rPr>
                <w:rFonts w:cs="Segoe UI Light"/>
                <w:sz w:val="18"/>
              </w:rPr>
              <w:t>68.8 fee units on application plus 6.29 fee units per hour for assessments exceeding 10.95 hours up to a maximum of 780.32 fee units.</w:t>
            </w:r>
          </w:p>
        </w:tc>
        <w:tc>
          <w:tcPr>
            <w:tcW w:w="410" w:type="pct"/>
          </w:tcPr>
          <w:p w14:paraId="656B1944" w14:textId="3A419985" w:rsidR="002A2DFB" w:rsidRDefault="002A2DFB" w:rsidP="002A2DFB">
            <w:pPr>
              <w:spacing w:after="0"/>
              <w:rPr>
                <w:rFonts w:cs="Segoe UI Light"/>
                <w:sz w:val="18"/>
              </w:rPr>
            </w:pPr>
            <w:r w:rsidRPr="00CB51FF">
              <w:rPr>
                <w:rFonts w:cs="Segoe UI Light"/>
                <w:sz w:val="18"/>
              </w:rPr>
              <w:t xml:space="preserve"> $</w:t>
            </w:r>
            <w:r w:rsidR="00610D9B">
              <w:rPr>
                <w:rFonts w:cs="Segoe UI Light"/>
                <w:sz w:val="18"/>
              </w:rPr>
              <w:t>7,399.60</w:t>
            </w:r>
            <w:r w:rsidRPr="00CB51FF">
              <w:rPr>
                <w:rFonts w:cs="Segoe UI Light"/>
                <w:sz w:val="18"/>
              </w:rPr>
              <w:t xml:space="preserve"> </w:t>
            </w:r>
          </w:p>
          <w:p w14:paraId="656B1945" w14:textId="77777777" w:rsidR="002A2DFB" w:rsidRPr="00CB51FF" w:rsidRDefault="002A2DFB" w:rsidP="002A2DFB">
            <w:pPr>
              <w:spacing w:after="0"/>
              <w:rPr>
                <w:rFonts w:cs="Segoe UI Light"/>
                <w:sz w:val="18"/>
              </w:rPr>
            </w:pPr>
          </w:p>
        </w:tc>
        <w:tc>
          <w:tcPr>
            <w:tcW w:w="353" w:type="pct"/>
          </w:tcPr>
          <w:p w14:paraId="656B1946" w14:textId="2AAE1389" w:rsidR="002A2DFB" w:rsidRPr="00CB51FF" w:rsidRDefault="00F409F6" w:rsidP="002A2DFB">
            <w:pPr>
              <w:spacing w:after="0"/>
              <w:rPr>
                <w:rFonts w:cs="Segoe UI Light"/>
                <w:sz w:val="18"/>
              </w:rPr>
            </w:pPr>
            <w:r>
              <w:rPr>
                <w:rFonts w:cs="Segoe UI Light"/>
                <w:sz w:val="18"/>
              </w:rPr>
              <w:t>Unknown</w:t>
            </w:r>
          </w:p>
        </w:tc>
        <w:tc>
          <w:tcPr>
            <w:tcW w:w="303" w:type="pct"/>
          </w:tcPr>
          <w:p w14:paraId="656B1947"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48" w14:textId="77777777" w:rsidR="002A2DFB" w:rsidRPr="00737FF3" w:rsidRDefault="002A2DFB" w:rsidP="002A2DFB">
            <w:pPr>
              <w:spacing w:after="0" w:line="240" w:lineRule="auto"/>
              <w:rPr>
                <w:rFonts w:cs="Segoe UI Light"/>
                <w:sz w:val="16"/>
                <w:szCs w:val="16"/>
              </w:rPr>
            </w:pPr>
            <w:r w:rsidRPr="00737FF3">
              <w:rPr>
                <w:rFonts w:cs="Segoe UI Light"/>
                <w:sz w:val="16"/>
                <w:szCs w:val="16"/>
              </w:rPr>
              <w:t>New fee</w:t>
            </w:r>
          </w:p>
        </w:tc>
      </w:tr>
      <w:tr w:rsidR="002A2DFB" w:rsidRPr="00A648FA" w14:paraId="656B1956" w14:textId="77777777" w:rsidTr="00A86267">
        <w:trPr>
          <w:trHeight w:val="216"/>
        </w:trPr>
        <w:tc>
          <w:tcPr>
            <w:tcW w:w="511" w:type="pct"/>
          </w:tcPr>
          <w:p w14:paraId="656B194A"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94B" w14:textId="77777777" w:rsidR="002A2DFB" w:rsidRPr="00A07276" w:rsidRDefault="002A2DFB" w:rsidP="002A2DFB">
            <w:pPr>
              <w:spacing w:after="0"/>
              <w:rPr>
                <w:rFonts w:cs="Segoe UI Light"/>
                <w:sz w:val="18"/>
              </w:rPr>
            </w:pPr>
            <w:r w:rsidRPr="00CB51FF">
              <w:rPr>
                <w:rFonts w:cs="Segoe UI Light"/>
                <w:sz w:val="18"/>
              </w:rPr>
              <w:t>Application</w:t>
            </w:r>
          </w:p>
        </w:tc>
        <w:tc>
          <w:tcPr>
            <w:tcW w:w="412" w:type="pct"/>
          </w:tcPr>
          <w:p w14:paraId="656B194C" w14:textId="77777777" w:rsidR="002A2DFB" w:rsidRPr="00CB51FF" w:rsidRDefault="002A2DFB" w:rsidP="002A2DFB">
            <w:pPr>
              <w:spacing w:after="0"/>
              <w:rPr>
                <w:rFonts w:cs="Segoe UI Light"/>
                <w:sz w:val="18"/>
              </w:rPr>
            </w:pPr>
            <w:r w:rsidRPr="00CB51FF">
              <w:rPr>
                <w:rFonts w:cs="Segoe UI Light"/>
                <w:sz w:val="18"/>
              </w:rPr>
              <w:t>Reportable priority waste transport (temporary)</w:t>
            </w:r>
          </w:p>
        </w:tc>
        <w:tc>
          <w:tcPr>
            <w:tcW w:w="275" w:type="pct"/>
          </w:tcPr>
          <w:p w14:paraId="656B194D" w14:textId="77777777" w:rsidR="002A2DFB" w:rsidRPr="00CB51FF" w:rsidRDefault="002A2DFB" w:rsidP="002A2DFB">
            <w:pPr>
              <w:spacing w:after="0"/>
              <w:rPr>
                <w:rFonts w:cs="Segoe UI Light"/>
                <w:sz w:val="18"/>
              </w:rPr>
            </w:pPr>
            <w:r w:rsidRPr="00CB51FF">
              <w:rPr>
                <w:rFonts w:cs="Segoe UI Light"/>
                <w:sz w:val="18"/>
              </w:rPr>
              <w:t>1</w:t>
            </w:r>
          </w:p>
        </w:tc>
        <w:tc>
          <w:tcPr>
            <w:tcW w:w="389" w:type="pct"/>
          </w:tcPr>
          <w:p w14:paraId="656B194E" w14:textId="77777777" w:rsidR="002A2DFB" w:rsidRPr="00CB51FF" w:rsidRDefault="002A2DFB" w:rsidP="002A2DFB">
            <w:pPr>
              <w:spacing w:after="0"/>
              <w:rPr>
                <w:rFonts w:cs="Segoe UI Light"/>
                <w:sz w:val="18"/>
              </w:rPr>
            </w:pPr>
            <w:r w:rsidRPr="00CB51FF">
              <w:rPr>
                <w:rFonts w:cs="Segoe UI Light"/>
                <w:sz w:val="18"/>
              </w:rPr>
              <w:t xml:space="preserve">Unknown </w:t>
            </w:r>
          </w:p>
        </w:tc>
        <w:tc>
          <w:tcPr>
            <w:tcW w:w="348" w:type="pct"/>
          </w:tcPr>
          <w:p w14:paraId="656B194F" w14:textId="41C38C52" w:rsidR="002A2DFB" w:rsidRPr="00CB51FF" w:rsidRDefault="002A2DFB" w:rsidP="002A2DFB">
            <w:pPr>
              <w:spacing w:after="0"/>
              <w:rPr>
                <w:rFonts w:cs="Segoe UI Light"/>
                <w:sz w:val="18"/>
              </w:rPr>
            </w:pPr>
            <w:r w:rsidRPr="00CB51FF">
              <w:rPr>
                <w:rFonts w:cs="Segoe UI Light"/>
                <w:sz w:val="18"/>
              </w:rPr>
              <w:t xml:space="preserve"> $89.73 </w:t>
            </w:r>
          </w:p>
        </w:tc>
        <w:tc>
          <w:tcPr>
            <w:tcW w:w="372" w:type="pct"/>
          </w:tcPr>
          <w:p w14:paraId="656B1950" w14:textId="01AB6015" w:rsidR="002A2DFB" w:rsidRPr="00CB51FF" w:rsidRDefault="002A2DFB" w:rsidP="002A2DFB">
            <w:pPr>
              <w:spacing w:after="0"/>
              <w:rPr>
                <w:rFonts w:cs="Segoe UI Light"/>
                <w:sz w:val="18"/>
              </w:rPr>
            </w:pPr>
            <w:r w:rsidRPr="00CB51FF">
              <w:rPr>
                <w:rFonts w:cs="Segoe UI Light"/>
                <w:sz w:val="18"/>
              </w:rPr>
              <w:t xml:space="preserve"> $</w:t>
            </w:r>
            <w:r w:rsidR="00671C07">
              <w:rPr>
                <w:rFonts w:cs="Segoe UI Light"/>
                <w:sz w:val="18"/>
              </w:rPr>
              <w:t>89.73</w:t>
            </w:r>
            <w:r w:rsidRPr="00CB51FF">
              <w:rPr>
                <w:rFonts w:cs="Segoe UI Light"/>
                <w:sz w:val="18"/>
              </w:rPr>
              <w:t xml:space="preserve"> </w:t>
            </w:r>
          </w:p>
        </w:tc>
        <w:tc>
          <w:tcPr>
            <w:tcW w:w="853" w:type="pct"/>
          </w:tcPr>
          <w:p w14:paraId="656B1951" w14:textId="77777777" w:rsidR="002A2DFB" w:rsidRPr="00CB51FF" w:rsidRDefault="002A2DFB" w:rsidP="002A2DFB">
            <w:pPr>
              <w:spacing w:after="0"/>
              <w:rPr>
                <w:rFonts w:cs="Segoe UI Light"/>
                <w:sz w:val="18"/>
              </w:rPr>
            </w:pPr>
            <w:r w:rsidRPr="00A07276">
              <w:rPr>
                <w:rFonts w:cs="Segoe UI Light"/>
                <w:sz w:val="18"/>
              </w:rPr>
              <w:t>Flat fee - 6.21 fee units</w:t>
            </w:r>
          </w:p>
        </w:tc>
        <w:tc>
          <w:tcPr>
            <w:tcW w:w="410" w:type="pct"/>
          </w:tcPr>
          <w:p w14:paraId="656B1952" w14:textId="2D5F9D06" w:rsidR="002A2DFB" w:rsidRPr="00CB51FF" w:rsidRDefault="002A2DFB" w:rsidP="002A2DFB">
            <w:pPr>
              <w:spacing w:after="0"/>
              <w:rPr>
                <w:rFonts w:cs="Segoe UI Light"/>
                <w:sz w:val="18"/>
              </w:rPr>
            </w:pPr>
            <w:r w:rsidRPr="00CB51FF">
              <w:rPr>
                <w:rFonts w:cs="Segoe UI Light"/>
                <w:sz w:val="18"/>
              </w:rPr>
              <w:t xml:space="preserve"> $89.73 </w:t>
            </w:r>
          </w:p>
        </w:tc>
        <w:tc>
          <w:tcPr>
            <w:tcW w:w="353" w:type="pct"/>
          </w:tcPr>
          <w:p w14:paraId="656B1953" w14:textId="2691B429" w:rsidR="002A2DFB" w:rsidRPr="00CB51FF" w:rsidRDefault="002A2DFB" w:rsidP="002A2DFB">
            <w:pPr>
              <w:spacing w:after="0"/>
              <w:rPr>
                <w:rFonts w:cs="Segoe UI Light"/>
                <w:sz w:val="18"/>
              </w:rPr>
            </w:pPr>
            <w:r w:rsidRPr="00CB51FF">
              <w:rPr>
                <w:rFonts w:cs="Segoe UI Light"/>
                <w:sz w:val="18"/>
              </w:rPr>
              <w:t xml:space="preserve"> $</w:t>
            </w:r>
            <w:r w:rsidR="00671C07">
              <w:rPr>
                <w:rFonts w:cs="Segoe UI Light"/>
                <w:sz w:val="18"/>
              </w:rPr>
              <w:t>89.73</w:t>
            </w:r>
            <w:r w:rsidRPr="00CB51FF">
              <w:rPr>
                <w:rFonts w:cs="Segoe UI Light"/>
                <w:sz w:val="18"/>
              </w:rPr>
              <w:t xml:space="preserve"> </w:t>
            </w:r>
          </w:p>
        </w:tc>
        <w:tc>
          <w:tcPr>
            <w:tcW w:w="303" w:type="pct"/>
          </w:tcPr>
          <w:p w14:paraId="656B1954"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55" w14:textId="77777777" w:rsidR="002A2DFB" w:rsidRPr="00737FF3" w:rsidRDefault="002A2DFB" w:rsidP="002A2DFB">
            <w:pPr>
              <w:spacing w:after="0" w:line="240" w:lineRule="auto"/>
              <w:rPr>
                <w:rFonts w:cs="Segoe UI Light"/>
                <w:sz w:val="16"/>
                <w:szCs w:val="16"/>
              </w:rPr>
            </w:pPr>
            <w:r w:rsidRPr="00737FF3">
              <w:rPr>
                <w:rFonts w:cs="Segoe UI Light"/>
                <w:sz w:val="16"/>
                <w:szCs w:val="16"/>
              </w:rPr>
              <w:t>New fee design</w:t>
            </w:r>
          </w:p>
        </w:tc>
      </w:tr>
      <w:tr w:rsidR="002A2DFB" w:rsidRPr="00A648FA" w14:paraId="656B1964" w14:textId="77777777" w:rsidTr="00A86267">
        <w:trPr>
          <w:trHeight w:val="216"/>
        </w:trPr>
        <w:tc>
          <w:tcPr>
            <w:tcW w:w="511" w:type="pct"/>
          </w:tcPr>
          <w:p w14:paraId="656B1957"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958" w14:textId="77777777" w:rsidR="002A2DFB" w:rsidRPr="00A07276" w:rsidRDefault="002A2DFB" w:rsidP="002A2DFB">
            <w:pPr>
              <w:spacing w:after="0"/>
              <w:rPr>
                <w:rFonts w:cs="Segoe UI Light"/>
                <w:sz w:val="18"/>
              </w:rPr>
            </w:pPr>
            <w:r w:rsidRPr="00CB51FF">
              <w:rPr>
                <w:rFonts w:cs="Segoe UI Light"/>
                <w:sz w:val="18"/>
              </w:rPr>
              <w:t>Application</w:t>
            </w:r>
          </w:p>
        </w:tc>
        <w:tc>
          <w:tcPr>
            <w:tcW w:w="412" w:type="pct"/>
          </w:tcPr>
          <w:p w14:paraId="656B1959" w14:textId="77777777" w:rsidR="002A2DFB" w:rsidRPr="00CB51FF" w:rsidRDefault="002A2DFB" w:rsidP="002A2DFB">
            <w:pPr>
              <w:spacing w:after="0"/>
              <w:rPr>
                <w:rFonts w:cs="Segoe UI Light"/>
                <w:sz w:val="18"/>
              </w:rPr>
            </w:pPr>
            <w:r w:rsidRPr="00CB51FF">
              <w:rPr>
                <w:rFonts w:cs="Segoe UI Light"/>
                <w:sz w:val="18"/>
              </w:rPr>
              <w:t>Reportable priority waste transport (full permit)</w:t>
            </w:r>
          </w:p>
        </w:tc>
        <w:tc>
          <w:tcPr>
            <w:tcW w:w="275" w:type="pct"/>
          </w:tcPr>
          <w:p w14:paraId="656B195A" w14:textId="77777777" w:rsidR="002A2DFB" w:rsidRPr="00CB51FF" w:rsidRDefault="002A2DFB" w:rsidP="002A2DFB">
            <w:pPr>
              <w:spacing w:after="0"/>
              <w:rPr>
                <w:rFonts w:cs="Segoe UI Light"/>
                <w:sz w:val="18"/>
              </w:rPr>
            </w:pPr>
            <w:r w:rsidRPr="00CB51FF">
              <w:rPr>
                <w:rFonts w:cs="Segoe UI Light"/>
                <w:sz w:val="18"/>
              </w:rPr>
              <w:t>40</w:t>
            </w:r>
          </w:p>
        </w:tc>
        <w:tc>
          <w:tcPr>
            <w:tcW w:w="389" w:type="pct"/>
          </w:tcPr>
          <w:p w14:paraId="656B195B" w14:textId="25194B6C" w:rsidR="002A2DFB" w:rsidRPr="00CB51FF" w:rsidRDefault="002A2DFB" w:rsidP="002A2DFB">
            <w:pPr>
              <w:spacing w:after="0"/>
              <w:rPr>
                <w:rFonts w:cs="Segoe UI Light"/>
                <w:sz w:val="18"/>
              </w:rPr>
            </w:pPr>
            <w:r w:rsidRPr="00CB51FF">
              <w:rPr>
                <w:rFonts w:cs="Segoe UI Light"/>
                <w:sz w:val="18"/>
              </w:rPr>
              <w:t>3.</w:t>
            </w:r>
            <w:r w:rsidR="00671C07">
              <w:rPr>
                <w:rFonts w:cs="Segoe UI Light"/>
                <w:sz w:val="18"/>
              </w:rPr>
              <w:t>6</w:t>
            </w:r>
            <w:r w:rsidRPr="00CB51FF">
              <w:rPr>
                <w:rFonts w:cs="Segoe UI Light"/>
                <w:sz w:val="18"/>
              </w:rPr>
              <w:t>7</w:t>
            </w:r>
          </w:p>
        </w:tc>
        <w:tc>
          <w:tcPr>
            <w:tcW w:w="348" w:type="pct"/>
          </w:tcPr>
          <w:p w14:paraId="656B195C" w14:textId="00AF31D2" w:rsidR="002A2DFB" w:rsidRPr="00CB51FF" w:rsidRDefault="002A2DFB" w:rsidP="002A2DFB">
            <w:pPr>
              <w:spacing w:after="0"/>
              <w:rPr>
                <w:rFonts w:cs="Segoe UI Light"/>
                <w:sz w:val="18"/>
              </w:rPr>
            </w:pPr>
            <w:r w:rsidRPr="00CB51FF">
              <w:rPr>
                <w:rFonts w:cs="Segoe UI Light"/>
                <w:sz w:val="18"/>
              </w:rPr>
              <w:t xml:space="preserve"> $358.79 </w:t>
            </w:r>
          </w:p>
        </w:tc>
        <w:tc>
          <w:tcPr>
            <w:tcW w:w="372" w:type="pct"/>
          </w:tcPr>
          <w:p w14:paraId="656B195D" w14:textId="3EB95B05" w:rsidR="002A2DFB" w:rsidRPr="00CB51FF" w:rsidRDefault="002A2DFB" w:rsidP="002A2DFB">
            <w:pPr>
              <w:spacing w:after="0"/>
              <w:rPr>
                <w:rFonts w:cs="Segoe UI Light"/>
                <w:sz w:val="18"/>
              </w:rPr>
            </w:pPr>
            <w:r w:rsidRPr="00CB51FF">
              <w:rPr>
                <w:rFonts w:cs="Segoe UI Light"/>
                <w:sz w:val="18"/>
              </w:rPr>
              <w:t xml:space="preserve"> $14,35</w:t>
            </w:r>
            <w:r w:rsidR="00671C07">
              <w:rPr>
                <w:rFonts w:cs="Segoe UI Light"/>
                <w:sz w:val="18"/>
              </w:rPr>
              <w:t>1.60</w:t>
            </w:r>
            <w:r w:rsidRPr="00CB51FF">
              <w:rPr>
                <w:rFonts w:cs="Segoe UI Light"/>
                <w:sz w:val="18"/>
              </w:rPr>
              <w:t xml:space="preserve"> </w:t>
            </w:r>
          </w:p>
        </w:tc>
        <w:tc>
          <w:tcPr>
            <w:tcW w:w="853" w:type="pct"/>
          </w:tcPr>
          <w:p w14:paraId="656B195E" w14:textId="77777777" w:rsidR="002A2DFB" w:rsidRPr="00CB51FF" w:rsidRDefault="002A2DFB" w:rsidP="002A2DFB">
            <w:pPr>
              <w:spacing w:after="0"/>
              <w:rPr>
                <w:rFonts w:cs="Segoe UI Light"/>
                <w:sz w:val="18"/>
              </w:rPr>
            </w:pPr>
            <w:r w:rsidRPr="00A07276">
              <w:rPr>
                <w:rFonts w:cs="Segoe UI Light"/>
                <w:sz w:val="18"/>
              </w:rPr>
              <w:t>Flat fee - 24.83 fee units</w:t>
            </w:r>
          </w:p>
        </w:tc>
        <w:tc>
          <w:tcPr>
            <w:tcW w:w="410" w:type="pct"/>
          </w:tcPr>
          <w:p w14:paraId="656B195F" w14:textId="7A6C34E4" w:rsidR="002A2DFB" w:rsidRPr="00CB51FF" w:rsidRDefault="002A2DFB" w:rsidP="002A2DFB">
            <w:pPr>
              <w:spacing w:after="0"/>
              <w:rPr>
                <w:rFonts w:cs="Segoe UI Light"/>
                <w:sz w:val="18"/>
              </w:rPr>
            </w:pPr>
            <w:r w:rsidRPr="00CB51FF">
              <w:rPr>
                <w:rFonts w:cs="Segoe UI Light"/>
                <w:sz w:val="18"/>
              </w:rPr>
              <w:t xml:space="preserve"> $358.79 </w:t>
            </w:r>
          </w:p>
        </w:tc>
        <w:tc>
          <w:tcPr>
            <w:tcW w:w="353" w:type="pct"/>
          </w:tcPr>
          <w:p w14:paraId="656B1960" w14:textId="67E59C4A" w:rsidR="002A2DFB" w:rsidRPr="00CB51FF" w:rsidRDefault="002A2DFB" w:rsidP="002A2DFB">
            <w:pPr>
              <w:spacing w:after="0"/>
              <w:rPr>
                <w:rFonts w:cs="Segoe UI Light"/>
                <w:sz w:val="18"/>
              </w:rPr>
            </w:pPr>
            <w:r w:rsidRPr="00CB51FF">
              <w:rPr>
                <w:rFonts w:cs="Segoe UI Light"/>
                <w:sz w:val="18"/>
              </w:rPr>
              <w:t xml:space="preserve"> $14,35</w:t>
            </w:r>
            <w:r w:rsidR="00671C07">
              <w:rPr>
                <w:rFonts w:cs="Segoe UI Light"/>
                <w:sz w:val="18"/>
              </w:rPr>
              <w:t>1.60</w:t>
            </w:r>
            <w:r w:rsidRPr="00CB51FF">
              <w:rPr>
                <w:rFonts w:cs="Segoe UI Light"/>
                <w:sz w:val="18"/>
              </w:rPr>
              <w:t xml:space="preserve"> </w:t>
            </w:r>
          </w:p>
        </w:tc>
        <w:tc>
          <w:tcPr>
            <w:tcW w:w="303" w:type="pct"/>
          </w:tcPr>
          <w:p w14:paraId="656B1961"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62" w14:textId="3FF33DBA" w:rsidR="002A2DFB" w:rsidRPr="00737FF3" w:rsidRDefault="002A2DFB" w:rsidP="002A2DFB">
            <w:pPr>
              <w:spacing w:after="0" w:line="240" w:lineRule="auto"/>
              <w:rPr>
                <w:rFonts w:cs="Segoe UI Light"/>
                <w:sz w:val="16"/>
                <w:szCs w:val="16"/>
              </w:rPr>
            </w:pPr>
            <w:r w:rsidRPr="00737FF3">
              <w:rPr>
                <w:rFonts w:cs="Segoe UI Light"/>
                <w:sz w:val="16"/>
                <w:szCs w:val="16"/>
              </w:rPr>
              <w:t xml:space="preserve">New fee design </w:t>
            </w:r>
          </w:p>
          <w:p w14:paraId="656B1963" w14:textId="77777777" w:rsidR="002A2DFB" w:rsidRPr="00737FF3" w:rsidRDefault="002A2DFB" w:rsidP="002A2DFB">
            <w:pPr>
              <w:spacing w:after="0" w:line="240" w:lineRule="auto"/>
              <w:rPr>
                <w:rFonts w:cs="Segoe UI Light"/>
                <w:sz w:val="16"/>
                <w:szCs w:val="16"/>
              </w:rPr>
            </w:pPr>
          </w:p>
        </w:tc>
      </w:tr>
      <w:tr w:rsidR="002A2DFB" w:rsidRPr="00A648FA" w14:paraId="656B1971" w14:textId="77777777" w:rsidTr="00A86267">
        <w:trPr>
          <w:trHeight w:val="216"/>
        </w:trPr>
        <w:tc>
          <w:tcPr>
            <w:tcW w:w="511" w:type="pct"/>
          </w:tcPr>
          <w:p w14:paraId="656B1965"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966" w14:textId="77777777" w:rsidR="002A2DFB" w:rsidRPr="00A07276" w:rsidRDefault="002A2DFB" w:rsidP="002A2DFB">
            <w:pPr>
              <w:spacing w:after="0"/>
              <w:rPr>
                <w:rFonts w:cs="Segoe UI Light"/>
                <w:sz w:val="18"/>
              </w:rPr>
            </w:pPr>
            <w:r w:rsidRPr="00CB51FF">
              <w:rPr>
                <w:rFonts w:cs="Segoe UI Light"/>
                <w:sz w:val="18"/>
              </w:rPr>
              <w:t>Application</w:t>
            </w:r>
          </w:p>
        </w:tc>
        <w:tc>
          <w:tcPr>
            <w:tcW w:w="412" w:type="pct"/>
          </w:tcPr>
          <w:p w14:paraId="656B1967" w14:textId="77777777" w:rsidR="002A2DFB" w:rsidRPr="00CB51FF" w:rsidRDefault="002A2DFB" w:rsidP="002A2DFB">
            <w:pPr>
              <w:spacing w:after="0"/>
              <w:rPr>
                <w:rFonts w:cs="Segoe UI Light"/>
                <w:sz w:val="18"/>
              </w:rPr>
            </w:pPr>
            <w:r w:rsidRPr="00CB51FF">
              <w:rPr>
                <w:rFonts w:cs="Segoe UI Light"/>
                <w:sz w:val="18"/>
              </w:rPr>
              <w:t>Other - complex (application to Authority)</w:t>
            </w:r>
          </w:p>
        </w:tc>
        <w:tc>
          <w:tcPr>
            <w:tcW w:w="275" w:type="pct"/>
          </w:tcPr>
          <w:p w14:paraId="656B1968" w14:textId="6EA9BC0A" w:rsidR="002A2DFB" w:rsidRPr="00DD228C" w:rsidRDefault="00610D9B" w:rsidP="002A2DFB">
            <w:pPr>
              <w:spacing w:after="0"/>
              <w:rPr>
                <w:rFonts w:cs="Segoe UI Light"/>
                <w:sz w:val="18"/>
              </w:rPr>
            </w:pPr>
            <w:r w:rsidRPr="00DD228C">
              <w:rPr>
                <w:rFonts w:cs="Segoe UI Light"/>
                <w:sz w:val="18"/>
              </w:rPr>
              <w:t>139</w:t>
            </w:r>
          </w:p>
        </w:tc>
        <w:tc>
          <w:tcPr>
            <w:tcW w:w="389" w:type="pct"/>
          </w:tcPr>
          <w:p w14:paraId="656B1969" w14:textId="009FC0D3" w:rsidR="002A2DFB" w:rsidRPr="00DD228C" w:rsidRDefault="00610D9B" w:rsidP="002A2DFB">
            <w:pPr>
              <w:spacing w:after="0"/>
              <w:rPr>
                <w:rFonts w:cs="Segoe UI Light"/>
                <w:sz w:val="18"/>
              </w:rPr>
            </w:pPr>
            <w:r w:rsidRPr="00DD228C">
              <w:rPr>
                <w:rFonts w:cs="Segoe UI Light"/>
                <w:sz w:val="18"/>
              </w:rPr>
              <w:t>16.60</w:t>
            </w:r>
          </w:p>
        </w:tc>
        <w:tc>
          <w:tcPr>
            <w:tcW w:w="348" w:type="pct"/>
          </w:tcPr>
          <w:p w14:paraId="656B196A" w14:textId="0BB5156E" w:rsidR="002A2DFB" w:rsidRPr="00CB51FF" w:rsidRDefault="002A2DFB" w:rsidP="002A2DFB">
            <w:pPr>
              <w:spacing w:after="0"/>
              <w:rPr>
                <w:rFonts w:cs="Segoe UI Light"/>
                <w:sz w:val="18"/>
              </w:rPr>
            </w:pPr>
            <w:r w:rsidRPr="00CB51FF">
              <w:rPr>
                <w:rFonts w:cs="Segoe UI Light"/>
                <w:sz w:val="18"/>
              </w:rPr>
              <w:t xml:space="preserve"> $</w:t>
            </w:r>
            <w:r w:rsidR="00610D9B">
              <w:rPr>
                <w:rFonts w:cs="Segoe UI Light"/>
                <w:sz w:val="18"/>
              </w:rPr>
              <w:t>1,727.</w:t>
            </w:r>
            <w:r w:rsidR="00671C07">
              <w:rPr>
                <w:rFonts w:cs="Segoe UI Light"/>
                <w:sz w:val="18"/>
              </w:rPr>
              <w:t>35</w:t>
            </w:r>
            <w:r w:rsidRPr="00CB51FF">
              <w:rPr>
                <w:rFonts w:cs="Segoe UI Light"/>
                <w:sz w:val="18"/>
              </w:rPr>
              <w:t xml:space="preserve"> </w:t>
            </w:r>
          </w:p>
        </w:tc>
        <w:tc>
          <w:tcPr>
            <w:tcW w:w="372" w:type="pct"/>
          </w:tcPr>
          <w:p w14:paraId="656B196B" w14:textId="3D03C7F9" w:rsidR="002A2DFB" w:rsidRPr="00CB51FF" w:rsidRDefault="002A2DFB" w:rsidP="002A2DFB">
            <w:pPr>
              <w:spacing w:after="0"/>
              <w:rPr>
                <w:rFonts w:cs="Segoe UI Light"/>
                <w:sz w:val="18"/>
              </w:rPr>
            </w:pPr>
            <w:r w:rsidRPr="00CB51FF">
              <w:rPr>
                <w:rFonts w:cs="Segoe UI Light"/>
                <w:sz w:val="18"/>
              </w:rPr>
              <w:t xml:space="preserve"> $</w:t>
            </w:r>
            <w:r w:rsidR="00610D9B">
              <w:rPr>
                <w:rFonts w:cs="Segoe UI Light"/>
                <w:sz w:val="18"/>
              </w:rPr>
              <w:t>240,10</w:t>
            </w:r>
            <w:r w:rsidR="00671C07">
              <w:rPr>
                <w:rFonts w:cs="Segoe UI Light"/>
                <w:sz w:val="18"/>
              </w:rPr>
              <w:t>1.65</w:t>
            </w:r>
            <w:r w:rsidRPr="00CB51FF">
              <w:rPr>
                <w:rFonts w:cs="Segoe UI Light"/>
                <w:sz w:val="18"/>
              </w:rPr>
              <w:t xml:space="preserve"> </w:t>
            </w:r>
          </w:p>
        </w:tc>
        <w:tc>
          <w:tcPr>
            <w:tcW w:w="853" w:type="pct"/>
          </w:tcPr>
          <w:p w14:paraId="656B196C" w14:textId="77777777" w:rsidR="002A2DFB" w:rsidRPr="00CB51FF" w:rsidRDefault="002A2DFB" w:rsidP="002A2DFB">
            <w:pPr>
              <w:spacing w:after="0"/>
              <w:rPr>
                <w:rFonts w:cs="Segoe UI Light"/>
                <w:sz w:val="18"/>
              </w:rPr>
            </w:pPr>
            <w:r w:rsidRPr="00A07276">
              <w:rPr>
                <w:rFonts w:cs="Segoe UI Light"/>
                <w:sz w:val="18"/>
              </w:rPr>
              <w:t>Flat fee - 119.54 fee units</w:t>
            </w:r>
          </w:p>
        </w:tc>
        <w:tc>
          <w:tcPr>
            <w:tcW w:w="410" w:type="pct"/>
          </w:tcPr>
          <w:p w14:paraId="656B196D" w14:textId="551B6479" w:rsidR="002A2DFB" w:rsidRPr="00CB51FF" w:rsidRDefault="002A2DFB" w:rsidP="002A2DFB">
            <w:pPr>
              <w:spacing w:after="0"/>
              <w:rPr>
                <w:rFonts w:cs="Segoe UI Light"/>
                <w:sz w:val="18"/>
              </w:rPr>
            </w:pPr>
            <w:r w:rsidRPr="00CA6ADD">
              <w:rPr>
                <w:rFonts w:cs="Segoe UI Light"/>
                <w:sz w:val="18"/>
              </w:rPr>
              <w:t>$</w:t>
            </w:r>
            <w:r w:rsidR="004554F6">
              <w:rPr>
                <w:rFonts w:cs="Segoe UI Light"/>
                <w:sz w:val="18"/>
              </w:rPr>
              <w:t>1,727.</w:t>
            </w:r>
            <w:r w:rsidR="00671C07">
              <w:rPr>
                <w:rFonts w:cs="Segoe UI Light"/>
                <w:sz w:val="18"/>
              </w:rPr>
              <w:t>35</w:t>
            </w:r>
          </w:p>
        </w:tc>
        <w:tc>
          <w:tcPr>
            <w:tcW w:w="353" w:type="pct"/>
          </w:tcPr>
          <w:p w14:paraId="656B196E" w14:textId="16EA635B" w:rsidR="002A2DFB" w:rsidRPr="00CB51FF" w:rsidRDefault="002A2DFB" w:rsidP="002A2DFB">
            <w:pPr>
              <w:spacing w:after="0"/>
              <w:rPr>
                <w:rFonts w:cs="Segoe UI Light"/>
                <w:sz w:val="18"/>
              </w:rPr>
            </w:pPr>
            <w:r w:rsidRPr="00CA6ADD">
              <w:rPr>
                <w:rFonts w:cs="Segoe UI Light"/>
                <w:sz w:val="18"/>
              </w:rPr>
              <w:t>$</w:t>
            </w:r>
            <w:r w:rsidR="00610D9B">
              <w:rPr>
                <w:rFonts w:cs="Segoe UI Light"/>
                <w:sz w:val="18"/>
              </w:rPr>
              <w:t>240.10</w:t>
            </w:r>
            <w:r w:rsidR="00671C07">
              <w:rPr>
                <w:rFonts w:cs="Segoe UI Light"/>
                <w:sz w:val="18"/>
              </w:rPr>
              <w:t>1.65</w:t>
            </w:r>
            <w:r w:rsidRPr="00CA6ADD">
              <w:rPr>
                <w:rFonts w:cs="Segoe UI Light"/>
                <w:sz w:val="18"/>
              </w:rPr>
              <w:t xml:space="preserve"> </w:t>
            </w:r>
          </w:p>
        </w:tc>
        <w:tc>
          <w:tcPr>
            <w:tcW w:w="303" w:type="pct"/>
          </w:tcPr>
          <w:p w14:paraId="656B196F"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70" w14:textId="77777777" w:rsidR="002A2DFB" w:rsidRPr="00572A89" w:rsidRDefault="002A2DFB" w:rsidP="002A2DFB">
            <w:pPr>
              <w:spacing w:after="0" w:line="240" w:lineRule="auto"/>
              <w:rPr>
                <w:rFonts w:cs="Segoe UI Light"/>
                <w:sz w:val="16"/>
                <w:szCs w:val="16"/>
              </w:rPr>
            </w:pPr>
            <w:r w:rsidRPr="00572A89">
              <w:rPr>
                <w:rFonts w:cs="Segoe UI Light"/>
                <w:sz w:val="16"/>
                <w:szCs w:val="16"/>
              </w:rPr>
              <w:t>New fee</w:t>
            </w:r>
          </w:p>
        </w:tc>
      </w:tr>
      <w:tr w:rsidR="002A2DFB" w:rsidRPr="00A648FA" w14:paraId="656B197E" w14:textId="77777777" w:rsidTr="00A86267">
        <w:trPr>
          <w:trHeight w:val="216"/>
        </w:trPr>
        <w:tc>
          <w:tcPr>
            <w:tcW w:w="511" w:type="pct"/>
          </w:tcPr>
          <w:p w14:paraId="656B1972"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973" w14:textId="77777777" w:rsidR="002A2DFB" w:rsidRPr="00A07276" w:rsidRDefault="002A2DFB" w:rsidP="002A2DFB">
            <w:pPr>
              <w:spacing w:after="0"/>
              <w:rPr>
                <w:rFonts w:cs="Segoe UI Light"/>
                <w:sz w:val="18"/>
              </w:rPr>
            </w:pPr>
            <w:r w:rsidRPr="00CB51FF">
              <w:rPr>
                <w:rFonts w:cs="Segoe UI Light"/>
                <w:sz w:val="18"/>
              </w:rPr>
              <w:t>Application</w:t>
            </w:r>
          </w:p>
        </w:tc>
        <w:tc>
          <w:tcPr>
            <w:tcW w:w="412" w:type="pct"/>
          </w:tcPr>
          <w:p w14:paraId="656B1974" w14:textId="77777777" w:rsidR="002A2DFB" w:rsidRPr="00CB51FF" w:rsidRDefault="002A2DFB" w:rsidP="002A2DFB">
            <w:pPr>
              <w:spacing w:after="0"/>
              <w:rPr>
                <w:rFonts w:cs="Segoe UI Light"/>
                <w:sz w:val="18"/>
              </w:rPr>
            </w:pPr>
            <w:r w:rsidRPr="00CB51FF">
              <w:rPr>
                <w:rFonts w:cs="Segoe UI Light"/>
                <w:sz w:val="18"/>
              </w:rPr>
              <w:t>Other - simple (application to Authority)</w:t>
            </w:r>
          </w:p>
        </w:tc>
        <w:tc>
          <w:tcPr>
            <w:tcW w:w="275" w:type="pct"/>
          </w:tcPr>
          <w:p w14:paraId="656B1975" w14:textId="77777777" w:rsidR="002A2DFB" w:rsidRPr="00CB51FF" w:rsidRDefault="002A2DFB" w:rsidP="002A2DFB">
            <w:pPr>
              <w:spacing w:after="0"/>
              <w:rPr>
                <w:rFonts w:cs="Segoe UI Light"/>
                <w:sz w:val="18"/>
              </w:rPr>
            </w:pPr>
            <w:r w:rsidRPr="00CB51FF">
              <w:rPr>
                <w:rFonts w:cs="Segoe UI Light"/>
                <w:sz w:val="18"/>
              </w:rPr>
              <w:t>22</w:t>
            </w:r>
          </w:p>
        </w:tc>
        <w:tc>
          <w:tcPr>
            <w:tcW w:w="389" w:type="pct"/>
          </w:tcPr>
          <w:p w14:paraId="656B1976" w14:textId="74378FF8" w:rsidR="002A2DFB" w:rsidRPr="00CB51FF" w:rsidRDefault="002A2DFB" w:rsidP="002A2DFB">
            <w:pPr>
              <w:spacing w:after="0"/>
              <w:rPr>
                <w:rFonts w:cs="Segoe UI Light"/>
                <w:sz w:val="18"/>
              </w:rPr>
            </w:pPr>
            <w:r w:rsidRPr="00F322E5">
              <w:rPr>
                <w:rFonts w:cs="Segoe UI Light"/>
                <w:sz w:val="18"/>
              </w:rPr>
              <w:t>9.6</w:t>
            </w:r>
          </w:p>
        </w:tc>
        <w:tc>
          <w:tcPr>
            <w:tcW w:w="348" w:type="pct"/>
          </w:tcPr>
          <w:p w14:paraId="656B1977" w14:textId="38F25507" w:rsidR="002A2DFB" w:rsidRPr="00CB51FF" w:rsidRDefault="002A2DFB" w:rsidP="002A2DFB">
            <w:pPr>
              <w:spacing w:after="0"/>
              <w:rPr>
                <w:rFonts w:cs="Segoe UI Light"/>
                <w:sz w:val="18"/>
              </w:rPr>
            </w:pPr>
            <w:r w:rsidRPr="00CB51FF">
              <w:rPr>
                <w:rFonts w:cs="Segoe UI Light"/>
                <w:sz w:val="18"/>
              </w:rPr>
              <w:t xml:space="preserve"> $</w:t>
            </w:r>
            <w:r w:rsidR="004554F6">
              <w:rPr>
                <w:rFonts w:cs="Segoe UI Light"/>
                <w:sz w:val="18"/>
              </w:rPr>
              <w:t>990.</w:t>
            </w:r>
            <w:r w:rsidR="00671C07">
              <w:rPr>
                <w:rFonts w:cs="Segoe UI Light"/>
                <w:sz w:val="18"/>
              </w:rPr>
              <w:t>69</w:t>
            </w:r>
            <w:r w:rsidRPr="00CB51FF">
              <w:rPr>
                <w:rFonts w:cs="Segoe UI Light"/>
                <w:sz w:val="18"/>
              </w:rPr>
              <w:t xml:space="preserve"> </w:t>
            </w:r>
          </w:p>
        </w:tc>
        <w:tc>
          <w:tcPr>
            <w:tcW w:w="372" w:type="pct"/>
          </w:tcPr>
          <w:p w14:paraId="656B1978" w14:textId="43B4C582" w:rsidR="002A2DFB" w:rsidRPr="00CB51FF" w:rsidRDefault="002A2DFB" w:rsidP="002A2DFB">
            <w:pPr>
              <w:spacing w:after="0"/>
              <w:rPr>
                <w:rFonts w:cs="Segoe UI Light"/>
                <w:sz w:val="18"/>
              </w:rPr>
            </w:pPr>
            <w:r w:rsidRPr="00CB51FF">
              <w:rPr>
                <w:rFonts w:cs="Segoe UI Light"/>
                <w:sz w:val="18"/>
              </w:rPr>
              <w:t xml:space="preserve"> $21,</w:t>
            </w:r>
            <w:r w:rsidR="004554F6">
              <w:rPr>
                <w:rFonts w:cs="Segoe UI Light"/>
                <w:sz w:val="18"/>
              </w:rPr>
              <w:t>795.</w:t>
            </w:r>
            <w:r w:rsidR="00671C07">
              <w:rPr>
                <w:rFonts w:cs="Segoe UI Light"/>
                <w:sz w:val="18"/>
              </w:rPr>
              <w:t>18</w:t>
            </w:r>
            <w:r w:rsidR="004554F6" w:rsidRPr="00CB51FF">
              <w:rPr>
                <w:rFonts w:cs="Segoe UI Light"/>
                <w:sz w:val="18"/>
              </w:rPr>
              <w:t xml:space="preserve"> </w:t>
            </w:r>
          </w:p>
        </w:tc>
        <w:tc>
          <w:tcPr>
            <w:tcW w:w="853" w:type="pct"/>
          </w:tcPr>
          <w:p w14:paraId="656B1979" w14:textId="77777777" w:rsidR="002A2DFB" w:rsidRPr="00CB51FF" w:rsidRDefault="002A2DFB" w:rsidP="002A2DFB">
            <w:pPr>
              <w:spacing w:after="0"/>
              <w:rPr>
                <w:rFonts w:cs="Segoe UI Light"/>
                <w:sz w:val="18"/>
              </w:rPr>
            </w:pPr>
            <w:r w:rsidRPr="00A07276">
              <w:rPr>
                <w:rFonts w:cs="Segoe UI Light"/>
                <w:sz w:val="18"/>
              </w:rPr>
              <w:t>Flat fee - 68.56 fee units</w:t>
            </w:r>
          </w:p>
        </w:tc>
        <w:tc>
          <w:tcPr>
            <w:tcW w:w="410" w:type="pct"/>
          </w:tcPr>
          <w:p w14:paraId="656B197A" w14:textId="0909EF83" w:rsidR="002A2DFB" w:rsidRPr="00CB51FF" w:rsidRDefault="002A2DFB" w:rsidP="002A2DFB">
            <w:pPr>
              <w:spacing w:after="0"/>
              <w:rPr>
                <w:rFonts w:cs="Segoe UI Light"/>
                <w:sz w:val="18"/>
              </w:rPr>
            </w:pPr>
            <w:r w:rsidRPr="00CA6ADD">
              <w:rPr>
                <w:rFonts w:cs="Segoe UI Light"/>
                <w:sz w:val="18"/>
              </w:rPr>
              <w:t>$</w:t>
            </w:r>
            <w:r w:rsidR="004554F6">
              <w:rPr>
                <w:rFonts w:cs="Segoe UI Light"/>
                <w:sz w:val="18"/>
              </w:rPr>
              <w:t>990.</w:t>
            </w:r>
            <w:r w:rsidR="00671C07">
              <w:rPr>
                <w:rFonts w:cs="Segoe UI Light"/>
                <w:sz w:val="18"/>
              </w:rPr>
              <w:t>69</w:t>
            </w:r>
          </w:p>
        </w:tc>
        <w:tc>
          <w:tcPr>
            <w:tcW w:w="353" w:type="pct"/>
          </w:tcPr>
          <w:p w14:paraId="656B197B" w14:textId="5D361B8D" w:rsidR="002A2DFB" w:rsidRPr="00CB51FF" w:rsidRDefault="002A2DFB" w:rsidP="002A2DFB">
            <w:pPr>
              <w:spacing w:after="0"/>
              <w:rPr>
                <w:rFonts w:cs="Segoe UI Light"/>
                <w:sz w:val="18"/>
              </w:rPr>
            </w:pPr>
            <w:r w:rsidRPr="00CA6ADD">
              <w:rPr>
                <w:rFonts w:cs="Segoe UI Light"/>
                <w:sz w:val="18"/>
              </w:rPr>
              <w:t>$21,</w:t>
            </w:r>
            <w:r w:rsidR="004554F6">
              <w:rPr>
                <w:rFonts w:cs="Segoe UI Light"/>
                <w:sz w:val="18"/>
              </w:rPr>
              <w:t>795.</w:t>
            </w:r>
            <w:r w:rsidR="00671C07">
              <w:rPr>
                <w:rFonts w:cs="Segoe UI Light"/>
                <w:sz w:val="18"/>
              </w:rPr>
              <w:t>18</w:t>
            </w:r>
          </w:p>
        </w:tc>
        <w:tc>
          <w:tcPr>
            <w:tcW w:w="303" w:type="pct"/>
          </w:tcPr>
          <w:p w14:paraId="656B197C"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7D" w14:textId="77777777" w:rsidR="002A2DFB" w:rsidRPr="00572A89" w:rsidRDefault="002A2DFB" w:rsidP="002A2DFB">
            <w:pPr>
              <w:spacing w:after="0" w:line="240" w:lineRule="auto"/>
              <w:rPr>
                <w:rFonts w:cs="Segoe UI Light"/>
                <w:sz w:val="16"/>
                <w:szCs w:val="16"/>
              </w:rPr>
            </w:pPr>
            <w:r w:rsidRPr="00572A89">
              <w:rPr>
                <w:rFonts w:cs="Segoe UI Light"/>
                <w:sz w:val="16"/>
                <w:szCs w:val="16"/>
              </w:rPr>
              <w:t>New fee</w:t>
            </w:r>
          </w:p>
        </w:tc>
      </w:tr>
      <w:tr w:rsidR="002A2DFB" w:rsidRPr="00A648FA" w14:paraId="656B198B" w14:textId="77777777" w:rsidTr="00A86267">
        <w:trPr>
          <w:trHeight w:val="216"/>
        </w:trPr>
        <w:tc>
          <w:tcPr>
            <w:tcW w:w="511" w:type="pct"/>
          </w:tcPr>
          <w:p w14:paraId="656B197F"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980" w14:textId="77777777" w:rsidR="002A2DFB" w:rsidRPr="00A07276" w:rsidRDefault="002A2DFB" w:rsidP="002A2DFB">
            <w:pPr>
              <w:spacing w:after="0"/>
              <w:rPr>
                <w:rFonts w:cs="Segoe UI Light"/>
                <w:sz w:val="18"/>
              </w:rPr>
            </w:pPr>
            <w:r w:rsidRPr="00CB51FF">
              <w:rPr>
                <w:rFonts w:cs="Segoe UI Light"/>
                <w:sz w:val="18"/>
              </w:rPr>
              <w:t>Application</w:t>
            </w:r>
          </w:p>
        </w:tc>
        <w:tc>
          <w:tcPr>
            <w:tcW w:w="412" w:type="pct"/>
          </w:tcPr>
          <w:p w14:paraId="656B1981" w14:textId="77777777" w:rsidR="002A2DFB" w:rsidRPr="00CB51FF" w:rsidRDefault="002A2DFB" w:rsidP="002A2DFB">
            <w:pPr>
              <w:spacing w:after="0"/>
              <w:rPr>
                <w:rFonts w:cs="Segoe UI Light"/>
                <w:sz w:val="18"/>
              </w:rPr>
            </w:pPr>
            <w:r w:rsidRPr="00CB51FF">
              <w:rPr>
                <w:rFonts w:cs="Segoe UI Light"/>
                <w:sz w:val="18"/>
              </w:rPr>
              <w:t>Other - consignment (application to Authority)</w:t>
            </w:r>
          </w:p>
        </w:tc>
        <w:tc>
          <w:tcPr>
            <w:tcW w:w="275" w:type="pct"/>
          </w:tcPr>
          <w:p w14:paraId="656B1982" w14:textId="77777777" w:rsidR="002A2DFB" w:rsidRPr="00CB51FF" w:rsidRDefault="002A2DFB" w:rsidP="002A2DFB">
            <w:pPr>
              <w:spacing w:after="0"/>
              <w:rPr>
                <w:rFonts w:cs="Segoe UI Light"/>
                <w:sz w:val="18"/>
              </w:rPr>
            </w:pPr>
            <w:r w:rsidRPr="00CB51FF">
              <w:rPr>
                <w:rFonts w:cs="Segoe UI Light"/>
                <w:sz w:val="18"/>
              </w:rPr>
              <w:t>416</w:t>
            </w:r>
          </w:p>
        </w:tc>
        <w:tc>
          <w:tcPr>
            <w:tcW w:w="389" w:type="pct"/>
          </w:tcPr>
          <w:p w14:paraId="656B1983" w14:textId="2843669A" w:rsidR="002A2DFB" w:rsidRPr="00CB51FF" w:rsidRDefault="002A2DFB" w:rsidP="002A2DFB">
            <w:pPr>
              <w:spacing w:after="0"/>
              <w:rPr>
                <w:rFonts w:cs="Segoe UI Light"/>
                <w:sz w:val="18"/>
              </w:rPr>
            </w:pPr>
            <w:r w:rsidRPr="00F322E5">
              <w:rPr>
                <w:rFonts w:cs="Segoe UI Light"/>
                <w:sz w:val="18"/>
              </w:rPr>
              <w:t>2.2</w:t>
            </w:r>
          </w:p>
        </w:tc>
        <w:tc>
          <w:tcPr>
            <w:tcW w:w="348" w:type="pct"/>
          </w:tcPr>
          <w:p w14:paraId="656B1984" w14:textId="7FCBDB71" w:rsidR="002A2DFB" w:rsidRPr="00CB51FF" w:rsidRDefault="002A2DFB" w:rsidP="002A2DFB">
            <w:pPr>
              <w:spacing w:after="0"/>
              <w:rPr>
                <w:rFonts w:cs="Segoe UI Light"/>
                <w:sz w:val="18"/>
              </w:rPr>
            </w:pPr>
            <w:r w:rsidRPr="00CB51FF">
              <w:rPr>
                <w:rFonts w:cs="Segoe UI Light"/>
                <w:sz w:val="18"/>
              </w:rPr>
              <w:t xml:space="preserve"> $</w:t>
            </w:r>
            <w:r w:rsidR="004554F6">
              <w:rPr>
                <w:rFonts w:cs="Segoe UI Light"/>
                <w:sz w:val="18"/>
              </w:rPr>
              <w:t>219.50</w:t>
            </w:r>
            <w:r w:rsidRPr="00CB51FF">
              <w:rPr>
                <w:rFonts w:cs="Segoe UI Light"/>
                <w:sz w:val="18"/>
              </w:rPr>
              <w:t xml:space="preserve"> </w:t>
            </w:r>
          </w:p>
        </w:tc>
        <w:tc>
          <w:tcPr>
            <w:tcW w:w="372" w:type="pct"/>
          </w:tcPr>
          <w:p w14:paraId="656B1985" w14:textId="4AAE7B7B" w:rsidR="002A2DFB" w:rsidRPr="00CB51FF" w:rsidRDefault="002A2DFB" w:rsidP="002A2DFB">
            <w:pPr>
              <w:spacing w:after="0"/>
              <w:rPr>
                <w:rFonts w:cs="Segoe UI Light"/>
                <w:sz w:val="18"/>
              </w:rPr>
            </w:pPr>
            <w:r w:rsidRPr="00CB51FF">
              <w:rPr>
                <w:rFonts w:cs="Segoe UI Light"/>
                <w:sz w:val="18"/>
              </w:rPr>
              <w:t xml:space="preserve"> $</w:t>
            </w:r>
            <w:r w:rsidR="004554F6">
              <w:rPr>
                <w:rFonts w:cs="Segoe UI Light"/>
                <w:sz w:val="18"/>
              </w:rPr>
              <w:t>91,312</w:t>
            </w:r>
            <w:r w:rsidR="00671C07">
              <w:rPr>
                <w:rFonts w:cs="Segoe UI Light"/>
                <w:sz w:val="18"/>
              </w:rPr>
              <w:t>.00</w:t>
            </w:r>
            <w:r w:rsidRPr="00CB51FF">
              <w:rPr>
                <w:rFonts w:cs="Segoe UI Light"/>
                <w:sz w:val="18"/>
              </w:rPr>
              <w:t xml:space="preserve"> </w:t>
            </w:r>
          </w:p>
        </w:tc>
        <w:tc>
          <w:tcPr>
            <w:tcW w:w="853" w:type="pct"/>
          </w:tcPr>
          <w:p w14:paraId="656B1986" w14:textId="77777777" w:rsidR="002A2DFB" w:rsidRPr="00CB51FF" w:rsidRDefault="002A2DFB" w:rsidP="002A2DFB">
            <w:pPr>
              <w:spacing w:after="0"/>
              <w:rPr>
                <w:rFonts w:cs="Segoe UI Light"/>
                <w:sz w:val="18"/>
              </w:rPr>
            </w:pPr>
            <w:r w:rsidRPr="00A07276">
              <w:rPr>
                <w:rFonts w:cs="Segoe UI Light"/>
                <w:sz w:val="18"/>
              </w:rPr>
              <w:t>Flat fee - 15.19 fee units</w:t>
            </w:r>
          </w:p>
        </w:tc>
        <w:tc>
          <w:tcPr>
            <w:tcW w:w="410" w:type="pct"/>
          </w:tcPr>
          <w:p w14:paraId="656B1987" w14:textId="22C3FA39" w:rsidR="002A2DFB" w:rsidRPr="00CB51FF" w:rsidRDefault="002A2DFB" w:rsidP="002A2DFB">
            <w:pPr>
              <w:spacing w:after="0"/>
              <w:rPr>
                <w:rFonts w:cs="Segoe UI Light"/>
                <w:sz w:val="18"/>
              </w:rPr>
            </w:pPr>
            <w:r w:rsidRPr="00CA6ADD">
              <w:rPr>
                <w:rFonts w:cs="Segoe UI Light"/>
                <w:sz w:val="18"/>
              </w:rPr>
              <w:t>$</w:t>
            </w:r>
            <w:r w:rsidR="004554F6">
              <w:rPr>
                <w:rFonts w:cs="Segoe UI Light"/>
                <w:sz w:val="18"/>
              </w:rPr>
              <w:t>219.50</w:t>
            </w:r>
          </w:p>
        </w:tc>
        <w:tc>
          <w:tcPr>
            <w:tcW w:w="353" w:type="pct"/>
          </w:tcPr>
          <w:p w14:paraId="656B1988" w14:textId="53631CB2" w:rsidR="002A2DFB" w:rsidRPr="00CB51FF" w:rsidRDefault="002A2DFB" w:rsidP="002A2DFB">
            <w:pPr>
              <w:spacing w:after="0"/>
              <w:rPr>
                <w:rFonts w:cs="Segoe UI Light"/>
                <w:sz w:val="18"/>
              </w:rPr>
            </w:pPr>
            <w:r w:rsidRPr="00CA6ADD">
              <w:rPr>
                <w:rFonts w:cs="Segoe UI Light"/>
                <w:sz w:val="18"/>
              </w:rPr>
              <w:t>$</w:t>
            </w:r>
            <w:r w:rsidR="004554F6">
              <w:rPr>
                <w:rFonts w:cs="Segoe UI Light"/>
                <w:sz w:val="18"/>
              </w:rPr>
              <w:t>91,312</w:t>
            </w:r>
            <w:r w:rsidR="00671C07">
              <w:rPr>
                <w:rFonts w:cs="Segoe UI Light"/>
                <w:sz w:val="18"/>
              </w:rPr>
              <w:t>.00</w:t>
            </w:r>
          </w:p>
        </w:tc>
        <w:tc>
          <w:tcPr>
            <w:tcW w:w="303" w:type="pct"/>
          </w:tcPr>
          <w:p w14:paraId="656B1989"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8A" w14:textId="77777777" w:rsidR="002A2DFB" w:rsidRPr="00572A89" w:rsidRDefault="002A2DFB" w:rsidP="002A2DFB">
            <w:pPr>
              <w:spacing w:after="0" w:line="240" w:lineRule="auto"/>
              <w:rPr>
                <w:rFonts w:cs="Segoe UI Light"/>
                <w:sz w:val="16"/>
                <w:szCs w:val="16"/>
              </w:rPr>
            </w:pPr>
            <w:r w:rsidRPr="00572A89">
              <w:rPr>
                <w:rFonts w:cs="Segoe UI Light"/>
                <w:sz w:val="16"/>
                <w:szCs w:val="16"/>
              </w:rPr>
              <w:t>New fee</w:t>
            </w:r>
          </w:p>
        </w:tc>
      </w:tr>
      <w:tr w:rsidR="002A2DFB" w:rsidRPr="00A648FA" w14:paraId="656B199A" w14:textId="77777777" w:rsidTr="00A86267">
        <w:trPr>
          <w:trHeight w:val="1310"/>
        </w:trPr>
        <w:tc>
          <w:tcPr>
            <w:tcW w:w="511" w:type="pct"/>
          </w:tcPr>
          <w:p w14:paraId="656B198C"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98D" w14:textId="77777777" w:rsidR="002A2DFB" w:rsidRPr="00A07276" w:rsidRDefault="002A2DFB" w:rsidP="002A2DFB">
            <w:pPr>
              <w:spacing w:after="0"/>
              <w:rPr>
                <w:rFonts w:cs="Segoe UI Light"/>
                <w:sz w:val="18"/>
              </w:rPr>
            </w:pPr>
            <w:r w:rsidRPr="00CB51FF">
              <w:rPr>
                <w:rFonts w:cs="Segoe UI Light"/>
                <w:sz w:val="18"/>
              </w:rPr>
              <w:t>Application</w:t>
            </w:r>
          </w:p>
        </w:tc>
        <w:tc>
          <w:tcPr>
            <w:tcW w:w="412" w:type="pct"/>
          </w:tcPr>
          <w:p w14:paraId="656B198E" w14:textId="77777777" w:rsidR="002A2DFB" w:rsidRPr="00CB51FF" w:rsidRDefault="002A2DFB" w:rsidP="002A2DFB">
            <w:pPr>
              <w:spacing w:after="0"/>
              <w:rPr>
                <w:rFonts w:cs="Segoe UI Light"/>
                <w:sz w:val="18"/>
              </w:rPr>
            </w:pPr>
            <w:r w:rsidRPr="00CB51FF">
              <w:rPr>
                <w:rFonts w:cs="Segoe UI Light"/>
                <w:sz w:val="18"/>
              </w:rPr>
              <w:t>On-site wastewater management system</w:t>
            </w:r>
          </w:p>
        </w:tc>
        <w:tc>
          <w:tcPr>
            <w:tcW w:w="275" w:type="pct"/>
          </w:tcPr>
          <w:p w14:paraId="656B198F" w14:textId="77777777" w:rsidR="002A2DFB" w:rsidRPr="00CB51FF" w:rsidRDefault="002A2DFB" w:rsidP="002A2DFB">
            <w:pPr>
              <w:spacing w:after="0"/>
              <w:rPr>
                <w:rFonts w:cs="Segoe UI Light"/>
                <w:sz w:val="18"/>
              </w:rPr>
            </w:pPr>
            <w:r w:rsidRPr="00CB51FF">
              <w:rPr>
                <w:rFonts w:cs="Segoe UI Light"/>
                <w:sz w:val="18"/>
              </w:rPr>
              <w:t xml:space="preserve">Unknown </w:t>
            </w:r>
          </w:p>
        </w:tc>
        <w:tc>
          <w:tcPr>
            <w:tcW w:w="389" w:type="pct"/>
          </w:tcPr>
          <w:p w14:paraId="656B1990" w14:textId="1C50B727" w:rsidR="002A2DFB" w:rsidRPr="00CB51FF" w:rsidRDefault="002A2DFB" w:rsidP="002A2DFB">
            <w:pPr>
              <w:spacing w:after="0"/>
              <w:rPr>
                <w:rFonts w:cs="Segoe UI Light"/>
                <w:sz w:val="18"/>
              </w:rPr>
            </w:pPr>
            <w:r w:rsidRPr="00CB51FF">
              <w:rPr>
                <w:rFonts w:cs="Segoe UI Light"/>
                <w:sz w:val="18"/>
              </w:rPr>
              <w:t>8.</w:t>
            </w:r>
            <w:r w:rsidR="004554F6">
              <w:rPr>
                <w:rFonts w:cs="Segoe UI Light"/>
                <w:sz w:val="18"/>
              </w:rPr>
              <w:t>17</w:t>
            </w:r>
          </w:p>
        </w:tc>
        <w:tc>
          <w:tcPr>
            <w:tcW w:w="348" w:type="pct"/>
          </w:tcPr>
          <w:p w14:paraId="656B1991" w14:textId="4A4C49A4" w:rsidR="002A2DFB" w:rsidRPr="00CB51FF" w:rsidRDefault="002A2DFB" w:rsidP="002A2DFB">
            <w:pPr>
              <w:spacing w:after="0"/>
              <w:rPr>
                <w:rFonts w:cs="Segoe UI Light"/>
                <w:sz w:val="18"/>
              </w:rPr>
            </w:pPr>
            <w:r w:rsidRPr="00CB51FF">
              <w:rPr>
                <w:rFonts w:cs="Segoe UI Light"/>
                <w:sz w:val="18"/>
              </w:rPr>
              <w:t xml:space="preserve"> $748.69 </w:t>
            </w:r>
          </w:p>
        </w:tc>
        <w:tc>
          <w:tcPr>
            <w:tcW w:w="372" w:type="pct"/>
          </w:tcPr>
          <w:p w14:paraId="656B1992"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853" w:type="pct"/>
          </w:tcPr>
          <w:p w14:paraId="656B1993" w14:textId="77777777" w:rsidR="002A2DFB" w:rsidRPr="00CB51FF" w:rsidRDefault="002A2DFB" w:rsidP="002A2DFB">
            <w:pPr>
              <w:spacing w:after="0"/>
              <w:rPr>
                <w:rFonts w:cs="Segoe UI Light"/>
                <w:sz w:val="18"/>
              </w:rPr>
            </w:pPr>
            <w:r w:rsidRPr="00A07276">
              <w:rPr>
                <w:rFonts w:cs="Segoe UI Light"/>
                <w:sz w:val="18"/>
              </w:rPr>
              <w:t>25.9 fee units on application plus 6.34 fee units per hour for assessments exceeding 4.1 hours up to a maximum of 69.75 fee units.</w:t>
            </w:r>
          </w:p>
        </w:tc>
        <w:tc>
          <w:tcPr>
            <w:tcW w:w="410" w:type="pct"/>
          </w:tcPr>
          <w:p w14:paraId="656B1994" w14:textId="2626539A" w:rsidR="002A2DFB" w:rsidRDefault="002A2DFB" w:rsidP="002A2DFB">
            <w:pPr>
              <w:spacing w:after="0"/>
              <w:rPr>
                <w:rFonts w:cs="Segoe UI Light"/>
                <w:sz w:val="18"/>
              </w:rPr>
            </w:pPr>
            <w:r w:rsidRPr="00CB51FF">
              <w:rPr>
                <w:rFonts w:cs="Segoe UI Light"/>
                <w:sz w:val="18"/>
              </w:rPr>
              <w:t xml:space="preserve"> $748.69 </w:t>
            </w:r>
          </w:p>
          <w:p w14:paraId="656B1995" w14:textId="77777777" w:rsidR="002A2DFB" w:rsidRPr="00CB51FF" w:rsidRDefault="002A2DFB" w:rsidP="002A2DFB">
            <w:pPr>
              <w:spacing w:after="0"/>
              <w:rPr>
                <w:rFonts w:cs="Segoe UI Light"/>
                <w:sz w:val="18"/>
              </w:rPr>
            </w:pPr>
          </w:p>
        </w:tc>
        <w:tc>
          <w:tcPr>
            <w:tcW w:w="353" w:type="pct"/>
          </w:tcPr>
          <w:p w14:paraId="656B1996"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303" w:type="pct"/>
          </w:tcPr>
          <w:p w14:paraId="656B1997" w14:textId="77777777" w:rsidR="002A2DFB" w:rsidRPr="00CB51FF" w:rsidRDefault="002A2DFB" w:rsidP="002A2DFB">
            <w:pPr>
              <w:spacing w:after="0"/>
              <w:rPr>
                <w:rFonts w:cs="Segoe UI Light"/>
                <w:sz w:val="18"/>
              </w:rPr>
            </w:pPr>
            <w:r w:rsidRPr="00CB51FF">
              <w:rPr>
                <w:rFonts w:cs="Segoe UI Light"/>
                <w:sz w:val="18"/>
              </w:rPr>
              <w:t>100%</w:t>
            </w:r>
          </w:p>
          <w:p w14:paraId="656B1998" w14:textId="77777777" w:rsidR="002A2DFB" w:rsidRPr="00CB51FF" w:rsidRDefault="002A2DFB" w:rsidP="002A2DFB">
            <w:pPr>
              <w:spacing w:after="0"/>
              <w:rPr>
                <w:rFonts w:cs="Segoe UI Light"/>
                <w:sz w:val="18"/>
              </w:rPr>
            </w:pPr>
          </w:p>
        </w:tc>
        <w:tc>
          <w:tcPr>
            <w:tcW w:w="354" w:type="pct"/>
          </w:tcPr>
          <w:p w14:paraId="656B1999" w14:textId="77777777" w:rsidR="002A2DFB" w:rsidRPr="00572A89" w:rsidRDefault="002A2DFB" w:rsidP="002A2DFB">
            <w:pPr>
              <w:spacing w:after="0" w:line="240" w:lineRule="auto"/>
              <w:rPr>
                <w:rFonts w:cs="Segoe UI Light"/>
                <w:sz w:val="16"/>
                <w:szCs w:val="16"/>
              </w:rPr>
            </w:pPr>
            <w:r w:rsidRPr="00572A89">
              <w:rPr>
                <w:rFonts w:cs="Segoe UI Light"/>
                <w:sz w:val="16"/>
                <w:szCs w:val="16"/>
              </w:rPr>
              <w:t>New fee</w:t>
            </w:r>
          </w:p>
        </w:tc>
      </w:tr>
      <w:tr w:rsidR="002A2DFB" w:rsidRPr="00A648FA" w14:paraId="656B19A7" w14:textId="77777777" w:rsidTr="00DD228C">
        <w:trPr>
          <w:trHeight w:val="216"/>
        </w:trPr>
        <w:tc>
          <w:tcPr>
            <w:tcW w:w="511" w:type="pct"/>
          </w:tcPr>
          <w:p w14:paraId="656B199B"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99C" w14:textId="77777777" w:rsidR="002A2DFB" w:rsidRPr="00A07276" w:rsidRDefault="002A2DFB" w:rsidP="002A2DFB">
            <w:pPr>
              <w:spacing w:after="0"/>
              <w:rPr>
                <w:rFonts w:cs="Segoe UI Light"/>
                <w:sz w:val="18"/>
              </w:rPr>
            </w:pPr>
            <w:r w:rsidRPr="00CB51FF">
              <w:rPr>
                <w:rFonts w:cs="Segoe UI Light"/>
                <w:sz w:val="18"/>
              </w:rPr>
              <w:t>Transfer</w:t>
            </w:r>
          </w:p>
        </w:tc>
        <w:tc>
          <w:tcPr>
            <w:tcW w:w="412" w:type="pct"/>
          </w:tcPr>
          <w:p w14:paraId="656B199D" w14:textId="77777777" w:rsidR="002A2DFB" w:rsidRPr="00CB51FF" w:rsidRDefault="002A2DFB" w:rsidP="002A2DFB">
            <w:pPr>
              <w:spacing w:after="0"/>
              <w:rPr>
                <w:rFonts w:cs="Segoe UI Light"/>
                <w:sz w:val="18"/>
              </w:rPr>
            </w:pPr>
            <w:r w:rsidRPr="00CB51FF">
              <w:rPr>
                <w:rFonts w:cs="Segoe UI Light"/>
                <w:sz w:val="18"/>
              </w:rPr>
              <w:t>Reportable priority waste transport</w:t>
            </w:r>
          </w:p>
        </w:tc>
        <w:tc>
          <w:tcPr>
            <w:tcW w:w="275" w:type="pct"/>
          </w:tcPr>
          <w:p w14:paraId="656B199E" w14:textId="77777777" w:rsidR="002A2DFB" w:rsidRPr="00CB51FF" w:rsidRDefault="002A2DFB" w:rsidP="002A2DFB">
            <w:pPr>
              <w:spacing w:after="0"/>
              <w:rPr>
                <w:rFonts w:cs="Segoe UI Light"/>
                <w:sz w:val="18"/>
              </w:rPr>
            </w:pPr>
            <w:r w:rsidRPr="00CB51FF">
              <w:rPr>
                <w:rFonts w:cs="Segoe UI Light"/>
                <w:sz w:val="18"/>
              </w:rPr>
              <w:t>1</w:t>
            </w:r>
          </w:p>
        </w:tc>
        <w:tc>
          <w:tcPr>
            <w:tcW w:w="389" w:type="pct"/>
            <w:shd w:val="clear" w:color="auto" w:fill="auto"/>
          </w:tcPr>
          <w:p w14:paraId="656B199F" w14:textId="5A7E9830" w:rsidR="002A2DFB" w:rsidRPr="00F322E5" w:rsidRDefault="002A2DFB" w:rsidP="002A2DFB">
            <w:pPr>
              <w:spacing w:after="0"/>
              <w:rPr>
                <w:rFonts w:cs="Segoe UI Light"/>
                <w:sz w:val="18"/>
              </w:rPr>
            </w:pPr>
            <w:r w:rsidRPr="00F322E5">
              <w:rPr>
                <w:rFonts w:cs="Segoe UI Light"/>
                <w:sz w:val="18"/>
              </w:rPr>
              <w:t>1.4</w:t>
            </w:r>
          </w:p>
        </w:tc>
        <w:tc>
          <w:tcPr>
            <w:tcW w:w="348" w:type="pct"/>
          </w:tcPr>
          <w:p w14:paraId="656B19A0" w14:textId="77777777" w:rsidR="002A2DFB" w:rsidRPr="00CB51FF" w:rsidRDefault="002A2DFB" w:rsidP="002A2DFB">
            <w:pPr>
              <w:spacing w:after="0"/>
              <w:rPr>
                <w:rFonts w:cs="Segoe UI Light"/>
                <w:sz w:val="18"/>
              </w:rPr>
            </w:pPr>
            <w:r w:rsidRPr="00CB51FF">
              <w:rPr>
                <w:rFonts w:cs="Segoe UI Light"/>
                <w:sz w:val="18"/>
              </w:rPr>
              <w:t xml:space="preserve"> $123.89 </w:t>
            </w:r>
          </w:p>
        </w:tc>
        <w:tc>
          <w:tcPr>
            <w:tcW w:w="372" w:type="pct"/>
          </w:tcPr>
          <w:p w14:paraId="656B19A1" w14:textId="5F8F0884" w:rsidR="002A2DFB" w:rsidRPr="00CB51FF" w:rsidRDefault="002A2DFB" w:rsidP="002A2DFB">
            <w:pPr>
              <w:spacing w:after="0"/>
              <w:rPr>
                <w:rFonts w:cs="Segoe UI Light"/>
                <w:sz w:val="18"/>
              </w:rPr>
            </w:pPr>
            <w:r w:rsidRPr="00CB51FF">
              <w:rPr>
                <w:rFonts w:cs="Segoe UI Light"/>
                <w:sz w:val="18"/>
              </w:rPr>
              <w:t xml:space="preserve"> $12</w:t>
            </w:r>
            <w:r w:rsidR="004554F6">
              <w:rPr>
                <w:rFonts w:cs="Segoe UI Light"/>
                <w:sz w:val="18"/>
              </w:rPr>
              <w:t>3.8</w:t>
            </w:r>
            <w:r w:rsidR="00671C07">
              <w:rPr>
                <w:rFonts w:cs="Segoe UI Light"/>
                <w:sz w:val="18"/>
              </w:rPr>
              <w:t>9</w:t>
            </w:r>
            <w:r w:rsidRPr="00CB51FF">
              <w:rPr>
                <w:rFonts w:cs="Segoe UI Light"/>
                <w:sz w:val="18"/>
              </w:rPr>
              <w:t xml:space="preserve"> </w:t>
            </w:r>
          </w:p>
        </w:tc>
        <w:tc>
          <w:tcPr>
            <w:tcW w:w="853" w:type="pct"/>
          </w:tcPr>
          <w:p w14:paraId="656B19A2" w14:textId="77777777" w:rsidR="002A2DFB" w:rsidRPr="00CB51FF" w:rsidRDefault="002A2DFB" w:rsidP="002A2DFB">
            <w:pPr>
              <w:spacing w:after="0"/>
              <w:rPr>
                <w:rFonts w:cs="Segoe UI Light"/>
                <w:sz w:val="18"/>
              </w:rPr>
            </w:pPr>
            <w:r w:rsidRPr="00A07276">
              <w:rPr>
                <w:rFonts w:cs="Segoe UI Light"/>
                <w:sz w:val="18"/>
              </w:rPr>
              <w:t>Flat fee - 8.57 fee units</w:t>
            </w:r>
          </w:p>
        </w:tc>
        <w:tc>
          <w:tcPr>
            <w:tcW w:w="410" w:type="pct"/>
          </w:tcPr>
          <w:p w14:paraId="656B19A3" w14:textId="42D12C7C" w:rsidR="002A2DFB" w:rsidRPr="00CB51FF" w:rsidRDefault="002A2DFB" w:rsidP="002A2DFB">
            <w:pPr>
              <w:spacing w:after="0"/>
              <w:rPr>
                <w:rFonts w:cs="Segoe UI Light"/>
                <w:sz w:val="18"/>
              </w:rPr>
            </w:pPr>
            <w:r w:rsidRPr="00CB51FF">
              <w:rPr>
                <w:rFonts w:cs="Segoe UI Light"/>
                <w:sz w:val="18"/>
              </w:rPr>
              <w:t xml:space="preserve"> $123.89 </w:t>
            </w:r>
          </w:p>
        </w:tc>
        <w:tc>
          <w:tcPr>
            <w:tcW w:w="353" w:type="pct"/>
          </w:tcPr>
          <w:p w14:paraId="656B19A4" w14:textId="0D469662" w:rsidR="002A2DFB" w:rsidRPr="00CB51FF" w:rsidRDefault="002A2DFB" w:rsidP="002A2DFB">
            <w:pPr>
              <w:spacing w:after="0"/>
              <w:rPr>
                <w:rFonts w:cs="Segoe UI Light"/>
                <w:sz w:val="18"/>
              </w:rPr>
            </w:pPr>
            <w:r w:rsidRPr="00CB51FF">
              <w:rPr>
                <w:rFonts w:cs="Segoe UI Light"/>
                <w:sz w:val="18"/>
              </w:rPr>
              <w:t xml:space="preserve"> $12</w:t>
            </w:r>
            <w:r w:rsidR="00671C07">
              <w:rPr>
                <w:rFonts w:cs="Segoe UI Light"/>
                <w:sz w:val="18"/>
              </w:rPr>
              <w:t>3.89</w:t>
            </w:r>
            <w:r w:rsidRPr="00CB51FF">
              <w:rPr>
                <w:rFonts w:cs="Segoe UI Light"/>
                <w:sz w:val="18"/>
              </w:rPr>
              <w:t xml:space="preserve"> </w:t>
            </w:r>
          </w:p>
        </w:tc>
        <w:tc>
          <w:tcPr>
            <w:tcW w:w="303" w:type="pct"/>
          </w:tcPr>
          <w:p w14:paraId="656B19A5"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A6" w14:textId="6F74B3C7" w:rsidR="002A2DFB" w:rsidRPr="00644672" w:rsidRDefault="002A2DFB" w:rsidP="002A2DFB">
            <w:pPr>
              <w:spacing w:after="0" w:line="240" w:lineRule="auto"/>
              <w:rPr>
                <w:rFonts w:cs="Segoe UI Light"/>
                <w:sz w:val="16"/>
                <w:szCs w:val="16"/>
              </w:rPr>
            </w:pPr>
            <w:r w:rsidRPr="00644672">
              <w:rPr>
                <w:rFonts w:cs="Segoe UI Light"/>
                <w:sz w:val="16"/>
                <w:szCs w:val="16"/>
              </w:rPr>
              <w:t xml:space="preserve">New fee design </w:t>
            </w:r>
          </w:p>
        </w:tc>
      </w:tr>
      <w:tr w:rsidR="002A2DFB" w:rsidRPr="00A648FA" w14:paraId="656B19B4" w14:textId="77777777" w:rsidTr="00A86267">
        <w:trPr>
          <w:trHeight w:val="216"/>
        </w:trPr>
        <w:tc>
          <w:tcPr>
            <w:tcW w:w="511" w:type="pct"/>
          </w:tcPr>
          <w:p w14:paraId="656B19A8"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9A9" w14:textId="77777777" w:rsidR="002A2DFB" w:rsidRPr="00A07276" w:rsidRDefault="002A2DFB" w:rsidP="002A2DFB">
            <w:pPr>
              <w:spacing w:after="0"/>
              <w:rPr>
                <w:rFonts w:cs="Segoe UI Light"/>
                <w:sz w:val="18"/>
              </w:rPr>
            </w:pPr>
            <w:r w:rsidRPr="00CB51FF">
              <w:rPr>
                <w:rFonts w:cs="Segoe UI Light"/>
                <w:sz w:val="18"/>
              </w:rPr>
              <w:t>Transfer</w:t>
            </w:r>
          </w:p>
        </w:tc>
        <w:tc>
          <w:tcPr>
            <w:tcW w:w="412" w:type="pct"/>
          </w:tcPr>
          <w:p w14:paraId="656B19AA" w14:textId="77777777" w:rsidR="002A2DFB" w:rsidRPr="00CB51FF" w:rsidRDefault="002A2DFB" w:rsidP="002A2DFB">
            <w:pPr>
              <w:spacing w:after="0"/>
              <w:rPr>
                <w:rFonts w:cs="Segoe UI Light"/>
                <w:sz w:val="18"/>
              </w:rPr>
            </w:pPr>
            <w:r w:rsidRPr="00CB51FF">
              <w:rPr>
                <w:rFonts w:cs="Segoe UI Light"/>
                <w:sz w:val="18"/>
              </w:rPr>
              <w:t>Other - complex (application to Authority)</w:t>
            </w:r>
          </w:p>
        </w:tc>
        <w:tc>
          <w:tcPr>
            <w:tcW w:w="275" w:type="pct"/>
          </w:tcPr>
          <w:p w14:paraId="656B19AB" w14:textId="77777777" w:rsidR="002A2DFB" w:rsidRPr="00CB51FF" w:rsidRDefault="002A2DFB" w:rsidP="002A2DFB">
            <w:pPr>
              <w:spacing w:after="0"/>
              <w:rPr>
                <w:rFonts w:cs="Segoe UI Light"/>
                <w:sz w:val="18"/>
              </w:rPr>
            </w:pPr>
            <w:r w:rsidRPr="00CB51FF">
              <w:rPr>
                <w:rFonts w:cs="Segoe UI Light"/>
                <w:sz w:val="18"/>
              </w:rPr>
              <w:t xml:space="preserve">Unknown </w:t>
            </w:r>
          </w:p>
        </w:tc>
        <w:tc>
          <w:tcPr>
            <w:tcW w:w="389" w:type="pct"/>
          </w:tcPr>
          <w:p w14:paraId="656B19AC" w14:textId="6803ECB0" w:rsidR="002A2DFB" w:rsidRPr="00CB51FF" w:rsidRDefault="002A2DFB" w:rsidP="002A2DFB">
            <w:pPr>
              <w:spacing w:after="0"/>
              <w:rPr>
                <w:rFonts w:cs="Segoe UI Light"/>
                <w:sz w:val="18"/>
              </w:rPr>
            </w:pPr>
            <w:r w:rsidRPr="00CB51FF">
              <w:rPr>
                <w:rFonts w:cs="Segoe UI Light"/>
                <w:sz w:val="18"/>
              </w:rPr>
              <w:t>8.</w:t>
            </w:r>
            <w:r w:rsidR="004554F6">
              <w:rPr>
                <w:rFonts w:cs="Segoe UI Light"/>
                <w:sz w:val="18"/>
              </w:rPr>
              <w:t>58</w:t>
            </w:r>
          </w:p>
        </w:tc>
        <w:tc>
          <w:tcPr>
            <w:tcW w:w="348" w:type="pct"/>
          </w:tcPr>
          <w:p w14:paraId="656B19AD" w14:textId="21C88990" w:rsidR="002A2DFB" w:rsidRPr="00CB51FF" w:rsidRDefault="002A2DFB" w:rsidP="002A2DFB">
            <w:pPr>
              <w:spacing w:after="0"/>
              <w:rPr>
                <w:rFonts w:cs="Segoe UI Light"/>
                <w:sz w:val="18"/>
              </w:rPr>
            </w:pPr>
            <w:r w:rsidRPr="00CB51FF">
              <w:rPr>
                <w:rFonts w:cs="Segoe UI Light"/>
                <w:sz w:val="18"/>
              </w:rPr>
              <w:t xml:space="preserve"> $754.58 </w:t>
            </w:r>
          </w:p>
        </w:tc>
        <w:tc>
          <w:tcPr>
            <w:tcW w:w="372" w:type="pct"/>
          </w:tcPr>
          <w:p w14:paraId="656B19AE"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853" w:type="pct"/>
          </w:tcPr>
          <w:p w14:paraId="656B19AF" w14:textId="77777777" w:rsidR="002A2DFB" w:rsidRPr="00CB51FF" w:rsidRDefault="002A2DFB" w:rsidP="002A2DFB">
            <w:pPr>
              <w:spacing w:after="0"/>
              <w:rPr>
                <w:rFonts w:cs="Segoe UI Light"/>
                <w:sz w:val="18"/>
              </w:rPr>
            </w:pPr>
            <w:r w:rsidRPr="00A07276">
              <w:rPr>
                <w:rFonts w:cs="Segoe UI Light"/>
                <w:sz w:val="18"/>
              </w:rPr>
              <w:t>Flat fee - 52.22 fee units</w:t>
            </w:r>
          </w:p>
        </w:tc>
        <w:tc>
          <w:tcPr>
            <w:tcW w:w="410" w:type="pct"/>
          </w:tcPr>
          <w:p w14:paraId="656B19B0" w14:textId="2552139C" w:rsidR="002A2DFB" w:rsidRPr="00CB51FF" w:rsidRDefault="002A2DFB" w:rsidP="002A2DFB">
            <w:pPr>
              <w:spacing w:after="0"/>
              <w:rPr>
                <w:rFonts w:cs="Segoe UI Light"/>
                <w:sz w:val="18"/>
              </w:rPr>
            </w:pPr>
            <w:r w:rsidRPr="00CB51FF">
              <w:rPr>
                <w:rFonts w:cs="Segoe UI Light"/>
                <w:sz w:val="18"/>
              </w:rPr>
              <w:t xml:space="preserve"> $754.58 </w:t>
            </w:r>
          </w:p>
        </w:tc>
        <w:tc>
          <w:tcPr>
            <w:tcW w:w="353" w:type="pct"/>
          </w:tcPr>
          <w:p w14:paraId="656B19B1"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303" w:type="pct"/>
          </w:tcPr>
          <w:p w14:paraId="656B19B2"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B3" w14:textId="77777777" w:rsidR="002A2DFB" w:rsidRPr="00644672" w:rsidRDefault="002A2DFB" w:rsidP="002A2DFB">
            <w:pPr>
              <w:spacing w:after="0" w:line="240" w:lineRule="auto"/>
              <w:rPr>
                <w:rFonts w:cs="Segoe UI Light"/>
                <w:sz w:val="16"/>
                <w:szCs w:val="16"/>
              </w:rPr>
            </w:pPr>
            <w:r w:rsidRPr="00644672">
              <w:rPr>
                <w:rFonts w:cs="Segoe UI Light"/>
                <w:sz w:val="16"/>
                <w:szCs w:val="16"/>
              </w:rPr>
              <w:t>New fee</w:t>
            </w:r>
          </w:p>
        </w:tc>
      </w:tr>
      <w:tr w:rsidR="002A2DFB" w:rsidRPr="00A648FA" w14:paraId="656B19C1" w14:textId="77777777" w:rsidTr="00A86267">
        <w:trPr>
          <w:trHeight w:val="216"/>
        </w:trPr>
        <w:tc>
          <w:tcPr>
            <w:tcW w:w="511" w:type="pct"/>
          </w:tcPr>
          <w:p w14:paraId="656B19B5"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9B6" w14:textId="77777777" w:rsidR="002A2DFB" w:rsidRPr="00A07276" w:rsidRDefault="002A2DFB" w:rsidP="002A2DFB">
            <w:pPr>
              <w:spacing w:after="0"/>
              <w:rPr>
                <w:rFonts w:cs="Segoe UI Light"/>
                <w:sz w:val="18"/>
              </w:rPr>
            </w:pPr>
            <w:r w:rsidRPr="00CB51FF">
              <w:rPr>
                <w:rFonts w:cs="Segoe UI Light"/>
                <w:sz w:val="18"/>
              </w:rPr>
              <w:t>Amendment</w:t>
            </w:r>
          </w:p>
        </w:tc>
        <w:tc>
          <w:tcPr>
            <w:tcW w:w="412" w:type="pct"/>
          </w:tcPr>
          <w:p w14:paraId="656B19B7" w14:textId="77777777" w:rsidR="002A2DFB" w:rsidRPr="00CB51FF" w:rsidRDefault="002A2DFB" w:rsidP="002A2DFB">
            <w:pPr>
              <w:spacing w:after="0"/>
              <w:rPr>
                <w:rFonts w:cs="Segoe UI Light"/>
                <w:sz w:val="18"/>
              </w:rPr>
            </w:pPr>
            <w:r w:rsidRPr="00CB51FF">
              <w:rPr>
                <w:rFonts w:cs="Segoe UI Light"/>
                <w:sz w:val="18"/>
              </w:rPr>
              <w:t xml:space="preserve">Reportable priority waste transport </w:t>
            </w:r>
          </w:p>
        </w:tc>
        <w:tc>
          <w:tcPr>
            <w:tcW w:w="275" w:type="pct"/>
          </w:tcPr>
          <w:p w14:paraId="656B19B8" w14:textId="799C19E4" w:rsidR="002A2DFB" w:rsidRPr="00CB51FF" w:rsidRDefault="004554F6" w:rsidP="002A2DFB">
            <w:pPr>
              <w:spacing w:after="0"/>
              <w:rPr>
                <w:rFonts w:cs="Segoe UI Light"/>
                <w:sz w:val="18"/>
              </w:rPr>
            </w:pPr>
            <w:r>
              <w:rPr>
                <w:rFonts w:cs="Segoe UI Light"/>
                <w:sz w:val="18"/>
              </w:rPr>
              <w:t>8</w:t>
            </w:r>
          </w:p>
        </w:tc>
        <w:tc>
          <w:tcPr>
            <w:tcW w:w="389" w:type="pct"/>
          </w:tcPr>
          <w:p w14:paraId="656B19B9" w14:textId="58C8D06B" w:rsidR="002A2DFB" w:rsidRPr="00CB51FF" w:rsidRDefault="002A2DFB" w:rsidP="00CA1E93">
            <w:pPr>
              <w:spacing w:after="0"/>
              <w:rPr>
                <w:rFonts w:cs="Segoe UI Light"/>
                <w:sz w:val="18"/>
              </w:rPr>
            </w:pPr>
            <w:r w:rsidRPr="00CB51FF">
              <w:rPr>
                <w:rFonts w:cs="Segoe UI Light"/>
                <w:sz w:val="18"/>
              </w:rPr>
              <w:t>1.</w:t>
            </w:r>
            <w:r w:rsidR="004554F6">
              <w:rPr>
                <w:rFonts w:cs="Segoe UI Light"/>
                <w:sz w:val="18"/>
              </w:rPr>
              <w:t>9</w:t>
            </w:r>
            <w:r w:rsidR="00CA1E93">
              <w:rPr>
                <w:rFonts w:cs="Segoe UI Light"/>
                <w:sz w:val="18"/>
              </w:rPr>
              <w:t>2</w:t>
            </w:r>
            <w:r w:rsidRPr="00CB51FF">
              <w:rPr>
                <w:rFonts w:cs="Segoe UI Light"/>
                <w:sz w:val="18"/>
              </w:rPr>
              <w:t>-2.5</w:t>
            </w:r>
          </w:p>
        </w:tc>
        <w:tc>
          <w:tcPr>
            <w:tcW w:w="348" w:type="pct"/>
            <w:shd w:val="clear" w:color="auto" w:fill="auto"/>
          </w:tcPr>
          <w:p w14:paraId="656B19BA" w14:textId="604D01D6" w:rsidR="002A2DFB" w:rsidRPr="000D7D82" w:rsidRDefault="002A2DFB" w:rsidP="002A2DFB">
            <w:pPr>
              <w:spacing w:after="0"/>
              <w:rPr>
                <w:rFonts w:cs="Segoe UI Light"/>
                <w:sz w:val="18"/>
              </w:rPr>
            </w:pPr>
            <w:r w:rsidRPr="000D7D82">
              <w:rPr>
                <w:rFonts w:cs="Segoe UI Light"/>
                <w:sz w:val="18"/>
              </w:rPr>
              <w:t xml:space="preserve"> $201.00 </w:t>
            </w:r>
          </w:p>
        </w:tc>
        <w:tc>
          <w:tcPr>
            <w:tcW w:w="372" w:type="pct"/>
            <w:shd w:val="clear" w:color="auto" w:fill="auto"/>
          </w:tcPr>
          <w:p w14:paraId="656B19BB" w14:textId="2AF0824C" w:rsidR="002A2DFB" w:rsidRPr="000D7D82" w:rsidRDefault="002A2DFB" w:rsidP="002A2DFB">
            <w:pPr>
              <w:spacing w:after="0"/>
              <w:rPr>
                <w:rFonts w:cs="Segoe UI Light"/>
                <w:sz w:val="18"/>
              </w:rPr>
            </w:pPr>
            <w:r w:rsidRPr="000D7D82">
              <w:rPr>
                <w:rFonts w:cs="Segoe UI Light"/>
                <w:sz w:val="18"/>
              </w:rPr>
              <w:t xml:space="preserve"> $1,</w:t>
            </w:r>
            <w:r w:rsidR="00671C07">
              <w:rPr>
                <w:rFonts w:cs="Segoe UI Light"/>
                <w:sz w:val="18"/>
              </w:rPr>
              <w:t>608</w:t>
            </w:r>
            <w:r w:rsidR="00671C07" w:rsidRPr="000D7D82">
              <w:rPr>
                <w:rFonts w:cs="Segoe UI Light"/>
                <w:sz w:val="18"/>
              </w:rPr>
              <w:t xml:space="preserve"> </w:t>
            </w:r>
          </w:p>
        </w:tc>
        <w:tc>
          <w:tcPr>
            <w:tcW w:w="853" w:type="pct"/>
            <w:shd w:val="clear" w:color="auto" w:fill="auto"/>
          </w:tcPr>
          <w:p w14:paraId="656B19BC" w14:textId="77777777" w:rsidR="002A2DFB" w:rsidRPr="000D7D82" w:rsidRDefault="002A2DFB" w:rsidP="002A2DFB">
            <w:pPr>
              <w:spacing w:after="0"/>
              <w:rPr>
                <w:rFonts w:cs="Segoe UI Light"/>
                <w:sz w:val="18"/>
              </w:rPr>
            </w:pPr>
            <w:r w:rsidRPr="000D7D82">
              <w:rPr>
                <w:rFonts w:cs="Segoe UI Light"/>
                <w:sz w:val="18"/>
              </w:rPr>
              <w:t>Flat fee - 13.91 fee units</w:t>
            </w:r>
          </w:p>
        </w:tc>
        <w:tc>
          <w:tcPr>
            <w:tcW w:w="410" w:type="pct"/>
            <w:shd w:val="clear" w:color="auto" w:fill="auto"/>
          </w:tcPr>
          <w:p w14:paraId="656B19BD" w14:textId="054C6090" w:rsidR="002A2DFB" w:rsidRPr="000D7D82" w:rsidRDefault="002A2DFB" w:rsidP="002A2DFB">
            <w:pPr>
              <w:spacing w:after="0"/>
              <w:rPr>
                <w:rFonts w:cs="Segoe UI Light"/>
                <w:sz w:val="18"/>
              </w:rPr>
            </w:pPr>
            <w:r w:rsidRPr="000D7D82">
              <w:rPr>
                <w:rFonts w:cs="Segoe UI Light"/>
                <w:sz w:val="18"/>
              </w:rPr>
              <w:t xml:space="preserve"> $201.00 </w:t>
            </w:r>
          </w:p>
        </w:tc>
        <w:tc>
          <w:tcPr>
            <w:tcW w:w="353" w:type="pct"/>
          </w:tcPr>
          <w:p w14:paraId="656B19BE" w14:textId="67C366E3" w:rsidR="002A2DFB" w:rsidRPr="000D7D82" w:rsidRDefault="002A2DFB" w:rsidP="002A2DFB">
            <w:pPr>
              <w:spacing w:after="0"/>
              <w:rPr>
                <w:rFonts w:cs="Segoe UI Light"/>
                <w:sz w:val="18"/>
              </w:rPr>
            </w:pPr>
            <w:r w:rsidRPr="000D7D82">
              <w:rPr>
                <w:rFonts w:cs="Segoe UI Light"/>
                <w:sz w:val="18"/>
              </w:rPr>
              <w:t xml:space="preserve"> $1,</w:t>
            </w:r>
            <w:r w:rsidR="00671C07">
              <w:rPr>
                <w:rFonts w:cs="Segoe UI Light"/>
                <w:sz w:val="18"/>
              </w:rPr>
              <w:t>608</w:t>
            </w:r>
            <w:r w:rsidR="00671C07" w:rsidRPr="000D7D82">
              <w:rPr>
                <w:rFonts w:cs="Segoe UI Light"/>
                <w:sz w:val="18"/>
              </w:rPr>
              <w:t xml:space="preserve"> </w:t>
            </w:r>
          </w:p>
        </w:tc>
        <w:tc>
          <w:tcPr>
            <w:tcW w:w="303" w:type="pct"/>
          </w:tcPr>
          <w:p w14:paraId="656B19BF"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C0" w14:textId="198D94F2" w:rsidR="002A2DFB" w:rsidRPr="00211776" w:rsidRDefault="002A2DFB" w:rsidP="002A2DFB">
            <w:pPr>
              <w:spacing w:after="0" w:line="240" w:lineRule="auto"/>
              <w:rPr>
                <w:rFonts w:cs="Segoe UI Light"/>
                <w:sz w:val="16"/>
                <w:szCs w:val="16"/>
              </w:rPr>
            </w:pPr>
            <w:r w:rsidRPr="00211776">
              <w:rPr>
                <w:rFonts w:cs="Segoe UI Light"/>
                <w:sz w:val="16"/>
                <w:szCs w:val="16"/>
              </w:rPr>
              <w:t>New fee design.</w:t>
            </w:r>
          </w:p>
        </w:tc>
      </w:tr>
      <w:tr w:rsidR="002A2DFB" w:rsidRPr="00A648FA" w14:paraId="656B19CE" w14:textId="77777777" w:rsidTr="00A86267">
        <w:trPr>
          <w:trHeight w:val="216"/>
        </w:trPr>
        <w:tc>
          <w:tcPr>
            <w:tcW w:w="511" w:type="pct"/>
          </w:tcPr>
          <w:p w14:paraId="656B19C2"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9C3" w14:textId="77777777" w:rsidR="002A2DFB" w:rsidRPr="00A07276" w:rsidRDefault="002A2DFB" w:rsidP="002A2DFB">
            <w:pPr>
              <w:spacing w:after="0"/>
              <w:rPr>
                <w:rFonts w:cs="Segoe UI Light"/>
                <w:sz w:val="18"/>
              </w:rPr>
            </w:pPr>
            <w:r w:rsidRPr="00CB51FF">
              <w:rPr>
                <w:rFonts w:cs="Segoe UI Light"/>
                <w:sz w:val="18"/>
              </w:rPr>
              <w:t>Amendment</w:t>
            </w:r>
          </w:p>
        </w:tc>
        <w:tc>
          <w:tcPr>
            <w:tcW w:w="412" w:type="pct"/>
          </w:tcPr>
          <w:p w14:paraId="656B19C4" w14:textId="77777777" w:rsidR="002A2DFB" w:rsidRPr="00CB51FF" w:rsidRDefault="002A2DFB" w:rsidP="002A2DFB">
            <w:pPr>
              <w:spacing w:after="0"/>
              <w:rPr>
                <w:rFonts w:cs="Segoe UI Light"/>
                <w:sz w:val="18"/>
              </w:rPr>
            </w:pPr>
            <w:r w:rsidRPr="00CB51FF">
              <w:rPr>
                <w:rFonts w:cs="Segoe UI Light"/>
                <w:sz w:val="18"/>
              </w:rPr>
              <w:t>Other - complex (application to Authority)</w:t>
            </w:r>
          </w:p>
        </w:tc>
        <w:tc>
          <w:tcPr>
            <w:tcW w:w="275" w:type="pct"/>
          </w:tcPr>
          <w:p w14:paraId="656B19C5" w14:textId="77777777" w:rsidR="002A2DFB" w:rsidRPr="00CB51FF" w:rsidRDefault="002A2DFB" w:rsidP="002A2DFB">
            <w:pPr>
              <w:spacing w:after="0"/>
              <w:rPr>
                <w:rFonts w:cs="Segoe UI Light"/>
                <w:sz w:val="18"/>
              </w:rPr>
            </w:pPr>
            <w:r w:rsidRPr="00CB51FF">
              <w:rPr>
                <w:rFonts w:cs="Segoe UI Light"/>
                <w:sz w:val="18"/>
              </w:rPr>
              <w:t xml:space="preserve">Unknown </w:t>
            </w:r>
          </w:p>
        </w:tc>
        <w:tc>
          <w:tcPr>
            <w:tcW w:w="389" w:type="pct"/>
          </w:tcPr>
          <w:p w14:paraId="656B19C6" w14:textId="4E4F0508" w:rsidR="002A2DFB" w:rsidRPr="00CB51FF" w:rsidRDefault="004554F6" w:rsidP="002A2DFB">
            <w:pPr>
              <w:spacing w:after="0"/>
              <w:rPr>
                <w:rFonts w:cs="Segoe UI Light"/>
                <w:sz w:val="18"/>
              </w:rPr>
            </w:pPr>
            <w:r>
              <w:rPr>
                <w:rFonts w:cs="Segoe UI Light"/>
                <w:sz w:val="18"/>
              </w:rPr>
              <w:t>9.96</w:t>
            </w:r>
          </w:p>
        </w:tc>
        <w:tc>
          <w:tcPr>
            <w:tcW w:w="348" w:type="pct"/>
            <w:shd w:val="clear" w:color="auto" w:fill="auto"/>
          </w:tcPr>
          <w:p w14:paraId="656B19C7" w14:textId="77777777" w:rsidR="002A2DFB" w:rsidRPr="000D7D82" w:rsidRDefault="002A2DFB" w:rsidP="002A2DFB">
            <w:pPr>
              <w:spacing w:after="0"/>
              <w:rPr>
                <w:rFonts w:cs="Segoe UI Light"/>
                <w:sz w:val="18"/>
              </w:rPr>
            </w:pPr>
            <w:r w:rsidRPr="000D7D82">
              <w:rPr>
                <w:rFonts w:cs="Segoe UI Light"/>
                <w:sz w:val="18"/>
              </w:rPr>
              <w:t xml:space="preserve"> $847.60 </w:t>
            </w:r>
          </w:p>
        </w:tc>
        <w:tc>
          <w:tcPr>
            <w:tcW w:w="372" w:type="pct"/>
            <w:shd w:val="clear" w:color="auto" w:fill="auto"/>
          </w:tcPr>
          <w:p w14:paraId="656B19C8" w14:textId="77777777" w:rsidR="002A2DFB" w:rsidRPr="000D7D82" w:rsidRDefault="002A2DFB" w:rsidP="002A2DFB">
            <w:pPr>
              <w:spacing w:after="0"/>
              <w:rPr>
                <w:rFonts w:cs="Segoe UI Light"/>
                <w:sz w:val="18"/>
              </w:rPr>
            </w:pPr>
            <w:r w:rsidRPr="000D7D82">
              <w:rPr>
                <w:rFonts w:cs="Segoe UI Light"/>
                <w:sz w:val="18"/>
              </w:rPr>
              <w:t xml:space="preserve"> Unknown </w:t>
            </w:r>
          </w:p>
        </w:tc>
        <w:tc>
          <w:tcPr>
            <w:tcW w:w="853" w:type="pct"/>
            <w:shd w:val="clear" w:color="auto" w:fill="auto"/>
          </w:tcPr>
          <w:p w14:paraId="656B19C9" w14:textId="77777777" w:rsidR="002A2DFB" w:rsidRPr="000D7D82" w:rsidRDefault="002A2DFB" w:rsidP="002A2DFB">
            <w:pPr>
              <w:spacing w:after="0"/>
              <w:rPr>
                <w:rFonts w:cs="Segoe UI Light"/>
                <w:sz w:val="18"/>
              </w:rPr>
            </w:pPr>
            <w:r w:rsidRPr="000D7D82">
              <w:rPr>
                <w:rFonts w:cs="Segoe UI Light"/>
                <w:sz w:val="18"/>
              </w:rPr>
              <w:t>25.2 fee units on application plus 6.49 fee units per hour for assessments exceeding 3.9 hours up to a maximum of 322.31 fee units.</w:t>
            </w:r>
          </w:p>
        </w:tc>
        <w:tc>
          <w:tcPr>
            <w:tcW w:w="410" w:type="pct"/>
            <w:shd w:val="clear" w:color="auto" w:fill="auto"/>
          </w:tcPr>
          <w:p w14:paraId="656B19CA" w14:textId="77777777" w:rsidR="002A2DFB" w:rsidRPr="000D7D82" w:rsidRDefault="002A2DFB" w:rsidP="002A2DFB">
            <w:pPr>
              <w:spacing w:after="0"/>
              <w:rPr>
                <w:rFonts w:cs="Segoe UI Light"/>
                <w:sz w:val="18"/>
              </w:rPr>
            </w:pPr>
            <w:r w:rsidRPr="000D7D82">
              <w:rPr>
                <w:rFonts w:cs="Segoe UI Light"/>
                <w:sz w:val="18"/>
              </w:rPr>
              <w:t xml:space="preserve"> $847.60 </w:t>
            </w:r>
          </w:p>
        </w:tc>
        <w:tc>
          <w:tcPr>
            <w:tcW w:w="353" w:type="pct"/>
          </w:tcPr>
          <w:p w14:paraId="656B19CB" w14:textId="77777777" w:rsidR="002A2DFB" w:rsidRPr="000D7D82" w:rsidRDefault="002A2DFB" w:rsidP="002A2DFB">
            <w:pPr>
              <w:spacing w:after="0"/>
              <w:rPr>
                <w:rFonts w:cs="Segoe UI Light"/>
                <w:sz w:val="18"/>
              </w:rPr>
            </w:pPr>
            <w:r w:rsidRPr="000D7D82">
              <w:rPr>
                <w:rFonts w:cs="Segoe UI Light"/>
                <w:sz w:val="18"/>
              </w:rPr>
              <w:t xml:space="preserve"> Unknown </w:t>
            </w:r>
          </w:p>
        </w:tc>
        <w:tc>
          <w:tcPr>
            <w:tcW w:w="303" w:type="pct"/>
          </w:tcPr>
          <w:p w14:paraId="656B19CC"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CD" w14:textId="77777777" w:rsidR="002A2DFB" w:rsidRPr="00211776" w:rsidRDefault="002A2DFB" w:rsidP="002A2DFB">
            <w:pPr>
              <w:spacing w:after="0" w:line="240" w:lineRule="auto"/>
              <w:rPr>
                <w:rFonts w:cs="Segoe UI Light"/>
                <w:sz w:val="16"/>
                <w:szCs w:val="16"/>
              </w:rPr>
            </w:pPr>
            <w:r w:rsidRPr="00211776">
              <w:rPr>
                <w:rFonts w:cs="Segoe UI Light"/>
                <w:sz w:val="16"/>
                <w:szCs w:val="16"/>
              </w:rPr>
              <w:t>New fee</w:t>
            </w:r>
          </w:p>
        </w:tc>
      </w:tr>
      <w:tr w:rsidR="002A2DFB" w:rsidRPr="00A648FA" w14:paraId="656B19E8" w14:textId="77777777" w:rsidTr="00A86267">
        <w:trPr>
          <w:trHeight w:val="216"/>
        </w:trPr>
        <w:tc>
          <w:tcPr>
            <w:tcW w:w="511" w:type="pct"/>
          </w:tcPr>
          <w:p w14:paraId="656B19DC" w14:textId="77777777" w:rsidR="002A2DFB" w:rsidRPr="00A07276" w:rsidRDefault="002A2DFB" w:rsidP="002A2DFB">
            <w:pPr>
              <w:spacing w:after="0" w:line="240" w:lineRule="auto"/>
              <w:rPr>
                <w:rFonts w:cs="Segoe UI Light"/>
                <w:sz w:val="18"/>
              </w:rPr>
            </w:pPr>
            <w:r w:rsidRPr="00CB51FF">
              <w:rPr>
                <w:rFonts w:cs="Segoe UI Light"/>
                <w:sz w:val="18"/>
              </w:rPr>
              <w:t>Permit</w:t>
            </w:r>
          </w:p>
        </w:tc>
        <w:tc>
          <w:tcPr>
            <w:tcW w:w="420" w:type="pct"/>
          </w:tcPr>
          <w:p w14:paraId="656B19DD" w14:textId="77777777" w:rsidR="002A2DFB" w:rsidRPr="00A07276" w:rsidRDefault="002A2DFB" w:rsidP="002A2DFB">
            <w:pPr>
              <w:spacing w:after="0"/>
              <w:rPr>
                <w:rFonts w:cs="Segoe UI Light"/>
                <w:sz w:val="18"/>
              </w:rPr>
            </w:pPr>
            <w:r w:rsidRPr="00CB51FF">
              <w:rPr>
                <w:rFonts w:cs="Segoe UI Light"/>
                <w:sz w:val="18"/>
              </w:rPr>
              <w:t>Surrender</w:t>
            </w:r>
          </w:p>
        </w:tc>
        <w:tc>
          <w:tcPr>
            <w:tcW w:w="412" w:type="pct"/>
          </w:tcPr>
          <w:p w14:paraId="656B19DE" w14:textId="77777777" w:rsidR="002A2DFB" w:rsidRPr="00CB51FF" w:rsidRDefault="002A2DFB" w:rsidP="002A2DFB">
            <w:pPr>
              <w:spacing w:after="0"/>
              <w:rPr>
                <w:rFonts w:cs="Segoe UI Light"/>
                <w:sz w:val="18"/>
              </w:rPr>
            </w:pPr>
            <w:r w:rsidRPr="00CB51FF">
              <w:rPr>
                <w:rFonts w:cs="Segoe UI Light"/>
                <w:sz w:val="18"/>
              </w:rPr>
              <w:t>Reportable priority waste transport</w:t>
            </w:r>
          </w:p>
        </w:tc>
        <w:tc>
          <w:tcPr>
            <w:tcW w:w="275" w:type="pct"/>
          </w:tcPr>
          <w:p w14:paraId="656B19DF" w14:textId="4880D354" w:rsidR="002A2DFB" w:rsidRPr="00CB51FF" w:rsidRDefault="004554F6" w:rsidP="002A2DFB">
            <w:pPr>
              <w:spacing w:after="0"/>
              <w:rPr>
                <w:rFonts w:cs="Segoe UI Light"/>
                <w:sz w:val="18"/>
              </w:rPr>
            </w:pPr>
            <w:r>
              <w:rPr>
                <w:rFonts w:cs="Segoe UI Light"/>
                <w:sz w:val="18"/>
              </w:rPr>
              <w:t>5</w:t>
            </w:r>
          </w:p>
        </w:tc>
        <w:tc>
          <w:tcPr>
            <w:tcW w:w="389" w:type="pct"/>
          </w:tcPr>
          <w:p w14:paraId="656B19E0" w14:textId="11382C0A" w:rsidR="002A2DFB" w:rsidRPr="00CB51FF" w:rsidRDefault="002A2DFB" w:rsidP="002A2DFB">
            <w:pPr>
              <w:spacing w:after="0"/>
              <w:rPr>
                <w:rFonts w:cs="Segoe UI Light"/>
                <w:sz w:val="18"/>
              </w:rPr>
            </w:pPr>
            <w:r w:rsidRPr="00CB51FF">
              <w:rPr>
                <w:rFonts w:cs="Segoe UI Light"/>
                <w:sz w:val="18"/>
              </w:rPr>
              <w:t>1.</w:t>
            </w:r>
            <w:r w:rsidR="004554F6">
              <w:rPr>
                <w:rFonts w:cs="Segoe UI Light"/>
                <w:sz w:val="18"/>
              </w:rPr>
              <w:t>17</w:t>
            </w:r>
          </w:p>
        </w:tc>
        <w:tc>
          <w:tcPr>
            <w:tcW w:w="348" w:type="pct"/>
          </w:tcPr>
          <w:p w14:paraId="656B19E1" w14:textId="32FE2C0A" w:rsidR="002A2DFB" w:rsidRPr="00CB51FF" w:rsidRDefault="002A2DFB" w:rsidP="002A2DFB">
            <w:pPr>
              <w:spacing w:after="0"/>
              <w:rPr>
                <w:rFonts w:cs="Segoe UI Light"/>
                <w:sz w:val="18"/>
              </w:rPr>
            </w:pPr>
            <w:r w:rsidRPr="00CB51FF">
              <w:rPr>
                <w:rFonts w:cs="Segoe UI Light"/>
                <w:sz w:val="18"/>
              </w:rPr>
              <w:t xml:space="preserve"> $103.0</w:t>
            </w:r>
            <w:r w:rsidR="00671C07">
              <w:rPr>
                <w:rFonts w:cs="Segoe UI Light"/>
                <w:sz w:val="18"/>
              </w:rPr>
              <w:t>5</w:t>
            </w:r>
            <w:r w:rsidRPr="00CB51FF">
              <w:rPr>
                <w:rFonts w:cs="Segoe UI Light"/>
                <w:sz w:val="18"/>
              </w:rPr>
              <w:t xml:space="preserve"> </w:t>
            </w:r>
          </w:p>
        </w:tc>
        <w:tc>
          <w:tcPr>
            <w:tcW w:w="372" w:type="pct"/>
          </w:tcPr>
          <w:p w14:paraId="656B19E2" w14:textId="5BEC3C25" w:rsidR="002A2DFB" w:rsidRPr="00CB51FF" w:rsidRDefault="002A2DFB" w:rsidP="002A2DFB">
            <w:pPr>
              <w:spacing w:after="0"/>
              <w:rPr>
                <w:rFonts w:cs="Segoe UI Light"/>
                <w:sz w:val="18"/>
              </w:rPr>
            </w:pPr>
            <w:r w:rsidRPr="00CB51FF">
              <w:rPr>
                <w:rFonts w:cs="Segoe UI Light"/>
                <w:sz w:val="18"/>
              </w:rPr>
              <w:t xml:space="preserve"> $</w:t>
            </w:r>
            <w:r w:rsidR="004554F6">
              <w:rPr>
                <w:rFonts w:cs="Segoe UI Light"/>
                <w:sz w:val="18"/>
              </w:rPr>
              <w:t>515</w:t>
            </w:r>
            <w:r w:rsidR="00671C07">
              <w:rPr>
                <w:rFonts w:cs="Segoe UI Light"/>
                <w:sz w:val="18"/>
              </w:rPr>
              <w:t>.25</w:t>
            </w:r>
            <w:r w:rsidR="004554F6" w:rsidRPr="00CB51FF">
              <w:rPr>
                <w:rFonts w:cs="Segoe UI Light"/>
                <w:sz w:val="18"/>
              </w:rPr>
              <w:t xml:space="preserve"> </w:t>
            </w:r>
          </w:p>
        </w:tc>
        <w:tc>
          <w:tcPr>
            <w:tcW w:w="853" w:type="pct"/>
          </w:tcPr>
          <w:p w14:paraId="656B19E3" w14:textId="77777777" w:rsidR="002A2DFB" w:rsidRPr="00CB51FF" w:rsidRDefault="002A2DFB" w:rsidP="002A2DFB">
            <w:pPr>
              <w:spacing w:after="0"/>
              <w:rPr>
                <w:rFonts w:cs="Segoe UI Light"/>
                <w:sz w:val="18"/>
              </w:rPr>
            </w:pPr>
            <w:r w:rsidRPr="00A07276">
              <w:rPr>
                <w:rFonts w:cs="Segoe UI Light"/>
                <w:sz w:val="18"/>
              </w:rPr>
              <w:t>Flat fee - 7.13 fee units</w:t>
            </w:r>
          </w:p>
        </w:tc>
        <w:tc>
          <w:tcPr>
            <w:tcW w:w="410" w:type="pct"/>
          </w:tcPr>
          <w:p w14:paraId="656B19E4" w14:textId="10CC4058" w:rsidR="002A2DFB" w:rsidRPr="00CB51FF" w:rsidRDefault="002A2DFB" w:rsidP="002A2DFB">
            <w:pPr>
              <w:spacing w:after="0"/>
              <w:rPr>
                <w:rFonts w:cs="Segoe UI Light"/>
                <w:sz w:val="18"/>
              </w:rPr>
            </w:pPr>
            <w:r w:rsidRPr="00CB51FF">
              <w:rPr>
                <w:rFonts w:cs="Segoe UI Light"/>
                <w:sz w:val="18"/>
              </w:rPr>
              <w:t xml:space="preserve"> $103.0</w:t>
            </w:r>
            <w:r w:rsidR="00671C07">
              <w:rPr>
                <w:rFonts w:cs="Segoe UI Light"/>
                <w:sz w:val="18"/>
              </w:rPr>
              <w:t>5</w:t>
            </w:r>
            <w:r w:rsidRPr="00CB51FF">
              <w:rPr>
                <w:rFonts w:cs="Segoe UI Light"/>
                <w:sz w:val="18"/>
              </w:rPr>
              <w:t xml:space="preserve"> </w:t>
            </w:r>
          </w:p>
        </w:tc>
        <w:tc>
          <w:tcPr>
            <w:tcW w:w="353" w:type="pct"/>
          </w:tcPr>
          <w:p w14:paraId="656B19E5" w14:textId="06CD2ED6" w:rsidR="002A2DFB" w:rsidRPr="00CB51FF" w:rsidRDefault="002A2DFB" w:rsidP="002A2DFB">
            <w:pPr>
              <w:spacing w:after="0"/>
              <w:rPr>
                <w:rFonts w:cs="Segoe UI Light"/>
                <w:sz w:val="18"/>
              </w:rPr>
            </w:pPr>
            <w:r w:rsidRPr="00CB51FF">
              <w:rPr>
                <w:rFonts w:cs="Segoe UI Light"/>
                <w:sz w:val="18"/>
              </w:rPr>
              <w:t xml:space="preserve"> $</w:t>
            </w:r>
            <w:r w:rsidR="004554F6">
              <w:rPr>
                <w:rFonts w:cs="Segoe UI Light"/>
                <w:sz w:val="18"/>
              </w:rPr>
              <w:t>515</w:t>
            </w:r>
            <w:r w:rsidR="00671C07">
              <w:rPr>
                <w:rFonts w:cs="Segoe UI Light"/>
                <w:sz w:val="18"/>
              </w:rPr>
              <w:t>.25</w:t>
            </w:r>
            <w:r w:rsidR="004554F6" w:rsidRPr="00CB51FF">
              <w:rPr>
                <w:rFonts w:cs="Segoe UI Light"/>
                <w:sz w:val="18"/>
              </w:rPr>
              <w:t xml:space="preserve"> </w:t>
            </w:r>
          </w:p>
        </w:tc>
        <w:tc>
          <w:tcPr>
            <w:tcW w:w="303" w:type="pct"/>
          </w:tcPr>
          <w:p w14:paraId="656B19E6"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E7" w14:textId="77777777" w:rsidR="002A2DFB" w:rsidRPr="00211776" w:rsidRDefault="002A2DFB" w:rsidP="002A2DFB">
            <w:pPr>
              <w:spacing w:after="0" w:line="240" w:lineRule="auto"/>
              <w:rPr>
                <w:rFonts w:cs="Segoe UI Light"/>
                <w:sz w:val="16"/>
                <w:szCs w:val="16"/>
              </w:rPr>
            </w:pPr>
            <w:r w:rsidRPr="00211776">
              <w:rPr>
                <w:rFonts w:cs="Segoe UI Light"/>
                <w:sz w:val="16"/>
                <w:szCs w:val="16"/>
              </w:rPr>
              <w:t>New fee</w:t>
            </w:r>
          </w:p>
        </w:tc>
      </w:tr>
      <w:tr w:rsidR="002A2DFB" w:rsidRPr="00A648FA" w14:paraId="656B19F5" w14:textId="77777777" w:rsidTr="00A86267">
        <w:trPr>
          <w:trHeight w:val="216"/>
        </w:trPr>
        <w:tc>
          <w:tcPr>
            <w:tcW w:w="511" w:type="pct"/>
          </w:tcPr>
          <w:p w14:paraId="656B19E9"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9EA" w14:textId="77777777" w:rsidR="002A2DFB" w:rsidRPr="00A07276" w:rsidRDefault="002A2DFB" w:rsidP="002A2DFB">
            <w:pPr>
              <w:spacing w:after="0"/>
              <w:rPr>
                <w:rFonts w:cs="Segoe UI Light"/>
                <w:sz w:val="18"/>
              </w:rPr>
            </w:pPr>
            <w:r w:rsidRPr="00CB51FF">
              <w:rPr>
                <w:rFonts w:cs="Segoe UI Light"/>
                <w:sz w:val="18"/>
              </w:rPr>
              <w:t>Surrender</w:t>
            </w:r>
          </w:p>
        </w:tc>
        <w:tc>
          <w:tcPr>
            <w:tcW w:w="412" w:type="pct"/>
          </w:tcPr>
          <w:p w14:paraId="656B19EB" w14:textId="77777777" w:rsidR="002A2DFB" w:rsidRPr="00CB51FF" w:rsidRDefault="002A2DFB" w:rsidP="002A2DFB">
            <w:pPr>
              <w:spacing w:after="0"/>
              <w:rPr>
                <w:rFonts w:cs="Segoe UI Light"/>
                <w:sz w:val="18"/>
              </w:rPr>
            </w:pPr>
            <w:r w:rsidRPr="00CB51FF">
              <w:rPr>
                <w:rFonts w:cs="Segoe UI Light"/>
                <w:sz w:val="18"/>
              </w:rPr>
              <w:t>Other - complex (application to Authority)</w:t>
            </w:r>
          </w:p>
        </w:tc>
        <w:tc>
          <w:tcPr>
            <w:tcW w:w="275" w:type="pct"/>
          </w:tcPr>
          <w:p w14:paraId="656B19EC" w14:textId="77777777" w:rsidR="002A2DFB" w:rsidRPr="00CB51FF" w:rsidRDefault="002A2DFB" w:rsidP="002A2DFB">
            <w:pPr>
              <w:spacing w:after="0"/>
              <w:rPr>
                <w:rFonts w:cs="Segoe UI Light"/>
                <w:sz w:val="18"/>
              </w:rPr>
            </w:pPr>
            <w:r w:rsidRPr="00CB51FF">
              <w:rPr>
                <w:rFonts w:cs="Segoe UI Light"/>
                <w:sz w:val="18"/>
              </w:rPr>
              <w:t xml:space="preserve">Unknown </w:t>
            </w:r>
          </w:p>
        </w:tc>
        <w:tc>
          <w:tcPr>
            <w:tcW w:w="389" w:type="pct"/>
          </w:tcPr>
          <w:p w14:paraId="656B19ED" w14:textId="671C2958" w:rsidR="002A2DFB" w:rsidRPr="00CB51FF" w:rsidRDefault="002A2DFB" w:rsidP="002A2DFB">
            <w:pPr>
              <w:spacing w:after="0"/>
              <w:rPr>
                <w:rFonts w:cs="Segoe UI Light"/>
                <w:sz w:val="18"/>
              </w:rPr>
            </w:pPr>
            <w:r w:rsidRPr="00CB51FF">
              <w:rPr>
                <w:rFonts w:cs="Segoe UI Light"/>
                <w:sz w:val="18"/>
              </w:rPr>
              <w:t>6.8</w:t>
            </w:r>
            <w:r w:rsidR="004554F6">
              <w:rPr>
                <w:rFonts w:cs="Segoe UI Light"/>
                <w:sz w:val="18"/>
              </w:rPr>
              <w:t>4</w:t>
            </w:r>
          </w:p>
        </w:tc>
        <w:tc>
          <w:tcPr>
            <w:tcW w:w="348" w:type="pct"/>
          </w:tcPr>
          <w:p w14:paraId="656B19EE" w14:textId="45ED6AC3" w:rsidR="002A2DFB" w:rsidRPr="00CB51FF" w:rsidRDefault="002A2DFB" w:rsidP="002A2DFB">
            <w:pPr>
              <w:spacing w:after="0"/>
              <w:rPr>
                <w:rFonts w:cs="Segoe UI Light"/>
                <w:sz w:val="18"/>
              </w:rPr>
            </w:pPr>
            <w:r w:rsidRPr="00CB51FF">
              <w:rPr>
                <w:rFonts w:cs="Segoe UI Light"/>
                <w:sz w:val="18"/>
              </w:rPr>
              <w:t xml:space="preserve"> $680.</w:t>
            </w:r>
            <w:r w:rsidR="00671C07">
              <w:rPr>
                <w:rFonts w:cs="Segoe UI Light"/>
                <w:sz w:val="18"/>
              </w:rPr>
              <w:t>24</w:t>
            </w:r>
            <w:r w:rsidR="00671C07" w:rsidRPr="00CB51FF">
              <w:rPr>
                <w:rFonts w:cs="Segoe UI Light"/>
                <w:sz w:val="18"/>
              </w:rPr>
              <w:t xml:space="preserve"> </w:t>
            </w:r>
          </w:p>
        </w:tc>
        <w:tc>
          <w:tcPr>
            <w:tcW w:w="372" w:type="pct"/>
          </w:tcPr>
          <w:p w14:paraId="656B19EF"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853" w:type="pct"/>
          </w:tcPr>
          <w:p w14:paraId="656B19F0" w14:textId="77777777" w:rsidR="002A2DFB" w:rsidRPr="00CB51FF" w:rsidRDefault="002A2DFB" w:rsidP="002A2DFB">
            <w:pPr>
              <w:spacing w:after="0"/>
              <w:rPr>
                <w:rFonts w:cs="Segoe UI Light"/>
                <w:sz w:val="18"/>
              </w:rPr>
            </w:pPr>
            <w:r w:rsidRPr="00A07276">
              <w:rPr>
                <w:rFonts w:cs="Segoe UI Light"/>
                <w:sz w:val="18"/>
              </w:rPr>
              <w:t>Flat fee - 47.08 fee units</w:t>
            </w:r>
          </w:p>
        </w:tc>
        <w:tc>
          <w:tcPr>
            <w:tcW w:w="410" w:type="pct"/>
          </w:tcPr>
          <w:p w14:paraId="656B19F1" w14:textId="40259BA6" w:rsidR="002A2DFB" w:rsidRPr="00CB51FF" w:rsidRDefault="002A2DFB" w:rsidP="002A2DFB">
            <w:pPr>
              <w:spacing w:after="0"/>
              <w:rPr>
                <w:rFonts w:cs="Segoe UI Light"/>
                <w:sz w:val="18"/>
              </w:rPr>
            </w:pPr>
            <w:r w:rsidRPr="00CB51FF">
              <w:rPr>
                <w:rFonts w:cs="Segoe UI Light"/>
                <w:sz w:val="18"/>
              </w:rPr>
              <w:t xml:space="preserve"> $680.</w:t>
            </w:r>
            <w:r w:rsidR="00671C07">
              <w:rPr>
                <w:rFonts w:cs="Segoe UI Light"/>
                <w:sz w:val="18"/>
              </w:rPr>
              <w:t>24</w:t>
            </w:r>
            <w:r w:rsidRPr="00CB51FF">
              <w:rPr>
                <w:rFonts w:cs="Segoe UI Light"/>
                <w:sz w:val="18"/>
              </w:rPr>
              <w:t xml:space="preserve"> </w:t>
            </w:r>
          </w:p>
        </w:tc>
        <w:tc>
          <w:tcPr>
            <w:tcW w:w="353" w:type="pct"/>
          </w:tcPr>
          <w:p w14:paraId="656B19F2"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303" w:type="pct"/>
          </w:tcPr>
          <w:p w14:paraId="656B19F3"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9F4" w14:textId="77777777" w:rsidR="002A2DFB" w:rsidRPr="00211776" w:rsidRDefault="002A2DFB" w:rsidP="002A2DFB">
            <w:pPr>
              <w:spacing w:after="0" w:line="240" w:lineRule="auto"/>
              <w:rPr>
                <w:rFonts w:cs="Segoe UI Light"/>
                <w:sz w:val="16"/>
                <w:szCs w:val="16"/>
              </w:rPr>
            </w:pPr>
            <w:r w:rsidRPr="00211776">
              <w:rPr>
                <w:rFonts w:cs="Segoe UI Light"/>
                <w:sz w:val="16"/>
                <w:szCs w:val="16"/>
              </w:rPr>
              <w:t>New fee</w:t>
            </w:r>
          </w:p>
        </w:tc>
      </w:tr>
      <w:tr w:rsidR="002A2DFB" w:rsidRPr="00A648FA" w14:paraId="656B1A02" w14:textId="77777777" w:rsidTr="00A86267">
        <w:trPr>
          <w:trHeight w:val="216"/>
        </w:trPr>
        <w:tc>
          <w:tcPr>
            <w:tcW w:w="511" w:type="pct"/>
          </w:tcPr>
          <w:p w14:paraId="656B19F6"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9F7" w14:textId="77777777" w:rsidR="002A2DFB" w:rsidRPr="00A07276" w:rsidRDefault="002A2DFB" w:rsidP="002A2DFB">
            <w:pPr>
              <w:spacing w:after="0"/>
              <w:rPr>
                <w:rFonts w:cs="Segoe UI Light"/>
                <w:sz w:val="18"/>
              </w:rPr>
            </w:pPr>
            <w:r w:rsidRPr="00CB51FF">
              <w:rPr>
                <w:rFonts w:cs="Segoe UI Light"/>
                <w:sz w:val="18"/>
              </w:rPr>
              <w:t>Exemption</w:t>
            </w:r>
          </w:p>
        </w:tc>
        <w:tc>
          <w:tcPr>
            <w:tcW w:w="412" w:type="pct"/>
          </w:tcPr>
          <w:p w14:paraId="656B19F8" w14:textId="77777777" w:rsidR="002A2DFB" w:rsidRPr="00CB51FF" w:rsidRDefault="002A2DFB" w:rsidP="002A2DFB">
            <w:pPr>
              <w:spacing w:after="0"/>
              <w:rPr>
                <w:rFonts w:cs="Segoe UI Light"/>
                <w:sz w:val="18"/>
              </w:rPr>
            </w:pPr>
            <w:r w:rsidRPr="00CB51FF">
              <w:rPr>
                <w:rFonts w:cs="Segoe UI Light"/>
                <w:sz w:val="18"/>
              </w:rPr>
              <w:t>Reportable priority waste transport</w:t>
            </w:r>
          </w:p>
        </w:tc>
        <w:tc>
          <w:tcPr>
            <w:tcW w:w="275" w:type="pct"/>
          </w:tcPr>
          <w:p w14:paraId="656B19F9" w14:textId="77777777" w:rsidR="002A2DFB" w:rsidRPr="00CB51FF" w:rsidRDefault="002A2DFB" w:rsidP="002A2DFB">
            <w:pPr>
              <w:spacing w:after="0"/>
              <w:rPr>
                <w:rFonts w:cs="Segoe UI Light"/>
                <w:sz w:val="18"/>
              </w:rPr>
            </w:pPr>
            <w:r w:rsidRPr="00CB51FF">
              <w:rPr>
                <w:rFonts w:cs="Segoe UI Light"/>
                <w:sz w:val="18"/>
              </w:rPr>
              <w:t xml:space="preserve">Unknown </w:t>
            </w:r>
          </w:p>
        </w:tc>
        <w:tc>
          <w:tcPr>
            <w:tcW w:w="389" w:type="pct"/>
          </w:tcPr>
          <w:p w14:paraId="656B19FA" w14:textId="7DD0FCDA" w:rsidR="002A2DFB" w:rsidRPr="00CB51FF" w:rsidRDefault="002A2DFB" w:rsidP="002A2DFB">
            <w:pPr>
              <w:spacing w:after="0"/>
              <w:rPr>
                <w:rFonts w:cs="Segoe UI Light"/>
                <w:sz w:val="18"/>
              </w:rPr>
            </w:pPr>
            <w:r w:rsidRPr="00CB51FF">
              <w:rPr>
                <w:rFonts w:cs="Segoe UI Light"/>
                <w:sz w:val="18"/>
              </w:rPr>
              <w:t>1.</w:t>
            </w:r>
            <w:r w:rsidR="004554F6">
              <w:rPr>
                <w:rFonts w:cs="Segoe UI Light"/>
                <w:sz w:val="18"/>
              </w:rPr>
              <w:t>91</w:t>
            </w:r>
            <w:r w:rsidRPr="00CB51FF">
              <w:rPr>
                <w:rFonts w:cs="Segoe UI Light"/>
                <w:sz w:val="18"/>
              </w:rPr>
              <w:t>-2.5</w:t>
            </w:r>
          </w:p>
        </w:tc>
        <w:tc>
          <w:tcPr>
            <w:tcW w:w="348" w:type="pct"/>
          </w:tcPr>
          <w:p w14:paraId="656B19FB" w14:textId="407AEBAD" w:rsidR="002A2DFB" w:rsidRPr="00CB51FF" w:rsidRDefault="002A2DFB" w:rsidP="002A2DFB">
            <w:pPr>
              <w:spacing w:after="0"/>
              <w:rPr>
                <w:rFonts w:cs="Segoe UI Light"/>
                <w:sz w:val="18"/>
              </w:rPr>
            </w:pPr>
            <w:r w:rsidRPr="00CB51FF">
              <w:rPr>
                <w:rFonts w:cs="Segoe UI Light"/>
                <w:sz w:val="18"/>
              </w:rPr>
              <w:t xml:space="preserve"> $</w:t>
            </w:r>
            <w:r>
              <w:rPr>
                <w:rFonts w:cs="Segoe UI Light"/>
                <w:sz w:val="18"/>
              </w:rPr>
              <w:t>201.00</w:t>
            </w:r>
            <w:r w:rsidRPr="00CB51FF">
              <w:rPr>
                <w:rFonts w:cs="Segoe UI Light"/>
                <w:sz w:val="18"/>
              </w:rPr>
              <w:t xml:space="preserve"> </w:t>
            </w:r>
          </w:p>
        </w:tc>
        <w:tc>
          <w:tcPr>
            <w:tcW w:w="372" w:type="pct"/>
          </w:tcPr>
          <w:p w14:paraId="656B19FC" w14:textId="77777777" w:rsidR="002A2DFB" w:rsidRPr="00CB51FF" w:rsidRDefault="002A2DFB" w:rsidP="002A2DFB">
            <w:pPr>
              <w:spacing w:after="0"/>
              <w:rPr>
                <w:rFonts w:cs="Segoe UI Light"/>
                <w:sz w:val="18"/>
              </w:rPr>
            </w:pPr>
          </w:p>
        </w:tc>
        <w:tc>
          <w:tcPr>
            <w:tcW w:w="853" w:type="pct"/>
          </w:tcPr>
          <w:p w14:paraId="656B19FD" w14:textId="77777777" w:rsidR="002A2DFB" w:rsidRPr="00CB51FF" w:rsidRDefault="002A2DFB" w:rsidP="002A2DFB">
            <w:pPr>
              <w:spacing w:after="0"/>
              <w:rPr>
                <w:rFonts w:cs="Segoe UI Light"/>
                <w:sz w:val="18"/>
              </w:rPr>
            </w:pPr>
            <w:r w:rsidRPr="00A07276">
              <w:rPr>
                <w:rFonts w:cs="Segoe UI Light"/>
                <w:sz w:val="18"/>
              </w:rPr>
              <w:t>Flat fee - 13.91 fee units</w:t>
            </w:r>
          </w:p>
        </w:tc>
        <w:tc>
          <w:tcPr>
            <w:tcW w:w="410" w:type="pct"/>
          </w:tcPr>
          <w:p w14:paraId="656B19FE" w14:textId="46B02337" w:rsidR="002A2DFB" w:rsidRPr="00CB51FF" w:rsidRDefault="002A2DFB" w:rsidP="002A2DFB">
            <w:pPr>
              <w:spacing w:after="0"/>
              <w:rPr>
                <w:rFonts w:cs="Segoe UI Light"/>
                <w:sz w:val="18"/>
              </w:rPr>
            </w:pPr>
            <w:r w:rsidRPr="00CB51FF">
              <w:rPr>
                <w:rFonts w:cs="Segoe UI Light"/>
                <w:sz w:val="18"/>
              </w:rPr>
              <w:t xml:space="preserve"> $</w:t>
            </w:r>
            <w:r>
              <w:rPr>
                <w:rFonts w:cs="Segoe UI Light"/>
                <w:sz w:val="18"/>
              </w:rPr>
              <w:t>201.00</w:t>
            </w:r>
            <w:r w:rsidRPr="00CB51FF">
              <w:rPr>
                <w:rFonts w:cs="Segoe UI Light"/>
                <w:sz w:val="18"/>
              </w:rPr>
              <w:t xml:space="preserve"> </w:t>
            </w:r>
          </w:p>
        </w:tc>
        <w:tc>
          <w:tcPr>
            <w:tcW w:w="353" w:type="pct"/>
          </w:tcPr>
          <w:p w14:paraId="656B19FF"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303" w:type="pct"/>
          </w:tcPr>
          <w:p w14:paraId="656B1A00"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01" w14:textId="77777777" w:rsidR="002A2DFB" w:rsidRPr="00211776" w:rsidRDefault="002A2DFB" w:rsidP="002A2DFB">
            <w:pPr>
              <w:spacing w:after="0" w:line="240" w:lineRule="auto"/>
              <w:rPr>
                <w:rFonts w:cs="Segoe UI Light"/>
                <w:sz w:val="16"/>
                <w:szCs w:val="16"/>
              </w:rPr>
            </w:pPr>
            <w:r w:rsidRPr="00211776">
              <w:rPr>
                <w:rFonts w:cs="Segoe UI Light"/>
                <w:sz w:val="16"/>
                <w:szCs w:val="16"/>
              </w:rPr>
              <w:t>New fee</w:t>
            </w:r>
          </w:p>
        </w:tc>
      </w:tr>
      <w:tr w:rsidR="002A2DFB" w:rsidRPr="00A648FA" w14:paraId="656B1A0F" w14:textId="77777777" w:rsidTr="00A86267">
        <w:trPr>
          <w:trHeight w:val="216"/>
        </w:trPr>
        <w:tc>
          <w:tcPr>
            <w:tcW w:w="511" w:type="pct"/>
          </w:tcPr>
          <w:p w14:paraId="656B1A03"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A04" w14:textId="77777777" w:rsidR="002A2DFB" w:rsidRPr="00A07276" w:rsidRDefault="002A2DFB" w:rsidP="002A2DFB">
            <w:pPr>
              <w:spacing w:after="0"/>
              <w:rPr>
                <w:rFonts w:cs="Segoe UI Light"/>
                <w:sz w:val="18"/>
              </w:rPr>
            </w:pPr>
            <w:r w:rsidRPr="00CB51FF">
              <w:rPr>
                <w:rFonts w:cs="Segoe UI Light"/>
                <w:sz w:val="18"/>
              </w:rPr>
              <w:t>Exemption</w:t>
            </w:r>
          </w:p>
        </w:tc>
        <w:tc>
          <w:tcPr>
            <w:tcW w:w="412" w:type="pct"/>
          </w:tcPr>
          <w:p w14:paraId="656B1A05" w14:textId="77777777" w:rsidR="002A2DFB" w:rsidRPr="00CB51FF" w:rsidRDefault="002A2DFB" w:rsidP="002A2DFB">
            <w:pPr>
              <w:spacing w:after="0"/>
              <w:rPr>
                <w:rFonts w:cs="Segoe UI Light"/>
                <w:sz w:val="18"/>
              </w:rPr>
            </w:pPr>
            <w:r w:rsidRPr="00CB51FF">
              <w:rPr>
                <w:rFonts w:cs="Segoe UI Light"/>
                <w:sz w:val="18"/>
              </w:rPr>
              <w:t>Other - complex (application to Authority)</w:t>
            </w:r>
          </w:p>
        </w:tc>
        <w:tc>
          <w:tcPr>
            <w:tcW w:w="275" w:type="pct"/>
          </w:tcPr>
          <w:p w14:paraId="656B1A06" w14:textId="77777777" w:rsidR="002A2DFB" w:rsidRPr="00BE39FC" w:rsidRDefault="002A2DFB" w:rsidP="002A2DFB">
            <w:pPr>
              <w:spacing w:after="0"/>
              <w:rPr>
                <w:rFonts w:cs="Segoe UI Light"/>
                <w:sz w:val="18"/>
              </w:rPr>
            </w:pPr>
            <w:r w:rsidRPr="00BE39FC">
              <w:rPr>
                <w:rFonts w:cs="Segoe UI Light"/>
                <w:sz w:val="18"/>
              </w:rPr>
              <w:t>6</w:t>
            </w:r>
          </w:p>
        </w:tc>
        <w:tc>
          <w:tcPr>
            <w:tcW w:w="389" w:type="pct"/>
          </w:tcPr>
          <w:p w14:paraId="656B1A07" w14:textId="1BD45C03" w:rsidR="002A2DFB" w:rsidRPr="00BE39FC" w:rsidRDefault="00AC3C6E" w:rsidP="002A2DFB">
            <w:pPr>
              <w:spacing w:after="0"/>
              <w:rPr>
                <w:rFonts w:cs="Segoe UI Light"/>
                <w:sz w:val="18"/>
              </w:rPr>
            </w:pPr>
            <w:r>
              <w:rPr>
                <w:rFonts w:cs="Segoe UI Light"/>
                <w:sz w:val="18"/>
              </w:rPr>
              <w:t>8.30</w:t>
            </w:r>
          </w:p>
        </w:tc>
        <w:tc>
          <w:tcPr>
            <w:tcW w:w="348" w:type="pct"/>
          </w:tcPr>
          <w:p w14:paraId="656B1A08" w14:textId="3CDA9244" w:rsidR="002A2DFB" w:rsidRPr="00CB51FF" w:rsidRDefault="002A2DFB" w:rsidP="002A2DFB">
            <w:pPr>
              <w:spacing w:after="0"/>
              <w:rPr>
                <w:rFonts w:cs="Segoe UI Light"/>
                <w:sz w:val="18"/>
              </w:rPr>
            </w:pPr>
            <w:r w:rsidRPr="00CB51FF">
              <w:rPr>
                <w:rFonts w:cs="Segoe UI Light"/>
                <w:sz w:val="18"/>
              </w:rPr>
              <w:t xml:space="preserve"> $</w:t>
            </w:r>
            <w:r w:rsidR="004554F6">
              <w:rPr>
                <w:rFonts w:cs="Segoe UI Light"/>
                <w:sz w:val="18"/>
              </w:rPr>
              <w:t>857.61</w:t>
            </w:r>
            <w:r w:rsidRPr="00CB51FF">
              <w:rPr>
                <w:rFonts w:cs="Segoe UI Light"/>
                <w:sz w:val="18"/>
              </w:rPr>
              <w:t xml:space="preserve"> </w:t>
            </w:r>
          </w:p>
        </w:tc>
        <w:tc>
          <w:tcPr>
            <w:tcW w:w="372" w:type="pct"/>
          </w:tcPr>
          <w:p w14:paraId="656B1A09" w14:textId="282A16DE" w:rsidR="002A2DFB" w:rsidRPr="00CB51FF" w:rsidRDefault="002A2DFB" w:rsidP="002A2DFB">
            <w:pPr>
              <w:spacing w:after="0"/>
              <w:rPr>
                <w:rFonts w:cs="Segoe UI Light"/>
                <w:sz w:val="18"/>
              </w:rPr>
            </w:pPr>
            <w:r w:rsidRPr="00CB51FF">
              <w:rPr>
                <w:rFonts w:cs="Segoe UI Light"/>
                <w:sz w:val="18"/>
              </w:rPr>
              <w:t xml:space="preserve"> $5,</w:t>
            </w:r>
            <w:r w:rsidR="004554F6">
              <w:rPr>
                <w:rFonts w:cs="Segoe UI Light"/>
                <w:sz w:val="18"/>
              </w:rPr>
              <w:t>145.66</w:t>
            </w:r>
            <w:r w:rsidR="004554F6" w:rsidRPr="00CB51FF">
              <w:rPr>
                <w:rFonts w:cs="Segoe UI Light"/>
                <w:sz w:val="18"/>
              </w:rPr>
              <w:t xml:space="preserve"> </w:t>
            </w:r>
          </w:p>
        </w:tc>
        <w:tc>
          <w:tcPr>
            <w:tcW w:w="853" w:type="pct"/>
          </w:tcPr>
          <w:p w14:paraId="656B1A0A" w14:textId="77777777" w:rsidR="002A2DFB" w:rsidRPr="00CB51FF" w:rsidRDefault="002A2DFB" w:rsidP="002A2DFB">
            <w:pPr>
              <w:spacing w:after="0"/>
              <w:rPr>
                <w:rFonts w:cs="Segoe UI Light"/>
                <w:sz w:val="18"/>
              </w:rPr>
            </w:pPr>
            <w:r w:rsidRPr="00A07276">
              <w:rPr>
                <w:rFonts w:cs="Segoe UI Light"/>
                <w:sz w:val="18"/>
              </w:rPr>
              <w:t>45.82 fee units on application plus 7.16 fee units per hour for assessments exceeding 6.4 hours up to a maximum of 73.03 fee units.</w:t>
            </w:r>
          </w:p>
        </w:tc>
        <w:tc>
          <w:tcPr>
            <w:tcW w:w="410" w:type="pct"/>
          </w:tcPr>
          <w:p w14:paraId="656B1A0B" w14:textId="71BC0628" w:rsidR="002A2DFB" w:rsidRPr="00CB51FF" w:rsidRDefault="002A2DFB" w:rsidP="002A2DFB">
            <w:pPr>
              <w:spacing w:after="0"/>
              <w:rPr>
                <w:rFonts w:cs="Segoe UI Light"/>
                <w:sz w:val="18"/>
              </w:rPr>
            </w:pPr>
            <w:r w:rsidRPr="00CB51FF">
              <w:rPr>
                <w:rFonts w:cs="Segoe UI Light"/>
                <w:sz w:val="18"/>
              </w:rPr>
              <w:t xml:space="preserve"> $</w:t>
            </w:r>
            <w:r w:rsidR="004554F6">
              <w:rPr>
                <w:rFonts w:cs="Segoe UI Light"/>
                <w:sz w:val="18"/>
              </w:rPr>
              <w:t>857.61</w:t>
            </w:r>
            <w:r w:rsidRPr="00CB51FF">
              <w:rPr>
                <w:rFonts w:cs="Segoe UI Light"/>
                <w:sz w:val="18"/>
              </w:rPr>
              <w:t xml:space="preserve"> </w:t>
            </w:r>
          </w:p>
        </w:tc>
        <w:tc>
          <w:tcPr>
            <w:tcW w:w="353" w:type="pct"/>
          </w:tcPr>
          <w:p w14:paraId="656B1A0C" w14:textId="55451F9F" w:rsidR="002A2DFB" w:rsidRPr="00CB51FF" w:rsidRDefault="002A2DFB" w:rsidP="002A2DFB">
            <w:pPr>
              <w:spacing w:after="0"/>
              <w:rPr>
                <w:rFonts w:cs="Segoe UI Light"/>
                <w:sz w:val="18"/>
              </w:rPr>
            </w:pPr>
            <w:r w:rsidRPr="00CB51FF">
              <w:rPr>
                <w:rFonts w:cs="Segoe UI Light"/>
                <w:sz w:val="18"/>
              </w:rPr>
              <w:t xml:space="preserve"> $5,</w:t>
            </w:r>
            <w:r w:rsidR="004554F6">
              <w:rPr>
                <w:rFonts w:cs="Segoe UI Light"/>
                <w:sz w:val="18"/>
              </w:rPr>
              <w:t>145.66</w:t>
            </w:r>
            <w:r w:rsidR="004554F6" w:rsidRPr="00CB51FF">
              <w:rPr>
                <w:rFonts w:cs="Segoe UI Light"/>
                <w:sz w:val="18"/>
              </w:rPr>
              <w:t xml:space="preserve"> </w:t>
            </w:r>
          </w:p>
        </w:tc>
        <w:tc>
          <w:tcPr>
            <w:tcW w:w="303" w:type="pct"/>
          </w:tcPr>
          <w:p w14:paraId="656B1A0D"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0E" w14:textId="77777777" w:rsidR="002A2DFB" w:rsidRPr="00211776" w:rsidRDefault="002A2DFB" w:rsidP="002A2DFB">
            <w:pPr>
              <w:spacing w:after="0" w:line="240" w:lineRule="auto"/>
              <w:rPr>
                <w:rFonts w:cs="Segoe UI Light"/>
                <w:sz w:val="16"/>
                <w:szCs w:val="16"/>
              </w:rPr>
            </w:pPr>
            <w:r w:rsidRPr="00211776">
              <w:rPr>
                <w:rFonts w:cs="Segoe UI Light"/>
                <w:sz w:val="16"/>
                <w:szCs w:val="16"/>
              </w:rPr>
              <w:t>New fee</w:t>
            </w:r>
          </w:p>
        </w:tc>
      </w:tr>
      <w:tr w:rsidR="002A2DFB" w:rsidRPr="00A648FA" w14:paraId="656B1A1C" w14:textId="77777777" w:rsidTr="00A86267">
        <w:trPr>
          <w:trHeight w:val="216"/>
        </w:trPr>
        <w:tc>
          <w:tcPr>
            <w:tcW w:w="511" w:type="pct"/>
          </w:tcPr>
          <w:p w14:paraId="656B1A10"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A11" w14:textId="77777777" w:rsidR="002A2DFB" w:rsidRPr="00A07276" w:rsidRDefault="002A2DFB" w:rsidP="002A2DFB">
            <w:pPr>
              <w:spacing w:after="0"/>
              <w:rPr>
                <w:rFonts w:cs="Segoe UI Light"/>
                <w:sz w:val="18"/>
              </w:rPr>
            </w:pPr>
            <w:r w:rsidRPr="00CB51FF">
              <w:rPr>
                <w:rFonts w:cs="Segoe UI Light"/>
                <w:sz w:val="18"/>
              </w:rPr>
              <w:t>Exemption</w:t>
            </w:r>
          </w:p>
        </w:tc>
        <w:tc>
          <w:tcPr>
            <w:tcW w:w="412" w:type="pct"/>
          </w:tcPr>
          <w:p w14:paraId="656B1A12" w14:textId="77777777" w:rsidR="002A2DFB" w:rsidRPr="00CB51FF" w:rsidRDefault="002A2DFB" w:rsidP="002A2DFB">
            <w:pPr>
              <w:spacing w:after="0"/>
              <w:rPr>
                <w:rFonts w:cs="Segoe UI Light"/>
                <w:sz w:val="18"/>
              </w:rPr>
            </w:pPr>
            <w:r w:rsidRPr="00CB51FF">
              <w:rPr>
                <w:rFonts w:cs="Segoe UI Light"/>
                <w:sz w:val="18"/>
              </w:rPr>
              <w:t>On-site wastewater management system</w:t>
            </w:r>
          </w:p>
        </w:tc>
        <w:tc>
          <w:tcPr>
            <w:tcW w:w="275" w:type="pct"/>
          </w:tcPr>
          <w:p w14:paraId="656B1A13" w14:textId="77777777" w:rsidR="002A2DFB" w:rsidRPr="00CB51FF" w:rsidRDefault="002A2DFB" w:rsidP="002A2DFB">
            <w:pPr>
              <w:spacing w:after="0"/>
              <w:rPr>
                <w:rFonts w:cs="Segoe UI Light"/>
                <w:sz w:val="18"/>
              </w:rPr>
            </w:pPr>
            <w:r w:rsidRPr="00CB51FF">
              <w:rPr>
                <w:rFonts w:cs="Segoe UI Light"/>
                <w:sz w:val="18"/>
              </w:rPr>
              <w:t xml:space="preserve">Unknown </w:t>
            </w:r>
          </w:p>
        </w:tc>
        <w:tc>
          <w:tcPr>
            <w:tcW w:w="389" w:type="pct"/>
          </w:tcPr>
          <w:p w14:paraId="656B1A14" w14:textId="57DAF09A" w:rsidR="002A2DFB" w:rsidRPr="00CB51FF" w:rsidRDefault="002A2DFB" w:rsidP="002A2DFB">
            <w:pPr>
              <w:spacing w:after="0"/>
              <w:rPr>
                <w:rFonts w:cs="Segoe UI Light"/>
                <w:sz w:val="18"/>
              </w:rPr>
            </w:pPr>
            <w:r w:rsidRPr="00CB51FF">
              <w:rPr>
                <w:rFonts w:cs="Segoe UI Light"/>
                <w:sz w:val="18"/>
              </w:rPr>
              <w:t>8.</w:t>
            </w:r>
            <w:r w:rsidR="004554F6">
              <w:rPr>
                <w:rFonts w:cs="Segoe UI Light"/>
                <w:sz w:val="18"/>
              </w:rPr>
              <w:t>17</w:t>
            </w:r>
          </w:p>
        </w:tc>
        <w:tc>
          <w:tcPr>
            <w:tcW w:w="348" w:type="pct"/>
          </w:tcPr>
          <w:p w14:paraId="656B1A15" w14:textId="3D8A28CD" w:rsidR="002A2DFB" w:rsidRPr="00CB51FF" w:rsidRDefault="002A2DFB" w:rsidP="002A2DFB">
            <w:pPr>
              <w:spacing w:after="0"/>
              <w:rPr>
                <w:rFonts w:cs="Segoe UI Light"/>
                <w:sz w:val="18"/>
              </w:rPr>
            </w:pPr>
            <w:r w:rsidRPr="00CB51FF">
              <w:rPr>
                <w:rFonts w:cs="Segoe UI Light"/>
                <w:sz w:val="18"/>
              </w:rPr>
              <w:t xml:space="preserve"> $748.69 </w:t>
            </w:r>
          </w:p>
        </w:tc>
        <w:tc>
          <w:tcPr>
            <w:tcW w:w="372" w:type="pct"/>
          </w:tcPr>
          <w:p w14:paraId="656B1A16"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853" w:type="pct"/>
          </w:tcPr>
          <w:p w14:paraId="656B1A17" w14:textId="77777777" w:rsidR="002A2DFB" w:rsidRPr="00CB51FF" w:rsidRDefault="002A2DFB" w:rsidP="002A2DFB">
            <w:pPr>
              <w:spacing w:after="0"/>
              <w:rPr>
                <w:rFonts w:cs="Segoe UI Light"/>
                <w:sz w:val="18"/>
              </w:rPr>
            </w:pPr>
            <w:r w:rsidRPr="00A07276">
              <w:rPr>
                <w:rFonts w:cs="Segoe UI Light"/>
                <w:sz w:val="18"/>
              </w:rPr>
              <w:t>25.9 fee units on application plus 6.34 fee units per hour for assessments exceeding 4.1 hours up to a maximum of 69.75 fee units.</w:t>
            </w:r>
          </w:p>
        </w:tc>
        <w:tc>
          <w:tcPr>
            <w:tcW w:w="410" w:type="pct"/>
          </w:tcPr>
          <w:p w14:paraId="656B1A18" w14:textId="1A21862B" w:rsidR="002A2DFB" w:rsidRPr="00CB51FF" w:rsidRDefault="002A2DFB" w:rsidP="002A2DFB">
            <w:pPr>
              <w:spacing w:after="0"/>
              <w:rPr>
                <w:rFonts w:cs="Segoe UI Light"/>
                <w:sz w:val="18"/>
              </w:rPr>
            </w:pPr>
            <w:r w:rsidRPr="00CB51FF">
              <w:rPr>
                <w:rFonts w:cs="Segoe UI Light"/>
                <w:sz w:val="18"/>
              </w:rPr>
              <w:t xml:space="preserve"> $748.69 </w:t>
            </w:r>
          </w:p>
        </w:tc>
        <w:tc>
          <w:tcPr>
            <w:tcW w:w="353" w:type="pct"/>
          </w:tcPr>
          <w:p w14:paraId="656B1A19"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303" w:type="pct"/>
          </w:tcPr>
          <w:p w14:paraId="656B1A1A"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1B" w14:textId="77777777" w:rsidR="002A2DFB" w:rsidRPr="00211776" w:rsidRDefault="002A2DFB" w:rsidP="002A2DFB">
            <w:pPr>
              <w:spacing w:after="0" w:line="240" w:lineRule="auto"/>
              <w:rPr>
                <w:rFonts w:cs="Segoe UI Light"/>
                <w:sz w:val="16"/>
                <w:szCs w:val="16"/>
              </w:rPr>
            </w:pPr>
            <w:r w:rsidRPr="00211776">
              <w:rPr>
                <w:rFonts w:cs="Segoe UI Light"/>
                <w:sz w:val="16"/>
                <w:szCs w:val="16"/>
              </w:rPr>
              <w:t>New fee</w:t>
            </w:r>
          </w:p>
        </w:tc>
      </w:tr>
      <w:tr w:rsidR="002A2DFB" w:rsidRPr="00A648FA" w14:paraId="656B1A29" w14:textId="77777777" w:rsidTr="00A86267">
        <w:trPr>
          <w:trHeight w:val="216"/>
        </w:trPr>
        <w:tc>
          <w:tcPr>
            <w:tcW w:w="511" w:type="pct"/>
          </w:tcPr>
          <w:p w14:paraId="656B1A1D"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A1E" w14:textId="77777777" w:rsidR="002A2DFB" w:rsidRPr="00A07276" w:rsidRDefault="002A2DFB" w:rsidP="002A2DFB">
            <w:pPr>
              <w:spacing w:after="0"/>
              <w:rPr>
                <w:rFonts w:cs="Segoe UI Light"/>
                <w:sz w:val="18"/>
              </w:rPr>
            </w:pPr>
            <w:r w:rsidRPr="00CB51FF">
              <w:rPr>
                <w:rFonts w:cs="Segoe UI Light"/>
                <w:sz w:val="18"/>
              </w:rPr>
              <w:t>Renewal</w:t>
            </w:r>
          </w:p>
        </w:tc>
        <w:tc>
          <w:tcPr>
            <w:tcW w:w="412" w:type="pct"/>
          </w:tcPr>
          <w:p w14:paraId="656B1A1F" w14:textId="77777777" w:rsidR="002A2DFB" w:rsidRPr="00CB51FF" w:rsidRDefault="002A2DFB" w:rsidP="002A2DFB">
            <w:pPr>
              <w:spacing w:after="0"/>
              <w:rPr>
                <w:rFonts w:cs="Segoe UI Light"/>
                <w:sz w:val="18"/>
              </w:rPr>
            </w:pPr>
            <w:r w:rsidRPr="00CB51FF">
              <w:rPr>
                <w:rFonts w:cs="Segoe UI Light"/>
                <w:sz w:val="18"/>
              </w:rPr>
              <w:t>Reportable priority waste transport</w:t>
            </w:r>
          </w:p>
        </w:tc>
        <w:tc>
          <w:tcPr>
            <w:tcW w:w="275" w:type="pct"/>
          </w:tcPr>
          <w:p w14:paraId="656B1A20" w14:textId="054D159F" w:rsidR="002A2DFB" w:rsidRPr="00CB51FF" w:rsidRDefault="002A2DFB" w:rsidP="002A2DFB">
            <w:pPr>
              <w:spacing w:after="0"/>
              <w:rPr>
                <w:rFonts w:cs="Segoe UI Light"/>
                <w:sz w:val="18"/>
              </w:rPr>
            </w:pPr>
            <w:r w:rsidRPr="00CB51FF">
              <w:rPr>
                <w:rFonts w:cs="Segoe UI Light"/>
                <w:sz w:val="18"/>
              </w:rPr>
              <w:t>10</w:t>
            </w:r>
            <w:r w:rsidR="004554F6">
              <w:rPr>
                <w:rFonts w:cs="Segoe UI Light"/>
                <w:sz w:val="18"/>
              </w:rPr>
              <w:t>7</w:t>
            </w:r>
          </w:p>
        </w:tc>
        <w:tc>
          <w:tcPr>
            <w:tcW w:w="389" w:type="pct"/>
          </w:tcPr>
          <w:p w14:paraId="656B1A21" w14:textId="794327C9" w:rsidR="002A2DFB" w:rsidRPr="00CB51FF" w:rsidRDefault="0002124F" w:rsidP="002A2DFB">
            <w:pPr>
              <w:spacing w:after="0"/>
              <w:rPr>
                <w:rFonts w:cs="Segoe UI Light"/>
                <w:sz w:val="18"/>
              </w:rPr>
            </w:pPr>
            <w:r>
              <w:rPr>
                <w:rFonts w:cs="Segoe UI Light"/>
                <w:sz w:val="18"/>
              </w:rPr>
              <w:t>0.5</w:t>
            </w:r>
          </w:p>
        </w:tc>
        <w:tc>
          <w:tcPr>
            <w:tcW w:w="348" w:type="pct"/>
          </w:tcPr>
          <w:p w14:paraId="656B1A22" w14:textId="1324E648" w:rsidR="002A2DFB" w:rsidRPr="00CB51FF" w:rsidRDefault="002A2DFB" w:rsidP="002A2DFB">
            <w:pPr>
              <w:spacing w:after="0"/>
              <w:rPr>
                <w:rFonts w:cs="Segoe UI Light"/>
                <w:sz w:val="18"/>
              </w:rPr>
            </w:pPr>
            <w:r w:rsidRPr="00CB51FF">
              <w:rPr>
                <w:rFonts w:cs="Segoe UI Light"/>
                <w:sz w:val="18"/>
              </w:rPr>
              <w:t xml:space="preserve"> $44.58 </w:t>
            </w:r>
          </w:p>
        </w:tc>
        <w:tc>
          <w:tcPr>
            <w:tcW w:w="372" w:type="pct"/>
          </w:tcPr>
          <w:p w14:paraId="656B1A23" w14:textId="205A3E9C" w:rsidR="002A2DFB" w:rsidRPr="00CB51FF" w:rsidRDefault="002A2DFB" w:rsidP="002A2DFB">
            <w:pPr>
              <w:spacing w:after="0"/>
              <w:rPr>
                <w:rFonts w:cs="Segoe UI Light"/>
                <w:sz w:val="18"/>
              </w:rPr>
            </w:pPr>
            <w:r w:rsidRPr="00CB51FF">
              <w:rPr>
                <w:rFonts w:cs="Segoe UI Light"/>
                <w:sz w:val="18"/>
              </w:rPr>
              <w:t xml:space="preserve"> $4,</w:t>
            </w:r>
            <w:r w:rsidR="0002124F" w:rsidRPr="00CB51FF">
              <w:rPr>
                <w:rFonts w:cs="Segoe UI Light"/>
                <w:sz w:val="18"/>
              </w:rPr>
              <w:t>7</w:t>
            </w:r>
            <w:r w:rsidR="00024905">
              <w:rPr>
                <w:rFonts w:cs="Segoe UI Light"/>
                <w:sz w:val="18"/>
              </w:rPr>
              <w:t>70</w:t>
            </w:r>
            <w:r w:rsidR="0002124F">
              <w:rPr>
                <w:rFonts w:cs="Segoe UI Light"/>
                <w:sz w:val="18"/>
              </w:rPr>
              <w:t>.</w:t>
            </w:r>
            <w:r w:rsidR="00024905">
              <w:rPr>
                <w:rFonts w:cs="Segoe UI Light"/>
                <w:sz w:val="18"/>
              </w:rPr>
              <w:t>06</w:t>
            </w:r>
            <w:r w:rsidR="0002124F" w:rsidRPr="00CB51FF">
              <w:rPr>
                <w:rFonts w:cs="Segoe UI Light"/>
                <w:sz w:val="18"/>
              </w:rPr>
              <w:t xml:space="preserve"> </w:t>
            </w:r>
          </w:p>
        </w:tc>
        <w:tc>
          <w:tcPr>
            <w:tcW w:w="853" w:type="pct"/>
          </w:tcPr>
          <w:p w14:paraId="656B1A24" w14:textId="77777777" w:rsidR="002A2DFB" w:rsidRPr="00CB51FF" w:rsidRDefault="002A2DFB" w:rsidP="002A2DFB">
            <w:pPr>
              <w:spacing w:after="0"/>
              <w:rPr>
                <w:rFonts w:cs="Segoe UI Light"/>
                <w:sz w:val="18"/>
              </w:rPr>
            </w:pPr>
            <w:r w:rsidRPr="00A07276">
              <w:rPr>
                <w:rFonts w:cs="Segoe UI Light"/>
                <w:sz w:val="18"/>
              </w:rPr>
              <w:t>Flat fee - 3.09 fee units</w:t>
            </w:r>
          </w:p>
        </w:tc>
        <w:tc>
          <w:tcPr>
            <w:tcW w:w="410" w:type="pct"/>
          </w:tcPr>
          <w:p w14:paraId="656B1A25" w14:textId="437A257C" w:rsidR="002A2DFB" w:rsidRPr="00CB51FF" w:rsidRDefault="002A2DFB" w:rsidP="002A2DFB">
            <w:pPr>
              <w:spacing w:after="0"/>
              <w:rPr>
                <w:rFonts w:cs="Segoe UI Light"/>
                <w:sz w:val="18"/>
              </w:rPr>
            </w:pPr>
            <w:r w:rsidRPr="00CB51FF">
              <w:rPr>
                <w:rFonts w:cs="Segoe UI Light"/>
                <w:sz w:val="18"/>
              </w:rPr>
              <w:t xml:space="preserve"> $44.58 </w:t>
            </w:r>
          </w:p>
        </w:tc>
        <w:tc>
          <w:tcPr>
            <w:tcW w:w="353" w:type="pct"/>
          </w:tcPr>
          <w:p w14:paraId="656B1A26" w14:textId="4120B26D" w:rsidR="002A2DFB" w:rsidRPr="00CB51FF" w:rsidRDefault="002A2DFB" w:rsidP="002A2DFB">
            <w:pPr>
              <w:spacing w:after="0"/>
              <w:rPr>
                <w:rFonts w:cs="Segoe UI Light"/>
                <w:sz w:val="18"/>
              </w:rPr>
            </w:pPr>
            <w:r w:rsidRPr="00CB51FF">
              <w:rPr>
                <w:rFonts w:cs="Segoe UI Light"/>
                <w:sz w:val="18"/>
              </w:rPr>
              <w:t xml:space="preserve"> $4,</w:t>
            </w:r>
            <w:r w:rsidR="0002124F" w:rsidRPr="00CB51FF">
              <w:rPr>
                <w:rFonts w:cs="Segoe UI Light"/>
                <w:sz w:val="18"/>
              </w:rPr>
              <w:t>7</w:t>
            </w:r>
            <w:r w:rsidR="00024905">
              <w:rPr>
                <w:rFonts w:cs="Segoe UI Light"/>
                <w:sz w:val="18"/>
              </w:rPr>
              <w:t>70</w:t>
            </w:r>
            <w:r w:rsidR="0002124F">
              <w:rPr>
                <w:rFonts w:cs="Segoe UI Light"/>
                <w:sz w:val="18"/>
              </w:rPr>
              <w:t>.</w:t>
            </w:r>
            <w:r w:rsidR="00024905">
              <w:rPr>
                <w:rFonts w:cs="Segoe UI Light"/>
                <w:sz w:val="18"/>
              </w:rPr>
              <w:t>06</w:t>
            </w:r>
            <w:r w:rsidR="0002124F" w:rsidRPr="00CB51FF">
              <w:rPr>
                <w:rFonts w:cs="Segoe UI Light"/>
                <w:sz w:val="18"/>
              </w:rPr>
              <w:t xml:space="preserve"> </w:t>
            </w:r>
          </w:p>
        </w:tc>
        <w:tc>
          <w:tcPr>
            <w:tcW w:w="303" w:type="pct"/>
          </w:tcPr>
          <w:p w14:paraId="656B1A27"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28" w14:textId="23319A52" w:rsidR="002A2DFB" w:rsidRPr="009F2A21" w:rsidRDefault="002A2DFB" w:rsidP="002A2DFB">
            <w:pPr>
              <w:spacing w:after="0" w:line="240" w:lineRule="auto"/>
              <w:rPr>
                <w:rFonts w:cs="Segoe UI Light"/>
                <w:sz w:val="16"/>
                <w:szCs w:val="16"/>
              </w:rPr>
            </w:pPr>
            <w:r w:rsidRPr="009F2A21">
              <w:rPr>
                <w:rFonts w:cs="Segoe UI Light"/>
                <w:sz w:val="16"/>
                <w:szCs w:val="16"/>
              </w:rPr>
              <w:t xml:space="preserve">New fee design </w:t>
            </w:r>
          </w:p>
        </w:tc>
      </w:tr>
      <w:tr w:rsidR="002A2DFB" w:rsidRPr="00A648FA" w14:paraId="656B1A36" w14:textId="77777777" w:rsidTr="00A86267">
        <w:trPr>
          <w:trHeight w:val="216"/>
        </w:trPr>
        <w:tc>
          <w:tcPr>
            <w:tcW w:w="511" w:type="pct"/>
          </w:tcPr>
          <w:p w14:paraId="656B1A2A"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A2B" w14:textId="77777777" w:rsidR="002A2DFB" w:rsidRPr="00A07276" w:rsidRDefault="002A2DFB" w:rsidP="002A2DFB">
            <w:pPr>
              <w:spacing w:after="0"/>
              <w:rPr>
                <w:rFonts w:cs="Segoe UI Light"/>
                <w:sz w:val="18"/>
              </w:rPr>
            </w:pPr>
            <w:r w:rsidRPr="00CB51FF">
              <w:rPr>
                <w:rFonts w:cs="Segoe UI Light"/>
                <w:sz w:val="18"/>
              </w:rPr>
              <w:t>Renewal</w:t>
            </w:r>
          </w:p>
        </w:tc>
        <w:tc>
          <w:tcPr>
            <w:tcW w:w="412" w:type="pct"/>
          </w:tcPr>
          <w:p w14:paraId="656B1A2C" w14:textId="77777777" w:rsidR="002A2DFB" w:rsidRPr="00CB51FF" w:rsidRDefault="002A2DFB" w:rsidP="002A2DFB">
            <w:pPr>
              <w:spacing w:after="0"/>
              <w:rPr>
                <w:rFonts w:cs="Segoe UI Light"/>
                <w:sz w:val="18"/>
              </w:rPr>
            </w:pPr>
            <w:r w:rsidRPr="00CB51FF">
              <w:rPr>
                <w:rFonts w:cs="Segoe UI Light"/>
                <w:sz w:val="18"/>
              </w:rPr>
              <w:t>Other - complex (application to Authority)</w:t>
            </w:r>
          </w:p>
        </w:tc>
        <w:tc>
          <w:tcPr>
            <w:tcW w:w="275" w:type="pct"/>
          </w:tcPr>
          <w:p w14:paraId="656B1A2D" w14:textId="1E69CB94" w:rsidR="002A2DFB" w:rsidRPr="00CB51FF" w:rsidRDefault="0002124F" w:rsidP="002A2DFB">
            <w:pPr>
              <w:spacing w:after="0"/>
              <w:rPr>
                <w:rFonts w:cs="Segoe UI Light"/>
                <w:sz w:val="18"/>
              </w:rPr>
            </w:pPr>
            <w:r>
              <w:rPr>
                <w:rFonts w:cs="Segoe UI Light"/>
                <w:sz w:val="18"/>
              </w:rPr>
              <w:t>Unknown</w:t>
            </w:r>
          </w:p>
        </w:tc>
        <w:tc>
          <w:tcPr>
            <w:tcW w:w="389" w:type="pct"/>
          </w:tcPr>
          <w:p w14:paraId="656B1A2E" w14:textId="5BB3A749" w:rsidR="002A2DFB" w:rsidRPr="00CB51FF" w:rsidRDefault="002A2DFB" w:rsidP="002A2DFB">
            <w:pPr>
              <w:spacing w:after="0"/>
              <w:rPr>
                <w:rFonts w:cs="Segoe UI Light"/>
                <w:sz w:val="18"/>
              </w:rPr>
            </w:pPr>
            <w:r w:rsidRPr="00CB51FF">
              <w:rPr>
                <w:rFonts w:cs="Segoe UI Light"/>
                <w:sz w:val="18"/>
              </w:rPr>
              <w:t>3.</w:t>
            </w:r>
            <w:r w:rsidR="0002124F">
              <w:rPr>
                <w:rFonts w:cs="Segoe UI Light"/>
                <w:sz w:val="18"/>
              </w:rPr>
              <w:t>86</w:t>
            </w:r>
          </w:p>
        </w:tc>
        <w:tc>
          <w:tcPr>
            <w:tcW w:w="348" w:type="pct"/>
          </w:tcPr>
          <w:p w14:paraId="656B1A2F" w14:textId="1E36657B" w:rsidR="002A2DFB" w:rsidRPr="00CB51FF" w:rsidRDefault="002A2DFB" w:rsidP="002A2DFB">
            <w:pPr>
              <w:spacing w:after="0"/>
              <w:rPr>
                <w:rFonts w:cs="Segoe UI Light"/>
                <w:sz w:val="18"/>
              </w:rPr>
            </w:pPr>
            <w:r w:rsidRPr="00CB51FF">
              <w:rPr>
                <w:rFonts w:cs="Segoe UI Light"/>
                <w:sz w:val="18"/>
              </w:rPr>
              <w:t xml:space="preserve"> $412.67 </w:t>
            </w:r>
          </w:p>
        </w:tc>
        <w:tc>
          <w:tcPr>
            <w:tcW w:w="372" w:type="pct"/>
          </w:tcPr>
          <w:p w14:paraId="656B1A30" w14:textId="1625700B" w:rsidR="002A2DFB" w:rsidRPr="00CB51FF" w:rsidRDefault="002A2DFB" w:rsidP="002A2DFB">
            <w:pPr>
              <w:spacing w:after="0"/>
              <w:rPr>
                <w:rFonts w:cs="Segoe UI Light"/>
                <w:sz w:val="18"/>
              </w:rPr>
            </w:pPr>
            <w:r w:rsidRPr="00CB51FF">
              <w:rPr>
                <w:rFonts w:cs="Segoe UI Light"/>
                <w:sz w:val="18"/>
              </w:rPr>
              <w:t xml:space="preserve"> </w:t>
            </w:r>
            <w:r w:rsidR="0002124F">
              <w:rPr>
                <w:rFonts w:cs="Segoe UI Light"/>
                <w:sz w:val="18"/>
              </w:rPr>
              <w:t>Unknown</w:t>
            </w:r>
            <w:r w:rsidRPr="00CB51FF">
              <w:rPr>
                <w:rFonts w:cs="Segoe UI Light"/>
                <w:sz w:val="18"/>
              </w:rPr>
              <w:t xml:space="preserve"> </w:t>
            </w:r>
          </w:p>
        </w:tc>
        <w:tc>
          <w:tcPr>
            <w:tcW w:w="853" w:type="pct"/>
          </w:tcPr>
          <w:p w14:paraId="656B1A31" w14:textId="77777777" w:rsidR="002A2DFB" w:rsidRPr="00CB51FF" w:rsidRDefault="002A2DFB" w:rsidP="002A2DFB">
            <w:pPr>
              <w:spacing w:after="0"/>
              <w:rPr>
                <w:rFonts w:cs="Segoe UI Light"/>
                <w:sz w:val="18"/>
              </w:rPr>
            </w:pPr>
            <w:r w:rsidRPr="00A07276">
              <w:rPr>
                <w:rFonts w:cs="Segoe UI Light"/>
                <w:sz w:val="18"/>
              </w:rPr>
              <w:t>Flat fee - 28.56 fee units</w:t>
            </w:r>
          </w:p>
        </w:tc>
        <w:tc>
          <w:tcPr>
            <w:tcW w:w="410" w:type="pct"/>
          </w:tcPr>
          <w:p w14:paraId="656B1A32" w14:textId="5055C1D5" w:rsidR="002A2DFB" w:rsidRPr="00CB51FF" w:rsidRDefault="002A2DFB" w:rsidP="002A2DFB">
            <w:pPr>
              <w:spacing w:after="0"/>
              <w:rPr>
                <w:rFonts w:cs="Segoe UI Light"/>
                <w:sz w:val="18"/>
              </w:rPr>
            </w:pPr>
            <w:r w:rsidRPr="00CB51FF">
              <w:rPr>
                <w:rFonts w:cs="Segoe UI Light"/>
                <w:sz w:val="18"/>
              </w:rPr>
              <w:t xml:space="preserve"> $412.67 </w:t>
            </w:r>
          </w:p>
        </w:tc>
        <w:tc>
          <w:tcPr>
            <w:tcW w:w="353" w:type="pct"/>
          </w:tcPr>
          <w:p w14:paraId="656B1A33" w14:textId="35480547" w:rsidR="002A2DFB" w:rsidRPr="00CB51FF" w:rsidRDefault="002A2DFB" w:rsidP="002A2DFB">
            <w:pPr>
              <w:spacing w:after="0"/>
              <w:rPr>
                <w:rFonts w:cs="Segoe UI Light"/>
                <w:sz w:val="18"/>
              </w:rPr>
            </w:pPr>
            <w:r w:rsidRPr="00CB51FF">
              <w:rPr>
                <w:rFonts w:cs="Segoe UI Light"/>
                <w:sz w:val="18"/>
              </w:rPr>
              <w:t xml:space="preserve"> </w:t>
            </w:r>
            <w:r w:rsidR="0002124F">
              <w:rPr>
                <w:rFonts w:cs="Segoe UI Light"/>
                <w:sz w:val="18"/>
              </w:rPr>
              <w:t>Unknown</w:t>
            </w:r>
            <w:r w:rsidRPr="00CB51FF">
              <w:rPr>
                <w:rFonts w:cs="Segoe UI Light"/>
                <w:sz w:val="18"/>
              </w:rPr>
              <w:t xml:space="preserve"> </w:t>
            </w:r>
          </w:p>
        </w:tc>
        <w:tc>
          <w:tcPr>
            <w:tcW w:w="303" w:type="pct"/>
          </w:tcPr>
          <w:p w14:paraId="656B1A34"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35" w14:textId="77777777" w:rsidR="002A2DFB" w:rsidRPr="009F2A21" w:rsidRDefault="002A2DFB" w:rsidP="002A2DFB">
            <w:pPr>
              <w:spacing w:after="0" w:line="240" w:lineRule="auto"/>
              <w:rPr>
                <w:rFonts w:cs="Segoe UI Light"/>
                <w:sz w:val="16"/>
                <w:szCs w:val="16"/>
              </w:rPr>
            </w:pPr>
            <w:r w:rsidRPr="009F2A21">
              <w:rPr>
                <w:rFonts w:cs="Segoe UI Light"/>
                <w:sz w:val="16"/>
                <w:szCs w:val="16"/>
              </w:rPr>
              <w:t>New fee</w:t>
            </w:r>
          </w:p>
        </w:tc>
      </w:tr>
      <w:tr w:rsidR="002A2DFB" w:rsidRPr="00A648FA" w14:paraId="656B1A43" w14:textId="77777777" w:rsidTr="00A86267">
        <w:trPr>
          <w:trHeight w:val="1536"/>
        </w:trPr>
        <w:tc>
          <w:tcPr>
            <w:tcW w:w="511" w:type="pct"/>
          </w:tcPr>
          <w:p w14:paraId="656B1A37" w14:textId="77777777" w:rsidR="002A2DFB" w:rsidRPr="00A07276" w:rsidRDefault="002A2DFB" w:rsidP="002A2DFB">
            <w:pPr>
              <w:spacing w:after="0"/>
              <w:rPr>
                <w:rFonts w:cs="Segoe UI Light"/>
                <w:sz w:val="18"/>
              </w:rPr>
            </w:pPr>
            <w:r w:rsidRPr="00CB51FF">
              <w:rPr>
                <w:rFonts w:cs="Segoe UI Light"/>
                <w:sz w:val="18"/>
              </w:rPr>
              <w:t>Permit</w:t>
            </w:r>
          </w:p>
        </w:tc>
        <w:tc>
          <w:tcPr>
            <w:tcW w:w="420" w:type="pct"/>
          </w:tcPr>
          <w:p w14:paraId="656B1A38" w14:textId="29422801" w:rsidR="002A2DFB" w:rsidRPr="00A07276" w:rsidRDefault="002A2DFB" w:rsidP="002A2DFB">
            <w:pPr>
              <w:spacing w:after="0"/>
              <w:rPr>
                <w:rFonts w:cs="Segoe UI Light"/>
                <w:sz w:val="18"/>
              </w:rPr>
            </w:pPr>
            <w:r w:rsidRPr="00CB51FF">
              <w:rPr>
                <w:rFonts w:cs="Segoe UI Light"/>
                <w:sz w:val="18"/>
              </w:rPr>
              <w:t>Exemption (</w:t>
            </w:r>
            <w:r w:rsidR="0002124F" w:rsidRPr="0002124F">
              <w:rPr>
                <w:rFonts w:cs="Segoe UI Light"/>
                <w:sz w:val="18"/>
              </w:rPr>
              <w:t>due to holding a valid authorisation to transport reportable priority waste in another jurisdiction</w:t>
            </w:r>
            <w:r w:rsidRPr="00CB51FF">
              <w:rPr>
                <w:rFonts w:cs="Segoe UI Light"/>
                <w:sz w:val="18"/>
              </w:rPr>
              <w:t>)</w:t>
            </w:r>
          </w:p>
        </w:tc>
        <w:tc>
          <w:tcPr>
            <w:tcW w:w="412" w:type="pct"/>
          </w:tcPr>
          <w:p w14:paraId="656B1A39" w14:textId="77777777" w:rsidR="002A2DFB" w:rsidRPr="00CB51FF" w:rsidRDefault="002A2DFB" w:rsidP="002A2DFB">
            <w:pPr>
              <w:spacing w:after="0"/>
              <w:rPr>
                <w:rFonts w:cs="Segoe UI Light"/>
                <w:sz w:val="18"/>
              </w:rPr>
            </w:pPr>
            <w:r w:rsidRPr="00CB51FF">
              <w:rPr>
                <w:rFonts w:cs="Segoe UI Light"/>
                <w:sz w:val="18"/>
              </w:rPr>
              <w:t>-</w:t>
            </w:r>
          </w:p>
        </w:tc>
        <w:tc>
          <w:tcPr>
            <w:tcW w:w="275" w:type="pct"/>
          </w:tcPr>
          <w:p w14:paraId="656B1A3A" w14:textId="77777777" w:rsidR="002A2DFB" w:rsidRPr="00CB51FF" w:rsidRDefault="002A2DFB" w:rsidP="002A2DFB">
            <w:pPr>
              <w:spacing w:after="0"/>
              <w:rPr>
                <w:rFonts w:cs="Segoe UI Light"/>
                <w:sz w:val="18"/>
              </w:rPr>
            </w:pPr>
            <w:r w:rsidRPr="00CB51FF">
              <w:rPr>
                <w:rFonts w:cs="Segoe UI Light"/>
                <w:sz w:val="18"/>
              </w:rPr>
              <w:t>1</w:t>
            </w:r>
          </w:p>
        </w:tc>
        <w:tc>
          <w:tcPr>
            <w:tcW w:w="389" w:type="pct"/>
          </w:tcPr>
          <w:p w14:paraId="656B1A3B" w14:textId="6AE0F343" w:rsidR="002A2DFB" w:rsidRPr="00CB51FF" w:rsidRDefault="0002124F" w:rsidP="003C16E0">
            <w:pPr>
              <w:spacing w:after="0"/>
              <w:rPr>
                <w:rFonts w:cs="Segoe UI Light"/>
                <w:sz w:val="18"/>
              </w:rPr>
            </w:pPr>
            <w:r w:rsidRPr="00CB51FF">
              <w:rPr>
                <w:rFonts w:cs="Segoe UI Light"/>
                <w:sz w:val="18"/>
              </w:rPr>
              <w:t>1.</w:t>
            </w:r>
            <w:r>
              <w:rPr>
                <w:rFonts w:cs="Segoe UI Light"/>
                <w:sz w:val="18"/>
              </w:rPr>
              <w:t>9</w:t>
            </w:r>
            <w:r w:rsidR="003C16E0">
              <w:rPr>
                <w:rFonts w:cs="Segoe UI Light"/>
                <w:sz w:val="18"/>
              </w:rPr>
              <w:t>2</w:t>
            </w:r>
            <w:r w:rsidRPr="00CB51FF">
              <w:rPr>
                <w:rFonts w:cs="Segoe UI Light"/>
                <w:sz w:val="18"/>
              </w:rPr>
              <w:t>-2.5</w:t>
            </w:r>
          </w:p>
        </w:tc>
        <w:tc>
          <w:tcPr>
            <w:tcW w:w="348" w:type="pct"/>
          </w:tcPr>
          <w:p w14:paraId="656B1A3C" w14:textId="25DD3775" w:rsidR="002A2DFB" w:rsidRPr="00CB51FF" w:rsidRDefault="002A2DFB" w:rsidP="002A2DFB">
            <w:pPr>
              <w:spacing w:after="0"/>
              <w:rPr>
                <w:rFonts w:cs="Segoe UI Light"/>
                <w:sz w:val="18"/>
              </w:rPr>
            </w:pPr>
            <w:r w:rsidRPr="00CB51FF">
              <w:rPr>
                <w:rFonts w:cs="Segoe UI Light"/>
                <w:sz w:val="18"/>
              </w:rPr>
              <w:t xml:space="preserve"> $20</w:t>
            </w:r>
            <w:r w:rsidR="0002124F">
              <w:rPr>
                <w:rFonts w:cs="Segoe UI Light"/>
                <w:sz w:val="18"/>
              </w:rPr>
              <w:t>1</w:t>
            </w:r>
            <w:r w:rsidRPr="00CB51FF">
              <w:rPr>
                <w:rFonts w:cs="Segoe UI Light"/>
                <w:sz w:val="18"/>
              </w:rPr>
              <w:t>.</w:t>
            </w:r>
            <w:r w:rsidR="0002124F">
              <w:rPr>
                <w:rFonts w:cs="Segoe UI Light"/>
                <w:sz w:val="18"/>
              </w:rPr>
              <w:t>00</w:t>
            </w:r>
            <w:r w:rsidRPr="00CB51FF">
              <w:rPr>
                <w:rFonts w:cs="Segoe UI Light"/>
                <w:sz w:val="18"/>
              </w:rPr>
              <w:t xml:space="preserve"> </w:t>
            </w:r>
          </w:p>
        </w:tc>
        <w:tc>
          <w:tcPr>
            <w:tcW w:w="372" w:type="pct"/>
          </w:tcPr>
          <w:p w14:paraId="656B1A3D" w14:textId="77777777" w:rsidR="002A2DFB" w:rsidRPr="00CB51FF" w:rsidRDefault="002A2DFB" w:rsidP="002A2DFB">
            <w:pPr>
              <w:spacing w:after="0"/>
              <w:rPr>
                <w:rFonts w:cs="Segoe UI Light"/>
                <w:sz w:val="18"/>
              </w:rPr>
            </w:pPr>
            <w:r w:rsidRPr="00CB51FF">
              <w:rPr>
                <w:rFonts w:cs="Segoe UI Light"/>
                <w:sz w:val="18"/>
              </w:rPr>
              <w:t xml:space="preserve"> $201</w:t>
            </w:r>
            <w:r>
              <w:rPr>
                <w:rFonts w:cs="Segoe UI Light"/>
                <w:sz w:val="18"/>
              </w:rPr>
              <w:t>.00</w:t>
            </w:r>
            <w:r w:rsidRPr="00CB51FF">
              <w:rPr>
                <w:rFonts w:cs="Segoe UI Light"/>
                <w:sz w:val="18"/>
              </w:rPr>
              <w:t xml:space="preserve"> </w:t>
            </w:r>
          </w:p>
        </w:tc>
        <w:tc>
          <w:tcPr>
            <w:tcW w:w="853" w:type="pct"/>
          </w:tcPr>
          <w:p w14:paraId="656B1A3E" w14:textId="77777777" w:rsidR="002A2DFB" w:rsidRPr="00CB51FF" w:rsidRDefault="002A2DFB" w:rsidP="002A2DFB">
            <w:pPr>
              <w:spacing w:after="0"/>
              <w:rPr>
                <w:rFonts w:cs="Segoe UI Light"/>
                <w:sz w:val="18"/>
              </w:rPr>
            </w:pPr>
            <w:r w:rsidRPr="00A07276">
              <w:rPr>
                <w:rFonts w:cs="Segoe UI Light"/>
                <w:sz w:val="18"/>
              </w:rPr>
              <w:t>Flat fee - 13.91 fee units</w:t>
            </w:r>
          </w:p>
        </w:tc>
        <w:tc>
          <w:tcPr>
            <w:tcW w:w="410" w:type="pct"/>
          </w:tcPr>
          <w:p w14:paraId="656B1A3F" w14:textId="6FBEB5E1" w:rsidR="002A2DFB" w:rsidRPr="00CB51FF" w:rsidRDefault="002A2DFB" w:rsidP="002A2DFB">
            <w:pPr>
              <w:spacing w:after="0"/>
              <w:rPr>
                <w:rFonts w:cs="Segoe UI Light"/>
                <w:sz w:val="18"/>
              </w:rPr>
            </w:pPr>
            <w:r w:rsidRPr="00CB51FF">
              <w:rPr>
                <w:rFonts w:cs="Segoe UI Light"/>
                <w:sz w:val="18"/>
              </w:rPr>
              <w:t xml:space="preserve"> $20</w:t>
            </w:r>
            <w:r>
              <w:rPr>
                <w:rFonts w:cs="Segoe UI Light"/>
                <w:sz w:val="18"/>
              </w:rPr>
              <w:t>1</w:t>
            </w:r>
            <w:r w:rsidRPr="00CB51FF">
              <w:rPr>
                <w:rFonts w:cs="Segoe UI Light"/>
                <w:sz w:val="18"/>
              </w:rPr>
              <w:t>.</w:t>
            </w:r>
            <w:r>
              <w:rPr>
                <w:rFonts w:cs="Segoe UI Light"/>
                <w:sz w:val="18"/>
              </w:rPr>
              <w:t>00</w:t>
            </w:r>
            <w:r w:rsidRPr="00CB51FF">
              <w:rPr>
                <w:rFonts w:cs="Segoe UI Light"/>
                <w:sz w:val="18"/>
              </w:rPr>
              <w:t xml:space="preserve"> </w:t>
            </w:r>
          </w:p>
        </w:tc>
        <w:tc>
          <w:tcPr>
            <w:tcW w:w="353" w:type="pct"/>
          </w:tcPr>
          <w:p w14:paraId="656B1A40" w14:textId="68A2C1CA" w:rsidR="002A2DFB" w:rsidRPr="00CB51FF" w:rsidRDefault="002A2DFB" w:rsidP="002A2DFB">
            <w:pPr>
              <w:spacing w:after="0"/>
              <w:rPr>
                <w:rFonts w:cs="Segoe UI Light"/>
                <w:sz w:val="18"/>
              </w:rPr>
            </w:pPr>
            <w:r w:rsidRPr="00CB51FF">
              <w:rPr>
                <w:rFonts w:cs="Segoe UI Light"/>
                <w:sz w:val="18"/>
              </w:rPr>
              <w:t xml:space="preserve"> $201</w:t>
            </w:r>
            <w:r w:rsidR="0002124F">
              <w:rPr>
                <w:rFonts w:cs="Segoe UI Light"/>
                <w:sz w:val="18"/>
              </w:rPr>
              <w:t>.00</w:t>
            </w:r>
            <w:r w:rsidRPr="00CB51FF">
              <w:rPr>
                <w:rFonts w:cs="Segoe UI Light"/>
                <w:sz w:val="18"/>
              </w:rPr>
              <w:t xml:space="preserve"> </w:t>
            </w:r>
          </w:p>
        </w:tc>
        <w:tc>
          <w:tcPr>
            <w:tcW w:w="303" w:type="pct"/>
          </w:tcPr>
          <w:p w14:paraId="656B1A41"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42" w14:textId="77777777" w:rsidR="002A2DFB" w:rsidRPr="009F2A21" w:rsidRDefault="002A2DFB" w:rsidP="002A2DFB">
            <w:pPr>
              <w:spacing w:after="0" w:line="240" w:lineRule="auto"/>
              <w:rPr>
                <w:rFonts w:cs="Segoe UI Light"/>
                <w:sz w:val="16"/>
                <w:szCs w:val="16"/>
              </w:rPr>
            </w:pPr>
            <w:r w:rsidRPr="009F2A21">
              <w:rPr>
                <w:rFonts w:cs="Segoe UI Light"/>
                <w:sz w:val="16"/>
                <w:szCs w:val="16"/>
              </w:rPr>
              <w:t>New fee</w:t>
            </w:r>
          </w:p>
        </w:tc>
      </w:tr>
      <w:tr w:rsidR="002A2DFB" w:rsidRPr="00A648FA" w14:paraId="656B1A50" w14:textId="77777777" w:rsidTr="00A86267">
        <w:trPr>
          <w:trHeight w:val="216"/>
        </w:trPr>
        <w:tc>
          <w:tcPr>
            <w:tcW w:w="511" w:type="pct"/>
          </w:tcPr>
          <w:p w14:paraId="656B1A44" w14:textId="77777777" w:rsidR="002A2DFB" w:rsidRPr="00A07276" w:rsidRDefault="002A2DFB" w:rsidP="002A2DFB">
            <w:pPr>
              <w:spacing w:after="0"/>
              <w:rPr>
                <w:rFonts w:cs="Segoe UI Light"/>
                <w:sz w:val="18"/>
              </w:rPr>
            </w:pPr>
            <w:r w:rsidRPr="00CB51FF">
              <w:rPr>
                <w:rFonts w:cs="Segoe UI Light"/>
                <w:sz w:val="18"/>
              </w:rPr>
              <w:t>Registration</w:t>
            </w:r>
          </w:p>
        </w:tc>
        <w:tc>
          <w:tcPr>
            <w:tcW w:w="420" w:type="pct"/>
          </w:tcPr>
          <w:p w14:paraId="656B1A45" w14:textId="77777777" w:rsidR="002A2DFB" w:rsidRPr="00A07276" w:rsidRDefault="002A2DFB" w:rsidP="002A2DFB">
            <w:pPr>
              <w:spacing w:after="0"/>
              <w:rPr>
                <w:rFonts w:cs="Segoe UI Light"/>
                <w:sz w:val="18"/>
              </w:rPr>
            </w:pPr>
            <w:r w:rsidRPr="00CB51FF">
              <w:rPr>
                <w:rFonts w:cs="Segoe UI Light"/>
                <w:sz w:val="18"/>
              </w:rPr>
              <w:t>Application</w:t>
            </w:r>
          </w:p>
        </w:tc>
        <w:tc>
          <w:tcPr>
            <w:tcW w:w="412" w:type="pct"/>
          </w:tcPr>
          <w:p w14:paraId="656B1A46" w14:textId="77777777" w:rsidR="002A2DFB" w:rsidRPr="00CB51FF" w:rsidRDefault="002A2DFB" w:rsidP="002A2DFB">
            <w:pPr>
              <w:spacing w:after="0"/>
              <w:rPr>
                <w:rFonts w:cs="Segoe UI Light"/>
                <w:sz w:val="18"/>
              </w:rPr>
            </w:pPr>
            <w:r w:rsidRPr="00CB51FF">
              <w:rPr>
                <w:rFonts w:cs="Segoe UI Light"/>
                <w:sz w:val="18"/>
              </w:rPr>
              <w:t>Reportable priority waste transport</w:t>
            </w:r>
          </w:p>
        </w:tc>
        <w:tc>
          <w:tcPr>
            <w:tcW w:w="275" w:type="pct"/>
          </w:tcPr>
          <w:p w14:paraId="656B1A47" w14:textId="77777777" w:rsidR="002A2DFB" w:rsidRPr="00CB51FF" w:rsidRDefault="002A2DFB" w:rsidP="002A2DFB">
            <w:pPr>
              <w:spacing w:after="0"/>
              <w:rPr>
                <w:rFonts w:cs="Segoe UI Light"/>
                <w:sz w:val="18"/>
              </w:rPr>
            </w:pPr>
            <w:r w:rsidRPr="00CB51FF">
              <w:rPr>
                <w:rFonts w:cs="Segoe UI Light"/>
                <w:sz w:val="18"/>
              </w:rPr>
              <w:t>779</w:t>
            </w:r>
          </w:p>
        </w:tc>
        <w:tc>
          <w:tcPr>
            <w:tcW w:w="389" w:type="pct"/>
          </w:tcPr>
          <w:p w14:paraId="656B1A48" w14:textId="77777777" w:rsidR="002A2DFB" w:rsidRPr="00CB51FF" w:rsidRDefault="002A2DFB" w:rsidP="002A2DFB">
            <w:pPr>
              <w:spacing w:after="0"/>
              <w:rPr>
                <w:rFonts w:cs="Segoe UI Light"/>
                <w:sz w:val="18"/>
              </w:rPr>
            </w:pPr>
            <w:r w:rsidRPr="00CB51FF">
              <w:rPr>
                <w:rFonts w:cs="Segoe UI Light"/>
                <w:sz w:val="18"/>
              </w:rPr>
              <w:t>2.2</w:t>
            </w:r>
          </w:p>
        </w:tc>
        <w:tc>
          <w:tcPr>
            <w:tcW w:w="348" w:type="pct"/>
          </w:tcPr>
          <w:p w14:paraId="656B1A49" w14:textId="77777777" w:rsidR="002A2DFB" w:rsidRPr="00CB51FF" w:rsidRDefault="002A2DFB" w:rsidP="002A2DFB">
            <w:pPr>
              <w:spacing w:after="0"/>
              <w:rPr>
                <w:rFonts w:cs="Segoe UI Light"/>
                <w:sz w:val="18"/>
              </w:rPr>
            </w:pPr>
            <w:r w:rsidRPr="00CB51FF">
              <w:rPr>
                <w:rFonts w:cs="Segoe UI Light"/>
                <w:sz w:val="18"/>
              </w:rPr>
              <w:t xml:space="preserve"> $207.80 </w:t>
            </w:r>
          </w:p>
        </w:tc>
        <w:tc>
          <w:tcPr>
            <w:tcW w:w="372" w:type="pct"/>
          </w:tcPr>
          <w:p w14:paraId="656B1A4A" w14:textId="32E96EFF" w:rsidR="002A2DFB" w:rsidRPr="00CB51FF" w:rsidRDefault="002A2DFB" w:rsidP="002A2DFB">
            <w:pPr>
              <w:spacing w:after="0"/>
              <w:rPr>
                <w:rFonts w:cs="Segoe UI Light"/>
                <w:sz w:val="18"/>
              </w:rPr>
            </w:pPr>
            <w:r w:rsidRPr="00CB51FF">
              <w:rPr>
                <w:rFonts w:cs="Segoe UI Light"/>
                <w:sz w:val="18"/>
              </w:rPr>
              <w:t xml:space="preserve"> $161,876</w:t>
            </w:r>
            <w:r w:rsidR="00024905">
              <w:rPr>
                <w:rFonts w:cs="Segoe UI Light"/>
                <w:sz w:val="18"/>
              </w:rPr>
              <w:t>.20</w:t>
            </w:r>
            <w:r w:rsidRPr="00CB51FF">
              <w:rPr>
                <w:rFonts w:cs="Segoe UI Light"/>
                <w:sz w:val="18"/>
              </w:rPr>
              <w:t xml:space="preserve"> </w:t>
            </w:r>
          </w:p>
        </w:tc>
        <w:tc>
          <w:tcPr>
            <w:tcW w:w="853" w:type="pct"/>
          </w:tcPr>
          <w:p w14:paraId="656B1A4B" w14:textId="77777777" w:rsidR="002A2DFB" w:rsidRPr="00CB51FF" w:rsidRDefault="002A2DFB" w:rsidP="002A2DFB">
            <w:pPr>
              <w:spacing w:after="0"/>
              <w:rPr>
                <w:rFonts w:cs="Segoe UI Light"/>
                <w:sz w:val="18"/>
              </w:rPr>
            </w:pPr>
            <w:r w:rsidRPr="00A07276">
              <w:rPr>
                <w:rFonts w:cs="Segoe UI Light"/>
                <w:sz w:val="18"/>
              </w:rPr>
              <w:t>Flat fee - 14.38 fee units</w:t>
            </w:r>
          </w:p>
        </w:tc>
        <w:tc>
          <w:tcPr>
            <w:tcW w:w="410" w:type="pct"/>
          </w:tcPr>
          <w:p w14:paraId="656B1A4C" w14:textId="77777777" w:rsidR="002A2DFB" w:rsidRPr="00CB51FF" w:rsidRDefault="002A2DFB" w:rsidP="002A2DFB">
            <w:pPr>
              <w:spacing w:after="0"/>
              <w:rPr>
                <w:rFonts w:cs="Segoe UI Light"/>
                <w:sz w:val="18"/>
              </w:rPr>
            </w:pPr>
            <w:r w:rsidRPr="00CB51FF">
              <w:rPr>
                <w:rFonts w:cs="Segoe UI Light"/>
                <w:sz w:val="18"/>
              </w:rPr>
              <w:t xml:space="preserve"> $207.80 </w:t>
            </w:r>
          </w:p>
        </w:tc>
        <w:tc>
          <w:tcPr>
            <w:tcW w:w="353" w:type="pct"/>
          </w:tcPr>
          <w:p w14:paraId="656B1A4D" w14:textId="29F0DC4F" w:rsidR="002A2DFB" w:rsidRPr="00CB51FF" w:rsidRDefault="002A2DFB" w:rsidP="002A2DFB">
            <w:pPr>
              <w:spacing w:after="0"/>
              <w:rPr>
                <w:rFonts w:cs="Segoe UI Light"/>
                <w:sz w:val="18"/>
              </w:rPr>
            </w:pPr>
            <w:r w:rsidRPr="00CB51FF">
              <w:rPr>
                <w:rFonts w:cs="Segoe UI Light"/>
                <w:sz w:val="18"/>
              </w:rPr>
              <w:t xml:space="preserve"> $161,876</w:t>
            </w:r>
            <w:r w:rsidR="00024905">
              <w:rPr>
                <w:rFonts w:cs="Segoe UI Light"/>
                <w:sz w:val="18"/>
              </w:rPr>
              <w:t>.20</w:t>
            </w:r>
            <w:r w:rsidRPr="00CB51FF">
              <w:rPr>
                <w:rFonts w:cs="Segoe UI Light"/>
                <w:sz w:val="18"/>
              </w:rPr>
              <w:t xml:space="preserve"> </w:t>
            </w:r>
          </w:p>
        </w:tc>
        <w:tc>
          <w:tcPr>
            <w:tcW w:w="303" w:type="pct"/>
          </w:tcPr>
          <w:p w14:paraId="656B1A4E"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4F" w14:textId="77777777" w:rsidR="002A2DFB" w:rsidRPr="009F2A21" w:rsidRDefault="002A2DFB" w:rsidP="002A2DFB">
            <w:pPr>
              <w:spacing w:after="0" w:line="240" w:lineRule="auto"/>
              <w:rPr>
                <w:rFonts w:cs="Segoe UI Light"/>
                <w:sz w:val="16"/>
                <w:szCs w:val="16"/>
              </w:rPr>
            </w:pPr>
            <w:r w:rsidRPr="009F2A21">
              <w:rPr>
                <w:rFonts w:cs="Segoe UI Light"/>
                <w:sz w:val="16"/>
                <w:szCs w:val="16"/>
              </w:rPr>
              <w:t>New fee</w:t>
            </w:r>
          </w:p>
        </w:tc>
      </w:tr>
      <w:tr w:rsidR="002A2DFB" w:rsidRPr="00A648FA" w14:paraId="656B1A5D" w14:textId="77777777" w:rsidTr="00A86267">
        <w:trPr>
          <w:trHeight w:val="216"/>
        </w:trPr>
        <w:tc>
          <w:tcPr>
            <w:tcW w:w="511" w:type="pct"/>
          </w:tcPr>
          <w:p w14:paraId="656B1A51" w14:textId="77777777" w:rsidR="002A2DFB" w:rsidRPr="00A07276" w:rsidRDefault="002A2DFB" w:rsidP="002A2DFB">
            <w:pPr>
              <w:spacing w:after="0"/>
              <w:rPr>
                <w:rFonts w:cs="Segoe UI Light"/>
                <w:sz w:val="18"/>
              </w:rPr>
            </w:pPr>
            <w:r w:rsidRPr="00CB51FF">
              <w:rPr>
                <w:rFonts w:cs="Segoe UI Light"/>
                <w:sz w:val="18"/>
              </w:rPr>
              <w:t>Registration</w:t>
            </w:r>
          </w:p>
        </w:tc>
        <w:tc>
          <w:tcPr>
            <w:tcW w:w="420" w:type="pct"/>
          </w:tcPr>
          <w:p w14:paraId="656B1A52" w14:textId="77777777" w:rsidR="002A2DFB" w:rsidRPr="00A07276" w:rsidRDefault="002A2DFB" w:rsidP="002A2DFB">
            <w:pPr>
              <w:spacing w:after="0"/>
              <w:rPr>
                <w:rFonts w:cs="Segoe UI Light"/>
                <w:sz w:val="18"/>
              </w:rPr>
            </w:pPr>
            <w:r w:rsidRPr="00CB51FF">
              <w:rPr>
                <w:rFonts w:cs="Segoe UI Light"/>
                <w:sz w:val="18"/>
              </w:rPr>
              <w:t>Application</w:t>
            </w:r>
          </w:p>
        </w:tc>
        <w:tc>
          <w:tcPr>
            <w:tcW w:w="412" w:type="pct"/>
          </w:tcPr>
          <w:p w14:paraId="656B1A53" w14:textId="77777777" w:rsidR="002A2DFB" w:rsidRPr="00CB51FF" w:rsidRDefault="002A2DFB" w:rsidP="002A2DFB">
            <w:pPr>
              <w:spacing w:after="0"/>
              <w:rPr>
                <w:rFonts w:cs="Segoe UI Light"/>
                <w:sz w:val="18"/>
              </w:rPr>
            </w:pPr>
            <w:r w:rsidRPr="00CB51FF">
              <w:rPr>
                <w:rFonts w:cs="Segoe UI Light"/>
                <w:sz w:val="18"/>
              </w:rPr>
              <w:t>Other</w:t>
            </w:r>
          </w:p>
        </w:tc>
        <w:tc>
          <w:tcPr>
            <w:tcW w:w="275" w:type="pct"/>
          </w:tcPr>
          <w:p w14:paraId="656B1A54" w14:textId="3B330A77" w:rsidR="002A2DFB" w:rsidRPr="00CB51FF" w:rsidRDefault="002A2DFB" w:rsidP="002A2DFB">
            <w:pPr>
              <w:spacing w:after="0"/>
              <w:rPr>
                <w:rFonts w:cs="Segoe UI Light"/>
                <w:sz w:val="18"/>
              </w:rPr>
            </w:pPr>
            <w:r>
              <w:rPr>
                <w:rFonts w:cs="Segoe UI Light"/>
                <w:sz w:val="18"/>
              </w:rPr>
              <w:t>Unknown</w:t>
            </w:r>
          </w:p>
        </w:tc>
        <w:tc>
          <w:tcPr>
            <w:tcW w:w="389" w:type="pct"/>
          </w:tcPr>
          <w:p w14:paraId="656B1A55" w14:textId="32A5407F" w:rsidR="002A2DFB" w:rsidRPr="00CB51FF" w:rsidRDefault="002A2DFB" w:rsidP="002A2DFB">
            <w:pPr>
              <w:spacing w:after="0"/>
              <w:rPr>
                <w:rFonts w:cs="Segoe UI Light"/>
                <w:sz w:val="18"/>
              </w:rPr>
            </w:pPr>
            <w:r w:rsidRPr="00CB51FF">
              <w:rPr>
                <w:rFonts w:cs="Segoe UI Light"/>
                <w:sz w:val="18"/>
              </w:rPr>
              <w:t>0.</w:t>
            </w:r>
            <w:r w:rsidR="0002124F">
              <w:rPr>
                <w:rFonts w:cs="Segoe UI Light"/>
                <w:sz w:val="18"/>
              </w:rPr>
              <w:t>29</w:t>
            </w:r>
          </w:p>
        </w:tc>
        <w:tc>
          <w:tcPr>
            <w:tcW w:w="348" w:type="pct"/>
          </w:tcPr>
          <w:p w14:paraId="656B1A56" w14:textId="184089F5" w:rsidR="002A2DFB" w:rsidRPr="00CB51FF" w:rsidRDefault="002A2DFB" w:rsidP="002A2DFB">
            <w:pPr>
              <w:spacing w:after="0"/>
              <w:rPr>
                <w:rFonts w:cs="Segoe UI Light"/>
                <w:sz w:val="18"/>
              </w:rPr>
            </w:pPr>
            <w:r w:rsidRPr="00CB51FF">
              <w:rPr>
                <w:rFonts w:cs="Segoe UI Light"/>
                <w:sz w:val="18"/>
              </w:rPr>
              <w:t xml:space="preserve"> $24.31 </w:t>
            </w:r>
          </w:p>
        </w:tc>
        <w:tc>
          <w:tcPr>
            <w:tcW w:w="372" w:type="pct"/>
          </w:tcPr>
          <w:p w14:paraId="656B1A57" w14:textId="23D1AE4E" w:rsidR="002A2DFB" w:rsidRPr="00CB51FF" w:rsidRDefault="002A2DFB" w:rsidP="002A2DFB">
            <w:pPr>
              <w:spacing w:after="0"/>
              <w:rPr>
                <w:rFonts w:cs="Segoe UI Light"/>
                <w:sz w:val="18"/>
              </w:rPr>
            </w:pPr>
            <w:r w:rsidRPr="00CB51FF">
              <w:rPr>
                <w:rFonts w:cs="Segoe UI Light"/>
                <w:sz w:val="18"/>
              </w:rPr>
              <w:t xml:space="preserve"> </w:t>
            </w:r>
            <w:r>
              <w:rPr>
                <w:rFonts w:cs="Segoe UI Light"/>
                <w:sz w:val="18"/>
              </w:rPr>
              <w:t>-</w:t>
            </w:r>
            <w:r w:rsidRPr="00CB51FF">
              <w:rPr>
                <w:rFonts w:cs="Segoe UI Light"/>
                <w:sz w:val="18"/>
              </w:rPr>
              <w:t xml:space="preserve"> </w:t>
            </w:r>
          </w:p>
        </w:tc>
        <w:tc>
          <w:tcPr>
            <w:tcW w:w="853" w:type="pct"/>
          </w:tcPr>
          <w:p w14:paraId="656B1A58" w14:textId="77777777" w:rsidR="002A2DFB" w:rsidRPr="00CB51FF" w:rsidRDefault="002A2DFB" w:rsidP="002A2DFB">
            <w:pPr>
              <w:spacing w:after="0"/>
              <w:rPr>
                <w:rFonts w:cs="Segoe UI Light"/>
                <w:sz w:val="18"/>
              </w:rPr>
            </w:pPr>
            <w:r w:rsidRPr="00A07276">
              <w:rPr>
                <w:rFonts w:cs="Segoe UI Light"/>
                <w:sz w:val="18"/>
              </w:rPr>
              <w:t>No fee</w:t>
            </w:r>
          </w:p>
        </w:tc>
        <w:tc>
          <w:tcPr>
            <w:tcW w:w="410" w:type="pct"/>
          </w:tcPr>
          <w:p w14:paraId="656B1A59" w14:textId="77777777" w:rsidR="002A2DFB" w:rsidRPr="00CB51FF" w:rsidRDefault="002A2DFB" w:rsidP="002A2DFB">
            <w:pPr>
              <w:spacing w:after="0"/>
              <w:rPr>
                <w:rFonts w:cs="Segoe UI Light"/>
                <w:sz w:val="18"/>
              </w:rPr>
            </w:pPr>
            <w:r w:rsidRPr="00CB51FF">
              <w:rPr>
                <w:rFonts w:cs="Segoe UI Light"/>
                <w:sz w:val="18"/>
              </w:rPr>
              <w:t xml:space="preserve"> -</w:t>
            </w:r>
            <w:r>
              <w:rPr>
                <w:rFonts w:cs="Segoe UI Light"/>
                <w:sz w:val="18"/>
              </w:rPr>
              <w:t xml:space="preserve"> </w:t>
            </w:r>
            <w:r w:rsidRPr="00CB51FF">
              <w:rPr>
                <w:rFonts w:cs="Segoe UI Light"/>
                <w:sz w:val="18"/>
              </w:rPr>
              <w:t xml:space="preserve"> </w:t>
            </w:r>
          </w:p>
        </w:tc>
        <w:tc>
          <w:tcPr>
            <w:tcW w:w="353" w:type="pct"/>
          </w:tcPr>
          <w:p w14:paraId="656B1A5A" w14:textId="77777777" w:rsidR="002A2DFB" w:rsidRPr="00CB51FF" w:rsidRDefault="002A2DFB" w:rsidP="002A2DFB">
            <w:pPr>
              <w:spacing w:after="0"/>
              <w:rPr>
                <w:rFonts w:cs="Segoe UI Light"/>
                <w:sz w:val="18"/>
              </w:rPr>
            </w:pPr>
            <w:r w:rsidRPr="00CB51FF">
              <w:rPr>
                <w:rFonts w:cs="Segoe UI Light"/>
                <w:sz w:val="18"/>
              </w:rPr>
              <w:t xml:space="preserve"> - </w:t>
            </w:r>
          </w:p>
        </w:tc>
        <w:tc>
          <w:tcPr>
            <w:tcW w:w="303" w:type="pct"/>
          </w:tcPr>
          <w:p w14:paraId="656B1A5B" w14:textId="77777777" w:rsidR="002A2DFB" w:rsidRPr="00CB51FF" w:rsidRDefault="002A2DFB" w:rsidP="002A2DFB">
            <w:pPr>
              <w:spacing w:after="0"/>
              <w:rPr>
                <w:rFonts w:cs="Segoe UI Light"/>
                <w:sz w:val="18"/>
              </w:rPr>
            </w:pPr>
            <w:r w:rsidRPr="00CB51FF">
              <w:rPr>
                <w:rFonts w:cs="Segoe UI Light"/>
                <w:sz w:val="18"/>
              </w:rPr>
              <w:t>0%</w:t>
            </w:r>
          </w:p>
        </w:tc>
        <w:tc>
          <w:tcPr>
            <w:tcW w:w="354" w:type="pct"/>
          </w:tcPr>
          <w:p w14:paraId="656B1A5C" w14:textId="77777777" w:rsidR="002A2DFB" w:rsidRPr="00EA43C9" w:rsidRDefault="002A2DFB" w:rsidP="002A2DFB">
            <w:pPr>
              <w:spacing w:after="0" w:line="240" w:lineRule="auto"/>
              <w:rPr>
                <w:rFonts w:cs="Segoe UI Light"/>
                <w:sz w:val="16"/>
                <w:szCs w:val="16"/>
              </w:rPr>
            </w:pPr>
            <w:r w:rsidRPr="00EA43C9">
              <w:rPr>
                <w:rFonts w:cs="Segoe UI Light"/>
                <w:sz w:val="16"/>
                <w:szCs w:val="16"/>
              </w:rPr>
              <w:t>NA</w:t>
            </w:r>
          </w:p>
        </w:tc>
      </w:tr>
      <w:tr w:rsidR="002A2DFB" w:rsidRPr="00A648FA" w14:paraId="656B1A6B" w14:textId="77777777" w:rsidTr="00A86267">
        <w:trPr>
          <w:trHeight w:val="216"/>
        </w:trPr>
        <w:tc>
          <w:tcPr>
            <w:tcW w:w="511" w:type="pct"/>
          </w:tcPr>
          <w:p w14:paraId="656B1A5E" w14:textId="77777777" w:rsidR="002A2DFB" w:rsidRPr="00A07276" w:rsidRDefault="002A2DFB" w:rsidP="002A2DFB">
            <w:pPr>
              <w:spacing w:after="0"/>
              <w:rPr>
                <w:rFonts w:cs="Segoe UI Light"/>
                <w:sz w:val="18"/>
              </w:rPr>
            </w:pPr>
            <w:r w:rsidRPr="00CB51FF">
              <w:rPr>
                <w:rFonts w:cs="Segoe UI Light"/>
                <w:sz w:val="18"/>
              </w:rPr>
              <w:t>Registration</w:t>
            </w:r>
          </w:p>
        </w:tc>
        <w:tc>
          <w:tcPr>
            <w:tcW w:w="420" w:type="pct"/>
          </w:tcPr>
          <w:p w14:paraId="656B1A5F" w14:textId="77777777" w:rsidR="002A2DFB" w:rsidRPr="00A07276" w:rsidRDefault="002A2DFB" w:rsidP="002A2DFB">
            <w:pPr>
              <w:spacing w:after="0"/>
              <w:rPr>
                <w:rFonts w:cs="Segoe UI Light"/>
                <w:sz w:val="18"/>
              </w:rPr>
            </w:pPr>
            <w:r w:rsidRPr="00CB51FF">
              <w:rPr>
                <w:rFonts w:cs="Segoe UI Light"/>
                <w:sz w:val="18"/>
              </w:rPr>
              <w:t>Renewal</w:t>
            </w:r>
          </w:p>
        </w:tc>
        <w:tc>
          <w:tcPr>
            <w:tcW w:w="412" w:type="pct"/>
          </w:tcPr>
          <w:p w14:paraId="656B1A60" w14:textId="77777777" w:rsidR="002A2DFB" w:rsidRPr="00CB51FF" w:rsidRDefault="002A2DFB" w:rsidP="002A2DFB">
            <w:pPr>
              <w:spacing w:after="0"/>
              <w:rPr>
                <w:rFonts w:cs="Segoe UI Light"/>
                <w:sz w:val="18"/>
              </w:rPr>
            </w:pPr>
            <w:r w:rsidRPr="00CB51FF">
              <w:rPr>
                <w:rFonts w:cs="Segoe UI Light"/>
                <w:sz w:val="18"/>
              </w:rPr>
              <w:t>Reportable priority waste transport</w:t>
            </w:r>
          </w:p>
        </w:tc>
        <w:tc>
          <w:tcPr>
            <w:tcW w:w="275" w:type="pct"/>
          </w:tcPr>
          <w:p w14:paraId="656B1A61" w14:textId="77777777" w:rsidR="002A2DFB" w:rsidRPr="00CB51FF" w:rsidRDefault="002A2DFB" w:rsidP="002A2DFB">
            <w:pPr>
              <w:spacing w:after="0"/>
              <w:rPr>
                <w:rFonts w:cs="Segoe UI Light"/>
                <w:sz w:val="18"/>
              </w:rPr>
            </w:pPr>
            <w:r w:rsidRPr="00CB51FF">
              <w:rPr>
                <w:rFonts w:cs="Segoe UI Light"/>
                <w:sz w:val="18"/>
              </w:rPr>
              <w:t>2042</w:t>
            </w:r>
          </w:p>
        </w:tc>
        <w:tc>
          <w:tcPr>
            <w:tcW w:w="389" w:type="pct"/>
          </w:tcPr>
          <w:p w14:paraId="656B1A62" w14:textId="759AE1FC" w:rsidR="002A2DFB" w:rsidRPr="00CB51FF" w:rsidRDefault="002A2DFB" w:rsidP="002A2DFB">
            <w:pPr>
              <w:spacing w:after="0"/>
              <w:rPr>
                <w:rFonts w:cs="Segoe UI Light"/>
                <w:sz w:val="18"/>
              </w:rPr>
            </w:pPr>
            <w:r w:rsidRPr="00CB51FF">
              <w:rPr>
                <w:rFonts w:cs="Segoe UI Light"/>
                <w:sz w:val="18"/>
              </w:rPr>
              <w:t>0.</w:t>
            </w:r>
            <w:r w:rsidR="0002124F">
              <w:rPr>
                <w:rFonts w:cs="Segoe UI Light"/>
                <w:sz w:val="18"/>
              </w:rPr>
              <w:t>4</w:t>
            </w:r>
            <w:r w:rsidRPr="00CB51FF">
              <w:rPr>
                <w:rFonts w:cs="Segoe UI Light"/>
                <w:sz w:val="18"/>
              </w:rPr>
              <w:t>5</w:t>
            </w:r>
          </w:p>
        </w:tc>
        <w:tc>
          <w:tcPr>
            <w:tcW w:w="348" w:type="pct"/>
          </w:tcPr>
          <w:p w14:paraId="656B1A63" w14:textId="7EF94BE0" w:rsidR="002A2DFB" w:rsidRPr="00CB51FF" w:rsidRDefault="002A2DFB" w:rsidP="002A2DFB">
            <w:pPr>
              <w:spacing w:after="0"/>
              <w:rPr>
                <w:rFonts w:cs="Segoe UI Light"/>
                <w:sz w:val="18"/>
              </w:rPr>
            </w:pPr>
            <w:r w:rsidRPr="00CB51FF">
              <w:rPr>
                <w:rFonts w:cs="Segoe UI Light"/>
                <w:sz w:val="18"/>
              </w:rPr>
              <w:t xml:space="preserve"> $37.50 </w:t>
            </w:r>
          </w:p>
        </w:tc>
        <w:tc>
          <w:tcPr>
            <w:tcW w:w="372" w:type="pct"/>
          </w:tcPr>
          <w:p w14:paraId="656B1A64" w14:textId="1E183042" w:rsidR="002A2DFB" w:rsidRPr="00CB51FF" w:rsidRDefault="002A2DFB" w:rsidP="002A2DFB">
            <w:pPr>
              <w:spacing w:after="0"/>
              <w:rPr>
                <w:rFonts w:cs="Segoe UI Light"/>
                <w:sz w:val="18"/>
              </w:rPr>
            </w:pPr>
            <w:r w:rsidRPr="00CB51FF">
              <w:rPr>
                <w:rFonts w:cs="Segoe UI Light"/>
                <w:sz w:val="18"/>
              </w:rPr>
              <w:t xml:space="preserve"> $76,</w:t>
            </w:r>
            <w:r w:rsidR="00024905" w:rsidRPr="00CB51FF">
              <w:rPr>
                <w:rFonts w:cs="Segoe UI Light"/>
                <w:sz w:val="18"/>
              </w:rPr>
              <w:t>5</w:t>
            </w:r>
            <w:r w:rsidR="00024905">
              <w:rPr>
                <w:rFonts w:cs="Segoe UI Light"/>
                <w:sz w:val="18"/>
              </w:rPr>
              <w:t>7</w:t>
            </w:r>
            <w:r w:rsidR="00024905" w:rsidRPr="00CB51FF">
              <w:rPr>
                <w:rFonts w:cs="Segoe UI Light"/>
                <w:sz w:val="18"/>
              </w:rPr>
              <w:t>5</w:t>
            </w:r>
            <w:r w:rsidR="00024905">
              <w:rPr>
                <w:rFonts w:cs="Segoe UI Light"/>
                <w:sz w:val="18"/>
              </w:rPr>
              <w:t>.00</w:t>
            </w:r>
            <w:r w:rsidR="00024905" w:rsidRPr="00CB51FF">
              <w:rPr>
                <w:rFonts w:cs="Segoe UI Light"/>
                <w:sz w:val="18"/>
              </w:rPr>
              <w:t xml:space="preserve"> </w:t>
            </w:r>
          </w:p>
        </w:tc>
        <w:tc>
          <w:tcPr>
            <w:tcW w:w="853" w:type="pct"/>
          </w:tcPr>
          <w:p w14:paraId="656B1A65" w14:textId="77777777" w:rsidR="002A2DFB" w:rsidRDefault="002A2DFB" w:rsidP="002A2DFB">
            <w:pPr>
              <w:spacing w:after="0"/>
              <w:rPr>
                <w:rFonts w:cs="Segoe UI Light"/>
                <w:sz w:val="18"/>
              </w:rPr>
            </w:pPr>
            <w:r w:rsidRPr="00A07276">
              <w:rPr>
                <w:rFonts w:cs="Segoe UI Light"/>
                <w:sz w:val="18"/>
              </w:rPr>
              <w:t>Flat fee - 2.60 fee units</w:t>
            </w:r>
          </w:p>
          <w:p w14:paraId="656B1A66" w14:textId="77777777" w:rsidR="002A2DFB" w:rsidRPr="00225757" w:rsidRDefault="002A2DFB" w:rsidP="002A2DFB">
            <w:pPr>
              <w:ind w:firstLine="720"/>
              <w:rPr>
                <w:rFonts w:cs="Segoe UI Light"/>
                <w:sz w:val="18"/>
              </w:rPr>
            </w:pPr>
          </w:p>
        </w:tc>
        <w:tc>
          <w:tcPr>
            <w:tcW w:w="410" w:type="pct"/>
          </w:tcPr>
          <w:p w14:paraId="656B1A67" w14:textId="1AAFEAEE" w:rsidR="002A2DFB" w:rsidRPr="00CB51FF" w:rsidRDefault="002A2DFB" w:rsidP="002A2DFB">
            <w:pPr>
              <w:spacing w:after="0"/>
              <w:rPr>
                <w:rFonts w:cs="Segoe UI Light"/>
                <w:sz w:val="18"/>
              </w:rPr>
            </w:pPr>
            <w:r w:rsidRPr="00CB51FF">
              <w:rPr>
                <w:rFonts w:cs="Segoe UI Light"/>
                <w:sz w:val="18"/>
              </w:rPr>
              <w:t xml:space="preserve"> $37.50 </w:t>
            </w:r>
          </w:p>
        </w:tc>
        <w:tc>
          <w:tcPr>
            <w:tcW w:w="353" w:type="pct"/>
          </w:tcPr>
          <w:p w14:paraId="656B1A68" w14:textId="290BB4FD" w:rsidR="002A2DFB" w:rsidRPr="00CB51FF" w:rsidRDefault="002A2DFB" w:rsidP="002A2DFB">
            <w:pPr>
              <w:spacing w:after="0"/>
              <w:rPr>
                <w:rFonts w:cs="Segoe UI Light"/>
                <w:sz w:val="18"/>
              </w:rPr>
            </w:pPr>
            <w:r w:rsidRPr="00CB51FF">
              <w:rPr>
                <w:rFonts w:cs="Segoe UI Light"/>
                <w:sz w:val="18"/>
              </w:rPr>
              <w:t xml:space="preserve"> $76,575</w:t>
            </w:r>
            <w:r w:rsidR="00024905">
              <w:rPr>
                <w:rFonts w:cs="Segoe UI Light"/>
                <w:sz w:val="18"/>
              </w:rPr>
              <w:t>.00</w:t>
            </w:r>
            <w:r w:rsidRPr="00CB51FF">
              <w:rPr>
                <w:rFonts w:cs="Segoe UI Light"/>
                <w:sz w:val="18"/>
              </w:rPr>
              <w:t xml:space="preserve"> </w:t>
            </w:r>
          </w:p>
        </w:tc>
        <w:tc>
          <w:tcPr>
            <w:tcW w:w="303" w:type="pct"/>
          </w:tcPr>
          <w:p w14:paraId="656B1A69"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6A" w14:textId="77777777" w:rsidR="002A2DFB" w:rsidRPr="009F2A21" w:rsidRDefault="002A2DFB" w:rsidP="002A2DFB">
            <w:pPr>
              <w:spacing w:after="0" w:line="240" w:lineRule="auto"/>
              <w:rPr>
                <w:rFonts w:cs="Segoe UI Light"/>
                <w:sz w:val="16"/>
                <w:szCs w:val="16"/>
              </w:rPr>
            </w:pPr>
            <w:r w:rsidRPr="009F2A21">
              <w:rPr>
                <w:rFonts w:cs="Segoe UI Light"/>
                <w:sz w:val="16"/>
                <w:szCs w:val="16"/>
              </w:rPr>
              <w:t>New fee</w:t>
            </w:r>
          </w:p>
        </w:tc>
      </w:tr>
      <w:tr w:rsidR="002A2DFB" w:rsidRPr="00A648FA" w14:paraId="656B1A78" w14:textId="77777777" w:rsidTr="00A86267">
        <w:trPr>
          <w:trHeight w:val="216"/>
        </w:trPr>
        <w:tc>
          <w:tcPr>
            <w:tcW w:w="511" w:type="pct"/>
          </w:tcPr>
          <w:p w14:paraId="656B1A6C" w14:textId="77777777" w:rsidR="002A2DFB" w:rsidRPr="00A07276" w:rsidRDefault="002A2DFB" w:rsidP="002A2DFB">
            <w:pPr>
              <w:spacing w:after="0"/>
              <w:rPr>
                <w:rFonts w:cs="Segoe UI Light"/>
                <w:sz w:val="18"/>
              </w:rPr>
            </w:pPr>
            <w:r w:rsidRPr="00CB51FF">
              <w:rPr>
                <w:rFonts w:cs="Segoe UI Light"/>
                <w:sz w:val="18"/>
              </w:rPr>
              <w:t>Registration</w:t>
            </w:r>
          </w:p>
        </w:tc>
        <w:tc>
          <w:tcPr>
            <w:tcW w:w="420" w:type="pct"/>
          </w:tcPr>
          <w:p w14:paraId="656B1A6D" w14:textId="77777777" w:rsidR="002A2DFB" w:rsidRPr="00A07276" w:rsidRDefault="002A2DFB" w:rsidP="002A2DFB">
            <w:pPr>
              <w:spacing w:after="0"/>
              <w:rPr>
                <w:rFonts w:cs="Segoe UI Light"/>
                <w:sz w:val="18"/>
              </w:rPr>
            </w:pPr>
            <w:r w:rsidRPr="00CB51FF">
              <w:rPr>
                <w:rFonts w:cs="Segoe UI Light"/>
                <w:sz w:val="18"/>
              </w:rPr>
              <w:t>Renewal</w:t>
            </w:r>
          </w:p>
        </w:tc>
        <w:tc>
          <w:tcPr>
            <w:tcW w:w="412" w:type="pct"/>
          </w:tcPr>
          <w:p w14:paraId="656B1A6E" w14:textId="77777777" w:rsidR="002A2DFB" w:rsidRPr="00CB51FF" w:rsidRDefault="002A2DFB" w:rsidP="002A2DFB">
            <w:pPr>
              <w:spacing w:after="0"/>
              <w:rPr>
                <w:rFonts w:cs="Segoe UI Light"/>
                <w:sz w:val="18"/>
              </w:rPr>
            </w:pPr>
            <w:r w:rsidRPr="00CB51FF">
              <w:rPr>
                <w:rFonts w:cs="Segoe UI Light"/>
                <w:sz w:val="18"/>
              </w:rPr>
              <w:t>Other</w:t>
            </w:r>
          </w:p>
        </w:tc>
        <w:tc>
          <w:tcPr>
            <w:tcW w:w="275" w:type="pct"/>
          </w:tcPr>
          <w:p w14:paraId="656B1A6F" w14:textId="0649EEFD" w:rsidR="002A2DFB" w:rsidRPr="00CB51FF" w:rsidRDefault="002A2DFB" w:rsidP="002A2DFB">
            <w:pPr>
              <w:spacing w:after="0"/>
              <w:rPr>
                <w:rFonts w:cs="Segoe UI Light"/>
                <w:sz w:val="18"/>
              </w:rPr>
            </w:pPr>
            <w:r>
              <w:rPr>
                <w:rFonts w:cs="Segoe UI Light"/>
                <w:sz w:val="18"/>
              </w:rPr>
              <w:t>Unknown</w:t>
            </w:r>
          </w:p>
        </w:tc>
        <w:tc>
          <w:tcPr>
            <w:tcW w:w="389" w:type="pct"/>
          </w:tcPr>
          <w:p w14:paraId="656B1A70" w14:textId="2100067B" w:rsidR="002A2DFB" w:rsidRPr="00CB51FF" w:rsidRDefault="002A2DFB" w:rsidP="002A2DFB">
            <w:pPr>
              <w:spacing w:after="0"/>
              <w:rPr>
                <w:rFonts w:cs="Segoe UI Light"/>
                <w:sz w:val="18"/>
              </w:rPr>
            </w:pPr>
            <w:r w:rsidRPr="00CB51FF">
              <w:rPr>
                <w:rFonts w:cs="Segoe UI Light"/>
                <w:sz w:val="18"/>
              </w:rPr>
              <w:t>0.</w:t>
            </w:r>
            <w:r w:rsidR="0002124F">
              <w:rPr>
                <w:rFonts w:cs="Segoe UI Light"/>
                <w:sz w:val="18"/>
              </w:rPr>
              <w:t>46</w:t>
            </w:r>
          </w:p>
        </w:tc>
        <w:tc>
          <w:tcPr>
            <w:tcW w:w="348" w:type="pct"/>
          </w:tcPr>
          <w:p w14:paraId="656B1A71" w14:textId="412B19AA" w:rsidR="002A2DFB" w:rsidRPr="00CB51FF" w:rsidRDefault="002A2DFB" w:rsidP="002A2DFB">
            <w:pPr>
              <w:spacing w:after="0"/>
              <w:rPr>
                <w:rFonts w:cs="Segoe UI Light"/>
                <w:sz w:val="18"/>
              </w:rPr>
            </w:pPr>
            <w:r w:rsidRPr="00CB51FF">
              <w:rPr>
                <w:rFonts w:cs="Segoe UI Light"/>
                <w:sz w:val="18"/>
              </w:rPr>
              <w:t xml:space="preserve"> $38.20 </w:t>
            </w:r>
          </w:p>
        </w:tc>
        <w:tc>
          <w:tcPr>
            <w:tcW w:w="372" w:type="pct"/>
          </w:tcPr>
          <w:p w14:paraId="656B1A72" w14:textId="53C47477" w:rsidR="002A2DFB" w:rsidRPr="00CB51FF" w:rsidRDefault="002A2DFB" w:rsidP="002A2DFB">
            <w:pPr>
              <w:spacing w:after="0"/>
              <w:rPr>
                <w:rFonts w:cs="Segoe UI Light"/>
                <w:sz w:val="18"/>
              </w:rPr>
            </w:pPr>
            <w:r>
              <w:rPr>
                <w:rFonts w:cs="Segoe UI Light"/>
                <w:sz w:val="18"/>
              </w:rPr>
              <w:t>-</w:t>
            </w:r>
            <w:r w:rsidRPr="00CB51FF">
              <w:rPr>
                <w:rFonts w:cs="Segoe UI Light"/>
                <w:sz w:val="18"/>
              </w:rPr>
              <w:t xml:space="preserve"> </w:t>
            </w:r>
          </w:p>
        </w:tc>
        <w:tc>
          <w:tcPr>
            <w:tcW w:w="853" w:type="pct"/>
          </w:tcPr>
          <w:p w14:paraId="656B1A73" w14:textId="77777777" w:rsidR="002A2DFB" w:rsidRPr="00CB51FF" w:rsidRDefault="002A2DFB" w:rsidP="002A2DFB">
            <w:pPr>
              <w:spacing w:after="0"/>
              <w:rPr>
                <w:rFonts w:cs="Segoe UI Light"/>
                <w:sz w:val="18"/>
              </w:rPr>
            </w:pPr>
            <w:r w:rsidRPr="00A07276">
              <w:rPr>
                <w:rFonts w:cs="Segoe UI Light"/>
                <w:sz w:val="18"/>
              </w:rPr>
              <w:t>No fee</w:t>
            </w:r>
          </w:p>
        </w:tc>
        <w:tc>
          <w:tcPr>
            <w:tcW w:w="410" w:type="pct"/>
          </w:tcPr>
          <w:p w14:paraId="656B1A74" w14:textId="77777777" w:rsidR="002A2DFB" w:rsidRPr="00CB51FF" w:rsidRDefault="002A2DFB" w:rsidP="002A2DFB">
            <w:pPr>
              <w:spacing w:after="0"/>
              <w:rPr>
                <w:rFonts w:cs="Segoe UI Light"/>
                <w:sz w:val="18"/>
              </w:rPr>
            </w:pPr>
            <w:r w:rsidRPr="00CB51FF">
              <w:rPr>
                <w:rFonts w:cs="Segoe UI Light"/>
                <w:sz w:val="18"/>
              </w:rPr>
              <w:t xml:space="preserve"> -</w:t>
            </w:r>
            <w:r>
              <w:rPr>
                <w:rFonts w:cs="Segoe UI Light"/>
                <w:sz w:val="18"/>
              </w:rPr>
              <w:t xml:space="preserve"> </w:t>
            </w:r>
            <w:r w:rsidRPr="00CB51FF">
              <w:rPr>
                <w:rFonts w:cs="Segoe UI Light"/>
                <w:sz w:val="18"/>
              </w:rPr>
              <w:t xml:space="preserve"> </w:t>
            </w:r>
          </w:p>
        </w:tc>
        <w:tc>
          <w:tcPr>
            <w:tcW w:w="353" w:type="pct"/>
          </w:tcPr>
          <w:p w14:paraId="656B1A75" w14:textId="77777777" w:rsidR="002A2DFB" w:rsidRPr="00CB51FF" w:rsidRDefault="002A2DFB" w:rsidP="002A2DFB">
            <w:pPr>
              <w:spacing w:after="0"/>
              <w:rPr>
                <w:rFonts w:cs="Segoe UI Light"/>
                <w:sz w:val="18"/>
              </w:rPr>
            </w:pPr>
            <w:r w:rsidRPr="00CB51FF">
              <w:rPr>
                <w:rFonts w:cs="Segoe UI Light"/>
                <w:sz w:val="18"/>
              </w:rPr>
              <w:t xml:space="preserve"> -</w:t>
            </w:r>
            <w:r>
              <w:rPr>
                <w:rFonts w:cs="Segoe UI Light"/>
                <w:sz w:val="18"/>
              </w:rPr>
              <w:t xml:space="preserve"> </w:t>
            </w:r>
            <w:r w:rsidRPr="00CB51FF">
              <w:rPr>
                <w:rFonts w:cs="Segoe UI Light"/>
                <w:sz w:val="18"/>
              </w:rPr>
              <w:t xml:space="preserve"> </w:t>
            </w:r>
          </w:p>
        </w:tc>
        <w:tc>
          <w:tcPr>
            <w:tcW w:w="303" w:type="pct"/>
          </w:tcPr>
          <w:p w14:paraId="656B1A76" w14:textId="77777777" w:rsidR="002A2DFB" w:rsidRPr="00CB51FF" w:rsidRDefault="002A2DFB" w:rsidP="002A2DFB">
            <w:pPr>
              <w:spacing w:after="0"/>
              <w:rPr>
                <w:rFonts w:cs="Segoe UI Light"/>
                <w:sz w:val="18"/>
              </w:rPr>
            </w:pPr>
            <w:r w:rsidRPr="00CB51FF">
              <w:rPr>
                <w:rFonts w:cs="Segoe UI Light"/>
                <w:sz w:val="18"/>
              </w:rPr>
              <w:t>0%</w:t>
            </w:r>
          </w:p>
        </w:tc>
        <w:tc>
          <w:tcPr>
            <w:tcW w:w="354" w:type="pct"/>
          </w:tcPr>
          <w:p w14:paraId="656B1A77" w14:textId="77777777" w:rsidR="002A2DFB" w:rsidRPr="009F2A21" w:rsidRDefault="002A2DFB" w:rsidP="002A2DFB">
            <w:pPr>
              <w:spacing w:after="0" w:line="240" w:lineRule="auto"/>
              <w:rPr>
                <w:rFonts w:cs="Segoe UI Light"/>
                <w:sz w:val="16"/>
                <w:szCs w:val="16"/>
              </w:rPr>
            </w:pPr>
            <w:r w:rsidRPr="009F2A21">
              <w:rPr>
                <w:rFonts w:cs="Segoe UI Light"/>
                <w:sz w:val="16"/>
                <w:szCs w:val="16"/>
              </w:rPr>
              <w:t>NA</w:t>
            </w:r>
          </w:p>
        </w:tc>
      </w:tr>
      <w:tr w:rsidR="002A2DFB" w:rsidRPr="00A648FA" w14:paraId="656B1A85" w14:textId="77777777" w:rsidTr="00A86267">
        <w:trPr>
          <w:trHeight w:val="216"/>
        </w:trPr>
        <w:tc>
          <w:tcPr>
            <w:tcW w:w="511" w:type="pct"/>
          </w:tcPr>
          <w:p w14:paraId="656B1A79" w14:textId="77777777" w:rsidR="002A2DFB" w:rsidRPr="00A07276" w:rsidRDefault="002A2DFB" w:rsidP="002A2DFB">
            <w:pPr>
              <w:spacing w:after="0"/>
              <w:rPr>
                <w:rFonts w:cs="Segoe UI Light"/>
                <w:sz w:val="18"/>
              </w:rPr>
            </w:pPr>
            <w:r w:rsidRPr="00CB51FF">
              <w:rPr>
                <w:rFonts w:cs="Segoe UI Light"/>
                <w:sz w:val="18"/>
              </w:rPr>
              <w:t>Environmental Audit</w:t>
            </w:r>
          </w:p>
        </w:tc>
        <w:tc>
          <w:tcPr>
            <w:tcW w:w="420" w:type="pct"/>
          </w:tcPr>
          <w:p w14:paraId="656B1A7A" w14:textId="77777777" w:rsidR="002A2DFB" w:rsidRPr="00A07276" w:rsidRDefault="002A2DFB" w:rsidP="002A2DFB">
            <w:pPr>
              <w:spacing w:after="0"/>
              <w:rPr>
                <w:rFonts w:cs="Segoe UI Light"/>
                <w:sz w:val="18"/>
              </w:rPr>
            </w:pPr>
            <w:r w:rsidRPr="00CB51FF">
              <w:rPr>
                <w:rFonts w:cs="Segoe UI Light"/>
                <w:sz w:val="18"/>
              </w:rPr>
              <w:t>Appointment</w:t>
            </w:r>
          </w:p>
        </w:tc>
        <w:tc>
          <w:tcPr>
            <w:tcW w:w="412" w:type="pct"/>
          </w:tcPr>
          <w:p w14:paraId="656B1A7B" w14:textId="77777777" w:rsidR="002A2DFB" w:rsidRPr="00CB51FF" w:rsidRDefault="002A2DFB" w:rsidP="002A2DFB">
            <w:pPr>
              <w:spacing w:after="0"/>
              <w:rPr>
                <w:rFonts w:cs="Segoe UI Light"/>
                <w:sz w:val="18"/>
              </w:rPr>
            </w:pPr>
            <w:r w:rsidRPr="00CB51FF">
              <w:rPr>
                <w:rFonts w:cs="Segoe UI Light"/>
                <w:sz w:val="18"/>
              </w:rPr>
              <w:t>Assessment</w:t>
            </w:r>
          </w:p>
        </w:tc>
        <w:tc>
          <w:tcPr>
            <w:tcW w:w="275" w:type="pct"/>
          </w:tcPr>
          <w:p w14:paraId="656B1A7C" w14:textId="77777777" w:rsidR="002A2DFB" w:rsidRPr="00CB51FF" w:rsidRDefault="002A2DFB" w:rsidP="002A2DFB">
            <w:pPr>
              <w:spacing w:after="0"/>
              <w:rPr>
                <w:rFonts w:cs="Segoe UI Light"/>
                <w:sz w:val="18"/>
              </w:rPr>
            </w:pPr>
            <w:r w:rsidRPr="00CB51FF">
              <w:rPr>
                <w:rFonts w:cs="Segoe UI Light"/>
                <w:sz w:val="18"/>
              </w:rPr>
              <w:t>20</w:t>
            </w:r>
          </w:p>
        </w:tc>
        <w:tc>
          <w:tcPr>
            <w:tcW w:w="389" w:type="pct"/>
          </w:tcPr>
          <w:p w14:paraId="656B1A7D" w14:textId="1905607F" w:rsidR="002A2DFB" w:rsidRPr="00CB51FF" w:rsidRDefault="002A2DFB" w:rsidP="002A2DFB">
            <w:pPr>
              <w:spacing w:after="0"/>
              <w:rPr>
                <w:rFonts w:cs="Segoe UI Light"/>
                <w:sz w:val="18"/>
              </w:rPr>
            </w:pPr>
            <w:r w:rsidRPr="00CB51FF">
              <w:rPr>
                <w:rFonts w:cs="Segoe UI Light"/>
                <w:sz w:val="18"/>
              </w:rPr>
              <w:t>18.</w:t>
            </w:r>
            <w:r w:rsidR="0002124F">
              <w:rPr>
                <w:rFonts w:cs="Segoe UI Light"/>
                <w:sz w:val="18"/>
              </w:rPr>
              <w:t>68</w:t>
            </w:r>
          </w:p>
        </w:tc>
        <w:tc>
          <w:tcPr>
            <w:tcW w:w="348" w:type="pct"/>
          </w:tcPr>
          <w:p w14:paraId="656B1A7E" w14:textId="2D845ABD" w:rsidR="002A2DFB" w:rsidRPr="00CB51FF" w:rsidRDefault="002A2DFB" w:rsidP="002A2DFB">
            <w:pPr>
              <w:spacing w:after="0"/>
              <w:rPr>
                <w:rFonts w:cs="Segoe UI Light"/>
                <w:sz w:val="18"/>
              </w:rPr>
            </w:pPr>
            <w:r w:rsidRPr="00CB51FF">
              <w:rPr>
                <w:rFonts w:cs="Segoe UI Light"/>
                <w:sz w:val="18"/>
              </w:rPr>
              <w:t xml:space="preserve"> $2,047.44 </w:t>
            </w:r>
          </w:p>
        </w:tc>
        <w:tc>
          <w:tcPr>
            <w:tcW w:w="372" w:type="pct"/>
          </w:tcPr>
          <w:p w14:paraId="656B1A7F" w14:textId="7E53AA5F" w:rsidR="002A2DFB" w:rsidRPr="00CB51FF" w:rsidRDefault="002A2DFB" w:rsidP="002A2DFB">
            <w:pPr>
              <w:spacing w:after="0"/>
              <w:rPr>
                <w:rFonts w:cs="Segoe UI Light"/>
                <w:sz w:val="18"/>
              </w:rPr>
            </w:pPr>
            <w:r w:rsidRPr="00CB51FF">
              <w:rPr>
                <w:rFonts w:cs="Segoe UI Light"/>
                <w:sz w:val="18"/>
              </w:rPr>
              <w:t xml:space="preserve"> $40,94</w:t>
            </w:r>
            <w:r w:rsidR="00024905">
              <w:rPr>
                <w:rFonts w:cs="Segoe UI Light"/>
                <w:sz w:val="18"/>
              </w:rPr>
              <w:t>8.80</w:t>
            </w:r>
            <w:r w:rsidRPr="00CB51FF">
              <w:rPr>
                <w:rFonts w:cs="Segoe UI Light"/>
                <w:sz w:val="18"/>
              </w:rPr>
              <w:t xml:space="preserve"> </w:t>
            </w:r>
          </w:p>
        </w:tc>
        <w:tc>
          <w:tcPr>
            <w:tcW w:w="853" w:type="pct"/>
          </w:tcPr>
          <w:p w14:paraId="656B1A80" w14:textId="77777777" w:rsidR="002A2DFB" w:rsidRPr="00CB51FF" w:rsidRDefault="002A2DFB" w:rsidP="002A2DFB">
            <w:pPr>
              <w:spacing w:after="0"/>
              <w:rPr>
                <w:rFonts w:cs="Segoe UI Light"/>
                <w:sz w:val="18"/>
              </w:rPr>
            </w:pPr>
            <w:r w:rsidRPr="00A07276">
              <w:rPr>
                <w:rFonts w:cs="Segoe UI Light"/>
                <w:sz w:val="18"/>
              </w:rPr>
              <w:t>Flat fee - 141.69 fee units</w:t>
            </w:r>
          </w:p>
        </w:tc>
        <w:tc>
          <w:tcPr>
            <w:tcW w:w="410" w:type="pct"/>
          </w:tcPr>
          <w:p w14:paraId="656B1A81" w14:textId="0142E20F" w:rsidR="002A2DFB" w:rsidRPr="00CB51FF" w:rsidRDefault="002A2DFB" w:rsidP="002A2DFB">
            <w:pPr>
              <w:spacing w:after="0"/>
              <w:rPr>
                <w:rFonts w:cs="Segoe UI Light"/>
                <w:sz w:val="18"/>
              </w:rPr>
            </w:pPr>
            <w:r w:rsidRPr="00CB51FF">
              <w:rPr>
                <w:rFonts w:cs="Segoe UI Light"/>
                <w:sz w:val="18"/>
              </w:rPr>
              <w:t xml:space="preserve"> $2,047.44 </w:t>
            </w:r>
          </w:p>
        </w:tc>
        <w:tc>
          <w:tcPr>
            <w:tcW w:w="353" w:type="pct"/>
          </w:tcPr>
          <w:p w14:paraId="656B1A82" w14:textId="6ABBEE3A" w:rsidR="002A2DFB" w:rsidRPr="00CB51FF" w:rsidRDefault="002A2DFB" w:rsidP="002A2DFB">
            <w:pPr>
              <w:spacing w:after="0"/>
              <w:rPr>
                <w:rFonts w:cs="Segoe UI Light"/>
                <w:sz w:val="18"/>
              </w:rPr>
            </w:pPr>
            <w:r w:rsidRPr="00CB51FF">
              <w:rPr>
                <w:rFonts w:cs="Segoe UI Light"/>
                <w:sz w:val="18"/>
              </w:rPr>
              <w:t xml:space="preserve"> $40,94</w:t>
            </w:r>
            <w:r w:rsidR="00024905">
              <w:rPr>
                <w:rFonts w:cs="Segoe UI Light"/>
                <w:sz w:val="18"/>
              </w:rPr>
              <w:t>8.80</w:t>
            </w:r>
            <w:r w:rsidRPr="00CB51FF">
              <w:rPr>
                <w:rFonts w:cs="Segoe UI Light"/>
                <w:sz w:val="18"/>
              </w:rPr>
              <w:t xml:space="preserve"> </w:t>
            </w:r>
          </w:p>
        </w:tc>
        <w:tc>
          <w:tcPr>
            <w:tcW w:w="303" w:type="pct"/>
          </w:tcPr>
          <w:p w14:paraId="656B1A83"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84" w14:textId="386FC336" w:rsidR="002A2DFB" w:rsidRPr="00EA43C9" w:rsidRDefault="002A2DFB" w:rsidP="002A2DFB">
            <w:pPr>
              <w:spacing w:after="0" w:line="240" w:lineRule="auto"/>
              <w:rPr>
                <w:rFonts w:cs="Segoe UI Light"/>
                <w:sz w:val="16"/>
                <w:szCs w:val="16"/>
              </w:rPr>
            </w:pPr>
            <w:r w:rsidRPr="00EA43C9">
              <w:rPr>
                <w:rFonts w:cs="Segoe UI Light"/>
                <w:sz w:val="16"/>
                <w:szCs w:val="16"/>
              </w:rPr>
              <w:t xml:space="preserve">Same design different fee level </w:t>
            </w:r>
          </w:p>
        </w:tc>
      </w:tr>
      <w:tr w:rsidR="002A2DFB" w:rsidRPr="00A648FA" w14:paraId="656B1A92" w14:textId="77777777" w:rsidTr="00A86267">
        <w:trPr>
          <w:trHeight w:val="216"/>
        </w:trPr>
        <w:tc>
          <w:tcPr>
            <w:tcW w:w="511" w:type="pct"/>
          </w:tcPr>
          <w:p w14:paraId="656B1A86" w14:textId="77777777" w:rsidR="002A2DFB" w:rsidRPr="00A07276" w:rsidRDefault="002A2DFB" w:rsidP="002A2DFB">
            <w:pPr>
              <w:spacing w:after="0"/>
              <w:rPr>
                <w:rFonts w:cs="Segoe UI Light"/>
                <w:sz w:val="18"/>
              </w:rPr>
            </w:pPr>
            <w:r w:rsidRPr="00CB51FF">
              <w:rPr>
                <w:rFonts w:cs="Segoe UI Light"/>
                <w:sz w:val="18"/>
              </w:rPr>
              <w:t>Environmental Audit</w:t>
            </w:r>
          </w:p>
        </w:tc>
        <w:tc>
          <w:tcPr>
            <w:tcW w:w="420" w:type="pct"/>
          </w:tcPr>
          <w:p w14:paraId="656B1A87" w14:textId="2C23EC8E" w:rsidR="002A2DFB" w:rsidRPr="00A07276" w:rsidRDefault="002A2DFB" w:rsidP="002A2DFB">
            <w:pPr>
              <w:spacing w:after="0"/>
              <w:rPr>
                <w:rFonts w:cs="Segoe UI Light"/>
                <w:sz w:val="18"/>
              </w:rPr>
            </w:pPr>
            <w:r w:rsidRPr="00CB51FF">
              <w:rPr>
                <w:rFonts w:cs="Segoe UI Light"/>
                <w:sz w:val="18"/>
              </w:rPr>
              <w:t>Appointment</w:t>
            </w:r>
            <w:r w:rsidR="0002124F">
              <w:rPr>
                <w:rFonts w:cs="Segoe UI Light"/>
                <w:sz w:val="18"/>
              </w:rPr>
              <w:t xml:space="preserve"> </w:t>
            </w:r>
            <w:r w:rsidR="0002124F" w:rsidRPr="0002124F">
              <w:rPr>
                <w:rFonts w:cs="Segoe UI Light"/>
                <w:sz w:val="18"/>
              </w:rPr>
              <w:t>(in accordance with the provisions of the Commonwealth Mutual Recognition Act 1992)</w:t>
            </w:r>
          </w:p>
        </w:tc>
        <w:tc>
          <w:tcPr>
            <w:tcW w:w="412" w:type="pct"/>
          </w:tcPr>
          <w:p w14:paraId="656B1A88" w14:textId="46AF20AE" w:rsidR="002A2DFB" w:rsidRPr="00C94DB9" w:rsidRDefault="002A2DFB" w:rsidP="002A2DFB">
            <w:pPr>
              <w:spacing w:after="0"/>
              <w:rPr>
                <w:rFonts w:cs="Segoe UI Light"/>
                <w:sz w:val="18"/>
              </w:rPr>
            </w:pPr>
            <w:r w:rsidRPr="00C94DB9">
              <w:rPr>
                <w:rFonts w:cs="Segoe UI Light"/>
                <w:sz w:val="18"/>
              </w:rPr>
              <w:t xml:space="preserve">Assessment </w:t>
            </w:r>
          </w:p>
        </w:tc>
        <w:tc>
          <w:tcPr>
            <w:tcW w:w="275" w:type="pct"/>
          </w:tcPr>
          <w:p w14:paraId="656B1A89" w14:textId="77777777" w:rsidR="002A2DFB" w:rsidRPr="00C94DB9" w:rsidRDefault="002A2DFB" w:rsidP="002A2DFB">
            <w:pPr>
              <w:spacing w:after="0"/>
              <w:rPr>
                <w:rFonts w:cs="Segoe UI Light"/>
                <w:sz w:val="18"/>
              </w:rPr>
            </w:pPr>
            <w:r w:rsidRPr="00C94DB9">
              <w:rPr>
                <w:rFonts w:cs="Segoe UI Light"/>
                <w:sz w:val="18"/>
              </w:rPr>
              <w:t>1</w:t>
            </w:r>
          </w:p>
        </w:tc>
        <w:tc>
          <w:tcPr>
            <w:tcW w:w="389" w:type="pct"/>
          </w:tcPr>
          <w:p w14:paraId="656B1A8A" w14:textId="1473760B" w:rsidR="002A2DFB" w:rsidRPr="00C94DB9" w:rsidRDefault="00DD0BFF" w:rsidP="002A2DFB">
            <w:pPr>
              <w:spacing w:after="0"/>
              <w:rPr>
                <w:rFonts w:cs="Segoe UI Light"/>
                <w:sz w:val="18"/>
              </w:rPr>
            </w:pPr>
            <w:r w:rsidRPr="00C94DB9">
              <w:rPr>
                <w:rFonts w:cs="Segoe UI Light"/>
                <w:sz w:val="18"/>
              </w:rPr>
              <w:t>13.08</w:t>
            </w:r>
          </w:p>
        </w:tc>
        <w:tc>
          <w:tcPr>
            <w:tcW w:w="348" w:type="pct"/>
          </w:tcPr>
          <w:p w14:paraId="656B1A8B" w14:textId="4785857B" w:rsidR="002A2DFB" w:rsidRPr="00CB51FF" w:rsidRDefault="002A2DFB" w:rsidP="002A2DFB">
            <w:pPr>
              <w:spacing w:after="0"/>
              <w:rPr>
                <w:rFonts w:cs="Segoe UI Light"/>
                <w:sz w:val="18"/>
              </w:rPr>
            </w:pPr>
            <w:r w:rsidRPr="00CB51FF">
              <w:rPr>
                <w:rFonts w:cs="Segoe UI Light"/>
                <w:sz w:val="18"/>
              </w:rPr>
              <w:t xml:space="preserve"> $1,38</w:t>
            </w:r>
            <w:r w:rsidR="00DD0BFF">
              <w:rPr>
                <w:rFonts w:cs="Segoe UI Light"/>
                <w:sz w:val="18"/>
              </w:rPr>
              <w:t>6.95</w:t>
            </w:r>
            <w:r w:rsidRPr="00CB51FF">
              <w:rPr>
                <w:rFonts w:cs="Segoe UI Light"/>
                <w:sz w:val="18"/>
              </w:rPr>
              <w:t xml:space="preserve"> </w:t>
            </w:r>
          </w:p>
        </w:tc>
        <w:tc>
          <w:tcPr>
            <w:tcW w:w="372" w:type="pct"/>
          </w:tcPr>
          <w:p w14:paraId="656B1A8C" w14:textId="685EAA74" w:rsidR="002A2DFB" w:rsidRPr="00CB51FF" w:rsidRDefault="002A2DFB" w:rsidP="002A2DFB">
            <w:pPr>
              <w:spacing w:after="0"/>
              <w:rPr>
                <w:rFonts w:cs="Segoe UI Light"/>
                <w:sz w:val="18"/>
              </w:rPr>
            </w:pPr>
            <w:r w:rsidRPr="00CB51FF">
              <w:rPr>
                <w:rFonts w:cs="Segoe UI Light"/>
                <w:sz w:val="18"/>
              </w:rPr>
              <w:t xml:space="preserve"> $1,38</w:t>
            </w:r>
            <w:r w:rsidR="00DD0BFF">
              <w:rPr>
                <w:rFonts w:cs="Segoe UI Light"/>
                <w:sz w:val="18"/>
              </w:rPr>
              <w:t>6.95</w:t>
            </w:r>
            <w:r w:rsidRPr="00CB51FF">
              <w:rPr>
                <w:rFonts w:cs="Segoe UI Light"/>
                <w:sz w:val="18"/>
              </w:rPr>
              <w:t xml:space="preserve"> </w:t>
            </w:r>
          </w:p>
        </w:tc>
        <w:tc>
          <w:tcPr>
            <w:tcW w:w="853" w:type="pct"/>
          </w:tcPr>
          <w:p w14:paraId="656B1A8D" w14:textId="77777777" w:rsidR="002A2DFB" w:rsidRPr="00CB51FF" w:rsidRDefault="002A2DFB" w:rsidP="002A2DFB">
            <w:pPr>
              <w:spacing w:after="0"/>
              <w:rPr>
                <w:rFonts w:cs="Segoe UI Light"/>
                <w:sz w:val="18"/>
              </w:rPr>
            </w:pPr>
            <w:r w:rsidRPr="00A07276">
              <w:rPr>
                <w:rFonts w:cs="Segoe UI Light"/>
                <w:sz w:val="18"/>
              </w:rPr>
              <w:t>No fee</w:t>
            </w:r>
          </w:p>
        </w:tc>
        <w:tc>
          <w:tcPr>
            <w:tcW w:w="410" w:type="pct"/>
          </w:tcPr>
          <w:p w14:paraId="656B1A8E" w14:textId="77777777" w:rsidR="002A2DFB" w:rsidRPr="00CB51FF" w:rsidRDefault="002A2DFB" w:rsidP="002A2DFB">
            <w:pPr>
              <w:spacing w:after="0"/>
              <w:rPr>
                <w:rFonts w:cs="Segoe UI Light"/>
                <w:sz w:val="18"/>
              </w:rPr>
            </w:pPr>
            <w:r w:rsidRPr="00CB51FF">
              <w:rPr>
                <w:rFonts w:cs="Segoe UI Light"/>
                <w:sz w:val="18"/>
              </w:rPr>
              <w:t xml:space="preserve"> -</w:t>
            </w:r>
            <w:r>
              <w:rPr>
                <w:rFonts w:cs="Segoe UI Light"/>
                <w:sz w:val="18"/>
              </w:rPr>
              <w:t xml:space="preserve"> </w:t>
            </w:r>
            <w:r w:rsidRPr="00CB51FF">
              <w:rPr>
                <w:rFonts w:cs="Segoe UI Light"/>
                <w:sz w:val="18"/>
              </w:rPr>
              <w:t xml:space="preserve"> </w:t>
            </w:r>
          </w:p>
        </w:tc>
        <w:tc>
          <w:tcPr>
            <w:tcW w:w="353" w:type="pct"/>
          </w:tcPr>
          <w:p w14:paraId="656B1A8F" w14:textId="77777777" w:rsidR="002A2DFB" w:rsidRPr="00CB51FF" w:rsidRDefault="002A2DFB" w:rsidP="002A2DFB">
            <w:pPr>
              <w:spacing w:after="0"/>
              <w:rPr>
                <w:rFonts w:cs="Segoe UI Light"/>
                <w:sz w:val="18"/>
              </w:rPr>
            </w:pPr>
            <w:r w:rsidRPr="00CB51FF">
              <w:rPr>
                <w:rFonts w:cs="Segoe UI Light"/>
                <w:sz w:val="18"/>
              </w:rPr>
              <w:t xml:space="preserve"> -</w:t>
            </w:r>
            <w:r>
              <w:rPr>
                <w:rFonts w:cs="Segoe UI Light"/>
                <w:sz w:val="18"/>
              </w:rPr>
              <w:t xml:space="preserve"> </w:t>
            </w:r>
            <w:r w:rsidRPr="00CB51FF">
              <w:rPr>
                <w:rFonts w:cs="Segoe UI Light"/>
                <w:sz w:val="18"/>
              </w:rPr>
              <w:t xml:space="preserve"> </w:t>
            </w:r>
          </w:p>
        </w:tc>
        <w:tc>
          <w:tcPr>
            <w:tcW w:w="303" w:type="pct"/>
          </w:tcPr>
          <w:p w14:paraId="656B1A90" w14:textId="77777777" w:rsidR="002A2DFB" w:rsidRPr="00CB51FF" w:rsidRDefault="002A2DFB" w:rsidP="002A2DFB">
            <w:pPr>
              <w:spacing w:after="0"/>
              <w:rPr>
                <w:rFonts w:cs="Segoe UI Light"/>
                <w:sz w:val="18"/>
              </w:rPr>
            </w:pPr>
            <w:r w:rsidRPr="00CB51FF">
              <w:rPr>
                <w:rFonts w:cs="Segoe UI Light"/>
                <w:sz w:val="18"/>
              </w:rPr>
              <w:t>0%</w:t>
            </w:r>
          </w:p>
        </w:tc>
        <w:tc>
          <w:tcPr>
            <w:tcW w:w="354" w:type="pct"/>
          </w:tcPr>
          <w:p w14:paraId="656B1A91" w14:textId="77777777" w:rsidR="002A2DFB" w:rsidRPr="00EA43C9" w:rsidRDefault="002A2DFB" w:rsidP="002A2DFB">
            <w:pPr>
              <w:spacing w:after="0" w:line="240" w:lineRule="auto"/>
              <w:rPr>
                <w:rFonts w:cs="Segoe UI Light"/>
                <w:sz w:val="16"/>
                <w:szCs w:val="16"/>
              </w:rPr>
            </w:pPr>
            <w:r w:rsidRPr="00EA43C9">
              <w:rPr>
                <w:rFonts w:cs="Segoe UI Light"/>
                <w:sz w:val="16"/>
                <w:szCs w:val="16"/>
              </w:rPr>
              <w:t>NA</w:t>
            </w:r>
          </w:p>
        </w:tc>
      </w:tr>
      <w:tr w:rsidR="002A2DFB" w:rsidRPr="00A648FA" w14:paraId="656B1A9F" w14:textId="77777777" w:rsidTr="00A86267">
        <w:trPr>
          <w:trHeight w:val="216"/>
        </w:trPr>
        <w:tc>
          <w:tcPr>
            <w:tcW w:w="511" w:type="pct"/>
          </w:tcPr>
          <w:p w14:paraId="656B1A93" w14:textId="77777777" w:rsidR="002A2DFB" w:rsidRPr="00A07276" w:rsidRDefault="002A2DFB" w:rsidP="002A2DFB">
            <w:pPr>
              <w:spacing w:after="0"/>
              <w:rPr>
                <w:rFonts w:cs="Segoe UI Light"/>
                <w:sz w:val="18"/>
              </w:rPr>
            </w:pPr>
            <w:r w:rsidRPr="00CB51FF">
              <w:rPr>
                <w:rFonts w:cs="Segoe UI Light"/>
                <w:sz w:val="18"/>
              </w:rPr>
              <w:t>Environmental Audit</w:t>
            </w:r>
          </w:p>
        </w:tc>
        <w:tc>
          <w:tcPr>
            <w:tcW w:w="420" w:type="pct"/>
          </w:tcPr>
          <w:p w14:paraId="656B1A94" w14:textId="77777777" w:rsidR="002A2DFB" w:rsidRPr="00A07276" w:rsidRDefault="002A2DFB" w:rsidP="002A2DFB">
            <w:pPr>
              <w:spacing w:after="0"/>
              <w:rPr>
                <w:rFonts w:cs="Segoe UI Light"/>
                <w:sz w:val="18"/>
              </w:rPr>
            </w:pPr>
            <w:r w:rsidRPr="00CB51FF">
              <w:rPr>
                <w:rFonts w:cs="Segoe UI Light"/>
                <w:sz w:val="18"/>
              </w:rPr>
              <w:t>Appointment</w:t>
            </w:r>
          </w:p>
        </w:tc>
        <w:tc>
          <w:tcPr>
            <w:tcW w:w="412" w:type="pct"/>
          </w:tcPr>
          <w:p w14:paraId="656B1A95" w14:textId="12BE1E21" w:rsidR="002A2DFB" w:rsidRPr="00CB51FF" w:rsidRDefault="0002124F" w:rsidP="002A2DFB">
            <w:pPr>
              <w:spacing w:after="0"/>
              <w:rPr>
                <w:rFonts w:cs="Segoe UI Light"/>
                <w:sz w:val="18"/>
              </w:rPr>
            </w:pPr>
            <w:r>
              <w:rPr>
                <w:rFonts w:cs="Segoe UI Light"/>
                <w:sz w:val="18"/>
              </w:rPr>
              <w:t>Administrative and technical support services</w:t>
            </w:r>
          </w:p>
        </w:tc>
        <w:tc>
          <w:tcPr>
            <w:tcW w:w="275" w:type="pct"/>
          </w:tcPr>
          <w:p w14:paraId="656B1A96" w14:textId="77777777" w:rsidR="002A2DFB" w:rsidRPr="00CB51FF" w:rsidRDefault="002A2DFB" w:rsidP="002A2DFB">
            <w:pPr>
              <w:spacing w:after="0"/>
              <w:rPr>
                <w:rFonts w:cs="Segoe UI Light"/>
                <w:sz w:val="18"/>
              </w:rPr>
            </w:pPr>
            <w:r w:rsidRPr="00CB51FF">
              <w:rPr>
                <w:rFonts w:cs="Segoe UI Light"/>
                <w:sz w:val="18"/>
              </w:rPr>
              <w:t>22</w:t>
            </w:r>
          </w:p>
        </w:tc>
        <w:tc>
          <w:tcPr>
            <w:tcW w:w="389" w:type="pct"/>
          </w:tcPr>
          <w:p w14:paraId="656B1A97" w14:textId="22968060" w:rsidR="002A2DFB" w:rsidRPr="00CB51FF" w:rsidRDefault="002A2DFB" w:rsidP="002A2DFB">
            <w:pPr>
              <w:spacing w:after="0"/>
              <w:rPr>
                <w:rFonts w:cs="Segoe UI Light"/>
                <w:sz w:val="18"/>
              </w:rPr>
            </w:pPr>
            <w:r w:rsidRPr="00CB51FF">
              <w:rPr>
                <w:rFonts w:cs="Segoe UI Light"/>
                <w:sz w:val="18"/>
              </w:rPr>
              <w:t>68.</w:t>
            </w:r>
            <w:r w:rsidR="0002124F">
              <w:rPr>
                <w:rFonts w:cs="Segoe UI Light"/>
                <w:sz w:val="18"/>
              </w:rPr>
              <w:t>58</w:t>
            </w:r>
          </w:p>
        </w:tc>
        <w:tc>
          <w:tcPr>
            <w:tcW w:w="348" w:type="pct"/>
          </w:tcPr>
          <w:p w14:paraId="656B1A98" w14:textId="19932B33" w:rsidR="002A2DFB" w:rsidRPr="00CB51FF" w:rsidRDefault="002A2DFB" w:rsidP="002A2DFB">
            <w:pPr>
              <w:spacing w:after="0"/>
              <w:rPr>
                <w:rFonts w:cs="Segoe UI Light"/>
                <w:sz w:val="18"/>
              </w:rPr>
            </w:pPr>
            <w:r w:rsidRPr="00CB51FF">
              <w:rPr>
                <w:rFonts w:cs="Segoe UI Light"/>
                <w:sz w:val="18"/>
              </w:rPr>
              <w:t xml:space="preserve"> $7,412.77 </w:t>
            </w:r>
          </w:p>
        </w:tc>
        <w:tc>
          <w:tcPr>
            <w:tcW w:w="372" w:type="pct"/>
          </w:tcPr>
          <w:p w14:paraId="656B1A99" w14:textId="02C7B90C" w:rsidR="002A2DFB" w:rsidRPr="00CB51FF" w:rsidRDefault="002A2DFB" w:rsidP="002A2DFB">
            <w:pPr>
              <w:spacing w:after="0"/>
              <w:rPr>
                <w:rFonts w:cs="Segoe UI Light"/>
                <w:sz w:val="18"/>
              </w:rPr>
            </w:pPr>
            <w:r w:rsidRPr="00CB51FF">
              <w:rPr>
                <w:rFonts w:cs="Segoe UI Light"/>
                <w:sz w:val="18"/>
              </w:rPr>
              <w:t xml:space="preserve"> $163,08</w:t>
            </w:r>
            <w:r w:rsidR="00024905">
              <w:rPr>
                <w:rFonts w:cs="Segoe UI Light"/>
                <w:sz w:val="18"/>
              </w:rPr>
              <w:t>0.94</w:t>
            </w:r>
            <w:r w:rsidRPr="00CB51FF">
              <w:rPr>
                <w:rFonts w:cs="Segoe UI Light"/>
                <w:sz w:val="18"/>
              </w:rPr>
              <w:t xml:space="preserve"> </w:t>
            </w:r>
          </w:p>
        </w:tc>
        <w:tc>
          <w:tcPr>
            <w:tcW w:w="853" w:type="pct"/>
          </w:tcPr>
          <w:p w14:paraId="656B1A9A" w14:textId="77777777" w:rsidR="002A2DFB" w:rsidRPr="00CB51FF" w:rsidRDefault="002A2DFB" w:rsidP="002A2DFB">
            <w:pPr>
              <w:spacing w:after="0"/>
              <w:rPr>
                <w:rFonts w:cs="Segoe UI Light"/>
                <w:sz w:val="18"/>
              </w:rPr>
            </w:pPr>
            <w:r w:rsidRPr="00A07276">
              <w:rPr>
                <w:rFonts w:cs="Segoe UI Light"/>
                <w:sz w:val="18"/>
              </w:rPr>
              <w:t>Flat fee - 512.99 fee units</w:t>
            </w:r>
          </w:p>
        </w:tc>
        <w:tc>
          <w:tcPr>
            <w:tcW w:w="410" w:type="pct"/>
          </w:tcPr>
          <w:p w14:paraId="656B1A9B" w14:textId="7D5DEA5E" w:rsidR="002A2DFB" w:rsidRPr="00CB51FF" w:rsidRDefault="002A2DFB" w:rsidP="002A2DFB">
            <w:pPr>
              <w:spacing w:after="0"/>
              <w:rPr>
                <w:rFonts w:cs="Segoe UI Light"/>
                <w:sz w:val="18"/>
              </w:rPr>
            </w:pPr>
            <w:r w:rsidRPr="00CB51FF">
              <w:rPr>
                <w:rFonts w:cs="Segoe UI Light"/>
                <w:sz w:val="18"/>
              </w:rPr>
              <w:t xml:space="preserve"> $7,412.77 </w:t>
            </w:r>
          </w:p>
        </w:tc>
        <w:tc>
          <w:tcPr>
            <w:tcW w:w="353" w:type="pct"/>
          </w:tcPr>
          <w:p w14:paraId="656B1A9C" w14:textId="4312B07D" w:rsidR="002A2DFB" w:rsidRPr="00CB51FF" w:rsidRDefault="002A2DFB" w:rsidP="002A2DFB">
            <w:pPr>
              <w:spacing w:after="0"/>
              <w:rPr>
                <w:rFonts w:cs="Segoe UI Light"/>
                <w:sz w:val="18"/>
              </w:rPr>
            </w:pPr>
            <w:r w:rsidRPr="00CB51FF">
              <w:rPr>
                <w:rFonts w:cs="Segoe UI Light"/>
                <w:sz w:val="18"/>
              </w:rPr>
              <w:t xml:space="preserve"> $163,08</w:t>
            </w:r>
            <w:r w:rsidR="00024905">
              <w:rPr>
                <w:rFonts w:cs="Segoe UI Light"/>
                <w:sz w:val="18"/>
              </w:rPr>
              <w:t>0.94</w:t>
            </w:r>
            <w:r w:rsidRPr="00CB51FF">
              <w:rPr>
                <w:rFonts w:cs="Segoe UI Light"/>
                <w:sz w:val="18"/>
              </w:rPr>
              <w:t xml:space="preserve"> </w:t>
            </w:r>
          </w:p>
        </w:tc>
        <w:tc>
          <w:tcPr>
            <w:tcW w:w="303" w:type="pct"/>
          </w:tcPr>
          <w:p w14:paraId="656B1A9D"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9E" w14:textId="77777777" w:rsidR="002A2DFB" w:rsidRPr="00EA43C9" w:rsidRDefault="002A2DFB" w:rsidP="002A2DFB">
            <w:pPr>
              <w:spacing w:after="0" w:line="240" w:lineRule="auto"/>
              <w:rPr>
                <w:rFonts w:cs="Segoe UI Light"/>
                <w:sz w:val="16"/>
                <w:szCs w:val="16"/>
              </w:rPr>
            </w:pPr>
            <w:r w:rsidRPr="00EA43C9">
              <w:rPr>
                <w:rFonts w:cs="Segoe UI Light"/>
                <w:sz w:val="16"/>
                <w:szCs w:val="16"/>
              </w:rPr>
              <w:t>New fee</w:t>
            </w:r>
          </w:p>
        </w:tc>
      </w:tr>
      <w:tr w:rsidR="002A2DFB" w:rsidRPr="00A648FA" w14:paraId="656B1AAC" w14:textId="77777777" w:rsidTr="00A86267">
        <w:trPr>
          <w:trHeight w:val="216"/>
        </w:trPr>
        <w:tc>
          <w:tcPr>
            <w:tcW w:w="511" w:type="pct"/>
          </w:tcPr>
          <w:p w14:paraId="656B1AA0" w14:textId="77777777" w:rsidR="002A2DFB" w:rsidRPr="00A07276" w:rsidRDefault="002A2DFB" w:rsidP="002A2DFB">
            <w:pPr>
              <w:spacing w:after="0"/>
              <w:rPr>
                <w:rFonts w:cs="Segoe UI Light"/>
                <w:sz w:val="18"/>
              </w:rPr>
            </w:pPr>
            <w:r w:rsidRPr="00CB51FF">
              <w:rPr>
                <w:rFonts w:cs="Segoe UI Light"/>
                <w:sz w:val="18"/>
              </w:rPr>
              <w:t>Environmental Audit</w:t>
            </w:r>
          </w:p>
        </w:tc>
        <w:tc>
          <w:tcPr>
            <w:tcW w:w="420" w:type="pct"/>
          </w:tcPr>
          <w:p w14:paraId="656B1AA1" w14:textId="77777777" w:rsidR="002A2DFB" w:rsidRPr="00A07276" w:rsidRDefault="002A2DFB" w:rsidP="002A2DFB">
            <w:pPr>
              <w:spacing w:after="0"/>
              <w:rPr>
                <w:rFonts w:cs="Segoe UI Light"/>
                <w:sz w:val="18"/>
              </w:rPr>
            </w:pPr>
            <w:r w:rsidRPr="00CB51FF">
              <w:rPr>
                <w:rFonts w:cs="Segoe UI Light"/>
                <w:sz w:val="18"/>
              </w:rPr>
              <w:t>Reappointment</w:t>
            </w:r>
          </w:p>
        </w:tc>
        <w:tc>
          <w:tcPr>
            <w:tcW w:w="412" w:type="pct"/>
          </w:tcPr>
          <w:p w14:paraId="656B1AA2" w14:textId="77777777" w:rsidR="002A2DFB" w:rsidRPr="00CB51FF" w:rsidRDefault="002A2DFB" w:rsidP="002A2DFB">
            <w:pPr>
              <w:spacing w:after="0"/>
              <w:rPr>
                <w:rFonts w:cs="Segoe UI Light"/>
                <w:sz w:val="18"/>
              </w:rPr>
            </w:pPr>
            <w:r w:rsidRPr="00CB51FF">
              <w:rPr>
                <w:rFonts w:cs="Segoe UI Light"/>
                <w:sz w:val="18"/>
              </w:rPr>
              <w:t>Assessment</w:t>
            </w:r>
          </w:p>
        </w:tc>
        <w:tc>
          <w:tcPr>
            <w:tcW w:w="275" w:type="pct"/>
          </w:tcPr>
          <w:p w14:paraId="656B1AA3" w14:textId="77777777" w:rsidR="002A2DFB" w:rsidRPr="00CB51FF" w:rsidRDefault="002A2DFB" w:rsidP="002A2DFB">
            <w:pPr>
              <w:spacing w:after="0"/>
              <w:rPr>
                <w:rFonts w:cs="Segoe UI Light"/>
                <w:sz w:val="18"/>
              </w:rPr>
            </w:pPr>
            <w:r w:rsidRPr="00CB51FF">
              <w:rPr>
                <w:rFonts w:cs="Segoe UI Light"/>
                <w:sz w:val="18"/>
              </w:rPr>
              <w:t>21</w:t>
            </w:r>
          </w:p>
        </w:tc>
        <w:tc>
          <w:tcPr>
            <w:tcW w:w="389" w:type="pct"/>
          </w:tcPr>
          <w:p w14:paraId="656B1AA4" w14:textId="3F098EEB" w:rsidR="002A2DFB" w:rsidRPr="00CB51FF" w:rsidRDefault="002A2DFB" w:rsidP="002A2DFB">
            <w:pPr>
              <w:spacing w:after="0"/>
              <w:rPr>
                <w:rFonts w:cs="Segoe UI Light"/>
                <w:sz w:val="18"/>
              </w:rPr>
            </w:pPr>
            <w:r w:rsidRPr="00CB51FF">
              <w:rPr>
                <w:rFonts w:cs="Segoe UI Light"/>
                <w:sz w:val="18"/>
              </w:rPr>
              <w:t>23.</w:t>
            </w:r>
            <w:r w:rsidR="00E6076D">
              <w:rPr>
                <w:rFonts w:cs="Segoe UI Light"/>
                <w:sz w:val="18"/>
              </w:rPr>
              <w:t>58</w:t>
            </w:r>
          </w:p>
        </w:tc>
        <w:tc>
          <w:tcPr>
            <w:tcW w:w="348" w:type="pct"/>
          </w:tcPr>
          <w:p w14:paraId="656B1AA5" w14:textId="4D8C4B0F" w:rsidR="002A2DFB" w:rsidRPr="00CB51FF" w:rsidRDefault="002A2DFB" w:rsidP="002A2DFB">
            <w:pPr>
              <w:spacing w:after="0"/>
              <w:rPr>
                <w:rFonts w:cs="Segoe UI Light"/>
                <w:sz w:val="18"/>
              </w:rPr>
            </w:pPr>
            <w:r w:rsidRPr="00CB51FF">
              <w:rPr>
                <w:rFonts w:cs="Segoe UI Light"/>
                <w:sz w:val="18"/>
              </w:rPr>
              <w:t xml:space="preserve"> $2,550.03 </w:t>
            </w:r>
          </w:p>
        </w:tc>
        <w:tc>
          <w:tcPr>
            <w:tcW w:w="372" w:type="pct"/>
          </w:tcPr>
          <w:p w14:paraId="656B1AA6" w14:textId="6CBCA03D" w:rsidR="002A2DFB" w:rsidRPr="00CB51FF" w:rsidRDefault="002A2DFB" w:rsidP="002A2DFB">
            <w:pPr>
              <w:spacing w:after="0"/>
              <w:rPr>
                <w:rFonts w:cs="Segoe UI Light"/>
                <w:sz w:val="18"/>
              </w:rPr>
            </w:pPr>
            <w:r w:rsidRPr="00CB51FF">
              <w:rPr>
                <w:rFonts w:cs="Segoe UI Light"/>
                <w:sz w:val="18"/>
              </w:rPr>
              <w:t xml:space="preserve"> $53,55</w:t>
            </w:r>
            <w:r w:rsidR="00024905">
              <w:rPr>
                <w:rFonts w:cs="Segoe UI Light"/>
                <w:sz w:val="18"/>
              </w:rPr>
              <w:t>0.63</w:t>
            </w:r>
            <w:r w:rsidRPr="00CB51FF">
              <w:rPr>
                <w:rFonts w:cs="Segoe UI Light"/>
                <w:sz w:val="18"/>
              </w:rPr>
              <w:t xml:space="preserve"> </w:t>
            </w:r>
          </w:p>
        </w:tc>
        <w:tc>
          <w:tcPr>
            <w:tcW w:w="853" w:type="pct"/>
          </w:tcPr>
          <w:p w14:paraId="656B1AA7" w14:textId="77777777" w:rsidR="002A2DFB" w:rsidRPr="00CB51FF" w:rsidRDefault="002A2DFB" w:rsidP="002A2DFB">
            <w:pPr>
              <w:spacing w:after="0"/>
              <w:rPr>
                <w:rFonts w:cs="Segoe UI Light"/>
                <w:sz w:val="18"/>
              </w:rPr>
            </w:pPr>
            <w:r w:rsidRPr="00A07276">
              <w:rPr>
                <w:rFonts w:cs="Segoe UI Light"/>
                <w:sz w:val="18"/>
              </w:rPr>
              <w:t>Flat fee - 176.47 fee units</w:t>
            </w:r>
          </w:p>
        </w:tc>
        <w:tc>
          <w:tcPr>
            <w:tcW w:w="410" w:type="pct"/>
          </w:tcPr>
          <w:p w14:paraId="656B1AA8" w14:textId="1AA4B895" w:rsidR="002A2DFB" w:rsidRPr="00CB51FF" w:rsidRDefault="002A2DFB" w:rsidP="002A2DFB">
            <w:pPr>
              <w:spacing w:after="0"/>
              <w:rPr>
                <w:rFonts w:cs="Segoe UI Light"/>
                <w:sz w:val="18"/>
              </w:rPr>
            </w:pPr>
            <w:r w:rsidRPr="00CB51FF">
              <w:rPr>
                <w:rFonts w:cs="Segoe UI Light"/>
                <w:sz w:val="18"/>
              </w:rPr>
              <w:t xml:space="preserve"> $2,550.03 </w:t>
            </w:r>
          </w:p>
        </w:tc>
        <w:tc>
          <w:tcPr>
            <w:tcW w:w="353" w:type="pct"/>
          </w:tcPr>
          <w:p w14:paraId="656B1AA9" w14:textId="1B5C4052" w:rsidR="002A2DFB" w:rsidRPr="00CB51FF" w:rsidRDefault="002A2DFB" w:rsidP="002A2DFB">
            <w:pPr>
              <w:spacing w:after="0"/>
              <w:rPr>
                <w:rFonts w:cs="Segoe UI Light"/>
                <w:sz w:val="18"/>
              </w:rPr>
            </w:pPr>
            <w:r w:rsidRPr="00CB51FF">
              <w:rPr>
                <w:rFonts w:cs="Segoe UI Light"/>
                <w:sz w:val="18"/>
              </w:rPr>
              <w:t xml:space="preserve"> $53,55</w:t>
            </w:r>
            <w:r w:rsidR="00024905">
              <w:rPr>
                <w:rFonts w:cs="Segoe UI Light"/>
                <w:sz w:val="18"/>
              </w:rPr>
              <w:t>0.63</w:t>
            </w:r>
            <w:r w:rsidRPr="00CB51FF">
              <w:rPr>
                <w:rFonts w:cs="Segoe UI Light"/>
                <w:sz w:val="18"/>
              </w:rPr>
              <w:t xml:space="preserve"> </w:t>
            </w:r>
          </w:p>
        </w:tc>
        <w:tc>
          <w:tcPr>
            <w:tcW w:w="303" w:type="pct"/>
          </w:tcPr>
          <w:p w14:paraId="656B1AAA"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AB" w14:textId="686568CB" w:rsidR="002A2DFB" w:rsidRPr="00EA43C9" w:rsidRDefault="002A2DFB" w:rsidP="002A2DFB">
            <w:pPr>
              <w:spacing w:after="0" w:line="240" w:lineRule="auto"/>
              <w:rPr>
                <w:rFonts w:cs="Segoe UI Light"/>
                <w:sz w:val="16"/>
                <w:szCs w:val="16"/>
              </w:rPr>
            </w:pPr>
            <w:r w:rsidRPr="00EA43C9">
              <w:rPr>
                <w:rFonts w:cs="Segoe UI Light"/>
                <w:sz w:val="16"/>
                <w:szCs w:val="16"/>
              </w:rPr>
              <w:t>Same design different fee level.</w:t>
            </w:r>
          </w:p>
        </w:tc>
      </w:tr>
      <w:tr w:rsidR="002A2DFB" w:rsidRPr="00A648FA" w14:paraId="656B1AB9" w14:textId="77777777" w:rsidTr="00A86267">
        <w:trPr>
          <w:trHeight w:val="216"/>
        </w:trPr>
        <w:tc>
          <w:tcPr>
            <w:tcW w:w="511" w:type="pct"/>
          </w:tcPr>
          <w:p w14:paraId="656B1AAD" w14:textId="77777777" w:rsidR="002A2DFB" w:rsidRPr="00A07276" w:rsidRDefault="002A2DFB" w:rsidP="002A2DFB">
            <w:pPr>
              <w:spacing w:after="0"/>
              <w:rPr>
                <w:rFonts w:cs="Segoe UI Light"/>
                <w:sz w:val="18"/>
              </w:rPr>
            </w:pPr>
            <w:r w:rsidRPr="00CB51FF">
              <w:rPr>
                <w:rFonts w:cs="Segoe UI Light"/>
                <w:sz w:val="18"/>
              </w:rPr>
              <w:t>Environmental Audit</w:t>
            </w:r>
          </w:p>
        </w:tc>
        <w:tc>
          <w:tcPr>
            <w:tcW w:w="420" w:type="pct"/>
          </w:tcPr>
          <w:p w14:paraId="656B1AAE" w14:textId="77777777" w:rsidR="002A2DFB" w:rsidRPr="00A07276" w:rsidRDefault="002A2DFB" w:rsidP="002A2DFB">
            <w:pPr>
              <w:spacing w:after="0"/>
              <w:rPr>
                <w:rFonts w:cs="Segoe UI Light"/>
                <w:sz w:val="18"/>
              </w:rPr>
            </w:pPr>
            <w:r w:rsidRPr="00CB51FF">
              <w:rPr>
                <w:rFonts w:cs="Segoe UI Light"/>
                <w:sz w:val="18"/>
              </w:rPr>
              <w:t>Reappointment</w:t>
            </w:r>
          </w:p>
        </w:tc>
        <w:tc>
          <w:tcPr>
            <w:tcW w:w="412" w:type="pct"/>
          </w:tcPr>
          <w:p w14:paraId="656B1AAF" w14:textId="3D1C3C84" w:rsidR="002A2DFB" w:rsidRPr="00CB51FF" w:rsidRDefault="00E6076D" w:rsidP="002A2DFB">
            <w:pPr>
              <w:spacing w:after="0"/>
              <w:rPr>
                <w:rFonts w:cs="Segoe UI Light"/>
                <w:sz w:val="18"/>
              </w:rPr>
            </w:pPr>
            <w:r>
              <w:rPr>
                <w:rFonts w:cs="Segoe UI Light"/>
                <w:sz w:val="18"/>
              </w:rPr>
              <w:t>Administrative and technical support services</w:t>
            </w:r>
          </w:p>
        </w:tc>
        <w:tc>
          <w:tcPr>
            <w:tcW w:w="275" w:type="pct"/>
          </w:tcPr>
          <w:p w14:paraId="656B1AB0" w14:textId="77777777" w:rsidR="002A2DFB" w:rsidRPr="00CB51FF" w:rsidRDefault="002A2DFB" w:rsidP="002A2DFB">
            <w:pPr>
              <w:spacing w:after="0"/>
              <w:rPr>
                <w:rFonts w:cs="Segoe UI Light"/>
                <w:sz w:val="18"/>
              </w:rPr>
            </w:pPr>
            <w:r w:rsidRPr="00CB51FF">
              <w:rPr>
                <w:rFonts w:cs="Segoe UI Light"/>
                <w:sz w:val="18"/>
              </w:rPr>
              <w:t>21</w:t>
            </w:r>
          </w:p>
        </w:tc>
        <w:tc>
          <w:tcPr>
            <w:tcW w:w="389" w:type="pct"/>
          </w:tcPr>
          <w:p w14:paraId="656B1AB1" w14:textId="7F4A6CAA" w:rsidR="002A2DFB" w:rsidRPr="00CB51FF" w:rsidRDefault="002A2DFB" w:rsidP="002A2DFB">
            <w:pPr>
              <w:spacing w:after="0"/>
              <w:rPr>
                <w:rFonts w:cs="Segoe UI Light"/>
                <w:sz w:val="18"/>
              </w:rPr>
            </w:pPr>
            <w:r w:rsidRPr="00CB51FF">
              <w:rPr>
                <w:rFonts w:cs="Segoe UI Light"/>
                <w:sz w:val="18"/>
              </w:rPr>
              <w:t>60.</w:t>
            </w:r>
            <w:r w:rsidR="00024905">
              <w:rPr>
                <w:rFonts w:cs="Segoe UI Light"/>
                <w:sz w:val="18"/>
              </w:rPr>
              <w:t>58</w:t>
            </w:r>
          </w:p>
        </w:tc>
        <w:tc>
          <w:tcPr>
            <w:tcW w:w="348" w:type="pct"/>
          </w:tcPr>
          <w:p w14:paraId="656B1AB2" w14:textId="0400F713" w:rsidR="002A2DFB" w:rsidRPr="00CB51FF" w:rsidRDefault="002A2DFB" w:rsidP="002A2DFB">
            <w:pPr>
              <w:spacing w:after="0"/>
              <w:rPr>
                <w:rFonts w:cs="Segoe UI Light"/>
                <w:sz w:val="18"/>
              </w:rPr>
            </w:pPr>
            <w:r w:rsidRPr="00CB51FF">
              <w:rPr>
                <w:rFonts w:cs="Segoe UI Light"/>
                <w:sz w:val="18"/>
              </w:rPr>
              <w:t xml:space="preserve"> $6,630.83 </w:t>
            </w:r>
          </w:p>
        </w:tc>
        <w:tc>
          <w:tcPr>
            <w:tcW w:w="372" w:type="pct"/>
          </w:tcPr>
          <w:p w14:paraId="656B1AB3" w14:textId="21521AEF" w:rsidR="002A2DFB" w:rsidRPr="00CB51FF" w:rsidRDefault="002A2DFB" w:rsidP="002A2DFB">
            <w:pPr>
              <w:spacing w:after="0"/>
              <w:rPr>
                <w:rFonts w:cs="Segoe UI Light"/>
                <w:sz w:val="18"/>
              </w:rPr>
            </w:pPr>
            <w:r w:rsidRPr="00CB51FF">
              <w:rPr>
                <w:rFonts w:cs="Segoe UI Light"/>
                <w:sz w:val="18"/>
              </w:rPr>
              <w:t xml:space="preserve"> $139,247</w:t>
            </w:r>
            <w:r w:rsidR="00651BFA">
              <w:rPr>
                <w:rFonts w:cs="Segoe UI Light"/>
                <w:sz w:val="18"/>
              </w:rPr>
              <w:t>.43</w:t>
            </w:r>
            <w:r w:rsidRPr="00CB51FF">
              <w:rPr>
                <w:rFonts w:cs="Segoe UI Light"/>
                <w:sz w:val="18"/>
              </w:rPr>
              <w:t xml:space="preserve"> </w:t>
            </w:r>
          </w:p>
        </w:tc>
        <w:tc>
          <w:tcPr>
            <w:tcW w:w="853" w:type="pct"/>
          </w:tcPr>
          <w:p w14:paraId="656B1AB4" w14:textId="77777777" w:rsidR="002A2DFB" w:rsidRPr="00CB51FF" w:rsidRDefault="002A2DFB" w:rsidP="002A2DFB">
            <w:pPr>
              <w:spacing w:after="0"/>
              <w:rPr>
                <w:rFonts w:cs="Segoe UI Light"/>
                <w:sz w:val="18"/>
              </w:rPr>
            </w:pPr>
            <w:r w:rsidRPr="00A07276">
              <w:rPr>
                <w:rFonts w:cs="Segoe UI Light"/>
                <w:sz w:val="18"/>
              </w:rPr>
              <w:t>Flat fee - 458.88 fee units</w:t>
            </w:r>
          </w:p>
        </w:tc>
        <w:tc>
          <w:tcPr>
            <w:tcW w:w="410" w:type="pct"/>
          </w:tcPr>
          <w:p w14:paraId="656B1AB5" w14:textId="34134522" w:rsidR="002A2DFB" w:rsidRPr="00CB51FF" w:rsidRDefault="002A2DFB" w:rsidP="002A2DFB">
            <w:pPr>
              <w:spacing w:after="0"/>
              <w:rPr>
                <w:rFonts w:cs="Segoe UI Light"/>
                <w:sz w:val="18"/>
              </w:rPr>
            </w:pPr>
            <w:r w:rsidRPr="00CB51FF">
              <w:rPr>
                <w:rFonts w:cs="Segoe UI Light"/>
                <w:sz w:val="18"/>
              </w:rPr>
              <w:t xml:space="preserve"> $6,630.83 </w:t>
            </w:r>
          </w:p>
        </w:tc>
        <w:tc>
          <w:tcPr>
            <w:tcW w:w="353" w:type="pct"/>
          </w:tcPr>
          <w:p w14:paraId="656B1AB6" w14:textId="68530269" w:rsidR="002A2DFB" w:rsidRPr="00CB51FF" w:rsidRDefault="002A2DFB" w:rsidP="002A2DFB">
            <w:pPr>
              <w:spacing w:after="0"/>
              <w:rPr>
                <w:rFonts w:cs="Segoe UI Light"/>
                <w:sz w:val="18"/>
              </w:rPr>
            </w:pPr>
            <w:r w:rsidRPr="00CB51FF">
              <w:rPr>
                <w:rFonts w:cs="Segoe UI Light"/>
                <w:sz w:val="18"/>
              </w:rPr>
              <w:t xml:space="preserve"> $139,247</w:t>
            </w:r>
            <w:r w:rsidR="00024905">
              <w:rPr>
                <w:rFonts w:cs="Segoe UI Light"/>
                <w:sz w:val="18"/>
              </w:rPr>
              <w:t>.43</w:t>
            </w:r>
            <w:r w:rsidRPr="00CB51FF">
              <w:rPr>
                <w:rFonts w:cs="Segoe UI Light"/>
                <w:sz w:val="18"/>
              </w:rPr>
              <w:t xml:space="preserve"> </w:t>
            </w:r>
          </w:p>
        </w:tc>
        <w:tc>
          <w:tcPr>
            <w:tcW w:w="303" w:type="pct"/>
          </w:tcPr>
          <w:p w14:paraId="656B1AB7"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B8" w14:textId="77777777" w:rsidR="002A2DFB" w:rsidRPr="00EA43C9" w:rsidRDefault="002A2DFB" w:rsidP="002A2DFB">
            <w:pPr>
              <w:spacing w:after="0" w:line="240" w:lineRule="auto"/>
              <w:rPr>
                <w:rFonts w:cs="Segoe UI Light"/>
                <w:sz w:val="16"/>
                <w:szCs w:val="16"/>
              </w:rPr>
            </w:pPr>
            <w:r w:rsidRPr="00EA43C9">
              <w:rPr>
                <w:rFonts w:cs="Segoe UI Light"/>
                <w:sz w:val="16"/>
                <w:szCs w:val="16"/>
              </w:rPr>
              <w:t>New fee</w:t>
            </w:r>
          </w:p>
        </w:tc>
      </w:tr>
      <w:tr w:rsidR="002A2DFB" w:rsidRPr="00A648FA" w14:paraId="656B1AC6" w14:textId="77777777" w:rsidTr="00A86267">
        <w:trPr>
          <w:trHeight w:val="843"/>
        </w:trPr>
        <w:tc>
          <w:tcPr>
            <w:tcW w:w="511" w:type="pct"/>
          </w:tcPr>
          <w:p w14:paraId="656B1ABA" w14:textId="77777777" w:rsidR="002A2DFB" w:rsidRPr="00A07276" w:rsidRDefault="002A2DFB" w:rsidP="002A2DFB">
            <w:pPr>
              <w:spacing w:after="0"/>
              <w:rPr>
                <w:rFonts w:cs="Segoe UI Light"/>
                <w:sz w:val="18"/>
              </w:rPr>
            </w:pPr>
            <w:r w:rsidRPr="00CB51FF">
              <w:rPr>
                <w:rFonts w:cs="Segoe UI Light"/>
                <w:sz w:val="18"/>
              </w:rPr>
              <w:t>Environmental Audit</w:t>
            </w:r>
          </w:p>
        </w:tc>
        <w:tc>
          <w:tcPr>
            <w:tcW w:w="420" w:type="pct"/>
          </w:tcPr>
          <w:p w14:paraId="656B1ABB" w14:textId="77777777" w:rsidR="002A2DFB" w:rsidRPr="00A07276" w:rsidRDefault="002A2DFB" w:rsidP="002A2DFB">
            <w:pPr>
              <w:spacing w:after="0"/>
              <w:rPr>
                <w:rFonts w:cs="Segoe UI Light"/>
                <w:sz w:val="18"/>
              </w:rPr>
            </w:pPr>
            <w:r w:rsidRPr="00CB51FF">
              <w:rPr>
                <w:rFonts w:cs="Segoe UI Light"/>
                <w:sz w:val="18"/>
              </w:rPr>
              <w:t xml:space="preserve">Preliminary risk screen assessment statement </w:t>
            </w:r>
          </w:p>
        </w:tc>
        <w:tc>
          <w:tcPr>
            <w:tcW w:w="412" w:type="pct"/>
          </w:tcPr>
          <w:p w14:paraId="656B1ABC" w14:textId="77777777" w:rsidR="002A2DFB" w:rsidRPr="00CB51FF" w:rsidRDefault="002A2DFB" w:rsidP="002A2DFB">
            <w:pPr>
              <w:spacing w:after="0"/>
              <w:rPr>
                <w:rFonts w:cs="Segoe UI Light"/>
                <w:sz w:val="18"/>
              </w:rPr>
            </w:pPr>
          </w:p>
        </w:tc>
        <w:tc>
          <w:tcPr>
            <w:tcW w:w="275" w:type="pct"/>
          </w:tcPr>
          <w:p w14:paraId="656B1ABD" w14:textId="77777777" w:rsidR="002A2DFB" w:rsidRPr="00CB51FF" w:rsidRDefault="002A2DFB" w:rsidP="002A2DFB">
            <w:pPr>
              <w:spacing w:after="0"/>
              <w:rPr>
                <w:rFonts w:cs="Segoe UI Light"/>
                <w:sz w:val="18"/>
              </w:rPr>
            </w:pPr>
            <w:r w:rsidRPr="00CB51FF">
              <w:rPr>
                <w:rFonts w:cs="Segoe UI Light"/>
                <w:sz w:val="18"/>
              </w:rPr>
              <w:t>100</w:t>
            </w:r>
          </w:p>
        </w:tc>
        <w:tc>
          <w:tcPr>
            <w:tcW w:w="389" w:type="pct"/>
          </w:tcPr>
          <w:p w14:paraId="656B1ABE" w14:textId="25A86BFA" w:rsidR="002A2DFB" w:rsidRPr="00CB51FF" w:rsidRDefault="002A2DFB" w:rsidP="002A2DFB">
            <w:pPr>
              <w:spacing w:after="0"/>
              <w:rPr>
                <w:rFonts w:cs="Segoe UI Light"/>
                <w:sz w:val="18"/>
              </w:rPr>
            </w:pPr>
            <w:r w:rsidRPr="00CB51FF">
              <w:rPr>
                <w:rFonts w:cs="Segoe UI Light"/>
                <w:sz w:val="18"/>
              </w:rPr>
              <w:t>1.</w:t>
            </w:r>
            <w:r w:rsidR="00E6076D">
              <w:rPr>
                <w:rFonts w:cs="Segoe UI Light"/>
                <w:sz w:val="18"/>
              </w:rPr>
              <w:t>58</w:t>
            </w:r>
            <w:r w:rsidRPr="00CB51FF">
              <w:rPr>
                <w:rFonts w:cs="Segoe UI Light"/>
                <w:sz w:val="18"/>
              </w:rPr>
              <w:t>-10.</w:t>
            </w:r>
            <w:r w:rsidR="00E6076D">
              <w:rPr>
                <w:rFonts w:cs="Segoe UI Light"/>
                <w:sz w:val="18"/>
              </w:rPr>
              <w:t>08</w:t>
            </w:r>
          </w:p>
        </w:tc>
        <w:tc>
          <w:tcPr>
            <w:tcW w:w="348" w:type="pct"/>
          </w:tcPr>
          <w:p w14:paraId="656B1ABF" w14:textId="49432565" w:rsidR="002A2DFB" w:rsidRPr="00CB51FF" w:rsidRDefault="002A2DFB" w:rsidP="002A2DFB">
            <w:pPr>
              <w:spacing w:after="0"/>
              <w:rPr>
                <w:rFonts w:cs="Segoe UI Light"/>
                <w:sz w:val="18"/>
              </w:rPr>
            </w:pPr>
            <w:r w:rsidRPr="00CB51FF">
              <w:rPr>
                <w:rFonts w:cs="Segoe UI Light"/>
                <w:sz w:val="18"/>
              </w:rPr>
              <w:t xml:space="preserve"> $301.4</w:t>
            </w:r>
            <w:r w:rsidR="00024905">
              <w:rPr>
                <w:rFonts w:cs="Segoe UI Light"/>
                <w:sz w:val="18"/>
              </w:rPr>
              <w:t>3</w:t>
            </w:r>
            <w:r w:rsidRPr="00CB51FF">
              <w:rPr>
                <w:rFonts w:cs="Segoe UI Light"/>
                <w:sz w:val="18"/>
              </w:rPr>
              <w:t xml:space="preserve"> </w:t>
            </w:r>
          </w:p>
        </w:tc>
        <w:tc>
          <w:tcPr>
            <w:tcW w:w="372" w:type="pct"/>
          </w:tcPr>
          <w:p w14:paraId="656B1AC0" w14:textId="2FFE69C9" w:rsidR="002A2DFB" w:rsidRPr="00CB51FF" w:rsidRDefault="002A2DFB" w:rsidP="002A2DFB">
            <w:pPr>
              <w:spacing w:after="0"/>
              <w:rPr>
                <w:rFonts w:cs="Segoe UI Light"/>
                <w:sz w:val="18"/>
              </w:rPr>
            </w:pPr>
            <w:r w:rsidRPr="00CB51FF">
              <w:rPr>
                <w:rFonts w:cs="Segoe UI Light"/>
                <w:sz w:val="18"/>
              </w:rPr>
              <w:t xml:space="preserve"> $30,14</w:t>
            </w:r>
            <w:r w:rsidR="00024905">
              <w:rPr>
                <w:rFonts w:cs="Segoe UI Light"/>
                <w:sz w:val="18"/>
              </w:rPr>
              <w:t>3.00</w:t>
            </w:r>
            <w:r w:rsidRPr="00CB51FF">
              <w:rPr>
                <w:rFonts w:cs="Segoe UI Light"/>
                <w:sz w:val="18"/>
              </w:rPr>
              <w:t xml:space="preserve"> </w:t>
            </w:r>
          </w:p>
        </w:tc>
        <w:tc>
          <w:tcPr>
            <w:tcW w:w="853" w:type="pct"/>
          </w:tcPr>
          <w:p w14:paraId="656B1AC1" w14:textId="77777777" w:rsidR="002A2DFB" w:rsidRPr="00CB51FF" w:rsidRDefault="002A2DFB" w:rsidP="002A2DFB">
            <w:pPr>
              <w:spacing w:after="0"/>
              <w:rPr>
                <w:rFonts w:cs="Segoe UI Light"/>
                <w:sz w:val="18"/>
              </w:rPr>
            </w:pPr>
            <w:r w:rsidRPr="00A07276">
              <w:rPr>
                <w:rFonts w:cs="Segoe UI Light"/>
                <w:sz w:val="18"/>
              </w:rPr>
              <w:t>Flat fee - 20.86 fee units</w:t>
            </w:r>
          </w:p>
        </w:tc>
        <w:tc>
          <w:tcPr>
            <w:tcW w:w="410" w:type="pct"/>
          </w:tcPr>
          <w:p w14:paraId="656B1AC2" w14:textId="4E2D128B" w:rsidR="002A2DFB" w:rsidRPr="00CB51FF" w:rsidRDefault="002A2DFB" w:rsidP="002A2DFB">
            <w:pPr>
              <w:spacing w:after="0"/>
              <w:rPr>
                <w:rFonts w:cs="Segoe UI Light"/>
                <w:sz w:val="18"/>
              </w:rPr>
            </w:pPr>
            <w:r w:rsidRPr="00CB51FF">
              <w:rPr>
                <w:rFonts w:cs="Segoe UI Light"/>
                <w:sz w:val="18"/>
              </w:rPr>
              <w:t xml:space="preserve"> $301.4</w:t>
            </w:r>
            <w:r w:rsidR="00024905">
              <w:rPr>
                <w:rFonts w:cs="Segoe UI Light"/>
                <w:sz w:val="18"/>
              </w:rPr>
              <w:t>3</w:t>
            </w:r>
            <w:r w:rsidRPr="00CB51FF">
              <w:rPr>
                <w:rFonts w:cs="Segoe UI Light"/>
                <w:sz w:val="18"/>
              </w:rPr>
              <w:t xml:space="preserve"> </w:t>
            </w:r>
          </w:p>
        </w:tc>
        <w:tc>
          <w:tcPr>
            <w:tcW w:w="353" w:type="pct"/>
          </w:tcPr>
          <w:p w14:paraId="656B1AC3" w14:textId="322D4620" w:rsidR="002A2DFB" w:rsidRPr="00CB51FF" w:rsidRDefault="002A2DFB" w:rsidP="002A2DFB">
            <w:pPr>
              <w:spacing w:after="0"/>
              <w:rPr>
                <w:rFonts w:cs="Segoe UI Light"/>
                <w:sz w:val="18"/>
              </w:rPr>
            </w:pPr>
            <w:r w:rsidRPr="00CB51FF">
              <w:rPr>
                <w:rFonts w:cs="Segoe UI Light"/>
                <w:sz w:val="18"/>
              </w:rPr>
              <w:t xml:space="preserve"> $30,14</w:t>
            </w:r>
            <w:r w:rsidR="00024905">
              <w:rPr>
                <w:rFonts w:cs="Segoe UI Light"/>
                <w:sz w:val="18"/>
              </w:rPr>
              <w:t>3.00</w:t>
            </w:r>
            <w:r w:rsidRPr="00CB51FF">
              <w:rPr>
                <w:rFonts w:cs="Segoe UI Light"/>
                <w:sz w:val="18"/>
              </w:rPr>
              <w:t xml:space="preserve"> </w:t>
            </w:r>
          </w:p>
        </w:tc>
        <w:tc>
          <w:tcPr>
            <w:tcW w:w="303" w:type="pct"/>
          </w:tcPr>
          <w:p w14:paraId="656B1AC4"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C5" w14:textId="77777777" w:rsidR="002A2DFB" w:rsidRPr="00EA43C9" w:rsidRDefault="002A2DFB" w:rsidP="002A2DFB">
            <w:pPr>
              <w:spacing w:after="0" w:line="240" w:lineRule="auto"/>
              <w:rPr>
                <w:rFonts w:cs="Segoe UI Light"/>
                <w:sz w:val="16"/>
                <w:szCs w:val="16"/>
              </w:rPr>
            </w:pPr>
            <w:r w:rsidRPr="00EA43C9">
              <w:rPr>
                <w:rFonts w:cs="Segoe UI Light"/>
                <w:sz w:val="16"/>
                <w:szCs w:val="16"/>
              </w:rPr>
              <w:t>New fee</w:t>
            </w:r>
          </w:p>
        </w:tc>
      </w:tr>
      <w:tr w:rsidR="002A2DFB" w:rsidRPr="00A648FA" w14:paraId="656B1AD3" w14:textId="77777777" w:rsidTr="00A86267">
        <w:trPr>
          <w:trHeight w:val="216"/>
        </w:trPr>
        <w:tc>
          <w:tcPr>
            <w:tcW w:w="511" w:type="pct"/>
          </w:tcPr>
          <w:p w14:paraId="656B1AC7" w14:textId="77777777" w:rsidR="002A2DFB" w:rsidRPr="00A07276" w:rsidRDefault="002A2DFB" w:rsidP="002A2DFB">
            <w:pPr>
              <w:spacing w:after="0"/>
              <w:rPr>
                <w:rFonts w:cs="Segoe UI Light"/>
                <w:sz w:val="18"/>
              </w:rPr>
            </w:pPr>
            <w:r w:rsidRPr="00CB51FF">
              <w:rPr>
                <w:rFonts w:cs="Segoe UI Light"/>
                <w:sz w:val="18"/>
              </w:rPr>
              <w:t>Environmental Audit</w:t>
            </w:r>
          </w:p>
        </w:tc>
        <w:tc>
          <w:tcPr>
            <w:tcW w:w="420" w:type="pct"/>
          </w:tcPr>
          <w:p w14:paraId="656B1AC8" w14:textId="77777777" w:rsidR="002A2DFB" w:rsidRPr="00A07276" w:rsidRDefault="002A2DFB" w:rsidP="002A2DFB">
            <w:pPr>
              <w:spacing w:after="0"/>
              <w:rPr>
                <w:rFonts w:cs="Segoe UI Light"/>
                <w:sz w:val="18"/>
              </w:rPr>
            </w:pPr>
            <w:r w:rsidRPr="00CB51FF">
              <w:rPr>
                <w:rFonts w:cs="Segoe UI Light"/>
                <w:sz w:val="18"/>
              </w:rPr>
              <w:t>Environmental audit statement and report</w:t>
            </w:r>
          </w:p>
        </w:tc>
        <w:tc>
          <w:tcPr>
            <w:tcW w:w="412" w:type="pct"/>
          </w:tcPr>
          <w:p w14:paraId="656B1AC9" w14:textId="77777777" w:rsidR="002A2DFB" w:rsidRPr="00CB51FF" w:rsidRDefault="002A2DFB" w:rsidP="002A2DFB">
            <w:pPr>
              <w:spacing w:after="0"/>
              <w:rPr>
                <w:rFonts w:cs="Segoe UI Light"/>
                <w:sz w:val="18"/>
              </w:rPr>
            </w:pPr>
          </w:p>
        </w:tc>
        <w:tc>
          <w:tcPr>
            <w:tcW w:w="275" w:type="pct"/>
          </w:tcPr>
          <w:p w14:paraId="656B1ACA" w14:textId="77777777" w:rsidR="002A2DFB" w:rsidRPr="00CB51FF" w:rsidRDefault="002A2DFB" w:rsidP="002A2DFB">
            <w:pPr>
              <w:spacing w:after="0"/>
              <w:rPr>
                <w:rFonts w:cs="Segoe UI Light"/>
                <w:sz w:val="18"/>
              </w:rPr>
            </w:pPr>
            <w:r w:rsidRPr="00CB51FF">
              <w:rPr>
                <w:rFonts w:cs="Segoe UI Light"/>
                <w:sz w:val="18"/>
              </w:rPr>
              <w:t>176</w:t>
            </w:r>
          </w:p>
        </w:tc>
        <w:tc>
          <w:tcPr>
            <w:tcW w:w="389" w:type="pct"/>
          </w:tcPr>
          <w:p w14:paraId="656B1ACB" w14:textId="0DE7F51F" w:rsidR="002A2DFB" w:rsidRPr="00CB51FF" w:rsidRDefault="002A2DFB" w:rsidP="002A2DFB">
            <w:pPr>
              <w:spacing w:after="0"/>
              <w:rPr>
                <w:rFonts w:cs="Segoe UI Light"/>
                <w:sz w:val="18"/>
              </w:rPr>
            </w:pPr>
            <w:r w:rsidRPr="00CB51FF">
              <w:rPr>
                <w:rFonts w:cs="Segoe UI Light"/>
                <w:sz w:val="18"/>
              </w:rPr>
              <w:t>8.</w:t>
            </w:r>
            <w:r w:rsidR="00E6076D">
              <w:rPr>
                <w:rFonts w:cs="Segoe UI Light"/>
                <w:sz w:val="18"/>
              </w:rPr>
              <w:t>88</w:t>
            </w:r>
            <w:r w:rsidRPr="00CB51FF">
              <w:rPr>
                <w:rFonts w:cs="Segoe UI Light"/>
                <w:sz w:val="18"/>
              </w:rPr>
              <w:t>-85.5</w:t>
            </w:r>
            <w:r w:rsidR="00E6076D">
              <w:rPr>
                <w:rFonts w:cs="Segoe UI Light"/>
                <w:sz w:val="18"/>
              </w:rPr>
              <w:t>5</w:t>
            </w:r>
          </w:p>
        </w:tc>
        <w:tc>
          <w:tcPr>
            <w:tcW w:w="348" w:type="pct"/>
          </w:tcPr>
          <w:p w14:paraId="656B1ACC" w14:textId="2137C3B3" w:rsidR="002A2DFB" w:rsidRPr="00CB51FF" w:rsidRDefault="002A2DFB" w:rsidP="002A2DFB">
            <w:pPr>
              <w:spacing w:after="0"/>
              <w:rPr>
                <w:rFonts w:cs="Segoe UI Light"/>
                <w:sz w:val="18"/>
              </w:rPr>
            </w:pPr>
            <w:r w:rsidRPr="00CB51FF">
              <w:rPr>
                <w:rFonts w:cs="Segoe UI Light"/>
                <w:sz w:val="18"/>
              </w:rPr>
              <w:t xml:space="preserve"> $1,593.26 </w:t>
            </w:r>
          </w:p>
        </w:tc>
        <w:tc>
          <w:tcPr>
            <w:tcW w:w="372" w:type="pct"/>
          </w:tcPr>
          <w:p w14:paraId="656B1ACD" w14:textId="0C19BAB0" w:rsidR="002A2DFB" w:rsidRPr="00CB51FF" w:rsidRDefault="002A2DFB" w:rsidP="002A2DFB">
            <w:pPr>
              <w:spacing w:after="0"/>
              <w:rPr>
                <w:rFonts w:cs="Segoe UI Light"/>
                <w:sz w:val="18"/>
              </w:rPr>
            </w:pPr>
            <w:r w:rsidRPr="00CB51FF">
              <w:rPr>
                <w:rFonts w:cs="Segoe UI Light"/>
                <w:sz w:val="18"/>
              </w:rPr>
              <w:t xml:space="preserve"> $280,413</w:t>
            </w:r>
            <w:r w:rsidR="00024905">
              <w:rPr>
                <w:rFonts w:cs="Segoe UI Light"/>
                <w:sz w:val="18"/>
              </w:rPr>
              <w:t>.76</w:t>
            </w:r>
            <w:r w:rsidRPr="00CB51FF">
              <w:rPr>
                <w:rFonts w:cs="Segoe UI Light"/>
                <w:sz w:val="18"/>
              </w:rPr>
              <w:t xml:space="preserve"> </w:t>
            </w:r>
          </w:p>
        </w:tc>
        <w:tc>
          <w:tcPr>
            <w:tcW w:w="853" w:type="pct"/>
          </w:tcPr>
          <w:p w14:paraId="656B1ACE" w14:textId="77777777" w:rsidR="002A2DFB" w:rsidRPr="00CB51FF" w:rsidRDefault="002A2DFB" w:rsidP="002A2DFB">
            <w:pPr>
              <w:spacing w:after="0"/>
              <w:rPr>
                <w:rFonts w:cs="Segoe UI Light"/>
                <w:sz w:val="18"/>
              </w:rPr>
            </w:pPr>
            <w:r w:rsidRPr="00A07276">
              <w:rPr>
                <w:rFonts w:cs="Segoe UI Light"/>
                <w:sz w:val="18"/>
              </w:rPr>
              <w:t>Flat fee - 110.26 fee units</w:t>
            </w:r>
          </w:p>
        </w:tc>
        <w:tc>
          <w:tcPr>
            <w:tcW w:w="410" w:type="pct"/>
          </w:tcPr>
          <w:p w14:paraId="656B1ACF" w14:textId="0B381314" w:rsidR="002A2DFB" w:rsidRPr="00CB51FF" w:rsidRDefault="002A2DFB" w:rsidP="002A2DFB">
            <w:pPr>
              <w:spacing w:after="0"/>
              <w:rPr>
                <w:rFonts w:cs="Segoe UI Light"/>
                <w:sz w:val="18"/>
              </w:rPr>
            </w:pPr>
            <w:r w:rsidRPr="00CB51FF">
              <w:rPr>
                <w:rFonts w:cs="Segoe UI Light"/>
                <w:sz w:val="18"/>
              </w:rPr>
              <w:t xml:space="preserve"> $1,593.26 </w:t>
            </w:r>
          </w:p>
        </w:tc>
        <w:tc>
          <w:tcPr>
            <w:tcW w:w="353" w:type="pct"/>
          </w:tcPr>
          <w:p w14:paraId="656B1AD0" w14:textId="790A149D" w:rsidR="002A2DFB" w:rsidRPr="00CB51FF" w:rsidRDefault="002A2DFB" w:rsidP="002A2DFB">
            <w:pPr>
              <w:spacing w:after="0"/>
              <w:rPr>
                <w:rFonts w:cs="Segoe UI Light"/>
                <w:sz w:val="18"/>
              </w:rPr>
            </w:pPr>
            <w:r w:rsidRPr="00CB51FF">
              <w:rPr>
                <w:rFonts w:cs="Segoe UI Light"/>
                <w:sz w:val="18"/>
              </w:rPr>
              <w:t xml:space="preserve"> $280,413</w:t>
            </w:r>
            <w:r w:rsidR="00024905">
              <w:rPr>
                <w:rFonts w:cs="Segoe UI Light"/>
                <w:sz w:val="18"/>
              </w:rPr>
              <w:t>.76</w:t>
            </w:r>
            <w:r w:rsidRPr="00CB51FF">
              <w:rPr>
                <w:rFonts w:cs="Segoe UI Light"/>
                <w:sz w:val="18"/>
              </w:rPr>
              <w:t xml:space="preserve"> </w:t>
            </w:r>
          </w:p>
        </w:tc>
        <w:tc>
          <w:tcPr>
            <w:tcW w:w="303" w:type="pct"/>
          </w:tcPr>
          <w:p w14:paraId="656B1AD1"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D2" w14:textId="15722D6F" w:rsidR="002A2DFB" w:rsidRPr="00EA43C9" w:rsidRDefault="002A2DFB" w:rsidP="002A2DFB">
            <w:pPr>
              <w:spacing w:after="0" w:line="240" w:lineRule="auto"/>
              <w:rPr>
                <w:rFonts w:cs="Segoe UI Light"/>
                <w:sz w:val="16"/>
                <w:szCs w:val="16"/>
              </w:rPr>
            </w:pPr>
            <w:r w:rsidRPr="00EA43C9">
              <w:rPr>
                <w:rFonts w:cs="Segoe UI Light"/>
                <w:sz w:val="16"/>
                <w:szCs w:val="16"/>
              </w:rPr>
              <w:t xml:space="preserve">Same design different fee level </w:t>
            </w:r>
          </w:p>
        </w:tc>
      </w:tr>
      <w:tr w:rsidR="002A2DFB" w:rsidRPr="00A648FA" w14:paraId="656B1AED" w14:textId="77777777" w:rsidTr="00A86267">
        <w:trPr>
          <w:trHeight w:val="216"/>
        </w:trPr>
        <w:tc>
          <w:tcPr>
            <w:tcW w:w="511" w:type="pct"/>
          </w:tcPr>
          <w:p w14:paraId="656B1AE1" w14:textId="77777777" w:rsidR="002A2DFB" w:rsidRPr="00A07276" w:rsidRDefault="002A2DFB" w:rsidP="002A2DFB">
            <w:pPr>
              <w:spacing w:after="0"/>
              <w:rPr>
                <w:rFonts w:cs="Segoe UI Light"/>
                <w:sz w:val="18"/>
              </w:rPr>
            </w:pPr>
            <w:r w:rsidRPr="00CB51FF">
              <w:rPr>
                <w:rFonts w:cs="Segoe UI Light"/>
                <w:sz w:val="18"/>
              </w:rPr>
              <w:t>Authority may authorise emergency storage, use etc. of waste</w:t>
            </w:r>
          </w:p>
        </w:tc>
        <w:tc>
          <w:tcPr>
            <w:tcW w:w="420" w:type="pct"/>
          </w:tcPr>
          <w:p w14:paraId="656B1AE2" w14:textId="77777777" w:rsidR="002A2DFB" w:rsidRPr="00A07276" w:rsidRDefault="002A2DFB" w:rsidP="002A2DFB">
            <w:pPr>
              <w:spacing w:after="0"/>
              <w:rPr>
                <w:rFonts w:cs="Segoe UI Light"/>
                <w:sz w:val="18"/>
              </w:rPr>
            </w:pPr>
            <w:r w:rsidRPr="00CB51FF">
              <w:rPr>
                <w:rFonts w:cs="Segoe UI Light"/>
                <w:sz w:val="18"/>
              </w:rPr>
              <w:t>-</w:t>
            </w:r>
          </w:p>
        </w:tc>
        <w:tc>
          <w:tcPr>
            <w:tcW w:w="412" w:type="pct"/>
          </w:tcPr>
          <w:p w14:paraId="656B1AE3" w14:textId="77777777" w:rsidR="002A2DFB" w:rsidRPr="00CB51FF" w:rsidRDefault="002A2DFB" w:rsidP="002A2DFB">
            <w:pPr>
              <w:spacing w:after="0"/>
              <w:rPr>
                <w:rFonts w:cs="Segoe UI Light"/>
                <w:sz w:val="18"/>
              </w:rPr>
            </w:pPr>
            <w:r w:rsidRPr="00CB51FF">
              <w:rPr>
                <w:rFonts w:cs="Segoe UI Light"/>
                <w:sz w:val="18"/>
              </w:rPr>
              <w:t>Commissioning</w:t>
            </w:r>
          </w:p>
        </w:tc>
        <w:tc>
          <w:tcPr>
            <w:tcW w:w="275" w:type="pct"/>
          </w:tcPr>
          <w:p w14:paraId="656B1AE4" w14:textId="16B36248" w:rsidR="002A2DFB" w:rsidRPr="00CB51FF" w:rsidRDefault="00E6076D" w:rsidP="002A2DFB">
            <w:pPr>
              <w:spacing w:after="0"/>
              <w:rPr>
                <w:rFonts w:cs="Segoe UI Light"/>
                <w:sz w:val="18"/>
              </w:rPr>
            </w:pPr>
            <w:r>
              <w:rPr>
                <w:rFonts w:cs="Segoe UI Light"/>
                <w:sz w:val="18"/>
              </w:rPr>
              <w:t>30</w:t>
            </w:r>
          </w:p>
        </w:tc>
        <w:tc>
          <w:tcPr>
            <w:tcW w:w="389" w:type="pct"/>
          </w:tcPr>
          <w:p w14:paraId="656B1AE5" w14:textId="619D9F6E" w:rsidR="002A2DFB" w:rsidRPr="00CB51FF" w:rsidRDefault="002A2DFB" w:rsidP="002A2DFB">
            <w:pPr>
              <w:spacing w:after="0"/>
              <w:rPr>
                <w:rFonts w:cs="Segoe UI Light"/>
                <w:sz w:val="18"/>
              </w:rPr>
            </w:pPr>
            <w:r w:rsidRPr="00CB51FF">
              <w:rPr>
                <w:rFonts w:cs="Segoe UI Light"/>
                <w:sz w:val="18"/>
              </w:rPr>
              <w:t>72.3</w:t>
            </w:r>
            <w:r w:rsidR="00E6076D">
              <w:rPr>
                <w:rFonts w:cs="Segoe UI Light"/>
                <w:sz w:val="18"/>
              </w:rPr>
              <w:t>1</w:t>
            </w:r>
          </w:p>
        </w:tc>
        <w:tc>
          <w:tcPr>
            <w:tcW w:w="348" w:type="pct"/>
          </w:tcPr>
          <w:p w14:paraId="656B1AE6" w14:textId="12C5C9F7" w:rsidR="002A2DFB" w:rsidRPr="000D7D82" w:rsidRDefault="002A2DFB" w:rsidP="002A2DFB">
            <w:pPr>
              <w:spacing w:after="0"/>
              <w:rPr>
                <w:rFonts w:cs="Segoe UI Light"/>
                <w:sz w:val="18"/>
              </w:rPr>
            </w:pPr>
            <w:r w:rsidRPr="000D7D82">
              <w:rPr>
                <w:rFonts w:cs="Segoe UI Light"/>
                <w:sz w:val="18"/>
              </w:rPr>
              <w:t xml:space="preserve"> $6,764.64 </w:t>
            </w:r>
          </w:p>
        </w:tc>
        <w:tc>
          <w:tcPr>
            <w:tcW w:w="372" w:type="pct"/>
          </w:tcPr>
          <w:p w14:paraId="656B1AE7" w14:textId="4D623464" w:rsidR="002A2DFB" w:rsidRPr="000D7D82" w:rsidRDefault="002A2DFB" w:rsidP="002A2DFB">
            <w:pPr>
              <w:spacing w:after="0"/>
              <w:rPr>
                <w:rFonts w:cs="Segoe UI Light"/>
                <w:sz w:val="18"/>
              </w:rPr>
            </w:pPr>
            <w:r w:rsidRPr="000D7D82">
              <w:rPr>
                <w:rFonts w:cs="Segoe UI Light"/>
                <w:sz w:val="18"/>
              </w:rPr>
              <w:t xml:space="preserve"> $202,939</w:t>
            </w:r>
            <w:r w:rsidR="00024905">
              <w:rPr>
                <w:rFonts w:cs="Segoe UI Light"/>
                <w:sz w:val="18"/>
              </w:rPr>
              <w:t>.20</w:t>
            </w:r>
            <w:r w:rsidRPr="000D7D82">
              <w:rPr>
                <w:rFonts w:cs="Segoe UI Light"/>
                <w:sz w:val="18"/>
              </w:rPr>
              <w:t xml:space="preserve"> </w:t>
            </w:r>
          </w:p>
        </w:tc>
        <w:tc>
          <w:tcPr>
            <w:tcW w:w="853" w:type="pct"/>
          </w:tcPr>
          <w:p w14:paraId="656B1AE8" w14:textId="77777777" w:rsidR="002A2DFB" w:rsidRPr="000D7D82" w:rsidRDefault="002A2DFB" w:rsidP="002A2DFB">
            <w:pPr>
              <w:spacing w:after="0"/>
              <w:rPr>
                <w:rFonts w:cs="Segoe UI Light"/>
                <w:sz w:val="18"/>
              </w:rPr>
            </w:pPr>
            <w:r w:rsidRPr="000D7D82">
              <w:rPr>
                <w:rFonts w:cs="Segoe UI Light"/>
                <w:sz w:val="18"/>
              </w:rPr>
              <w:t>70.77 fee units on application plus 6.47 fee units per hour for assessments exceeding 10.95 hours up to a maximum of 840.99 fee units.</w:t>
            </w:r>
          </w:p>
        </w:tc>
        <w:tc>
          <w:tcPr>
            <w:tcW w:w="410" w:type="pct"/>
          </w:tcPr>
          <w:p w14:paraId="656B1AE9" w14:textId="4B80B107" w:rsidR="002A2DFB" w:rsidRPr="000D7D82" w:rsidRDefault="002A2DFB" w:rsidP="002A2DFB">
            <w:pPr>
              <w:spacing w:after="0"/>
              <w:rPr>
                <w:rFonts w:cs="Segoe UI Light"/>
                <w:sz w:val="18"/>
              </w:rPr>
            </w:pPr>
            <w:r w:rsidRPr="000D7D82">
              <w:rPr>
                <w:rFonts w:cs="Segoe UI Light"/>
                <w:sz w:val="18"/>
              </w:rPr>
              <w:t xml:space="preserve"> $6,764.64 </w:t>
            </w:r>
          </w:p>
        </w:tc>
        <w:tc>
          <w:tcPr>
            <w:tcW w:w="353" w:type="pct"/>
          </w:tcPr>
          <w:p w14:paraId="656B1AEA" w14:textId="771B9399" w:rsidR="002A2DFB" w:rsidRPr="000D7D82" w:rsidRDefault="002A2DFB" w:rsidP="002A2DFB">
            <w:pPr>
              <w:spacing w:after="0"/>
              <w:rPr>
                <w:rFonts w:cs="Segoe UI Light"/>
                <w:sz w:val="18"/>
              </w:rPr>
            </w:pPr>
            <w:r w:rsidRPr="000D7D82">
              <w:rPr>
                <w:rFonts w:cs="Segoe UI Light"/>
                <w:sz w:val="18"/>
              </w:rPr>
              <w:t xml:space="preserve"> $202,939</w:t>
            </w:r>
            <w:r w:rsidR="00024905">
              <w:rPr>
                <w:rFonts w:cs="Segoe UI Light"/>
                <w:sz w:val="18"/>
              </w:rPr>
              <w:t>.20</w:t>
            </w:r>
            <w:r w:rsidRPr="000D7D82">
              <w:rPr>
                <w:rFonts w:cs="Segoe UI Light"/>
                <w:sz w:val="18"/>
              </w:rPr>
              <w:t xml:space="preserve"> </w:t>
            </w:r>
          </w:p>
        </w:tc>
        <w:tc>
          <w:tcPr>
            <w:tcW w:w="303" w:type="pct"/>
          </w:tcPr>
          <w:p w14:paraId="656B1AEB"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AEC" w14:textId="77777777" w:rsidR="002A2DFB" w:rsidRPr="00CA39D0" w:rsidRDefault="002A2DFB" w:rsidP="002A2DFB">
            <w:pPr>
              <w:spacing w:after="0" w:line="240" w:lineRule="auto"/>
              <w:rPr>
                <w:rFonts w:cs="Segoe UI Light"/>
                <w:sz w:val="16"/>
                <w:szCs w:val="16"/>
              </w:rPr>
            </w:pPr>
            <w:r w:rsidRPr="00CA39D0">
              <w:rPr>
                <w:rFonts w:cs="Segoe UI Light"/>
                <w:sz w:val="16"/>
                <w:szCs w:val="16"/>
              </w:rPr>
              <w:t>New fee</w:t>
            </w:r>
          </w:p>
        </w:tc>
      </w:tr>
      <w:tr w:rsidR="002A2DFB" w:rsidRPr="00A648FA" w14:paraId="656B1AFA" w14:textId="77777777" w:rsidTr="00A86267">
        <w:trPr>
          <w:trHeight w:val="1293"/>
        </w:trPr>
        <w:tc>
          <w:tcPr>
            <w:tcW w:w="511" w:type="pct"/>
          </w:tcPr>
          <w:p w14:paraId="656B1AEE" w14:textId="77777777" w:rsidR="002A2DFB" w:rsidRPr="00A07276" w:rsidRDefault="002A2DFB" w:rsidP="002A2DFB">
            <w:pPr>
              <w:spacing w:after="0"/>
              <w:rPr>
                <w:rFonts w:cs="Segoe UI Light"/>
                <w:sz w:val="18"/>
              </w:rPr>
            </w:pPr>
            <w:r w:rsidRPr="00CB51FF">
              <w:rPr>
                <w:rFonts w:cs="Segoe UI Light"/>
                <w:sz w:val="18"/>
              </w:rPr>
              <w:t>Authority may authorise emergency storage, use etc. of waste</w:t>
            </w:r>
          </w:p>
        </w:tc>
        <w:tc>
          <w:tcPr>
            <w:tcW w:w="420" w:type="pct"/>
          </w:tcPr>
          <w:p w14:paraId="656B1AEF" w14:textId="77777777" w:rsidR="002A2DFB" w:rsidRPr="00A07276" w:rsidRDefault="002A2DFB" w:rsidP="002A2DFB">
            <w:pPr>
              <w:spacing w:after="0"/>
              <w:rPr>
                <w:rFonts w:cs="Segoe UI Light"/>
                <w:sz w:val="18"/>
              </w:rPr>
            </w:pPr>
          </w:p>
        </w:tc>
        <w:tc>
          <w:tcPr>
            <w:tcW w:w="412" w:type="pct"/>
          </w:tcPr>
          <w:p w14:paraId="656B1AF0" w14:textId="77777777" w:rsidR="002A2DFB" w:rsidRPr="00CB51FF" w:rsidRDefault="002A2DFB" w:rsidP="002A2DFB">
            <w:pPr>
              <w:spacing w:after="0"/>
              <w:rPr>
                <w:rFonts w:cs="Segoe UI Light"/>
                <w:sz w:val="18"/>
              </w:rPr>
            </w:pPr>
            <w:r w:rsidRPr="00CB51FF">
              <w:rPr>
                <w:rFonts w:cs="Segoe UI Light"/>
                <w:sz w:val="18"/>
              </w:rPr>
              <w:t>Emergency storage of waste</w:t>
            </w:r>
          </w:p>
        </w:tc>
        <w:tc>
          <w:tcPr>
            <w:tcW w:w="275" w:type="pct"/>
          </w:tcPr>
          <w:p w14:paraId="656B1AF1" w14:textId="77777777" w:rsidR="002A2DFB" w:rsidRPr="00CB51FF" w:rsidRDefault="002A2DFB" w:rsidP="002A2DFB">
            <w:pPr>
              <w:spacing w:after="0"/>
              <w:rPr>
                <w:rFonts w:cs="Segoe UI Light"/>
                <w:sz w:val="18"/>
              </w:rPr>
            </w:pPr>
            <w:r w:rsidRPr="00CB51FF">
              <w:rPr>
                <w:rFonts w:cs="Segoe UI Light"/>
                <w:sz w:val="18"/>
              </w:rPr>
              <w:t>36</w:t>
            </w:r>
          </w:p>
        </w:tc>
        <w:tc>
          <w:tcPr>
            <w:tcW w:w="389" w:type="pct"/>
          </w:tcPr>
          <w:p w14:paraId="656B1AF2" w14:textId="16FF35AF" w:rsidR="002A2DFB" w:rsidRPr="00CB51FF" w:rsidRDefault="002A2DFB" w:rsidP="002A2DFB">
            <w:pPr>
              <w:spacing w:after="0"/>
              <w:rPr>
                <w:rFonts w:cs="Segoe UI Light"/>
                <w:sz w:val="18"/>
              </w:rPr>
            </w:pPr>
            <w:r w:rsidRPr="00CB51FF">
              <w:rPr>
                <w:rFonts w:cs="Segoe UI Light"/>
                <w:sz w:val="18"/>
              </w:rPr>
              <w:t>7.2</w:t>
            </w:r>
            <w:r w:rsidR="00E6076D">
              <w:rPr>
                <w:rFonts w:cs="Segoe UI Light"/>
                <w:sz w:val="18"/>
              </w:rPr>
              <w:t>3</w:t>
            </w:r>
          </w:p>
        </w:tc>
        <w:tc>
          <w:tcPr>
            <w:tcW w:w="348" w:type="pct"/>
          </w:tcPr>
          <w:p w14:paraId="656B1AF3" w14:textId="58C19E48" w:rsidR="002A2DFB" w:rsidRPr="00CB51FF" w:rsidRDefault="002A2DFB" w:rsidP="002A2DFB">
            <w:pPr>
              <w:spacing w:after="0"/>
              <w:rPr>
                <w:rFonts w:cs="Segoe UI Light"/>
                <w:sz w:val="18"/>
              </w:rPr>
            </w:pPr>
            <w:r w:rsidRPr="00CB51FF">
              <w:rPr>
                <w:rFonts w:cs="Segoe UI Light"/>
                <w:sz w:val="18"/>
              </w:rPr>
              <w:t xml:space="preserve"> $695.86 </w:t>
            </w:r>
          </w:p>
        </w:tc>
        <w:tc>
          <w:tcPr>
            <w:tcW w:w="372" w:type="pct"/>
          </w:tcPr>
          <w:p w14:paraId="656B1AF4" w14:textId="7ACE2A96" w:rsidR="002A2DFB" w:rsidRPr="00CB51FF" w:rsidRDefault="002A2DFB" w:rsidP="002A2DFB">
            <w:pPr>
              <w:spacing w:after="0"/>
              <w:rPr>
                <w:rFonts w:cs="Segoe UI Light"/>
                <w:sz w:val="18"/>
              </w:rPr>
            </w:pPr>
            <w:r w:rsidRPr="00CB51FF">
              <w:rPr>
                <w:rFonts w:cs="Segoe UI Light"/>
                <w:sz w:val="18"/>
              </w:rPr>
              <w:t xml:space="preserve"> $25,05</w:t>
            </w:r>
            <w:r w:rsidR="00024905">
              <w:rPr>
                <w:rFonts w:cs="Segoe UI Light"/>
                <w:sz w:val="18"/>
              </w:rPr>
              <w:t>0.96</w:t>
            </w:r>
            <w:r w:rsidRPr="00CB51FF">
              <w:rPr>
                <w:rFonts w:cs="Segoe UI Light"/>
                <w:sz w:val="18"/>
              </w:rPr>
              <w:t xml:space="preserve"> </w:t>
            </w:r>
          </w:p>
        </w:tc>
        <w:tc>
          <w:tcPr>
            <w:tcW w:w="853" w:type="pct"/>
          </w:tcPr>
          <w:p w14:paraId="656B1AF5" w14:textId="77777777" w:rsidR="002A2DFB" w:rsidRPr="000D7D82" w:rsidRDefault="002A2DFB" w:rsidP="002A2DFB">
            <w:pPr>
              <w:spacing w:after="0"/>
              <w:rPr>
                <w:rFonts w:cs="Segoe UI Light"/>
                <w:sz w:val="18"/>
              </w:rPr>
            </w:pPr>
            <w:r w:rsidRPr="000D7D82">
              <w:rPr>
                <w:rFonts w:cs="Segoe UI Light"/>
                <w:sz w:val="18"/>
              </w:rPr>
              <w:t>No fee</w:t>
            </w:r>
          </w:p>
        </w:tc>
        <w:tc>
          <w:tcPr>
            <w:tcW w:w="410" w:type="pct"/>
          </w:tcPr>
          <w:p w14:paraId="656B1AF6" w14:textId="1B4D787B" w:rsidR="002A2DFB" w:rsidRPr="00CB51FF" w:rsidRDefault="002A2DFB" w:rsidP="002A2DFB">
            <w:pPr>
              <w:spacing w:after="0"/>
              <w:rPr>
                <w:rFonts w:cs="Segoe UI Light"/>
                <w:sz w:val="18"/>
              </w:rPr>
            </w:pPr>
            <w:r>
              <w:rPr>
                <w:rFonts w:cs="Segoe UI Light"/>
                <w:sz w:val="18"/>
              </w:rPr>
              <w:t xml:space="preserve"> -</w:t>
            </w:r>
          </w:p>
        </w:tc>
        <w:tc>
          <w:tcPr>
            <w:tcW w:w="353" w:type="pct"/>
          </w:tcPr>
          <w:p w14:paraId="656B1AF7" w14:textId="28A8065F" w:rsidR="002A2DFB" w:rsidRPr="00CB51FF" w:rsidRDefault="002A2DFB" w:rsidP="002A2DFB">
            <w:pPr>
              <w:spacing w:after="0"/>
              <w:rPr>
                <w:rFonts w:cs="Segoe UI Light"/>
                <w:sz w:val="18"/>
              </w:rPr>
            </w:pPr>
            <w:r>
              <w:rPr>
                <w:rFonts w:cs="Segoe UI Light"/>
                <w:sz w:val="18"/>
              </w:rPr>
              <w:t xml:space="preserve"> -</w:t>
            </w:r>
          </w:p>
        </w:tc>
        <w:tc>
          <w:tcPr>
            <w:tcW w:w="303" w:type="pct"/>
          </w:tcPr>
          <w:p w14:paraId="656B1AF8" w14:textId="13A570E2" w:rsidR="002A2DFB" w:rsidRPr="00CB51FF" w:rsidRDefault="002A2DFB" w:rsidP="002A2DFB">
            <w:pPr>
              <w:spacing w:after="0"/>
              <w:rPr>
                <w:rFonts w:cs="Segoe UI Light"/>
                <w:sz w:val="18"/>
              </w:rPr>
            </w:pPr>
            <w:r>
              <w:rPr>
                <w:rFonts w:cs="Segoe UI Light"/>
                <w:sz w:val="18"/>
              </w:rPr>
              <w:t xml:space="preserve"> -</w:t>
            </w:r>
          </w:p>
        </w:tc>
        <w:tc>
          <w:tcPr>
            <w:tcW w:w="354" w:type="pct"/>
          </w:tcPr>
          <w:p w14:paraId="656B1AF9" w14:textId="77777777" w:rsidR="002A2DFB" w:rsidRPr="00CA39D0" w:rsidRDefault="002A2DFB" w:rsidP="002A2DFB">
            <w:pPr>
              <w:spacing w:after="0" w:line="240" w:lineRule="auto"/>
              <w:rPr>
                <w:rFonts w:cs="Segoe UI Light"/>
                <w:sz w:val="16"/>
                <w:szCs w:val="16"/>
              </w:rPr>
            </w:pPr>
            <w:r w:rsidRPr="00CA39D0">
              <w:rPr>
                <w:rFonts w:cs="Segoe UI Light"/>
                <w:sz w:val="16"/>
                <w:szCs w:val="16"/>
              </w:rPr>
              <w:t>NA</w:t>
            </w:r>
          </w:p>
        </w:tc>
      </w:tr>
      <w:tr w:rsidR="002A2DFB" w:rsidRPr="00A648FA" w14:paraId="656B1B07" w14:textId="77777777" w:rsidTr="00A86267">
        <w:trPr>
          <w:trHeight w:val="1284"/>
        </w:trPr>
        <w:tc>
          <w:tcPr>
            <w:tcW w:w="511" w:type="pct"/>
          </w:tcPr>
          <w:p w14:paraId="656B1AFB" w14:textId="77777777" w:rsidR="002A2DFB" w:rsidRPr="00A07276" w:rsidRDefault="002A2DFB" w:rsidP="002A2DFB">
            <w:pPr>
              <w:spacing w:after="0"/>
              <w:rPr>
                <w:rFonts w:cs="Segoe UI Light"/>
                <w:sz w:val="18"/>
              </w:rPr>
            </w:pPr>
            <w:r w:rsidRPr="00CB51FF">
              <w:rPr>
                <w:rFonts w:cs="Segoe UI Light"/>
                <w:sz w:val="18"/>
              </w:rPr>
              <w:t>Better environment plans</w:t>
            </w:r>
          </w:p>
        </w:tc>
        <w:tc>
          <w:tcPr>
            <w:tcW w:w="420" w:type="pct"/>
          </w:tcPr>
          <w:p w14:paraId="656B1AFC" w14:textId="77777777" w:rsidR="002A2DFB" w:rsidRPr="00A07276" w:rsidRDefault="002A2DFB" w:rsidP="002A2DFB">
            <w:pPr>
              <w:spacing w:after="0"/>
              <w:rPr>
                <w:rFonts w:cs="Segoe UI Light"/>
                <w:sz w:val="18"/>
              </w:rPr>
            </w:pPr>
            <w:r w:rsidRPr="00CB51FF">
              <w:rPr>
                <w:rFonts w:cs="Segoe UI Light"/>
                <w:sz w:val="18"/>
              </w:rPr>
              <w:t>Submission of proposed better environment plans</w:t>
            </w:r>
          </w:p>
        </w:tc>
        <w:tc>
          <w:tcPr>
            <w:tcW w:w="412" w:type="pct"/>
          </w:tcPr>
          <w:p w14:paraId="656B1AFD" w14:textId="77777777" w:rsidR="002A2DFB" w:rsidRPr="00CB51FF" w:rsidRDefault="002A2DFB" w:rsidP="002A2DFB">
            <w:pPr>
              <w:spacing w:after="0"/>
              <w:rPr>
                <w:rFonts w:cs="Segoe UI Light"/>
                <w:sz w:val="18"/>
              </w:rPr>
            </w:pPr>
            <w:r w:rsidRPr="00CB51FF">
              <w:rPr>
                <w:rFonts w:cs="Segoe UI Light"/>
                <w:sz w:val="18"/>
              </w:rPr>
              <w:t>-</w:t>
            </w:r>
          </w:p>
        </w:tc>
        <w:tc>
          <w:tcPr>
            <w:tcW w:w="275" w:type="pct"/>
          </w:tcPr>
          <w:p w14:paraId="656B1AFE" w14:textId="77777777" w:rsidR="002A2DFB" w:rsidRPr="00CB51FF" w:rsidRDefault="002A2DFB" w:rsidP="002A2DFB">
            <w:pPr>
              <w:spacing w:after="0"/>
              <w:rPr>
                <w:rFonts w:cs="Segoe UI Light"/>
                <w:sz w:val="18"/>
              </w:rPr>
            </w:pPr>
            <w:r w:rsidRPr="00CB51FF">
              <w:rPr>
                <w:rFonts w:cs="Segoe UI Light"/>
                <w:sz w:val="18"/>
              </w:rPr>
              <w:t xml:space="preserve">Unknown </w:t>
            </w:r>
          </w:p>
        </w:tc>
        <w:tc>
          <w:tcPr>
            <w:tcW w:w="389" w:type="pct"/>
          </w:tcPr>
          <w:p w14:paraId="656B1AFF" w14:textId="5244B2CE" w:rsidR="002A2DFB" w:rsidRPr="00CB51FF" w:rsidRDefault="002A2DFB" w:rsidP="002A2DFB">
            <w:pPr>
              <w:spacing w:after="0"/>
              <w:rPr>
                <w:rFonts w:cs="Segoe UI Light"/>
                <w:sz w:val="18"/>
              </w:rPr>
            </w:pPr>
            <w:r w:rsidRPr="00CB51FF">
              <w:rPr>
                <w:rFonts w:cs="Segoe UI Light"/>
                <w:sz w:val="18"/>
              </w:rPr>
              <w:t>24.</w:t>
            </w:r>
            <w:r w:rsidR="00E6076D">
              <w:rPr>
                <w:rFonts w:cs="Segoe UI Light"/>
                <w:sz w:val="18"/>
              </w:rPr>
              <w:t>88</w:t>
            </w:r>
          </w:p>
        </w:tc>
        <w:tc>
          <w:tcPr>
            <w:tcW w:w="348" w:type="pct"/>
          </w:tcPr>
          <w:p w14:paraId="656B1B00" w14:textId="0CE791E0" w:rsidR="002A2DFB" w:rsidRPr="00CB51FF" w:rsidRDefault="002A2DFB" w:rsidP="002A2DFB">
            <w:pPr>
              <w:spacing w:after="0"/>
              <w:rPr>
                <w:rFonts w:cs="Segoe UI Light"/>
                <w:sz w:val="18"/>
              </w:rPr>
            </w:pPr>
            <w:r w:rsidRPr="00CB51FF">
              <w:rPr>
                <w:rFonts w:cs="Segoe UI Light"/>
                <w:sz w:val="18"/>
              </w:rPr>
              <w:t xml:space="preserve"> $2,495.87 </w:t>
            </w:r>
          </w:p>
        </w:tc>
        <w:tc>
          <w:tcPr>
            <w:tcW w:w="372" w:type="pct"/>
          </w:tcPr>
          <w:p w14:paraId="656B1B01"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853" w:type="pct"/>
          </w:tcPr>
          <w:p w14:paraId="656B1B02" w14:textId="77777777" w:rsidR="002A2DFB" w:rsidRPr="00CB51FF" w:rsidRDefault="002A2DFB" w:rsidP="002A2DFB">
            <w:pPr>
              <w:spacing w:after="0"/>
              <w:rPr>
                <w:rFonts w:cs="Segoe UI Light"/>
                <w:sz w:val="18"/>
              </w:rPr>
            </w:pPr>
            <w:r w:rsidRPr="00A07276">
              <w:rPr>
                <w:rFonts w:cs="Segoe UI Light"/>
                <w:sz w:val="18"/>
              </w:rPr>
              <w:t>103.29 fee units on application plus 6.94 fee units per hour for assessments exceeding 14.9 hours up to a maximum of 593.71 fee units.</w:t>
            </w:r>
          </w:p>
        </w:tc>
        <w:tc>
          <w:tcPr>
            <w:tcW w:w="410" w:type="pct"/>
          </w:tcPr>
          <w:p w14:paraId="656B1B03" w14:textId="2AD3F3E0" w:rsidR="002A2DFB" w:rsidRPr="00CB51FF" w:rsidRDefault="002A2DFB" w:rsidP="002A2DFB">
            <w:pPr>
              <w:spacing w:after="0"/>
              <w:rPr>
                <w:rFonts w:cs="Segoe UI Light"/>
                <w:sz w:val="18"/>
              </w:rPr>
            </w:pPr>
            <w:r w:rsidRPr="00CB51FF">
              <w:rPr>
                <w:rFonts w:cs="Segoe UI Light"/>
                <w:sz w:val="18"/>
              </w:rPr>
              <w:t xml:space="preserve"> $2,495.87 </w:t>
            </w:r>
          </w:p>
        </w:tc>
        <w:tc>
          <w:tcPr>
            <w:tcW w:w="353" w:type="pct"/>
          </w:tcPr>
          <w:p w14:paraId="656B1B04"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303" w:type="pct"/>
          </w:tcPr>
          <w:p w14:paraId="656B1B05" w14:textId="77777777" w:rsidR="002A2DFB" w:rsidRPr="00CB51FF" w:rsidRDefault="002A2DFB" w:rsidP="002A2DFB">
            <w:pPr>
              <w:spacing w:after="0"/>
              <w:rPr>
                <w:rFonts w:cs="Segoe UI Light"/>
                <w:sz w:val="18"/>
              </w:rPr>
            </w:pPr>
            <w:r w:rsidRPr="00CB51FF">
              <w:rPr>
                <w:rFonts w:cs="Segoe UI Light"/>
                <w:sz w:val="18"/>
              </w:rPr>
              <w:t>100%</w:t>
            </w:r>
          </w:p>
        </w:tc>
        <w:tc>
          <w:tcPr>
            <w:tcW w:w="354" w:type="pct"/>
          </w:tcPr>
          <w:p w14:paraId="656B1B06" w14:textId="77777777" w:rsidR="002A2DFB" w:rsidRPr="00CA39D0" w:rsidRDefault="002A2DFB" w:rsidP="002A2DFB">
            <w:pPr>
              <w:spacing w:after="0" w:line="240" w:lineRule="auto"/>
              <w:rPr>
                <w:rFonts w:cs="Segoe UI Light"/>
                <w:sz w:val="16"/>
                <w:szCs w:val="16"/>
              </w:rPr>
            </w:pPr>
            <w:r w:rsidRPr="00CA39D0">
              <w:rPr>
                <w:rFonts w:cs="Segoe UI Light"/>
                <w:sz w:val="16"/>
                <w:szCs w:val="16"/>
              </w:rPr>
              <w:t>New fee</w:t>
            </w:r>
          </w:p>
        </w:tc>
      </w:tr>
      <w:tr w:rsidR="002A2DFB" w:rsidRPr="00A648FA" w14:paraId="656B1B14" w14:textId="77777777" w:rsidTr="00A86267">
        <w:trPr>
          <w:trHeight w:val="743"/>
        </w:trPr>
        <w:tc>
          <w:tcPr>
            <w:tcW w:w="511" w:type="pct"/>
          </w:tcPr>
          <w:p w14:paraId="656B1B08" w14:textId="77777777" w:rsidR="002A2DFB" w:rsidRPr="00A07276" w:rsidRDefault="002A2DFB" w:rsidP="002A2DFB">
            <w:pPr>
              <w:spacing w:after="0"/>
              <w:rPr>
                <w:rFonts w:cs="Segoe UI Light"/>
                <w:sz w:val="18"/>
              </w:rPr>
            </w:pPr>
            <w:r w:rsidRPr="00CB51FF">
              <w:rPr>
                <w:rFonts w:cs="Segoe UI Light"/>
                <w:sz w:val="18"/>
              </w:rPr>
              <w:t>Better environment plans</w:t>
            </w:r>
          </w:p>
        </w:tc>
        <w:tc>
          <w:tcPr>
            <w:tcW w:w="420" w:type="pct"/>
          </w:tcPr>
          <w:p w14:paraId="656B1B09" w14:textId="77777777" w:rsidR="002A2DFB" w:rsidRPr="00A07276" w:rsidRDefault="002A2DFB" w:rsidP="002A2DFB">
            <w:pPr>
              <w:spacing w:after="0"/>
              <w:rPr>
                <w:rFonts w:cs="Segoe UI Light"/>
                <w:sz w:val="18"/>
              </w:rPr>
            </w:pPr>
            <w:r w:rsidRPr="00CB51FF">
              <w:rPr>
                <w:rFonts w:cs="Segoe UI Light"/>
                <w:sz w:val="18"/>
              </w:rPr>
              <w:t>Amendment of better environment plans</w:t>
            </w:r>
          </w:p>
        </w:tc>
        <w:tc>
          <w:tcPr>
            <w:tcW w:w="412" w:type="pct"/>
          </w:tcPr>
          <w:p w14:paraId="656B1B0A" w14:textId="77777777" w:rsidR="002A2DFB" w:rsidRPr="00CB51FF" w:rsidRDefault="002A2DFB" w:rsidP="002A2DFB">
            <w:pPr>
              <w:spacing w:after="0"/>
              <w:rPr>
                <w:rFonts w:cs="Segoe UI Light"/>
                <w:sz w:val="18"/>
              </w:rPr>
            </w:pPr>
            <w:r w:rsidRPr="00CB51FF">
              <w:rPr>
                <w:rFonts w:cs="Segoe UI Light"/>
                <w:sz w:val="18"/>
              </w:rPr>
              <w:t>-</w:t>
            </w:r>
          </w:p>
        </w:tc>
        <w:tc>
          <w:tcPr>
            <w:tcW w:w="275" w:type="pct"/>
          </w:tcPr>
          <w:p w14:paraId="656B1B0B" w14:textId="77777777" w:rsidR="002A2DFB" w:rsidRPr="00CB51FF" w:rsidRDefault="002A2DFB" w:rsidP="002A2DFB">
            <w:pPr>
              <w:spacing w:after="0"/>
              <w:rPr>
                <w:rFonts w:cs="Segoe UI Light"/>
                <w:sz w:val="18"/>
              </w:rPr>
            </w:pPr>
            <w:r w:rsidRPr="00CB51FF">
              <w:rPr>
                <w:rFonts w:cs="Segoe UI Light"/>
                <w:sz w:val="18"/>
              </w:rPr>
              <w:t xml:space="preserve">Unknown </w:t>
            </w:r>
          </w:p>
        </w:tc>
        <w:tc>
          <w:tcPr>
            <w:tcW w:w="389" w:type="pct"/>
          </w:tcPr>
          <w:p w14:paraId="656B1B0C" w14:textId="77777777" w:rsidR="002A2DFB" w:rsidRPr="00CB51FF" w:rsidRDefault="002A2DFB" w:rsidP="002A2DFB">
            <w:pPr>
              <w:spacing w:after="0"/>
              <w:rPr>
                <w:rFonts w:cs="Segoe UI Light"/>
                <w:sz w:val="18"/>
              </w:rPr>
            </w:pPr>
            <w:r w:rsidRPr="00CB51FF">
              <w:rPr>
                <w:rFonts w:cs="Segoe UI Light"/>
                <w:sz w:val="18"/>
              </w:rPr>
              <w:t xml:space="preserve">Unknown </w:t>
            </w:r>
          </w:p>
        </w:tc>
        <w:tc>
          <w:tcPr>
            <w:tcW w:w="348" w:type="pct"/>
          </w:tcPr>
          <w:p w14:paraId="656B1B0D"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372" w:type="pct"/>
          </w:tcPr>
          <w:p w14:paraId="656B1B0E"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853" w:type="pct"/>
          </w:tcPr>
          <w:p w14:paraId="656B1B0F" w14:textId="77777777" w:rsidR="002A2DFB" w:rsidRPr="00CB51FF" w:rsidRDefault="002A2DFB" w:rsidP="002A2DFB">
            <w:pPr>
              <w:spacing w:after="0"/>
              <w:rPr>
                <w:rFonts w:cs="Segoe UI Light"/>
                <w:sz w:val="18"/>
              </w:rPr>
            </w:pPr>
            <w:r w:rsidRPr="00A07276">
              <w:rPr>
                <w:rFonts w:cs="Segoe UI Light"/>
                <w:sz w:val="18"/>
              </w:rPr>
              <w:t>103.29 fee units on application plus 6.94 fee units per hour for assessments exceeding 14.9 hours up to a maximum of 593.71 fee units.</w:t>
            </w:r>
          </w:p>
        </w:tc>
        <w:tc>
          <w:tcPr>
            <w:tcW w:w="410" w:type="pct"/>
          </w:tcPr>
          <w:p w14:paraId="656B1B10"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353" w:type="pct"/>
          </w:tcPr>
          <w:p w14:paraId="656B1B11"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303" w:type="pct"/>
          </w:tcPr>
          <w:p w14:paraId="656B1B12" w14:textId="77777777" w:rsidR="002A2DFB" w:rsidRPr="00CB51FF" w:rsidRDefault="002A2DFB" w:rsidP="002A2DFB">
            <w:pPr>
              <w:spacing w:after="0"/>
              <w:rPr>
                <w:rFonts w:cs="Segoe UI Light"/>
                <w:sz w:val="18"/>
              </w:rPr>
            </w:pPr>
            <w:r w:rsidRPr="00CB51FF">
              <w:rPr>
                <w:rFonts w:cs="Segoe UI Light"/>
                <w:sz w:val="18"/>
              </w:rPr>
              <w:t>Unknown</w:t>
            </w:r>
          </w:p>
        </w:tc>
        <w:tc>
          <w:tcPr>
            <w:tcW w:w="354" w:type="pct"/>
          </w:tcPr>
          <w:p w14:paraId="656B1B13" w14:textId="77777777" w:rsidR="002A2DFB" w:rsidRPr="00CA39D0" w:rsidRDefault="002A2DFB" w:rsidP="002A2DFB">
            <w:pPr>
              <w:spacing w:after="0" w:line="240" w:lineRule="auto"/>
              <w:rPr>
                <w:rFonts w:cs="Segoe UI Light"/>
                <w:sz w:val="16"/>
                <w:szCs w:val="16"/>
              </w:rPr>
            </w:pPr>
            <w:r w:rsidRPr="00CA39D0">
              <w:rPr>
                <w:rFonts w:cs="Segoe UI Light"/>
                <w:sz w:val="16"/>
                <w:szCs w:val="16"/>
              </w:rPr>
              <w:t>New fee</w:t>
            </w:r>
          </w:p>
        </w:tc>
      </w:tr>
      <w:tr w:rsidR="002A2DFB" w:rsidRPr="00A648FA" w14:paraId="656B1B21" w14:textId="77777777" w:rsidTr="00A86267">
        <w:trPr>
          <w:trHeight w:val="601"/>
        </w:trPr>
        <w:tc>
          <w:tcPr>
            <w:tcW w:w="511" w:type="pct"/>
          </w:tcPr>
          <w:p w14:paraId="656B1B15" w14:textId="77777777" w:rsidR="002A2DFB" w:rsidRPr="00A07276" w:rsidRDefault="002A2DFB" w:rsidP="002A2DFB">
            <w:pPr>
              <w:spacing w:after="0"/>
              <w:rPr>
                <w:rFonts w:cs="Segoe UI Light"/>
                <w:sz w:val="18"/>
              </w:rPr>
            </w:pPr>
            <w:r w:rsidRPr="00CB51FF">
              <w:rPr>
                <w:rFonts w:cs="Segoe UI Light"/>
                <w:sz w:val="18"/>
              </w:rPr>
              <w:t>Better environment plans</w:t>
            </w:r>
          </w:p>
        </w:tc>
        <w:tc>
          <w:tcPr>
            <w:tcW w:w="420" w:type="pct"/>
          </w:tcPr>
          <w:p w14:paraId="656B1B16" w14:textId="139E64F0" w:rsidR="002A2DFB" w:rsidRPr="00A07276" w:rsidRDefault="00E6076D" w:rsidP="002A2DFB">
            <w:pPr>
              <w:spacing w:after="0"/>
              <w:rPr>
                <w:rFonts w:cs="Segoe UI Light"/>
                <w:sz w:val="18"/>
              </w:rPr>
            </w:pPr>
            <w:r>
              <w:rPr>
                <w:rFonts w:cs="Segoe UI Light"/>
                <w:sz w:val="18"/>
              </w:rPr>
              <w:t>Services to advise or assist a person to prepare a proposed better environment plan</w:t>
            </w:r>
          </w:p>
        </w:tc>
        <w:tc>
          <w:tcPr>
            <w:tcW w:w="412" w:type="pct"/>
          </w:tcPr>
          <w:p w14:paraId="656B1B17" w14:textId="77777777" w:rsidR="002A2DFB" w:rsidRPr="00CB51FF" w:rsidRDefault="002A2DFB" w:rsidP="002A2DFB">
            <w:pPr>
              <w:spacing w:after="0"/>
              <w:rPr>
                <w:rFonts w:cs="Segoe UI Light"/>
                <w:sz w:val="18"/>
              </w:rPr>
            </w:pPr>
            <w:r w:rsidRPr="00CB51FF">
              <w:rPr>
                <w:rFonts w:cs="Segoe UI Light"/>
                <w:sz w:val="18"/>
              </w:rPr>
              <w:t>-</w:t>
            </w:r>
          </w:p>
        </w:tc>
        <w:tc>
          <w:tcPr>
            <w:tcW w:w="275" w:type="pct"/>
          </w:tcPr>
          <w:p w14:paraId="656B1B18" w14:textId="77777777" w:rsidR="002A2DFB" w:rsidRPr="00CB51FF" w:rsidRDefault="002A2DFB" w:rsidP="002A2DFB">
            <w:pPr>
              <w:spacing w:after="0"/>
              <w:rPr>
                <w:rFonts w:cs="Segoe UI Light"/>
                <w:sz w:val="18"/>
              </w:rPr>
            </w:pPr>
            <w:r w:rsidRPr="00CB51FF">
              <w:rPr>
                <w:rFonts w:cs="Segoe UI Light"/>
                <w:sz w:val="18"/>
              </w:rPr>
              <w:t xml:space="preserve">Unknown </w:t>
            </w:r>
          </w:p>
        </w:tc>
        <w:tc>
          <w:tcPr>
            <w:tcW w:w="389" w:type="pct"/>
          </w:tcPr>
          <w:p w14:paraId="656B1B19" w14:textId="77777777" w:rsidR="002A2DFB" w:rsidRPr="00CB51FF" w:rsidRDefault="002A2DFB" w:rsidP="002A2DFB">
            <w:pPr>
              <w:spacing w:after="0"/>
              <w:rPr>
                <w:rFonts w:cs="Segoe UI Light"/>
                <w:sz w:val="18"/>
              </w:rPr>
            </w:pPr>
            <w:r w:rsidRPr="00CB51FF">
              <w:rPr>
                <w:rFonts w:cs="Segoe UI Light"/>
                <w:sz w:val="18"/>
              </w:rPr>
              <w:t xml:space="preserve">Unknown </w:t>
            </w:r>
          </w:p>
        </w:tc>
        <w:tc>
          <w:tcPr>
            <w:tcW w:w="348" w:type="pct"/>
          </w:tcPr>
          <w:p w14:paraId="656B1B1A"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372" w:type="pct"/>
          </w:tcPr>
          <w:p w14:paraId="656B1B1B"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853" w:type="pct"/>
          </w:tcPr>
          <w:p w14:paraId="656B1B1C" w14:textId="77777777" w:rsidR="002A2DFB" w:rsidRPr="00CB51FF" w:rsidRDefault="002A2DFB" w:rsidP="002A2DFB">
            <w:pPr>
              <w:spacing w:after="0"/>
              <w:rPr>
                <w:rFonts w:cs="Segoe UI Light"/>
                <w:sz w:val="18"/>
              </w:rPr>
            </w:pPr>
            <w:r w:rsidRPr="00A07276">
              <w:rPr>
                <w:rFonts w:cs="Segoe UI Light"/>
                <w:sz w:val="18"/>
              </w:rPr>
              <w:t>6.94 fee units per hour up to a maximum of 593.71 fee units.</w:t>
            </w:r>
          </w:p>
        </w:tc>
        <w:tc>
          <w:tcPr>
            <w:tcW w:w="410" w:type="pct"/>
          </w:tcPr>
          <w:p w14:paraId="656B1B1D"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353" w:type="pct"/>
          </w:tcPr>
          <w:p w14:paraId="656B1B1E" w14:textId="77777777" w:rsidR="002A2DFB" w:rsidRPr="00CB51FF" w:rsidRDefault="002A2DFB" w:rsidP="002A2DFB">
            <w:pPr>
              <w:spacing w:after="0"/>
              <w:rPr>
                <w:rFonts w:cs="Segoe UI Light"/>
                <w:sz w:val="18"/>
              </w:rPr>
            </w:pPr>
            <w:r w:rsidRPr="00CB51FF">
              <w:rPr>
                <w:rFonts w:cs="Segoe UI Light"/>
                <w:sz w:val="18"/>
              </w:rPr>
              <w:t xml:space="preserve"> Unknown </w:t>
            </w:r>
          </w:p>
        </w:tc>
        <w:tc>
          <w:tcPr>
            <w:tcW w:w="303" w:type="pct"/>
          </w:tcPr>
          <w:p w14:paraId="656B1B1F" w14:textId="77777777" w:rsidR="002A2DFB" w:rsidRPr="00CB51FF" w:rsidRDefault="002A2DFB" w:rsidP="002A2DFB">
            <w:pPr>
              <w:spacing w:after="0"/>
              <w:rPr>
                <w:rFonts w:cs="Segoe UI Light"/>
                <w:sz w:val="18"/>
              </w:rPr>
            </w:pPr>
            <w:r w:rsidRPr="00CB51FF">
              <w:rPr>
                <w:rFonts w:cs="Segoe UI Light"/>
                <w:sz w:val="18"/>
              </w:rPr>
              <w:t>Unknown</w:t>
            </w:r>
          </w:p>
        </w:tc>
        <w:tc>
          <w:tcPr>
            <w:tcW w:w="354" w:type="pct"/>
          </w:tcPr>
          <w:p w14:paraId="656B1B20" w14:textId="77777777" w:rsidR="002A2DFB" w:rsidRPr="00CA39D0" w:rsidRDefault="002A2DFB" w:rsidP="002A2DFB">
            <w:pPr>
              <w:spacing w:after="0" w:line="240" w:lineRule="auto"/>
              <w:rPr>
                <w:rFonts w:cs="Segoe UI Light"/>
                <w:sz w:val="16"/>
                <w:szCs w:val="16"/>
              </w:rPr>
            </w:pPr>
            <w:r w:rsidRPr="00CA39D0">
              <w:rPr>
                <w:rFonts w:cs="Segoe UI Light"/>
                <w:sz w:val="16"/>
                <w:szCs w:val="16"/>
              </w:rPr>
              <w:t>New fee</w:t>
            </w:r>
          </w:p>
        </w:tc>
      </w:tr>
      <w:tr w:rsidR="008D2448" w:rsidRPr="00A648FA" w14:paraId="656B1B2E" w14:textId="77777777" w:rsidTr="00A86267">
        <w:trPr>
          <w:trHeight w:val="369"/>
        </w:trPr>
        <w:tc>
          <w:tcPr>
            <w:tcW w:w="511" w:type="pct"/>
          </w:tcPr>
          <w:p w14:paraId="656B1B22" w14:textId="77777777" w:rsidR="008D2448" w:rsidRPr="00A07276" w:rsidRDefault="008D2448" w:rsidP="002A2DFB">
            <w:pPr>
              <w:spacing w:after="0"/>
              <w:rPr>
                <w:rFonts w:cs="Segoe UI Light"/>
                <w:sz w:val="18"/>
              </w:rPr>
            </w:pPr>
            <w:r w:rsidRPr="00CB51FF">
              <w:rPr>
                <w:rFonts w:cs="Segoe UI Light"/>
                <w:sz w:val="18"/>
              </w:rPr>
              <w:t>Authority may appoint analysts and prescribed roles</w:t>
            </w:r>
          </w:p>
        </w:tc>
        <w:tc>
          <w:tcPr>
            <w:tcW w:w="420" w:type="pct"/>
          </w:tcPr>
          <w:p w14:paraId="656B1B23" w14:textId="77777777" w:rsidR="008D2448" w:rsidRPr="00A07276" w:rsidRDefault="008D2448" w:rsidP="002A2DFB">
            <w:pPr>
              <w:spacing w:after="0"/>
              <w:rPr>
                <w:rFonts w:cs="Segoe UI Light"/>
                <w:sz w:val="18"/>
              </w:rPr>
            </w:pPr>
            <w:r w:rsidRPr="00CB51FF">
              <w:rPr>
                <w:rFonts w:cs="Segoe UI Light"/>
                <w:sz w:val="18"/>
              </w:rPr>
              <w:t>-</w:t>
            </w:r>
          </w:p>
        </w:tc>
        <w:tc>
          <w:tcPr>
            <w:tcW w:w="412" w:type="pct"/>
          </w:tcPr>
          <w:p w14:paraId="656B1B24" w14:textId="77777777" w:rsidR="008D2448" w:rsidRPr="00CB51FF" w:rsidRDefault="008D2448" w:rsidP="002A2DFB">
            <w:pPr>
              <w:spacing w:after="0"/>
              <w:rPr>
                <w:rFonts w:cs="Segoe UI Light"/>
                <w:sz w:val="18"/>
              </w:rPr>
            </w:pPr>
            <w:r w:rsidRPr="00CB51FF">
              <w:rPr>
                <w:rFonts w:cs="Segoe UI Light"/>
                <w:sz w:val="18"/>
              </w:rPr>
              <w:t xml:space="preserve">Accredited </w:t>
            </w:r>
            <w:r>
              <w:rPr>
                <w:rFonts w:cs="Segoe UI Light"/>
                <w:sz w:val="18"/>
              </w:rPr>
              <w:t>consigner</w:t>
            </w:r>
            <w:r w:rsidRPr="00CB51FF">
              <w:rPr>
                <w:rFonts w:cs="Segoe UI Light"/>
                <w:sz w:val="18"/>
              </w:rPr>
              <w:t>s</w:t>
            </w:r>
          </w:p>
        </w:tc>
        <w:tc>
          <w:tcPr>
            <w:tcW w:w="275" w:type="pct"/>
          </w:tcPr>
          <w:p w14:paraId="656B1B25" w14:textId="77777777" w:rsidR="008D2448" w:rsidRPr="00CB51FF" w:rsidRDefault="008D2448" w:rsidP="002A2DFB">
            <w:pPr>
              <w:spacing w:after="0"/>
              <w:rPr>
                <w:rFonts w:cs="Segoe UI Light"/>
                <w:sz w:val="18"/>
              </w:rPr>
            </w:pPr>
            <w:r w:rsidRPr="00CB51FF">
              <w:rPr>
                <w:rFonts w:cs="Segoe UI Light"/>
                <w:sz w:val="18"/>
              </w:rPr>
              <w:t>20</w:t>
            </w:r>
          </w:p>
        </w:tc>
        <w:tc>
          <w:tcPr>
            <w:tcW w:w="389" w:type="pct"/>
          </w:tcPr>
          <w:p w14:paraId="656B1B26" w14:textId="4354D274" w:rsidR="008D2448" w:rsidRPr="00CB51FF" w:rsidRDefault="008D2448" w:rsidP="002A2DFB">
            <w:pPr>
              <w:spacing w:after="0"/>
              <w:rPr>
                <w:rFonts w:cs="Segoe UI Light"/>
                <w:sz w:val="18"/>
              </w:rPr>
            </w:pPr>
            <w:r w:rsidRPr="00CB51FF">
              <w:rPr>
                <w:rFonts w:cs="Segoe UI Light"/>
                <w:sz w:val="18"/>
              </w:rPr>
              <w:t>5.3</w:t>
            </w:r>
            <w:r>
              <w:rPr>
                <w:rFonts w:cs="Segoe UI Light"/>
                <w:sz w:val="18"/>
              </w:rPr>
              <w:t>3</w:t>
            </w:r>
          </w:p>
        </w:tc>
        <w:tc>
          <w:tcPr>
            <w:tcW w:w="348" w:type="pct"/>
          </w:tcPr>
          <w:p w14:paraId="656B1B27" w14:textId="203FA661" w:rsidR="008D2448" w:rsidRPr="00CB51FF" w:rsidRDefault="008D2448" w:rsidP="002A2DFB">
            <w:pPr>
              <w:spacing w:after="0"/>
              <w:rPr>
                <w:rFonts w:cs="Segoe UI Light"/>
                <w:sz w:val="18"/>
              </w:rPr>
            </w:pPr>
            <w:r w:rsidRPr="00CB51FF">
              <w:rPr>
                <w:rFonts w:cs="Segoe UI Light"/>
                <w:sz w:val="18"/>
              </w:rPr>
              <w:t xml:space="preserve"> $510.84 </w:t>
            </w:r>
          </w:p>
        </w:tc>
        <w:tc>
          <w:tcPr>
            <w:tcW w:w="372" w:type="pct"/>
          </w:tcPr>
          <w:p w14:paraId="656B1B28" w14:textId="3E930A34" w:rsidR="008D2448" w:rsidRPr="00CB51FF" w:rsidRDefault="008D2448" w:rsidP="002A2DFB">
            <w:pPr>
              <w:spacing w:after="0"/>
              <w:rPr>
                <w:rFonts w:cs="Segoe UI Light"/>
                <w:sz w:val="18"/>
              </w:rPr>
            </w:pPr>
            <w:r w:rsidRPr="00CB51FF">
              <w:rPr>
                <w:rFonts w:cs="Segoe UI Light"/>
                <w:sz w:val="18"/>
              </w:rPr>
              <w:t xml:space="preserve"> $10,21</w:t>
            </w:r>
            <w:r w:rsidR="003163B5">
              <w:rPr>
                <w:rFonts w:cs="Segoe UI Light"/>
                <w:sz w:val="18"/>
              </w:rPr>
              <w:t>6.80</w:t>
            </w:r>
            <w:r w:rsidRPr="00CB51FF">
              <w:rPr>
                <w:rFonts w:cs="Segoe UI Light"/>
                <w:sz w:val="18"/>
              </w:rPr>
              <w:t xml:space="preserve"> </w:t>
            </w:r>
          </w:p>
        </w:tc>
        <w:tc>
          <w:tcPr>
            <w:tcW w:w="853" w:type="pct"/>
          </w:tcPr>
          <w:p w14:paraId="656B1B29" w14:textId="77777777" w:rsidR="008D2448" w:rsidRPr="00CB51FF" w:rsidRDefault="008D2448" w:rsidP="002A2DFB">
            <w:pPr>
              <w:spacing w:after="0"/>
              <w:rPr>
                <w:rFonts w:cs="Segoe UI Light"/>
                <w:sz w:val="18"/>
              </w:rPr>
            </w:pPr>
            <w:r w:rsidRPr="00A07276">
              <w:rPr>
                <w:rFonts w:cs="Segoe UI Light"/>
                <w:sz w:val="18"/>
              </w:rPr>
              <w:t>Flat fee - 35.35 fee units</w:t>
            </w:r>
          </w:p>
        </w:tc>
        <w:tc>
          <w:tcPr>
            <w:tcW w:w="410" w:type="pct"/>
          </w:tcPr>
          <w:p w14:paraId="656B1B2A" w14:textId="147E8876" w:rsidR="008D2448" w:rsidRPr="00CB51FF" w:rsidRDefault="008D2448" w:rsidP="002A2DFB">
            <w:pPr>
              <w:spacing w:after="0"/>
              <w:rPr>
                <w:rFonts w:cs="Segoe UI Light"/>
                <w:sz w:val="18"/>
              </w:rPr>
            </w:pPr>
            <w:r w:rsidRPr="00CB51FF">
              <w:rPr>
                <w:rFonts w:cs="Segoe UI Light"/>
                <w:sz w:val="18"/>
              </w:rPr>
              <w:t xml:space="preserve"> $510.84 </w:t>
            </w:r>
          </w:p>
        </w:tc>
        <w:tc>
          <w:tcPr>
            <w:tcW w:w="353" w:type="pct"/>
          </w:tcPr>
          <w:p w14:paraId="656B1B2B" w14:textId="29FB3D84" w:rsidR="008D2448" w:rsidRPr="00CB51FF" w:rsidRDefault="008D2448" w:rsidP="002A2DFB">
            <w:pPr>
              <w:spacing w:after="0"/>
              <w:rPr>
                <w:rFonts w:cs="Segoe UI Light"/>
                <w:sz w:val="18"/>
              </w:rPr>
            </w:pPr>
            <w:r w:rsidRPr="00CB51FF">
              <w:rPr>
                <w:rFonts w:cs="Segoe UI Light"/>
                <w:sz w:val="18"/>
              </w:rPr>
              <w:t xml:space="preserve"> $10,21</w:t>
            </w:r>
            <w:r w:rsidR="003163B5">
              <w:rPr>
                <w:rFonts w:cs="Segoe UI Light"/>
                <w:sz w:val="18"/>
              </w:rPr>
              <w:t>6.80</w:t>
            </w:r>
            <w:r w:rsidRPr="00CB51FF">
              <w:rPr>
                <w:rFonts w:cs="Segoe UI Light"/>
                <w:sz w:val="18"/>
              </w:rPr>
              <w:t xml:space="preserve"> </w:t>
            </w:r>
          </w:p>
        </w:tc>
        <w:tc>
          <w:tcPr>
            <w:tcW w:w="303" w:type="pct"/>
          </w:tcPr>
          <w:p w14:paraId="656B1B2C" w14:textId="77777777" w:rsidR="008D2448" w:rsidRPr="00CB51FF" w:rsidRDefault="008D2448" w:rsidP="002A2DFB">
            <w:pPr>
              <w:spacing w:after="0"/>
              <w:rPr>
                <w:rFonts w:cs="Segoe UI Light"/>
                <w:sz w:val="18"/>
              </w:rPr>
            </w:pPr>
            <w:r w:rsidRPr="00CB51FF">
              <w:rPr>
                <w:rFonts w:cs="Segoe UI Light"/>
                <w:sz w:val="18"/>
              </w:rPr>
              <w:t>100%</w:t>
            </w:r>
          </w:p>
        </w:tc>
        <w:tc>
          <w:tcPr>
            <w:tcW w:w="354" w:type="pct"/>
          </w:tcPr>
          <w:p w14:paraId="656B1B2D" w14:textId="77777777" w:rsidR="008D2448" w:rsidRPr="001F6339" w:rsidRDefault="008D2448" w:rsidP="002A2DFB">
            <w:pPr>
              <w:spacing w:after="0" w:line="240" w:lineRule="auto"/>
              <w:rPr>
                <w:rFonts w:cs="Segoe UI Light"/>
                <w:sz w:val="16"/>
                <w:szCs w:val="16"/>
              </w:rPr>
            </w:pPr>
            <w:r w:rsidRPr="001F6339">
              <w:rPr>
                <w:rFonts w:cs="Segoe UI Light"/>
                <w:sz w:val="16"/>
                <w:szCs w:val="16"/>
              </w:rPr>
              <w:t>New fee</w:t>
            </w:r>
          </w:p>
        </w:tc>
      </w:tr>
      <w:tr w:rsidR="004856B6" w:rsidRPr="00A648FA" w14:paraId="0F8A754F" w14:textId="77777777" w:rsidTr="00A86267">
        <w:trPr>
          <w:trHeight w:val="368"/>
        </w:trPr>
        <w:tc>
          <w:tcPr>
            <w:tcW w:w="511" w:type="pct"/>
          </w:tcPr>
          <w:p w14:paraId="4756E95B" w14:textId="55A0E12E" w:rsidR="004856B6" w:rsidRPr="004856B6" w:rsidRDefault="004856B6" w:rsidP="004856B6">
            <w:pPr>
              <w:spacing w:after="0"/>
              <w:rPr>
                <w:rFonts w:cs="Segoe UI Light"/>
                <w:sz w:val="18"/>
              </w:rPr>
            </w:pPr>
            <w:r w:rsidRPr="004856B6">
              <w:rPr>
                <w:rFonts w:cs="Segoe UI Light"/>
                <w:sz w:val="18"/>
              </w:rPr>
              <w:t>Authority may appoint analysts and prescribed roles</w:t>
            </w:r>
          </w:p>
        </w:tc>
        <w:tc>
          <w:tcPr>
            <w:tcW w:w="420" w:type="pct"/>
          </w:tcPr>
          <w:p w14:paraId="6C43269E" w14:textId="3E999149" w:rsidR="004856B6" w:rsidRPr="004856B6" w:rsidRDefault="004856B6" w:rsidP="004856B6">
            <w:pPr>
              <w:spacing w:after="0"/>
              <w:rPr>
                <w:rFonts w:cs="Segoe UI Light"/>
                <w:sz w:val="18"/>
              </w:rPr>
            </w:pPr>
            <w:r w:rsidRPr="004856B6">
              <w:rPr>
                <w:rFonts w:cs="Segoe UI Light"/>
                <w:sz w:val="18"/>
              </w:rPr>
              <w:t>-</w:t>
            </w:r>
          </w:p>
        </w:tc>
        <w:tc>
          <w:tcPr>
            <w:tcW w:w="412" w:type="pct"/>
          </w:tcPr>
          <w:p w14:paraId="672D5E14" w14:textId="24676E98" w:rsidR="004856B6" w:rsidRPr="008E625C" w:rsidRDefault="004856B6" w:rsidP="004856B6">
            <w:pPr>
              <w:spacing w:after="0"/>
              <w:rPr>
                <w:rFonts w:cs="Segoe UI Light"/>
                <w:sz w:val="18"/>
              </w:rPr>
            </w:pPr>
            <w:r w:rsidRPr="008E625C">
              <w:rPr>
                <w:rFonts w:cs="Segoe UI Light"/>
                <w:sz w:val="18"/>
              </w:rPr>
              <w:t>Motor vehicle testers</w:t>
            </w:r>
          </w:p>
        </w:tc>
        <w:tc>
          <w:tcPr>
            <w:tcW w:w="275" w:type="pct"/>
          </w:tcPr>
          <w:p w14:paraId="527F07A5" w14:textId="2F0A853A" w:rsidR="004856B6" w:rsidRPr="008E625C" w:rsidRDefault="004856B6" w:rsidP="004856B6">
            <w:pPr>
              <w:spacing w:after="0"/>
              <w:rPr>
                <w:rFonts w:cs="Segoe UI Light"/>
                <w:sz w:val="18"/>
              </w:rPr>
            </w:pPr>
            <w:r w:rsidRPr="008E625C">
              <w:rPr>
                <w:rFonts w:cs="Segoe UI Light"/>
                <w:sz w:val="18"/>
              </w:rPr>
              <w:t>3</w:t>
            </w:r>
          </w:p>
        </w:tc>
        <w:tc>
          <w:tcPr>
            <w:tcW w:w="389" w:type="pct"/>
          </w:tcPr>
          <w:p w14:paraId="6E5531BC" w14:textId="7F9F76E0" w:rsidR="004856B6" w:rsidRPr="004856B6" w:rsidRDefault="004856B6" w:rsidP="004856B6">
            <w:pPr>
              <w:spacing w:after="0"/>
              <w:rPr>
                <w:rFonts w:cs="Segoe UI Light"/>
                <w:sz w:val="18"/>
              </w:rPr>
            </w:pPr>
            <w:r w:rsidRPr="004856B6">
              <w:rPr>
                <w:rFonts w:cs="Segoe UI Light"/>
                <w:sz w:val="18"/>
              </w:rPr>
              <w:t>16.</w:t>
            </w:r>
            <w:r w:rsidR="003163B5">
              <w:rPr>
                <w:rFonts w:cs="Segoe UI Light"/>
                <w:sz w:val="18"/>
              </w:rPr>
              <w:t>0</w:t>
            </w:r>
            <w:r w:rsidRPr="004856B6">
              <w:rPr>
                <w:rFonts w:cs="Segoe UI Light"/>
                <w:sz w:val="18"/>
              </w:rPr>
              <w:t>1</w:t>
            </w:r>
          </w:p>
        </w:tc>
        <w:tc>
          <w:tcPr>
            <w:tcW w:w="348" w:type="pct"/>
          </w:tcPr>
          <w:p w14:paraId="5561EF9C" w14:textId="3C868580" w:rsidR="004856B6" w:rsidRPr="004856B6" w:rsidRDefault="004856B6" w:rsidP="004856B6">
            <w:pPr>
              <w:spacing w:after="0"/>
              <w:rPr>
                <w:rFonts w:cs="Segoe UI Light"/>
                <w:sz w:val="18"/>
              </w:rPr>
            </w:pPr>
            <w:r w:rsidRPr="004856B6">
              <w:rPr>
                <w:rFonts w:cs="Segoe UI Light"/>
                <w:sz w:val="18"/>
              </w:rPr>
              <w:t>$1,581</w:t>
            </w:r>
            <w:r w:rsidR="007736CD">
              <w:rPr>
                <w:rFonts w:cs="Segoe UI Light"/>
                <w:sz w:val="18"/>
              </w:rPr>
              <w:t>.</w:t>
            </w:r>
            <w:r w:rsidR="003163B5">
              <w:rPr>
                <w:rFonts w:cs="Segoe UI Light"/>
                <w:sz w:val="18"/>
              </w:rPr>
              <w:t>04</w:t>
            </w:r>
          </w:p>
        </w:tc>
        <w:tc>
          <w:tcPr>
            <w:tcW w:w="372" w:type="pct"/>
          </w:tcPr>
          <w:p w14:paraId="29320652" w14:textId="7DF46B9A" w:rsidR="004856B6" w:rsidRPr="004856B6" w:rsidRDefault="004856B6" w:rsidP="004856B6">
            <w:pPr>
              <w:spacing w:after="0"/>
              <w:rPr>
                <w:rFonts w:cs="Segoe UI Light"/>
                <w:sz w:val="18"/>
              </w:rPr>
            </w:pPr>
            <w:r w:rsidRPr="004856B6">
              <w:rPr>
                <w:rFonts w:cs="Segoe UI Light"/>
                <w:sz w:val="18"/>
              </w:rPr>
              <w:t>$4,743</w:t>
            </w:r>
            <w:r w:rsidR="003163B5">
              <w:rPr>
                <w:rFonts w:cs="Segoe UI Light"/>
                <w:sz w:val="18"/>
              </w:rPr>
              <w:t>.12</w:t>
            </w:r>
          </w:p>
        </w:tc>
        <w:tc>
          <w:tcPr>
            <w:tcW w:w="853" w:type="pct"/>
          </w:tcPr>
          <w:p w14:paraId="7F2938AC" w14:textId="7298711F" w:rsidR="004856B6" w:rsidRPr="004856B6" w:rsidRDefault="004856B6" w:rsidP="004856B6">
            <w:pPr>
              <w:spacing w:after="0"/>
              <w:rPr>
                <w:rFonts w:cs="Segoe UI Light"/>
                <w:sz w:val="18"/>
              </w:rPr>
            </w:pPr>
            <w:r w:rsidRPr="004856B6">
              <w:rPr>
                <w:rFonts w:cs="Segoe UI Light"/>
                <w:sz w:val="18"/>
              </w:rPr>
              <w:t>No fee</w:t>
            </w:r>
          </w:p>
        </w:tc>
        <w:tc>
          <w:tcPr>
            <w:tcW w:w="410" w:type="pct"/>
          </w:tcPr>
          <w:p w14:paraId="6B702A39" w14:textId="5D389E28" w:rsidR="004856B6" w:rsidRPr="004856B6" w:rsidRDefault="004856B6" w:rsidP="004856B6">
            <w:pPr>
              <w:spacing w:after="0"/>
              <w:rPr>
                <w:rFonts w:cs="Segoe UI Light"/>
                <w:sz w:val="18"/>
              </w:rPr>
            </w:pPr>
            <w:r w:rsidRPr="004856B6">
              <w:rPr>
                <w:rFonts w:cs="Segoe UI Light"/>
                <w:sz w:val="18"/>
              </w:rPr>
              <w:t>-</w:t>
            </w:r>
          </w:p>
        </w:tc>
        <w:tc>
          <w:tcPr>
            <w:tcW w:w="353" w:type="pct"/>
          </w:tcPr>
          <w:p w14:paraId="4910C3C5" w14:textId="601853F3" w:rsidR="004856B6" w:rsidRPr="004856B6" w:rsidRDefault="004856B6" w:rsidP="004856B6">
            <w:pPr>
              <w:spacing w:after="0"/>
              <w:rPr>
                <w:rFonts w:cs="Segoe UI Light"/>
                <w:sz w:val="18"/>
              </w:rPr>
            </w:pPr>
            <w:r w:rsidRPr="004856B6">
              <w:rPr>
                <w:rFonts w:cs="Segoe UI Light"/>
                <w:sz w:val="18"/>
              </w:rPr>
              <w:t>Unknown</w:t>
            </w:r>
          </w:p>
        </w:tc>
        <w:tc>
          <w:tcPr>
            <w:tcW w:w="303" w:type="pct"/>
          </w:tcPr>
          <w:p w14:paraId="2333282C" w14:textId="20596EF1" w:rsidR="004856B6" w:rsidRPr="004856B6" w:rsidRDefault="004856B6" w:rsidP="004856B6">
            <w:pPr>
              <w:spacing w:after="0"/>
              <w:rPr>
                <w:rFonts w:cs="Segoe UI Light"/>
                <w:sz w:val="18"/>
              </w:rPr>
            </w:pPr>
            <w:r w:rsidRPr="004856B6">
              <w:rPr>
                <w:rFonts w:cs="Segoe UI Light"/>
                <w:sz w:val="18"/>
              </w:rPr>
              <w:t>0%</w:t>
            </w:r>
          </w:p>
        </w:tc>
        <w:tc>
          <w:tcPr>
            <w:tcW w:w="354" w:type="pct"/>
          </w:tcPr>
          <w:p w14:paraId="7C98DE06" w14:textId="2201C8FA" w:rsidR="004856B6" w:rsidRPr="004856B6" w:rsidRDefault="004856B6" w:rsidP="004856B6">
            <w:pPr>
              <w:spacing w:after="0" w:line="240" w:lineRule="auto"/>
              <w:rPr>
                <w:rFonts w:cs="Segoe UI Light"/>
                <w:sz w:val="16"/>
                <w:szCs w:val="16"/>
              </w:rPr>
            </w:pPr>
            <w:r w:rsidRPr="004856B6">
              <w:rPr>
                <w:rFonts w:cs="Segoe UI Light"/>
                <w:sz w:val="16"/>
                <w:szCs w:val="16"/>
              </w:rPr>
              <w:t>NA</w:t>
            </w:r>
          </w:p>
        </w:tc>
      </w:tr>
      <w:tr w:rsidR="004856B6" w:rsidRPr="00A648FA" w14:paraId="656B1B3B" w14:textId="77777777" w:rsidTr="00A86267">
        <w:trPr>
          <w:trHeight w:val="1192"/>
        </w:trPr>
        <w:tc>
          <w:tcPr>
            <w:tcW w:w="511" w:type="pct"/>
          </w:tcPr>
          <w:p w14:paraId="656B1B2F" w14:textId="77777777" w:rsidR="004856B6" w:rsidRPr="00A07276" w:rsidRDefault="004856B6" w:rsidP="004856B6">
            <w:pPr>
              <w:spacing w:after="0"/>
              <w:rPr>
                <w:rFonts w:cs="Segoe UI Light"/>
                <w:sz w:val="18"/>
              </w:rPr>
            </w:pPr>
            <w:r w:rsidRPr="00CB51FF">
              <w:rPr>
                <w:rFonts w:cs="Segoe UI Light"/>
                <w:sz w:val="18"/>
              </w:rPr>
              <w:t>Application to vary or revoke site management order</w:t>
            </w:r>
          </w:p>
        </w:tc>
        <w:tc>
          <w:tcPr>
            <w:tcW w:w="420" w:type="pct"/>
          </w:tcPr>
          <w:p w14:paraId="656B1B30" w14:textId="77777777" w:rsidR="004856B6" w:rsidRPr="00A07276" w:rsidRDefault="004856B6" w:rsidP="004856B6">
            <w:pPr>
              <w:spacing w:after="0"/>
              <w:rPr>
                <w:rFonts w:cs="Segoe UI Light"/>
                <w:sz w:val="18"/>
              </w:rPr>
            </w:pPr>
            <w:r w:rsidRPr="00CB51FF">
              <w:rPr>
                <w:rFonts w:cs="Segoe UI Light"/>
                <w:sz w:val="18"/>
              </w:rPr>
              <w:t>-</w:t>
            </w:r>
          </w:p>
        </w:tc>
        <w:tc>
          <w:tcPr>
            <w:tcW w:w="412" w:type="pct"/>
          </w:tcPr>
          <w:p w14:paraId="656B1B31" w14:textId="77777777" w:rsidR="004856B6" w:rsidRPr="00CB51FF" w:rsidRDefault="004856B6" w:rsidP="004856B6">
            <w:pPr>
              <w:spacing w:after="0"/>
              <w:rPr>
                <w:rFonts w:cs="Segoe UI Light"/>
                <w:sz w:val="18"/>
              </w:rPr>
            </w:pPr>
            <w:r w:rsidRPr="00CB51FF">
              <w:rPr>
                <w:rFonts w:cs="Segoe UI Light"/>
                <w:sz w:val="18"/>
              </w:rPr>
              <w:t>-</w:t>
            </w:r>
          </w:p>
        </w:tc>
        <w:tc>
          <w:tcPr>
            <w:tcW w:w="275" w:type="pct"/>
          </w:tcPr>
          <w:p w14:paraId="656B1B32" w14:textId="77777777" w:rsidR="004856B6" w:rsidRPr="00CB51FF" w:rsidRDefault="004856B6" w:rsidP="004856B6">
            <w:pPr>
              <w:spacing w:after="0"/>
              <w:rPr>
                <w:rFonts w:cs="Segoe UI Light"/>
                <w:sz w:val="18"/>
              </w:rPr>
            </w:pPr>
            <w:r w:rsidRPr="00CB51FF">
              <w:rPr>
                <w:rFonts w:cs="Segoe UI Light"/>
                <w:sz w:val="18"/>
              </w:rPr>
              <w:t xml:space="preserve">Unknown </w:t>
            </w:r>
          </w:p>
        </w:tc>
        <w:tc>
          <w:tcPr>
            <w:tcW w:w="389" w:type="pct"/>
          </w:tcPr>
          <w:p w14:paraId="656B1B33" w14:textId="2673B584" w:rsidR="004856B6" w:rsidRPr="00CB51FF" w:rsidRDefault="004856B6" w:rsidP="004856B6">
            <w:pPr>
              <w:spacing w:after="0"/>
              <w:rPr>
                <w:rFonts w:cs="Segoe UI Light"/>
                <w:sz w:val="18"/>
              </w:rPr>
            </w:pPr>
            <w:r w:rsidRPr="00CB51FF">
              <w:rPr>
                <w:rFonts w:cs="Segoe UI Light"/>
                <w:sz w:val="18"/>
              </w:rPr>
              <w:t>24.</w:t>
            </w:r>
            <w:r>
              <w:rPr>
                <w:rFonts w:cs="Segoe UI Light"/>
                <w:sz w:val="18"/>
              </w:rPr>
              <w:t>88</w:t>
            </w:r>
          </w:p>
        </w:tc>
        <w:tc>
          <w:tcPr>
            <w:tcW w:w="348" w:type="pct"/>
          </w:tcPr>
          <w:p w14:paraId="656B1B34" w14:textId="24D0FC97" w:rsidR="004856B6" w:rsidRPr="00CB51FF" w:rsidRDefault="004856B6" w:rsidP="004856B6">
            <w:pPr>
              <w:spacing w:after="0"/>
              <w:rPr>
                <w:rFonts w:cs="Segoe UI Light"/>
                <w:sz w:val="18"/>
              </w:rPr>
            </w:pPr>
            <w:r w:rsidRPr="00CB51FF">
              <w:rPr>
                <w:rFonts w:cs="Segoe UI Light"/>
                <w:sz w:val="18"/>
              </w:rPr>
              <w:t xml:space="preserve"> $2,495.87 </w:t>
            </w:r>
          </w:p>
        </w:tc>
        <w:tc>
          <w:tcPr>
            <w:tcW w:w="372" w:type="pct"/>
          </w:tcPr>
          <w:p w14:paraId="656B1B35" w14:textId="77777777" w:rsidR="004856B6" w:rsidRPr="00CB51FF" w:rsidRDefault="004856B6" w:rsidP="004856B6">
            <w:pPr>
              <w:spacing w:after="0"/>
              <w:rPr>
                <w:rFonts w:cs="Segoe UI Light"/>
                <w:sz w:val="18"/>
              </w:rPr>
            </w:pPr>
            <w:r w:rsidRPr="00CB51FF">
              <w:rPr>
                <w:rFonts w:cs="Segoe UI Light"/>
                <w:sz w:val="18"/>
              </w:rPr>
              <w:t xml:space="preserve"> Unknown </w:t>
            </w:r>
          </w:p>
        </w:tc>
        <w:tc>
          <w:tcPr>
            <w:tcW w:w="853" w:type="pct"/>
          </w:tcPr>
          <w:p w14:paraId="656B1B36" w14:textId="77777777" w:rsidR="004856B6" w:rsidRPr="00CB51FF" w:rsidRDefault="004856B6" w:rsidP="004856B6">
            <w:pPr>
              <w:spacing w:after="0"/>
              <w:rPr>
                <w:rFonts w:cs="Segoe UI Light"/>
                <w:sz w:val="18"/>
              </w:rPr>
            </w:pPr>
            <w:r w:rsidRPr="00A07276">
              <w:rPr>
                <w:rFonts w:cs="Segoe UI Light"/>
                <w:sz w:val="18"/>
              </w:rPr>
              <w:t>103.29 fee units on application plus 6.94 fee units per hour for assessments exceeding 14.9 hours up to a maximum of 593.71 fee units.</w:t>
            </w:r>
          </w:p>
        </w:tc>
        <w:tc>
          <w:tcPr>
            <w:tcW w:w="410" w:type="pct"/>
          </w:tcPr>
          <w:p w14:paraId="656B1B37" w14:textId="007705CD" w:rsidR="004856B6" w:rsidRPr="00CB51FF" w:rsidRDefault="004856B6" w:rsidP="004856B6">
            <w:pPr>
              <w:spacing w:after="0"/>
              <w:rPr>
                <w:rFonts w:cs="Segoe UI Light"/>
                <w:sz w:val="18"/>
              </w:rPr>
            </w:pPr>
            <w:r w:rsidRPr="00CB51FF">
              <w:rPr>
                <w:rFonts w:cs="Segoe UI Light"/>
                <w:sz w:val="18"/>
              </w:rPr>
              <w:t xml:space="preserve"> $2,495.87 </w:t>
            </w:r>
          </w:p>
        </w:tc>
        <w:tc>
          <w:tcPr>
            <w:tcW w:w="353" w:type="pct"/>
          </w:tcPr>
          <w:p w14:paraId="656B1B38" w14:textId="77777777" w:rsidR="004856B6" w:rsidRPr="00CB51FF" w:rsidRDefault="004856B6" w:rsidP="004856B6">
            <w:pPr>
              <w:spacing w:after="0"/>
              <w:rPr>
                <w:rFonts w:cs="Segoe UI Light"/>
                <w:sz w:val="18"/>
              </w:rPr>
            </w:pPr>
            <w:r w:rsidRPr="00CB51FF">
              <w:rPr>
                <w:rFonts w:cs="Segoe UI Light"/>
                <w:sz w:val="18"/>
              </w:rPr>
              <w:t xml:space="preserve"> Unknown </w:t>
            </w:r>
          </w:p>
        </w:tc>
        <w:tc>
          <w:tcPr>
            <w:tcW w:w="303" w:type="pct"/>
          </w:tcPr>
          <w:p w14:paraId="656B1B39" w14:textId="77777777" w:rsidR="004856B6" w:rsidRPr="00CB51FF" w:rsidRDefault="004856B6" w:rsidP="004856B6">
            <w:pPr>
              <w:spacing w:after="0"/>
              <w:rPr>
                <w:rFonts w:cs="Segoe UI Light"/>
                <w:sz w:val="18"/>
              </w:rPr>
            </w:pPr>
            <w:r w:rsidRPr="00CB51FF">
              <w:rPr>
                <w:rFonts w:cs="Segoe UI Light"/>
                <w:sz w:val="18"/>
              </w:rPr>
              <w:t>100%</w:t>
            </w:r>
          </w:p>
        </w:tc>
        <w:tc>
          <w:tcPr>
            <w:tcW w:w="354" w:type="pct"/>
          </w:tcPr>
          <w:p w14:paraId="656B1B3A" w14:textId="77777777" w:rsidR="004856B6" w:rsidRPr="001F6339" w:rsidRDefault="004856B6" w:rsidP="004856B6">
            <w:pPr>
              <w:spacing w:after="0" w:line="240" w:lineRule="auto"/>
              <w:rPr>
                <w:rFonts w:cs="Segoe UI Light"/>
                <w:sz w:val="16"/>
                <w:szCs w:val="16"/>
              </w:rPr>
            </w:pPr>
            <w:r w:rsidRPr="001F6339">
              <w:rPr>
                <w:rFonts w:cs="Segoe UI Light"/>
                <w:sz w:val="16"/>
                <w:szCs w:val="16"/>
              </w:rPr>
              <w:t>New fee</w:t>
            </w:r>
          </w:p>
        </w:tc>
      </w:tr>
      <w:tr w:rsidR="004856B6" w:rsidRPr="00A648FA" w14:paraId="656B1B48" w14:textId="77777777" w:rsidTr="00A86267">
        <w:trPr>
          <w:trHeight w:val="491"/>
        </w:trPr>
        <w:tc>
          <w:tcPr>
            <w:tcW w:w="511" w:type="pct"/>
          </w:tcPr>
          <w:p w14:paraId="656B1B3C" w14:textId="77777777" w:rsidR="004856B6" w:rsidRPr="00A07276" w:rsidRDefault="004856B6" w:rsidP="004856B6">
            <w:pPr>
              <w:spacing w:after="0"/>
              <w:rPr>
                <w:rFonts w:cs="Segoe UI Light"/>
                <w:sz w:val="18"/>
              </w:rPr>
            </w:pPr>
            <w:r w:rsidRPr="00CB51FF">
              <w:rPr>
                <w:rFonts w:cs="Segoe UI Light"/>
                <w:sz w:val="18"/>
              </w:rPr>
              <w:t>Public access to the Public Register</w:t>
            </w:r>
          </w:p>
        </w:tc>
        <w:tc>
          <w:tcPr>
            <w:tcW w:w="420" w:type="pct"/>
          </w:tcPr>
          <w:p w14:paraId="656B1B3D" w14:textId="77777777" w:rsidR="004856B6" w:rsidRPr="00A07276" w:rsidRDefault="004856B6" w:rsidP="004856B6">
            <w:pPr>
              <w:spacing w:after="0"/>
              <w:rPr>
                <w:rFonts w:cs="Segoe UI Light"/>
                <w:sz w:val="18"/>
              </w:rPr>
            </w:pPr>
            <w:r w:rsidRPr="00CB51FF">
              <w:rPr>
                <w:rFonts w:cs="Segoe UI Light"/>
                <w:sz w:val="18"/>
              </w:rPr>
              <w:t>-</w:t>
            </w:r>
          </w:p>
        </w:tc>
        <w:tc>
          <w:tcPr>
            <w:tcW w:w="412" w:type="pct"/>
          </w:tcPr>
          <w:p w14:paraId="656B1B3E" w14:textId="77777777" w:rsidR="004856B6" w:rsidRPr="00CB51FF" w:rsidRDefault="004856B6" w:rsidP="004856B6">
            <w:pPr>
              <w:spacing w:after="0"/>
              <w:rPr>
                <w:rFonts w:cs="Segoe UI Light"/>
                <w:sz w:val="18"/>
              </w:rPr>
            </w:pPr>
            <w:r w:rsidRPr="00CB51FF">
              <w:rPr>
                <w:rFonts w:cs="Segoe UI Light"/>
                <w:sz w:val="18"/>
              </w:rPr>
              <w:t>-</w:t>
            </w:r>
          </w:p>
        </w:tc>
        <w:tc>
          <w:tcPr>
            <w:tcW w:w="275" w:type="pct"/>
          </w:tcPr>
          <w:p w14:paraId="656B1B3F" w14:textId="77777777" w:rsidR="004856B6" w:rsidRPr="00CB51FF" w:rsidRDefault="004856B6" w:rsidP="004856B6">
            <w:pPr>
              <w:spacing w:after="0"/>
              <w:rPr>
                <w:rFonts w:cs="Segoe UI Light"/>
                <w:sz w:val="18"/>
              </w:rPr>
            </w:pPr>
            <w:r w:rsidRPr="00CB51FF">
              <w:rPr>
                <w:rFonts w:cs="Segoe UI Light"/>
                <w:sz w:val="18"/>
              </w:rPr>
              <w:t xml:space="preserve">Unknown </w:t>
            </w:r>
          </w:p>
        </w:tc>
        <w:tc>
          <w:tcPr>
            <w:tcW w:w="389" w:type="pct"/>
          </w:tcPr>
          <w:p w14:paraId="656B1B40" w14:textId="77777777" w:rsidR="004856B6" w:rsidRPr="00CB51FF" w:rsidRDefault="004856B6" w:rsidP="004856B6">
            <w:pPr>
              <w:spacing w:after="0"/>
              <w:rPr>
                <w:rFonts w:cs="Segoe UI Light"/>
                <w:sz w:val="18"/>
              </w:rPr>
            </w:pPr>
            <w:r w:rsidRPr="00CB51FF">
              <w:rPr>
                <w:rFonts w:cs="Segoe UI Light"/>
                <w:sz w:val="18"/>
              </w:rPr>
              <w:t xml:space="preserve">Unknown </w:t>
            </w:r>
          </w:p>
        </w:tc>
        <w:tc>
          <w:tcPr>
            <w:tcW w:w="348" w:type="pct"/>
          </w:tcPr>
          <w:p w14:paraId="656B1B41" w14:textId="77777777" w:rsidR="004856B6" w:rsidRPr="00CB51FF" w:rsidRDefault="004856B6" w:rsidP="004856B6">
            <w:pPr>
              <w:spacing w:after="0"/>
              <w:rPr>
                <w:rFonts w:cs="Segoe UI Light"/>
                <w:sz w:val="18"/>
              </w:rPr>
            </w:pPr>
            <w:r w:rsidRPr="00CB51FF">
              <w:rPr>
                <w:rFonts w:cs="Segoe UI Light"/>
                <w:sz w:val="18"/>
              </w:rPr>
              <w:t xml:space="preserve"> Unknown  </w:t>
            </w:r>
          </w:p>
        </w:tc>
        <w:tc>
          <w:tcPr>
            <w:tcW w:w="372" w:type="pct"/>
          </w:tcPr>
          <w:p w14:paraId="656B1B42" w14:textId="77777777" w:rsidR="004856B6" w:rsidRPr="00CB51FF" w:rsidRDefault="004856B6" w:rsidP="004856B6">
            <w:pPr>
              <w:spacing w:after="0"/>
              <w:rPr>
                <w:rFonts w:cs="Segoe UI Light"/>
                <w:sz w:val="18"/>
              </w:rPr>
            </w:pPr>
            <w:r w:rsidRPr="00CB51FF">
              <w:rPr>
                <w:rFonts w:cs="Segoe UI Light"/>
                <w:sz w:val="18"/>
              </w:rPr>
              <w:t xml:space="preserve"> Unknown </w:t>
            </w:r>
          </w:p>
        </w:tc>
        <w:tc>
          <w:tcPr>
            <w:tcW w:w="853" w:type="pct"/>
          </w:tcPr>
          <w:p w14:paraId="656B1B43" w14:textId="77777777" w:rsidR="004856B6" w:rsidRPr="00CB51FF" w:rsidRDefault="004856B6" w:rsidP="004856B6">
            <w:pPr>
              <w:spacing w:after="0"/>
              <w:rPr>
                <w:rFonts w:cs="Segoe UI Light"/>
                <w:sz w:val="18"/>
              </w:rPr>
            </w:pPr>
            <w:r w:rsidRPr="00A07276">
              <w:rPr>
                <w:rFonts w:cs="Segoe UI Light"/>
                <w:sz w:val="18"/>
              </w:rPr>
              <w:t>No fee</w:t>
            </w:r>
          </w:p>
        </w:tc>
        <w:tc>
          <w:tcPr>
            <w:tcW w:w="410" w:type="pct"/>
          </w:tcPr>
          <w:p w14:paraId="656B1B44" w14:textId="77777777" w:rsidR="004856B6" w:rsidRPr="00CB51FF" w:rsidRDefault="004856B6" w:rsidP="004856B6">
            <w:pPr>
              <w:spacing w:after="0"/>
              <w:rPr>
                <w:rFonts w:cs="Segoe UI Light"/>
                <w:sz w:val="18"/>
              </w:rPr>
            </w:pPr>
            <w:r w:rsidRPr="00CB51FF">
              <w:rPr>
                <w:rFonts w:cs="Segoe UI Light"/>
                <w:sz w:val="18"/>
              </w:rPr>
              <w:t xml:space="preserve"> -</w:t>
            </w:r>
          </w:p>
        </w:tc>
        <w:tc>
          <w:tcPr>
            <w:tcW w:w="353" w:type="pct"/>
          </w:tcPr>
          <w:p w14:paraId="656B1B45" w14:textId="77777777" w:rsidR="004856B6" w:rsidRPr="00CB51FF" w:rsidRDefault="004856B6" w:rsidP="004856B6">
            <w:pPr>
              <w:spacing w:after="0"/>
              <w:rPr>
                <w:rFonts w:cs="Segoe UI Light"/>
                <w:sz w:val="18"/>
              </w:rPr>
            </w:pPr>
            <w:r w:rsidRPr="00CB51FF">
              <w:rPr>
                <w:rFonts w:cs="Segoe UI Light"/>
                <w:sz w:val="18"/>
              </w:rPr>
              <w:t xml:space="preserve"> Unknown </w:t>
            </w:r>
          </w:p>
        </w:tc>
        <w:tc>
          <w:tcPr>
            <w:tcW w:w="303" w:type="pct"/>
          </w:tcPr>
          <w:p w14:paraId="656B1B46" w14:textId="77777777" w:rsidR="004856B6" w:rsidRPr="00CB51FF" w:rsidRDefault="004856B6" w:rsidP="004856B6">
            <w:pPr>
              <w:spacing w:after="0"/>
              <w:rPr>
                <w:rFonts w:cs="Segoe UI Light"/>
                <w:sz w:val="18"/>
              </w:rPr>
            </w:pPr>
            <w:r w:rsidRPr="00CB51FF">
              <w:rPr>
                <w:rFonts w:cs="Segoe UI Light"/>
                <w:sz w:val="18"/>
              </w:rPr>
              <w:t>0%</w:t>
            </w:r>
          </w:p>
        </w:tc>
        <w:tc>
          <w:tcPr>
            <w:tcW w:w="354" w:type="pct"/>
          </w:tcPr>
          <w:p w14:paraId="656B1B47" w14:textId="77777777" w:rsidR="004856B6" w:rsidRPr="001F6339" w:rsidRDefault="004856B6" w:rsidP="004856B6">
            <w:pPr>
              <w:spacing w:after="0" w:line="240" w:lineRule="auto"/>
              <w:rPr>
                <w:rFonts w:cs="Segoe UI Light"/>
                <w:sz w:val="16"/>
                <w:szCs w:val="16"/>
              </w:rPr>
            </w:pPr>
            <w:r w:rsidRPr="001F6339">
              <w:rPr>
                <w:rFonts w:cs="Segoe UI Light"/>
                <w:sz w:val="16"/>
                <w:szCs w:val="16"/>
              </w:rPr>
              <w:t>NA</w:t>
            </w:r>
          </w:p>
        </w:tc>
      </w:tr>
      <w:tr w:rsidR="004856B6" w:rsidRPr="00A648FA" w14:paraId="656B1B55" w14:textId="77777777" w:rsidTr="00A86267">
        <w:trPr>
          <w:trHeight w:val="1435"/>
        </w:trPr>
        <w:tc>
          <w:tcPr>
            <w:tcW w:w="511" w:type="pct"/>
          </w:tcPr>
          <w:p w14:paraId="656B1B49" w14:textId="77777777" w:rsidR="004856B6" w:rsidRPr="00A07276" w:rsidRDefault="004856B6" w:rsidP="004856B6">
            <w:pPr>
              <w:spacing w:after="0"/>
              <w:rPr>
                <w:rFonts w:cs="Segoe UI Light"/>
                <w:sz w:val="18"/>
              </w:rPr>
            </w:pPr>
            <w:r w:rsidRPr="00CB51FF">
              <w:rPr>
                <w:rFonts w:cs="Segoe UI Light"/>
                <w:sz w:val="18"/>
              </w:rPr>
              <w:t>Exemptions</w:t>
            </w:r>
          </w:p>
        </w:tc>
        <w:tc>
          <w:tcPr>
            <w:tcW w:w="420" w:type="pct"/>
          </w:tcPr>
          <w:p w14:paraId="656B1B4A" w14:textId="77777777" w:rsidR="004856B6" w:rsidRPr="00A07276" w:rsidRDefault="004856B6" w:rsidP="004856B6">
            <w:pPr>
              <w:spacing w:after="0"/>
              <w:rPr>
                <w:rFonts w:cs="Segoe UI Light"/>
                <w:sz w:val="18"/>
              </w:rPr>
            </w:pPr>
            <w:r w:rsidRPr="00CB51FF">
              <w:rPr>
                <w:rFonts w:cs="Segoe UI Light"/>
                <w:sz w:val="18"/>
              </w:rPr>
              <w:t>-</w:t>
            </w:r>
          </w:p>
        </w:tc>
        <w:tc>
          <w:tcPr>
            <w:tcW w:w="412" w:type="pct"/>
          </w:tcPr>
          <w:p w14:paraId="656B1B4B" w14:textId="77777777" w:rsidR="004856B6" w:rsidRPr="00CB51FF" w:rsidRDefault="004856B6" w:rsidP="004856B6">
            <w:pPr>
              <w:spacing w:after="0"/>
              <w:rPr>
                <w:rFonts w:cs="Segoe UI Light"/>
                <w:sz w:val="18"/>
              </w:rPr>
            </w:pPr>
            <w:r w:rsidRPr="00CB51FF">
              <w:rPr>
                <w:rFonts w:cs="Segoe UI Light"/>
                <w:sz w:val="18"/>
              </w:rPr>
              <w:t>-</w:t>
            </w:r>
          </w:p>
        </w:tc>
        <w:tc>
          <w:tcPr>
            <w:tcW w:w="275" w:type="pct"/>
          </w:tcPr>
          <w:p w14:paraId="656B1B4C" w14:textId="77777777" w:rsidR="004856B6" w:rsidRPr="00CB51FF" w:rsidRDefault="004856B6" w:rsidP="004856B6">
            <w:pPr>
              <w:spacing w:after="0"/>
              <w:rPr>
                <w:rFonts w:cs="Segoe UI Light"/>
                <w:sz w:val="18"/>
              </w:rPr>
            </w:pPr>
            <w:r w:rsidRPr="00CB51FF">
              <w:rPr>
                <w:rFonts w:cs="Segoe UI Light"/>
                <w:sz w:val="18"/>
              </w:rPr>
              <w:t xml:space="preserve">Unknown </w:t>
            </w:r>
          </w:p>
        </w:tc>
        <w:tc>
          <w:tcPr>
            <w:tcW w:w="389" w:type="pct"/>
          </w:tcPr>
          <w:p w14:paraId="656B1B4D" w14:textId="40074426" w:rsidR="004856B6" w:rsidRPr="00CB51FF" w:rsidRDefault="00EA6859" w:rsidP="004856B6">
            <w:pPr>
              <w:spacing w:after="0"/>
              <w:rPr>
                <w:rFonts w:cs="Segoe UI Light"/>
                <w:sz w:val="18"/>
              </w:rPr>
            </w:pPr>
            <w:r>
              <w:rPr>
                <w:rFonts w:cs="Segoe UI Light"/>
                <w:sz w:val="18"/>
              </w:rPr>
              <w:t>65.23</w:t>
            </w:r>
          </w:p>
        </w:tc>
        <w:tc>
          <w:tcPr>
            <w:tcW w:w="348" w:type="pct"/>
          </w:tcPr>
          <w:p w14:paraId="656B1B4E" w14:textId="71CE2C4F" w:rsidR="004856B6" w:rsidRPr="00A71EFA" w:rsidRDefault="004856B6" w:rsidP="004856B6">
            <w:pPr>
              <w:spacing w:after="0"/>
              <w:rPr>
                <w:rFonts w:cs="Segoe UI Light"/>
                <w:sz w:val="18"/>
              </w:rPr>
            </w:pPr>
            <w:r w:rsidRPr="00A71EFA">
              <w:rPr>
                <w:rFonts w:cs="Segoe UI Light"/>
                <w:sz w:val="18"/>
              </w:rPr>
              <w:t xml:space="preserve"> $</w:t>
            </w:r>
            <w:r w:rsidR="00EA6859">
              <w:rPr>
                <w:rFonts w:cs="Segoe UI Light"/>
                <w:sz w:val="18"/>
              </w:rPr>
              <w:t>6,748.72</w:t>
            </w:r>
            <w:r w:rsidRPr="00A71EFA">
              <w:rPr>
                <w:rFonts w:cs="Segoe UI Light"/>
                <w:sz w:val="18"/>
              </w:rPr>
              <w:t xml:space="preserve"> </w:t>
            </w:r>
          </w:p>
        </w:tc>
        <w:tc>
          <w:tcPr>
            <w:tcW w:w="372" w:type="pct"/>
          </w:tcPr>
          <w:p w14:paraId="656B1B4F" w14:textId="77777777" w:rsidR="004856B6" w:rsidRPr="00A71EFA" w:rsidRDefault="004856B6" w:rsidP="004856B6">
            <w:pPr>
              <w:spacing w:after="0"/>
              <w:rPr>
                <w:rFonts w:cs="Segoe UI Light"/>
                <w:sz w:val="18"/>
              </w:rPr>
            </w:pPr>
            <w:r w:rsidRPr="00A71EFA">
              <w:rPr>
                <w:rFonts w:cs="Segoe UI Light"/>
                <w:sz w:val="18"/>
              </w:rPr>
              <w:t xml:space="preserve"> Unknown </w:t>
            </w:r>
          </w:p>
        </w:tc>
        <w:tc>
          <w:tcPr>
            <w:tcW w:w="853" w:type="pct"/>
          </w:tcPr>
          <w:p w14:paraId="656B1B50" w14:textId="42615200" w:rsidR="004856B6" w:rsidRPr="00A71EFA" w:rsidRDefault="004856B6" w:rsidP="004856B6">
            <w:pPr>
              <w:spacing w:after="0"/>
              <w:rPr>
                <w:rFonts w:cs="Segoe UI Light"/>
                <w:sz w:val="18"/>
              </w:rPr>
            </w:pPr>
            <w:r w:rsidRPr="00A71EFA">
              <w:rPr>
                <w:rFonts w:cs="Segoe UI Light"/>
                <w:sz w:val="18"/>
              </w:rPr>
              <w:t>45.82 fee units on application plus 7.16 fee units per hour for assessments exceeding 6.4 hours up to a maximum of 888.26 fee units.</w:t>
            </w:r>
          </w:p>
        </w:tc>
        <w:tc>
          <w:tcPr>
            <w:tcW w:w="410" w:type="pct"/>
          </w:tcPr>
          <w:p w14:paraId="656B1B51" w14:textId="77777777" w:rsidR="004856B6" w:rsidRPr="00A71EFA" w:rsidRDefault="004856B6" w:rsidP="004856B6">
            <w:pPr>
              <w:spacing w:after="0"/>
              <w:rPr>
                <w:rFonts w:cs="Segoe UI Light"/>
                <w:sz w:val="18"/>
              </w:rPr>
            </w:pPr>
            <w:r w:rsidRPr="00A71EFA">
              <w:rPr>
                <w:rFonts w:cs="Segoe UI Light"/>
                <w:sz w:val="18"/>
              </w:rPr>
              <w:t xml:space="preserve"> $835.72 </w:t>
            </w:r>
          </w:p>
        </w:tc>
        <w:tc>
          <w:tcPr>
            <w:tcW w:w="353" w:type="pct"/>
          </w:tcPr>
          <w:p w14:paraId="656B1B52" w14:textId="77777777" w:rsidR="004856B6" w:rsidRPr="00CB51FF" w:rsidRDefault="004856B6" w:rsidP="004856B6">
            <w:pPr>
              <w:spacing w:after="0"/>
              <w:rPr>
                <w:rFonts w:cs="Segoe UI Light"/>
                <w:sz w:val="18"/>
              </w:rPr>
            </w:pPr>
            <w:r w:rsidRPr="00CB51FF">
              <w:rPr>
                <w:rFonts w:cs="Segoe UI Light"/>
                <w:sz w:val="18"/>
              </w:rPr>
              <w:t xml:space="preserve"> Unknown </w:t>
            </w:r>
          </w:p>
        </w:tc>
        <w:tc>
          <w:tcPr>
            <w:tcW w:w="303" w:type="pct"/>
          </w:tcPr>
          <w:p w14:paraId="656B1B53" w14:textId="77777777" w:rsidR="004856B6" w:rsidRPr="001F6339" w:rsidRDefault="004856B6" w:rsidP="004856B6">
            <w:pPr>
              <w:spacing w:after="0" w:line="240" w:lineRule="auto"/>
              <w:rPr>
                <w:rFonts w:cs="Segoe UI Light"/>
                <w:sz w:val="16"/>
                <w:szCs w:val="16"/>
              </w:rPr>
            </w:pPr>
            <w:r w:rsidRPr="001F6339">
              <w:rPr>
                <w:rFonts w:cs="Segoe UI Light"/>
                <w:sz w:val="16"/>
                <w:szCs w:val="16"/>
              </w:rPr>
              <w:t>100%</w:t>
            </w:r>
          </w:p>
        </w:tc>
        <w:tc>
          <w:tcPr>
            <w:tcW w:w="354" w:type="pct"/>
          </w:tcPr>
          <w:p w14:paraId="656B1B54" w14:textId="77777777" w:rsidR="004856B6" w:rsidRPr="001F6339" w:rsidRDefault="004856B6" w:rsidP="004856B6">
            <w:pPr>
              <w:spacing w:after="0" w:line="240" w:lineRule="auto"/>
              <w:rPr>
                <w:rFonts w:cs="Segoe UI Light"/>
                <w:sz w:val="16"/>
                <w:szCs w:val="16"/>
              </w:rPr>
            </w:pPr>
            <w:r w:rsidRPr="001F6339">
              <w:rPr>
                <w:rFonts w:cs="Segoe UI Light"/>
                <w:sz w:val="16"/>
                <w:szCs w:val="16"/>
              </w:rPr>
              <w:t>New fee</w:t>
            </w:r>
          </w:p>
        </w:tc>
      </w:tr>
      <w:tr w:rsidR="004856B6" w:rsidRPr="00A648FA" w14:paraId="656B1B6F" w14:textId="77777777" w:rsidTr="00A86267">
        <w:trPr>
          <w:trHeight w:val="216"/>
        </w:trPr>
        <w:tc>
          <w:tcPr>
            <w:tcW w:w="511" w:type="pct"/>
          </w:tcPr>
          <w:p w14:paraId="656B1B63" w14:textId="77777777" w:rsidR="004856B6" w:rsidRPr="00A07276" w:rsidRDefault="004856B6" w:rsidP="004856B6">
            <w:pPr>
              <w:spacing w:after="0"/>
              <w:rPr>
                <w:rFonts w:cs="Segoe UI Light"/>
                <w:sz w:val="18"/>
              </w:rPr>
            </w:pPr>
            <w:r w:rsidRPr="00CB51FF">
              <w:rPr>
                <w:rFonts w:cs="Segoe UI Light"/>
                <w:sz w:val="18"/>
              </w:rPr>
              <w:t>Financial assurance</w:t>
            </w:r>
          </w:p>
        </w:tc>
        <w:tc>
          <w:tcPr>
            <w:tcW w:w="420" w:type="pct"/>
          </w:tcPr>
          <w:p w14:paraId="656B1B64" w14:textId="77777777" w:rsidR="004856B6" w:rsidRPr="00A07276" w:rsidRDefault="004856B6" w:rsidP="004856B6">
            <w:pPr>
              <w:spacing w:after="0"/>
              <w:rPr>
                <w:rFonts w:cs="Segoe UI Light"/>
                <w:sz w:val="18"/>
              </w:rPr>
            </w:pPr>
            <w:r w:rsidRPr="00CB51FF">
              <w:rPr>
                <w:rFonts w:cs="Segoe UI Light"/>
                <w:sz w:val="18"/>
              </w:rPr>
              <w:t>Request for review of amount</w:t>
            </w:r>
          </w:p>
        </w:tc>
        <w:tc>
          <w:tcPr>
            <w:tcW w:w="412" w:type="pct"/>
          </w:tcPr>
          <w:p w14:paraId="656B1B65" w14:textId="0D86CFFC" w:rsidR="004856B6" w:rsidRPr="00CB51FF" w:rsidRDefault="004856B6" w:rsidP="004856B6">
            <w:pPr>
              <w:spacing w:after="0"/>
              <w:rPr>
                <w:rFonts w:cs="Segoe UI Light"/>
                <w:sz w:val="18"/>
              </w:rPr>
            </w:pPr>
          </w:p>
        </w:tc>
        <w:tc>
          <w:tcPr>
            <w:tcW w:w="275" w:type="pct"/>
          </w:tcPr>
          <w:p w14:paraId="656B1B66" w14:textId="77777777" w:rsidR="004856B6" w:rsidRPr="008E625C" w:rsidRDefault="004856B6" w:rsidP="004856B6">
            <w:pPr>
              <w:spacing w:after="0"/>
              <w:rPr>
                <w:rFonts w:cs="Segoe UI Light"/>
                <w:sz w:val="18"/>
              </w:rPr>
            </w:pPr>
            <w:r w:rsidRPr="008E625C">
              <w:rPr>
                <w:rFonts w:cs="Segoe UI Light"/>
                <w:sz w:val="18"/>
              </w:rPr>
              <w:t>15</w:t>
            </w:r>
          </w:p>
        </w:tc>
        <w:tc>
          <w:tcPr>
            <w:tcW w:w="389" w:type="pct"/>
          </w:tcPr>
          <w:p w14:paraId="656B1B67" w14:textId="16589A35" w:rsidR="004856B6" w:rsidRPr="008E625C" w:rsidRDefault="004856B6" w:rsidP="004856B6">
            <w:pPr>
              <w:spacing w:after="0"/>
              <w:rPr>
                <w:rFonts w:cs="Segoe UI Light"/>
                <w:sz w:val="18"/>
              </w:rPr>
            </w:pPr>
            <w:r w:rsidRPr="008E625C">
              <w:rPr>
                <w:rFonts w:cs="Segoe UI Light"/>
                <w:sz w:val="18"/>
              </w:rPr>
              <w:t>15</w:t>
            </w:r>
            <w:r w:rsidR="005C3B7A" w:rsidRPr="008E625C">
              <w:rPr>
                <w:rFonts w:cs="Segoe UI Light"/>
                <w:sz w:val="18"/>
              </w:rPr>
              <w:t>08</w:t>
            </w:r>
            <w:r w:rsidRPr="008E625C">
              <w:rPr>
                <w:rFonts w:cs="Segoe UI Light"/>
                <w:sz w:val="18"/>
              </w:rPr>
              <w:t>-37.5</w:t>
            </w:r>
            <w:r w:rsidR="005C3B7A" w:rsidRPr="008E625C">
              <w:rPr>
                <w:rFonts w:cs="Segoe UI Light"/>
                <w:sz w:val="18"/>
              </w:rPr>
              <w:t>8</w:t>
            </w:r>
          </w:p>
        </w:tc>
        <w:tc>
          <w:tcPr>
            <w:tcW w:w="348" w:type="pct"/>
          </w:tcPr>
          <w:p w14:paraId="656B1B68" w14:textId="5E7CA782" w:rsidR="004856B6" w:rsidRPr="008E625C" w:rsidRDefault="004856B6" w:rsidP="004856B6">
            <w:pPr>
              <w:spacing w:after="0"/>
              <w:rPr>
                <w:rFonts w:cs="Segoe UI Light"/>
                <w:sz w:val="18"/>
              </w:rPr>
            </w:pPr>
            <w:r w:rsidRPr="008E625C">
              <w:rPr>
                <w:rFonts w:cs="Segoe UI Light"/>
                <w:sz w:val="18"/>
              </w:rPr>
              <w:t xml:space="preserve"> $2,19</w:t>
            </w:r>
            <w:r w:rsidR="009629BF" w:rsidRPr="008E625C">
              <w:rPr>
                <w:rFonts w:cs="Segoe UI Light"/>
                <w:sz w:val="18"/>
              </w:rPr>
              <w:t>4</w:t>
            </w:r>
            <w:r w:rsidRPr="008E625C">
              <w:rPr>
                <w:rFonts w:cs="Segoe UI Light"/>
                <w:sz w:val="18"/>
              </w:rPr>
              <w:t>.</w:t>
            </w:r>
            <w:r w:rsidR="009629BF" w:rsidRPr="008E625C">
              <w:rPr>
                <w:rFonts w:cs="Segoe UI Light"/>
                <w:sz w:val="18"/>
              </w:rPr>
              <w:t>38</w:t>
            </w:r>
            <w:r w:rsidRPr="008E625C">
              <w:rPr>
                <w:rFonts w:cs="Segoe UI Light"/>
                <w:sz w:val="18"/>
              </w:rPr>
              <w:t xml:space="preserve"> </w:t>
            </w:r>
          </w:p>
        </w:tc>
        <w:tc>
          <w:tcPr>
            <w:tcW w:w="372" w:type="pct"/>
          </w:tcPr>
          <w:p w14:paraId="656B1B69" w14:textId="6F330AC7" w:rsidR="004856B6" w:rsidRPr="00CB51FF" w:rsidRDefault="004856B6" w:rsidP="004856B6">
            <w:pPr>
              <w:spacing w:after="0"/>
              <w:rPr>
                <w:rFonts w:cs="Segoe UI Light"/>
                <w:sz w:val="18"/>
              </w:rPr>
            </w:pPr>
            <w:r w:rsidRPr="00CB51FF">
              <w:rPr>
                <w:rFonts w:cs="Segoe UI Light"/>
                <w:sz w:val="18"/>
              </w:rPr>
              <w:t xml:space="preserve"> $32,9</w:t>
            </w:r>
            <w:r w:rsidR="009629BF">
              <w:rPr>
                <w:rFonts w:cs="Segoe UI Light"/>
                <w:sz w:val="18"/>
              </w:rPr>
              <w:t>15.66</w:t>
            </w:r>
            <w:r w:rsidRPr="00CB51FF">
              <w:rPr>
                <w:rFonts w:cs="Segoe UI Light"/>
                <w:sz w:val="18"/>
              </w:rPr>
              <w:t xml:space="preserve"> </w:t>
            </w:r>
          </w:p>
        </w:tc>
        <w:tc>
          <w:tcPr>
            <w:tcW w:w="853" w:type="pct"/>
          </w:tcPr>
          <w:p w14:paraId="656B1B6A" w14:textId="77777777" w:rsidR="004856B6" w:rsidRPr="00CB51FF" w:rsidRDefault="004856B6" w:rsidP="004856B6">
            <w:pPr>
              <w:spacing w:after="0"/>
              <w:rPr>
                <w:rFonts w:cs="Segoe UI Light"/>
                <w:sz w:val="18"/>
              </w:rPr>
            </w:pPr>
            <w:r w:rsidRPr="00A07276">
              <w:rPr>
                <w:rFonts w:cs="Segoe UI Light"/>
                <w:sz w:val="18"/>
              </w:rPr>
              <w:t>No fee</w:t>
            </w:r>
          </w:p>
        </w:tc>
        <w:tc>
          <w:tcPr>
            <w:tcW w:w="410" w:type="pct"/>
          </w:tcPr>
          <w:p w14:paraId="656B1B6B" w14:textId="77777777" w:rsidR="004856B6" w:rsidRPr="00CB51FF" w:rsidRDefault="004856B6" w:rsidP="004856B6">
            <w:pPr>
              <w:spacing w:after="0"/>
              <w:rPr>
                <w:rFonts w:cs="Segoe UI Light"/>
                <w:sz w:val="18"/>
              </w:rPr>
            </w:pPr>
            <w:r w:rsidRPr="00CB51FF">
              <w:rPr>
                <w:rFonts w:cs="Segoe UI Light"/>
                <w:sz w:val="18"/>
              </w:rPr>
              <w:t xml:space="preserve"> -  </w:t>
            </w:r>
          </w:p>
        </w:tc>
        <w:tc>
          <w:tcPr>
            <w:tcW w:w="353" w:type="pct"/>
          </w:tcPr>
          <w:p w14:paraId="656B1B6C" w14:textId="77777777" w:rsidR="004856B6" w:rsidRPr="00CB51FF" w:rsidRDefault="004856B6" w:rsidP="004856B6">
            <w:pPr>
              <w:spacing w:after="0"/>
              <w:rPr>
                <w:rFonts w:cs="Segoe UI Light"/>
                <w:sz w:val="18"/>
              </w:rPr>
            </w:pPr>
            <w:r w:rsidRPr="00CB51FF">
              <w:rPr>
                <w:rFonts w:cs="Segoe UI Light"/>
                <w:sz w:val="18"/>
              </w:rPr>
              <w:t xml:space="preserve"> -  </w:t>
            </w:r>
          </w:p>
        </w:tc>
        <w:tc>
          <w:tcPr>
            <w:tcW w:w="303" w:type="pct"/>
          </w:tcPr>
          <w:p w14:paraId="656B1B6D" w14:textId="77777777" w:rsidR="004856B6" w:rsidRPr="00CB51FF" w:rsidRDefault="004856B6" w:rsidP="004856B6">
            <w:pPr>
              <w:spacing w:after="0"/>
              <w:rPr>
                <w:rFonts w:cs="Segoe UI Light"/>
                <w:sz w:val="18"/>
              </w:rPr>
            </w:pPr>
            <w:r w:rsidRPr="00CB51FF">
              <w:rPr>
                <w:rFonts w:cs="Segoe UI Light"/>
                <w:sz w:val="18"/>
              </w:rPr>
              <w:t>100% (Recovered through relevant amendment fees)</w:t>
            </w:r>
          </w:p>
        </w:tc>
        <w:tc>
          <w:tcPr>
            <w:tcW w:w="354" w:type="pct"/>
          </w:tcPr>
          <w:p w14:paraId="656B1B6E" w14:textId="77777777" w:rsidR="004856B6" w:rsidRPr="001F6339" w:rsidRDefault="004856B6" w:rsidP="004856B6">
            <w:pPr>
              <w:spacing w:after="0" w:line="240" w:lineRule="auto"/>
              <w:rPr>
                <w:rFonts w:cs="Segoe UI Light"/>
                <w:sz w:val="16"/>
                <w:szCs w:val="16"/>
              </w:rPr>
            </w:pPr>
            <w:r w:rsidRPr="001F6339">
              <w:rPr>
                <w:rFonts w:cs="Segoe UI Light"/>
                <w:sz w:val="16"/>
                <w:szCs w:val="16"/>
              </w:rPr>
              <w:t>New fee</w:t>
            </w:r>
          </w:p>
        </w:tc>
      </w:tr>
      <w:tr w:rsidR="004856B6" w:rsidRPr="00A648FA" w14:paraId="656B1B7C" w14:textId="77777777" w:rsidTr="00A86267">
        <w:trPr>
          <w:trHeight w:val="1234"/>
        </w:trPr>
        <w:tc>
          <w:tcPr>
            <w:tcW w:w="511" w:type="pct"/>
          </w:tcPr>
          <w:p w14:paraId="656B1B70" w14:textId="77777777" w:rsidR="004856B6" w:rsidRPr="00A07276" w:rsidRDefault="004856B6" w:rsidP="004856B6">
            <w:pPr>
              <w:spacing w:after="0"/>
              <w:rPr>
                <w:rFonts w:cs="Segoe UI Light"/>
                <w:sz w:val="18"/>
              </w:rPr>
            </w:pPr>
            <w:r w:rsidRPr="00CB51FF">
              <w:rPr>
                <w:rFonts w:cs="Segoe UI Light"/>
                <w:sz w:val="18"/>
              </w:rPr>
              <w:t>Financial assurance</w:t>
            </w:r>
          </w:p>
        </w:tc>
        <w:tc>
          <w:tcPr>
            <w:tcW w:w="420" w:type="pct"/>
          </w:tcPr>
          <w:p w14:paraId="656B1B71" w14:textId="329F9C78" w:rsidR="004856B6" w:rsidRPr="00A07276" w:rsidRDefault="004856B6" w:rsidP="004856B6">
            <w:pPr>
              <w:spacing w:after="0"/>
              <w:rPr>
                <w:rFonts w:cs="Segoe UI Light"/>
                <w:sz w:val="18"/>
              </w:rPr>
            </w:pPr>
            <w:r w:rsidRPr="00CB51FF">
              <w:rPr>
                <w:rFonts w:cs="Segoe UI Light"/>
                <w:sz w:val="18"/>
              </w:rPr>
              <w:t xml:space="preserve">Request for review of </w:t>
            </w:r>
            <w:r>
              <w:rPr>
                <w:rFonts w:cs="Segoe UI Light"/>
                <w:sz w:val="18"/>
              </w:rPr>
              <w:t>form</w:t>
            </w:r>
          </w:p>
        </w:tc>
        <w:tc>
          <w:tcPr>
            <w:tcW w:w="412" w:type="pct"/>
          </w:tcPr>
          <w:p w14:paraId="656B1B72" w14:textId="77777777" w:rsidR="004856B6" w:rsidRPr="00CB51FF" w:rsidRDefault="004856B6" w:rsidP="004856B6">
            <w:pPr>
              <w:spacing w:after="0"/>
              <w:rPr>
                <w:rFonts w:cs="Segoe UI Light"/>
                <w:sz w:val="18"/>
              </w:rPr>
            </w:pPr>
            <w:r w:rsidRPr="00CB51FF">
              <w:rPr>
                <w:rFonts w:cs="Segoe UI Light"/>
                <w:sz w:val="18"/>
              </w:rPr>
              <w:t>-</w:t>
            </w:r>
          </w:p>
        </w:tc>
        <w:tc>
          <w:tcPr>
            <w:tcW w:w="275" w:type="pct"/>
          </w:tcPr>
          <w:p w14:paraId="656B1B73" w14:textId="77777777" w:rsidR="004856B6" w:rsidRPr="00CB51FF" w:rsidRDefault="004856B6" w:rsidP="004856B6">
            <w:pPr>
              <w:spacing w:after="0"/>
              <w:rPr>
                <w:rFonts w:cs="Segoe UI Light"/>
                <w:sz w:val="18"/>
              </w:rPr>
            </w:pPr>
            <w:r w:rsidRPr="00CB51FF">
              <w:rPr>
                <w:rFonts w:cs="Segoe UI Light"/>
                <w:sz w:val="18"/>
              </w:rPr>
              <w:t>5</w:t>
            </w:r>
          </w:p>
        </w:tc>
        <w:tc>
          <w:tcPr>
            <w:tcW w:w="389" w:type="pct"/>
          </w:tcPr>
          <w:p w14:paraId="656B1B74" w14:textId="39DC0170" w:rsidR="004856B6" w:rsidRPr="00CB51FF" w:rsidRDefault="004856B6" w:rsidP="004856B6">
            <w:pPr>
              <w:spacing w:after="0"/>
              <w:rPr>
                <w:rFonts w:cs="Segoe UI Light"/>
                <w:sz w:val="18"/>
              </w:rPr>
            </w:pPr>
            <w:r w:rsidRPr="00CB51FF">
              <w:rPr>
                <w:rFonts w:cs="Segoe UI Light"/>
                <w:sz w:val="18"/>
              </w:rPr>
              <w:t>74.3</w:t>
            </w:r>
            <w:r>
              <w:rPr>
                <w:rFonts w:cs="Segoe UI Light"/>
                <w:sz w:val="18"/>
              </w:rPr>
              <w:t>3</w:t>
            </w:r>
          </w:p>
        </w:tc>
        <w:tc>
          <w:tcPr>
            <w:tcW w:w="348" w:type="pct"/>
          </w:tcPr>
          <w:p w14:paraId="656B1B75" w14:textId="78674FEA" w:rsidR="004856B6" w:rsidRPr="00CB51FF" w:rsidRDefault="004856B6" w:rsidP="004856B6">
            <w:pPr>
              <w:spacing w:after="0"/>
              <w:rPr>
                <w:rFonts w:cs="Segoe UI Light"/>
                <w:sz w:val="18"/>
              </w:rPr>
            </w:pPr>
            <w:r w:rsidRPr="00CB51FF">
              <w:rPr>
                <w:rFonts w:cs="Segoe UI Light"/>
                <w:sz w:val="18"/>
              </w:rPr>
              <w:t xml:space="preserve"> $7,938.72 </w:t>
            </w:r>
          </w:p>
        </w:tc>
        <w:tc>
          <w:tcPr>
            <w:tcW w:w="372" w:type="pct"/>
          </w:tcPr>
          <w:p w14:paraId="656B1B76" w14:textId="14316B5B" w:rsidR="004856B6" w:rsidRPr="00CB51FF" w:rsidRDefault="004856B6" w:rsidP="004856B6">
            <w:pPr>
              <w:spacing w:after="0"/>
              <w:rPr>
                <w:rFonts w:cs="Segoe UI Light"/>
                <w:sz w:val="18"/>
              </w:rPr>
            </w:pPr>
            <w:r w:rsidRPr="00CB51FF">
              <w:rPr>
                <w:rFonts w:cs="Segoe UI Light"/>
                <w:sz w:val="18"/>
              </w:rPr>
              <w:t xml:space="preserve"> $39,69</w:t>
            </w:r>
            <w:r w:rsidR="003163B5">
              <w:rPr>
                <w:rFonts w:cs="Segoe UI Light"/>
                <w:sz w:val="18"/>
              </w:rPr>
              <w:t>3.60</w:t>
            </w:r>
            <w:r w:rsidRPr="00CB51FF">
              <w:rPr>
                <w:rFonts w:cs="Segoe UI Light"/>
                <w:sz w:val="18"/>
              </w:rPr>
              <w:t xml:space="preserve"> </w:t>
            </w:r>
          </w:p>
        </w:tc>
        <w:tc>
          <w:tcPr>
            <w:tcW w:w="853" w:type="pct"/>
          </w:tcPr>
          <w:p w14:paraId="656B1B77" w14:textId="77777777" w:rsidR="004856B6" w:rsidRPr="00CB51FF" w:rsidRDefault="004856B6" w:rsidP="004856B6">
            <w:pPr>
              <w:spacing w:after="0"/>
              <w:rPr>
                <w:rFonts w:cs="Segoe UI Light"/>
                <w:sz w:val="18"/>
              </w:rPr>
            </w:pPr>
            <w:r w:rsidRPr="00CB51FF">
              <w:rPr>
                <w:rFonts w:cs="Segoe UI Light"/>
                <w:sz w:val="18"/>
              </w:rPr>
              <w:t>227.84 fee units on application plus 10.24 fee units per hour for assessments exceeding 22.25 hours up to a maximum of 1798.14 fee units.</w:t>
            </w:r>
          </w:p>
        </w:tc>
        <w:tc>
          <w:tcPr>
            <w:tcW w:w="410" w:type="pct"/>
          </w:tcPr>
          <w:p w14:paraId="656B1B78" w14:textId="15E44EDE" w:rsidR="004856B6" w:rsidRPr="00CB51FF" w:rsidRDefault="004856B6" w:rsidP="004856B6">
            <w:pPr>
              <w:spacing w:after="0"/>
              <w:rPr>
                <w:rFonts w:cs="Segoe UI Light"/>
                <w:sz w:val="18"/>
              </w:rPr>
            </w:pPr>
            <w:r w:rsidRPr="00CB51FF">
              <w:rPr>
                <w:rFonts w:cs="Segoe UI Light"/>
                <w:sz w:val="18"/>
              </w:rPr>
              <w:t xml:space="preserve"> $7,938.72 </w:t>
            </w:r>
          </w:p>
        </w:tc>
        <w:tc>
          <w:tcPr>
            <w:tcW w:w="353" w:type="pct"/>
          </w:tcPr>
          <w:p w14:paraId="656B1B79" w14:textId="46F04DA9" w:rsidR="004856B6" w:rsidRPr="00CB51FF" w:rsidRDefault="004856B6" w:rsidP="004856B6">
            <w:pPr>
              <w:spacing w:after="0"/>
              <w:rPr>
                <w:rFonts w:cs="Segoe UI Light"/>
                <w:sz w:val="18"/>
              </w:rPr>
            </w:pPr>
            <w:r w:rsidRPr="00CB51FF">
              <w:rPr>
                <w:rFonts w:cs="Segoe UI Light"/>
                <w:sz w:val="18"/>
              </w:rPr>
              <w:t xml:space="preserve"> $39,69</w:t>
            </w:r>
            <w:r w:rsidR="003163B5">
              <w:rPr>
                <w:rFonts w:cs="Segoe UI Light"/>
                <w:sz w:val="18"/>
              </w:rPr>
              <w:t>3.60</w:t>
            </w:r>
            <w:r w:rsidRPr="00CB51FF">
              <w:rPr>
                <w:rFonts w:cs="Segoe UI Light"/>
                <w:sz w:val="18"/>
              </w:rPr>
              <w:t xml:space="preserve"> </w:t>
            </w:r>
          </w:p>
        </w:tc>
        <w:tc>
          <w:tcPr>
            <w:tcW w:w="303" w:type="pct"/>
          </w:tcPr>
          <w:p w14:paraId="656B1B7A" w14:textId="77777777" w:rsidR="004856B6" w:rsidRPr="00CB51FF" w:rsidRDefault="004856B6" w:rsidP="004856B6">
            <w:pPr>
              <w:spacing w:after="0"/>
              <w:rPr>
                <w:rFonts w:cs="Segoe UI Light"/>
                <w:sz w:val="18"/>
              </w:rPr>
            </w:pPr>
            <w:r w:rsidRPr="00CB51FF">
              <w:rPr>
                <w:rFonts w:cs="Segoe UI Light"/>
                <w:sz w:val="18"/>
              </w:rPr>
              <w:t>100%</w:t>
            </w:r>
          </w:p>
        </w:tc>
        <w:tc>
          <w:tcPr>
            <w:tcW w:w="354" w:type="pct"/>
          </w:tcPr>
          <w:p w14:paraId="656B1B7B" w14:textId="77777777" w:rsidR="004856B6" w:rsidRPr="001F6339" w:rsidRDefault="004856B6" w:rsidP="004856B6">
            <w:pPr>
              <w:spacing w:after="0" w:line="240" w:lineRule="auto"/>
              <w:rPr>
                <w:rFonts w:cs="Segoe UI Light"/>
                <w:sz w:val="16"/>
                <w:szCs w:val="16"/>
              </w:rPr>
            </w:pPr>
            <w:r w:rsidRPr="001F6339">
              <w:rPr>
                <w:rFonts w:cs="Segoe UI Light"/>
                <w:sz w:val="16"/>
                <w:szCs w:val="16"/>
              </w:rPr>
              <w:t>New fee</w:t>
            </w:r>
          </w:p>
        </w:tc>
      </w:tr>
      <w:tr w:rsidR="004856B6" w:rsidRPr="00A648FA" w14:paraId="656B1B89" w14:textId="77777777" w:rsidTr="00A86267">
        <w:trPr>
          <w:trHeight w:val="216"/>
        </w:trPr>
        <w:tc>
          <w:tcPr>
            <w:tcW w:w="511" w:type="pct"/>
          </w:tcPr>
          <w:p w14:paraId="656B1B7D" w14:textId="77777777" w:rsidR="004856B6" w:rsidRPr="00A07276" w:rsidRDefault="004856B6" w:rsidP="004856B6">
            <w:pPr>
              <w:spacing w:after="0"/>
              <w:rPr>
                <w:rFonts w:cs="Segoe UI Light"/>
                <w:sz w:val="18"/>
              </w:rPr>
            </w:pPr>
            <w:r w:rsidRPr="00CB51FF">
              <w:rPr>
                <w:rFonts w:cs="Segoe UI Light"/>
                <w:sz w:val="18"/>
              </w:rPr>
              <w:t>Financial assurance</w:t>
            </w:r>
          </w:p>
        </w:tc>
        <w:tc>
          <w:tcPr>
            <w:tcW w:w="420" w:type="pct"/>
          </w:tcPr>
          <w:p w14:paraId="656B1B7E" w14:textId="77777777" w:rsidR="004856B6" w:rsidRPr="00A07276" w:rsidRDefault="004856B6" w:rsidP="004856B6">
            <w:pPr>
              <w:spacing w:after="0"/>
              <w:rPr>
                <w:rFonts w:cs="Segoe UI Light"/>
                <w:sz w:val="18"/>
              </w:rPr>
            </w:pPr>
            <w:r w:rsidRPr="00CB51FF">
              <w:rPr>
                <w:rFonts w:cs="Segoe UI Light"/>
                <w:sz w:val="18"/>
              </w:rPr>
              <w:t>Application for release</w:t>
            </w:r>
          </w:p>
        </w:tc>
        <w:tc>
          <w:tcPr>
            <w:tcW w:w="412" w:type="pct"/>
          </w:tcPr>
          <w:p w14:paraId="656B1B7F" w14:textId="77777777" w:rsidR="004856B6" w:rsidRPr="00CB51FF" w:rsidRDefault="004856B6" w:rsidP="004856B6">
            <w:pPr>
              <w:spacing w:after="0"/>
              <w:rPr>
                <w:rFonts w:cs="Segoe UI Light"/>
                <w:sz w:val="18"/>
              </w:rPr>
            </w:pPr>
          </w:p>
        </w:tc>
        <w:tc>
          <w:tcPr>
            <w:tcW w:w="275" w:type="pct"/>
          </w:tcPr>
          <w:p w14:paraId="656B1B80" w14:textId="77777777" w:rsidR="004856B6" w:rsidRPr="00CB51FF" w:rsidRDefault="004856B6" w:rsidP="004856B6">
            <w:pPr>
              <w:spacing w:after="0"/>
              <w:rPr>
                <w:rFonts w:cs="Segoe UI Light"/>
                <w:sz w:val="18"/>
              </w:rPr>
            </w:pPr>
            <w:r w:rsidRPr="00CB51FF">
              <w:rPr>
                <w:rFonts w:cs="Segoe UI Light"/>
                <w:sz w:val="18"/>
              </w:rPr>
              <w:t>12</w:t>
            </w:r>
          </w:p>
        </w:tc>
        <w:tc>
          <w:tcPr>
            <w:tcW w:w="389" w:type="pct"/>
          </w:tcPr>
          <w:p w14:paraId="656B1B81" w14:textId="32BCEB3C" w:rsidR="004856B6" w:rsidRPr="00CB51FF" w:rsidRDefault="004856B6" w:rsidP="004856B6">
            <w:pPr>
              <w:spacing w:after="0"/>
              <w:rPr>
                <w:rFonts w:cs="Segoe UI Light"/>
                <w:sz w:val="18"/>
              </w:rPr>
            </w:pPr>
            <w:r w:rsidRPr="00CB51FF">
              <w:rPr>
                <w:rFonts w:cs="Segoe UI Light"/>
                <w:sz w:val="18"/>
              </w:rPr>
              <w:t>19.</w:t>
            </w:r>
            <w:r>
              <w:rPr>
                <w:rFonts w:cs="Segoe UI Light"/>
                <w:sz w:val="18"/>
              </w:rPr>
              <w:t>46</w:t>
            </w:r>
            <w:r w:rsidRPr="00CB51FF">
              <w:rPr>
                <w:rFonts w:cs="Segoe UI Light"/>
                <w:sz w:val="18"/>
              </w:rPr>
              <w:t>-46.</w:t>
            </w:r>
            <w:r>
              <w:rPr>
                <w:rFonts w:cs="Segoe UI Light"/>
                <w:sz w:val="18"/>
              </w:rPr>
              <w:t>36</w:t>
            </w:r>
          </w:p>
        </w:tc>
        <w:tc>
          <w:tcPr>
            <w:tcW w:w="348" w:type="pct"/>
          </w:tcPr>
          <w:p w14:paraId="656B1B82" w14:textId="14993092" w:rsidR="004856B6" w:rsidRPr="00CB51FF" w:rsidRDefault="004856B6" w:rsidP="004856B6">
            <w:pPr>
              <w:spacing w:after="0"/>
              <w:rPr>
                <w:rFonts w:cs="Segoe UI Light"/>
                <w:sz w:val="18"/>
              </w:rPr>
            </w:pPr>
            <w:r w:rsidRPr="00CB51FF">
              <w:rPr>
                <w:rFonts w:cs="Segoe UI Light"/>
                <w:sz w:val="18"/>
              </w:rPr>
              <w:t xml:space="preserve"> $3,70</w:t>
            </w:r>
            <w:r w:rsidR="003163B5">
              <w:rPr>
                <w:rFonts w:cs="Segoe UI Light"/>
                <w:sz w:val="18"/>
              </w:rPr>
              <w:t>9.32</w:t>
            </w:r>
            <w:r w:rsidRPr="00CB51FF">
              <w:rPr>
                <w:rFonts w:cs="Segoe UI Light"/>
                <w:sz w:val="18"/>
              </w:rPr>
              <w:t xml:space="preserve"> </w:t>
            </w:r>
          </w:p>
        </w:tc>
        <w:tc>
          <w:tcPr>
            <w:tcW w:w="372" w:type="pct"/>
          </w:tcPr>
          <w:p w14:paraId="656B1B83" w14:textId="53E9075C" w:rsidR="004856B6" w:rsidRPr="00CB51FF" w:rsidRDefault="004856B6" w:rsidP="004856B6">
            <w:pPr>
              <w:spacing w:after="0"/>
              <w:rPr>
                <w:rFonts w:cs="Segoe UI Light"/>
                <w:sz w:val="18"/>
              </w:rPr>
            </w:pPr>
            <w:r w:rsidRPr="00CB51FF">
              <w:rPr>
                <w:rFonts w:cs="Segoe UI Light"/>
                <w:sz w:val="18"/>
              </w:rPr>
              <w:t xml:space="preserve"> $44,</w:t>
            </w:r>
            <w:r w:rsidR="003163B5">
              <w:rPr>
                <w:rFonts w:cs="Segoe UI Light"/>
                <w:sz w:val="18"/>
              </w:rPr>
              <w:t>511.84</w:t>
            </w:r>
            <w:r w:rsidR="003163B5" w:rsidRPr="00CB51FF">
              <w:rPr>
                <w:rFonts w:cs="Segoe UI Light"/>
                <w:sz w:val="18"/>
              </w:rPr>
              <w:t xml:space="preserve"> </w:t>
            </w:r>
          </w:p>
        </w:tc>
        <w:tc>
          <w:tcPr>
            <w:tcW w:w="853" w:type="pct"/>
          </w:tcPr>
          <w:p w14:paraId="656B1B84" w14:textId="77777777" w:rsidR="004856B6" w:rsidRPr="00CB51FF" w:rsidRDefault="004856B6" w:rsidP="004856B6">
            <w:pPr>
              <w:spacing w:after="0"/>
              <w:rPr>
                <w:rFonts w:cs="Segoe UI Light"/>
                <w:sz w:val="18"/>
              </w:rPr>
            </w:pPr>
            <w:r w:rsidRPr="00CB51FF">
              <w:rPr>
                <w:rFonts w:cs="Segoe UI Light"/>
                <w:sz w:val="18"/>
              </w:rPr>
              <w:t>84.48 fee units on application plus 8.77 fee units per hour for assessments exceeding 9.65 hours up to a maximum of 1147.41 fee units.</w:t>
            </w:r>
          </w:p>
        </w:tc>
        <w:tc>
          <w:tcPr>
            <w:tcW w:w="410" w:type="pct"/>
          </w:tcPr>
          <w:p w14:paraId="656B1B85" w14:textId="2DCC48B6" w:rsidR="004856B6" w:rsidRPr="00CB51FF" w:rsidRDefault="004856B6" w:rsidP="004856B6">
            <w:pPr>
              <w:spacing w:after="0"/>
              <w:rPr>
                <w:rFonts w:cs="Segoe UI Light"/>
                <w:sz w:val="18"/>
              </w:rPr>
            </w:pPr>
            <w:r w:rsidRPr="00CB51FF">
              <w:rPr>
                <w:rFonts w:cs="Segoe UI Light"/>
                <w:sz w:val="18"/>
              </w:rPr>
              <w:t xml:space="preserve"> $3,70</w:t>
            </w:r>
            <w:r w:rsidR="003163B5">
              <w:rPr>
                <w:rFonts w:cs="Segoe UI Light"/>
                <w:sz w:val="18"/>
              </w:rPr>
              <w:t>9.32</w:t>
            </w:r>
            <w:r w:rsidRPr="00CB51FF">
              <w:rPr>
                <w:rFonts w:cs="Segoe UI Light"/>
                <w:sz w:val="18"/>
              </w:rPr>
              <w:t xml:space="preserve"> </w:t>
            </w:r>
          </w:p>
        </w:tc>
        <w:tc>
          <w:tcPr>
            <w:tcW w:w="353" w:type="pct"/>
          </w:tcPr>
          <w:p w14:paraId="656B1B86" w14:textId="110E445D" w:rsidR="004856B6" w:rsidRPr="00CB51FF" w:rsidRDefault="004856B6" w:rsidP="004856B6">
            <w:pPr>
              <w:spacing w:after="0"/>
              <w:rPr>
                <w:rFonts w:cs="Segoe UI Light"/>
                <w:sz w:val="18"/>
              </w:rPr>
            </w:pPr>
            <w:r w:rsidRPr="00CB51FF">
              <w:rPr>
                <w:rFonts w:cs="Segoe UI Light"/>
                <w:sz w:val="18"/>
              </w:rPr>
              <w:t xml:space="preserve"> $44,</w:t>
            </w:r>
            <w:r w:rsidR="003163B5">
              <w:rPr>
                <w:rFonts w:cs="Segoe UI Light"/>
                <w:sz w:val="18"/>
              </w:rPr>
              <w:t>511.84</w:t>
            </w:r>
            <w:r w:rsidR="003163B5" w:rsidRPr="00CB51FF">
              <w:rPr>
                <w:rFonts w:cs="Segoe UI Light"/>
                <w:sz w:val="18"/>
              </w:rPr>
              <w:t xml:space="preserve"> </w:t>
            </w:r>
          </w:p>
        </w:tc>
        <w:tc>
          <w:tcPr>
            <w:tcW w:w="303" w:type="pct"/>
          </w:tcPr>
          <w:p w14:paraId="656B1B87" w14:textId="77777777" w:rsidR="004856B6" w:rsidRPr="00CB51FF" w:rsidRDefault="004856B6" w:rsidP="004856B6">
            <w:pPr>
              <w:spacing w:after="0"/>
              <w:rPr>
                <w:rFonts w:cs="Segoe UI Light"/>
                <w:sz w:val="18"/>
              </w:rPr>
            </w:pPr>
            <w:r w:rsidRPr="00CB51FF">
              <w:rPr>
                <w:rFonts w:cs="Segoe UI Light"/>
                <w:sz w:val="18"/>
              </w:rPr>
              <w:t>100%</w:t>
            </w:r>
          </w:p>
        </w:tc>
        <w:tc>
          <w:tcPr>
            <w:tcW w:w="354" w:type="pct"/>
          </w:tcPr>
          <w:p w14:paraId="656B1B88" w14:textId="77777777" w:rsidR="004856B6" w:rsidRPr="001F6339" w:rsidRDefault="004856B6" w:rsidP="004856B6">
            <w:pPr>
              <w:spacing w:after="0" w:line="240" w:lineRule="auto"/>
              <w:rPr>
                <w:rFonts w:cs="Segoe UI Light"/>
                <w:sz w:val="16"/>
                <w:szCs w:val="16"/>
              </w:rPr>
            </w:pPr>
            <w:r w:rsidRPr="001F6339">
              <w:rPr>
                <w:rFonts w:cs="Segoe UI Light"/>
                <w:sz w:val="16"/>
                <w:szCs w:val="16"/>
              </w:rPr>
              <w:t>New fee</w:t>
            </w:r>
          </w:p>
        </w:tc>
      </w:tr>
    </w:tbl>
    <w:p w14:paraId="656B1BA6" w14:textId="77777777" w:rsidR="009B2611" w:rsidRPr="009B2611" w:rsidRDefault="009B2611" w:rsidP="009B2611">
      <w:pPr>
        <w:spacing w:after="0"/>
        <w:sectPr w:rsidR="009B2611" w:rsidRPr="009B2611" w:rsidSect="00BF4D06">
          <w:pgSz w:w="16838" w:h="11906" w:orient="landscape" w:code="9"/>
          <w:pgMar w:top="851" w:right="1985" w:bottom="1700" w:left="1134" w:header="680" w:footer="425" w:gutter="0"/>
          <w:cols w:space="284"/>
          <w:titlePg/>
          <w:docGrid w:linePitch="360"/>
        </w:sectPr>
      </w:pPr>
      <w:r w:rsidRPr="009B2611">
        <w:br w:type="page"/>
      </w:r>
    </w:p>
    <w:p w14:paraId="656B1BA7" w14:textId="47458887" w:rsidR="00AA7ACF" w:rsidRDefault="00AA7ACF" w:rsidP="00AA7ACF">
      <w:pPr>
        <w:pStyle w:val="Heading1un-numbered"/>
      </w:pPr>
      <w:bookmarkStart w:id="2048" w:name="_Toc12892356"/>
      <w:r w:rsidRPr="009B2611">
        <w:t xml:space="preserve">Appendix </w:t>
      </w:r>
      <w:r>
        <w:t xml:space="preserve">8 </w:t>
      </w:r>
      <w:r w:rsidRPr="009B2611">
        <w:t xml:space="preserve">– </w:t>
      </w:r>
      <w:r w:rsidR="00ED01E2">
        <w:t>Comparison of proposed</w:t>
      </w:r>
      <w:r w:rsidR="00AA0212">
        <w:t xml:space="preserve"> </w:t>
      </w:r>
      <w:r w:rsidR="00BE2229">
        <w:t>and</w:t>
      </w:r>
      <w:r w:rsidR="00AA0212">
        <w:t xml:space="preserve"> current </w:t>
      </w:r>
      <w:r w:rsidR="00ED01E2">
        <w:t xml:space="preserve">fees </w:t>
      </w:r>
      <w:bookmarkEnd w:id="2048"/>
    </w:p>
    <w:p w14:paraId="656B1BA8" w14:textId="39B6ADE5" w:rsidR="000D7D82" w:rsidRPr="000D7D82" w:rsidRDefault="000D7D82" w:rsidP="00BB3356">
      <w:r>
        <w:t>This table shows</w:t>
      </w:r>
      <w:r w:rsidR="004C2731">
        <w:t xml:space="preserve"> </w:t>
      </w:r>
      <w:r w:rsidR="004C2731" w:rsidRPr="00AB4339">
        <w:rPr>
          <w:rFonts w:cs="Segoe UI Light"/>
          <w:szCs w:val="20"/>
        </w:rPr>
        <w:t>changes that arise as a result of fee design change, and those where a change to the fee unit is proposed in response to the review of activities required by EPA to assess each application</w:t>
      </w:r>
      <w:r w:rsidR="004C2731">
        <w:t>.</w:t>
      </w:r>
    </w:p>
    <w:tbl>
      <w:tblPr>
        <w:tblStyle w:val="Deloittetable"/>
        <w:tblW w:w="4960" w:type="pct"/>
        <w:jc w:val="center"/>
        <w:tblLayout w:type="fixed"/>
        <w:tblLook w:val="04A0" w:firstRow="1" w:lastRow="0" w:firstColumn="1" w:lastColumn="0" w:noHBand="0" w:noVBand="1"/>
      </w:tblPr>
      <w:tblGrid>
        <w:gridCol w:w="1255"/>
        <w:gridCol w:w="1173"/>
        <w:gridCol w:w="2101"/>
        <w:gridCol w:w="2409"/>
        <w:gridCol w:w="1557"/>
        <w:gridCol w:w="2123"/>
        <w:gridCol w:w="1717"/>
        <w:gridCol w:w="11"/>
        <w:gridCol w:w="1263"/>
      </w:tblGrid>
      <w:tr w:rsidR="002947E5" w:rsidRPr="00A648FA" w14:paraId="656B1BB1" w14:textId="77777777" w:rsidTr="00BB3356">
        <w:trPr>
          <w:cnfStyle w:val="100000000000" w:firstRow="1" w:lastRow="0" w:firstColumn="0" w:lastColumn="0" w:oddVBand="0" w:evenVBand="0" w:oddHBand="0" w:evenHBand="0" w:firstRowFirstColumn="0" w:firstRowLastColumn="0" w:lastRowFirstColumn="0" w:lastRowLastColumn="0"/>
          <w:cantSplit/>
          <w:trHeight w:val="1096"/>
          <w:tblHeader/>
          <w:jc w:val="center"/>
        </w:trPr>
        <w:tc>
          <w:tcPr>
            <w:tcW w:w="461" w:type="pct"/>
          </w:tcPr>
          <w:p w14:paraId="656B1BA9" w14:textId="77777777" w:rsidR="002947E5" w:rsidRPr="00CB51FF" w:rsidRDefault="002947E5" w:rsidP="00A673DF">
            <w:pPr>
              <w:spacing w:after="0"/>
              <w:rPr>
                <w:rFonts w:cs="Segoe UI Light"/>
                <w:b/>
                <w:color w:val="62B5E5" w:themeColor="accent3"/>
                <w:sz w:val="18"/>
              </w:rPr>
            </w:pPr>
            <w:bookmarkStart w:id="2049" w:name="_Hlk13468686"/>
            <w:r w:rsidRPr="00CB51FF">
              <w:rPr>
                <w:rFonts w:cs="Segoe UI Light"/>
                <w:b/>
                <w:color w:val="62B5E5" w:themeColor="accent3"/>
                <w:sz w:val="18"/>
              </w:rPr>
              <w:t>Type</w:t>
            </w:r>
          </w:p>
        </w:tc>
        <w:tc>
          <w:tcPr>
            <w:tcW w:w="431" w:type="pct"/>
          </w:tcPr>
          <w:p w14:paraId="656B1BAA" w14:textId="77777777" w:rsidR="002947E5" w:rsidRPr="00CB51FF" w:rsidRDefault="002947E5" w:rsidP="00A673DF">
            <w:pPr>
              <w:spacing w:after="0"/>
              <w:rPr>
                <w:rFonts w:cs="Segoe UI Light"/>
                <w:b/>
                <w:color w:val="62B5E5" w:themeColor="accent3"/>
                <w:sz w:val="18"/>
              </w:rPr>
            </w:pPr>
            <w:r w:rsidRPr="00CB51FF">
              <w:rPr>
                <w:rFonts w:cs="Segoe UI Light"/>
                <w:b/>
                <w:color w:val="62B5E5" w:themeColor="accent3"/>
                <w:sz w:val="18"/>
              </w:rPr>
              <w:t>Stage</w:t>
            </w:r>
          </w:p>
        </w:tc>
        <w:tc>
          <w:tcPr>
            <w:tcW w:w="772" w:type="pct"/>
          </w:tcPr>
          <w:p w14:paraId="656B1BAB" w14:textId="77777777" w:rsidR="002947E5" w:rsidRPr="00CB51FF" w:rsidRDefault="002947E5" w:rsidP="00A673DF">
            <w:pPr>
              <w:spacing w:after="0"/>
              <w:rPr>
                <w:rFonts w:cs="Segoe UI Light"/>
                <w:b/>
                <w:color w:val="62B5E5" w:themeColor="accent3"/>
                <w:sz w:val="18"/>
              </w:rPr>
            </w:pPr>
            <w:r w:rsidRPr="00CB51FF">
              <w:rPr>
                <w:rFonts w:cs="Segoe UI Light"/>
                <w:b/>
                <w:color w:val="62B5E5" w:themeColor="accent3"/>
                <w:sz w:val="18"/>
              </w:rPr>
              <w:t>Variation</w:t>
            </w:r>
            <w:r w:rsidR="00AA0212">
              <w:rPr>
                <w:rFonts w:cs="Segoe UI Light"/>
                <w:b/>
                <w:color w:val="62B5E5" w:themeColor="accent3"/>
                <w:sz w:val="18"/>
              </w:rPr>
              <w:t xml:space="preserve"> or activity</w:t>
            </w:r>
          </w:p>
        </w:tc>
        <w:tc>
          <w:tcPr>
            <w:tcW w:w="885" w:type="pct"/>
          </w:tcPr>
          <w:p w14:paraId="656B1BAC" w14:textId="77777777" w:rsidR="002947E5" w:rsidRPr="00CB51FF" w:rsidRDefault="002947E5" w:rsidP="00A673DF">
            <w:pPr>
              <w:spacing w:after="0"/>
              <w:rPr>
                <w:rFonts w:cs="Segoe UI Light"/>
                <w:b/>
                <w:color w:val="62B5E5" w:themeColor="accent3"/>
                <w:sz w:val="18"/>
              </w:rPr>
            </w:pPr>
            <w:r>
              <w:rPr>
                <w:rFonts w:cs="Segoe UI Light"/>
                <w:b/>
                <w:color w:val="62B5E5" w:themeColor="accent3"/>
                <w:sz w:val="18"/>
              </w:rPr>
              <w:t>Current fee</w:t>
            </w:r>
          </w:p>
        </w:tc>
        <w:tc>
          <w:tcPr>
            <w:tcW w:w="572" w:type="pct"/>
          </w:tcPr>
          <w:p w14:paraId="656B1BAD" w14:textId="77777777" w:rsidR="002947E5" w:rsidRPr="00CB51FF" w:rsidRDefault="002947E5" w:rsidP="00A673DF">
            <w:pPr>
              <w:spacing w:after="0"/>
              <w:rPr>
                <w:rFonts w:cs="Segoe UI Light"/>
                <w:b/>
                <w:color w:val="62B5E5" w:themeColor="accent3"/>
                <w:sz w:val="18"/>
              </w:rPr>
            </w:pPr>
            <w:r w:rsidRPr="006D7ADA">
              <w:rPr>
                <w:rFonts w:cs="Segoe UI Light"/>
                <w:b/>
                <w:color w:val="62B5E5" w:themeColor="accent3"/>
                <w:sz w:val="18"/>
              </w:rPr>
              <w:t>Average fee</w:t>
            </w:r>
            <w:r>
              <w:rPr>
                <w:rFonts w:cs="Segoe UI Light"/>
                <w:b/>
                <w:color w:val="62B5E5" w:themeColor="accent3"/>
                <w:sz w:val="18"/>
              </w:rPr>
              <w:t xml:space="preserve">   (current)</w:t>
            </w:r>
          </w:p>
        </w:tc>
        <w:tc>
          <w:tcPr>
            <w:tcW w:w="780" w:type="pct"/>
          </w:tcPr>
          <w:p w14:paraId="656B1BAE" w14:textId="77777777" w:rsidR="002947E5" w:rsidRPr="00CB51FF" w:rsidRDefault="002947E5" w:rsidP="00A673DF">
            <w:pPr>
              <w:spacing w:after="0"/>
              <w:rPr>
                <w:rFonts w:cs="Segoe UI Light"/>
                <w:b/>
                <w:color w:val="62B5E5" w:themeColor="accent3"/>
                <w:sz w:val="18"/>
              </w:rPr>
            </w:pPr>
            <w:r>
              <w:rPr>
                <w:rFonts w:cs="Segoe UI Light"/>
                <w:b/>
                <w:color w:val="62B5E5" w:themeColor="accent3"/>
                <w:sz w:val="18"/>
              </w:rPr>
              <w:t>New f</w:t>
            </w:r>
            <w:r w:rsidRPr="00CB51FF">
              <w:rPr>
                <w:rFonts w:cs="Segoe UI Light"/>
                <w:b/>
                <w:color w:val="62B5E5" w:themeColor="accent3"/>
                <w:sz w:val="18"/>
              </w:rPr>
              <w:t>ee</w:t>
            </w:r>
          </w:p>
        </w:tc>
        <w:tc>
          <w:tcPr>
            <w:tcW w:w="635" w:type="pct"/>
            <w:gridSpan w:val="2"/>
          </w:tcPr>
          <w:p w14:paraId="656B1BAF" w14:textId="77777777" w:rsidR="002947E5" w:rsidRPr="00CB51FF" w:rsidRDefault="002947E5" w:rsidP="002947E5">
            <w:pPr>
              <w:spacing w:after="0"/>
              <w:rPr>
                <w:rFonts w:cs="Segoe UI Light"/>
                <w:b/>
                <w:color w:val="62B5E5" w:themeColor="accent3"/>
                <w:sz w:val="18"/>
              </w:rPr>
            </w:pPr>
            <w:r w:rsidRPr="00CB51FF">
              <w:rPr>
                <w:rFonts w:cs="Segoe UI Light"/>
                <w:b/>
                <w:color w:val="62B5E5" w:themeColor="accent3"/>
                <w:sz w:val="18"/>
              </w:rPr>
              <w:t>Average fee</w:t>
            </w:r>
            <w:r>
              <w:rPr>
                <w:rFonts w:cs="Segoe UI Light"/>
                <w:b/>
                <w:color w:val="62B5E5" w:themeColor="accent3"/>
                <w:sz w:val="18"/>
              </w:rPr>
              <w:t xml:space="preserve"> (new)</w:t>
            </w:r>
            <w:r w:rsidRPr="00CB51FF">
              <w:rPr>
                <w:rFonts w:cs="Segoe UI Light"/>
                <w:b/>
                <w:color w:val="62B5E5" w:themeColor="accent3"/>
                <w:sz w:val="18"/>
              </w:rPr>
              <w:t xml:space="preserve"> </w:t>
            </w:r>
          </w:p>
        </w:tc>
        <w:tc>
          <w:tcPr>
            <w:tcW w:w="464" w:type="pct"/>
          </w:tcPr>
          <w:p w14:paraId="656B1BB0" w14:textId="77777777" w:rsidR="002947E5" w:rsidRPr="00CB51FF" w:rsidRDefault="002947E5" w:rsidP="002947E5">
            <w:pPr>
              <w:spacing w:after="0"/>
              <w:rPr>
                <w:rFonts w:cs="Segoe UI Light"/>
                <w:b/>
                <w:color w:val="62B5E5" w:themeColor="accent3"/>
                <w:sz w:val="18"/>
              </w:rPr>
            </w:pPr>
            <w:r>
              <w:rPr>
                <w:rFonts w:cs="Segoe UI Light"/>
                <w:b/>
                <w:color w:val="62B5E5" w:themeColor="accent3"/>
                <w:sz w:val="18"/>
              </w:rPr>
              <w:t>Percentage change</w:t>
            </w:r>
          </w:p>
        </w:tc>
      </w:tr>
      <w:bookmarkEnd w:id="2049"/>
      <w:tr w:rsidR="002947E5" w:rsidRPr="000D7D82" w14:paraId="656B1BBA" w14:textId="77777777" w:rsidTr="00BB3356">
        <w:trPr>
          <w:cantSplit/>
          <w:trHeight w:val="216"/>
          <w:jc w:val="center"/>
        </w:trPr>
        <w:tc>
          <w:tcPr>
            <w:tcW w:w="461" w:type="pct"/>
          </w:tcPr>
          <w:p w14:paraId="656B1BB2" w14:textId="77777777" w:rsidR="002947E5" w:rsidRPr="000D7D82" w:rsidRDefault="002947E5" w:rsidP="00A673DF">
            <w:pPr>
              <w:spacing w:after="0"/>
              <w:rPr>
                <w:rFonts w:cs="Segoe UI Light"/>
                <w:sz w:val="18"/>
              </w:rPr>
            </w:pPr>
            <w:r w:rsidRPr="000D7D82">
              <w:rPr>
                <w:rFonts w:cs="Segoe UI Light"/>
                <w:sz w:val="18"/>
              </w:rPr>
              <w:t>Development licence</w:t>
            </w:r>
          </w:p>
        </w:tc>
        <w:tc>
          <w:tcPr>
            <w:tcW w:w="431" w:type="pct"/>
          </w:tcPr>
          <w:p w14:paraId="656B1BB3" w14:textId="77777777" w:rsidR="002947E5" w:rsidRPr="000D7D82" w:rsidRDefault="002947E5" w:rsidP="00A673DF">
            <w:pPr>
              <w:spacing w:after="0"/>
              <w:rPr>
                <w:rFonts w:cs="Segoe UI Light"/>
                <w:sz w:val="18"/>
              </w:rPr>
            </w:pPr>
            <w:r w:rsidRPr="000D7D82">
              <w:rPr>
                <w:rFonts w:cs="Segoe UI Light"/>
                <w:sz w:val="18"/>
              </w:rPr>
              <w:t>Transfer</w:t>
            </w:r>
          </w:p>
        </w:tc>
        <w:tc>
          <w:tcPr>
            <w:tcW w:w="772" w:type="pct"/>
          </w:tcPr>
          <w:p w14:paraId="656B1BB4" w14:textId="77777777" w:rsidR="002947E5" w:rsidRPr="000D7D82" w:rsidRDefault="002947E5" w:rsidP="00A673DF">
            <w:pPr>
              <w:spacing w:after="0"/>
              <w:rPr>
                <w:rFonts w:cs="Segoe UI Light"/>
                <w:sz w:val="18"/>
              </w:rPr>
            </w:pPr>
            <w:r w:rsidRPr="000D7D82">
              <w:rPr>
                <w:rFonts w:cs="Segoe UI Light"/>
                <w:sz w:val="18"/>
              </w:rPr>
              <w:t>-</w:t>
            </w:r>
          </w:p>
        </w:tc>
        <w:tc>
          <w:tcPr>
            <w:tcW w:w="885" w:type="pct"/>
          </w:tcPr>
          <w:p w14:paraId="656B1BB5" w14:textId="77777777" w:rsidR="002947E5" w:rsidRPr="000D7D82" w:rsidRDefault="002947E5" w:rsidP="00A673DF">
            <w:pPr>
              <w:spacing w:after="0"/>
              <w:rPr>
                <w:rFonts w:cs="Segoe UI Light"/>
                <w:sz w:val="18"/>
              </w:rPr>
            </w:pPr>
            <w:r w:rsidRPr="000D7D82">
              <w:rPr>
                <w:rFonts w:cs="Segoe UI Light"/>
                <w:sz w:val="18"/>
              </w:rPr>
              <w:t>Flat fee – 35 fee units</w:t>
            </w:r>
          </w:p>
        </w:tc>
        <w:tc>
          <w:tcPr>
            <w:tcW w:w="572" w:type="pct"/>
          </w:tcPr>
          <w:p w14:paraId="656B1BB6" w14:textId="77777777" w:rsidR="002947E5" w:rsidRPr="000D7D82" w:rsidRDefault="002947E5" w:rsidP="00A673DF">
            <w:pPr>
              <w:spacing w:after="0"/>
              <w:rPr>
                <w:rFonts w:cs="Segoe UI Light"/>
                <w:sz w:val="18"/>
              </w:rPr>
            </w:pPr>
            <w:r w:rsidRPr="000D7D82">
              <w:rPr>
                <w:rFonts w:cs="Segoe UI Light"/>
                <w:sz w:val="18"/>
              </w:rPr>
              <w:t>$505.75</w:t>
            </w:r>
          </w:p>
        </w:tc>
        <w:tc>
          <w:tcPr>
            <w:tcW w:w="780" w:type="pct"/>
          </w:tcPr>
          <w:p w14:paraId="656B1BB7" w14:textId="77777777" w:rsidR="002947E5" w:rsidRPr="000D7D82" w:rsidRDefault="002947E5" w:rsidP="00A673DF">
            <w:pPr>
              <w:spacing w:after="0"/>
              <w:rPr>
                <w:rFonts w:cs="Segoe UI Light"/>
                <w:sz w:val="18"/>
              </w:rPr>
            </w:pPr>
            <w:r w:rsidRPr="000D7D82">
              <w:rPr>
                <w:rFonts w:cs="Segoe UI Light"/>
                <w:sz w:val="18"/>
              </w:rPr>
              <w:t>Flat fee - 52.22 fee units</w:t>
            </w:r>
          </w:p>
        </w:tc>
        <w:tc>
          <w:tcPr>
            <w:tcW w:w="635" w:type="pct"/>
            <w:gridSpan w:val="2"/>
          </w:tcPr>
          <w:p w14:paraId="656B1BB8" w14:textId="5210A29D" w:rsidR="002947E5" w:rsidRPr="000D7D82" w:rsidRDefault="002947E5" w:rsidP="00A673DF">
            <w:pPr>
              <w:spacing w:after="0"/>
              <w:rPr>
                <w:rFonts w:cs="Segoe UI Light"/>
                <w:sz w:val="18"/>
              </w:rPr>
            </w:pPr>
            <w:r w:rsidRPr="000D7D82">
              <w:rPr>
                <w:rFonts w:cs="Segoe UI Light"/>
                <w:sz w:val="18"/>
              </w:rPr>
              <w:t xml:space="preserve">$754.58 </w:t>
            </w:r>
          </w:p>
        </w:tc>
        <w:tc>
          <w:tcPr>
            <w:tcW w:w="464" w:type="pct"/>
          </w:tcPr>
          <w:p w14:paraId="656B1BB9" w14:textId="4AFEE2F2" w:rsidR="002947E5" w:rsidRPr="000D7D82" w:rsidRDefault="002947E5" w:rsidP="00A673DF">
            <w:pPr>
              <w:spacing w:after="0"/>
              <w:rPr>
                <w:rFonts w:cs="Segoe UI Light"/>
                <w:sz w:val="18"/>
              </w:rPr>
            </w:pPr>
            <w:r w:rsidRPr="000D7D82">
              <w:rPr>
                <w:rFonts w:cs="Segoe UI Light"/>
                <w:sz w:val="18"/>
              </w:rPr>
              <w:t>+49.2%</w:t>
            </w:r>
          </w:p>
        </w:tc>
      </w:tr>
      <w:tr w:rsidR="0001585B" w:rsidRPr="000D7D82" w14:paraId="656B1BC3" w14:textId="77777777" w:rsidTr="00BB3356">
        <w:trPr>
          <w:trHeight w:val="1180"/>
          <w:jc w:val="center"/>
        </w:trPr>
        <w:tc>
          <w:tcPr>
            <w:tcW w:w="461" w:type="pct"/>
          </w:tcPr>
          <w:p w14:paraId="656B1BBB" w14:textId="77777777" w:rsidR="0001585B" w:rsidRPr="000D7D82" w:rsidRDefault="0001585B" w:rsidP="0001585B">
            <w:pPr>
              <w:spacing w:after="0"/>
              <w:rPr>
                <w:rFonts w:cs="Segoe UI Light"/>
                <w:sz w:val="18"/>
              </w:rPr>
            </w:pPr>
            <w:bookmarkStart w:id="2050" w:name="_Hlk13468666"/>
            <w:r w:rsidRPr="000D7D82">
              <w:rPr>
                <w:rFonts w:cs="Segoe UI Light"/>
                <w:sz w:val="18"/>
              </w:rPr>
              <w:t>Pilot project licence</w:t>
            </w:r>
          </w:p>
        </w:tc>
        <w:tc>
          <w:tcPr>
            <w:tcW w:w="431" w:type="pct"/>
          </w:tcPr>
          <w:p w14:paraId="656B1BBC" w14:textId="77777777" w:rsidR="0001585B" w:rsidRPr="000D7D82" w:rsidRDefault="0001585B" w:rsidP="0001585B">
            <w:pPr>
              <w:spacing w:after="0"/>
              <w:rPr>
                <w:rFonts w:cs="Segoe UI Light"/>
                <w:sz w:val="18"/>
              </w:rPr>
            </w:pPr>
            <w:r w:rsidRPr="000D7D82">
              <w:rPr>
                <w:rFonts w:cs="Segoe UI Light"/>
                <w:sz w:val="18"/>
              </w:rPr>
              <w:t>Application</w:t>
            </w:r>
          </w:p>
        </w:tc>
        <w:tc>
          <w:tcPr>
            <w:tcW w:w="772" w:type="pct"/>
          </w:tcPr>
          <w:p w14:paraId="656B1BBD" w14:textId="77777777" w:rsidR="0001585B" w:rsidRPr="000D7D82" w:rsidRDefault="0001585B" w:rsidP="0001585B">
            <w:pPr>
              <w:spacing w:after="0"/>
              <w:rPr>
                <w:rFonts w:cs="Segoe UI Light"/>
                <w:sz w:val="18"/>
              </w:rPr>
            </w:pPr>
            <w:r w:rsidRPr="000D7D82">
              <w:rPr>
                <w:rFonts w:cs="Segoe UI Light"/>
                <w:sz w:val="18"/>
              </w:rPr>
              <w:t>-</w:t>
            </w:r>
          </w:p>
        </w:tc>
        <w:tc>
          <w:tcPr>
            <w:tcW w:w="885" w:type="pct"/>
          </w:tcPr>
          <w:p w14:paraId="656B1BBE" w14:textId="77777777" w:rsidR="0001585B" w:rsidRPr="000D7D82" w:rsidRDefault="0001585B" w:rsidP="0001585B">
            <w:pPr>
              <w:spacing w:after="0"/>
              <w:rPr>
                <w:rFonts w:cs="Segoe UI Light"/>
                <w:sz w:val="18"/>
              </w:rPr>
            </w:pPr>
            <w:r w:rsidRPr="000D7D82">
              <w:rPr>
                <w:rFonts w:cs="Segoe UI Light"/>
                <w:sz w:val="18"/>
              </w:rPr>
              <w:t>Flat fee – 60 fee units</w:t>
            </w:r>
          </w:p>
        </w:tc>
        <w:tc>
          <w:tcPr>
            <w:tcW w:w="572" w:type="pct"/>
          </w:tcPr>
          <w:p w14:paraId="656B1BBF" w14:textId="77777777" w:rsidR="0001585B" w:rsidRPr="000D7D82" w:rsidRDefault="0001585B" w:rsidP="0001585B">
            <w:pPr>
              <w:spacing w:after="0"/>
              <w:rPr>
                <w:rFonts w:cs="Segoe UI Light"/>
                <w:sz w:val="18"/>
              </w:rPr>
            </w:pPr>
            <w:r w:rsidRPr="000D7D82">
              <w:rPr>
                <w:rFonts w:cs="Segoe UI Light"/>
                <w:sz w:val="18"/>
              </w:rPr>
              <w:t xml:space="preserve">$867 </w:t>
            </w:r>
          </w:p>
        </w:tc>
        <w:tc>
          <w:tcPr>
            <w:tcW w:w="780" w:type="pct"/>
          </w:tcPr>
          <w:p w14:paraId="656B1BC0" w14:textId="77777777" w:rsidR="0001585B" w:rsidRPr="000D7D82" w:rsidRDefault="0001585B" w:rsidP="0001585B">
            <w:pPr>
              <w:spacing w:after="0"/>
              <w:rPr>
                <w:rFonts w:cs="Segoe UI Light"/>
                <w:sz w:val="18"/>
              </w:rPr>
            </w:pPr>
            <w:r w:rsidRPr="000D7D82">
              <w:rPr>
                <w:rFonts w:cs="Segoe UI Light"/>
                <w:sz w:val="18"/>
              </w:rPr>
              <w:t>1047.39 fee units on application plus 7.18 fee units per hour for assessments exceeding 145.9 hours up to a maximum of 2361.11 fee units.</w:t>
            </w:r>
          </w:p>
        </w:tc>
        <w:tc>
          <w:tcPr>
            <w:tcW w:w="631" w:type="pct"/>
          </w:tcPr>
          <w:p w14:paraId="656B1BC1" w14:textId="3FBFD535" w:rsidR="0001585B" w:rsidRPr="000D7D82" w:rsidRDefault="009D2339" w:rsidP="0001585B">
            <w:pPr>
              <w:spacing w:after="0"/>
              <w:rPr>
                <w:rFonts w:cs="Segoe UI Light"/>
                <w:sz w:val="18"/>
              </w:rPr>
            </w:pPr>
            <w:r>
              <w:rPr>
                <w:rFonts w:cs="Segoe UI Light"/>
                <w:sz w:val="18"/>
              </w:rPr>
              <w:t>$</w:t>
            </w:r>
            <w:r w:rsidR="0001585B" w:rsidRPr="00BB3356">
              <w:rPr>
                <w:rFonts w:cs="Segoe UI Light"/>
                <w:sz w:val="18"/>
              </w:rPr>
              <w:t>24,658.11</w:t>
            </w:r>
          </w:p>
        </w:tc>
        <w:tc>
          <w:tcPr>
            <w:tcW w:w="468" w:type="pct"/>
            <w:gridSpan w:val="2"/>
          </w:tcPr>
          <w:p w14:paraId="656B1BC2" w14:textId="69778B2A" w:rsidR="0001585B" w:rsidRPr="000D7D82" w:rsidRDefault="0001585B" w:rsidP="00BB3356">
            <w:pPr>
              <w:spacing w:after="0"/>
              <w:rPr>
                <w:rFonts w:cs="Segoe UI Light"/>
                <w:sz w:val="18"/>
              </w:rPr>
            </w:pPr>
            <w:r w:rsidRPr="000D7D82">
              <w:rPr>
                <w:rFonts w:cs="Segoe UI Light"/>
                <w:sz w:val="18"/>
              </w:rPr>
              <w:t>+2</w:t>
            </w:r>
            <w:r w:rsidR="000D7D82" w:rsidRPr="00BB3356">
              <w:rPr>
                <w:rFonts w:cs="Segoe UI Light"/>
                <w:sz w:val="18"/>
              </w:rPr>
              <w:t>,744</w:t>
            </w:r>
            <w:r w:rsidR="004F45F7">
              <w:rPr>
                <w:rFonts w:cs="Segoe UI Light"/>
                <w:sz w:val="18"/>
              </w:rPr>
              <w:t>.1</w:t>
            </w:r>
            <w:r w:rsidR="000D7D82" w:rsidRPr="00BB3356">
              <w:rPr>
                <w:rFonts w:cs="Segoe UI Light"/>
                <w:sz w:val="18"/>
              </w:rPr>
              <w:t>%</w:t>
            </w:r>
          </w:p>
        </w:tc>
      </w:tr>
      <w:bookmarkEnd w:id="2050"/>
      <w:tr w:rsidR="002947E5" w:rsidRPr="000D7D82" w14:paraId="656B1BCC" w14:textId="77777777" w:rsidTr="00BB3356">
        <w:trPr>
          <w:cantSplit/>
          <w:trHeight w:val="216"/>
          <w:jc w:val="center"/>
        </w:trPr>
        <w:tc>
          <w:tcPr>
            <w:tcW w:w="461" w:type="pct"/>
          </w:tcPr>
          <w:p w14:paraId="656B1BC4" w14:textId="77777777" w:rsidR="002947E5" w:rsidRPr="000D7D82" w:rsidRDefault="002947E5" w:rsidP="00A673DF">
            <w:pPr>
              <w:spacing w:after="0"/>
              <w:rPr>
                <w:rFonts w:cs="Segoe UI Light"/>
                <w:sz w:val="18"/>
              </w:rPr>
            </w:pPr>
            <w:r w:rsidRPr="000D7D82">
              <w:rPr>
                <w:rFonts w:cs="Segoe UI Light"/>
                <w:sz w:val="18"/>
              </w:rPr>
              <w:t>Operating licence</w:t>
            </w:r>
          </w:p>
        </w:tc>
        <w:tc>
          <w:tcPr>
            <w:tcW w:w="431" w:type="pct"/>
          </w:tcPr>
          <w:p w14:paraId="656B1BC5" w14:textId="77777777" w:rsidR="002947E5" w:rsidRPr="000D7D82" w:rsidRDefault="002947E5" w:rsidP="00A673DF">
            <w:pPr>
              <w:spacing w:after="0"/>
              <w:rPr>
                <w:rFonts w:cs="Segoe UI Light"/>
                <w:sz w:val="18"/>
              </w:rPr>
            </w:pPr>
            <w:r w:rsidRPr="000D7D82">
              <w:rPr>
                <w:rFonts w:cs="Segoe UI Light"/>
                <w:sz w:val="18"/>
              </w:rPr>
              <w:t>Amendment</w:t>
            </w:r>
          </w:p>
        </w:tc>
        <w:tc>
          <w:tcPr>
            <w:tcW w:w="772" w:type="pct"/>
          </w:tcPr>
          <w:p w14:paraId="656B1BC6" w14:textId="77777777" w:rsidR="002947E5" w:rsidRPr="000D7D82" w:rsidRDefault="002947E5" w:rsidP="00A673DF">
            <w:pPr>
              <w:spacing w:after="0"/>
              <w:rPr>
                <w:rFonts w:cs="Segoe UI Light"/>
                <w:sz w:val="18"/>
              </w:rPr>
            </w:pPr>
            <w:r w:rsidRPr="000D7D82">
              <w:rPr>
                <w:rFonts w:cs="Segoe UI Light"/>
                <w:sz w:val="18"/>
              </w:rPr>
              <w:t>Administrative</w:t>
            </w:r>
          </w:p>
        </w:tc>
        <w:tc>
          <w:tcPr>
            <w:tcW w:w="885" w:type="pct"/>
          </w:tcPr>
          <w:p w14:paraId="656B1BC7" w14:textId="77777777" w:rsidR="002947E5" w:rsidRPr="000D7D82" w:rsidRDefault="002947E5" w:rsidP="00A673DF">
            <w:pPr>
              <w:spacing w:after="0"/>
              <w:rPr>
                <w:rFonts w:cs="Segoe UI Light"/>
                <w:sz w:val="18"/>
              </w:rPr>
            </w:pPr>
            <w:r w:rsidRPr="000D7D82">
              <w:rPr>
                <w:rFonts w:cs="Segoe UI Light"/>
                <w:sz w:val="18"/>
              </w:rPr>
              <w:t>Lesser of 10% of the annual fee or a flat fee of 85 fee units.</w:t>
            </w:r>
          </w:p>
        </w:tc>
        <w:tc>
          <w:tcPr>
            <w:tcW w:w="572" w:type="pct"/>
          </w:tcPr>
          <w:p w14:paraId="656B1BC8" w14:textId="77777777" w:rsidR="002947E5" w:rsidRPr="000D7D82" w:rsidRDefault="002947E5" w:rsidP="00A673DF">
            <w:pPr>
              <w:spacing w:after="0"/>
              <w:rPr>
                <w:rFonts w:cs="Segoe UI Light"/>
                <w:sz w:val="18"/>
              </w:rPr>
            </w:pPr>
            <w:r w:rsidRPr="000D7D82">
              <w:rPr>
                <w:rFonts w:cs="Segoe UI Light"/>
                <w:sz w:val="18"/>
              </w:rPr>
              <w:t xml:space="preserve">$1,228.25 </w:t>
            </w:r>
          </w:p>
        </w:tc>
        <w:tc>
          <w:tcPr>
            <w:tcW w:w="780" w:type="pct"/>
          </w:tcPr>
          <w:p w14:paraId="656B1BC9" w14:textId="77777777" w:rsidR="002947E5" w:rsidRPr="000D7D82" w:rsidRDefault="002947E5" w:rsidP="00A673DF">
            <w:pPr>
              <w:spacing w:after="0"/>
              <w:rPr>
                <w:rFonts w:cs="Segoe UI Light"/>
                <w:sz w:val="18"/>
              </w:rPr>
            </w:pPr>
            <w:r w:rsidRPr="000D7D82">
              <w:rPr>
                <w:rFonts w:cs="Segoe UI Light"/>
                <w:sz w:val="18"/>
              </w:rPr>
              <w:t>Lesser of 10% of the annual fee or a flat fee of 58.79 fee units</w:t>
            </w:r>
          </w:p>
        </w:tc>
        <w:tc>
          <w:tcPr>
            <w:tcW w:w="635" w:type="pct"/>
            <w:gridSpan w:val="2"/>
          </w:tcPr>
          <w:p w14:paraId="656B1BCA" w14:textId="633B3900" w:rsidR="002947E5" w:rsidRPr="000D7D82" w:rsidRDefault="002947E5" w:rsidP="00A673DF">
            <w:pPr>
              <w:spacing w:after="0"/>
              <w:rPr>
                <w:rFonts w:cs="Segoe UI Light"/>
                <w:sz w:val="18"/>
              </w:rPr>
            </w:pPr>
            <w:r w:rsidRPr="000D7D82">
              <w:rPr>
                <w:rFonts w:cs="Segoe UI Light"/>
                <w:sz w:val="18"/>
              </w:rPr>
              <w:t xml:space="preserve">$849.55 </w:t>
            </w:r>
          </w:p>
        </w:tc>
        <w:tc>
          <w:tcPr>
            <w:tcW w:w="464" w:type="pct"/>
          </w:tcPr>
          <w:p w14:paraId="656B1BCB" w14:textId="751783F6" w:rsidR="002947E5" w:rsidRPr="000D7D82" w:rsidRDefault="002947E5" w:rsidP="00A673DF">
            <w:pPr>
              <w:spacing w:after="0"/>
              <w:rPr>
                <w:rFonts w:cs="Segoe UI Light"/>
                <w:sz w:val="18"/>
              </w:rPr>
            </w:pPr>
            <w:r w:rsidRPr="000D7D82">
              <w:rPr>
                <w:rFonts w:cs="Segoe UI Light"/>
                <w:sz w:val="18"/>
              </w:rPr>
              <w:t>-30.8%</w:t>
            </w:r>
          </w:p>
        </w:tc>
      </w:tr>
      <w:tr w:rsidR="002947E5" w:rsidRPr="000D7D82" w14:paraId="656B1BD5" w14:textId="77777777" w:rsidTr="00BB3356">
        <w:trPr>
          <w:cantSplit/>
          <w:trHeight w:val="813"/>
          <w:jc w:val="center"/>
        </w:trPr>
        <w:tc>
          <w:tcPr>
            <w:tcW w:w="461" w:type="pct"/>
          </w:tcPr>
          <w:p w14:paraId="656B1BCD" w14:textId="77777777" w:rsidR="002947E5" w:rsidRPr="000D7D82" w:rsidRDefault="002947E5" w:rsidP="00A673DF">
            <w:pPr>
              <w:spacing w:after="0"/>
              <w:rPr>
                <w:rFonts w:cs="Segoe UI Light"/>
                <w:sz w:val="18"/>
              </w:rPr>
            </w:pPr>
            <w:bookmarkStart w:id="2051" w:name="_Hlk13468712"/>
            <w:r w:rsidRPr="000D7D82">
              <w:rPr>
                <w:rFonts w:cs="Segoe UI Light"/>
                <w:sz w:val="18"/>
              </w:rPr>
              <w:t>Operating licence</w:t>
            </w:r>
          </w:p>
        </w:tc>
        <w:tc>
          <w:tcPr>
            <w:tcW w:w="431" w:type="pct"/>
          </w:tcPr>
          <w:p w14:paraId="656B1BCE" w14:textId="77777777" w:rsidR="002947E5" w:rsidRPr="000D7D82" w:rsidRDefault="002947E5" w:rsidP="00A673DF">
            <w:pPr>
              <w:spacing w:after="0"/>
              <w:rPr>
                <w:rFonts w:cs="Segoe UI Light"/>
                <w:sz w:val="18"/>
              </w:rPr>
            </w:pPr>
            <w:r w:rsidRPr="000D7D82">
              <w:rPr>
                <w:rFonts w:cs="Segoe UI Light"/>
                <w:sz w:val="18"/>
              </w:rPr>
              <w:t>Amendment</w:t>
            </w:r>
          </w:p>
        </w:tc>
        <w:tc>
          <w:tcPr>
            <w:tcW w:w="772" w:type="pct"/>
          </w:tcPr>
          <w:p w14:paraId="656B1BCF" w14:textId="77777777" w:rsidR="002947E5" w:rsidRPr="000D7D82" w:rsidRDefault="002947E5" w:rsidP="00A673DF">
            <w:pPr>
              <w:spacing w:after="0"/>
              <w:rPr>
                <w:rFonts w:cs="Segoe UI Light"/>
                <w:sz w:val="18"/>
              </w:rPr>
            </w:pPr>
            <w:r w:rsidRPr="000D7D82">
              <w:rPr>
                <w:rFonts w:cs="Segoe UI Light"/>
                <w:sz w:val="18"/>
              </w:rPr>
              <w:t>Terms and conditions</w:t>
            </w:r>
          </w:p>
        </w:tc>
        <w:tc>
          <w:tcPr>
            <w:tcW w:w="885" w:type="pct"/>
            <w:tcBorders>
              <w:bottom w:val="single" w:sz="4" w:space="0" w:color="000000" w:themeColor="text1"/>
            </w:tcBorders>
          </w:tcPr>
          <w:p w14:paraId="656B1BD0" w14:textId="77777777" w:rsidR="002947E5" w:rsidRPr="000D7D82" w:rsidRDefault="002947E5" w:rsidP="00A673DF">
            <w:pPr>
              <w:spacing w:after="0"/>
              <w:rPr>
                <w:rFonts w:cs="Segoe UI Light"/>
                <w:sz w:val="18"/>
              </w:rPr>
            </w:pPr>
            <w:r w:rsidRPr="000D7D82">
              <w:rPr>
                <w:rFonts w:cs="Segoe UI Light"/>
                <w:sz w:val="18"/>
              </w:rPr>
              <w:t>Lesser of 10% of the annual fee or a flat fee of 85 fee units.</w:t>
            </w:r>
          </w:p>
        </w:tc>
        <w:tc>
          <w:tcPr>
            <w:tcW w:w="572" w:type="pct"/>
            <w:tcBorders>
              <w:bottom w:val="single" w:sz="4" w:space="0" w:color="000000" w:themeColor="text1"/>
            </w:tcBorders>
          </w:tcPr>
          <w:p w14:paraId="656B1BD1" w14:textId="77777777" w:rsidR="002947E5" w:rsidRPr="000D7D82" w:rsidRDefault="002947E5" w:rsidP="00A673DF">
            <w:pPr>
              <w:spacing w:after="0"/>
              <w:rPr>
                <w:rFonts w:cs="Segoe UI Light"/>
                <w:sz w:val="18"/>
              </w:rPr>
            </w:pPr>
            <w:r w:rsidRPr="000D7D82">
              <w:rPr>
                <w:rFonts w:cs="Segoe UI Light"/>
                <w:sz w:val="18"/>
              </w:rPr>
              <w:t>$1,228.25</w:t>
            </w:r>
          </w:p>
        </w:tc>
        <w:tc>
          <w:tcPr>
            <w:tcW w:w="780" w:type="pct"/>
            <w:tcBorders>
              <w:bottom w:val="single" w:sz="4" w:space="0" w:color="000000" w:themeColor="text1"/>
            </w:tcBorders>
          </w:tcPr>
          <w:p w14:paraId="656B1BD2" w14:textId="77777777" w:rsidR="002947E5" w:rsidRPr="000D7D82" w:rsidRDefault="002947E5" w:rsidP="00A673DF">
            <w:pPr>
              <w:spacing w:after="0"/>
              <w:rPr>
                <w:rFonts w:cs="Segoe UI Light"/>
                <w:sz w:val="18"/>
              </w:rPr>
            </w:pPr>
            <w:r w:rsidRPr="000D7D82">
              <w:rPr>
                <w:rFonts w:cs="Segoe UI Light"/>
                <w:sz w:val="18"/>
              </w:rPr>
              <w:t>126.12 fee units on application plus 6.28 fee units per hour for assessments exceeding 20.1 hours up to a maximum of 1119.18 fee units.</w:t>
            </w:r>
          </w:p>
        </w:tc>
        <w:tc>
          <w:tcPr>
            <w:tcW w:w="635" w:type="pct"/>
            <w:gridSpan w:val="2"/>
            <w:tcBorders>
              <w:bottom w:val="single" w:sz="4" w:space="0" w:color="000000" w:themeColor="text1"/>
            </w:tcBorders>
          </w:tcPr>
          <w:p w14:paraId="656B1BD3" w14:textId="10C2127D" w:rsidR="002947E5" w:rsidRPr="000D7D82" w:rsidRDefault="002947E5" w:rsidP="00A673DF">
            <w:pPr>
              <w:spacing w:after="0"/>
              <w:rPr>
                <w:rFonts w:cs="Segoe UI Light"/>
                <w:sz w:val="18"/>
              </w:rPr>
            </w:pPr>
            <w:r w:rsidRPr="000D7D82">
              <w:rPr>
                <w:rFonts w:cs="Segoe UI Light"/>
                <w:sz w:val="18"/>
              </w:rPr>
              <w:t>$</w:t>
            </w:r>
            <w:r w:rsidR="004856B6">
              <w:rPr>
                <w:rFonts w:cs="Segoe UI Light"/>
                <w:sz w:val="18"/>
              </w:rPr>
              <w:t>5,380.70</w:t>
            </w:r>
            <w:r w:rsidRPr="000D7D82">
              <w:rPr>
                <w:rFonts w:cs="Segoe UI Light"/>
                <w:sz w:val="18"/>
              </w:rPr>
              <w:t xml:space="preserve"> </w:t>
            </w:r>
          </w:p>
        </w:tc>
        <w:tc>
          <w:tcPr>
            <w:tcW w:w="464" w:type="pct"/>
            <w:tcBorders>
              <w:bottom w:val="single" w:sz="4" w:space="0" w:color="000000" w:themeColor="text1"/>
            </w:tcBorders>
          </w:tcPr>
          <w:p w14:paraId="656B1BD4" w14:textId="004C01BB" w:rsidR="002947E5" w:rsidRPr="000D7D82" w:rsidRDefault="002947E5" w:rsidP="00A673DF">
            <w:pPr>
              <w:spacing w:after="0"/>
              <w:rPr>
                <w:rFonts w:cs="Segoe UI Light"/>
                <w:sz w:val="18"/>
              </w:rPr>
            </w:pPr>
            <w:r w:rsidRPr="000D7D82">
              <w:rPr>
                <w:rFonts w:cs="Segoe UI Light"/>
                <w:sz w:val="18"/>
              </w:rPr>
              <w:t>+</w:t>
            </w:r>
            <w:r w:rsidR="008E7A22" w:rsidRPr="000D7D82">
              <w:rPr>
                <w:rFonts w:cs="Segoe UI Light"/>
                <w:sz w:val="18"/>
              </w:rPr>
              <w:t>3</w:t>
            </w:r>
            <w:r w:rsidR="008E7A22">
              <w:rPr>
                <w:rFonts w:cs="Segoe UI Light"/>
                <w:sz w:val="18"/>
              </w:rPr>
              <w:t>38.</w:t>
            </w:r>
            <w:r w:rsidR="004F45F7">
              <w:rPr>
                <w:rFonts w:cs="Segoe UI Light"/>
                <w:sz w:val="18"/>
              </w:rPr>
              <w:t>1</w:t>
            </w:r>
            <w:r w:rsidRPr="000D7D82">
              <w:rPr>
                <w:rFonts w:cs="Segoe UI Light"/>
                <w:sz w:val="18"/>
              </w:rPr>
              <w:t>%</w:t>
            </w:r>
          </w:p>
        </w:tc>
      </w:tr>
      <w:bookmarkEnd w:id="2051"/>
      <w:tr w:rsidR="002947E5" w:rsidRPr="000D7D82" w14:paraId="656B1BDF" w14:textId="77777777" w:rsidTr="00BB3356">
        <w:trPr>
          <w:cantSplit/>
          <w:trHeight w:val="216"/>
          <w:jc w:val="center"/>
        </w:trPr>
        <w:tc>
          <w:tcPr>
            <w:tcW w:w="461" w:type="pct"/>
            <w:tcBorders>
              <w:bottom w:val="single" w:sz="4" w:space="0" w:color="auto"/>
            </w:tcBorders>
          </w:tcPr>
          <w:p w14:paraId="656B1BD6" w14:textId="77777777" w:rsidR="002947E5" w:rsidRPr="000D7D82" w:rsidRDefault="002947E5" w:rsidP="00A673DF">
            <w:pPr>
              <w:spacing w:after="0"/>
              <w:rPr>
                <w:rFonts w:cs="Segoe UI Light"/>
                <w:sz w:val="18"/>
              </w:rPr>
            </w:pPr>
            <w:r w:rsidRPr="000D7D82">
              <w:rPr>
                <w:rFonts w:cs="Segoe UI Light"/>
                <w:sz w:val="18"/>
              </w:rPr>
              <w:t>Operating licence</w:t>
            </w:r>
          </w:p>
        </w:tc>
        <w:tc>
          <w:tcPr>
            <w:tcW w:w="431" w:type="pct"/>
            <w:tcBorders>
              <w:bottom w:val="single" w:sz="4" w:space="0" w:color="auto"/>
            </w:tcBorders>
          </w:tcPr>
          <w:p w14:paraId="656B1BD7" w14:textId="77777777" w:rsidR="002947E5" w:rsidRPr="000D7D82" w:rsidRDefault="002947E5" w:rsidP="00A673DF">
            <w:pPr>
              <w:spacing w:after="0"/>
              <w:rPr>
                <w:rFonts w:cs="Segoe UI Light"/>
                <w:sz w:val="18"/>
              </w:rPr>
            </w:pPr>
            <w:r w:rsidRPr="000D7D82">
              <w:rPr>
                <w:rFonts w:cs="Segoe UI Light"/>
                <w:sz w:val="18"/>
              </w:rPr>
              <w:t>Transfer</w:t>
            </w:r>
          </w:p>
        </w:tc>
        <w:tc>
          <w:tcPr>
            <w:tcW w:w="772" w:type="pct"/>
            <w:tcBorders>
              <w:bottom w:val="single" w:sz="4" w:space="0" w:color="auto"/>
            </w:tcBorders>
          </w:tcPr>
          <w:p w14:paraId="656B1BD8" w14:textId="77777777" w:rsidR="002947E5" w:rsidRPr="000D7D82" w:rsidRDefault="002947E5" w:rsidP="00A673DF">
            <w:pPr>
              <w:spacing w:after="0"/>
              <w:rPr>
                <w:rFonts w:cs="Segoe UI Light"/>
                <w:sz w:val="18"/>
              </w:rPr>
            </w:pPr>
            <w:r w:rsidRPr="000D7D82">
              <w:rPr>
                <w:rFonts w:cs="Segoe UI Light"/>
                <w:sz w:val="18"/>
              </w:rPr>
              <w:t>-</w:t>
            </w:r>
          </w:p>
        </w:tc>
        <w:tc>
          <w:tcPr>
            <w:tcW w:w="885" w:type="pct"/>
            <w:tcBorders>
              <w:top w:val="single" w:sz="4" w:space="0" w:color="000000" w:themeColor="text1"/>
              <w:bottom w:val="single" w:sz="4" w:space="0" w:color="auto"/>
            </w:tcBorders>
          </w:tcPr>
          <w:p w14:paraId="656B1BD9" w14:textId="77777777" w:rsidR="002947E5" w:rsidRPr="000D7D82" w:rsidRDefault="002947E5" w:rsidP="00A673DF">
            <w:pPr>
              <w:spacing w:after="0"/>
              <w:rPr>
                <w:rFonts w:cs="Segoe UI Light"/>
                <w:sz w:val="18"/>
              </w:rPr>
            </w:pPr>
            <w:r w:rsidRPr="000D7D82">
              <w:rPr>
                <w:rFonts w:cs="Segoe UI Light"/>
                <w:sz w:val="18"/>
              </w:rPr>
              <w:t>Lesser of 10% of the annual fee or a flat fee of 35 fee units</w:t>
            </w:r>
          </w:p>
        </w:tc>
        <w:tc>
          <w:tcPr>
            <w:tcW w:w="572" w:type="pct"/>
            <w:tcBorders>
              <w:top w:val="single" w:sz="4" w:space="0" w:color="000000" w:themeColor="text1"/>
              <w:bottom w:val="single" w:sz="4" w:space="0" w:color="auto"/>
            </w:tcBorders>
          </w:tcPr>
          <w:p w14:paraId="656B1BDA" w14:textId="77777777" w:rsidR="002947E5" w:rsidRPr="000D7D82" w:rsidRDefault="002947E5" w:rsidP="00A673DF">
            <w:pPr>
              <w:spacing w:after="0"/>
              <w:rPr>
                <w:rFonts w:cs="Segoe UI Light"/>
                <w:sz w:val="18"/>
              </w:rPr>
            </w:pPr>
            <w:r w:rsidRPr="000D7D82">
              <w:rPr>
                <w:rFonts w:cs="Segoe UI Light"/>
                <w:sz w:val="18"/>
              </w:rPr>
              <w:t xml:space="preserve">$505.75 </w:t>
            </w:r>
          </w:p>
        </w:tc>
        <w:tc>
          <w:tcPr>
            <w:tcW w:w="780" w:type="pct"/>
            <w:tcBorders>
              <w:top w:val="single" w:sz="4" w:space="0" w:color="000000" w:themeColor="text1"/>
              <w:bottom w:val="single" w:sz="4" w:space="0" w:color="auto"/>
            </w:tcBorders>
          </w:tcPr>
          <w:p w14:paraId="656B1BDB" w14:textId="77777777" w:rsidR="002947E5" w:rsidRPr="000D7D82" w:rsidRDefault="002947E5" w:rsidP="00A673DF">
            <w:pPr>
              <w:spacing w:after="0"/>
              <w:rPr>
                <w:rFonts w:cs="Segoe UI Light"/>
                <w:sz w:val="18"/>
              </w:rPr>
            </w:pPr>
            <w:r w:rsidRPr="000D7D82">
              <w:rPr>
                <w:rFonts w:cs="Segoe UI Light"/>
                <w:sz w:val="18"/>
              </w:rPr>
              <w:t>Lesser of 10% of the annual fee or a flat fee of 52.22 fee units</w:t>
            </w:r>
          </w:p>
        </w:tc>
        <w:tc>
          <w:tcPr>
            <w:tcW w:w="635" w:type="pct"/>
            <w:gridSpan w:val="2"/>
            <w:tcBorders>
              <w:top w:val="single" w:sz="4" w:space="0" w:color="000000" w:themeColor="text1"/>
              <w:bottom w:val="single" w:sz="4" w:space="0" w:color="auto"/>
            </w:tcBorders>
          </w:tcPr>
          <w:p w14:paraId="656B1BDC" w14:textId="020CCF7D" w:rsidR="002947E5" w:rsidRPr="000D7D82" w:rsidRDefault="002947E5" w:rsidP="00A673DF">
            <w:pPr>
              <w:spacing w:after="0"/>
              <w:rPr>
                <w:rFonts w:cs="Segoe UI Light"/>
                <w:sz w:val="18"/>
              </w:rPr>
            </w:pPr>
            <w:r w:rsidRPr="000D7D82">
              <w:rPr>
                <w:rFonts w:cs="Segoe UI Light"/>
                <w:sz w:val="18"/>
              </w:rPr>
              <w:t xml:space="preserve">$754.58 </w:t>
            </w:r>
          </w:p>
          <w:p w14:paraId="656B1BDD" w14:textId="77777777" w:rsidR="002947E5" w:rsidRPr="000D7D82" w:rsidRDefault="002947E5" w:rsidP="00A673DF">
            <w:pPr>
              <w:spacing w:after="0"/>
              <w:rPr>
                <w:rFonts w:cs="Segoe UI Light"/>
                <w:sz w:val="18"/>
              </w:rPr>
            </w:pPr>
          </w:p>
        </w:tc>
        <w:tc>
          <w:tcPr>
            <w:tcW w:w="464" w:type="pct"/>
            <w:tcBorders>
              <w:top w:val="single" w:sz="4" w:space="0" w:color="000000" w:themeColor="text1"/>
              <w:bottom w:val="single" w:sz="4" w:space="0" w:color="auto"/>
            </w:tcBorders>
          </w:tcPr>
          <w:p w14:paraId="656B1BDE" w14:textId="3A5CC35E" w:rsidR="002947E5" w:rsidRPr="000D7D82" w:rsidRDefault="002947E5" w:rsidP="00A673DF">
            <w:pPr>
              <w:spacing w:after="0"/>
              <w:rPr>
                <w:rFonts w:cs="Segoe UI Light"/>
                <w:sz w:val="18"/>
              </w:rPr>
            </w:pPr>
            <w:r w:rsidRPr="000D7D82">
              <w:rPr>
                <w:rFonts w:cs="Segoe UI Light"/>
                <w:sz w:val="18"/>
              </w:rPr>
              <w:t>+49</w:t>
            </w:r>
            <w:r w:rsidR="004F45F7">
              <w:rPr>
                <w:rFonts w:cs="Segoe UI Light"/>
                <w:sz w:val="18"/>
              </w:rPr>
              <w:t>.2</w:t>
            </w:r>
            <w:r w:rsidRPr="000D7D82">
              <w:rPr>
                <w:rFonts w:cs="Segoe UI Light"/>
                <w:sz w:val="18"/>
              </w:rPr>
              <w:t>%</w:t>
            </w:r>
          </w:p>
        </w:tc>
      </w:tr>
      <w:tr w:rsidR="002947E5" w:rsidRPr="000D7D82" w14:paraId="656B1BF3" w14:textId="77777777" w:rsidTr="00BB3356">
        <w:trPr>
          <w:cantSplit/>
          <w:trHeight w:val="216"/>
          <w:jc w:val="center"/>
        </w:trPr>
        <w:tc>
          <w:tcPr>
            <w:tcW w:w="461" w:type="pct"/>
            <w:tcBorders>
              <w:top w:val="single" w:sz="4" w:space="0" w:color="auto"/>
              <w:bottom w:val="single" w:sz="4" w:space="0" w:color="auto"/>
            </w:tcBorders>
          </w:tcPr>
          <w:p w14:paraId="656B1BE9" w14:textId="77777777" w:rsidR="002947E5" w:rsidRPr="000D7D82" w:rsidRDefault="002947E5" w:rsidP="002947E5">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BEA" w14:textId="77777777" w:rsidR="002947E5" w:rsidRPr="000D7D82" w:rsidRDefault="002947E5" w:rsidP="002947E5">
            <w:pPr>
              <w:spacing w:after="0"/>
              <w:rPr>
                <w:rFonts w:cs="Segoe UI Light"/>
                <w:sz w:val="18"/>
              </w:rPr>
            </w:pPr>
            <w:r w:rsidRPr="000D7D82">
              <w:rPr>
                <w:rFonts w:cs="Segoe UI Light"/>
                <w:sz w:val="18"/>
              </w:rPr>
              <w:t>Application</w:t>
            </w:r>
          </w:p>
        </w:tc>
        <w:tc>
          <w:tcPr>
            <w:tcW w:w="772" w:type="pct"/>
            <w:tcBorders>
              <w:top w:val="single" w:sz="4" w:space="0" w:color="auto"/>
              <w:bottom w:val="single" w:sz="4" w:space="0" w:color="auto"/>
            </w:tcBorders>
          </w:tcPr>
          <w:p w14:paraId="656B1BEB" w14:textId="7EEB1EDF" w:rsidR="002947E5" w:rsidRPr="000D7D82" w:rsidRDefault="002947E5" w:rsidP="002947E5">
            <w:pPr>
              <w:spacing w:after="0"/>
              <w:rPr>
                <w:rFonts w:cs="Segoe UI Light"/>
                <w:sz w:val="18"/>
              </w:rPr>
            </w:pPr>
            <w:r w:rsidRPr="000D7D82">
              <w:rPr>
                <w:rFonts w:cs="Segoe UI Light"/>
                <w:sz w:val="18"/>
              </w:rPr>
              <w:t>Reportable priority waste transport (</w:t>
            </w:r>
            <w:r w:rsidR="008E7A22">
              <w:rPr>
                <w:rFonts w:cs="Segoe UI Light"/>
                <w:sz w:val="18"/>
              </w:rPr>
              <w:t>temporary</w:t>
            </w:r>
            <w:r w:rsidR="008E7A22" w:rsidRPr="000D7D82">
              <w:rPr>
                <w:rFonts w:cs="Segoe UI Light"/>
                <w:sz w:val="18"/>
              </w:rPr>
              <w:t xml:space="preserve"> </w:t>
            </w:r>
            <w:r w:rsidRPr="000D7D82">
              <w:rPr>
                <w:rFonts w:cs="Segoe UI Light"/>
                <w:sz w:val="18"/>
              </w:rPr>
              <w:t>permit) [less than 1.5 tonnes (R100, K100, K120, K200, T130)]</w:t>
            </w:r>
          </w:p>
        </w:tc>
        <w:tc>
          <w:tcPr>
            <w:tcW w:w="885" w:type="pct"/>
            <w:tcBorders>
              <w:top w:val="single" w:sz="4" w:space="0" w:color="auto"/>
              <w:bottom w:val="single" w:sz="4" w:space="0" w:color="auto"/>
            </w:tcBorders>
          </w:tcPr>
          <w:p w14:paraId="656B1BEC" w14:textId="77777777" w:rsidR="00BA63D4" w:rsidRPr="000D7D82" w:rsidRDefault="00BA63D4" w:rsidP="00BA63D4">
            <w:pPr>
              <w:spacing w:after="0"/>
              <w:rPr>
                <w:rFonts w:cs="Segoe UI Light"/>
                <w:sz w:val="18"/>
              </w:rPr>
            </w:pPr>
            <w:r w:rsidRPr="000D7D82">
              <w:rPr>
                <w:rFonts w:cs="Segoe UI Light"/>
                <w:sz w:val="18"/>
              </w:rPr>
              <w:t>Greater of 25% of the application fee or a flat fee of 10.3 fee units.</w:t>
            </w:r>
          </w:p>
          <w:p w14:paraId="656B1BED" w14:textId="561CCE72" w:rsidR="002947E5" w:rsidRPr="000D7D82" w:rsidRDefault="002947E5" w:rsidP="002947E5">
            <w:pPr>
              <w:pStyle w:val="CommentText"/>
              <w:rPr>
                <w:rFonts w:cs="Segoe UI Light"/>
                <w:sz w:val="18"/>
                <w:szCs w:val="18"/>
              </w:rPr>
            </w:pPr>
          </w:p>
        </w:tc>
        <w:tc>
          <w:tcPr>
            <w:tcW w:w="572" w:type="pct"/>
            <w:tcBorders>
              <w:top w:val="single" w:sz="4" w:space="0" w:color="auto"/>
              <w:bottom w:val="single" w:sz="4" w:space="0" w:color="auto"/>
            </w:tcBorders>
          </w:tcPr>
          <w:p w14:paraId="656B1BEE" w14:textId="77777777" w:rsidR="00BA63D4" w:rsidRPr="000D7D82" w:rsidRDefault="00BA63D4" w:rsidP="002947E5">
            <w:pPr>
              <w:spacing w:after="0"/>
              <w:rPr>
                <w:rFonts w:cs="Segoe UI Light"/>
                <w:sz w:val="18"/>
              </w:rPr>
            </w:pPr>
            <w:r w:rsidRPr="000D7D82">
              <w:rPr>
                <w:rFonts w:cs="Segoe UI Light"/>
                <w:sz w:val="18"/>
              </w:rPr>
              <w:t>10.3 fee units:</w:t>
            </w:r>
          </w:p>
          <w:p w14:paraId="656B1BEF" w14:textId="5013C3C7" w:rsidR="002947E5" w:rsidRPr="000D7D82" w:rsidRDefault="002947E5" w:rsidP="002947E5">
            <w:pPr>
              <w:spacing w:after="0"/>
              <w:rPr>
                <w:rFonts w:cs="Segoe UI Light"/>
                <w:sz w:val="18"/>
              </w:rPr>
            </w:pPr>
            <w:r w:rsidRPr="000D7D82">
              <w:rPr>
                <w:rFonts w:cs="Segoe UI Light"/>
                <w:sz w:val="18"/>
              </w:rPr>
              <w:t>$148.84</w:t>
            </w:r>
          </w:p>
        </w:tc>
        <w:tc>
          <w:tcPr>
            <w:tcW w:w="780" w:type="pct"/>
            <w:tcBorders>
              <w:top w:val="single" w:sz="4" w:space="0" w:color="auto"/>
              <w:bottom w:val="single" w:sz="4" w:space="0" w:color="auto"/>
            </w:tcBorders>
          </w:tcPr>
          <w:p w14:paraId="656B1BF0" w14:textId="77777777" w:rsidR="002947E5" w:rsidRPr="000D7D82" w:rsidRDefault="002947E5" w:rsidP="002947E5">
            <w:pPr>
              <w:spacing w:after="0"/>
              <w:rPr>
                <w:rFonts w:cs="Segoe UI Light"/>
                <w:sz w:val="18"/>
              </w:rPr>
            </w:pPr>
            <w:r w:rsidRPr="000D7D82">
              <w:rPr>
                <w:rFonts w:cs="Segoe UI Light"/>
                <w:sz w:val="18"/>
              </w:rPr>
              <w:t>Flat fee - 6.21 fee units</w:t>
            </w:r>
            <w:r w:rsidRPr="000D7D82" w:rsidDel="00F63EC0">
              <w:rPr>
                <w:rFonts w:cs="Segoe UI Light"/>
                <w:sz w:val="18"/>
              </w:rPr>
              <w:t xml:space="preserve"> </w:t>
            </w:r>
          </w:p>
        </w:tc>
        <w:tc>
          <w:tcPr>
            <w:tcW w:w="635" w:type="pct"/>
            <w:gridSpan w:val="2"/>
            <w:tcBorders>
              <w:top w:val="single" w:sz="4" w:space="0" w:color="auto"/>
              <w:bottom w:val="single" w:sz="4" w:space="0" w:color="auto"/>
            </w:tcBorders>
          </w:tcPr>
          <w:p w14:paraId="656B1BF1" w14:textId="77777777" w:rsidR="002947E5" w:rsidRPr="000D7D82" w:rsidRDefault="002947E5" w:rsidP="002947E5">
            <w:pPr>
              <w:spacing w:after="0"/>
              <w:rPr>
                <w:rFonts w:cs="Segoe UI Light"/>
                <w:sz w:val="18"/>
              </w:rPr>
            </w:pPr>
            <w:r w:rsidRPr="000D7D82">
              <w:rPr>
                <w:rFonts w:cs="Segoe UI Light"/>
                <w:sz w:val="18"/>
              </w:rPr>
              <w:t xml:space="preserve">$89.73 </w:t>
            </w:r>
          </w:p>
        </w:tc>
        <w:tc>
          <w:tcPr>
            <w:tcW w:w="464" w:type="pct"/>
            <w:tcBorders>
              <w:top w:val="single" w:sz="4" w:space="0" w:color="auto"/>
              <w:bottom w:val="single" w:sz="4" w:space="0" w:color="auto"/>
            </w:tcBorders>
          </w:tcPr>
          <w:p w14:paraId="656B1BF2" w14:textId="13BFBE99" w:rsidR="002947E5" w:rsidRPr="000D7D82" w:rsidRDefault="00095872" w:rsidP="002947E5">
            <w:pPr>
              <w:spacing w:after="0"/>
              <w:rPr>
                <w:rFonts w:cs="Segoe UI Light"/>
                <w:sz w:val="18"/>
              </w:rPr>
            </w:pPr>
            <w:r w:rsidRPr="000D7D82">
              <w:rPr>
                <w:rFonts w:cs="Segoe UI Light"/>
                <w:sz w:val="18"/>
              </w:rPr>
              <w:t>-39.7%</w:t>
            </w:r>
          </w:p>
        </w:tc>
      </w:tr>
      <w:tr w:rsidR="002947E5" w:rsidRPr="000D7D82" w14:paraId="656B1BFE" w14:textId="77777777" w:rsidTr="00BB3356">
        <w:trPr>
          <w:cantSplit/>
          <w:trHeight w:val="216"/>
          <w:jc w:val="center"/>
        </w:trPr>
        <w:tc>
          <w:tcPr>
            <w:tcW w:w="461" w:type="pct"/>
            <w:tcBorders>
              <w:top w:val="single" w:sz="4" w:space="0" w:color="auto"/>
              <w:bottom w:val="single" w:sz="4" w:space="0" w:color="auto"/>
            </w:tcBorders>
          </w:tcPr>
          <w:p w14:paraId="656B1BF4" w14:textId="77777777" w:rsidR="002947E5" w:rsidRPr="000D7D82" w:rsidRDefault="002947E5" w:rsidP="002947E5">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BF5" w14:textId="77777777" w:rsidR="002947E5" w:rsidRPr="000D7D82" w:rsidRDefault="002947E5" w:rsidP="002947E5">
            <w:pPr>
              <w:spacing w:after="0"/>
              <w:rPr>
                <w:rFonts w:cs="Segoe UI Light"/>
                <w:sz w:val="18"/>
              </w:rPr>
            </w:pPr>
            <w:r w:rsidRPr="000D7D82">
              <w:rPr>
                <w:rFonts w:cs="Segoe UI Light"/>
                <w:sz w:val="18"/>
              </w:rPr>
              <w:t>Application</w:t>
            </w:r>
          </w:p>
        </w:tc>
        <w:tc>
          <w:tcPr>
            <w:tcW w:w="772" w:type="pct"/>
            <w:tcBorders>
              <w:top w:val="single" w:sz="4" w:space="0" w:color="auto"/>
              <w:bottom w:val="single" w:sz="4" w:space="0" w:color="auto"/>
            </w:tcBorders>
          </w:tcPr>
          <w:p w14:paraId="656B1BF6" w14:textId="1D0C5D35" w:rsidR="002947E5" w:rsidRPr="000D7D82" w:rsidRDefault="002947E5" w:rsidP="002947E5">
            <w:pPr>
              <w:spacing w:after="0"/>
              <w:rPr>
                <w:rFonts w:cs="Segoe UI Light"/>
                <w:sz w:val="18"/>
              </w:rPr>
            </w:pPr>
            <w:r w:rsidRPr="000D7D82">
              <w:rPr>
                <w:rFonts w:cs="Segoe UI Light"/>
                <w:sz w:val="18"/>
              </w:rPr>
              <w:t>Reportable priority waste transport (</w:t>
            </w:r>
            <w:r w:rsidR="008E7A22">
              <w:rPr>
                <w:rFonts w:cs="Segoe UI Light"/>
                <w:sz w:val="18"/>
              </w:rPr>
              <w:t>temporary</w:t>
            </w:r>
            <w:r w:rsidRPr="000D7D82">
              <w:rPr>
                <w:rFonts w:cs="Segoe UI Light"/>
                <w:sz w:val="18"/>
              </w:rPr>
              <w:t xml:space="preserve"> permit) [equal to or more than 1.5 tonnes but less than 30 tonnes (R100, K100, K120, K200, T130)]</w:t>
            </w:r>
          </w:p>
        </w:tc>
        <w:tc>
          <w:tcPr>
            <w:tcW w:w="885" w:type="pct"/>
            <w:tcBorders>
              <w:top w:val="single" w:sz="4" w:space="0" w:color="auto"/>
              <w:bottom w:val="single" w:sz="4" w:space="0" w:color="auto"/>
            </w:tcBorders>
          </w:tcPr>
          <w:p w14:paraId="656B1BF7" w14:textId="57ECAB0D" w:rsidR="00BA63D4" w:rsidRPr="000D7D82" w:rsidRDefault="00BA63D4" w:rsidP="00BA63D4">
            <w:pPr>
              <w:spacing w:after="0"/>
              <w:rPr>
                <w:rFonts w:cs="Segoe UI Light"/>
                <w:sz w:val="18"/>
              </w:rPr>
            </w:pPr>
            <w:r w:rsidRPr="000D7D82">
              <w:rPr>
                <w:rFonts w:cs="Segoe UI Light"/>
                <w:sz w:val="18"/>
              </w:rPr>
              <w:t>Greater of 25% of the application fee or a flat fee of 10.3 fee units.</w:t>
            </w:r>
          </w:p>
          <w:p w14:paraId="656B1BF8" w14:textId="7C3A49B1" w:rsidR="002947E5" w:rsidRPr="000D7D82" w:rsidRDefault="002947E5" w:rsidP="002947E5">
            <w:pPr>
              <w:pStyle w:val="CommentText"/>
              <w:rPr>
                <w:rFonts w:cs="Segoe UI Light"/>
                <w:sz w:val="18"/>
                <w:szCs w:val="18"/>
              </w:rPr>
            </w:pPr>
          </w:p>
        </w:tc>
        <w:tc>
          <w:tcPr>
            <w:tcW w:w="572" w:type="pct"/>
            <w:tcBorders>
              <w:top w:val="single" w:sz="4" w:space="0" w:color="auto"/>
              <w:bottom w:val="single" w:sz="4" w:space="0" w:color="auto"/>
            </w:tcBorders>
          </w:tcPr>
          <w:p w14:paraId="656B1BF9" w14:textId="77777777" w:rsidR="00BA63D4" w:rsidRPr="000D7D82" w:rsidRDefault="00BA63D4" w:rsidP="002947E5">
            <w:pPr>
              <w:spacing w:after="0"/>
              <w:rPr>
                <w:rFonts w:cs="Segoe UI Light"/>
                <w:sz w:val="18"/>
              </w:rPr>
            </w:pPr>
            <w:r w:rsidRPr="000D7D82">
              <w:rPr>
                <w:rFonts w:cs="Segoe UI Light"/>
                <w:sz w:val="18"/>
              </w:rPr>
              <w:t>10.3 fee units:</w:t>
            </w:r>
          </w:p>
          <w:p w14:paraId="656B1BFA" w14:textId="632A17DD" w:rsidR="002947E5" w:rsidRPr="000D7D82" w:rsidRDefault="002947E5" w:rsidP="002947E5">
            <w:pPr>
              <w:spacing w:after="0"/>
              <w:rPr>
                <w:rFonts w:cs="Segoe UI Light"/>
                <w:sz w:val="18"/>
              </w:rPr>
            </w:pPr>
            <w:r w:rsidRPr="000D7D82">
              <w:rPr>
                <w:rFonts w:cs="Segoe UI Light"/>
                <w:sz w:val="18"/>
              </w:rPr>
              <w:t>$148.84</w:t>
            </w:r>
          </w:p>
        </w:tc>
        <w:tc>
          <w:tcPr>
            <w:tcW w:w="780" w:type="pct"/>
            <w:tcBorders>
              <w:top w:val="single" w:sz="4" w:space="0" w:color="auto"/>
              <w:bottom w:val="single" w:sz="4" w:space="0" w:color="auto"/>
            </w:tcBorders>
          </w:tcPr>
          <w:p w14:paraId="656B1BFB" w14:textId="77777777" w:rsidR="002947E5" w:rsidRPr="000D7D82" w:rsidRDefault="002947E5" w:rsidP="002947E5">
            <w:pPr>
              <w:spacing w:after="0"/>
              <w:rPr>
                <w:rFonts w:cs="Segoe UI Light"/>
                <w:sz w:val="18"/>
              </w:rPr>
            </w:pPr>
            <w:r w:rsidRPr="000D7D82">
              <w:rPr>
                <w:rFonts w:cs="Segoe UI Light"/>
                <w:sz w:val="18"/>
              </w:rPr>
              <w:t>Flat fee - 6.21 fee units</w:t>
            </w:r>
            <w:r w:rsidRPr="000D7D82" w:rsidDel="00F63EC0">
              <w:rPr>
                <w:rFonts w:cs="Segoe UI Light"/>
                <w:sz w:val="18"/>
              </w:rPr>
              <w:t xml:space="preserve"> </w:t>
            </w:r>
          </w:p>
        </w:tc>
        <w:tc>
          <w:tcPr>
            <w:tcW w:w="635" w:type="pct"/>
            <w:gridSpan w:val="2"/>
            <w:tcBorders>
              <w:top w:val="single" w:sz="4" w:space="0" w:color="auto"/>
              <w:bottom w:val="single" w:sz="4" w:space="0" w:color="auto"/>
            </w:tcBorders>
          </w:tcPr>
          <w:p w14:paraId="656B1BFC" w14:textId="77777777" w:rsidR="002947E5" w:rsidRPr="000D7D82" w:rsidRDefault="002947E5" w:rsidP="002947E5">
            <w:pPr>
              <w:spacing w:after="0"/>
              <w:rPr>
                <w:rFonts w:cs="Segoe UI Light"/>
                <w:sz w:val="18"/>
              </w:rPr>
            </w:pPr>
            <w:r w:rsidRPr="000D7D82">
              <w:rPr>
                <w:rFonts w:cs="Segoe UI Light"/>
                <w:sz w:val="18"/>
              </w:rPr>
              <w:t xml:space="preserve">$89.73 </w:t>
            </w:r>
          </w:p>
        </w:tc>
        <w:tc>
          <w:tcPr>
            <w:tcW w:w="464" w:type="pct"/>
            <w:tcBorders>
              <w:top w:val="single" w:sz="4" w:space="0" w:color="auto"/>
              <w:bottom w:val="single" w:sz="4" w:space="0" w:color="auto"/>
            </w:tcBorders>
          </w:tcPr>
          <w:p w14:paraId="656B1BFD" w14:textId="3DFFB811" w:rsidR="002947E5" w:rsidRPr="000D7D82" w:rsidRDefault="00095872" w:rsidP="002947E5">
            <w:pPr>
              <w:spacing w:after="0"/>
              <w:rPr>
                <w:rFonts w:cs="Segoe UI Light"/>
                <w:sz w:val="18"/>
              </w:rPr>
            </w:pPr>
            <w:r w:rsidRPr="000D7D82">
              <w:rPr>
                <w:rFonts w:cs="Segoe UI Light"/>
                <w:sz w:val="18"/>
              </w:rPr>
              <w:t>-39.7%</w:t>
            </w:r>
          </w:p>
        </w:tc>
      </w:tr>
      <w:tr w:rsidR="00BA63D4" w:rsidRPr="000D7D82" w14:paraId="656B1C08" w14:textId="77777777" w:rsidTr="00BB3356">
        <w:trPr>
          <w:cantSplit/>
          <w:trHeight w:val="216"/>
          <w:jc w:val="center"/>
        </w:trPr>
        <w:tc>
          <w:tcPr>
            <w:tcW w:w="461" w:type="pct"/>
            <w:tcBorders>
              <w:top w:val="single" w:sz="4" w:space="0" w:color="auto"/>
              <w:bottom w:val="single" w:sz="4" w:space="0" w:color="auto"/>
            </w:tcBorders>
          </w:tcPr>
          <w:p w14:paraId="656B1BFF" w14:textId="77777777" w:rsidR="00BA63D4" w:rsidRPr="000D7D82" w:rsidRDefault="00BA63D4" w:rsidP="00BA63D4">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00" w14:textId="77777777" w:rsidR="00BA63D4" w:rsidRPr="000D7D82" w:rsidRDefault="00BA63D4" w:rsidP="00BA63D4">
            <w:pPr>
              <w:spacing w:after="0"/>
              <w:rPr>
                <w:rFonts w:cs="Segoe UI Light"/>
                <w:sz w:val="18"/>
              </w:rPr>
            </w:pPr>
            <w:r w:rsidRPr="000D7D82">
              <w:rPr>
                <w:rFonts w:cs="Segoe UI Light"/>
                <w:sz w:val="18"/>
              </w:rPr>
              <w:t>Application</w:t>
            </w:r>
          </w:p>
        </w:tc>
        <w:tc>
          <w:tcPr>
            <w:tcW w:w="772" w:type="pct"/>
            <w:tcBorders>
              <w:top w:val="single" w:sz="4" w:space="0" w:color="auto"/>
              <w:bottom w:val="single" w:sz="4" w:space="0" w:color="auto"/>
            </w:tcBorders>
          </w:tcPr>
          <w:p w14:paraId="656B1C01" w14:textId="7E60766B" w:rsidR="00BA63D4" w:rsidRPr="000D7D82" w:rsidRDefault="00BA63D4" w:rsidP="00BA63D4">
            <w:pPr>
              <w:spacing w:after="0"/>
              <w:rPr>
                <w:rFonts w:cs="Segoe UI Light"/>
                <w:sz w:val="18"/>
              </w:rPr>
            </w:pPr>
            <w:r w:rsidRPr="000D7D82">
              <w:rPr>
                <w:rFonts w:cs="Segoe UI Light"/>
                <w:sz w:val="18"/>
              </w:rPr>
              <w:t>Reportable priority waste transport (</w:t>
            </w:r>
            <w:r w:rsidR="008E7A22">
              <w:rPr>
                <w:rFonts w:cs="Segoe UI Light"/>
                <w:sz w:val="18"/>
              </w:rPr>
              <w:t>temporary</w:t>
            </w:r>
            <w:r w:rsidRPr="000D7D82">
              <w:rPr>
                <w:rFonts w:cs="Segoe UI Light"/>
                <w:sz w:val="18"/>
              </w:rPr>
              <w:t xml:space="preserve"> permit) [30 tonnes or more (R100, K100, K120, K200, T130)</w:t>
            </w:r>
          </w:p>
        </w:tc>
        <w:tc>
          <w:tcPr>
            <w:tcW w:w="885" w:type="pct"/>
            <w:tcBorders>
              <w:top w:val="single" w:sz="4" w:space="0" w:color="auto"/>
              <w:bottom w:val="single" w:sz="4" w:space="0" w:color="auto"/>
            </w:tcBorders>
          </w:tcPr>
          <w:p w14:paraId="656B1C02" w14:textId="408A624D" w:rsidR="00BA63D4" w:rsidRPr="000D7D82" w:rsidRDefault="00BA63D4" w:rsidP="00BA63D4">
            <w:pPr>
              <w:pStyle w:val="CommentText"/>
              <w:rPr>
                <w:rFonts w:cs="Segoe UI Light"/>
                <w:sz w:val="18"/>
                <w:szCs w:val="18"/>
              </w:rPr>
            </w:pPr>
            <w:r w:rsidRPr="000D7D82">
              <w:rPr>
                <w:rFonts w:cs="Segoe UI Light"/>
                <w:sz w:val="18"/>
              </w:rPr>
              <w:t>Greater of 25% of the application fee or a flat fee of 10.3 fee units.</w:t>
            </w:r>
          </w:p>
        </w:tc>
        <w:tc>
          <w:tcPr>
            <w:tcW w:w="572" w:type="pct"/>
            <w:tcBorders>
              <w:top w:val="single" w:sz="4" w:space="0" w:color="auto"/>
              <w:bottom w:val="single" w:sz="4" w:space="0" w:color="auto"/>
            </w:tcBorders>
          </w:tcPr>
          <w:p w14:paraId="656B1C03" w14:textId="77777777" w:rsidR="00BA63D4" w:rsidRPr="000D7D82" w:rsidRDefault="00BA63D4" w:rsidP="00BA63D4">
            <w:pPr>
              <w:spacing w:after="0"/>
              <w:rPr>
                <w:rFonts w:cs="Segoe UI Light"/>
                <w:sz w:val="18"/>
              </w:rPr>
            </w:pPr>
            <w:r w:rsidRPr="000D7D82">
              <w:rPr>
                <w:rFonts w:cs="Segoe UI Light"/>
                <w:sz w:val="18"/>
              </w:rPr>
              <w:t>25.75 fee units:</w:t>
            </w:r>
          </w:p>
          <w:p w14:paraId="656B1C04" w14:textId="17E9F533" w:rsidR="00BA63D4" w:rsidRPr="000D7D82" w:rsidRDefault="00BA63D4" w:rsidP="00BA63D4">
            <w:pPr>
              <w:spacing w:after="0"/>
              <w:rPr>
                <w:rFonts w:cs="Segoe UI Light"/>
                <w:sz w:val="18"/>
              </w:rPr>
            </w:pPr>
            <w:r w:rsidRPr="000D7D82">
              <w:rPr>
                <w:rFonts w:cs="Segoe UI Light"/>
                <w:sz w:val="18"/>
              </w:rPr>
              <w:t>$372.09</w:t>
            </w:r>
          </w:p>
        </w:tc>
        <w:tc>
          <w:tcPr>
            <w:tcW w:w="780" w:type="pct"/>
            <w:tcBorders>
              <w:top w:val="single" w:sz="4" w:space="0" w:color="auto"/>
              <w:bottom w:val="single" w:sz="4" w:space="0" w:color="auto"/>
            </w:tcBorders>
          </w:tcPr>
          <w:p w14:paraId="656B1C05" w14:textId="77777777" w:rsidR="00BA63D4" w:rsidRPr="000D7D82" w:rsidRDefault="00BA63D4" w:rsidP="00BA63D4">
            <w:pPr>
              <w:spacing w:after="0"/>
              <w:rPr>
                <w:rFonts w:cs="Segoe UI Light"/>
                <w:sz w:val="18"/>
              </w:rPr>
            </w:pPr>
            <w:r w:rsidRPr="000D7D82">
              <w:rPr>
                <w:rFonts w:cs="Segoe UI Light"/>
                <w:sz w:val="18"/>
              </w:rPr>
              <w:t>Flat fee - 6.21 fee units</w:t>
            </w:r>
            <w:r w:rsidRPr="000D7D82" w:rsidDel="00F63EC0">
              <w:rPr>
                <w:rFonts w:cs="Segoe UI Light"/>
                <w:sz w:val="18"/>
              </w:rPr>
              <w:t xml:space="preserve"> </w:t>
            </w:r>
          </w:p>
        </w:tc>
        <w:tc>
          <w:tcPr>
            <w:tcW w:w="635" w:type="pct"/>
            <w:gridSpan w:val="2"/>
            <w:tcBorders>
              <w:top w:val="single" w:sz="4" w:space="0" w:color="auto"/>
              <w:bottom w:val="single" w:sz="4" w:space="0" w:color="auto"/>
            </w:tcBorders>
          </w:tcPr>
          <w:p w14:paraId="656B1C06" w14:textId="77777777" w:rsidR="00BA63D4" w:rsidRPr="000D7D82" w:rsidRDefault="00BA63D4" w:rsidP="00BA63D4">
            <w:pPr>
              <w:spacing w:after="0"/>
              <w:rPr>
                <w:rFonts w:cs="Segoe UI Light"/>
                <w:sz w:val="18"/>
              </w:rPr>
            </w:pPr>
            <w:r w:rsidRPr="000D7D82">
              <w:rPr>
                <w:rFonts w:cs="Segoe UI Light"/>
                <w:sz w:val="18"/>
              </w:rPr>
              <w:t xml:space="preserve">$89.73 </w:t>
            </w:r>
          </w:p>
        </w:tc>
        <w:tc>
          <w:tcPr>
            <w:tcW w:w="464" w:type="pct"/>
            <w:tcBorders>
              <w:top w:val="single" w:sz="4" w:space="0" w:color="auto"/>
              <w:bottom w:val="single" w:sz="4" w:space="0" w:color="auto"/>
            </w:tcBorders>
          </w:tcPr>
          <w:p w14:paraId="656B1C07" w14:textId="16453EC4" w:rsidR="00BA63D4" w:rsidRPr="000D7D82" w:rsidRDefault="00095872" w:rsidP="00BA63D4">
            <w:pPr>
              <w:spacing w:after="0"/>
              <w:rPr>
                <w:rFonts w:cs="Segoe UI Light"/>
                <w:sz w:val="18"/>
              </w:rPr>
            </w:pPr>
            <w:r w:rsidRPr="000D7D82">
              <w:rPr>
                <w:rFonts w:cs="Segoe UI Light"/>
                <w:sz w:val="18"/>
              </w:rPr>
              <w:t>-75.9%</w:t>
            </w:r>
          </w:p>
        </w:tc>
      </w:tr>
      <w:tr w:rsidR="00BA63D4" w:rsidRPr="000D7D82" w14:paraId="656B1C12" w14:textId="77777777" w:rsidTr="00BB3356">
        <w:trPr>
          <w:cantSplit/>
          <w:trHeight w:val="216"/>
          <w:jc w:val="center"/>
        </w:trPr>
        <w:tc>
          <w:tcPr>
            <w:tcW w:w="461" w:type="pct"/>
            <w:tcBorders>
              <w:top w:val="single" w:sz="4" w:space="0" w:color="auto"/>
              <w:bottom w:val="single" w:sz="4" w:space="0" w:color="auto"/>
            </w:tcBorders>
          </w:tcPr>
          <w:p w14:paraId="656B1C09" w14:textId="77777777" w:rsidR="00BA63D4" w:rsidRPr="000D7D82" w:rsidRDefault="00BA63D4" w:rsidP="00BA63D4">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0A" w14:textId="77777777" w:rsidR="00BA63D4" w:rsidRPr="000D7D82" w:rsidRDefault="00BA63D4" w:rsidP="00BA63D4">
            <w:pPr>
              <w:spacing w:after="0"/>
              <w:rPr>
                <w:rFonts w:cs="Segoe UI Light"/>
                <w:sz w:val="18"/>
              </w:rPr>
            </w:pPr>
            <w:r w:rsidRPr="000D7D82">
              <w:rPr>
                <w:rFonts w:cs="Segoe UI Light"/>
                <w:sz w:val="18"/>
              </w:rPr>
              <w:t>Application</w:t>
            </w:r>
          </w:p>
        </w:tc>
        <w:tc>
          <w:tcPr>
            <w:tcW w:w="772" w:type="pct"/>
            <w:tcBorders>
              <w:top w:val="single" w:sz="4" w:space="0" w:color="auto"/>
              <w:bottom w:val="single" w:sz="4" w:space="0" w:color="auto"/>
            </w:tcBorders>
          </w:tcPr>
          <w:p w14:paraId="656B1C0B" w14:textId="55ABE19A" w:rsidR="00BA63D4" w:rsidRPr="000D7D82" w:rsidRDefault="00BA63D4" w:rsidP="00BA63D4">
            <w:pPr>
              <w:spacing w:after="0"/>
              <w:rPr>
                <w:rFonts w:cs="Segoe UI Light"/>
                <w:sz w:val="18"/>
              </w:rPr>
            </w:pPr>
            <w:r w:rsidRPr="000D7D82">
              <w:rPr>
                <w:rFonts w:cs="Segoe UI Light"/>
                <w:sz w:val="18"/>
              </w:rPr>
              <w:t>Reportable priority waste transport (</w:t>
            </w:r>
            <w:r w:rsidR="008E7A22">
              <w:rPr>
                <w:rFonts w:cs="Segoe UI Light"/>
                <w:sz w:val="18"/>
              </w:rPr>
              <w:t>temporary</w:t>
            </w:r>
            <w:r w:rsidRPr="000D7D82">
              <w:rPr>
                <w:rFonts w:cs="Segoe UI Light"/>
                <w:sz w:val="18"/>
              </w:rPr>
              <w:t xml:space="preserve"> permit) [equal to or more than 1.5 tonnes but less than 30 tonnes (all other waste codes)]</w:t>
            </w:r>
          </w:p>
        </w:tc>
        <w:tc>
          <w:tcPr>
            <w:tcW w:w="885" w:type="pct"/>
            <w:tcBorders>
              <w:top w:val="single" w:sz="4" w:space="0" w:color="auto"/>
              <w:bottom w:val="single" w:sz="4" w:space="0" w:color="auto"/>
            </w:tcBorders>
          </w:tcPr>
          <w:p w14:paraId="656B1C0C" w14:textId="4597F883" w:rsidR="00BA63D4" w:rsidRPr="000D7D82" w:rsidRDefault="00BA63D4" w:rsidP="00BA63D4">
            <w:pPr>
              <w:pStyle w:val="CommentText"/>
              <w:rPr>
                <w:rFonts w:cs="Segoe UI Light"/>
                <w:sz w:val="18"/>
                <w:szCs w:val="18"/>
              </w:rPr>
            </w:pPr>
            <w:r w:rsidRPr="000D7D82">
              <w:rPr>
                <w:rFonts w:cs="Segoe UI Light"/>
                <w:sz w:val="18"/>
              </w:rPr>
              <w:t>Greater of 25% of the application fee or a flat fee of 10.3 fee units.</w:t>
            </w:r>
          </w:p>
        </w:tc>
        <w:tc>
          <w:tcPr>
            <w:tcW w:w="572" w:type="pct"/>
            <w:tcBorders>
              <w:top w:val="single" w:sz="4" w:space="0" w:color="auto"/>
              <w:bottom w:val="single" w:sz="4" w:space="0" w:color="auto"/>
            </w:tcBorders>
          </w:tcPr>
          <w:p w14:paraId="656B1C0D" w14:textId="77777777" w:rsidR="00BA63D4" w:rsidRPr="000D7D82" w:rsidRDefault="00BA63D4" w:rsidP="00BA63D4">
            <w:pPr>
              <w:spacing w:after="0"/>
              <w:rPr>
                <w:rFonts w:cs="Segoe UI Light"/>
                <w:sz w:val="18"/>
              </w:rPr>
            </w:pPr>
            <w:r w:rsidRPr="000D7D82">
              <w:rPr>
                <w:rFonts w:cs="Segoe UI Light"/>
                <w:sz w:val="18"/>
              </w:rPr>
              <w:t>10.3 fee units:</w:t>
            </w:r>
          </w:p>
          <w:p w14:paraId="656B1C0E" w14:textId="72258497" w:rsidR="00BA63D4" w:rsidRPr="000D7D82" w:rsidRDefault="00BA63D4" w:rsidP="00BA63D4">
            <w:pPr>
              <w:spacing w:after="0"/>
              <w:rPr>
                <w:rFonts w:cs="Segoe UI Light"/>
                <w:sz w:val="18"/>
              </w:rPr>
            </w:pPr>
            <w:r w:rsidRPr="000D7D82">
              <w:rPr>
                <w:rFonts w:cs="Segoe UI Light"/>
                <w:sz w:val="18"/>
              </w:rPr>
              <w:t>$148.84</w:t>
            </w:r>
          </w:p>
        </w:tc>
        <w:tc>
          <w:tcPr>
            <w:tcW w:w="780" w:type="pct"/>
            <w:tcBorders>
              <w:top w:val="single" w:sz="4" w:space="0" w:color="auto"/>
              <w:bottom w:val="single" w:sz="4" w:space="0" w:color="auto"/>
            </w:tcBorders>
          </w:tcPr>
          <w:p w14:paraId="656B1C0F" w14:textId="77777777" w:rsidR="00BA63D4" w:rsidRPr="000D7D82" w:rsidRDefault="00BA63D4" w:rsidP="00BA63D4">
            <w:pPr>
              <w:spacing w:after="0"/>
              <w:rPr>
                <w:rFonts w:cs="Segoe UI Light"/>
                <w:sz w:val="18"/>
              </w:rPr>
            </w:pPr>
            <w:r w:rsidRPr="000D7D82">
              <w:rPr>
                <w:rFonts w:cs="Segoe UI Light"/>
                <w:sz w:val="18"/>
              </w:rPr>
              <w:t>Flat fee - 6.21 fee units</w:t>
            </w:r>
            <w:r w:rsidRPr="000D7D82" w:rsidDel="00F63EC0">
              <w:rPr>
                <w:rFonts w:cs="Segoe UI Light"/>
                <w:sz w:val="18"/>
              </w:rPr>
              <w:t xml:space="preserve"> </w:t>
            </w:r>
          </w:p>
        </w:tc>
        <w:tc>
          <w:tcPr>
            <w:tcW w:w="635" w:type="pct"/>
            <w:gridSpan w:val="2"/>
            <w:tcBorders>
              <w:top w:val="single" w:sz="4" w:space="0" w:color="auto"/>
              <w:bottom w:val="single" w:sz="4" w:space="0" w:color="auto"/>
            </w:tcBorders>
          </w:tcPr>
          <w:p w14:paraId="656B1C10" w14:textId="77777777" w:rsidR="00BA63D4" w:rsidRPr="000D7D82" w:rsidRDefault="00BA63D4" w:rsidP="00BA63D4">
            <w:pPr>
              <w:spacing w:after="0"/>
              <w:rPr>
                <w:rFonts w:cs="Segoe UI Light"/>
                <w:sz w:val="18"/>
              </w:rPr>
            </w:pPr>
            <w:r w:rsidRPr="000D7D82">
              <w:rPr>
                <w:rFonts w:cs="Segoe UI Light"/>
                <w:sz w:val="18"/>
              </w:rPr>
              <w:t xml:space="preserve">$89.73 </w:t>
            </w:r>
          </w:p>
        </w:tc>
        <w:tc>
          <w:tcPr>
            <w:tcW w:w="464" w:type="pct"/>
            <w:tcBorders>
              <w:top w:val="single" w:sz="4" w:space="0" w:color="auto"/>
              <w:bottom w:val="single" w:sz="4" w:space="0" w:color="auto"/>
            </w:tcBorders>
          </w:tcPr>
          <w:p w14:paraId="656B1C11" w14:textId="77777777" w:rsidR="00BA63D4" w:rsidRPr="000D7D82" w:rsidRDefault="00095872" w:rsidP="00BA63D4">
            <w:pPr>
              <w:spacing w:after="0"/>
              <w:rPr>
                <w:rFonts w:cs="Segoe UI Light"/>
                <w:sz w:val="18"/>
              </w:rPr>
            </w:pPr>
            <w:r w:rsidRPr="000D7D82">
              <w:rPr>
                <w:rFonts w:cs="Segoe UI Light"/>
                <w:sz w:val="18"/>
              </w:rPr>
              <w:t>-39.7%</w:t>
            </w:r>
          </w:p>
        </w:tc>
      </w:tr>
      <w:tr w:rsidR="00BA63D4" w:rsidRPr="000D7D82" w14:paraId="656B1C1B" w14:textId="77777777" w:rsidTr="00BB3356">
        <w:trPr>
          <w:cantSplit/>
          <w:trHeight w:val="216"/>
          <w:jc w:val="center"/>
        </w:trPr>
        <w:tc>
          <w:tcPr>
            <w:tcW w:w="461" w:type="pct"/>
            <w:tcBorders>
              <w:top w:val="single" w:sz="4" w:space="0" w:color="auto"/>
              <w:bottom w:val="single" w:sz="4" w:space="0" w:color="auto"/>
            </w:tcBorders>
          </w:tcPr>
          <w:p w14:paraId="656B1C13" w14:textId="77777777" w:rsidR="00BA63D4" w:rsidRPr="000D7D82" w:rsidRDefault="00BA63D4" w:rsidP="00BA63D4">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14" w14:textId="77777777" w:rsidR="00BA63D4" w:rsidRPr="000D7D82" w:rsidRDefault="00BA63D4" w:rsidP="00BA63D4">
            <w:pPr>
              <w:spacing w:after="0"/>
              <w:rPr>
                <w:rFonts w:cs="Segoe UI Light"/>
                <w:sz w:val="18"/>
              </w:rPr>
            </w:pPr>
            <w:r w:rsidRPr="000D7D82">
              <w:rPr>
                <w:rFonts w:cs="Segoe UI Light"/>
                <w:sz w:val="18"/>
              </w:rPr>
              <w:t>Application</w:t>
            </w:r>
          </w:p>
        </w:tc>
        <w:tc>
          <w:tcPr>
            <w:tcW w:w="772" w:type="pct"/>
            <w:tcBorders>
              <w:top w:val="single" w:sz="4" w:space="0" w:color="auto"/>
              <w:bottom w:val="single" w:sz="4" w:space="0" w:color="auto"/>
            </w:tcBorders>
          </w:tcPr>
          <w:p w14:paraId="656B1C15" w14:textId="3DFABF2A" w:rsidR="00BA63D4" w:rsidRPr="000D7D82" w:rsidRDefault="00BA63D4" w:rsidP="00BA63D4">
            <w:pPr>
              <w:spacing w:after="0"/>
              <w:rPr>
                <w:rFonts w:cs="Segoe UI Light"/>
                <w:sz w:val="18"/>
              </w:rPr>
            </w:pPr>
            <w:r w:rsidRPr="000D7D82">
              <w:rPr>
                <w:rFonts w:cs="Segoe UI Light"/>
                <w:sz w:val="18"/>
              </w:rPr>
              <w:t>Reportable priority waste transport (</w:t>
            </w:r>
            <w:r w:rsidR="008E7A22">
              <w:rPr>
                <w:rFonts w:cs="Segoe UI Light"/>
                <w:sz w:val="18"/>
              </w:rPr>
              <w:t>temporary</w:t>
            </w:r>
            <w:r w:rsidRPr="000D7D82">
              <w:rPr>
                <w:rFonts w:cs="Segoe UI Light"/>
                <w:sz w:val="18"/>
              </w:rPr>
              <w:t xml:space="preserve"> permit) [equal to or more than 1.5 tonnes but less than 30 tonnes (all other waste codes)</w:t>
            </w:r>
          </w:p>
        </w:tc>
        <w:tc>
          <w:tcPr>
            <w:tcW w:w="885" w:type="pct"/>
            <w:tcBorders>
              <w:top w:val="single" w:sz="4" w:space="0" w:color="auto"/>
              <w:bottom w:val="single" w:sz="4" w:space="0" w:color="auto"/>
            </w:tcBorders>
          </w:tcPr>
          <w:p w14:paraId="656B1C16" w14:textId="0ABB049B" w:rsidR="00BA63D4" w:rsidRPr="000D7D82" w:rsidRDefault="00BA63D4" w:rsidP="00BA63D4">
            <w:pPr>
              <w:pStyle w:val="CommentText"/>
              <w:rPr>
                <w:rFonts w:cs="Segoe UI Light"/>
                <w:sz w:val="18"/>
                <w:szCs w:val="18"/>
              </w:rPr>
            </w:pPr>
            <w:r w:rsidRPr="000D7D82">
              <w:rPr>
                <w:rFonts w:cs="Segoe UI Light"/>
                <w:sz w:val="18"/>
              </w:rPr>
              <w:t>Greater of 25% of the application fee or a flat fee of 10.3 fee units.</w:t>
            </w:r>
          </w:p>
        </w:tc>
        <w:tc>
          <w:tcPr>
            <w:tcW w:w="572" w:type="pct"/>
            <w:tcBorders>
              <w:top w:val="single" w:sz="4" w:space="0" w:color="auto"/>
              <w:bottom w:val="single" w:sz="4" w:space="0" w:color="auto"/>
            </w:tcBorders>
          </w:tcPr>
          <w:p w14:paraId="656B1C17" w14:textId="77777777" w:rsidR="00BA63D4" w:rsidRPr="000D7D82" w:rsidRDefault="00BA63D4" w:rsidP="00BA63D4">
            <w:pPr>
              <w:pStyle w:val="CommentText"/>
              <w:rPr>
                <w:rFonts w:cs="Segoe UI Light"/>
                <w:sz w:val="18"/>
                <w:szCs w:val="18"/>
              </w:rPr>
            </w:pPr>
            <w:r w:rsidRPr="000D7D82">
              <w:rPr>
                <w:rFonts w:cs="Segoe UI Light"/>
                <w:sz w:val="18"/>
                <w:szCs w:val="18"/>
              </w:rPr>
              <w:t>12.25 fee units: $177.01</w:t>
            </w:r>
          </w:p>
        </w:tc>
        <w:tc>
          <w:tcPr>
            <w:tcW w:w="780" w:type="pct"/>
            <w:tcBorders>
              <w:top w:val="single" w:sz="4" w:space="0" w:color="auto"/>
              <w:bottom w:val="single" w:sz="4" w:space="0" w:color="auto"/>
            </w:tcBorders>
          </w:tcPr>
          <w:p w14:paraId="656B1C18" w14:textId="77777777" w:rsidR="00BA63D4" w:rsidRPr="000D7D82" w:rsidRDefault="00BA63D4" w:rsidP="00BA63D4">
            <w:pPr>
              <w:spacing w:after="0"/>
              <w:rPr>
                <w:rFonts w:cs="Segoe UI Light"/>
                <w:sz w:val="18"/>
              </w:rPr>
            </w:pPr>
            <w:r w:rsidRPr="000D7D82">
              <w:rPr>
                <w:rFonts w:cs="Segoe UI Light"/>
                <w:sz w:val="18"/>
              </w:rPr>
              <w:t>Flat fee - 6.21 fee units</w:t>
            </w:r>
            <w:r w:rsidRPr="000D7D82" w:rsidDel="00F63EC0">
              <w:rPr>
                <w:rFonts w:cs="Segoe UI Light"/>
                <w:sz w:val="18"/>
              </w:rPr>
              <w:t xml:space="preserve"> </w:t>
            </w:r>
          </w:p>
        </w:tc>
        <w:tc>
          <w:tcPr>
            <w:tcW w:w="635" w:type="pct"/>
            <w:gridSpan w:val="2"/>
            <w:tcBorders>
              <w:top w:val="single" w:sz="4" w:space="0" w:color="auto"/>
              <w:bottom w:val="single" w:sz="4" w:space="0" w:color="auto"/>
            </w:tcBorders>
          </w:tcPr>
          <w:p w14:paraId="656B1C19" w14:textId="77777777" w:rsidR="00BA63D4" w:rsidRPr="000D7D82" w:rsidRDefault="00BA63D4" w:rsidP="00BA63D4">
            <w:pPr>
              <w:spacing w:after="0"/>
              <w:rPr>
                <w:rFonts w:cs="Segoe UI Light"/>
                <w:sz w:val="18"/>
              </w:rPr>
            </w:pPr>
            <w:r w:rsidRPr="000D7D82">
              <w:rPr>
                <w:rFonts w:cs="Segoe UI Light"/>
                <w:sz w:val="18"/>
              </w:rPr>
              <w:t xml:space="preserve">$89.73 </w:t>
            </w:r>
          </w:p>
        </w:tc>
        <w:tc>
          <w:tcPr>
            <w:tcW w:w="464" w:type="pct"/>
            <w:tcBorders>
              <w:top w:val="single" w:sz="4" w:space="0" w:color="auto"/>
              <w:bottom w:val="single" w:sz="4" w:space="0" w:color="auto"/>
            </w:tcBorders>
          </w:tcPr>
          <w:p w14:paraId="656B1C1A" w14:textId="77777777" w:rsidR="00BA63D4" w:rsidRPr="000D7D82" w:rsidRDefault="00095872" w:rsidP="00BA63D4">
            <w:pPr>
              <w:spacing w:after="0"/>
              <w:rPr>
                <w:rFonts w:cs="Segoe UI Light"/>
                <w:sz w:val="18"/>
              </w:rPr>
            </w:pPr>
            <w:r w:rsidRPr="000D7D82">
              <w:rPr>
                <w:rFonts w:cs="Segoe UI Light"/>
                <w:sz w:val="18"/>
              </w:rPr>
              <w:t>-49.3%</w:t>
            </w:r>
          </w:p>
        </w:tc>
      </w:tr>
      <w:tr w:rsidR="00BA63D4" w:rsidRPr="000D7D82" w14:paraId="656B1C25" w14:textId="77777777" w:rsidTr="00BB3356">
        <w:trPr>
          <w:cantSplit/>
          <w:trHeight w:val="216"/>
          <w:jc w:val="center"/>
        </w:trPr>
        <w:tc>
          <w:tcPr>
            <w:tcW w:w="461" w:type="pct"/>
            <w:tcBorders>
              <w:top w:val="single" w:sz="4" w:space="0" w:color="auto"/>
              <w:bottom w:val="single" w:sz="4" w:space="0" w:color="auto"/>
            </w:tcBorders>
          </w:tcPr>
          <w:p w14:paraId="656B1C1C" w14:textId="77777777" w:rsidR="00BA63D4" w:rsidRPr="000D7D82" w:rsidRDefault="00BA63D4" w:rsidP="00BA63D4">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1D" w14:textId="77777777" w:rsidR="00BA63D4" w:rsidRPr="000D7D82" w:rsidRDefault="00BA63D4" w:rsidP="00BA63D4">
            <w:pPr>
              <w:spacing w:after="0"/>
              <w:rPr>
                <w:rFonts w:cs="Segoe UI Light"/>
                <w:sz w:val="18"/>
              </w:rPr>
            </w:pPr>
            <w:r w:rsidRPr="000D7D82">
              <w:rPr>
                <w:rFonts w:cs="Segoe UI Light"/>
                <w:sz w:val="18"/>
              </w:rPr>
              <w:t>Application</w:t>
            </w:r>
          </w:p>
        </w:tc>
        <w:tc>
          <w:tcPr>
            <w:tcW w:w="772" w:type="pct"/>
            <w:tcBorders>
              <w:top w:val="single" w:sz="4" w:space="0" w:color="auto"/>
              <w:bottom w:val="single" w:sz="4" w:space="0" w:color="auto"/>
            </w:tcBorders>
          </w:tcPr>
          <w:p w14:paraId="656B1C1E" w14:textId="57848F83" w:rsidR="00BA63D4" w:rsidRPr="000D7D82" w:rsidRDefault="00BA63D4" w:rsidP="00BA63D4">
            <w:pPr>
              <w:spacing w:after="0"/>
              <w:rPr>
                <w:rFonts w:cs="Segoe UI Light"/>
                <w:sz w:val="18"/>
              </w:rPr>
            </w:pPr>
            <w:r w:rsidRPr="000D7D82">
              <w:rPr>
                <w:rFonts w:cs="Segoe UI Light"/>
                <w:sz w:val="18"/>
              </w:rPr>
              <w:t>Reportable priority waste transport (</w:t>
            </w:r>
            <w:r w:rsidR="008E7A22">
              <w:rPr>
                <w:rFonts w:cs="Segoe UI Light"/>
                <w:sz w:val="18"/>
              </w:rPr>
              <w:t>temporary</w:t>
            </w:r>
            <w:r w:rsidRPr="000D7D82">
              <w:rPr>
                <w:rFonts w:cs="Segoe UI Light"/>
                <w:sz w:val="18"/>
              </w:rPr>
              <w:t xml:space="preserve"> permit) [30 tonnes or more (all other waste codes)]</w:t>
            </w:r>
          </w:p>
        </w:tc>
        <w:tc>
          <w:tcPr>
            <w:tcW w:w="885" w:type="pct"/>
            <w:tcBorders>
              <w:top w:val="single" w:sz="4" w:space="0" w:color="auto"/>
              <w:bottom w:val="single" w:sz="4" w:space="0" w:color="auto"/>
            </w:tcBorders>
          </w:tcPr>
          <w:p w14:paraId="656B1C1F" w14:textId="43AC5A71" w:rsidR="00BA63D4" w:rsidRPr="000D7D82" w:rsidRDefault="00BA63D4" w:rsidP="00BA63D4">
            <w:pPr>
              <w:pStyle w:val="CommentText"/>
              <w:rPr>
                <w:rFonts w:cs="Segoe UI Light"/>
                <w:sz w:val="18"/>
                <w:szCs w:val="18"/>
              </w:rPr>
            </w:pPr>
            <w:r w:rsidRPr="000D7D82">
              <w:rPr>
                <w:rFonts w:cs="Segoe UI Light"/>
                <w:sz w:val="18"/>
              </w:rPr>
              <w:t>Greater of 25% of the application fee or a flat fee of 10.3 fee units.</w:t>
            </w:r>
          </w:p>
        </w:tc>
        <w:tc>
          <w:tcPr>
            <w:tcW w:w="572" w:type="pct"/>
            <w:tcBorders>
              <w:top w:val="single" w:sz="4" w:space="0" w:color="auto"/>
              <w:bottom w:val="single" w:sz="4" w:space="0" w:color="auto"/>
            </w:tcBorders>
          </w:tcPr>
          <w:p w14:paraId="656B1C20" w14:textId="77777777" w:rsidR="00BA63D4" w:rsidRPr="000D7D82" w:rsidRDefault="00BA63D4" w:rsidP="00BB3356">
            <w:pPr>
              <w:pStyle w:val="CommentText"/>
              <w:spacing w:after="0"/>
              <w:rPr>
                <w:rFonts w:cs="Segoe UI Light"/>
                <w:sz w:val="18"/>
                <w:szCs w:val="18"/>
              </w:rPr>
            </w:pPr>
            <w:r w:rsidRPr="000D7D82">
              <w:rPr>
                <w:rFonts w:cs="Segoe UI Light"/>
                <w:sz w:val="18"/>
                <w:szCs w:val="18"/>
              </w:rPr>
              <w:t xml:space="preserve">35.5 fee units: </w:t>
            </w:r>
          </w:p>
          <w:p w14:paraId="656B1C21" w14:textId="77777777" w:rsidR="00BA63D4" w:rsidRPr="000D7D82" w:rsidRDefault="00BA63D4" w:rsidP="00BB3356">
            <w:pPr>
              <w:pStyle w:val="CommentText"/>
              <w:spacing w:after="0"/>
              <w:rPr>
                <w:rFonts w:cs="Segoe UI Light"/>
                <w:sz w:val="18"/>
                <w:szCs w:val="18"/>
              </w:rPr>
            </w:pPr>
            <w:r w:rsidRPr="000D7D82">
              <w:rPr>
                <w:rFonts w:cs="Segoe UI Light"/>
                <w:sz w:val="18"/>
                <w:szCs w:val="18"/>
              </w:rPr>
              <w:t>$512.98</w:t>
            </w:r>
          </w:p>
        </w:tc>
        <w:tc>
          <w:tcPr>
            <w:tcW w:w="780" w:type="pct"/>
            <w:tcBorders>
              <w:top w:val="single" w:sz="4" w:space="0" w:color="auto"/>
              <w:bottom w:val="single" w:sz="4" w:space="0" w:color="auto"/>
            </w:tcBorders>
          </w:tcPr>
          <w:p w14:paraId="656B1C22" w14:textId="77777777" w:rsidR="00BA63D4" w:rsidRPr="000D7D82" w:rsidRDefault="00BA63D4" w:rsidP="00BA63D4">
            <w:pPr>
              <w:spacing w:after="0"/>
              <w:rPr>
                <w:rFonts w:cs="Segoe UI Light"/>
                <w:sz w:val="18"/>
              </w:rPr>
            </w:pPr>
            <w:r w:rsidRPr="000D7D82">
              <w:rPr>
                <w:rFonts w:cs="Segoe UI Light"/>
                <w:sz w:val="18"/>
              </w:rPr>
              <w:t>Flat fee - 6.21 fee units</w:t>
            </w:r>
            <w:r w:rsidRPr="000D7D82" w:rsidDel="00F63EC0">
              <w:rPr>
                <w:rFonts w:cs="Segoe UI Light"/>
                <w:sz w:val="18"/>
              </w:rPr>
              <w:t xml:space="preserve"> </w:t>
            </w:r>
          </w:p>
        </w:tc>
        <w:tc>
          <w:tcPr>
            <w:tcW w:w="635" w:type="pct"/>
            <w:gridSpan w:val="2"/>
            <w:tcBorders>
              <w:top w:val="single" w:sz="4" w:space="0" w:color="auto"/>
              <w:bottom w:val="single" w:sz="4" w:space="0" w:color="auto"/>
            </w:tcBorders>
          </w:tcPr>
          <w:p w14:paraId="656B1C23" w14:textId="77777777" w:rsidR="00BA63D4" w:rsidRPr="000D7D82" w:rsidRDefault="00BA63D4" w:rsidP="00BA63D4">
            <w:pPr>
              <w:spacing w:after="0"/>
              <w:rPr>
                <w:rFonts w:cs="Segoe UI Light"/>
                <w:sz w:val="18"/>
              </w:rPr>
            </w:pPr>
            <w:r w:rsidRPr="000D7D82">
              <w:rPr>
                <w:rFonts w:cs="Segoe UI Light"/>
                <w:sz w:val="18"/>
              </w:rPr>
              <w:t xml:space="preserve">$89.73 </w:t>
            </w:r>
          </w:p>
        </w:tc>
        <w:tc>
          <w:tcPr>
            <w:tcW w:w="464" w:type="pct"/>
            <w:tcBorders>
              <w:top w:val="single" w:sz="4" w:space="0" w:color="auto"/>
              <w:bottom w:val="single" w:sz="4" w:space="0" w:color="auto"/>
            </w:tcBorders>
          </w:tcPr>
          <w:p w14:paraId="656B1C24" w14:textId="77777777" w:rsidR="00BA63D4" w:rsidRPr="000D7D82" w:rsidRDefault="00095872" w:rsidP="00BA63D4">
            <w:pPr>
              <w:spacing w:after="0"/>
              <w:rPr>
                <w:rFonts w:cs="Segoe UI Light"/>
                <w:sz w:val="18"/>
              </w:rPr>
            </w:pPr>
            <w:r w:rsidRPr="000D7D82">
              <w:rPr>
                <w:rFonts w:cs="Segoe UI Light"/>
                <w:sz w:val="18"/>
              </w:rPr>
              <w:t>-82.5%</w:t>
            </w:r>
          </w:p>
        </w:tc>
      </w:tr>
      <w:tr w:rsidR="00BA63D4" w:rsidRPr="000D7D82" w14:paraId="656B1C30" w14:textId="77777777" w:rsidTr="00BB3356">
        <w:trPr>
          <w:cantSplit/>
          <w:trHeight w:val="216"/>
          <w:jc w:val="center"/>
        </w:trPr>
        <w:tc>
          <w:tcPr>
            <w:tcW w:w="461" w:type="pct"/>
            <w:tcBorders>
              <w:top w:val="single" w:sz="4" w:space="0" w:color="auto"/>
              <w:bottom w:val="single" w:sz="4" w:space="0" w:color="auto"/>
            </w:tcBorders>
          </w:tcPr>
          <w:p w14:paraId="656B1C26" w14:textId="77777777" w:rsidR="00BA63D4" w:rsidRPr="000D7D82" w:rsidRDefault="00BA63D4" w:rsidP="00BA63D4">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27" w14:textId="77777777" w:rsidR="00BA63D4" w:rsidRPr="000D7D82" w:rsidRDefault="00BA63D4" w:rsidP="00BA63D4">
            <w:pPr>
              <w:spacing w:after="0"/>
              <w:rPr>
                <w:rFonts w:cs="Segoe UI Light"/>
                <w:sz w:val="18"/>
              </w:rPr>
            </w:pPr>
            <w:r w:rsidRPr="000D7D82">
              <w:rPr>
                <w:rFonts w:cs="Segoe UI Light"/>
                <w:sz w:val="18"/>
              </w:rPr>
              <w:t>Application</w:t>
            </w:r>
          </w:p>
        </w:tc>
        <w:tc>
          <w:tcPr>
            <w:tcW w:w="772" w:type="pct"/>
            <w:tcBorders>
              <w:top w:val="single" w:sz="4" w:space="0" w:color="auto"/>
              <w:bottom w:val="single" w:sz="4" w:space="0" w:color="auto"/>
            </w:tcBorders>
          </w:tcPr>
          <w:p w14:paraId="656B1C28" w14:textId="13828BF4" w:rsidR="00BA63D4" w:rsidRPr="000D7D82" w:rsidRDefault="00BA63D4" w:rsidP="00BA63D4">
            <w:pPr>
              <w:spacing w:after="0"/>
              <w:rPr>
                <w:rFonts w:cs="Segoe UI Light"/>
                <w:sz w:val="18"/>
              </w:rPr>
            </w:pPr>
            <w:r w:rsidRPr="000D7D82">
              <w:rPr>
                <w:rFonts w:cs="Segoe UI Light"/>
                <w:sz w:val="18"/>
              </w:rPr>
              <w:t>Reportable priority waste transport (</w:t>
            </w:r>
            <w:r w:rsidR="008E7A22">
              <w:rPr>
                <w:rFonts w:cs="Segoe UI Light"/>
                <w:sz w:val="18"/>
              </w:rPr>
              <w:t>temporary</w:t>
            </w:r>
            <w:r w:rsidRPr="000D7D82">
              <w:rPr>
                <w:rFonts w:cs="Segoe UI Light"/>
                <w:sz w:val="18"/>
              </w:rPr>
              <w:t xml:space="preserve"> permit) [less than 1.5 tonnes (G100-G160, E100-E130)]</w:t>
            </w:r>
          </w:p>
        </w:tc>
        <w:tc>
          <w:tcPr>
            <w:tcW w:w="885" w:type="pct"/>
            <w:tcBorders>
              <w:top w:val="single" w:sz="4" w:space="0" w:color="auto"/>
              <w:bottom w:val="single" w:sz="4" w:space="0" w:color="auto"/>
            </w:tcBorders>
          </w:tcPr>
          <w:p w14:paraId="656B1C29" w14:textId="166478A8" w:rsidR="00BA63D4" w:rsidRPr="000D7D82" w:rsidRDefault="00BA63D4" w:rsidP="00BA63D4">
            <w:pPr>
              <w:pStyle w:val="CommentText"/>
              <w:rPr>
                <w:rFonts w:cs="Segoe UI Light"/>
                <w:sz w:val="18"/>
                <w:szCs w:val="18"/>
              </w:rPr>
            </w:pPr>
            <w:r w:rsidRPr="000D7D82">
              <w:rPr>
                <w:rFonts w:cs="Segoe UI Light"/>
                <w:sz w:val="18"/>
              </w:rPr>
              <w:t>Greater of 25% of the application fee or a flat fee of 10.3 fee units.</w:t>
            </w:r>
          </w:p>
        </w:tc>
        <w:tc>
          <w:tcPr>
            <w:tcW w:w="572" w:type="pct"/>
            <w:tcBorders>
              <w:top w:val="single" w:sz="4" w:space="0" w:color="auto"/>
              <w:bottom w:val="single" w:sz="4" w:space="0" w:color="auto"/>
            </w:tcBorders>
          </w:tcPr>
          <w:p w14:paraId="656B1C2A" w14:textId="77777777" w:rsidR="00BA63D4" w:rsidRPr="000D7D82" w:rsidRDefault="00BA63D4" w:rsidP="00BB3356">
            <w:pPr>
              <w:pStyle w:val="CommentText"/>
              <w:spacing w:after="0"/>
              <w:rPr>
                <w:rFonts w:cs="Segoe UI Light"/>
                <w:sz w:val="18"/>
                <w:szCs w:val="18"/>
              </w:rPr>
            </w:pPr>
            <w:r w:rsidRPr="000D7D82">
              <w:rPr>
                <w:rFonts w:cs="Segoe UI Light"/>
                <w:sz w:val="18"/>
                <w:szCs w:val="18"/>
              </w:rPr>
              <w:t xml:space="preserve">10.3 fee units: </w:t>
            </w:r>
          </w:p>
          <w:p w14:paraId="656B1C2B" w14:textId="77777777" w:rsidR="00BA63D4" w:rsidRPr="000D7D82" w:rsidRDefault="00BA63D4" w:rsidP="00BB3356">
            <w:pPr>
              <w:pStyle w:val="CommentText"/>
              <w:spacing w:after="0"/>
              <w:rPr>
                <w:rFonts w:cs="Segoe UI Light"/>
                <w:sz w:val="18"/>
                <w:szCs w:val="18"/>
              </w:rPr>
            </w:pPr>
            <w:r w:rsidRPr="000D7D82">
              <w:rPr>
                <w:rFonts w:cs="Segoe UI Light"/>
                <w:sz w:val="18"/>
                <w:szCs w:val="18"/>
              </w:rPr>
              <w:t>$148.84</w:t>
            </w:r>
          </w:p>
          <w:p w14:paraId="656B1C2C" w14:textId="77777777" w:rsidR="00BA63D4" w:rsidRPr="000D7D82" w:rsidRDefault="00BA63D4" w:rsidP="00BA63D4">
            <w:pPr>
              <w:spacing w:after="0"/>
              <w:rPr>
                <w:rFonts w:cs="Segoe UI Light"/>
                <w:sz w:val="18"/>
              </w:rPr>
            </w:pPr>
          </w:p>
        </w:tc>
        <w:tc>
          <w:tcPr>
            <w:tcW w:w="780" w:type="pct"/>
            <w:tcBorders>
              <w:top w:val="single" w:sz="4" w:space="0" w:color="auto"/>
              <w:bottom w:val="single" w:sz="4" w:space="0" w:color="auto"/>
            </w:tcBorders>
          </w:tcPr>
          <w:p w14:paraId="656B1C2D" w14:textId="77777777" w:rsidR="00BA63D4" w:rsidRPr="000D7D82" w:rsidRDefault="00BA63D4" w:rsidP="00BA63D4">
            <w:pPr>
              <w:spacing w:after="0"/>
              <w:rPr>
                <w:rFonts w:cs="Segoe UI Light"/>
                <w:sz w:val="18"/>
              </w:rPr>
            </w:pPr>
            <w:r w:rsidRPr="000D7D82">
              <w:rPr>
                <w:rFonts w:cs="Segoe UI Light"/>
                <w:sz w:val="18"/>
              </w:rPr>
              <w:t>Flat fee - 6.21 fee units</w:t>
            </w:r>
            <w:r w:rsidRPr="000D7D82" w:rsidDel="00F63EC0">
              <w:rPr>
                <w:rFonts w:cs="Segoe UI Light"/>
                <w:sz w:val="18"/>
              </w:rPr>
              <w:t xml:space="preserve"> </w:t>
            </w:r>
          </w:p>
        </w:tc>
        <w:tc>
          <w:tcPr>
            <w:tcW w:w="635" w:type="pct"/>
            <w:gridSpan w:val="2"/>
            <w:tcBorders>
              <w:top w:val="single" w:sz="4" w:space="0" w:color="auto"/>
              <w:bottom w:val="single" w:sz="4" w:space="0" w:color="auto"/>
            </w:tcBorders>
          </w:tcPr>
          <w:p w14:paraId="656B1C2E" w14:textId="77777777" w:rsidR="00BA63D4" w:rsidRPr="000D7D82" w:rsidRDefault="00BA63D4" w:rsidP="00BA63D4">
            <w:pPr>
              <w:spacing w:after="0"/>
              <w:rPr>
                <w:rFonts w:cs="Segoe UI Light"/>
                <w:sz w:val="18"/>
              </w:rPr>
            </w:pPr>
            <w:r w:rsidRPr="000D7D82">
              <w:rPr>
                <w:rFonts w:cs="Segoe UI Light"/>
                <w:sz w:val="18"/>
              </w:rPr>
              <w:t xml:space="preserve">$89.73 </w:t>
            </w:r>
          </w:p>
        </w:tc>
        <w:tc>
          <w:tcPr>
            <w:tcW w:w="464" w:type="pct"/>
            <w:tcBorders>
              <w:top w:val="single" w:sz="4" w:space="0" w:color="auto"/>
              <w:bottom w:val="single" w:sz="4" w:space="0" w:color="auto"/>
            </w:tcBorders>
          </w:tcPr>
          <w:p w14:paraId="656B1C2F" w14:textId="77777777" w:rsidR="00BA63D4" w:rsidRPr="000D7D82" w:rsidRDefault="00095872" w:rsidP="00BA63D4">
            <w:pPr>
              <w:spacing w:after="0"/>
              <w:rPr>
                <w:rFonts w:cs="Segoe UI Light"/>
                <w:sz w:val="18"/>
              </w:rPr>
            </w:pPr>
            <w:r w:rsidRPr="000D7D82">
              <w:rPr>
                <w:rFonts w:cs="Segoe UI Light"/>
                <w:sz w:val="18"/>
              </w:rPr>
              <w:t>-39.7%</w:t>
            </w:r>
          </w:p>
        </w:tc>
      </w:tr>
      <w:tr w:rsidR="00BA63D4" w:rsidRPr="000D7D82" w14:paraId="656B1C3A" w14:textId="77777777" w:rsidTr="00BB3356">
        <w:trPr>
          <w:cantSplit/>
          <w:trHeight w:val="216"/>
          <w:jc w:val="center"/>
        </w:trPr>
        <w:tc>
          <w:tcPr>
            <w:tcW w:w="461" w:type="pct"/>
            <w:tcBorders>
              <w:top w:val="single" w:sz="4" w:space="0" w:color="auto"/>
              <w:bottom w:val="single" w:sz="4" w:space="0" w:color="auto"/>
            </w:tcBorders>
          </w:tcPr>
          <w:p w14:paraId="656B1C31" w14:textId="77777777" w:rsidR="00BA63D4" w:rsidRPr="000D7D82" w:rsidRDefault="00BA63D4" w:rsidP="00BA63D4">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32" w14:textId="77777777" w:rsidR="00BA63D4" w:rsidRPr="000D7D82" w:rsidRDefault="00BA63D4" w:rsidP="00BA63D4">
            <w:pPr>
              <w:spacing w:after="0"/>
              <w:rPr>
                <w:rFonts w:cs="Segoe UI Light"/>
                <w:sz w:val="18"/>
              </w:rPr>
            </w:pPr>
            <w:r w:rsidRPr="000D7D82">
              <w:rPr>
                <w:rFonts w:cs="Segoe UI Light"/>
                <w:sz w:val="18"/>
              </w:rPr>
              <w:t>Application</w:t>
            </w:r>
          </w:p>
        </w:tc>
        <w:tc>
          <w:tcPr>
            <w:tcW w:w="772" w:type="pct"/>
            <w:tcBorders>
              <w:top w:val="single" w:sz="4" w:space="0" w:color="auto"/>
              <w:bottom w:val="single" w:sz="4" w:space="0" w:color="auto"/>
            </w:tcBorders>
          </w:tcPr>
          <w:p w14:paraId="656B1C33" w14:textId="123FD0AE" w:rsidR="00BA63D4" w:rsidRPr="000D7D82" w:rsidRDefault="00BA63D4" w:rsidP="00BA63D4">
            <w:pPr>
              <w:spacing w:after="0"/>
              <w:rPr>
                <w:rFonts w:cs="Segoe UI Light"/>
                <w:sz w:val="18"/>
              </w:rPr>
            </w:pPr>
            <w:r w:rsidRPr="000D7D82">
              <w:rPr>
                <w:rFonts w:cs="Segoe UI Light"/>
                <w:sz w:val="18"/>
              </w:rPr>
              <w:t>Reportable priority waste transport (</w:t>
            </w:r>
            <w:r w:rsidR="008E7A22">
              <w:rPr>
                <w:rFonts w:cs="Segoe UI Light"/>
                <w:sz w:val="18"/>
              </w:rPr>
              <w:t>temporary</w:t>
            </w:r>
            <w:r w:rsidRPr="000D7D82">
              <w:rPr>
                <w:rFonts w:cs="Segoe UI Light"/>
                <w:sz w:val="18"/>
              </w:rPr>
              <w:t xml:space="preserve"> permit) [equal to or more than 1.5 tonnes but less than 30 tonnes (G100-G160, E100-E130)]</w:t>
            </w:r>
          </w:p>
        </w:tc>
        <w:tc>
          <w:tcPr>
            <w:tcW w:w="885" w:type="pct"/>
            <w:tcBorders>
              <w:top w:val="single" w:sz="4" w:space="0" w:color="auto"/>
              <w:bottom w:val="single" w:sz="4" w:space="0" w:color="auto"/>
            </w:tcBorders>
          </w:tcPr>
          <w:p w14:paraId="656B1C34" w14:textId="329755BD" w:rsidR="00BA63D4" w:rsidRPr="000D7D82" w:rsidRDefault="00BA63D4" w:rsidP="00BA63D4">
            <w:pPr>
              <w:pStyle w:val="CommentText"/>
              <w:rPr>
                <w:rFonts w:cs="Segoe UI Light"/>
                <w:sz w:val="18"/>
                <w:szCs w:val="18"/>
              </w:rPr>
            </w:pPr>
            <w:r w:rsidRPr="000D7D82">
              <w:rPr>
                <w:rFonts w:cs="Segoe UI Light"/>
                <w:sz w:val="18"/>
              </w:rPr>
              <w:t>Greater of 25% of the application fee or a flat fee of 10.3 fee units.</w:t>
            </w:r>
          </w:p>
        </w:tc>
        <w:tc>
          <w:tcPr>
            <w:tcW w:w="572" w:type="pct"/>
            <w:tcBorders>
              <w:top w:val="single" w:sz="4" w:space="0" w:color="auto"/>
              <w:bottom w:val="single" w:sz="4" w:space="0" w:color="auto"/>
            </w:tcBorders>
          </w:tcPr>
          <w:p w14:paraId="656B1C35" w14:textId="77777777" w:rsidR="00BA63D4" w:rsidRPr="000D7D82" w:rsidRDefault="00BA63D4" w:rsidP="00BA63D4">
            <w:pPr>
              <w:pStyle w:val="CommentText"/>
              <w:rPr>
                <w:rFonts w:cs="Segoe UI Light"/>
                <w:sz w:val="18"/>
                <w:szCs w:val="18"/>
              </w:rPr>
            </w:pPr>
            <w:r w:rsidRPr="000D7D82">
              <w:rPr>
                <w:rFonts w:cs="Segoe UI Light"/>
                <w:sz w:val="18"/>
                <w:szCs w:val="18"/>
              </w:rPr>
              <w:t>14.69 fee units, $212.27</w:t>
            </w:r>
          </w:p>
          <w:p w14:paraId="656B1C36" w14:textId="77777777" w:rsidR="00BA63D4" w:rsidRPr="000D7D82" w:rsidRDefault="00BA63D4" w:rsidP="00BA63D4">
            <w:pPr>
              <w:spacing w:after="0"/>
              <w:rPr>
                <w:rFonts w:cs="Segoe UI Light"/>
                <w:sz w:val="18"/>
              </w:rPr>
            </w:pPr>
          </w:p>
        </w:tc>
        <w:tc>
          <w:tcPr>
            <w:tcW w:w="780" w:type="pct"/>
            <w:tcBorders>
              <w:top w:val="single" w:sz="4" w:space="0" w:color="auto"/>
              <w:bottom w:val="single" w:sz="4" w:space="0" w:color="auto"/>
            </w:tcBorders>
          </w:tcPr>
          <w:p w14:paraId="656B1C37" w14:textId="77777777" w:rsidR="00BA63D4" w:rsidRPr="000D7D82" w:rsidRDefault="00BA63D4" w:rsidP="00BA63D4">
            <w:pPr>
              <w:spacing w:after="0"/>
              <w:rPr>
                <w:rFonts w:cs="Segoe UI Light"/>
                <w:sz w:val="18"/>
              </w:rPr>
            </w:pPr>
            <w:r w:rsidRPr="000D7D82">
              <w:rPr>
                <w:rFonts w:cs="Segoe UI Light"/>
                <w:sz w:val="18"/>
              </w:rPr>
              <w:t>Flat fee - 6.21 fee units</w:t>
            </w:r>
            <w:r w:rsidRPr="000D7D82" w:rsidDel="00F63EC0">
              <w:rPr>
                <w:rFonts w:cs="Segoe UI Light"/>
                <w:sz w:val="18"/>
              </w:rPr>
              <w:t xml:space="preserve"> </w:t>
            </w:r>
          </w:p>
        </w:tc>
        <w:tc>
          <w:tcPr>
            <w:tcW w:w="635" w:type="pct"/>
            <w:gridSpan w:val="2"/>
            <w:tcBorders>
              <w:top w:val="single" w:sz="4" w:space="0" w:color="auto"/>
              <w:bottom w:val="single" w:sz="4" w:space="0" w:color="auto"/>
            </w:tcBorders>
          </w:tcPr>
          <w:p w14:paraId="656B1C38" w14:textId="77777777" w:rsidR="00BA63D4" w:rsidRPr="000D7D82" w:rsidRDefault="00BA63D4" w:rsidP="00BA63D4">
            <w:pPr>
              <w:spacing w:after="0"/>
              <w:rPr>
                <w:rFonts w:cs="Segoe UI Light"/>
                <w:sz w:val="18"/>
              </w:rPr>
            </w:pPr>
            <w:r w:rsidRPr="000D7D82">
              <w:rPr>
                <w:rFonts w:cs="Segoe UI Light"/>
                <w:sz w:val="18"/>
              </w:rPr>
              <w:t xml:space="preserve">$89.73 </w:t>
            </w:r>
          </w:p>
        </w:tc>
        <w:tc>
          <w:tcPr>
            <w:tcW w:w="464" w:type="pct"/>
            <w:tcBorders>
              <w:top w:val="single" w:sz="4" w:space="0" w:color="auto"/>
              <w:bottom w:val="single" w:sz="4" w:space="0" w:color="auto"/>
            </w:tcBorders>
          </w:tcPr>
          <w:p w14:paraId="656B1C39" w14:textId="77777777" w:rsidR="00BA63D4" w:rsidRPr="000D7D82" w:rsidRDefault="00095872" w:rsidP="00BA63D4">
            <w:pPr>
              <w:spacing w:after="0"/>
              <w:rPr>
                <w:rFonts w:cs="Segoe UI Light"/>
                <w:sz w:val="18"/>
              </w:rPr>
            </w:pPr>
            <w:r w:rsidRPr="000D7D82">
              <w:rPr>
                <w:rFonts w:cs="Segoe UI Light"/>
                <w:sz w:val="18"/>
              </w:rPr>
              <w:t>-57.7%</w:t>
            </w:r>
          </w:p>
        </w:tc>
      </w:tr>
      <w:tr w:rsidR="00BA63D4" w:rsidRPr="000D7D82" w14:paraId="656B1C43" w14:textId="77777777" w:rsidTr="00BB3356">
        <w:trPr>
          <w:cantSplit/>
          <w:trHeight w:val="216"/>
          <w:jc w:val="center"/>
        </w:trPr>
        <w:tc>
          <w:tcPr>
            <w:tcW w:w="461" w:type="pct"/>
            <w:tcBorders>
              <w:top w:val="single" w:sz="4" w:space="0" w:color="auto"/>
            </w:tcBorders>
          </w:tcPr>
          <w:p w14:paraId="656B1C3B" w14:textId="77777777" w:rsidR="00BA63D4" w:rsidRPr="000D7D82" w:rsidRDefault="00BA63D4" w:rsidP="00BA63D4">
            <w:pPr>
              <w:spacing w:after="0"/>
              <w:rPr>
                <w:rFonts w:cs="Segoe UI Light"/>
                <w:sz w:val="18"/>
              </w:rPr>
            </w:pPr>
            <w:r w:rsidRPr="000D7D82">
              <w:rPr>
                <w:rFonts w:cs="Segoe UI Light"/>
                <w:sz w:val="18"/>
              </w:rPr>
              <w:t>Permit</w:t>
            </w:r>
          </w:p>
        </w:tc>
        <w:tc>
          <w:tcPr>
            <w:tcW w:w="431" w:type="pct"/>
            <w:tcBorders>
              <w:top w:val="single" w:sz="4" w:space="0" w:color="auto"/>
            </w:tcBorders>
          </w:tcPr>
          <w:p w14:paraId="656B1C3C" w14:textId="77777777" w:rsidR="00BA63D4" w:rsidRPr="000D7D82" w:rsidRDefault="00BA63D4" w:rsidP="00BA63D4">
            <w:pPr>
              <w:spacing w:after="0"/>
              <w:rPr>
                <w:rFonts w:cs="Segoe UI Light"/>
                <w:sz w:val="18"/>
              </w:rPr>
            </w:pPr>
            <w:r w:rsidRPr="000D7D82">
              <w:rPr>
                <w:rFonts w:cs="Segoe UI Light"/>
                <w:sz w:val="18"/>
              </w:rPr>
              <w:t>Application</w:t>
            </w:r>
          </w:p>
        </w:tc>
        <w:tc>
          <w:tcPr>
            <w:tcW w:w="772" w:type="pct"/>
            <w:tcBorders>
              <w:top w:val="single" w:sz="4" w:space="0" w:color="auto"/>
            </w:tcBorders>
          </w:tcPr>
          <w:p w14:paraId="656B1C3D" w14:textId="3535702A" w:rsidR="00BA63D4" w:rsidRPr="000D7D82" w:rsidRDefault="00BA63D4" w:rsidP="00BA63D4">
            <w:pPr>
              <w:spacing w:after="0"/>
              <w:rPr>
                <w:rFonts w:cs="Segoe UI Light"/>
                <w:sz w:val="18"/>
              </w:rPr>
            </w:pPr>
            <w:r w:rsidRPr="000D7D82">
              <w:rPr>
                <w:rFonts w:cs="Segoe UI Light"/>
                <w:sz w:val="18"/>
              </w:rPr>
              <w:t>Reportable priority waste transport (</w:t>
            </w:r>
            <w:r w:rsidR="008E7A22">
              <w:rPr>
                <w:rFonts w:cs="Segoe UI Light"/>
                <w:sz w:val="18"/>
              </w:rPr>
              <w:t>temporary</w:t>
            </w:r>
            <w:r w:rsidRPr="000D7D82">
              <w:rPr>
                <w:rFonts w:cs="Segoe UI Light"/>
                <w:sz w:val="18"/>
              </w:rPr>
              <w:t xml:space="preserve"> permit) [30 tonnes or more (G100-G160, E100-E130)]</w:t>
            </w:r>
          </w:p>
        </w:tc>
        <w:tc>
          <w:tcPr>
            <w:tcW w:w="885" w:type="pct"/>
            <w:tcBorders>
              <w:top w:val="single" w:sz="4" w:space="0" w:color="auto"/>
            </w:tcBorders>
          </w:tcPr>
          <w:p w14:paraId="656B1C3E" w14:textId="1637032E" w:rsidR="00BA63D4" w:rsidRPr="000D7D82" w:rsidRDefault="00BA63D4" w:rsidP="00BA63D4">
            <w:pPr>
              <w:pStyle w:val="CommentText"/>
              <w:rPr>
                <w:rFonts w:cs="Segoe UI Light"/>
                <w:sz w:val="18"/>
              </w:rPr>
            </w:pPr>
            <w:r w:rsidRPr="000D7D82">
              <w:rPr>
                <w:rFonts w:cs="Segoe UI Light"/>
                <w:sz w:val="18"/>
              </w:rPr>
              <w:t>Greater of 25% of the application fee or a flat fee of 10.3 fee units.</w:t>
            </w:r>
          </w:p>
        </w:tc>
        <w:tc>
          <w:tcPr>
            <w:tcW w:w="572" w:type="pct"/>
            <w:tcBorders>
              <w:top w:val="single" w:sz="4" w:space="0" w:color="auto"/>
            </w:tcBorders>
          </w:tcPr>
          <w:p w14:paraId="656B1C3F" w14:textId="77777777" w:rsidR="00BA63D4" w:rsidRPr="000D7D82" w:rsidRDefault="00BA63D4" w:rsidP="00BA63D4">
            <w:pPr>
              <w:spacing w:after="0"/>
              <w:rPr>
                <w:rFonts w:cs="Segoe UI Light"/>
                <w:sz w:val="18"/>
              </w:rPr>
            </w:pPr>
            <w:r w:rsidRPr="000D7D82">
              <w:rPr>
                <w:rFonts w:cs="Segoe UI Light"/>
                <w:sz w:val="18"/>
              </w:rPr>
              <w:t>40.44 fee units, $584.36</w:t>
            </w:r>
          </w:p>
        </w:tc>
        <w:tc>
          <w:tcPr>
            <w:tcW w:w="780" w:type="pct"/>
            <w:tcBorders>
              <w:top w:val="single" w:sz="4" w:space="0" w:color="auto"/>
              <w:bottom w:val="single" w:sz="4" w:space="0" w:color="auto"/>
            </w:tcBorders>
          </w:tcPr>
          <w:p w14:paraId="656B1C40" w14:textId="77777777" w:rsidR="00BA63D4" w:rsidRPr="000D7D82" w:rsidRDefault="00BA63D4" w:rsidP="00BA63D4">
            <w:pPr>
              <w:spacing w:after="0"/>
              <w:rPr>
                <w:rFonts w:cs="Segoe UI Light"/>
                <w:sz w:val="18"/>
              </w:rPr>
            </w:pPr>
            <w:r w:rsidRPr="000D7D82">
              <w:rPr>
                <w:rFonts w:cs="Segoe UI Light"/>
                <w:sz w:val="18"/>
              </w:rPr>
              <w:t>Flat fee - 6.21 fee units</w:t>
            </w:r>
            <w:r w:rsidRPr="000D7D82" w:rsidDel="00F63EC0">
              <w:rPr>
                <w:rFonts w:cs="Segoe UI Light"/>
                <w:sz w:val="18"/>
              </w:rPr>
              <w:t xml:space="preserve"> </w:t>
            </w:r>
          </w:p>
        </w:tc>
        <w:tc>
          <w:tcPr>
            <w:tcW w:w="635" w:type="pct"/>
            <w:gridSpan w:val="2"/>
            <w:tcBorders>
              <w:top w:val="single" w:sz="4" w:space="0" w:color="auto"/>
              <w:bottom w:val="single" w:sz="4" w:space="0" w:color="auto"/>
            </w:tcBorders>
          </w:tcPr>
          <w:p w14:paraId="656B1C41" w14:textId="77777777" w:rsidR="00BA63D4" w:rsidRPr="000D7D82" w:rsidRDefault="00BA63D4" w:rsidP="00BA63D4">
            <w:pPr>
              <w:spacing w:after="0"/>
              <w:rPr>
                <w:rFonts w:cs="Segoe UI Light"/>
                <w:sz w:val="18"/>
              </w:rPr>
            </w:pPr>
            <w:r w:rsidRPr="000D7D82">
              <w:rPr>
                <w:rFonts w:cs="Segoe UI Light"/>
                <w:sz w:val="18"/>
              </w:rPr>
              <w:t xml:space="preserve">$89.73 </w:t>
            </w:r>
          </w:p>
        </w:tc>
        <w:tc>
          <w:tcPr>
            <w:tcW w:w="464" w:type="pct"/>
            <w:tcBorders>
              <w:top w:val="single" w:sz="4" w:space="0" w:color="auto"/>
              <w:bottom w:val="single" w:sz="4" w:space="0" w:color="auto"/>
            </w:tcBorders>
          </w:tcPr>
          <w:p w14:paraId="656B1C42" w14:textId="77777777" w:rsidR="00BA63D4" w:rsidRPr="000D7D82" w:rsidRDefault="00095872" w:rsidP="00BA63D4">
            <w:pPr>
              <w:spacing w:after="0"/>
              <w:rPr>
                <w:rFonts w:cs="Segoe UI Light"/>
                <w:sz w:val="18"/>
              </w:rPr>
            </w:pPr>
            <w:r w:rsidRPr="000D7D82">
              <w:rPr>
                <w:rFonts w:cs="Segoe UI Light"/>
                <w:sz w:val="18"/>
              </w:rPr>
              <w:t>-84.6%</w:t>
            </w:r>
          </w:p>
        </w:tc>
      </w:tr>
      <w:tr w:rsidR="00BA63D4" w:rsidRPr="000D7D82" w14:paraId="656B1C4E" w14:textId="77777777" w:rsidTr="00BB3356">
        <w:trPr>
          <w:cantSplit/>
          <w:trHeight w:val="216"/>
          <w:jc w:val="center"/>
        </w:trPr>
        <w:tc>
          <w:tcPr>
            <w:tcW w:w="461" w:type="pct"/>
          </w:tcPr>
          <w:p w14:paraId="656B1C44" w14:textId="77777777" w:rsidR="00BA63D4" w:rsidRPr="000D7D82" w:rsidRDefault="00BA63D4" w:rsidP="00BA63D4">
            <w:pPr>
              <w:spacing w:after="0"/>
              <w:rPr>
                <w:rFonts w:cs="Segoe UI Light"/>
                <w:sz w:val="18"/>
              </w:rPr>
            </w:pPr>
            <w:r w:rsidRPr="000D7D82">
              <w:rPr>
                <w:rFonts w:cs="Segoe UI Light"/>
                <w:sz w:val="18"/>
              </w:rPr>
              <w:t>Permit</w:t>
            </w:r>
          </w:p>
        </w:tc>
        <w:tc>
          <w:tcPr>
            <w:tcW w:w="431" w:type="pct"/>
          </w:tcPr>
          <w:p w14:paraId="656B1C45" w14:textId="77777777" w:rsidR="00BA63D4" w:rsidRPr="000D7D82" w:rsidRDefault="00BA63D4" w:rsidP="00BA63D4">
            <w:pPr>
              <w:spacing w:after="0"/>
              <w:rPr>
                <w:rFonts w:cs="Segoe UI Light"/>
                <w:sz w:val="18"/>
              </w:rPr>
            </w:pPr>
            <w:r w:rsidRPr="000D7D82">
              <w:rPr>
                <w:rFonts w:cs="Segoe UI Light"/>
                <w:sz w:val="18"/>
              </w:rPr>
              <w:t xml:space="preserve">Application. </w:t>
            </w:r>
          </w:p>
          <w:p w14:paraId="656B1C46" w14:textId="77777777" w:rsidR="00BA63D4" w:rsidRPr="000D7D82" w:rsidRDefault="00BA63D4" w:rsidP="00BA63D4">
            <w:pPr>
              <w:spacing w:after="0"/>
              <w:rPr>
                <w:rFonts w:cs="Segoe UI Light"/>
                <w:sz w:val="18"/>
              </w:rPr>
            </w:pPr>
          </w:p>
          <w:p w14:paraId="656B1C47" w14:textId="43EA64DB" w:rsidR="00BA63D4" w:rsidRPr="000D7D82" w:rsidRDefault="00BA63D4" w:rsidP="00BA63D4">
            <w:pPr>
              <w:spacing w:after="0"/>
              <w:rPr>
                <w:rFonts w:cs="Segoe UI Light"/>
                <w:sz w:val="18"/>
              </w:rPr>
            </w:pPr>
          </w:p>
        </w:tc>
        <w:tc>
          <w:tcPr>
            <w:tcW w:w="772" w:type="pct"/>
          </w:tcPr>
          <w:p w14:paraId="656B1C48" w14:textId="77777777" w:rsidR="00BA63D4" w:rsidRPr="000D7D82" w:rsidRDefault="00BA63D4" w:rsidP="00BA63D4">
            <w:pPr>
              <w:spacing w:after="0"/>
              <w:rPr>
                <w:rFonts w:cs="Segoe UI Light"/>
                <w:sz w:val="18"/>
              </w:rPr>
            </w:pPr>
            <w:r w:rsidRPr="000D7D82">
              <w:rPr>
                <w:rFonts w:cs="Segoe UI Light"/>
                <w:sz w:val="18"/>
              </w:rPr>
              <w:t>Reportable priority waste transport (full permit) [less than 1.5 tonnes (R100, K100, K120, K200, T130)]</w:t>
            </w:r>
          </w:p>
        </w:tc>
        <w:tc>
          <w:tcPr>
            <w:tcW w:w="885" w:type="pct"/>
          </w:tcPr>
          <w:p w14:paraId="656B1C49" w14:textId="77777777" w:rsidR="00BA63D4" w:rsidRPr="000D7D82" w:rsidRDefault="00BA63D4" w:rsidP="00BA63D4">
            <w:pPr>
              <w:spacing w:after="0"/>
              <w:rPr>
                <w:rFonts w:cs="Segoe UI Light"/>
                <w:sz w:val="18"/>
              </w:rPr>
            </w:pPr>
            <w:r w:rsidRPr="000D7D82">
              <w:rPr>
                <w:rFonts w:cs="Segoe UI Light"/>
                <w:sz w:val="18"/>
              </w:rPr>
              <w:t>Flat fee – 19.5 fee units</w:t>
            </w:r>
          </w:p>
        </w:tc>
        <w:tc>
          <w:tcPr>
            <w:tcW w:w="572" w:type="pct"/>
          </w:tcPr>
          <w:p w14:paraId="656B1C4A" w14:textId="77777777" w:rsidR="00BA63D4" w:rsidRPr="000D7D82" w:rsidRDefault="00BA63D4" w:rsidP="00BA63D4">
            <w:pPr>
              <w:spacing w:after="0"/>
              <w:rPr>
                <w:rFonts w:cs="Segoe UI Light"/>
                <w:sz w:val="18"/>
              </w:rPr>
            </w:pPr>
            <w:r w:rsidRPr="000D7D82">
              <w:rPr>
                <w:rFonts w:cs="Segoe UI Light"/>
                <w:sz w:val="18"/>
              </w:rPr>
              <w:t xml:space="preserve">$281.78 </w:t>
            </w:r>
          </w:p>
        </w:tc>
        <w:tc>
          <w:tcPr>
            <w:tcW w:w="780" w:type="pct"/>
            <w:tcBorders>
              <w:top w:val="single" w:sz="4" w:space="0" w:color="auto"/>
            </w:tcBorders>
          </w:tcPr>
          <w:p w14:paraId="656B1C4B" w14:textId="77777777" w:rsidR="00BA63D4" w:rsidRPr="000D7D82" w:rsidRDefault="00BA63D4" w:rsidP="00BA63D4">
            <w:pPr>
              <w:spacing w:after="0"/>
              <w:rPr>
                <w:rFonts w:cs="Segoe UI Light"/>
                <w:sz w:val="18"/>
              </w:rPr>
            </w:pPr>
            <w:r w:rsidRPr="000D7D82">
              <w:rPr>
                <w:rFonts w:cs="Segoe UI Light"/>
                <w:sz w:val="18"/>
              </w:rPr>
              <w:t>Flat fee - 24.83 fee units</w:t>
            </w:r>
          </w:p>
        </w:tc>
        <w:tc>
          <w:tcPr>
            <w:tcW w:w="635" w:type="pct"/>
            <w:gridSpan w:val="2"/>
            <w:tcBorders>
              <w:top w:val="single" w:sz="4" w:space="0" w:color="auto"/>
            </w:tcBorders>
          </w:tcPr>
          <w:p w14:paraId="656B1C4C" w14:textId="77777777" w:rsidR="00BA63D4" w:rsidRPr="000D7D82" w:rsidRDefault="00BA63D4" w:rsidP="00BA63D4">
            <w:pPr>
              <w:spacing w:after="0"/>
              <w:rPr>
                <w:rFonts w:cs="Segoe UI Light"/>
                <w:sz w:val="18"/>
              </w:rPr>
            </w:pPr>
            <w:r w:rsidRPr="000D7D82">
              <w:rPr>
                <w:rFonts w:cs="Segoe UI Light"/>
                <w:sz w:val="18"/>
              </w:rPr>
              <w:t xml:space="preserve">$358.79 </w:t>
            </w:r>
          </w:p>
        </w:tc>
        <w:tc>
          <w:tcPr>
            <w:tcW w:w="464" w:type="pct"/>
            <w:tcBorders>
              <w:top w:val="single" w:sz="4" w:space="0" w:color="auto"/>
            </w:tcBorders>
          </w:tcPr>
          <w:p w14:paraId="656B1C4D" w14:textId="77777777" w:rsidR="00BA63D4" w:rsidRPr="000D7D82" w:rsidRDefault="00095872" w:rsidP="00BA63D4">
            <w:pPr>
              <w:spacing w:after="0"/>
              <w:rPr>
                <w:rFonts w:cs="Segoe UI Light"/>
                <w:sz w:val="18"/>
              </w:rPr>
            </w:pPr>
            <w:r w:rsidRPr="000D7D82">
              <w:rPr>
                <w:rFonts w:cs="Segoe UI Light"/>
                <w:sz w:val="18"/>
              </w:rPr>
              <w:t>+27.3%</w:t>
            </w:r>
          </w:p>
        </w:tc>
      </w:tr>
      <w:tr w:rsidR="00095872" w:rsidRPr="000D7D82" w14:paraId="656B1C59" w14:textId="77777777" w:rsidTr="00BB3356">
        <w:trPr>
          <w:cantSplit/>
          <w:trHeight w:val="216"/>
          <w:jc w:val="center"/>
        </w:trPr>
        <w:tc>
          <w:tcPr>
            <w:tcW w:w="461" w:type="pct"/>
          </w:tcPr>
          <w:p w14:paraId="656B1C4F" w14:textId="77777777" w:rsidR="00095872" w:rsidRPr="000D7D82" w:rsidRDefault="00095872" w:rsidP="00095872">
            <w:pPr>
              <w:spacing w:after="0"/>
              <w:rPr>
                <w:rFonts w:cs="Segoe UI Light"/>
                <w:sz w:val="18"/>
              </w:rPr>
            </w:pPr>
            <w:r w:rsidRPr="000D7D82">
              <w:rPr>
                <w:rFonts w:cs="Segoe UI Light"/>
                <w:sz w:val="18"/>
              </w:rPr>
              <w:t>Permit</w:t>
            </w:r>
          </w:p>
        </w:tc>
        <w:tc>
          <w:tcPr>
            <w:tcW w:w="431" w:type="pct"/>
          </w:tcPr>
          <w:p w14:paraId="656B1C50" w14:textId="77777777" w:rsidR="00095872" w:rsidRPr="000D7D82" w:rsidRDefault="00095872" w:rsidP="00095872">
            <w:pPr>
              <w:spacing w:after="0"/>
              <w:rPr>
                <w:rFonts w:cs="Segoe UI Light"/>
                <w:sz w:val="18"/>
              </w:rPr>
            </w:pPr>
            <w:r w:rsidRPr="000D7D82">
              <w:rPr>
                <w:rFonts w:cs="Segoe UI Light"/>
                <w:sz w:val="18"/>
              </w:rPr>
              <w:t xml:space="preserve">Application. </w:t>
            </w:r>
          </w:p>
          <w:p w14:paraId="656B1C51" w14:textId="77777777" w:rsidR="00095872" w:rsidRPr="000D7D82" w:rsidRDefault="00095872" w:rsidP="00095872">
            <w:pPr>
              <w:spacing w:after="0"/>
              <w:rPr>
                <w:rFonts w:cs="Segoe UI Light"/>
                <w:sz w:val="18"/>
              </w:rPr>
            </w:pPr>
          </w:p>
          <w:p w14:paraId="656B1C52" w14:textId="77777777" w:rsidR="00095872" w:rsidRPr="000D7D82" w:rsidRDefault="00095872" w:rsidP="00095872">
            <w:pPr>
              <w:spacing w:after="0"/>
              <w:rPr>
                <w:rFonts w:cs="Segoe UI Light"/>
                <w:sz w:val="18"/>
              </w:rPr>
            </w:pPr>
          </w:p>
        </w:tc>
        <w:tc>
          <w:tcPr>
            <w:tcW w:w="772" w:type="pct"/>
          </w:tcPr>
          <w:p w14:paraId="656B1C53" w14:textId="77777777" w:rsidR="00095872" w:rsidRPr="000D7D82" w:rsidRDefault="00095872" w:rsidP="00095872">
            <w:pPr>
              <w:spacing w:after="0"/>
              <w:rPr>
                <w:rFonts w:cs="Segoe UI Light"/>
                <w:sz w:val="18"/>
              </w:rPr>
            </w:pPr>
            <w:r w:rsidRPr="000D7D82">
              <w:rPr>
                <w:rFonts w:cs="Segoe UI Light"/>
                <w:sz w:val="18"/>
              </w:rPr>
              <w:t>Reportable priority waste transport (full permit) [equal to or more than 1.5 tonnes but less than 30 tonnes (R100, K100, K120, K200, T130)]</w:t>
            </w:r>
          </w:p>
        </w:tc>
        <w:tc>
          <w:tcPr>
            <w:tcW w:w="885" w:type="pct"/>
          </w:tcPr>
          <w:p w14:paraId="656B1C54" w14:textId="5E1CC3A3" w:rsidR="00095872" w:rsidRPr="00BB3356" w:rsidRDefault="00095872" w:rsidP="00095872">
            <w:pPr>
              <w:spacing w:after="0"/>
              <w:rPr>
                <w:rFonts w:cs="Segoe UI Light"/>
                <w:sz w:val="18"/>
              </w:rPr>
            </w:pPr>
            <w:r w:rsidRPr="000D7D82">
              <w:rPr>
                <w:rFonts w:cs="Segoe UI Light"/>
                <w:sz w:val="18"/>
              </w:rPr>
              <w:t>Flat fee – 39.</w:t>
            </w:r>
            <w:r w:rsidR="008E7A22">
              <w:rPr>
                <w:rFonts w:cs="Segoe UI Light"/>
                <w:sz w:val="18"/>
              </w:rPr>
              <w:t>2</w:t>
            </w:r>
            <w:r w:rsidR="008E7A22" w:rsidRPr="000D7D82">
              <w:rPr>
                <w:rFonts w:cs="Segoe UI Light"/>
                <w:sz w:val="18"/>
              </w:rPr>
              <w:t xml:space="preserve">5 </w:t>
            </w:r>
            <w:r w:rsidRPr="000D7D82">
              <w:rPr>
                <w:rFonts w:cs="Segoe UI Light"/>
                <w:sz w:val="18"/>
              </w:rPr>
              <w:t>fee units</w:t>
            </w:r>
          </w:p>
        </w:tc>
        <w:tc>
          <w:tcPr>
            <w:tcW w:w="572" w:type="pct"/>
          </w:tcPr>
          <w:p w14:paraId="656B1C55" w14:textId="205BF1FB" w:rsidR="00095872" w:rsidRPr="000D7D82" w:rsidRDefault="00095872" w:rsidP="00095872">
            <w:pPr>
              <w:spacing w:after="0"/>
              <w:rPr>
                <w:rFonts w:cs="Segoe UI Light"/>
                <w:sz w:val="18"/>
              </w:rPr>
            </w:pPr>
            <w:r w:rsidRPr="000D7D82">
              <w:rPr>
                <w:rFonts w:cs="Segoe UI Light"/>
                <w:sz w:val="18"/>
              </w:rPr>
              <w:t>$56</w:t>
            </w:r>
            <w:r w:rsidR="008E7A22">
              <w:rPr>
                <w:rFonts w:cs="Segoe UI Light"/>
                <w:sz w:val="18"/>
              </w:rPr>
              <w:t>7</w:t>
            </w:r>
            <w:r w:rsidRPr="000D7D82">
              <w:rPr>
                <w:rFonts w:cs="Segoe UI Light"/>
                <w:sz w:val="18"/>
              </w:rPr>
              <w:t>.1</w:t>
            </w:r>
            <w:r w:rsidR="008E7A22">
              <w:rPr>
                <w:rFonts w:cs="Segoe UI Light"/>
                <w:sz w:val="18"/>
              </w:rPr>
              <w:t>6</w:t>
            </w:r>
          </w:p>
        </w:tc>
        <w:tc>
          <w:tcPr>
            <w:tcW w:w="780" w:type="pct"/>
          </w:tcPr>
          <w:p w14:paraId="656B1C56" w14:textId="77777777" w:rsidR="00095872" w:rsidRPr="000D7D82" w:rsidRDefault="00095872" w:rsidP="00095872">
            <w:pPr>
              <w:spacing w:after="0"/>
              <w:rPr>
                <w:rFonts w:cs="Segoe UI Light"/>
                <w:sz w:val="18"/>
              </w:rPr>
            </w:pPr>
            <w:r w:rsidRPr="000D7D82">
              <w:rPr>
                <w:rFonts w:cs="Segoe UI Light"/>
                <w:sz w:val="18"/>
              </w:rPr>
              <w:t>Flat fee - 24.83 fee units</w:t>
            </w:r>
          </w:p>
        </w:tc>
        <w:tc>
          <w:tcPr>
            <w:tcW w:w="635" w:type="pct"/>
            <w:gridSpan w:val="2"/>
          </w:tcPr>
          <w:p w14:paraId="656B1C57" w14:textId="77777777" w:rsidR="00095872" w:rsidRPr="000D7D82" w:rsidRDefault="00095872" w:rsidP="00095872">
            <w:pPr>
              <w:spacing w:after="0"/>
              <w:rPr>
                <w:rFonts w:cs="Segoe UI Light"/>
                <w:sz w:val="18"/>
              </w:rPr>
            </w:pPr>
            <w:r w:rsidRPr="000D7D82">
              <w:rPr>
                <w:rFonts w:cs="Segoe UI Light"/>
                <w:sz w:val="18"/>
              </w:rPr>
              <w:t xml:space="preserve">$358.79 </w:t>
            </w:r>
          </w:p>
        </w:tc>
        <w:tc>
          <w:tcPr>
            <w:tcW w:w="464" w:type="pct"/>
          </w:tcPr>
          <w:p w14:paraId="656B1C58" w14:textId="025EEDD9" w:rsidR="00095872" w:rsidRPr="000D7D82" w:rsidRDefault="00095872" w:rsidP="00095872">
            <w:pPr>
              <w:spacing w:after="0"/>
              <w:rPr>
                <w:rFonts w:cs="Segoe UI Light"/>
                <w:sz w:val="18"/>
              </w:rPr>
            </w:pPr>
            <w:r w:rsidRPr="000D7D82">
              <w:rPr>
                <w:rFonts w:cs="Segoe UI Light"/>
                <w:sz w:val="18"/>
              </w:rPr>
              <w:t>-36.</w:t>
            </w:r>
            <w:r w:rsidR="008E7A22">
              <w:rPr>
                <w:rFonts w:cs="Segoe UI Light"/>
                <w:sz w:val="18"/>
              </w:rPr>
              <w:t>7</w:t>
            </w:r>
            <w:r w:rsidRPr="000D7D82">
              <w:rPr>
                <w:rFonts w:cs="Segoe UI Light"/>
                <w:sz w:val="18"/>
              </w:rPr>
              <w:t>%</w:t>
            </w:r>
          </w:p>
        </w:tc>
      </w:tr>
      <w:tr w:rsidR="00095872" w:rsidRPr="000D7D82" w14:paraId="656B1C64" w14:textId="77777777" w:rsidTr="00BB3356">
        <w:trPr>
          <w:cantSplit/>
          <w:trHeight w:val="216"/>
          <w:jc w:val="center"/>
        </w:trPr>
        <w:tc>
          <w:tcPr>
            <w:tcW w:w="461" w:type="pct"/>
          </w:tcPr>
          <w:p w14:paraId="656B1C5A" w14:textId="77777777" w:rsidR="00095872" w:rsidRPr="000D7D82" w:rsidRDefault="00095872" w:rsidP="00095872">
            <w:pPr>
              <w:spacing w:after="0"/>
              <w:rPr>
                <w:rFonts w:cs="Segoe UI Light"/>
                <w:sz w:val="18"/>
              </w:rPr>
            </w:pPr>
            <w:r w:rsidRPr="000D7D82">
              <w:rPr>
                <w:rFonts w:cs="Segoe UI Light"/>
                <w:sz w:val="18"/>
              </w:rPr>
              <w:t>Permit</w:t>
            </w:r>
          </w:p>
        </w:tc>
        <w:tc>
          <w:tcPr>
            <w:tcW w:w="431" w:type="pct"/>
          </w:tcPr>
          <w:p w14:paraId="656B1C5B" w14:textId="77777777" w:rsidR="00095872" w:rsidRPr="000D7D82" w:rsidRDefault="00095872" w:rsidP="00095872">
            <w:pPr>
              <w:spacing w:after="0"/>
              <w:rPr>
                <w:rFonts w:cs="Segoe UI Light"/>
                <w:sz w:val="18"/>
              </w:rPr>
            </w:pPr>
            <w:r w:rsidRPr="000D7D82">
              <w:rPr>
                <w:rFonts w:cs="Segoe UI Light"/>
                <w:sz w:val="18"/>
              </w:rPr>
              <w:t xml:space="preserve">Application. </w:t>
            </w:r>
          </w:p>
          <w:p w14:paraId="656B1C5C" w14:textId="77777777" w:rsidR="00095872" w:rsidRPr="000D7D82" w:rsidRDefault="00095872" w:rsidP="00095872">
            <w:pPr>
              <w:spacing w:after="0"/>
              <w:rPr>
                <w:rFonts w:cs="Segoe UI Light"/>
                <w:sz w:val="18"/>
              </w:rPr>
            </w:pPr>
          </w:p>
          <w:p w14:paraId="656B1C5D" w14:textId="77777777" w:rsidR="00095872" w:rsidRPr="000D7D82" w:rsidRDefault="00095872" w:rsidP="00095872">
            <w:pPr>
              <w:spacing w:after="0"/>
              <w:rPr>
                <w:rFonts w:cs="Segoe UI Light"/>
                <w:sz w:val="18"/>
              </w:rPr>
            </w:pPr>
          </w:p>
        </w:tc>
        <w:tc>
          <w:tcPr>
            <w:tcW w:w="772" w:type="pct"/>
          </w:tcPr>
          <w:p w14:paraId="656B1C5E" w14:textId="77777777" w:rsidR="00095872" w:rsidRPr="000D7D82" w:rsidRDefault="00095872" w:rsidP="00095872">
            <w:pPr>
              <w:spacing w:after="0"/>
              <w:rPr>
                <w:rFonts w:cs="Segoe UI Light"/>
                <w:sz w:val="18"/>
              </w:rPr>
            </w:pPr>
            <w:r w:rsidRPr="000D7D82">
              <w:rPr>
                <w:rFonts w:cs="Segoe UI Light"/>
                <w:sz w:val="18"/>
              </w:rPr>
              <w:t>Reportable priority waste transport (full permit) [30 tonnes or more (R100, K100, K120, K200, T130)]</w:t>
            </w:r>
          </w:p>
        </w:tc>
        <w:tc>
          <w:tcPr>
            <w:tcW w:w="885" w:type="pct"/>
          </w:tcPr>
          <w:p w14:paraId="656B1C5F" w14:textId="77777777" w:rsidR="00095872" w:rsidRPr="00BB3356" w:rsidRDefault="00095872" w:rsidP="00095872">
            <w:pPr>
              <w:spacing w:after="0"/>
              <w:rPr>
                <w:rFonts w:cs="Segoe UI Light"/>
                <w:sz w:val="18"/>
              </w:rPr>
            </w:pPr>
            <w:r w:rsidRPr="000D7D82">
              <w:rPr>
                <w:rFonts w:cs="Segoe UI Light"/>
                <w:sz w:val="18"/>
              </w:rPr>
              <w:t>Flat fee – 103 fee units</w:t>
            </w:r>
          </w:p>
        </w:tc>
        <w:tc>
          <w:tcPr>
            <w:tcW w:w="572" w:type="pct"/>
          </w:tcPr>
          <w:p w14:paraId="656B1C60" w14:textId="77777777" w:rsidR="00095872" w:rsidRPr="000D7D82" w:rsidRDefault="00095872" w:rsidP="00095872">
            <w:pPr>
              <w:spacing w:after="0"/>
              <w:rPr>
                <w:rFonts w:cs="Segoe UI Light"/>
                <w:sz w:val="18"/>
              </w:rPr>
            </w:pPr>
            <w:r w:rsidRPr="000D7D82">
              <w:rPr>
                <w:rFonts w:cs="Segoe UI Light"/>
                <w:sz w:val="18"/>
              </w:rPr>
              <w:t>$1,488.35</w:t>
            </w:r>
          </w:p>
        </w:tc>
        <w:tc>
          <w:tcPr>
            <w:tcW w:w="780" w:type="pct"/>
          </w:tcPr>
          <w:p w14:paraId="656B1C61" w14:textId="77777777" w:rsidR="00095872" w:rsidRPr="000D7D82" w:rsidRDefault="00095872" w:rsidP="00095872">
            <w:pPr>
              <w:spacing w:after="0"/>
              <w:rPr>
                <w:rFonts w:cs="Segoe UI Light"/>
                <w:sz w:val="18"/>
              </w:rPr>
            </w:pPr>
            <w:r w:rsidRPr="000D7D82">
              <w:rPr>
                <w:rFonts w:cs="Segoe UI Light"/>
                <w:sz w:val="18"/>
              </w:rPr>
              <w:t>Flat fee - 24.83 fee units</w:t>
            </w:r>
          </w:p>
        </w:tc>
        <w:tc>
          <w:tcPr>
            <w:tcW w:w="635" w:type="pct"/>
            <w:gridSpan w:val="2"/>
          </w:tcPr>
          <w:p w14:paraId="656B1C62" w14:textId="77777777" w:rsidR="00095872" w:rsidRPr="000D7D82" w:rsidRDefault="00095872" w:rsidP="00095872">
            <w:pPr>
              <w:spacing w:after="0"/>
              <w:rPr>
                <w:rFonts w:cs="Segoe UI Light"/>
                <w:sz w:val="18"/>
              </w:rPr>
            </w:pPr>
            <w:r w:rsidRPr="000D7D82">
              <w:rPr>
                <w:rFonts w:cs="Segoe UI Light"/>
                <w:sz w:val="18"/>
              </w:rPr>
              <w:t xml:space="preserve">$358.79 </w:t>
            </w:r>
          </w:p>
        </w:tc>
        <w:tc>
          <w:tcPr>
            <w:tcW w:w="464" w:type="pct"/>
          </w:tcPr>
          <w:p w14:paraId="656B1C63" w14:textId="77777777" w:rsidR="00095872" w:rsidRPr="000D7D82" w:rsidRDefault="00095872" w:rsidP="00095872">
            <w:pPr>
              <w:spacing w:after="0"/>
              <w:rPr>
                <w:rFonts w:cs="Segoe UI Light"/>
                <w:sz w:val="18"/>
              </w:rPr>
            </w:pPr>
            <w:r w:rsidRPr="000D7D82">
              <w:rPr>
                <w:rFonts w:cs="Segoe UI Light"/>
                <w:sz w:val="18"/>
              </w:rPr>
              <w:t>-75.9%</w:t>
            </w:r>
          </w:p>
        </w:tc>
      </w:tr>
      <w:tr w:rsidR="00095872" w:rsidRPr="000D7D82" w14:paraId="656B1C6F" w14:textId="77777777" w:rsidTr="00BB3356">
        <w:trPr>
          <w:cantSplit/>
          <w:trHeight w:val="216"/>
          <w:jc w:val="center"/>
        </w:trPr>
        <w:tc>
          <w:tcPr>
            <w:tcW w:w="461" w:type="pct"/>
          </w:tcPr>
          <w:p w14:paraId="656B1C65" w14:textId="77777777" w:rsidR="00095872" w:rsidRPr="000D7D82" w:rsidRDefault="00095872" w:rsidP="00095872">
            <w:pPr>
              <w:spacing w:after="0"/>
              <w:rPr>
                <w:rFonts w:cs="Segoe UI Light"/>
                <w:sz w:val="18"/>
              </w:rPr>
            </w:pPr>
            <w:r w:rsidRPr="000D7D82">
              <w:rPr>
                <w:rFonts w:cs="Segoe UI Light"/>
                <w:sz w:val="18"/>
              </w:rPr>
              <w:t>Permit</w:t>
            </w:r>
          </w:p>
        </w:tc>
        <w:tc>
          <w:tcPr>
            <w:tcW w:w="431" w:type="pct"/>
          </w:tcPr>
          <w:p w14:paraId="656B1C66" w14:textId="77777777" w:rsidR="00095872" w:rsidRPr="000D7D82" w:rsidRDefault="00095872" w:rsidP="00095872">
            <w:pPr>
              <w:spacing w:after="0"/>
              <w:rPr>
                <w:rFonts w:cs="Segoe UI Light"/>
                <w:sz w:val="18"/>
              </w:rPr>
            </w:pPr>
            <w:r w:rsidRPr="000D7D82">
              <w:rPr>
                <w:rFonts w:cs="Segoe UI Light"/>
                <w:sz w:val="18"/>
              </w:rPr>
              <w:t xml:space="preserve">Application. </w:t>
            </w:r>
          </w:p>
          <w:p w14:paraId="656B1C67" w14:textId="77777777" w:rsidR="00095872" w:rsidRPr="000D7D82" w:rsidRDefault="00095872" w:rsidP="00095872">
            <w:pPr>
              <w:spacing w:after="0"/>
              <w:rPr>
                <w:rFonts w:cs="Segoe UI Light"/>
                <w:sz w:val="18"/>
              </w:rPr>
            </w:pPr>
          </w:p>
          <w:p w14:paraId="656B1C68" w14:textId="77777777" w:rsidR="00095872" w:rsidRPr="000D7D82" w:rsidRDefault="00095872" w:rsidP="00095872">
            <w:pPr>
              <w:spacing w:after="0"/>
              <w:rPr>
                <w:rFonts w:cs="Segoe UI Light"/>
                <w:sz w:val="18"/>
              </w:rPr>
            </w:pPr>
          </w:p>
        </w:tc>
        <w:tc>
          <w:tcPr>
            <w:tcW w:w="772" w:type="pct"/>
          </w:tcPr>
          <w:p w14:paraId="656B1C69" w14:textId="77777777" w:rsidR="00095872" w:rsidRPr="000D7D82" w:rsidRDefault="00095872" w:rsidP="00095872">
            <w:pPr>
              <w:spacing w:after="0"/>
              <w:rPr>
                <w:rFonts w:cs="Segoe UI Light"/>
                <w:sz w:val="18"/>
              </w:rPr>
            </w:pPr>
            <w:r w:rsidRPr="000D7D82">
              <w:rPr>
                <w:rFonts w:cs="Segoe UI Light"/>
                <w:sz w:val="18"/>
              </w:rPr>
              <w:t>Reportable priority waste transport (full permit) [less than 1.5 tonnes (all other waste codes)]</w:t>
            </w:r>
          </w:p>
        </w:tc>
        <w:tc>
          <w:tcPr>
            <w:tcW w:w="885" w:type="pct"/>
          </w:tcPr>
          <w:p w14:paraId="656B1C6A" w14:textId="77777777" w:rsidR="00095872" w:rsidRPr="00BB3356" w:rsidRDefault="00095872" w:rsidP="00095872">
            <w:pPr>
              <w:spacing w:after="0"/>
              <w:rPr>
                <w:rFonts w:cs="Segoe UI Light"/>
                <w:sz w:val="18"/>
              </w:rPr>
            </w:pPr>
            <w:r w:rsidRPr="000D7D82">
              <w:rPr>
                <w:rFonts w:cs="Segoe UI Light"/>
                <w:sz w:val="18"/>
              </w:rPr>
              <w:t>Flat fee – 29.5 fee units</w:t>
            </w:r>
          </w:p>
        </w:tc>
        <w:tc>
          <w:tcPr>
            <w:tcW w:w="572" w:type="pct"/>
          </w:tcPr>
          <w:p w14:paraId="656B1C6B" w14:textId="77777777" w:rsidR="00095872" w:rsidRPr="000D7D82" w:rsidRDefault="00095872" w:rsidP="00095872">
            <w:pPr>
              <w:spacing w:after="0"/>
              <w:rPr>
                <w:rFonts w:cs="Segoe UI Light"/>
                <w:sz w:val="18"/>
              </w:rPr>
            </w:pPr>
            <w:r w:rsidRPr="000D7D82">
              <w:rPr>
                <w:rFonts w:cs="Segoe UI Light"/>
                <w:sz w:val="18"/>
              </w:rPr>
              <w:t>$426.28</w:t>
            </w:r>
          </w:p>
        </w:tc>
        <w:tc>
          <w:tcPr>
            <w:tcW w:w="780" w:type="pct"/>
          </w:tcPr>
          <w:p w14:paraId="656B1C6C" w14:textId="77777777" w:rsidR="00095872" w:rsidRPr="000D7D82" w:rsidRDefault="00095872" w:rsidP="00095872">
            <w:pPr>
              <w:spacing w:after="0"/>
              <w:rPr>
                <w:rFonts w:cs="Segoe UI Light"/>
                <w:sz w:val="18"/>
              </w:rPr>
            </w:pPr>
            <w:r w:rsidRPr="000D7D82">
              <w:rPr>
                <w:rFonts w:cs="Segoe UI Light"/>
                <w:sz w:val="18"/>
              </w:rPr>
              <w:t>Flat fee - 24.83 fee units</w:t>
            </w:r>
          </w:p>
        </w:tc>
        <w:tc>
          <w:tcPr>
            <w:tcW w:w="635" w:type="pct"/>
            <w:gridSpan w:val="2"/>
          </w:tcPr>
          <w:p w14:paraId="656B1C6D" w14:textId="77777777" w:rsidR="00095872" w:rsidRPr="000D7D82" w:rsidRDefault="00095872" w:rsidP="00095872">
            <w:pPr>
              <w:spacing w:after="0"/>
              <w:rPr>
                <w:rFonts w:cs="Segoe UI Light"/>
                <w:sz w:val="18"/>
              </w:rPr>
            </w:pPr>
            <w:r w:rsidRPr="000D7D82">
              <w:rPr>
                <w:rFonts w:cs="Segoe UI Light"/>
                <w:sz w:val="18"/>
              </w:rPr>
              <w:t xml:space="preserve">$358.79 </w:t>
            </w:r>
          </w:p>
        </w:tc>
        <w:tc>
          <w:tcPr>
            <w:tcW w:w="464" w:type="pct"/>
          </w:tcPr>
          <w:p w14:paraId="656B1C6E" w14:textId="0ED75223" w:rsidR="00095872" w:rsidRPr="000D7D82" w:rsidRDefault="00095872" w:rsidP="00095872">
            <w:pPr>
              <w:spacing w:after="0"/>
              <w:rPr>
                <w:rFonts w:cs="Segoe UI Light"/>
                <w:sz w:val="18"/>
              </w:rPr>
            </w:pPr>
            <w:r w:rsidRPr="000D7D82">
              <w:rPr>
                <w:rFonts w:cs="Segoe UI Light"/>
                <w:sz w:val="18"/>
              </w:rPr>
              <w:t>-15.8%</w:t>
            </w:r>
          </w:p>
        </w:tc>
      </w:tr>
      <w:tr w:rsidR="00095872" w:rsidRPr="000D7D82" w14:paraId="656B1C7A" w14:textId="77777777" w:rsidTr="00BB3356">
        <w:trPr>
          <w:cantSplit/>
          <w:trHeight w:val="216"/>
          <w:jc w:val="center"/>
        </w:trPr>
        <w:tc>
          <w:tcPr>
            <w:tcW w:w="461" w:type="pct"/>
          </w:tcPr>
          <w:p w14:paraId="656B1C70" w14:textId="77777777" w:rsidR="00095872" w:rsidRPr="000D7D82" w:rsidRDefault="00095872" w:rsidP="00095872">
            <w:pPr>
              <w:spacing w:after="0"/>
              <w:rPr>
                <w:rFonts w:cs="Segoe UI Light"/>
                <w:sz w:val="18"/>
              </w:rPr>
            </w:pPr>
            <w:r w:rsidRPr="000D7D82">
              <w:rPr>
                <w:rFonts w:cs="Segoe UI Light"/>
                <w:sz w:val="18"/>
              </w:rPr>
              <w:t>Permit</w:t>
            </w:r>
          </w:p>
        </w:tc>
        <w:tc>
          <w:tcPr>
            <w:tcW w:w="431" w:type="pct"/>
          </w:tcPr>
          <w:p w14:paraId="656B1C71" w14:textId="77777777" w:rsidR="00095872" w:rsidRPr="000D7D82" w:rsidRDefault="00095872" w:rsidP="00095872">
            <w:pPr>
              <w:spacing w:after="0"/>
              <w:rPr>
                <w:rFonts w:cs="Segoe UI Light"/>
                <w:sz w:val="18"/>
              </w:rPr>
            </w:pPr>
            <w:r w:rsidRPr="000D7D82">
              <w:rPr>
                <w:rFonts w:cs="Segoe UI Light"/>
                <w:sz w:val="18"/>
              </w:rPr>
              <w:t xml:space="preserve">Application. </w:t>
            </w:r>
          </w:p>
          <w:p w14:paraId="656B1C72" w14:textId="77777777" w:rsidR="00095872" w:rsidRPr="000D7D82" w:rsidRDefault="00095872" w:rsidP="00095872">
            <w:pPr>
              <w:spacing w:after="0"/>
              <w:rPr>
                <w:rFonts w:cs="Segoe UI Light"/>
                <w:sz w:val="18"/>
              </w:rPr>
            </w:pPr>
          </w:p>
          <w:p w14:paraId="656B1C73" w14:textId="77777777" w:rsidR="00095872" w:rsidRPr="000D7D82" w:rsidRDefault="00095872" w:rsidP="00095872">
            <w:pPr>
              <w:spacing w:after="0"/>
              <w:rPr>
                <w:rFonts w:cs="Segoe UI Light"/>
                <w:sz w:val="18"/>
              </w:rPr>
            </w:pPr>
          </w:p>
        </w:tc>
        <w:tc>
          <w:tcPr>
            <w:tcW w:w="772" w:type="pct"/>
          </w:tcPr>
          <w:p w14:paraId="656B1C74" w14:textId="77777777" w:rsidR="00095872" w:rsidRPr="000D7D82" w:rsidRDefault="00095872" w:rsidP="00095872">
            <w:pPr>
              <w:spacing w:after="0"/>
              <w:rPr>
                <w:rFonts w:cs="Segoe UI Light"/>
                <w:sz w:val="18"/>
              </w:rPr>
            </w:pPr>
            <w:r w:rsidRPr="000D7D82">
              <w:rPr>
                <w:rFonts w:cs="Segoe UI Light"/>
                <w:sz w:val="18"/>
              </w:rPr>
              <w:t>Reportable priority waste transport (full permit) [equal to or more than 1.5 tonnes but less than 30 tonnes (all other waste codes)]</w:t>
            </w:r>
          </w:p>
        </w:tc>
        <w:tc>
          <w:tcPr>
            <w:tcW w:w="885" w:type="pct"/>
          </w:tcPr>
          <w:p w14:paraId="656B1C75" w14:textId="77777777" w:rsidR="00095872" w:rsidRPr="00BB3356" w:rsidRDefault="00095872" w:rsidP="00095872">
            <w:pPr>
              <w:spacing w:after="0"/>
              <w:rPr>
                <w:rFonts w:cs="Segoe UI Light"/>
                <w:sz w:val="18"/>
              </w:rPr>
            </w:pPr>
            <w:r w:rsidRPr="000D7D82">
              <w:rPr>
                <w:rFonts w:cs="Segoe UI Light"/>
                <w:sz w:val="18"/>
              </w:rPr>
              <w:t>Flat fee – 49 fee units</w:t>
            </w:r>
          </w:p>
        </w:tc>
        <w:tc>
          <w:tcPr>
            <w:tcW w:w="572" w:type="pct"/>
          </w:tcPr>
          <w:p w14:paraId="656B1C76" w14:textId="77777777" w:rsidR="00095872" w:rsidRPr="000D7D82" w:rsidRDefault="00095872" w:rsidP="00095872">
            <w:pPr>
              <w:spacing w:after="0"/>
              <w:rPr>
                <w:rFonts w:cs="Segoe UI Light"/>
                <w:sz w:val="18"/>
              </w:rPr>
            </w:pPr>
            <w:r w:rsidRPr="000D7D82">
              <w:rPr>
                <w:rFonts w:cs="Segoe UI Light"/>
                <w:sz w:val="18"/>
              </w:rPr>
              <w:t>$708.05</w:t>
            </w:r>
          </w:p>
        </w:tc>
        <w:tc>
          <w:tcPr>
            <w:tcW w:w="780" w:type="pct"/>
          </w:tcPr>
          <w:p w14:paraId="656B1C77" w14:textId="77777777" w:rsidR="00095872" w:rsidRPr="000D7D82" w:rsidRDefault="00095872" w:rsidP="00095872">
            <w:pPr>
              <w:spacing w:after="0"/>
              <w:rPr>
                <w:rFonts w:cs="Segoe UI Light"/>
                <w:sz w:val="18"/>
              </w:rPr>
            </w:pPr>
            <w:r w:rsidRPr="000D7D82">
              <w:rPr>
                <w:rFonts w:cs="Segoe UI Light"/>
                <w:sz w:val="18"/>
              </w:rPr>
              <w:t>Flat fee - 24.83 fee units</w:t>
            </w:r>
          </w:p>
        </w:tc>
        <w:tc>
          <w:tcPr>
            <w:tcW w:w="635" w:type="pct"/>
            <w:gridSpan w:val="2"/>
          </w:tcPr>
          <w:p w14:paraId="656B1C78" w14:textId="77777777" w:rsidR="00095872" w:rsidRPr="000D7D82" w:rsidRDefault="00095872" w:rsidP="00095872">
            <w:pPr>
              <w:spacing w:after="0"/>
              <w:rPr>
                <w:rFonts w:cs="Segoe UI Light"/>
                <w:sz w:val="18"/>
              </w:rPr>
            </w:pPr>
            <w:r w:rsidRPr="000D7D82">
              <w:rPr>
                <w:rFonts w:cs="Segoe UI Light"/>
                <w:sz w:val="18"/>
              </w:rPr>
              <w:t xml:space="preserve">$358.79 </w:t>
            </w:r>
          </w:p>
        </w:tc>
        <w:tc>
          <w:tcPr>
            <w:tcW w:w="464" w:type="pct"/>
          </w:tcPr>
          <w:p w14:paraId="656B1C79" w14:textId="77777777" w:rsidR="00095872" w:rsidRPr="000D7D82" w:rsidRDefault="00095872" w:rsidP="00095872">
            <w:pPr>
              <w:spacing w:after="0"/>
              <w:rPr>
                <w:rFonts w:cs="Segoe UI Light"/>
                <w:sz w:val="18"/>
              </w:rPr>
            </w:pPr>
            <w:r w:rsidRPr="000D7D82">
              <w:rPr>
                <w:rFonts w:cs="Segoe UI Light"/>
                <w:sz w:val="18"/>
              </w:rPr>
              <w:t>-49.3%</w:t>
            </w:r>
          </w:p>
        </w:tc>
      </w:tr>
      <w:tr w:rsidR="00095872" w:rsidRPr="000D7D82" w14:paraId="656B1C85" w14:textId="77777777" w:rsidTr="00BB3356">
        <w:trPr>
          <w:cantSplit/>
          <w:trHeight w:val="216"/>
          <w:jc w:val="center"/>
        </w:trPr>
        <w:tc>
          <w:tcPr>
            <w:tcW w:w="461" w:type="pct"/>
          </w:tcPr>
          <w:p w14:paraId="656B1C7B" w14:textId="77777777" w:rsidR="00095872" w:rsidRPr="000D7D82" w:rsidRDefault="00095872" w:rsidP="00095872">
            <w:pPr>
              <w:spacing w:after="0"/>
              <w:rPr>
                <w:rFonts w:cs="Segoe UI Light"/>
                <w:sz w:val="18"/>
              </w:rPr>
            </w:pPr>
            <w:r w:rsidRPr="000D7D82">
              <w:rPr>
                <w:rFonts w:cs="Segoe UI Light"/>
                <w:sz w:val="18"/>
              </w:rPr>
              <w:t>Permit</w:t>
            </w:r>
          </w:p>
        </w:tc>
        <w:tc>
          <w:tcPr>
            <w:tcW w:w="431" w:type="pct"/>
          </w:tcPr>
          <w:p w14:paraId="656B1C7C" w14:textId="77777777" w:rsidR="00095872" w:rsidRPr="000D7D82" w:rsidRDefault="00095872" w:rsidP="00095872">
            <w:pPr>
              <w:spacing w:after="0"/>
              <w:rPr>
                <w:rFonts w:cs="Segoe UI Light"/>
                <w:sz w:val="18"/>
              </w:rPr>
            </w:pPr>
            <w:r w:rsidRPr="000D7D82">
              <w:rPr>
                <w:rFonts w:cs="Segoe UI Light"/>
                <w:sz w:val="18"/>
              </w:rPr>
              <w:t xml:space="preserve">Application. </w:t>
            </w:r>
          </w:p>
          <w:p w14:paraId="656B1C7D" w14:textId="77777777" w:rsidR="00095872" w:rsidRPr="000D7D82" w:rsidRDefault="00095872" w:rsidP="00095872">
            <w:pPr>
              <w:spacing w:after="0"/>
              <w:rPr>
                <w:rFonts w:cs="Segoe UI Light"/>
                <w:sz w:val="18"/>
              </w:rPr>
            </w:pPr>
          </w:p>
          <w:p w14:paraId="656B1C7E" w14:textId="77777777" w:rsidR="00095872" w:rsidRPr="000D7D82" w:rsidRDefault="00095872" w:rsidP="00095872">
            <w:pPr>
              <w:spacing w:after="0"/>
              <w:rPr>
                <w:rFonts w:cs="Segoe UI Light"/>
                <w:sz w:val="18"/>
              </w:rPr>
            </w:pPr>
          </w:p>
        </w:tc>
        <w:tc>
          <w:tcPr>
            <w:tcW w:w="772" w:type="pct"/>
          </w:tcPr>
          <w:p w14:paraId="656B1C7F" w14:textId="77777777" w:rsidR="00095872" w:rsidRPr="000D7D82" w:rsidRDefault="00095872" w:rsidP="00095872">
            <w:pPr>
              <w:spacing w:after="0"/>
              <w:rPr>
                <w:rFonts w:cs="Segoe UI Light"/>
                <w:sz w:val="18"/>
              </w:rPr>
            </w:pPr>
            <w:r w:rsidRPr="000D7D82">
              <w:rPr>
                <w:rFonts w:cs="Segoe UI Light"/>
                <w:sz w:val="18"/>
              </w:rPr>
              <w:t>Reportable priority waste transport (full permit) [30 tonnes or more (all other waste codes)]</w:t>
            </w:r>
          </w:p>
        </w:tc>
        <w:tc>
          <w:tcPr>
            <w:tcW w:w="885" w:type="pct"/>
          </w:tcPr>
          <w:p w14:paraId="656B1C80" w14:textId="77777777" w:rsidR="00095872" w:rsidRPr="008A23C8" w:rsidRDefault="00095872" w:rsidP="00095872">
            <w:pPr>
              <w:spacing w:after="0"/>
              <w:rPr>
                <w:rFonts w:cs="Segoe UI Light"/>
                <w:sz w:val="18"/>
              </w:rPr>
            </w:pPr>
            <w:r w:rsidRPr="000D7D82">
              <w:rPr>
                <w:rFonts w:cs="Segoe UI Light"/>
                <w:sz w:val="18"/>
              </w:rPr>
              <w:t>Flat fee – 142 fee units</w:t>
            </w:r>
          </w:p>
        </w:tc>
        <w:tc>
          <w:tcPr>
            <w:tcW w:w="572" w:type="pct"/>
          </w:tcPr>
          <w:p w14:paraId="656B1C81" w14:textId="77777777" w:rsidR="00095872" w:rsidRPr="000D7D82" w:rsidRDefault="00095872" w:rsidP="00095872">
            <w:pPr>
              <w:spacing w:after="0"/>
              <w:rPr>
                <w:rFonts w:cs="Segoe UI Light"/>
                <w:sz w:val="18"/>
              </w:rPr>
            </w:pPr>
            <w:r w:rsidRPr="000D7D82">
              <w:rPr>
                <w:rFonts w:cs="Segoe UI Light"/>
                <w:sz w:val="18"/>
              </w:rPr>
              <w:t>$2,051.90</w:t>
            </w:r>
          </w:p>
        </w:tc>
        <w:tc>
          <w:tcPr>
            <w:tcW w:w="780" w:type="pct"/>
          </w:tcPr>
          <w:p w14:paraId="656B1C82" w14:textId="77777777" w:rsidR="00095872" w:rsidRPr="000D7D82" w:rsidRDefault="00095872" w:rsidP="00095872">
            <w:pPr>
              <w:spacing w:after="0"/>
              <w:rPr>
                <w:rFonts w:cs="Segoe UI Light"/>
                <w:sz w:val="18"/>
              </w:rPr>
            </w:pPr>
            <w:r w:rsidRPr="000D7D82">
              <w:rPr>
                <w:rFonts w:cs="Segoe UI Light"/>
                <w:sz w:val="18"/>
              </w:rPr>
              <w:t>Flat fee - 24.83 fee units</w:t>
            </w:r>
          </w:p>
        </w:tc>
        <w:tc>
          <w:tcPr>
            <w:tcW w:w="635" w:type="pct"/>
            <w:gridSpan w:val="2"/>
          </w:tcPr>
          <w:p w14:paraId="656B1C83" w14:textId="77777777" w:rsidR="00095872" w:rsidRPr="000D7D82" w:rsidRDefault="00095872" w:rsidP="00095872">
            <w:pPr>
              <w:spacing w:after="0"/>
              <w:rPr>
                <w:rFonts w:cs="Segoe UI Light"/>
                <w:sz w:val="18"/>
              </w:rPr>
            </w:pPr>
            <w:r w:rsidRPr="000D7D82">
              <w:rPr>
                <w:rFonts w:cs="Segoe UI Light"/>
                <w:sz w:val="18"/>
              </w:rPr>
              <w:t xml:space="preserve">$358.79 </w:t>
            </w:r>
          </w:p>
        </w:tc>
        <w:tc>
          <w:tcPr>
            <w:tcW w:w="464" w:type="pct"/>
          </w:tcPr>
          <w:p w14:paraId="656B1C84" w14:textId="77777777" w:rsidR="00095872" w:rsidRPr="000D7D82" w:rsidRDefault="00095872" w:rsidP="00095872">
            <w:pPr>
              <w:spacing w:after="0"/>
              <w:rPr>
                <w:rFonts w:cs="Segoe UI Light"/>
                <w:sz w:val="18"/>
              </w:rPr>
            </w:pPr>
            <w:r w:rsidRPr="000D7D82">
              <w:rPr>
                <w:rFonts w:cs="Segoe UI Light"/>
                <w:sz w:val="18"/>
              </w:rPr>
              <w:t>-82.5%</w:t>
            </w:r>
          </w:p>
        </w:tc>
      </w:tr>
      <w:tr w:rsidR="00095872" w:rsidRPr="000D7D82" w14:paraId="656B1C90" w14:textId="77777777" w:rsidTr="00BB3356">
        <w:trPr>
          <w:cantSplit/>
          <w:trHeight w:val="216"/>
          <w:jc w:val="center"/>
        </w:trPr>
        <w:tc>
          <w:tcPr>
            <w:tcW w:w="461" w:type="pct"/>
          </w:tcPr>
          <w:p w14:paraId="656B1C86" w14:textId="77777777" w:rsidR="00095872" w:rsidRPr="000D7D82" w:rsidRDefault="00095872" w:rsidP="00095872">
            <w:pPr>
              <w:spacing w:after="0"/>
              <w:rPr>
                <w:rFonts w:cs="Segoe UI Light"/>
                <w:sz w:val="18"/>
              </w:rPr>
            </w:pPr>
            <w:r w:rsidRPr="000D7D82">
              <w:rPr>
                <w:rFonts w:cs="Segoe UI Light"/>
                <w:sz w:val="18"/>
              </w:rPr>
              <w:t>Permit</w:t>
            </w:r>
          </w:p>
        </w:tc>
        <w:tc>
          <w:tcPr>
            <w:tcW w:w="431" w:type="pct"/>
          </w:tcPr>
          <w:p w14:paraId="656B1C87" w14:textId="77777777" w:rsidR="00095872" w:rsidRPr="000D7D82" w:rsidRDefault="00095872" w:rsidP="00095872">
            <w:pPr>
              <w:spacing w:after="0"/>
              <w:rPr>
                <w:rFonts w:cs="Segoe UI Light"/>
                <w:sz w:val="18"/>
              </w:rPr>
            </w:pPr>
            <w:r w:rsidRPr="000D7D82">
              <w:rPr>
                <w:rFonts w:cs="Segoe UI Light"/>
                <w:sz w:val="18"/>
              </w:rPr>
              <w:t xml:space="preserve">Application. </w:t>
            </w:r>
          </w:p>
          <w:p w14:paraId="656B1C88" w14:textId="77777777" w:rsidR="00095872" w:rsidRPr="000D7D82" w:rsidRDefault="00095872" w:rsidP="00095872">
            <w:pPr>
              <w:spacing w:after="0"/>
              <w:rPr>
                <w:rFonts w:cs="Segoe UI Light"/>
                <w:sz w:val="18"/>
              </w:rPr>
            </w:pPr>
          </w:p>
          <w:p w14:paraId="656B1C89" w14:textId="77777777" w:rsidR="00095872" w:rsidRPr="000D7D82" w:rsidRDefault="00095872" w:rsidP="00095872">
            <w:pPr>
              <w:spacing w:after="0"/>
              <w:rPr>
                <w:rFonts w:cs="Segoe UI Light"/>
                <w:sz w:val="18"/>
              </w:rPr>
            </w:pPr>
          </w:p>
        </w:tc>
        <w:tc>
          <w:tcPr>
            <w:tcW w:w="772" w:type="pct"/>
          </w:tcPr>
          <w:p w14:paraId="656B1C8A" w14:textId="77777777" w:rsidR="00095872" w:rsidRPr="000D7D82" w:rsidRDefault="00095872" w:rsidP="00095872">
            <w:pPr>
              <w:spacing w:after="0"/>
              <w:rPr>
                <w:rFonts w:cs="Segoe UI Light"/>
                <w:sz w:val="18"/>
              </w:rPr>
            </w:pPr>
            <w:r w:rsidRPr="000D7D82">
              <w:rPr>
                <w:rFonts w:cs="Segoe UI Light"/>
                <w:sz w:val="18"/>
              </w:rPr>
              <w:t>Reportable priority waste transport (full permit) [less than 1.5 tonnes (G100-G160, E100-E130)]</w:t>
            </w:r>
          </w:p>
        </w:tc>
        <w:tc>
          <w:tcPr>
            <w:tcW w:w="885" w:type="pct"/>
          </w:tcPr>
          <w:p w14:paraId="656B1C8B" w14:textId="77777777" w:rsidR="00095872" w:rsidRPr="008A23C8" w:rsidRDefault="00095872" w:rsidP="00095872">
            <w:pPr>
              <w:spacing w:after="0"/>
              <w:rPr>
                <w:rFonts w:cs="Segoe UI Light"/>
                <w:sz w:val="18"/>
              </w:rPr>
            </w:pPr>
            <w:r w:rsidRPr="000D7D82">
              <w:rPr>
                <w:rFonts w:cs="Segoe UI Light"/>
                <w:sz w:val="18"/>
              </w:rPr>
              <w:t>Flat fee – 34.25 fee units</w:t>
            </w:r>
          </w:p>
        </w:tc>
        <w:tc>
          <w:tcPr>
            <w:tcW w:w="572" w:type="pct"/>
          </w:tcPr>
          <w:p w14:paraId="656B1C8C" w14:textId="77777777" w:rsidR="00095872" w:rsidRPr="000D7D82" w:rsidRDefault="00095872" w:rsidP="00095872">
            <w:pPr>
              <w:spacing w:after="0"/>
              <w:rPr>
                <w:rFonts w:cs="Segoe UI Light"/>
                <w:sz w:val="18"/>
              </w:rPr>
            </w:pPr>
            <w:r w:rsidRPr="000D7D82">
              <w:rPr>
                <w:rFonts w:cs="Segoe UI Light"/>
                <w:sz w:val="18"/>
              </w:rPr>
              <w:t>$494.91</w:t>
            </w:r>
          </w:p>
        </w:tc>
        <w:tc>
          <w:tcPr>
            <w:tcW w:w="780" w:type="pct"/>
          </w:tcPr>
          <w:p w14:paraId="656B1C8D" w14:textId="77777777" w:rsidR="00095872" w:rsidRPr="000D7D82" w:rsidRDefault="00095872" w:rsidP="00095872">
            <w:pPr>
              <w:spacing w:after="0"/>
              <w:rPr>
                <w:rFonts w:cs="Segoe UI Light"/>
                <w:sz w:val="18"/>
              </w:rPr>
            </w:pPr>
            <w:r w:rsidRPr="000D7D82">
              <w:rPr>
                <w:rFonts w:cs="Segoe UI Light"/>
                <w:sz w:val="18"/>
              </w:rPr>
              <w:t>Flat fee - 24.83 fee units</w:t>
            </w:r>
          </w:p>
        </w:tc>
        <w:tc>
          <w:tcPr>
            <w:tcW w:w="635" w:type="pct"/>
            <w:gridSpan w:val="2"/>
          </w:tcPr>
          <w:p w14:paraId="656B1C8E" w14:textId="77777777" w:rsidR="00095872" w:rsidRPr="000D7D82" w:rsidRDefault="00095872" w:rsidP="00095872">
            <w:pPr>
              <w:spacing w:after="0"/>
              <w:rPr>
                <w:rFonts w:cs="Segoe UI Light"/>
                <w:sz w:val="18"/>
              </w:rPr>
            </w:pPr>
            <w:r w:rsidRPr="000D7D82">
              <w:rPr>
                <w:rFonts w:cs="Segoe UI Light"/>
                <w:sz w:val="18"/>
              </w:rPr>
              <w:t xml:space="preserve">$358.79 </w:t>
            </w:r>
          </w:p>
        </w:tc>
        <w:tc>
          <w:tcPr>
            <w:tcW w:w="464" w:type="pct"/>
          </w:tcPr>
          <w:p w14:paraId="656B1C8F" w14:textId="77777777" w:rsidR="00095872" w:rsidRPr="000D7D82" w:rsidRDefault="00095872" w:rsidP="00095872">
            <w:pPr>
              <w:spacing w:after="0"/>
              <w:rPr>
                <w:rFonts w:cs="Segoe UI Light"/>
                <w:sz w:val="18"/>
              </w:rPr>
            </w:pPr>
            <w:r w:rsidRPr="000D7D82">
              <w:rPr>
                <w:rFonts w:cs="Segoe UI Light"/>
                <w:sz w:val="18"/>
              </w:rPr>
              <w:t>-27.5%</w:t>
            </w:r>
          </w:p>
        </w:tc>
      </w:tr>
      <w:tr w:rsidR="00095872" w:rsidRPr="000D7D82" w14:paraId="656B1C9B" w14:textId="77777777" w:rsidTr="00BB3356">
        <w:trPr>
          <w:cantSplit/>
          <w:trHeight w:val="216"/>
          <w:jc w:val="center"/>
        </w:trPr>
        <w:tc>
          <w:tcPr>
            <w:tcW w:w="461" w:type="pct"/>
          </w:tcPr>
          <w:p w14:paraId="656B1C91" w14:textId="77777777" w:rsidR="00095872" w:rsidRPr="000D7D82" w:rsidRDefault="00095872" w:rsidP="00095872">
            <w:pPr>
              <w:spacing w:after="0"/>
              <w:rPr>
                <w:rFonts w:cs="Segoe UI Light"/>
                <w:sz w:val="18"/>
              </w:rPr>
            </w:pPr>
            <w:r w:rsidRPr="000D7D82">
              <w:rPr>
                <w:rFonts w:cs="Segoe UI Light"/>
                <w:sz w:val="18"/>
              </w:rPr>
              <w:t>Permit</w:t>
            </w:r>
          </w:p>
        </w:tc>
        <w:tc>
          <w:tcPr>
            <w:tcW w:w="431" w:type="pct"/>
          </w:tcPr>
          <w:p w14:paraId="656B1C92" w14:textId="77777777" w:rsidR="00095872" w:rsidRPr="000D7D82" w:rsidRDefault="00095872" w:rsidP="00095872">
            <w:pPr>
              <w:spacing w:after="0"/>
              <w:rPr>
                <w:rFonts w:cs="Segoe UI Light"/>
                <w:sz w:val="18"/>
              </w:rPr>
            </w:pPr>
            <w:r w:rsidRPr="000D7D82">
              <w:rPr>
                <w:rFonts w:cs="Segoe UI Light"/>
                <w:sz w:val="18"/>
              </w:rPr>
              <w:t xml:space="preserve">Application. </w:t>
            </w:r>
          </w:p>
          <w:p w14:paraId="656B1C93" w14:textId="77777777" w:rsidR="00095872" w:rsidRPr="000D7D82" w:rsidRDefault="00095872" w:rsidP="00095872">
            <w:pPr>
              <w:spacing w:after="0"/>
              <w:rPr>
                <w:rFonts w:cs="Segoe UI Light"/>
                <w:sz w:val="18"/>
              </w:rPr>
            </w:pPr>
          </w:p>
          <w:p w14:paraId="656B1C94" w14:textId="77777777" w:rsidR="00095872" w:rsidRPr="000D7D82" w:rsidRDefault="00095872" w:rsidP="00095872">
            <w:pPr>
              <w:spacing w:after="0"/>
              <w:rPr>
                <w:rFonts w:cs="Segoe UI Light"/>
                <w:sz w:val="18"/>
              </w:rPr>
            </w:pPr>
          </w:p>
        </w:tc>
        <w:tc>
          <w:tcPr>
            <w:tcW w:w="772" w:type="pct"/>
          </w:tcPr>
          <w:p w14:paraId="656B1C95" w14:textId="77777777" w:rsidR="00095872" w:rsidRPr="000D7D82" w:rsidRDefault="00095872" w:rsidP="00095872">
            <w:pPr>
              <w:spacing w:after="0"/>
              <w:rPr>
                <w:rFonts w:cs="Segoe UI Light"/>
                <w:sz w:val="18"/>
              </w:rPr>
            </w:pPr>
            <w:r w:rsidRPr="000D7D82">
              <w:rPr>
                <w:rFonts w:cs="Segoe UI Light"/>
                <w:sz w:val="18"/>
              </w:rPr>
              <w:t>Reportable priority waste transport (full permit) [equal to or more than 1.5 tonnes but less than 30 tonnes (G100-G160, E100-E130)]</w:t>
            </w:r>
          </w:p>
        </w:tc>
        <w:tc>
          <w:tcPr>
            <w:tcW w:w="885" w:type="pct"/>
          </w:tcPr>
          <w:p w14:paraId="656B1C96" w14:textId="77777777" w:rsidR="00095872" w:rsidRPr="008A23C8" w:rsidRDefault="00095872" w:rsidP="00095872">
            <w:pPr>
              <w:spacing w:after="0"/>
              <w:rPr>
                <w:rFonts w:cs="Segoe UI Light"/>
                <w:sz w:val="18"/>
              </w:rPr>
            </w:pPr>
            <w:r w:rsidRPr="000D7D82">
              <w:rPr>
                <w:rFonts w:cs="Segoe UI Light"/>
                <w:sz w:val="18"/>
              </w:rPr>
              <w:t>Flat fee – 58.75 fee units</w:t>
            </w:r>
          </w:p>
        </w:tc>
        <w:tc>
          <w:tcPr>
            <w:tcW w:w="572" w:type="pct"/>
          </w:tcPr>
          <w:p w14:paraId="656B1C97" w14:textId="77777777" w:rsidR="00095872" w:rsidRPr="000D7D82" w:rsidRDefault="00095872" w:rsidP="00095872">
            <w:pPr>
              <w:spacing w:after="0"/>
              <w:rPr>
                <w:rFonts w:cs="Segoe UI Light"/>
                <w:sz w:val="18"/>
              </w:rPr>
            </w:pPr>
            <w:r w:rsidRPr="000D7D82">
              <w:rPr>
                <w:rFonts w:cs="Segoe UI Light"/>
                <w:sz w:val="18"/>
              </w:rPr>
              <w:t>$848.94</w:t>
            </w:r>
          </w:p>
        </w:tc>
        <w:tc>
          <w:tcPr>
            <w:tcW w:w="780" w:type="pct"/>
            <w:tcBorders>
              <w:bottom w:val="single" w:sz="4" w:space="0" w:color="000000" w:themeColor="text1"/>
            </w:tcBorders>
          </w:tcPr>
          <w:p w14:paraId="656B1C98" w14:textId="77777777" w:rsidR="00095872" w:rsidRPr="000D7D82" w:rsidRDefault="00095872" w:rsidP="00095872">
            <w:pPr>
              <w:spacing w:after="0"/>
              <w:rPr>
                <w:rFonts w:cs="Segoe UI Light"/>
                <w:sz w:val="18"/>
              </w:rPr>
            </w:pPr>
            <w:r w:rsidRPr="000D7D82">
              <w:rPr>
                <w:rFonts w:cs="Segoe UI Light"/>
                <w:sz w:val="18"/>
              </w:rPr>
              <w:t>Flat fee - 24.83 fee units</w:t>
            </w:r>
          </w:p>
        </w:tc>
        <w:tc>
          <w:tcPr>
            <w:tcW w:w="635" w:type="pct"/>
            <w:gridSpan w:val="2"/>
            <w:tcBorders>
              <w:bottom w:val="single" w:sz="4" w:space="0" w:color="000000" w:themeColor="text1"/>
            </w:tcBorders>
          </w:tcPr>
          <w:p w14:paraId="656B1C99" w14:textId="77777777" w:rsidR="00095872" w:rsidRPr="000D7D82" w:rsidRDefault="00095872" w:rsidP="00095872">
            <w:pPr>
              <w:spacing w:after="0"/>
              <w:rPr>
                <w:rFonts w:cs="Segoe UI Light"/>
                <w:sz w:val="18"/>
              </w:rPr>
            </w:pPr>
            <w:r w:rsidRPr="000D7D82">
              <w:rPr>
                <w:rFonts w:cs="Segoe UI Light"/>
                <w:sz w:val="18"/>
              </w:rPr>
              <w:t xml:space="preserve">$358.79 </w:t>
            </w:r>
          </w:p>
        </w:tc>
        <w:tc>
          <w:tcPr>
            <w:tcW w:w="464" w:type="pct"/>
            <w:tcBorders>
              <w:bottom w:val="single" w:sz="4" w:space="0" w:color="000000" w:themeColor="text1"/>
            </w:tcBorders>
          </w:tcPr>
          <w:p w14:paraId="656B1C9A" w14:textId="77777777" w:rsidR="00095872" w:rsidRPr="000D7D82" w:rsidRDefault="00095872" w:rsidP="00095872">
            <w:pPr>
              <w:spacing w:after="0"/>
              <w:rPr>
                <w:rFonts w:cs="Segoe UI Light"/>
                <w:sz w:val="18"/>
              </w:rPr>
            </w:pPr>
            <w:r w:rsidRPr="000D7D82">
              <w:rPr>
                <w:rFonts w:cs="Segoe UI Light"/>
                <w:sz w:val="18"/>
              </w:rPr>
              <w:t>-57.7%</w:t>
            </w:r>
          </w:p>
        </w:tc>
      </w:tr>
      <w:tr w:rsidR="00095872" w:rsidRPr="000D7D82" w14:paraId="656B1CA6" w14:textId="77777777" w:rsidTr="00BB3356">
        <w:trPr>
          <w:cantSplit/>
          <w:trHeight w:val="216"/>
          <w:jc w:val="center"/>
        </w:trPr>
        <w:tc>
          <w:tcPr>
            <w:tcW w:w="461" w:type="pct"/>
            <w:tcBorders>
              <w:bottom w:val="single" w:sz="4" w:space="0" w:color="auto"/>
            </w:tcBorders>
          </w:tcPr>
          <w:p w14:paraId="656B1C9C" w14:textId="77777777" w:rsidR="00095872" w:rsidRPr="000D7D82" w:rsidRDefault="00095872" w:rsidP="00095872">
            <w:pPr>
              <w:spacing w:after="0"/>
              <w:rPr>
                <w:rFonts w:cs="Segoe UI Light"/>
                <w:sz w:val="18"/>
              </w:rPr>
            </w:pPr>
            <w:r w:rsidRPr="000D7D82">
              <w:rPr>
                <w:rFonts w:cs="Segoe UI Light"/>
                <w:sz w:val="18"/>
              </w:rPr>
              <w:t>Permit</w:t>
            </w:r>
          </w:p>
        </w:tc>
        <w:tc>
          <w:tcPr>
            <w:tcW w:w="431" w:type="pct"/>
            <w:tcBorders>
              <w:bottom w:val="single" w:sz="4" w:space="0" w:color="auto"/>
            </w:tcBorders>
          </w:tcPr>
          <w:p w14:paraId="656B1C9D" w14:textId="77777777" w:rsidR="00095872" w:rsidRPr="000D7D82" w:rsidRDefault="00095872" w:rsidP="00095872">
            <w:pPr>
              <w:spacing w:after="0"/>
              <w:rPr>
                <w:rFonts w:cs="Segoe UI Light"/>
                <w:sz w:val="18"/>
              </w:rPr>
            </w:pPr>
            <w:r w:rsidRPr="000D7D82">
              <w:rPr>
                <w:rFonts w:cs="Segoe UI Light"/>
                <w:sz w:val="18"/>
              </w:rPr>
              <w:t xml:space="preserve">Application. </w:t>
            </w:r>
          </w:p>
          <w:p w14:paraId="656B1C9E" w14:textId="77777777" w:rsidR="00095872" w:rsidRPr="000D7D82" w:rsidRDefault="00095872" w:rsidP="00095872">
            <w:pPr>
              <w:spacing w:after="0"/>
              <w:rPr>
                <w:rFonts w:cs="Segoe UI Light"/>
                <w:sz w:val="18"/>
              </w:rPr>
            </w:pPr>
          </w:p>
          <w:p w14:paraId="656B1C9F" w14:textId="77777777" w:rsidR="00095872" w:rsidRPr="000D7D82" w:rsidRDefault="00095872" w:rsidP="00095872">
            <w:pPr>
              <w:spacing w:after="0"/>
              <w:rPr>
                <w:rFonts w:cs="Segoe UI Light"/>
                <w:sz w:val="18"/>
              </w:rPr>
            </w:pPr>
          </w:p>
        </w:tc>
        <w:tc>
          <w:tcPr>
            <w:tcW w:w="772" w:type="pct"/>
            <w:tcBorders>
              <w:bottom w:val="single" w:sz="4" w:space="0" w:color="auto"/>
            </w:tcBorders>
          </w:tcPr>
          <w:p w14:paraId="656B1CA0" w14:textId="77777777" w:rsidR="00095872" w:rsidRPr="000D7D82" w:rsidRDefault="00095872" w:rsidP="00095872">
            <w:pPr>
              <w:spacing w:after="0"/>
              <w:rPr>
                <w:rFonts w:cs="Segoe UI Light"/>
                <w:sz w:val="18"/>
              </w:rPr>
            </w:pPr>
            <w:r w:rsidRPr="000D7D82">
              <w:rPr>
                <w:rFonts w:cs="Segoe UI Light"/>
                <w:sz w:val="18"/>
              </w:rPr>
              <w:t>Reportable priority waste transport (full permit) [30 tonnes or more (G100-G160, E100-E130)]</w:t>
            </w:r>
          </w:p>
        </w:tc>
        <w:tc>
          <w:tcPr>
            <w:tcW w:w="885" w:type="pct"/>
          </w:tcPr>
          <w:p w14:paraId="656B1CA1" w14:textId="77777777" w:rsidR="00095872" w:rsidRPr="000D7D82" w:rsidRDefault="00095872" w:rsidP="00095872">
            <w:pPr>
              <w:spacing w:after="0"/>
              <w:rPr>
                <w:rFonts w:cs="Segoe UI Light"/>
                <w:sz w:val="18"/>
              </w:rPr>
            </w:pPr>
            <w:r w:rsidRPr="000D7D82">
              <w:rPr>
                <w:rFonts w:cs="Segoe UI Light"/>
                <w:sz w:val="18"/>
              </w:rPr>
              <w:t>Flat fee – 161.75 fee units</w:t>
            </w:r>
          </w:p>
        </w:tc>
        <w:tc>
          <w:tcPr>
            <w:tcW w:w="572" w:type="pct"/>
          </w:tcPr>
          <w:p w14:paraId="656B1CA2" w14:textId="77777777" w:rsidR="00095872" w:rsidRPr="000D7D82" w:rsidRDefault="00095872" w:rsidP="00095872">
            <w:pPr>
              <w:spacing w:after="0"/>
              <w:rPr>
                <w:rFonts w:cs="Segoe UI Light"/>
                <w:sz w:val="18"/>
              </w:rPr>
            </w:pPr>
            <w:r w:rsidRPr="000D7D82">
              <w:rPr>
                <w:rFonts w:cs="Segoe UI Light"/>
                <w:sz w:val="18"/>
              </w:rPr>
              <w:t>$2,337.29</w:t>
            </w:r>
          </w:p>
        </w:tc>
        <w:tc>
          <w:tcPr>
            <w:tcW w:w="780" w:type="pct"/>
            <w:tcBorders>
              <w:top w:val="single" w:sz="4" w:space="0" w:color="000000" w:themeColor="text1"/>
              <w:bottom w:val="nil"/>
            </w:tcBorders>
          </w:tcPr>
          <w:p w14:paraId="656B1CA3" w14:textId="77777777" w:rsidR="00095872" w:rsidRPr="000D7D82" w:rsidRDefault="00095872" w:rsidP="00095872">
            <w:pPr>
              <w:spacing w:after="0"/>
              <w:rPr>
                <w:rFonts w:cs="Segoe UI Light"/>
                <w:sz w:val="18"/>
              </w:rPr>
            </w:pPr>
            <w:r w:rsidRPr="000D7D82">
              <w:rPr>
                <w:rFonts w:cs="Segoe UI Light"/>
                <w:sz w:val="18"/>
              </w:rPr>
              <w:t>Flat fee - 24.83 fee units</w:t>
            </w:r>
          </w:p>
        </w:tc>
        <w:tc>
          <w:tcPr>
            <w:tcW w:w="635" w:type="pct"/>
            <w:gridSpan w:val="2"/>
            <w:tcBorders>
              <w:top w:val="single" w:sz="4" w:space="0" w:color="000000" w:themeColor="text1"/>
              <w:bottom w:val="nil"/>
            </w:tcBorders>
          </w:tcPr>
          <w:p w14:paraId="656B1CA4" w14:textId="77777777" w:rsidR="00095872" w:rsidRPr="000D7D82" w:rsidRDefault="00095872" w:rsidP="00095872">
            <w:pPr>
              <w:spacing w:after="0"/>
              <w:rPr>
                <w:rFonts w:cs="Segoe UI Light"/>
                <w:sz w:val="18"/>
              </w:rPr>
            </w:pPr>
            <w:r w:rsidRPr="000D7D82">
              <w:rPr>
                <w:rFonts w:cs="Segoe UI Light"/>
                <w:sz w:val="18"/>
              </w:rPr>
              <w:t xml:space="preserve">$358.79 </w:t>
            </w:r>
          </w:p>
        </w:tc>
        <w:tc>
          <w:tcPr>
            <w:tcW w:w="464" w:type="pct"/>
            <w:tcBorders>
              <w:top w:val="single" w:sz="4" w:space="0" w:color="000000" w:themeColor="text1"/>
              <w:bottom w:val="nil"/>
            </w:tcBorders>
          </w:tcPr>
          <w:p w14:paraId="656B1CA5" w14:textId="77777777" w:rsidR="00095872" w:rsidRPr="000D7D82" w:rsidRDefault="00095872" w:rsidP="00095872">
            <w:pPr>
              <w:spacing w:after="0"/>
              <w:rPr>
                <w:rFonts w:cs="Segoe UI Light"/>
                <w:sz w:val="18"/>
              </w:rPr>
            </w:pPr>
            <w:r w:rsidRPr="000D7D82">
              <w:rPr>
                <w:rFonts w:cs="Segoe UI Light"/>
                <w:sz w:val="18"/>
              </w:rPr>
              <w:t>-84.6%</w:t>
            </w:r>
          </w:p>
        </w:tc>
      </w:tr>
      <w:tr w:rsidR="00583EC7" w:rsidRPr="000D7D82" w14:paraId="656B1CB8" w14:textId="77777777" w:rsidTr="00BB3356">
        <w:trPr>
          <w:cantSplit/>
          <w:trHeight w:val="216"/>
          <w:jc w:val="center"/>
        </w:trPr>
        <w:tc>
          <w:tcPr>
            <w:tcW w:w="461" w:type="pct"/>
            <w:tcBorders>
              <w:top w:val="single" w:sz="4" w:space="0" w:color="auto"/>
              <w:bottom w:val="single" w:sz="4" w:space="0" w:color="auto"/>
            </w:tcBorders>
          </w:tcPr>
          <w:p w14:paraId="656B1CAF" w14:textId="77777777" w:rsidR="00583EC7" w:rsidRPr="000D7D82" w:rsidRDefault="00583EC7" w:rsidP="00583EC7">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B0" w14:textId="77777777" w:rsidR="00583EC7" w:rsidRPr="000D7D82" w:rsidRDefault="00583EC7" w:rsidP="00583EC7">
            <w:pPr>
              <w:spacing w:after="0"/>
              <w:rPr>
                <w:rFonts w:cs="Segoe UI Light"/>
                <w:sz w:val="18"/>
              </w:rPr>
            </w:pPr>
            <w:r w:rsidRPr="000D7D82">
              <w:rPr>
                <w:rFonts w:cs="Segoe UI Light"/>
                <w:sz w:val="18"/>
              </w:rPr>
              <w:t>Transfer</w:t>
            </w:r>
          </w:p>
        </w:tc>
        <w:tc>
          <w:tcPr>
            <w:tcW w:w="772" w:type="pct"/>
            <w:tcBorders>
              <w:top w:val="single" w:sz="4" w:space="0" w:color="auto"/>
              <w:bottom w:val="single" w:sz="4" w:space="0" w:color="auto"/>
            </w:tcBorders>
          </w:tcPr>
          <w:p w14:paraId="656B1CB1" w14:textId="77777777" w:rsidR="00583EC7" w:rsidRPr="000D7D82" w:rsidRDefault="00583EC7" w:rsidP="00583EC7">
            <w:pPr>
              <w:spacing w:after="0"/>
              <w:rPr>
                <w:rFonts w:cs="Segoe UI Light"/>
                <w:sz w:val="18"/>
              </w:rPr>
            </w:pPr>
            <w:r w:rsidRPr="000D7D82">
              <w:rPr>
                <w:rFonts w:cs="Segoe UI Light"/>
                <w:sz w:val="18"/>
              </w:rPr>
              <w:t>Reportable priority waste transport (full permit) [less than 1.5 tonnes (R100, K100, K120, K200, T130)]</w:t>
            </w:r>
          </w:p>
        </w:tc>
        <w:tc>
          <w:tcPr>
            <w:tcW w:w="885" w:type="pct"/>
            <w:tcBorders>
              <w:top w:val="single" w:sz="4" w:space="0" w:color="auto"/>
              <w:bottom w:val="single" w:sz="4" w:space="0" w:color="auto"/>
            </w:tcBorders>
          </w:tcPr>
          <w:p w14:paraId="656B1CB2" w14:textId="0681CF48" w:rsidR="00583EC7" w:rsidRPr="000D7D82" w:rsidRDefault="00583EC7" w:rsidP="00583EC7">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CB3" w14:textId="77777777" w:rsidR="00583EC7" w:rsidRPr="000D7D82" w:rsidRDefault="00583EC7" w:rsidP="00583EC7">
            <w:pPr>
              <w:spacing w:after="0"/>
              <w:rPr>
                <w:rFonts w:cs="Segoe UI Light"/>
                <w:sz w:val="18"/>
              </w:rPr>
            </w:pPr>
            <w:r w:rsidRPr="000D7D82">
              <w:rPr>
                <w:rFonts w:cs="Segoe UI Light"/>
                <w:sz w:val="18"/>
              </w:rPr>
              <w:t xml:space="preserve">5.15 fee units: </w:t>
            </w:r>
          </w:p>
          <w:p w14:paraId="656B1CB4" w14:textId="77777777" w:rsidR="00583EC7" w:rsidRPr="000D7D82" w:rsidRDefault="00583EC7" w:rsidP="00583EC7">
            <w:pPr>
              <w:spacing w:after="0"/>
              <w:rPr>
                <w:rFonts w:cs="Segoe UI Light"/>
                <w:sz w:val="18"/>
              </w:rPr>
            </w:pPr>
            <w:r w:rsidRPr="000D7D82">
              <w:rPr>
                <w:rFonts w:cs="Segoe UI Light"/>
                <w:sz w:val="18"/>
              </w:rPr>
              <w:t>$74.42</w:t>
            </w:r>
          </w:p>
        </w:tc>
        <w:tc>
          <w:tcPr>
            <w:tcW w:w="780" w:type="pct"/>
            <w:tcBorders>
              <w:top w:val="single" w:sz="4" w:space="0" w:color="auto"/>
              <w:left w:val="nil"/>
              <w:bottom w:val="single" w:sz="4" w:space="0" w:color="auto"/>
              <w:right w:val="nil"/>
            </w:tcBorders>
          </w:tcPr>
          <w:p w14:paraId="656B1CB5" w14:textId="77777777" w:rsidR="00583EC7" w:rsidRPr="000D7D82" w:rsidRDefault="00583EC7" w:rsidP="00583EC7">
            <w:pPr>
              <w:spacing w:after="0"/>
              <w:rPr>
                <w:rFonts w:cs="Segoe UI Light"/>
                <w:sz w:val="18"/>
              </w:rPr>
            </w:pPr>
            <w:r w:rsidRPr="000D7D82">
              <w:rPr>
                <w:rFonts w:cs="Segoe UI Light"/>
                <w:sz w:val="18"/>
              </w:rPr>
              <w:t>Flat fee - 8.57 fee units</w:t>
            </w:r>
          </w:p>
        </w:tc>
        <w:tc>
          <w:tcPr>
            <w:tcW w:w="635" w:type="pct"/>
            <w:gridSpan w:val="2"/>
            <w:tcBorders>
              <w:top w:val="single" w:sz="4" w:space="0" w:color="auto"/>
              <w:left w:val="nil"/>
              <w:bottom w:val="single" w:sz="4" w:space="0" w:color="auto"/>
              <w:right w:val="nil"/>
            </w:tcBorders>
          </w:tcPr>
          <w:p w14:paraId="656B1CB6" w14:textId="77777777" w:rsidR="00583EC7" w:rsidRPr="000D7D82" w:rsidRDefault="00583EC7" w:rsidP="00583EC7">
            <w:pPr>
              <w:spacing w:after="0"/>
              <w:rPr>
                <w:rFonts w:cs="Segoe UI Light"/>
                <w:sz w:val="18"/>
              </w:rPr>
            </w:pPr>
            <w:r w:rsidRPr="000D7D82">
              <w:rPr>
                <w:rFonts w:cs="Segoe UI Light"/>
                <w:sz w:val="18"/>
              </w:rPr>
              <w:t>$123.</w:t>
            </w:r>
            <w:r w:rsidR="005F7907" w:rsidRPr="000D7D82">
              <w:rPr>
                <w:rFonts w:cs="Segoe UI Light"/>
                <w:sz w:val="18"/>
              </w:rPr>
              <w:t>89</w:t>
            </w:r>
            <w:r w:rsidRPr="000D7D82">
              <w:rPr>
                <w:rFonts w:cs="Segoe UI Light"/>
                <w:sz w:val="18"/>
              </w:rPr>
              <w:t xml:space="preserve"> </w:t>
            </w:r>
          </w:p>
        </w:tc>
        <w:tc>
          <w:tcPr>
            <w:tcW w:w="464" w:type="pct"/>
            <w:tcBorders>
              <w:top w:val="single" w:sz="4" w:space="0" w:color="auto"/>
              <w:left w:val="nil"/>
              <w:bottom w:val="single" w:sz="4" w:space="0" w:color="auto"/>
              <w:right w:val="nil"/>
            </w:tcBorders>
            <w:shd w:val="clear" w:color="auto" w:fill="auto"/>
          </w:tcPr>
          <w:p w14:paraId="656B1CB7" w14:textId="3CF9BCC5" w:rsidR="00583EC7" w:rsidRPr="00EB1A74" w:rsidRDefault="005F7907">
            <w:pPr>
              <w:spacing w:after="0"/>
              <w:rPr>
                <w:rFonts w:cs="Segoe UI Light"/>
                <w:sz w:val="18"/>
              </w:rPr>
            </w:pPr>
            <w:r w:rsidRPr="008A23C8">
              <w:rPr>
                <w:rFonts w:cs="Segoe UI Light"/>
                <w:color w:val="000000"/>
                <w:sz w:val="18"/>
              </w:rPr>
              <w:t>66.5</w:t>
            </w:r>
            <w:r w:rsidR="00583EC7" w:rsidRPr="008A23C8">
              <w:rPr>
                <w:rFonts w:cs="Segoe UI Light"/>
                <w:color w:val="000000"/>
                <w:sz w:val="18"/>
              </w:rPr>
              <w:t>%</w:t>
            </w:r>
          </w:p>
        </w:tc>
      </w:tr>
      <w:tr w:rsidR="00583EC7" w:rsidRPr="000D7D82" w14:paraId="656B1CC2" w14:textId="77777777" w:rsidTr="00BB3356">
        <w:trPr>
          <w:cantSplit/>
          <w:trHeight w:val="216"/>
          <w:jc w:val="center"/>
        </w:trPr>
        <w:tc>
          <w:tcPr>
            <w:tcW w:w="461" w:type="pct"/>
            <w:tcBorders>
              <w:top w:val="single" w:sz="4" w:space="0" w:color="auto"/>
              <w:bottom w:val="single" w:sz="4" w:space="0" w:color="auto"/>
            </w:tcBorders>
          </w:tcPr>
          <w:p w14:paraId="656B1CB9" w14:textId="77777777" w:rsidR="00583EC7" w:rsidRPr="000D7D82" w:rsidRDefault="00583EC7" w:rsidP="00583EC7">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BA" w14:textId="77777777" w:rsidR="00583EC7" w:rsidRPr="000D7D82" w:rsidRDefault="00583EC7" w:rsidP="00583EC7">
            <w:pPr>
              <w:spacing w:after="0"/>
              <w:rPr>
                <w:rFonts w:cs="Segoe UI Light"/>
                <w:sz w:val="18"/>
              </w:rPr>
            </w:pPr>
            <w:r w:rsidRPr="000D7D82">
              <w:rPr>
                <w:rFonts w:cs="Segoe UI Light"/>
                <w:sz w:val="18"/>
              </w:rPr>
              <w:t>Transfer</w:t>
            </w:r>
          </w:p>
        </w:tc>
        <w:tc>
          <w:tcPr>
            <w:tcW w:w="772" w:type="pct"/>
            <w:tcBorders>
              <w:top w:val="single" w:sz="4" w:space="0" w:color="auto"/>
              <w:bottom w:val="single" w:sz="4" w:space="0" w:color="auto"/>
            </w:tcBorders>
          </w:tcPr>
          <w:p w14:paraId="656B1CBB" w14:textId="77777777" w:rsidR="00583EC7" w:rsidRPr="000D7D82" w:rsidRDefault="00583EC7" w:rsidP="00583EC7">
            <w:pPr>
              <w:spacing w:after="0"/>
              <w:rPr>
                <w:rFonts w:cs="Segoe UI Light"/>
                <w:sz w:val="18"/>
              </w:rPr>
            </w:pPr>
            <w:r w:rsidRPr="000D7D82">
              <w:rPr>
                <w:rFonts w:cs="Segoe UI Light"/>
                <w:sz w:val="18"/>
              </w:rPr>
              <w:t>Reportable priority waste transport (full permit) [equal to or more than 1.5 tonnes but less than 30 tonnes (R100, K100, K120, K200, T130)]</w:t>
            </w:r>
          </w:p>
        </w:tc>
        <w:tc>
          <w:tcPr>
            <w:tcW w:w="885" w:type="pct"/>
            <w:tcBorders>
              <w:top w:val="single" w:sz="4" w:space="0" w:color="auto"/>
              <w:bottom w:val="single" w:sz="4" w:space="0" w:color="auto"/>
            </w:tcBorders>
          </w:tcPr>
          <w:p w14:paraId="656B1CBC" w14:textId="53CBB392" w:rsidR="00583EC7" w:rsidRPr="000D7D82" w:rsidRDefault="00583EC7" w:rsidP="00583EC7">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CBD" w14:textId="77777777" w:rsidR="00583EC7" w:rsidRPr="000D7D82" w:rsidRDefault="00583EC7" w:rsidP="00583EC7">
            <w:pPr>
              <w:spacing w:after="0"/>
              <w:rPr>
                <w:rFonts w:cs="Segoe UI Light"/>
                <w:sz w:val="18"/>
              </w:rPr>
            </w:pPr>
            <w:r w:rsidRPr="000D7D82">
              <w:rPr>
                <w:rFonts w:cs="Segoe UI Light"/>
                <w:sz w:val="18"/>
              </w:rPr>
              <w:t xml:space="preserve">5.15 fee units: </w:t>
            </w:r>
          </w:p>
          <w:p w14:paraId="656B1CBE" w14:textId="77777777" w:rsidR="00583EC7" w:rsidRPr="000D7D82" w:rsidRDefault="00583EC7" w:rsidP="00583EC7">
            <w:pPr>
              <w:spacing w:after="0"/>
              <w:rPr>
                <w:rFonts w:cs="Segoe UI Light"/>
                <w:sz w:val="18"/>
              </w:rPr>
            </w:pPr>
            <w:r w:rsidRPr="000D7D82">
              <w:rPr>
                <w:rFonts w:cs="Segoe UI Light"/>
                <w:sz w:val="18"/>
              </w:rPr>
              <w:t>$74.42</w:t>
            </w:r>
          </w:p>
        </w:tc>
        <w:tc>
          <w:tcPr>
            <w:tcW w:w="780" w:type="pct"/>
            <w:tcBorders>
              <w:top w:val="single" w:sz="4" w:space="0" w:color="auto"/>
              <w:left w:val="nil"/>
              <w:bottom w:val="single" w:sz="4" w:space="0" w:color="auto"/>
              <w:right w:val="nil"/>
            </w:tcBorders>
          </w:tcPr>
          <w:p w14:paraId="656B1CBF" w14:textId="77777777" w:rsidR="00583EC7" w:rsidRPr="000D7D82" w:rsidRDefault="00583EC7" w:rsidP="00583EC7">
            <w:pPr>
              <w:spacing w:after="0"/>
              <w:rPr>
                <w:rFonts w:cs="Segoe UI Light"/>
                <w:sz w:val="18"/>
              </w:rPr>
            </w:pPr>
            <w:r w:rsidRPr="000D7D82">
              <w:rPr>
                <w:rFonts w:cs="Segoe UI Light"/>
                <w:sz w:val="18"/>
              </w:rPr>
              <w:t>Flat fee - 8.57 fee units</w:t>
            </w:r>
          </w:p>
        </w:tc>
        <w:tc>
          <w:tcPr>
            <w:tcW w:w="635" w:type="pct"/>
            <w:gridSpan w:val="2"/>
            <w:tcBorders>
              <w:top w:val="single" w:sz="4" w:space="0" w:color="auto"/>
              <w:left w:val="nil"/>
              <w:bottom w:val="single" w:sz="4" w:space="0" w:color="auto"/>
              <w:right w:val="nil"/>
            </w:tcBorders>
          </w:tcPr>
          <w:p w14:paraId="656B1CC0" w14:textId="48B4D85B" w:rsidR="00583EC7" w:rsidRPr="000D7D82" w:rsidRDefault="00583EC7" w:rsidP="00583EC7">
            <w:pPr>
              <w:spacing w:after="0"/>
              <w:rPr>
                <w:rFonts w:cs="Segoe UI Light"/>
                <w:sz w:val="18"/>
              </w:rPr>
            </w:pPr>
            <w:r w:rsidRPr="000D7D82">
              <w:rPr>
                <w:rFonts w:cs="Segoe UI Light"/>
                <w:sz w:val="18"/>
              </w:rPr>
              <w:t>$123.8</w:t>
            </w:r>
            <w:r w:rsidR="005F7907" w:rsidRPr="000D7D82">
              <w:rPr>
                <w:rFonts w:cs="Segoe UI Light"/>
                <w:sz w:val="18"/>
              </w:rPr>
              <w:t>9</w:t>
            </w:r>
          </w:p>
        </w:tc>
        <w:tc>
          <w:tcPr>
            <w:tcW w:w="464" w:type="pct"/>
            <w:tcBorders>
              <w:top w:val="single" w:sz="4" w:space="0" w:color="auto"/>
              <w:left w:val="nil"/>
              <w:bottom w:val="single" w:sz="4" w:space="0" w:color="auto"/>
              <w:right w:val="nil"/>
            </w:tcBorders>
            <w:shd w:val="clear" w:color="auto" w:fill="auto"/>
          </w:tcPr>
          <w:p w14:paraId="656B1CC1" w14:textId="2F0DC9D3" w:rsidR="00583EC7" w:rsidRPr="00EB1A74" w:rsidRDefault="005F7907">
            <w:pPr>
              <w:spacing w:after="0"/>
              <w:rPr>
                <w:rFonts w:cs="Segoe UI Light"/>
                <w:sz w:val="18"/>
              </w:rPr>
            </w:pPr>
            <w:r w:rsidRPr="008A23C8">
              <w:rPr>
                <w:rFonts w:cs="Segoe UI Light"/>
                <w:color w:val="000000"/>
                <w:sz w:val="18"/>
              </w:rPr>
              <w:t>66.5</w:t>
            </w:r>
            <w:r w:rsidR="00583EC7" w:rsidRPr="008A23C8">
              <w:rPr>
                <w:rFonts w:cs="Segoe UI Light"/>
                <w:color w:val="000000"/>
                <w:sz w:val="18"/>
              </w:rPr>
              <w:t>%</w:t>
            </w:r>
          </w:p>
        </w:tc>
      </w:tr>
      <w:tr w:rsidR="00583EC7" w:rsidRPr="000D7D82" w14:paraId="656B1CCC" w14:textId="77777777" w:rsidTr="00BB3356">
        <w:trPr>
          <w:cantSplit/>
          <w:trHeight w:val="216"/>
          <w:jc w:val="center"/>
        </w:trPr>
        <w:tc>
          <w:tcPr>
            <w:tcW w:w="461" w:type="pct"/>
            <w:tcBorders>
              <w:top w:val="single" w:sz="4" w:space="0" w:color="auto"/>
              <w:bottom w:val="single" w:sz="4" w:space="0" w:color="auto"/>
            </w:tcBorders>
          </w:tcPr>
          <w:p w14:paraId="656B1CC3" w14:textId="77777777" w:rsidR="00583EC7" w:rsidRPr="000D7D82" w:rsidRDefault="00583EC7" w:rsidP="00583EC7">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C4" w14:textId="77777777" w:rsidR="00583EC7" w:rsidRPr="000D7D82" w:rsidRDefault="00583EC7" w:rsidP="00583EC7">
            <w:pPr>
              <w:spacing w:after="0"/>
              <w:rPr>
                <w:rFonts w:cs="Segoe UI Light"/>
                <w:sz w:val="18"/>
              </w:rPr>
            </w:pPr>
            <w:r w:rsidRPr="000D7D82">
              <w:rPr>
                <w:rFonts w:cs="Segoe UI Light"/>
                <w:sz w:val="18"/>
              </w:rPr>
              <w:t>Transfer</w:t>
            </w:r>
          </w:p>
        </w:tc>
        <w:tc>
          <w:tcPr>
            <w:tcW w:w="772" w:type="pct"/>
            <w:tcBorders>
              <w:top w:val="single" w:sz="4" w:space="0" w:color="auto"/>
              <w:bottom w:val="single" w:sz="4" w:space="0" w:color="auto"/>
            </w:tcBorders>
          </w:tcPr>
          <w:p w14:paraId="656B1CC5" w14:textId="77777777" w:rsidR="00583EC7" w:rsidRPr="000D7D82" w:rsidRDefault="00583EC7" w:rsidP="00583EC7">
            <w:pPr>
              <w:spacing w:after="0"/>
              <w:rPr>
                <w:rFonts w:cs="Segoe UI Light"/>
                <w:sz w:val="18"/>
              </w:rPr>
            </w:pPr>
            <w:r w:rsidRPr="000D7D82">
              <w:rPr>
                <w:rFonts w:cs="Segoe UI Light"/>
                <w:sz w:val="18"/>
              </w:rPr>
              <w:t>Reportable priority waste transport (full permit) [30 tonnes or more (R100, K100, K120, K200, T130)]</w:t>
            </w:r>
          </w:p>
        </w:tc>
        <w:tc>
          <w:tcPr>
            <w:tcW w:w="885" w:type="pct"/>
            <w:tcBorders>
              <w:top w:val="single" w:sz="4" w:space="0" w:color="auto"/>
              <w:bottom w:val="single" w:sz="4" w:space="0" w:color="auto"/>
            </w:tcBorders>
          </w:tcPr>
          <w:p w14:paraId="656B1CC6" w14:textId="5D7D3629" w:rsidR="00583EC7" w:rsidRPr="000D7D82" w:rsidRDefault="00583EC7" w:rsidP="00583EC7">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CC7" w14:textId="77777777" w:rsidR="00583EC7" w:rsidRPr="000D7D82" w:rsidRDefault="00583EC7" w:rsidP="00583EC7">
            <w:pPr>
              <w:spacing w:after="0"/>
              <w:rPr>
                <w:rFonts w:cs="Segoe UI Light"/>
                <w:sz w:val="18"/>
              </w:rPr>
            </w:pPr>
            <w:r w:rsidRPr="000D7D82">
              <w:rPr>
                <w:rFonts w:cs="Segoe UI Light"/>
                <w:sz w:val="18"/>
              </w:rPr>
              <w:t xml:space="preserve">10.3 fee units: </w:t>
            </w:r>
          </w:p>
          <w:p w14:paraId="656B1CC8" w14:textId="77777777" w:rsidR="00583EC7" w:rsidRPr="000D7D82" w:rsidRDefault="00583EC7" w:rsidP="00583EC7">
            <w:pPr>
              <w:spacing w:after="0"/>
              <w:rPr>
                <w:rFonts w:cs="Segoe UI Light"/>
                <w:sz w:val="18"/>
              </w:rPr>
            </w:pPr>
            <w:r w:rsidRPr="000D7D82">
              <w:rPr>
                <w:rFonts w:cs="Segoe UI Light"/>
                <w:sz w:val="18"/>
              </w:rPr>
              <w:t>$148.84</w:t>
            </w:r>
          </w:p>
        </w:tc>
        <w:tc>
          <w:tcPr>
            <w:tcW w:w="780" w:type="pct"/>
            <w:tcBorders>
              <w:top w:val="single" w:sz="4" w:space="0" w:color="auto"/>
              <w:left w:val="nil"/>
              <w:bottom w:val="single" w:sz="4" w:space="0" w:color="auto"/>
              <w:right w:val="nil"/>
            </w:tcBorders>
          </w:tcPr>
          <w:p w14:paraId="656B1CC9" w14:textId="77777777" w:rsidR="00583EC7" w:rsidRPr="000D7D82" w:rsidRDefault="00583EC7" w:rsidP="00583EC7">
            <w:pPr>
              <w:spacing w:after="0"/>
              <w:rPr>
                <w:rFonts w:cs="Segoe UI Light"/>
                <w:sz w:val="18"/>
              </w:rPr>
            </w:pPr>
            <w:r w:rsidRPr="000D7D82">
              <w:rPr>
                <w:rFonts w:cs="Segoe UI Light"/>
                <w:sz w:val="18"/>
              </w:rPr>
              <w:t>Flat fee - 8.57 fee units</w:t>
            </w:r>
          </w:p>
        </w:tc>
        <w:tc>
          <w:tcPr>
            <w:tcW w:w="635" w:type="pct"/>
            <w:gridSpan w:val="2"/>
            <w:tcBorders>
              <w:top w:val="single" w:sz="4" w:space="0" w:color="auto"/>
              <w:left w:val="nil"/>
              <w:bottom w:val="single" w:sz="4" w:space="0" w:color="auto"/>
              <w:right w:val="nil"/>
            </w:tcBorders>
          </w:tcPr>
          <w:p w14:paraId="656B1CCA" w14:textId="2793B0F7" w:rsidR="00583EC7" w:rsidRPr="000D7D82" w:rsidRDefault="00583EC7" w:rsidP="00583EC7">
            <w:pPr>
              <w:spacing w:after="0"/>
              <w:rPr>
                <w:rFonts w:cs="Segoe UI Light"/>
                <w:sz w:val="18"/>
              </w:rPr>
            </w:pPr>
            <w:r w:rsidRPr="000D7D82">
              <w:rPr>
                <w:rFonts w:cs="Segoe UI Light"/>
                <w:sz w:val="18"/>
              </w:rPr>
              <w:t>$123.8</w:t>
            </w:r>
            <w:r w:rsidR="005F7907" w:rsidRPr="000D7D82">
              <w:rPr>
                <w:rFonts w:cs="Segoe UI Light"/>
                <w:sz w:val="18"/>
              </w:rPr>
              <w:t>9</w:t>
            </w:r>
          </w:p>
        </w:tc>
        <w:tc>
          <w:tcPr>
            <w:tcW w:w="464" w:type="pct"/>
            <w:tcBorders>
              <w:top w:val="single" w:sz="4" w:space="0" w:color="auto"/>
              <w:left w:val="nil"/>
              <w:bottom w:val="single" w:sz="4" w:space="0" w:color="auto"/>
              <w:right w:val="nil"/>
            </w:tcBorders>
            <w:shd w:val="clear" w:color="auto" w:fill="auto"/>
          </w:tcPr>
          <w:p w14:paraId="656B1CCB" w14:textId="67F2C204" w:rsidR="00583EC7" w:rsidRPr="00EB1A74" w:rsidRDefault="00583EC7">
            <w:pPr>
              <w:spacing w:after="0"/>
              <w:rPr>
                <w:rFonts w:cs="Segoe UI Light"/>
                <w:sz w:val="18"/>
              </w:rPr>
            </w:pPr>
            <w:r w:rsidRPr="008A23C8">
              <w:rPr>
                <w:rFonts w:cs="Segoe UI Light"/>
                <w:color w:val="000000"/>
                <w:sz w:val="18"/>
              </w:rPr>
              <w:t>-16.8%</w:t>
            </w:r>
          </w:p>
        </w:tc>
      </w:tr>
      <w:tr w:rsidR="00583EC7" w:rsidRPr="000D7D82" w14:paraId="656B1CD6" w14:textId="77777777" w:rsidTr="00BB3356">
        <w:trPr>
          <w:cantSplit/>
          <w:trHeight w:val="216"/>
          <w:jc w:val="center"/>
        </w:trPr>
        <w:tc>
          <w:tcPr>
            <w:tcW w:w="461" w:type="pct"/>
            <w:tcBorders>
              <w:top w:val="single" w:sz="4" w:space="0" w:color="auto"/>
              <w:bottom w:val="single" w:sz="4" w:space="0" w:color="auto"/>
            </w:tcBorders>
          </w:tcPr>
          <w:p w14:paraId="656B1CCD" w14:textId="77777777" w:rsidR="00583EC7" w:rsidRPr="000D7D82" w:rsidRDefault="00583EC7" w:rsidP="00583EC7">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CE" w14:textId="77777777" w:rsidR="00583EC7" w:rsidRPr="000D7D82" w:rsidRDefault="00583EC7" w:rsidP="00583EC7">
            <w:pPr>
              <w:spacing w:after="0"/>
              <w:rPr>
                <w:rFonts w:cs="Segoe UI Light"/>
                <w:sz w:val="18"/>
              </w:rPr>
            </w:pPr>
            <w:r w:rsidRPr="000D7D82">
              <w:rPr>
                <w:rFonts w:cs="Segoe UI Light"/>
                <w:sz w:val="18"/>
              </w:rPr>
              <w:t>Transfer</w:t>
            </w:r>
          </w:p>
        </w:tc>
        <w:tc>
          <w:tcPr>
            <w:tcW w:w="772" w:type="pct"/>
            <w:tcBorders>
              <w:top w:val="single" w:sz="4" w:space="0" w:color="auto"/>
              <w:bottom w:val="single" w:sz="4" w:space="0" w:color="auto"/>
            </w:tcBorders>
          </w:tcPr>
          <w:p w14:paraId="656B1CCF" w14:textId="77777777" w:rsidR="00583EC7" w:rsidRPr="000D7D82" w:rsidRDefault="00583EC7" w:rsidP="00583EC7">
            <w:pPr>
              <w:spacing w:after="0"/>
              <w:rPr>
                <w:rFonts w:cs="Segoe UI Light"/>
                <w:sz w:val="18"/>
              </w:rPr>
            </w:pPr>
            <w:r w:rsidRPr="000D7D82">
              <w:rPr>
                <w:rFonts w:cs="Segoe UI Light"/>
                <w:sz w:val="18"/>
              </w:rPr>
              <w:t>Reportable priority waste transport (full permit) [less than 1.5 tonnes (all other waste codes)]</w:t>
            </w:r>
          </w:p>
        </w:tc>
        <w:tc>
          <w:tcPr>
            <w:tcW w:w="885" w:type="pct"/>
            <w:tcBorders>
              <w:top w:val="single" w:sz="4" w:space="0" w:color="auto"/>
              <w:bottom w:val="single" w:sz="4" w:space="0" w:color="auto"/>
            </w:tcBorders>
          </w:tcPr>
          <w:p w14:paraId="656B1CD0" w14:textId="07C0AFCB" w:rsidR="00583EC7" w:rsidRPr="000D7D82" w:rsidRDefault="00583EC7" w:rsidP="00583EC7">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CD1" w14:textId="77777777" w:rsidR="00583EC7" w:rsidRPr="000D7D82" w:rsidRDefault="00583EC7" w:rsidP="00583EC7">
            <w:pPr>
              <w:spacing w:after="0"/>
              <w:rPr>
                <w:rFonts w:cs="Segoe UI Light"/>
                <w:sz w:val="18"/>
              </w:rPr>
            </w:pPr>
            <w:r w:rsidRPr="000D7D82">
              <w:rPr>
                <w:rFonts w:cs="Segoe UI Light"/>
                <w:sz w:val="18"/>
              </w:rPr>
              <w:t xml:space="preserve">5.15 fee units: </w:t>
            </w:r>
          </w:p>
          <w:p w14:paraId="656B1CD2" w14:textId="51755412" w:rsidR="00583EC7" w:rsidRPr="000D7D82" w:rsidRDefault="00583EC7" w:rsidP="00583EC7">
            <w:pPr>
              <w:spacing w:after="0"/>
              <w:rPr>
                <w:rFonts w:cs="Segoe UI Light"/>
                <w:sz w:val="18"/>
              </w:rPr>
            </w:pPr>
            <w:r w:rsidRPr="000D7D82">
              <w:rPr>
                <w:rFonts w:cs="Segoe UI Light"/>
                <w:sz w:val="18"/>
              </w:rPr>
              <w:t>$74.42</w:t>
            </w:r>
          </w:p>
        </w:tc>
        <w:tc>
          <w:tcPr>
            <w:tcW w:w="780" w:type="pct"/>
            <w:tcBorders>
              <w:top w:val="single" w:sz="4" w:space="0" w:color="auto"/>
              <w:left w:val="nil"/>
              <w:bottom w:val="single" w:sz="4" w:space="0" w:color="auto"/>
              <w:right w:val="nil"/>
            </w:tcBorders>
          </w:tcPr>
          <w:p w14:paraId="656B1CD3" w14:textId="77777777" w:rsidR="00583EC7" w:rsidRPr="000D7D82" w:rsidRDefault="00583EC7" w:rsidP="00583EC7">
            <w:pPr>
              <w:spacing w:after="0"/>
              <w:rPr>
                <w:rFonts w:cs="Segoe UI Light"/>
                <w:sz w:val="18"/>
              </w:rPr>
            </w:pPr>
            <w:r w:rsidRPr="000D7D82">
              <w:rPr>
                <w:rFonts w:cs="Segoe UI Light"/>
                <w:sz w:val="18"/>
              </w:rPr>
              <w:t>Flat fee - 8.57 fee units</w:t>
            </w:r>
          </w:p>
        </w:tc>
        <w:tc>
          <w:tcPr>
            <w:tcW w:w="635" w:type="pct"/>
            <w:gridSpan w:val="2"/>
            <w:tcBorders>
              <w:top w:val="single" w:sz="4" w:space="0" w:color="auto"/>
              <w:left w:val="nil"/>
              <w:bottom w:val="single" w:sz="4" w:space="0" w:color="auto"/>
              <w:right w:val="nil"/>
            </w:tcBorders>
          </w:tcPr>
          <w:p w14:paraId="656B1CD4" w14:textId="1D2724D6" w:rsidR="00583EC7" w:rsidRPr="000D7D82" w:rsidRDefault="00583EC7" w:rsidP="00583EC7">
            <w:pPr>
              <w:spacing w:after="0"/>
              <w:rPr>
                <w:rFonts w:cs="Segoe UI Light"/>
                <w:sz w:val="18"/>
              </w:rPr>
            </w:pPr>
            <w:r w:rsidRPr="000D7D82">
              <w:rPr>
                <w:rFonts w:cs="Segoe UI Light"/>
                <w:sz w:val="18"/>
              </w:rPr>
              <w:t>$123.8</w:t>
            </w:r>
            <w:r w:rsidR="005F7907" w:rsidRPr="000D7D82">
              <w:rPr>
                <w:rFonts w:cs="Segoe UI Light"/>
                <w:sz w:val="18"/>
              </w:rPr>
              <w:t>9</w:t>
            </w:r>
          </w:p>
        </w:tc>
        <w:tc>
          <w:tcPr>
            <w:tcW w:w="464" w:type="pct"/>
            <w:tcBorders>
              <w:top w:val="single" w:sz="4" w:space="0" w:color="auto"/>
              <w:left w:val="nil"/>
              <w:bottom w:val="single" w:sz="4" w:space="0" w:color="auto"/>
              <w:right w:val="nil"/>
            </w:tcBorders>
            <w:shd w:val="clear" w:color="auto" w:fill="auto"/>
          </w:tcPr>
          <w:p w14:paraId="656B1CD5" w14:textId="7D10DCD9" w:rsidR="00583EC7" w:rsidRPr="00EB1A74" w:rsidRDefault="005F7907">
            <w:pPr>
              <w:spacing w:after="0"/>
              <w:rPr>
                <w:rFonts w:cs="Segoe UI Light"/>
                <w:sz w:val="18"/>
              </w:rPr>
            </w:pPr>
            <w:r w:rsidRPr="008A23C8">
              <w:rPr>
                <w:rFonts w:cs="Segoe UI Light"/>
                <w:color w:val="000000"/>
                <w:sz w:val="18"/>
              </w:rPr>
              <w:t>66.5</w:t>
            </w:r>
            <w:r w:rsidR="00583EC7" w:rsidRPr="008A23C8">
              <w:rPr>
                <w:rFonts w:cs="Segoe UI Light"/>
                <w:color w:val="000000"/>
                <w:sz w:val="18"/>
              </w:rPr>
              <w:t>%</w:t>
            </w:r>
          </w:p>
        </w:tc>
      </w:tr>
      <w:tr w:rsidR="00583EC7" w:rsidRPr="000D7D82" w14:paraId="656B1CE0" w14:textId="77777777" w:rsidTr="00BB3356">
        <w:trPr>
          <w:cantSplit/>
          <w:trHeight w:val="216"/>
          <w:jc w:val="center"/>
        </w:trPr>
        <w:tc>
          <w:tcPr>
            <w:tcW w:w="461" w:type="pct"/>
            <w:tcBorders>
              <w:top w:val="single" w:sz="4" w:space="0" w:color="auto"/>
              <w:bottom w:val="single" w:sz="4" w:space="0" w:color="auto"/>
            </w:tcBorders>
          </w:tcPr>
          <w:p w14:paraId="656B1CD7" w14:textId="77777777" w:rsidR="00583EC7" w:rsidRPr="000D7D82" w:rsidRDefault="00583EC7" w:rsidP="00583EC7">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D8" w14:textId="77777777" w:rsidR="00583EC7" w:rsidRPr="000D7D82" w:rsidRDefault="00583EC7" w:rsidP="00583EC7">
            <w:pPr>
              <w:spacing w:after="0"/>
              <w:rPr>
                <w:rFonts w:cs="Segoe UI Light"/>
                <w:sz w:val="18"/>
              </w:rPr>
            </w:pPr>
            <w:r w:rsidRPr="000D7D82">
              <w:rPr>
                <w:rFonts w:cs="Segoe UI Light"/>
                <w:sz w:val="18"/>
              </w:rPr>
              <w:t>Transfer</w:t>
            </w:r>
          </w:p>
        </w:tc>
        <w:tc>
          <w:tcPr>
            <w:tcW w:w="772" w:type="pct"/>
            <w:tcBorders>
              <w:top w:val="single" w:sz="4" w:space="0" w:color="auto"/>
              <w:bottom w:val="single" w:sz="4" w:space="0" w:color="auto"/>
            </w:tcBorders>
          </w:tcPr>
          <w:p w14:paraId="656B1CD9" w14:textId="77777777" w:rsidR="00583EC7" w:rsidRPr="000D7D82" w:rsidRDefault="00583EC7" w:rsidP="00583EC7">
            <w:pPr>
              <w:spacing w:after="0"/>
              <w:rPr>
                <w:rFonts w:cs="Segoe UI Light"/>
                <w:sz w:val="18"/>
              </w:rPr>
            </w:pPr>
            <w:r w:rsidRPr="000D7D82">
              <w:rPr>
                <w:rFonts w:cs="Segoe UI Light"/>
                <w:sz w:val="18"/>
              </w:rPr>
              <w:t>Reportable priority waste transport (full permit) [equal to or more than 1.5 tonnes but less than 30 tonnes (all other waste codes)]</w:t>
            </w:r>
          </w:p>
        </w:tc>
        <w:tc>
          <w:tcPr>
            <w:tcW w:w="885" w:type="pct"/>
            <w:tcBorders>
              <w:top w:val="single" w:sz="4" w:space="0" w:color="auto"/>
              <w:bottom w:val="single" w:sz="4" w:space="0" w:color="auto"/>
            </w:tcBorders>
          </w:tcPr>
          <w:p w14:paraId="656B1CDA" w14:textId="05FB2CA4" w:rsidR="00583EC7" w:rsidRPr="000D7D82" w:rsidRDefault="00583EC7" w:rsidP="00583EC7">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CDB" w14:textId="77777777" w:rsidR="00583EC7" w:rsidRPr="000D7D82" w:rsidRDefault="00583EC7" w:rsidP="00583EC7">
            <w:pPr>
              <w:spacing w:after="0"/>
              <w:rPr>
                <w:rFonts w:cs="Segoe UI Light"/>
                <w:sz w:val="18"/>
              </w:rPr>
            </w:pPr>
            <w:r w:rsidRPr="000D7D82">
              <w:rPr>
                <w:rFonts w:cs="Segoe UI Light"/>
                <w:sz w:val="18"/>
              </w:rPr>
              <w:t xml:space="preserve">5.15 fee units: </w:t>
            </w:r>
          </w:p>
          <w:p w14:paraId="656B1CDC" w14:textId="74347482" w:rsidR="00583EC7" w:rsidRPr="000D7D82" w:rsidRDefault="00583EC7" w:rsidP="00583EC7">
            <w:pPr>
              <w:spacing w:after="0"/>
              <w:rPr>
                <w:rFonts w:cs="Segoe UI Light"/>
                <w:sz w:val="18"/>
              </w:rPr>
            </w:pPr>
            <w:r w:rsidRPr="000D7D82">
              <w:rPr>
                <w:rFonts w:cs="Segoe UI Light"/>
                <w:sz w:val="18"/>
              </w:rPr>
              <w:t>$74.42</w:t>
            </w:r>
          </w:p>
        </w:tc>
        <w:tc>
          <w:tcPr>
            <w:tcW w:w="780" w:type="pct"/>
            <w:tcBorders>
              <w:top w:val="single" w:sz="4" w:space="0" w:color="auto"/>
              <w:left w:val="nil"/>
              <w:bottom w:val="single" w:sz="4" w:space="0" w:color="auto"/>
              <w:right w:val="nil"/>
            </w:tcBorders>
          </w:tcPr>
          <w:p w14:paraId="656B1CDD" w14:textId="77777777" w:rsidR="00583EC7" w:rsidRPr="000D7D82" w:rsidRDefault="00583EC7" w:rsidP="00583EC7">
            <w:pPr>
              <w:spacing w:after="0"/>
              <w:rPr>
                <w:rFonts w:cs="Segoe UI Light"/>
                <w:sz w:val="18"/>
              </w:rPr>
            </w:pPr>
            <w:r w:rsidRPr="000D7D82">
              <w:rPr>
                <w:rFonts w:cs="Segoe UI Light"/>
                <w:sz w:val="18"/>
              </w:rPr>
              <w:t>Flat fee - 8.57 fee units</w:t>
            </w:r>
          </w:p>
        </w:tc>
        <w:tc>
          <w:tcPr>
            <w:tcW w:w="635" w:type="pct"/>
            <w:gridSpan w:val="2"/>
            <w:tcBorders>
              <w:top w:val="single" w:sz="4" w:space="0" w:color="auto"/>
              <w:left w:val="nil"/>
              <w:bottom w:val="single" w:sz="4" w:space="0" w:color="auto"/>
              <w:right w:val="nil"/>
            </w:tcBorders>
          </w:tcPr>
          <w:p w14:paraId="656B1CDE" w14:textId="505F7039" w:rsidR="00583EC7" w:rsidRPr="000D7D82" w:rsidRDefault="00583EC7" w:rsidP="00583EC7">
            <w:pPr>
              <w:spacing w:after="0"/>
              <w:rPr>
                <w:rFonts w:cs="Segoe UI Light"/>
                <w:sz w:val="18"/>
              </w:rPr>
            </w:pPr>
            <w:r w:rsidRPr="000D7D82">
              <w:rPr>
                <w:rFonts w:cs="Segoe UI Light"/>
                <w:sz w:val="18"/>
              </w:rPr>
              <w:t>$123.8</w:t>
            </w:r>
            <w:r w:rsidR="005F7907" w:rsidRPr="000D7D82">
              <w:rPr>
                <w:rFonts w:cs="Segoe UI Light"/>
                <w:sz w:val="18"/>
              </w:rPr>
              <w:t>9</w:t>
            </w:r>
          </w:p>
        </w:tc>
        <w:tc>
          <w:tcPr>
            <w:tcW w:w="464" w:type="pct"/>
            <w:tcBorders>
              <w:top w:val="single" w:sz="4" w:space="0" w:color="auto"/>
              <w:left w:val="nil"/>
              <w:bottom w:val="single" w:sz="4" w:space="0" w:color="auto"/>
              <w:right w:val="nil"/>
            </w:tcBorders>
            <w:shd w:val="clear" w:color="auto" w:fill="auto"/>
          </w:tcPr>
          <w:p w14:paraId="656B1CDF" w14:textId="53B397AB" w:rsidR="00583EC7" w:rsidRPr="00EB1A74" w:rsidRDefault="005F7907">
            <w:pPr>
              <w:spacing w:after="0"/>
              <w:rPr>
                <w:rFonts w:cs="Segoe UI Light"/>
                <w:sz w:val="18"/>
              </w:rPr>
            </w:pPr>
            <w:r w:rsidRPr="008A23C8">
              <w:rPr>
                <w:rFonts w:cs="Segoe UI Light"/>
                <w:color w:val="000000"/>
                <w:sz w:val="18"/>
              </w:rPr>
              <w:t>66.5</w:t>
            </w:r>
            <w:r w:rsidR="00583EC7" w:rsidRPr="008A23C8">
              <w:rPr>
                <w:rFonts w:cs="Segoe UI Light"/>
                <w:color w:val="000000"/>
                <w:sz w:val="18"/>
              </w:rPr>
              <w:t>%</w:t>
            </w:r>
          </w:p>
        </w:tc>
      </w:tr>
      <w:tr w:rsidR="00583EC7" w:rsidRPr="000D7D82" w14:paraId="656B1CEA" w14:textId="77777777" w:rsidTr="00BB3356">
        <w:trPr>
          <w:cantSplit/>
          <w:trHeight w:val="216"/>
          <w:jc w:val="center"/>
        </w:trPr>
        <w:tc>
          <w:tcPr>
            <w:tcW w:w="461" w:type="pct"/>
            <w:tcBorders>
              <w:top w:val="single" w:sz="4" w:space="0" w:color="auto"/>
              <w:bottom w:val="single" w:sz="4" w:space="0" w:color="auto"/>
            </w:tcBorders>
          </w:tcPr>
          <w:p w14:paraId="656B1CE1" w14:textId="77777777" w:rsidR="00583EC7" w:rsidRPr="000D7D82" w:rsidRDefault="00583EC7" w:rsidP="00583EC7">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E2" w14:textId="77777777" w:rsidR="00583EC7" w:rsidRPr="000D7D82" w:rsidRDefault="00583EC7" w:rsidP="00583EC7">
            <w:pPr>
              <w:spacing w:after="0"/>
              <w:rPr>
                <w:rFonts w:cs="Segoe UI Light"/>
                <w:sz w:val="18"/>
              </w:rPr>
            </w:pPr>
            <w:r w:rsidRPr="000D7D82">
              <w:rPr>
                <w:rFonts w:cs="Segoe UI Light"/>
                <w:sz w:val="18"/>
              </w:rPr>
              <w:t>Transfer</w:t>
            </w:r>
          </w:p>
        </w:tc>
        <w:tc>
          <w:tcPr>
            <w:tcW w:w="772" w:type="pct"/>
            <w:tcBorders>
              <w:top w:val="single" w:sz="4" w:space="0" w:color="auto"/>
              <w:bottom w:val="single" w:sz="4" w:space="0" w:color="auto"/>
            </w:tcBorders>
          </w:tcPr>
          <w:p w14:paraId="656B1CE3" w14:textId="77777777" w:rsidR="00583EC7" w:rsidRPr="000D7D82" w:rsidRDefault="00583EC7" w:rsidP="00583EC7">
            <w:pPr>
              <w:spacing w:after="0"/>
              <w:rPr>
                <w:rFonts w:cs="Segoe UI Light"/>
                <w:sz w:val="18"/>
              </w:rPr>
            </w:pPr>
            <w:r w:rsidRPr="000D7D82">
              <w:rPr>
                <w:rFonts w:cs="Segoe UI Light"/>
                <w:sz w:val="18"/>
              </w:rPr>
              <w:t>Reportable priority waste transport (full permit) [30 tonnes or more (all other waste codes)]</w:t>
            </w:r>
          </w:p>
        </w:tc>
        <w:tc>
          <w:tcPr>
            <w:tcW w:w="885" w:type="pct"/>
            <w:tcBorders>
              <w:top w:val="single" w:sz="4" w:space="0" w:color="auto"/>
              <w:bottom w:val="single" w:sz="4" w:space="0" w:color="auto"/>
            </w:tcBorders>
          </w:tcPr>
          <w:p w14:paraId="656B1CE4" w14:textId="2BCE5470" w:rsidR="00583EC7" w:rsidRPr="000D7D82" w:rsidRDefault="00583EC7" w:rsidP="00583EC7">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CE5" w14:textId="77777777" w:rsidR="00583EC7" w:rsidRPr="000D7D82" w:rsidRDefault="00583EC7" w:rsidP="00583EC7">
            <w:pPr>
              <w:spacing w:after="0"/>
              <w:rPr>
                <w:rFonts w:cs="Segoe UI Light"/>
                <w:sz w:val="18"/>
              </w:rPr>
            </w:pPr>
            <w:r w:rsidRPr="000D7D82">
              <w:rPr>
                <w:rFonts w:cs="Segoe UI Light"/>
                <w:sz w:val="18"/>
              </w:rPr>
              <w:t xml:space="preserve">14.2 fee units: </w:t>
            </w:r>
          </w:p>
          <w:p w14:paraId="656B1CE6" w14:textId="77777777" w:rsidR="00583EC7" w:rsidRPr="000D7D82" w:rsidRDefault="00583EC7" w:rsidP="00583EC7">
            <w:pPr>
              <w:spacing w:after="0"/>
              <w:rPr>
                <w:rFonts w:cs="Segoe UI Light"/>
                <w:sz w:val="18"/>
              </w:rPr>
            </w:pPr>
            <w:r w:rsidRPr="000D7D82">
              <w:rPr>
                <w:rFonts w:cs="Segoe UI Light"/>
                <w:sz w:val="18"/>
              </w:rPr>
              <w:t>$205.19</w:t>
            </w:r>
          </w:p>
        </w:tc>
        <w:tc>
          <w:tcPr>
            <w:tcW w:w="780" w:type="pct"/>
            <w:tcBorders>
              <w:top w:val="single" w:sz="4" w:space="0" w:color="auto"/>
              <w:left w:val="nil"/>
              <w:bottom w:val="single" w:sz="4" w:space="0" w:color="auto"/>
              <w:right w:val="nil"/>
            </w:tcBorders>
          </w:tcPr>
          <w:p w14:paraId="656B1CE7" w14:textId="77777777" w:rsidR="00583EC7" w:rsidRPr="000D7D82" w:rsidRDefault="00583EC7" w:rsidP="00583EC7">
            <w:pPr>
              <w:spacing w:after="0"/>
              <w:rPr>
                <w:rFonts w:cs="Segoe UI Light"/>
                <w:sz w:val="18"/>
              </w:rPr>
            </w:pPr>
            <w:r w:rsidRPr="000D7D82">
              <w:rPr>
                <w:rFonts w:cs="Segoe UI Light"/>
                <w:sz w:val="18"/>
              </w:rPr>
              <w:t>Flat fee - 8.57 fee units</w:t>
            </w:r>
          </w:p>
        </w:tc>
        <w:tc>
          <w:tcPr>
            <w:tcW w:w="635" w:type="pct"/>
            <w:gridSpan w:val="2"/>
            <w:tcBorders>
              <w:top w:val="single" w:sz="4" w:space="0" w:color="auto"/>
              <w:left w:val="nil"/>
              <w:bottom w:val="single" w:sz="4" w:space="0" w:color="auto"/>
              <w:right w:val="nil"/>
            </w:tcBorders>
          </w:tcPr>
          <w:p w14:paraId="656B1CE8" w14:textId="258A13F2" w:rsidR="00583EC7" w:rsidRPr="000D7D82" w:rsidRDefault="00583EC7" w:rsidP="00583EC7">
            <w:pPr>
              <w:spacing w:after="0"/>
              <w:rPr>
                <w:rFonts w:cs="Segoe UI Light"/>
                <w:sz w:val="18"/>
              </w:rPr>
            </w:pPr>
            <w:r w:rsidRPr="000D7D82">
              <w:rPr>
                <w:rFonts w:cs="Segoe UI Light"/>
                <w:sz w:val="18"/>
              </w:rPr>
              <w:t>$123.8</w:t>
            </w:r>
            <w:r w:rsidR="005F7907" w:rsidRPr="000D7D82">
              <w:rPr>
                <w:rFonts w:cs="Segoe UI Light"/>
                <w:sz w:val="18"/>
              </w:rPr>
              <w:t>9</w:t>
            </w:r>
          </w:p>
        </w:tc>
        <w:tc>
          <w:tcPr>
            <w:tcW w:w="464" w:type="pct"/>
            <w:tcBorders>
              <w:top w:val="single" w:sz="4" w:space="0" w:color="auto"/>
              <w:left w:val="nil"/>
              <w:bottom w:val="single" w:sz="4" w:space="0" w:color="auto"/>
              <w:right w:val="nil"/>
            </w:tcBorders>
            <w:shd w:val="clear" w:color="auto" w:fill="auto"/>
          </w:tcPr>
          <w:p w14:paraId="656B1CE9" w14:textId="3D2BFACA" w:rsidR="00583EC7" w:rsidRPr="00EB1A74" w:rsidRDefault="00583EC7">
            <w:pPr>
              <w:spacing w:after="0"/>
              <w:rPr>
                <w:rFonts w:cs="Segoe UI Light"/>
                <w:sz w:val="18"/>
              </w:rPr>
            </w:pPr>
            <w:r w:rsidRPr="008A23C8">
              <w:rPr>
                <w:rFonts w:cs="Segoe UI Light"/>
                <w:color w:val="000000"/>
                <w:sz w:val="18"/>
              </w:rPr>
              <w:t>-39.6%</w:t>
            </w:r>
          </w:p>
        </w:tc>
      </w:tr>
      <w:tr w:rsidR="00583EC7" w:rsidRPr="000D7D82" w14:paraId="656B1CF4" w14:textId="77777777" w:rsidTr="00BB3356">
        <w:trPr>
          <w:cantSplit/>
          <w:trHeight w:val="216"/>
          <w:jc w:val="center"/>
        </w:trPr>
        <w:tc>
          <w:tcPr>
            <w:tcW w:w="461" w:type="pct"/>
            <w:tcBorders>
              <w:top w:val="single" w:sz="4" w:space="0" w:color="auto"/>
              <w:bottom w:val="single" w:sz="4" w:space="0" w:color="auto"/>
            </w:tcBorders>
          </w:tcPr>
          <w:p w14:paraId="656B1CEB" w14:textId="77777777" w:rsidR="00583EC7" w:rsidRPr="000D7D82" w:rsidRDefault="00583EC7" w:rsidP="00583EC7">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EC" w14:textId="77777777" w:rsidR="00583EC7" w:rsidRPr="000D7D82" w:rsidRDefault="00583EC7" w:rsidP="00583EC7">
            <w:pPr>
              <w:spacing w:after="0"/>
              <w:rPr>
                <w:rFonts w:cs="Segoe UI Light"/>
                <w:sz w:val="18"/>
              </w:rPr>
            </w:pPr>
            <w:r w:rsidRPr="000D7D82">
              <w:rPr>
                <w:rFonts w:cs="Segoe UI Light"/>
                <w:sz w:val="18"/>
              </w:rPr>
              <w:t>Transfer</w:t>
            </w:r>
          </w:p>
        </w:tc>
        <w:tc>
          <w:tcPr>
            <w:tcW w:w="772" w:type="pct"/>
            <w:tcBorders>
              <w:top w:val="single" w:sz="4" w:space="0" w:color="auto"/>
              <w:bottom w:val="single" w:sz="4" w:space="0" w:color="auto"/>
            </w:tcBorders>
          </w:tcPr>
          <w:p w14:paraId="656B1CED" w14:textId="77777777" w:rsidR="00583EC7" w:rsidRPr="000D7D82" w:rsidRDefault="00583EC7" w:rsidP="00583EC7">
            <w:pPr>
              <w:spacing w:after="0"/>
              <w:rPr>
                <w:rFonts w:cs="Segoe UI Light"/>
                <w:sz w:val="18"/>
              </w:rPr>
            </w:pPr>
            <w:r w:rsidRPr="000D7D82">
              <w:rPr>
                <w:rFonts w:cs="Segoe UI Light"/>
                <w:sz w:val="18"/>
              </w:rPr>
              <w:t>Reportable priority waste transport (full permit) [less than 1.5 tonnes (G100-G160, E100-E130)]</w:t>
            </w:r>
          </w:p>
        </w:tc>
        <w:tc>
          <w:tcPr>
            <w:tcW w:w="885" w:type="pct"/>
            <w:tcBorders>
              <w:top w:val="single" w:sz="4" w:space="0" w:color="auto"/>
              <w:bottom w:val="single" w:sz="4" w:space="0" w:color="auto"/>
            </w:tcBorders>
          </w:tcPr>
          <w:p w14:paraId="656B1CEE" w14:textId="2C2D7067" w:rsidR="00583EC7" w:rsidRPr="000D7D82" w:rsidRDefault="00583EC7" w:rsidP="00583EC7">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CEF" w14:textId="77777777" w:rsidR="00583EC7" w:rsidRPr="000D7D82" w:rsidRDefault="00583EC7" w:rsidP="00583EC7">
            <w:pPr>
              <w:spacing w:after="0"/>
              <w:rPr>
                <w:rFonts w:cs="Segoe UI Light"/>
                <w:sz w:val="18"/>
              </w:rPr>
            </w:pPr>
            <w:r w:rsidRPr="000D7D82">
              <w:rPr>
                <w:rFonts w:cs="Segoe UI Light"/>
                <w:sz w:val="18"/>
              </w:rPr>
              <w:t>5.15 fee units:</w:t>
            </w:r>
          </w:p>
          <w:p w14:paraId="656B1CF0" w14:textId="77777777" w:rsidR="00583EC7" w:rsidRPr="000D7D82" w:rsidRDefault="00583EC7" w:rsidP="00583EC7">
            <w:pPr>
              <w:spacing w:after="0"/>
              <w:rPr>
                <w:rFonts w:cs="Segoe UI Light"/>
                <w:sz w:val="18"/>
              </w:rPr>
            </w:pPr>
            <w:r w:rsidRPr="000D7D82">
              <w:rPr>
                <w:rFonts w:cs="Segoe UI Light"/>
                <w:sz w:val="18"/>
              </w:rPr>
              <w:t>$74.42</w:t>
            </w:r>
          </w:p>
        </w:tc>
        <w:tc>
          <w:tcPr>
            <w:tcW w:w="780" w:type="pct"/>
            <w:tcBorders>
              <w:top w:val="single" w:sz="4" w:space="0" w:color="auto"/>
              <w:left w:val="nil"/>
              <w:bottom w:val="single" w:sz="4" w:space="0" w:color="auto"/>
              <w:right w:val="nil"/>
            </w:tcBorders>
          </w:tcPr>
          <w:p w14:paraId="656B1CF1" w14:textId="77777777" w:rsidR="00583EC7" w:rsidRPr="000D7D82" w:rsidRDefault="00583EC7" w:rsidP="00583EC7">
            <w:pPr>
              <w:spacing w:after="0"/>
              <w:rPr>
                <w:rFonts w:cs="Segoe UI Light"/>
                <w:sz w:val="18"/>
              </w:rPr>
            </w:pPr>
            <w:r w:rsidRPr="000D7D82">
              <w:rPr>
                <w:rFonts w:cs="Segoe UI Light"/>
                <w:sz w:val="18"/>
              </w:rPr>
              <w:t>Flat fee - 8.57 fee units</w:t>
            </w:r>
          </w:p>
        </w:tc>
        <w:tc>
          <w:tcPr>
            <w:tcW w:w="635" w:type="pct"/>
            <w:gridSpan w:val="2"/>
            <w:tcBorders>
              <w:top w:val="single" w:sz="4" w:space="0" w:color="auto"/>
              <w:left w:val="nil"/>
              <w:bottom w:val="single" w:sz="4" w:space="0" w:color="auto"/>
              <w:right w:val="nil"/>
            </w:tcBorders>
          </w:tcPr>
          <w:p w14:paraId="656B1CF2" w14:textId="663DF330" w:rsidR="00583EC7" w:rsidRPr="000D7D82" w:rsidRDefault="00583EC7" w:rsidP="00583EC7">
            <w:pPr>
              <w:spacing w:after="0"/>
              <w:rPr>
                <w:rFonts w:cs="Segoe UI Light"/>
                <w:sz w:val="18"/>
              </w:rPr>
            </w:pPr>
            <w:r w:rsidRPr="000D7D82">
              <w:rPr>
                <w:rFonts w:cs="Segoe UI Light"/>
                <w:sz w:val="18"/>
              </w:rPr>
              <w:t>$123.8</w:t>
            </w:r>
            <w:r w:rsidR="005F7907" w:rsidRPr="000D7D82">
              <w:rPr>
                <w:rFonts w:cs="Segoe UI Light"/>
                <w:sz w:val="18"/>
              </w:rPr>
              <w:t>9</w:t>
            </w:r>
          </w:p>
        </w:tc>
        <w:tc>
          <w:tcPr>
            <w:tcW w:w="464" w:type="pct"/>
            <w:tcBorders>
              <w:top w:val="single" w:sz="4" w:space="0" w:color="auto"/>
              <w:left w:val="nil"/>
              <w:bottom w:val="single" w:sz="4" w:space="0" w:color="auto"/>
              <w:right w:val="nil"/>
            </w:tcBorders>
            <w:shd w:val="clear" w:color="auto" w:fill="auto"/>
          </w:tcPr>
          <w:p w14:paraId="656B1CF3" w14:textId="71A7551F" w:rsidR="00583EC7" w:rsidRPr="00EB1A74" w:rsidRDefault="005F7907">
            <w:pPr>
              <w:spacing w:after="0"/>
              <w:rPr>
                <w:rFonts w:cs="Segoe UI Light"/>
                <w:sz w:val="18"/>
              </w:rPr>
            </w:pPr>
            <w:r w:rsidRPr="008A23C8">
              <w:rPr>
                <w:rFonts w:cs="Segoe UI Light"/>
                <w:color w:val="000000"/>
                <w:sz w:val="18"/>
              </w:rPr>
              <w:t>66.5</w:t>
            </w:r>
            <w:r w:rsidR="00583EC7" w:rsidRPr="008A23C8">
              <w:rPr>
                <w:rFonts w:cs="Segoe UI Light"/>
                <w:color w:val="000000"/>
                <w:sz w:val="18"/>
              </w:rPr>
              <w:t>%</w:t>
            </w:r>
          </w:p>
        </w:tc>
      </w:tr>
      <w:tr w:rsidR="00583EC7" w:rsidRPr="000D7D82" w14:paraId="656B1CFE" w14:textId="77777777" w:rsidTr="00BB3356">
        <w:trPr>
          <w:cantSplit/>
          <w:trHeight w:val="216"/>
          <w:jc w:val="center"/>
        </w:trPr>
        <w:tc>
          <w:tcPr>
            <w:tcW w:w="461" w:type="pct"/>
            <w:tcBorders>
              <w:top w:val="single" w:sz="4" w:space="0" w:color="auto"/>
              <w:bottom w:val="single" w:sz="4" w:space="0" w:color="auto"/>
            </w:tcBorders>
          </w:tcPr>
          <w:p w14:paraId="656B1CF5" w14:textId="77777777" w:rsidR="00583EC7" w:rsidRPr="000D7D82" w:rsidRDefault="00583EC7" w:rsidP="00583EC7">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CF6" w14:textId="77777777" w:rsidR="00583EC7" w:rsidRPr="000D7D82" w:rsidRDefault="00583EC7" w:rsidP="00583EC7">
            <w:pPr>
              <w:spacing w:after="0"/>
              <w:rPr>
                <w:rFonts w:cs="Segoe UI Light"/>
                <w:sz w:val="18"/>
              </w:rPr>
            </w:pPr>
            <w:r w:rsidRPr="000D7D82">
              <w:rPr>
                <w:rFonts w:cs="Segoe UI Light"/>
                <w:sz w:val="18"/>
              </w:rPr>
              <w:t>Transfer</w:t>
            </w:r>
          </w:p>
        </w:tc>
        <w:tc>
          <w:tcPr>
            <w:tcW w:w="772" w:type="pct"/>
            <w:tcBorders>
              <w:top w:val="single" w:sz="4" w:space="0" w:color="auto"/>
              <w:bottom w:val="single" w:sz="4" w:space="0" w:color="auto"/>
            </w:tcBorders>
          </w:tcPr>
          <w:p w14:paraId="656B1CF7" w14:textId="77777777" w:rsidR="00583EC7" w:rsidRPr="000D7D82" w:rsidRDefault="00583EC7" w:rsidP="00583EC7">
            <w:pPr>
              <w:spacing w:after="0"/>
              <w:rPr>
                <w:rFonts w:cs="Segoe UI Light"/>
                <w:sz w:val="18"/>
              </w:rPr>
            </w:pPr>
            <w:r w:rsidRPr="000D7D82">
              <w:rPr>
                <w:rFonts w:cs="Segoe UI Light"/>
                <w:sz w:val="18"/>
              </w:rPr>
              <w:t>Reportable priority waste transport (full permit) [equal to or more than 1.5 tonnes but less than 30 tonnes (G100-G160, E100-E130)]</w:t>
            </w:r>
          </w:p>
        </w:tc>
        <w:tc>
          <w:tcPr>
            <w:tcW w:w="885" w:type="pct"/>
            <w:tcBorders>
              <w:top w:val="single" w:sz="4" w:space="0" w:color="auto"/>
              <w:bottom w:val="single" w:sz="4" w:space="0" w:color="auto"/>
            </w:tcBorders>
          </w:tcPr>
          <w:p w14:paraId="656B1CF8" w14:textId="3B797A8D" w:rsidR="00583EC7" w:rsidRPr="000D7D82" w:rsidRDefault="00583EC7" w:rsidP="00583EC7">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CF9" w14:textId="77777777" w:rsidR="00583EC7" w:rsidRPr="000D7D82" w:rsidRDefault="00583EC7" w:rsidP="00583EC7">
            <w:pPr>
              <w:spacing w:after="0"/>
              <w:rPr>
                <w:rFonts w:cs="Segoe UI Light"/>
                <w:sz w:val="18"/>
              </w:rPr>
            </w:pPr>
            <w:r w:rsidRPr="000D7D82">
              <w:rPr>
                <w:rFonts w:cs="Segoe UI Light"/>
                <w:sz w:val="18"/>
              </w:rPr>
              <w:t xml:space="preserve">5.88 fee units: </w:t>
            </w:r>
          </w:p>
          <w:p w14:paraId="656B1CFA" w14:textId="77777777" w:rsidR="00583EC7" w:rsidRPr="000D7D82" w:rsidRDefault="00583EC7" w:rsidP="00583EC7">
            <w:pPr>
              <w:spacing w:after="0"/>
              <w:rPr>
                <w:rFonts w:cs="Segoe UI Light"/>
                <w:sz w:val="18"/>
              </w:rPr>
            </w:pPr>
            <w:r w:rsidRPr="000D7D82">
              <w:rPr>
                <w:rFonts w:cs="Segoe UI Light"/>
                <w:sz w:val="18"/>
              </w:rPr>
              <w:t>$84.97</w:t>
            </w:r>
          </w:p>
        </w:tc>
        <w:tc>
          <w:tcPr>
            <w:tcW w:w="780" w:type="pct"/>
            <w:tcBorders>
              <w:top w:val="single" w:sz="4" w:space="0" w:color="auto"/>
              <w:left w:val="nil"/>
              <w:bottom w:val="single" w:sz="4" w:space="0" w:color="auto"/>
              <w:right w:val="nil"/>
            </w:tcBorders>
          </w:tcPr>
          <w:p w14:paraId="656B1CFB" w14:textId="77777777" w:rsidR="00583EC7" w:rsidRPr="000D7D82" w:rsidRDefault="00583EC7" w:rsidP="00583EC7">
            <w:pPr>
              <w:spacing w:after="0"/>
              <w:rPr>
                <w:rFonts w:cs="Segoe UI Light"/>
                <w:sz w:val="18"/>
              </w:rPr>
            </w:pPr>
            <w:r w:rsidRPr="000D7D82">
              <w:rPr>
                <w:rFonts w:cs="Segoe UI Light"/>
                <w:sz w:val="18"/>
              </w:rPr>
              <w:t>Flat fee - 8.57 fee units</w:t>
            </w:r>
          </w:p>
        </w:tc>
        <w:tc>
          <w:tcPr>
            <w:tcW w:w="635" w:type="pct"/>
            <w:gridSpan w:val="2"/>
            <w:tcBorders>
              <w:top w:val="single" w:sz="4" w:space="0" w:color="auto"/>
              <w:left w:val="nil"/>
              <w:bottom w:val="single" w:sz="4" w:space="0" w:color="auto"/>
              <w:right w:val="nil"/>
            </w:tcBorders>
          </w:tcPr>
          <w:p w14:paraId="656B1CFC" w14:textId="3E5F4977" w:rsidR="00583EC7" w:rsidRPr="000D7D82" w:rsidRDefault="00583EC7" w:rsidP="00583EC7">
            <w:pPr>
              <w:spacing w:after="0"/>
              <w:rPr>
                <w:rFonts w:cs="Segoe UI Light"/>
                <w:sz w:val="18"/>
              </w:rPr>
            </w:pPr>
            <w:r w:rsidRPr="000D7D82">
              <w:rPr>
                <w:rFonts w:cs="Segoe UI Light"/>
                <w:sz w:val="18"/>
              </w:rPr>
              <w:t>$123.8</w:t>
            </w:r>
            <w:r w:rsidR="005F7907" w:rsidRPr="000D7D82">
              <w:rPr>
                <w:rFonts w:cs="Segoe UI Light"/>
                <w:sz w:val="18"/>
              </w:rPr>
              <w:t>9</w:t>
            </w:r>
          </w:p>
        </w:tc>
        <w:tc>
          <w:tcPr>
            <w:tcW w:w="464" w:type="pct"/>
            <w:tcBorders>
              <w:top w:val="single" w:sz="4" w:space="0" w:color="auto"/>
              <w:left w:val="nil"/>
              <w:bottom w:val="single" w:sz="4" w:space="0" w:color="auto"/>
              <w:right w:val="nil"/>
            </w:tcBorders>
            <w:shd w:val="clear" w:color="auto" w:fill="auto"/>
          </w:tcPr>
          <w:p w14:paraId="656B1CFD" w14:textId="689236B1" w:rsidR="00583EC7" w:rsidRPr="00EB1A74" w:rsidRDefault="005F7907">
            <w:pPr>
              <w:spacing w:after="0"/>
              <w:rPr>
                <w:rFonts w:cs="Segoe UI Light"/>
                <w:sz w:val="18"/>
              </w:rPr>
            </w:pPr>
            <w:r w:rsidRPr="008A23C8">
              <w:rPr>
                <w:rFonts w:cs="Segoe UI Light"/>
                <w:color w:val="000000"/>
                <w:sz w:val="18"/>
              </w:rPr>
              <w:t>45.8</w:t>
            </w:r>
            <w:r w:rsidR="00583EC7" w:rsidRPr="008A23C8">
              <w:rPr>
                <w:rFonts w:cs="Segoe UI Light"/>
                <w:color w:val="000000"/>
                <w:sz w:val="18"/>
              </w:rPr>
              <w:t>%</w:t>
            </w:r>
          </w:p>
        </w:tc>
      </w:tr>
      <w:tr w:rsidR="006B6491" w:rsidRPr="000D7D82" w14:paraId="656B1D07" w14:textId="77777777" w:rsidTr="00BB3356">
        <w:trPr>
          <w:cantSplit/>
          <w:trHeight w:val="216"/>
          <w:jc w:val="center"/>
        </w:trPr>
        <w:tc>
          <w:tcPr>
            <w:tcW w:w="461" w:type="pct"/>
            <w:tcBorders>
              <w:top w:val="single" w:sz="4" w:space="0" w:color="auto"/>
              <w:bottom w:val="single" w:sz="4" w:space="0" w:color="auto"/>
            </w:tcBorders>
          </w:tcPr>
          <w:p w14:paraId="656B1CFF" w14:textId="77777777" w:rsidR="00583EC7" w:rsidRPr="000D7D82" w:rsidRDefault="00583EC7" w:rsidP="00583EC7">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D00" w14:textId="77777777" w:rsidR="00583EC7" w:rsidRPr="000D7D82" w:rsidRDefault="00583EC7" w:rsidP="00583EC7">
            <w:pPr>
              <w:spacing w:after="0"/>
              <w:rPr>
                <w:rFonts w:cs="Segoe UI Light"/>
                <w:sz w:val="18"/>
              </w:rPr>
            </w:pPr>
            <w:r w:rsidRPr="000D7D82">
              <w:rPr>
                <w:rFonts w:cs="Segoe UI Light"/>
                <w:sz w:val="18"/>
              </w:rPr>
              <w:t>Transfer</w:t>
            </w:r>
          </w:p>
        </w:tc>
        <w:tc>
          <w:tcPr>
            <w:tcW w:w="772" w:type="pct"/>
            <w:tcBorders>
              <w:top w:val="single" w:sz="4" w:space="0" w:color="auto"/>
              <w:bottom w:val="single" w:sz="4" w:space="0" w:color="auto"/>
            </w:tcBorders>
          </w:tcPr>
          <w:p w14:paraId="656B1D01" w14:textId="77777777" w:rsidR="00583EC7" w:rsidRPr="000D7D82" w:rsidRDefault="00583EC7" w:rsidP="00583EC7">
            <w:pPr>
              <w:spacing w:after="0"/>
              <w:rPr>
                <w:rFonts w:cs="Segoe UI Light"/>
                <w:sz w:val="18"/>
              </w:rPr>
            </w:pPr>
            <w:r w:rsidRPr="000D7D82">
              <w:rPr>
                <w:rFonts w:cs="Segoe UI Light"/>
                <w:sz w:val="18"/>
              </w:rPr>
              <w:t>Reportable priority waste transport (full permit) [30 tonnes or more (G100-G160, E100-E130)]</w:t>
            </w:r>
          </w:p>
        </w:tc>
        <w:tc>
          <w:tcPr>
            <w:tcW w:w="885" w:type="pct"/>
            <w:tcBorders>
              <w:top w:val="single" w:sz="4" w:space="0" w:color="auto"/>
            </w:tcBorders>
          </w:tcPr>
          <w:p w14:paraId="656B1D02" w14:textId="281F332E" w:rsidR="00583EC7" w:rsidRPr="000D7D82" w:rsidRDefault="00583EC7" w:rsidP="00583EC7">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tcBorders>
          </w:tcPr>
          <w:p w14:paraId="656B1D03" w14:textId="4FFB470C" w:rsidR="00583EC7" w:rsidRPr="000D7D82" w:rsidRDefault="00583EC7" w:rsidP="00583EC7">
            <w:pPr>
              <w:spacing w:after="0"/>
              <w:rPr>
                <w:rFonts w:cs="Segoe UI Light"/>
                <w:sz w:val="18"/>
              </w:rPr>
            </w:pPr>
            <w:r w:rsidRPr="000D7D82">
              <w:rPr>
                <w:rFonts w:cs="Segoe UI Light"/>
                <w:sz w:val="18"/>
              </w:rPr>
              <w:t>16.18 fee units: $233.80</w:t>
            </w:r>
          </w:p>
        </w:tc>
        <w:tc>
          <w:tcPr>
            <w:tcW w:w="780" w:type="pct"/>
            <w:tcBorders>
              <w:top w:val="single" w:sz="4" w:space="0" w:color="auto"/>
              <w:left w:val="nil"/>
              <w:bottom w:val="single" w:sz="4" w:space="0" w:color="auto"/>
              <w:right w:val="nil"/>
            </w:tcBorders>
          </w:tcPr>
          <w:p w14:paraId="656B1D04" w14:textId="77777777" w:rsidR="00583EC7" w:rsidRPr="000D7D82" w:rsidRDefault="00583EC7" w:rsidP="00583EC7">
            <w:pPr>
              <w:spacing w:after="0"/>
              <w:rPr>
                <w:rFonts w:cs="Segoe UI Light"/>
                <w:sz w:val="18"/>
              </w:rPr>
            </w:pPr>
            <w:r w:rsidRPr="000D7D82">
              <w:rPr>
                <w:rFonts w:cs="Segoe UI Light"/>
                <w:sz w:val="18"/>
              </w:rPr>
              <w:t>Flat fee - 8.57 fee units</w:t>
            </w:r>
          </w:p>
        </w:tc>
        <w:tc>
          <w:tcPr>
            <w:tcW w:w="635" w:type="pct"/>
            <w:gridSpan w:val="2"/>
            <w:tcBorders>
              <w:top w:val="single" w:sz="4" w:space="0" w:color="auto"/>
              <w:left w:val="nil"/>
              <w:bottom w:val="single" w:sz="4" w:space="0" w:color="auto"/>
              <w:right w:val="nil"/>
            </w:tcBorders>
          </w:tcPr>
          <w:p w14:paraId="656B1D05" w14:textId="75E1814E" w:rsidR="00583EC7" w:rsidRPr="000D7D82" w:rsidRDefault="00583EC7" w:rsidP="00583EC7">
            <w:pPr>
              <w:spacing w:after="0"/>
              <w:rPr>
                <w:rFonts w:cs="Segoe UI Light"/>
                <w:sz w:val="18"/>
              </w:rPr>
            </w:pPr>
            <w:r w:rsidRPr="000D7D82">
              <w:rPr>
                <w:rFonts w:cs="Segoe UI Light"/>
                <w:sz w:val="18"/>
              </w:rPr>
              <w:t>$123.8</w:t>
            </w:r>
            <w:r w:rsidR="005F7907" w:rsidRPr="000D7D82">
              <w:rPr>
                <w:rFonts w:cs="Segoe UI Light"/>
                <w:sz w:val="18"/>
              </w:rPr>
              <w:t>9</w:t>
            </w:r>
          </w:p>
        </w:tc>
        <w:tc>
          <w:tcPr>
            <w:tcW w:w="464" w:type="pct"/>
            <w:tcBorders>
              <w:top w:val="single" w:sz="4" w:space="0" w:color="auto"/>
              <w:left w:val="nil"/>
              <w:bottom w:val="nil"/>
              <w:right w:val="nil"/>
            </w:tcBorders>
            <w:shd w:val="clear" w:color="auto" w:fill="auto"/>
          </w:tcPr>
          <w:p w14:paraId="656B1D06" w14:textId="672A8764" w:rsidR="00583EC7" w:rsidRPr="00EB1A74" w:rsidRDefault="00583EC7">
            <w:pPr>
              <w:spacing w:after="0"/>
              <w:rPr>
                <w:rFonts w:cs="Segoe UI Light"/>
                <w:sz w:val="18"/>
              </w:rPr>
            </w:pPr>
            <w:r w:rsidRPr="008A23C8">
              <w:rPr>
                <w:rFonts w:cs="Segoe UI Light"/>
                <w:color w:val="000000"/>
                <w:sz w:val="18"/>
              </w:rPr>
              <w:t>-47.0%</w:t>
            </w:r>
          </w:p>
        </w:tc>
      </w:tr>
      <w:tr w:rsidR="00F85403" w:rsidRPr="000D7D82" w14:paraId="656B1D19" w14:textId="77777777" w:rsidTr="00BB3356">
        <w:trPr>
          <w:cantSplit/>
          <w:trHeight w:val="216"/>
          <w:jc w:val="center"/>
        </w:trPr>
        <w:tc>
          <w:tcPr>
            <w:tcW w:w="461" w:type="pct"/>
            <w:tcBorders>
              <w:top w:val="single" w:sz="4" w:space="0" w:color="auto"/>
              <w:bottom w:val="single" w:sz="4" w:space="0" w:color="auto"/>
            </w:tcBorders>
          </w:tcPr>
          <w:p w14:paraId="656B1D10" w14:textId="77777777" w:rsidR="00F85403" w:rsidRPr="000D7D82" w:rsidRDefault="00F85403" w:rsidP="00F85403">
            <w:pPr>
              <w:spacing w:after="0"/>
              <w:rPr>
                <w:rFonts w:cs="Segoe UI Light"/>
                <w:sz w:val="18"/>
              </w:rPr>
            </w:pPr>
            <w:bookmarkStart w:id="2052" w:name="_Hlk13468813"/>
            <w:r w:rsidRPr="000D7D82">
              <w:rPr>
                <w:rFonts w:cs="Segoe UI Light"/>
                <w:sz w:val="18"/>
              </w:rPr>
              <w:t>Permit</w:t>
            </w:r>
          </w:p>
        </w:tc>
        <w:tc>
          <w:tcPr>
            <w:tcW w:w="431" w:type="pct"/>
            <w:tcBorders>
              <w:top w:val="single" w:sz="4" w:space="0" w:color="auto"/>
              <w:bottom w:val="single" w:sz="4" w:space="0" w:color="auto"/>
            </w:tcBorders>
          </w:tcPr>
          <w:p w14:paraId="656B1D11" w14:textId="77777777" w:rsidR="00F85403" w:rsidRPr="000D7D82" w:rsidRDefault="00F85403" w:rsidP="00F85403">
            <w:pPr>
              <w:spacing w:after="0"/>
              <w:rPr>
                <w:rFonts w:cs="Segoe UI Light"/>
                <w:sz w:val="18"/>
              </w:rPr>
            </w:pPr>
            <w:r w:rsidRPr="000D7D82">
              <w:rPr>
                <w:rFonts w:cs="Segoe UI Light"/>
                <w:sz w:val="18"/>
              </w:rPr>
              <w:t>Amendment</w:t>
            </w:r>
          </w:p>
        </w:tc>
        <w:tc>
          <w:tcPr>
            <w:tcW w:w="772" w:type="pct"/>
            <w:tcBorders>
              <w:top w:val="single" w:sz="4" w:space="0" w:color="auto"/>
              <w:bottom w:val="single" w:sz="4" w:space="0" w:color="auto"/>
            </w:tcBorders>
          </w:tcPr>
          <w:p w14:paraId="656B1D12" w14:textId="77777777" w:rsidR="00F85403" w:rsidRPr="000D7D82" w:rsidRDefault="00F85403" w:rsidP="00F85403">
            <w:pPr>
              <w:spacing w:after="0"/>
              <w:rPr>
                <w:rFonts w:cs="Segoe UI Light"/>
                <w:sz w:val="18"/>
              </w:rPr>
            </w:pPr>
            <w:r w:rsidRPr="000D7D82">
              <w:rPr>
                <w:rFonts w:cs="Segoe UI Light"/>
                <w:sz w:val="18"/>
              </w:rPr>
              <w:t>Reportable priority waste transport (full permit) [less than 1.5 tonnes (R100, K100, K120, K200, T130)]</w:t>
            </w:r>
          </w:p>
        </w:tc>
        <w:tc>
          <w:tcPr>
            <w:tcW w:w="885" w:type="pct"/>
            <w:tcBorders>
              <w:top w:val="single" w:sz="4" w:space="0" w:color="auto"/>
              <w:bottom w:val="single" w:sz="4" w:space="0" w:color="auto"/>
            </w:tcBorders>
          </w:tcPr>
          <w:p w14:paraId="656B1D13" w14:textId="412ABC30" w:rsidR="00F85403" w:rsidRPr="000D7D82" w:rsidRDefault="00F85403" w:rsidP="00F85403">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D14" w14:textId="77777777" w:rsidR="00F85403" w:rsidRPr="000D7D82" w:rsidRDefault="00F85403" w:rsidP="00F85403">
            <w:pPr>
              <w:spacing w:after="0"/>
              <w:rPr>
                <w:rFonts w:cs="Segoe UI Light"/>
                <w:sz w:val="18"/>
              </w:rPr>
            </w:pPr>
            <w:r w:rsidRPr="000D7D82">
              <w:rPr>
                <w:rFonts w:cs="Segoe UI Light"/>
                <w:sz w:val="18"/>
              </w:rPr>
              <w:t>5.15 fee units:</w:t>
            </w:r>
          </w:p>
          <w:p w14:paraId="656B1D15" w14:textId="77777777" w:rsidR="00F85403" w:rsidRPr="000D7D82" w:rsidRDefault="00F85403" w:rsidP="00F85403">
            <w:pPr>
              <w:spacing w:after="0"/>
              <w:rPr>
                <w:rFonts w:cs="Segoe UI Light"/>
                <w:sz w:val="18"/>
              </w:rPr>
            </w:pPr>
            <w:r w:rsidRPr="000D7D82">
              <w:rPr>
                <w:rFonts w:cs="Segoe UI Light"/>
                <w:sz w:val="18"/>
              </w:rPr>
              <w:t>$74.42</w:t>
            </w:r>
          </w:p>
        </w:tc>
        <w:tc>
          <w:tcPr>
            <w:tcW w:w="780" w:type="pct"/>
            <w:tcBorders>
              <w:top w:val="single" w:sz="4" w:space="0" w:color="auto"/>
              <w:bottom w:val="single" w:sz="4" w:space="0" w:color="auto"/>
            </w:tcBorders>
          </w:tcPr>
          <w:p w14:paraId="656B1D16" w14:textId="77777777" w:rsidR="00F85403" w:rsidRPr="000D7D82" w:rsidRDefault="00F85403" w:rsidP="00F85403">
            <w:pPr>
              <w:spacing w:after="0"/>
              <w:rPr>
                <w:rFonts w:cs="Segoe UI Light"/>
                <w:sz w:val="18"/>
              </w:rPr>
            </w:pPr>
            <w:r w:rsidRPr="000D7D82">
              <w:rPr>
                <w:rFonts w:cs="Segoe UI Light"/>
                <w:sz w:val="18"/>
              </w:rPr>
              <w:t>Flat fee - 13.91 fee units</w:t>
            </w:r>
          </w:p>
        </w:tc>
        <w:tc>
          <w:tcPr>
            <w:tcW w:w="635" w:type="pct"/>
            <w:gridSpan w:val="2"/>
            <w:tcBorders>
              <w:top w:val="single" w:sz="4" w:space="0" w:color="auto"/>
              <w:bottom w:val="single" w:sz="4" w:space="0" w:color="auto"/>
            </w:tcBorders>
          </w:tcPr>
          <w:p w14:paraId="656B1D17" w14:textId="1F8249B8" w:rsidR="00F85403" w:rsidRPr="000D7D82" w:rsidRDefault="00F85403" w:rsidP="00F85403">
            <w:pPr>
              <w:spacing w:after="0"/>
              <w:rPr>
                <w:rFonts w:cs="Segoe UI Light"/>
                <w:sz w:val="18"/>
              </w:rPr>
            </w:pPr>
            <w:r w:rsidRPr="000D7D82">
              <w:rPr>
                <w:rFonts w:cs="Segoe UI Light"/>
                <w:sz w:val="18"/>
              </w:rPr>
              <w:t>$</w:t>
            </w:r>
            <w:r w:rsidR="0001585B" w:rsidRPr="000D7D82">
              <w:rPr>
                <w:rFonts w:cs="Segoe UI Light"/>
                <w:sz w:val="18"/>
              </w:rPr>
              <w:t>201.00</w:t>
            </w:r>
          </w:p>
        </w:tc>
        <w:tc>
          <w:tcPr>
            <w:tcW w:w="464" w:type="pct"/>
            <w:tcBorders>
              <w:top w:val="single" w:sz="4" w:space="0" w:color="auto"/>
              <w:bottom w:val="single" w:sz="4" w:space="0" w:color="auto"/>
            </w:tcBorders>
          </w:tcPr>
          <w:p w14:paraId="656B1D18" w14:textId="7576B3F3" w:rsidR="00F85403" w:rsidRPr="00EB1A74" w:rsidRDefault="00F85403" w:rsidP="00F85403">
            <w:pPr>
              <w:spacing w:after="0"/>
              <w:rPr>
                <w:rFonts w:cs="Segoe UI Light"/>
                <w:sz w:val="18"/>
              </w:rPr>
            </w:pPr>
            <w:r w:rsidRPr="008A23C8">
              <w:rPr>
                <w:sz w:val="18"/>
              </w:rPr>
              <w:t>+</w:t>
            </w:r>
            <w:r w:rsidR="004F45F7">
              <w:rPr>
                <w:sz w:val="18"/>
              </w:rPr>
              <w:t>170.1</w:t>
            </w:r>
            <w:r w:rsidRPr="008A23C8">
              <w:rPr>
                <w:sz w:val="18"/>
              </w:rPr>
              <w:t xml:space="preserve">% </w:t>
            </w:r>
          </w:p>
        </w:tc>
      </w:tr>
      <w:tr w:rsidR="00F85403" w:rsidRPr="000D7D82" w14:paraId="656B1D23" w14:textId="77777777" w:rsidTr="00BB3356">
        <w:trPr>
          <w:cantSplit/>
          <w:trHeight w:val="216"/>
          <w:jc w:val="center"/>
        </w:trPr>
        <w:tc>
          <w:tcPr>
            <w:tcW w:w="461" w:type="pct"/>
            <w:tcBorders>
              <w:top w:val="single" w:sz="4" w:space="0" w:color="auto"/>
              <w:bottom w:val="single" w:sz="4" w:space="0" w:color="auto"/>
            </w:tcBorders>
          </w:tcPr>
          <w:p w14:paraId="656B1D1A" w14:textId="77777777" w:rsidR="00F85403" w:rsidRPr="000D7D82" w:rsidRDefault="00F85403" w:rsidP="00F85403">
            <w:pPr>
              <w:spacing w:after="0"/>
              <w:rPr>
                <w:rFonts w:cs="Segoe UI Light"/>
                <w:sz w:val="18"/>
              </w:rPr>
            </w:pPr>
            <w:bookmarkStart w:id="2053" w:name="_Hlk13468872"/>
            <w:bookmarkEnd w:id="2052"/>
            <w:r w:rsidRPr="000D7D82">
              <w:rPr>
                <w:rFonts w:cs="Segoe UI Light"/>
                <w:sz w:val="18"/>
              </w:rPr>
              <w:t>Permit</w:t>
            </w:r>
          </w:p>
        </w:tc>
        <w:tc>
          <w:tcPr>
            <w:tcW w:w="431" w:type="pct"/>
            <w:tcBorders>
              <w:top w:val="single" w:sz="4" w:space="0" w:color="auto"/>
              <w:bottom w:val="single" w:sz="4" w:space="0" w:color="auto"/>
            </w:tcBorders>
          </w:tcPr>
          <w:p w14:paraId="656B1D1B" w14:textId="77777777" w:rsidR="00F85403" w:rsidRPr="000D7D82" w:rsidRDefault="00F85403" w:rsidP="00F85403">
            <w:pPr>
              <w:spacing w:after="0"/>
              <w:rPr>
                <w:rFonts w:cs="Segoe UI Light"/>
                <w:sz w:val="18"/>
              </w:rPr>
            </w:pPr>
            <w:r w:rsidRPr="000D7D82">
              <w:rPr>
                <w:rFonts w:cs="Segoe UI Light"/>
                <w:sz w:val="18"/>
              </w:rPr>
              <w:t>Amendment</w:t>
            </w:r>
          </w:p>
        </w:tc>
        <w:tc>
          <w:tcPr>
            <w:tcW w:w="772" w:type="pct"/>
            <w:tcBorders>
              <w:top w:val="single" w:sz="4" w:space="0" w:color="auto"/>
              <w:bottom w:val="single" w:sz="4" w:space="0" w:color="auto"/>
            </w:tcBorders>
          </w:tcPr>
          <w:p w14:paraId="656B1D1C" w14:textId="77777777" w:rsidR="00F85403" w:rsidRPr="000D7D82" w:rsidRDefault="00F85403" w:rsidP="00F85403">
            <w:pPr>
              <w:spacing w:after="0"/>
              <w:rPr>
                <w:rFonts w:cs="Segoe UI Light"/>
                <w:sz w:val="18"/>
              </w:rPr>
            </w:pPr>
            <w:r w:rsidRPr="000D7D82">
              <w:rPr>
                <w:rFonts w:cs="Segoe UI Light"/>
                <w:sz w:val="18"/>
              </w:rPr>
              <w:t>Reportable priority waste transport (full permit) [equal to or more than 1.5 tonnes but less than 30 tonnes (R100, K100, K120, K200, T130)]</w:t>
            </w:r>
          </w:p>
        </w:tc>
        <w:tc>
          <w:tcPr>
            <w:tcW w:w="885" w:type="pct"/>
            <w:tcBorders>
              <w:top w:val="single" w:sz="4" w:space="0" w:color="auto"/>
              <w:bottom w:val="single" w:sz="4" w:space="0" w:color="auto"/>
            </w:tcBorders>
          </w:tcPr>
          <w:p w14:paraId="656B1D1D" w14:textId="6FA816AB" w:rsidR="00F85403" w:rsidRPr="000D7D82" w:rsidRDefault="00F85403" w:rsidP="00F85403">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D1E" w14:textId="77777777" w:rsidR="00F85403" w:rsidRPr="000D7D82" w:rsidRDefault="00F85403" w:rsidP="00F85403">
            <w:pPr>
              <w:spacing w:after="0"/>
              <w:rPr>
                <w:rFonts w:cs="Segoe UI Light"/>
                <w:sz w:val="18"/>
              </w:rPr>
            </w:pPr>
            <w:r w:rsidRPr="000D7D82">
              <w:rPr>
                <w:rFonts w:cs="Segoe UI Light"/>
                <w:sz w:val="18"/>
              </w:rPr>
              <w:t xml:space="preserve">5.15 fee units: </w:t>
            </w:r>
          </w:p>
          <w:p w14:paraId="656B1D1F" w14:textId="77777777" w:rsidR="00F85403" w:rsidRPr="000D7D82" w:rsidRDefault="00F85403" w:rsidP="00F85403">
            <w:pPr>
              <w:spacing w:after="0"/>
              <w:rPr>
                <w:rFonts w:cs="Segoe UI Light"/>
                <w:sz w:val="18"/>
              </w:rPr>
            </w:pPr>
            <w:r w:rsidRPr="000D7D82">
              <w:rPr>
                <w:rFonts w:cs="Segoe UI Light"/>
                <w:sz w:val="18"/>
              </w:rPr>
              <w:t>$74.42</w:t>
            </w:r>
          </w:p>
        </w:tc>
        <w:tc>
          <w:tcPr>
            <w:tcW w:w="780" w:type="pct"/>
            <w:tcBorders>
              <w:top w:val="single" w:sz="4" w:space="0" w:color="auto"/>
              <w:bottom w:val="single" w:sz="4" w:space="0" w:color="auto"/>
            </w:tcBorders>
          </w:tcPr>
          <w:p w14:paraId="656B1D20" w14:textId="77777777" w:rsidR="00F85403" w:rsidRPr="000D7D82" w:rsidRDefault="00F85403" w:rsidP="00F85403">
            <w:pPr>
              <w:spacing w:after="0"/>
              <w:rPr>
                <w:rFonts w:cs="Segoe UI Light"/>
                <w:sz w:val="18"/>
              </w:rPr>
            </w:pPr>
            <w:r w:rsidRPr="000D7D82">
              <w:rPr>
                <w:rFonts w:cs="Segoe UI Light"/>
                <w:sz w:val="18"/>
              </w:rPr>
              <w:t>Flat fee - 13.91 fee units</w:t>
            </w:r>
          </w:p>
        </w:tc>
        <w:tc>
          <w:tcPr>
            <w:tcW w:w="635" w:type="pct"/>
            <w:gridSpan w:val="2"/>
            <w:tcBorders>
              <w:top w:val="single" w:sz="4" w:space="0" w:color="auto"/>
              <w:bottom w:val="single" w:sz="4" w:space="0" w:color="auto"/>
            </w:tcBorders>
          </w:tcPr>
          <w:p w14:paraId="656B1D21" w14:textId="6510670E" w:rsidR="00F85403" w:rsidRPr="000D7D82" w:rsidRDefault="00F85403" w:rsidP="00F85403">
            <w:pPr>
              <w:spacing w:after="0"/>
              <w:rPr>
                <w:rFonts w:cs="Segoe UI Light"/>
                <w:sz w:val="18"/>
              </w:rPr>
            </w:pPr>
            <w:r w:rsidRPr="000D7D82">
              <w:rPr>
                <w:rFonts w:cs="Segoe UI Light"/>
                <w:sz w:val="18"/>
              </w:rPr>
              <w:t>$</w:t>
            </w:r>
            <w:r w:rsidR="0001585B" w:rsidRPr="000D7D82">
              <w:rPr>
                <w:rFonts w:cs="Segoe UI Light"/>
                <w:sz w:val="18"/>
              </w:rPr>
              <w:t>201.00</w:t>
            </w:r>
          </w:p>
        </w:tc>
        <w:tc>
          <w:tcPr>
            <w:tcW w:w="464" w:type="pct"/>
            <w:tcBorders>
              <w:top w:val="single" w:sz="4" w:space="0" w:color="auto"/>
              <w:bottom w:val="single" w:sz="4" w:space="0" w:color="auto"/>
            </w:tcBorders>
          </w:tcPr>
          <w:p w14:paraId="656B1D22" w14:textId="65E25AB3" w:rsidR="00F85403" w:rsidRPr="00EB1A74" w:rsidRDefault="00F85403" w:rsidP="00F85403">
            <w:pPr>
              <w:spacing w:after="0"/>
              <w:rPr>
                <w:rFonts w:cs="Segoe UI Light"/>
                <w:sz w:val="18"/>
              </w:rPr>
            </w:pPr>
            <w:r w:rsidRPr="008A23C8">
              <w:rPr>
                <w:sz w:val="18"/>
              </w:rPr>
              <w:t>+</w:t>
            </w:r>
            <w:r w:rsidR="004F45F7">
              <w:rPr>
                <w:sz w:val="18"/>
              </w:rPr>
              <w:t>170.1</w:t>
            </w:r>
            <w:r w:rsidRPr="008A23C8">
              <w:rPr>
                <w:sz w:val="18"/>
              </w:rPr>
              <w:t xml:space="preserve">% </w:t>
            </w:r>
          </w:p>
        </w:tc>
      </w:tr>
      <w:bookmarkEnd w:id="2053"/>
      <w:tr w:rsidR="00F85403" w:rsidRPr="000D7D82" w14:paraId="656B1D2D" w14:textId="77777777" w:rsidTr="00BB3356">
        <w:trPr>
          <w:cantSplit/>
          <w:trHeight w:val="216"/>
          <w:jc w:val="center"/>
        </w:trPr>
        <w:tc>
          <w:tcPr>
            <w:tcW w:w="461" w:type="pct"/>
            <w:tcBorders>
              <w:top w:val="single" w:sz="4" w:space="0" w:color="auto"/>
              <w:bottom w:val="single" w:sz="4" w:space="0" w:color="auto"/>
            </w:tcBorders>
          </w:tcPr>
          <w:p w14:paraId="656B1D24" w14:textId="77777777" w:rsidR="00F85403" w:rsidRPr="000D7D82" w:rsidRDefault="00F85403" w:rsidP="00F85403">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D25" w14:textId="77777777" w:rsidR="00F85403" w:rsidRPr="000D7D82" w:rsidRDefault="00F85403" w:rsidP="00F85403">
            <w:pPr>
              <w:spacing w:after="0"/>
              <w:rPr>
                <w:rFonts w:cs="Segoe UI Light"/>
                <w:sz w:val="18"/>
              </w:rPr>
            </w:pPr>
            <w:r w:rsidRPr="000D7D82">
              <w:rPr>
                <w:rFonts w:cs="Segoe UI Light"/>
                <w:sz w:val="18"/>
              </w:rPr>
              <w:t>Amendment</w:t>
            </w:r>
          </w:p>
        </w:tc>
        <w:tc>
          <w:tcPr>
            <w:tcW w:w="772" w:type="pct"/>
            <w:tcBorders>
              <w:top w:val="single" w:sz="4" w:space="0" w:color="auto"/>
              <w:bottom w:val="single" w:sz="4" w:space="0" w:color="auto"/>
            </w:tcBorders>
          </w:tcPr>
          <w:p w14:paraId="656B1D26" w14:textId="77777777" w:rsidR="00F85403" w:rsidRPr="000D7D82" w:rsidRDefault="00F85403" w:rsidP="00F85403">
            <w:pPr>
              <w:spacing w:after="0"/>
              <w:rPr>
                <w:rFonts w:cs="Segoe UI Light"/>
                <w:sz w:val="18"/>
              </w:rPr>
            </w:pPr>
            <w:r w:rsidRPr="000D7D82">
              <w:rPr>
                <w:rFonts w:cs="Segoe UI Light"/>
                <w:sz w:val="18"/>
              </w:rPr>
              <w:t>Reportable priority waste transport (full permit) [30 tonnes or more (R100, K100, K120, K200, T130)]</w:t>
            </w:r>
          </w:p>
        </w:tc>
        <w:tc>
          <w:tcPr>
            <w:tcW w:w="885" w:type="pct"/>
            <w:tcBorders>
              <w:top w:val="single" w:sz="4" w:space="0" w:color="auto"/>
              <w:bottom w:val="single" w:sz="4" w:space="0" w:color="auto"/>
            </w:tcBorders>
          </w:tcPr>
          <w:p w14:paraId="656B1D27" w14:textId="7A97EF2D" w:rsidR="00F85403" w:rsidRPr="000D7D82" w:rsidRDefault="00F85403" w:rsidP="00F85403">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D28" w14:textId="77777777" w:rsidR="00F85403" w:rsidRPr="000D7D82" w:rsidRDefault="00F85403">
            <w:pPr>
              <w:spacing w:after="0"/>
              <w:rPr>
                <w:rFonts w:cs="Segoe UI Light"/>
                <w:sz w:val="18"/>
              </w:rPr>
            </w:pPr>
            <w:r w:rsidRPr="000D7D82">
              <w:rPr>
                <w:rFonts w:cs="Segoe UI Light"/>
                <w:sz w:val="18"/>
              </w:rPr>
              <w:t xml:space="preserve">10.3 fee units: </w:t>
            </w:r>
          </w:p>
          <w:p w14:paraId="656B1D29" w14:textId="77777777" w:rsidR="00F85403" w:rsidRPr="000D7D82" w:rsidRDefault="00F85403">
            <w:pPr>
              <w:spacing w:after="0"/>
              <w:rPr>
                <w:rFonts w:cs="Segoe UI Light"/>
                <w:sz w:val="18"/>
              </w:rPr>
            </w:pPr>
            <w:r w:rsidRPr="000D7D82">
              <w:rPr>
                <w:rFonts w:cs="Segoe UI Light"/>
                <w:sz w:val="18"/>
              </w:rPr>
              <w:t>$148.84</w:t>
            </w:r>
          </w:p>
        </w:tc>
        <w:tc>
          <w:tcPr>
            <w:tcW w:w="780" w:type="pct"/>
            <w:tcBorders>
              <w:top w:val="single" w:sz="4" w:space="0" w:color="auto"/>
              <w:bottom w:val="single" w:sz="4" w:space="0" w:color="auto"/>
            </w:tcBorders>
          </w:tcPr>
          <w:p w14:paraId="656B1D2A" w14:textId="77777777" w:rsidR="00F85403" w:rsidRPr="000D7D82" w:rsidRDefault="00F85403" w:rsidP="00F85403">
            <w:pPr>
              <w:spacing w:after="0"/>
              <w:rPr>
                <w:rFonts w:cs="Segoe UI Light"/>
                <w:sz w:val="18"/>
              </w:rPr>
            </w:pPr>
            <w:r w:rsidRPr="000D7D82">
              <w:rPr>
                <w:rFonts w:cs="Segoe UI Light"/>
                <w:sz w:val="18"/>
              </w:rPr>
              <w:t>Flat fee - 13.91 fee units</w:t>
            </w:r>
          </w:p>
        </w:tc>
        <w:tc>
          <w:tcPr>
            <w:tcW w:w="635" w:type="pct"/>
            <w:gridSpan w:val="2"/>
            <w:tcBorders>
              <w:top w:val="single" w:sz="4" w:space="0" w:color="auto"/>
              <w:bottom w:val="single" w:sz="4" w:space="0" w:color="auto"/>
            </w:tcBorders>
          </w:tcPr>
          <w:p w14:paraId="656B1D2B" w14:textId="2091968F" w:rsidR="00F85403" w:rsidRPr="000D7D82" w:rsidRDefault="00F85403" w:rsidP="00F85403">
            <w:pPr>
              <w:spacing w:after="0"/>
              <w:rPr>
                <w:rFonts w:cs="Segoe UI Light"/>
                <w:sz w:val="18"/>
              </w:rPr>
            </w:pPr>
            <w:r w:rsidRPr="000D7D82">
              <w:rPr>
                <w:rFonts w:cs="Segoe UI Light"/>
                <w:sz w:val="18"/>
              </w:rPr>
              <w:t>$</w:t>
            </w:r>
            <w:r w:rsidR="00A43FB4">
              <w:rPr>
                <w:rFonts w:cs="Segoe UI Light"/>
                <w:sz w:val="18"/>
              </w:rPr>
              <w:t>201</w:t>
            </w:r>
            <w:r w:rsidRPr="000D7D82">
              <w:rPr>
                <w:rFonts w:cs="Segoe UI Light"/>
                <w:sz w:val="18"/>
              </w:rPr>
              <w:t>.0</w:t>
            </w:r>
            <w:r w:rsidR="00A43FB4">
              <w:rPr>
                <w:rFonts w:cs="Segoe UI Light"/>
                <w:sz w:val="18"/>
              </w:rPr>
              <w:t>0</w:t>
            </w:r>
          </w:p>
        </w:tc>
        <w:tc>
          <w:tcPr>
            <w:tcW w:w="464" w:type="pct"/>
            <w:tcBorders>
              <w:top w:val="single" w:sz="4" w:space="0" w:color="auto"/>
              <w:bottom w:val="single" w:sz="4" w:space="0" w:color="auto"/>
            </w:tcBorders>
          </w:tcPr>
          <w:p w14:paraId="656B1D2C" w14:textId="0C49B741" w:rsidR="00F85403" w:rsidRPr="00EB1A74" w:rsidRDefault="00F85403" w:rsidP="00F85403">
            <w:pPr>
              <w:spacing w:after="0"/>
              <w:rPr>
                <w:rFonts w:cs="Segoe UI Light"/>
                <w:sz w:val="18"/>
              </w:rPr>
            </w:pPr>
            <w:r w:rsidRPr="008A23C8">
              <w:rPr>
                <w:sz w:val="18"/>
              </w:rPr>
              <w:t>+</w:t>
            </w:r>
            <w:r w:rsidR="004F45F7">
              <w:rPr>
                <w:sz w:val="18"/>
              </w:rPr>
              <w:t>35.0</w:t>
            </w:r>
            <w:r w:rsidRPr="008A23C8">
              <w:rPr>
                <w:sz w:val="18"/>
              </w:rPr>
              <w:t xml:space="preserve">% </w:t>
            </w:r>
          </w:p>
        </w:tc>
      </w:tr>
      <w:tr w:rsidR="00F85403" w:rsidRPr="000D7D82" w14:paraId="656B1D37" w14:textId="77777777" w:rsidTr="00BB3356">
        <w:trPr>
          <w:cantSplit/>
          <w:trHeight w:val="216"/>
          <w:jc w:val="center"/>
        </w:trPr>
        <w:tc>
          <w:tcPr>
            <w:tcW w:w="461" w:type="pct"/>
            <w:tcBorders>
              <w:top w:val="single" w:sz="4" w:space="0" w:color="auto"/>
              <w:bottom w:val="single" w:sz="4" w:space="0" w:color="auto"/>
            </w:tcBorders>
          </w:tcPr>
          <w:p w14:paraId="656B1D2E" w14:textId="77777777" w:rsidR="00F85403" w:rsidRPr="000D7D82" w:rsidRDefault="00F85403" w:rsidP="00F85403">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D2F" w14:textId="77777777" w:rsidR="00F85403" w:rsidRPr="000D7D82" w:rsidRDefault="00F85403" w:rsidP="00F85403">
            <w:pPr>
              <w:spacing w:after="0"/>
              <w:rPr>
                <w:rFonts w:cs="Segoe UI Light"/>
                <w:sz w:val="18"/>
              </w:rPr>
            </w:pPr>
            <w:r w:rsidRPr="000D7D82">
              <w:rPr>
                <w:rFonts w:cs="Segoe UI Light"/>
                <w:sz w:val="18"/>
              </w:rPr>
              <w:t>Amendment</w:t>
            </w:r>
          </w:p>
        </w:tc>
        <w:tc>
          <w:tcPr>
            <w:tcW w:w="772" w:type="pct"/>
            <w:tcBorders>
              <w:top w:val="single" w:sz="4" w:space="0" w:color="auto"/>
              <w:bottom w:val="single" w:sz="4" w:space="0" w:color="auto"/>
            </w:tcBorders>
          </w:tcPr>
          <w:p w14:paraId="656B1D30" w14:textId="77777777" w:rsidR="00F85403" w:rsidRPr="000D7D82" w:rsidRDefault="00F85403" w:rsidP="00F85403">
            <w:pPr>
              <w:spacing w:after="0"/>
              <w:rPr>
                <w:rFonts w:cs="Segoe UI Light"/>
                <w:sz w:val="18"/>
              </w:rPr>
            </w:pPr>
            <w:r w:rsidRPr="000D7D82">
              <w:rPr>
                <w:rFonts w:cs="Segoe UI Light"/>
                <w:sz w:val="18"/>
              </w:rPr>
              <w:t>Reportable priority waste transport (full permit) [less than 1.5 tonnes (all other waste codes)]</w:t>
            </w:r>
          </w:p>
        </w:tc>
        <w:tc>
          <w:tcPr>
            <w:tcW w:w="885" w:type="pct"/>
            <w:tcBorders>
              <w:top w:val="single" w:sz="4" w:space="0" w:color="auto"/>
              <w:bottom w:val="single" w:sz="4" w:space="0" w:color="auto"/>
            </w:tcBorders>
          </w:tcPr>
          <w:p w14:paraId="656B1D31" w14:textId="520C4D82" w:rsidR="00F85403" w:rsidRPr="000D7D82" w:rsidRDefault="00F85403" w:rsidP="00F85403">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D32" w14:textId="77777777" w:rsidR="00F85403" w:rsidRPr="000D7D82" w:rsidRDefault="00F85403" w:rsidP="00F85403">
            <w:pPr>
              <w:spacing w:after="0"/>
              <w:rPr>
                <w:rFonts w:cs="Segoe UI Light"/>
                <w:sz w:val="18"/>
              </w:rPr>
            </w:pPr>
            <w:r w:rsidRPr="000D7D82">
              <w:rPr>
                <w:rFonts w:cs="Segoe UI Light"/>
                <w:sz w:val="18"/>
              </w:rPr>
              <w:t xml:space="preserve">5.15 fee units: </w:t>
            </w:r>
          </w:p>
          <w:p w14:paraId="656B1D33" w14:textId="77777777" w:rsidR="00F85403" w:rsidRPr="000D7D82" w:rsidRDefault="00F85403" w:rsidP="00F85403">
            <w:pPr>
              <w:spacing w:after="0"/>
              <w:rPr>
                <w:rFonts w:cs="Segoe UI Light"/>
                <w:sz w:val="18"/>
              </w:rPr>
            </w:pPr>
            <w:r w:rsidRPr="000D7D82">
              <w:rPr>
                <w:rFonts w:cs="Segoe UI Light"/>
                <w:sz w:val="18"/>
              </w:rPr>
              <w:t>$74.42</w:t>
            </w:r>
          </w:p>
        </w:tc>
        <w:tc>
          <w:tcPr>
            <w:tcW w:w="780" w:type="pct"/>
            <w:tcBorders>
              <w:top w:val="single" w:sz="4" w:space="0" w:color="auto"/>
              <w:bottom w:val="single" w:sz="4" w:space="0" w:color="auto"/>
            </w:tcBorders>
          </w:tcPr>
          <w:p w14:paraId="656B1D34" w14:textId="77777777" w:rsidR="00F85403" w:rsidRPr="000D7D82" w:rsidRDefault="00F85403" w:rsidP="00F85403">
            <w:pPr>
              <w:spacing w:after="0"/>
              <w:rPr>
                <w:rFonts w:cs="Segoe UI Light"/>
                <w:sz w:val="18"/>
              </w:rPr>
            </w:pPr>
            <w:r w:rsidRPr="000D7D82">
              <w:rPr>
                <w:rFonts w:cs="Segoe UI Light"/>
                <w:sz w:val="18"/>
              </w:rPr>
              <w:t>Flat fee - 13.91 fee units</w:t>
            </w:r>
          </w:p>
        </w:tc>
        <w:tc>
          <w:tcPr>
            <w:tcW w:w="635" w:type="pct"/>
            <w:gridSpan w:val="2"/>
            <w:tcBorders>
              <w:top w:val="single" w:sz="4" w:space="0" w:color="auto"/>
              <w:bottom w:val="single" w:sz="4" w:space="0" w:color="auto"/>
            </w:tcBorders>
          </w:tcPr>
          <w:p w14:paraId="656B1D35" w14:textId="76F63B10" w:rsidR="00F85403" w:rsidRPr="000D7D82" w:rsidRDefault="00F85403" w:rsidP="00F85403">
            <w:pPr>
              <w:spacing w:after="0"/>
              <w:rPr>
                <w:rFonts w:cs="Segoe UI Light"/>
                <w:sz w:val="18"/>
              </w:rPr>
            </w:pPr>
            <w:r w:rsidRPr="000D7D82">
              <w:rPr>
                <w:rFonts w:cs="Segoe UI Light"/>
                <w:sz w:val="18"/>
              </w:rPr>
              <w:t>$</w:t>
            </w:r>
            <w:r w:rsidR="0001585B" w:rsidRPr="000D7D82">
              <w:rPr>
                <w:rFonts w:cs="Segoe UI Light"/>
                <w:sz w:val="18"/>
              </w:rPr>
              <w:t>201.00</w:t>
            </w:r>
          </w:p>
        </w:tc>
        <w:tc>
          <w:tcPr>
            <w:tcW w:w="464" w:type="pct"/>
            <w:tcBorders>
              <w:top w:val="single" w:sz="4" w:space="0" w:color="auto"/>
              <w:bottom w:val="single" w:sz="4" w:space="0" w:color="auto"/>
            </w:tcBorders>
          </w:tcPr>
          <w:p w14:paraId="656B1D36" w14:textId="03080126" w:rsidR="00F85403" w:rsidRPr="00EB1A74" w:rsidRDefault="00F85403" w:rsidP="00F85403">
            <w:pPr>
              <w:spacing w:after="0"/>
              <w:rPr>
                <w:rFonts w:cs="Segoe UI Light"/>
                <w:sz w:val="18"/>
              </w:rPr>
            </w:pPr>
            <w:r w:rsidRPr="008A23C8">
              <w:rPr>
                <w:sz w:val="18"/>
              </w:rPr>
              <w:t>+</w:t>
            </w:r>
            <w:r w:rsidR="006200FB">
              <w:rPr>
                <w:sz w:val="18"/>
              </w:rPr>
              <w:t>170.1</w:t>
            </w:r>
            <w:r w:rsidRPr="008A23C8">
              <w:rPr>
                <w:sz w:val="18"/>
              </w:rPr>
              <w:t>%</w:t>
            </w:r>
          </w:p>
        </w:tc>
      </w:tr>
      <w:tr w:rsidR="00F85403" w:rsidRPr="000D7D82" w14:paraId="656B1D41" w14:textId="77777777" w:rsidTr="00BB3356">
        <w:trPr>
          <w:cantSplit/>
          <w:trHeight w:val="216"/>
          <w:jc w:val="center"/>
        </w:trPr>
        <w:tc>
          <w:tcPr>
            <w:tcW w:w="461" w:type="pct"/>
            <w:tcBorders>
              <w:top w:val="single" w:sz="4" w:space="0" w:color="auto"/>
              <w:bottom w:val="single" w:sz="4" w:space="0" w:color="auto"/>
            </w:tcBorders>
          </w:tcPr>
          <w:p w14:paraId="656B1D38" w14:textId="77777777" w:rsidR="00F85403" w:rsidRPr="000D7D82" w:rsidRDefault="00F85403" w:rsidP="00F85403">
            <w:pPr>
              <w:spacing w:after="0"/>
              <w:rPr>
                <w:rFonts w:cs="Segoe UI Light"/>
                <w:sz w:val="18"/>
              </w:rPr>
            </w:pPr>
            <w:bookmarkStart w:id="2054" w:name="_Hlk13468900"/>
            <w:r w:rsidRPr="000D7D82">
              <w:rPr>
                <w:rFonts w:cs="Segoe UI Light"/>
                <w:sz w:val="18"/>
              </w:rPr>
              <w:t>Permit</w:t>
            </w:r>
          </w:p>
        </w:tc>
        <w:tc>
          <w:tcPr>
            <w:tcW w:w="431" w:type="pct"/>
            <w:tcBorders>
              <w:top w:val="single" w:sz="4" w:space="0" w:color="auto"/>
              <w:bottom w:val="single" w:sz="4" w:space="0" w:color="auto"/>
            </w:tcBorders>
          </w:tcPr>
          <w:p w14:paraId="656B1D39" w14:textId="77777777" w:rsidR="00F85403" w:rsidRPr="000D7D82" w:rsidRDefault="00F85403" w:rsidP="00F85403">
            <w:pPr>
              <w:spacing w:after="0"/>
              <w:rPr>
                <w:rFonts w:cs="Segoe UI Light"/>
                <w:sz w:val="18"/>
              </w:rPr>
            </w:pPr>
            <w:r w:rsidRPr="000D7D82">
              <w:rPr>
                <w:rFonts w:cs="Segoe UI Light"/>
                <w:sz w:val="18"/>
              </w:rPr>
              <w:t>Amendment</w:t>
            </w:r>
          </w:p>
        </w:tc>
        <w:tc>
          <w:tcPr>
            <w:tcW w:w="772" w:type="pct"/>
            <w:tcBorders>
              <w:top w:val="single" w:sz="4" w:space="0" w:color="auto"/>
              <w:bottom w:val="single" w:sz="4" w:space="0" w:color="auto"/>
            </w:tcBorders>
          </w:tcPr>
          <w:p w14:paraId="656B1D3A" w14:textId="77777777" w:rsidR="00F85403" w:rsidRPr="000D7D82" w:rsidRDefault="00F85403" w:rsidP="00F85403">
            <w:pPr>
              <w:spacing w:after="0"/>
              <w:rPr>
                <w:rFonts w:cs="Segoe UI Light"/>
                <w:sz w:val="18"/>
              </w:rPr>
            </w:pPr>
            <w:r w:rsidRPr="000D7D82">
              <w:rPr>
                <w:rFonts w:cs="Segoe UI Light"/>
                <w:sz w:val="18"/>
              </w:rPr>
              <w:t>Reportable priority waste transport (full permit) [equal to or more than 1.5 tonnes but less than 30 tonnes (all other waste codes)]</w:t>
            </w:r>
          </w:p>
        </w:tc>
        <w:tc>
          <w:tcPr>
            <w:tcW w:w="885" w:type="pct"/>
            <w:tcBorders>
              <w:top w:val="single" w:sz="4" w:space="0" w:color="auto"/>
              <w:bottom w:val="single" w:sz="4" w:space="0" w:color="auto"/>
            </w:tcBorders>
          </w:tcPr>
          <w:p w14:paraId="656B1D3B" w14:textId="4D773CE7" w:rsidR="00F85403" w:rsidRPr="000D7D82" w:rsidRDefault="00F85403" w:rsidP="00F85403">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D3C" w14:textId="77777777" w:rsidR="00F85403" w:rsidRPr="000D7D82" w:rsidRDefault="00F85403" w:rsidP="00F85403">
            <w:pPr>
              <w:spacing w:after="0"/>
              <w:rPr>
                <w:rFonts w:cs="Segoe UI Light"/>
                <w:sz w:val="18"/>
              </w:rPr>
            </w:pPr>
            <w:r w:rsidRPr="000D7D82">
              <w:rPr>
                <w:rFonts w:cs="Segoe UI Light"/>
                <w:sz w:val="18"/>
              </w:rPr>
              <w:t xml:space="preserve">5.15 fee units: </w:t>
            </w:r>
          </w:p>
          <w:p w14:paraId="656B1D3D" w14:textId="77777777" w:rsidR="00F85403" w:rsidRPr="000D7D82" w:rsidRDefault="00F85403" w:rsidP="00F85403">
            <w:pPr>
              <w:spacing w:after="0"/>
              <w:rPr>
                <w:rFonts w:cs="Segoe UI Light"/>
                <w:sz w:val="18"/>
              </w:rPr>
            </w:pPr>
            <w:r w:rsidRPr="000D7D82">
              <w:rPr>
                <w:rFonts w:cs="Segoe UI Light"/>
                <w:sz w:val="18"/>
              </w:rPr>
              <w:t>$74.42</w:t>
            </w:r>
          </w:p>
        </w:tc>
        <w:tc>
          <w:tcPr>
            <w:tcW w:w="780" w:type="pct"/>
            <w:tcBorders>
              <w:top w:val="single" w:sz="4" w:space="0" w:color="auto"/>
              <w:bottom w:val="single" w:sz="4" w:space="0" w:color="auto"/>
            </w:tcBorders>
          </w:tcPr>
          <w:p w14:paraId="656B1D3E" w14:textId="77777777" w:rsidR="00F85403" w:rsidRPr="000D7D82" w:rsidRDefault="00F85403" w:rsidP="00F85403">
            <w:pPr>
              <w:spacing w:after="0"/>
              <w:rPr>
                <w:rFonts w:cs="Segoe UI Light"/>
                <w:sz w:val="18"/>
              </w:rPr>
            </w:pPr>
            <w:r w:rsidRPr="000D7D82">
              <w:rPr>
                <w:rFonts w:cs="Segoe UI Light"/>
                <w:sz w:val="18"/>
              </w:rPr>
              <w:t>Flat fee - 13.91 fee units</w:t>
            </w:r>
          </w:p>
        </w:tc>
        <w:tc>
          <w:tcPr>
            <w:tcW w:w="635" w:type="pct"/>
            <w:gridSpan w:val="2"/>
            <w:tcBorders>
              <w:top w:val="single" w:sz="4" w:space="0" w:color="auto"/>
              <w:bottom w:val="single" w:sz="4" w:space="0" w:color="auto"/>
            </w:tcBorders>
          </w:tcPr>
          <w:p w14:paraId="656B1D3F" w14:textId="7268445B" w:rsidR="00F85403" w:rsidRPr="000D7D82" w:rsidRDefault="00F85403" w:rsidP="00F85403">
            <w:pPr>
              <w:spacing w:after="0"/>
              <w:rPr>
                <w:rFonts w:cs="Segoe UI Light"/>
                <w:sz w:val="18"/>
              </w:rPr>
            </w:pPr>
            <w:r w:rsidRPr="000D7D82">
              <w:rPr>
                <w:rFonts w:cs="Segoe UI Light"/>
                <w:sz w:val="18"/>
              </w:rPr>
              <w:t>$</w:t>
            </w:r>
            <w:r w:rsidR="0001585B" w:rsidRPr="000D7D82">
              <w:rPr>
                <w:rFonts w:cs="Segoe UI Light"/>
                <w:sz w:val="18"/>
              </w:rPr>
              <w:t>201.00</w:t>
            </w:r>
          </w:p>
        </w:tc>
        <w:tc>
          <w:tcPr>
            <w:tcW w:w="464" w:type="pct"/>
            <w:tcBorders>
              <w:top w:val="single" w:sz="4" w:space="0" w:color="auto"/>
              <w:bottom w:val="single" w:sz="4" w:space="0" w:color="auto"/>
            </w:tcBorders>
          </w:tcPr>
          <w:p w14:paraId="656B1D40" w14:textId="6520BBAF" w:rsidR="00F85403" w:rsidRPr="00EB1A74" w:rsidRDefault="00F85403" w:rsidP="00F85403">
            <w:pPr>
              <w:spacing w:after="0"/>
              <w:rPr>
                <w:rFonts w:cs="Segoe UI Light"/>
                <w:sz w:val="18"/>
              </w:rPr>
            </w:pPr>
            <w:r w:rsidRPr="00DB3FCA">
              <w:rPr>
                <w:sz w:val="18"/>
              </w:rPr>
              <w:t>+</w:t>
            </w:r>
            <w:r w:rsidR="006200FB">
              <w:rPr>
                <w:sz w:val="18"/>
              </w:rPr>
              <w:t>170.1</w:t>
            </w:r>
            <w:r w:rsidRPr="00DB3FCA">
              <w:rPr>
                <w:sz w:val="18"/>
              </w:rPr>
              <w:t>%</w:t>
            </w:r>
          </w:p>
        </w:tc>
      </w:tr>
      <w:bookmarkEnd w:id="2054"/>
      <w:tr w:rsidR="00F85403" w:rsidRPr="000D7D82" w14:paraId="656B1D4B" w14:textId="77777777" w:rsidTr="00BB3356">
        <w:trPr>
          <w:cantSplit/>
          <w:trHeight w:val="216"/>
          <w:jc w:val="center"/>
        </w:trPr>
        <w:tc>
          <w:tcPr>
            <w:tcW w:w="461" w:type="pct"/>
            <w:tcBorders>
              <w:top w:val="single" w:sz="4" w:space="0" w:color="auto"/>
              <w:bottom w:val="single" w:sz="4" w:space="0" w:color="auto"/>
            </w:tcBorders>
          </w:tcPr>
          <w:p w14:paraId="656B1D42" w14:textId="77777777" w:rsidR="00F85403" w:rsidRPr="000D7D82" w:rsidRDefault="00F85403" w:rsidP="00F85403">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D43" w14:textId="77777777" w:rsidR="00F85403" w:rsidRPr="000D7D82" w:rsidRDefault="00F85403" w:rsidP="00F85403">
            <w:pPr>
              <w:spacing w:after="0"/>
              <w:rPr>
                <w:rFonts w:cs="Segoe UI Light"/>
                <w:sz w:val="18"/>
              </w:rPr>
            </w:pPr>
            <w:r w:rsidRPr="000D7D82">
              <w:rPr>
                <w:rFonts w:cs="Segoe UI Light"/>
                <w:sz w:val="18"/>
              </w:rPr>
              <w:t>Amendment</w:t>
            </w:r>
          </w:p>
        </w:tc>
        <w:tc>
          <w:tcPr>
            <w:tcW w:w="772" w:type="pct"/>
            <w:tcBorders>
              <w:top w:val="single" w:sz="4" w:space="0" w:color="auto"/>
              <w:bottom w:val="single" w:sz="4" w:space="0" w:color="auto"/>
            </w:tcBorders>
          </w:tcPr>
          <w:p w14:paraId="656B1D44" w14:textId="77777777" w:rsidR="00F85403" w:rsidRPr="000D7D82" w:rsidRDefault="00F85403" w:rsidP="00F85403">
            <w:pPr>
              <w:spacing w:after="0"/>
              <w:rPr>
                <w:rFonts w:cs="Segoe UI Light"/>
                <w:sz w:val="18"/>
              </w:rPr>
            </w:pPr>
            <w:r w:rsidRPr="000D7D82">
              <w:rPr>
                <w:rFonts w:cs="Segoe UI Light"/>
                <w:sz w:val="18"/>
              </w:rPr>
              <w:t>Reportable priority waste transport (full permit) [30 tonnes or more (all other waste codes)]</w:t>
            </w:r>
          </w:p>
        </w:tc>
        <w:tc>
          <w:tcPr>
            <w:tcW w:w="885" w:type="pct"/>
            <w:tcBorders>
              <w:top w:val="single" w:sz="4" w:space="0" w:color="auto"/>
              <w:bottom w:val="single" w:sz="4" w:space="0" w:color="auto"/>
            </w:tcBorders>
          </w:tcPr>
          <w:p w14:paraId="656B1D45" w14:textId="25133A1E" w:rsidR="00F85403" w:rsidRPr="000D7D82" w:rsidRDefault="00F85403" w:rsidP="00F85403">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D46" w14:textId="77777777" w:rsidR="00F85403" w:rsidRPr="000D7D82" w:rsidRDefault="00F85403" w:rsidP="00F85403">
            <w:pPr>
              <w:spacing w:after="0"/>
              <w:rPr>
                <w:rFonts w:cs="Segoe UI Light"/>
                <w:sz w:val="18"/>
              </w:rPr>
            </w:pPr>
            <w:r w:rsidRPr="000D7D82">
              <w:rPr>
                <w:rFonts w:cs="Segoe UI Light"/>
                <w:sz w:val="18"/>
              </w:rPr>
              <w:t xml:space="preserve">14.2 fee units: </w:t>
            </w:r>
          </w:p>
          <w:p w14:paraId="656B1D47" w14:textId="77777777" w:rsidR="00F85403" w:rsidRPr="000D7D82" w:rsidRDefault="00F85403" w:rsidP="00F85403">
            <w:pPr>
              <w:spacing w:after="0"/>
              <w:rPr>
                <w:rFonts w:cs="Segoe UI Light"/>
                <w:sz w:val="18"/>
              </w:rPr>
            </w:pPr>
            <w:r w:rsidRPr="000D7D82">
              <w:rPr>
                <w:rFonts w:cs="Segoe UI Light"/>
                <w:sz w:val="18"/>
              </w:rPr>
              <w:t>$205.19</w:t>
            </w:r>
          </w:p>
        </w:tc>
        <w:tc>
          <w:tcPr>
            <w:tcW w:w="780" w:type="pct"/>
            <w:tcBorders>
              <w:top w:val="single" w:sz="4" w:space="0" w:color="auto"/>
              <w:bottom w:val="single" w:sz="4" w:space="0" w:color="auto"/>
            </w:tcBorders>
          </w:tcPr>
          <w:p w14:paraId="656B1D48" w14:textId="77777777" w:rsidR="00F85403" w:rsidRPr="000D7D82" w:rsidRDefault="00F85403" w:rsidP="00F85403">
            <w:pPr>
              <w:spacing w:after="0"/>
              <w:rPr>
                <w:rFonts w:cs="Segoe UI Light"/>
                <w:sz w:val="18"/>
              </w:rPr>
            </w:pPr>
            <w:r w:rsidRPr="000D7D82">
              <w:rPr>
                <w:rFonts w:cs="Segoe UI Light"/>
                <w:sz w:val="18"/>
              </w:rPr>
              <w:t>Flat fee - 13.91 fee units</w:t>
            </w:r>
          </w:p>
        </w:tc>
        <w:tc>
          <w:tcPr>
            <w:tcW w:w="635" w:type="pct"/>
            <w:gridSpan w:val="2"/>
            <w:tcBorders>
              <w:top w:val="single" w:sz="4" w:space="0" w:color="auto"/>
              <w:bottom w:val="single" w:sz="4" w:space="0" w:color="auto"/>
            </w:tcBorders>
          </w:tcPr>
          <w:p w14:paraId="656B1D49" w14:textId="1D4DC9F3" w:rsidR="00F85403" w:rsidRPr="000D7D82" w:rsidRDefault="00F85403" w:rsidP="00F85403">
            <w:pPr>
              <w:spacing w:after="0"/>
              <w:rPr>
                <w:rFonts w:cs="Segoe UI Light"/>
                <w:sz w:val="18"/>
              </w:rPr>
            </w:pPr>
            <w:r w:rsidRPr="000D7D82">
              <w:rPr>
                <w:rFonts w:cs="Segoe UI Light"/>
                <w:sz w:val="18"/>
              </w:rPr>
              <w:t>$</w:t>
            </w:r>
            <w:r w:rsidR="0001585B" w:rsidRPr="000D7D82">
              <w:rPr>
                <w:rFonts w:cs="Segoe UI Light"/>
                <w:sz w:val="18"/>
              </w:rPr>
              <w:t>201.00</w:t>
            </w:r>
          </w:p>
        </w:tc>
        <w:tc>
          <w:tcPr>
            <w:tcW w:w="464" w:type="pct"/>
            <w:tcBorders>
              <w:top w:val="single" w:sz="4" w:space="0" w:color="auto"/>
              <w:bottom w:val="single" w:sz="4" w:space="0" w:color="auto"/>
            </w:tcBorders>
          </w:tcPr>
          <w:p w14:paraId="656B1D4A" w14:textId="33CD2136" w:rsidR="00F85403" w:rsidRPr="00EB1A74" w:rsidRDefault="00F85403" w:rsidP="00F85403">
            <w:pPr>
              <w:spacing w:after="0"/>
              <w:rPr>
                <w:rFonts w:cs="Segoe UI Light"/>
                <w:sz w:val="18"/>
              </w:rPr>
            </w:pPr>
            <w:r w:rsidRPr="00DB3FCA">
              <w:rPr>
                <w:sz w:val="18"/>
              </w:rPr>
              <w:t>-</w:t>
            </w:r>
            <w:r w:rsidR="006200FB">
              <w:rPr>
                <w:sz w:val="18"/>
              </w:rPr>
              <w:t>2</w:t>
            </w:r>
            <w:r w:rsidRPr="00DB3FCA">
              <w:rPr>
                <w:sz w:val="18"/>
              </w:rPr>
              <w:t>.0%</w:t>
            </w:r>
          </w:p>
        </w:tc>
      </w:tr>
      <w:tr w:rsidR="00F85403" w:rsidRPr="000D7D82" w14:paraId="656B1D55" w14:textId="77777777" w:rsidTr="00BB3356">
        <w:trPr>
          <w:cantSplit/>
          <w:trHeight w:val="216"/>
          <w:jc w:val="center"/>
        </w:trPr>
        <w:tc>
          <w:tcPr>
            <w:tcW w:w="461" w:type="pct"/>
            <w:tcBorders>
              <w:top w:val="single" w:sz="4" w:space="0" w:color="auto"/>
              <w:bottom w:val="single" w:sz="4" w:space="0" w:color="auto"/>
            </w:tcBorders>
          </w:tcPr>
          <w:p w14:paraId="656B1D4C" w14:textId="77777777" w:rsidR="00F85403" w:rsidRPr="000D7D82" w:rsidRDefault="00F85403" w:rsidP="00F85403">
            <w:pPr>
              <w:spacing w:after="0"/>
              <w:rPr>
                <w:rFonts w:cs="Segoe UI Light"/>
                <w:sz w:val="18"/>
              </w:rPr>
            </w:pPr>
            <w:bookmarkStart w:id="2055" w:name="_Hlk13468935"/>
            <w:r w:rsidRPr="000D7D82">
              <w:rPr>
                <w:rFonts w:cs="Segoe UI Light"/>
                <w:sz w:val="18"/>
              </w:rPr>
              <w:t>Permit</w:t>
            </w:r>
          </w:p>
        </w:tc>
        <w:tc>
          <w:tcPr>
            <w:tcW w:w="431" w:type="pct"/>
            <w:tcBorders>
              <w:top w:val="single" w:sz="4" w:space="0" w:color="auto"/>
              <w:bottom w:val="single" w:sz="4" w:space="0" w:color="auto"/>
            </w:tcBorders>
          </w:tcPr>
          <w:p w14:paraId="656B1D4D" w14:textId="77777777" w:rsidR="00F85403" w:rsidRPr="000D7D82" w:rsidRDefault="00F85403" w:rsidP="00F85403">
            <w:pPr>
              <w:spacing w:after="0"/>
              <w:rPr>
                <w:rFonts w:cs="Segoe UI Light"/>
                <w:sz w:val="18"/>
              </w:rPr>
            </w:pPr>
            <w:r w:rsidRPr="000D7D82">
              <w:rPr>
                <w:rFonts w:cs="Segoe UI Light"/>
                <w:sz w:val="18"/>
              </w:rPr>
              <w:t>Amendment</w:t>
            </w:r>
          </w:p>
        </w:tc>
        <w:tc>
          <w:tcPr>
            <w:tcW w:w="772" w:type="pct"/>
            <w:tcBorders>
              <w:top w:val="single" w:sz="4" w:space="0" w:color="auto"/>
              <w:bottom w:val="single" w:sz="4" w:space="0" w:color="auto"/>
            </w:tcBorders>
          </w:tcPr>
          <w:p w14:paraId="656B1D4E" w14:textId="77777777" w:rsidR="00F85403" w:rsidRPr="000D7D82" w:rsidRDefault="00F85403" w:rsidP="00F85403">
            <w:pPr>
              <w:spacing w:after="0"/>
              <w:rPr>
                <w:rFonts w:cs="Segoe UI Light"/>
                <w:sz w:val="18"/>
              </w:rPr>
            </w:pPr>
            <w:r w:rsidRPr="000D7D82">
              <w:rPr>
                <w:rFonts w:cs="Segoe UI Light"/>
                <w:sz w:val="18"/>
              </w:rPr>
              <w:t>Reportable priority waste transport (full permit) [less than 1.5 tonnes (G100-G160, E100-E130)]</w:t>
            </w:r>
          </w:p>
        </w:tc>
        <w:tc>
          <w:tcPr>
            <w:tcW w:w="885" w:type="pct"/>
            <w:tcBorders>
              <w:top w:val="single" w:sz="4" w:space="0" w:color="auto"/>
              <w:bottom w:val="single" w:sz="4" w:space="0" w:color="auto"/>
            </w:tcBorders>
          </w:tcPr>
          <w:p w14:paraId="656B1D4F" w14:textId="4C4927FF" w:rsidR="00F85403" w:rsidRPr="000D7D82" w:rsidRDefault="00F85403" w:rsidP="00F85403">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D50" w14:textId="77777777" w:rsidR="00F85403" w:rsidRPr="000D7D82" w:rsidRDefault="00F85403" w:rsidP="00F85403">
            <w:pPr>
              <w:spacing w:after="0"/>
              <w:rPr>
                <w:rFonts w:cs="Segoe UI Light"/>
                <w:sz w:val="18"/>
              </w:rPr>
            </w:pPr>
            <w:r w:rsidRPr="000D7D82">
              <w:rPr>
                <w:rFonts w:cs="Segoe UI Light"/>
                <w:sz w:val="18"/>
              </w:rPr>
              <w:t xml:space="preserve">5.15 fee units: </w:t>
            </w:r>
          </w:p>
          <w:p w14:paraId="656B1D51" w14:textId="77777777" w:rsidR="00F85403" w:rsidRPr="000D7D82" w:rsidRDefault="00F85403" w:rsidP="00F85403">
            <w:pPr>
              <w:spacing w:after="0"/>
              <w:rPr>
                <w:rFonts w:cs="Segoe UI Light"/>
                <w:sz w:val="18"/>
              </w:rPr>
            </w:pPr>
            <w:r w:rsidRPr="000D7D82">
              <w:rPr>
                <w:rFonts w:cs="Segoe UI Light"/>
                <w:sz w:val="18"/>
              </w:rPr>
              <w:t>$74.42</w:t>
            </w:r>
          </w:p>
        </w:tc>
        <w:tc>
          <w:tcPr>
            <w:tcW w:w="780" w:type="pct"/>
            <w:tcBorders>
              <w:top w:val="single" w:sz="4" w:space="0" w:color="auto"/>
              <w:bottom w:val="single" w:sz="4" w:space="0" w:color="auto"/>
            </w:tcBorders>
          </w:tcPr>
          <w:p w14:paraId="656B1D52" w14:textId="77777777" w:rsidR="00F85403" w:rsidRPr="000D7D82" w:rsidRDefault="00F85403" w:rsidP="00F85403">
            <w:pPr>
              <w:spacing w:after="0"/>
              <w:rPr>
                <w:rFonts w:cs="Segoe UI Light"/>
                <w:sz w:val="18"/>
              </w:rPr>
            </w:pPr>
            <w:r w:rsidRPr="000D7D82">
              <w:rPr>
                <w:rFonts w:cs="Segoe UI Light"/>
                <w:sz w:val="18"/>
              </w:rPr>
              <w:t>Flat fee - 13.91 fee units</w:t>
            </w:r>
          </w:p>
        </w:tc>
        <w:tc>
          <w:tcPr>
            <w:tcW w:w="635" w:type="pct"/>
            <w:gridSpan w:val="2"/>
            <w:tcBorders>
              <w:top w:val="single" w:sz="4" w:space="0" w:color="auto"/>
              <w:bottom w:val="single" w:sz="4" w:space="0" w:color="auto"/>
            </w:tcBorders>
          </w:tcPr>
          <w:p w14:paraId="656B1D53" w14:textId="2D904EBC" w:rsidR="00F85403" w:rsidRPr="000D7D82" w:rsidRDefault="00F85403" w:rsidP="00F85403">
            <w:pPr>
              <w:spacing w:after="0"/>
              <w:rPr>
                <w:rFonts w:cs="Segoe UI Light"/>
                <w:sz w:val="18"/>
              </w:rPr>
            </w:pPr>
            <w:r w:rsidRPr="000D7D82">
              <w:rPr>
                <w:rFonts w:cs="Segoe UI Light"/>
                <w:sz w:val="18"/>
              </w:rPr>
              <w:t>$</w:t>
            </w:r>
            <w:r w:rsidR="0001585B" w:rsidRPr="000D7D82">
              <w:rPr>
                <w:rFonts w:cs="Segoe UI Light"/>
                <w:sz w:val="18"/>
              </w:rPr>
              <w:t>201.00</w:t>
            </w:r>
          </w:p>
        </w:tc>
        <w:tc>
          <w:tcPr>
            <w:tcW w:w="464" w:type="pct"/>
            <w:tcBorders>
              <w:top w:val="single" w:sz="4" w:space="0" w:color="auto"/>
              <w:bottom w:val="single" w:sz="4" w:space="0" w:color="auto"/>
            </w:tcBorders>
          </w:tcPr>
          <w:p w14:paraId="656B1D54" w14:textId="5F7FF007" w:rsidR="00F85403" w:rsidRPr="00EB1A74" w:rsidRDefault="00F85403">
            <w:pPr>
              <w:spacing w:after="0"/>
              <w:rPr>
                <w:rFonts w:cs="Segoe UI Light"/>
                <w:sz w:val="18"/>
              </w:rPr>
            </w:pPr>
            <w:r w:rsidRPr="00DB3FCA">
              <w:rPr>
                <w:sz w:val="18"/>
              </w:rPr>
              <w:t xml:space="preserve"> +</w:t>
            </w:r>
            <w:r w:rsidR="006200FB">
              <w:rPr>
                <w:sz w:val="18"/>
              </w:rPr>
              <w:t>170.1</w:t>
            </w:r>
            <w:r w:rsidRPr="00DB3FCA">
              <w:rPr>
                <w:sz w:val="18"/>
              </w:rPr>
              <w:t>%</w:t>
            </w:r>
          </w:p>
        </w:tc>
      </w:tr>
      <w:tr w:rsidR="00F85403" w:rsidRPr="000D7D82" w14:paraId="656B1D5F" w14:textId="77777777" w:rsidTr="00BB3356">
        <w:trPr>
          <w:cantSplit/>
          <w:trHeight w:val="216"/>
          <w:jc w:val="center"/>
        </w:trPr>
        <w:tc>
          <w:tcPr>
            <w:tcW w:w="461" w:type="pct"/>
            <w:tcBorders>
              <w:top w:val="single" w:sz="4" w:space="0" w:color="auto"/>
              <w:bottom w:val="single" w:sz="4" w:space="0" w:color="auto"/>
            </w:tcBorders>
          </w:tcPr>
          <w:p w14:paraId="656B1D56" w14:textId="77777777" w:rsidR="00F85403" w:rsidRPr="000D7D82" w:rsidRDefault="00F85403" w:rsidP="00F85403">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D57" w14:textId="77777777" w:rsidR="00F85403" w:rsidRPr="000D7D82" w:rsidRDefault="00F85403" w:rsidP="00F85403">
            <w:pPr>
              <w:spacing w:after="0"/>
              <w:rPr>
                <w:rFonts w:cs="Segoe UI Light"/>
                <w:sz w:val="18"/>
              </w:rPr>
            </w:pPr>
            <w:r w:rsidRPr="000D7D82">
              <w:rPr>
                <w:rFonts w:cs="Segoe UI Light"/>
                <w:sz w:val="18"/>
              </w:rPr>
              <w:t>Amendment</w:t>
            </w:r>
          </w:p>
        </w:tc>
        <w:tc>
          <w:tcPr>
            <w:tcW w:w="772" w:type="pct"/>
            <w:tcBorders>
              <w:top w:val="single" w:sz="4" w:space="0" w:color="auto"/>
              <w:bottom w:val="single" w:sz="4" w:space="0" w:color="auto"/>
            </w:tcBorders>
          </w:tcPr>
          <w:p w14:paraId="656B1D58" w14:textId="77777777" w:rsidR="00F85403" w:rsidRPr="000D7D82" w:rsidRDefault="00F85403" w:rsidP="00F85403">
            <w:pPr>
              <w:spacing w:after="0"/>
              <w:rPr>
                <w:rFonts w:cs="Segoe UI Light"/>
                <w:sz w:val="18"/>
              </w:rPr>
            </w:pPr>
            <w:r w:rsidRPr="000D7D82">
              <w:rPr>
                <w:rFonts w:cs="Segoe UI Light"/>
                <w:sz w:val="18"/>
              </w:rPr>
              <w:t>Reportable priority waste transport (full permit) [equal to or more than 1.5 tonnes but less than 30 tonnes (G100-G160, E100-E130)]</w:t>
            </w:r>
          </w:p>
        </w:tc>
        <w:tc>
          <w:tcPr>
            <w:tcW w:w="885" w:type="pct"/>
            <w:tcBorders>
              <w:top w:val="single" w:sz="4" w:space="0" w:color="auto"/>
              <w:bottom w:val="single" w:sz="4" w:space="0" w:color="auto"/>
            </w:tcBorders>
          </w:tcPr>
          <w:p w14:paraId="656B1D59" w14:textId="0D25C7E9" w:rsidR="00F85403" w:rsidRPr="000D7D82" w:rsidRDefault="00F85403" w:rsidP="00F85403">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bottom w:val="single" w:sz="4" w:space="0" w:color="auto"/>
            </w:tcBorders>
          </w:tcPr>
          <w:p w14:paraId="656B1D5A" w14:textId="77777777" w:rsidR="00F85403" w:rsidRPr="000D7D82" w:rsidRDefault="00F85403" w:rsidP="00F85403">
            <w:pPr>
              <w:spacing w:after="0"/>
              <w:rPr>
                <w:rFonts w:cs="Segoe UI Light"/>
                <w:sz w:val="18"/>
              </w:rPr>
            </w:pPr>
            <w:r w:rsidRPr="000D7D82">
              <w:rPr>
                <w:rFonts w:cs="Segoe UI Light"/>
                <w:sz w:val="18"/>
              </w:rPr>
              <w:t>5.88 fee units:</w:t>
            </w:r>
          </w:p>
          <w:p w14:paraId="656B1D5B" w14:textId="77777777" w:rsidR="00F85403" w:rsidRPr="000D7D82" w:rsidRDefault="00F85403" w:rsidP="00F85403">
            <w:pPr>
              <w:spacing w:after="0"/>
              <w:rPr>
                <w:rFonts w:cs="Segoe UI Light"/>
                <w:sz w:val="18"/>
              </w:rPr>
            </w:pPr>
            <w:r w:rsidRPr="000D7D82">
              <w:rPr>
                <w:rFonts w:cs="Segoe UI Light"/>
                <w:sz w:val="18"/>
              </w:rPr>
              <w:t>$84.97</w:t>
            </w:r>
          </w:p>
        </w:tc>
        <w:tc>
          <w:tcPr>
            <w:tcW w:w="780" w:type="pct"/>
            <w:tcBorders>
              <w:top w:val="single" w:sz="4" w:space="0" w:color="auto"/>
              <w:bottom w:val="single" w:sz="4" w:space="0" w:color="auto"/>
            </w:tcBorders>
          </w:tcPr>
          <w:p w14:paraId="656B1D5C" w14:textId="77777777" w:rsidR="00F85403" w:rsidRPr="000D7D82" w:rsidRDefault="00F85403" w:rsidP="00F85403">
            <w:pPr>
              <w:spacing w:after="0"/>
              <w:rPr>
                <w:rFonts w:cs="Segoe UI Light"/>
                <w:sz w:val="18"/>
              </w:rPr>
            </w:pPr>
            <w:r w:rsidRPr="000D7D82">
              <w:rPr>
                <w:rFonts w:cs="Segoe UI Light"/>
                <w:sz w:val="18"/>
              </w:rPr>
              <w:t>Flat fee - 13.91 fee units</w:t>
            </w:r>
          </w:p>
        </w:tc>
        <w:tc>
          <w:tcPr>
            <w:tcW w:w="635" w:type="pct"/>
            <w:gridSpan w:val="2"/>
            <w:tcBorders>
              <w:top w:val="single" w:sz="4" w:space="0" w:color="auto"/>
              <w:bottom w:val="single" w:sz="4" w:space="0" w:color="auto"/>
            </w:tcBorders>
          </w:tcPr>
          <w:p w14:paraId="656B1D5D" w14:textId="7D72DEDA" w:rsidR="00F85403" w:rsidRPr="000D7D82" w:rsidRDefault="00F85403" w:rsidP="00F85403">
            <w:pPr>
              <w:spacing w:after="0"/>
              <w:rPr>
                <w:rFonts w:cs="Segoe UI Light"/>
                <w:sz w:val="18"/>
              </w:rPr>
            </w:pPr>
            <w:r w:rsidRPr="000D7D82">
              <w:rPr>
                <w:rFonts w:cs="Segoe UI Light"/>
                <w:sz w:val="18"/>
              </w:rPr>
              <w:t>$</w:t>
            </w:r>
            <w:r w:rsidR="0001585B" w:rsidRPr="000D7D82">
              <w:rPr>
                <w:rFonts w:cs="Segoe UI Light"/>
                <w:sz w:val="18"/>
              </w:rPr>
              <w:t>201.00</w:t>
            </w:r>
          </w:p>
        </w:tc>
        <w:tc>
          <w:tcPr>
            <w:tcW w:w="464" w:type="pct"/>
            <w:tcBorders>
              <w:top w:val="single" w:sz="4" w:space="0" w:color="auto"/>
              <w:bottom w:val="single" w:sz="4" w:space="0" w:color="auto"/>
            </w:tcBorders>
          </w:tcPr>
          <w:p w14:paraId="656B1D5E" w14:textId="4A282D76" w:rsidR="00F85403" w:rsidRPr="00EB1A74" w:rsidRDefault="00F85403">
            <w:pPr>
              <w:spacing w:after="0"/>
              <w:rPr>
                <w:rFonts w:cs="Segoe UI Light"/>
                <w:sz w:val="18"/>
              </w:rPr>
            </w:pPr>
            <w:r w:rsidRPr="00DB3FCA">
              <w:rPr>
                <w:sz w:val="18"/>
              </w:rPr>
              <w:t xml:space="preserve"> +</w:t>
            </w:r>
            <w:r w:rsidR="006200FB">
              <w:rPr>
                <w:sz w:val="18"/>
              </w:rPr>
              <w:t>136.6</w:t>
            </w:r>
            <w:r w:rsidRPr="00DB3FCA">
              <w:rPr>
                <w:sz w:val="18"/>
              </w:rPr>
              <w:t>%</w:t>
            </w:r>
          </w:p>
        </w:tc>
      </w:tr>
      <w:bookmarkEnd w:id="2055"/>
      <w:tr w:rsidR="00F85403" w:rsidRPr="000D7D82" w14:paraId="656B1D68" w14:textId="77777777" w:rsidTr="00BB3356">
        <w:trPr>
          <w:cantSplit/>
          <w:trHeight w:val="216"/>
          <w:jc w:val="center"/>
        </w:trPr>
        <w:tc>
          <w:tcPr>
            <w:tcW w:w="461" w:type="pct"/>
            <w:tcBorders>
              <w:top w:val="single" w:sz="4" w:space="0" w:color="auto"/>
              <w:bottom w:val="single" w:sz="4" w:space="0" w:color="auto"/>
            </w:tcBorders>
          </w:tcPr>
          <w:p w14:paraId="656B1D60" w14:textId="77777777" w:rsidR="00F85403" w:rsidRPr="000D7D82" w:rsidRDefault="00F85403" w:rsidP="00F85403">
            <w:pPr>
              <w:spacing w:after="0"/>
              <w:rPr>
                <w:rFonts w:cs="Segoe UI Light"/>
                <w:sz w:val="18"/>
              </w:rPr>
            </w:pPr>
            <w:r w:rsidRPr="000D7D82">
              <w:rPr>
                <w:rFonts w:cs="Segoe UI Light"/>
                <w:sz w:val="18"/>
              </w:rPr>
              <w:t>Permit</w:t>
            </w:r>
          </w:p>
        </w:tc>
        <w:tc>
          <w:tcPr>
            <w:tcW w:w="431" w:type="pct"/>
            <w:tcBorders>
              <w:top w:val="single" w:sz="4" w:space="0" w:color="auto"/>
              <w:bottom w:val="single" w:sz="4" w:space="0" w:color="auto"/>
            </w:tcBorders>
          </w:tcPr>
          <w:p w14:paraId="656B1D61" w14:textId="77777777" w:rsidR="00F85403" w:rsidRPr="000D7D82" w:rsidRDefault="00F85403" w:rsidP="00F85403">
            <w:pPr>
              <w:spacing w:after="0"/>
              <w:rPr>
                <w:rFonts w:cs="Segoe UI Light"/>
                <w:sz w:val="18"/>
              </w:rPr>
            </w:pPr>
            <w:r w:rsidRPr="000D7D82">
              <w:rPr>
                <w:rFonts w:cs="Segoe UI Light"/>
                <w:sz w:val="18"/>
              </w:rPr>
              <w:t>Amendment</w:t>
            </w:r>
          </w:p>
        </w:tc>
        <w:tc>
          <w:tcPr>
            <w:tcW w:w="772" w:type="pct"/>
            <w:tcBorders>
              <w:top w:val="single" w:sz="4" w:space="0" w:color="auto"/>
              <w:bottom w:val="single" w:sz="4" w:space="0" w:color="auto"/>
            </w:tcBorders>
          </w:tcPr>
          <w:p w14:paraId="656B1D62" w14:textId="77777777" w:rsidR="00F85403" w:rsidRPr="000D7D82" w:rsidRDefault="00F85403" w:rsidP="00F85403">
            <w:pPr>
              <w:spacing w:after="0"/>
              <w:rPr>
                <w:rFonts w:cs="Segoe UI Light"/>
                <w:sz w:val="18"/>
              </w:rPr>
            </w:pPr>
            <w:r w:rsidRPr="000D7D82">
              <w:rPr>
                <w:rFonts w:cs="Segoe UI Light"/>
                <w:sz w:val="18"/>
              </w:rPr>
              <w:t>Reportable priority waste transport (full permit) [30 tonnes or more (G100-G160, E100-E130)]</w:t>
            </w:r>
          </w:p>
        </w:tc>
        <w:tc>
          <w:tcPr>
            <w:tcW w:w="885" w:type="pct"/>
            <w:tcBorders>
              <w:top w:val="single" w:sz="4" w:space="0" w:color="auto"/>
            </w:tcBorders>
          </w:tcPr>
          <w:p w14:paraId="656B1D63" w14:textId="3ADC4DA7" w:rsidR="00F85403" w:rsidRPr="000D7D82" w:rsidRDefault="00F85403" w:rsidP="00F85403">
            <w:pPr>
              <w:spacing w:after="0"/>
              <w:rPr>
                <w:rFonts w:cs="Segoe UI Light"/>
                <w:sz w:val="18"/>
              </w:rPr>
            </w:pPr>
            <w:r w:rsidRPr="000D7D82">
              <w:rPr>
                <w:rFonts w:cs="Segoe UI Light"/>
                <w:sz w:val="18"/>
              </w:rPr>
              <w:t xml:space="preserve">Greater of 10% of the application fee or a flat fee of 5.15 fee units. </w:t>
            </w:r>
          </w:p>
        </w:tc>
        <w:tc>
          <w:tcPr>
            <w:tcW w:w="572" w:type="pct"/>
            <w:tcBorders>
              <w:top w:val="single" w:sz="4" w:space="0" w:color="auto"/>
            </w:tcBorders>
          </w:tcPr>
          <w:p w14:paraId="656B1D64" w14:textId="309BCE45" w:rsidR="00F85403" w:rsidRPr="000D7D82" w:rsidRDefault="00F85403" w:rsidP="00F85403">
            <w:pPr>
              <w:spacing w:after="0"/>
              <w:rPr>
                <w:rFonts w:cs="Segoe UI Light"/>
                <w:sz w:val="18"/>
              </w:rPr>
            </w:pPr>
            <w:r w:rsidRPr="000D7D82">
              <w:rPr>
                <w:rFonts w:cs="Segoe UI Light"/>
                <w:sz w:val="18"/>
              </w:rPr>
              <w:t>16.18 fee units: $233.80</w:t>
            </w:r>
          </w:p>
        </w:tc>
        <w:tc>
          <w:tcPr>
            <w:tcW w:w="780" w:type="pct"/>
            <w:tcBorders>
              <w:top w:val="single" w:sz="4" w:space="0" w:color="auto"/>
              <w:bottom w:val="single" w:sz="4" w:space="0" w:color="auto"/>
            </w:tcBorders>
          </w:tcPr>
          <w:p w14:paraId="656B1D65" w14:textId="77777777" w:rsidR="00F85403" w:rsidRPr="000D7D82" w:rsidRDefault="00F85403" w:rsidP="00F85403">
            <w:pPr>
              <w:spacing w:after="0"/>
              <w:rPr>
                <w:rFonts w:cs="Segoe UI Light"/>
                <w:sz w:val="18"/>
              </w:rPr>
            </w:pPr>
            <w:r w:rsidRPr="000D7D82">
              <w:rPr>
                <w:rFonts w:cs="Segoe UI Light"/>
                <w:sz w:val="18"/>
              </w:rPr>
              <w:t>Flat fee - 13.91 fee units</w:t>
            </w:r>
          </w:p>
        </w:tc>
        <w:tc>
          <w:tcPr>
            <w:tcW w:w="635" w:type="pct"/>
            <w:gridSpan w:val="2"/>
            <w:tcBorders>
              <w:top w:val="single" w:sz="4" w:space="0" w:color="auto"/>
              <w:bottom w:val="single" w:sz="4" w:space="0" w:color="auto"/>
            </w:tcBorders>
          </w:tcPr>
          <w:p w14:paraId="656B1D66" w14:textId="6444F54C" w:rsidR="00F85403" w:rsidRPr="000D7D82" w:rsidRDefault="00F85403" w:rsidP="00F85403">
            <w:pPr>
              <w:spacing w:after="0"/>
              <w:rPr>
                <w:rFonts w:cs="Segoe UI Light"/>
                <w:sz w:val="18"/>
              </w:rPr>
            </w:pPr>
            <w:r w:rsidRPr="000D7D82">
              <w:rPr>
                <w:rFonts w:cs="Segoe UI Light"/>
                <w:sz w:val="18"/>
              </w:rPr>
              <w:t>$</w:t>
            </w:r>
            <w:r w:rsidR="0001585B" w:rsidRPr="000D7D82">
              <w:rPr>
                <w:rFonts w:cs="Segoe UI Light"/>
                <w:sz w:val="18"/>
              </w:rPr>
              <w:t>201.00</w:t>
            </w:r>
          </w:p>
        </w:tc>
        <w:tc>
          <w:tcPr>
            <w:tcW w:w="464" w:type="pct"/>
            <w:tcBorders>
              <w:top w:val="single" w:sz="4" w:space="0" w:color="auto"/>
              <w:bottom w:val="single" w:sz="4" w:space="0" w:color="auto"/>
            </w:tcBorders>
          </w:tcPr>
          <w:p w14:paraId="656B1D67" w14:textId="0264D772" w:rsidR="00F85403" w:rsidRPr="00EB1A74" w:rsidRDefault="00F85403" w:rsidP="00F85403">
            <w:pPr>
              <w:spacing w:after="0"/>
              <w:rPr>
                <w:rFonts w:cs="Segoe UI Light"/>
                <w:sz w:val="18"/>
              </w:rPr>
            </w:pPr>
            <w:r w:rsidRPr="00DB3FCA">
              <w:rPr>
                <w:sz w:val="18"/>
              </w:rPr>
              <w:t>-14.</w:t>
            </w:r>
            <w:r w:rsidR="006200FB">
              <w:rPr>
                <w:sz w:val="18"/>
              </w:rPr>
              <w:t>0</w:t>
            </w:r>
            <w:r w:rsidRPr="00DB3FCA">
              <w:rPr>
                <w:sz w:val="18"/>
              </w:rPr>
              <w:t xml:space="preserve">% </w:t>
            </w:r>
          </w:p>
        </w:tc>
      </w:tr>
      <w:tr w:rsidR="00F85403" w:rsidRPr="000D7D82" w14:paraId="656B1D72" w14:textId="77777777" w:rsidTr="00BB3356">
        <w:trPr>
          <w:cantSplit/>
          <w:trHeight w:val="216"/>
          <w:jc w:val="center"/>
        </w:trPr>
        <w:tc>
          <w:tcPr>
            <w:tcW w:w="461" w:type="pct"/>
            <w:tcBorders>
              <w:bottom w:val="single" w:sz="4" w:space="0" w:color="auto"/>
            </w:tcBorders>
          </w:tcPr>
          <w:p w14:paraId="656B1D69" w14:textId="77777777" w:rsidR="00F85403" w:rsidRPr="000D7D82" w:rsidRDefault="00F85403" w:rsidP="00F85403">
            <w:pPr>
              <w:spacing w:after="0"/>
              <w:rPr>
                <w:rFonts w:cs="Segoe UI Light"/>
                <w:sz w:val="18"/>
              </w:rPr>
            </w:pPr>
            <w:r w:rsidRPr="000D7D82">
              <w:rPr>
                <w:rFonts w:cs="Segoe UI Light"/>
                <w:sz w:val="18"/>
              </w:rPr>
              <w:t xml:space="preserve">Permit </w:t>
            </w:r>
          </w:p>
        </w:tc>
        <w:tc>
          <w:tcPr>
            <w:tcW w:w="431" w:type="pct"/>
            <w:tcBorders>
              <w:bottom w:val="single" w:sz="4" w:space="0" w:color="auto"/>
            </w:tcBorders>
          </w:tcPr>
          <w:p w14:paraId="656B1D6A" w14:textId="77777777" w:rsidR="00F85403" w:rsidRPr="000D7D82" w:rsidRDefault="00F85403" w:rsidP="00F85403">
            <w:pPr>
              <w:spacing w:after="0"/>
              <w:rPr>
                <w:rFonts w:cs="Segoe UI Light"/>
                <w:sz w:val="18"/>
              </w:rPr>
            </w:pPr>
            <w:r w:rsidRPr="000D7D82">
              <w:rPr>
                <w:rFonts w:cs="Segoe UI Light"/>
                <w:sz w:val="18"/>
              </w:rPr>
              <w:t>Renewal</w:t>
            </w:r>
          </w:p>
        </w:tc>
        <w:tc>
          <w:tcPr>
            <w:tcW w:w="772" w:type="pct"/>
            <w:tcBorders>
              <w:bottom w:val="single" w:sz="4" w:space="0" w:color="auto"/>
            </w:tcBorders>
          </w:tcPr>
          <w:p w14:paraId="656B1D6B" w14:textId="77777777" w:rsidR="00F85403" w:rsidRPr="000D7D82" w:rsidRDefault="00F85403" w:rsidP="00F85403">
            <w:pPr>
              <w:spacing w:after="0"/>
              <w:rPr>
                <w:rFonts w:cs="Segoe UI Light"/>
                <w:sz w:val="18"/>
              </w:rPr>
            </w:pPr>
            <w:r w:rsidRPr="000D7D82">
              <w:rPr>
                <w:rFonts w:cs="Segoe UI Light"/>
                <w:sz w:val="18"/>
              </w:rPr>
              <w:t xml:space="preserve">Reportable priority waste </w:t>
            </w:r>
          </w:p>
          <w:p w14:paraId="656B1D6C" w14:textId="77777777" w:rsidR="00F85403" w:rsidRPr="000D7D82" w:rsidRDefault="00F85403" w:rsidP="00F85403">
            <w:pPr>
              <w:spacing w:after="0"/>
              <w:rPr>
                <w:rFonts w:cs="Segoe UI Light"/>
                <w:sz w:val="18"/>
              </w:rPr>
            </w:pPr>
            <w:r w:rsidRPr="000D7D82">
              <w:rPr>
                <w:rFonts w:cs="Segoe UI Light"/>
                <w:sz w:val="18"/>
              </w:rPr>
              <w:t>transport (full permit) [less than 1.5 tonnes (R100, K100, K120, K200, T130)]</w:t>
            </w:r>
          </w:p>
        </w:tc>
        <w:tc>
          <w:tcPr>
            <w:tcW w:w="885" w:type="pct"/>
            <w:tcBorders>
              <w:bottom w:val="single" w:sz="4" w:space="0" w:color="auto"/>
            </w:tcBorders>
          </w:tcPr>
          <w:p w14:paraId="656B1D6D" w14:textId="77777777" w:rsidR="00F85403" w:rsidRPr="000D7D82" w:rsidRDefault="00F85403" w:rsidP="00F85403">
            <w:pPr>
              <w:spacing w:after="0"/>
              <w:rPr>
                <w:rFonts w:cs="Segoe UI Light"/>
                <w:sz w:val="18"/>
              </w:rPr>
            </w:pPr>
            <w:r w:rsidRPr="000D7D82">
              <w:rPr>
                <w:rFonts w:cs="Segoe UI Light"/>
                <w:sz w:val="18"/>
              </w:rPr>
              <w:t>Flat fee – 19.5 fee units</w:t>
            </w:r>
          </w:p>
        </w:tc>
        <w:tc>
          <w:tcPr>
            <w:tcW w:w="572" w:type="pct"/>
            <w:tcBorders>
              <w:bottom w:val="single" w:sz="4" w:space="0" w:color="auto"/>
            </w:tcBorders>
          </w:tcPr>
          <w:p w14:paraId="656B1D6E" w14:textId="77777777" w:rsidR="00F85403" w:rsidRPr="000D7D82" w:rsidRDefault="00F85403" w:rsidP="00F85403">
            <w:pPr>
              <w:spacing w:after="0"/>
              <w:rPr>
                <w:rFonts w:cs="Segoe UI Light"/>
                <w:sz w:val="18"/>
              </w:rPr>
            </w:pPr>
            <w:r w:rsidRPr="000D7D82">
              <w:rPr>
                <w:rFonts w:cs="Segoe UI Light"/>
                <w:sz w:val="18"/>
              </w:rPr>
              <w:t xml:space="preserve">$281.78 </w:t>
            </w:r>
          </w:p>
        </w:tc>
        <w:tc>
          <w:tcPr>
            <w:tcW w:w="780" w:type="pct"/>
            <w:tcBorders>
              <w:top w:val="single" w:sz="4" w:space="0" w:color="auto"/>
              <w:bottom w:val="single" w:sz="4" w:space="0" w:color="auto"/>
            </w:tcBorders>
          </w:tcPr>
          <w:p w14:paraId="656B1D6F" w14:textId="77777777" w:rsidR="00F85403" w:rsidRPr="000D7D82" w:rsidRDefault="00F85403" w:rsidP="00F85403">
            <w:pPr>
              <w:spacing w:after="0"/>
              <w:rPr>
                <w:rFonts w:cs="Segoe UI Light"/>
                <w:sz w:val="18"/>
              </w:rPr>
            </w:pPr>
            <w:r w:rsidRPr="000D7D82">
              <w:rPr>
                <w:rFonts w:cs="Segoe UI Light"/>
                <w:sz w:val="18"/>
              </w:rPr>
              <w:t>Flat fee – 3.09 fee units</w:t>
            </w:r>
          </w:p>
        </w:tc>
        <w:tc>
          <w:tcPr>
            <w:tcW w:w="635" w:type="pct"/>
            <w:gridSpan w:val="2"/>
            <w:tcBorders>
              <w:top w:val="single" w:sz="4" w:space="0" w:color="auto"/>
              <w:bottom w:val="single" w:sz="4" w:space="0" w:color="auto"/>
            </w:tcBorders>
          </w:tcPr>
          <w:p w14:paraId="656B1D70" w14:textId="40808CE8" w:rsidR="00F85403" w:rsidRPr="000D7D82" w:rsidRDefault="00F85403" w:rsidP="00F85403">
            <w:pPr>
              <w:spacing w:after="0"/>
              <w:rPr>
                <w:rFonts w:cs="Segoe UI Light"/>
                <w:sz w:val="18"/>
              </w:rPr>
            </w:pPr>
            <w:r w:rsidRPr="000D7D82">
              <w:rPr>
                <w:rFonts w:cs="Segoe UI Light"/>
                <w:sz w:val="18"/>
              </w:rPr>
              <w:t>$44.58</w:t>
            </w:r>
          </w:p>
        </w:tc>
        <w:tc>
          <w:tcPr>
            <w:tcW w:w="464" w:type="pct"/>
            <w:tcBorders>
              <w:top w:val="single" w:sz="4" w:space="0" w:color="auto"/>
              <w:bottom w:val="single" w:sz="4" w:space="0" w:color="auto"/>
            </w:tcBorders>
          </w:tcPr>
          <w:p w14:paraId="656B1D71" w14:textId="113D7C8F" w:rsidR="00F85403" w:rsidRPr="00EB1A74" w:rsidRDefault="00F85403" w:rsidP="00F85403">
            <w:pPr>
              <w:spacing w:after="0"/>
              <w:rPr>
                <w:rFonts w:cs="Segoe UI Light"/>
                <w:sz w:val="18"/>
              </w:rPr>
            </w:pPr>
            <w:r w:rsidRPr="00DB3FCA">
              <w:rPr>
                <w:sz w:val="18"/>
              </w:rPr>
              <w:t>-84.2%</w:t>
            </w:r>
          </w:p>
        </w:tc>
      </w:tr>
      <w:tr w:rsidR="00F85403" w:rsidRPr="000D7D82" w14:paraId="656B1D7C" w14:textId="77777777" w:rsidTr="00BB3356">
        <w:trPr>
          <w:cantSplit/>
          <w:trHeight w:val="216"/>
          <w:jc w:val="center"/>
        </w:trPr>
        <w:tc>
          <w:tcPr>
            <w:tcW w:w="461" w:type="pct"/>
            <w:tcBorders>
              <w:top w:val="single" w:sz="4" w:space="0" w:color="auto"/>
              <w:bottom w:val="single" w:sz="4" w:space="0" w:color="auto"/>
            </w:tcBorders>
          </w:tcPr>
          <w:p w14:paraId="656B1D73" w14:textId="77777777" w:rsidR="00F85403" w:rsidRPr="000D7D82" w:rsidRDefault="00F85403" w:rsidP="00F85403">
            <w:pPr>
              <w:spacing w:after="0"/>
              <w:rPr>
                <w:rFonts w:cs="Segoe UI Light"/>
                <w:sz w:val="18"/>
              </w:rPr>
            </w:pPr>
            <w:r w:rsidRPr="000D7D82">
              <w:rPr>
                <w:rFonts w:cs="Segoe UI Light"/>
                <w:sz w:val="18"/>
              </w:rPr>
              <w:t xml:space="preserve">Permit </w:t>
            </w:r>
          </w:p>
        </w:tc>
        <w:tc>
          <w:tcPr>
            <w:tcW w:w="431" w:type="pct"/>
            <w:tcBorders>
              <w:top w:val="single" w:sz="4" w:space="0" w:color="auto"/>
              <w:bottom w:val="single" w:sz="4" w:space="0" w:color="auto"/>
            </w:tcBorders>
          </w:tcPr>
          <w:p w14:paraId="656B1D74" w14:textId="77777777" w:rsidR="00F85403" w:rsidRPr="000D7D82" w:rsidRDefault="00F85403" w:rsidP="00F85403">
            <w:pPr>
              <w:spacing w:after="0"/>
              <w:rPr>
                <w:rFonts w:cs="Segoe UI Light"/>
                <w:sz w:val="18"/>
              </w:rPr>
            </w:pPr>
            <w:r w:rsidRPr="000D7D82">
              <w:rPr>
                <w:rFonts w:cs="Segoe UI Light"/>
                <w:sz w:val="18"/>
              </w:rPr>
              <w:t>Renewal</w:t>
            </w:r>
          </w:p>
        </w:tc>
        <w:tc>
          <w:tcPr>
            <w:tcW w:w="772" w:type="pct"/>
            <w:tcBorders>
              <w:top w:val="single" w:sz="4" w:space="0" w:color="auto"/>
              <w:bottom w:val="single" w:sz="4" w:space="0" w:color="auto"/>
            </w:tcBorders>
          </w:tcPr>
          <w:p w14:paraId="656B1D75" w14:textId="77777777" w:rsidR="00F85403" w:rsidRPr="000D7D82" w:rsidRDefault="00F85403" w:rsidP="00F85403">
            <w:pPr>
              <w:spacing w:after="0"/>
              <w:rPr>
                <w:rFonts w:cs="Segoe UI Light"/>
                <w:sz w:val="18"/>
              </w:rPr>
            </w:pPr>
            <w:r w:rsidRPr="000D7D82">
              <w:rPr>
                <w:rFonts w:cs="Segoe UI Light"/>
                <w:sz w:val="18"/>
              </w:rPr>
              <w:t xml:space="preserve">Reportable priority waste </w:t>
            </w:r>
          </w:p>
          <w:p w14:paraId="656B1D76" w14:textId="77777777" w:rsidR="00F85403" w:rsidRPr="000D7D82" w:rsidRDefault="00F85403" w:rsidP="00F85403">
            <w:pPr>
              <w:spacing w:after="0"/>
              <w:rPr>
                <w:rFonts w:cs="Segoe UI Light"/>
                <w:sz w:val="18"/>
              </w:rPr>
            </w:pPr>
            <w:r w:rsidRPr="000D7D82">
              <w:rPr>
                <w:rFonts w:cs="Segoe UI Light"/>
                <w:sz w:val="18"/>
              </w:rPr>
              <w:t>transport (full permit) [equal to or more than 1.5 tonnes but less than 30 tonnes (R100, K100, K120, K200, T130)]</w:t>
            </w:r>
          </w:p>
        </w:tc>
        <w:tc>
          <w:tcPr>
            <w:tcW w:w="885" w:type="pct"/>
            <w:tcBorders>
              <w:top w:val="single" w:sz="4" w:space="0" w:color="auto"/>
              <w:bottom w:val="single" w:sz="4" w:space="0" w:color="auto"/>
            </w:tcBorders>
          </w:tcPr>
          <w:p w14:paraId="656B1D77" w14:textId="71A9E024" w:rsidR="00F85403" w:rsidRPr="000D7D82" w:rsidRDefault="00F85403" w:rsidP="00F85403">
            <w:pPr>
              <w:spacing w:after="0"/>
              <w:rPr>
                <w:rFonts w:cs="Segoe UI Light"/>
                <w:sz w:val="18"/>
              </w:rPr>
            </w:pPr>
            <w:r w:rsidRPr="000D7D82">
              <w:rPr>
                <w:rFonts w:cs="Segoe UI Light"/>
                <w:sz w:val="18"/>
              </w:rPr>
              <w:t>Flat fee – 39.</w:t>
            </w:r>
            <w:r w:rsidR="00A43FB4">
              <w:rPr>
                <w:rFonts w:cs="Segoe UI Light"/>
                <w:sz w:val="18"/>
              </w:rPr>
              <w:t>25</w:t>
            </w:r>
            <w:r w:rsidR="00A43FB4" w:rsidRPr="000D7D82">
              <w:rPr>
                <w:rFonts w:cs="Segoe UI Light"/>
                <w:sz w:val="18"/>
              </w:rPr>
              <w:t xml:space="preserve"> </w:t>
            </w:r>
            <w:r w:rsidRPr="000D7D82">
              <w:rPr>
                <w:rFonts w:cs="Segoe UI Light"/>
                <w:sz w:val="18"/>
              </w:rPr>
              <w:t>fee units</w:t>
            </w:r>
          </w:p>
        </w:tc>
        <w:tc>
          <w:tcPr>
            <w:tcW w:w="572" w:type="pct"/>
            <w:tcBorders>
              <w:top w:val="single" w:sz="4" w:space="0" w:color="auto"/>
              <w:bottom w:val="single" w:sz="4" w:space="0" w:color="auto"/>
            </w:tcBorders>
          </w:tcPr>
          <w:p w14:paraId="656B1D78" w14:textId="72D3376E" w:rsidR="00F85403" w:rsidRPr="000D7D82" w:rsidRDefault="00F85403" w:rsidP="00F85403">
            <w:pPr>
              <w:spacing w:after="0"/>
              <w:rPr>
                <w:rFonts w:cs="Segoe UI Light"/>
                <w:sz w:val="18"/>
              </w:rPr>
            </w:pPr>
            <w:r w:rsidRPr="000D7D82">
              <w:rPr>
                <w:rFonts w:cs="Segoe UI Light"/>
                <w:sz w:val="18"/>
              </w:rPr>
              <w:t>$</w:t>
            </w:r>
            <w:r w:rsidR="00A43FB4" w:rsidRPr="000D7D82">
              <w:rPr>
                <w:rFonts w:cs="Segoe UI Light"/>
                <w:sz w:val="18"/>
              </w:rPr>
              <w:t>56</w:t>
            </w:r>
            <w:r w:rsidR="00A43FB4">
              <w:rPr>
                <w:rFonts w:cs="Segoe UI Light"/>
                <w:sz w:val="18"/>
              </w:rPr>
              <w:t>7</w:t>
            </w:r>
            <w:r w:rsidRPr="000D7D82">
              <w:rPr>
                <w:rFonts w:cs="Segoe UI Light"/>
                <w:sz w:val="18"/>
              </w:rPr>
              <w:t>.</w:t>
            </w:r>
            <w:r w:rsidR="00A43FB4" w:rsidRPr="000D7D82" w:rsidDel="00A43FB4">
              <w:rPr>
                <w:rFonts w:cs="Segoe UI Light"/>
                <w:sz w:val="18"/>
              </w:rPr>
              <w:t xml:space="preserve"> </w:t>
            </w:r>
            <w:r w:rsidRPr="000D7D82">
              <w:rPr>
                <w:rFonts w:cs="Segoe UI Light"/>
                <w:sz w:val="18"/>
              </w:rPr>
              <w:t>1</w:t>
            </w:r>
            <w:r w:rsidR="00A43FB4">
              <w:rPr>
                <w:rFonts w:cs="Segoe UI Light"/>
                <w:sz w:val="18"/>
              </w:rPr>
              <w:t>6</w:t>
            </w:r>
          </w:p>
        </w:tc>
        <w:tc>
          <w:tcPr>
            <w:tcW w:w="780" w:type="pct"/>
            <w:tcBorders>
              <w:top w:val="single" w:sz="4" w:space="0" w:color="auto"/>
              <w:bottom w:val="single" w:sz="4" w:space="0" w:color="auto"/>
            </w:tcBorders>
          </w:tcPr>
          <w:p w14:paraId="656B1D79" w14:textId="77777777" w:rsidR="00F85403" w:rsidRPr="000D7D82" w:rsidRDefault="00F85403" w:rsidP="00F85403">
            <w:pPr>
              <w:spacing w:after="0"/>
              <w:rPr>
                <w:rFonts w:cs="Segoe UI Light"/>
                <w:sz w:val="18"/>
              </w:rPr>
            </w:pPr>
            <w:r w:rsidRPr="000D7D82">
              <w:rPr>
                <w:rFonts w:cs="Segoe UI Light"/>
                <w:sz w:val="18"/>
              </w:rPr>
              <w:t>Flat fee – 3.09 fee units</w:t>
            </w:r>
          </w:p>
        </w:tc>
        <w:tc>
          <w:tcPr>
            <w:tcW w:w="635" w:type="pct"/>
            <w:gridSpan w:val="2"/>
            <w:tcBorders>
              <w:top w:val="single" w:sz="4" w:space="0" w:color="auto"/>
              <w:bottom w:val="single" w:sz="4" w:space="0" w:color="auto"/>
            </w:tcBorders>
          </w:tcPr>
          <w:p w14:paraId="656B1D7A" w14:textId="1EAA775A" w:rsidR="00F85403" w:rsidRPr="000D7D82" w:rsidRDefault="00F85403" w:rsidP="00F85403">
            <w:pPr>
              <w:spacing w:after="0"/>
              <w:rPr>
                <w:rFonts w:cs="Segoe UI Light"/>
                <w:sz w:val="18"/>
              </w:rPr>
            </w:pPr>
            <w:r w:rsidRPr="000D7D82">
              <w:rPr>
                <w:rFonts w:cs="Segoe UI Light"/>
                <w:sz w:val="18"/>
              </w:rPr>
              <w:t>$44.58</w:t>
            </w:r>
          </w:p>
        </w:tc>
        <w:tc>
          <w:tcPr>
            <w:tcW w:w="464" w:type="pct"/>
            <w:tcBorders>
              <w:top w:val="single" w:sz="4" w:space="0" w:color="auto"/>
              <w:bottom w:val="single" w:sz="4" w:space="0" w:color="auto"/>
            </w:tcBorders>
          </w:tcPr>
          <w:p w14:paraId="656B1D7B" w14:textId="2C027D16" w:rsidR="00F85403" w:rsidRPr="00EB1A74" w:rsidRDefault="00F85403">
            <w:pPr>
              <w:spacing w:after="0"/>
              <w:rPr>
                <w:rFonts w:cs="Segoe UI Light"/>
                <w:sz w:val="18"/>
              </w:rPr>
            </w:pPr>
            <w:r w:rsidRPr="00DB3FCA">
              <w:rPr>
                <w:sz w:val="18"/>
              </w:rPr>
              <w:t>-92.</w:t>
            </w:r>
            <w:r w:rsidR="006200FB">
              <w:rPr>
                <w:sz w:val="18"/>
              </w:rPr>
              <w:t>1</w:t>
            </w:r>
            <w:r w:rsidRPr="00DB3FCA">
              <w:rPr>
                <w:sz w:val="18"/>
              </w:rPr>
              <w:t>%</w:t>
            </w:r>
          </w:p>
        </w:tc>
      </w:tr>
      <w:tr w:rsidR="00F85403" w:rsidRPr="000D7D82" w14:paraId="656B1D86" w14:textId="77777777" w:rsidTr="00BB3356">
        <w:trPr>
          <w:cantSplit/>
          <w:trHeight w:val="216"/>
          <w:jc w:val="center"/>
        </w:trPr>
        <w:tc>
          <w:tcPr>
            <w:tcW w:w="461" w:type="pct"/>
            <w:tcBorders>
              <w:top w:val="single" w:sz="4" w:space="0" w:color="auto"/>
            </w:tcBorders>
          </w:tcPr>
          <w:p w14:paraId="656B1D7D" w14:textId="77777777" w:rsidR="00F85403" w:rsidRPr="000D7D82" w:rsidRDefault="00F85403" w:rsidP="00F85403">
            <w:pPr>
              <w:spacing w:after="0"/>
              <w:rPr>
                <w:rFonts w:cs="Segoe UI Light"/>
                <w:sz w:val="18"/>
              </w:rPr>
            </w:pPr>
            <w:r w:rsidRPr="000D7D82">
              <w:rPr>
                <w:rFonts w:cs="Segoe UI Light"/>
                <w:sz w:val="18"/>
              </w:rPr>
              <w:t xml:space="preserve">Permit </w:t>
            </w:r>
          </w:p>
        </w:tc>
        <w:tc>
          <w:tcPr>
            <w:tcW w:w="431" w:type="pct"/>
            <w:tcBorders>
              <w:top w:val="single" w:sz="4" w:space="0" w:color="auto"/>
            </w:tcBorders>
          </w:tcPr>
          <w:p w14:paraId="656B1D7E" w14:textId="77777777" w:rsidR="00F85403" w:rsidRPr="000D7D82" w:rsidRDefault="00F85403" w:rsidP="00F85403">
            <w:pPr>
              <w:spacing w:after="0"/>
              <w:rPr>
                <w:rFonts w:cs="Segoe UI Light"/>
                <w:sz w:val="18"/>
              </w:rPr>
            </w:pPr>
            <w:r w:rsidRPr="000D7D82">
              <w:rPr>
                <w:rFonts w:cs="Segoe UI Light"/>
                <w:sz w:val="18"/>
              </w:rPr>
              <w:t>Renewal</w:t>
            </w:r>
          </w:p>
        </w:tc>
        <w:tc>
          <w:tcPr>
            <w:tcW w:w="772" w:type="pct"/>
            <w:tcBorders>
              <w:top w:val="single" w:sz="4" w:space="0" w:color="auto"/>
              <w:bottom w:val="single" w:sz="4" w:space="0" w:color="auto"/>
            </w:tcBorders>
          </w:tcPr>
          <w:p w14:paraId="656B1D7F" w14:textId="77777777" w:rsidR="00F85403" w:rsidRPr="000D7D82" w:rsidRDefault="00F85403" w:rsidP="00F85403">
            <w:pPr>
              <w:spacing w:after="0"/>
              <w:rPr>
                <w:rFonts w:cs="Segoe UI Light"/>
                <w:sz w:val="18"/>
              </w:rPr>
            </w:pPr>
            <w:r w:rsidRPr="000D7D82">
              <w:rPr>
                <w:rFonts w:cs="Segoe UI Light"/>
                <w:sz w:val="18"/>
              </w:rPr>
              <w:t xml:space="preserve">Reportable priority waste </w:t>
            </w:r>
          </w:p>
          <w:p w14:paraId="656B1D80" w14:textId="77777777" w:rsidR="00F85403" w:rsidRPr="000D7D82" w:rsidRDefault="00F85403" w:rsidP="00F85403">
            <w:pPr>
              <w:spacing w:after="0"/>
              <w:rPr>
                <w:rFonts w:cs="Segoe UI Light"/>
                <w:sz w:val="18"/>
              </w:rPr>
            </w:pPr>
            <w:r w:rsidRPr="000D7D82">
              <w:rPr>
                <w:rFonts w:cs="Segoe UI Light"/>
                <w:sz w:val="18"/>
              </w:rPr>
              <w:t>transport (full permit) [30 tonnes or more (R100, K100, K120, K200, T130)]</w:t>
            </w:r>
          </w:p>
        </w:tc>
        <w:tc>
          <w:tcPr>
            <w:tcW w:w="885" w:type="pct"/>
            <w:tcBorders>
              <w:top w:val="single" w:sz="4" w:space="0" w:color="auto"/>
              <w:bottom w:val="single" w:sz="4" w:space="0" w:color="auto"/>
            </w:tcBorders>
          </w:tcPr>
          <w:p w14:paraId="656B1D81" w14:textId="77777777" w:rsidR="00F85403" w:rsidRPr="000D7D82" w:rsidRDefault="00F85403" w:rsidP="00F85403">
            <w:pPr>
              <w:spacing w:after="0"/>
              <w:rPr>
                <w:rFonts w:cs="Segoe UI Light"/>
                <w:sz w:val="18"/>
              </w:rPr>
            </w:pPr>
            <w:r w:rsidRPr="000D7D82">
              <w:rPr>
                <w:rFonts w:cs="Segoe UI Light"/>
                <w:sz w:val="18"/>
              </w:rPr>
              <w:t>Flat fee – 103 fee units</w:t>
            </w:r>
          </w:p>
        </w:tc>
        <w:tc>
          <w:tcPr>
            <w:tcW w:w="572" w:type="pct"/>
            <w:tcBorders>
              <w:top w:val="single" w:sz="4" w:space="0" w:color="auto"/>
              <w:bottom w:val="single" w:sz="4" w:space="0" w:color="auto"/>
            </w:tcBorders>
          </w:tcPr>
          <w:p w14:paraId="656B1D82" w14:textId="77777777" w:rsidR="00F85403" w:rsidRPr="000D7D82" w:rsidRDefault="00F85403" w:rsidP="00F85403">
            <w:pPr>
              <w:spacing w:after="0"/>
              <w:rPr>
                <w:rFonts w:cs="Segoe UI Light"/>
                <w:sz w:val="18"/>
              </w:rPr>
            </w:pPr>
            <w:r w:rsidRPr="000D7D82">
              <w:rPr>
                <w:rFonts w:cs="Segoe UI Light"/>
                <w:sz w:val="18"/>
              </w:rPr>
              <w:t>$1,488.35</w:t>
            </w:r>
          </w:p>
        </w:tc>
        <w:tc>
          <w:tcPr>
            <w:tcW w:w="780" w:type="pct"/>
            <w:tcBorders>
              <w:top w:val="single" w:sz="4" w:space="0" w:color="auto"/>
              <w:bottom w:val="single" w:sz="4" w:space="0" w:color="auto"/>
            </w:tcBorders>
          </w:tcPr>
          <w:p w14:paraId="656B1D83" w14:textId="77777777" w:rsidR="00F85403" w:rsidRPr="000D7D82" w:rsidRDefault="00F85403" w:rsidP="00F85403">
            <w:pPr>
              <w:spacing w:after="0"/>
              <w:rPr>
                <w:rFonts w:cs="Segoe UI Light"/>
                <w:sz w:val="18"/>
              </w:rPr>
            </w:pPr>
            <w:r w:rsidRPr="000D7D82">
              <w:rPr>
                <w:rFonts w:cs="Segoe UI Light"/>
                <w:sz w:val="18"/>
              </w:rPr>
              <w:t>Flat fee – 3.09 fee units</w:t>
            </w:r>
          </w:p>
        </w:tc>
        <w:tc>
          <w:tcPr>
            <w:tcW w:w="635" w:type="pct"/>
            <w:gridSpan w:val="2"/>
            <w:tcBorders>
              <w:top w:val="single" w:sz="4" w:space="0" w:color="auto"/>
              <w:bottom w:val="single" w:sz="4" w:space="0" w:color="auto"/>
            </w:tcBorders>
          </w:tcPr>
          <w:p w14:paraId="656B1D84" w14:textId="7EE03B22" w:rsidR="00F85403" w:rsidRPr="000D7D82" w:rsidRDefault="00F85403" w:rsidP="00F85403">
            <w:pPr>
              <w:spacing w:after="0"/>
              <w:rPr>
                <w:rFonts w:cs="Segoe UI Light"/>
                <w:sz w:val="18"/>
              </w:rPr>
            </w:pPr>
            <w:r w:rsidRPr="000D7D82">
              <w:rPr>
                <w:rFonts w:cs="Segoe UI Light"/>
                <w:sz w:val="18"/>
              </w:rPr>
              <w:t>$44.58</w:t>
            </w:r>
          </w:p>
        </w:tc>
        <w:tc>
          <w:tcPr>
            <w:tcW w:w="464" w:type="pct"/>
            <w:tcBorders>
              <w:top w:val="single" w:sz="4" w:space="0" w:color="auto"/>
              <w:bottom w:val="single" w:sz="4" w:space="0" w:color="auto"/>
            </w:tcBorders>
          </w:tcPr>
          <w:p w14:paraId="656B1D85" w14:textId="77777777" w:rsidR="00F85403" w:rsidRPr="00EB1A74" w:rsidRDefault="00F85403">
            <w:pPr>
              <w:spacing w:after="0"/>
              <w:rPr>
                <w:rFonts w:cs="Segoe UI Light"/>
                <w:sz w:val="18"/>
              </w:rPr>
            </w:pPr>
            <w:r w:rsidRPr="00DB3FCA">
              <w:rPr>
                <w:sz w:val="18"/>
              </w:rPr>
              <w:t>-97.0%</w:t>
            </w:r>
          </w:p>
        </w:tc>
      </w:tr>
      <w:tr w:rsidR="00F85403" w:rsidRPr="000D7D82" w14:paraId="656B1D90" w14:textId="77777777" w:rsidTr="00BB3356">
        <w:trPr>
          <w:cantSplit/>
          <w:trHeight w:val="216"/>
          <w:jc w:val="center"/>
        </w:trPr>
        <w:tc>
          <w:tcPr>
            <w:tcW w:w="461" w:type="pct"/>
          </w:tcPr>
          <w:p w14:paraId="656B1D87" w14:textId="77777777" w:rsidR="00F85403" w:rsidRPr="000D7D82" w:rsidRDefault="00F85403" w:rsidP="00F85403">
            <w:pPr>
              <w:spacing w:after="0"/>
              <w:rPr>
                <w:rFonts w:cs="Segoe UI Light"/>
                <w:sz w:val="18"/>
              </w:rPr>
            </w:pPr>
            <w:r w:rsidRPr="000D7D82">
              <w:rPr>
                <w:rFonts w:cs="Segoe UI Light"/>
                <w:sz w:val="18"/>
              </w:rPr>
              <w:t xml:space="preserve">Permit </w:t>
            </w:r>
          </w:p>
        </w:tc>
        <w:tc>
          <w:tcPr>
            <w:tcW w:w="431" w:type="pct"/>
          </w:tcPr>
          <w:p w14:paraId="656B1D88" w14:textId="77777777" w:rsidR="00F85403" w:rsidRPr="000D7D82" w:rsidRDefault="00F85403" w:rsidP="00F85403">
            <w:pPr>
              <w:spacing w:after="0"/>
              <w:rPr>
                <w:rFonts w:cs="Segoe UI Light"/>
                <w:sz w:val="18"/>
              </w:rPr>
            </w:pPr>
            <w:r w:rsidRPr="000D7D82">
              <w:rPr>
                <w:rFonts w:cs="Segoe UI Light"/>
                <w:sz w:val="18"/>
              </w:rPr>
              <w:t>Renewal</w:t>
            </w:r>
          </w:p>
        </w:tc>
        <w:tc>
          <w:tcPr>
            <w:tcW w:w="772" w:type="pct"/>
            <w:tcBorders>
              <w:top w:val="single" w:sz="4" w:space="0" w:color="auto"/>
            </w:tcBorders>
          </w:tcPr>
          <w:p w14:paraId="656B1D89" w14:textId="77777777" w:rsidR="00F85403" w:rsidRPr="000D7D82" w:rsidRDefault="00F85403" w:rsidP="00F85403">
            <w:pPr>
              <w:spacing w:after="0"/>
              <w:rPr>
                <w:rFonts w:cs="Segoe UI Light"/>
                <w:sz w:val="18"/>
              </w:rPr>
            </w:pPr>
            <w:r w:rsidRPr="000D7D82">
              <w:rPr>
                <w:rFonts w:cs="Segoe UI Light"/>
                <w:sz w:val="18"/>
              </w:rPr>
              <w:t xml:space="preserve">Reportable priority waste </w:t>
            </w:r>
          </w:p>
          <w:p w14:paraId="656B1D8A" w14:textId="77777777" w:rsidR="00F85403" w:rsidRPr="000D7D82" w:rsidRDefault="00F85403" w:rsidP="00F85403">
            <w:pPr>
              <w:spacing w:after="0"/>
              <w:rPr>
                <w:rFonts w:cs="Segoe UI Light"/>
                <w:sz w:val="18"/>
              </w:rPr>
            </w:pPr>
            <w:r w:rsidRPr="000D7D82">
              <w:rPr>
                <w:rFonts w:cs="Segoe UI Light"/>
                <w:sz w:val="18"/>
              </w:rPr>
              <w:t>transport (full permit) [less than 1.5 tonnes (all other waste codes)]</w:t>
            </w:r>
          </w:p>
        </w:tc>
        <w:tc>
          <w:tcPr>
            <w:tcW w:w="885" w:type="pct"/>
            <w:tcBorders>
              <w:top w:val="single" w:sz="4" w:space="0" w:color="auto"/>
              <w:bottom w:val="single" w:sz="4" w:space="0" w:color="auto"/>
            </w:tcBorders>
          </w:tcPr>
          <w:p w14:paraId="656B1D8B" w14:textId="77777777" w:rsidR="00F85403" w:rsidRPr="000D7D82" w:rsidRDefault="00F85403" w:rsidP="00F85403">
            <w:pPr>
              <w:spacing w:after="0"/>
              <w:rPr>
                <w:rFonts w:cs="Segoe UI Light"/>
                <w:sz w:val="18"/>
              </w:rPr>
            </w:pPr>
            <w:r w:rsidRPr="000D7D82">
              <w:rPr>
                <w:rFonts w:cs="Segoe UI Light"/>
                <w:sz w:val="18"/>
              </w:rPr>
              <w:t>Flat fee – 29.5 fee units</w:t>
            </w:r>
          </w:p>
        </w:tc>
        <w:tc>
          <w:tcPr>
            <w:tcW w:w="572" w:type="pct"/>
            <w:tcBorders>
              <w:top w:val="single" w:sz="4" w:space="0" w:color="auto"/>
              <w:bottom w:val="single" w:sz="4" w:space="0" w:color="auto"/>
            </w:tcBorders>
          </w:tcPr>
          <w:p w14:paraId="656B1D8C" w14:textId="77777777" w:rsidR="00F85403" w:rsidRPr="000D7D82" w:rsidRDefault="00F85403" w:rsidP="00F85403">
            <w:pPr>
              <w:spacing w:after="0"/>
              <w:rPr>
                <w:rFonts w:cs="Segoe UI Light"/>
                <w:sz w:val="18"/>
              </w:rPr>
            </w:pPr>
            <w:r w:rsidRPr="000D7D82">
              <w:rPr>
                <w:rFonts w:cs="Segoe UI Light"/>
                <w:sz w:val="18"/>
              </w:rPr>
              <w:t>$426.28</w:t>
            </w:r>
          </w:p>
        </w:tc>
        <w:tc>
          <w:tcPr>
            <w:tcW w:w="780" w:type="pct"/>
            <w:tcBorders>
              <w:top w:val="single" w:sz="4" w:space="0" w:color="auto"/>
              <w:bottom w:val="single" w:sz="4" w:space="0" w:color="auto"/>
            </w:tcBorders>
          </w:tcPr>
          <w:p w14:paraId="656B1D8D" w14:textId="77777777" w:rsidR="00F85403" w:rsidRPr="000D7D82" w:rsidRDefault="00F85403" w:rsidP="00F85403">
            <w:pPr>
              <w:spacing w:after="0"/>
              <w:rPr>
                <w:rFonts w:cs="Segoe UI Light"/>
                <w:sz w:val="18"/>
              </w:rPr>
            </w:pPr>
            <w:r w:rsidRPr="000D7D82">
              <w:rPr>
                <w:rFonts w:cs="Segoe UI Light"/>
                <w:sz w:val="18"/>
              </w:rPr>
              <w:t>Flat fee – 3.09 fee units</w:t>
            </w:r>
          </w:p>
        </w:tc>
        <w:tc>
          <w:tcPr>
            <w:tcW w:w="635" w:type="pct"/>
            <w:gridSpan w:val="2"/>
            <w:tcBorders>
              <w:top w:val="single" w:sz="4" w:space="0" w:color="auto"/>
              <w:bottom w:val="single" w:sz="4" w:space="0" w:color="auto"/>
            </w:tcBorders>
          </w:tcPr>
          <w:p w14:paraId="656B1D8E" w14:textId="7B498899" w:rsidR="00F85403" w:rsidRPr="000D7D82" w:rsidRDefault="00F85403" w:rsidP="00F85403">
            <w:pPr>
              <w:spacing w:after="0"/>
              <w:rPr>
                <w:rFonts w:cs="Segoe UI Light"/>
                <w:sz w:val="18"/>
              </w:rPr>
            </w:pPr>
            <w:r w:rsidRPr="000D7D82">
              <w:rPr>
                <w:rFonts w:cs="Segoe UI Light"/>
                <w:sz w:val="18"/>
              </w:rPr>
              <w:t>$44.58</w:t>
            </w:r>
          </w:p>
        </w:tc>
        <w:tc>
          <w:tcPr>
            <w:tcW w:w="464" w:type="pct"/>
            <w:tcBorders>
              <w:top w:val="single" w:sz="4" w:space="0" w:color="auto"/>
              <w:bottom w:val="single" w:sz="4" w:space="0" w:color="auto"/>
            </w:tcBorders>
          </w:tcPr>
          <w:p w14:paraId="656B1D8F" w14:textId="77777777" w:rsidR="00F85403" w:rsidRPr="00EB1A74" w:rsidRDefault="00F85403">
            <w:pPr>
              <w:spacing w:after="0"/>
              <w:rPr>
                <w:rFonts w:cs="Segoe UI Light"/>
                <w:sz w:val="18"/>
              </w:rPr>
            </w:pPr>
            <w:r w:rsidRPr="00DB3FCA">
              <w:rPr>
                <w:sz w:val="18"/>
              </w:rPr>
              <w:t>-89.5%</w:t>
            </w:r>
          </w:p>
        </w:tc>
      </w:tr>
      <w:tr w:rsidR="00F85403" w:rsidRPr="000D7D82" w14:paraId="656B1D9A" w14:textId="77777777" w:rsidTr="00BB3356">
        <w:trPr>
          <w:cantSplit/>
          <w:trHeight w:val="216"/>
          <w:jc w:val="center"/>
        </w:trPr>
        <w:tc>
          <w:tcPr>
            <w:tcW w:w="461" w:type="pct"/>
          </w:tcPr>
          <w:p w14:paraId="656B1D91" w14:textId="77777777" w:rsidR="00F85403" w:rsidRPr="000D7D82" w:rsidRDefault="00F85403" w:rsidP="00F85403">
            <w:pPr>
              <w:spacing w:after="0"/>
              <w:rPr>
                <w:rFonts w:cs="Segoe UI Light"/>
                <w:sz w:val="18"/>
              </w:rPr>
            </w:pPr>
            <w:r w:rsidRPr="000D7D82">
              <w:rPr>
                <w:rFonts w:cs="Segoe UI Light"/>
                <w:sz w:val="18"/>
              </w:rPr>
              <w:t xml:space="preserve">Permit </w:t>
            </w:r>
          </w:p>
        </w:tc>
        <w:tc>
          <w:tcPr>
            <w:tcW w:w="431" w:type="pct"/>
          </w:tcPr>
          <w:p w14:paraId="656B1D92" w14:textId="77777777" w:rsidR="00F85403" w:rsidRPr="000D7D82" w:rsidRDefault="00F85403" w:rsidP="00F85403">
            <w:pPr>
              <w:spacing w:after="0"/>
              <w:rPr>
                <w:rFonts w:cs="Segoe UI Light"/>
                <w:sz w:val="18"/>
              </w:rPr>
            </w:pPr>
            <w:r w:rsidRPr="000D7D82">
              <w:rPr>
                <w:rFonts w:cs="Segoe UI Light"/>
                <w:sz w:val="18"/>
              </w:rPr>
              <w:t>Renewal</w:t>
            </w:r>
          </w:p>
        </w:tc>
        <w:tc>
          <w:tcPr>
            <w:tcW w:w="772" w:type="pct"/>
          </w:tcPr>
          <w:p w14:paraId="656B1D93" w14:textId="77777777" w:rsidR="00F85403" w:rsidRPr="000D7D82" w:rsidRDefault="00F85403" w:rsidP="00F85403">
            <w:pPr>
              <w:spacing w:after="0"/>
              <w:rPr>
                <w:rFonts w:cs="Segoe UI Light"/>
                <w:sz w:val="18"/>
              </w:rPr>
            </w:pPr>
            <w:r w:rsidRPr="000D7D82">
              <w:rPr>
                <w:rFonts w:cs="Segoe UI Light"/>
                <w:sz w:val="18"/>
              </w:rPr>
              <w:t xml:space="preserve">Reportable priority waste </w:t>
            </w:r>
          </w:p>
          <w:p w14:paraId="656B1D94" w14:textId="77777777" w:rsidR="00F85403" w:rsidRPr="000D7D82" w:rsidRDefault="00F85403" w:rsidP="00F85403">
            <w:pPr>
              <w:spacing w:after="0"/>
              <w:rPr>
                <w:rFonts w:cs="Segoe UI Light"/>
                <w:sz w:val="18"/>
              </w:rPr>
            </w:pPr>
            <w:r w:rsidRPr="000D7D82">
              <w:rPr>
                <w:rFonts w:cs="Segoe UI Light"/>
                <w:sz w:val="18"/>
              </w:rPr>
              <w:t>transport (full permit) [equal to or more than 1.5 tonnes but less than 30 tonnes (all other waste codes)]</w:t>
            </w:r>
          </w:p>
        </w:tc>
        <w:tc>
          <w:tcPr>
            <w:tcW w:w="885" w:type="pct"/>
            <w:tcBorders>
              <w:top w:val="single" w:sz="4" w:space="0" w:color="auto"/>
              <w:bottom w:val="single" w:sz="4" w:space="0" w:color="auto"/>
            </w:tcBorders>
          </w:tcPr>
          <w:p w14:paraId="656B1D95" w14:textId="77777777" w:rsidR="00F85403" w:rsidRPr="000D7D82" w:rsidRDefault="00F85403" w:rsidP="00F85403">
            <w:pPr>
              <w:spacing w:after="0"/>
              <w:rPr>
                <w:rFonts w:cs="Segoe UI Light"/>
                <w:sz w:val="18"/>
              </w:rPr>
            </w:pPr>
            <w:r w:rsidRPr="000D7D82">
              <w:rPr>
                <w:rFonts w:cs="Segoe UI Light"/>
                <w:sz w:val="18"/>
              </w:rPr>
              <w:t>Flat fee – 49 fee units</w:t>
            </w:r>
          </w:p>
        </w:tc>
        <w:tc>
          <w:tcPr>
            <w:tcW w:w="572" w:type="pct"/>
            <w:tcBorders>
              <w:top w:val="single" w:sz="4" w:space="0" w:color="auto"/>
              <w:bottom w:val="single" w:sz="4" w:space="0" w:color="auto"/>
            </w:tcBorders>
          </w:tcPr>
          <w:p w14:paraId="656B1D96" w14:textId="77777777" w:rsidR="00F85403" w:rsidRPr="000D7D82" w:rsidRDefault="00F85403" w:rsidP="00F85403">
            <w:pPr>
              <w:spacing w:after="0"/>
              <w:rPr>
                <w:rFonts w:cs="Segoe UI Light"/>
                <w:sz w:val="18"/>
              </w:rPr>
            </w:pPr>
            <w:r w:rsidRPr="000D7D82">
              <w:rPr>
                <w:rFonts w:cs="Segoe UI Light"/>
                <w:sz w:val="18"/>
              </w:rPr>
              <w:t>$708.05</w:t>
            </w:r>
          </w:p>
        </w:tc>
        <w:tc>
          <w:tcPr>
            <w:tcW w:w="780" w:type="pct"/>
            <w:tcBorders>
              <w:top w:val="single" w:sz="4" w:space="0" w:color="auto"/>
              <w:bottom w:val="single" w:sz="4" w:space="0" w:color="auto"/>
            </w:tcBorders>
          </w:tcPr>
          <w:p w14:paraId="656B1D97" w14:textId="77777777" w:rsidR="00F85403" w:rsidRPr="000D7D82" w:rsidRDefault="00F85403" w:rsidP="00F85403">
            <w:pPr>
              <w:spacing w:after="0"/>
              <w:rPr>
                <w:rFonts w:cs="Segoe UI Light"/>
                <w:sz w:val="18"/>
              </w:rPr>
            </w:pPr>
            <w:r w:rsidRPr="000D7D82">
              <w:rPr>
                <w:rFonts w:cs="Segoe UI Light"/>
                <w:sz w:val="18"/>
              </w:rPr>
              <w:t>Flat fee – 3.09 fee units</w:t>
            </w:r>
          </w:p>
        </w:tc>
        <w:tc>
          <w:tcPr>
            <w:tcW w:w="635" w:type="pct"/>
            <w:gridSpan w:val="2"/>
            <w:tcBorders>
              <w:top w:val="single" w:sz="4" w:space="0" w:color="auto"/>
              <w:bottom w:val="single" w:sz="4" w:space="0" w:color="auto"/>
            </w:tcBorders>
          </w:tcPr>
          <w:p w14:paraId="656B1D98" w14:textId="4F0A6286" w:rsidR="00F85403" w:rsidRPr="000D7D82" w:rsidRDefault="00F85403" w:rsidP="00F85403">
            <w:pPr>
              <w:spacing w:after="0"/>
              <w:rPr>
                <w:rFonts w:cs="Segoe UI Light"/>
                <w:sz w:val="18"/>
              </w:rPr>
            </w:pPr>
            <w:r w:rsidRPr="000D7D82">
              <w:rPr>
                <w:rFonts w:cs="Segoe UI Light"/>
                <w:sz w:val="18"/>
              </w:rPr>
              <w:t>$44.58</w:t>
            </w:r>
          </w:p>
        </w:tc>
        <w:tc>
          <w:tcPr>
            <w:tcW w:w="464" w:type="pct"/>
            <w:tcBorders>
              <w:top w:val="single" w:sz="4" w:space="0" w:color="auto"/>
              <w:bottom w:val="single" w:sz="4" w:space="0" w:color="auto"/>
            </w:tcBorders>
          </w:tcPr>
          <w:p w14:paraId="656B1D99" w14:textId="77777777" w:rsidR="00F85403" w:rsidRPr="00EB1A74" w:rsidRDefault="00F85403">
            <w:pPr>
              <w:spacing w:after="0"/>
              <w:rPr>
                <w:rFonts w:cs="Segoe UI Light"/>
                <w:sz w:val="18"/>
              </w:rPr>
            </w:pPr>
            <w:r w:rsidRPr="00DB3FCA">
              <w:rPr>
                <w:sz w:val="18"/>
              </w:rPr>
              <w:t>-93.7%</w:t>
            </w:r>
          </w:p>
        </w:tc>
      </w:tr>
      <w:tr w:rsidR="00F85403" w:rsidRPr="000D7D82" w14:paraId="656B1DA4" w14:textId="77777777" w:rsidTr="00BB3356">
        <w:trPr>
          <w:cantSplit/>
          <w:trHeight w:val="216"/>
          <w:jc w:val="center"/>
        </w:trPr>
        <w:tc>
          <w:tcPr>
            <w:tcW w:w="461" w:type="pct"/>
          </w:tcPr>
          <w:p w14:paraId="656B1D9B" w14:textId="77777777" w:rsidR="00F85403" w:rsidRPr="000D7D82" w:rsidRDefault="00F85403" w:rsidP="00F85403">
            <w:pPr>
              <w:spacing w:after="0"/>
              <w:rPr>
                <w:rFonts w:cs="Segoe UI Light"/>
                <w:sz w:val="18"/>
              </w:rPr>
            </w:pPr>
            <w:r w:rsidRPr="000D7D82">
              <w:rPr>
                <w:rFonts w:cs="Segoe UI Light"/>
                <w:sz w:val="18"/>
              </w:rPr>
              <w:t xml:space="preserve">Permit </w:t>
            </w:r>
          </w:p>
        </w:tc>
        <w:tc>
          <w:tcPr>
            <w:tcW w:w="431" w:type="pct"/>
          </w:tcPr>
          <w:p w14:paraId="656B1D9C" w14:textId="77777777" w:rsidR="00F85403" w:rsidRPr="000D7D82" w:rsidRDefault="00F85403" w:rsidP="00F85403">
            <w:pPr>
              <w:spacing w:after="0"/>
              <w:rPr>
                <w:rFonts w:cs="Segoe UI Light"/>
                <w:sz w:val="18"/>
              </w:rPr>
            </w:pPr>
            <w:r w:rsidRPr="000D7D82">
              <w:rPr>
                <w:rFonts w:cs="Segoe UI Light"/>
                <w:sz w:val="18"/>
              </w:rPr>
              <w:t>Renewal</w:t>
            </w:r>
          </w:p>
        </w:tc>
        <w:tc>
          <w:tcPr>
            <w:tcW w:w="772" w:type="pct"/>
          </w:tcPr>
          <w:p w14:paraId="656B1D9D" w14:textId="77777777" w:rsidR="00F85403" w:rsidRPr="000D7D82" w:rsidRDefault="00F85403" w:rsidP="00F85403">
            <w:pPr>
              <w:spacing w:after="0"/>
              <w:rPr>
                <w:rFonts w:cs="Segoe UI Light"/>
                <w:sz w:val="18"/>
              </w:rPr>
            </w:pPr>
            <w:r w:rsidRPr="000D7D82">
              <w:rPr>
                <w:rFonts w:cs="Segoe UI Light"/>
                <w:sz w:val="18"/>
              </w:rPr>
              <w:t>Reportable priority waste</w:t>
            </w:r>
          </w:p>
          <w:p w14:paraId="656B1D9E" w14:textId="77777777" w:rsidR="00F85403" w:rsidRPr="000D7D82" w:rsidRDefault="00F85403" w:rsidP="00F85403">
            <w:pPr>
              <w:spacing w:after="0"/>
              <w:rPr>
                <w:rFonts w:cs="Segoe UI Light"/>
                <w:sz w:val="18"/>
              </w:rPr>
            </w:pPr>
            <w:r w:rsidRPr="000D7D82">
              <w:rPr>
                <w:rFonts w:cs="Segoe UI Light"/>
                <w:sz w:val="18"/>
              </w:rPr>
              <w:t xml:space="preserve"> transport (full permit) [30 tonnes or more (all other waste codes)]</w:t>
            </w:r>
          </w:p>
        </w:tc>
        <w:tc>
          <w:tcPr>
            <w:tcW w:w="885" w:type="pct"/>
            <w:tcBorders>
              <w:top w:val="single" w:sz="4" w:space="0" w:color="auto"/>
              <w:bottom w:val="single" w:sz="4" w:space="0" w:color="auto"/>
            </w:tcBorders>
          </w:tcPr>
          <w:p w14:paraId="656B1D9F" w14:textId="77777777" w:rsidR="00F85403" w:rsidRPr="000D7D82" w:rsidRDefault="00F85403" w:rsidP="00F85403">
            <w:pPr>
              <w:spacing w:after="0"/>
              <w:rPr>
                <w:rFonts w:cs="Segoe UI Light"/>
                <w:sz w:val="18"/>
              </w:rPr>
            </w:pPr>
            <w:r w:rsidRPr="000D7D82">
              <w:rPr>
                <w:rFonts w:cs="Segoe UI Light"/>
                <w:sz w:val="18"/>
              </w:rPr>
              <w:t>Flat fee – 142 fee units</w:t>
            </w:r>
          </w:p>
        </w:tc>
        <w:tc>
          <w:tcPr>
            <w:tcW w:w="572" w:type="pct"/>
            <w:tcBorders>
              <w:top w:val="single" w:sz="4" w:space="0" w:color="auto"/>
              <w:bottom w:val="single" w:sz="4" w:space="0" w:color="auto"/>
            </w:tcBorders>
          </w:tcPr>
          <w:p w14:paraId="656B1DA0" w14:textId="77777777" w:rsidR="00F85403" w:rsidRPr="000D7D82" w:rsidRDefault="00F85403" w:rsidP="00F85403">
            <w:pPr>
              <w:spacing w:after="0"/>
              <w:rPr>
                <w:rFonts w:cs="Segoe UI Light"/>
                <w:sz w:val="18"/>
              </w:rPr>
            </w:pPr>
            <w:r w:rsidRPr="000D7D82">
              <w:rPr>
                <w:rFonts w:cs="Segoe UI Light"/>
                <w:sz w:val="18"/>
              </w:rPr>
              <w:t>$2,051.90</w:t>
            </w:r>
          </w:p>
        </w:tc>
        <w:tc>
          <w:tcPr>
            <w:tcW w:w="780" w:type="pct"/>
            <w:tcBorders>
              <w:top w:val="single" w:sz="4" w:space="0" w:color="auto"/>
              <w:bottom w:val="single" w:sz="4" w:space="0" w:color="auto"/>
            </w:tcBorders>
          </w:tcPr>
          <w:p w14:paraId="656B1DA1" w14:textId="77777777" w:rsidR="00F85403" w:rsidRPr="000D7D82" w:rsidRDefault="00F85403" w:rsidP="00F85403">
            <w:pPr>
              <w:spacing w:after="0"/>
              <w:rPr>
                <w:rFonts w:cs="Segoe UI Light"/>
                <w:sz w:val="18"/>
              </w:rPr>
            </w:pPr>
            <w:r w:rsidRPr="000D7D82">
              <w:rPr>
                <w:rFonts w:cs="Segoe UI Light"/>
                <w:sz w:val="18"/>
              </w:rPr>
              <w:t>Flat fee – 3.09 fee units</w:t>
            </w:r>
          </w:p>
        </w:tc>
        <w:tc>
          <w:tcPr>
            <w:tcW w:w="635" w:type="pct"/>
            <w:gridSpan w:val="2"/>
            <w:tcBorders>
              <w:top w:val="single" w:sz="4" w:space="0" w:color="auto"/>
              <w:bottom w:val="single" w:sz="4" w:space="0" w:color="auto"/>
            </w:tcBorders>
          </w:tcPr>
          <w:p w14:paraId="656B1DA2" w14:textId="5C727BC8" w:rsidR="00F85403" w:rsidRPr="000D7D82" w:rsidRDefault="00F85403" w:rsidP="00F85403">
            <w:pPr>
              <w:spacing w:after="0"/>
              <w:rPr>
                <w:rFonts w:cs="Segoe UI Light"/>
                <w:sz w:val="18"/>
              </w:rPr>
            </w:pPr>
            <w:r w:rsidRPr="000D7D82">
              <w:rPr>
                <w:rFonts w:cs="Segoe UI Light"/>
                <w:sz w:val="18"/>
              </w:rPr>
              <w:t>$44.58</w:t>
            </w:r>
          </w:p>
        </w:tc>
        <w:tc>
          <w:tcPr>
            <w:tcW w:w="464" w:type="pct"/>
            <w:tcBorders>
              <w:top w:val="single" w:sz="4" w:space="0" w:color="auto"/>
              <w:bottom w:val="single" w:sz="4" w:space="0" w:color="auto"/>
            </w:tcBorders>
          </w:tcPr>
          <w:p w14:paraId="656B1DA3" w14:textId="77777777" w:rsidR="00F85403" w:rsidRPr="00EB1A74" w:rsidRDefault="00F85403">
            <w:pPr>
              <w:spacing w:after="0"/>
              <w:rPr>
                <w:rFonts w:cs="Segoe UI Light"/>
                <w:sz w:val="18"/>
              </w:rPr>
            </w:pPr>
            <w:r w:rsidRPr="00DB3FCA">
              <w:rPr>
                <w:sz w:val="18"/>
              </w:rPr>
              <w:t>-97.8%</w:t>
            </w:r>
          </w:p>
        </w:tc>
      </w:tr>
      <w:tr w:rsidR="00F85403" w:rsidRPr="000D7D82" w14:paraId="656B1DAE" w14:textId="77777777" w:rsidTr="00BB3356">
        <w:trPr>
          <w:cantSplit/>
          <w:trHeight w:val="216"/>
          <w:jc w:val="center"/>
        </w:trPr>
        <w:tc>
          <w:tcPr>
            <w:tcW w:w="461" w:type="pct"/>
          </w:tcPr>
          <w:p w14:paraId="656B1DA5" w14:textId="77777777" w:rsidR="00F85403" w:rsidRPr="000D7D82" w:rsidRDefault="00F85403" w:rsidP="00F85403">
            <w:pPr>
              <w:spacing w:after="0"/>
              <w:rPr>
                <w:rFonts w:cs="Segoe UI Light"/>
                <w:sz w:val="18"/>
              </w:rPr>
            </w:pPr>
            <w:r w:rsidRPr="000D7D82">
              <w:rPr>
                <w:rFonts w:cs="Segoe UI Light"/>
                <w:sz w:val="18"/>
              </w:rPr>
              <w:t xml:space="preserve">Permit </w:t>
            </w:r>
          </w:p>
        </w:tc>
        <w:tc>
          <w:tcPr>
            <w:tcW w:w="431" w:type="pct"/>
          </w:tcPr>
          <w:p w14:paraId="656B1DA6" w14:textId="77777777" w:rsidR="00F85403" w:rsidRPr="000D7D82" w:rsidRDefault="00F85403" w:rsidP="00F85403">
            <w:pPr>
              <w:spacing w:after="0"/>
              <w:rPr>
                <w:rFonts w:cs="Segoe UI Light"/>
                <w:sz w:val="18"/>
              </w:rPr>
            </w:pPr>
            <w:r w:rsidRPr="000D7D82">
              <w:rPr>
                <w:rFonts w:cs="Segoe UI Light"/>
                <w:sz w:val="18"/>
              </w:rPr>
              <w:t>Renewal</w:t>
            </w:r>
          </w:p>
        </w:tc>
        <w:tc>
          <w:tcPr>
            <w:tcW w:w="772" w:type="pct"/>
          </w:tcPr>
          <w:p w14:paraId="656B1DA7" w14:textId="77777777" w:rsidR="00F85403" w:rsidRPr="000D7D82" w:rsidRDefault="00F85403" w:rsidP="00F85403">
            <w:pPr>
              <w:spacing w:after="0"/>
              <w:rPr>
                <w:rFonts w:cs="Segoe UI Light"/>
                <w:sz w:val="18"/>
              </w:rPr>
            </w:pPr>
            <w:r w:rsidRPr="000D7D82">
              <w:rPr>
                <w:rFonts w:cs="Segoe UI Light"/>
                <w:sz w:val="18"/>
              </w:rPr>
              <w:t>Reportable priority waste</w:t>
            </w:r>
          </w:p>
          <w:p w14:paraId="656B1DA8" w14:textId="77777777" w:rsidR="00F85403" w:rsidRPr="000D7D82" w:rsidRDefault="00F85403" w:rsidP="00F85403">
            <w:pPr>
              <w:spacing w:after="0"/>
              <w:rPr>
                <w:rFonts w:cs="Segoe UI Light"/>
                <w:sz w:val="18"/>
              </w:rPr>
            </w:pPr>
            <w:r w:rsidRPr="000D7D82">
              <w:rPr>
                <w:rFonts w:cs="Segoe UI Light"/>
                <w:sz w:val="18"/>
              </w:rPr>
              <w:t xml:space="preserve"> transport (full permit) [less than 1.5 tonnes (G100-G160, E100-E130)]</w:t>
            </w:r>
          </w:p>
        </w:tc>
        <w:tc>
          <w:tcPr>
            <w:tcW w:w="885" w:type="pct"/>
            <w:tcBorders>
              <w:top w:val="single" w:sz="4" w:space="0" w:color="auto"/>
              <w:bottom w:val="single" w:sz="4" w:space="0" w:color="auto"/>
            </w:tcBorders>
          </w:tcPr>
          <w:p w14:paraId="656B1DA9" w14:textId="77777777" w:rsidR="00F85403" w:rsidRPr="000D7D82" w:rsidRDefault="00F85403" w:rsidP="00F85403">
            <w:pPr>
              <w:spacing w:after="0"/>
              <w:rPr>
                <w:rFonts w:cs="Segoe UI Light"/>
                <w:sz w:val="18"/>
              </w:rPr>
            </w:pPr>
            <w:r w:rsidRPr="000D7D82">
              <w:rPr>
                <w:rFonts w:cs="Segoe UI Light"/>
                <w:sz w:val="18"/>
              </w:rPr>
              <w:t>Flat fee – 34.25 fee units</w:t>
            </w:r>
          </w:p>
        </w:tc>
        <w:tc>
          <w:tcPr>
            <w:tcW w:w="572" w:type="pct"/>
            <w:tcBorders>
              <w:top w:val="single" w:sz="4" w:space="0" w:color="auto"/>
              <w:bottom w:val="single" w:sz="4" w:space="0" w:color="auto"/>
            </w:tcBorders>
          </w:tcPr>
          <w:p w14:paraId="656B1DAA" w14:textId="77777777" w:rsidR="00F85403" w:rsidRPr="000D7D82" w:rsidRDefault="00F85403" w:rsidP="00F85403">
            <w:pPr>
              <w:spacing w:after="0"/>
              <w:rPr>
                <w:rFonts w:cs="Segoe UI Light"/>
                <w:sz w:val="18"/>
              </w:rPr>
            </w:pPr>
            <w:r w:rsidRPr="000D7D82">
              <w:rPr>
                <w:rFonts w:cs="Segoe UI Light"/>
                <w:sz w:val="18"/>
              </w:rPr>
              <w:t>$494.91</w:t>
            </w:r>
          </w:p>
        </w:tc>
        <w:tc>
          <w:tcPr>
            <w:tcW w:w="780" w:type="pct"/>
            <w:tcBorders>
              <w:top w:val="single" w:sz="4" w:space="0" w:color="auto"/>
              <w:bottom w:val="single" w:sz="4" w:space="0" w:color="auto"/>
            </w:tcBorders>
          </w:tcPr>
          <w:p w14:paraId="656B1DAB" w14:textId="77777777" w:rsidR="00F85403" w:rsidRPr="000D7D82" w:rsidRDefault="00F85403" w:rsidP="00F85403">
            <w:pPr>
              <w:spacing w:after="0"/>
              <w:rPr>
                <w:rFonts w:cs="Segoe UI Light"/>
                <w:sz w:val="18"/>
              </w:rPr>
            </w:pPr>
            <w:r w:rsidRPr="000D7D82">
              <w:rPr>
                <w:rFonts w:cs="Segoe UI Light"/>
                <w:sz w:val="18"/>
              </w:rPr>
              <w:t>Flat fee – 3.09 fee units</w:t>
            </w:r>
          </w:p>
        </w:tc>
        <w:tc>
          <w:tcPr>
            <w:tcW w:w="635" w:type="pct"/>
            <w:gridSpan w:val="2"/>
            <w:tcBorders>
              <w:top w:val="single" w:sz="4" w:space="0" w:color="auto"/>
              <w:bottom w:val="single" w:sz="4" w:space="0" w:color="auto"/>
            </w:tcBorders>
          </w:tcPr>
          <w:p w14:paraId="656B1DAC" w14:textId="2F037DFA" w:rsidR="00F85403" w:rsidRPr="000D7D82" w:rsidRDefault="00F85403" w:rsidP="00F85403">
            <w:pPr>
              <w:spacing w:after="0"/>
              <w:rPr>
                <w:rFonts w:cs="Segoe UI Light"/>
                <w:sz w:val="18"/>
              </w:rPr>
            </w:pPr>
            <w:r w:rsidRPr="000D7D82">
              <w:rPr>
                <w:rFonts w:cs="Segoe UI Light"/>
                <w:sz w:val="18"/>
              </w:rPr>
              <w:t>$44.58</w:t>
            </w:r>
          </w:p>
        </w:tc>
        <w:tc>
          <w:tcPr>
            <w:tcW w:w="464" w:type="pct"/>
            <w:tcBorders>
              <w:top w:val="single" w:sz="4" w:space="0" w:color="auto"/>
              <w:bottom w:val="single" w:sz="4" w:space="0" w:color="auto"/>
            </w:tcBorders>
          </w:tcPr>
          <w:p w14:paraId="656B1DAD" w14:textId="77777777" w:rsidR="00F85403" w:rsidRPr="00EB1A74" w:rsidRDefault="00F85403">
            <w:pPr>
              <w:spacing w:after="0"/>
              <w:rPr>
                <w:rFonts w:cs="Segoe UI Light"/>
                <w:sz w:val="18"/>
              </w:rPr>
            </w:pPr>
            <w:r w:rsidRPr="00DB3FCA">
              <w:rPr>
                <w:sz w:val="18"/>
              </w:rPr>
              <w:t>-91.0%</w:t>
            </w:r>
          </w:p>
        </w:tc>
      </w:tr>
      <w:tr w:rsidR="00F85403" w:rsidRPr="000D7D82" w14:paraId="656B1DB8" w14:textId="77777777" w:rsidTr="00BB3356">
        <w:trPr>
          <w:cantSplit/>
          <w:trHeight w:val="216"/>
          <w:jc w:val="center"/>
        </w:trPr>
        <w:tc>
          <w:tcPr>
            <w:tcW w:w="461" w:type="pct"/>
          </w:tcPr>
          <w:p w14:paraId="656B1DAF" w14:textId="77777777" w:rsidR="00F85403" w:rsidRPr="000D7D82" w:rsidRDefault="00F85403" w:rsidP="00F85403">
            <w:pPr>
              <w:spacing w:after="0"/>
              <w:rPr>
                <w:rFonts w:cs="Segoe UI Light"/>
                <w:sz w:val="18"/>
              </w:rPr>
            </w:pPr>
            <w:r w:rsidRPr="000D7D82">
              <w:rPr>
                <w:rFonts w:cs="Segoe UI Light"/>
                <w:sz w:val="18"/>
              </w:rPr>
              <w:t xml:space="preserve">Permit </w:t>
            </w:r>
          </w:p>
        </w:tc>
        <w:tc>
          <w:tcPr>
            <w:tcW w:w="431" w:type="pct"/>
          </w:tcPr>
          <w:p w14:paraId="656B1DB0" w14:textId="77777777" w:rsidR="00F85403" w:rsidRPr="000D7D82" w:rsidRDefault="00F85403" w:rsidP="00F85403">
            <w:pPr>
              <w:spacing w:after="0"/>
              <w:rPr>
                <w:rFonts w:cs="Segoe UI Light"/>
                <w:sz w:val="18"/>
              </w:rPr>
            </w:pPr>
            <w:r w:rsidRPr="000D7D82">
              <w:rPr>
                <w:rFonts w:cs="Segoe UI Light"/>
                <w:sz w:val="18"/>
              </w:rPr>
              <w:t>Renewal</w:t>
            </w:r>
          </w:p>
        </w:tc>
        <w:tc>
          <w:tcPr>
            <w:tcW w:w="772" w:type="pct"/>
          </w:tcPr>
          <w:p w14:paraId="656B1DB1" w14:textId="77777777" w:rsidR="00F85403" w:rsidRPr="000D7D82" w:rsidRDefault="00F85403" w:rsidP="00F85403">
            <w:pPr>
              <w:spacing w:after="0"/>
              <w:rPr>
                <w:rFonts w:cs="Segoe UI Light"/>
                <w:sz w:val="18"/>
              </w:rPr>
            </w:pPr>
            <w:r w:rsidRPr="000D7D82">
              <w:rPr>
                <w:rFonts w:cs="Segoe UI Light"/>
                <w:sz w:val="18"/>
              </w:rPr>
              <w:t xml:space="preserve">Reportable priority waste </w:t>
            </w:r>
          </w:p>
          <w:p w14:paraId="656B1DB2" w14:textId="77777777" w:rsidR="00F85403" w:rsidRPr="000D7D82" w:rsidRDefault="00F85403" w:rsidP="00F85403">
            <w:pPr>
              <w:spacing w:after="0"/>
              <w:rPr>
                <w:rFonts w:cs="Segoe UI Light"/>
                <w:sz w:val="18"/>
              </w:rPr>
            </w:pPr>
            <w:r w:rsidRPr="000D7D82">
              <w:rPr>
                <w:rFonts w:cs="Segoe UI Light"/>
                <w:sz w:val="18"/>
              </w:rPr>
              <w:t>transport (full permit) [equal to or more than 1.5 tonnes but less than 30 tonnes (G100-G160, E100-E130)]</w:t>
            </w:r>
          </w:p>
        </w:tc>
        <w:tc>
          <w:tcPr>
            <w:tcW w:w="885" w:type="pct"/>
            <w:tcBorders>
              <w:top w:val="single" w:sz="4" w:space="0" w:color="auto"/>
              <w:bottom w:val="single" w:sz="4" w:space="0" w:color="auto"/>
            </w:tcBorders>
          </w:tcPr>
          <w:p w14:paraId="656B1DB3" w14:textId="77777777" w:rsidR="00F85403" w:rsidRPr="000D7D82" w:rsidRDefault="00F85403" w:rsidP="00F85403">
            <w:pPr>
              <w:spacing w:after="0"/>
              <w:rPr>
                <w:rFonts w:cs="Segoe UI Light"/>
                <w:sz w:val="18"/>
              </w:rPr>
            </w:pPr>
            <w:r w:rsidRPr="000D7D82">
              <w:rPr>
                <w:rFonts w:cs="Segoe UI Light"/>
                <w:sz w:val="18"/>
              </w:rPr>
              <w:t>Flat fee – 58.75 fee units</w:t>
            </w:r>
          </w:p>
        </w:tc>
        <w:tc>
          <w:tcPr>
            <w:tcW w:w="572" w:type="pct"/>
            <w:tcBorders>
              <w:top w:val="single" w:sz="4" w:space="0" w:color="auto"/>
              <w:bottom w:val="single" w:sz="4" w:space="0" w:color="auto"/>
            </w:tcBorders>
          </w:tcPr>
          <w:p w14:paraId="656B1DB4" w14:textId="77777777" w:rsidR="00F85403" w:rsidRPr="000D7D82" w:rsidRDefault="00F85403" w:rsidP="00F85403">
            <w:pPr>
              <w:spacing w:after="0"/>
              <w:rPr>
                <w:rFonts w:cs="Segoe UI Light"/>
                <w:sz w:val="18"/>
              </w:rPr>
            </w:pPr>
            <w:r w:rsidRPr="000D7D82">
              <w:rPr>
                <w:rFonts w:cs="Segoe UI Light"/>
                <w:sz w:val="18"/>
              </w:rPr>
              <w:t>$848.94</w:t>
            </w:r>
          </w:p>
        </w:tc>
        <w:tc>
          <w:tcPr>
            <w:tcW w:w="780" w:type="pct"/>
            <w:tcBorders>
              <w:top w:val="single" w:sz="4" w:space="0" w:color="auto"/>
              <w:bottom w:val="single" w:sz="4" w:space="0" w:color="auto"/>
            </w:tcBorders>
          </w:tcPr>
          <w:p w14:paraId="656B1DB5" w14:textId="77777777" w:rsidR="00F85403" w:rsidRPr="000D7D82" w:rsidRDefault="00F85403" w:rsidP="00F85403">
            <w:pPr>
              <w:spacing w:after="0"/>
              <w:rPr>
                <w:rFonts w:cs="Segoe UI Light"/>
                <w:sz w:val="18"/>
              </w:rPr>
            </w:pPr>
            <w:r w:rsidRPr="000D7D82">
              <w:rPr>
                <w:rFonts w:cs="Segoe UI Light"/>
                <w:sz w:val="18"/>
              </w:rPr>
              <w:t>Flat fee – 3.09 fee units</w:t>
            </w:r>
          </w:p>
        </w:tc>
        <w:tc>
          <w:tcPr>
            <w:tcW w:w="635" w:type="pct"/>
            <w:gridSpan w:val="2"/>
            <w:tcBorders>
              <w:top w:val="single" w:sz="4" w:space="0" w:color="auto"/>
              <w:bottom w:val="single" w:sz="4" w:space="0" w:color="auto"/>
            </w:tcBorders>
          </w:tcPr>
          <w:p w14:paraId="656B1DB6" w14:textId="34049CE3" w:rsidR="00F85403" w:rsidRPr="000D7D82" w:rsidRDefault="00F85403" w:rsidP="00F85403">
            <w:pPr>
              <w:spacing w:after="0"/>
              <w:rPr>
                <w:rFonts w:cs="Segoe UI Light"/>
                <w:sz w:val="18"/>
              </w:rPr>
            </w:pPr>
            <w:r w:rsidRPr="000D7D82">
              <w:rPr>
                <w:rFonts w:cs="Segoe UI Light"/>
                <w:sz w:val="18"/>
              </w:rPr>
              <w:t>$44.58</w:t>
            </w:r>
          </w:p>
        </w:tc>
        <w:tc>
          <w:tcPr>
            <w:tcW w:w="464" w:type="pct"/>
            <w:tcBorders>
              <w:top w:val="single" w:sz="4" w:space="0" w:color="auto"/>
              <w:bottom w:val="single" w:sz="4" w:space="0" w:color="auto"/>
            </w:tcBorders>
          </w:tcPr>
          <w:p w14:paraId="656B1DB7" w14:textId="77777777" w:rsidR="00F85403" w:rsidRPr="00EB1A74" w:rsidRDefault="00F85403">
            <w:pPr>
              <w:spacing w:after="0"/>
              <w:rPr>
                <w:rFonts w:cs="Segoe UI Light"/>
                <w:sz w:val="18"/>
              </w:rPr>
            </w:pPr>
            <w:r w:rsidRPr="00DB3FCA">
              <w:rPr>
                <w:sz w:val="18"/>
              </w:rPr>
              <w:t>-94.7%</w:t>
            </w:r>
          </w:p>
        </w:tc>
      </w:tr>
      <w:tr w:rsidR="00F85403" w:rsidRPr="000D7D82" w14:paraId="656B1DC2" w14:textId="77777777" w:rsidTr="00BB3356">
        <w:trPr>
          <w:cantSplit/>
          <w:trHeight w:val="216"/>
          <w:jc w:val="center"/>
        </w:trPr>
        <w:tc>
          <w:tcPr>
            <w:tcW w:w="461" w:type="pct"/>
          </w:tcPr>
          <w:p w14:paraId="656B1DB9" w14:textId="77777777" w:rsidR="00F85403" w:rsidRPr="000D7D82" w:rsidRDefault="00F85403" w:rsidP="00F85403">
            <w:pPr>
              <w:spacing w:after="0"/>
              <w:rPr>
                <w:rFonts w:cs="Segoe UI Light"/>
                <w:sz w:val="18"/>
              </w:rPr>
            </w:pPr>
            <w:r w:rsidRPr="000D7D82">
              <w:rPr>
                <w:rFonts w:cs="Segoe UI Light"/>
                <w:sz w:val="18"/>
              </w:rPr>
              <w:t xml:space="preserve">Permit </w:t>
            </w:r>
          </w:p>
        </w:tc>
        <w:tc>
          <w:tcPr>
            <w:tcW w:w="431" w:type="pct"/>
          </w:tcPr>
          <w:p w14:paraId="656B1DBA" w14:textId="77777777" w:rsidR="00F85403" w:rsidRPr="000D7D82" w:rsidRDefault="00F85403" w:rsidP="00F85403">
            <w:pPr>
              <w:spacing w:after="0"/>
              <w:rPr>
                <w:rFonts w:cs="Segoe UI Light"/>
                <w:sz w:val="18"/>
              </w:rPr>
            </w:pPr>
            <w:r w:rsidRPr="000D7D82">
              <w:rPr>
                <w:rFonts w:cs="Segoe UI Light"/>
                <w:sz w:val="18"/>
              </w:rPr>
              <w:t>Renewal</w:t>
            </w:r>
          </w:p>
        </w:tc>
        <w:tc>
          <w:tcPr>
            <w:tcW w:w="772" w:type="pct"/>
          </w:tcPr>
          <w:p w14:paraId="656B1DBB" w14:textId="77777777" w:rsidR="00F85403" w:rsidRPr="000D7D82" w:rsidRDefault="00F85403" w:rsidP="00F85403">
            <w:pPr>
              <w:spacing w:after="0"/>
              <w:rPr>
                <w:rFonts w:cs="Segoe UI Light"/>
                <w:sz w:val="18"/>
              </w:rPr>
            </w:pPr>
            <w:r w:rsidRPr="000D7D82">
              <w:rPr>
                <w:rFonts w:cs="Segoe UI Light"/>
                <w:sz w:val="18"/>
              </w:rPr>
              <w:t xml:space="preserve">Reportable priority waste </w:t>
            </w:r>
          </w:p>
          <w:p w14:paraId="656B1DBC" w14:textId="77777777" w:rsidR="00F85403" w:rsidRPr="000D7D82" w:rsidRDefault="00F85403" w:rsidP="00F85403">
            <w:pPr>
              <w:spacing w:after="0"/>
              <w:rPr>
                <w:rFonts w:cs="Segoe UI Light"/>
                <w:sz w:val="18"/>
              </w:rPr>
            </w:pPr>
            <w:r w:rsidRPr="000D7D82">
              <w:rPr>
                <w:rFonts w:cs="Segoe UI Light"/>
                <w:sz w:val="18"/>
              </w:rPr>
              <w:t>transport (full permit) [30 tonnes or more (G100-G160, E100-E130)]</w:t>
            </w:r>
          </w:p>
        </w:tc>
        <w:tc>
          <w:tcPr>
            <w:tcW w:w="885" w:type="pct"/>
            <w:tcBorders>
              <w:top w:val="single" w:sz="4" w:space="0" w:color="auto"/>
            </w:tcBorders>
          </w:tcPr>
          <w:p w14:paraId="656B1DBD" w14:textId="77777777" w:rsidR="00F85403" w:rsidRPr="000D7D82" w:rsidRDefault="00F85403" w:rsidP="00F85403">
            <w:pPr>
              <w:spacing w:after="0"/>
              <w:rPr>
                <w:rFonts w:cs="Segoe UI Light"/>
                <w:sz w:val="18"/>
              </w:rPr>
            </w:pPr>
            <w:r w:rsidRPr="000D7D82">
              <w:rPr>
                <w:rFonts w:cs="Segoe UI Light"/>
                <w:sz w:val="18"/>
              </w:rPr>
              <w:t>Flat fee – 161.75 fee units</w:t>
            </w:r>
          </w:p>
        </w:tc>
        <w:tc>
          <w:tcPr>
            <w:tcW w:w="572" w:type="pct"/>
            <w:tcBorders>
              <w:top w:val="single" w:sz="4" w:space="0" w:color="auto"/>
            </w:tcBorders>
          </w:tcPr>
          <w:p w14:paraId="656B1DBE" w14:textId="77777777" w:rsidR="00F85403" w:rsidRPr="000D7D82" w:rsidRDefault="00F85403" w:rsidP="00F85403">
            <w:pPr>
              <w:spacing w:after="0"/>
              <w:rPr>
                <w:rFonts w:cs="Segoe UI Light"/>
                <w:sz w:val="18"/>
              </w:rPr>
            </w:pPr>
            <w:r w:rsidRPr="000D7D82">
              <w:rPr>
                <w:rFonts w:cs="Segoe UI Light"/>
                <w:sz w:val="18"/>
              </w:rPr>
              <w:t>$2,337.29</w:t>
            </w:r>
          </w:p>
        </w:tc>
        <w:tc>
          <w:tcPr>
            <w:tcW w:w="780" w:type="pct"/>
            <w:tcBorders>
              <w:top w:val="single" w:sz="4" w:space="0" w:color="auto"/>
              <w:bottom w:val="single" w:sz="4" w:space="0" w:color="auto"/>
            </w:tcBorders>
          </w:tcPr>
          <w:p w14:paraId="656B1DBF" w14:textId="77777777" w:rsidR="00F85403" w:rsidRPr="000D7D82" w:rsidRDefault="00F85403" w:rsidP="00F85403">
            <w:pPr>
              <w:spacing w:after="0"/>
              <w:rPr>
                <w:rFonts w:cs="Segoe UI Light"/>
                <w:sz w:val="18"/>
              </w:rPr>
            </w:pPr>
            <w:r w:rsidRPr="000D7D82">
              <w:rPr>
                <w:rFonts w:cs="Segoe UI Light"/>
                <w:sz w:val="18"/>
              </w:rPr>
              <w:t>Flat fee – 3.09 fee units</w:t>
            </w:r>
          </w:p>
        </w:tc>
        <w:tc>
          <w:tcPr>
            <w:tcW w:w="635" w:type="pct"/>
            <w:gridSpan w:val="2"/>
            <w:tcBorders>
              <w:top w:val="single" w:sz="4" w:space="0" w:color="auto"/>
              <w:bottom w:val="single" w:sz="4" w:space="0" w:color="auto"/>
            </w:tcBorders>
          </w:tcPr>
          <w:p w14:paraId="656B1DC0" w14:textId="30038BBB" w:rsidR="00F85403" w:rsidRPr="000D7D82" w:rsidRDefault="00F85403" w:rsidP="00F85403">
            <w:pPr>
              <w:spacing w:after="0"/>
              <w:rPr>
                <w:rFonts w:cs="Segoe UI Light"/>
                <w:sz w:val="18"/>
              </w:rPr>
            </w:pPr>
            <w:r w:rsidRPr="000D7D82">
              <w:rPr>
                <w:rFonts w:cs="Segoe UI Light"/>
                <w:sz w:val="18"/>
              </w:rPr>
              <w:t>$44.58</w:t>
            </w:r>
          </w:p>
        </w:tc>
        <w:tc>
          <w:tcPr>
            <w:tcW w:w="464" w:type="pct"/>
            <w:tcBorders>
              <w:top w:val="single" w:sz="4" w:space="0" w:color="auto"/>
              <w:bottom w:val="single" w:sz="4" w:space="0" w:color="auto"/>
            </w:tcBorders>
          </w:tcPr>
          <w:p w14:paraId="656B1DC1" w14:textId="77777777" w:rsidR="00F85403" w:rsidRPr="00EB1A74" w:rsidRDefault="00F85403">
            <w:pPr>
              <w:spacing w:after="0"/>
              <w:rPr>
                <w:rFonts w:cs="Segoe UI Light"/>
                <w:sz w:val="18"/>
              </w:rPr>
            </w:pPr>
            <w:r w:rsidRPr="00DB3FCA">
              <w:rPr>
                <w:sz w:val="18"/>
              </w:rPr>
              <w:t>-98.1%</w:t>
            </w:r>
          </w:p>
        </w:tc>
      </w:tr>
      <w:tr w:rsidR="00F85403" w:rsidRPr="000D7D82" w14:paraId="656B1DCB" w14:textId="77777777" w:rsidTr="00BB3356">
        <w:trPr>
          <w:cantSplit/>
          <w:trHeight w:val="216"/>
          <w:jc w:val="center"/>
        </w:trPr>
        <w:tc>
          <w:tcPr>
            <w:tcW w:w="461" w:type="pct"/>
          </w:tcPr>
          <w:p w14:paraId="656B1DC3" w14:textId="77777777" w:rsidR="00F85403" w:rsidRPr="000D7D82" w:rsidRDefault="00F85403" w:rsidP="00F85403">
            <w:pPr>
              <w:spacing w:after="0"/>
              <w:rPr>
                <w:rFonts w:cs="Segoe UI Light"/>
                <w:sz w:val="18"/>
              </w:rPr>
            </w:pPr>
            <w:r w:rsidRPr="000D7D82">
              <w:rPr>
                <w:rFonts w:cs="Segoe UI Light"/>
                <w:sz w:val="18"/>
              </w:rPr>
              <w:t>Environmental Audit</w:t>
            </w:r>
          </w:p>
        </w:tc>
        <w:tc>
          <w:tcPr>
            <w:tcW w:w="431" w:type="pct"/>
          </w:tcPr>
          <w:p w14:paraId="656B1DC4" w14:textId="77777777" w:rsidR="00F85403" w:rsidRPr="000D7D82" w:rsidRDefault="00F85403" w:rsidP="00F85403">
            <w:pPr>
              <w:spacing w:after="0"/>
              <w:rPr>
                <w:rFonts w:cs="Segoe UI Light"/>
                <w:sz w:val="18"/>
              </w:rPr>
            </w:pPr>
            <w:r w:rsidRPr="000D7D82">
              <w:rPr>
                <w:rFonts w:cs="Segoe UI Light"/>
                <w:sz w:val="18"/>
              </w:rPr>
              <w:t>Appointment</w:t>
            </w:r>
          </w:p>
        </w:tc>
        <w:tc>
          <w:tcPr>
            <w:tcW w:w="772" w:type="pct"/>
          </w:tcPr>
          <w:p w14:paraId="656B1DC5" w14:textId="77777777" w:rsidR="00F85403" w:rsidRPr="000D7D82" w:rsidRDefault="00F85403" w:rsidP="00F85403">
            <w:pPr>
              <w:spacing w:after="0"/>
              <w:rPr>
                <w:rFonts w:cs="Segoe UI Light"/>
                <w:sz w:val="18"/>
              </w:rPr>
            </w:pPr>
            <w:r w:rsidRPr="000D7D82">
              <w:rPr>
                <w:rFonts w:cs="Segoe UI Light"/>
                <w:sz w:val="18"/>
              </w:rPr>
              <w:t>Assessment</w:t>
            </w:r>
          </w:p>
        </w:tc>
        <w:tc>
          <w:tcPr>
            <w:tcW w:w="885" w:type="pct"/>
          </w:tcPr>
          <w:p w14:paraId="656B1DC6" w14:textId="77777777" w:rsidR="00F85403" w:rsidRPr="000D7D82" w:rsidRDefault="00F85403" w:rsidP="00F85403">
            <w:pPr>
              <w:spacing w:after="0"/>
              <w:rPr>
                <w:rFonts w:cs="Segoe UI Light"/>
                <w:sz w:val="18"/>
              </w:rPr>
            </w:pPr>
            <w:r w:rsidRPr="000D7D82">
              <w:rPr>
                <w:rFonts w:cs="Segoe UI Light"/>
                <w:sz w:val="18"/>
              </w:rPr>
              <w:t>Flat fee - 170 fee units</w:t>
            </w:r>
          </w:p>
        </w:tc>
        <w:tc>
          <w:tcPr>
            <w:tcW w:w="572" w:type="pct"/>
          </w:tcPr>
          <w:p w14:paraId="656B1DC7" w14:textId="77777777" w:rsidR="00F85403" w:rsidRPr="000D7D82" w:rsidRDefault="00F85403" w:rsidP="00F85403">
            <w:pPr>
              <w:spacing w:after="0"/>
              <w:rPr>
                <w:rFonts w:cs="Segoe UI Light"/>
                <w:sz w:val="18"/>
              </w:rPr>
            </w:pPr>
            <w:r w:rsidRPr="000D7D82">
              <w:rPr>
                <w:rFonts w:cs="Segoe UI Light"/>
                <w:sz w:val="18"/>
              </w:rPr>
              <w:t xml:space="preserve">$2,456.50 </w:t>
            </w:r>
          </w:p>
        </w:tc>
        <w:tc>
          <w:tcPr>
            <w:tcW w:w="780" w:type="pct"/>
          </w:tcPr>
          <w:p w14:paraId="656B1DC8" w14:textId="77777777" w:rsidR="00F85403" w:rsidRPr="000D7D82" w:rsidRDefault="00F85403" w:rsidP="00F85403">
            <w:pPr>
              <w:spacing w:after="0"/>
              <w:rPr>
                <w:rFonts w:cs="Segoe UI Light"/>
                <w:sz w:val="18"/>
              </w:rPr>
            </w:pPr>
            <w:r w:rsidRPr="000D7D82">
              <w:rPr>
                <w:rFonts w:cs="Segoe UI Light"/>
                <w:sz w:val="18"/>
              </w:rPr>
              <w:t>Flat fee - 141.69 fee units</w:t>
            </w:r>
          </w:p>
        </w:tc>
        <w:tc>
          <w:tcPr>
            <w:tcW w:w="635" w:type="pct"/>
            <w:gridSpan w:val="2"/>
          </w:tcPr>
          <w:p w14:paraId="656B1DC9" w14:textId="0B23960B" w:rsidR="00F85403" w:rsidRPr="000D7D82" w:rsidRDefault="00F85403" w:rsidP="00F85403">
            <w:pPr>
              <w:spacing w:after="0"/>
              <w:rPr>
                <w:rFonts w:cs="Segoe UI Light"/>
                <w:sz w:val="18"/>
              </w:rPr>
            </w:pPr>
            <w:r w:rsidRPr="000D7D82">
              <w:rPr>
                <w:rFonts w:cs="Segoe UI Light"/>
                <w:sz w:val="18"/>
              </w:rPr>
              <w:t xml:space="preserve">$2,047.44 </w:t>
            </w:r>
          </w:p>
        </w:tc>
        <w:tc>
          <w:tcPr>
            <w:tcW w:w="464" w:type="pct"/>
          </w:tcPr>
          <w:p w14:paraId="656B1DCA" w14:textId="6F3FD2F9" w:rsidR="00F85403" w:rsidRPr="000D7D82" w:rsidRDefault="00AA0212" w:rsidP="00F85403">
            <w:pPr>
              <w:spacing w:after="0"/>
              <w:rPr>
                <w:rFonts w:cs="Segoe UI Light"/>
                <w:sz w:val="18"/>
              </w:rPr>
            </w:pPr>
            <w:r w:rsidRPr="000D7D82">
              <w:rPr>
                <w:rFonts w:cs="Segoe UI Light"/>
                <w:sz w:val="18"/>
              </w:rPr>
              <w:t>-16.7%</w:t>
            </w:r>
          </w:p>
        </w:tc>
      </w:tr>
      <w:tr w:rsidR="00F85403" w:rsidRPr="000D7D82" w14:paraId="656B1DD4" w14:textId="77777777" w:rsidTr="00BB3356">
        <w:trPr>
          <w:cantSplit/>
          <w:trHeight w:val="216"/>
          <w:jc w:val="center"/>
        </w:trPr>
        <w:tc>
          <w:tcPr>
            <w:tcW w:w="461" w:type="pct"/>
          </w:tcPr>
          <w:p w14:paraId="656B1DCC" w14:textId="77777777" w:rsidR="00F85403" w:rsidRPr="000D7D82" w:rsidRDefault="00F85403" w:rsidP="00F85403">
            <w:pPr>
              <w:spacing w:after="0"/>
              <w:rPr>
                <w:rFonts w:cs="Segoe UI Light"/>
                <w:sz w:val="18"/>
              </w:rPr>
            </w:pPr>
            <w:r w:rsidRPr="000D7D82">
              <w:rPr>
                <w:rFonts w:cs="Segoe UI Light"/>
                <w:sz w:val="18"/>
              </w:rPr>
              <w:t>Environmental Audit</w:t>
            </w:r>
          </w:p>
        </w:tc>
        <w:tc>
          <w:tcPr>
            <w:tcW w:w="431" w:type="pct"/>
          </w:tcPr>
          <w:p w14:paraId="656B1DCD" w14:textId="77777777" w:rsidR="00F85403" w:rsidRPr="000D7D82" w:rsidRDefault="00F85403" w:rsidP="00F85403">
            <w:pPr>
              <w:spacing w:after="0"/>
              <w:rPr>
                <w:rFonts w:cs="Segoe UI Light"/>
                <w:sz w:val="18"/>
              </w:rPr>
            </w:pPr>
            <w:r w:rsidRPr="000D7D82">
              <w:rPr>
                <w:rFonts w:cs="Segoe UI Light"/>
                <w:sz w:val="18"/>
              </w:rPr>
              <w:t>Reappointment</w:t>
            </w:r>
          </w:p>
        </w:tc>
        <w:tc>
          <w:tcPr>
            <w:tcW w:w="772" w:type="pct"/>
          </w:tcPr>
          <w:p w14:paraId="656B1DCE" w14:textId="77777777" w:rsidR="00F85403" w:rsidRPr="000D7D82" w:rsidRDefault="00F85403" w:rsidP="00F85403">
            <w:pPr>
              <w:spacing w:after="0"/>
              <w:rPr>
                <w:rFonts w:cs="Segoe UI Light"/>
                <w:sz w:val="18"/>
              </w:rPr>
            </w:pPr>
            <w:r w:rsidRPr="000D7D82">
              <w:rPr>
                <w:rFonts w:cs="Segoe UI Light"/>
                <w:sz w:val="18"/>
              </w:rPr>
              <w:t>Assessment</w:t>
            </w:r>
          </w:p>
        </w:tc>
        <w:tc>
          <w:tcPr>
            <w:tcW w:w="885" w:type="pct"/>
          </w:tcPr>
          <w:p w14:paraId="656B1DCF" w14:textId="77777777" w:rsidR="00F85403" w:rsidRPr="000D7D82" w:rsidRDefault="00F85403" w:rsidP="00F85403">
            <w:pPr>
              <w:spacing w:after="0"/>
              <w:rPr>
                <w:rFonts w:cs="Segoe UI Light"/>
                <w:sz w:val="18"/>
              </w:rPr>
            </w:pPr>
            <w:r w:rsidRPr="000D7D82">
              <w:rPr>
                <w:rFonts w:cs="Segoe UI Light"/>
                <w:sz w:val="18"/>
              </w:rPr>
              <w:t>Flat fee - 170 fee units</w:t>
            </w:r>
          </w:p>
        </w:tc>
        <w:tc>
          <w:tcPr>
            <w:tcW w:w="572" w:type="pct"/>
          </w:tcPr>
          <w:p w14:paraId="656B1DD0" w14:textId="77777777" w:rsidR="00F85403" w:rsidRPr="000D7D82" w:rsidRDefault="00F85403" w:rsidP="00F85403">
            <w:pPr>
              <w:spacing w:after="0"/>
              <w:rPr>
                <w:rFonts w:cs="Segoe UI Light"/>
                <w:sz w:val="18"/>
              </w:rPr>
            </w:pPr>
            <w:r w:rsidRPr="000D7D82">
              <w:rPr>
                <w:rFonts w:cs="Segoe UI Light"/>
                <w:sz w:val="18"/>
              </w:rPr>
              <w:t xml:space="preserve">$2,456.50 </w:t>
            </w:r>
          </w:p>
        </w:tc>
        <w:tc>
          <w:tcPr>
            <w:tcW w:w="780" w:type="pct"/>
          </w:tcPr>
          <w:p w14:paraId="656B1DD1" w14:textId="77777777" w:rsidR="00F85403" w:rsidRPr="000D7D82" w:rsidRDefault="00F85403" w:rsidP="00F85403">
            <w:pPr>
              <w:spacing w:after="0"/>
              <w:rPr>
                <w:rFonts w:cs="Segoe UI Light"/>
                <w:sz w:val="18"/>
              </w:rPr>
            </w:pPr>
            <w:r w:rsidRPr="000D7D82">
              <w:rPr>
                <w:rFonts w:cs="Segoe UI Light"/>
                <w:sz w:val="18"/>
              </w:rPr>
              <w:t>Flat fee - 176.47 fee units</w:t>
            </w:r>
          </w:p>
        </w:tc>
        <w:tc>
          <w:tcPr>
            <w:tcW w:w="635" w:type="pct"/>
            <w:gridSpan w:val="2"/>
          </w:tcPr>
          <w:p w14:paraId="656B1DD2" w14:textId="7E8D9663" w:rsidR="00F85403" w:rsidRPr="000D7D82" w:rsidRDefault="00F85403" w:rsidP="00F85403">
            <w:pPr>
              <w:spacing w:after="0"/>
              <w:rPr>
                <w:rFonts w:cs="Segoe UI Light"/>
                <w:sz w:val="18"/>
              </w:rPr>
            </w:pPr>
            <w:r w:rsidRPr="000D7D82">
              <w:rPr>
                <w:rFonts w:cs="Segoe UI Light"/>
                <w:sz w:val="18"/>
              </w:rPr>
              <w:t xml:space="preserve">$2,550.03 </w:t>
            </w:r>
          </w:p>
        </w:tc>
        <w:tc>
          <w:tcPr>
            <w:tcW w:w="464" w:type="pct"/>
          </w:tcPr>
          <w:p w14:paraId="656B1DD3" w14:textId="77777777" w:rsidR="00F85403" w:rsidRPr="000D7D82" w:rsidRDefault="00AA0212" w:rsidP="00F85403">
            <w:pPr>
              <w:spacing w:after="0"/>
              <w:rPr>
                <w:rFonts w:cs="Segoe UI Light"/>
                <w:sz w:val="18"/>
              </w:rPr>
            </w:pPr>
            <w:r w:rsidRPr="000D7D82">
              <w:rPr>
                <w:rFonts w:cs="Segoe UI Light"/>
                <w:sz w:val="18"/>
              </w:rPr>
              <w:t>+3.8%</w:t>
            </w:r>
          </w:p>
        </w:tc>
      </w:tr>
      <w:tr w:rsidR="00F85403" w:rsidRPr="000D7D82" w14:paraId="656B1DDD" w14:textId="77777777" w:rsidTr="00BB3356">
        <w:trPr>
          <w:cantSplit/>
          <w:trHeight w:val="216"/>
          <w:jc w:val="center"/>
        </w:trPr>
        <w:tc>
          <w:tcPr>
            <w:tcW w:w="461" w:type="pct"/>
          </w:tcPr>
          <w:p w14:paraId="656B1DD5" w14:textId="77777777" w:rsidR="00F85403" w:rsidRPr="000D7D82" w:rsidRDefault="00F85403" w:rsidP="00F85403">
            <w:pPr>
              <w:spacing w:after="0"/>
              <w:rPr>
                <w:rFonts w:cs="Segoe UI Light"/>
                <w:sz w:val="18"/>
              </w:rPr>
            </w:pPr>
            <w:r w:rsidRPr="000D7D82">
              <w:rPr>
                <w:rFonts w:cs="Segoe UI Light"/>
                <w:sz w:val="18"/>
              </w:rPr>
              <w:t>Environmental Audit</w:t>
            </w:r>
          </w:p>
        </w:tc>
        <w:tc>
          <w:tcPr>
            <w:tcW w:w="431" w:type="pct"/>
          </w:tcPr>
          <w:p w14:paraId="656B1DD6" w14:textId="77777777" w:rsidR="00F85403" w:rsidRPr="000D7D82" w:rsidRDefault="00F85403" w:rsidP="00F85403">
            <w:pPr>
              <w:spacing w:after="0"/>
              <w:rPr>
                <w:rFonts w:cs="Segoe UI Light"/>
                <w:sz w:val="18"/>
              </w:rPr>
            </w:pPr>
            <w:r w:rsidRPr="000D7D82">
              <w:rPr>
                <w:rFonts w:cs="Segoe UI Light"/>
                <w:sz w:val="18"/>
              </w:rPr>
              <w:t>Environmental audit statement and report</w:t>
            </w:r>
          </w:p>
        </w:tc>
        <w:tc>
          <w:tcPr>
            <w:tcW w:w="772" w:type="pct"/>
          </w:tcPr>
          <w:p w14:paraId="656B1DD7" w14:textId="77777777" w:rsidR="00F85403" w:rsidRPr="000D7D82" w:rsidRDefault="00F85403" w:rsidP="00F85403">
            <w:pPr>
              <w:spacing w:after="0"/>
              <w:rPr>
                <w:rFonts w:cs="Segoe UI Light"/>
                <w:sz w:val="18"/>
              </w:rPr>
            </w:pPr>
          </w:p>
        </w:tc>
        <w:tc>
          <w:tcPr>
            <w:tcW w:w="885" w:type="pct"/>
          </w:tcPr>
          <w:p w14:paraId="656B1DD8" w14:textId="77777777" w:rsidR="00F85403" w:rsidRPr="000D7D82" w:rsidRDefault="00F85403" w:rsidP="00F85403">
            <w:pPr>
              <w:spacing w:after="0"/>
              <w:rPr>
                <w:rFonts w:cs="Segoe UI Light"/>
                <w:sz w:val="18"/>
              </w:rPr>
            </w:pPr>
            <w:r w:rsidRPr="000D7D82">
              <w:rPr>
                <w:rFonts w:cs="Segoe UI Light"/>
                <w:sz w:val="18"/>
              </w:rPr>
              <w:t>Flat fee - 131.1 fee units</w:t>
            </w:r>
          </w:p>
        </w:tc>
        <w:tc>
          <w:tcPr>
            <w:tcW w:w="572" w:type="pct"/>
          </w:tcPr>
          <w:p w14:paraId="656B1DD9" w14:textId="0B3438C3" w:rsidR="00F85403" w:rsidRPr="000D7D82" w:rsidRDefault="00F85403" w:rsidP="00F85403">
            <w:pPr>
              <w:spacing w:after="0"/>
              <w:rPr>
                <w:rFonts w:cs="Segoe UI Light"/>
                <w:sz w:val="18"/>
              </w:rPr>
            </w:pPr>
            <w:r w:rsidRPr="000D7D82">
              <w:rPr>
                <w:rFonts w:cs="Segoe UI Light"/>
                <w:sz w:val="18"/>
              </w:rPr>
              <w:t>$1,894,</w:t>
            </w:r>
            <w:r w:rsidR="00A43FB4">
              <w:rPr>
                <w:rFonts w:cs="Segoe UI Light"/>
                <w:sz w:val="18"/>
              </w:rPr>
              <w:t>40</w:t>
            </w:r>
            <w:r w:rsidR="00A43FB4" w:rsidRPr="000D7D82">
              <w:rPr>
                <w:rFonts w:cs="Segoe UI Light"/>
                <w:sz w:val="18"/>
              </w:rPr>
              <w:t xml:space="preserve"> </w:t>
            </w:r>
          </w:p>
        </w:tc>
        <w:tc>
          <w:tcPr>
            <w:tcW w:w="780" w:type="pct"/>
          </w:tcPr>
          <w:p w14:paraId="656B1DDA" w14:textId="77777777" w:rsidR="00F85403" w:rsidRPr="000D7D82" w:rsidRDefault="00F85403" w:rsidP="00F85403">
            <w:pPr>
              <w:spacing w:after="0"/>
              <w:rPr>
                <w:rFonts w:cs="Segoe UI Light"/>
                <w:sz w:val="18"/>
              </w:rPr>
            </w:pPr>
            <w:r w:rsidRPr="000D7D82">
              <w:rPr>
                <w:rFonts w:cs="Segoe UI Light"/>
                <w:sz w:val="18"/>
              </w:rPr>
              <w:t>Flat fee - 110.26 fee units</w:t>
            </w:r>
          </w:p>
        </w:tc>
        <w:tc>
          <w:tcPr>
            <w:tcW w:w="635" w:type="pct"/>
            <w:gridSpan w:val="2"/>
          </w:tcPr>
          <w:p w14:paraId="656B1DDB" w14:textId="18CF3E97" w:rsidR="00F85403" w:rsidRPr="000D7D82" w:rsidRDefault="00F85403" w:rsidP="00F85403">
            <w:pPr>
              <w:spacing w:after="0"/>
              <w:rPr>
                <w:rFonts w:cs="Segoe UI Light"/>
                <w:sz w:val="18"/>
              </w:rPr>
            </w:pPr>
            <w:r w:rsidRPr="000D7D82">
              <w:rPr>
                <w:rFonts w:cs="Segoe UI Light"/>
                <w:sz w:val="18"/>
              </w:rPr>
              <w:t xml:space="preserve">$1,593.26 </w:t>
            </w:r>
          </w:p>
        </w:tc>
        <w:tc>
          <w:tcPr>
            <w:tcW w:w="464" w:type="pct"/>
          </w:tcPr>
          <w:p w14:paraId="656B1DDC" w14:textId="77777777" w:rsidR="00F85403" w:rsidRPr="000D7D82" w:rsidRDefault="00AA0212" w:rsidP="00F85403">
            <w:pPr>
              <w:spacing w:after="0"/>
              <w:rPr>
                <w:rFonts w:cs="Segoe UI Light"/>
                <w:sz w:val="18"/>
              </w:rPr>
            </w:pPr>
            <w:r w:rsidRPr="000D7D82">
              <w:rPr>
                <w:rFonts w:cs="Segoe UI Light"/>
                <w:sz w:val="18"/>
              </w:rPr>
              <w:t>-15.9%</w:t>
            </w:r>
          </w:p>
        </w:tc>
      </w:tr>
    </w:tbl>
    <w:p w14:paraId="656B1DDE" w14:textId="77777777" w:rsidR="00072E80" w:rsidRPr="00072E80" w:rsidRDefault="00F85403" w:rsidP="00DB3FCA">
      <w:pPr>
        <w:tabs>
          <w:tab w:val="left" w:pos="2016"/>
        </w:tabs>
        <w:sectPr w:rsidR="00072E80" w:rsidRPr="00072E80" w:rsidSect="00E57755">
          <w:pgSz w:w="16838" w:h="11906" w:orient="landscape" w:code="9"/>
          <w:pgMar w:top="851" w:right="1985" w:bottom="1700" w:left="1134" w:header="680" w:footer="425" w:gutter="0"/>
          <w:cols w:space="284"/>
          <w:titlePg/>
          <w:docGrid w:linePitch="360"/>
        </w:sectPr>
      </w:pPr>
      <w:r w:rsidRPr="00072E80">
        <w:tab/>
      </w:r>
    </w:p>
    <w:p w14:paraId="656B1DDF" w14:textId="77777777" w:rsidR="009B2611" w:rsidRPr="000D7D82" w:rsidRDefault="009B2611" w:rsidP="00D66FCE">
      <w:pPr>
        <w:pStyle w:val="Heading1un-numbered"/>
      </w:pPr>
      <w:bookmarkStart w:id="2056" w:name="_Toc12892357"/>
      <w:r w:rsidRPr="000D7D82">
        <w:t xml:space="preserve">Appendix </w:t>
      </w:r>
      <w:r w:rsidR="00AA7ACF" w:rsidRPr="000D7D82">
        <w:t>9</w:t>
      </w:r>
      <w:r w:rsidR="00D23978" w:rsidRPr="000D7D82">
        <w:t xml:space="preserve"> </w:t>
      </w:r>
      <w:r w:rsidRPr="000D7D82">
        <w:t>– Fee assumptions</w:t>
      </w:r>
      <w:bookmarkEnd w:id="2056"/>
    </w:p>
    <w:p w14:paraId="656B1DE0" w14:textId="77777777" w:rsidR="009B2611" w:rsidRPr="000D7D82" w:rsidRDefault="009B2611" w:rsidP="000E7C5E">
      <w:pPr>
        <w:spacing w:after="0" w:line="276" w:lineRule="auto"/>
        <w:jc w:val="both"/>
        <w:rPr>
          <w:rFonts w:eastAsiaTheme="minorEastAsia" w:cs="Segoe UI Light"/>
          <w:b/>
          <w:i/>
          <w:szCs w:val="20"/>
          <w:lang w:eastAsia="en-AU"/>
        </w:rPr>
      </w:pPr>
      <w:r w:rsidRPr="000D7D82">
        <w:rPr>
          <w:rFonts w:eastAsiaTheme="minorEastAsia" w:cs="Segoe UI Light"/>
          <w:b/>
          <w:i/>
          <w:szCs w:val="20"/>
          <w:lang w:eastAsia="en-AU"/>
        </w:rPr>
        <w:t>Cost base assumptions</w:t>
      </w:r>
    </w:p>
    <w:p w14:paraId="656B1DE1" w14:textId="77777777" w:rsidR="009B2611" w:rsidRPr="000D7D82" w:rsidRDefault="00DC1C5C" w:rsidP="00D66FCE">
      <w:pPr>
        <w:rPr>
          <w:lang w:eastAsia="en-AU"/>
        </w:rPr>
      </w:pPr>
      <w:r w:rsidRPr="000D7D82">
        <w:rPr>
          <w:lang w:eastAsia="en-AU"/>
        </w:rPr>
        <w:t>EPA</w:t>
      </w:r>
      <w:r w:rsidR="009B2611" w:rsidRPr="000D7D82">
        <w:rPr>
          <w:lang w:eastAsia="en-AU"/>
        </w:rPr>
        <w:t xml:space="preserve"> has completed process maps for most of the permissions and processes discussed in this document. The process maps supplied by the EPA outline:</w:t>
      </w:r>
    </w:p>
    <w:p w14:paraId="656B1DE2" w14:textId="77777777" w:rsidR="009B2611" w:rsidRPr="000D7D82" w:rsidRDefault="009B2611" w:rsidP="00AE4BDD">
      <w:pPr>
        <w:pStyle w:val="ListParagraph"/>
        <w:numPr>
          <w:ilvl w:val="0"/>
          <w:numId w:val="396"/>
        </w:numPr>
        <w:rPr>
          <w:lang w:eastAsia="en-AU"/>
        </w:rPr>
      </w:pPr>
      <w:r w:rsidRPr="000D7D82">
        <w:rPr>
          <w:lang w:eastAsia="en-AU"/>
        </w:rPr>
        <w:t>The steps involved in processing a permission or other EPA authorisation</w:t>
      </w:r>
    </w:p>
    <w:p w14:paraId="656B1DE3" w14:textId="77777777" w:rsidR="009B2611" w:rsidRPr="000D7D82" w:rsidRDefault="009B2611" w:rsidP="00AE4BDD">
      <w:pPr>
        <w:pStyle w:val="ListParagraph"/>
        <w:numPr>
          <w:ilvl w:val="0"/>
          <w:numId w:val="396"/>
        </w:numPr>
        <w:rPr>
          <w:lang w:eastAsia="en-AU"/>
        </w:rPr>
      </w:pPr>
      <w:r w:rsidRPr="000D7D82">
        <w:rPr>
          <w:lang w:eastAsia="en-AU"/>
        </w:rPr>
        <w:t>The volume of permissions/processes actioned</w:t>
      </w:r>
    </w:p>
    <w:p w14:paraId="656B1DE4" w14:textId="77777777" w:rsidR="009B2611" w:rsidRPr="000D7D82" w:rsidRDefault="009B2611" w:rsidP="00AE4BDD">
      <w:pPr>
        <w:pStyle w:val="ListParagraph"/>
        <w:numPr>
          <w:ilvl w:val="0"/>
          <w:numId w:val="396"/>
        </w:numPr>
        <w:rPr>
          <w:lang w:eastAsia="en-AU"/>
        </w:rPr>
      </w:pPr>
      <w:r w:rsidRPr="000D7D82">
        <w:rPr>
          <w:lang w:eastAsia="en-AU"/>
        </w:rPr>
        <w:t xml:space="preserve">The length of time taken (the minimum, likely, and maximum) to complete each step (in either hours or minutes) </w:t>
      </w:r>
    </w:p>
    <w:p w14:paraId="656B1DE5" w14:textId="77777777" w:rsidR="009B2611" w:rsidRPr="000D7D82" w:rsidRDefault="009B2611" w:rsidP="00AE4BDD">
      <w:pPr>
        <w:pStyle w:val="ListParagraph"/>
        <w:numPr>
          <w:ilvl w:val="0"/>
          <w:numId w:val="396"/>
        </w:numPr>
        <w:rPr>
          <w:lang w:eastAsia="en-AU"/>
        </w:rPr>
      </w:pPr>
      <w:r w:rsidRPr="000D7D82">
        <w:rPr>
          <w:lang w:eastAsia="en-AU"/>
        </w:rPr>
        <w:t>The seniority (VPS level) of the individuals involved in carrying out each step (in the percentage of time each level staff spends on the time taken for that step).</w:t>
      </w:r>
    </w:p>
    <w:p w14:paraId="656B1DE6" w14:textId="77777777" w:rsidR="009B2611" w:rsidRPr="000D7D82" w:rsidRDefault="009B2611" w:rsidP="00D66FCE">
      <w:pPr>
        <w:rPr>
          <w:lang w:eastAsia="en-AU"/>
        </w:rPr>
      </w:pPr>
      <w:r w:rsidRPr="000D7D82">
        <w:rPr>
          <w:lang w:eastAsia="en-AU"/>
        </w:rPr>
        <w:t>In combination, this information provid</w:t>
      </w:r>
      <w:r w:rsidR="00DC1C5C" w:rsidRPr="000D7D82">
        <w:rPr>
          <w:lang w:eastAsia="en-AU"/>
        </w:rPr>
        <w:t>es an estimate for the EPA</w:t>
      </w:r>
      <w:r w:rsidRPr="000D7D82">
        <w:rPr>
          <w:lang w:eastAsia="en-AU"/>
        </w:rPr>
        <w:t>’s costs: both per each permission granted/ process completed and in total.</w:t>
      </w:r>
    </w:p>
    <w:p w14:paraId="656B1DE7" w14:textId="77777777" w:rsidR="009B2611" w:rsidRPr="000D7D82" w:rsidRDefault="009B2611" w:rsidP="00D66FCE">
      <w:pPr>
        <w:rPr>
          <w:lang w:eastAsia="en-AU"/>
        </w:rPr>
      </w:pPr>
      <w:r w:rsidRPr="000D7D82">
        <w:rPr>
          <w:lang w:eastAsia="en-AU"/>
        </w:rPr>
        <w:t>VPS wage levels are based on midpoints as of 1 July, 2018 (Victorian Public Service Enterprise Agreement 2016- Schedule B). On top of wage rates, on-costs (based on DTF’s Guide to assessing and calculating costs) are calculated at an additional 16.5%, and overheads costs at an additional 50%, resulting in a total wage multiplier of 1.75</w:t>
      </w:r>
      <w:r w:rsidR="00DC7A63" w:rsidRPr="000D7D82">
        <w:rPr>
          <w:lang w:eastAsia="en-AU"/>
        </w:rPr>
        <w:t>.</w:t>
      </w:r>
      <w:r w:rsidR="00014F56" w:rsidRPr="000D7D82">
        <w:rPr>
          <w:lang w:eastAsia="en-AU"/>
        </w:rPr>
        <w:t xml:space="preserve"> </w:t>
      </w:r>
      <w:r w:rsidRPr="00DB3FCA">
        <w:rPr>
          <w:lang w:eastAsia="en-AU"/>
        </w:rPr>
        <w:t xml:space="preserve"> </w:t>
      </w:r>
    </w:p>
    <w:p w14:paraId="656B1DE8" w14:textId="77777777" w:rsidR="009B2611" w:rsidRPr="000D7D82" w:rsidRDefault="009B2611" w:rsidP="009B2611">
      <w:pPr>
        <w:keepNext/>
        <w:keepLines/>
        <w:spacing w:before="240" w:after="240"/>
        <w:rPr>
          <w:iCs/>
          <w:color w:val="75787B" w:themeColor="accent6"/>
          <w:sz w:val="17"/>
        </w:rPr>
      </w:pPr>
      <w:r w:rsidRPr="000D7D82">
        <w:rPr>
          <w:iCs/>
          <w:color w:val="75787B" w:themeColor="accent6"/>
          <w:sz w:val="17"/>
        </w:rPr>
        <w:t>VPS wages and calculated hourly rates</w:t>
      </w:r>
    </w:p>
    <w:tbl>
      <w:tblPr>
        <w:tblStyle w:val="Deloittetable"/>
        <w:tblW w:w="3958" w:type="pct"/>
        <w:tblLook w:val="04A0" w:firstRow="1" w:lastRow="0" w:firstColumn="1" w:lastColumn="0" w:noHBand="0" w:noVBand="1"/>
      </w:tblPr>
      <w:tblGrid>
        <w:gridCol w:w="2411"/>
        <w:gridCol w:w="2497"/>
        <w:gridCol w:w="2497"/>
      </w:tblGrid>
      <w:tr w:rsidR="009B2611" w:rsidRPr="000D7D82" w14:paraId="656B1DEC" w14:textId="77777777" w:rsidTr="00F34DF6">
        <w:trPr>
          <w:cnfStyle w:val="100000000000" w:firstRow="1" w:lastRow="0" w:firstColumn="0" w:lastColumn="0" w:oddVBand="0" w:evenVBand="0" w:oddHBand="0" w:evenHBand="0" w:firstRowFirstColumn="0" w:firstRowLastColumn="0" w:lastRowFirstColumn="0" w:lastRowLastColumn="0"/>
          <w:cantSplit/>
          <w:trHeight w:val="313"/>
        </w:trPr>
        <w:tc>
          <w:tcPr>
            <w:tcW w:w="1628" w:type="pct"/>
            <w:tcBorders>
              <w:left w:val="nil"/>
              <w:bottom w:val="single" w:sz="4" w:space="0" w:color="000000" w:themeColor="text1"/>
              <w:right w:val="nil"/>
            </w:tcBorders>
            <w:tcMar>
              <w:top w:w="57" w:type="dxa"/>
              <w:left w:w="57" w:type="dxa"/>
              <w:bottom w:w="57" w:type="dxa"/>
              <w:right w:w="57" w:type="dxa"/>
            </w:tcMar>
          </w:tcPr>
          <w:p w14:paraId="656B1DE9" w14:textId="77777777" w:rsidR="009B2611" w:rsidRPr="000D7D82" w:rsidRDefault="009B2611" w:rsidP="009B2611">
            <w:pPr>
              <w:rPr>
                <w:sz w:val="18"/>
              </w:rPr>
            </w:pPr>
          </w:p>
        </w:tc>
        <w:tc>
          <w:tcPr>
            <w:tcW w:w="1686" w:type="pct"/>
            <w:tcBorders>
              <w:left w:val="nil"/>
              <w:bottom w:val="single" w:sz="4" w:space="0" w:color="000000" w:themeColor="text1"/>
              <w:right w:val="nil"/>
            </w:tcBorders>
            <w:hideMark/>
          </w:tcPr>
          <w:p w14:paraId="656B1DEA" w14:textId="77777777" w:rsidR="009B2611" w:rsidRPr="000D7D82" w:rsidRDefault="009B2611" w:rsidP="009B2611">
            <w:pPr>
              <w:rPr>
                <w:b/>
                <w:sz w:val="18"/>
              </w:rPr>
            </w:pPr>
            <w:r w:rsidRPr="000D7D82">
              <w:rPr>
                <w:b/>
                <w:sz w:val="18"/>
              </w:rPr>
              <w:t>Salary midpoint (per year)</w:t>
            </w:r>
          </w:p>
        </w:tc>
        <w:tc>
          <w:tcPr>
            <w:tcW w:w="1686" w:type="pct"/>
            <w:tcBorders>
              <w:left w:val="nil"/>
              <w:bottom w:val="single" w:sz="4" w:space="0" w:color="000000" w:themeColor="text1"/>
              <w:right w:val="nil"/>
            </w:tcBorders>
          </w:tcPr>
          <w:p w14:paraId="656B1DEB" w14:textId="77777777" w:rsidR="009B2611" w:rsidRPr="000D7D82" w:rsidRDefault="009B2611" w:rsidP="009B2611">
            <w:pPr>
              <w:rPr>
                <w:b/>
                <w:sz w:val="18"/>
              </w:rPr>
            </w:pPr>
            <w:r w:rsidRPr="000D7D82">
              <w:rPr>
                <w:b/>
                <w:sz w:val="18"/>
              </w:rPr>
              <w:t xml:space="preserve">Hourly rate </w:t>
            </w:r>
          </w:p>
        </w:tc>
      </w:tr>
      <w:tr w:rsidR="009B2611" w:rsidRPr="000D7D82" w14:paraId="656B1DF0" w14:textId="77777777" w:rsidTr="00F34DF6">
        <w:trPr>
          <w:cantSplit/>
          <w:trHeight w:val="372"/>
        </w:trPr>
        <w:tc>
          <w:tcPr>
            <w:tcW w:w="1628" w:type="pct"/>
            <w:tcBorders>
              <w:top w:val="single" w:sz="4" w:space="0" w:color="000000" w:themeColor="text1"/>
              <w:left w:val="nil"/>
              <w:bottom w:val="single" w:sz="4" w:space="0" w:color="000000" w:themeColor="text1"/>
              <w:right w:val="nil"/>
            </w:tcBorders>
            <w:tcMar>
              <w:top w:w="57" w:type="dxa"/>
              <w:left w:w="57" w:type="dxa"/>
              <w:bottom w:w="57" w:type="dxa"/>
              <w:right w:w="57" w:type="dxa"/>
            </w:tcMar>
          </w:tcPr>
          <w:p w14:paraId="656B1DED" w14:textId="77777777" w:rsidR="009B2611" w:rsidRPr="000D7D82" w:rsidRDefault="009B2611" w:rsidP="009B2611">
            <w:pPr>
              <w:rPr>
                <w:sz w:val="18"/>
              </w:rPr>
            </w:pPr>
            <w:r w:rsidRPr="000D7D82">
              <w:rPr>
                <w:sz w:val="18"/>
              </w:rPr>
              <w:t>VPS 3</w:t>
            </w:r>
          </w:p>
        </w:tc>
        <w:tc>
          <w:tcPr>
            <w:tcW w:w="1686" w:type="pct"/>
            <w:tcBorders>
              <w:left w:val="nil"/>
              <w:right w:val="nil"/>
            </w:tcBorders>
          </w:tcPr>
          <w:p w14:paraId="656B1DEE" w14:textId="77777777" w:rsidR="009B2611" w:rsidRPr="000D7D82" w:rsidRDefault="009B2611" w:rsidP="009B2611">
            <w:pPr>
              <w:rPr>
                <w:sz w:val="18"/>
              </w:rPr>
            </w:pPr>
            <w:r w:rsidRPr="000D7D82">
              <w:t>$74,200</w:t>
            </w:r>
          </w:p>
        </w:tc>
        <w:tc>
          <w:tcPr>
            <w:tcW w:w="1686" w:type="pct"/>
            <w:tcBorders>
              <w:top w:val="single" w:sz="4" w:space="0" w:color="000000" w:themeColor="text1"/>
              <w:left w:val="nil"/>
              <w:bottom w:val="single" w:sz="4" w:space="0" w:color="000000" w:themeColor="text1"/>
              <w:right w:val="nil"/>
            </w:tcBorders>
          </w:tcPr>
          <w:p w14:paraId="656B1DEF" w14:textId="77777777" w:rsidR="009B2611" w:rsidRPr="000D7D82" w:rsidRDefault="009B2611" w:rsidP="009B2611">
            <w:pPr>
              <w:rPr>
                <w:sz w:val="18"/>
              </w:rPr>
            </w:pPr>
            <w:r w:rsidRPr="000D7D82">
              <w:t>$83.34</w:t>
            </w:r>
          </w:p>
        </w:tc>
      </w:tr>
      <w:tr w:rsidR="009B2611" w:rsidRPr="000D7D82" w14:paraId="656B1DF4" w14:textId="77777777" w:rsidTr="00F34DF6">
        <w:trPr>
          <w:cantSplit/>
          <w:trHeight w:val="372"/>
        </w:trPr>
        <w:tc>
          <w:tcPr>
            <w:tcW w:w="1628" w:type="pct"/>
            <w:tcBorders>
              <w:top w:val="single" w:sz="4" w:space="0" w:color="000000" w:themeColor="text1"/>
              <w:left w:val="nil"/>
              <w:bottom w:val="single" w:sz="4" w:space="0" w:color="000000" w:themeColor="text1"/>
              <w:right w:val="nil"/>
            </w:tcBorders>
            <w:tcMar>
              <w:top w:w="57" w:type="dxa"/>
              <w:left w:w="57" w:type="dxa"/>
              <w:bottom w:w="57" w:type="dxa"/>
              <w:right w:w="57" w:type="dxa"/>
            </w:tcMar>
            <w:hideMark/>
          </w:tcPr>
          <w:p w14:paraId="656B1DF1" w14:textId="77777777" w:rsidR="009B2611" w:rsidRPr="000D7D82" w:rsidRDefault="009B2611" w:rsidP="009B2611">
            <w:pPr>
              <w:rPr>
                <w:sz w:val="18"/>
              </w:rPr>
            </w:pPr>
            <w:r w:rsidRPr="000D7D82">
              <w:rPr>
                <w:sz w:val="18"/>
              </w:rPr>
              <w:t>VPS 4</w:t>
            </w:r>
          </w:p>
        </w:tc>
        <w:tc>
          <w:tcPr>
            <w:tcW w:w="1686" w:type="pct"/>
            <w:tcBorders>
              <w:left w:val="nil"/>
              <w:right w:val="nil"/>
            </w:tcBorders>
            <w:hideMark/>
          </w:tcPr>
          <w:p w14:paraId="656B1DF2" w14:textId="77777777" w:rsidR="009B2611" w:rsidRPr="000D7D82" w:rsidRDefault="009B2611" w:rsidP="009B2611">
            <w:pPr>
              <w:rPr>
                <w:sz w:val="18"/>
              </w:rPr>
            </w:pPr>
            <w:r w:rsidRPr="000D7D82">
              <w:t>$88,132</w:t>
            </w:r>
          </w:p>
        </w:tc>
        <w:tc>
          <w:tcPr>
            <w:tcW w:w="1686" w:type="pct"/>
            <w:tcBorders>
              <w:top w:val="single" w:sz="4" w:space="0" w:color="000000" w:themeColor="text1"/>
              <w:left w:val="nil"/>
              <w:bottom w:val="single" w:sz="4" w:space="0" w:color="000000" w:themeColor="text1"/>
              <w:right w:val="nil"/>
            </w:tcBorders>
          </w:tcPr>
          <w:p w14:paraId="656B1DF3" w14:textId="77777777" w:rsidR="009B2611" w:rsidRPr="000D7D82" w:rsidRDefault="009B2611" w:rsidP="009B2611">
            <w:pPr>
              <w:rPr>
                <w:sz w:val="18"/>
              </w:rPr>
            </w:pPr>
            <w:r w:rsidRPr="000D7D82">
              <w:t>$98.99</w:t>
            </w:r>
          </w:p>
        </w:tc>
      </w:tr>
      <w:tr w:rsidR="009B2611" w:rsidRPr="000D7D82" w14:paraId="656B1DF8" w14:textId="77777777" w:rsidTr="00F34DF6">
        <w:trPr>
          <w:cantSplit/>
          <w:trHeight w:val="230"/>
        </w:trPr>
        <w:tc>
          <w:tcPr>
            <w:tcW w:w="1628" w:type="pct"/>
            <w:tcBorders>
              <w:top w:val="single" w:sz="4" w:space="0" w:color="000000" w:themeColor="text1"/>
              <w:left w:val="nil"/>
              <w:bottom w:val="single" w:sz="4" w:space="0" w:color="000000" w:themeColor="text1"/>
              <w:right w:val="nil"/>
            </w:tcBorders>
            <w:tcMar>
              <w:top w:w="57" w:type="dxa"/>
              <w:left w:w="57" w:type="dxa"/>
              <w:bottom w:w="57" w:type="dxa"/>
              <w:right w:w="57" w:type="dxa"/>
            </w:tcMar>
            <w:hideMark/>
          </w:tcPr>
          <w:p w14:paraId="656B1DF5" w14:textId="77777777" w:rsidR="009B2611" w:rsidRPr="000D7D82" w:rsidRDefault="009B2611" w:rsidP="009B2611">
            <w:pPr>
              <w:rPr>
                <w:sz w:val="18"/>
              </w:rPr>
            </w:pPr>
            <w:r w:rsidRPr="000D7D82">
              <w:rPr>
                <w:sz w:val="18"/>
              </w:rPr>
              <w:t>VPS 5</w:t>
            </w:r>
          </w:p>
        </w:tc>
        <w:tc>
          <w:tcPr>
            <w:tcW w:w="1686" w:type="pct"/>
            <w:tcBorders>
              <w:left w:val="nil"/>
              <w:right w:val="nil"/>
            </w:tcBorders>
            <w:hideMark/>
          </w:tcPr>
          <w:p w14:paraId="656B1DF6" w14:textId="77777777" w:rsidR="009B2611" w:rsidRPr="000D7D82" w:rsidRDefault="009B2611" w:rsidP="009B2611">
            <w:pPr>
              <w:rPr>
                <w:sz w:val="18"/>
              </w:rPr>
            </w:pPr>
            <w:r w:rsidRPr="000D7D82">
              <w:t>$105,276</w:t>
            </w:r>
          </w:p>
        </w:tc>
        <w:tc>
          <w:tcPr>
            <w:tcW w:w="1686" w:type="pct"/>
            <w:tcBorders>
              <w:top w:val="single" w:sz="4" w:space="0" w:color="000000" w:themeColor="text1"/>
              <w:left w:val="nil"/>
              <w:bottom w:val="single" w:sz="4" w:space="0" w:color="000000" w:themeColor="text1"/>
              <w:right w:val="nil"/>
            </w:tcBorders>
          </w:tcPr>
          <w:p w14:paraId="656B1DF7" w14:textId="77777777" w:rsidR="009B2611" w:rsidRPr="000D7D82" w:rsidRDefault="009B2611" w:rsidP="009B2611">
            <w:pPr>
              <w:rPr>
                <w:sz w:val="18"/>
              </w:rPr>
            </w:pPr>
            <w:r w:rsidRPr="000D7D82">
              <w:t>$118.25</w:t>
            </w:r>
          </w:p>
        </w:tc>
      </w:tr>
      <w:tr w:rsidR="009B2611" w:rsidRPr="000D7D82" w14:paraId="656B1DFC" w14:textId="77777777" w:rsidTr="00F34DF6">
        <w:trPr>
          <w:cantSplit/>
          <w:trHeight w:val="230"/>
        </w:trPr>
        <w:tc>
          <w:tcPr>
            <w:tcW w:w="1628" w:type="pct"/>
            <w:tcBorders>
              <w:top w:val="single" w:sz="4" w:space="0" w:color="000000" w:themeColor="text1"/>
              <w:left w:val="nil"/>
              <w:bottom w:val="single" w:sz="4" w:space="0" w:color="000000" w:themeColor="text1"/>
              <w:right w:val="nil"/>
            </w:tcBorders>
            <w:tcMar>
              <w:top w:w="57" w:type="dxa"/>
              <w:left w:w="57" w:type="dxa"/>
              <w:bottom w:w="57" w:type="dxa"/>
              <w:right w:w="57" w:type="dxa"/>
            </w:tcMar>
          </w:tcPr>
          <w:p w14:paraId="656B1DF9" w14:textId="77777777" w:rsidR="009B2611" w:rsidRPr="000D7D82" w:rsidRDefault="009B2611" w:rsidP="009B2611">
            <w:pPr>
              <w:rPr>
                <w:sz w:val="18"/>
              </w:rPr>
            </w:pPr>
            <w:r w:rsidRPr="000D7D82">
              <w:rPr>
                <w:sz w:val="18"/>
              </w:rPr>
              <w:t>VPS 6</w:t>
            </w:r>
          </w:p>
        </w:tc>
        <w:tc>
          <w:tcPr>
            <w:tcW w:w="1686" w:type="pct"/>
            <w:tcBorders>
              <w:left w:val="nil"/>
              <w:right w:val="nil"/>
            </w:tcBorders>
          </w:tcPr>
          <w:p w14:paraId="656B1DFA" w14:textId="77777777" w:rsidR="009B2611" w:rsidRPr="000D7D82" w:rsidRDefault="009B2611" w:rsidP="009B2611">
            <w:pPr>
              <w:rPr>
                <w:sz w:val="18"/>
              </w:rPr>
            </w:pPr>
            <w:r w:rsidRPr="000D7D82">
              <w:t>$136,626</w:t>
            </w:r>
          </w:p>
        </w:tc>
        <w:tc>
          <w:tcPr>
            <w:tcW w:w="1686" w:type="pct"/>
            <w:tcBorders>
              <w:top w:val="single" w:sz="4" w:space="0" w:color="000000" w:themeColor="text1"/>
              <w:left w:val="nil"/>
              <w:bottom w:val="single" w:sz="4" w:space="0" w:color="000000" w:themeColor="text1"/>
              <w:right w:val="nil"/>
            </w:tcBorders>
          </w:tcPr>
          <w:p w14:paraId="656B1DFB" w14:textId="77777777" w:rsidR="009B2611" w:rsidRPr="000D7D82" w:rsidRDefault="009B2611" w:rsidP="009B2611">
            <w:pPr>
              <w:rPr>
                <w:sz w:val="18"/>
              </w:rPr>
            </w:pPr>
            <w:r w:rsidRPr="000D7D82">
              <w:t>$153.46</w:t>
            </w:r>
          </w:p>
        </w:tc>
      </w:tr>
      <w:tr w:rsidR="009B2611" w:rsidRPr="000D7D82" w14:paraId="656B1E00" w14:textId="77777777" w:rsidTr="00F34DF6">
        <w:trPr>
          <w:cantSplit/>
          <w:trHeight w:val="230"/>
        </w:trPr>
        <w:tc>
          <w:tcPr>
            <w:tcW w:w="1628" w:type="pct"/>
            <w:tcBorders>
              <w:top w:val="single" w:sz="4" w:space="0" w:color="000000" w:themeColor="text1"/>
              <w:left w:val="nil"/>
              <w:bottom w:val="single" w:sz="4" w:space="0" w:color="000000" w:themeColor="text1"/>
              <w:right w:val="nil"/>
            </w:tcBorders>
            <w:tcMar>
              <w:top w:w="57" w:type="dxa"/>
              <w:left w:w="57" w:type="dxa"/>
              <w:bottom w:w="57" w:type="dxa"/>
              <w:right w:w="57" w:type="dxa"/>
            </w:tcMar>
          </w:tcPr>
          <w:p w14:paraId="656B1DFD" w14:textId="77777777" w:rsidR="009B2611" w:rsidRPr="000D7D82" w:rsidRDefault="009B2611" w:rsidP="009B2611">
            <w:pPr>
              <w:rPr>
                <w:sz w:val="18"/>
              </w:rPr>
            </w:pPr>
            <w:r w:rsidRPr="000D7D82">
              <w:rPr>
                <w:sz w:val="18"/>
              </w:rPr>
              <w:t>VPS 7</w:t>
            </w:r>
          </w:p>
        </w:tc>
        <w:tc>
          <w:tcPr>
            <w:tcW w:w="1686" w:type="pct"/>
            <w:tcBorders>
              <w:left w:val="nil"/>
              <w:bottom w:val="single" w:sz="4" w:space="0" w:color="000000" w:themeColor="text1"/>
              <w:right w:val="nil"/>
            </w:tcBorders>
          </w:tcPr>
          <w:p w14:paraId="656B1DFE" w14:textId="77777777" w:rsidR="009B2611" w:rsidRPr="000D7D82" w:rsidRDefault="009B2611" w:rsidP="009B2611">
            <w:pPr>
              <w:rPr>
                <w:sz w:val="18"/>
              </w:rPr>
            </w:pPr>
            <w:r w:rsidRPr="000D7D82">
              <w:t>$187,303</w:t>
            </w:r>
          </w:p>
        </w:tc>
        <w:tc>
          <w:tcPr>
            <w:tcW w:w="1686" w:type="pct"/>
            <w:tcBorders>
              <w:top w:val="single" w:sz="4" w:space="0" w:color="000000" w:themeColor="text1"/>
              <w:left w:val="nil"/>
              <w:bottom w:val="single" w:sz="4" w:space="0" w:color="000000" w:themeColor="text1"/>
              <w:right w:val="nil"/>
            </w:tcBorders>
          </w:tcPr>
          <w:p w14:paraId="656B1DFF" w14:textId="77777777" w:rsidR="009B2611" w:rsidRPr="000D7D82" w:rsidRDefault="009B2611" w:rsidP="009B2611">
            <w:pPr>
              <w:rPr>
                <w:sz w:val="18"/>
              </w:rPr>
            </w:pPr>
            <w:r w:rsidRPr="000D7D82">
              <w:t>$210.39</w:t>
            </w:r>
          </w:p>
        </w:tc>
      </w:tr>
    </w:tbl>
    <w:p w14:paraId="656B1E01" w14:textId="77777777" w:rsidR="009B2611" w:rsidRPr="000D7D82" w:rsidRDefault="009B2611" w:rsidP="009B2611">
      <w:pPr>
        <w:spacing w:after="0" w:line="276" w:lineRule="auto"/>
        <w:jc w:val="both"/>
        <w:rPr>
          <w:rFonts w:eastAsiaTheme="minorEastAsia" w:cs="Segoe UI Light"/>
          <w:szCs w:val="20"/>
          <w:lang w:eastAsia="en-AU"/>
        </w:rPr>
      </w:pPr>
    </w:p>
    <w:p w14:paraId="656B1E02" w14:textId="77777777" w:rsidR="009B2611" w:rsidRPr="000D7D82" w:rsidRDefault="009B2611" w:rsidP="000E7C5E">
      <w:pPr>
        <w:spacing w:after="0" w:line="276" w:lineRule="auto"/>
        <w:jc w:val="both"/>
        <w:rPr>
          <w:rFonts w:eastAsiaTheme="minorEastAsia" w:cs="Segoe UI Light"/>
          <w:b/>
          <w:i/>
          <w:szCs w:val="20"/>
          <w:lang w:eastAsia="en-AU"/>
        </w:rPr>
      </w:pPr>
      <w:r w:rsidRPr="000D7D82">
        <w:rPr>
          <w:rFonts w:eastAsiaTheme="minorEastAsia" w:cs="Segoe UI Light"/>
          <w:b/>
          <w:i/>
          <w:szCs w:val="20"/>
          <w:lang w:eastAsia="en-AU"/>
        </w:rPr>
        <w:t>Fees option modelling assumptions</w:t>
      </w:r>
    </w:p>
    <w:p w14:paraId="656B1E03" w14:textId="77777777" w:rsidR="009B2611" w:rsidRPr="000D7D82" w:rsidRDefault="009B2611" w:rsidP="009B2611">
      <w:pPr>
        <w:spacing w:after="200" w:line="276" w:lineRule="auto"/>
        <w:jc w:val="both"/>
        <w:rPr>
          <w:rFonts w:eastAsiaTheme="minorEastAsia" w:cs="Segoe UI Light"/>
          <w:szCs w:val="20"/>
          <w:lang w:eastAsia="en-AU"/>
        </w:rPr>
      </w:pPr>
      <w:r w:rsidRPr="000D7D82">
        <w:rPr>
          <w:rFonts w:eastAsiaTheme="minorEastAsia" w:cs="Segoe UI Light"/>
          <w:szCs w:val="20"/>
          <w:lang w:eastAsia="en-AU"/>
        </w:rPr>
        <w:t xml:space="preserve">Using the data from the process maps, EPA also calculated the fee (either a flat fee or variable fee structure) that would need to be charged for each permission/process to ensure full cost recovery. The fees presented here are based on EPA’s calculations or underlying assumptions. </w:t>
      </w:r>
    </w:p>
    <w:p w14:paraId="656B1E04" w14:textId="0083CEFF" w:rsidR="009B2611" w:rsidRPr="000D7D82" w:rsidRDefault="009B2611" w:rsidP="009B2611">
      <w:pPr>
        <w:spacing w:after="200" w:line="276" w:lineRule="auto"/>
        <w:jc w:val="both"/>
        <w:rPr>
          <w:rFonts w:eastAsiaTheme="minorEastAsia" w:cs="Segoe UI Light"/>
          <w:szCs w:val="20"/>
          <w:lang w:eastAsia="en-AU"/>
        </w:rPr>
      </w:pPr>
      <w:r w:rsidRPr="000D7D82">
        <w:rPr>
          <w:rFonts w:eastAsiaTheme="minorEastAsia" w:cs="Segoe UI Light"/>
          <w:szCs w:val="20"/>
          <w:lang w:eastAsia="en-AU"/>
        </w:rPr>
        <w:t xml:space="preserve">Development licence applications are an exception as EPA did not intend to fully recover costs for this permission. The calculation of the fee for Option 1a in section </w:t>
      </w:r>
      <w:r w:rsidRPr="000D7D82">
        <w:rPr>
          <w:rFonts w:eastAsiaTheme="minorEastAsia" w:cs="Segoe UI Light"/>
          <w:color w:val="2B579A"/>
          <w:szCs w:val="20"/>
          <w:shd w:val="clear" w:color="auto" w:fill="E6E6E6"/>
          <w:lang w:eastAsia="en-AU"/>
        </w:rPr>
        <w:fldChar w:fldCharType="begin"/>
      </w:r>
      <w:r w:rsidRPr="000D7D82">
        <w:rPr>
          <w:rFonts w:eastAsiaTheme="minorEastAsia" w:cs="Segoe UI Light"/>
          <w:szCs w:val="20"/>
          <w:lang w:eastAsia="en-AU"/>
        </w:rPr>
        <w:instrText xml:space="preserve"> REF _Ref7708555 \n \h </w:instrText>
      </w:r>
      <w:r w:rsidR="000D7D82">
        <w:rPr>
          <w:rFonts w:eastAsiaTheme="minorEastAsia" w:cs="Segoe UI Light"/>
          <w:color w:val="2B579A"/>
          <w:szCs w:val="20"/>
          <w:shd w:val="clear" w:color="auto" w:fill="E6E6E6"/>
          <w:lang w:eastAsia="en-AU"/>
        </w:rPr>
        <w:instrText xml:space="preserve"> \* MERGEFORMAT </w:instrText>
      </w:r>
      <w:r w:rsidRPr="000D7D82">
        <w:rPr>
          <w:rFonts w:eastAsiaTheme="minorEastAsia" w:cs="Segoe UI Light"/>
          <w:color w:val="2B579A"/>
          <w:szCs w:val="20"/>
          <w:shd w:val="clear" w:color="auto" w:fill="E6E6E6"/>
          <w:lang w:eastAsia="en-AU"/>
        </w:rPr>
      </w:r>
      <w:r w:rsidRPr="000D7D82">
        <w:rPr>
          <w:rFonts w:eastAsiaTheme="minorEastAsia" w:cs="Segoe UI Light"/>
          <w:color w:val="2B579A"/>
          <w:szCs w:val="20"/>
          <w:shd w:val="clear" w:color="auto" w:fill="E6E6E6"/>
          <w:lang w:eastAsia="en-AU"/>
        </w:rPr>
        <w:fldChar w:fldCharType="separate"/>
      </w:r>
      <w:r w:rsidR="004C6C15">
        <w:rPr>
          <w:rFonts w:eastAsiaTheme="minorEastAsia" w:cs="Segoe UI Light"/>
          <w:szCs w:val="20"/>
          <w:lang w:eastAsia="en-AU"/>
        </w:rPr>
        <w:t>1.1.1</w:t>
      </w:r>
      <w:r w:rsidRPr="000D7D82">
        <w:rPr>
          <w:rFonts w:eastAsiaTheme="minorEastAsia" w:cs="Segoe UI Light"/>
          <w:color w:val="2B579A"/>
          <w:szCs w:val="20"/>
          <w:shd w:val="clear" w:color="auto" w:fill="E6E6E6"/>
          <w:lang w:eastAsia="en-AU"/>
        </w:rPr>
        <w:fldChar w:fldCharType="end"/>
      </w:r>
      <w:r w:rsidRPr="000D7D82">
        <w:rPr>
          <w:rFonts w:eastAsiaTheme="minorEastAsia" w:cs="Segoe UI Light"/>
          <w:szCs w:val="20"/>
          <w:lang w:eastAsia="en-AU"/>
        </w:rPr>
        <w:t xml:space="preserve"> is based on the last three years of available data (2015-16 through 2017-18) on the works value of works approval applications. Likewise, the calculation of the cost recovery level for Option 1b was also based on this data</w:t>
      </w:r>
      <w:r w:rsidR="00DC7A63" w:rsidRPr="000D7D82">
        <w:rPr>
          <w:rFonts w:eastAsiaTheme="minorEastAsia" w:cs="Segoe UI Light"/>
          <w:szCs w:val="20"/>
          <w:lang w:eastAsia="en-AU"/>
        </w:rPr>
        <w:t>.</w:t>
      </w:r>
      <w:r w:rsidR="00014F56" w:rsidRPr="000D7D82">
        <w:rPr>
          <w:rFonts w:eastAsiaTheme="minorEastAsia" w:cs="Segoe UI Light"/>
          <w:szCs w:val="20"/>
          <w:lang w:eastAsia="en-AU"/>
        </w:rPr>
        <w:t xml:space="preserve"> </w:t>
      </w:r>
    </w:p>
    <w:p w14:paraId="656B1E05" w14:textId="77777777" w:rsidR="004E20F3" w:rsidRPr="009B2611" w:rsidRDefault="004E20F3" w:rsidP="00D66FCE">
      <w:pPr>
        <w:pStyle w:val="Heading1un-numbered"/>
      </w:pPr>
      <w:bookmarkStart w:id="2057" w:name="_Toc12892358"/>
      <w:r w:rsidRPr="000D7D82">
        <w:t xml:space="preserve">Appendix </w:t>
      </w:r>
      <w:r w:rsidR="00324F19" w:rsidRPr="000D7D82">
        <w:t>10</w:t>
      </w:r>
      <w:r w:rsidRPr="000D7D82">
        <w:t xml:space="preserve"> – Changes to soil</w:t>
      </w:r>
      <w:r w:rsidR="00352DD5">
        <w:t xml:space="preserve"> management</w:t>
      </w:r>
      <w:bookmarkEnd w:id="2057"/>
    </w:p>
    <w:p w14:paraId="656B1E06" w14:textId="77777777" w:rsidR="004E20F3" w:rsidRDefault="00576195" w:rsidP="00576195">
      <w:r>
        <w:t>This section outlines how the new proposed new waste framework will impact soil management requirements in Victoria.</w:t>
      </w:r>
    </w:p>
    <w:p w14:paraId="656B1E07" w14:textId="77777777" w:rsidR="004E20F3" w:rsidRDefault="004E20F3" w:rsidP="004E20F3">
      <w:r>
        <w:t>Soil management is worthy of specific mention with respect to regulations across the six key areas</w:t>
      </w:r>
      <w:r w:rsidR="009F12CD">
        <w:t xml:space="preserve"> of waste</w:t>
      </w:r>
      <w:r>
        <w:t xml:space="preserve">, as there are </w:t>
      </w:r>
      <w:r w:rsidR="00576195">
        <w:t xml:space="preserve">numerous </w:t>
      </w:r>
      <w:r>
        <w:t xml:space="preserve">changes proposed and nuances </w:t>
      </w:r>
      <w:r w:rsidR="00576195">
        <w:t xml:space="preserve">in relation to </w:t>
      </w:r>
      <w:r>
        <w:t xml:space="preserve">soil management </w:t>
      </w:r>
      <w:r w:rsidR="00576195">
        <w:t xml:space="preserve">when </w:t>
      </w:r>
      <w:r>
        <w:t xml:space="preserve">compared to other </w:t>
      </w:r>
      <w:r w:rsidR="00576195">
        <w:t xml:space="preserve">waste </w:t>
      </w:r>
      <w:r>
        <w:t xml:space="preserve">materials. The main changes </w:t>
      </w:r>
      <w:r w:rsidR="00576195">
        <w:t>are outlined below</w:t>
      </w:r>
      <w:r>
        <w:t>:</w:t>
      </w:r>
    </w:p>
    <w:p w14:paraId="656B1E08" w14:textId="77777777" w:rsidR="004E20F3" w:rsidRPr="00D66FCE" w:rsidRDefault="004E20F3" w:rsidP="004E20F3">
      <w:pPr>
        <w:pStyle w:val="ListParagraph"/>
        <w:numPr>
          <w:ilvl w:val="0"/>
          <w:numId w:val="92"/>
        </w:numPr>
        <w:rPr>
          <w:rFonts w:eastAsiaTheme="minorEastAsia"/>
          <w:lang w:val="en-US" w:eastAsia="ja-JP"/>
        </w:rPr>
      </w:pPr>
      <w:r w:rsidRPr="00D66FCE">
        <w:rPr>
          <w:rFonts w:eastAsiaTheme="minorEastAsia"/>
          <w:lang w:val="en-US" w:eastAsia="ja-JP"/>
        </w:rPr>
        <w:t>Restrictions on the movement of waste soil are tied to the definition of a ‘site’. The definition of a ‘site’ – where ‘on</w:t>
      </w:r>
      <w:r w:rsidR="00DD5CE9">
        <w:rPr>
          <w:rFonts w:eastAsiaTheme="minorEastAsia"/>
          <w:lang w:val="en-US" w:eastAsia="ja-JP"/>
        </w:rPr>
        <w:t>-</w:t>
      </w:r>
      <w:r w:rsidRPr="00D66FCE">
        <w:rPr>
          <w:rFonts w:eastAsiaTheme="minorEastAsia"/>
          <w:lang w:val="en-US" w:eastAsia="ja-JP"/>
        </w:rPr>
        <w:t>site’ would be given the meaning of a location with the same land title; ‘offsite’ would be a location on a different title. Site definitions can be restrictive where large projects spanning multiple titles occur.</w:t>
      </w:r>
    </w:p>
    <w:p w14:paraId="656B1E09" w14:textId="77777777" w:rsidR="004E20F3" w:rsidRPr="00D66FCE" w:rsidRDefault="004E20F3" w:rsidP="004E20F3">
      <w:pPr>
        <w:pStyle w:val="ListParagraph"/>
        <w:numPr>
          <w:ilvl w:val="0"/>
          <w:numId w:val="92"/>
        </w:numPr>
        <w:rPr>
          <w:rFonts w:eastAsiaTheme="minorEastAsia"/>
          <w:lang w:val="en-US" w:eastAsia="ja-JP"/>
        </w:rPr>
      </w:pPr>
      <w:r w:rsidRPr="00D66FCE">
        <w:rPr>
          <w:rFonts w:eastAsiaTheme="minorEastAsia"/>
          <w:lang w:val="en-US" w:eastAsia="ja-JP"/>
        </w:rPr>
        <w:t>A proposed definition for a ‘project site’ would allow for an area to be defined by a gazetted planning scheme amendment (such as a railway corridor or development precinct). A ‘project site’ will offer procedural clarity where low level contaminated soil may be safely contained on a site within engineered structures.</w:t>
      </w:r>
    </w:p>
    <w:p w14:paraId="656B1E0A" w14:textId="77777777" w:rsidR="004E20F3" w:rsidRPr="00D66FCE" w:rsidRDefault="004E20F3" w:rsidP="004E20F3">
      <w:pPr>
        <w:pStyle w:val="ListParagraph"/>
        <w:numPr>
          <w:ilvl w:val="0"/>
          <w:numId w:val="92"/>
        </w:numPr>
        <w:rPr>
          <w:rFonts w:eastAsiaTheme="minorEastAsia"/>
          <w:lang w:val="en-US" w:eastAsia="ja-JP"/>
        </w:rPr>
      </w:pPr>
      <w:r w:rsidRPr="00D66FCE">
        <w:rPr>
          <w:rFonts w:eastAsiaTheme="minorEastAsia"/>
          <w:lang w:val="en-US" w:eastAsia="ja-JP"/>
        </w:rPr>
        <w:t>Fill material (considered safe for use) would be classified as industrial waste, and therefore need to meet lawful place requirements</w:t>
      </w:r>
      <w:r w:rsidR="00DC7A63">
        <w:rPr>
          <w:rFonts w:eastAsiaTheme="minorEastAsia"/>
          <w:lang w:val="en-US" w:eastAsia="ja-JP"/>
        </w:rPr>
        <w:t xml:space="preserve">. </w:t>
      </w:r>
      <w:r w:rsidRPr="00D66FCE">
        <w:rPr>
          <w:rFonts w:eastAsiaTheme="minorEastAsia"/>
          <w:lang w:val="en-US" w:eastAsia="ja-JP"/>
        </w:rPr>
        <w:t>Currently there are no restrictions on the movement of material classed as ‘fill’.</w:t>
      </w:r>
    </w:p>
    <w:p w14:paraId="656B1E0B" w14:textId="77777777" w:rsidR="004E20F3" w:rsidRPr="000B3873" w:rsidRDefault="004E20F3" w:rsidP="004E20F3">
      <w:pPr>
        <w:pStyle w:val="ListParagraph"/>
        <w:numPr>
          <w:ilvl w:val="0"/>
          <w:numId w:val="92"/>
        </w:numPr>
      </w:pPr>
      <w:r w:rsidRPr="00D66FCE">
        <w:rPr>
          <w:rFonts w:eastAsiaTheme="minorEastAsia"/>
          <w:lang w:val="en-US" w:eastAsia="ja-JP"/>
        </w:rPr>
        <w:t>Lawful place requirements extending</w:t>
      </w:r>
      <w:r>
        <w:t xml:space="preserve"> to </w:t>
      </w:r>
      <w:r w:rsidRPr="000B3873">
        <w:t>on</w:t>
      </w:r>
      <w:r w:rsidR="00DD5CE9">
        <w:t>-</w:t>
      </w:r>
      <w:r w:rsidRPr="000B3873">
        <w:t>site</w:t>
      </w:r>
      <w:r>
        <w:t xml:space="preserve"> waste soil management</w:t>
      </w:r>
      <w:r w:rsidRPr="000B3873">
        <w:t xml:space="preserve">. </w:t>
      </w:r>
      <w:r>
        <w:t xml:space="preserve">It is proposed the </w:t>
      </w:r>
      <w:r>
        <w:rPr>
          <w:rFonts w:eastAsiaTheme="minorEastAsia"/>
          <w:lang w:val="en-US" w:eastAsia="ja-JP"/>
        </w:rPr>
        <w:t>regulations will stipulate which on</w:t>
      </w:r>
      <w:r w:rsidR="00DD5CE9">
        <w:rPr>
          <w:rFonts w:eastAsiaTheme="minorEastAsia"/>
          <w:lang w:val="en-US" w:eastAsia="ja-JP"/>
        </w:rPr>
        <w:t>-</w:t>
      </w:r>
      <w:r>
        <w:rPr>
          <w:rFonts w:eastAsiaTheme="minorEastAsia"/>
          <w:lang w:val="en-US" w:eastAsia="ja-JP"/>
        </w:rPr>
        <w:t>site waste soil management practices are deemed ’authorised to receive’ (e.g. temporary storage on</w:t>
      </w:r>
      <w:r w:rsidR="00DD5CE9">
        <w:rPr>
          <w:rFonts w:eastAsiaTheme="minorEastAsia"/>
          <w:lang w:val="en-US" w:eastAsia="ja-JP"/>
        </w:rPr>
        <w:t>-</w:t>
      </w:r>
      <w:r>
        <w:rPr>
          <w:rFonts w:eastAsiaTheme="minorEastAsia"/>
          <w:lang w:val="en-US" w:eastAsia="ja-JP"/>
        </w:rPr>
        <w:t>site and containment of soil waste on</w:t>
      </w:r>
      <w:r w:rsidR="00DD5CE9">
        <w:rPr>
          <w:rFonts w:eastAsiaTheme="minorEastAsia"/>
          <w:lang w:val="en-US" w:eastAsia="ja-JP"/>
        </w:rPr>
        <w:t>-</w:t>
      </w:r>
      <w:r>
        <w:rPr>
          <w:rFonts w:eastAsiaTheme="minorEastAsia"/>
          <w:lang w:val="en-US" w:eastAsia="ja-JP"/>
        </w:rPr>
        <w:t>site below threshold).</w:t>
      </w:r>
    </w:p>
    <w:p w14:paraId="656B1E0C" w14:textId="77777777" w:rsidR="004E20F3" w:rsidRPr="009A2138" w:rsidRDefault="004E20F3" w:rsidP="004E20F3">
      <w:pPr>
        <w:pStyle w:val="ListParagraph"/>
        <w:numPr>
          <w:ilvl w:val="0"/>
          <w:numId w:val="92"/>
        </w:numPr>
      </w:pPr>
      <w:r>
        <w:t xml:space="preserve">A new category for landfill disposal (i.e. </w:t>
      </w:r>
      <w:r w:rsidRPr="00C8319F">
        <w:t>Category D</w:t>
      </w:r>
      <w:r>
        <w:t xml:space="preserve">), which would be for </w:t>
      </w:r>
      <w:r w:rsidRPr="00B42D8D">
        <w:t xml:space="preserve">soil that has </w:t>
      </w:r>
      <w:r>
        <w:t>low-level contamination. Where containment and management of the contamination can be undertaken at a landfill with alternate engineering structures.</w:t>
      </w:r>
    </w:p>
    <w:p w14:paraId="656B1E0D" w14:textId="77777777" w:rsidR="004E20F3" w:rsidRDefault="004E20F3" w:rsidP="004E20F3">
      <w:pPr>
        <w:pStyle w:val="ListParagraph"/>
        <w:numPr>
          <w:ilvl w:val="0"/>
          <w:numId w:val="92"/>
        </w:numPr>
      </w:pPr>
      <w:r w:rsidRPr="00C51D84">
        <w:t>Duty holders would only be allowed to blend contaminated soil waste</w:t>
      </w:r>
      <w:r>
        <w:t xml:space="preserve"> (</w:t>
      </w:r>
      <w:r w:rsidRPr="00C51D84">
        <w:t>to change the categorisation or classification of that waste</w:t>
      </w:r>
      <w:r>
        <w:t>)</w:t>
      </w:r>
      <w:r w:rsidRPr="00C51D84">
        <w:t xml:space="preserve"> if it is in accordance with an EPA-issued designation.</w:t>
      </w:r>
    </w:p>
    <w:p w14:paraId="656B1E0E" w14:textId="77777777" w:rsidR="004E20F3" w:rsidRDefault="004E20F3" w:rsidP="004E20F3">
      <w:r>
        <w:t>The additional costs and benefits of soil management changes are assessed in each of the six areas</w:t>
      </w:r>
      <w:r w:rsidR="00352DD5">
        <w:t xml:space="preserve"> of C</w:t>
      </w:r>
      <w:r>
        <w:t>hapter 9, as appropriate.</w:t>
      </w:r>
    </w:p>
    <w:p w14:paraId="656B1E0F" w14:textId="77777777" w:rsidR="00F35BA0" w:rsidRPr="00DE5D4E" w:rsidRDefault="00F35BA0" w:rsidP="00F35BA0">
      <w:pPr>
        <w:pStyle w:val="EPANormal"/>
        <w:rPr>
          <w:b/>
          <w:i/>
          <w:sz w:val="20"/>
          <w:szCs w:val="20"/>
        </w:rPr>
      </w:pPr>
    </w:p>
    <w:p w14:paraId="656B1E10" w14:textId="77777777" w:rsidR="003A3F78" w:rsidRDefault="003A3F78">
      <w:pPr>
        <w:spacing w:after="0"/>
      </w:pPr>
      <w:bookmarkStart w:id="2058" w:name="_Toc10018352"/>
      <w:bookmarkStart w:id="2059" w:name="_Toc10021458"/>
      <w:bookmarkStart w:id="2060" w:name="_Toc10021872"/>
      <w:r>
        <w:br w:type="page"/>
      </w:r>
    </w:p>
    <w:p w14:paraId="656B1E11" w14:textId="77777777" w:rsidR="003A3F78" w:rsidRDefault="003A3F78" w:rsidP="00CB1191">
      <w:pPr>
        <w:pStyle w:val="Heading1un-numbered"/>
      </w:pPr>
      <w:bookmarkStart w:id="2061" w:name="_Toc12892359"/>
      <w:r>
        <w:t>Appendix 11 – Human rights certificates</w:t>
      </w:r>
      <w:bookmarkEnd w:id="2061"/>
    </w:p>
    <w:p w14:paraId="1ED8058C" w14:textId="77777777" w:rsidR="00E752DE" w:rsidRDefault="00E752DE" w:rsidP="00E752DE">
      <w:pPr>
        <w:jc w:val="center"/>
        <w:rPr>
          <w:b/>
        </w:rPr>
      </w:pPr>
      <w:r>
        <w:rPr>
          <w:b/>
        </w:rPr>
        <w:t>Subordinate Legislation Act 1994</w:t>
      </w:r>
    </w:p>
    <w:p w14:paraId="60599FC7" w14:textId="77777777" w:rsidR="00E752DE" w:rsidRDefault="00E752DE" w:rsidP="00E752DE">
      <w:pPr>
        <w:jc w:val="center"/>
        <w:rPr>
          <w:b/>
        </w:rPr>
      </w:pPr>
    </w:p>
    <w:p w14:paraId="69537FEA" w14:textId="77777777" w:rsidR="00E752DE" w:rsidRDefault="00E752DE" w:rsidP="00E752DE">
      <w:pPr>
        <w:jc w:val="center"/>
        <w:rPr>
          <w:b/>
        </w:rPr>
      </w:pPr>
      <w:r>
        <w:rPr>
          <w:b/>
        </w:rPr>
        <w:t>Draft Human Rights Certificate</w:t>
      </w:r>
    </w:p>
    <w:p w14:paraId="435F200E" w14:textId="77777777" w:rsidR="00E752DE" w:rsidRDefault="00E752DE" w:rsidP="00E752DE">
      <w:pPr>
        <w:jc w:val="center"/>
      </w:pPr>
      <w:r>
        <w:t>(Section 12A)</w:t>
      </w:r>
    </w:p>
    <w:p w14:paraId="276D24B0" w14:textId="77777777" w:rsidR="00E752DE" w:rsidRDefault="00E752DE" w:rsidP="00E752DE">
      <w:pPr>
        <w:jc w:val="center"/>
        <w:rPr>
          <w:b/>
        </w:rPr>
      </w:pPr>
      <w:r>
        <w:rPr>
          <w:b/>
        </w:rPr>
        <w:t>Environment Protection Regulations 2020</w:t>
      </w:r>
    </w:p>
    <w:p w14:paraId="21252A1D" w14:textId="77777777" w:rsidR="00E752DE" w:rsidRDefault="00E752DE" w:rsidP="00E752DE">
      <w:pPr>
        <w:pStyle w:val="LDStandardBodyText"/>
      </w:pPr>
    </w:p>
    <w:p w14:paraId="29CD5A87" w14:textId="77777777" w:rsidR="00E752DE" w:rsidRDefault="00E752DE" w:rsidP="00E752DE">
      <w:pPr>
        <w:pStyle w:val="LDStandardBodyText"/>
      </w:pPr>
      <w:r>
        <w:t xml:space="preserve">I, Lily D'Ambrosio, Minister for Energy, Environment and Climate Change, and Minister responsible for administering the </w:t>
      </w:r>
      <w:r>
        <w:rPr>
          <w:b/>
        </w:rPr>
        <w:t>Environment Protection Act 2017</w:t>
      </w:r>
      <w:r>
        <w:t xml:space="preserve"> certify under section 12A(2) of the </w:t>
      </w:r>
      <w:r>
        <w:rPr>
          <w:b/>
        </w:rPr>
        <w:t>Subordinate Legislation Act 1994</w:t>
      </w:r>
      <w:r>
        <w:t xml:space="preserve"> that, in my opinion, the proposed Environment Protection Regulations 2020 may limit human rights set out in the </w:t>
      </w:r>
      <w:r>
        <w:rPr>
          <w:b/>
        </w:rPr>
        <w:t>Charter of Human Rights and Responsibilities Act 2006</w:t>
      </w:r>
      <w:r>
        <w:t xml:space="preserve"> as follows.</w:t>
      </w:r>
    </w:p>
    <w:p w14:paraId="4616A52A" w14:textId="77777777" w:rsidR="00E752DE" w:rsidRDefault="00E752DE" w:rsidP="00E752DE">
      <w:pPr>
        <w:pStyle w:val="LDStandardBodyText"/>
      </w:pPr>
      <w:r>
        <w:t xml:space="preserve">The Environment Protection Regulations give effect to the </w:t>
      </w:r>
      <w:r>
        <w:rPr>
          <w:b/>
        </w:rPr>
        <w:t>Environment Protection Act 2017</w:t>
      </w:r>
      <w:r>
        <w:t xml:space="preserve"> by imposing obligations in relation to environmental protection, pollution incidents, contaminated land and waste; specifying matters in relation to litter, water, air, land, noise and vehicle emissions; and banning thin single-use plastic shopping bags.</w:t>
      </w:r>
    </w:p>
    <w:p w14:paraId="6DCB17F8" w14:textId="77777777" w:rsidR="00E752DE" w:rsidRDefault="00E752DE" w:rsidP="00E752DE">
      <w:pPr>
        <w:pStyle w:val="VGSOHdg2"/>
      </w:pPr>
      <w:r>
        <w:t>Freedom of expression</w:t>
      </w:r>
    </w:p>
    <w:p w14:paraId="23636B86" w14:textId="77777777" w:rsidR="00E752DE" w:rsidRPr="00E011DB" w:rsidRDefault="00E752DE" w:rsidP="00E752DE">
      <w:pPr>
        <w:pStyle w:val="LDStandardBodyText"/>
      </w:pPr>
      <w:r>
        <w:t>Section 15(2) of the Charter provides that every person has the right to freedom of expression, which includes the freedom to seek, receive and impart information and ideas of all kinds, whether by way of art or in another medium chosen by them.  Section 15(3) provides that special duties and responsibilities are attached to the right to freedom of expression and that the right may be subject to lawful restrictions reasonably necessary to respect the rights of other persons and for the protection of national security, public order, public health or public morality.  If one of these internal qualifications applies, the right will not be limited.  The Regulations contain some provisions that interfere with this right and other rights; however, in my view they do not actually limit these rights and, if they do, the limitations are reasonable and justifiable.</w:t>
      </w:r>
    </w:p>
    <w:p w14:paraId="3820B2D8" w14:textId="77777777" w:rsidR="00E752DE" w:rsidRDefault="00E752DE" w:rsidP="00E752DE">
      <w:pPr>
        <w:pStyle w:val="VGSOHdg3"/>
      </w:pPr>
      <w:r>
        <w:t>Unreasonable noise</w:t>
      </w:r>
    </w:p>
    <w:p w14:paraId="5979E707" w14:textId="77777777" w:rsidR="00E752DE" w:rsidRDefault="00E752DE" w:rsidP="00E752DE">
      <w:pPr>
        <w:pStyle w:val="LDStandardBodyText"/>
      </w:pPr>
      <w:r>
        <w:t xml:space="preserve">Part 5.3 of the Regulations addresses noise pollution and prescribes items and times during which noise resulting from the use of those items in residential premises is taken to be 'unreasonable' for the purpose of s3(1) of the </w:t>
      </w:r>
      <w:r>
        <w:rPr>
          <w:b/>
        </w:rPr>
        <w:t>Environment Protection Act 2017</w:t>
      </w:r>
      <w:r>
        <w:t xml:space="preserve"> (and therefore an offence).  For example, a lawn mower may not be used before 7am and after 8pm on weekdays, or before 9am and after 8pm on weekends and public holidays; and a domestic air conditioner may not be used before 7am and after 11pm on weekdays, and before 9am and after 11pm on weekends and public holidays (except when a heat health alert is in effect, in which case the prohibited times do not apply).  Further, the use of a musical instrument, radio or television on residential premises before 7am and after 10pm on Monday to Thursday, before 7am and after 11pm on Fridays, before 9am and after 11pm on Saturdays and public holidays, and before 9am and after 10pm on Sundays will be an offence if the noise can be heard in a habitable room in any other residential premises.  Part 5.3 also places certain restrictions on noise levels and operating time periods for entertainment venues. </w:t>
      </w:r>
      <w:r w:rsidRPr="004646A5">
        <w:t>The Regulations (regulation 16 and Schedule 1, item 77 (L06 - Conducting more than six outdoor concerts)</w:t>
      </w:r>
      <w:r>
        <w:t>)</w:t>
      </w:r>
      <w:r w:rsidRPr="004646A5">
        <w:t xml:space="preserve"> also require a</w:t>
      </w:r>
      <w:r>
        <w:t>n EPA</w:t>
      </w:r>
      <w:r w:rsidRPr="004646A5">
        <w:t xml:space="preserve"> permit to conduct more than six outdoor entertainment events at an outdoor entertainment venue in a financial year.</w:t>
      </w:r>
    </w:p>
    <w:p w14:paraId="34A0DA39" w14:textId="77777777" w:rsidR="00E752DE" w:rsidRDefault="00E752DE" w:rsidP="00E752DE">
      <w:pPr>
        <w:pStyle w:val="LDStandardBodyText"/>
      </w:pPr>
      <w:r>
        <w:t>These provisions may interfere with the right to freedom of expression to the extent that they restrict artistic expression or limit a person's ability to receive or impart ideas and information.  They may also interfere with the right not to have one's privacy, family, home or correspondence unlawfully or arbitrarily interfered with; the right to equality (to the extent that some of the restrictions may disadvantage people with disabilities, for example, with respect to heating and cooling equipment); the right to freedom of religion and belief, as well as cultural rights (for example, with respect to the restrictions on the use of instruments and sound systems).</w:t>
      </w:r>
    </w:p>
    <w:p w14:paraId="19E09F04" w14:textId="77777777" w:rsidR="00E752DE" w:rsidRDefault="00E752DE" w:rsidP="00E752DE">
      <w:pPr>
        <w:pStyle w:val="LDStandardBodyText"/>
      </w:pPr>
      <w:r>
        <w:t xml:space="preserve">In my view, these rights are not limited by the Regulations or, if they are limited, are limited in a reasonable and justifiable way under s 7(2) of the Charter.  The purpose of the prescribed restrictions is to protect people from the adverse health and amenity impacts of being exposed to unreasonable noise in their home (for example, sleep disturbances and associated physical and mental health impacts).  The right to freedom of expression is not limited because the restrictions are reasonably necessary to protect the rights of other persons and public health more broadly, and therefore fall within the internal qualification on the right to freedom of expression as set out in s 15(3) of the Charter.  Similarly, the right to privacy is not limited because the restrictions are lawful and not arbitrary.  To the extent that the rights to equality, freedom of religion and cultural rights may be limited by the prescribed restrictions, in my view any such limitations are reasonable and justified.  As set out above, the purpose of the restrictions is to protect people from the adverse health and amenity impacts of unreasonable noise.  The restrictions are directly relevant and proportionate to this purpose, and are based on a range of data regarding the nature and scale of the residential noise problem in Victoria.  </w:t>
      </w:r>
      <w:r w:rsidRPr="00717826">
        <w:rPr>
          <w:rFonts w:cs="Segoe UI"/>
        </w:rPr>
        <w:t>Further, there are no less restrictive means reasonably available to achieve this purpose.</w:t>
      </w:r>
      <w:r>
        <w:rPr>
          <w:rFonts w:cs="Segoe UI"/>
        </w:rPr>
        <w:t xml:space="preserve"> </w:t>
      </w:r>
      <w:r w:rsidRPr="00717826">
        <w:rPr>
          <w:rFonts w:cs="Segoe UI"/>
        </w:rPr>
        <w:t xml:space="preserve"> </w:t>
      </w:r>
      <w:r>
        <w:t>Accordingly, I consider that the regulations with respect to noise pollution are compatible with the rights set out in the Charter.</w:t>
      </w:r>
    </w:p>
    <w:p w14:paraId="59411BEB" w14:textId="77777777" w:rsidR="00E752DE" w:rsidRDefault="00E752DE" w:rsidP="00E752DE">
      <w:pPr>
        <w:pStyle w:val="VGSOHdg3"/>
      </w:pPr>
      <w:r>
        <w:t>Unsolicited documents</w:t>
      </w:r>
    </w:p>
    <w:p w14:paraId="31D8DA71" w14:textId="77777777" w:rsidR="00E752DE" w:rsidRDefault="00E752DE" w:rsidP="00E752DE">
      <w:pPr>
        <w:pStyle w:val="LDStandardBodyText"/>
      </w:pPr>
      <w:r>
        <w:t xml:space="preserve">Division 1 of Part 4.1 makes it an offence to deposit an unsolicited document in, on or at, or affix it to, premises or a place if it is not deposited or affixed in a receptacle or location suitable for the deposit of documents, or if it is deposited in a receptacle that is visibly marked "No Advertising Material" or "No Junk Mail".  An 'unsolicited document' does not include material with a political purpose, but may include advertising material and posters.  To the extent that these provisions may interfere with a person's ability to impart ideas, they may limit the right to freedom of expression.  Further, depending on the nature of the material, the provisions may engage the right to freedom of religion and belief.  </w:t>
      </w:r>
    </w:p>
    <w:p w14:paraId="6740F33F" w14:textId="77777777" w:rsidR="00E752DE" w:rsidRPr="00510EAB" w:rsidRDefault="00E752DE" w:rsidP="00E752DE">
      <w:pPr>
        <w:pStyle w:val="LDStandardBodyText"/>
      </w:pPr>
      <w:r>
        <w:t xml:space="preserve">In my view, any limitation occasioned by the restrictions on depositing unsolicited documents is reasonable and </w:t>
      </w:r>
      <w:r w:rsidRPr="00717826">
        <w:t>justified under s 7(2) of the Charter in light</w:t>
      </w:r>
      <w:r>
        <w:t xml:space="preserve"> of the purpose of these provisions to reduce unnecessary litter and consequently protect the environment and public health</w:t>
      </w:r>
      <w:r w:rsidRPr="00717826">
        <w:t>, and the fact that there are no less restrictive means reasonably available to achieve the purpose</w:t>
      </w:r>
      <w:r>
        <w:t>.</w:t>
      </w:r>
    </w:p>
    <w:p w14:paraId="656B1E24" w14:textId="77777777" w:rsidR="003A3F78" w:rsidRDefault="003A3F78">
      <w:pPr>
        <w:spacing w:after="0"/>
      </w:pPr>
      <w:r>
        <w:br w:type="page"/>
      </w:r>
    </w:p>
    <w:p w14:paraId="656B1E25" w14:textId="77777777" w:rsidR="003A3F78" w:rsidRDefault="003A3F78" w:rsidP="00CB1191"/>
    <w:p w14:paraId="656B1E26" w14:textId="77777777" w:rsidR="003A3F78" w:rsidRDefault="003A3F78" w:rsidP="003A3F78">
      <w:pPr>
        <w:jc w:val="center"/>
        <w:rPr>
          <w:rFonts w:ascii="Segoe UI" w:hAnsi="Segoe UI"/>
          <w:b/>
        </w:rPr>
      </w:pPr>
      <w:r>
        <w:rPr>
          <w:b/>
        </w:rPr>
        <w:t>Subordinate Legislation Act 1994</w:t>
      </w:r>
    </w:p>
    <w:p w14:paraId="656B1E27" w14:textId="77777777" w:rsidR="003A3F78" w:rsidRDefault="003A3F78" w:rsidP="003A3F78">
      <w:pPr>
        <w:jc w:val="center"/>
        <w:rPr>
          <w:b/>
        </w:rPr>
      </w:pPr>
    </w:p>
    <w:p w14:paraId="656B1E28" w14:textId="77777777" w:rsidR="003A3F78" w:rsidRDefault="003A3F78" w:rsidP="003A3F78">
      <w:pPr>
        <w:jc w:val="center"/>
        <w:rPr>
          <w:b/>
        </w:rPr>
      </w:pPr>
      <w:r>
        <w:rPr>
          <w:b/>
        </w:rPr>
        <w:t>Draft Human Rights Certificate</w:t>
      </w:r>
    </w:p>
    <w:p w14:paraId="656B1E29" w14:textId="77777777" w:rsidR="003A3F78" w:rsidRDefault="003A3F78" w:rsidP="003A3F78">
      <w:pPr>
        <w:jc w:val="center"/>
      </w:pPr>
      <w:r>
        <w:t>(Section 12A)</w:t>
      </w:r>
    </w:p>
    <w:p w14:paraId="656B1E2A" w14:textId="77777777" w:rsidR="003A3F78" w:rsidRDefault="003A3F78" w:rsidP="003A3F78">
      <w:pPr>
        <w:jc w:val="center"/>
      </w:pPr>
    </w:p>
    <w:p w14:paraId="656B1E2B" w14:textId="77777777" w:rsidR="003A3F78" w:rsidRDefault="003A3F78" w:rsidP="003A3F78">
      <w:pPr>
        <w:jc w:val="center"/>
        <w:rPr>
          <w:b/>
        </w:rPr>
      </w:pPr>
      <w:r>
        <w:rPr>
          <w:b/>
        </w:rPr>
        <w:t>Environment Protection Transitional Regulations 2019</w:t>
      </w:r>
    </w:p>
    <w:p w14:paraId="656B1E2C" w14:textId="77777777" w:rsidR="003A3F78" w:rsidRDefault="003A3F78" w:rsidP="003A3F78">
      <w:pPr>
        <w:pStyle w:val="LDStandardBodyText"/>
      </w:pPr>
    </w:p>
    <w:p w14:paraId="656B1E2D" w14:textId="77777777" w:rsidR="003A3F78" w:rsidRDefault="003A3F78" w:rsidP="003A3F78">
      <w:pPr>
        <w:pStyle w:val="LDStandardBodyText"/>
      </w:pPr>
      <w:r>
        <w:t xml:space="preserve">I, Lily D'Ambrosio, Minister for Energy, Environment and Climate Change, and Minister responsible for administering the </w:t>
      </w:r>
      <w:r>
        <w:rPr>
          <w:b/>
        </w:rPr>
        <w:t>Environment Protection Act 2017</w:t>
      </w:r>
      <w:r>
        <w:t xml:space="preserve"> certify under section 12A(2) of the </w:t>
      </w:r>
      <w:r>
        <w:rPr>
          <w:b/>
        </w:rPr>
        <w:t>Subordinate Legislation Act 1994</w:t>
      </w:r>
      <w:r>
        <w:t xml:space="preserve"> that, in my opinion, the proposed Environment Protection Transitional Regulations 2019 does not limit any human right set out in the </w:t>
      </w:r>
      <w:r>
        <w:rPr>
          <w:b/>
        </w:rPr>
        <w:t>Charter of Human Rights and Responsibilities Act 2006</w:t>
      </w:r>
      <w:r>
        <w:t>.</w:t>
      </w:r>
    </w:p>
    <w:p w14:paraId="656B1E2E" w14:textId="77777777" w:rsidR="003A3F78" w:rsidRPr="00CB1191" w:rsidRDefault="003A3F78" w:rsidP="00CB1191"/>
    <w:p w14:paraId="656B1E2F" w14:textId="77777777" w:rsidR="005B00B8" w:rsidRPr="002C378C" w:rsidRDefault="00BF4216" w:rsidP="00D66FCE">
      <w:pPr>
        <w:pStyle w:val="Heading1un-numbered"/>
      </w:pPr>
      <w:bookmarkStart w:id="2062" w:name="_Toc12892360"/>
      <w:r w:rsidRPr="002C378C">
        <w:t>Limitation of our work</w:t>
      </w:r>
      <w:bookmarkEnd w:id="2025"/>
      <w:bookmarkEnd w:id="2026"/>
      <w:bookmarkEnd w:id="2027"/>
      <w:bookmarkEnd w:id="2028"/>
      <w:bookmarkEnd w:id="2029"/>
      <w:bookmarkEnd w:id="2030"/>
      <w:bookmarkEnd w:id="2031"/>
      <w:bookmarkEnd w:id="2032"/>
      <w:bookmarkEnd w:id="2058"/>
      <w:bookmarkEnd w:id="2059"/>
      <w:bookmarkEnd w:id="2060"/>
      <w:bookmarkEnd w:id="2062"/>
    </w:p>
    <w:p w14:paraId="656B1E30" w14:textId="77777777" w:rsidR="00BF4216" w:rsidRPr="002C378C" w:rsidRDefault="00BF4216" w:rsidP="00982D63">
      <w:pPr>
        <w:pStyle w:val="Heading2"/>
        <w:numPr>
          <w:ilvl w:val="0"/>
          <w:numId w:val="0"/>
        </w:numPr>
        <w:ind w:left="576"/>
      </w:pPr>
      <w:bookmarkStart w:id="2063" w:name="_Toc463002440"/>
      <w:bookmarkStart w:id="2064" w:name="_Toc472586354"/>
      <w:bookmarkStart w:id="2065" w:name="_Toc482168132"/>
      <w:bookmarkStart w:id="2066" w:name="_Toc482174917"/>
      <w:bookmarkStart w:id="2067" w:name="_Toc525554728"/>
      <w:bookmarkStart w:id="2068" w:name="_Toc536055020"/>
      <w:r w:rsidRPr="002C378C">
        <w:t>General use restriction</w:t>
      </w:r>
      <w:bookmarkEnd w:id="2063"/>
      <w:bookmarkEnd w:id="2064"/>
      <w:bookmarkEnd w:id="2065"/>
      <w:bookmarkEnd w:id="2066"/>
      <w:bookmarkEnd w:id="2067"/>
      <w:bookmarkEnd w:id="2068"/>
    </w:p>
    <w:p w14:paraId="656B1E31" w14:textId="049B886D" w:rsidR="00DF06E9" w:rsidRPr="002C378C" w:rsidRDefault="00BF4216" w:rsidP="00ED173F">
      <w:pPr>
        <w:mirrorIndents/>
        <w:rPr>
          <w:rFonts w:cs="Segoe UI Light"/>
        </w:rPr>
      </w:pPr>
      <w:r w:rsidRPr="002C378C">
        <w:rPr>
          <w:rFonts w:cs="Segoe UI Light"/>
        </w:rPr>
        <w:t xml:space="preserve">This report is prepared solely for the use of </w:t>
      </w:r>
      <w:r w:rsidR="00BF4D06" w:rsidRPr="00D66FCE">
        <w:rPr>
          <w:rFonts w:cs="Segoe UI Light"/>
        </w:rPr>
        <w:t>Environment Protection Authority Victoria</w:t>
      </w:r>
      <w:r w:rsidR="00E752DE">
        <w:rPr>
          <w:rFonts w:cs="Segoe UI Light"/>
        </w:rPr>
        <w:t xml:space="preserve"> and the Department of Environment, Land, Water and Planning</w:t>
      </w:r>
      <w:r w:rsidRPr="002C378C">
        <w:rPr>
          <w:rFonts w:cs="Segoe UI Light"/>
        </w:rPr>
        <w:t>. This report is not intended to and should not be used or relied upon by anyone else and we accept no duty of care to any other person or entity. The report has been prepared for the purpose of</w:t>
      </w:r>
      <w:r w:rsidR="004D21C7" w:rsidRPr="002C378C">
        <w:rPr>
          <w:rFonts w:cs="Segoe UI Light"/>
        </w:rPr>
        <w:t xml:space="preserve"> </w:t>
      </w:r>
      <w:r w:rsidR="00BF4D06" w:rsidRPr="00D66FCE">
        <w:rPr>
          <w:rFonts w:cs="Segoe UI Light"/>
        </w:rPr>
        <w:t xml:space="preserve">assessing the </w:t>
      </w:r>
      <w:r w:rsidR="005F58DF" w:rsidRPr="00D66FCE">
        <w:rPr>
          <w:rFonts w:cs="Segoe UI Light"/>
        </w:rPr>
        <w:t xml:space="preserve">impact of </w:t>
      </w:r>
      <w:r w:rsidR="00BF4D06" w:rsidRPr="00D66FCE">
        <w:rPr>
          <w:rFonts w:cs="Segoe UI Light"/>
        </w:rPr>
        <w:t xml:space="preserve">draft Environment Protection Regulations </w:t>
      </w:r>
      <w:r w:rsidR="00140866" w:rsidRPr="00D66FCE">
        <w:rPr>
          <w:rFonts w:cs="Segoe UI Light"/>
        </w:rPr>
        <w:t>20</w:t>
      </w:r>
      <w:r w:rsidR="00140866">
        <w:rPr>
          <w:rFonts w:cs="Segoe UI Light"/>
        </w:rPr>
        <w:t>19</w:t>
      </w:r>
      <w:r w:rsidRPr="002C378C">
        <w:rPr>
          <w:rFonts w:cs="Segoe UI Light"/>
        </w:rPr>
        <w:t>. You should not refer to or use our name or the advice for any other purpose</w:t>
      </w:r>
      <w:r w:rsidR="00D35051">
        <w:rPr>
          <w:rFonts w:cs="Segoe UI Light"/>
        </w:rPr>
        <w:t>.</w:t>
      </w:r>
    </w:p>
    <w:p w14:paraId="656B1E32" w14:textId="77777777" w:rsidR="00D01239" w:rsidRPr="002C378C" w:rsidRDefault="00D01239" w:rsidP="00ED173F">
      <w:pPr>
        <w:mirrorIndents/>
        <w:rPr>
          <w:rFonts w:cs="Segoe UI Light"/>
        </w:rPr>
      </w:pPr>
    </w:p>
    <w:tbl>
      <w:tblPr>
        <w:tblStyle w:val="TableGrid"/>
        <w:tblpPr w:horzAnchor="margin" w:tblpYSpec="bottom"/>
        <w:tblOverlap w:val="never"/>
        <w:tblW w:w="9185" w:type="dxa"/>
        <w:tblLook w:val="04A0" w:firstRow="1" w:lastRow="0" w:firstColumn="1" w:lastColumn="0" w:noHBand="0" w:noVBand="1"/>
      </w:tblPr>
      <w:tblGrid>
        <w:gridCol w:w="9185"/>
      </w:tblGrid>
      <w:tr w:rsidR="00493AF9" w:rsidRPr="002C378C" w14:paraId="656B1E45" w14:textId="77777777" w:rsidTr="00040A06">
        <w:trPr>
          <w:cnfStyle w:val="100000000000" w:firstRow="1" w:lastRow="0" w:firstColumn="0" w:lastColumn="0" w:oddVBand="0" w:evenVBand="0" w:oddHBand="0" w:evenHBand="0" w:firstRowFirstColumn="0" w:firstRowLastColumn="0" w:lastRowFirstColumn="0" w:lastRowLastColumn="0"/>
          <w:trHeight w:val="6379"/>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56B1E33" w14:textId="77777777" w:rsidR="00493AF9" w:rsidRPr="002C378C" w:rsidRDefault="00493AF9" w:rsidP="00ED173F">
            <w:pPr>
              <w:pStyle w:val="Legaltext"/>
              <w:mirrorIndents/>
              <w:rPr>
                <w:rFonts w:cs="Segoe UI Light"/>
              </w:rPr>
            </w:pPr>
          </w:p>
          <w:p w14:paraId="656B1E34" w14:textId="77777777" w:rsidR="00CC75FD" w:rsidRPr="002C378C" w:rsidRDefault="00CC75FD" w:rsidP="00ED173F">
            <w:pPr>
              <w:pStyle w:val="Legaltext"/>
              <w:mirrorIndents/>
              <w:rPr>
                <w:rFonts w:cs="Segoe UI Light"/>
              </w:rPr>
            </w:pPr>
          </w:p>
          <w:p w14:paraId="656B1E35" w14:textId="77777777" w:rsidR="00CC75FD" w:rsidRPr="002C378C" w:rsidRDefault="00CC75FD" w:rsidP="00ED173F">
            <w:pPr>
              <w:pStyle w:val="Legaltext"/>
              <w:mirrorIndents/>
              <w:rPr>
                <w:rFonts w:cs="Segoe UI Light"/>
              </w:rPr>
            </w:pPr>
            <w:r w:rsidRPr="002C378C">
              <w:rPr>
                <w:rFonts w:cs="Segoe UI Light"/>
              </w:rPr>
              <w:t>Deloitte refers to one or more of Deloitte Touche Tohmatsu Limited, a UK private company limited by guarantee, and its network of member firms, each of which is a legally separate and independent entity. Please see www.deloitte.com/au/about for a detailed description of the legal structure of Deloitte Touche Tohmatsu Limited and its member firms.</w:t>
            </w:r>
          </w:p>
          <w:p w14:paraId="656B1E36" w14:textId="77777777" w:rsidR="00CC75FD" w:rsidRPr="002C378C" w:rsidRDefault="00CC75FD" w:rsidP="00ED173F">
            <w:pPr>
              <w:pStyle w:val="Legaltext"/>
              <w:mirrorIndents/>
              <w:rPr>
                <w:rFonts w:cs="Segoe UI Light"/>
              </w:rPr>
            </w:pPr>
          </w:p>
          <w:p w14:paraId="656B1E37" w14:textId="77777777" w:rsidR="00CC75FD" w:rsidRPr="002C378C" w:rsidRDefault="00CC75FD" w:rsidP="00ED173F">
            <w:pPr>
              <w:pStyle w:val="Legaltext"/>
              <w:mirrorIndents/>
              <w:rPr>
                <w:rFonts w:cs="Segoe UI Light"/>
              </w:rPr>
            </w:pPr>
            <w:r w:rsidRPr="002C378C">
              <w:rPr>
                <w:rFonts w:cs="Segoe UI Light"/>
              </w:rPr>
              <w:t>The entity named herein is a legally separate and independent entity. In providing this document, the author only acts in the named capacity and does not act in any other capacity. Nothing in this document, nor any related attachments or communications or services, have any capacity to bind any other entity under the ‘Deloitte’ network of member firms (including those operating in Australia).</w:t>
            </w:r>
          </w:p>
          <w:p w14:paraId="656B1E38" w14:textId="77777777" w:rsidR="00CC75FD" w:rsidRPr="002C378C" w:rsidRDefault="00CC75FD" w:rsidP="00ED173F">
            <w:pPr>
              <w:pStyle w:val="Legaltext"/>
              <w:mirrorIndents/>
              <w:rPr>
                <w:rFonts w:cs="Segoe UI Light"/>
              </w:rPr>
            </w:pPr>
          </w:p>
          <w:p w14:paraId="656B1E39" w14:textId="77777777" w:rsidR="00CC75FD" w:rsidRPr="002C378C" w:rsidRDefault="00CC75FD" w:rsidP="00ED173F">
            <w:pPr>
              <w:pStyle w:val="Legaltext"/>
              <w:mirrorIndents/>
              <w:rPr>
                <w:rFonts w:cs="Segoe UI Light"/>
                <w:b/>
              </w:rPr>
            </w:pPr>
            <w:r w:rsidRPr="002C378C">
              <w:rPr>
                <w:rFonts w:cs="Segoe UI Light"/>
                <w:b/>
              </w:rPr>
              <w:t>About Deloitte</w:t>
            </w:r>
          </w:p>
          <w:p w14:paraId="656B1E3A" w14:textId="77777777" w:rsidR="00CC75FD" w:rsidRPr="002C378C" w:rsidRDefault="00CC75FD" w:rsidP="00ED173F">
            <w:pPr>
              <w:pStyle w:val="Legaltext"/>
              <w:mirrorIndents/>
              <w:rPr>
                <w:rFonts w:cs="Segoe UI Light"/>
              </w:rPr>
            </w:pPr>
            <w:r w:rsidRPr="002C378C">
              <w:rPr>
                <w:rFonts w:cs="Segoe UI Light"/>
              </w:rPr>
              <w:t>Deloitte provides audit, tax, consulting, and financial advisory services to public and private clients spanning multiple industries. With a globally connected network of member firms in more than 150 countries, Deloitte brings world-class capabilities and high-quality service to clients, delivering the insights they need to address their most complex business challenges. Deloitte's approximately 2</w:t>
            </w:r>
            <w:r w:rsidR="00C45436" w:rsidRPr="002C378C">
              <w:rPr>
                <w:rFonts w:cs="Segoe UI Light"/>
              </w:rPr>
              <w:t>44</w:t>
            </w:r>
            <w:r w:rsidRPr="002C378C">
              <w:rPr>
                <w:rFonts w:cs="Segoe UI Light"/>
              </w:rPr>
              <w:t>,000 professionals are committed to becoming the standard of excellence.</w:t>
            </w:r>
          </w:p>
          <w:p w14:paraId="656B1E3B" w14:textId="77777777" w:rsidR="00CC75FD" w:rsidRPr="002C378C" w:rsidRDefault="00CC75FD" w:rsidP="00ED173F">
            <w:pPr>
              <w:pStyle w:val="Legaltext"/>
              <w:mirrorIndents/>
              <w:rPr>
                <w:rFonts w:cs="Segoe UI Light"/>
              </w:rPr>
            </w:pPr>
          </w:p>
          <w:p w14:paraId="656B1E3C" w14:textId="77777777" w:rsidR="00CC75FD" w:rsidRPr="002C378C" w:rsidRDefault="00CC75FD" w:rsidP="00ED173F">
            <w:pPr>
              <w:pStyle w:val="Legaltext"/>
              <w:mirrorIndents/>
              <w:rPr>
                <w:rFonts w:cs="Segoe UI Light"/>
                <w:b/>
              </w:rPr>
            </w:pPr>
            <w:r w:rsidRPr="002C378C">
              <w:rPr>
                <w:rFonts w:cs="Segoe UI Light"/>
                <w:b/>
              </w:rPr>
              <w:t>About Deloitte Australia</w:t>
            </w:r>
          </w:p>
          <w:p w14:paraId="656B1E3D" w14:textId="77777777" w:rsidR="00CC75FD" w:rsidRPr="002C378C" w:rsidRDefault="00CC75FD" w:rsidP="00ED173F">
            <w:pPr>
              <w:pStyle w:val="Legaltext"/>
              <w:mirrorIndents/>
              <w:rPr>
                <w:rFonts w:cs="Segoe UI Light"/>
              </w:rPr>
            </w:pPr>
            <w:r w:rsidRPr="002C378C">
              <w:rPr>
                <w:rFonts w:cs="Segoe UI Light"/>
              </w:rPr>
              <w:t xml:space="preserve">In Australia, the member firm is the Australian partnership of Deloitte Touche Tohmatsu. As one of Australia’s leading professional services firms. Deloitte Touche Tohmatsu and its affiliates provide audit, tax, consulting, and financial advisory </w:t>
            </w:r>
            <w:r w:rsidR="00C45436" w:rsidRPr="002C378C">
              <w:rPr>
                <w:rFonts w:cs="Segoe UI Light"/>
              </w:rPr>
              <w:t>services through approximately 7,</w:t>
            </w:r>
            <w:r w:rsidRPr="002C378C">
              <w:rPr>
                <w:rFonts w:cs="Segoe UI Light"/>
              </w:rPr>
              <w:t>000 people across the country. Focused on the creation of value and growth, and known as an employer of choice for innovative human resources programs, we are dedicated to helping our clients and our people excel. For more information, please visit our web site at www.deloitte.com.au.</w:t>
            </w:r>
          </w:p>
          <w:p w14:paraId="656B1E3E" w14:textId="77777777" w:rsidR="00CC75FD" w:rsidRPr="002C378C" w:rsidRDefault="00CC75FD" w:rsidP="00ED173F">
            <w:pPr>
              <w:pStyle w:val="Legaltext"/>
              <w:mirrorIndents/>
              <w:rPr>
                <w:rFonts w:cs="Segoe UI Light"/>
              </w:rPr>
            </w:pPr>
          </w:p>
          <w:p w14:paraId="656B1E3F" w14:textId="77777777" w:rsidR="00CC75FD" w:rsidRPr="002C378C" w:rsidRDefault="00CC75FD" w:rsidP="00ED173F">
            <w:pPr>
              <w:pStyle w:val="Legaltext"/>
              <w:mirrorIndents/>
              <w:rPr>
                <w:rFonts w:cs="Segoe UI Light"/>
              </w:rPr>
            </w:pPr>
            <w:r w:rsidRPr="002C378C">
              <w:rPr>
                <w:rFonts w:cs="Segoe UI Light"/>
              </w:rPr>
              <w:t>Liability limited by a scheme approved under Professional Standards Legislation.</w:t>
            </w:r>
          </w:p>
          <w:p w14:paraId="656B1E40" w14:textId="77777777" w:rsidR="00CC75FD" w:rsidRPr="002C378C" w:rsidRDefault="00CC75FD" w:rsidP="00ED173F">
            <w:pPr>
              <w:pStyle w:val="Legaltext"/>
              <w:mirrorIndents/>
              <w:rPr>
                <w:rFonts w:cs="Segoe UI Light"/>
              </w:rPr>
            </w:pPr>
          </w:p>
          <w:p w14:paraId="656B1E41" w14:textId="77777777" w:rsidR="00CC75FD" w:rsidRPr="002C378C" w:rsidRDefault="00CC75FD" w:rsidP="00ED173F">
            <w:pPr>
              <w:pStyle w:val="Legaltext"/>
              <w:mirrorIndents/>
              <w:rPr>
                <w:rFonts w:cs="Segoe UI Light"/>
              </w:rPr>
            </w:pPr>
            <w:r w:rsidRPr="002C378C">
              <w:rPr>
                <w:rFonts w:cs="Segoe UI Light"/>
              </w:rPr>
              <w:t>Member of Deloitte Touche Tohmatsu Limited</w:t>
            </w:r>
          </w:p>
          <w:p w14:paraId="656B1E42" w14:textId="77777777" w:rsidR="00CC75FD" w:rsidRPr="002C378C" w:rsidRDefault="00CC75FD" w:rsidP="00ED173F">
            <w:pPr>
              <w:pStyle w:val="Legaltext"/>
              <w:mirrorIndents/>
              <w:rPr>
                <w:rFonts w:cs="Segoe UI Light"/>
              </w:rPr>
            </w:pPr>
          </w:p>
          <w:p w14:paraId="656B1E43" w14:textId="77777777" w:rsidR="00493AF9" w:rsidRPr="002C378C" w:rsidRDefault="00892E65" w:rsidP="00ED173F">
            <w:pPr>
              <w:pStyle w:val="Legaltext"/>
              <w:mirrorIndents/>
              <w:rPr>
                <w:rFonts w:cs="Segoe UI Light"/>
              </w:rPr>
            </w:pPr>
            <w:r w:rsidRPr="002C378C">
              <w:rPr>
                <w:rFonts w:cs="Segoe UI Light"/>
              </w:rPr>
              <w:t>© 201</w:t>
            </w:r>
            <w:r w:rsidR="00400785">
              <w:rPr>
                <w:rFonts w:cs="Segoe UI Light"/>
              </w:rPr>
              <w:t>9</w:t>
            </w:r>
            <w:r w:rsidR="00CC75FD" w:rsidRPr="002C378C">
              <w:rPr>
                <w:rFonts w:cs="Segoe UI Light"/>
              </w:rPr>
              <w:t xml:space="preserve"> Deloitte </w:t>
            </w:r>
            <w:r w:rsidR="004D21C7" w:rsidRPr="002C378C">
              <w:rPr>
                <w:rFonts w:cs="Segoe UI Light"/>
              </w:rPr>
              <w:t>Access Economics</w:t>
            </w:r>
            <w:r w:rsidR="00C45436" w:rsidRPr="002C378C">
              <w:rPr>
                <w:rFonts w:cs="Segoe UI Light"/>
              </w:rPr>
              <w:t xml:space="preserve"> Pty Ltd</w:t>
            </w:r>
          </w:p>
          <w:p w14:paraId="656B1E44" w14:textId="77777777" w:rsidR="00417D85" w:rsidRPr="002C378C" w:rsidRDefault="00417D85" w:rsidP="00ED173F">
            <w:pPr>
              <w:pStyle w:val="Legaltext"/>
              <w:spacing w:line="0" w:lineRule="atLeast"/>
              <w:mirrorIndents/>
              <w:rPr>
                <w:rFonts w:cs="Segoe UI Light"/>
                <w:sz w:val="2"/>
                <w:szCs w:val="2"/>
              </w:rPr>
            </w:pPr>
          </w:p>
        </w:tc>
      </w:tr>
    </w:tbl>
    <w:p w14:paraId="656B1E46" w14:textId="77777777" w:rsidR="00BF6F8B" w:rsidRPr="002C378C" w:rsidRDefault="00680CEC" w:rsidP="00ED173F">
      <w:pPr>
        <w:mirrorIndents/>
        <w:rPr>
          <w:rFonts w:cs="Segoe UI Light"/>
        </w:rPr>
      </w:pPr>
      <w:r w:rsidRPr="002C378C">
        <w:rPr>
          <w:rFonts w:cs="Segoe UI Light"/>
          <w:noProof/>
          <w:color w:val="2B579A"/>
          <w:shd w:val="clear" w:color="auto" w:fill="E6E6E6"/>
          <w:lang w:eastAsia="en-AU"/>
        </w:rPr>
        <mc:AlternateContent>
          <mc:Choice Requires="wps">
            <w:drawing>
              <wp:anchor distT="0" distB="0" distL="114300" distR="114300" simplePos="0" relativeHeight="251658280" behindDoc="1" locked="1" layoutInCell="1" allowOverlap="1" wp14:anchorId="656B1ED6" wp14:editId="656B1ED7">
                <wp:simplePos x="0" y="0"/>
                <wp:positionH relativeFrom="page">
                  <wp:posOffset>0</wp:posOffset>
                </wp:positionH>
                <wp:positionV relativeFrom="page">
                  <wp:posOffset>0</wp:posOffset>
                </wp:positionV>
                <wp:extent cx="7563600" cy="10695600"/>
                <wp:effectExtent l="0" t="0" r="0" b="0"/>
                <wp:wrapNone/>
                <wp:docPr id="643307994" name="Backpag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C7150" id="Backpage background" o:spid="_x0000_s1026" style="position:absolute;margin-left:0;margin-top:0;width:595.55pt;height:842.1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" stroked="f" strokeweight="1.5pt">
                <o:lock v:ext="edit" aspectratio="t"/>
                <v:textbox inset="7pt,7pt,7pt,7pt"/>
                <w10:wrap anchorx="page" anchory="page"/>
                <w10:anchorlock/>
              </v:rect>
            </w:pict>
          </mc:Fallback>
        </mc:AlternateContent>
      </w:r>
      <w:r w:rsidRPr="002C378C">
        <w:rPr>
          <w:rFonts w:cs="Segoe UI Light"/>
          <w:noProof/>
          <w:color w:val="2B579A"/>
          <w:shd w:val="clear" w:color="auto" w:fill="E6E6E6"/>
          <w:lang w:eastAsia="en-AU"/>
        </w:rPr>
        <mc:AlternateContent>
          <mc:Choice Requires="wps">
            <w:drawing>
              <wp:anchor distT="0" distB="0" distL="114300" distR="114300" simplePos="0" relativeHeight="251658279" behindDoc="1" locked="1" layoutInCell="1" allowOverlap="1" wp14:anchorId="656B1ED8" wp14:editId="656B1ED9">
                <wp:simplePos x="0" y="0"/>
                <wp:positionH relativeFrom="page">
                  <wp:posOffset>0</wp:posOffset>
                </wp:positionH>
                <wp:positionV relativeFrom="page">
                  <wp:posOffset>0</wp:posOffset>
                </wp:positionV>
                <wp:extent cx="7563600" cy="10695600"/>
                <wp:effectExtent l="0" t="0" r="0" b="0"/>
                <wp:wrapNone/>
                <wp:docPr id="1565245759" name="Backpag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440D8" id="Backpage background" o:spid="_x0000_s1026" style="position:absolute;margin-left:0;margin-top:0;width:595.55pt;height:842.1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" stroked="f" strokeweight="1.5pt">
                <o:lock v:ext="edit" aspectratio="t"/>
                <v:textbox inset="7pt,7pt,7pt,7pt"/>
                <w10:wrap anchorx="page" anchory="page"/>
                <w10:anchorlock/>
              </v:rect>
            </w:pict>
          </mc:Fallback>
        </mc:AlternateContent>
      </w:r>
      <w:r w:rsidRPr="002C378C">
        <w:rPr>
          <w:rFonts w:cs="Segoe UI Light"/>
          <w:noProof/>
          <w:color w:val="2B579A"/>
          <w:shd w:val="clear" w:color="auto" w:fill="E6E6E6"/>
          <w:lang w:eastAsia="en-AU"/>
        </w:rPr>
        <mc:AlternateContent>
          <mc:Choice Requires="wps">
            <w:drawing>
              <wp:anchor distT="0" distB="0" distL="114300" distR="114300" simplePos="0" relativeHeight="251658278" behindDoc="1" locked="1" layoutInCell="1" allowOverlap="1" wp14:anchorId="656B1EDA" wp14:editId="656B1EDB">
                <wp:simplePos x="0" y="0"/>
                <wp:positionH relativeFrom="page">
                  <wp:posOffset>0</wp:posOffset>
                </wp:positionH>
                <wp:positionV relativeFrom="page">
                  <wp:posOffset>0</wp:posOffset>
                </wp:positionV>
                <wp:extent cx="7563600" cy="10695600"/>
                <wp:effectExtent l="0" t="0" r="0" b="0"/>
                <wp:wrapNone/>
                <wp:docPr id="3" name="Backpag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BB4EE" id="Backpage background" o:spid="_x0000_s1026" style="position:absolute;margin-left:0;margin-top:0;width:595.55pt;height:842.1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" stroked="f" strokeweight="1.5pt">
                <o:lock v:ext="edit" aspectratio="t"/>
                <v:textbox inset="7pt,7pt,7pt,7pt"/>
                <w10:wrap anchorx="page" anchory="page"/>
                <w10:anchorlock/>
              </v:rect>
            </w:pict>
          </mc:Fallback>
        </mc:AlternateContent>
      </w:r>
    </w:p>
    <w:p w14:paraId="656B1E47" w14:textId="77777777" w:rsidR="007629C6" w:rsidRPr="002C378C" w:rsidRDefault="007629C6" w:rsidP="00ED173F">
      <w:pPr>
        <w:mirrorIndents/>
        <w:rPr>
          <w:rFonts w:cs="Segoe UI Light"/>
        </w:rPr>
      </w:pPr>
    </w:p>
    <w:sectPr w:rsidR="007629C6" w:rsidRPr="002C378C" w:rsidSect="00795E50">
      <w:pgSz w:w="11906" w:h="16838" w:code="9"/>
      <w:pgMar w:top="1985" w:right="1700" w:bottom="1134" w:left="851" w:header="680" w:footer="425"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15C5D" w14:textId="77777777" w:rsidR="000E72E9" w:rsidRDefault="000E72E9" w:rsidP="00C702C7">
      <w:pPr>
        <w:spacing w:line="240" w:lineRule="auto"/>
      </w:pPr>
      <w:r>
        <w:separator/>
      </w:r>
    </w:p>
    <w:p w14:paraId="36614D01" w14:textId="77777777" w:rsidR="000E72E9" w:rsidRDefault="000E72E9"/>
  </w:endnote>
  <w:endnote w:type="continuationSeparator" w:id="0">
    <w:p w14:paraId="54EFD563" w14:textId="77777777" w:rsidR="000E72E9" w:rsidRDefault="000E72E9" w:rsidP="00C702C7">
      <w:pPr>
        <w:spacing w:line="240" w:lineRule="auto"/>
      </w:pPr>
      <w:r>
        <w:continuationSeparator/>
      </w:r>
    </w:p>
    <w:p w14:paraId="0FDA06FE" w14:textId="77777777" w:rsidR="000E72E9" w:rsidRDefault="000E72E9"/>
  </w:endnote>
  <w:endnote w:type="continuationNotice" w:id="1">
    <w:p w14:paraId="681DA4F0" w14:textId="77777777" w:rsidR="000E72E9" w:rsidRDefault="000E72E9">
      <w:pPr>
        <w:spacing w:after="0" w:line="240" w:lineRule="auto"/>
      </w:pPr>
    </w:p>
    <w:p w14:paraId="544D750F" w14:textId="77777777" w:rsidR="000E72E9" w:rsidRDefault="000E7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02FF" w:usb1="5000785B" w:usb2="00000000" w:usb3="00000000" w:csb0="0000019F" w:csb1="00000000"/>
  </w:font>
  <w:font w:name="VIC-Regular">
    <w:altName w:val="V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kzidenzGroteskPro-Light">
    <w:altName w:val="Arial"/>
    <w:panose1 w:val="00000000000000000000"/>
    <w:charset w:val="A1"/>
    <w:family w:val="swiss"/>
    <w:notTrueType/>
    <w:pitch w:val="default"/>
    <w:sig w:usb0="00000081" w:usb1="00000000" w:usb2="00000000" w:usb3="00000000" w:csb0="00000008" w:csb1="00000000"/>
  </w:font>
  <w:font w:name="PT Serif">
    <w:altName w:val="Times New Roman"/>
    <w:charset w:val="00"/>
    <w:family w:val="auto"/>
    <w:pitch w:val="default"/>
  </w:font>
  <w:font w:name="Interstate-Light">
    <w:altName w:val="Arial"/>
    <w:panose1 w:val="00000000000000000000"/>
    <w:charset w:val="00"/>
    <w:family w:val="auto"/>
    <w:notTrueType/>
    <w:pitch w:val="variable"/>
    <w:sig w:usb0="00000083" w:usb1="00000000" w:usb2="00000000" w:usb3="00000000" w:csb0="00000009" w:csb1="00000000"/>
  </w:font>
  <w:font w:name="VIC">
    <w:panose1 w:val="00000500000000000000"/>
    <w:charset w:val="00"/>
    <w:family w:val="auto"/>
    <w:pitch w:val="variable"/>
    <w:sig w:usb0="00000007" w:usb1="00000000" w:usb2="00000000" w:usb3="00000000" w:csb0="00000093" w:csb1="00000000"/>
  </w:font>
  <w:font w:name="Arial,Times New Roman">
    <w:altName w:val="Arial"/>
    <w:panose1 w:val="00000000000000000000"/>
    <w:charset w:val="00"/>
    <w:family w:val="roman"/>
    <w:notTrueType/>
    <w:pitch w:val="default"/>
  </w:font>
  <w:font w:name="Arial,MS Minch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EEE" w14:textId="653647F3" w:rsidR="00E752DE" w:rsidRDefault="00E752DE">
    <w:pPr>
      <w:pStyle w:val="Footer"/>
      <w:rPr>
        <w:rStyle w:val="PageNumber"/>
        <w:sz w:val="20"/>
      </w:rPr>
    </w:pPr>
    <w:bookmarkStart w:id="22" w:name="PandNP5FooterEvenPages"/>
  </w:p>
  <w:p w14:paraId="656B1EEF" w14:textId="7083BA23" w:rsidR="00E752DE" w:rsidRDefault="00E752DE">
    <w:pPr>
      <w:pStyle w:val="Footer"/>
      <w:rPr>
        <w:rStyle w:val="PageNumber"/>
      </w:rPr>
    </w:pPr>
  </w:p>
  <w:bookmarkEnd w:id="22"/>
  <w:p w14:paraId="656B1EF0" w14:textId="34F8AFD3" w:rsidR="00E752DE" w:rsidRPr="00672300" w:rsidRDefault="00E752DE" w:rsidP="007D5503">
    <w:pPr>
      <w:pStyle w:val="Footer"/>
      <w:tabs>
        <w:tab w:val="clear" w:pos="7371"/>
        <w:tab w:val="left" w:pos="5700"/>
      </w:tabs>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vi</w:t>
    </w:r>
    <w:r w:rsidRPr="006C4F67">
      <w:rPr>
        <w:rStyle w:val="PageNumber"/>
      </w:rPr>
      <w:fldChar w:fldCharType="end"/>
    </w:r>
    <w:r>
      <w:rPr>
        <w:rStyle w:val="PageNumber"/>
      </w:rPr>
      <w:tab/>
    </w:r>
  </w:p>
  <w:p w14:paraId="656B1EF1" w14:textId="6C5AD80C" w:rsidR="00E752DE" w:rsidRDefault="00E752D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F30" w14:textId="77777777" w:rsidR="00E752DE" w:rsidRDefault="00E752DE" w:rsidP="00094CBC">
    <w:pPr>
      <w:pStyle w:val="Footer"/>
      <w:rPr>
        <w:rStyle w:val="PageNumber"/>
      </w:rPr>
    </w:pPr>
    <w:bookmarkStart w:id="2041" w:name="PandNP8FooterEvenPages"/>
  </w:p>
  <w:p w14:paraId="656B1F31" w14:textId="77777777" w:rsidR="00E752DE" w:rsidRDefault="00E752DE">
    <w:pPr>
      <w:pStyle w:val="Footer"/>
      <w:rPr>
        <w:rStyle w:val="PageNumber"/>
      </w:rPr>
    </w:pPr>
  </w:p>
  <w:bookmarkEnd w:id="2041"/>
  <w:p w14:paraId="656B1F32" w14:textId="467A656D" w:rsidR="00E752DE" w:rsidRPr="007E7D93" w:rsidRDefault="00E752DE">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364</w:t>
    </w:r>
    <w:r w:rsidRPr="006C4F67">
      <w:rPr>
        <w:rStyle w:val="PageNumber"/>
      </w:rPr>
      <w:fldChar w:fldCharType="end"/>
    </w:r>
  </w:p>
  <w:p w14:paraId="656B1F33" w14:textId="77777777" w:rsidR="00E752DE" w:rsidRDefault="00E752DE">
    <w:pPr>
      <w:pStyle w:val="Footer"/>
    </w:pPr>
  </w:p>
  <w:p w14:paraId="656B1F34" w14:textId="77777777" w:rsidR="00E752DE" w:rsidRDefault="00E752DE"/>
  <w:p w14:paraId="656B1F35" w14:textId="77777777" w:rsidR="00E752DE" w:rsidRDefault="00E752DE" w:rsidP="00094CBC">
    <w:pPr>
      <w:pStyle w:val="Footer"/>
      <w:rPr>
        <w:rStyle w:val="PageNumber"/>
      </w:rPr>
    </w:pPr>
  </w:p>
  <w:p w14:paraId="656B1F36" w14:textId="77777777" w:rsidR="00E752DE" w:rsidRDefault="00E752DE">
    <w:pPr>
      <w:pStyle w:val="Foote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F37" w14:textId="77777777" w:rsidR="00E752DE" w:rsidRDefault="00E752DE" w:rsidP="00094CBC">
    <w:pPr>
      <w:pStyle w:val="Footer"/>
      <w:rPr>
        <w:rStyle w:val="PageNumber"/>
      </w:rPr>
    </w:pPr>
    <w:bookmarkStart w:id="2042" w:name="PandNP8FooterPrimary"/>
  </w:p>
  <w:p w14:paraId="656B1F38" w14:textId="77777777" w:rsidR="00E752DE" w:rsidRDefault="00E752DE">
    <w:pPr>
      <w:pStyle w:val="Footer"/>
      <w:rPr>
        <w:rStyle w:val="PageNumber"/>
      </w:rPr>
    </w:pPr>
  </w:p>
  <w:bookmarkEnd w:id="2042"/>
  <w:p w14:paraId="656B1F39" w14:textId="79B25174" w:rsidR="00E752DE" w:rsidRPr="007E7D93" w:rsidRDefault="00E752DE"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363</w:t>
    </w:r>
    <w:r w:rsidRPr="006C4F67">
      <w:rPr>
        <w:rStyle w:val="PageNumber"/>
      </w:rPr>
      <w:fldChar w:fldCharType="end"/>
    </w:r>
  </w:p>
  <w:p w14:paraId="656B1F3A" w14:textId="77777777" w:rsidR="00E752DE" w:rsidRDefault="00E752D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F40" w14:textId="77777777" w:rsidR="00E752DE" w:rsidRDefault="00E752DE" w:rsidP="00094CBC">
    <w:pPr>
      <w:pStyle w:val="Footer"/>
      <w:rPr>
        <w:rStyle w:val="PageNumber"/>
      </w:rPr>
    </w:pPr>
    <w:bookmarkStart w:id="2043" w:name="PandNP8FooterFirstPage"/>
  </w:p>
  <w:p w14:paraId="656B1F41" w14:textId="77777777" w:rsidR="00E752DE" w:rsidRDefault="00E752DE">
    <w:pPr>
      <w:pStyle w:val="Footer"/>
      <w:rPr>
        <w:rStyle w:val="PageNumber"/>
      </w:rPr>
    </w:pPr>
  </w:p>
  <w:bookmarkEnd w:id="2043"/>
  <w:p w14:paraId="656B1F42" w14:textId="509099D2" w:rsidR="00E752DE" w:rsidRPr="007E7D93" w:rsidRDefault="00E752DE">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357</w:t>
    </w:r>
    <w:r w:rsidRPr="006C4F67">
      <w:rPr>
        <w:rStyle w:val="PageNumber"/>
      </w:rPr>
      <w:fldChar w:fldCharType="end"/>
    </w:r>
  </w:p>
  <w:p w14:paraId="656B1F43" w14:textId="77777777" w:rsidR="00E752DE" w:rsidRDefault="00E752DE">
    <w:pPr>
      <w:pStyle w:val="Footer"/>
    </w:pPr>
  </w:p>
  <w:p w14:paraId="656B1F44" w14:textId="77777777" w:rsidR="00E752DE" w:rsidRDefault="00E752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EF2" w14:textId="77777777" w:rsidR="00E752DE" w:rsidRDefault="00E752DE">
    <w:pPr>
      <w:pStyle w:val="Footer"/>
      <w:rPr>
        <w:rStyle w:val="PageNumber"/>
        <w:sz w:val="20"/>
      </w:rPr>
    </w:pPr>
    <w:bookmarkStart w:id="23" w:name="PandNP5FooterPrimary"/>
  </w:p>
  <w:p w14:paraId="656B1EF3" w14:textId="77777777" w:rsidR="00E752DE" w:rsidRDefault="00E752DE">
    <w:pPr>
      <w:pStyle w:val="Footer"/>
      <w:rPr>
        <w:rStyle w:val="PageNumber"/>
      </w:rPr>
    </w:pPr>
  </w:p>
  <w:bookmarkEnd w:id="23"/>
  <w:p w14:paraId="656B1EF4" w14:textId="77FC4764" w:rsidR="00E752DE" w:rsidRPr="00672300" w:rsidRDefault="00E752DE"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v</w:t>
    </w:r>
    <w:r w:rsidRPr="006C4F6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EF9" w14:textId="77777777" w:rsidR="00E752DE" w:rsidRDefault="00E752DE" w:rsidP="00094CBC">
    <w:pPr>
      <w:pStyle w:val="Footer"/>
      <w:rPr>
        <w:rStyle w:val="PageNumber"/>
      </w:rPr>
    </w:pPr>
    <w:bookmarkStart w:id="24" w:name="PandNP5FooterFirstPage"/>
  </w:p>
  <w:p w14:paraId="656B1EFA" w14:textId="77777777" w:rsidR="00E752DE" w:rsidRDefault="00E752DE" w:rsidP="00094CBC">
    <w:pPr>
      <w:pStyle w:val="Footer"/>
      <w:rPr>
        <w:rStyle w:val="PageNumber"/>
      </w:rPr>
    </w:pPr>
  </w:p>
  <w:bookmarkEnd w:id="24"/>
  <w:p w14:paraId="656B1EFB" w14:textId="1A91D512" w:rsidR="00E752DE" w:rsidRPr="00672300" w:rsidRDefault="00E752DE" w:rsidP="00094CBC">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i</w:t>
    </w:r>
    <w:r w:rsidRPr="006C4F67">
      <w:rPr>
        <w:rStyle w:val="PageNumber"/>
      </w:rPr>
      <w:fldChar w:fldCharType="end"/>
    </w:r>
  </w:p>
  <w:p w14:paraId="656B1EFC" w14:textId="77777777" w:rsidR="00E752DE" w:rsidRDefault="00E752DE" w:rsidP="00094C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F00" w14:textId="77777777" w:rsidR="00E752DE" w:rsidRDefault="00E752DE" w:rsidP="00094CBC">
    <w:pPr>
      <w:pStyle w:val="Footer"/>
      <w:rPr>
        <w:rStyle w:val="PageNumber"/>
      </w:rPr>
    </w:pPr>
    <w:bookmarkStart w:id="553" w:name="PandNP7FooterEvenPages"/>
  </w:p>
  <w:p w14:paraId="656B1F01" w14:textId="77777777" w:rsidR="00E752DE" w:rsidRDefault="00E752DE" w:rsidP="00094CBC">
    <w:pPr>
      <w:pStyle w:val="Footer"/>
      <w:rPr>
        <w:rStyle w:val="PageNumber"/>
      </w:rPr>
    </w:pPr>
  </w:p>
  <w:bookmarkEnd w:id="553"/>
  <w:p w14:paraId="656B1F02" w14:textId="3CF5A829" w:rsidR="00E752DE" w:rsidRPr="007E7D93" w:rsidRDefault="00E752DE" w:rsidP="00094CBC">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68</w:t>
    </w:r>
    <w:r w:rsidRPr="006C4F67">
      <w:rPr>
        <w:rStyle w:val="PageNumber"/>
      </w:rPr>
      <w:fldChar w:fldCharType="end"/>
    </w:r>
  </w:p>
  <w:p w14:paraId="656B1F03" w14:textId="77777777" w:rsidR="00E752DE" w:rsidRDefault="00E752DE" w:rsidP="00094C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F04" w14:textId="77777777" w:rsidR="00E752DE" w:rsidRDefault="00E752DE" w:rsidP="00094CBC">
    <w:pPr>
      <w:pStyle w:val="Footer"/>
      <w:rPr>
        <w:rStyle w:val="PageNumber"/>
      </w:rPr>
    </w:pPr>
    <w:bookmarkStart w:id="554" w:name="PandNP7FooterPrimary"/>
  </w:p>
  <w:p w14:paraId="656B1F05" w14:textId="77777777" w:rsidR="00E752DE" w:rsidRDefault="00E752DE" w:rsidP="00094CBC">
    <w:pPr>
      <w:pStyle w:val="Footer"/>
      <w:rPr>
        <w:rStyle w:val="PageNumber"/>
      </w:rPr>
    </w:pPr>
  </w:p>
  <w:bookmarkEnd w:id="554"/>
  <w:p w14:paraId="656B1F06" w14:textId="45929934" w:rsidR="00E752DE" w:rsidRPr="007E7D93" w:rsidRDefault="00E752DE"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67</w:t>
    </w:r>
    <w:r w:rsidRPr="006C4F6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F09" w14:textId="77777777" w:rsidR="00E752DE" w:rsidRDefault="00E752DE" w:rsidP="00094CBC">
    <w:pPr>
      <w:pStyle w:val="Footer"/>
      <w:rPr>
        <w:rStyle w:val="PageNumber"/>
      </w:rPr>
    </w:pPr>
    <w:bookmarkStart w:id="555" w:name="PandNP7FooterFirstPage"/>
  </w:p>
  <w:p w14:paraId="656B1F0A" w14:textId="77777777" w:rsidR="00E752DE" w:rsidRDefault="00E752DE" w:rsidP="00094CBC">
    <w:pPr>
      <w:pStyle w:val="Footer"/>
      <w:rPr>
        <w:rStyle w:val="PageNumber"/>
      </w:rPr>
    </w:pPr>
  </w:p>
  <w:bookmarkEnd w:id="555"/>
  <w:p w14:paraId="656B1F0B" w14:textId="77777777" w:rsidR="00E752DE" w:rsidRPr="007E7D93" w:rsidRDefault="00E752DE" w:rsidP="00094CBC">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10</w:t>
    </w:r>
    <w:r w:rsidRPr="006C4F67">
      <w:rPr>
        <w:rStyle w:val="PageNumber"/>
      </w:rPr>
      <w:fldChar w:fldCharType="end"/>
    </w:r>
  </w:p>
  <w:p w14:paraId="656B1F0C" w14:textId="77777777" w:rsidR="00E752DE" w:rsidRDefault="00E752DE" w:rsidP="00094C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11092" w14:textId="77777777" w:rsidR="00E752DE" w:rsidRDefault="00E752DE" w:rsidP="00094CBC">
    <w:pPr>
      <w:pStyle w:val="Footer"/>
      <w:rPr>
        <w:rStyle w:val="PageNumber"/>
      </w:rPr>
    </w:pPr>
  </w:p>
  <w:p w14:paraId="1B85B1C5" w14:textId="77777777" w:rsidR="00E752DE" w:rsidRDefault="00E752DE">
    <w:pPr>
      <w:pStyle w:val="Footer"/>
      <w:rPr>
        <w:rStyle w:val="PageNumber"/>
      </w:rPr>
    </w:pPr>
  </w:p>
  <w:p w14:paraId="73018870" w14:textId="46425956" w:rsidR="00E752DE" w:rsidRPr="007E7D93" w:rsidRDefault="00E752DE">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238</w:t>
    </w:r>
    <w:r w:rsidRPr="006C4F67">
      <w:rPr>
        <w:rStyle w:val="PageNumber"/>
      </w:rPr>
      <w:fldChar w:fldCharType="end"/>
    </w:r>
  </w:p>
  <w:p w14:paraId="1CDC2188" w14:textId="77777777" w:rsidR="00E752DE" w:rsidRDefault="00E752DE">
    <w:pPr>
      <w:pStyle w:val="Footer"/>
    </w:pPr>
  </w:p>
  <w:p w14:paraId="43FF2729" w14:textId="77777777" w:rsidR="00E752DE" w:rsidRDefault="00E752DE"/>
  <w:p w14:paraId="2E8E380C" w14:textId="77777777" w:rsidR="00E752DE" w:rsidRDefault="00E752DE" w:rsidP="00094CBC">
    <w:pPr>
      <w:pStyle w:val="Footer"/>
      <w:rPr>
        <w:rStyle w:val="PageNumber"/>
      </w:rPr>
    </w:pPr>
  </w:p>
  <w:p w14:paraId="2108EA45" w14:textId="77777777" w:rsidR="00E752DE" w:rsidRDefault="00E752DE">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2C2FF" w14:textId="77777777" w:rsidR="00E752DE" w:rsidRDefault="00E752DE" w:rsidP="00094CBC">
    <w:pPr>
      <w:pStyle w:val="Footer"/>
      <w:rPr>
        <w:rStyle w:val="PageNumber"/>
      </w:rPr>
    </w:pPr>
  </w:p>
  <w:p w14:paraId="7CAFB4BB" w14:textId="77777777" w:rsidR="00E752DE" w:rsidRDefault="00E752DE">
    <w:pPr>
      <w:pStyle w:val="Footer"/>
      <w:rPr>
        <w:rStyle w:val="PageNumber"/>
      </w:rPr>
    </w:pPr>
  </w:p>
  <w:p w14:paraId="7BB57320" w14:textId="3B28CC82" w:rsidR="00E752DE" w:rsidRPr="007E7D93" w:rsidRDefault="00E752DE"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237</w:t>
    </w:r>
    <w:r w:rsidRPr="006C4F67">
      <w:rPr>
        <w:rStyle w:val="PageNumber"/>
      </w:rPr>
      <w:fldChar w:fldCharType="end"/>
    </w:r>
  </w:p>
  <w:p w14:paraId="7B0E82F0" w14:textId="77777777" w:rsidR="00E752DE" w:rsidRDefault="00E752DE" w:rsidP="002413BC">
    <w:pPr>
      <w:tabs>
        <w:tab w:val="left" w:pos="5480"/>
        <w:tab w:val="left" w:pos="6030"/>
      </w:tabs>
    </w:pPr>
    <w:r>
      <w:tab/>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85E99" w14:textId="77777777" w:rsidR="00E752DE" w:rsidRDefault="00E752DE" w:rsidP="00094CBC">
    <w:pPr>
      <w:pStyle w:val="Footer"/>
      <w:rPr>
        <w:rStyle w:val="PageNumber"/>
      </w:rPr>
    </w:pPr>
  </w:p>
  <w:p w14:paraId="3A01E46E" w14:textId="77777777" w:rsidR="00E752DE" w:rsidRDefault="00E752DE">
    <w:pPr>
      <w:pStyle w:val="Footer"/>
      <w:rPr>
        <w:rStyle w:val="PageNumber"/>
      </w:rPr>
    </w:pPr>
  </w:p>
  <w:p w14:paraId="75A5296C" w14:textId="723F0CA5" w:rsidR="00E752DE" w:rsidRPr="007E7D93" w:rsidRDefault="00E752DE">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239</w:t>
    </w:r>
    <w:r w:rsidRPr="006C4F67">
      <w:rPr>
        <w:rStyle w:val="PageNumber"/>
      </w:rPr>
      <w:fldChar w:fldCharType="end"/>
    </w:r>
  </w:p>
  <w:p w14:paraId="5C330FCA" w14:textId="77777777" w:rsidR="00E752DE" w:rsidRDefault="00E752DE">
    <w:pPr>
      <w:pStyle w:val="Footer"/>
    </w:pPr>
  </w:p>
  <w:p w14:paraId="2DF1A674" w14:textId="77777777" w:rsidR="00E752DE" w:rsidRDefault="00E752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4F9EF" w14:textId="77777777" w:rsidR="000E72E9" w:rsidRDefault="000E72E9" w:rsidP="00C702C7">
      <w:pPr>
        <w:spacing w:line="240" w:lineRule="auto"/>
      </w:pPr>
      <w:r>
        <w:separator/>
      </w:r>
    </w:p>
    <w:p w14:paraId="41A506CA" w14:textId="77777777" w:rsidR="000E72E9" w:rsidRDefault="000E72E9"/>
  </w:footnote>
  <w:footnote w:type="continuationSeparator" w:id="0">
    <w:p w14:paraId="375F97A7" w14:textId="77777777" w:rsidR="000E72E9" w:rsidRDefault="000E72E9" w:rsidP="00C702C7">
      <w:pPr>
        <w:spacing w:line="240" w:lineRule="auto"/>
      </w:pPr>
      <w:r>
        <w:continuationSeparator/>
      </w:r>
    </w:p>
    <w:p w14:paraId="6949A6AD" w14:textId="77777777" w:rsidR="000E72E9" w:rsidRDefault="000E72E9"/>
  </w:footnote>
  <w:footnote w:type="continuationNotice" w:id="1">
    <w:p w14:paraId="1FAEC258" w14:textId="77777777" w:rsidR="000E72E9" w:rsidRDefault="000E72E9">
      <w:pPr>
        <w:spacing w:after="0" w:line="240" w:lineRule="auto"/>
      </w:pPr>
    </w:p>
    <w:p w14:paraId="0E625CC6" w14:textId="77777777" w:rsidR="000E72E9" w:rsidRDefault="000E72E9"/>
  </w:footnote>
  <w:footnote w:id="2">
    <w:p w14:paraId="656B2039" w14:textId="77777777" w:rsidR="00E752DE" w:rsidRPr="00421A89" w:rsidRDefault="00E752DE" w:rsidP="000C18C5">
      <w:pPr>
        <w:rPr>
          <w:sz w:val="16"/>
          <w:szCs w:val="16"/>
        </w:rPr>
      </w:pPr>
    </w:p>
    <w:p w14:paraId="656B203A" w14:textId="77777777" w:rsidR="00E752DE" w:rsidRPr="005E3DFB" w:rsidRDefault="00E752DE" w:rsidP="000C18C5">
      <w:pPr>
        <w:rPr>
          <w:sz w:val="16"/>
          <w:szCs w:val="16"/>
        </w:rPr>
      </w:pPr>
    </w:p>
  </w:footnote>
  <w:footnote w:id="3">
    <w:p w14:paraId="656B203B" w14:textId="77777777" w:rsidR="00E752DE" w:rsidRDefault="00E752DE" w:rsidP="008E4239">
      <w:pPr>
        <w:pStyle w:val="FootnoteText"/>
      </w:pPr>
      <w:r>
        <w:rPr>
          <w:rStyle w:val="FootnoteReference"/>
        </w:rPr>
        <w:footnoteRef/>
      </w:r>
      <w:r>
        <w:t xml:space="preserve"> Independent Inquiry into the Environment Protection Authority, 2016, page iv-v.</w:t>
      </w:r>
    </w:p>
  </w:footnote>
  <w:footnote w:id="4">
    <w:p w14:paraId="656B203C" w14:textId="77777777" w:rsidR="00E752DE" w:rsidRDefault="00E752DE">
      <w:pPr>
        <w:pStyle w:val="FootnoteText"/>
      </w:pPr>
      <w:r>
        <w:rPr>
          <w:rStyle w:val="FootnoteReference"/>
        </w:rPr>
        <w:footnoteRef/>
      </w:r>
      <w:r>
        <w:t xml:space="preserve"> Independent Inquiry into the Environment Protection Authority, 2016</w:t>
      </w:r>
    </w:p>
  </w:footnote>
  <w:footnote w:id="5">
    <w:p w14:paraId="656B203D" w14:textId="77777777" w:rsidR="00E752DE" w:rsidRDefault="00E752DE" w:rsidP="008E4239">
      <w:pPr>
        <w:pStyle w:val="FootnoteText"/>
      </w:pPr>
      <w:r>
        <w:rPr>
          <w:rStyle w:val="FootnoteReference"/>
        </w:rPr>
        <w:footnoteRef/>
      </w:r>
      <w:r>
        <w:t xml:space="preserve"> Independent Inquiry into the Environment Protection Authority, 2016, page v-vi.</w:t>
      </w:r>
    </w:p>
  </w:footnote>
  <w:footnote w:id="6">
    <w:p w14:paraId="656B203E" w14:textId="77777777" w:rsidR="00E752DE" w:rsidRDefault="00E752DE" w:rsidP="000C18C5">
      <w:pPr>
        <w:pStyle w:val="FootnoteText"/>
      </w:pPr>
      <w:r w:rsidRPr="00494A7B">
        <w:rPr>
          <w:vertAlign w:val="superscript"/>
        </w:rPr>
        <w:t>5</w:t>
      </w:r>
      <w:r>
        <w:t>Independent Inquiry into the Environment Protection Authority, 2016, page xiii.</w:t>
      </w:r>
    </w:p>
  </w:footnote>
  <w:footnote w:id="7">
    <w:p w14:paraId="656B203F" w14:textId="77777777" w:rsidR="00E752DE" w:rsidRDefault="00E752DE" w:rsidP="000C18C5">
      <w:pPr>
        <w:pStyle w:val="FootnoteText"/>
      </w:pPr>
      <w:r>
        <w:rPr>
          <w:rStyle w:val="FootnoteReference"/>
        </w:rPr>
        <w:footnoteRef/>
      </w:r>
      <w:r>
        <w:t xml:space="preserve"> Independent Inquiry into the Environment Protection Authority, 2016, page 261, page 384.</w:t>
      </w:r>
    </w:p>
  </w:footnote>
  <w:footnote w:id="8">
    <w:p w14:paraId="656B2040" w14:textId="77777777" w:rsidR="00E752DE" w:rsidRDefault="00E752DE" w:rsidP="00250201">
      <w:pPr>
        <w:pStyle w:val="FootnoteText"/>
        <w:ind w:right="-2694"/>
      </w:pPr>
      <w:r>
        <w:rPr>
          <w:rStyle w:val="FootnoteReference"/>
        </w:rPr>
        <w:footnoteRef/>
      </w:r>
      <w:r>
        <w:t xml:space="preserve"> </w:t>
      </w:r>
      <w:r w:rsidRPr="00BC1A0C">
        <w:t>Andrews Labor Government Response to the Independent Inquiry into the</w:t>
      </w:r>
      <w:r w:rsidRPr="00401D5B">
        <w:t xml:space="preserve"> Environmental Protection Authority, 2017</w:t>
      </w:r>
      <w:r>
        <w:t>.</w:t>
      </w:r>
    </w:p>
  </w:footnote>
  <w:footnote w:id="9">
    <w:p w14:paraId="656B2041" w14:textId="79EF0E09" w:rsidR="00E752DE" w:rsidRPr="000E7C5E" w:rsidRDefault="00E752DE" w:rsidP="000E7C5E">
      <w:pPr>
        <w:pStyle w:val="FootnoteText"/>
      </w:pPr>
      <w:r w:rsidRPr="000E7C5E">
        <w:rPr>
          <w:rStyle w:val="FootnoteReference"/>
        </w:rPr>
        <w:footnoteRef/>
      </w:r>
      <w:r w:rsidRPr="000E7C5E">
        <w:t xml:space="preserve"> Notifiable chemical orders which currently exist will directly transition to become Orders</w:t>
      </w:r>
      <w:r w:rsidRPr="00852412">
        <w:t xml:space="preserve"> relating to environmentally hazardous substances</w:t>
      </w:r>
      <w:r w:rsidRPr="000E7C5E">
        <w:t xml:space="preserve"> under part 7.2 of the EP Amendment Act 2018</w:t>
      </w:r>
      <w:r>
        <w:t xml:space="preserve">, </w:t>
      </w:r>
      <w:r w:rsidRPr="00BE2342">
        <w:t>unless otherwise revoked</w:t>
      </w:r>
      <w:r w:rsidRPr="000E7C5E">
        <w:t xml:space="preserve">. </w:t>
      </w:r>
    </w:p>
    <w:p w14:paraId="656B2042" w14:textId="77777777" w:rsidR="00E752DE" w:rsidRDefault="00E752DE">
      <w:pPr>
        <w:pStyle w:val="FootnoteText"/>
      </w:pPr>
    </w:p>
  </w:footnote>
  <w:footnote w:id="10">
    <w:p w14:paraId="656B2043" w14:textId="77777777" w:rsidR="00E752DE" w:rsidRDefault="00E752DE" w:rsidP="000C18C5">
      <w:pPr>
        <w:pStyle w:val="FootnoteText"/>
      </w:pPr>
      <w:r>
        <w:rPr>
          <w:rStyle w:val="FootnoteReference"/>
        </w:rPr>
        <w:footnoteRef/>
      </w:r>
      <w:r>
        <w:t xml:space="preserve"> Hazelwood Mine Fire Inquiry, available at </w:t>
      </w:r>
      <w:r w:rsidRPr="00DC2368">
        <w:t>http://report.hazelwoodinquiry.vic.gov.au/executive-summary-2/hazelwood-mine-fire.html</w:t>
      </w:r>
      <w:r>
        <w:t>.</w:t>
      </w:r>
    </w:p>
  </w:footnote>
  <w:footnote w:id="11">
    <w:p w14:paraId="656B2044" w14:textId="77777777" w:rsidR="00E752DE" w:rsidRDefault="00E752DE">
      <w:pPr>
        <w:pStyle w:val="FootnoteText"/>
      </w:pPr>
      <w:r>
        <w:rPr>
          <w:rStyle w:val="FootnoteReference"/>
        </w:rPr>
        <w:footnoteRef/>
      </w:r>
      <w:r>
        <w:t xml:space="preserve"> EPA website, available at </w:t>
      </w:r>
      <w:r w:rsidRPr="001A1CDF">
        <w:t>www.epa.vic.gov.au/our-work/current-issues/broderick-road-recycling-epa-response</w:t>
      </w:r>
    </w:p>
  </w:footnote>
  <w:footnote w:id="12">
    <w:p w14:paraId="656B2045" w14:textId="77777777" w:rsidR="00E752DE" w:rsidRPr="00F96B6A" w:rsidRDefault="00E752DE" w:rsidP="000C18C5">
      <w:pPr>
        <w:pStyle w:val="FootnoteText"/>
      </w:pPr>
      <w:r>
        <w:rPr>
          <w:rStyle w:val="FootnoteReference"/>
        </w:rPr>
        <w:footnoteRef/>
      </w:r>
      <w:r>
        <w:t xml:space="preserve"> Regulatory Impact Solutions, </w:t>
      </w:r>
      <w:r>
        <w:rPr>
          <w:i/>
        </w:rPr>
        <w:t xml:space="preserve">Policy Impact assessment for the </w:t>
      </w:r>
      <w:r w:rsidRPr="00ED173F">
        <w:rPr>
          <w:i/>
        </w:rPr>
        <w:t>variation to the Waste Management Policy (</w:t>
      </w:r>
      <w:r>
        <w:rPr>
          <w:i/>
        </w:rPr>
        <w:t>S</w:t>
      </w:r>
      <w:r w:rsidRPr="00ED173F">
        <w:rPr>
          <w:i/>
        </w:rPr>
        <w:t xml:space="preserve">olid </w:t>
      </w:r>
      <w:r>
        <w:rPr>
          <w:i/>
        </w:rPr>
        <w:t>F</w:t>
      </w:r>
      <w:r w:rsidRPr="00ED173F">
        <w:rPr>
          <w:i/>
        </w:rPr>
        <w:t xml:space="preserve">uel </w:t>
      </w:r>
      <w:r>
        <w:rPr>
          <w:i/>
        </w:rPr>
        <w:t>H</w:t>
      </w:r>
      <w:r w:rsidRPr="00ED173F">
        <w:rPr>
          <w:i/>
        </w:rPr>
        <w:t>eating)</w:t>
      </w:r>
      <w:r>
        <w:rPr>
          <w:i/>
        </w:rPr>
        <w:t xml:space="preserve">, </w:t>
      </w:r>
      <w:r>
        <w:t xml:space="preserve">2017. </w:t>
      </w:r>
    </w:p>
  </w:footnote>
  <w:footnote w:id="13">
    <w:p w14:paraId="656B2046" w14:textId="77777777" w:rsidR="00E752DE" w:rsidRPr="00CC2EF8" w:rsidRDefault="00E752DE">
      <w:pPr>
        <w:pStyle w:val="FootnoteText"/>
      </w:pPr>
      <w:r>
        <w:rPr>
          <w:rStyle w:val="FootnoteReference"/>
        </w:rPr>
        <w:footnoteRef/>
      </w:r>
      <w:r>
        <w:t xml:space="preserve"> Commissioner for Better Regulation 2016, </w:t>
      </w:r>
      <w:r>
        <w:rPr>
          <w:i/>
        </w:rPr>
        <w:t>Victorian Guide to Regulation: A handbook for policy-makers in Victoria. &lt;</w:t>
      </w:r>
      <w:hyperlink r:id="rId1" w:history="1">
        <w:r>
          <w:rPr>
            <w:rStyle w:val="Hyperlink"/>
          </w:rPr>
          <w:t>http://www.betterregulation.vic.gov.au/Guidance-and-Resources</w:t>
        </w:r>
      </w:hyperlink>
      <w:r>
        <w:rPr>
          <w:i/>
        </w:rPr>
        <w:t>&gt;</w:t>
      </w:r>
    </w:p>
  </w:footnote>
  <w:footnote w:id="14">
    <w:p w14:paraId="656B2047" w14:textId="77777777" w:rsidR="00E752DE" w:rsidRPr="00D66FCE" w:rsidRDefault="00E752DE">
      <w:pPr>
        <w:pStyle w:val="FootnoteText"/>
        <w:rPr>
          <w:i/>
        </w:rPr>
      </w:pPr>
      <w:r>
        <w:rPr>
          <w:rStyle w:val="FootnoteReference"/>
        </w:rPr>
        <w:footnoteRef/>
      </w:r>
      <w:r>
        <w:t xml:space="preserve"> Victorian Department of Treasury and Finance 2013, </w:t>
      </w:r>
      <w:r>
        <w:rPr>
          <w:i/>
        </w:rPr>
        <w:t>Cost Recovery Guidelines &lt;</w:t>
      </w:r>
      <w:hyperlink r:id="rId2" w:history="1">
        <w:r>
          <w:rPr>
            <w:rStyle w:val="Hyperlink"/>
          </w:rPr>
          <w:t>https://www.dtf.vic.gov.au/sites/default/files/2018-01/Cost-Recovery-Guidelines-Jan2013_0.pdf</w:t>
        </w:r>
      </w:hyperlink>
      <w:r>
        <w:rPr>
          <w:i/>
        </w:rPr>
        <w:t>&gt;</w:t>
      </w:r>
    </w:p>
  </w:footnote>
  <w:footnote w:id="15">
    <w:p w14:paraId="656B2048" w14:textId="77777777" w:rsidR="00E752DE" w:rsidRDefault="00E752DE" w:rsidP="00FD526C">
      <w:pPr>
        <w:pStyle w:val="FootnoteText"/>
      </w:pPr>
      <w:r>
        <w:rPr>
          <w:rStyle w:val="FootnoteReference"/>
        </w:rPr>
        <w:footnoteRef/>
      </w:r>
      <w:r>
        <w:t xml:space="preserve"> Victorian Competition and Efficiency Commission 2007, </w:t>
      </w:r>
      <w:r w:rsidRPr="0030379A">
        <w:rPr>
          <w:i/>
        </w:rPr>
        <w:t>Inquiry into environmental regulation in Victoria</w:t>
      </w:r>
      <w:r>
        <w:t>, cited in EPA Inquiry Report page 126.</w:t>
      </w:r>
    </w:p>
  </w:footnote>
  <w:footnote w:id="16">
    <w:p w14:paraId="656B2049" w14:textId="77777777" w:rsidR="00E752DE" w:rsidRDefault="00E752DE" w:rsidP="004E20B2">
      <w:pPr>
        <w:pStyle w:val="FootnoteText"/>
      </w:pPr>
      <w:r>
        <w:rPr>
          <w:rStyle w:val="FootnoteReference"/>
        </w:rPr>
        <w:footnoteRef/>
      </w:r>
      <w:r>
        <w:t xml:space="preserve"> Victorian Competition and Efficiency Commission 2007, </w:t>
      </w:r>
      <w:r w:rsidRPr="0087455B">
        <w:rPr>
          <w:i/>
        </w:rPr>
        <w:t>Inquiry into environmental regulation in Victoria</w:t>
      </w:r>
      <w:r>
        <w:t>, cited in EPA Inquiry Report page 127.</w:t>
      </w:r>
    </w:p>
    <w:p w14:paraId="656B204A" w14:textId="77777777" w:rsidR="00E752DE" w:rsidRDefault="00E752DE" w:rsidP="004E20B2">
      <w:pPr>
        <w:pStyle w:val="FootnoteText"/>
      </w:pPr>
      <w:r>
        <w:rPr>
          <w:rStyle w:val="FootnoteReference"/>
        </w:rPr>
        <w:footnoteRef/>
      </w:r>
      <w:r>
        <w:t xml:space="preserve"> EPA Inquiry Report.</w:t>
      </w:r>
    </w:p>
  </w:footnote>
  <w:footnote w:id="17">
    <w:p w14:paraId="656B204B" w14:textId="77777777" w:rsidR="00E752DE" w:rsidRDefault="00E752DE" w:rsidP="00B70E30">
      <w:pPr>
        <w:pStyle w:val="FootnoteText"/>
      </w:pPr>
      <w:r>
        <w:rPr>
          <w:rStyle w:val="FootnoteReference"/>
        </w:rPr>
        <w:footnoteRef/>
      </w:r>
      <w:r>
        <w:t xml:space="preserve"> EPA Inquiry Report.</w:t>
      </w:r>
    </w:p>
  </w:footnote>
  <w:footnote w:id="18">
    <w:p w14:paraId="656B204C" w14:textId="77777777" w:rsidR="00E752DE" w:rsidRPr="00FB447E" w:rsidRDefault="00E752DE" w:rsidP="00B70E30">
      <w:pPr>
        <w:spacing w:after="0"/>
        <w:rPr>
          <w:sz w:val="16"/>
          <w:szCs w:val="16"/>
        </w:rPr>
      </w:pPr>
      <w:r w:rsidRPr="00FB447E">
        <w:rPr>
          <w:rStyle w:val="FootnoteReference"/>
          <w:sz w:val="16"/>
          <w:szCs w:val="16"/>
        </w:rPr>
        <w:footnoteRef/>
      </w:r>
      <w:r w:rsidRPr="00FB447E">
        <w:rPr>
          <w:sz w:val="16"/>
          <w:szCs w:val="16"/>
        </w:rPr>
        <w:t xml:space="preserve"> </w:t>
      </w:r>
      <w:r w:rsidRPr="005C7DE8">
        <w:rPr>
          <w:sz w:val="16"/>
          <w:szCs w:val="20"/>
        </w:rPr>
        <w:t>Section 6, Sustainability Victoria Act 2008.</w:t>
      </w:r>
    </w:p>
  </w:footnote>
  <w:footnote w:id="19">
    <w:p w14:paraId="656B204D" w14:textId="77777777" w:rsidR="00E752DE" w:rsidRPr="00FB447E" w:rsidRDefault="00E752DE" w:rsidP="00FD526C">
      <w:pPr>
        <w:spacing w:after="0"/>
        <w:rPr>
          <w:sz w:val="16"/>
          <w:szCs w:val="16"/>
        </w:rPr>
      </w:pPr>
      <w:r w:rsidRPr="00FB447E">
        <w:rPr>
          <w:rStyle w:val="FootnoteReference"/>
          <w:sz w:val="16"/>
          <w:szCs w:val="16"/>
        </w:rPr>
        <w:footnoteRef/>
      </w:r>
      <w:r w:rsidRPr="00FB447E">
        <w:rPr>
          <w:sz w:val="16"/>
          <w:szCs w:val="16"/>
        </w:rPr>
        <w:t xml:space="preserve"> </w:t>
      </w:r>
      <w:r w:rsidRPr="0030379A">
        <w:rPr>
          <w:sz w:val="16"/>
          <w:szCs w:val="20"/>
        </w:rPr>
        <w:t xml:space="preserve">Section 50AA, </w:t>
      </w:r>
      <w:r>
        <w:rPr>
          <w:sz w:val="16"/>
          <w:szCs w:val="20"/>
        </w:rPr>
        <w:t>EP Act</w:t>
      </w:r>
      <w:r w:rsidRPr="0030379A">
        <w:rPr>
          <w:sz w:val="16"/>
          <w:szCs w:val="20"/>
        </w:rPr>
        <w:t xml:space="preserve"> 1970.</w:t>
      </w:r>
    </w:p>
  </w:footnote>
  <w:footnote w:id="20">
    <w:p w14:paraId="656B204E" w14:textId="77777777" w:rsidR="00E752DE" w:rsidRDefault="00E752DE" w:rsidP="00B70E30">
      <w:pPr>
        <w:pStyle w:val="FootnoteText"/>
      </w:pPr>
      <w:r>
        <w:rPr>
          <w:rStyle w:val="FootnoteReference"/>
        </w:rPr>
        <w:footnoteRef/>
      </w:r>
      <w:r>
        <w:t xml:space="preserve"> Independent Inquiry into the Environment Protection Authority, 2016, page iv-v.</w:t>
      </w:r>
    </w:p>
  </w:footnote>
  <w:footnote w:id="21">
    <w:p w14:paraId="656B204F" w14:textId="77777777" w:rsidR="00E752DE" w:rsidRDefault="00E752DE" w:rsidP="00B70E30">
      <w:pPr>
        <w:pStyle w:val="FootnoteText"/>
      </w:pPr>
      <w:r>
        <w:rPr>
          <w:rStyle w:val="FootnoteReference"/>
        </w:rPr>
        <w:footnoteRef/>
      </w:r>
      <w:r>
        <w:t xml:space="preserve"> Independent Inquiry into the Environment Protection Authority, 2016, page v.</w:t>
      </w:r>
    </w:p>
  </w:footnote>
  <w:footnote w:id="22">
    <w:p w14:paraId="656B2050" w14:textId="77777777" w:rsidR="00E752DE" w:rsidRDefault="00E752DE" w:rsidP="00B70E30">
      <w:pPr>
        <w:pStyle w:val="FootnoteText"/>
      </w:pPr>
      <w:r>
        <w:rPr>
          <w:rStyle w:val="FootnoteReference"/>
        </w:rPr>
        <w:footnoteRef/>
      </w:r>
      <w:r>
        <w:t xml:space="preserve"> Independent Inquiry into the Environment Protection Authority, 2016, page viii.</w:t>
      </w:r>
    </w:p>
  </w:footnote>
  <w:footnote w:id="23">
    <w:p w14:paraId="656B2051" w14:textId="77777777" w:rsidR="00E752DE" w:rsidRDefault="00E752DE" w:rsidP="00FD526C">
      <w:pPr>
        <w:pStyle w:val="FootnoteText"/>
      </w:pPr>
      <w:r>
        <w:rPr>
          <w:rStyle w:val="FootnoteReference"/>
        </w:rPr>
        <w:footnoteRef/>
      </w:r>
      <w:r>
        <w:t xml:space="preserve"> Independent Inquiry into the Environment Protection Authority, 2016, page v-vi.</w:t>
      </w:r>
    </w:p>
  </w:footnote>
  <w:footnote w:id="24">
    <w:p w14:paraId="656B2052" w14:textId="77777777" w:rsidR="00E752DE" w:rsidRDefault="00E752DE" w:rsidP="00FD526C">
      <w:pPr>
        <w:pStyle w:val="FootnoteText"/>
      </w:pPr>
      <w:r>
        <w:rPr>
          <w:rStyle w:val="FootnoteReference"/>
        </w:rPr>
        <w:footnoteRef/>
      </w:r>
      <w:r>
        <w:t xml:space="preserve"> Independent Inquiry into the Environment Protection Authority, 2016, page xii.</w:t>
      </w:r>
    </w:p>
  </w:footnote>
  <w:footnote w:id="25">
    <w:p w14:paraId="656B2053" w14:textId="77777777" w:rsidR="00E752DE" w:rsidRDefault="00E752DE" w:rsidP="00852412">
      <w:pPr>
        <w:pStyle w:val="FootnoteText"/>
      </w:pPr>
      <w:r>
        <w:t>Independent Inquiry into the Environment Protection Authority, 2016, page xiii.</w:t>
      </w:r>
    </w:p>
  </w:footnote>
  <w:footnote w:id="26">
    <w:p w14:paraId="656B2054" w14:textId="77777777" w:rsidR="00E752DE" w:rsidRDefault="00E752DE" w:rsidP="00852412">
      <w:pPr>
        <w:pStyle w:val="FootnoteText"/>
      </w:pPr>
      <w:r>
        <w:rPr>
          <w:rStyle w:val="FootnoteReference"/>
        </w:rPr>
        <w:footnoteRef/>
      </w:r>
      <w:r>
        <w:t xml:space="preserve"> Independent Inquiry into the Environment Protection Authority, 2016, page 261, page 384.</w:t>
      </w:r>
    </w:p>
  </w:footnote>
  <w:footnote w:id="27">
    <w:p w14:paraId="656B2055" w14:textId="77777777" w:rsidR="00E752DE" w:rsidRDefault="00E752DE" w:rsidP="00FD526C">
      <w:pPr>
        <w:pStyle w:val="FootnoteText"/>
      </w:pPr>
      <w:r>
        <w:rPr>
          <w:rStyle w:val="FootnoteReference"/>
        </w:rPr>
        <w:footnoteRef/>
      </w:r>
      <w:r>
        <w:t xml:space="preserve"> Independent Inquiry into the Environment Protection Authority, 2016, page 261.</w:t>
      </w:r>
    </w:p>
  </w:footnote>
  <w:footnote w:id="28">
    <w:p w14:paraId="656B2056" w14:textId="77777777" w:rsidR="00E752DE" w:rsidRDefault="00E752DE" w:rsidP="00FD526C">
      <w:pPr>
        <w:pStyle w:val="FootnoteText"/>
      </w:pPr>
      <w:r>
        <w:rPr>
          <w:rStyle w:val="FootnoteReference"/>
        </w:rPr>
        <w:footnoteRef/>
      </w:r>
      <w:r>
        <w:t xml:space="preserve"> Independent Inquiry into the Environment Protection Authority, 2016, page 261.</w:t>
      </w:r>
    </w:p>
  </w:footnote>
  <w:footnote w:id="29">
    <w:p w14:paraId="656B2057" w14:textId="77777777" w:rsidR="00E752DE" w:rsidRDefault="00E752DE" w:rsidP="00FD526C">
      <w:pPr>
        <w:pStyle w:val="FootnoteText"/>
      </w:pPr>
      <w:r>
        <w:rPr>
          <w:rStyle w:val="FootnoteReference"/>
        </w:rPr>
        <w:footnoteRef/>
      </w:r>
      <w:r>
        <w:t xml:space="preserve"> Independent Inquiry into the Environment Protection Authority, 2016, page 261.</w:t>
      </w:r>
    </w:p>
  </w:footnote>
  <w:footnote w:id="30">
    <w:p w14:paraId="656B2058" w14:textId="77777777" w:rsidR="00E752DE" w:rsidRDefault="00E752DE" w:rsidP="00FD526C">
      <w:pPr>
        <w:pStyle w:val="FootnoteText"/>
      </w:pPr>
      <w:r>
        <w:rPr>
          <w:rStyle w:val="FootnoteReference"/>
        </w:rPr>
        <w:footnoteRef/>
      </w:r>
      <w:r>
        <w:t xml:space="preserve"> Independent Inquiry into the Environment Protection Authority, 2016, page 384.</w:t>
      </w:r>
    </w:p>
  </w:footnote>
  <w:footnote w:id="31">
    <w:p w14:paraId="656B2059" w14:textId="77777777" w:rsidR="00E752DE" w:rsidRDefault="00E752DE" w:rsidP="008C5D06">
      <w:pPr>
        <w:pStyle w:val="FootnoteText"/>
        <w:ind w:right="-2694"/>
      </w:pPr>
      <w:r>
        <w:rPr>
          <w:rStyle w:val="FootnoteReference"/>
        </w:rPr>
        <w:footnoteRef/>
      </w:r>
      <w:r>
        <w:t xml:space="preserve"> </w:t>
      </w:r>
      <w:r w:rsidRPr="00401D5B">
        <w:t>Andrews Labor Government Response to the Independent Inquiry into the Environmental Protection Authority, 2017</w:t>
      </w:r>
      <w:r>
        <w:t>.</w:t>
      </w:r>
      <w:r w:rsidRPr="008C5D06">
        <w:t xml:space="preserve"> </w:t>
      </w:r>
      <w:r>
        <w:t xml:space="preserve">Available at </w:t>
      </w:r>
    </w:p>
    <w:p w14:paraId="656B205A" w14:textId="77777777" w:rsidR="00E752DE" w:rsidRDefault="00E752DE" w:rsidP="008C5D06">
      <w:pPr>
        <w:pStyle w:val="FootnoteText"/>
        <w:ind w:right="-2694"/>
      </w:pPr>
      <w:r w:rsidRPr="005D5587">
        <w:t>https://www.environment.vic.gov.au/sustainability/independent-inquiry-into-the-epa</w:t>
      </w:r>
    </w:p>
  </w:footnote>
  <w:footnote w:id="32">
    <w:p w14:paraId="656B205B" w14:textId="77777777" w:rsidR="00E752DE" w:rsidRDefault="00E752DE">
      <w:pPr>
        <w:pStyle w:val="FootnoteText"/>
      </w:pPr>
      <w:r>
        <w:rPr>
          <w:rStyle w:val="FootnoteReference"/>
        </w:rPr>
        <w:footnoteRef/>
      </w:r>
      <w:r>
        <w:t xml:space="preserve"> Internal Victorian Government document.</w:t>
      </w:r>
    </w:p>
  </w:footnote>
  <w:footnote w:id="33">
    <w:p w14:paraId="656B205C" w14:textId="77777777" w:rsidR="00E752DE" w:rsidRDefault="00E752DE" w:rsidP="00B70E30">
      <w:pPr>
        <w:pStyle w:val="FootnoteText"/>
      </w:pPr>
      <w:r>
        <w:rPr>
          <w:rStyle w:val="FootnoteReference"/>
        </w:rPr>
        <w:footnoteRef/>
      </w:r>
      <w:r>
        <w:t xml:space="preserve"> EPA Inquiry, 2016, page v.</w:t>
      </w:r>
    </w:p>
  </w:footnote>
  <w:footnote w:id="34">
    <w:p w14:paraId="656B205D" w14:textId="77777777" w:rsidR="00E752DE" w:rsidRPr="0015093D" w:rsidRDefault="00E752DE" w:rsidP="00B70E30">
      <w:pPr>
        <w:pStyle w:val="FootnoteText"/>
      </w:pPr>
      <w:r>
        <w:rPr>
          <w:rStyle w:val="FootnoteReference"/>
        </w:rPr>
        <w:footnoteRef/>
      </w:r>
      <w:r>
        <w:t xml:space="preserve"> Department of Environment, Land, Water and Planning, </w:t>
      </w:r>
      <w:r w:rsidRPr="0030379A">
        <w:rPr>
          <w:i/>
        </w:rPr>
        <w:t>Reducing the impacts of plastic on the</w:t>
      </w:r>
      <w:r>
        <w:rPr>
          <w:i/>
        </w:rPr>
        <w:t xml:space="preserve"> </w:t>
      </w:r>
      <w:r w:rsidRPr="0030379A">
        <w:rPr>
          <w:i/>
        </w:rPr>
        <w:t>Victorian Environment</w:t>
      </w:r>
      <w:r>
        <w:t>, available at Engage Victoria.</w:t>
      </w:r>
    </w:p>
  </w:footnote>
  <w:footnote w:id="35">
    <w:p w14:paraId="656B205E" w14:textId="77777777" w:rsidR="00E752DE" w:rsidRPr="00205C2E" w:rsidRDefault="00E752DE" w:rsidP="00DB4AE9">
      <w:pPr>
        <w:pStyle w:val="FootnoteText"/>
      </w:pPr>
      <w:r>
        <w:rPr>
          <w:rStyle w:val="FootnoteReference"/>
        </w:rPr>
        <w:footnoteRef/>
      </w:r>
      <w:r>
        <w:t xml:space="preserve"> These </w:t>
      </w:r>
      <w:r w:rsidRPr="00205C2E">
        <w:t>ERS</w:t>
      </w:r>
      <w:r>
        <w:t xml:space="preserve"> are not assessed</w:t>
      </w:r>
      <w:r w:rsidRPr="00205C2E">
        <w:t xml:space="preserve"> as part of the Regulatory Impact Statement guidelines as they are not a regulation, rather a statutory instrument and thus subject to their own impact assessment.</w:t>
      </w:r>
    </w:p>
  </w:footnote>
  <w:footnote w:id="36">
    <w:p w14:paraId="656B205F" w14:textId="77777777" w:rsidR="00E752DE" w:rsidRDefault="00E752DE" w:rsidP="00A25A1E">
      <w:pPr>
        <w:pStyle w:val="FootnoteText"/>
        <w:ind w:right="-2694"/>
      </w:pPr>
      <w:r>
        <w:rPr>
          <w:rStyle w:val="FootnoteReference"/>
        </w:rPr>
        <w:footnoteRef/>
      </w:r>
      <w:r>
        <w:t xml:space="preserve"> Shepperd, J. A., Carroll, page , Grace, J., &amp; Terry, M., 2002, Exploring the causes of comparative optimism, Psychologica Belgica, 42, 65-98</w:t>
      </w:r>
    </w:p>
  </w:footnote>
  <w:footnote w:id="37">
    <w:p w14:paraId="656B2060" w14:textId="77777777" w:rsidR="00E752DE" w:rsidRPr="00DE2868" w:rsidRDefault="00E752DE" w:rsidP="00A25A1E">
      <w:pPr>
        <w:pStyle w:val="FootnoteText"/>
        <w:ind w:right="-2694"/>
      </w:pPr>
      <w:r>
        <w:rPr>
          <w:rStyle w:val="FootnoteReference"/>
        </w:rPr>
        <w:footnoteRef/>
      </w:r>
      <w:r>
        <w:t xml:space="preserve"> </w:t>
      </w:r>
      <w:r w:rsidRPr="00DE2868">
        <w:t>Baron, J., 2000, Thinking and Deciding (3d ed.)</w:t>
      </w:r>
      <w:r>
        <w:t xml:space="preserve">, Cambridge University Press page </w:t>
      </w:r>
      <w:r w:rsidRPr="00DE2868">
        <w:t>60-261</w:t>
      </w:r>
    </w:p>
  </w:footnote>
  <w:footnote w:id="38">
    <w:p w14:paraId="656B2061" w14:textId="77777777" w:rsidR="00E752DE" w:rsidRDefault="00E752DE" w:rsidP="00A25A1E">
      <w:pPr>
        <w:pStyle w:val="FootnoteText"/>
      </w:pPr>
      <w:r>
        <w:rPr>
          <w:rStyle w:val="FootnoteReference"/>
        </w:rPr>
        <w:footnoteRef/>
      </w:r>
      <w:r>
        <w:t xml:space="preserve"> Hazelwood Mine Fire Inquiry, available at </w:t>
      </w:r>
      <w:r w:rsidRPr="00DC2368">
        <w:t>http://report.hazelwoodinquiry.vic.gov.au/executive-summary-2/hazelwood-mine-fire.html</w:t>
      </w:r>
      <w:r>
        <w:t>.</w:t>
      </w:r>
    </w:p>
  </w:footnote>
  <w:footnote w:id="39">
    <w:p w14:paraId="656B2062" w14:textId="77777777" w:rsidR="00E752DE" w:rsidRPr="00CF2BEE" w:rsidRDefault="00E752DE" w:rsidP="00A25A1E">
      <w:pPr>
        <w:pStyle w:val="FootnoteText"/>
      </w:pPr>
      <w:r>
        <w:rPr>
          <w:rStyle w:val="FootnoteReference"/>
        </w:rPr>
        <w:footnoteRef/>
      </w:r>
      <w:r>
        <w:t xml:space="preserve"> </w:t>
      </w:r>
      <w:r w:rsidRPr="00CF2BEE">
        <w:t>The Age</w:t>
      </w:r>
      <w:r>
        <w:t xml:space="preserve">, </w:t>
      </w:r>
      <w:r w:rsidRPr="009B6D0C">
        <w:rPr>
          <w:i/>
        </w:rPr>
        <w:t>Liquidation means taxpayers could be stung $150m</w:t>
      </w:r>
      <w:r>
        <w:t>, 18 December 2019.</w:t>
      </w:r>
    </w:p>
  </w:footnote>
  <w:footnote w:id="40">
    <w:p w14:paraId="656B2063" w14:textId="77777777" w:rsidR="00E752DE" w:rsidRDefault="00E752DE" w:rsidP="00A25A1E">
      <w:pPr>
        <w:pStyle w:val="FootnoteText"/>
      </w:pPr>
      <w:r>
        <w:rPr>
          <w:rStyle w:val="FootnoteReference"/>
        </w:rPr>
        <w:footnoteRef/>
      </w:r>
      <w:r>
        <w:t xml:space="preserve"> Sustainability Victoria, </w:t>
      </w:r>
      <w:r w:rsidRPr="00B943BC">
        <w:rPr>
          <w:i/>
        </w:rPr>
        <w:t>Victorian Local Government Waste Services Report</w:t>
      </w:r>
      <w:r>
        <w:t>, 2016-17, page 20.</w:t>
      </w:r>
    </w:p>
  </w:footnote>
  <w:footnote w:id="41">
    <w:p w14:paraId="656B2064" w14:textId="77777777" w:rsidR="00E752DE" w:rsidRPr="00F96B6A" w:rsidRDefault="00E752DE" w:rsidP="00DB4AE9">
      <w:pPr>
        <w:pStyle w:val="FootnoteText"/>
      </w:pPr>
      <w:r>
        <w:rPr>
          <w:rStyle w:val="FootnoteReference"/>
        </w:rPr>
        <w:footnoteRef/>
      </w:r>
      <w:r>
        <w:t xml:space="preserve"> Regulatory Impact Solutions, </w:t>
      </w:r>
      <w:r>
        <w:rPr>
          <w:i/>
        </w:rPr>
        <w:t xml:space="preserve">Policy Impact assessment for the </w:t>
      </w:r>
      <w:r w:rsidRPr="00ED173F">
        <w:rPr>
          <w:i/>
        </w:rPr>
        <w:t>variation to the Waste Management Policy (</w:t>
      </w:r>
      <w:r>
        <w:rPr>
          <w:i/>
        </w:rPr>
        <w:t>S</w:t>
      </w:r>
      <w:r w:rsidRPr="00ED173F">
        <w:rPr>
          <w:i/>
        </w:rPr>
        <w:t xml:space="preserve">olid </w:t>
      </w:r>
      <w:r>
        <w:rPr>
          <w:i/>
        </w:rPr>
        <w:t>F</w:t>
      </w:r>
      <w:r w:rsidRPr="00ED173F">
        <w:rPr>
          <w:i/>
        </w:rPr>
        <w:t xml:space="preserve">uel </w:t>
      </w:r>
      <w:r>
        <w:rPr>
          <w:i/>
        </w:rPr>
        <w:t>H</w:t>
      </w:r>
      <w:r w:rsidRPr="00ED173F">
        <w:rPr>
          <w:i/>
        </w:rPr>
        <w:t>eating)</w:t>
      </w:r>
      <w:r>
        <w:rPr>
          <w:i/>
        </w:rPr>
        <w:t xml:space="preserve">, </w:t>
      </w:r>
      <w:r>
        <w:t xml:space="preserve">2017. </w:t>
      </w:r>
    </w:p>
  </w:footnote>
  <w:footnote w:id="42">
    <w:p w14:paraId="656B2065" w14:textId="77777777" w:rsidR="00E752DE" w:rsidRDefault="00E752DE" w:rsidP="00A25A1E">
      <w:pPr>
        <w:pStyle w:val="FootnoteText"/>
      </w:pPr>
      <w:r>
        <w:rPr>
          <w:rStyle w:val="FootnoteReference"/>
        </w:rPr>
        <w:footnoteRef/>
      </w:r>
      <w:r>
        <w:t xml:space="preserve"> EPA information.</w:t>
      </w:r>
    </w:p>
  </w:footnote>
  <w:footnote w:id="43">
    <w:p w14:paraId="656B2066" w14:textId="77777777" w:rsidR="00E752DE" w:rsidRPr="008272EE" w:rsidRDefault="00E752DE" w:rsidP="0072303D">
      <w:pPr>
        <w:pStyle w:val="FootnoteText"/>
      </w:pPr>
      <w:r>
        <w:rPr>
          <w:rStyle w:val="FootnoteReference"/>
        </w:rPr>
        <w:footnoteRef/>
      </w:r>
      <w:r>
        <w:t xml:space="preserve"> </w:t>
      </w:r>
      <w:r w:rsidRPr="008272EE">
        <w:t>Office of the Chief Parliamentary Counsel</w:t>
      </w:r>
      <w:r>
        <w:t xml:space="preserve">, </w:t>
      </w:r>
      <w:r w:rsidRPr="006825D7">
        <w:rPr>
          <w:rFonts w:cs="Segoe UI Light"/>
          <w:i/>
        </w:rPr>
        <w:t>Subordinate Legislation Act Guidelines</w:t>
      </w:r>
      <w:r>
        <w:rPr>
          <w:rFonts w:cs="Segoe UI Light"/>
        </w:rPr>
        <w:t>.</w:t>
      </w:r>
    </w:p>
  </w:footnote>
  <w:footnote w:id="44">
    <w:p w14:paraId="656B2067" w14:textId="77777777" w:rsidR="00E752DE" w:rsidRPr="004E57D7" w:rsidRDefault="00E752DE" w:rsidP="0072303D">
      <w:pPr>
        <w:pStyle w:val="FootnoteText"/>
        <w:rPr>
          <w:i/>
        </w:rPr>
      </w:pPr>
      <w:r>
        <w:rPr>
          <w:rStyle w:val="FootnoteReference"/>
        </w:rPr>
        <w:footnoteRef/>
      </w:r>
      <w:r>
        <w:t xml:space="preserve"> Department of Treasury and Finance 2016, </w:t>
      </w:r>
      <w:r>
        <w:rPr>
          <w:i/>
        </w:rPr>
        <w:t>Victorian Guide to Regulation, A handbook for policy-makers in Victoria</w:t>
      </w:r>
    </w:p>
  </w:footnote>
  <w:footnote w:id="45">
    <w:p w14:paraId="656B2068" w14:textId="77777777" w:rsidR="00E752DE" w:rsidRPr="00FB447E" w:rsidRDefault="00E752DE" w:rsidP="00E15E65">
      <w:pPr>
        <w:pStyle w:val="BodyText"/>
        <w:spacing w:after="0"/>
        <w:ind w:right="29"/>
        <w:rPr>
          <w:rFonts w:cs="Segoe UI Light"/>
          <w:sz w:val="16"/>
          <w:szCs w:val="16"/>
        </w:rPr>
      </w:pPr>
      <w:r w:rsidRPr="00FB447E">
        <w:rPr>
          <w:rStyle w:val="FootnoteReference"/>
          <w:sz w:val="16"/>
          <w:szCs w:val="16"/>
        </w:rPr>
        <w:footnoteRef/>
      </w:r>
      <w:r w:rsidRPr="00FB447E">
        <w:rPr>
          <w:sz w:val="16"/>
          <w:szCs w:val="16"/>
        </w:rPr>
        <w:t xml:space="preserve"> Licence conditions are categorised as a regulatory approach in this RIS because they share the characteristics of regulatory approaches in that they are mandatory and prescriptive.</w:t>
      </w:r>
    </w:p>
  </w:footnote>
  <w:footnote w:id="46">
    <w:p w14:paraId="656B2069" w14:textId="77777777" w:rsidR="00E752DE" w:rsidRDefault="00E752DE" w:rsidP="00E15E65">
      <w:pPr>
        <w:pStyle w:val="FootnoteText"/>
      </w:pPr>
      <w:r>
        <w:rPr>
          <w:rStyle w:val="FootnoteReference"/>
        </w:rPr>
        <w:footnoteRef/>
      </w:r>
      <w:r>
        <w:t xml:space="preserve"> For the purpose of the general discussion in this chapter the term licences is a broad term referring to permits, licences, and registrations.</w:t>
      </w:r>
    </w:p>
  </w:footnote>
  <w:footnote w:id="47">
    <w:p w14:paraId="656B206A" w14:textId="77777777" w:rsidR="00E752DE" w:rsidRDefault="00E752DE" w:rsidP="00E15E65">
      <w:pPr>
        <w:pStyle w:val="FootnoteText"/>
      </w:pPr>
      <w:r>
        <w:rPr>
          <w:rStyle w:val="FootnoteReference"/>
        </w:rPr>
        <w:footnoteRef/>
      </w:r>
      <w:r>
        <w:t xml:space="preserve"> Section 100(1).</w:t>
      </w:r>
    </w:p>
  </w:footnote>
  <w:footnote w:id="48">
    <w:p w14:paraId="656B206B" w14:textId="77777777" w:rsidR="00E752DE" w:rsidRDefault="00E752DE" w:rsidP="00E15E65">
      <w:pPr>
        <w:pStyle w:val="FootnoteText"/>
      </w:pPr>
      <w:r>
        <w:rPr>
          <w:rStyle w:val="FootnoteReference"/>
        </w:rPr>
        <w:footnoteRef/>
      </w:r>
      <w:r>
        <w:t xml:space="preserve"> Clean Energy Regulator, National Greenhouse and Energy Reporting, available at </w:t>
      </w:r>
      <w:r w:rsidRPr="00434555">
        <w:t>http://www.cleanenergyregulator.gov.au/NGER/About-the-National-Greenhouse-and-Energy-Reporting-scheme</w:t>
      </w:r>
      <w:r>
        <w:t>.</w:t>
      </w:r>
    </w:p>
  </w:footnote>
  <w:footnote w:id="49">
    <w:p w14:paraId="656B206C" w14:textId="77777777" w:rsidR="00E752DE" w:rsidRDefault="00E752DE" w:rsidP="0072303D">
      <w:pPr>
        <w:pStyle w:val="FootnoteText"/>
      </w:pPr>
      <w:r>
        <w:rPr>
          <w:rStyle w:val="FootnoteReference"/>
        </w:rPr>
        <w:footnoteRef/>
      </w:r>
      <w:r>
        <w:t xml:space="preserve"> </w:t>
      </w:r>
      <w:r w:rsidRPr="00E51313">
        <w:rPr>
          <w:rFonts w:cs="Segoe UI Light"/>
        </w:rPr>
        <w:t>Victorian Guide to Regulation – Toolkit 1</w:t>
      </w:r>
      <w:r>
        <w:rPr>
          <w:rFonts w:cs="Segoe UI Light"/>
        </w:rPr>
        <w:t>.</w:t>
      </w:r>
    </w:p>
  </w:footnote>
  <w:footnote w:id="50">
    <w:p w14:paraId="656B206D" w14:textId="77777777" w:rsidR="00E752DE" w:rsidRDefault="00E752DE" w:rsidP="0072303D">
      <w:pPr>
        <w:pStyle w:val="FootnoteText"/>
      </w:pPr>
      <w:r>
        <w:rPr>
          <w:rStyle w:val="FootnoteReference"/>
        </w:rPr>
        <w:footnoteRef/>
      </w:r>
      <w:r>
        <w:t xml:space="preserve"> Victorian Guide to Regulation, Toolkit 1: Purposes and types of regulation, page 16.</w:t>
      </w:r>
    </w:p>
  </w:footnote>
  <w:footnote w:id="51">
    <w:p w14:paraId="656B206E" w14:textId="77777777" w:rsidR="00E752DE" w:rsidRDefault="00E752DE" w:rsidP="0072303D">
      <w:pPr>
        <w:pStyle w:val="FootnoteText"/>
      </w:pPr>
      <w:r>
        <w:rPr>
          <w:rStyle w:val="FootnoteReference"/>
        </w:rPr>
        <w:footnoteRef/>
      </w:r>
      <w:r>
        <w:t xml:space="preserve"> Proceedings of the 6</w:t>
      </w:r>
      <w:r w:rsidRPr="00432A68">
        <w:rPr>
          <w:vertAlign w:val="superscript"/>
        </w:rPr>
        <w:t>th</w:t>
      </w:r>
      <w:r>
        <w:t xml:space="preserve"> Annual AARES national Symposium 2003, Opening Address, Roger Beagle. </w:t>
      </w:r>
      <w:r>
        <w:rPr>
          <w:rFonts w:cs="Segoe UI Light"/>
        </w:rPr>
        <w:t>:</w:t>
      </w:r>
      <w:hyperlink r:id="rId3" w:history="1">
        <w:r w:rsidRPr="00E21481">
          <w:rPr>
            <w:rStyle w:val="Hyperlink"/>
            <w:rFonts w:cs="Segoe UI Light"/>
          </w:rPr>
          <w:t>http://www.aton.com.au/publications/Proceedings_AARES_2003.pdf</w:t>
        </w:r>
      </w:hyperlink>
      <w:r>
        <w:rPr>
          <w:rFonts w:cs="Segoe UI Light"/>
        </w:rPr>
        <w:t xml:space="preserve"> </w:t>
      </w:r>
    </w:p>
  </w:footnote>
  <w:footnote w:id="52">
    <w:p w14:paraId="656B206F" w14:textId="77777777" w:rsidR="00E752DE" w:rsidRDefault="00E752DE" w:rsidP="00AF0AF4">
      <w:pPr>
        <w:pStyle w:val="FootnoteText"/>
      </w:pPr>
      <w:r>
        <w:rPr>
          <w:rStyle w:val="FootnoteReference"/>
        </w:rPr>
        <w:footnoteRef/>
      </w:r>
      <w:r>
        <w:t xml:space="preserve"> Department of Treasury and Finance, 2013, </w:t>
      </w:r>
      <w:r w:rsidRPr="007C1A9B">
        <w:rPr>
          <w:i/>
        </w:rPr>
        <w:t>Cost Recovery Guidelines</w:t>
      </w:r>
      <w:r>
        <w:t>, January.</w:t>
      </w:r>
    </w:p>
  </w:footnote>
  <w:footnote w:id="53">
    <w:p w14:paraId="656B2070" w14:textId="77777777" w:rsidR="00E752DE" w:rsidRPr="00494A7B" w:rsidRDefault="00E752DE" w:rsidP="00D64CEA">
      <w:pPr>
        <w:pStyle w:val="FootnoteText"/>
        <w:rPr>
          <w:i/>
        </w:rPr>
      </w:pPr>
      <w:r>
        <w:rPr>
          <w:rStyle w:val="FootnoteReference"/>
        </w:rPr>
        <w:footnoteRef/>
      </w:r>
      <w:r>
        <w:t xml:space="preserve"> As per category 2 of Department of Treasury and Finance’s </w:t>
      </w:r>
      <w:r w:rsidRPr="00494A7B">
        <w:t>recommended discount rates</w:t>
      </w:r>
      <w:r>
        <w:t xml:space="preserve">, </w:t>
      </w:r>
      <w:r>
        <w:rPr>
          <w:i/>
        </w:rPr>
        <w:t xml:space="preserve">Economic Evaluation </w:t>
      </w:r>
      <w:r w:rsidRPr="00494A7B">
        <w:rPr>
          <w:i/>
        </w:rPr>
        <w:t>for Business Cases Technical guidelines</w:t>
      </w:r>
      <w:r>
        <w:t>, August 2013, page 25.</w:t>
      </w:r>
    </w:p>
  </w:footnote>
  <w:footnote w:id="54">
    <w:p w14:paraId="656B2071" w14:textId="77777777" w:rsidR="00E752DE" w:rsidRDefault="00E752DE" w:rsidP="00AF0AF4">
      <w:pPr>
        <w:pStyle w:val="FootnoteText"/>
      </w:pPr>
      <w:r>
        <w:rPr>
          <w:rStyle w:val="FootnoteReference"/>
        </w:rPr>
        <w:footnoteRef/>
      </w:r>
      <w:r>
        <w:t xml:space="preserve"> Department of Treasury and Finance, 2013, </w:t>
      </w:r>
      <w:r w:rsidRPr="007C1A9B">
        <w:rPr>
          <w:i/>
        </w:rPr>
        <w:t>Cost Recovery Guidelines</w:t>
      </w:r>
      <w:r>
        <w:t>, January, Figure 4.</w:t>
      </w:r>
    </w:p>
  </w:footnote>
  <w:footnote w:id="55">
    <w:p w14:paraId="656B2072" w14:textId="77777777" w:rsidR="00E752DE" w:rsidRPr="00D66FCE" w:rsidRDefault="00E752DE">
      <w:pPr>
        <w:pStyle w:val="FootnoteText"/>
        <w:rPr>
          <w:i/>
        </w:rPr>
      </w:pPr>
      <w:r>
        <w:rPr>
          <w:rStyle w:val="FootnoteReference"/>
        </w:rPr>
        <w:footnoteRef/>
      </w:r>
      <w:r>
        <w:t xml:space="preserve"> Commissioner for Better Regulation, </w:t>
      </w:r>
      <w:r>
        <w:rPr>
          <w:i/>
        </w:rPr>
        <w:t xml:space="preserve">Guidance note: Multi-criteria analysis. </w:t>
      </w:r>
    </w:p>
  </w:footnote>
  <w:footnote w:id="56">
    <w:p w14:paraId="656B2073" w14:textId="77777777" w:rsidR="00E752DE" w:rsidRPr="0024162E" w:rsidRDefault="00E752DE" w:rsidP="0024162E">
      <w:pPr>
        <w:pStyle w:val="NormalWeb"/>
        <w:spacing w:after="300"/>
        <w:textAlignment w:val="baseline"/>
        <w:rPr>
          <w:rFonts w:ascii="Segoe UI Light" w:hAnsi="Segoe UI Light" w:cs="Segoe UI Light"/>
          <w:color w:val="555555"/>
          <w:sz w:val="16"/>
          <w:szCs w:val="16"/>
          <w:shd w:val="clear" w:color="auto" w:fill="FFFFFF"/>
        </w:rPr>
      </w:pPr>
      <w:r w:rsidRPr="0024162E">
        <w:rPr>
          <w:rStyle w:val="FootnoteReference"/>
          <w:rFonts w:ascii="Segoe UI Light" w:hAnsi="Segoe UI Light" w:cs="Segoe UI Light"/>
          <w:sz w:val="16"/>
          <w:szCs w:val="16"/>
        </w:rPr>
        <w:footnoteRef/>
      </w:r>
      <w:r w:rsidRPr="0024162E">
        <w:rPr>
          <w:rFonts w:ascii="Segoe UI Light" w:hAnsi="Segoe UI Light" w:cs="Segoe UI Light"/>
          <w:sz w:val="16"/>
          <w:szCs w:val="16"/>
        </w:rPr>
        <w:t xml:space="preserve"> </w:t>
      </w:r>
      <w:r w:rsidRPr="0024162E">
        <w:rPr>
          <w:rFonts w:ascii="Segoe UI Light" w:hAnsi="Segoe UI Light" w:cs="Segoe UI Light"/>
          <w:color w:val="555555"/>
          <w:sz w:val="16"/>
          <w:szCs w:val="16"/>
        </w:rPr>
        <w:t xml:space="preserve">Scheduled </w:t>
      </w:r>
      <w:r>
        <w:rPr>
          <w:rFonts w:ascii="Segoe UI Light" w:hAnsi="Segoe UI Light" w:cs="Segoe UI Light"/>
          <w:color w:val="555555"/>
          <w:sz w:val="16"/>
          <w:szCs w:val="16"/>
        </w:rPr>
        <w:t xml:space="preserve">premises are currently </w:t>
      </w:r>
      <w:r w:rsidRPr="0024162E">
        <w:rPr>
          <w:rFonts w:ascii="Segoe UI Light" w:hAnsi="Segoe UI Light" w:cs="Segoe UI Light"/>
          <w:color w:val="555555"/>
          <w:sz w:val="16"/>
          <w:szCs w:val="16"/>
        </w:rPr>
        <w:t>required to have financial assurance as part of licences are landfills, PIW management (including PIW composting), container washing, and bulk storage facilities. Additionally, financial assurance can be a requirement of a works approval or pollution abatement notice associated with any of these activities, as well as for contaminated sites requiring long-term management or on</w:t>
      </w:r>
      <w:r>
        <w:rPr>
          <w:rFonts w:ascii="Segoe UI Light" w:hAnsi="Segoe UI Light" w:cs="Segoe UI Light"/>
          <w:color w:val="555555"/>
          <w:sz w:val="16"/>
          <w:szCs w:val="16"/>
        </w:rPr>
        <w:t>-</w:t>
      </w:r>
      <w:r w:rsidRPr="0024162E">
        <w:rPr>
          <w:rFonts w:ascii="Segoe UI Light" w:hAnsi="Segoe UI Light" w:cs="Segoe UI Light"/>
          <w:color w:val="555555"/>
          <w:sz w:val="16"/>
          <w:szCs w:val="16"/>
        </w:rPr>
        <w:t>site soil containment. (Source:</w:t>
      </w:r>
      <w:hyperlink r:id="rId4" w:anchor="QandA" w:history="1">
        <w:r w:rsidRPr="0024162E">
          <w:rPr>
            <w:rStyle w:val="Hyperlink"/>
            <w:rFonts w:ascii="Segoe UI Light" w:hAnsi="Segoe UI Light" w:cs="Segoe UI Light"/>
            <w:sz w:val="16"/>
            <w:szCs w:val="16"/>
            <w:shd w:val="clear" w:color="auto" w:fill="FFFFFF"/>
          </w:rPr>
          <w:t>https://www.epa.vic.gov.au/our-work/licences-and-approvals/financial-assurances#QandA</w:t>
        </w:r>
      </w:hyperlink>
      <w:r w:rsidRPr="0024162E">
        <w:rPr>
          <w:rFonts w:ascii="Segoe UI Light" w:hAnsi="Segoe UI Light" w:cs="Segoe UI Light"/>
          <w:color w:val="555555"/>
          <w:sz w:val="16"/>
          <w:szCs w:val="16"/>
          <w:shd w:val="clear" w:color="auto" w:fill="FFFFFF"/>
        </w:rPr>
        <w:t>)</w:t>
      </w:r>
    </w:p>
    <w:p w14:paraId="656B2074" w14:textId="77777777" w:rsidR="00E752DE" w:rsidRDefault="00E752DE">
      <w:pPr>
        <w:pStyle w:val="FootnoteText"/>
      </w:pPr>
    </w:p>
  </w:footnote>
  <w:footnote w:id="57">
    <w:p w14:paraId="656B2075" w14:textId="77777777" w:rsidR="00E752DE" w:rsidRDefault="00E752DE" w:rsidP="007577E3">
      <w:pPr>
        <w:pStyle w:val="FootnoteText"/>
      </w:pPr>
      <w:r>
        <w:rPr>
          <w:rStyle w:val="FootnoteReference"/>
        </w:rPr>
        <w:footnoteRef/>
      </w:r>
      <w:r>
        <w:t xml:space="preserve"> </w:t>
      </w:r>
      <w:r w:rsidRPr="00552496">
        <w:t xml:space="preserve">If operators of currently scheduled premises were no longer required to </w:t>
      </w:r>
      <w:r>
        <w:t xml:space="preserve">hold </w:t>
      </w:r>
      <w:r w:rsidRPr="00552496">
        <w:t>operating licences and/or development licences (formerly works approvals), it is not assumed that compliance with existing works approval and licence conditions would fall to zero. Instead, the risk of environmental harm from businesses’ activity could reasonably be expected to slowly rise over time as compliance with environmentally beneficial processes and equipment used to control emissions (for example, particulate filters) deteriorates.</w:t>
      </w:r>
    </w:p>
  </w:footnote>
  <w:footnote w:id="58">
    <w:p w14:paraId="656B2076" w14:textId="77777777" w:rsidR="00E752DE" w:rsidRDefault="00E752DE" w:rsidP="00DD3378">
      <w:pPr>
        <w:pStyle w:val="FootnoteText"/>
      </w:pPr>
      <w:r>
        <w:rPr>
          <w:rStyle w:val="FootnoteReference"/>
        </w:rPr>
        <w:footnoteRef/>
      </w:r>
      <w:r>
        <w:t xml:space="preserve"> Includes piggeries, sheep feedlots, cattle feedlots, goat feedlots, goat dairies or dairy freestalls where more than 5,000 animals are confined for the purposes of agricultural production</w:t>
      </w:r>
    </w:p>
  </w:footnote>
  <w:footnote w:id="59">
    <w:p w14:paraId="656B2077" w14:textId="77777777" w:rsidR="00E752DE" w:rsidRDefault="00E752DE" w:rsidP="00E140AA">
      <w:pPr>
        <w:pStyle w:val="FootnoteText"/>
      </w:pPr>
      <w:r>
        <w:rPr>
          <w:rStyle w:val="FootnoteReference"/>
        </w:rPr>
        <w:footnoteRef/>
      </w:r>
      <w:r>
        <w:t xml:space="preserve"> WRRs are not permitted to receive, store or process any waste which is reportable priority waste for the purposes of section 143 of the Act, regardless of whether they fall into the licence, permit or registration tier </w:t>
      </w:r>
    </w:p>
  </w:footnote>
  <w:footnote w:id="60">
    <w:p w14:paraId="656B2078" w14:textId="77777777" w:rsidR="00E752DE" w:rsidRDefault="00E752DE" w:rsidP="00681AA2">
      <w:pPr>
        <w:pStyle w:val="FootnoteText"/>
      </w:pPr>
      <w:r>
        <w:rPr>
          <w:rStyle w:val="FootnoteReference"/>
        </w:rPr>
        <w:footnoteRef/>
      </w:r>
      <w:r>
        <w:t xml:space="preserve"> EPA 2017, </w:t>
      </w:r>
      <w:r w:rsidRPr="00F8453F">
        <w:rPr>
          <w:i/>
        </w:rPr>
        <w:t>Regulatory Impact Statement: Environmental Protection (Scheduled Premises) Regulations 2017</w:t>
      </w:r>
      <w:r>
        <w:t>.</w:t>
      </w:r>
    </w:p>
  </w:footnote>
  <w:footnote w:id="61">
    <w:p w14:paraId="656B2079" w14:textId="77777777" w:rsidR="00E752DE" w:rsidRDefault="00E752DE" w:rsidP="00B8082A">
      <w:pPr>
        <w:pStyle w:val="FootnoteText"/>
      </w:pPr>
      <w:r>
        <w:rPr>
          <w:rStyle w:val="FootnoteReference"/>
        </w:rPr>
        <w:footnoteRef/>
      </w:r>
      <w:r>
        <w:t xml:space="preserve"> EPA 2017, </w:t>
      </w:r>
      <w:r w:rsidRPr="00F8453F">
        <w:rPr>
          <w:i/>
        </w:rPr>
        <w:t>Regulatory Impact Statement: Environmental Protection (Scheduled Premises) Regulations 2017</w:t>
      </w:r>
      <w:r>
        <w:t>.</w:t>
      </w:r>
    </w:p>
  </w:footnote>
  <w:footnote w:id="62">
    <w:p w14:paraId="656B207A" w14:textId="77777777" w:rsidR="00E752DE" w:rsidRDefault="00E752DE">
      <w:pPr>
        <w:pStyle w:val="FootnoteText"/>
      </w:pPr>
      <w:r>
        <w:rPr>
          <w:rStyle w:val="FootnoteReference"/>
        </w:rPr>
        <w:footnoteRef/>
      </w:r>
      <w:r>
        <w:t xml:space="preserve"> This follows the same approach as EPA’s </w:t>
      </w:r>
      <w:r w:rsidRPr="00F8453F">
        <w:rPr>
          <w:i/>
        </w:rPr>
        <w:t>Regulatory Impact Statement: Environmental Protection (Scheduled Premises) Regulations 2017</w:t>
      </w:r>
      <w:r>
        <w:t xml:space="preserve">. Estimates from this report have been updated to 2018 dollars, and adjusted to reflect a reduction in the number of scheduled premises in Victoria from 670 to 663. </w:t>
      </w:r>
    </w:p>
  </w:footnote>
  <w:footnote w:id="63">
    <w:p w14:paraId="656B207B" w14:textId="77777777" w:rsidR="00E752DE" w:rsidRDefault="00E752DE" w:rsidP="00B8082A">
      <w:pPr>
        <w:pStyle w:val="FootnoteText"/>
      </w:pPr>
      <w:r>
        <w:rPr>
          <w:rStyle w:val="FootnoteReference"/>
        </w:rPr>
        <w:footnoteRef/>
      </w:r>
      <w:r>
        <w:t xml:space="preserve"> EPA 2017, </w:t>
      </w:r>
      <w:r w:rsidRPr="00F8453F">
        <w:rPr>
          <w:i/>
        </w:rPr>
        <w:t>Regulatory Impact Statement: Environmental Protection (Scheduled Premises) Regulations 2017</w:t>
      </w:r>
      <w:r>
        <w:t>. EPA, DELWP and Deloitte were not able to obtain better estimates than this, however they are considered to be conservative given they are unlikely to have reduced over time (after adjusting for inflation).</w:t>
      </w:r>
    </w:p>
  </w:footnote>
  <w:footnote w:id="64">
    <w:p w14:paraId="656B207C" w14:textId="77777777" w:rsidR="00E752DE" w:rsidRDefault="00E752DE" w:rsidP="009364B7">
      <w:pPr>
        <w:pStyle w:val="FootnoteText"/>
      </w:pPr>
      <w:r>
        <w:rPr>
          <w:rStyle w:val="FootnoteReference"/>
        </w:rPr>
        <w:footnoteRef/>
      </w:r>
      <w:r>
        <w:t xml:space="preserve"> This follows the same approach as EPA’s </w:t>
      </w:r>
      <w:r w:rsidRPr="00F8453F">
        <w:rPr>
          <w:i/>
        </w:rPr>
        <w:t>Regulatory Impact Statement: Environmental Protection (Scheduled Premises) Regulations 2017</w:t>
      </w:r>
      <w:r>
        <w:t xml:space="preserve">. </w:t>
      </w:r>
    </w:p>
  </w:footnote>
  <w:footnote w:id="65">
    <w:p w14:paraId="656B207D" w14:textId="77777777" w:rsidR="00E752DE" w:rsidRDefault="00E752DE" w:rsidP="00A01EB9">
      <w:pPr>
        <w:pStyle w:val="FootnoteText"/>
      </w:pPr>
      <w:r>
        <w:rPr>
          <w:rStyle w:val="FootnoteReference"/>
        </w:rPr>
        <w:footnoteRef/>
      </w:r>
      <w:r>
        <w:t xml:space="preserve"> Ibid. </w:t>
      </w:r>
    </w:p>
  </w:footnote>
  <w:footnote w:id="66">
    <w:p w14:paraId="656B207E" w14:textId="77777777" w:rsidR="00E752DE" w:rsidRDefault="00E752DE">
      <w:pPr>
        <w:pStyle w:val="FootnoteText"/>
      </w:pPr>
      <w:r>
        <w:rPr>
          <w:rStyle w:val="FootnoteReference"/>
        </w:rPr>
        <w:footnoteRef/>
      </w:r>
      <w:r>
        <w:t xml:space="preserve"> Ibid. </w:t>
      </w:r>
    </w:p>
  </w:footnote>
  <w:footnote w:id="67">
    <w:p w14:paraId="656B207F" w14:textId="77777777" w:rsidR="00E752DE" w:rsidRDefault="00E752DE" w:rsidP="00E206CF">
      <w:pPr>
        <w:pStyle w:val="FootnoteText"/>
      </w:pPr>
      <w:r>
        <w:rPr>
          <w:rStyle w:val="FootnoteReference"/>
        </w:rPr>
        <w:footnoteRef/>
      </w:r>
      <w:r>
        <w:t xml:space="preserve"> Ibid. </w:t>
      </w:r>
    </w:p>
  </w:footnote>
  <w:footnote w:id="68">
    <w:p w14:paraId="656B2080" w14:textId="77777777" w:rsidR="00E752DE" w:rsidRDefault="00E752DE" w:rsidP="004E2AEB">
      <w:pPr>
        <w:pStyle w:val="FootnoteText"/>
      </w:pPr>
      <w:r>
        <w:rPr>
          <w:rStyle w:val="FootnoteReference"/>
        </w:rPr>
        <w:footnoteRef/>
      </w:r>
      <w:r>
        <w:t xml:space="preserve"> For more information, see: </w:t>
      </w:r>
      <w:hyperlink r:id="rId5" w:history="1">
        <w:r>
          <w:rPr>
            <w:rStyle w:val="Hyperlink"/>
          </w:rPr>
          <w:t>https://www.epa.vic.gov.au/business-and-industry/guidelines/waste-guidance/combustible-recyclable-and-waste-materials</w:t>
        </w:r>
      </w:hyperlink>
    </w:p>
  </w:footnote>
  <w:footnote w:id="69">
    <w:p w14:paraId="656B2081" w14:textId="77777777" w:rsidR="00E752DE" w:rsidRPr="005C72EC" w:rsidRDefault="00E752DE" w:rsidP="004E2AEB">
      <w:pPr>
        <w:pStyle w:val="FootnoteText"/>
      </w:pPr>
      <w:r w:rsidRPr="00C7394E">
        <w:rPr>
          <w:rStyle w:val="FootnoteReference"/>
        </w:rPr>
        <w:footnoteRef/>
      </w:r>
      <w:r w:rsidRPr="00C7394E">
        <w:t xml:space="preserve"> </w:t>
      </w:r>
      <w:r w:rsidRPr="005C72EC">
        <w:t>See ‘Total annual costs for Victoria from stockpile fires’ – Waste Chapter</w:t>
      </w:r>
    </w:p>
  </w:footnote>
  <w:footnote w:id="70">
    <w:p w14:paraId="656B2082" w14:textId="77777777" w:rsidR="00E752DE" w:rsidRDefault="00E752DE" w:rsidP="00A903BC">
      <w:pPr>
        <w:pStyle w:val="FootnoteText"/>
      </w:pPr>
      <w:r>
        <w:rPr>
          <w:rStyle w:val="FootnoteReference"/>
        </w:rPr>
        <w:footnoteRef/>
      </w:r>
      <w:r>
        <w:t xml:space="preserve"> </w:t>
      </w:r>
      <w:r w:rsidRPr="00E237CB">
        <w:t>DELWP</w:t>
      </w:r>
      <w:r>
        <w:t xml:space="preserve"> 2018</w:t>
      </w:r>
      <w:r w:rsidRPr="00E237CB">
        <w:t xml:space="preserve">, </w:t>
      </w:r>
      <w:r w:rsidRPr="00E946A4">
        <w:rPr>
          <w:i/>
        </w:rPr>
        <w:t>Management and storage of combustible recyclable and waste material</w:t>
      </w:r>
      <w:r>
        <w:rPr>
          <w:i/>
        </w:rPr>
        <w:t>:</w:t>
      </w:r>
      <w:r w:rsidRPr="00E946A4">
        <w:rPr>
          <w:i/>
        </w:rPr>
        <w:t xml:space="preserve"> Policy Impact Assessment</w:t>
      </w:r>
    </w:p>
  </w:footnote>
  <w:footnote w:id="71">
    <w:p w14:paraId="656B2083" w14:textId="77777777" w:rsidR="00E752DE" w:rsidRDefault="00E752DE">
      <w:pPr>
        <w:pStyle w:val="FootnoteText"/>
      </w:pPr>
      <w:r>
        <w:rPr>
          <w:rStyle w:val="FootnoteReference"/>
        </w:rPr>
        <w:footnoteRef/>
      </w:r>
      <w:r>
        <w:t xml:space="preserve"> </w:t>
      </w:r>
      <w:r w:rsidRPr="00E237CB">
        <w:t>DELWP</w:t>
      </w:r>
      <w:r>
        <w:t xml:space="preserve"> 2018</w:t>
      </w:r>
      <w:r w:rsidRPr="00E237CB">
        <w:t xml:space="preserve">, </w:t>
      </w:r>
      <w:r w:rsidRPr="00E946A4">
        <w:rPr>
          <w:i/>
        </w:rPr>
        <w:t>Management and storage of combustible recyclable and waste material</w:t>
      </w:r>
      <w:r>
        <w:rPr>
          <w:i/>
        </w:rPr>
        <w:t>:</w:t>
      </w:r>
      <w:r w:rsidRPr="00E946A4">
        <w:rPr>
          <w:i/>
        </w:rPr>
        <w:t xml:space="preserve"> Policy Impact Assessment</w:t>
      </w:r>
    </w:p>
  </w:footnote>
  <w:footnote w:id="72">
    <w:p w14:paraId="656B2084" w14:textId="77777777" w:rsidR="00E752DE" w:rsidRDefault="00E752DE" w:rsidP="00C7394E">
      <w:pPr>
        <w:pStyle w:val="FootnoteText"/>
      </w:pPr>
      <w:r>
        <w:rPr>
          <w:rStyle w:val="FootnoteReference"/>
        </w:rPr>
        <w:footnoteRef/>
      </w:r>
      <w:r>
        <w:t xml:space="preserve"> These estimates are based on schedule-wide estimates determined in 2009 and updated to 2018 prices, from The Allen Consulting Group, </w:t>
      </w:r>
      <w:r w:rsidRPr="00040A06">
        <w:rPr>
          <w:i/>
        </w:rPr>
        <w:t>The cost of environmental regulation in Victoria</w:t>
      </w:r>
      <w:r>
        <w:t>, 2009. There was insufficient data collected from industry consultation on this RIS to reasonably update these estimates, and it is not known how these costs might have changed over time.</w:t>
      </w:r>
    </w:p>
  </w:footnote>
  <w:footnote w:id="73">
    <w:p w14:paraId="656B2085" w14:textId="77777777" w:rsidR="00E752DE" w:rsidRDefault="00E752DE" w:rsidP="00C7394E">
      <w:pPr>
        <w:pStyle w:val="FootnoteText"/>
      </w:pPr>
      <w:r>
        <w:rPr>
          <w:rStyle w:val="FootnoteReference"/>
        </w:rPr>
        <w:footnoteRef/>
      </w:r>
      <w:r>
        <w:t xml:space="preserve"> The Allen Consulting Group, </w:t>
      </w:r>
      <w:r w:rsidRPr="008F099C">
        <w:rPr>
          <w:i/>
        </w:rPr>
        <w:t>The cost of environmental regulation in Victoria</w:t>
      </w:r>
      <w:r>
        <w:t>, 2009. There was insufficient data collected from industry consultation on this RIS to reasonably update this estimate.</w:t>
      </w:r>
    </w:p>
  </w:footnote>
  <w:footnote w:id="74">
    <w:p w14:paraId="656B2086" w14:textId="77777777" w:rsidR="00E752DE" w:rsidRDefault="00E752DE" w:rsidP="00C7394E">
      <w:pPr>
        <w:pStyle w:val="FootnoteText"/>
      </w:pPr>
      <w:r>
        <w:rPr>
          <w:rStyle w:val="FootnoteReference"/>
        </w:rPr>
        <w:footnoteRef/>
      </w:r>
      <w:r>
        <w:t xml:space="preserve"> This cost estimate is based on average works approval compliance costs (updated to 2018 prices) from The Allen Consulting Group, </w:t>
      </w:r>
      <w:r w:rsidRPr="008F099C">
        <w:rPr>
          <w:i/>
        </w:rPr>
        <w:t>The cost of environmental regulation in Victoria</w:t>
      </w:r>
      <w:r>
        <w:t>, 2009. There was insufficient data collected from industry consultation on this RIS to reasonably update these estimates, and it is not known how these costs might have changed over time.</w:t>
      </w:r>
    </w:p>
  </w:footnote>
  <w:footnote w:id="75">
    <w:p w14:paraId="656B2087" w14:textId="77777777" w:rsidR="00E752DE" w:rsidRDefault="00E752DE" w:rsidP="00C7394E">
      <w:pPr>
        <w:pStyle w:val="FootnoteText"/>
      </w:pPr>
      <w:r>
        <w:rPr>
          <w:rStyle w:val="FootnoteReference"/>
        </w:rPr>
        <w:footnoteRef/>
      </w:r>
      <w:r>
        <w:t xml:space="preserve"> This estimate reflects the median works approval exemption application cost of businesses who had recently completed one (survey data).</w:t>
      </w:r>
    </w:p>
  </w:footnote>
  <w:footnote w:id="76">
    <w:p w14:paraId="656B2088" w14:textId="77777777" w:rsidR="00E752DE" w:rsidRDefault="00E752DE" w:rsidP="00F175CF">
      <w:pPr>
        <w:pStyle w:val="FootnoteText"/>
      </w:pPr>
      <w:r>
        <w:rPr>
          <w:rStyle w:val="FootnoteReference"/>
        </w:rPr>
        <w:footnoteRef/>
      </w:r>
      <w:r>
        <w:t xml:space="preserve"> These estimates are based on schedule-wide estimates determined in 2009 and updated to 2018 prices, from The Allen Consulting Group, </w:t>
      </w:r>
      <w:r w:rsidRPr="00040A06">
        <w:rPr>
          <w:i/>
        </w:rPr>
        <w:t>The cost of environmental regulation in Victoria</w:t>
      </w:r>
      <w:r>
        <w:t>, 2009. There was insufficient data collected from industry consultation on this RIS to reasonably update these estimates, and it is not known how these costs might have changed over time.</w:t>
      </w:r>
    </w:p>
  </w:footnote>
  <w:footnote w:id="77">
    <w:p w14:paraId="656B2089" w14:textId="77777777" w:rsidR="00E752DE" w:rsidRDefault="00E752DE">
      <w:pPr>
        <w:pStyle w:val="FootnoteText"/>
      </w:pPr>
      <w:r>
        <w:rPr>
          <w:rStyle w:val="FootnoteReference"/>
        </w:rPr>
        <w:footnoteRef/>
      </w:r>
      <w:r>
        <w:t xml:space="preserve"> These estimates are based on schedule-wide estimates determined in 2009 and updated to 2018 prices, from The Allen Consulting Group, </w:t>
      </w:r>
      <w:r w:rsidRPr="00040A06">
        <w:rPr>
          <w:i/>
        </w:rPr>
        <w:t>The cost of environmental regulation in Victoria</w:t>
      </w:r>
      <w:r>
        <w:t>, 2009. There was insufficient data collected from industry consultation on this RIS to reasonably update these estimates, and it is not known how these costs might have changed over time.</w:t>
      </w:r>
    </w:p>
  </w:footnote>
  <w:footnote w:id="78">
    <w:p w14:paraId="656B208A" w14:textId="77777777" w:rsidR="00E752DE" w:rsidRDefault="00E752DE" w:rsidP="00DF012D">
      <w:pPr>
        <w:pStyle w:val="FootnoteText"/>
      </w:pPr>
      <w:r>
        <w:rPr>
          <w:rStyle w:val="FootnoteReference"/>
        </w:rPr>
        <w:footnoteRef/>
      </w:r>
      <w:r>
        <w:t xml:space="preserve"> The median cost for a vehicle transport permit for </w:t>
      </w:r>
      <w:r w:rsidRPr="0021280E">
        <w:t>businesses who responded to the survey was $1,000</w:t>
      </w:r>
    </w:p>
  </w:footnote>
  <w:footnote w:id="79">
    <w:p w14:paraId="656B208B" w14:textId="77777777" w:rsidR="00E752DE" w:rsidRDefault="00E752DE">
      <w:pPr>
        <w:pStyle w:val="FootnoteText"/>
      </w:pPr>
      <w:r>
        <w:rPr>
          <w:rStyle w:val="FootnoteReference"/>
        </w:rPr>
        <w:footnoteRef/>
      </w:r>
      <w:r>
        <w:t xml:space="preserve"> Source: Payscale (2019), accessed from: </w:t>
      </w:r>
      <w:hyperlink r:id="rId6" w:history="1">
        <w:r>
          <w:rPr>
            <w:rStyle w:val="Hyperlink"/>
          </w:rPr>
          <w:t>https://www.payscale.com/research/AU/Country=Australia/Salary</w:t>
        </w:r>
      </w:hyperlink>
    </w:p>
  </w:footnote>
  <w:footnote w:id="80">
    <w:p w14:paraId="656B208C" w14:textId="77777777" w:rsidR="00E752DE" w:rsidRDefault="00E752DE" w:rsidP="00017DEB">
      <w:pPr>
        <w:pStyle w:val="FootnoteText"/>
      </w:pPr>
      <w:r>
        <w:rPr>
          <w:rStyle w:val="FootnoteReference"/>
        </w:rPr>
        <w:footnoteRef/>
      </w:r>
      <w:r>
        <w:t xml:space="preserve"> </w:t>
      </w:r>
      <w:r w:rsidRPr="00181261">
        <w:t xml:space="preserve">The number of approximately 3,500 vehicle registrations is an estimate based on internal </w:t>
      </w:r>
      <w:r>
        <w:t xml:space="preserve">EPA </w:t>
      </w:r>
      <w:r w:rsidRPr="00181261">
        <w:t>data on the number of vehicle permits administered by EPA under the current framework, the types of waste which are being transported under these permits and multi-year data showing an increasing trend in the number of permits being applied for. This estimate takes into account the fact that a small number of existing waste transport permits are for higher-hazard waste types which will continue to require permitting in the future (not registration), and does not include these.</w:t>
      </w:r>
    </w:p>
  </w:footnote>
  <w:footnote w:id="81">
    <w:p w14:paraId="656B208D" w14:textId="77777777" w:rsidR="00E752DE" w:rsidRDefault="00E752DE" w:rsidP="00DE63DA">
      <w:pPr>
        <w:pStyle w:val="FootnoteText"/>
      </w:pPr>
      <w:r>
        <w:rPr>
          <w:rStyle w:val="FootnoteReference"/>
        </w:rPr>
        <w:footnoteRef/>
      </w:r>
      <w:r>
        <w:t xml:space="preserve"> See Appendix 7 – List of Fees</w:t>
      </w:r>
      <w:r w:rsidDel="00AF3E41">
        <w:t xml:space="preserve"> </w:t>
      </w:r>
    </w:p>
  </w:footnote>
  <w:footnote w:id="82">
    <w:p w14:paraId="656B208E" w14:textId="77777777" w:rsidR="00E752DE" w:rsidRDefault="00E752DE" w:rsidP="00DE63DA">
      <w:pPr>
        <w:pStyle w:val="FootnoteText"/>
      </w:pPr>
      <w:r>
        <w:rPr>
          <w:rStyle w:val="FootnoteReference"/>
        </w:rPr>
        <w:footnoteRef/>
      </w:r>
      <w:r>
        <w:t xml:space="preserve"> Source: EPA 2017, </w:t>
      </w:r>
      <w:r w:rsidRPr="00F8453F">
        <w:rPr>
          <w:i/>
        </w:rPr>
        <w:t>Regulatory Impact Statement: Environmental Protection (Scheduled Premises) Regulations 2017</w:t>
      </w:r>
      <w:r>
        <w:t xml:space="preserve">. This estimate is used in place of the fees outlined in Appendix 7, reflecting uncertainty over the number of financial assurances issued annually under the proposed Regulations. </w:t>
      </w:r>
    </w:p>
  </w:footnote>
  <w:footnote w:id="83">
    <w:p w14:paraId="656B208F" w14:textId="77777777" w:rsidR="00E752DE" w:rsidRDefault="00E752DE">
      <w:pPr>
        <w:pStyle w:val="FootnoteText"/>
      </w:pPr>
      <w:r>
        <w:rPr>
          <w:rStyle w:val="FootnoteReference"/>
        </w:rPr>
        <w:footnoteRef/>
      </w:r>
      <w:r>
        <w:t xml:space="preserve"> 170 under Option 2 is an upper-bound estimate. EPA estimates that there are 170 duty holders that may be assessed against the FA risk-screening criteria, but it is possible that not all of those would subsequently be required to obtain an FA. </w:t>
      </w:r>
    </w:p>
  </w:footnote>
  <w:footnote w:id="84">
    <w:p w14:paraId="656B2090" w14:textId="77777777" w:rsidR="00E752DE" w:rsidRDefault="00E752DE">
      <w:pPr>
        <w:pStyle w:val="FootnoteText"/>
      </w:pPr>
      <w:r>
        <w:rPr>
          <w:rStyle w:val="FootnoteReference"/>
        </w:rPr>
        <w:footnoteRef/>
      </w:r>
      <w:r>
        <w:t xml:space="preserve"> See Appendix 7 – List of Fees</w:t>
      </w:r>
      <w:r w:rsidDel="00AF3E41">
        <w:t xml:space="preserve"> </w:t>
      </w:r>
    </w:p>
  </w:footnote>
  <w:footnote w:id="85">
    <w:p w14:paraId="656B2091" w14:textId="77777777" w:rsidR="00E752DE" w:rsidRDefault="00E752DE">
      <w:pPr>
        <w:pStyle w:val="FootnoteText"/>
      </w:pPr>
      <w:r>
        <w:rPr>
          <w:rStyle w:val="FootnoteReference"/>
        </w:rPr>
        <w:footnoteRef/>
      </w:r>
      <w:r>
        <w:t xml:space="preserve"> See Appendix 7 – List of Fees</w:t>
      </w:r>
    </w:p>
  </w:footnote>
  <w:footnote w:id="86">
    <w:p w14:paraId="656B2092" w14:textId="77777777" w:rsidR="00E752DE" w:rsidRDefault="00E752DE">
      <w:pPr>
        <w:pStyle w:val="FootnoteText"/>
      </w:pPr>
      <w:r>
        <w:rPr>
          <w:rStyle w:val="FootnoteReference"/>
        </w:rPr>
        <w:footnoteRef/>
      </w:r>
      <w:r>
        <w:t xml:space="preserve"> See Appendix 7 – List of Fees </w:t>
      </w:r>
    </w:p>
  </w:footnote>
  <w:footnote w:id="87">
    <w:p w14:paraId="656B2093" w14:textId="77777777" w:rsidR="00E752DE" w:rsidRDefault="00E752DE">
      <w:pPr>
        <w:pStyle w:val="FootnoteText"/>
      </w:pPr>
      <w:r>
        <w:rPr>
          <w:rStyle w:val="FootnoteReference"/>
        </w:rPr>
        <w:footnoteRef/>
      </w:r>
      <w:r>
        <w:t xml:space="preserve"> See Appendix 7 – List of Fees</w:t>
      </w:r>
    </w:p>
  </w:footnote>
  <w:footnote w:id="88">
    <w:p w14:paraId="656B2094" w14:textId="77777777" w:rsidR="00E752DE" w:rsidRPr="00ED173F" w:rsidRDefault="00E752DE" w:rsidP="00EA61A4">
      <w:pPr>
        <w:pStyle w:val="FootnoteText"/>
        <w:rPr>
          <w:rFonts w:cs="Segoe UI Light"/>
        </w:rPr>
      </w:pPr>
      <w:r w:rsidRPr="00FB447E">
        <w:rPr>
          <w:rStyle w:val="FootnoteReference"/>
          <w:rFonts w:cs="Segoe UI Light"/>
          <w:szCs w:val="16"/>
        </w:rPr>
        <w:footnoteRef/>
      </w:r>
      <w:r w:rsidRPr="00FB447E">
        <w:rPr>
          <w:rFonts w:cs="Segoe UI Light"/>
          <w:szCs w:val="16"/>
        </w:rPr>
        <w:t xml:space="preserve"> </w:t>
      </w:r>
      <w:r w:rsidRPr="00ED173F">
        <w:rPr>
          <w:rFonts w:cs="Segoe UI Light"/>
        </w:rPr>
        <w:t xml:space="preserve">Reticulated sewerage systems are a network of collection of pipes, mains pipes and pumping stations that take sewage off-site to a treatment plant and are the responsibility of water authorities (VAGO 2006, p19). </w:t>
      </w:r>
    </w:p>
  </w:footnote>
  <w:footnote w:id="89">
    <w:p w14:paraId="656B2095" w14:textId="77777777" w:rsidR="00E752DE" w:rsidRDefault="00E752DE">
      <w:pPr>
        <w:pStyle w:val="FootnoteText"/>
      </w:pPr>
      <w:r>
        <w:rPr>
          <w:rStyle w:val="FootnoteReference"/>
        </w:rPr>
        <w:footnoteRef/>
      </w:r>
      <w:r>
        <w:t xml:space="preserve"> The EP Act 1970 refers to ‘septic tank systems’, a term which is interchangeable with ‘on-site wastewater management system’ as defined under the draft regulations, and abbreviated to ‘on-site system’ in this RIS.</w:t>
      </w:r>
    </w:p>
  </w:footnote>
  <w:footnote w:id="90">
    <w:p w14:paraId="656B2096" w14:textId="77777777" w:rsidR="00E752DE" w:rsidRPr="00ED173F" w:rsidRDefault="00E752DE" w:rsidP="007A01B2">
      <w:pPr>
        <w:pStyle w:val="FootnoteText"/>
        <w:rPr>
          <w:rFonts w:cs="Segoe UI Light"/>
        </w:rPr>
      </w:pPr>
      <w:r w:rsidRPr="00ED173F">
        <w:rPr>
          <w:rStyle w:val="FootnoteReference"/>
          <w:rFonts w:cs="Segoe UI Light"/>
        </w:rPr>
        <w:footnoteRef/>
      </w:r>
      <w:r w:rsidRPr="00ED173F">
        <w:rPr>
          <w:rFonts w:cs="Segoe UI Light"/>
        </w:rPr>
        <w:t xml:space="preserve"> Victorian Auditor General’s Office, Managing the Environmental Impacts of Domestic Wastewater, September 2018, p27. The VAGO report only focussed on two councils close to metropolitan Melbourne, with high population and a high proportion of unsewered properties and it is </w:t>
      </w:r>
      <w:r>
        <w:rPr>
          <w:rFonts w:cs="Segoe UI Light"/>
        </w:rPr>
        <w:t>not possible</w:t>
      </w:r>
      <w:r w:rsidRPr="00ED173F">
        <w:rPr>
          <w:rFonts w:cs="Segoe UI Light"/>
        </w:rPr>
        <w:t xml:space="preserve"> to extrapolate the number of septic tanks in Victoria across all 79 councils in Victoria from this sample. </w:t>
      </w:r>
    </w:p>
  </w:footnote>
  <w:footnote w:id="91">
    <w:p w14:paraId="656B2097" w14:textId="77777777" w:rsidR="00E752DE" w:rsidRPr="00ED173F" w:rsidRDefault="00E752DE" w:rsidP="00BD698F">
      <w:pPr>
        <w:pStyle w:val="FootnoteText"/>
        <w:rPr>
          <w:rFonts w:cs="Segoe UI Light"/>
        </w:rPr>
      </w:pPr>
      <w:r w:rsidRPr="00ED173F">
        <w:rPr>
          <w:rStyle w:val="FootnoteReference"/>
          <w:rFonts w:cs="Segoe UI Light"/>
        </w:rPr>
        <w:footnoteRef/>
      </w:r>
      <w:r w:rsidRPr="00ED173F">
        <w:rPr>
          <w:rFonts w:cs="Segoe UI Light"/>
        </w:rPr>
        <w:t xml:space="preserve"> VAGO 2018,</w:t>
      </w:r>
      <w:r>
        <w:rPr>
          <w:rFonts w:cs="Segoe UI Light"/>
        </w:rPr>
        <w:t xml:space="preserve"> page </w:t>
      </w:r>
      <w:r w:rsidRPr="00ED173F">
        <w:rPr>
          <w:rFonts w:cs="Segoe UI Light"/>
        </w:rPr>
        <w:t>25.</w:t>
      </w:r>
    </w:p>
  </w:footnote>
  <w:footnote w:id="92">
    <w:p w14:paraId="656B2098" w14:textId="77777777" w:rsidR="00E752DE" w:rsidRPr="00956733" w:rsidRDefault="00E752DE" w:rsidP="00906C8E">
      <w:pPr>
        <w:pStyle w:val="FootnoteText"/>
        <w:rPr>
          <w:rFonts w:asciiTheme="minorHAnsi" w:hAnsiTheme="minorHAnsi" w:cstheme="minorHAnsi"/>
        </w:rPr>
      </w:pPr>
      <w:r w:rsidRPr="0043309C">
        <w:rPr>
          <w:rStyle w:val="FootnoteReference"/>
          <w:rFonts w:cs="Segoe UI Light"/>
        </w:rPr>
        <w:footnoteRef/>
      </w:r>
      <w:r w:rsidRPr="0043309C">
        <w:rPr>
          <w:rFonts w:cs="Segoe UI Light"/>
        </w:rPr>
        <w:t xml:space="preserve"> </w:t>
      </w:r>
      <w:r w:rsidRPr="00ED173F">
        <w:rPr>
          <w:rFonts w:cs="Segoe UI Light"/>
        </w:rPr>
        <w:t xml:space="preserve">Geary 2004; </w:t>
      </w:r>
      <w:hyperlink r:id="rId7" w:history="1">
        <w:r w:rsidRPr="00ED173F">
          <w:rPr>
            <w:rStyle w:val="Hyperlink"/>
            <w:rFonts w:cs="Segoe UI Light"/>
          </w:rPr>
          <w:t>https://www.researchgate.net/publication/43449867_Process_performance_and_pollution_potential_A_review_of_septic_tank-soil_absorption_systems</w:t>
        </w:r>
      </w:hyperlink>
      <w:r w:rsidRPr="00ED173F">
        <w:rPr>
          <w:rFonts w:cs="Segoe UI Light"/>
        </w:rPr>
        <w:t xml:space="preserve"> .</w:t>
      </w:r>
    </w:p>
  </w:footnote>
  <w:footnote w:id="93">
    <w:p w14:paraId="656B2099" w14:textId="77777777" w:rsidR="00E752DE" w:rsidRDefault="00E752DE" w:rsidP="00AD123A">
      <w:pPr>
        <w:pStyle w:val="FootnoteText"/>
      </w:pPr>
      <w:r>
        <w:rPr>
          <w:rStyle w:val="FootnoteReference"/>
        </w:rPr>
        <w:footnoteRef/>
      </w:r>
      <w:r>
        <w:t xml:space="preserve"> Systems with a flow rate of more than 5,000 litres a day are classified as industrial wastewater treatment in the new EP legislation, and require an EPA development and operating licence. </w:t>
      </w:r>
    </w:p>
  </w:footnote>
  <w:footnote w:id="94">
    <w:p w14:paraId="656B209A" w14:textId="77777777" w:rsidR="00E752DE" w:rsidRDefault="00E752DE" w:rsidP="00FF1007">
      <w:pPr>
        <w:pStyle w:val="FootnoteText"/>
      </w:pPr>
      <w:r>
        <w:rPr>
          <w:rStyle w:val="FootnoteReference"/>
        </w:rPr>
        <w:footnoteRef/>
      </w:r>
      <w:r>
        <w:t xml:space="preserve"> N</w:t>
      </w:r>
      <w:r w:rsidRPr="00FF1007">
        <w:t xml:space="preserve">ew EP </w:t>
      </w:r>
      <w:r>
        <w:t>l</w:t>
      </w:r>
      <w:r w:rsidRPr="00FF1007">
        <w:t>egislation states that a permit may be renewed for a period of not more than 5 years</w:t>
      </w:r>
      <w:r>
        <w:t>.</w:t>
      </w:r>
    </w:p>
  </w:footnote>
  <w:footnote w:id="95">
    <w:p w14:paraId="656B209B" w14:textId="77777777" w:rsidR="00E752DE" w:rsidRDefault="00E752DE">
      <w:pPr>
        <w:pStyle w:val="FootnoteText"/>
      </w:pPr>
      <w:r>
        <w:rPr>
          <w:rStyle w:val="FootnoteReference"/>
        </w:rPr>
        <w:footnoteRef/>
      </w:r>
      <w:r>
        <w:t xml:space="preserve"> Comprising two councils on Melbourne’s peri-urban fringe, three regional city councils and one rural council. </w:t>
      </w:r>
    </w:p>
  </w:footnote>
  <w:footnote w:id="96">
    <w:p w14:paraId="656B209C" w14:textId="77777777" w:rsidR="00E752DE" w:rsidRPr="00181261" w:rsidRDefault="00E752DE" w:rsidP="00B2202D">
      <w:pPr>
        <w:rPr>
          <w:sz w:val="16"/>
          <w:szCs w:val="16"/>
        </w:rPr>
      </w:pPr>
      <w:r w:rsidRPr="00181261">
        <w:rPr>
          <w:rStyle w:val="FootnoteReference"/>
          <w:sz w:val="16"/>
          <w:szCs w:val="16"/>
        </w:rPr>
        <w:footnoteRef/>
      </w:r>
      <w:r w:rsidRPr="00181261">
        <w:rPr>
          <w:sz w:val="16"/>
          <w:szCs w:val="16"/>
        </w:rPr>
        <w:t xml:space="preserve"> </w:t>
      </w:r>
      <w:r w:rsidRPr="00181261">
        <w:rPr>
          <w:rFonts w:eastAsia="Segoe UI Light" w:cs="Segoe UI Light"/>
          <w:sz w:val="16"/>
          <w:szCs w:val="16"/>
        </w:rPr>
        <w:t xml:space="preserve">This assumes 100% level of compliance because if an activity is prescribed to be a permission activity, then the person who has attained the permission must comply with all conditions / requirements set out in the permission. </w:t>
      </w:r>
    </w:p>
    <w:p w14:paraId="656B209D" w14:textId="77777777" w:rsidR="00E752DE" w:rsidRDefault="00E752DE" w:rsidP="00B2202D">
      <w:pPr>
        <w:pStyle w:val="FootnoteText"/>
      </w:pPr>
    </w:p>
  </w:footnote>
  <w:footnote w:id="97">
    <w:p w14:paraId="656B209E" w14:textId="77777777" w:rsidR="00E752DE" w:rsidRDefault="00E752DE" w:rsidP="00040A06">
      <w:pPr>
        <w:pStyle w:val="FootnoteText"/>
      </w:pPr>
      <w:r>
        <w:rPr>
          <w:rStyle w:val="FootnoteReference"/>
        </w:rPr>
        <w:footnoteRef/>
      </w:r>
      <w:r>
        <w:t xml:space="preserve"> Commissioner for Environmental Sustainability Victoria, State of the Environment 2018 (2018) available at </w:t>
      </w:r>
      <w:r w:rsidRPr="00040A06">
        <w:t>https://www.ces.vic.gov.au/reports/state-environment-2018</w:t>
      </w:r>
      <w:r>
        <w:t>.</w:t>
      </w:r>
    </w:p>
  </w:footnote>
  <w:footnote w:id="98">
    <w:p w14:paraId="656B209F" w14:textId="77777777" w:rsidR="00E752DE" w:rsidRDefault="00E752DE" w:rsidP="00CF0796">
      <w:pPr>
        <w:pStyle w:val="FootnoteText"/>
      </w:pPr>
      <w:r>
        <w:rPr>
          <w:rStyle w:val="FootnoteReference"/>
        </w:rPr>
        <w:footnoteRef/>
      </w:r>
      <w:r>
        <w:t xml:space="preserve"> Commissioner for Environmental Sustainability Victoria, State of the Environment 2018 (2018) available at</w:t>
      </w:r>
      <w:r w:rsidRPr="00296675">
        <w:t xml:space="preserve"> </w:t>
      </w:r>
      <w:r w:rsidRPr="00040A06">
        <w:t>https://www.ces.vic.gov.au/reports/state-environment-2018</w:t>
      </w:r>
      <w:r>
        <w:t>.</w:t>
      </w:r>
    </w:p>
  </w:footnote>
  <w:footnote w:id="99">
    <w:p w14:paraId="656B20A0" w14:textId="77777777" w:rsidR="00E752DE" w:rsidRDefault="00E752DE" w:rsidP="00CF0796">
      <w:pPr>
        <w:pStyle w:val="FootnoteText"/>
      </w:pPr>
      <w:r>
        <w:rPr>
          <w:rStyle w:val="FootnoteReference"/>
        </w:rPr>
        <w:footnoteRef/>
      </w:r>
      <w:r>
        <w:t xml:space="preserve"> EPA estimate based on analysis of industrial development of Victoria.</w:t>
      </w:r>
    </w:p>
  </w:footnote>
  <w:footnote w:id="100">
    <w:p w14:paraId="656B20A1" w14:textId="77777777" w:rsidR="00E752DE" w:rsidRDefault="00E752DE">
      <w:pPr>
        <w:pStyle w:val="FootnoteText"/>
      </w:pPr>
      <w:r>
        <w:rPr>
          <w:rStyle w:val="FootnoteReference"/>
        </w:rPr>
        <w:footnoteRef/>
      </w:r>
      <w:r>
        <w:t xml:space="preserve"> EPA estimates.</w:t>
      </w:r>
    </w:p>
  </w:footnote>
  <w:footnote w:id="101">
    <w:p w14:paraId="656B20A2" w14:textId="77777777" w:rsidR="00E752DE" w:rsidRDefault="00E752DE" w:rsidP="00CF0796">
      <w:pPr>
        <w:pStyle w:val="FootnoteText"/>
      </w:pPr>
      <w:r>
        <w:rPr>
          <w:rStyle w:val="FootnoteReference"/>
        </w:rPr>
        <w:footnoteRef/>
      </w:r>
      <w:r>
        <w:t xml:space="preserve"> State Environmental Protection Policy (Waters), Clause 54.</w:t>
      </w:r>
    </w:p>
  </w:footnote>
  <w:footnote w:id="102">
    <w:p w14:paraId="656B20A3" w14:textId="77777777" w:rsidR="00E752DE" w:rsidRPr="0075008D" w:rsidRDefault="00E752DE" w:rsidP="00CF0796">
      <w:pPr>
        <w:pStyle w:val="FootnoteText"/>
        <w:ind w:right="-2694"/>
        <w:rPr>
          <w:szCs w:val="16"/>
        </w:rPr>
      </w:pPr>
      <w:r>
        <w:rPr>
          <w:rStyle w:val="FootnoteReference"/>
        </w:rPr>
        <w:footnoteRef/>
      </w:r>
      <w:r>
        <w:t xml:space="preserve"> </w:t>
      </w:r>
      <w:r w:rsidRPr="00040A06">
        <w:rPr>
          <w:rFonts w:cs="Segoe UI Light"/>
          <w:szCs w:val="16"/>
        </w:rPr>
        <w:t xml:space="preserve">Independent Inquiry into the Environment Protection Authority, 2016, </w:t>
      </w:r>
      <w:r w:rsidRPr="00EC6239">
        <w:rPr>
          <w:szCs w:val="16"/>
        </w:rPr>
        <w:t>p</w:t>
      </w:r>
      <w:r>
        <w:rPr>
          <w:szCs w:val="16"/>
        </w:rPr>
        <w:t xml:space="preserve">age </w:t>
      </w:r>
      <w:r w:rsidRPr="0075008D">
        <w:rPr>
          <w:szCs w:val="16"/>
        </w:rPr>
        <w:t>52.</w:t>
      </w:r>
    </w:p>
  </w:footnote>
  <w:footnote w:id="103">
    <w:p w14:paraId="656B20A4" w14:textId="77777777" w:rsidR="00E752DE" w:rsidRPr="0075008D" w:rsidRDefault="00E752DE" w:rsidP="00CF0796">
      <w:pPr>
        <w:pStyle w:val="FootnoteText"/>
        <w:ind w:right="-2694"/>
        <w:rPr>
          <w:szCs w:val="16"/>
        </w:rPr>
      </w:pPr>
      <w:r w:rsidRPr="00EC6239">
        <w:rPr>
          <w:rStyle w:val="FootnoteReference"/>
          <w:szCs w:val="16"/>
        </w:rPr>
        <w:footnoteRef/>
      </w:r>
      <w:r w:rsidRPr="00EC6239">
        <w:rPr>
          <w:szCs w:val="16"/>
        </w:rPr>
        <w:t xml:space="preserve"> </w:t>
      </w:r>
      <w:r w:rsidRPr="00040A06">
        <w:rPr>
          <w:rFonts w:cs="Segoe UI Light"/>
          <w:szCs w:val="16"/>
        </w:rPr>
        <w:t xml:space="preserve">Independent Inquiry into the Environment Protection Authority, 2016, </w:t>
      </w:r>
      <w:r w:rsidRPr="00EC6239">
        <w:rPr>
          <w:szCs w:val="16"/>
        </w:rPr>
        <w:t>p</w:t>
      </w:r>
      <w:r>
        <w:rPr>
          <w:szCs w:val="16"/>
        </w:rPr>
        <w:t>age 261</w:t>
      </w:r>
      <w:r w:rsidRPr="00EC6239">
        <w:rPr>
          <w:szCs w:val="16"/>
        </w:rPr>
        <w:t>.</w:t>
      </w:r>
    </w:p>
  </w:footnote>
  <w:footnote w:id="104">
    <w:p w14:paraId="656B20A5" w14:textId="77777777" w:rsidR="00E752DE" w:rsidRDefault="00E752DE" w:rsidP="00CF0796">
      <w:pPr>
        <w:pStyle w:val="FootnoteText"/>
      </w:pPr>
      <w:r w:rsidRPr="00EC6239">
        <w:rPr>
          <w:rStyle w:val="FootnoteReference"/>
          <w:szCs w:val="16"/>
        </w:rPr>
        <w:footnoteRef/>
      </w:r>
      <w:r w:rsidRPr="00EC6239">
        <w:rPr>
          <w:szCs w:val="16"/>
        </w:rPr>
        <w:t xml:space="preserve"> </w:t>
      </w:r>
      <w:r>
        <w:t xml:space="preserve">Victoria Auditor-General’s Office, </w:t>
      </w:r>
      <w:r w:rsidRPr="00E86343">
        <w:rPr>
          <w:i/>
        </w:rPr>
        <w:t>Managing Contaminated Sites</w:t>
      </w:r>
      <w:r>
        <w:rPr>
          <w:i/>
        </w:rPr>
        <w:t xml:space="preserve"> </w:t>
      </w:r>
      <w:r w:rsidRPr="00E86343">
        <w:t>(2011)</w:t>
      </w:r>
      <w:r>
        <w:t xml:space="preserve">, page 13. </w:t>
      </w:r>
    </w:p>
  </w:footnote>
  <w:footnote w:id="105">
    <w:p w14:paraId="656B20A6" w14:textId="77777777" w:rsidR="00E752DE" w:rsidRPr="00542843" w:rsidRDefault="00E752DE">
      <w:pPr>
        <w:pStyle w:val="FootnoteText"/>
      </w:pPr>
      <w:r>
        <w:rPr>
          <w:rStyle w:val="FootnoteReference"/>
        </w:rPr>
        <w:footnoteRef/>
      </w:r>
      <w:r>
        <w:t xml:space="preserve"> The word </w:t>
      </w:r>
      <w:r>
        <w:rPr>
          <w:i/>
        </w:rPr>
        <w:t>potential</w:t>
      </w:r>
      <w:r>
        <w:t xml:space="preserve"> has been used here because the setting of background levels may influence whether or not a duty to manage the contamination exists. </w:t>
      </w:r>
    </w:p>
  </w:footnote>
  <w:footnote w:id="106">
    <w:p w14:paraId="656B20A7" w14:textId="77777777" w:rsidR="00E752DE" w:rsidRDefault="00E752DE" w:rsidP="00CF0796">
      <w:pPr>
        <w:pStyle w:val="FootnoteText"/>
      </w:pPr>
      <w:r>
        <w:rPr>
          <w:rStyle w:val="FootnoteReference"/>
        </w:rPr>
        <w:footnoteRef/>
      </w:r>
      <w:r>
        <w:t xml:space="preserve"> Environment Protection Authority Victoria,</w:t>
      </w:r>
      <w:r w:rsidRPr="00040A06">
        <w:rPr>
          <w:i/>
        </w:rPr>
        <w:t xml:space="preserve"> Industrial Waste Resource Guidelines – Arsenic in mine tailings, sand and rock</w:t>
      </w:r>
      <w:r>
        <w:t xml:space="preserve"> (2009). </w:t>
      </w:r>
    </w:p>
  </w:footnote>
  <w:footnote w:id="107">
    <w:p w14:paraId="656B20A8" w14:textId="77777777" w:rsidR="00E752DE" w:rsidRDefault="00E752DE" w:rsidP="00CF0796">
      <w:pPr>
        <w:pStyle w:val="FootnoteText"/>
      </w:pPr>
      <w:r>
        <w:rPr>
          <w:rStyle w:val="FootnoteReference"/>
        </w:rPr>
        <w:footnoteRef/>
      </w:r>
      <w:r>
        <w:t xml:space="preserve"> NSW Environment Protection Authority, </w:t>
      </w:r>
      <w:r w:rsidRPr="00040A06">
        <w:rPr>
          <w:i/>
        </w:rPr>
        <w:t>Technical Note: Light Non-Aqueous Phase Liquid Assessment and Remediation</w:t>
      </w:r>
      <w:r>
        <w:t xml:space="preserve"> (2015), page 1.</w:t>
      </w:r>
    </w:p>
  </w:footnote>
  <w:footnote w:id="108">
    <w:p w14:paraId="656B20A9" w14:textId="77777777" w:rsidR="00E752DE" w:rsidRDefault="00E752DE" w:rsidP="00CF0796">
      <w:pPr>
        <w:pStyle w:val="FootnoteText"/>
      </w:pPr>
      <w:r>
        <w:rPr>
          <w:rStyle w:val="FootnoteReference"/>
        </w:rPr>
        <w:footnoteRef/>
      </w:r>
      <w:r>
        <w:t xml:space="preserve"> Cooperative Research Centre for Contamination Assessment and Remediation of the Environment, </w:t>
      </w:r>
      <w:r w:rsidRPr="00040A06">
        <w:rPr>
          <w:i/>
        </w:rPr>
        <w:t>Technical Report No. 34: A practitioner’s guide for the analysis, management and remediation of LNAPL</w:t>
      </w:r>
      <w:r>
        <w:t xml:space="preserve"> (2015), page 2.</w:t>
      </w:r>
    </w:p>
  </w:footnote>
  <w:footnote w:id="109">
    <w:p w14:paraId="656B20AA" w14:textId="77777777" w:rsidR="00E752DE" w:rsidRDefault="00E752DE" w:rsidP="00CF0796">
      <w:pPr>
        <w:pStyle w:val="FootnoteText"/>
      </w:pPr>
      <w:r>
        <w:rPr>
          <w:rStyle w:val="FootnoteReference"/>
        </w:rPr>
        <w:footnoteRef/>
      </w:r>
      <w:r>
        <w:t xml:space="preserve"> Based on number of sites issues with an environmental audit since the commencement of the audit system in 1990, and the number of sites currently issued with clean-up or pollution abatement notices; EPA, </w:t>
      </w:r>
      <w:r w:rsidRPr="007D51F4">
        <w:rPr>
          <w:i/>
        </w:rPr>
        <w:t>Priority Sites Register</w:t>
      </w:r>
      <w:r>
        <w:t xml:space="preserve"> (2019) &lt;</w:t>
      </w:r>
      <w:r w:rsidRPr="007D51F4">
        <w:t>https://www.epa.vic.gov.au/your-environment/land-and-groundwater/~/media/Files/Your%20environment/Land%20and%20groundwater/PSR/Priority-Sites-Register-Web-Report-January-2019.pdf</w:t>
      </w:r>
      <w:r>
        <w:t xml:space="preserve">&gt;; EPA, </w:t>
      </w:r>
      <w:r w:rsidRPr="007D51F4">
        <w:rPr>
          <w:i/>
        </w:rPr>
        <w:t>Environmental auditing - Environmental audit reports online</w:t>
      </w:r>
      <w:r>
        <w:t xml:space="preserve"> &lt;</w:t>
      </w:r>
      <w:r w:rsidRPr="00A335D8">
        <w:t xml:space="preserve"> </w:t>
      </w:r>
      <w:r w:rsidRPr="007D51F4">
        <w:t>https://www.epa.vic.gov.au/our-work/environmental-auditing/environmental-audit-reports-online</w:t>
      </w:r>
      <w:r>
        <w:t>&gt;.</w:t>
      </w:r>
    </w:p>
  </w:footnote>
  <w:footnote w:id="110">
    <w:p w14:paraId="656B20AB" w14:textId="77777777" w:rsidR="00E752DE" w:rsidRDefault="00E752DE" w:rsidP="00CF0796">
      <w:pPr>
        <w:pStyle w:val="FootnoteText"/>
        <w:ind w:right="-2694"/>
      </w:pPr>
      <w:r>
        <w:rPr>
          <w:rStyle w:val="FootnoteReference"/>
        </w:rPr>
        <w:footnoteRef/>
      </w:r>
      <w:r>
        <w:t xml:space="preserve"> Victorian Auditor-General’s Office, </w:t>
      </w:r>
      <w:r w:rsidRPr="00040A06">
        <w:rPr>
          <w:i/>
        </w:rPr>
        <w:t>Managing Contaminated Sites</w:t>
      </w:r>
      <w:r>
        <w:t xml:space="preserve"> (2011), page 13.</w:t>
      </w:r>
    </w:p>
  </w:footnote>
  <w:footnote w:id="111">
    <w:p w14:paraId="656B20AC" w14:textId="77777777" w:rsidR="00E752DE" w:rsidRDefault="00E752DE" w:rsidP="00CF0796">
      <w:pPr>
        <w:pStyle w:val="FootnoteText"/>
        <w:ind w:right="-2694"/>
      </w:pPr>
      <w:r>
        <w:rPr>
          <w:rStyle w:val="FootnoteReference"/>
        </w:rPr>
        <w:footnoteRef/>
      </w:r>
      <w:r>
        <w:t xml:space="preserve"> Victorian Auditor-General’s Office, </w:t>
      </w:r>
      <w:r>
        <w:rPr>
          <w:i/>
        </w:rPr>
        <w:t xml:space="preserve">Managing Contaminated Sites </w:t>
      </w:r>
      <w:r w:rsidRPr="00040A06">
        <w:t>(2011)</w:t>
      </w:r>
      <w:r>
        <w:t>, page viii.</w:t>
      </w:r>
    </w:p>
  </w:footnote>
  <w:footnote w:id="112">
    <w:p w14:paraId="656B20AD" w14:textId="77777777" w:rsidR="00E752DE" w:rsidRPr="001B5E86" w:rsidRDefault="00E752DE" w:rsidP="00CF0796">
      <w:pPr>
        <w:pStyle w:val="FootnoteText"/>
      </w:pPr>
      <w:r>
        <w:rPr>
          <w:rStyle w:val="FootnoteReference"/>
        </w:rPr>
        <w:footnoteRef/>
      </w:r>
      <w:r>
        <w:t xml:space="preserve"> </w:t>
      </w:r>
      <w:r w:rsidRPr="001B5E86">
        <w:t xml:space="preserve">EPA assumption </w:t>
      </w:r>
      <w:r w:rsidRPr="00F0474C">
        <w:t xml:space="preserve">based on NSW </w:t>
      </w:r>
      <w:r w:rsidRPr="00F0474C">
        <w:rPr>
          <w:i/>
        </w:rPr>
        <w:t>Guidelines for Implementing the POEO (Underground Petroleum Storage Systems) Regulation 2008</w:t>
      </w:r>
      <w:r w:rsidRPr="00AA0D79">
        <w:t>.</w:t>
      </w:r>
    </w:p>
  </w:footnote>
  <w:footnote w:id="113">
    <w:p w14:paraId="656B20AE" w14:textId="77777777" w:rsidR="00E752DE" w:rsidRDefault="00E752DE" w:rsidP="00CF0796">
      <w:pPr>
        <w:pStyle w:val="FootnoteText"/>
        <w:ind w:right="-2694"/>
      </w:pPr>
      <w:r w:rsidRPr="001B5E86">
        <w:rPr>
          <w:rStyle w:val="FootnoteReference"/>
        </w:rPr>
        <w:footnoteRef/>
      </w:r>
      <w:r w:rsidRPr="001B5E86">
        <w:t xml:space="preserve"> EPA estimate based on analysis of industrial development of Vic</w:t>
      </w:r>
      <w:r w:rsidRPr="00F0474C">
        <w:t>toria.</w:t>
      </w:r>
    </w:p>
  </w:footnote>
  <w:footnote w:id="114">
    <w:p w14:paraId="656B20AF" w14:textId="77777777" w:rsidR="00E752DE" w:rsidRDefault="00E752DE" w:rsidP="00CF0796">
      <w:pPr>
        <w:pStyle w:val="FootnoteText"/>
      </w:pPr>
      <w:r>
        <w:rPr>
          <w:rStyle w:val="FootnoteReference"/>
        </w:rPr>
        <w:footnoteRef/>
      </w:r>
      <w:r>
        <w:t xml:space="preserve"> Mikkonen, H.G., Bentley, page D., Barker, A.O., Dasika, R., Wallis, C.J., Clarke, B.O., Reichman, S.M., 2018. Victorian Background Soil Database, Version 1.0. RMIT University, Melbourne, Australia. </w:t>
      </w:r>
      <w:hyperlink r:id="rId8" w:history="1">
        <w:r>
          <w:rPr>
            <w:rStyle w:val="Hyperlink"/>
          </w:rPr>
          <w:t>http://doi.org/10.4225/61/5a3ae6d48570c</w:t>
        </w:r>
      </w:hyperlink>
      <w:r>
        <w:t xml:space="preserve"> </w:t>
      </w:r>
    </w:p>
  </w:footnote>
  <w:footnote w:id="115">
    <w:p w14:paraId="656B20B0" w14:textId="77777777" w:rsidR="00E752DE" w:rsidRDefault="00E752DE" w:rsidP="00CF0796">
      <w:pPr>
        <w:pStyle w:val="FootnoteText"/>
      </w:pPr>
      <w:r>
        <w:rPr>
          <w:rStyle w:val="FootnoteReference"/>
        </w:rPr>
        <w:footnoteRef/>
      </w:r>
      <w:r>
        <w:t xml:space="preserve"> Category C contaminated soil includes substances such as zinc, copper and arsenic. Category C contaminated soil is a prescribed industrial waste under EPA’s Industrial Waste Resource Guidelines and must be disposed at a licenced landfill. Arsenic concentration between 20mg/kg and 500mg/kg are classified as Category C. EPA, 2009, </w:t>
      </w:r>
      <w:r>
        <w:rPr>
          <w:i/>
        </w:rPr>
        <w:t>Industrial Waste Resource Guidelines</w:t>
      </w:r>
      <w:r>
        <w:t>, page 5.</w:t>
      </w:r>
    </w:p>
  </w:footnote>
  <w:footnote w:id="116">
    <w:p w14:paraId="656B20B1" w14:textId="77777777" w:rsidR="00E752DE" w:rsidRDefault="00E752DE" w:rsidP="00CF0796">
      <w:pPr>
        <w:pStyle w:val="FootnoteText"/>
      </w:pPr>
      <w:r>
        <w:rPr>
          <w:rStyle w:val="FootnoteReference"/>
        </w:rPr>
        <w:footnoteRef/>
      </w:r>
      <w:r>
        <w:t xml:space="preserve"> The National Environment Protection (Assessment of Site Contamination) Measure sets contaminant thresholds for health investigation for varying land uses. Standard residential areas with garden/accessible soils have a health investigation level of arsenic of 100 mg/kg. National Environment Protection Council, </w:t>
      </w:r>
      <w:r>
        <w:rPr>
          <w:i/>
        </w:rPr>
        <w:t>National Environment Protection (Assessment of Site Contamination) Measure 1999: Schedule B7 Guideline on Health-Based Investigation Levels</w:t>
      </w:r>
      <w:r>
        <w:t xml:space="preserve"> , page 36</w:t>
      </w:r>
    </w:p>
  </w:footnote>
  <w:footnote w:id="117">
    <w:p w14:paraId="656B20B2" w14:textId="77777777" w:rsidR="00E752DE" w:rsidRDefault="00E752DE" w:rsidP="00CF0796">
      <w:pPr>
        <w:pStyle w:val="FootnoteText"/>
        <w:ind w:right="-2694"/>
      </w:pPr>
      <w:r>
        <w:rPr>
          <w:rStyle w:val="FootnoteReference"/>
        </w:rPr>
        <w:footnoteRef/>
      </w:r>
      <w:r>
        <w:t xml:space="preserve"> Victoria Auditor-General’s Office, </w:t>
      </w:r>
      <w:r>
        <w:rPr>
          <w:i/>
        </w:rPr>
        <w:t xml:space="preserve">Managing Contaminated Sites </w:t>
      </w:r>
      <w:r>
        <w:t xml:space="preserve">(2011), page 1. </w:t>
      </w:r>
    </w:p>
  </w:footnote>
  <w:footnote w:id="118">
    <w:p w14:paraId="656B20B3" w14:textId="77777777" w:rsidR="00E752DE" w:rsidRDefault="00E752DE" w:rsidP="00CF0796">
      <w:pPr>
        <w:pStyle w:val="FootnoteText"/>
        <w:ind w:right="-2694"/>
      </w:pPr>
      <w:r>
        <w:rPr>
          <w:rStyle w:val="FootnoteReference"/>
        </w:rPr>
        <w:footnoteRef/>
      </w:r>
      <w:r>
        <w:t xml:space="preserve"> Victoria Auditor-General’s Office, </w:t>
      </w:r>
      <w:r>
        <w:rPr>
          <w:i/>
        </w:rPr>
        <w:t xml:space="preserve">Managing Contaminated Sites </w:t>
      </w:r>
      <w:r>
        <w:t xml:space="preserve">(2011), page 1. </w:t>
      </w:r>
    </w:p>
  </w:footnote>
  <w:footnote w:id="119">
    <w:p w14:paraId="656B20B4" w14:textId="77777777" w:rsidR="00E752DE" w:rsidRDefault="00E752DE" w:rsidP="00CF0796">
      <w:pPr>
        <w:pStyle w:val="FootnoteText"/>
      </w:pPr>
      <w:r>
        <w:rPr>
          <w:rStyle w:val="FootnoteReference"/>
        </w:rPr>
        <w:footnoteRef/>
      </w:r>
      <w:r>
        <w:t xml:space="preserve"> Konečný F. et al., </w:t>
      </w:r>
      <w:r>
        <w:rPr>
          <w:i/>
        </w:rPr>
        <w:t>Contamination of soils and groundwater by petroleum hydrocarbons and volatile organic compounds – Case study: ELSLAV BRNO</w:t>
      </w:r>
      <w:r>
        <w:t>, Bulletin of Geosciences (2003), vol. 78 (3), pages 229-230.</w:t>
      </w:r>
    </w:p>
  </w:footnote>
  <w:footnote w:id="120">
    <w:p w14:paraId="656B20B5" w14:textId="77777777" w:rsidR="00E752DE" w:rsidRDefault="00E752DE" w:rsidP="00CF0796">
      <w:pPr>
        <w:pStyle w:val="FootnoteText"/>
      </w:pPr>
      <w:r>
        <w:rPr>
          <w:rStyle w:val="FootnoteReference"/>
        </w:rPr>
        <w:footnoteRef/>
      </w:r>
      <w:r>
        <w:t xml:space="preserve"> NSW Environment Protection Authority, </w:t>
      </w:r>
      <w:r w:rsidRPr="007D51F4">
        <w:rPr>
          <w:i/>
        </w:rPr>
        <w:t>Technical Note: Light Non-Aqueous Phase Liquid Assessment and Remediation</w:t>
      </w:r>
      <w:r>
        <w:t xml:space="preserve"> (2015), page 1.</w:t>
      </w:r>
    </w:p>
  </w:footnote>
  <w:footnote w:id="121">
    <w:p w14:paraId="656B20B6" w14:textId="77777777" w:rsidR="00E752DE" w:rsidRDefault="00E752DE" w:rsidP="00CF0796">
      <w:pPr>
        <w:pStyle w:val="FootnoteText"/>
      </w:pPr>
      <w:r>
        <w:rPr>
          <w:rStyle w:val="FootnoteReference"/>
        </w:rPr>
        <w:footnoteRef/>
      </w:r>
      <w:r>
        <w:t xml:space="preserve"> Victorian Auditor-General’s Office, </w:t>
      </w:r>
      <w:r w:rsidRPr="007D51F4">
        <w:rPr>
          <w:i/>
        </w:rPr>
        <w:t>Managing Contaminated Sites</w:t>
      </w:r>
      <w:r>
        <w:rPr>
          <w:i/>
        </w:rPr>
        <w:t xml:space="preserve"> </w:t>
      </w:r>
      <w:r w:rsidRPr="007D51F4">
        <w:t>(2011)</w:t>
      </w:r>
      <w:r>
        <w:t>, page 38.</w:t>
      </w:r>
    </w:p>
  </w:footnote>
  <w:footnote w:id="122">
    <w:p w14:paraId="656B20B7" w14:textId="77777777" w:rsidR="00E752DE" w:rsidRDefault="00E752DE" w:rsidP="00CF0796">
      <w:pPr>
        <w:pStyle w:val="FootnoteText"/>
      </w:pPr>
      <w:r>
        <w:rPr>
          <w:rStyle w:val="FootnoteReference"/>
        </w:rPr>
        <w:footnoteRef/>
      </w:r>
      <w:r>
        <w:t xml:space="preserve"> Ibid </w:t>
      </w:r>
    </w:p>
  </w:footnote>
  <w:footnote w:id="123">
    <w:p w14:paraId="656B20B8" w14:textId="77777777" w:rsidR="00E752DE" w:rsidRDefault="00E752DE" w:rsidP="00CF0796">
      <w:pPr>
        <w:pStyle w:val="FootnoteText"/>
      </w:pPr>
      <w:r>
        <w:rPr>
          <w:rStyle w:val="FootnoteReference"/>
        </w:rPr>
        <w:footnoteRef/>
      </w:r>
      <w:r>
        <w:t xml:space="preserve"> Ibid, page 39.</w:t>
      </w:r>
    </w:p>
  </w:footnote>
  <w:footnote w:id="124">
    <w:p w14:paraId="656B20B9" w14:textId="77777777" w:rsidR="00E752DE" w:rsidRDefault="00E752DE" w:rsidP="00CF0796">
      <w:pPr>
        <w:pStyle w:val="FootnoteText"/>
      </w:pPr>
      <w:r>
        <w:rPr>
          <w:rStyle w:val="FootnoteReference"/>
        </w:rPr>
        <w:footnoteRef/>
      </w:r>
      <w:r>
        <w:t xml:space="preserve"> EPA estimate based on assessment of data provided by environmental </w:t>
      </w:r>
      <w:r w:rsidRPr="008037FF">
        <w:t>auditors</w:t>
      </w:r>
      <w:r>
        <w:t xml:space="preserve">, from 2002 to 2017. </w:t>
      </w:r>
    </w:p>
  </w:footnote>
  <w:footnote w:id="125">
    <w:p w14:paraId="656B20BA" w14:textId="77777777" w:rsidR="00E752DE" w:rsidRDefault="00E752DE" w:rsidP="00CF0796">
      <w:pPr>
        <w:pStyle w:val="FootnoteText"/>
      </w:pPr>
      <w:r>
        <w:rPr>
          <w:rStyle w:val="FootnoteReference"/>
        </w:rPr>
        <w:footnoteRef/>
      </w:r>
      <w:r>
        <w:t xml:space="preserve"> Victoria Auditor-General’s Office, </w:t>
      </w:r>
      <w:r w:rsidRPr="007D51F4">
        <w:rPr>
          <w:i/>
        </w:rPr>
        <w:t>Managing Contaminated Sites</w:t>
      </w:r>
      <w:r>
        <w:rPr>
          <w:i/>
        </w:rPr>
        <w:t xml:space="preserve"> </w:t>
      </w:r>
      <w:r w:rsidRPr="007D51F4">
        <w:t>(2011)</w:t>
      </w:r>
      <w:r>
        <w:t>, page 39.</w:t>
      </w:r>
    </w:p>
  </w:footnote>
  <w:footnote w:id="126">
    <w:p w14:paraId="656B20BB" w14:textId="77777777" w:rsidR="00E752DE" w:rsidRDefault="00E752DE" w:rsidP="00CF0796">
      <w:pPr>
        <w:pStyle w:val="FootnoteText"/>
      </w:pPr>
      <w:r>
        <w:rPr>
          <w:rStyle w:val="FootnoteReference"/>
        </w:rPr>
        <w:footnoteRef/>
      </w:r>
      <w:r>
        <w:t xml:space="preserve"> https://www.smh.com.au/national/estate-residents-get-23-5-million-compo-20110325-1c9f3.html.</w:t>
      </w:r>
    </w:p>
  </w:footnote>
  <w:footnote w:id="127">
    <w:p w14:paraId="656B20BC" w14:textId="77777777" w:rsidR="00E752DE" w:rsidRDefault="00E752DE" w:rsidP="00CF0796">
      <w:pPr>
        <w:pStyle w:val="FootnoteText"/>
        <w:ind w:right="-2694"/>
      </w:pPr>
      <w:r>
        <w:rPr>
          <w:rStyle w:val="FootnoteReference"/>
        </w:rPr>
        <w:footnoteRef/>
      </w:r>
      <w:r>
        <w:t xml:space="preserve"> Victorian Ombudsman, </w:t>
      </w:r>
      <w:r>
        <w:rPr>
          <w:i/>
        </w:rPr>
        <w:t xml:space="preserve">Brookland Greens Estate – Investigation into methane gas leaks </w:t>
      </w:r>
      <w:r w:rsidRPr="008037FF">
        <w:t>(2009)</w:t>
      </w:r>
      <w:r>
        <w:t>, page 27.</w:t>
      </w:r>
    </w:p>
  </w:footnote>
  <w:footnote w:id="128">
    <w:p w14:paraId="656B20BD" w14:textId="77777777" w:rsidR="00E752DE" w:rsidRDefault="00E752DE" w:rsidP="00CF0796">
      <w:pPr>
        <w:pStyle w:val="FootnoteText"/>
        <w:ind w:right="-2694"/>
      </w:pPr>
      <w:r>
        <w:rPr>
          <w:rStyle w:val="FootnoteReference"/>
        </w:rPr>
        <w:footnoteRef/>
      </w:r>
      <w:r>
        <w:t xml:space="preserve"> EPA, </w:t>
      </w:r>
      <w:r w:rsidRPr="008037FF">
        <w:rPr>
          <w:i/>
        </w:rPr>
        <w:t>Policy Impact Assessment: Prevention and management of contamination of land in Victoria</w:t>
      </w:r>
      <w:r>
        <w:t xml:space="preserve"> (2002), Pp1-2.</w:t>
      </w:r>
    </w:p>
  </w:footnote>
  <w:footnote w:id="129">
    <w:p w14:paraId="656B20BE" w14:textId="77777777" w:rsidR="00E752DE" w:rsidRDefault="00E752DE" w:rsidP="00CF0796">
      <w:pPr>
        <w:pStyle w:val="FootnoteText"/>
      </w:pPr>
      <w:r>
        <w:rPr>
          <w:rStyle w:val="FootnoteReference"/>
        </w:rPr>
        <w:footnoteRef/>
      </w:r>
      <w:r>
        <w:t xml:space="preserve"> Sydney Morning Herald, </w:t>
      </w:r>
      <w:r>
        <w:rPr>
          <w:i/>
        </w:rPr>
        <w:t>‘Dirty' petrol station sites fuel community anger with push on for clean-up</w:t>
      </w:r>
      <w:r>
        <w:t>, available at https://www.smh.com.au/environment/dirty-petrol-station-sites-fuel-community-anger-with-push-on-for-clean-up-20111216-1oysl.html.</w:t>
      </w:r>
    </w:p>
  </w:footnote>
  <w:footnote w:id="130">
    <w:p w14:paraId="656B20BF" w14:textId="77777777" w:rsidR="00E752DE" w:rsidRDefault="00E752DE" w:rsidP="00CF0796">
      <w:pPr>
        <w:pStyle w:val="FootnoteText"/>
      </w:pPr>
      <w:r>
        <w:rPr>
          <w:rStyle w:val="FootnoteReference"/>
        </w:rPr>
        <w:footnoteRef/>
      </w:r>
      <w:r>
        <w:t xml:space="preserve"> Cost estimates obtained through consultation with contaminated land experts. </w:t>
      </w:r>
    </w:p>
  </w:footnote>
  <w:footnote w:id="131">
    <w:p w14:paraId="656B20C0" w14:textId="77777777" w:rsidR="00E752DE" w:rsidRDefault="00E752DE" w:rsidP="00CF0796">
      <w:pPr>
        <w:pStyle w:val="FootnoteText"/>
      </w:pPr>
      <w:r>
        <w:rPr>
          <w:rStyle w:val="FootnoteReference"/>
        </w:rPr>
        <w:footnoteRef/>
      </w:r>
      <w:r>
        <w:t xml:space="preserve"> Based on number of sites issues with an environmental audit since the commencement of the audit system in 1990, and the number of sites currently issued with clean-up or pollution abatement notices; EPA, </w:t>
      </w:r>
      <w:r w:rsidRPr="007D51F4">
        <w:rPr>
          <w:i/>
        </w:rPr>
        <w:t>Priority Sites Register</w:t>
      </w:r>
      <w:r>
        <w:t xml:space="preserve"> (2019) &lt;</w:t>
      </w:r>
      <w:r w:rsidRPr="009431F8">
        <w:t>https://www.epa.vic.gov.au/your-environment/land-and-groundwater/~/media/Files/Your%20environment/Land%20and%20groundwater/PSR/Priority-Sites-Register-Web-Report-January-2019.pdf</w:t>
      </w:r>
      <w:r>
        <w:t xml:space="preserve">&gt;; EPA, </w:t>
      </w:r>
      <w:r w:rsidRPr="009431F8">
        <w:rPr>
          <w:i/>
        </w:rPr>
        <w:t>Environmental auditing - Environmental audit reports online</w:t>
      </w:r>
      <w:r>
        <w:t xml:space="preserve"> &lt;</w:t>
      </w:r>
      <w:r w:rsidRPr="00A335D8">
        <w:t xml:space="preserve"> </w:t>
      </w:r>
      <w:r w:rsidRPr="009431F8">
        <w:t>https://www.epa.vic.gov.au/our-work/environmental-auditing/environmental-audit-reports-online</w:t>
      </w:r>
      <w:r>
        <w:t>&gt;.</w:t>
      </w:r>
    </w:p>
  </w:footnote>
  <w:footnote w:id="132">
    <w:p w14:paraId="656B20C1" w14:textId="77777777" w:rsidR="00E752DE" w:rsidRDefault="00E752DE" w:rsidP="00213E13">
      <w:pPr>
        <w:pStyle w:val="FootnoteText"/>
      </w:pPr>
      <w:r>
        <w:rPr>
          <w:rStyle w:val="FootnoteReference"/>
        </w:rPr>
        <w:footnoteRef/>
      </w:r>
      <w:r>
        <w:t xml:space="preserve"> Metropolitan Waste and Resource Recovery Projection, 2015</w:t>
      </w:r>
      <w:r w:rsidRPr="007763B6">
        <w:t>.</w:t>
      </w:r>
    </w:p>
  </w:footnote>
  <w:footnote w:id="133">
    <w:p w14:paraId="656B20C2" w14:textId="77777777" w:rsidR="00E752DE" w:rsidRPr="00E237CB" w:rsidRDefault="00E752DE" w:rsidP="00213E13">
      <w:pPr>
        <w:pStyle w:val="FootnoteText"/>
      </w:pPr>
      <w:r w:rsidRPr="006E4A14">
        <w:rPr>
          <w:rStyle w:val="FootnoteReference"/>
        </w:rPr>
        <w:footnoteRef/>
      </w:r>
      <w:r w:rsidRPr="006E4A14">
        <w:rPr>
          <w:rStyle w:val="FootnoteReference"/>
        </w:rPr>
        <w:t xml:space="preserve"> </w:t>
      </w:r>
      <w:r w:rsidRPr="00E237CB">
        <w:t xml:space="preserve">EPA NSW, Watch out for dirt bags (Media release, 06 February 2017) </w:t>
      </w:r>
      <w:hyperlink r:id="rId9" w:history="1">
        <w:r w:rsidRPr="00E237CB">
          <w:rPr>
            <w:rStyle w:val="Hyperlink"/>
            <w:color w:val="auto"/>
            <w:u w:val="none"/>
          </w:rPr>
          <w:t>https://www.epa.nsw.gov.au/news/media-releases/2017/epamedia17020601</w:t>
        </w:r>
      </w:hyperlink>
      <w:r w:rsidRPr="00E237CB">
        <w:t xml:space="preserve">. </w:t>
      </w:r>
    </w:p>
  </w:footnote>
  <w:footnote w:id="134">
    <w:p w14:paraId="656B20C3" w14:textId="77777777" w:rsidR="00E752DE" w:rsidRPr="00E237CB" w:rsidRDefault="00E752DE" w:rsidP="00837D1D">
      <w:pPr>
        <w:pStyle w:val="FootnoteText"/>
      </w:pPr>
      <w:r w:rsidRPr="006E4A14">
        <w:rPr>
          <w:rStyle w:val="FootnoteReference"/>
        </w:rPr>
        <w:footnoteRef/>
      </w:r>
      <w:r w:rsidRPr="00E237CB">
        <w:t xml:space="preserve"> Independent Inquiry into the Environment Protection Authority, 2016,</w:t>
      </w:r>
      <w:r>
        <w:t xml:space="preserve"> page </w:t>
      </w:r>
      <w:r w:rsidRPr="00E237CB">
        <w:t>243.</w:t>
      </w:r>
    </w:p>
  </w:footnote>
  <w:footnote w:id="135">
    <w:p w14:paraId="656B20C4" w14:textId="77777777" w:rsidR="00E752DE" w:rsidRPr="00E237CB" w:rsidRDefault="00E752DE" w:rsidP="00837D1D">
      <w:pPr>
        <w:pStyle w:val="FootnoteText"/>
      </w:pPr>
      <w:r w:rsidRPr="006E4A14">
        <w:rPr>
          <w:rStyle w:val="FootnoteReference"/>
        </w:rPr>
        <w:footnoteRef/>
      </w:r>
      <w:r w:rsidRPr="00E237CB">
        <w:t xml:space="preserve"> </w:t>
      </w:r>
      <w:r>
        <w:t>PriceWaterhouseCoopers, 2015 Illegal disposal of industrial waste in Victoria, Melbourne, Victoria</w:t>
      </w:r>
    </w:p>
  </w:footnote>
  <w:footnote w:id="136">
    <w:p w14:paraId="656B20C5" w14:textId="77777777" w:rsidR="00E752DE" w:rsidRPr="00E237CB" w:rsidRDefault="00E752DE" w:rsidP="00837D1D">
      <w:pPr>
        <w:pStyle w:val="FootnoteText"/>
      </w:pPr>
      <w:r w:rsidRPr="006E4A14">
        <w:rPr>
          <w:rStyle w:val="FootnoteReference"/>
          <w:szCs w:val="16"/>
        </w:rPr>
        <w:footnoteRef/>
      </w:r>
      <w:r w:rsidRPr="00E237CB">
        <w:t xml:space="preserve"> Taking the Whiff out of Waste – Guidelines for managing corruption risks in the waste sector, ICAC, November 2002, p26, cited in NSW Environment Protection Authority, Issues Paper: Review of the Protection of the Environment Operations Act 1997,</w:t>
      </w:r>
      <w:r>
        <w:t xml:space="preserve"> page </w:t>
      </w:r>
      <w:r w:rsidRPr="00E237CB">
        <w:t>4.</w:t>
      </w:r>
    </w:p>
  </w:footnote>
  <w:footnote w:id="137">
    <w:p w14:paraId="656B20C6" w14:textId="77777777" w:rsidR="00E752DE" w:rsidRPr="00837D1D" w:rsidRDefault="00E752DE">
      <w:pPr>
        <w:pStyle w:val="FootnoteText"/>
      </w:pPr>
      <w:r>
        <w:rPr>
          <w:rStyle w:val="FootnoteReference"/>
        </w:rPr>
        <w:footnoteRef/>
      </w:r>
      <w:r>
        <w:t xml:space="preserve"> EPA 2018, </w:t>
      </w:r>
      <w:r>
        <w:rPr>
          <w:i/>
        </w:rPr>
        <w:t>Corkman pair ordered to pay over $600,000</w:t>
      </w:r>
      <w:r>
        <w:t>, 12 September, &lt;</w:t>
      </w:r>
      <w:hyperlink r:id="rId10" w:history="1">
        <w:r>
          <w:rPr>
            <w:rStyle w:val="Hyperlink"/>
          </w:rPr>
          <w:t>https://www.epa.vic.gov.au/about-us/news-centre/news-and-updates/news/2018/september/12/corkman-pair-ordered-to-pay-over-$600000</w:t>
        </w:r>
      </w:hyperlink>
      <w:r>
        <w:t>&gt;</w:t>
      </w:r>
    </w:p>
  </w:footnote>
  <w:footnote w:id="138">
    <w:p w14:paraId="656B20C7" w14:textId="77777777" w:rsidR="00E752DE" w:rsidRPr="00E237CB" w:rsidRDefault="00E752DE" w:rsidP="00213E13">
      <w:pPr>
        <w:pStyle w:val="FootnoteText"/>
      </w:pPr>
      <w:r w:rsidRPr="00700983">
        <w:rPr>
          <w:rStyle w:val="FootnoteReference"/>
          <w:szCs w:val="16"/>
        </w:rPr>
        <w:footnoteRef/>
      </w:r>
      <w:r w:rsidRPr="00700983">
        <w:rPr>
          <w:rStyle w:val="FootnoteReference"/>
          <w:szCs w:val="16"/>
        </w:rPr>
        <w:t xml:space="preserve"> </w:t>
      </w:r>
      <w:r w:rsidRPr="00E237CB">
        <w:t>The Age, The tipping point: Illegal dumping swamps the waste industry, Liam Mannix, Chris Vedelago, Cameron Houston, updated 6 August 2017 — 11:55pm, first published at 12:01am</w:t>
      </w:r>
    </w:p>
  </w:footnote>
  <w:footnote w:id="139">
    <w:p w14:paraId="656B20C8" w14:textId="77777777" w:rsidR="00E752DE" w:rsidRPr="00E237CB" w:rsidRDefault="00E752DE" w:rsidP="00213E13">
      <w:pPr>
        <w:pStyle w:val="FootnoteText"/>
      </w:pPr>
      <w:r w:rsidRPr="00700983">
        <w:rPr>
          <w:rStyle w:val="FootnoteReference"/>
          <w:szCs w:val="16"/>
        </w:rPr>
        <w:footnoteRef/>
      </w:r>
      <w:r w:rsidRPr="00E237CB">
        <w:t xml:space="preserve"> DELWP, Management and storage of combustible recyclable and waste material Policy Impact Assessment, 2018,</w:t>
      </w:r>
      <w:r>
        <w:t xml:space="preserve"> page </w:t>
      </w:r>
      <w:r w:rsidRPr="00E237CB">
        <w:t>4,</w:t>
      </w:r>
      <w:r>
        <w:t xml:space="preserve"> page </w:t>
      </w:r>
      <w:r w:rsidRPr="00E237CB">
        <w:t>14; EPA, Using waste tyres on farms and other private property</w:t>
      </w:r>
    </w:p>
  </w:footnote>
  <w:footnote w:id="140">
    <w:p w14:paraId="656B20C9" w14:textId="77777777" w:rsidR="00E752DE" w:rsidRPr="00FB447E" w:rsidRDefault="00E752DE" w:rsidP="00213E13">
      <w:pPr>
        <w:autoSpaceDE w:val="0"/>
        <w:autoSpaceDN w:val="0"/>
        <w:adjustRightInd w:val="0"/>
        <w:spacing w:after="0" w:line="240" w:lineRule="auto"/>
        <w:rPr>
          <w:sz w:val="16"/>
          <w:szCs w:val="16"/>
        </w:rPr>
      </w:pPr>
      <w:r w:rsidRPr="00FB447E">
        <w:rPr>
          <w:rStyle w:val="FootnoteReference"/>
          <w:sz w:val="16"/>
          <w:szCs w:val="16"/>
        </w:rPr>
        <w:footnoteRef/>
      </w:r>
      <w:r w:rsidRPr="00FB447E">
        <w:rPr>
          <w:sz w:val="16"/>
          <w:szCs w:val="16"/>
        </w:rPr>
        <w:t xml:space="preserve"> </w:t>
      </w:r>
      <w:r w:rsidRPr="00FD6FCD">
        <w:rPr>
          <w:sz w:val="16"/>
          <w:szCs w:val="20"/>
        </w:rPr>
        <w:t xml:space="preserve">EPA, </w:t>
      </w:r>
      <w:r w:rsidRPr="009B6D0C">
        <w:rPr>
          <w:sz w:val="16"/>
          <w:szCs w:val="20"/>
        </w:rPr>
        <w:t>Storage of waste tyres –</w:t>
      </w:r>
      <w:r>
        <w:rPr>
          <w:sz w:val="16"/>
          <w:szCs w:val="20"/>
        </w:rPr>
        <w:t xml:space="preserve"> </w:t>
      </w:r>
      <w:r w:rsidRPr="009B6D0C">
        <w:rPr>
          <w:sz w:val="16"/>
          <w:szCs w:val="20"/>
        </w:rPr>
        <w:t>Regulatory impact statement</w:t>
      </w:r>
      <w:r>
        <w:rPr>
          <w:sz w:val="16"/>
          <w:szCs w:val="20"/>
        </w:rPr>
        <w:t>, 2014, page 15.</w:t>
      </w:r>
    </w:p>
  </w:footnote>
  <w:footnote w:id="141">
    <w:p w14:paraId="656B20CA" w14:textId="77777777" w:rsidR="00E752DE" w:rsidRPr="00D85A7F" w:rsidRDefault="00E752DE" w:rsidP="00213E13">
      <w:pPr>
        <w:pStyle w:val="FootnoteText"/>
        <w:ind w:right="-2127"/>
        <w:rPr>
          <w:rFonts w:cs="Segoe UI Light"/>
          <w:szCs w:val="16"/>
        </w:rPr>
      </w:pPr>
      <w:r w:rsidRPr="00A06627">
        <w:rPr>
          <w:rStyle w:val="FootnoteReference"/>
          <w:szCs w:val="16"/>
        </w:rPr>
        <w:footnoteRef/>
      </w:r>
      <w:r w:rsidRPr="00A06627">
        <w:rPr>
          <w:szCs w:val="16"/>
        </w:rPr>
        <w:t xml:space="preserve"> </w:t>
      </w:r>
      <w:r w:rsidRPr="00D85A7F">
        <w:rPr>
          <w:rFonts w:cs="Segoe UI Light"/>
          <w:szCs w:val="16"/>
        </w:rPr>
        <w:t>ABC News, Waste industry calls for $150 million 'circular economy and action plan' to fix recycling uncertainty ABC Ballarat By Dominic</w:t>
      </w:r>
    </w:p>
    <w:p w14:paraId="656B20CB" w14:textId="77777777" w:rsidR="00E752DE" w:rsidRPr="00A06627" w:rsidRDefault="00E752DE" w:rsidP="00213E13">
      <w:pPr>
        <w:pStyle w:val="FootnoteText"/>
        <w:ind w:right="-2127"/>
        <w:rPr>
          <w:i/>
          <w:szCs w:val="16"/>
        </w:rPr>
      </w:pPr>
      <w:r w:rsidRPr="00D85A7F">
        <w:rPr>
          <w:rFonts w:cs="Segoe UI Light"/>
          <w:szCs w:val="16"/>
        </w:rPr>
        <w:t xml:space="preserve"> Cansdale and Kirsten Diprose, Posted 4 Apr 2018, 4:57pm; </w:t>
      </w:r>
      <w:r w:rsidRPr="00A06627">
        <w:rPr>
          <w:szCs w:val="16"/>
        </w:rPr>
        <w:t xml:space="preserve">DELWP, </w:t>
      </w:r>
      <w:r w:rsidRPr="00A06627">
        <w:rPr>
          <w:i/>
          <w:szCs w:val="16"/>
        </w:rPr>
        <w:t xml:space="preserve">Management and storage of combustible recyclable and waste material Policy Impact </w:t>
      </w:r>
    </w:p>
    <w:p w14:paraId="656B20CC" w14:textId="77777777" w:rsidR="00E752DE" w:rsidRPr="00FB447E" w:rsidRDefault="00E752DE" w:rsidP="00213E13">
      <w:pPr>
        <w:pStyle w:val="FootnoteText"/>
        <w:ind w:right="-2127"/>
        <w:rPr>
          <w:rFonts w:cs="Segoe UI Light"/>
          <w:szCs w:val="16"/>
        </w:rPr>
      </w:pPr>
      <w:r w:rsidRPr="00A06627">
        <w:rPr>
          <w:i/>
          <w:szCs w:val="16"/>
        </w:rPr>
        <w:t>Assessment</w:t>
      </w:r>
      <w:r w:rsidRPr="00A06627">
        <w:rPr>
          <w:szCs w:val="16"/>
        </w:rPr>
        <w:t>, 2018,</w:t>
      </w:r>
      <w:r>
        <w:rPr>
          <w:i/>
          <w:szCs w:val="16"/>
        </w:rPr>
        <w:t xml:space="preserve"> page </w:t>
      </w:r>
      <w:r w:rsidRPr="00A06627">
        <w:rPr>
          <w:szCs w:val="16"/>
        </w:rPr>
        <w:t>4,</w:t>
      </w:r>
      <w:r>
        <w:rPr>
          <w:szCs w:val="16"/>
        </w:rPr>
        <w:t xml:space="preserve"> page </w:t>
      </w:r>
      <w:r w:rsidRPr="00A06627">
        <w:rPr>
          <w:szCs w:val="16"/>
        </w:rPr>
        <w:t>5.</w:t>
      </w:r>
    </w:p>
  </w:footnote>
  <w:footnote w:id="142">
    <w:p w14:paraId="656B20CD" w14:textId="77777777" w:rsidR="00E752DE" w:rsidRPr="00FB447E" w:rsidRDefault="00E752DE" w:rsidP="00213E13">
      <w:pPr>
        <w:pStyle w:val="FootnoteText"/>
        <w:ind w:right="-2127"/>
        <w:rPr>
          <w:rFonts w:cs="Segoe UI Light"/>
          <w:i/>
          <w:szCs w:val="16"/>
        </w:rPr>
      </w:pPr>
      <w:r w:rsidRPr="00FB447E">
        <w:rPr>
          <w:rStyle w:val="FootnoteReference"/>
          <w:rFonts w:cs="Segoe UI Light"/>
          <w:szCs w:val="16"/>
        </w:rPr>
        <w:footnoteRef/>
      </w:r>
      <w:r w:rsidRPr="00FB447E">
        <w:rPr>
          <w:rFonts w:cs="Segoe UI Light"/>
          <w:szCs w:val="16"/>
        </w:rPr>
        <w:t xml:space="preserve"> As cited in the EPA Inquiry Report,</w:t>
      </w:r>
      <w:r>
        <w:rPr>
          <w:rFonts w:cs="Segoe UI Light"/>
          <w:szCs w:val="16"/>
        </w:rPr>
        <w:t xml:space="preserve"> page </w:t>
      </w:r>
      <w:r w:rsidRPr="00FB447E">
        <w:rPr>
          <w:rFonts w:cs="Segoe UI Light"/>
          <w:szCs w:val="16"/>
        </w:rPr>
        <w:t xml:space="preserve">27: Deloitte Access Economics 2016, </w:t>
      </w:r>
      <w:r w:rsidRPr="00FB447E">
        <w:rPr>
          <w:rFonts w:cs="Segoe UI Light"/>
          <w:i/>
          <w:szCs w:val="16"/>
        </w:rPr>
        <w:t xml:space="preserve">The current and future state of Victoria: a macro perspective, </w:t>
      </w:r>
    </w:p>
    <w:p w14:paraId="656B20CE" w14:textId="77777777" w:rsidR="00E752DE" w:rsidRPr="00FB447E" w:rsidRDefault="00E752DE" w:rsidP="00213E13">
      <w:pPr>
        <w:pStyle w:val="FootnoteText"/>
        <w:ind w:right="-2127"/>
        <w:rPr>
          <w:rFonts w:cs="Segoe UI Light"/>
          <w:szCs w:val="16"/>
        </w:rPr>
      </w:pPr>
      <w:r w:rsidRPr="00FB447E">
        <w:rPr>
          <w:rFonts w:cs="Segoe UI Light"/>
          <w:i/>
          <w:szCs w:val="16"/>
        </w:rPr>
        <w:t>Advice to Infrastructure Victoria</w:t>
      </w:r>
      <w:r w:rsidRPr="00FB447E">
        <w:rPr>
          <w:rFonts w:cs="Segoe UI Light"/>
          <w:szCs w:val="16"/>
        </w:rPr>
        <w:t>, Melbourne, February,</w:t>
      </w:r>
      <w:r>
        <w:rPr>
          <w:rFonts w:cs="Segoe UI Light"/>
          <w:szCs w:val="16"/>
        </w:rPr>
        <w:t xml:space="preserve"> page </w:t>
      </w:r>
      <w:r w:rsidRPr="00FB447E">
        <w:rPr>
          <w:rFonts w:cs="Segoe UI Light"/>
          <w:szCs w:val="16"/>
        </w:rPr>
        <w:t xml:space="preserve"> 97.</w:t>
      </w:r>
    </w:p>
  </w:footnote>
  <w:footnote w:id="143">
    <w:p w14:paraId="656B20CF" w14:textId="77777777" w:rsidR="00E752DE" w:rsidRPr="00FB447E" w:rsidRDefault="00E752DE" w:rsidP="00213E13">
      <w:pPr>
        <w:pStyle w:val="FootnoteText"/>
        <w:rPr>
          <w:szCs w:val="16"/>
        </w:rPr>
      </w:pPr>
      <w:r w:rsidRPr="00132D7A">
        <w:rPr>
          <w:rStyle w:val="FootnoteReference"/>
          <w:szCs w:val="16"/>
        </w:rPr>
        <w:footnoteRef/>
      </w:r>
      <w:r w:rsidRPr="00132D7A">
        <w:rPr>
          <w:szCs w:val="16"/>
        </w:rPr>
        <w:t xml:space="preserve"> Department of the Environment and Energy, </w:t>
      </w:r>
      <w:r w:rsidRPr="00132D7A">
        <w:rPr>
          <w:i/>
          <w:szCs w:val="16"/>
        </w:rPr>
        <w:t>Hazardous Waste in Australia</w:t>
      </w:r>
      <w:r w:rsidRPr="00132D7A">
        <w:rPr>
          <w:szCs w:val="16"/>
        </w:rPr>
        <w:t>, 2017.</w:t>
      </w:r>
    </w:p>
  </w:footnote>
  <w:footnote w:id="144">
    <w:p w14:paraId="656B20D0" w14:textId="77777777" w:rsidR="00E752DE" w:rsidRDefault="00E752DE" w:rsidP="00213E13">
      <w:pPr>
        <w:pStyle w:val="FootnoteText"/>
      </w:pPr>
      <w:r>
        <w:rPr>
          <w:rStyle w:val="FootnoteReference"/>
        </w:rPr>
        <w:footnoteRef/>
      </w:r>
      <w:r>
        <w:t xml:space="preserve"> ABC, </w:t>
      </w:r>
      <w:r>
        <w:rPr>
          <w:i/>
        </w:rPr>
        <w:t xml:space="preserve">As Melbourne’s recycling stockpiles keep growing, so does the fire risk posed by the waste </w:t>
      </w:r>
      <w:r>
        <w:t>(21 October 2018) &lt;</w:t>
      </w:r>
      <w:hyperlink r:id="rId11" w:history="1">
        <w:r>
          <w:rPr>
            <w:rStyle w:val="Hyperlink"/>
          </w:rPr>
          <w:t>https://www.abc.net.au/news/2018-10-21/melbourne-recycling-facilities-pose-fire-risk/10368302</w:t>
        </w:r>
      </w:hyperlink>
      <w:r>
        <w:rPr>
          <w:rStyle w:val="Hyperlink"/>
        </w:rPr>
        <w:t>&gt;.</w:t>
      </w:r>
    </w:p>
  </w:footnote>
  <w:footnote w:id="145">
    <w:p w14:paraId="656B20D1" w14:textId="77777777" w:rsidR="00E752DE" w:rsidRDefault="00E752DE" w:rsidP="00213E13">
      <w:pPr>
        <w:pStyle w:val="FootnoteText"/>
        <w:ind w:right="139"/>
      </w:pPr>
      <w:r>
        <w:rPr>
          <w:rStyle w:val="FootnoteReference"/>
        </w:rPr>
        <w:footnoteRef/>
      </w:r>
      <w:r>
        <w:t xml:space="preserve"> Management and storage of combustible recyclable and waste material Policy Impact Assessment, Department of Environment, Land, Water and Planning, 2018, page 6.</w:t>
      </w:r>
    </w:p>
  </w:footnote>
  <w:footnote w:id="146">
    <w:p w14:paraId="656B20D2" w14:textId="77777777" w:rsidR="00E752DE" w:rsidRDefault="00E752DE" w:rsidP="00213E13">
      <w:pPr>
        <w:pStyle w:val="FootnoteText"/>
        <w:ind w:right="139"/>
      </w:pPr>
      <w:r>
        <w:rPr>
          <w:rStyle w:val="FootnoteReference"/>
        </w:rPr>
        <w:footnoteRef/>
      </w:r>
      <w:r>
        <w:t xml:space="preserve"> Management and storage of combustible recyclable and waste material Policy Impact Assessment, Department of Environment, Land, Water and Planning, 2018, page 9.</w:t>
      </w:r>
    </w:p>
  </w:footnote>
  <w:footnote w:id="147">
    <w:p w14:paraId="656B20D3" w14:textId="77777777" w:rsidR="00E752DE" w:rsidRDefault="00E752DE" w:rsidP="00213E13">
      <w:pPr>
        <w:pStyle w:val="FootnoteText"/>
      </w:pPr>
      <w:r>
        <w:rPr>
          <w:rStyle w:val="FootnoteReference"/>
        </w:rPr>
        <w:footnoteRef/>
      </w:r>
      <w:r>
        <w:t xml:space="preserve"> Ibid.</w:t>
      </w:r>
    </w:p>
  </w:footnote>
  <w:footnote w:id="148">
    <w:p w14:paraId="656B20D4" w14:textId="77777777" w:rsidR="00E752DE" w:rsidRPr="00FF41FC" w:rsidRDefault="00E752DE" w:rsidP="00213E13">
      <w:pPr>
        <w:pStyle w:val="FootnoteText"/>
        <w:rPr>
          <w:rFonts w:ascii="Times New Roman" w:hAnsi="Times New Roman"/>
          <w:lang w:eastAsia="en-AU"/>
        </w:rPr>
      </w:pPr>
      <w:r>
        <w:rPr>
          <w:rStyle w:val="FootnoteReference"/>
        </w:rPr>
        <w:footnoteRef/>
      </w:r>
      <w:r>
        <w:t xml:space="preserve"> Inspector General for Emergency Management. (2017). </w:t>
      </w:r>
      <w:r w:rsidRPr="00636F3B">
        <w:t>Review of SKM Coolaroo Recycling Plant Fire</w:t>
      </w:r>
      <w:r>
        <w:t xml:space="preserve">. Retrieved from </w:t>
      </w:r>
      <w:hyperlink r:id="rId12" w:history="1">
        <w:r>
          <w:rPr>
            <w:rStyle w:val="Hyperlink"/>
          </w:rPr>
          <w:t>https://www.igem.vic.gov.au/reports-and-publications/igem-reports/review-of-skm-coolaroo-recycling-plant-fire</w:t>
        </w:r>
      </w:hyperlink>
    </w:p>
  </w:footnote>
  <w:footnote w:id="149">
    <w:p w14:paraId="656B20D5" w14:textId="77777777" w:rsidR="00E752DE" w:rsidRDefault="00E752DE" w:rsidP="00213E13">
      <w:pPr>
        <w:pStyle w:val="FootnoteText"/>
      </w:pPr>
      <w:r>
        <w:rPr>
          <w:rStyle w:val="FootnoteReference"/>
        </w:rPr>
        <w:footnoteRef/>
      </w:r>
      <w:r>
        <w:t xml:space="preserve"> Ibid.</w:t>
      </w:r>
    </w:p>
  </w:footnote>
  <w:footnote w:id="150">
    <w:p w14:paraId="656B20D6" w14:textId="77777777" w:rsidR="00E752DE" w:rsidRDefault="00E752DE" w:rsidP="00213E13">
      <w:pPr>
        <w:pStyle w:val="FootnoteText"/>
      </w:pPr>
      <w:r>
        <w:rPr>
          <w:rStyle w:val="FootnoteReference"/>
        </w:rPr>
        <w:footnoteRef/>
      </w:r>
      <w:r>
        <w:t xml:space="preserve"> ABC, </w:t>
      </w:r>
      <w:r>
        <w:rPr>
          <w:i/>
        </w:rPr>
        <w:t xml:space="preserve">As Melbourne’s recycling stockpiles keep growing, so does the fire risk posed by the waste </w:t>
      </w:r>
      <w:r>
        <w:t>(21 October 2018) &lt;</w:t>
      </w:r>
      <w:hyperlink r:id="rId13" w:history="1">
        <w:r>
          <w:rPr>
            <w:rStyle w:val="Hyperlink"/>
          </w:rPr>
          <w:t>https://www.abc.net.au/news/2018-10-21/melbourne-recycling-facilities-pose-fire-risk/10368302</w:t>
        </w:r>
      </w:hyperlink>
      <w:r>
        <w:rPr>
          <w:rStyle w:val="Hyperlink"/>
        </w:rPr>
        <w:t>&gt;.</w:t>
      </w:r>
    </w:p>
  </w:footnote>
  <w:footnote w:id="151">
    <w:p w14:paraId="656B20D7" w14:textId="77777777" w:rsidR="00E752DE" w:rsidRDefault="00E752DE" w:rsidP="00213E13">
      <w:pPr>
        <w:pStyle w:val="FootnoteText"/>
      </w:pPr>
      <w:r>
        <w:rPr>
          <w:rStyle w:val="FootnoteReference"/>
        </w:rPr>
        <w:footnoteRef/>
      </w:r>
      <w:r>
        <w:t xml:space="preserve"> The Age, </w:t>
      </w:r>
      <w:r>
        <w:rPr>
          <w:i/>
        </w:rPr>
        <w:t xml:space="preserve">The tipping point: Illegal dumping swamps the waste industry </w:t>
      </w:r>
      <w:r>
        <w:t>(6 August 2017) &lt;</w:t>
      </w:r>
      <w:hyperlink r:id="rId14" w:history="1">
        <w:r w:rsidRPr="00D45D48">
          <w:rPr>
            <w:rStyle w:val="Hyperlink"/>
          </w:rPr>
          <w:t>https://www.theage.com.au/national/victoria/the-tipping-point-illegal-dumping-swamps-the-waste-industry-20170806-gxq8m0.html</w:t>
        </w:r>
      </w:hyperlink>
      <w:r>
        <w:t>.&gt;.</w:t>
      </w:r>
    </w:p>
  </w:footnote>
  <w:footnote w:id="152">
    <w:p w14:paraId="656B20D8" w14:textId="77777777" w:rsidR="00E752DE" w:rsidRDefault="00E752DE" w:rsidP="00213E13">
      <w:pPr>
        <w:pStyle w:val="FootnoteText"/>
      </w:pPr>
      <w:r>
        <w:rPr>
          <w:rStyle w:val="FootnoteReference"/>
        </w:rPr>
        <w:footnoteRef/>
      </w:r>
      <w:r>
        <w:t xml:space="preserve"> Ibid.</w:t>
      </w:r>
    </w:p>
  </w:footnote>
  <w:footnote w:id="153">
    <w:p w14:paraId="656B20D9" w14:textId="77777777" w:rsidR="00E752DE" w:rsidRDefault="00E752DE" w:rsidP="00213E13">
      <w:pPr>
        <w:pStyle w:val="FootnoteText"/>
      </w:pPr>
      <w:r>
        <w:rPr>
          <w:rStyle w:val="FootnoteReference"/>
        </w:rPr>
        <w:footnoteRef/>
      </w:r>
      <w:r>
        <w:t xml:space="preserve"> Ibid.</w:t>
      </w:r>
    </w:p>
  </w:footnote>
  <w:footnote w:id="154">
    <w:p w14:paraId="656B20DA" w14:textId="77777777" w:rsidR="00E752DE" w:rsidRDefault="00E752DE" w:rsidP="00213E13">
      <w:pPr>
        <w:pStyle w:val="FootnoteText"/>
      </w:pPr>
      <w:r>
        <w:rPr>
          <w:rStyle w:val="FootnoteReference"/>
        </w:rPr>
        <w:footnoteRef/>
      </w:r>
      <w:r>
        <w:t xml:space="preserve"> The Age, </w:t>
      </w:r>
      <w:r>
        <w:rPr>
          <w:i/>
        </w:rPr>
        <w:t xml:space="preserve">Up to 19 million litres of toxic waste dumped in eight suburban warehouses </w:t>
      </w:r>
      <w:r>
        <w:t>(18 March 2019) &lt;</w:t>
      </w:r>
      <w:hyperlink r:id="rId15" w:history="1">
        <w:r>
          <w:rPr>
            <w:rStyle w:val="Hyperlink"/>
          </w:rPr>
          <w:t>https://www.theage.com.au/national/victoria/up-to-19-million-litres-of-toxic-waste-dumped-in-eight-suburban-warehouses-20190315-p514lm.html</w:t>
        </w:r>
      </w:hyperlink>
      <w:r>
        <w:rPr>
          <w:rStyle w:val="Hyperlink"/>
        </w:rPr>
        <w:t>&gt;.</w:t>
      </w:r>
    </w:p>
  </w:footnote>
  <w:footnote w:id="155">
    <w:p w14:paraId="656B20DB" w14:textId="77777777" w:rsidR="00E752DE" w:rsidRPr="00B02D02" w:rsidRDefault="00E752DE" w:rsidP="00213E13">
      <w:pPr>
        <w:pStyle w:val="FootnoteText"/>
      </w:pPr>
      <w:r>
        <w:rPr>
          <w:rStyle w:val="FootnoteReference"/>
        </w:rPr>
        <w:footnoteRef/>
      </w:r>
      <w:r>
        <w:t xml:space="preserve"> ABC News, </w:t>
      </w:r>
      <w:r w:rsidRPr="00B02D02">
        <w:rPr>
          <w:i/>
        </w:rPr>
        <w:t>Supreme Court orders Stawell tyre dump owner to pay $4.5 million to EPA</w:t>
      </w:r>
      <w:r>
        <w:t xml:space="preserve"> (30 October 2018) &lt;</w:t>
      </w:r>
      <w:r w:rsidRPr="007C6435">
        <w:t>https://www.abc.net.au/news/2018-10-30/supreme-court-fines-stawell-tyre-stockpile-owner-millions/10447610</w:t>
      </w:r>
      <w:r>
        <w:t>&gt;.</w:t>
      </w:r>
    </w:p>
  </w:footnote>
  <w:footnote w:id="156">
    <w:p w14:paraId="656B20DC" w14:textId="77777777" w:rsidR="00E752DE" w:rsidRDefault="00E752DE" w:rsidP="00213E13">
      <w:pPr>
        <w:pStyle w:val="FootnoteText"/>
      </w:pPr>
      <w:r>
        <w:rPr>
          <w:rStyle w:val="FootnoteReference"/>
        </w:rPr>
        <w:footnoteRef/>
      </w:r>
      <w:r>
        <w:t xml:space="preserve"> EPA, </w:t>
      </w:r>
      <w:r w:rsidRPr="009B6D0C">
        <w:rPr>
          <w:i/>
        </w:rPr>
        <w:t>Stawell tyre stockpile cleanup</w:t>
      </w:r>
      <w:r w:rsidRPr="009B6D0C">
        <w:t>,</w:t>
      </w:r>
      <w:r>
        <w:t xml:space="preserve"> available at </w:t>
      </w:r>
      <w:r w:rsidRPr="007C6435">
        <w:t>https://www.epa.vic.gov.au/our-work/current-issues/odour-and-air-quality/stawell-tyre-stockpile-cleanup</w:t>
      </w:r>
      <w:r>
        <w:t>.</w:t>
      </w:r>
    </w:p>
  </w:footnote>
  <w:footnote w:id="157">
    <w:p w14:paraId="656B20DD" w14:textId="77777777" w:rsidR="00E752DE" w:rsidRPr="007C6435" w:rsidRDefault="00E752DE" w:rsidP="00213E13">
      <w:pPr>
        <w:pStyle w:val="FootnoteText"/>
      </w:pPr>
      <w:r>
        <w:rPr>
          <w:rStyle w:val="FootnoteReference"/>
        </w:rPr>
        <w:footnoteRef/>
      </w:r>
      <w:r>
        <w:t xml:space="preserve"> ABC News, </w:t>
      </w:r>
      <w:r w:rsidRPr="009B6D0C">
        <w:rPr>
          <w:i/>
        </w:rPr>
        <w:t>Supreme Court orders Stawell tyre dump owner to pay $4.5 million to EPA</w:t>
      </w:r>
      <w:r>
        <w:t xml:space="preserve">, 30 October 2018, available at </w:t>
      </w:r>
      <w:r w:rsidRPr="007C6435">
        <w:t>https://www.abc.net.au/news/2018-10-30/supreme-court-fines-stawell-tyre-stockpile-owner-millions/10447610</w:t>
      </w:r>
      <w:r>
        <w:t>.</w:t>
      </w:r>
    </w:p>
  </w:footnote>
  <w:footnote w:id="158">
    <w:p w14:paraId="656B20DE" w14:textId="77777777" w:rsidR="00E752DE" w:rsidRPr="00B02D02" w:rsidRDefault="00E752DE" w:rsidP="00213E13">
      <w:pPr>
        <w:pStyle w:val="FootnoteText"/>
      </w:pPr>
      <w:r>
        <w:rPr>
          <w:rStyle w:val="FootnoteReference"/>
        </w:rPr>
        <w:footnoteRef/>
      </w:r>
      <w:r>
        <w:t xml:space="preserve"> ABC News, </w:t>
      </w:r>
      <w:r w:rsidRPr="00B02D02">
        <w:rPr>
          <w:i/>
        </w:rPr>
        <w:t>Supreme Court orders Stawell tyre dump owner to pay $4.5 million to EPA</w:t>
      </w:r>
      <w:r>
        <w:t xml:space="preserve">, 30 October 2018, available at </w:t>
      </w:r>
      <w:r w:rsidRPr="007C6435">
        <w:t>https://www.abc.net.au/news/2018-10-30/supreme-court-fines-stawell-tyre-stockpile-owner-millions/10447610</w:t>
      </w:r>
      <w:r>
        <w:t>.</w:t>
      </w:r>
    </w:p>
  </w:footnote>
  <w:footnote w:id="159">
    <w:p w14:paraId="656B20DF" w14:textId="77777777" w:rsidR="00E752DE" w:rsidRDefault="00E752DE">
      <w:pPr>
        <w:pStyle w:val="FootnoteText"/>
      </w:pPr>
      <w:r>
        <w:rPr>
          <w:rStyle w:val="FootnoteReference"/>
        </w:rPr>
        <w:footnoteRef/>
      </w:r>
      <w:r>
        <w:t xml:space="preserve"> EPA website, </w:t>
      </w:r>
      <w:r w:rsidRPr="001A1CDF">
        <w:t>https://www.epa.vic.gov.au/our-work/current-issues/broderick-road-recycling-epa-response</w:t>
      </w:r>
    </w:p>
  </w:footnote>
  <w:footnote w:id="160">
    <w:p w14:paraId="656B20E0" w14:textId="77777777" w:rsidR="00E752DE" w:rsidRPr="00CF2BEE" w:rsidRDefault="00E752DE" w:rsidP="00213E13">
      <w:pPr>
        <w:pStyle w:val="FootnoteText"/>
      </w:pPr>
      <w:r>
        <w:rPr>
          <w:rStyle w:val="FootnoteReference"/>
        </w:rPr>
        <w:footnoteRef/>
      </w:r>
      <w:r>
        <w:t xml:space="preserve"> </w:t>
      </w:r>
      <w:r w:rsidRPr="009B6D0C">
        <w:t>City of Greater Geelong,</w:t>
      </w:r>
      <w:r>
        <w:rPr>
          <w:i/>
        </w:rPr>
        <w:t xml:space="preserve"> </w:t>
      </w:r>
      <w:r w:rsidRPr="009B6D0C">
        <w:rPr>
          <w:rFonts w:cs="Arial"/>
          <w:i/>
          <w:color w:val="333333"/>
          <w:lang w:val="en"/>
        </w:rPr>
        <w:t>Recycling site on Broderick Road</w:t>
      </w:r>
      <w:r>
        <w:rPr>
          <w:rFonts w:cs="Arial"/>
          <w:color w:val="333333"/>
          <w:lang w:val="en"/>
        </w:rPr>
        <w:t xml:space="preserve">, available at </w:t>
      </w:r>
      <w:r w:rsidRPr="00CF2BEE">
        <w:rPr>
          <w:rFonts w:cs="Arial"/>
          <w:color w:val="333333"/>
          <w:lang w:val="en"/>
        </w:rPr>
        <w:t>https://www.geelongaustralia.com.au/news/item/8d543b29091229a.aspx</w:t>
      </w:r>
      <w:r>
        <w:rPr>
          <w:rFonts w:cs="Arial"/>
          <w:color w:val="333333"/>
          <w:lang w:val="en"/>
        </w:rPr>
        <w:t>.</w:t>
      </w:r>
    </w:p>
  </w:footnote>
  <w:footnote w:id="161">
    <w:p w14:paraId="656B20E1" w14:textId="77777777" w:rsidR="00E752DE" w:rsidRDefault="00E752DE" w:rsidP="00213E13">
      <w:pPr>
        <w:pStyle w:val="FootnoteText"/>
      </w:pPr>
      <w:r>
        <w:rPr>
          <w:rStyle w:val="FootnoteReference"/>
        </w:rPr>
        <w:footnoteRef/>
      </w:r>
      <w:r>
        <w:t xml:space="preserve"> Environmental Protection Authority Victoria, </w:t>
      </w:r>
      <w:r>
        <w:rPr>
          <w:i/>
        </w:rPr>
        <w:t xml:space="preserve">Annual Report 2017-18 </w:t>
      </w:r>
      <w:r>
        <w:t>&lt;</w:t>
      </w:r>
      <w:r w:rsidRPr="00B74C49">
        <w:t xml:space="preserve"> </w:t>
      </w:r>
      <w:hyperlink r:id="rId16" w:history="1">
        <w:r>
          <w:rPr>
            <w:rStyle w:val="Hyperlink"/>
          </w:rPr>
          <w:t>https://www.epa.vic.gov.au/about-us/who-we-are/annual-reports-and-plans</w:t>
        </w:r>
      </w:hyperlink>
      <w:r>
        <w:t xml:space="preserve">&gt;. </w:t>
      </w:r>
    </w:p>
  </w:footnote>
  <w:footnote w:id="162">
    <w:p w14:paraId="656B20E2" w14:textId="77777777" w:rsidR="00E752DE" w:rsidRDefault="00E752DE" w:rsidP="00213E13">
      <w:pPr>
        <w:pStyle w:val="FootnoteText"/>
      </w:pPr>
      <w:r>
        <w:rPr>
          <w:rStyle w:val="FootnoteReference"/>
        </w:rPr>
        <w:footnoteRef/>
      </w:r>
      <w:r>
        <w:t xml:space="preserve"> </w:t>
      </w:r>
      <w:r w:rsidRPr="004F47D2">
        <w:t xml:space="preserve"> </w:t>
      </w:r>
      <w:r>
        <w:t>PriceWaterhouseCoopers, 2015, Illegal disposal of industrial waste in Victoria, Melbourne, Victoria</w:t>
      </w:r>
    </w:p>
  </w:footnote>
  <w:footnote w:id="163">
    <w:p w14:paraId="656B20E3" w14:textId="77777777" w:rsidR="00E752DE" w:rsidRDefault="00E752DE" w:rsidP="00213E13">
      <w:pPr>
        <w:pStyle w:val="FootnoteText"/>
      </w:pPr>
      <w:r>
        <w:rPr>
          <w:rStyle w:val="FootnoteReference"/>
        </w:rPr>
        <w:footnoteRef/>
      </w:r>
      <w:r>
        <w:t xml:space="preserve"> Environmental Protection Authority Victoria, Above n 21. </w:t>
      </w:r>
    </w:p>
  </w:footnote>
  <w:footnote w:id="164">
    <w:p w14:paraId="656B20E4" w14:textId="77777777" w:rsidR="00E752DE" w:rsidRDefault="00E752DE" w:rsidP="00213E13">
      <w:pPr>
        <w:pStyle w:val="FootnoteText"/>
      </w:pPr>
      <w:r>
        <w:rPr>
          <w:rStyle w:val="FootnoteReference"/>
        </w:rPr>
        <w:footnoteRef/>
      </w:r>
      <w:r>
        <w:t xml:space="preserve"> State of New South Wales and the Environmental Protection Authority, </w:t>
      </w:r>
      <w:r>
        <w:rPr>
          <w:i/>
        </w:rPr>
        <w:t xml:space="preserve">NSW Illegal Dumping Strategy 2017-21 </w:t>
      </w:r>
      <w:r>
        <w:t>(2017) &lt;</w:t>
      </w:r>
      <w:hyperlink r:id="rId17" w:history="1">
        <w:r w:rsidRPr="00D45D48">
          <w:rPr>
            <w:rStyle w:val="Hyperlink"/>
          </w:rPr>
          <w:t>https://www.epa.nsw.gov.au/-/media/epa/corporate-site/resources/illegaldumping/17p0158-epa-illegal-dumping-strategy.pdf</w:t>
        </w:r>
      </w:hyperlink>
      <w:r>
        <w:t>&gt;.</w:t>
      </w:r>
    </w:p>
  </w:footnote>
  <w:footnote w:id="165">
    <w:p w14:paraId="656B20E5" w14:textId="77777777" w:rsidR="00E752DE" w:rsidRDefault="00E752DE">
      <w:pPr>
        <w:pStyle w:val="FootnoteText"/>
      </w:pPr>
      <w:r>
        <w:rPr>
          <w:rStyle w:val="FootnoteReference"/>
        </w:rPr>
        <w:footnoteRef/>
      </w:r>
      <w:r>
        <w:t xml:space="preserve"> PriceWaterhouseCoopers, 2015 Illegal disposal of industrial waste in Victoria, Melbourne, Victoria</w:t>
      </w:r>
    </w:p>
  </w:footnote>
  <w:footnote w:id="166">
    <w:p w14:paraId="656B20E6" w14:textId="77777777" w:rsidR="00E752DE" w:rsidRPr="00B73629" w:rsidRDefault="00E752DE">
      <w:pPr>
        <w:pStyle w:val="FootnoteText"/>
      </w:pPr>
      <w:r>
        <w:rPr>
          <w:rStyle w:val="FootnoteReference"/>
        </w:rPr>
        <w:footnoteRef/>
      </w:r>
      <w:r>
        <w:t xml:space="preserve"> European Commission 2018, </w:t>
      </w:r>
      <w:r>
        <w:rPr>
          <w:i/>
        </w:rPr>
        <w:t xml:space="preserve">Commission notice on technical guidance on the classification of waste </w:t>
      </w:r>
      <w:r>
        <w:t>&lt;</w:t>
      </w:r>
      <w:hyperlink r:id="rId18" w:history="1">
        <w:r w:rsidRPr="00882176">
          <w:rPr>
            <w:rStyle w:val="Hyperlink"/>
          </w:rPr>
          <w:t>https://eur-lex.europa.eu/legal-content/EN/TXT/PDF/?uri=CELEX:52018XC0409(01)&amp;from=EN</w:t>
        </w:r>
      </w:hyperlink>
      <w:r>
        <w:t xml:space="preserve">&gt; </w:t>
      </w:r>
    </w:p>
  </w:footnote>
  <w:footnote w:id="167">
    <w:p w14:paraId="656B20E7" w14:textId="77777777" w:rsidR="00E752DE" w:rsidRDefault="00E752DE" w:rsidP="00EA09FA">
      <w:pPr>
        <w:pStyle w:val="FootnoteText"/>
      </w:pPr>
      <w:r>
        <w:rPr>
          <w:rStyle w:val="FootnoteReference"/>
        </w:rPr>
        <w:footnoteRef/>
      </w:r>
      <w:r>
        <w:t xml:space="preserve"> Source: Payscale (2019), accessed from: </w:t>
      </w:r>
      <w:hyperlink r:id="rId19" w:history="1">
        <w:r>
          <w:rPr>
            <w:rStyle w:val="Hyperlink"/>
          </w:rPr>
          <w:t>https://www.payscale.com/research/AU/Country=Australia/Salary</w:t>
        </w:r>
      </w:hyperlink>
    </w:p>
  </w:footnote>
  <w:footnote w:id="168">
    <w:p w14:paraId="656B20E8" w14:textId="77777777" w:rsidR="00E752DE" w:rsidRDefault="00E752DE">
      <w:pPr>
        <w:pStyle w:val="FootnoteText"/>
      </w:pPr>
      <w:r>
        <w:rPr>
          <w:rStyle w:val="FootnoteReference"/>
        </w:rPr>
        <w:footnoteRef/>
      </w:r>
      <w:r>
        <w:t xml:space="preserve"> S</w:t>
      </w:r>
      <w:r w:rsidRPr="00676531">
        <w:t>ection 42</w:t>
      </w:r>
      <w:r>
        <w:t>7</w:t>
      </w:r>
      <w:r w:rsidRPr="00676531">
        <w:t xml:space="preserve"> </w:t>
      </w:r>
      <w:r>
        <w:t xml:space="preserve">allows the Minister to make guidelines in relation to requirements and integration of </w:t>
      </w:r>
      <w:r w:rsidRPr="00676531">
        <w:t>the Regional Waste and Resource Recovery Implementation Plan.</w:t>
      </w:r>
    </w:p>
  </w:footnote>
  <w:footnote w:id="169">
    <w:p w14:paraId="656B20E9" w14:textId="77777777" w:rsidR="00E752DE" w:rsidRPr="00196449" w:rsidRDefault="00E752DE" w:rsidP="0059551D">
      <w:pPr>
        <w:autoSpaceDE w:val="0"/>
        <w:autoSpaceDN w:val="0"/>
        <w:adjustRightInd w:val="0"/>
        <w:spacing w:after="0" w:line="240" w:lineRule="auto"/>
        <w:rPr>
          <w:rFonts w:cs="Segoe UI Light"/>
          <w:sz w:val="16"/>
          <w:szCs w:val="16"/>
        </w:rPr>
      </w:pPr>
      <w:r w:rsidRPr="00196449">
        <w:rPr>
          <w:rStyle w:val="FootnoteReference"/>
          <w:sz w:val="16"/>
          <w:szCs w:val="16"/>
        </w:rPr>
        <w:footnoteRef/>
      </w:r>
      <w:r w:rsidRPr="00196449">
        <w:rPr>
          <w:sz w:val="16"/>
          <w:szCs w:val="16"/>
        </w:rPr>
        <w:t xml:space="preserve"> DELWP, </w:t>
      </w:r>
      <w:r w:rsidRPr="00196449">
        <w:rPr>
          <w:rFonts w:cs="Segoe UI Light"/>
          <w:bCs/>
          <w:i/>
          <w:sz w:val="16"/>
          <w:szCs w:val="16"/>
        </w:rPr>
        <w:t>Managing e-waste in Victoria</w:t>
      </w:r>
      <w:r w:rsidRPr="00196449">
        <w:rPr>
          <w:rFonts w:cs="Segoe UI Light"/>
          <w:bCs/>
          <w:sz w:val="16"/>
          <w:szCs w:val="16"/>
        </w:rPr>
        <w:t xml:space="preserve">, </w:t>
      </w:r>
      <w:r w:rsidRPr="00196449">
        <w:rPr>
          <w:rFonts w:cs="Segoe UI Light"/>
          <w:sz w:val="16"/>
          <w:szCs w:val="16"/>
        </w:rPr>
        <w:t>Policy Impact Assessment, 2017,</w:t>
      </w:r>
      <w:r>
        <w:rPr>
          <w:rFonts w:cs="Segoe UI Light"/>
          <w:sz w:val="16"/>
          <w:szCs w:val="16"/>
        </w:rPr>
        <w:t xml:space="preserve"> page </w:t>
      </w:r>
      <w:r w:rsidRPr="00196449">
        <w:rPr>
          <w:rFonts w:cs="Segoe UI Light"/>
          <w:sz w:val="16"/>
          <w:szCs w:val="16"/>
        </w:rPr>
        <w:t>i.</w:t>
      </w:r>
    </w:p>
  </w:footnote>
  <w:footnote w:id="170">
    <w:p w14:paraId="656B20EA" w14:textId="77777777" w:rsidR="00E752DE" w:rsidRDefault="00E752DE" w:rsidP="0059551D">
      <w:pPr>
        <w:pStyle w:val="FootnoteText"/>
      </w:pPr>
      <w:r>
        <w:rPr>
          <w:rStyle w:val="FootnoteReference"/>
        </w:rPr>
        <w:footnoteRef/>
      </w:r>
      <w:r>
        <w:t xml:space="preserve"> </w:t>
      </w:r>
      <w:hyperlink r:id="rId20" w:history="1">
        <w:r>
          <w:rPr>
            <w:rStyle w:val="Hyperlink"/>
          </w:rPr>
          <w:t>https://www.epa.vic.gov.au/~/media/Publications/IWRG423.pdf</w:t>
        </w:r>
      </w:hyperlink>
    </w:p>
  </w:footnote>
  <w:footnote w:id="171">
    <w:p w14:paraId="656B20EB" w14:textId="77777777" w:rsidR="00E752DE" w:rsidRDefault="00E752DE" w:rsidP="0059551D">
      <w:pPr>
        <w:pStyle w:val="FootnoteText"/>
      </w:pPr>
      <w:r>
        <w:rPr>
          <w:rStyle w:val="FootnoteReference"/>
        </w:rPr>
        <w:footnoteRef/>
      </w:r>
      <w:r>
        <w:t xml:space="preserve"> </w:t>
      </w:r>
      <w:hyperlink r:id="rId21" w:history="1">
        <w:r>
          <w:rPr>
            <w:rStyle w:val="Hyperlink"/>
          </w:rPr>
          <w:t>https://www.epa.vic.gov.au/~/media/Publications/IWRG422.pdf</w:t>
        </w:r>
      </w:hyperlink>
    </w:p>
  </w:footnote>
  <w:footnote w:id="172">
    <w:p w14:paraId="656B20EC" w14:textId="77777777" w:rsidR="00E752DE" w:rsidRDefault="00E752DE" w:rsidP="0059551D">
      <w:pPr>
        <w:pStyle w:val="FootnoteText"/>
      </w:pPr>
      <w:r>
        <w:rPr>
          <w:rStyle w:val="FootnoteReference"/>
        </w:rPr>
        <w:footnoteRef/>
      </w:r>
      <w:r>
        <w:t xml:space="preserve"> EPA website, available at </w:t>
      </w:r>
      <w:r w:rsidRPr="00F936E9">
        <w:t>https://www.epa.vic.gov.au/your-environment/waste/landfills</w:t>
      </w:r>
      <w:r>
        <w:t>.</w:t>
      </w:r>
    </w:p>
  </w:footnote>
  <w:footnote w:id="173">
    <w:p w14:paraId="656B20ED" w14:textId="77777777" w:rsidR="00E752DE" w:rsidRDefault="00E752DE" w:rsidP="0059551D">
      <w:pPr>
        <w:pStyle w:val="FootnoteText"/>
      </w:pPr>
      <w:r>
        <w:rPr>
          <w:rStyle w:val="FootnoteReference"/>
        </w:rPr>
        <w:footnoteRef/>
      </w:r>
      <w:r>
        <w:t xml:space="preserve"> EPA, </w:t>
      </w:r>
      <w:r w:rsidRPr="00A070FA">
        <w:t>RIS for Draft Environment Protection (Industrial Wast Resource) Regulations,</w:t>
      </w:r>
      <w:r>
        <w:t xml:space="preserve"> page </w:t>
      </w:r>
      <w:r w:rsidRPr="00A070FA">
        <w:t>25.</w:t>
      </w:r>
    </w:p>
  </w:footnote>
  <w:footnote w:id="174">
    <w:p w14:paraId="656B20EE" w14:textId="77777777" w:rsidR="00E752DE" w:rsidRDefault="00E752DE" w:rsidP="0059551D">
      <w:pPr>
        <w:pStyle w:val="FootnoteText"/>
      </w:pPr>
      <w:r>
        <w:rPr>
          <w:rStyle w:val="FootnoteReference"/>
        </w:rPr>
        <w:footnoteRef/>
      </w:r>
      <w:r>
        <w:t xml:space="preserve"> Scottish Environment Protection Authority ‘Guidance on Landfill Gas Flaring’ (2002) </w:t>
      </w:r>
      <w:hyperlink r:id="rId22" w:history="1">
        <w:r>
          <w:rPr>
            <w:rStyle w:val="Hyperlink"/>
          </w:rPr>
          <w:t>https://www.sepa.org.uk/media/28988/guidance-on-landfill-gas-flaring.pdf</w:t>
        </w:r>
      </w:hyperlink>
      <w:r>
        <w:t xml:space="preserve"> 8. </w:t>
      </w:r>
    </w:p>
  </w:footnote>
  <w:footnote w:id="175">
    <w:p w14:paraId="656B20EF" w14:textId="77777777" w:rsidR="00E752DE" w:rsidRDefault="00E752DE" w:rsidP="0059551D">
      <w:pPr>
        <w:pStyle w:val="FootnoteText"/>
      </w:pPr>
      <w:r>
        <w:rPr>
          <w:rStyle w:val="FootnoteReference"/>
        </w:rPr>
        <w:footnoteRef/>
      </w:r>
      <w:r>
        <w:t xml:space="preserve"> </w:t>
      </w:r>
      <w:r>
        <w:rPr>
          <w:i/>
        </w:rPr>
        <w:t xml:space="preserve">Typical landfill gas composition at a landfill site is 56% CH4, 31% CO2, 10% N, 1% O2, 1% moisture and 1% trace species. </w:t>
      </w:r>
      <w:r>
        <w:t xml:space="preserve">Scottish Environment Protection Authority ‘Guidance on Landfill Gas Flaring’ (2002) </w:t>
      </w:r>
      <w:hyperlink r:id="rId23" w:history="1">
        <w:r>
          <w:rPr>
            <w:rStyle w:val="Hyperlink"/>
          </w:rPr>
          <w:t>https://www.sepa.org.uk/media/28988/guidance-on-landfill-gas-flaring.pdf</w:t>
        </w:r>
      </w:hyperlink>
      <w:r>
        <w:t xml:space="preserve"> 8.</w:t>
      </w:r>
    </w:p>
  </w:footnote>
  <w:footnote w:id="176">
    <w:p w14:paraId="656B20F0" w14:textId="77777777" w:rsidR="00E752DE" w:rsidRDefault="00E752DE" w:rsidP="0059551D">
      <w:pPr>
        <w:pStyle w:val="FootnoteText"/>
      </w:pPr>
      <w:r>
        <w:rPr>
          <w:rStyle w:val="FootnoteReference"/>
        </w:rPr>
        <w:footnoteRef/>
      </w:r>
      <w:r>
        <w:t xml:space="preserve"> EPA website, available at </w:t>
      </w:r>
      <w:r w:rsidRPr="00F936E9">
        <w:t>https://www.epa.vic.gov.au/your-environment/waste/landfills</w:t>
      </w:r>
      <w:r>
        <w:t>.</w:t>
      </w:r>
    </w:p>
  </w:footnote>
  <w:footnote w:id="177">
    <w:p w14:paraId="656B20F1" w14:textId="77777777" w:rsidR="00E752DE" w:rsidRDefault="00E752DE" w:rsidP="0059551D">
      <w:pPr>
        <w:pStyle w:val="FootnoteText"/>
      </w:pPr>
      <w:r>
        <w:rPr>
          <w:rStyle w:val="FootnoteReference"/>
        </w:rPr>
        <w:footnoteRef/>
      </w:r>
      <w:r>
        <w:t xml:space="preserve"> Deloitte Access Economics, </w:t>
      </w:r>
      <w:r>
        <w:rPr>
          <w:i/>
        </w:rPr>
        <w:t xml:space="preserve">Economic effects of the South Australian solid waste levy </w:t>
      </w:r>
      <w:r>
        <w:t xml:space="preserve">(Report commissioned by Australian Council of Recycling, July 2015) </w:t>
      </w:r>
      <w:hyperlink r:id="rId24" w:history="1">
        <w:r>
          <w:rPr>
            <w:rStyle w:val="Hyperlink"/>
          </w:rPr>
          <w:t>http://www.acor.org.au/uploads/2/1/5/4/21549240/deloitte_sa_waste_levy_final_2015.pdf</w:t>
        </w:r>
      </w:hyperlink>
      <w:r>
        <w:t xml:space="preserve"> </w:t>
      </w:r>
      <w:r>
        <w:rPr>
          <w:i/>
        </w:rPr>
        <w:t xml:space="preserve"> </w:t>
      </w:r>
      <w:r>
        <w:t xml:space="preserve"> </w:t>
      </w:r>
    </w:p>
  </w:footnote>
  <w:footnote w:id="178">
    <w:p w14:paraId="656B20F2" w14:textId="77777777" w:rsidR="00E752DE" w:rsidRDefault="00E752DE" w:rsidP="0093166D">
      <w:r>
        <w:rPr>
          <w:rStyle w:val="FootnoteReference"/>
        </w:rPr>
        <w:footnoteRef/>
      </w:r>
      <w:r>
        <w:t xml:space="preserve"> </w:t>
      </w:r>
      <w:r w:rsidRPr="00DB768F">
        <w:rPr>
          <w:sz w:val="16"/>
          <w:szCs w:val="20"/>
        </w:rPr>
        <w:t xml:space="preserve">Final </w:t>
      </w:r>
      <w:r w:rsidRPr="00DB768F">
        <w:rPr>
          <w:i/>
          <w:sz w:val="16"/>
          <w:szCs w:val="20"/>
        </w:rPr>
        <w:t>Draft Report, NSW waste regulation</w:t>
      </w:r>
      <w:r w:rsidRPr="00DB768F">
        <w:rPr>
          <w:sz w:val="16"/>
          <w:szCs w:val="20"/>
        </w:rPr>
        <w:t>, Prepared for NSW Environment Protection Authority, April 2014,</w:t>
      </w:r>
      <w:r>
        <w:rPr>
          <w:sz w:val="16"/>
          <w:szCs w:val="20"/>
        </w:rPr>
        <w:t xml:space="preserve"> page </w:t>
      </w:r>
      <w:r w:rsidRPr="00DB768F">
        <w:rPr>
          <w:sz w:val="16"/>
          <w:szCs w:val="20"/>
        </w:rPr>
        <w:t>29.</w:t>
      </w:r>
    </w:p>
  </w:footnote>
  <w:footnote w:id="179">
    <w:p w14:paraId="656B20F3" w14:textId="77777777" w:rsidR="00E752DE" w:rsidRDefault="00E752DE" w:rsidP="004F6EF1">
      <w:pPr>
        <w:pStyle w:val="FootnoteText"/>
      </w:pPr>
      <w:r>
        <w:rPr>
          <w:rStyle w:val="FootnoteReference"/>
        </w:rPr>
        <w:footnoteRef/>
      </w:r>
      <w:r>
        <w:t xml:space="preserve"> </w:t>
      </w:r>
      <w:r w:rsidRPr="00B712A8">
        <w:t>Relevant period, in relation to the waste levy and allowable rebate, means a period of 3 months ending on 31 March, 30 June, 30 September or 31 December in any year or other period if required by a liable person’s operating licence.</w:t>
      </w:r>
    </w:p>
  </w:footnote>
  <w:footnote w:id="180">
    <w:p w14:paraId="656B20F4" w14:textId="77777777" w:rsidR="00E752DE" w:rsidRDefault="00E752DE" w:rsidP="004F6EF1">
      <w:pPr>
        <w:pStyle w:val="FootnoteText"/>
      </w:pPr>
      <w:r>
        <w:rPr>
          <w:rStyle w:val="FootnoteReference"/>
        </w:rPr>
        <w:footnoteRef/>
      </w:r>
      <w:r>
        <w:t xml:space="preserve"> Schollum 2010, </w:t>
      </w:r>
      <w:r>
        <w:rPr>
          <w:i/>
        </w:rPr>
        <w:t>Evaluation of the social optimum for the landfill levy in WA</w:t>
      </w:r>
    </w:p>
  </w:footnote>
  <w:footnote w:id="181">
    <w:p w14:paraId="656B20F5" w14:textId="77777777" w:rsidR="00E752DE" w:rsidRDefault="00E752DE" w:rsidP="004F6EF1">
      <w:pPr>
        <w:pStyle w:val="FootnoteText"/>
      </w:pPr>
      <w:r>
        <w:rPr>
          <w:rStyle w:val="FootnoteReference"/>
        </w:rPr>
        <w:footnoteRef/>
      </w:r>
      <w:r>
        <w:t xml:space="preserve"> Deloitte Access Economics, </w:t>
      </w:r>
      <w:r>
        <w:rPr>
          <w:i/>
        </w:rPr>
        <w:t xml:space="preserve">Economic effects of the South Australian solid waste levy </w:t>
      </w:r>
      <w:r>
        <w:t xml:space="preserve">(Report commissioned by Australian Council of Recycling, July 2015) </w:t>
      </w:r>
      <w:hyperlink r:id="rId25" w:history="1">
        <w:r>
          <w:rPr>
            <w:rStyle w:val="Hyperlink"/>
          </w:rPr>
          <w:t>http://www.acor.org.au/uploads/2/1/5/4/21549240/deloitte_sa_waste_levy_final_2015.pdf</w:t>
        </w:r>
      </w:hyperlink>
      <w:r>
        <w:t xml:space="preserve"> </w:t>
      </w:r>
      <w:r>
        <w:rPr>
          <w:i/>
        </w:rPr>
        <w:t xml:space="preserve"> </w:t>
      </w:r>
      <w:r>
        <w:t xml:space="preserve"> </w:t>
      </w:r>
    </w:p>
  </w:footnote>
  <w:footnote w:id="182">
    <w:p w14:paraId="656B20F6" w14:textId="77777777" w:rsidR="00E752DE" w:rsidRDefault="00E752DE" w:rsidP="004F6EF1">
      <w:pPr>
        <w:pStyle w:val="FootnoteText"/>
      </w:pPr>
      <w:r>
        <w:rPr>
          <w:rStyle w:val="FootnoteReference"/>
        </w:rPr>
        <w:footnoteRef/>
      </w:r>
      <w:r>
        <w:t xml:space="preserve"> Deloitte Access Economics, </w:t>
      </w:r>
      <w:r>
        <w:rPr>
          <w:i/>
        </w:rPr>
        <w:t xml:space="preserve">Economic effects of the South Australian solid waste levy </w:t>
      </w:r>
      <w:r>
        <w:t xml:space="preserve">(Report commissioned by Australian Council of Recycling, July 2015) </w:t>
      </w:r>
      <w:hyperlink r:id="rId26" w:history="1">
        <w:r>
          <w:rPr>
            <w:rStyle w:val="Hyperlink"/>
          </w:rPr>
          <w:t>http://www.acor.org.au/uploads/2/1/5/4/21549240/deloitte_sa_waste_levy_final_2015.pdf</w:t>
        </w:r>
      </w:hyperlink>
      <w:r>
        <w:t xml:space="preserve"> </w:t>
      </w:r>
      <w:r>
        <w:rPr>
          <w:i/>
        </w:rPr>
        <w:t xml:space="preserve"> </w:t>
      </w:r>
      <w:r>
        <w:t xml:space="preserve"> </w:t>
      </w:r>
    </w:p>
  </w:footnote>
  <w:footnote w:id="183">
    <w:p w14:paraId="656B20F7" w14:textId="77777777" w:rsidR="00E752DE" w:rsidRDefault="00E752DE" w:rsidP="004F6EF1">
      <w:pPr>
        <w:pStyle w:val="FootnoteText"/>
      </w:pPr>
      <w:r>
        <w:rPr>
          <w:rStyle w:val="FootnoteReference"/>
        </w:rPr>
        <w:footnoteRef/>
      </w:r>
      <w:r>
        <w:t xml:space="preserve"> Landfill operator, consulted 7 March 2019</w:t>
      </w:r>
    </w:p>
  </w:footnote>
  <w:footnote w:id="184">
    <w:p w14:paraId="656B20F8" w14:textId="77777777" w:rsidR="00E752DE" w:rsidRDefault="00E752DE" w:rsidP="004F6EF1">
      <w:pPr>
        <w:pStyle w:val="FootnoteText"/>
      </w:pPr>
      <w:r>
        <w:rPr>
          <w:rStyle w:val="FootnoteReference"/>
        </w:rPr>
        <w:footnoteRef/>
      </w:r>
      <w:r>
        <w:t xml:space="preserve"> Landfill operator, consulted on 5 March 2019</w:t>
      </w:r>
    </w:p>
  </w:footnote>
  <w:footnote w:id="185">
    <w:p w14:paraId="656B20F9" w14:textId="77777777" w:rsidR="00E752DE" w:rsidRDefault="00E752DE">
      <w:pPr>
        <w:pStyle w:val="FootnoteText"/>
      </w:pPr>
      <w:r>
        <w:rPr>
          <w:rStyle w:val="FootnoteReference"/>
        </w:rPr>
        <w:footnoteRef/>
      </w:r>
      <w:r>
        <w:t xml:space="preserve"> See Chapter 13</w:t>
      </w:r>
      <w:r w:rsidDel="00852412">
        <w:t>6</w:t>
      </w:r>
      <w:r>
        <w:t xml:space="preserve"> for an assessment of proposed Regulations regarding discharges of waste from vessels. </w:t>
      </w:r>
    </w:p>
  </w:footnote>
  <w:footnote w:id="186">
    <w:p w14:paraId="656B20FA" w14:textId="77777777" w:rsidR="00E752DE" w:rsidRPr="00040A06" w:rsidRDefault="00E752DE">
      <w:pPr>
        <w:pStyle w:val="FootnoteText"/>
        <w:rPr>
          <w:i/>
        </w:rPr>
      </w:pPr>
      <w:r>
        <w:rPr>
          <w:rStyle w:val="FootnoteReference"/>
        </w:rPr>
        <w:footnoteRef/>
      </w:r>
      <w:r>
        <w:t xml:space="preserve"> </w:t>
      </w:r>
      <w:r w:rsidRPr="009E3BC2">
        <w:t>Keep Australia Beautiful National Association</w:t>
      </w:r>
      <w:r>
        <w:t xml:space="preserve">, </w:t>
      </w:r>
      <w:r>
        <w:rPr>
          <w:i/>
        </w:rPr>
        <w:t xml:space="preserve">National Litter Index 2017-2018, Victoria Results, </w:t>
      </w:r>
      <w:r w:rsidRPr="00040A06">
        <w:t>available at:</w:t>
      </w:r>
      <w:r>
        <w:rPr>
          <w:i/>
        </w:rPr>
        <w:t xml:space="preserve"> </w:t>
      </w:r>
      <w:hyperlink r:id="rId27" w:history="1">
        <w:r>
          <w:rPr>
            <w:rStyle w:val="Hyperlink"/>
          </w:rPr>
          <w:t>https://www.sustainability.vic.gov.au/Government/Litter-and-illegal-dumping/National-Litter-Index</w:t>
        </w:r>
      </w:hyperlink>
    </w:p>
  </w:footnote>
  <w:footnote w:id="187">
    <w:p w14:paraId="656B20FB" w14:textId="77777777" w:rsidR="00E752DE" w:rsidRPr="00A83752" w:rsidRDefault="00E752DE" w:rsidP="00D63FBE">
      <w:pPr>
        <w:pStyle w:val="FootnoteText"/>
      </w:pPr>
      <w:r w:rsidRPr="00DE53EB">
        <w:rPr>
          <w:rStyle w:val="FootnoteReference"/>
          <w:szCs w:val="16"/>
        </w:rPr>
        <w:footnoteRef/>
      </w:r>
      <w:r w:rsidRPr="00DE53EB">
        <w:rPr>
          <w:szCs w:val="16"/>
        </w:rPr>
        <w:t xml:space="preserve"> EPA Victoria, </w:t>
      </w:r>
      <w:r w:rsidRPr="00DE53EB">
        <w:rPr>
          <w:i/>
          <w:szCs w:val="16"/>
        </w:rPr>
        <w:t xml:space="preserve">2014 Victoria litter enforcement toolkit, </w:t>
      </w:r>
      <w:r w:rsidRPr="00DE53EB">
        <w:rPr>
          <w:szCs w:val="16"/>
        </w:rPr>
        <w:t xml:space="preserve">Publication number 1142.2, December 2014. Available at: </w:t>
      </w:r>
      <w:hyperlink r:id="rId28" w:history="1">
        <w:r w:rsidRPr="00DE53EB">
          <w:rPr>
            <w:rStyle w:val="Hyperlink"/>
            <w:szCs w:val="16"/>
          </w:rPr>
          <w:t>https://www.epa.vic.gov.au/~/media/Publications/1142%202.pdf</w:t>
        </w:r>
      </w:hyperlink>
      <w:r>
        <w:t xml:space="preserve"> </w:t>
      </w:r>
    </w:p>
  </w:footnote>
  <w:footnote w:id="188">
    <w:p w14:paraId="656B20FC" w14:textId="77777777" w:rsidR="00E752DE" w:rsidRDefault="00E752DE">
      <w:pPr>
        <w:pStyle w:val="FootnoteText"/>
      </w:pPr>
      <w:r>
        <w:rPr>
          <w:rStyle w:val="FootnoteReference"/>
        </w:rPr>
        <w:footnoteRef/>
      </w:r>
      <w:r>
        <w:t xml:space="preserve"> Marsden Jacob Associates (2016), </w:t>
      </w:r>
      <w:r w:rsidRPr="000E7C5E">
        <w:rPr>
          <w:i/>
        </w:rPr>
        <w:t>Plastic Bags Ban Options – Cost Benefit Analysis</w:t>
      </w:r>
      <w:r>
        <w:t xml:space="preserve">. Report prepared for the Victorian Department of Environment, Land, Water and Planning. </w:t>
      </w:r>
    </w:p>
  </w:footnote>
  <w:footnote w:id="189">
    <w:p w14:paraId="656B20FD" w14:textId="77777777" w:rsidR="00E752DE" w:rsidRDefault="00E752DE">
      <w:pPr>
        <w:pStyle w:val="FootnoteText"/>
      </w:pPr>
      <w:r>
        <w:rPr>
          <w:rStyle w:val="FootnoteReference"/>
        </w:rPr>
        <w:footnoteRef/>
      </w:r>
      <w:r>
        <w:t xml:space="preserve"> Surf Coast Shire, </w:t>
      </w:r>
      <w:r w:rsidRPr="00494A7B">
        <w:rPr>
          <w:i/>
        </w:rPr>
        <w:t>Plastic Bag Free</w:t>
      </w:r>
      <w:r>
        <w:rPr>
          <w:i/>
        </w:rPr>
        <w:t>,</w:t>
      </w:r>
      <w:r>
        <w:t xml:space="preserve"> &lt;</w:t>
      </w:r>
      <w:r w:rsidRPr="000E22A8">
        <w:t>https://www.surfcoast.vic.gov.au/files/assets/public/01-about-us/council/council-meetings-and-minutes/council-agendas-amp-minutes/2016/26-april/item-3.2-appendix-2-trader-brochure-plastic-wise.pdf</w:t>
      </w:r>
      <w:r>
        <w:t>&gt;.</w:t>
      </w:r>
    </w:p>
  </w:footnote>
  <w:footnote w:id="190">
    <w:p w14:paraId="656B20FE" w14:textId="77777777" w:rsidR="00E752DE" w:rsidRPr="00E10EB2" w:rsidRDefault="00E752DE">
      <w:pPr>
        <w:pStyle w:val="FootnoteText"/>
      </w:pPr>
      <w:r>
        <w:rPr>
          <w:rStyle w:val="FootnoteReference"/>
        </w:rPr>
        <w:footnoteRef/>
      </w:r>
      <w:r>
        <w:t xml:space="preserve"> The second reading speech for the bill stated that: ‘This bill introduces into the </w:t>
      </w:r>
      <w:r w:rsidRPr="00D85A7F">
        <w:rPr>
          <w:i/>
        </w:rPr>
        <w:t>Environment Protection Act 1970</w:t>
      </w:r>
      <w:r>
        <w:t xml:space="preserve"> a head of power to create regulations to establish controls over the ‘free’ distribution of plastic bags by Victorian retailers. Under the regulations, retailers would be required to charge a minimum prescribed fee (such as a minimum of 10 cents) per plastic bag.</w:t>
      </w:r>
    </w:p>
  </w:footnote>
  <w:footnote w:id="191">
    <w:p w14:paraId="656B20FF" w14:textId="77777777" w:rsidR="00E752DE" w:rsidRDefault="00E752DE" w:rsidP="00041730">
      <w:pPr>
        <w:pStyle w:val="FootnoteText"/>
      </w:pPr>
      <w:r>
        <w:rPr>
          <w:rStyle w:val="FootnoteReference"/>
        </w:rPr>
        <w:footnoteRef/>
      </w:r>
      <w:r>
        <w:t xml:space="preserve"> Media Release: </w:t>
      </w:r>
      <w:r w:rsidRPr="004E575E">
        <w:rPr>
          <w:i/>
        </w:rPr>
        <w:t>Banning The Bag To Reduce Plastic Pollution</w:t>
      </w:r>
      <w:r>
        <w:t xml:space="preserve">, Minister for Energy, Environment and Climate Change, 19 June 2019 </w:t>
      </w:r>
      <w:r w:rsidRPr="00181261">
        <w:t>https://www.premier.vic.gov.au/banning-the-bag-to-reduce-plastic-pollution/</w:t>
      </w:r>
    </w:p>
  </w:footnote>
  <w:footnote w:id="192">
    <w:p w14:paraId="656B2100" w14:textId="77777777" w:rsidR="00E752DE" w:rsidRDefault="00E752DE" w:rsidP="007C5F80">
      <w:pPr>
        <w:pStyle w:val="FootnoteText"/>
      </w:pPr>
      <w:r>
        <w:rPr>
          <w:rStyle w:val="FootnoteReference"/>
        </w:rPr>
        <w:footnoteRef/>
      </w:r>
      <w:r>
        <w:t xml:space="preserve"> Marsden Jacob Associates 2016, </w:t>
      </w:r>
      <w:r w:rsidRPr="008A33B3">
        <w:rPr>
          <w:i/>
        </w:rPr>
        <w:t>Plastic Bags Ban Options – Cost Benefit Analysis</w:t>
      </w:r>
      <w:r>
        <w:t xml:space="preserve">. Report prepared for the Victorian Department of Environment, Land, Water and Planning. </w:t>
      </w:r>
    </w:p>
  </w:footnote>
  <w:footnote w:id="193">
    <w:p w14:paraId="656B2101" w14:textId="77777777" w:rsidR="00E752DE" w:rsidRDefault="00E752DE" w:rsidP="007C5F80">
      <w:pPr>
        <w:pStyle w:val="FootnoteText"/>
      </w:pPr>
      <w:r>
        <w:rPr>
          <w:rStyle w:val="FootnoteReference"/>
        </w:rPr>
        <w:footnoteRef/>
      </w:r>
      <w:r>
        <w:t xml:space="preserve"> 2017 National Litter Index Fact sheet, Sustainability Victoria, accessed at </w:t>
      </w:r>
      <w:r w:rsidRPr="00E10EB2">
        <w:t>https://www.sustainability.vic.gov.au/About-Us/Publications/2017-National-Litter-Index-Fact-sheet</w:t>
      </w:r>
      <w:r>
        <w:t>.</w:t>
      </w:r>
    </w:p>
  </w:footnote>
  <w:footnote w:id="194">
    <w:p w14:paraId="656B2102" w14:textId="77777777" w:rsidR="00E752DE" w:rsidRDefault="00E752DE" w:rsidP="007C5F80">
      <w:pPr>
        <w:pStyle w:val="FootnoteText"/>
      </w:pPr>
      <w:r>
        <w:rPr>
          <w:rStyle w:val="FootnoteReference"/>
        </w:rPr>
        <w:footnoteRef/>
      </w:r>
      <w:r>
        <w:t xml:space="preserve"> </w:t>
      </w:r>
      <w:r w:rsidRPr="00D85A7F">
        <w:rPr>
          <w:i/>
        </w:rPr>
        <w:t>Coles and Woolworths’ plastic bag ban and the choices that remain</w:t>
      </w:r>
      <w:r>
        <w:t xml:space="preserve"> (2018) accessed at </w:t>
      </w:r>
      <w:hyperlink r:id="rId29" w:history="1">
        <w:r w:rsidRPr="00E84F36">
          <w:rPr>
            <w:rStyle w:val="Hyperlink"/>
          </w:rPr>
          <w:t>https://www.theguardian.com/environment/2018/jun/06/coles-and-woolworths-plastic-bag-ban-and-the-choices-that-remain</w:t>
        </w:r>
      </w:hyperlink>
      <w:r>
        <w:t xml:space="preserve">. </w:t>
      </w:r>
    </w:p>
  </w:footnote>
  <w:footnote w:id="195">
    <w:p w14:paraId="656B2103" w14:textId="77777777" w:rsidR="00E752DE" w:rsidRDefault="00E752DE">
      <w:pPr>
        <w:pStyle w:val="FootnoteText"/>
      </w:pPr>
      <w:r>
        <w:rPr>
          <w:rStyle w:val="FootnoteReference"/>
        </w:rPr>
        <w:footnoteRef/>
      </w:r>
      <w:r>
        <w:t xml:space="preserve"> Survey information provided to Deloitte by Department of Environment, Land, Water and Planning, as part of consultation for this RIS.</w:t>
      </w:r>
    </w:p>
  </w:footnote>
  <w:footnote w:id="196">
    <w:p w14:paraId="656B2104" w14:textId="77777777" w:rsidR="00E752DE" w:rsidRPr="00E10EB2" w:rsidRDefault="00E752DE" w:rsidP="007C5F80">
      <w:pPr>
        <w:pStyle w:val="FootnoteText"/>
      </w:pPr>
      <w:r>
        <w:rPr>
          <w:rStyle w:val="FootnoteReference"/>
        </w:rPr>
        <w:footnoteRef/>
      </w:r>
      <w:r>
        <w:t xml:space="preserve"> Woehler, E, </w:t>
      </w:r>
      <w:r w:rsidRPr="00D85A7F">
        <w:rPr>
          <w:i/>
        </w:rPr>
        <w:t>Committee Hansard</w:t>
      </w:r>
      <w:r>
        <w:t xml:space="preserve">, 26 February 2016, page 35, cited in Senate Environment and Communications References Committee, </w:t>
      </w:r>
      <w:r>
        <w:rPr>
          <w:i/>
        </w:rPr>
        <w:t>Toxic Tide: the threat of marine plastic pollution in Australia</w:t>
      </w:r>
      <w:r>
        <w:t>, April 2016, page 5.</w:t>
      </w:r>
    </w:p>
  </w:footnote>
  <w:footnote w:id="197">
    <w:p w14:paraId="656B2105" w14:textId="77777777" w:rsidR="00E752DE" w:rsidRDefault="00E752DE" w:rsidP="007C5F80">
      <w:pPr>
        <w:pStyle w:val="FootnoteText"/>
      </w:pPr>
      <w:r>
        <w:rPr>
          <w:rStyle w:val="FootnoteReference"/>
        </w:rPr>
        <w:footnoteRef/>
      </w:r>
      <w:r>
        <w:t xml:space="preserve"> Boroondara City Council, </w:t>
      </w:r>
      <w:r w:rsidRPr="00D85A7F">
        <w:rPr>
          <w:i/>
        </w:rPr>
        <w:t>Introduction of Flexible Plastic Packaging in Kerbside Recycling</w:t>
      </w:r>
      <w:r>
        <w:t xml:space="preserve"> Services, Funded through the Metropolitan Local Government Waste and Resource Recovery Fund, 16 June 2017.</w:t>
      </w:r>
    </w:p>
  </w:footnote>
  <w:footnote w:id="198">
    <w:p w14:paraId="656B2106" w14:textId="77777777" w:rsidR="00E752DE" w:rsidRDefault="00E752DE">
      <w:pPr>
        <w:pStyle w:val="FootnoteText"/>
      </w:pPr>
      <w:r>
        <w:rPr>
          <w:rStyle w:val="FootnoteReference"/>
        </w:rPr>
        <w:footnoteRef/>
      </w:r>
      <w:r>
        <w:t xml:space="preserve"> See, for example: </w:t>
      </w:r>
      <w:hyperlink r:id="rId30" w:history="1">
        <w:r>
          <w:rPr>
            <w:rStyle w:val="Hyperlink"/>
          </w:rPr>
          <w:t>https://www.sciencedirect.com/science/article/pii/S0095069618305291?utm_source=npr_newsletter&amp;utm_medium=email&amp;utm_content=20190408&amp;utm_campaign=money&amp;utm_term=nprnews</w:t>
        </w:r>
      </w:hyperlink>
    </w:p>
  </w:footnote>
  <w:footnote w:id="199">
    <w:p w14:paraId="656B2107" w14:textId="77777777" w:rsidR="00E752DE" w:rsidRPr="00FE3C0A" w:rsidRDefault="00E752DE" w:rsidP="0071391A">
      <w:pPr>
        <w:pStyle w:val="FootnoteText"/>
      </w:pPr>
      <w:r>
        <w:rPr>
          <w:rStyle w:val="FootnoteReference"/>
        </w:rPr>
        <w:footnoteRef/>
      </w:r>
      <w:r>
        <w:t xml:space="preserve"> Marsden Jacob Associates, </w:t>
      </w:r>
      <w:r>
        <w:rPr>
          <w:i/>
        </w:rPr>
        <w:t xml:space="preserve">Plastic Bags Ban Options – Cost Benefit Analysis. </w:t>
      </w:r>
      <w:r>
        <w:t xml:space="preserve">Report Prepared for DELWP. November 2016. Available at: </w:t>
      </w:r>
      <w:hyperlink r:id="rId31" w:history="1">
        <w:r w:rsidRPr="00D432C5">
          <w:rPr>
            <w:rStyle w:val="Hyperlink"/>
          </w:rPr>
          <w:t>https://engage.vic.gov.au/waste/plastic-pollution</w:t>
        </w:r>
      </w:hyperlink>
      <w:r>
        <w:t xml:space="preserve"> </w:t>
      </w:r>
    </w:p>
  </w:footnote>
  <w:footnote w:id="200">
    <w:p w14:paraId="656B2108" w14:textId="77777777" w:rsidR="00E752DE" w:rsidRPr="00B85BE7" w:rsidRDefault="00E752DE">
      <w:pPr>
        <w:pStyle w:val="FootnoteText"/>
      </w:pPr>
      <w:r>
        <w:rPr>
          <w:rStyle w:val="FootnoteReference"/>
        </w:rPr>
        <w:footnoteRef/>
      </w:r>
      <w:r>
        <w:t xml:space="preserve"> This estimate is based on the estimated market share of those two retailers within the supermarkets and groceries sector (Source: IBISWorld 2018, </w:t>
      </w:r>
      <w:r w:rsidRPr="00040A06">
        <w:rPr>
          <w:i/>
        </w:rPr>
        <w:t>IBISWorld</w:t>
      </w:r>
      <w:r>
        <w:rPr>
          <w:i/>
        </w:rPr>
        <w:t xml:space="preserve"> reveals state of the supermarkets and grocery industry</w:t>
      </w:r>
      <w:r>
        <w:t xml:space="preserve">) and the ‘supermarkets and groceries’ sector’s share of total retail turnover (Source: ABS 2007 </w:t>
      </w:r>
      <w:r>
        <w:rPr>
          <w:i/>
        </w:rPr>
        <w:t xml:space="preserve">Retail Trade, </w:t>
      </w:r>
      <w:r>
        <w:t>Cat. no. 8501.0)</w:t>
      </w:r>
    </w:p>
  </w:footnote>
  <w:footnote w:id="201">
    <w:p w14:paraId="656B2109" w14:textId="77777777" w:rsidR="00E752DE" w:rsidRDefault="00E752DE" w:rsidP="000F5A44">
      <w:pPr>
        <w:pStyle w:val="FootnoteText"/>
      </w:pPr>
      <w:r>
        <w:rPr>
          <w:rStyle w:val="FootnoteReference"/>
        </w:rPr>
        <w:footnoteRef/>
      </w:r>
      <w:r>
        <w:t xml:space="preserve"> PM</w:t>
      </w:r>
      <w:r w:rsidRPr="00040A06">
        <w:rPr>
          <w:vertAlign w:val="subscript"/>
        </w:rPr>
        <w:t>10</w:t>
      </w:r>
      <w:r>
        <w:t xml:space="preserve"> is inhalable particles with diameters that are generally 10 micrometres and smaller; and PM</w:t>
      </w:r>
      <w:r w:rsidRPr="00040A06">
        <w:rPr>
          <w:vertAlign w:val="subscript"/>
        </w:rPr>
        <w:t>2.5</w:t>
      </w:r>
      <w:r>
        <w:t xml:space="preserve"> is fine inhalable particles, with diameters that are generally 2.5 micrometres and smaller.</w:t>
      </w:r>
    </w:p>
  </w:footnote>
  <w:footnote w:id="202">
    <w:p w14:paraId="656B210A" w14:textId="77777777" w:rsidR="00E752DE" w:rsidRPr="00436A04" w:rsidRDefault="00E752DE" w:rsidP="00C145BF">
      <w:pPr>
        <w:pStyle w:val="FootnoteText"/>
        <w:ind w:right="-144"/>
        <w:rPr>
          <w:szCs w:val="16"/>
        </w:rPr>
      </w:pPr>
      <w:r w:rsidRPr="00436A04">
        <w:rPr>
          <w:rStyle w:val="FootnoteReference"/>
          <w:szCs w:val="16"/>
        </w:rPr>
        <w:footnoteRef/>
      </w:r>
      <w:r w:rsidRPr="00436A04">
        <w:rPr>
          <w:szCs w:val="16"/>
        </w:rPr>
        <w:t xml:space="preserve"> Environment Protection Authority Victoria, 2017, Variation to the Water Management Policy (Solid Fuel Heating): Policy Impact Statement, page 6. </w:t>
      </w:r>
    </w:p>
  </w:footnote>
  <w:footnote w:id="203">
    <w:p w14:paraId="656B210B" w14:textId="77777777" w:rsidR="00E752DE" w:rsidRPr="00436A04" w:rsidRDefault="00E752DE" w:rsidP="000F5A44">
      <w:pPr>
        <w:pStyle w:val="FootnoteText"/>
        <w:rPr>
          <w:szCs w:val="16"/>
        </w:rPr>
      </w:pPr>
      <w:r w:rsidRPr="00436A04">
        <w:rPr>
          <w:rStyle w:val="FootnoteReference"/>
          <w:szCs w:val="16"/>
        </w:rPr>
        <w:footnoteRef/>
      </w:r>
      <w:r w:rsidRPr="00436A04">
        <w:rPr>
          <w:szCs w:val="16"/>
        </w:rPr>
        <w:t xml:space="preserve"> Ibid.</w:t>
      </w:r>
    </w:p>
  </w:footnote>
  <w:footnote w:id="204">
    <w:p w14:paraId="656B210C" w14:textId="77777777" w:rsidR="00E752DE" w:rsidRPr="00436A04" w:rsidRDefault="00E752DE" w:rsidP="003C5391">
      <w:pPr>
        <w:pStyle w:val="FootnoteText"/>
        <w:ind w:right="-2694"/>
        <w:rPr>
          <w:szCs w:val="16"/>
        </w:rPr>
      </w:pPr>
      <w:r w:rsidRPr="00436A04">
        <w:rPr>
          <w:rStyle w:val="FootnoteReference"/>
          <w:szCs w:val="16"/>
        </w:rPr>
        <w:footnoteRef/>
      </w:r>
      <w:r w:rsidRPr="00436A04">
        <w:rPr>
          <w:szCs w:val="16"/>
        </w:rPr>
        <w:t xml:space="preserve"> Environmental Protection Authority Victoria, 2013, Future air quality in Victoria, page 21.</w:t>
      </w:r>
    </w:p>
  </w:footnote>
  <w:footnote w:id="205">
    <w:p w14:paraId="656B210D" w14:textId="77777777" w:rsidR="00E752DE" w:rsidRPr="009A3655" w:rsidRDefault="00E752DE">
      <w:pPr>
        <w:pStyle w:val="FootnoteText"/>
        <w:rPr>
          <w:szCs w:val="16"/>
        </w:rPr>
      </w:pPr>
      <w:r w:rsidRPr="00436A04">
        <w:rPr>
          <w:rStyle w:val="FootnoteReference"/>
          <w:szCs w:val="16"/>
        </w:rPr>
        <w:footnoteRef/>
      </w:r>
      <w:r w:rsidRPr="009A3655">
        <w:rPr>
          <w:szCs w:val="16"/>
        </w:rPr>
        <w:t xml:space="preserve"> </w:t>
      </w:r>
      <w:r w:rsidRPr="00436A04">
        <w:rPr>
          <w:szCs w:val="16"/>
        </w:rPr>
        <w:t>Environment Protection Authority Victoria, 2017, Variation to the Water Management Policy (Solid Fuel Heating): Policy Impact Statement.</w:t>
      </w:r>
      <w:r w:rsidRPr="009A3655" w:rsidDel="00D671D1">
        <w:rPr>
          <w:szCs w:val="16"/>
        </w:rPr>
        <w:t xml:space="preserve"> </w:t>
      </w:r>
    </w:p>
  </w:footnote>
  <w:footnote w:id="206">
    <w:p w14:paraId="656B210E" w14:textId="77777777" w:rsidR="00E752DE" w:rsidRDefault="00E752DE">
      <w:pPr>
        <w:pStyle w:val="FootnoteText"/>
      </w:pPr>
      <w:r>
        <w:rPr>
          <w:rStyle w:val="FootnoteReference"/>
        </w:rPr>
        <w:footnoteRef/>
      </w:r>
      <w:r>
        <w:t xml:space="preserve"> WHO, October 2016, Fact Sheet: </w:t>
      </w:r>
      <w:r w:rsidRPr="00827D39">
        <w:t>Dioxins and their effects on human health</w:t>
      </w:r>
      <w:r>
        <w:t xml:space="preserve">, Accessed March 2019: </w:t>
      </w:r>
      <w:hyperlink r:id="rId32" w:history="1">
        <w:r w:rsidRPr="00011FC5">
          <w:rPr>
            <w:rStyle w:val="Hyperlink"/>
          </w:rPr>
          <w:t>https://www.who.int/en/news-room/fact-sheets/detail/dioxins-and-their-effects-on-human-health</w:t>
        </w:r>
      </w:hyperlink>
      <w:r>
        <w:t xml:space="preserve"> </w:t>
      </w:r>
    </w:p>
  </w:footnote>
  <w:footnote w:id="207">
    <w:p w14:paraId="656B210F" w14:textId="77777777" w:rsidR="00E752DE" w:rsidRPr="00436A04" w:rsidRDefault="00E752DE">
      <w:pPr>
        <w:pStyle w:val="FootnoteText"/>
        <w:rPr>
          <w:szCs w:val="16"/>
        </w:rPr>
      </w:pPr>
      <w:r w:rsidRPr="00436A04">
        <w:rPr>
          <w:rStyle w:val="FootnoteReference"/>
          <w:szCs w:val="16"/>
        </w:rPr>
        <w:footnoteRef/>
      </w:r>
      <w:r w:rsidRPr="00436A04">
        <w:rPr>
          <w:szCs w:val="16"/>
        </w:rPr>
        <w:t xml:space="preserve"> Australian Government, Department of the Environment and Energy, </w:t>
      </w:r>
      <w:r w:rsidRPr="00436A04">
        <w:rPr>
          <w:i/>
          <w:szCs w:val="16"/>
        </w:rPr>
        <w:t xml:space="preserve">National Pollutant Inventory, </w:t>
      </w:r>
      <w:hyperlink r:id="rId33" w:history="1">
        <w:r w:rsidRPr="00436A04">
          <w:rPr>
            <w:rStyle w:val="Hyperlink"/>
            <w:szCs w:val="16"/>
          </w:rPr>
          <w:t>http://www.npi.gov.au/</w:t>
        </w:r>
      </w:hyperlink>
      <w:r w:rsidRPr="00436A04">
        <w:rPr>
          <w:i/>
          <w:szCs w:val="16"/>
        </w:rPr>
        <w:t xml:space="preserve"> </w:t>
      </w:r>
      <w:r w:rsidRPr="00436A04">
        <w:rPr>
          <w:szCs w:val="16"/>
        </w:rPr>
        <w:t xml:space="preserve"> </w:t>
      </w:r>
    </w:p>
  </w:footnote>
  <w:footnote w:id="208">
    <w:p w14:paraId="656B2110" w14:textId="77777777" w:rsidR="00E752DE" w:rsidRPr="00436A04" w:rsidRDefault="00E752DE" w:rsidP="008675C9">
      <w:pPr>
        <w:pStyle w:val="FootnoteText"/>
        <w:ind w:right="-144"/>
        <w:rPr>
          <w:szCs w:val="16"/>
        </w:rPr>
      </w:pPr>
      <w:r w:rsidRPr="00436A04">
        <w:rPr>
          <w:rStyle w:val="FootnoteReference"/>
          <w:szCs w:val="16"/>
        </w:rPr>
        <w:footnoteRef/>
      </w:r>
      <w:r w:rsidRPr="00436A04">
        <w:rPr>
          <w:szCs w:val="16"/>
        </w:rPr>
        <w:t xml:space="preserve"> </w:t>
      </w:r>
      <w:r w:rsidRPr="00436A04">
        <w:rPr>
          <w:rFonts w:cs="Segoe UI Light"/>
          <w:szCs w:val="16"/>
        </w:rPr>
        <w:t xml:space="preserve">Commissioner for Environmental Sustainability Victoria’s </w:t>
      </w:r>
      <w:r w:rsidRPr="00436A04">
        <w:rPr>
          <w:rFonts w:cs="Segoe UI Light"/>
          <w:i/>
          <w:szCs w:val="16"/>
        </w:rPr>
        <w:t>Interim Victorian State of the Environment Report 2018</w:t>
      </w:r>
      <w:r w:rsidRPr="00436A04">
        <w:rPr>
          <w:rFonts w:cs="Segoe UI Light"/>
          <w:szCs w:val="16"/>
        </w:rPr>
        <w:t>, page 11.</w:t>
      </w:r>
    </w:p>
  </w:footnote>
  <w:footnote w:id="209">
    <w:p w14:paraId="656B2111" w14:textId="77777777" w:rsidR="00E752DE" w:rsidRPr="00436A04" w:rsidRDefault="00E752DE" w:rsidP="00914F74">
      <w:pPr>
        <w:pStyle w:val="FootnoteText"/>
        <w:rPr>
          <w:i/>
          <w:szCs w:val="16"/>
        </w:rPr>
      </w:pPr>
      <w:r w:rsidRPr="00436A04">
        <w:rPr>
          <w:rStyle w:val="FootnoteReference"/>
          <w:szCs w:val="16"/>
        </w:rPr>
        <w:footnoteRef/>
      </w:r>
      <w:r w:rsidRPr="00436A04">
        <w:rPr>
          <w:szCs w:val="16"/>
        </w:rPr>
        <w:t xml:space="preserve"> Environment Protection Authority Victoria, </w:t>
      </w:r>
      <w:r w:rsidRPr="00436A04">
        <w:rPr>
          <w:i/>
          <w:szCs w:val="16"/>
        </w:rPr>
        <w:t xml:space="preserve">Protection of the ozone layer, </w:t>
      </w:r>
      <w:hyperlink r:id="rId34" w:history="1">
        <w:r w:rsidRPr="00436A04">
          <w:rPr>
            <w:rStyle w:val="Hyperlink"/>
            <w:szCs w:val="16"/>
          </w:rPr>
          <w:t>https://www.epa.vic.gov.au/your-environment/air/protecting-victorias-air/protection-of-the-ozone-layer</w:t>
        </w:r>
      </w:hyperlink>
      <w:r w:rsidRPr="00436A04">
        <w:rPr>
          <w:i/>
          <w:szCs w:val="16"/>
        </w:rPr>
        <w:t xml:space="preserve"> </w:t>
      </w:r>
    </w:p>
  </w:footnote>
  <w:footnote w:id="210">
    <w:p w14:paraId="656B2112" w14:textId="77777777" w:rsidR="00E752DE" w:rsidRPr="00436A04" w:rsidRDefault="00E752DE" w:rsidP="00914F74">
      <w:pPr>
        <w:pStyle w:val="FootnoteText"/>
        <w:ind w:right="-1"/>
        <w:rPr>
          <w:rFonts w:cs="Segoe UI Light"/>
          <w:szCs w:val="16"/>
        </w:rPr>
      </w:pPr>
      <w:r w:rsidRPr="00436A04">
        <w:rPr>
          <w:rStyle w:val="FootnoteReference"/>
          <w:rFonts w:cs="Segoe UI Light"/>
          <w:szCs w:val="16"/>
        </w:rPr>
        <w:footnoteRef/>
      </w:r>
      <w:r w:rsidRPr="00436A04">
        <w:rPr>
          <w:rFonts w:cs="Segoe UI Light"/>
          <w:szCs w:val="16"/>
        </w:rPr>
        <w:t xml:space="preserve"> World Health Organisation (WHO), 2018, </w:t>
      </w:r>
      <w:r w:rsidRPr="00436A04">
        <w:rPr>
          <w:rFonts w:cs="Segoe UI Light"/>
          <w:i/>
          <w:szCs w:val="16"/>
        </w:rPr>
        <w:t>Ambient air pollution: Health impacts</w:t>
      </w:r>
      <w:r w:rsidRPr="00436A04">
        <w:rPr>
          <w:rFonts w:cs="Segoe UI Light"/>
          <w:szCs w:val="16"/>
        </w:rPr>
        <w:t xml:space="preserve">. Accessed September 2018 </w:t>
      </w:r>
      <w:hyperlink r:id="rId35" w:history="1">
        <w:r w:rsidRPr="00436A04">
          <w:rPr>
            <w:rStyle w:val="Hyperlink"/>
            <w:rFonts w:cs="Segoe UI Light"/>
            <w:szCs w:val="16"/>
          </w:rPr>
          <w:t>http://www.who.int/airpollution/ambient/health-impacts/en/</w:t>
        </w:r>
      </w:hyperlink>
    </w:p>
  </w:footnote>
  <w:footnote w:id="211">
    <w:p w14:paraId="656B2113" w14:textId="77777777" w:rsidR="00E752DE" w:rsidRPr="00436A04" w:rsidRDefault="00E752DE" w:rsidP="00914F74">
      <w:pPr>
        <w:pStyle w:val="FootnoteText"/>
        <w:ind w:right="-1"/>
        <w:rPr>
          <w:szCs w:val="16"/>
        </w:rPr>
      </w:pPr>
      <w:r w:rsidRPr="00436A04">
        <w:rPr>
          <w:rStyle w:val="FootnoteReference"/>
          <w:szCs w:val="16"/>
        </w:rPr>
        <w:footnoteRef/>
      </w:r>
      <w:r w:rsidRPr="00436A04">
        <w:rPr>
          <w:szCs w:val="16"/>
        </w:rPr>
        <w:t xml:space="preserve"> Zhang X., Chen X. and Zhang X., 2018, The impact of exposure to air pollution on cognitive performance, Proceedings of the National Academy of Sciences. </w:t>
      </w:r>
    </w:p>
  </w:footnote>
  <w:footnote w:id="212">
    <w:p w14:paraId="656B2114" w14:textId="77777777" w:rsidR="00E752DE" w:rsidRPr="00436A04" w:rsidRDefault="00E752DE" w:rsidP="00914F74">
      <w:pPr>
        <w:pStyle w:val="FootnoteText"/>
        <w:ind w:right="-1700"/>
        <w:rPr>
          <w:szCs w:val="16"/>
        </w:rPr>
      </w:pPr>
      <w:r w:rsidRPr="00436A04">
        <w:rPr>
          <w:rStyle w:val="FootnoteReference"/>
          <w:szCs w:val="16"/>
        </w:rPr>
        <w:footnoteRef/>
      </w:r>
      <w:r w:rsidRPr="00436A04">
        <w:rPr>
          <w:szCs w:val="16"/>
        </w:rPr>
        <w:t xml:space="preserve"> Schiffman SS. and Williams CM., 2005, Science of odor as a potential health issue, Journal of Environmental Quality, 34(1)</w:t>
      </w:r>
    </w:p>
  </w:footnote>
  <w:footnote w:id="213">
    <w:p w14:paraId="656B2115" w14:textId="77777777" w:rsidR="00E752DE" w:rsidRPr="00037AF8" w:rsidRDefault="00E752DE" w:rsidP="00F42B38">
      <w:pPr>
        <w:pStyle w:val="FootnoteText"/>
        <w:ind w:right="-1"/>
        <w:rPr>
          <w:rFonts w:cs="Segoe UI Light"/>
          <w:szCs w:val="16"/>
        </w:rPr>
      </w:pPr>
      <w:r w:rsidRPr="00037AF8">
        <w:rPr>
          <w:rStyle w:val="FootnoteReference"/>
          <w:rFonts w:cs="Segoe UI Light"/>
          <w:szCs w:val="16"/>
        </w:rPr>
        <w:footnoteRef/>
      </w:r>
      <w:r w:rsidRPr="00037AF8">
        <w:rPr>
          <w:rFonts w:cs="Segoe UI Light"/>
          <w:szCs w:val="16"/>
        </w:rPr>
        <w:t xml:space="preserve"> Morgan G, Broome R and Jalaludin B 2013, Summary for policy makers on the health risk assessment in air pollution in Australia, Prepared for the National Environment Protection Council.</w:t>
      </w:r>
    </w:p>
  </w:footnote>
  <w:footnote w:id="214">
    <w:p w14:paraId="656B2116" w14:textId="77777777" w:rsidR="00E752DE" w:rsidRPr="00037AF8" w:rsidRDefault="00E752DE" w:rsidP="00914F74">
      <w:pPr>
        <w:pStyle w:val="FootnoteText"/>
        <w:ind w:right="-1"/>
        <w:rPr>
          <w:rFonts w:cs="Segoe UI Light"/>
          <w:szCs w:val="16"/>
        </w:rPr>
      </w:pPr>
      <w:r w:rsidRPr="00037AF8">
        <w:rPr>
          <w:rStyle w:val="FootnoteReference"/>
          <w:rFonts w:cs="Segoe UI Light"/>
          <w:szCs w:val="16"/>
        </w:rPr>
        <w:footnoteRef/>
      </w:r>
      <w:r w:rsidRPr="00037AF8">
        <w:rPr>
          <w:rFonts w:cs="Segoe UI Light"/>
          <w:szCs w:val="16"/>
        </w:rPr>
        <w:t xml:space="preserve"> As cited in the EPA Inquiry Report, page 27: OECD 2014, The cost of air pollution: health impacts of road transport, Paris, page  52; Bureau of Infrastructure, Transport and Regional Economics 2010, Road deaths Australia: 2010 statistical summary, Canberra, page  2.</w:t>
      </w:r>
    </w:p>
  </w:footnote>
  <w:footnote w:id="215">
    <w:p w14:paraId="656B2117" w14:textId="77777777" w:rsidR="00E752DE" w:rsidRPr="00037AF8" w:rsidRDefault="00E752DE" w:rsidP="00223BD9">
      <w:pPr>
        <w:pStyle w:val="FootnoteText"/>
        <w:ind w:right="-1"/>
        <w:rPr>
          <w:rFonts w:cs="Segoe UI Light"/>
          <w:szCs w:val="16"/>
        </w:rPr>
      </w:pPr>
      <w:r w:rsidRPr="00037AF8">
        <w:rPr>
          <w:rStyle w:val="FootnoteReference"/>
          <w:rFonts w:cs="Segoe UI Light"/>
          <w:szCs w:val="16"/>
        </w:rPr>
        <w:footnoteRef/>
      </w:r>
      <w:r w:rsidRPr="00037AF8">
        <w:rPr>
          <w:rFonts w:cs="Segoe UI Light"/>
          <w:szCs w:val="16"/>
        </w:rPr>
        <w:t xml:space="preserve"> Australian Institute of Health and Welfare, 2016, </w:t>
      </w:r>
      <w:r w:rsidRPr="00037AF8">
        <w:rPr>
          <w:rFonts w:cs="Segoe UI Light"/>
          <w:i/>
          <w:szCs w:val="16"/>
        </w:rPr>
        <w:t>Australian Burden of Disease Study: Impact and causes of illness and death in Australia 2011</w:t>
      </w:r>
      <w:r w:rsidRPr="00037AF8">
        <w:rPr>
          <w:rFonts w:cs="Segoe UI Light"/>
          <w:szCs w:val="16"/>
        </w:rPr>
        <w:t>, page 59.</w:t>
      </w:r>
    </w:p>
  </w:footnote>
  <w:footnote w:id="216">
    <w:p w14:paraId="656B2118" w14:textId="77777777" w:rsidR="00E752DE" w:rsidRPr="00037AF8" w:rsidRDefault="00E752DE" w:rsidP="00223BD9">
      <w:pPr>
        <w:pStyle w:val="FootnoteText"/>
        <w:ind w:right="-2694"/>
        <w:rPr>
          <w:rFonts w:cs="Segoe UI Light"/>
          <w:szCs w:val="16"/>
        </w:rPr>
      </w:pPr>
      <w:r w:rsidRPr="00037AF8">
        <w:rPr>
          <w:rStyle w:val="FootnoteReference"/>
          <w:rFonts w:cs="Segoe UI Light"/>
          <w:szCs w:val="16"/>
        </w:rPr>
        <w:footnoteRef/>
      </w:r>
      <w:r w:rsidRPr="00037AF8">
        <w:rPr>
          <w:rFonts w:cs="Segoe UI Light"/>
          <w:szCs w:val="16"/>
        </w:rPr>
        <w:t xml:space="preserve"> Melbourne, Sydney, Perth and Brisbane</w:t>
      </w:r>
    </w:p>
  </w:footnote>
  <w:footnote w:id="217">
    <w:p w14:paraId="656B2119" w14:textId="77777777" w:rsidR="00E752DE" w:rsidRPr="00037AF8" w:rsidRDefault="00E752DE" w:rsidP="00223BD9">
      <w:pPr>
        <w:pStyle w:val="FootnoteText"/>
        <w:ind w:right="-1"/>
        <w:rPr>
          <w:rFonts w:cs="Segoe UI Light"/>
          <w:szCs w:val="16"/>
        </w:rPr>
      </w:pPr>
      <w:r w:rsidRPr="00037AF8">
        <w:rPr>
          <w:rStyle w:val="FootnoteReference"/>
          <w:rFonts w:cs="Segoe UI Light"/>
          <w:szCs w:val="16"/>
        </w:rPr>
        <w:footnoteRef/>
      </w:r>
      <w:r w:rsidRPr="00037AF8">
        <w:rPr>
          <w:rFonts w:cs="Segoe UI Light"/>
          <w:szCs w:val="16"/>
        </w:rPr>
        <w:t xml:space="preserve"> National Environment Protection Council, 2014, </w:t>
      </w:r>
      <w:r w:rsidRPr="00037AF8">
        <w:rPr>
          <w:rFonts w:cs="Segoe UI Light"/>
          <w:i/>
          <w:szCs w:val="16"/>
        </w:rPr>
        <w:t>Draft Variation to the National Environment protect (Ambient Air Quality) Measure: Impact Statement</w:t>
      </w:r>
      <w:r w:rsidRPr="00037AF8">
        <w:rPr>
          <w:rFonts w:cs="Segoe UI Light"/>
          <w:szCs w:val="16"/>
        </w:rPr>
        <w:t>, page 79.</w:t>
      </w:r>
    </w:p>
  </w:footnote>
  <w:footnote w:id="218">
    <w:p w14:paraId="656B211A" w14:textId="77777777" w:rsidR="00E752DE" w:rsidRPr="00037AF8" w:rsidRDefault="00E752DE" w:rsidP="00F42B38">
      <w:pPr>
        <w:pStyle w:val="FootnoteText"/>
        <w:ind w:right="-1"/>
        <w:rPr>
          <w:szCs w:val="16"/>
        </w:rPr>
      </w:pPr>
      <w:r w:rsidRPr="00037AF8">
        <w:rPr>
          <w:rStyle w:val="FootnoteReference"/>
          <w:szCs w:val="16"/>
        </w:rPr>
        <w:footnoteRef/>
      </w:r>
      <w:r w:rsidRPr="00037AF8">
        <w:rPr>
          <w:szCs w:val="16"/>
        </w:rPr>
        <w:t xml:space="preserve"> In February 2014 the Hazelwood mine fire burned for 45 days, spreading pollutants including particulate matter, carbon monoxide, sulfur dioxide and nitrogen dioxide over towns in the Latrobe Valley.</w:t>
      </w:r>
    </w:p>
  </w:footnote>
  <w:footnote w:id="219">
    <w:p w14:paraId="656B211B" w14:textId="77777777" w:rsidR="00E752DE" w:rsidRPr="00223BD9" w:rsidRDefault="00E752DE">
      <w:pPr>
        <w:pStyle w:val="FootnoteText"/>
      </w:pPr>
      <w:r>
        <w:rPr>
          <w:rStyle w:val="FootnoteReference"/>
        </w:rPr>
        <w:footnoteRef/>
      </w:r>
      <w:r>
        <w:t xml:space="preserve"> </w:t>
      </w:r>
      <w:r w:rsidRPr="00223BD9">
        <w:rPr>
          <w:i/>
        </w:rPr>
        <w:t>Hazelwood Mine Fire Inquiry Report</w:t>
      </w:r>
      <w:r>
        <w:t xml:space="preserve">, 2014. </w:t>
      </w:r>
    </w:p>
  </w:footnote>
  <w:footnote w:id="220">
    <w:p w14:paraId="656B211C" w14:textId="77777777" w:rsidR="00E752DE" w:rsidRPr="009A3655" w:rsidRDefault="00E752DE" w:rsidP="00F42B38">
      <w:pPr>
        <w:pStyle w:val="FootnoteText"/>
        <w:ind w:right="-2694"/>
        <w:rPr>
          <w:szCs w:val="16"/>
        </w:rPr>
      </w:pPr>
      <w:r w:rsidRPr="00A077E8">
        <w:rPr>
          <w:rStyle w:val="FootnoteReference"/>
          <w:sz w:val="18"/>
          <w:szCs w:val="18"/>
        </w:rPr>
        <w:footnoteRef/>
      </w:r>
      <w:r w:rsidRPr="00A077E8">
        <w:rPr>
          <w:sz w:val="18"/>
          <w:szCs w:val="18"/>
        </w:rPr>
        <w:t xml:space="preserve"> </w:t>
      </w:r>
      <w:r w:rsidRPr="00037AF8">
        <w:rPr>
          <w:szCs w:val="16"/>
        </w:rPr>
        <w:t>Hazelwood Health Study, 2018, Hazelinks Research Summary: Use of health services and medications.</w:t>
      </w:r>
    </w:p>
  </w:footnote>
  <w:footnote w:id="221">
    <w:p w14:paraId="656B211D" w14:textId="77777777" w:rsidR="00E752DE" w:rsidRPr="00037AF8" w:rsidRDefault="00E752DE" w:rsidP="00914F74">
      <w:pPr>
        <w:pStyle w:val="FootnoteText"/>
        <w:ind w:right="-1700"/>
        <w:rPr>
          <w:rFonts w:cs="Segoe UI Light"/>
          <w:szCs w:val="16"/>
        </w:rPr>
      </w:pPr>
      <w:r w:rsidRPr="00037AF8">
        <w:rPr>
          <w:rStyle w:val="FootnoteReference"/>
          <w:rFonts w:cs="Segoe UI Light"/>
          <w:szCs w:val="16"/>
        </w:rPr>
        <w:footnoteRef/>
      </w:r>
      <w:r w:rsidRPr="00037AF8">
        <w:rPr>
          <w:rFonts w:cs="Segoe UI Light"/>
          <w:szCs w:val="16"/>
        </w:rPr>
        <w:t xml:space="preserve"> The excessive richness of nutrients in a body of water leading to excess growth of plants and algae.</w:t>
      </w:r>
    </w:p>
  </w:footnote>
  <w:footnote w:id="222">
    <w:p w14:paraId="656B211E" w14:textId="77777777" w:rsidR="00E752DE" w:rsidRPr="00037AF8" w:rsidRDefault="00E752DE" w:rsidP="00914F74">
      <w:pPr>
        <w:pStyle w:val="FootnoteText"/>
        <w:ind w:right="-1700"/>
        <w:rPr>
          <w:rFonts w:cs="Segoe UI Light"/>
          <w:szCs w:val="16"/>
        </w:rPr>
      </w:pPr>
      <w:r w:rsidRPr="00037AF8">
        <w:rPr>
          <w:rStyle w:val="FootnoteReference"/>
          <w:rFonts w:cs="Segoe UI Light"/>
          <w:szCs w:val="16"/>
        </w:rPr>
        <w:footnoteRef/>
      </w:r>
      <w:r w:rsidRPr="00037AF8">
        <w:rPr>
          <w:rFonts w:cs="Segoe UI Light"/>
          <w:szCs w:val="16"/>
        </w:rPr>
        <w:t xml:space="preserve"> Environmental Protection Agency South Australia, 2017, Understanding air quality. Accessed September 2018 </w:t>
      </w:r>
      <w:hyperlink r:id="rId36" w:history="1">
        <w:r w:rsidRPr="00037AF8">
          <w:rPr>
            <w:rStyle w:val="Hyperlink"/>
            <w:rFonts w:cs="Segoe UI Light"/>
            <w:szCs w:val="16"/>
          </w:rPr>
          <w:t>https://www.epa.sa.gov.au/environmental_info/air_quality/understanding_air_quality</w:t>
        </w:r>
      </w:hyperlink>
    </w:p>
  </w:footnote>
  <w:footnote w:id="223">
    <w:p w14:paraId="656B211F" w14:textId="77777777" w:rsidR="00E752DE" w:rsidRPr="009A3655" w:rsidRDefault="00E752DE" w:rsidP="00447DA1">
      <w:pPr>
        <w:pStyle w:val="FootnoteText"/>
        <w:ind w:right="-2694"/>
        <w:rPr>
          <w:i/>
          <w:szCs w:val="16"/>
        </w:rPr>
      </w:pPr>
      <w:r w:rsidRPr="009A3655">
        <w:rPr>
          <w:rStyle w:val="FootnoteReference"/>
          <w:szCs w:val="16"/>
        </w:rPr>
        <w:footnoteRef/>
      </w:r>
      <w:r w:rsidRPr="009A3655">
        <w:rPr>
          <w:szCs w:val="16"/>
        </w:rPr>
        <w:t xml:space="preserve"> Department of Environment and Conservation NSW, </w:t>
      </w:r>
      <w:r w:rsidRPr="009A3655">
        <w:rPr>
          <w:i/>
          <w:szCs w:val="16"/>
        </w:rPr>
        <w:t>Air Pollution Economics - Health Costs of Air Pollution in the</w:t>
      </w:r>
    </w:p>
    <w:p w14:paraId="656B2120" w14:textId="77777777" w:rsidR="00E752DE" w:rsidRPr="00853F1D" w:rsidRDefault="00E752DE" w:rsidP="00447DA1">
      <w:pPr>
        <w:pStyle w:val="FootnoteText"/>
        <w:ind w:right="-2694"/>
        <w:rPr>
          <w:szCs w:val="16"/>
        </w:rPr>
      </w:pPr>
      <w:r w:rsidRPr="0030430D">
        <w:rPr>
          <w:i/>
          <w:szCs w:val="16"/>
        </w:rPr>
        <w:t>Greater Sydney Metropolitan Region</w:t>
      </w:r>
      <w:r w:rsidRPr="00853F1D">
        <w:rPr>
          <w:szCs w:val="16"/>
        </w:rPr>
        <w:t>, 2015.</w:t>
      </w:r>
    </w:p>
  </w:footnote>
  <w:footnote w:id="224">
    <w:p w14:paraId="656B2121" w14:textId="77777777" w:rsidR="00E752DE" w:rsidRPr="00F96B6A" w:rsidRDefault="00E752DE" w:rsidP="008675C9">
      <w:pPr>
        <w:pStyle w:val="FootnoteText"/>
      </w:pPr>
      <w:r>
        <w:rPr>
          <w:rStyle w:val="FootnoteReference"/>
        </w:rPr>
        <w:footnoteRef/>
      </w:r>
      <w:r>
        <w:t xml:space="preserve"> Regulatory Impact Solutions, </w:t>
      </w:r>
      <w:r>
        <w:rPr>
          <w:i/>
        </w:rPr>
        <w:t xml:space="preserve">Policy Impact assessment for the </w:t>
      </w:r>
      <w:r w:rsidRPr="00ED173F">
        <w:rPr>
          <w:i/>
        </w:rPr>
        <w:t>variation to the Waste Management Policy (</w:t>
      </w:r>
      <w:r>
        <w:rPr>
          <w:i/>
        </w:rPr>
        <w:t>S</w:t>
      </w:r>
      <w:r w:rsidRPr="00ED173F">
        <w:rPr>
          <w:i/>
        </w:rPr>
        <w:t xml:space="preserve">olid </w:t>
      </w:r>
      <w:r>
        <w:rPr>
          <w:i/>
        </w:rPr>
        <w:t>F</w:t>
      </w:r>
      <w:r w:rsidRPr="00ED173F">
        <w:rPr>
          <w:i/>
        </w:rPr>
        <w:t xml:space="preserve">uel </w:t>
      </w:r>
      <w:r>
        <w:rPr>
          <w:i/>
        </w:rPr>
        <w:t>H</w:t>
      </w:r>
      <w:r w:rsidRPr="00ED173F">
        <w:rPr>
          <w:i/>
        </w:rPr>
        <w:t>eating)</w:t>
      </w:r>
      <w:r>
        <w:rPr>
          <w:i/>
        </w:rPr>
        <w:t xml:space="preserve">, </w:t>
      </w:r>
      <w:r>
        <w:t xml:space="preserve">2017. </w:t>
      </w:r>
    </w:p>
  </w:footnote>
  <w:footnote w:id="225">
    <w:p w14:paraId="656B2122" w14:textId="77777777" w:rsidR="00E752DE" w:rsidRPr="00F6557D" w:rsidRDefault="00E752DE" w:rsidP="00201183">
      <w:pPr>
        <w:pStyle w:val="FootnoteText"/>
      </w:pPr>
      <w:r>
        <w:rPr>
          <w:rStyle w:val="FootnoteReference"/>
        </w:rPr>
        <w:footnoteRef/>
      </w:r>
      <w:r>
        <w:t xml:space="preserve"> EPA 2017 </w:t>
      </w:r>
      <w:r>
        <w:rPr>
          <w:i/>
        </w:rPr>
        <w:t>Policy Impact Assessment: Variation to the Waste Management Policy (Solid Fuel Heating)</w:t>
      </w:r>
      <w:r>
        <w:t>, pages 3-16.</w:t>
      </w:r>
    </w:p>
  </w:footnote>
  <w:footnote w:id="226">
    <w:p w14:paraId="656B2123" w14:textId="77777777" w:rsidR="00E752DE" w:rsidRDefault="00E752DE" w:rsidP="00201183">
      <w:pPr>
        <w:pStyle w:val="FootnoteText"/>
      </w:pPr>
      <w:r>
        <w:rPr>
          <w:rStyle w:val="FootnoteReference"/>
        </w:rPr>
        <w:footnoteRef/>
      </w:r>
      <w:r>
        <w:t xml:space="preserve"> EPA 2006 Air Emissions Inventory.</w:t>
      </w:r>
    </w:p>
  </w:footnote>
  <w:footnote w:id="227">
    <w:p w14:paraId="656B2124" w14:textId="77777777" w:rsidR="00E752DE" w:rsidRDefault="00E752DE" w:rsidP="006B238D">
      <w:pPr>
        <w:pStyle w:val="FootnoteText"/>
      </w:pPr>
      <w:r>
        <w:rPr>
          <w:rStyle w:val="FootnoteReference"/>
        </w:rPr>
        <w:footnoteRef/>
      </w:r>
      <w:r>
        <w:t xml:space="preserve"> Various sources including industry consultation and WMP Solid Fuel Heating PIA (2017)</w:t>
      </w:r>
    </w:p>
  </w:footnote>
  <w:footnote w:id="228">
    <w:p w14:paraId="656B2125" w14:textId="77777777" w:rsidR="00E752DE" w:rsidRPr="00F6557D" w:rsidRDefault="00E752DE" w:rsidP="0012345C">
      <w:pPr>
        <w:pStyle w:val="FootnoteText"/>
      </w:pPr>
      <w:r>
        <w:rPr>
          <w:rStyle w:val="FootnoteReference"/>
        </w:rPr>
        <w:footnoteRef/>
      </w:r>
      <w:r>
        <w:t xml:space="preserve"> EPA 2017 </w:t>
      </w:r>
      <w:r>
        <w:rPr>
          <w:i/>
        </w:rPr>
        <w:t>Policy Impact Assessment: Variation to the Waste Management Policy (Solid Fuel Heating)</w:t>
      </w:r>
      <w:r>
        <w:t>, page 32</w:t>
      </w:r>
    </w:p>
  </w:footnote>
  <w:footnote w:id="229">
    <w:p w14:paraId="656B2126" w14:textId="77777777" w:rsidR="00E752DE" w:rsidRPr="00A01727" w:rsidRDefault="00E752DE" w:rsidP="0012345C">
      <w:pPr>
        <w:pStyle w:val="FootnoteText"/>
      </w:pPr>
      <w:r>
        <w:rPr>
          <w:rStyle w:val="FootnoteReference"/>
        </w:rPr>
        <w:footnoteRef/>
      </w:r>
      <w:r>
        <w:t xml:space="preserve"> WMP Solid Fuel Heating PIA (2017) notes that industry</w:t>
      </w:r>
      <w:r w:rsidRPr="00A01727">
        <w:t xml:space="preserve"> recognise</w:t>
      </w:r>
      <w:r>
        <w:t>s</w:t>
      </w:r>
      <w:r w:rsidRPr="00A01727">
        <w:t xml:space="preserve"> that national consistency of heater standards is necessary</w:t>
      </w:r>
      <w:r>
        <w:t>. This view was also accepted during consultation with stakeholders.</w:t>
      </w:r>
    </w:p>
  </w:footnote>
  <w:footnote w:id="230">
    <w:p w14:paraId="656B2127" w14:textId="77777777" w:rsidR="00E752DE" w:rsidRDefault="00E752DE" w:rsidP="006B238D">
      <w:pPr>
        <w:pStyle w:val="FootnoteText"/>
      </w:pPr>
      <w:r>
        <w:rPr>
          <w:rStyle w:val="FootnoteReference"/>
        </w:rPr>
        <w:footnoteRef/>
      </w:r>
      <w:r>
        <w:t xml:space="preserve"> EPA 2017 </w:t>
      </w:r>
      <w:r>
        <w:rPr>
          <w:i/>
        </w:rPr>
        <w:t>Policy Impact Assessment: Variation to the Waste Management Policy (Solid Fuel Heating)</w:t>
      </w:r>
      <w:r>
        <w:t>, page 33.</w:t>
      </w:r>
    </w:p>
  </w:footnote>
  <w:footnote w:id="231">
    <w:p w14:paraId="656B2128" w14:textId="77777777" w:rsidR="00E752DE" w:rsidRDefault="00E752DE" w:rsidP="00CD0477">
      <w:pPr>
        <w:pStyle w:val="FootnoteText"/>
      </w:pPr>
      <w:r>
        <w:rPr>
          <w:rStyle w:val="FootnoteReference"/>
        </w:rPr>
        <w:footnoteRef/>
      </w:r>
      <w:r>
        <w:t xml:space="preserve"> Ibid.</w:t>
      </w:r>
    </w:p>
  </w:footnote>
  <w:footnote w:id="232">
    <w:p w14:paraId="656B2129" w14:textId="77777777" w:rsidR="00E752DE" w:rsidRPr="00F6557D" w:rsidRDefault="00E752DE" w:rsidP="00CD0477">
      <w:pPr>
        <w:pStyle w:val="FootnoteText"/>
      </w:pPr>
      <w:r>
        <w:rPr>
          <w:rStyle w:val="FootnoteReference"/>
        </w:rPr>
        <w:footnoteRef/>
      </w:r>
      <w:r>
        <w:t xml:space="preserve"> EPA 2017 </w:t>
      </w:r>
      <w:r>
        <w:rPr>
          <w:i/>
        </w:rPr>
        <w:t>Policy Impact Assessment: Variation to the Waste Management Policy (Solid Fuel Heating)</w:t>
      </w:r>
      <w:r>
        <w:t>, pages 3-16.</w:t>
      </w:r>
    </w:p>
  </w:footnote>
  <w:footnote w:id="233">
    <w:p w14:paraId="656B212A" w14:textId="77777777" w:rsidR="00E752DE" w:rsidRPr="00CD6452" w:rsidRDefault="00E752DE" w:rsidP="00F27368">
      <w:pPr>
        <w:pStyle w:val="FootnoteText"/>
        <w:rPr>
          <w:szCs w:val="16"/>
        </w:rPr>
      </w:pPr>
      <w:r w:rsidRPr="00D66FCE">
        <w:rPr>
          <w:rStyle w:val="FootnoteReference"/>
          <w:szCs w:val="16"/>
        </w:rPr>
        <w:footnoteRef/>
      </w:r>
      <w:r w:rsidRPr="00CD6452">
        <w:rPr>
          <w:szCs w:val="16"/>
        </w:rPr>
        <w:t xml:space="preserve"> Australian Government, Department of the Environment and Energy, National Pollutant Inventory, </w:t>
      </w:r>
      <w:hyperlink r:id="rId37" w:history="1">
        <w:r w:rsidRPr="00CD6452">
          <w:rPr>
            <w:rStyle w:val="Hyperlink"/>
            <w:szCs w:val="16"/>
          </w:rPr>
          <w:t>http://www.npi.gov.au/</w:t>
        </w:r>
      </w:hyperlink>
      <w:r w:rsidRPr="00CD6452">
        <w:rPr>
          <w:i/>
          <w:color w:val="2B579A"/>
          <w:szCs w:val="16"/>
          <w:shd w:val="clear" w:color="auto" w:fill="E6E6E6"/>
        </w:rPr>
        <w:t xml:space="preserve"> </w:t>
      </w:r>
      <w:r w:rsidRPr="00CD6452">
        <w:rPr>
          <w:color w:val="2B579A"/>
          <w:szCs w:val="16"/>
          <w:shd w:val="clear" w:color="auto" w:fill="E6E6E6"/>
        </w:rPr>
        <w:t xml:space="preserve"> </w:t>
      </w:r>
    </w:p>
  </w:footnote>
  <w:footnote w:id="234">
    <w:p w14:paraId="656B212B" w14:textId="77777777" w:rsidR="00E752DE" w:rsidRPr="00086D9C" w:rsidRDefault="00E752DE">
      <w:pPr>
        <w:pStyle w:val="FootnoteText"/>
        <w:rPr>
          <w:szCs w:val="16"/>
        </w:rPr>
      </w:pPr>
      <w:r w:rsidRPr="00104F07">
        <w:rPr>
          <w:rStyle w:val="FootnoteReference"/>
          <w:szCs w:val="16"/>
        </w:rPr>
        <w:footnoteRef/>
      </w:r>
      <w:r w:rsidRPr="00104F07">
        <w:rPr>
          <w:szCs w:val="16"/>
        </w:rPr>
        <w:t xml:space="preserve"> </w:t>
      </w:r>
      <w:r>
        <w:rPr>
          <w:szCs w:val="16"/>
        </w:rPr>
        <w:t>Average</w:t>
      </w:r>
      <w:r w:rsidRPr="00104F07">
        <w:rPr>
          <w:szCs w:val="16"/>
        </w:rPr>
        <w:t xml:space="preserve"> NPI reporting cost estimate from businesses who complete the online survey</w:t>
      </w:r>
      <w:r>
        <w:t xml:space="preserve"> and one-on-one consultations. Estimates varied from less than $500 to $130,000 per site. There were 20 responses collected for this question in total. </w:t>
      </w:r>
    </w:p>
  </w:footnote>
  <w:footnote w:id="235">
    <w:p w14:paraId="656B212C" w14:textId="77777777" w:rsidR="00E752DE" w:rsidRDefault="00E752DE" w:rsidP="008E5917">
      <w:pPr>
        <w:pStyle w:val="FootnoteText"/>
      </w:pPr>
      <w:r w:rsidRPr="00104F07">
        <w:rPr>
          <w:rStyle w:val="FootnoteReference"/>
          <w:szCs w:val="16"/>
        </w:rPr>
        <w:footnoteRef/>
      </w:r>
      <w:r w:rsidRPr="00104F07">
        <w:rPr>
          <w:szCs w:val="16"/>
        </w:rPr>
        <w:t xml:space="preserve"> </w:t>
      </w:r>
      <w:r>
        <w:rPr>
          <w:szCs w:val="16"/>
        </w:rPr>
        <w:t>L</w:t>
      </w:r>
      <w:r w:rsidRPr="00104F07">
        <w:rPr>
          <w:szCs w:val="16"/>
        </w:rPr>
        <w:t xml:space="preserve">arger businesses with interstate operations are likely to have multiple sites reporting </w:t>
      </w:r>
      <w:r w:rsidRPr="00086D9C">
        <w:rPr>
          <w:szCs w:val="16"/>
        </w:rPr>
        <w:t xml:space="preserve">to the NPI, and are more </w:t>
      </w:r>
      <w:r w:rsidRPr="0017350C">
        <w:rPr>
          <w:szCs w:val="16"/>
        </w:rPr>
        <w:t>likely to continue reporting to NPI under the Base Case under their general environmental due diligence and to keep consistency with operations in other states.</w:t>
      </w:r>
    </w:p>
  </w:footnote>
  <w:footnote w:id="236">
    <w:p w14:paraId="656B212D" w14:textId="77777777" w:rsidR="00E752DE" w:rsidRPr="00946E6A" w:rsidRDefault="00E752DE" w:rsidP="00E42FD0">
      <w:pPr>
        <w:pStyle w:val="FootnoteText"/>
      </w:pPr>
      <w:r>
        <w:rPr>
          <w:rStyle w:val="FootnoteReference"/>
        </w:rPr>
        <w:footnoteRef/>
      </w:r>
      <w:r>
        <w:t xml:space="preserve"> Source: Australian Government, Department of the Environment and Energy, </w:t>
      </w:r>
      <w:r>
        <w:rPr>
          <w:i/>
        </w:rPr>
        <w:t xml:space="preserve">Ozone Depleting Substances, </w:t>
      </w:r>
      <w:r>
        <w:t xml:space="preserve">available at: </w:t>
      </w:r>
      <w:hyperlink r:id="rId38" w:history="1">
        <w:r>
          <w:rPr>
            <w:rStyle w:val="Hyperlink"/>
          </w:rPr>
          <w:t>https://www.environment.gov.au/protection/ozone/ozone-science/ozone-depleting-substances</w:t>
        </w:r>
      </w:hyperlink>
    </w:p>
  </w:footnote>
  <w:footnote w:id="237">
    <w:p w14:paraId="4ED6BFE7" w14:textId="77777777" w:rsidR="00E752DE" w:rsidRPr="001C60E8" w:rsidRDefault="00E752DE" w:rsidP="009E012A">
      <w:pPr>
        <w:pStyle w:val="FootnoteText"/>
        <w:rPr>
          <w:i/>
        </w:rPr>
      </w:pPr>
      <w:r>
        <w:rPr>
          <w:rStyle w:val="FootnoteReference"/>
        </w:rPr>
        <w:footnoteRef/>
      </w:r>
      <w:r>
        <w:t xml:space="preserve"> Source: Australian Government, Department of the Environment and Energy, </w:t>
      </w:r>
      <w:r w:rsidRPr="001C60E8">
        <w:rPr>
          <w:i/>
        </w:rPr>
        <w:t>Quarantine and Pre-shipment uses of methyl bromide</w:t>
      </w:r>
    </w:p>
    <w:p w14:paraId="1F8CD72A" w14:textId="77777777" w:rsidR="00E752DE" w:rsidRPr="0073411F" w:rsidRDefault="00E752DE" w:rsidP="009E012A">
      <w:pPr>
        <w:pStyle w:val="FootnoteText"/>
      </w:pPr>
      <w:r w:rsidRPr="001C60E8">
        <w:rPr>
          <w:i/>
        </w:rPr>
        <w:t>2013-2016 and the potential for its replacement</w:t>
      </w:r>
      <w:r>
        <w:t xml:space="preserve">, available at: </w:t>
      </w:r>
      <w:hyperlink r:id="rId39" w:history="1">
        <w:r>
          <w:rPr>
            <w:rStyle w:val="Hyperlink"/>
          </w:rPr>
          <w:t>https://www.environment.gov.au/system/files/resources/92a045e5-5afa-4fcf-a1d7-2bd35d24927c/files/qps-uses-methyl-bromide-2013-2016.pdf</w:t>
        </w:r>
      </w:hyperlink>
      <w:r>
        <w:t xml:space="preserve"> </w:t>
      </w:r>
    </w:p>
  </w:footnote>
  <w:footnote w:id="238">
    <w:p w14:paraId="656B212E" w14:textId="77777777" w:rsidR="00E752DE" w:rsidRPr="003123DF" w:rsidRDefault="00E752DE">
      <w:pPr>
        <w:pStyle w:val="FootnoteText"/>
      </w:pPr>
      <w:r>
        <w:rPr>
          <w:rStyle w:val="FootnoteReference"/>
        </w:rPr>
        <w:footnoteRef/>
      </w:r>
      <w:r>
        <w:t xml:space="preserve"> Source: ABC News 2015, </w:t>
      </w:r>
      <w:r w:rsidRPr="00693108">
        <w:rPr>
          <w:i/>
        </w:rPr>
        <w:t>Pesticide banned worldwide still used to grow 70pc of Australian strawberries</w:t>
      </w:r>
      <w:r w:rsidRPr="00693108">
        <w:t xml:space="preserve">, </w:t>
      </w:r>
      <w:r>
        <w:t xml:space="preserve">30 Mar </w:t>
      </w:r>
      <w:hyperlink r:id="rId40" w:history="1">
        <w:r>
          <w:rPr>
            <w:rStyle w:val="Hyperlink"/>
          </w:rPr>
          <w:t>https://www.abc.net.au/news/2015-03-29/toxic-pesticide-used-on-australian-strawberries/6354488</w:t>
        </w:r>
      </w:hyperlink>
    </w:p>
  </w:footnote>
  <w:footnote w:id="239">
    <w:p w14:paraId="656B212F" w14:textId="77777777" w:rsidR="00E752DE" w:rsidRDefault="00E752DE" w:rsidP="00DC1C5C">
      <w:pPr>
        <w:autoSpaceDE w:val="0"/>
        <w:autoSpaceDN w:val="0"/>
        <w:adjustRightInd w:val="0"/>
        <w:spacing w:after="0" w:line="240" w:lineRule="auto"/>
        <w:rPr>
          <w:rFonts w:cs="Segoe UI Light"/>
          <w:sz w:val="16"/>
          <w:szCs w:val="16"/>
        </w:rPr>
      </w:pPr>
      <w:r>
        <w:rPr>
          <w:rStyle w:val="FootnoteReference"/>
          <w:rFonts w:cs="Segoe UI Light"/>
          <w:sz w:val="16"/>
          <w:szCs w:val="16"/>
        </w:rPr>
        <w:footnoteRef/>
      </w:r>
      <w:r>
        <w:rPr>
          <w:rFonts w:cs="Segoe UI Light"/>
          <w:sz w:val="16"/>
          <w:szCs w:val="16"/>
        </w:rPr>
        <w:t xml:space="preserve"> DELWP-EPA, </w:t>
      </w:r>
      <w:r>
        <w:rPr>
          <w:rFonts w:cs="Segoe UI Light"/>
          <w:i/>
          <w:sz w:val="16"/>
          <w:szCs w:val="16"/>
        </w:rPr>
        <w:t>Regulatory Impact Statement – Proposed Environment Protection (Scheduled Premises) Regulations 2017</w:t>
      </w:r>
      <w:r>
        <w:rPr>
          <w:rFonts w:cs="Segoe UI Light"/>
          <w:sz w:val="16"/>
          <w:szCs w:val="16"/>
        </w:rPr>
        <w:t>, page 40.</w:t>
      </w:r>
    </w:p>
  </w:footnote>
  <w:footnote w:id="240">
    <w:p w14:paraId="656B2130" w14:textId="77777777" w:rsidR="00E752DE" w:rsidRPr="00FB447E" w:rsidRDefault="00E752DE" w:rsidP="00DC1C5C">
      <w:pPr>
        <w:autoSpaceDE w:val="0"/>
        <w:autoSpaceDN w:val="0"/>
        <w:adjustRightInd w:val="0"/>
        <w:spacing w:after="0" w:line="240" w:lineRule="auto"/>
        <w:rPr>
          <w:rFonts w:ascii="Interstate-Light" w:hAnsi="Interstate-Light" w:cs="Interstate-Light"/>
          <w:sz w:val="16"/>
          <w:szCs w:val="16"/>
        </w:rPr>
      </w:pPr>
      <w:r>
        <w:rPr>
          <w:rStyle w:val="FootnoteReference"/>
          <w:sz w:val="16"/>
          <w:szCs w:val="16"/>
        </w:rPr>
        <w:footnoteRef/>
      </w:r>
      <w:r>
        <w:rPr>
          <w:sz w:val="16"/>
          <w:szCs w:val="16"/>
        </w:rPr>
        <w:t xml:space="preserve"> </w:t>
      </w:r>
      <w:r>
        <w:rPr>
          <w:rFonts w:cs="Segoe UI Light"/>
          <w:sz w:val="16"/>
          <w:szCs w:val="16"/>
        </w:rPr>
        <w:t>Turbidity is a measure of the cloudiness of water.</w:t>
      </w:r>
    </w:p>
  </w:footnote>
  <w:footnote w:id="241">
    <w:p w14:paraId="656B2131" w14:textId="77777777" w:rsidR="00E752DE" w:rsidRDefault="00E752DE" w:rsidP="00DC1C5C">
      <w:pPr>
        <w:pStyle w:val="FootnoteText"/>
        <w:rPr>
          <w:szCs w:val="16"/>
        </w:rPr>
      </w:pPr>
      <w:r>
        <w:rPr>
          <w:rStyle w:val="FootnoteReference"/>
          <w:szCs w:val="16"/>
        </w:rPr>
        <w:footnoteRef/>
      </w:r>
      <w:r>
        <w:rPr>
          <w:szCs w:val="16"/>
        </w:rPr>
        <w:t xml:space="preserve"> State of the Environment 2018 report, available at </w:t>
      </w:r>
      <w:hyperlink r:id="rId41" w:history="1">
        <w:r>
          <w:rPr>
            <w:rStyle w:val="Hyperlink"/>
            <w:szCs w:val="16"/>
          </w:rPr>
          <w:t>https://www.ces.vic.gov.au/reports/state-environment-2018/water-quality</w:t>
        </w:r>
      </w:hyperlink>
      <w:r>
        <w:rPr>
          <w:szCs w:val="16"/>
        </w:rPr>
        <w:t>, accessed April 2019.</w:t>
      </w:r>
    </w:p>
  </w:footnote>
  <w:footnote w:id="242">
    <w:p w14:paraId="656B2132" w14:textId="77777777" w:rsidR="00E752DE" w:rsidRDefault="00E752DE" w:rsidP="00DC1C5C">
      <w:pPr>
        <w:pStyle w:val="FootnoteText"/>
        <w:rPr>
          <w:szCs w:val="16"/>
        </w:rPr>
      </w:pPr>
      <w:r>
        <w:rPr>
          <w:rStyle w:val="FootnoteReference"/>
          <w:szCs w:val="16"/>
        </w:rPr>
        <w:footnoteRef/>
      </w:r>
      <w:r>
        <w:rPr>
          <w:szCs w:val="16"/>
        </w:rPr>
        <w:t xml:space="preserve"> Environmental Protection Authority Victoria, 2012</w:t>
      </w:r>
      <w:r>
        <w:rPr>
          <w:i/>
          <w:szCs w:val="16"/>
        </w:rPr>
        <w:t>, Threats to Victoria’s water environment</w:t>
      </w:r>
      <w:r>
        <w:rPr>
          <w:szCs w:val="16"/>
        </w:rPr>
        <w:t>, Accessed September 2018:</w:t>
      </w:r>
    </w:p>
  </w:footnote>
  <w:footnote w:id="243">
    <w:p w14:paraId="656B2133" w14:textId="77777777" w:rsidR="00E752DE" w:rsidRDefault="00E752DE" w:rsidP="00DC1C5C">
      <w:pPr>
        <w:pStyle w:val="FootnoteText"/>
        <w:rPr>
          <w:szCs w:val="16"/>
        </w:rPr>
      </w:pPr>
      <w:r>
        <w:rPr>
          <w:rStyle w:val="FootnoteReference"/>
          <w:szCs w:val="16"/>
        </w:rPr>
        <w:footnoteRef/>
      </w:r>
      <w:r>
        <w:rPr>
          <w:szCs w:val="16"/>
        </w:rPr>
        <w:t xml:space="preserve"> </w:t>
      </w:r>
      <w:r>
        <w:rPr>
          <w:bCs/>
          <w:szCs w:val="16"/>
        </w:rPr>
        <w:t xml:space="preserve">As defined in SEPP (Waters of Victoria) riparian </w:t>
      </w:r>
      <w:r>
        <w:rPr>
          <w:szCs w:val="16"/>
        </w:rPr>
        <w:t>means inhabiting or situated on a river or stream bank or where vegetation interacts with surface waters.</w:t>
      </w:r>
    </w:p>
  </w:footnote>
  <w:footnote w:id="244">
    <w:p w14:paraId="656B2134" w14:textId="77777777" w:rsidR="00E752DE" w:rsidRDefault="00E752DE" w:rsidP="00DC1C5C">
      <w:pPr>
        <w:pStyle w:val="FootnoteText"/>
        <w:ind w:right="-1"/>
        <w:rPr>
          <w:szCs w:val="16"/>
        </w:rPr>
      </w:pPr>
      <w:r>
        <w:rPr>
          <w:rStyle w:val="FootnoteReference"/>
          <w:szCs w:val="16"/>
        </w:rPr>
        <w:footnoteRef/>
      </w:r>
      <w:r>
        <w:rPr>
          <w:szCs w:val="16"/>
        </w:rPr>
        <w:t xml:space="preserve"> </w:t>
      </w:r>
      <w:r>
        <w:rPr>
          <w:rFonts w:cs="Segoe UI Light"/>
          <w:szCs w:val="16"/>
        </w:rPr>
        <w:t xml:space="preserve">Commissioner for Environmental Sustainability Victoria’s </w:t>
      </w:r>
      <w:r>
        <w:rPr>
          <w:rFonts w:cs="Segoe UI Light"/>
          <w:i/>
          <w:szCs w:val="16"/>
        </w:rPr>
        <w:t>Interim Victorian State of the Environment Report 2018</w:t>
      </w:r>
      <w:r>
        <w:rPr>
          <w:rFonts w:cs="Segoe UI Light"/>
          <w:szCs w:val="16"/>
        </w:rPr>
        <w:t>, page 43.</w:t>
      </w:r>
    </w:p>
  </w:footnote>
  <w:footnote w:id="245">
    <w:p w14:paraId="2176FA62" w14:textId="77777777" w:rsidR="004073A2" w:rsidRDefault="004073A2" w:rsidP="004073A2">
      <w:pPr>
        <w:pStyle w:val="FootnoteText"/>
      </w:pPr>
      <w:r>
        <w:rPr>
          <w:rStyle w:val="FootnoteReference"/>
        </w:rPr>
        <w:footnoteRef/>
      </w:r>
      <w:r>
        <w:t xml:space="preserve"> EPA is currently assessing options to revise the Urban Stormwater BPEM, with public consultation anticipated to begin in 2019. </w:t>
      </w:r>
    </w:p>
  </w:footnote>
  <w:footnote w:id="246">
    <w:p w14:paraId="656B2136" w14:textId="77777777" w:rsidR="00E752DE" w:rsidRDefault="00E752DE" w:rsidP="00DC1C5C">
      <w:pPr>
        <w:pStyle w:val="FootnoteText"/>
      </w:pPr>
      <w:r>
        <w:rPr>
          <w:rStyle w:val="FootnoteReference"/>
        </w:rPr>
        <w:footnoteRef/>
      </w:r>
      <w:r>
        <w:t xml:space="preserve"> </w:t>
      </w:r>
      <w:r>
        <w:rPr>
          <w:szCs w:val="16"/>
        </w:rPr>
        <w:t xml:space="preserve">SoE 2018 report, available at </w:t>
      </w:r>
      <w:hyperlink r:id="rId42" w:history="1">
        <w:r>
          <w:rPr>
            <w:rStyle w:val="Hyperlink"/>
            <w:szCs w:val="16"/>
          </w:rPr>
          <w:t>https://www.ces.vic.gov.au/reports/state-environment-2018/water-quality</w:t>
        </w:r>
      </w:hyperlink>
      <w:r>
        <w:rPr>
          <w:szCs w:val="16"/>
        </w:rPr>
        <w:t>, accessed April 2019.</w:t>
      </w:r>
    </w:p>
  </w:footnote>
  <w:footnote w:id="247">
    <w:p w14:paraId="656B2137" w14:textId="77777777" w:rsidR="00E752DE" w:rsidRDefault="00E752DE" w:rsidP="00DC1C5C">
      <w:pPr>
        <w:pStyle w:val="FootnoteText"/>
      </w:pPr>
      <w:r>
        <w:rPr>
          <w:rStyle w:val="FootnoteReference"/>
        </w:rPr>
        <w:footnoteRef/>
      </w:r>
      <w:r>
        <w:t xml:space="preserve"> Department of Environment and Primary Industries, </w:t>
      </w:r>
      <w:r>
        <w:rPr>
          <w:i/>
          <w:szCs w:val="16"/>
        </w:rPr>
        <w:t>Index of Stream Condition The Third Benchmark of Victorian River Condition</w:t>
      </w:r>
      <w:r>
        <w:rPr>
          <w:szCs w:val="16"/>
        </w:rPr>
        <w:t>, page 9.</w:t>
      </w:r>
    </w:p>
  </w:footnote>
  <w:footnote w:id="248">
    <w:p w14:paraId="656B2138" w14:textId="77777777" w:rsidR="00E752DE" w:rsidRDefault="00E752DE" w:rsidP="00DC1C5C">
      <w:pPr>
        <w:pStyle w:val="FootnoteText"/>
      </w:pPr>
      <w:r>
        <w:rPr>
          <w:rStyle w:val="FootnoteReference"/>
        </w:rPr>
        <w:footnoteRef/>
      </w:r>
      <w:r>
        <w:t xml:space="preserve"> </w:t>
      </w:r>
      <w:r>
        <w:rPr>
          <w:szCs w:val="16"/>
        </w:rPr>
        <w:t xml:space="preserve">SoE 2018 report, available at </w:t>
      </w:r>
      <w:hyperlink r:id="rId43" w:history="1">
        <w:r>
          <w:rPr>
            <w:rStyle w:val="Hyperlink"/>
            <w:szCs w:val="16"/>
          </w:rPr>
          <w:t>https://www.ces.vic.gov.au/reports/state-environment-2018/water-quality</w:t>
        </w:r>
      </w:hyperlink>
      <w:r>
        <w:rPr>
          <w:szCs w:val="16"/>
        </w:rPr>
        <w:t>, accessed April 2019.</w:t>
      </w:r>
    </w:p>
  </w:footnote>
  <w:footnote w:id="249">
    <w:p w14:paraId="656B2139" w14:textId="77777777" w:rsidR="00E752DE" w:rsidRPr="00FB447E" w:rsidRDefault="00E752DE" w:rsidP="00DC1C5C">
      <w:pPr>
        <w:spacing w:after="0"/>
        <w:ind w:right="-2694"/>
        <w:rPr>
          <w:rFonts w:cs="Segoe UI Light"/>
          <w:i/>
          <w:sz w:val="16"/>
          <w:szCs w:val="16"/>
        </w:rPr>
      </w:pPr>
      <w:r w:rsidRPr="00FB447E">
        <w:rPr>
          <w:rStyle w:val="FootnoteReference"/>
          <w:rFonts w:cs="Segoe UI Light"/>
          <w:sz w:val="16"/>
          <w:szCs w:val="16"/>
        </w:rPr>
        <w:footnoteRef/>
      </w:r>
      <w:r w:rsidRPr="00FB447E">
        <w:rPr>
          <w:rFonts w:cs="Segoe UI Light"/>
          <w:sz w:val="16"/>
          <w:szCs w:val="16"/>
        </w:rPr>
        <w:t xml:space="preserve"> </w:t>
      </w:r>
      <w:r w:rsidRPr="00FB447E">
        <w:rPr>
          <w:rFonts w:cs="Segoe UI Light"/>
          <w:i/>
          <w:sz w:val="16"/>
          <w:szCs w:val="16"/>
        </w:rPr>
        <w:t>BMT WBM EPA Site Inspections 2009 Thomastown &amp; Coburg, Parsons Brickerhoff 2008, Campbellfield Industrial Estate Site</w:t>
      </w:r>
    </w:p>
    <w:p w14:paraId="656B213A" w14:textId="77777777" w:rsidR="00E752DE" w:rsidRPr="00037AF8" w:rsidRDefault="00E752DE" w:rsidP="00DC1C5C">
      <w:pPr>
        <w:ind w:right="-2694"/>
        <w:rPr>
          <w:rFonts w:asciiTheme="minorHAnsi" w:hAnsiTheme="minorHAnsi" w:cstheme="minorHAnsi"/>
          <w:sz w:val="16"/>
          <w:szCs w:val="16"/>
        </w:rPr>
      </w:pPr>
      <w:r w:rsidRPr="00FB447E">
        <w:rPr>
          <w:rFonts w:cs="Segoe UI Light"/>
          <w:i/>
          <w:sz w:val="16"/>
          <w:szCs w:val="16"/>
        </w:rPr>
        <w:t xml:space="preserve"> Inspections of Industrial/Commercial Premises</w:t>
      </w:r>
      <w:r>
        <w:rPr>
          <w:rFonts w:cs="Segoe UI Light"/>
          <w:sz w:val="16"/>
          <w:szCs w:val="16"/>
        </w:rPr>
        <w:t>.</w:t>
      </w:r>
    </w:p>
  </w:footnote>
  <w:footnote w:id="250">
    <w:p w14:paraId="656B213C" w14:textId="77777777" w:rsidR="00E752DE" w:rsidRPr="00FB447E" w:rsidRDefault="00E752DE" w:rsidP="00DC1C5C">
      <w:pPr>
        <w:pStyle w:val="FootnoteText"/>
        <w:ind w:right="-1"/>
        <w:rPr>
          <w:rFonts w:cs="Segoe UI Light"/>
          <w:szCs w:val="16"/>
        </w:rPr>
      </w:pPr>
      <w:r w:rsidRPr="00FB447E">
        <w:rPr>
          <w:rStyle w:val="FootnoteReference"/>
          <w:rFonts w:cs="Segoe UI Light"/>
          <w:szCs w:val="16"/>
        </w:rPr>
        <w:footnoteRef/>
      </w:r>
      <w:r w:rsidRPr="00FB447E">
        <w:rPr>
          <w:rFonts w:cs="Segoe UI Light"/>
          <w:szCs w:val="16"/>
        </w:rPr>
        <w:t xml:space="preserve"> DELWP 2016 Draft Port Phillip Bay Environmental Management Plan 2017-2027. Sources of pollutants: Hart, B.T., Francey, M. and White, K. (2016). Discussion Paper on Load Targets for the Port Phillip Bay Environmental Management Plan, Report by Water Science and Alluvium for Melbourne Water.</w:t>
      </w:r>
    </w:p>
  </w:footnote>
  <w:footnote w:id="251">
    <w:p w14:paraId="656B213D" w14:textId="77777777" w:rsidR="00E752DE" w:rsidRPr="00FB447E" w:rsidRDefault="00E752DE" w:rsidP="00DC1C5C">
      <w:pPr>
        <w:pStyle w:val="FootnoteText"/>
        <w:ind w:right="-2694"/>
        <w:rPr>
          <w:rFonts w:cs="Segoe UI Light"/>
          <w:szCs w:val="16"/>
        </w:rPr>
      </w:pPr>
      <w:r w:rsidRPr="00FB447E">
        <w:rPr>
          <w:rStyle w:val="FootnoteReference"/>
          <w:rFonts w:cs="Segoe UI Light"/>
          <w:szCs w:val="16"/>
        </w:rPr>
        <w:footnoteRef/>
      </w:r>
      <w:r w:rsidRPr="00FB447E">
        <w:rPr>
          <w:rFonts w:cs="Segoe UI Light"/>
          <w:szCs w:val="16"/>
        </w:rPr>
        <w:t xml:space="preserve"> Commissioner for Environmental Sustainability Victoria, 2013, State of the Environment Report,</w:t>
      </w:r>
      <w:r>
        <w:rPr>
          <w:rFonts w:cs="Segoe UI Light"/>
          <w:szCs w:val="16"/>
        </w:rPr>
        <w:t xml:space="preserve"> page </w:t>
      </w:r>
      <w:r w:rsidRPr="00FB447E">
        <w:rPr>
          <w:rFonts w:cs="Segoe UI Light"/>
          <w:szCs w:val="16"/>
        </w:rPr>
        <w:t>125 – 163.</w:t>
      </w:r>
    </w:p>
  </w:footnote>
  <w:footnote w:id="252">
    <w:p w14:paraId="656B213E" w14:textId="77777777" w:rsidR="00E752DE" w:rsidRDefault="00E752DE" w:rsidP="00DC1C5C">
      <w:pPr>
        <w:pStyle w:val="FootnoteText"/>
        <w:rPr>
          <w:rFonts w:cs="Segoe UI Light"/>
        </w:rPr>
      </w:pPr>
      <w:r>
        <w:rPr>
          <w:rStyle w:val="FootnoteReference"/>
          <w:rFonts w:cs="Segoe UI Light"/>
        </w:rPr>
        <w:footnoteRef/>
      </w:r>
      <w:r>
        <w:rPr>
          <w:rFonts w:cs="Segoe UI Light"/>
        </w:rPr>
        <w:t xml:space="preserve"> </w:t>
      </w:r>
      <w:r>
        <w:rPr>
          <w:rFonts w:cs="Segoe UI Light"/>
          <w:color w:val="000000"/>
        </w:rPr>
        <w:t xml:space="preserve">Enterococci is a group of bacteria found inside warm-blooded animals. Enterococci is recognised as the best indicator in measuring faecal contamination of marine recreational waters (source: </w:t>
      </w:r>
      <w:hyperlink r:id="rId44" w:history="1">
        <w:r>
          <w:rPr>
            <w:rStyle w:val="Hyperlink"/>
          </w:rPr>
          <w:t>https://yarraandbay.vic.gov.au/beach-report</w:t>
        </w:r>
      </w:hyperlink>
      <w:r>
        <w:rPr>
          <w:rFonts w:cs="Segoe UI Light"/>
          <w:color w:val="000000"/>
        </w:rPr>
        <w:t>, accessed April 2019)</w:t>
      </w:r>
    </w:p>
  </w:footnote>
  <w:footnote w:id="253">
    <w:p w14:paraId="656B213F" w14:textId="77777777" w:rsidR="00E752DE" w:rsidRDefault="00E752DE" w:rsidP="00DC1C5C">
      <w:pPr>
        <w:pStyle w:val="FootnoteText"/>
      </w:pPr>
      <w:r>
        <w:rPr>
          <w:rStyle w:val="FootnoteReference"/>
        </w:rPr>
        <w:footnoteRef/>
      </w:r>
      <w:r>
        <w:t xml:space="preserve"> </w:t>
      </w:r>
      <w:r>
        <w:rPr>
          <w:szCs w:val="16"/>
        </w:rPr>
        <w:t xml:space="preserve">State of the Environment 2018 report, available at </w:t>
      </w:r>
      <w:hyperlink r:id="rId45" w:history="1">
        <w:r>
          <w:rPr>
            <w:rStyle w:val="Hyperlink"/>
            <w:szCs w:val="16"/>
          </w:rPr>
          <w:t>https://www.ces.vic.gov.au/reports/state-environment-2018/water-quality</w:t>
        </w:r>
      </w:hyperlink>
      <w:r>
        <w:rPr>
          <w:szCs w:val="16"/>
        </w:rPr>
        <w:t>, accessed April 2019.</w:t>
      </w:r>
    </w:p>
  </w:footnote>
  <w:footnote w:id="254">
    <w:p w14:paraId="656B2140" w14:textId="77777777" w:rsidR="00E752DE" w:rsidRDefault="00E752DE" w:rsidP="00DC1C5C">
      <w:pPr>
        <w:pStyle w:val="FootnoteText"/>
        <w:ind w:right="-2694"/>
      </w:pPr>
      <w:r>
        <w:rPr>
          <w:rStyle w:val="FootnoteReference"/>
        </w:rPr>
        <w:footnoteRef/>
      </w:r>
      <w:r>
        <w:t xml:space="preserve"> National Environmental Protection Council (NEPC), 1999, Assessment of Site Contamination – Impact Statement, page 29. </w:t>
      </w:r>
    </w:p>
  </w:footnote>
  <w:footnote w:id="255">
    <w:p w14:paraId="656B2141" w14:textId="77777777" w:rsidR="00E752DE" w:rsidRDefault="00E752DE" w:rsidP="00DC1C5C">
      <w:pPr>
        <w:pStyle w:val="FootnoteText"/>
        <w:rPr>
          <w:rFonts w:cs="Segoe UI Light"/>
          <w:szCs w:val="16"/>
        </w:rPr>
      </w:pPr>
      <w:r>
        <w:rPr>
          <w:rStyle w:val="FootnoteReference"/>
          <w:rFonts w:cs="Segoe UI Light"/>
          <w:szCs w:val="16"/>
        </w:rPr>
        <w:footnoteRef/>
      </w:r>
      <w:r>
        <w:rPr>
          <w:rFonts w:cs="Segoe UI Light"/>
          <w:szCs w:val="16"/>
        </w:rPr>
        <w:t xml:space="preserve"> DELWP-EPA, </w:t>
      </w:r>
      <w:r>
        <w:rPr>
          <w:rFonts w:cs="Segoe UI Light"/>
          <w:i/>
          <w:szCs w:val="16"/>
        </w:rPr>
        <w:t>Regulatory Impact Statement – Proposed Environment Protection (Scheduled Premises) Regulations 2017</w:t>
      </w:r>
      <w:r>
        <w:rPr>
          <w:rFonts w:cs="Segoe UI Light"/>
          <w:szCs w:val="16"/>
        </w:rPr>
        <w:t>, page 40.</w:t>
      </w:r>
    </w:p>
  </w:footnote>
  <w:footnote w:id="256">
    <w:p w14:paraId="656B2142" w14:textId="77777777" w:rsidR="00E752DE" w:rsidRDefault="00E752DE" w:rsidP="00DC1C5C">
      <w:pPr>
        <w:pStyle w:val="FootnoteText"/>
        <w:ind w:right="-2694"/>
        <w:rPr>
          <w:rFonts w:cs="Segoe UI Light"/>
          <w:szCs w:val="16"/>
        </w:rPr>
      </w:pPr>
      <w:r>
        <w:rPr>
          <w:rStyle w:val="FootnoteReference"/>
          <w:rFonts w:cs="Segoe UI Light"/>
          <w:szCs w:val="16"/>
        </w:rPr>
        <w:footnoteRef/>
      </w:r>
      <w:r>
        <w:rPr>
          <w:rFonts w:cs="Segoe UI Light"/>
          <w:szCs w:val="16"/>
        </w:rPr>
        <w:t xml:space="preserve"> Commissioner for Environmental Sustainability, Interim Victorian State of the Environment Report 2018.</w:t>
      </w:r>
    </w:p>
  </w:footnote>
  <w:footnote w:id="257">
    <w:p w14:paraId="656B2143" w14:textId="77777777" w:rsidR="00E752DE" w:rsidRDefault="00E752DE" w:rsidP="00780FA9">
      <w:pPr>
        <w:pStyle w:val="FootnoteText"/>
      </w:pPr>
      <w:r>
        <w:rPr>
          <w:rStyle w:val="FootnoteReference"/>
        </w:rPr>
        <w:footnoteRef/>
      </w:r>
      <w:r>
        <w:t xml:space="preserve"> Discharge is allowed if </w:t>
      </w:r>
      <w:r w:rsidRPr="000D0764">
        <w:t xml:space="preserve">(1) a greywater discharge compliant with the </w:t>
      </w:r>
      <w:r w:rsidRPr="000D0764">
        <w:rPr>
          <w:i/>
        </w:rPr>
        <w:t>Water (Lake Eildon Recreation Area)(Houseboat) Regulations 2013</w:t>
      </w:r>
      <w:r w:rsidRPr="00791DC5">
        <w:t xml:space="preserve"> or</w:t>
      </w:r>
      <w:r w:rsidRPr="000D0764">
        <w:t xml:space="preserve"> </w:t>
      </w:r>
      <w:r>
        <w:t xml:space="preserve">(2) </w:t>
      </w:r>
      <w:r w:rsidRPr="000D0764">
        <w:t>part of a process of managing aquatic pests on the vessel and the person has minimised, so far as is reasonably practicable, the risks to human health and the environment posed by the waste, including by ensuring that the aquatic pests and any anti-fouling paint is contained and subsequently transferred to a place or premises that is authorised to receive that type of waste.</w:t>
      </w:r>
    </w:p>
  </w:footnote>
  <w:footnote w:id="258">
    <w:p w14:paraId="656B2144" w14:textId="77777777" w:rsidR="00E752DE" w:rsidRDefault="00E752DE" w:rsidP="005B6B34">
      <w:pPr>
        <w:pStyle w:val="FootnoteText"/>
      </w:pPr>
      <w:r>
        <w:rPr>
          <w:rStyle w:val="FootnoteReference"/>
        </w:rPr>
        <w:footnoteRef/>
      </w:r>
      <w:r>
        <w:t xml:space="preserve"> EPA, </w:t>
      </w:r>
      <w:r>
        <w:rPr>
          <w:i/>
        </w:rPr>
        <w:t>Regulatory Impact Statement: proposed Environment Protection (Residential Noise) Regulations 2018</w:t>
      </w:r>
      <w:r>
        <w:t xml:space="preserve"> (2018), page 13. </w:t>
      </w:r>
    </w:p>
  </w:footnote>
  <w:footnote w:id="259">
    <w:p w14:paraId="656B2145" w14:textId="77777777" w:rsidR="00E752DE" w:rsidRDefault="00E752DE" w:rsidP="00710F8E">
      <w:pPr>
        <w:pStyle w:val="FootnoteText"/>
      </w:pPr>
      <w:r>
        <w:rPr>
          <w:rStyle w:val="FootnoteReference"/>
        </w:rPr>
        <w:footnoteRef/>
      </w:r>
      <w:r>
        <w:t xml:space="preserve"> Community response to noise survey 2007, (2007). Page 13</w:t>
      </w:r>
    </w:p>
  </w:footnote>
  <w:footnote w:id="260">
    <w:p w14:paraId="656B2146" w14:textId="77777777" w:rsidR="00E752DE" w:rsidRDefault="00E752DE" w:rsidP="005B6B34">
      <w:pPr>
        <w:pStyle w:val="FootnoteText"/>
      </w:pPr>
      <w:r>
        <w:rPr>
          <w:rStyle w:val="FootnoteReference"/>
        </w:rPr>
        <w:footnoteRef/>
      </w:r>
      <w:r>
        <w:t xml:space="preserve"> EPA, </w:t>
      </w:r>
      <w:r>
        <w:rPr>
          <w:i/>
        </w:rPr>
        <w:t>Regulatory Impact Statement: proposed Environment Protection (Residential Noise) Regulations 2018</w:t>
      </w:r>
      <w:r>
        <w:t xml:space="preserve"> (2018), page 13. </w:t>
      </w:r>
    </w:p>
  </w:footnote>
  <w:footnote w:id="261">
    <w:p w14:paraId="656B2147" w14:textId="77777777" w:rsidR="00E752DE" w:rsidRDefault="00E752DE" w:rsidP="005B6B34">
      <w:pPr>
        <w:pStyle w:val="FootnoteText"/>
        <w:rPr>
          <w:rFonts w:cs="Arial"/>
          <w:szCs w:val="16"/>
        </w:rPr>
      </w:pPr>
      <w:r>
        <w:rPr>
          <w:rStyle w:val="FootnoteReference"/>
          <w:rFonts w:cs="Arial"/>
          <w:szCs w:val="16"/>
        </w:rPr>
        <w:footnoteRef/>
      </w:r>
      <w:r>
        <w:rPr>
          <w:rFonts w:cs="Arial"/>
          <w:szCs w:val="16"/>
        </w:rPr>
        <w:t xml:space="preserve"> Strahan Research, </w:t>
      </w:r>
      <w:r>
        <w:rPr>
          <w:rFonts w:cs="Arial"/>
          <w:i/>
          <w:szCs w:val="16"/>
        </w:rPr>
        <w:t>Report to EPA Victoria on Community Response to Environmental Noise</w:t>
      </w:r>
      <w:r>
        <w:rPr>
          <w:rFonts w:cs="Arial"/>
          <w:szCs w:val="16"/>
        </w:rPr>
        <w:t xml:space="preserve"> (2007).</w:t>
      </w:r>
    </w:p>
  </w:footnote>
  <w:footnote w:id="262">
    <w:p w14:paraId="656B2148" w14:textId="77777777" w:rsidR="00E752DE" w:rsidRDefault="00E752DE" w:rsidP="005B6B34">
      <w:pPr>
        <w:pStyle w:val="FootnoteText"/>
      </w:pPr>
      <w:r>
        <w:rPr>
          <w:rStyle w:val="FootnoteReference"/>
        </w:rPr>
        <w:footnoteRef/>
      </w:r>
      <w:r>
        <w:t xml:space="preserve"> EPA, </w:t>
      </w:r>
      <w:r>
        <w:rPr>
          <w:i/>
        </w:rPr>
        <w:t>#06 Pollution Reports</w:t>
      </w:r>
      <w:r>
        <w:t xml:space="preserve"> (2018).</w:t>
      </w:r>
    </w:p>
  </w:footnote>
  <w:footnote w:id="263">
    <w:p w14:paraId="656B2149" w14:textId="77777777" w:rsidR="00E752DE" w:rsidRDefault="00E752DE" w:rsidP="005B6B34">
      <w:pPr>
        <w:pStyle w:val="FootnoteText"/>
        <w:ind w:right="-2694"/>
      </w:pPr>
      <w:r>
        <w:rPr>
          <w:rStyle w:val="FootnoteReference"/>
        </w:rPr>
        <w:footnoteRef/>
      </w:r>
      <w:r>
        <w:t xml:space="preserve"> EPA complaints data.</w:t>
      </w:r>
    </w:p>
  </w:footnote>
  <w:footnote w:id="264">
    <w:p w14:paraId="656B214A" w14:textId="77777777" w:rsidR="00E752DE" w:rsidRDefault="00E752DE" w:rsidP="005B6B34">
      <w:pPr>
        <w:pStyle w:val="FootnoteText"/>
      </w:pPr>
      <w:r>
        <w:rPr>
          <w:rStyle w:val="FootnoteReference"/>
        </w:rPr>
        <w:footnoteRef/>
      </w:r>
      <w:r>
        <w:t xml:space="preserve"> EPA, </w:t>
      </w:r>
      <w:r>
        <w:rPr>
          <w:i/>
        </w:rPr>
        <w:t>Annual Report 2017-18</w:t>
      </w:r>
      <w:r>
        <w:t xml:space="preserve"> (2018), page 29.</w:t>
      </w:r>
    </w:p>
  </w:footnote>
  <w:footnote w:id="265">
    <w:p w14:paraId="656B214B" w14:textId="7F96B503" w:rsidR="00E752DE" w:rsidRDefault="00E752DE" w:rsidP="005B6B34">
      <w:pPr>
        <w:pStyle w:val="FootnoteText"/>
      </w:pPr>
      <w:r>
        <w:rPr>
          <w:rStyle w:val="FootnoteReference"/>
        </w:rPr>
        <w:footnoteRef/>
      </w:r>
      <w:r>
        <w:t xml:space="preserve"> EPA, </w:t>
      </w:r>
      <w:r>
        <w:rPr>
          <w:i/>
        </w:rPr>
        <w:t>Regulatory Impact Statement: proposed Environment Protection (Residential Noise) Regulations 2018</w:t>
      </w:r>
      <w:r>
        <w:t xml:space="preserve"> (2018), page 26. </w:t>
      </w:r>
    </w:p>
  </w:footnote>
  <w:footnote w:id="266">
    <w:p w14:paraId="656B214C" w14:textId="77777777" w:rsidR="00E752DE" w:rsidRDefault="00E752DE" w:rsidP="005B6B34">
      <w:pPr>
        <w:pStyle w:val="FootnoteText"/>
      </w:pPr>
      <w:r>
        <w:rPr>
          <w:rStyle w:val="FootnoteReference"/>
        </w:rPr>
        <w:footnoteRef/>
      </w:r>
      <w:r>
        <w:t xml:space="preserve"> EPA, </w:t>
      </w:r>
      <w:r>
        <w:rPr>
          <w:i/>
        </w:rPr>
        <w:t xml:space="preserve">Regulatory Impact Statement: proposed Environment Protection (Residential Noise) Regulations 2018 </w:t>
      </w:r>
      <w:r>
        <w:t>(2018).</w:t>
      </w:r>
    </w:p>
  </w:footnote>
  <w:footnote w:id="267">
    <w:p w14:paraId="656B214D" w14:textId="77777777" w:rsidR="00E752DE" w:rsidRDefault="00E752DE" w:rsidP="005B6B34">
      <w:pPr>
        <w:pStyle w:val="FootnoteText"/>
      </w:pPr>
      <w:r>
        <w:rPr>
          <w:rStyle w:val="FootnoteReference"/>
        </w:rPr>
        <w:footnoteRef/>
      </w:r>
      <w:r>
        <w:t xml:space="preserve"> Resonate acoustics et al., </w:t>
      </w:r>
      <w:r>
        <w:rPr>
          <w:i/>
        </w:rPr>
        <w:t xml:space="preserve">SEPP N-1 and SEPP N-2 Impact Analysis Project 2: Impact on the Community and Joint Regulators </w:t>
      </w:r>
      <w:r>
        <w:t>(2016), page iii.</w:t>
      </w:r>
    </w:p>
  </w:footnote>
  <w:footnote w:id="268">
    <w:p w14:paraId="656B214E" w14:textId="77777777" w:rsidR="00E752DE" w:rsidRDefault="00E752DE" w:rsidP="005B6B34">
      <w:pPr>
        <w:pStyle w:val="FootnoteText"/>
      </w:pPr>
      <w:r>
        <w:rPr>
          <w:rStyle w:val="FootnoteReference"/>
        </w:rPr>
        <w:footnoteRef/>
      </w:r>
      <w:r>
        <w:t xml:space="preserve"> EPA, </w:t>
      </w:r>
      <w:r>
        <w:rPr>
          <w:i/>
        </w:rPr>
        <w:t>#06 Pollution Reports</w:t>
      </w:r>
      <w:r>
        <w:t xml:space="preserve"> (2018).</w:t>
      </w:r>
    </w:p>
  </w:footnote>
  <w:footnote w:id="269">
    <w:p w14:paraId="656B214F" w14:textId="77777777" w:rsidR="00E752DE" w:rsidRDefault="00E752DE" w:rsidP="005B6B34">
      <w:pPr>
        <w:pStyle w:val="FootnoteText"/>
      </w:pPr>
      <w:r>
        <w:rPr>
          <w:rStyle w:val="FootnoteReference"/>
        </w:rPr>
        <w:footnoteRef/>
      </w:r>
      <w:r>
        <w:t xml:space="preserve"> Resonate acoustics et al., </w:t>
      </w:r>
      <w:r>
        <w:rPr>
          <w:i/>
        </w:rPr>
        <w:t xml:space="preserve">SEPP N-1 and SEPP N-2 Impact Analysis Project 2: Impact on the Community and Joint Regulators </w:t>
      </w:r>
      <w:r>
        <w:t>(2016), page ii.</w:t>
      </w:r>
    </w:p>
  </w:footnote>
  <w:footnote w:id="270">
    <w:p w14:paraId="656B2150" w14:textId="77777777" w:rsidR="00E752DE" w:rsidRDefault="00E752DE" w:rsidP="005B6B34">
      <w:pPr>
        <w:pStyle w:val="FootnoteText"/>
      </w:pPr>
      <w:r>
        <w:rPr>
          <w:rStyle w:val="FootnoteReference"/>
        </w:rPr>
        <w:footnoteRef/>
      </w:r>
      <w:r>
        <w:t xml:space="preserve"> Ibid, page iii.</w:t>
      </w:r>
    </w:p>
  </w:footnote>
  <w:footnote w:id="271">
    <w:p w14:paraId="656B2151" w14:textId="77777777" w:rsidR="00E752DE" w:rsidRDefault="00E752DE" w:rsidP="005B6B34">
      <w:pPr>
        <w:pStyle w:val="FootnoteText"/>
      </w:pPr>
      <w:r>
        <w:rPr>
          <w:rStyle w:val="FootnoteReference"/>
        </w:rPr>
        <w:footnoteRef/>
      </w:r>
      <w:r>
        <w:t xml:space="preserve"> Resonate acoustics et al., </w:t>
      </w:r>
      <w:r>
        <w:rPr>
          <w:i/>
        </w:rPr>
        <w:t>SEPP N-1 and SEPP N-2 Impact Analysis Project 1: Impact on Business</w:t>
      </w:r>
      <w:r>
        <w:t xml:space="preserve"> (2016), page iii, page 19.</w:t>
      </w:r>
    </w:p>
  </w:footnote>
  <w:footnote w:id="272">
    <w:p w14:paraId="656B2152" w14:textId="77777777" w:rsidR="00E752DE" w:rsidRDefault="00E752DE" w:rsidP="005B6B34">
      <w:pPr>
        <w:pStyle w:val="FootnoteText"/>
      </w:pPr>
      <w:r>
        <w:rPr>
          <w:rStyle w:val="FootnoteReference"/>
        </w:rPr>
        <w:footnoteRef/>
      </w:r>
      <w:r>
        <w:t xml:space="preserve"> EPA, </w:t>
      </w:r>
      <w:r>
        <w:rPr>
          <w:i/>
        </w:rPr>
        <w:t>Cost Benefit Analysis on Policy Options for Noise Regulations</w:t>
      </w:r>
      <w:r>
        <w:t xml:space="preserve"> (2018), page 4. </w:t>
      </w:r>
    </w:p>
  </w:footnote>
  <w:footnote w:id="273">
    <w:p w14:paraId="656B2153" w14:textId="77777777" w:rsidR="00E752DE" w:rsidRDefault="00E752DE" w:rsidP="005B6B34">
      <w:pPr>
        <w:pStyle w:val="FootnoteText"/>
      </w:pPr>
      <w:r>
        <w:rPr>
          <w:rStyle w:val="FootnoteReference"/>
        </w:rPr>
        <w:footnoteRef/>
      </w:r>
      <w:r>
        <w:t xml:space="preserve"> WHO, </w:t>
      </w:r>
      <w:r>
        <w:rPr>
          <w:rFonts w:cs="Arial"/>
          <w:i/>
          <w:lang w:eastAsia="ja-JP"/>
        </w:rPr>
        <w:t>Burden of disease from environmental noise - Quantification of healthy life years lost in Europe</w:t>
      </w:r>
      <w:r>
        <w:rPr>
          <w:rFonts w:cs="Arial"/>
          <w:lang w:eastAsia="ja-JP"/>
        </w:rPr>
        <w:t xml:space="preserve"> (2011), page xvii.</w:t>
      </w:r>
    </w:p>
  </w:footnote>
  <w:footnote w:id="274">
    <w:p w14:paraId="656B2154" w14:textId="77777777" w:rsidR="00E752DE" w:rsidRDefault="00E752DE" w:rsidP="005B6B34">
      <w:pPr>
        <w:pStyle w:val="FootnoteText"/>
        <w:ind w:right="-2694"/>
      </w:pPr>
      <w:r>
        <w:rPr>
          <w:rStyle w:val="FootnoteReference"/>
        </w:rPr>
        <w:footnoteRef/>
      </w:r>
      <w:r w:rsidRPr="002D3C05">
        <w:t xml:space="preserve"> 11 Beutel, M.E. et. al., </w:t>
      </w:r>
      <w:r w:rsidRPr="0059263B">
        <w:rPr>
          <w:i/>
        </w:rPr>
        <w:t>Noise Annoyance Is Associated with Depression and Anxiety in the General Population – The Contribution of Aircraft Noise</w:t>
      </w:r>
      <w:r>
        <w:t xml:space="preserve"> (2016). PLoS ONE, 11(5). Available from: </w:t>
      </w:r>
    </w:p>
    <w:p w14:paraId="656B2155" w14:textId="77777777" w:rsidR="00E752DE" w:rsidRDefault="00E752DE" w:rsidP="005B6B34">
      <w:pPr>
        <w:pStyle w:val="FootnoteText"/>
        <w:ind w:right="-2694"/>
      </w:pPr>
      <w:r>
        <w:t>http://ec.europa.eu/environment/integration/research/newsalert/pdf/does_environmental_noise_lead_depression_anxiety_465na2_en.pdf</w:t>
      </w:r>
    </w:p>
  </w:footnote>
  <w:footnote w:id="275">
    <w:p w14:paraId="656B2156" w14:textId="77777777" w:rsidR="00E752DE" w:rsidRDefault="00E752DE" w:rsidP="005B6B34">
      <w:pPr>
        <w:pStyle w:val="FootnoteText"/>
        <w:ind w:right="-2694"/>
      </w:pPr>
      <w:r>
        <w:rPr>
          <w:rStyle w:val="FootnoteReference"/>
        </w:rPr>
        <w:footnoteRef/>
      </w:r>
      <w:r>
        <w:t xml:space="preserve"> WHO, ‘</w:t>
      </w:r>
      <w:r>
        <w:rPr>
          <w:rFonts w:cs="Arial"/>
          <w:i/>
          <w:lang w:eastAsia="ja-JP"/>
        </w:rPr>
        <w:t>Burden of disease from environmental noise - Quantification of healthy life years lost in Europe</w:t>
      </w:r>
      <w:r>
        <w:rPr>
          <w:rFonts w:cs="Arial"/>
          <w:lang w:eastAsia="ja-JP"/>
        </w:rPr>
        <w:t>’, 2011</w:t>
      </w:r>
    </w:p>
  </w:footnote>
  <w:footnote w:id="276">
    <w:p w14:paraId="656B2157" w14:textId="77777777" w:rsidR="00E752DE" w:rsidRPr="00FB447E" w:rsidRDefault="00E752DE" w:rsidP="005B6B34">
      <w:pPr>
        <w:autoSpaceDE w:val="0"/>
        <w:autoSpaceDN w:val="0"/>
        <w:adjustRightInd w:val="0"/>
        <w:spacing w:after="0" w:line="240" w:lineRule="auto"/>
        <w:rPr>
          <w:rFonts w:cs="Arial"/>
          <w:sz w:val="16"/>
          <w:szCs w:val="16"/>
          <w:lang w:eastAsia="ja-JP"/>
        </w:rPr>
      </w:pPr>
      <w:r w:rsidRPr="00FB447E">
        <w:rPr>
          <w:rStyle w:val="FootnoteReference"/>
          <w:sz w:val="16"/>
          <w:szCs w:val="16"/>
        </w:rPr>
        <w:footnoteRef/>
      </w:r>
      <w:r w:rsidRPr="00FB447E">
        <w:rPr>
          <w:sz w:val="16"/>
          <w:szCs w:val="16"/>
        </w:rPr>
        <w:t xml:space="preserve"> </w:t>
      </w:r>
      <w:r>
        <w:rPr>
          <w:rFonts w:cs="Arial"/>
          <w:i/>
          <w:sz w:val="16"/>
          <w:szCs w:val="20"/>
          <w:lang w:eastAsia="ja-JP"/>
        </w:rPr>
        <w:t>Environmental Burden of Disease in Europe: Assessing Nine Risk Factors in Six Countries</w:t>
      </w:r>
      <w:r>
        <w:rPr>
          <w:rFonts w:cs="Arial"/>
          <w:sz w:val="16"/>
          <w:szCs w:val="20"/>
          <w:lang w:eastAsia="ja-JP"/>
        </w:rPr>
        <w:t xml:space="preserve">, published in </w:t>
      </w:r>
      <w:r>
        <w:rPr>
          <w:rFonts w:cs="Arial"/>
          <w:i/>
          <w:sz w:val="16"/>
          <w:szCs w:val="20"/>
          <w:lang w:eastAsia="ja-JP"/>
        </w:rPr>
        <w:t>Environmental Health Perspectives</w:t>
      </w:r>
      <w:r>
        <w:rPr>
          <w:rFonts w:cs="Arial"/>
          <w:sz w:val="16"/>
          <w:szCs w:val="20"/>
          <w:lang w:eastAsia="ja-JP"/>
        </w:rPr>
        <w:t xml:space="preserve"> volume 122 | number 5 | May 2014. Findings also available at http://www.euro.who.int/en/health-topics/environment-and-health/pages/evidence-and-data/environmental-burden-of-disease-ebd. </w:t>
      </w:r>
    </w:p>
  </w:footnote>
  <w:footnote w:id="277">
    <w:p w14:paraId="656B2158" w14:textId="77777777" w:rsidR="00E752DE" w:rsidRDefault="00E752DE" w:rsidP="005B6B34">
      <w:pPr>
        <w:pStyle w:val="FootnoteText"/>
        <w:ind w:right="139"/>
      </w:pPr>
      <w:r>
        <w:rPr>
          <w:rStyle w:val="FootnoteReference"/>
        </w:rPr>
        <w:footnoteRef/>
      </w:r>
      <w:r>
        <w:t xml:space="preserve"> Department of Environment, Food and Rural Affairs, (2014). Environmental Noise: Valuing impacts on: sleep disturbance, annoyance, hypertension, productivity and quiet. United Kingdom Crown, pp.24-30.</w:t>
      </w:r>
    </w:p>
  </w:footnote>
  <w:footnote w:id="278">
    <w:p w14:paraId="656B2159" w14:textId="77777777" w:rsidR="00E752DE" w:rsidRDefault="00E752DE">
      <w:pPr>
        <w:pStyle w:val="FootnoteText"/>
      </w:pPr>
      <w:r>
        <w:rPr>
          <w:rStyle w:val="FootnoteReference"/>
        </w:rPr>
        <w:footnoteRef/>
      </w:r>
      <w:r>
        <w:t xml:space="preserve"> </w:t>
      </w:r>
      <w:r w:rsidRPr="00AC428C">
        <w:t>Swinburn et al</w:t>
      </w:r>
      <w:r>
        <w:t>,</w:t>
      </w:r>
      <w:r w:rsidRPr="00AC428C">
        <w:rPr>
          <w:i/>
        </w:rPr>
        <w:t xml:space="preserve"> Valuing Quiet: An economic assessment of US environmental noise as a cardiovascular health hazard, </w:t>
      </w:r>
      <w:r>
        <w:t xml:space="preserve">(2015). </w:t>
      </w:r>
      <w:r w:rsidRPr="00AC428C">
        <w:t>American J</w:t>
      </w:r>
      <w:r>
        <w:t>ournal of Preventative Medicine.</w:t>
      </w:r>
    </w:p>
  </w:footnote>
  <w:footnote w:id="279">
    <w:p w14:paraId="656B215A" w14:textId="77777777" w:rsidR="00E752DE" w:rsidRPr="00D66FCE" w:rsidRDefault="00E752DE" w:rsidP="005B6B34">
      <w:pPr>
        <w:pStyle w:val="FootnoteText"/>
        <w:ind w:right="-2694"/>
      </w:pPr>
      <w:r>
        <w:rPr>
          <w:rStyle w:val="FootnoteReference"/>
        </w:rPr>
        <w:footnoteRef/>
      </w:r>
      <w:r w:rsidRPr="00D66FCE">
        <w:t xml:space="preserve"> L.C. den Boer &amp; A. Schroten (2007). Traffic noise reduction in Europe. CE Delft, March 2007. See: http://www.transportenvironment.org/sites/te/files/media/2008-02_traffic_noise_ce_delft_report.pdf</w:t>
      </w:r>
    </w:p>
  </w:footnote>
  <w:footnote w:id="280">
    <w:p w14:paraId="656B215B" w14:textId="77777777" w:rsidR="00E752DE" w:rsidRDefault="00E752DE" w:rsidP="005B6B34">
      <w:pPr>
        <w:pStyle w:val="FootnoteText"/>
      </w:pPr>
      <w:r>
        <w:rPr>
          <w:rStyle w:val="FootnoteReference"/>
        </w:rPr>
        <w:footnoteRef/>
      </w:r>
      <w:r>
        <w:t xml:space="preserve"> Resonate acoustics et al., </w:t>
      </w:r>
      <w:r>
        <w:rPr>
          <w:i/>
        </w:rPr>
        <w:t>SEPP N-1 and SEPP N-2 Impact Analysis Project 1: Impact on Business</w:t>
      </w:r>
      <w:r>
        <w:t xml:space="preserve"> (2016), pages ii-iii.</w:t>
      </w:r>
    </w:p>
  </w:footnote>
  <w:footnote w:id="281">
    <w:p w14:paraId="656B215C" w14:textId="77777777" w:rsidR="00E752DE" w:rsidRDefault="00E752DE" w:rsidP="005B6B34">
      <w:pPr>
        <w:pStyle w:val="FootnoteText"/>
      </w:pPr>
      <w:r>
        <w:rPr>
          <w:rStyle w:val="FootnoteReference"/>
        </w:rPr>
        <w:footnoteRef/>
      </w:r>
      <w:r>
        <w:t xml:space="preserve"> Ibid, page 44.</w:t>
      </w:r>
    </w:p>
  </w:footnote>
  <w:footnote w:id="282">
    <w:p w14:paraId="656B215D" w14:textId="77777777" w:rsidR="00E752DE" w:rsidRDefault="00E752DE">
      <w:pPr>
        <w:pStyle w:val="FootnoteText"/>
      </w:pPr>
      <w:r>
        <w:rPr>
          <w:rStyle w:val="FootnoteReference"/>
        </w:rPr>
        <w:footnoteRef/>
      </w:r>
      <w:r>
        <w:t xml:space="preserve"> FairWork Commission, </w:t>
      </w:r>
      <w:r w:rsidRPr="00F718F2">
        <w:rPr>
          <w:i/>
        </w:rPr>
        <w:t>Victoria Police (Police Officers (Excluding Commanders), Protective Services Officers, Police Reservists and Police Recruits) Enterprise Agreement 2015</w:t>
      </w:r>
      <w:r>
        <w:t xml:space="preserve">, (2016). </w:t>
      </w:r>
    </w:p>
  </w:footnote>
  <w:footnote w:id="283">
    <w:p w14:paraId="656B215E" w14:textId="77777777" w:rsidR="00E752DE" w:rsidRDefault="00E752DE" w:rsidP="005B6B34">
      <w:pPr>
        <w:pStyle w:val="FootnoteText"/>
      </w:pPr>
      <w:r>
        <w:rPr>
          <w:rStyle w:val="FootnoteReference"/>
        </w:rPr>
        <w:footnoteRef/>
      </w:r>
      <w:r>
        <w:t xml:space="preserve"> EPA, </w:t>
      </w:r>
      <w:r>
        <w:rPr>
          <w:i/>
        </w:rPr>
        <w:t>Cost Benefit Analysis on Policy Options for Noise Regulations</w:t>
      </w:r>
      <w:r>
        <w:t xml:space="preserve"> (2018), page 45.</w:t>
      </w:r>
    </w:p>
  </w:footnote>
  <w:footnote w:id="284">
    <w:p w14:paraId="656B215F" w14:textId="77777777" w:rsidR="00E752DE" w:rsidRDefault="00E752DE" w:rsidP="005B6B34">
      <w:pPr>
        <w:pStyle w:val="FootnoteText"/>
      </w:pPr>
      <w:r>
        <w:rPr>
          <w:rStyle w:val="FootnoteReference"/>
        </w:rPr>
        <w:footnoteRef/>
      </w:r>
      <w:r>
        <w:t xml:space="preserve"> EPA, </w:t>
      </w:r>
      <w:r>
        <w:rPr>
          <w:i/>
        </w:rPr>
        <w:t>Cost Benefit Analysis on Policy Options for Noise Regulations</w:t>
      </w:r>
      <w:r>
        <w:t xml:space="preserve"> (2018), page 32. </w:t>
      </w:r>
    </w:p>
  </w:footnote>
  <w:footnote w:id="285">
    <w:p w14:paraId="656B2160" w14:textId="77777777" w:rsidR="00E752DE" w:rsidRDefault="00E752DE" w:rsidP="005B6B34">
      <w:pPr>
        <w:pStyle w:val="FootnoteText"/>
      </w:pPr>
      <w:r>
        <w:rPr>
          <w:rStyle w:val="FootnoteReference"/>
        </w:rPr>
        <w:footnoteRef/>
      </w:r>
      <w:r>
        <w:t xml:space="preserve"> EPA, </w:t>
      </w:r>
      <w:r>
        <w:rPr>
          <w:i/>
        </w:rPr>
        <w:t>Percentage of sites where industry noise limits exceed 55 dBA at night</w:t>
      </w:r>
      <w:r>
        <w:t>, page 1.</w:t>
      </w:r>
    </w:p>
  </w:footnote>
  <w:footnote w:id="286">
    <w:p w14:paraId="656B2161" w14:textId="77777777" w:rsidR="00E752DE" w:rsidRDefault="00E752DE" w:rsidP="005B6B34">
      <w:pPr>
        <w:pStyle w:val="FootnoteText"/>
      </w:pPr>
      <w:r>
        <w:rPr>
          <w:rStyle w:val="FootnoteReference"/>
        </w:rPr>
        <w:footnoteRef/>
      </w:r>
      <w:r>
        <w:t xml:space="preserve"> EPA, </w:t>
      </w:r>
      <w:r>
        <w:rPr>
          <w:i/>
        </w:rPr>
        <w:t>Cost Benefit Analysis on Policy Options for Noise Regulations</w:t>
      </w:r>
      <w:r>
        <w:t xml:space="preserve"> (2018), page 34.</w:t>
      </w:r>
    </w:p>
  </w:footnote>
  <w:footnote w:id="287">
    <w:p w14:paraId="656B2162" w14:textId="77777777" w:rsidR="00E752DE" w:rsidRDefault="00E752DE" w:rsidP="005B6B34">
      <w:pPr>
        <w:pStyle w:val="FootnoteText"/>
      </w:pPr>
      <w:r>
        <w:rPr>
          <w:rStyle w:val="FootnoteReference"/>
        </w:rPr>
        <w:footnoteRef/>
      </w:r>
      <w:r>
        <w:t xml:space="preserve"> EPA, </w:t>
      </w:r>
      <w:r>
        <w:rPr>
          <w:i/>
        </w:rPr>
        <w:t>Cost Benefit Analysis on Policy Options for Noise Regulations</w:t>
      </w:r>
      <w:r>
        <w:t xml:space="preserve"> (2018), page 49. </w:t>
      </w:r>
    </w:p>
  </w:footnote>
  <w:footnote w:id="288">
    <w:p w14:paraId="656B2163" w14:textId="77777777" w:rsidR="00E752DE" w:rsidRDefault="00E752DE" w:rsidP="005B6B34">
      <w:pPr>
        <w:pStyle w:val="FootnoteText"/>
      </w:pPr>
      <w:r>
        <w:rPr>
          <w:rStyle w:val="FootnoteReference"/>
        </w:rPr>
        <w:footnoteRef/>
      </w:r>
      <w:r>
        <w:t xml:space="preserve"> Resonate acoustics et al., </w:t>
      </w:r>
      <w:r>
        <w:rPr>
          <w:i/>
        </w:rPr>
        <w:t>SEPP N-1 and SEPP N-2 Impact Analysis Project 1: Impact on Business</w:t>
      </w:r>
      <w:r>
        <w:t xml:space="preserve"> (2016), pages 21-22. </w:t>
      </w:r>
    </w:p>
  </w:footnote>
  <w:footnote w:id="289">
    <w:p w14:paraId="656B2164" w14:textId="77777777" w:rsidR="00E752DE" w:rsidRDefault="00E752DE" w:rsidP="005B6B34">
      <w:pPr>
        <w:pStyle w:val="FootnoteText"/>
      </w:pPr>
      <w:r>
        <w:rPr>
          <w:rStyle w:val="FootnoteReference"/>
        </w:rPr>
        <w:footnoteRef/>
      </w:r>
      <w:r>
        <w:t xml:space="preserve"> EPA, </w:t>
      </w:r>
      <w:r>
        <w:rPr>
          <w:i/>
        </w:rPr>
        <w:t>Percentage of sites where industry noise limits exceed 55 dBA at night</w:t>
      </w:r>
      <w:r>
        <w:t>, page 1.</w:t>
      </w:r>
    </w:p>
  </w:footnote>
  <w:footnote w:id="290">
    <w:p w14:paraId="656B2165" w14:textId="77777777" w:rsidR="00E752DE" w:rsidRDefault="00E752DE" w:rsidP="005B6B34">
      <w:pPr>
        <w:pStyle w:val="FootnoteText"/>
      </w:pPr>
      <w:r>
        <w:rPr>
          <w:rStyle w:val="FootnoteReference"/>
        </w:rPr>
        <w:footnoteRef/>
      </w:r>
      <w:r>
        <w:t xml:space="preserve"> Music Victoria, </w:t>
      </w:r>
      <w:r>
        <w:rPr>
          <w:i/>
        </w:rPr>
        <w:t>Melbourne Live Music Census 2017 Report</w:t>
      </w:r>
      <w:r>
        <w:t xml:space="preserve"> (2017), page 1.</w:t>
      </w:r>
    </w:p>
  </w:footnote>
  <w:footnote w:id="291">
    <w:p w14:paraId="656B2166" w14:textId="77777777" w:rsidR="00E752DE" w:rsidRDefault="00E752DE" w:rsidP="005B6B34">
      <w:pPr>
        <w:pStyle w:val="FootnoteText"/>
      </w:pPr>
      <w:r>
        <w:rPr>
          <w:rStyle w:val="FootnoteReference"/>
        </w:rPr>
        <w:footnoteRef/>
      </w:r>
      <w:r>
        <w:t xml:space="preserve"> EPA, </w:t>
      </w:r>
      <w:r>
        <w:rPr>
          <w:i/>
        </w:rPr>
        <w:t>Cost Benefit Analysis on Policy Options for Noise Regulations</w:t>
      </w:r>
      <w:r>
        <w:t xml:space="preserve"> (2018), page 48.</w:t>
      </w:r>
    </w:p>
  </w:footnote>
  <w:footnote w:id="292">
    <w:p w14:paraId="656B2167" w14:textId="77777777" w:rsidR="00E752DE" w:rsidRDefault="00E752DE" w:rsidP="005B6B34">
      <w:pPr>
        <w:pStyle w:val="FootnoteText"/>
      </w:pPr>
      <w:r>
        <w:rPr>
          <w:rStyle w:val="FootnoteReference"/>
        </w:rPr>
        <w:footnoteRef/>
      </w:r>
      <w:r>
        <w:t xml:space="preserve"> Resonate acoustics et al., </w:t>
      </w:r>
      <w:r>
        <w:rPr>
          <w:i/>
        </w:rPr>
        <w:t>SEPP N-1 and SEPP N-2 Impact Analysis Project 1: Impact on Business</w:t>
      </w:r>
      <w:r>
        <w:t xml:space="preserve"> (2016), page 41.</w:t>
      </w:r>
    </w:p>
  </w:footnote>
  <w:footnote w:id="293">
    <w:p w14:paraId="656B2168" w14:textId="77777777" w:rsidR="00E752DE" w:rsidRDefault="00E752DE">
      <w:pPr>
        <w:pStyle w:val="FootnoteText"/>
      </w:pPr>
      <w:r>
        <w:rPr>
          <w:rStyle w:val="FootnoteReference"/>
        </w:rPr>
        <w:footnoteRef/>
      </w:r>
      <w:r>
        <w:t xml:space="preserve"> Australian Bureau of Statistics, Motor Vehicle Census, 31 Jan 2018. </w:t>
      </w:r>
      <w:hyperlink r:id="rId46" w:history="1">
        <w:r w:rsidRPr="000A79F8">
          <w:rPr>
            <w:rStyle w:val="Hyperlink"/>
          </w:rPr>
          <w:t>http://www.abs.gov.au/AUSSTATS/abs@.nsf/DetailsPage/9309.031%20Jan%202018?OpenDocument</w:t>
        </w:r>
      </w:hyperlink>
      <w:r>
        <w:t xml:space="preserve"> </w:t>
      </w:r>
    </w:p>
  </w:footnote>
  <w:footnote w:id="294">
    <w:p w14:paraId="656B2169" w14:textId="77777777" w:rsidR="00E752DE" w:rsidRDefault="00E752DE" w:rsidP="00A908E5">
      <w:pPr>
        <w:pStyle w:val="FootnoteText"/>
      </w:pPr>
      <w:r>
        <w:rPr>
          <w:rStyle w:val="FootnoteReference"/>
        </w:rPr>
        <w:footnoteRef/>
      </w:r>
      <w:r>
        <w:t xml:space="preserve"> Environment Protection Authority, </w:t>
      </w:r>
      <w:r>
        <w:rPr>
          <w:i/>
        </w:rPr>
        <w:t xml:space="preserve">EPA Regulatory Impact Statement – Environment Protection (Vehicle Emissions) Regulations 2013. </w:t>
      </w:r>
      <w:r>
        <w:t xml:space="preserve">Available at </w:t>
      </w:r>
      <w:hyperlink r:id="rId47" w:history="1">
        <w:r>
          <w:rPr>
            <w:rStyle w:val="Hyperlink"/>
          </w:rPr>
          <w:t>https://www.epa.vic.gov.au/~/media/Publications/1543.pdf</w:t>
        </w:r>
      </w:hyperlink>
    </w:p>
  </w:footnote>
  <w:footnote w:id="295">
    <w:p w14:paraId="656B216A" w14:textId="77777777" w:rsidR="00E752DE" w:rsidRPr="00ED173F" w:rsidRDefault="00E752DE" w:rsidP="00A976EF">
      <w:pPr>
        <w:pStyle w:val="FootnoteText"/>
        <w:rPr>
          <w:i/>
        </w:rPr>
      </w:pPr>
      <w:r>
        <w:rPr>
          <w:rStyle w:val="FootnoteReference"/>
        </w:rPr>
        <w:footnoteRef/>
      </w:r>
      <w:r>
        <w:t xml:space="preserve"> EPA Victoria, </w:t>
      </w:r>
      <w:r>
        <w:rPr>
          <w:i/>
        </w:rPr>
        <w:t xml:space="preserve">Vehicle emissions and air quality, </w:t>
      </w:r>
      <w:hyperlink r:id="rId48" w:history="1">
        <w:r w:rsidRPr="00ED173F">
          <w:rPr>
            <w:rStyle w:val="Hyperlink"/>
          </w:rPr>
          <w:t>https://www.epa.vic.gov.au/your-environment/air/vehicle-emissions-and-air-quality</w:t>
        </w:r>
      </w:hyperlink>
      <w:r>
        <w:t xml:space="preserve"> </w:t>
      </w:r>
    </w:p>
  </w:footnote>
  <w:footnote w:id="296">
    <w:p w14:paraId="656B216B" w14:textId="77777777" w:rsidR="00E752DE" w:rsidRDefault="00E752DE">
      <w:pPr>
        <w:pStyle w:val="FootnoteText"/>
      </w:pPr>
      <w:r>
        <w:rPr>
          <w:rStyle w:val="FootnoteReference"/>
        </w:rPr>
        <w:footnoteRef/>
      </w:r>
      <w:r>
        <w:t xml:space="preserve"> This are the latest available estimates of motor vehicle air emissions in Melbourne. </w:t>
      </w:r>
    </w:p>
  </w:footnote>
  <w:footnote w:id="297">
    <w:p w14:paraId="656B216C" w14:textId="77777777" w:rsidR="00E752DE" w:rsidRPr="006302C3" w:rsidRDefault="00E752DE" w:rsidP="00E63FB8">
      <w:pPr>
        <w:pStyle w:val="FootnoteText"/>
        <w:ind w:right="-2694"/>
        <w:rPr>
          <w:szCs w:val="16"/>
        </w:rPr>
      </w:pPr>
      <w:r w:rsidRPr="006302C3">
        <w:rPr>
          <w:rStyle w:val="FootnoteReference"/>
          <w:szCs w:val="16"/>
        </w:rPr>
        <w:footnoteRef/>
      </w:r>
      <w:r w:rsidRPr="006302C3">
        <w:rPr>
          <w:szCs w:val="16"/>
        </w:rPr>
        <w:t xml:space="preserve"> Bureau of Transport and Regional Economics, Working paper 63, Health impacts of transport emissions in Australia: Economic costs,</w:t>
      </w:r>
      <w:r>
        <w:rPr>
          <w:szCs w:val="16"/>
        </w:rPr>
        <w:t xml:space="preserve"> page </w:t>
      </w:r>
      <w:r w:rsidRPr="006302C3">
        <w:rPr>
          <w:szCs w:val="16"/>
        </w:rPr>
        <w:t>xiv.</w:t>
      </w:r>
    </w:p>
  </w:footnote>
  <w:footnote w:id="298">
    <w:p w14:paraId="656B216D" w14:textId="77777777" w:rsidR="00E752DE" w:rsidRDefault="00E752DE" w:rsidP="00080A0C">
      <w:pPr>
        <w:pStyle w:val="FootnoteText"/>
      </w:pPr>
      <w:r>
        <w:rPr>
          <w:rStyle w:val="FootnoteReference"/>
        </w:rPr>
        <w:footnoteRef/>
      </w:r>
      <w:r>
        <w:t xml:space="preserve"> Environment Protection Authority, </w:t>
      </w:r>
      <w:r>
        <w:rPr>
          <w:i/>
        </w:rPr>
        <w:t xml:space="preserve">EPA Regulatory Impact Statement – Environment Protection (Vehicle Emissions) Regulations 2013. </w:t>
      </w:r>
      <w:r>
        <w:t xml:space="preserve">Available at </w:t>
      </w:r>
      <w:hyperlink r:id="rId49" w:history="1">
        <w:r>
          <w:rPr>
            <w:rStyle w:val="Hyperlink"/>
          </w:rPr>
          <w:t>https://www.epa.vic.gov.au/~/media/Publications/1543.pdf</w:t>
        </w:r>
      </w:hyperlink>
    </w:p>
  </w:footnote>
  <w:footnote w:id="299">
    <w:p w14:paraId="656B216E" w14:textId="77777777" w:rsidR="00E752DE" w:rsidRPr="00E63FB8" w:rsidRDefault="00E752DE" w:rsidP="00E63FB8">
      <w:pPr>
        <w:pStyle w:val="FootnoteText"/>
      </w:pPr>
      <w:r>
        <w:rPr>
          <w:rStyle w:val="FootnoteReference"/>
        </w:rPr>
        <w:footnoteRef/>
      </w:r>
      <w:r>
        <w:t xml:space="preserve"> Environment Protection Authority, </w:t>
      </w:r>
      <w:r>
        <w:rPr>
          <w:i/>
        </w:rPr>
        <w:t xml:space="preserve">EPA Regulatory Impact Statement – Environment Protection (Vehicle Emissions) Regulations 2013. </w:t>
      </w:r>
      <w:r>
        <w:t xml:space="preserve">Available at </w:t>
      </w:r>
      <w:hyperlink r:id="rId50" w:history="1">
        <w:r>
          <w:rPr>
            <w:rStyle w:val="Hyperlink"/>
          </w:rPr>
          <w:t>https://www.epa.vic.gov.au/~/media/Publications/1543.pdf</w:t>
        </w:r>
      </w:hyperlink>
      <w:r>
        <w:t xml:space="preserve"> </w:t>
      </w:r>
    </w:p>
  </w:footnote>
  <w:footnote w:id="300">
    <w:p w14:paraId="656B216F" w14:textId="77777777" w:rsidR="00E752DE" w:rsidRDefault="00E752DE" w:rsidP="00730E58">
      <w:pPr>
        <w:pStyle w:val="FootnoteText"/>
      </w:pPr>
      <w:r>
        <w:rPr>
          <w:rStyle w:val="FootnoteReference"/>
        </w:rPr>
        <w:footnoteRef/>
      </w:r>
      <w:r>
        <w:t xml:space="preserve"> Environment Protection Authority, </w:t>
      </w:r>
      <w:r>
        <w:rPr>
          <w:i/>
        </w:rPr>
        <w:t xml:space="preserve">EPA Regulatory Impact Statement – Environment Protection (Vehicle Emissions) Regulations 2013. </w:t>
      </w:r>
      <w:r>
        <w:t xml:space="preserve">Available at </w:t>
      </w:r>
      <w:hyperlink r:id="rId51" w:history="1">
        <w:r>
          <w:rPr>
            <w:rStyle w:val="Hyperlink"/>
          </w:rPr>
          <w:t>https://www.epa.vic.gov.au/~/media/Publications/1543.pdf</w:t>
        </w:r>
      </w:hyperlink>
    </w:p>
  </w:footnote>
  <w:footnote w:id="301">
    <w:p w14:paraId="2E58F14F" w14:textId="77777777" w:rsidR="00E752DE" w:rsidRDefault="00E752DE" w:rsidP="001433A1">
      <w:pPr>
        <w:pStyle w:val="FootnoteText"/>
      </w:pPr>
      <w:r>
        <w:rPr>
          <w:rStyle w:val="FootnoteReference"/>
        </w:rPr>
        <w:footnoteRef/>
      </w:r>
      <w:r>
        <w:t xml:space="preserve"> The terminology used</w:t>
      </w:r>
      <w:r w:rsidRPr="003158AD">
        <w:t xml:space="preserve"> </w:t>
      </w:r>
      <w:r>
        <w:t xml:space="preserve">to refer to different types of permissions in this section varies based on whether the EP Act 1970 or the new EP legislation is being referenced. ‘Operating </w:t>
      </w:r>
      <w:r w:rsidRPr="00785A28">
        <w:t>licences’ as described by the</w:t>
      </w:r>
      <w:r w:rsidRPr="009160C8">
        <w:t xml:space="preserve"> new EP legislation were the only type of licences under the EP Act 1970 and termed “Licences”. ‘Works approvals’ under the EP Act 1970 are termed ‘Development licences’ </w:t>
      </w:r>
      <w:r w:rsidRPr="006C6339">
        <w:t>under the new EP legislation</w:t>
      </w:r>
      <w:r w:rsidRPr="00785A28">
        <w:t>. ‘Research, development and demonstration (RD &amp; D) approv</w:t>
      </w:r>
      <w:r w:rsidRPr="009160C8">
        <w:t xml:space="preserve">als’ </w:t>
      </w:r>
      <w:r w:rsidRPr="006C6339">
        <w:t>under the EP Act 1970</w:t>
      </w:r>
      <w:r w:rsidRPr="00785A28">
        <w:t xml:space="preserve"> are </w:t>
      </w:r>
      <w:r w:rsidRPr="006C6339">
        <w:t>termed</w:t>
      </w:r>
      <w:r w:rsidRPr="00785A28">
        <w:t xml:space="preserve"> ‘Pilot project licences’ </w:t>
      </w:r>
      <w:r w:rsidRPr="006C6339">
        <w:t>under the new EP legislation</w:t>
      </w:r>
      <w:r w:rsidRPr="00785A28">
        <w:t>. Waste transport perm</w:t>
      </w:r>
      <w:r>
        <w:t xml:space="preserve">its are the only type of permits under the EP Act 1970; under the new EP legislation there are also other types of permits. </w:t>
      </w:r>
    </w:p>
  </w:footnote>
  <w:footnote w:id="302">
    <w:p w14:paraId="252E2EA1" w14:textId="77777777" w:rsidR="00E752DE" w:rsidRPr="007E7050" w:rsidRDefault="00E752DE" w:rsidP="001433A1">
      <w:pPr>
        <w:pStyle w:val="FootnoteText"/>
        <w:rPr>
          <w:rFonts w:cstheme="minorHAnsi"/>
          <w:szCs w:val="18"/>
        </w:rPr>
      </w:pPr>
      <w:r w:rsidRPr="007E7050">
        <w:rPr>
          <w:rStyle w:val="FootnoteReference"/>
          <w:rFonts w:asciiTheme="minorHAnsi" w:hAnsiTheme="minorHAnsi" w:cstheme="minorHAnsi"/>
          <w:szCs w:val="18"/>
        </w:rPr>
        <w:footnoteRef/>
      </w:r>
      <w:r w:rsidRPr="007E7050">
        <w:rPr>
          <w:rFonts w:cstheme="minorHAnsi"/>
          <w:szCs w:val="18"/>
        </w:rPr>
        <w:t xml:space="preserve"> </w:t>
      </w:r>
      <w:r>
        <w:rPr>
          <w:rFonts w:cstheme="minorHAnsi"/>
          <w:szCs w:val="18"/>
        </w:rPr>
        <w:t xml:space="preserve">Office of the Commissioner for Better Regulation, 2016, </w:t>
      </w:r>
      <w:r>
        <w:rPr>
          <w:rFonts w:cstheme="minorHAnsi"/>
          <w:i/>
          <w:szCs w:val="18"/>
        </w:rPr>
        <w:t xml:space="preserve">Victorian Guide to </w:t>
      </w:r>
      <w:r w:rsidRPr="00C479AE">
        <w:rPr>
          <w:rFonts w:cstheme="minorHAnsi"/>
          <w:i/>
          <w:szCs w:val="18"/>
        </w:rPr>
        <w:t>Regulation</w:t>
      </w:r>
      <w:r>
        <w:rPr>
          <w:rFonts w:cstheme="minorHAnsi"/>
          <w:i/>
          <w:szCs w:val="18"/>
        </w:rPr>
        <w:t>: A handbook for policy makers in Victoria,</w:t>
      </w:r>
      <w:r>
        <w:rPr>
          <w:rFonts w:cstheme="minorHAnsi"/>
          <w:szCs w:val="18"/>
        </w:rPr>
        <w:t xml:space="preserve"> Department of Treasury and Finance, Melbourne.</w:t>
      </w:r>
    </w:p>
  </w:footnote>
  <w:footnote w:id="303">
    <w:p w14:paraId="77BFA28A" w14:textId="77777777" w:rsidR="00E752DE" w:rsidRDefault="00E752DE" w:rsidP="001433A1">
      <w:pPr>
        <w:pStyle w:val="FootnoteText"/>
      </w:pPr>
      <w:r w:rsidRPr="007C1A9B">
        <w:rPr>
          <w:rStyle w:val="FootnoteReference"/>
        </w:rPr>
        <w:footnoteRef/>
      </w:r>
      <w:r w:rsidRPr="007C1A9B">
        <w:t xml:space="preserve"> </w:t>
      </w:r>
      <w:r>
        <w:t xml:space="preserve">Department of Treasury and Finance, 2013, </w:t>
      </w:r>
      <w:r w:rsidRPr="007C1A9B">
        <w:rPr>
          <w:i/>
        </w:rPr>
        <w:t>Cost Recovery Guidelines</w:t>
      </w:r>
      <w:r>
        <w:t xml:space="preserve">, January. </w:t>
      </w:r>
    </w:p>
  </w:footnote>
  <w:footnote w:id="304">
    <w:p w14:paraId="0DCB6FFD" w14:textId="77777777" w:rsidR="00E752DE" w:rsidRDefault="00E752DE" w:rsidP="001433A1">
      <w:pPr>
        <w:pStyle w:val="FootnoteText"/>
      </w:pPr>
      <w:r>
        <w:rPr>
          <w:rStyle w:val="FootnoteReference"/>
        </w:rPr>
        <w:footnoteRef/>
      </w:r>
      <w:r>
        <w:t xml:space="preserve"> Application for accreditation is not included in the new EP legislation.</w:t>
      </w:r>
    </w:p>
  </w:footnote>
  <w:footnote w:id="305">
    <w:p w14:paraId="5093E718" w14:textId="77777777" w:rsidR="00E752DE" w:rsidRDefault="00E752DE" w:rsidP="001433A1">
      <w:pPr>
        <w:pStyle w:val="FootnoteText"/>
      </w:pPr>
      <w:r>
        <w:rPr>
          <w:rStyle w:val="FootnoteReference"/>
        </w:rPr>
        <w:footnoteRef/>
      </w:r>
      <w:r>
        <w:t xml:space="preserve"> EPA Annual Report 20178-18, page 81.</w:t>
      </w:r>
    </w:p>
  </w:footnote>
  <w:footnote w:id="306">
    <w:p w14:paraId="551567AC" w14:textId="77777777" w:rsidR="00E752DE" w:rsidRPr="005F27F7" w:rsidRDefault="00E752DE" w:rsidP="001433A1">
      <w:pPr>
        <w:pStyle w:val="FootnoteText"/>
        <w:rPr>
          <w:rFonts w:cs="Segoe UI Light"/>
        </w:rPr>
      </w:pPr>
      <w:r>
        <w:rPr>
          <w:rStyle w:val="FootnoteReference"/>
        </w:rPr>
        <w:footnoteRef/>
      </w:r>
      <w:r>
        <w:t xml:space="preserve"> </w:t>
      </w:r>
      <w:r>
        <w:rPr>
          <w:rFonts w:cs="Segoe UI Light"/>
        </w:rPr>
        <w:t xml:space="preserve">RIS for the </w:t>
      </w:r>
      <w:r w:rsidRPr="00E3171B">
        <w:rPr>
          <w:rFonts w:cs="Segoe UI Light"/>
          <w:i/>
        </w:rPr>
        <w:t>Environment Protection (Fees) Regulations 2012</w:t>
      </w:r>
      <w:r>
        <w:rPr>
          <w:rFonts w:cs="Segoe UI Light"/>
        </w:rPr>
        <w:t>, page 7.</w:t>
      </w:r>
    </w:p>
  </w:footnote>
  <w:footnote w:id="307">
    <w:p w14:paraId="3137172A" w14:textId="77777777" w:rsidR="00E752DE" w:rsidRDefault="00E752DE" w:rsidP="001433A1">
      <w:pPr>
        <w:pStyle w:val="FootnoteText"/>
      </w:pPr>
      <w:r>
        <w:rPr>
          <w:rStyle w:val="FootnoteReference"/>
        </w:rPr>
        <w:footnoteRef/>
      </w:r>
      <w:r>
        <w:t xml:space="preserve"> Using an annual average rate of 2% across this period.</w:t>
      </w:r>
    </w:p>
  </w:footnote>
  <w:footnote w:id="308">
    <w:p w14:paraId="29806C64" w14:textId="77777777" w:rsidR="00E752DE" w:rsidRPr="00920D91" w:rsidRDefault="00E752DE" w:rsidP="001433A1">
      <w:pPr>
        <w:pStyle w:val="FootnoteText"/>
        <w:rPr>
          <w:rFonts w:cs="Segoe UI Light"/>
          <w:szCs w:val="16"/>
        </w:rPr>
      </w:pPr>
      <w:r w:rsidRPr="00FC5958">
        <w:rPr>
          <w:rStyle w:val="FootnoteReference"/>
          <w:rFonts w:cs="Segoe UI Light"/>
          <w:szCs w:val="16"/>
        </w:rPr>
        <w:footnoteRef/>
      </w:r>
      <w:r w:rsidRPr="00FC5958">
        <w:rPr>
          <w:rFonts w:cs="Segoe UI Light"/>
          <w:szCs w:val="16"/>
        </w:rPr>
        <w:t xml:space="preserve"> EPA Inquiry Report,</w:t>
      </w:r>
      <w:r>
        <w:rPr>
          <w:rFonts w:cs="Segoe UI Light"/>
          <w:szCs w:val="16"/>
        </w:rPr>
        <w:t xml:space="preserve"> page </w:t>
      </w:r>
      <w:r w:rsidRPr="00FC5958">
        <w:rPr>
          <w:rFonts w:cs="Segoe UI Light"/>
          <w:szCs w:val="16"/>
        </w:rPr>
        <w:t>378.</w:t>
      </w:r>
    </w:p>
  </w:footnote>
  <w:footnote w:id="309">
    <w:p w14:paraId="3ECB12C4" w14:textId="77777777" w:rsidR="00E752DE" w:rsidRPr="00627EE5" w:rsidRDefault="00E752DE" w:rsidP="001433A1">
      <w:pPr>
        <w:autoSpaceDE w:val="0"/>
        <w:autoSpaceDN w:val="0"/>
        <w:adjustRightInd w:val="0"/>
        <w:spacing w:after="0" w:line="240" w:lineRule="auto"/>
        <w:rPr>
          <w:rFonts w:cs="Segoe UI Light"/>
          <w:szCs w:val="16"/>
        </w:rPr>
      </w:pPr>
      <w:r w:rsidRPr="00627EE5">
        <w:rPr>
          <w:rStyle w:val="FootnoteReference"/>
          <w:rFonts w:cs="Segoe UI Light"/>
          <w:sz w:val="16"/>
          <w:szCs w:val="16"/>
        </w:rPr>
        <w:footnoteRef/>
      </w:r>
      <w:r w:rsidRPr="00627EE5">
        <w:rPr>
          <w:rFonts w:cs="Segoe UI Light"/>
          <w:sz w:val="16"/>
          <w:szCs w:val="16"/>
        </w:rPr>
        <w:t xml:space="preserve"> </w:t>
      </w:r>
      <w:r w:rsidRPr="002D676C">
        <w:rPr>
          <w:rFonts w:cs="Segoe UI Light"/>
          <w:sz w:val="16"/>
          <w:szCs w:val="16"/>
        </w:rPr>
        <w:t xml:space="preserve">EPA Victoria 2015, </w:t>
      </w:r>
      <w:r w:rsidRPr="002D676C">
        <w:rPr>
          <w:rFonts w:cs="Segoe UI Light"/>
          <w:i/>
          <w:iCs/>
          <w:sz w:val="16"/>
          <w:szCs w:val="16"/>
        </w:rPr>
        <w:t>Cost and capacity review</w:t>
      </w:r>
      <w:r w:rsidRPr="002D676C">
        <w:rPr>
          <w:rFonts w:cs="Segoe UI Light"/>
          <w:sz w:val="16"/>
          <w:szCs w:val="16"/>
        </w:rPr>
        <w:t>, Final Report, internal working report prepared for EPA by PwC Australia, November, pp. 21–22 as cited in EPA Inquiry Report, page 380.</w:t>
      </w:r>
    </w:p>
  </w:footnote>
  <w:footnote w:id="310">
    <w:p w14:paraId="0F9BCC43" w14:textId="77777777" w:rsidR="00E752DE" w:rsidRPr="00627EE5" w:rsidRDefault="00E752DE" w:rsidP="001433A1">
      <w:pPr>
        <w:pStyle w:val="FootnoteText"/>
      </w:pPr>
      <w:r w:rsidRPr="00627EE5">
        <w:rPr>
          <w:rStyle w:val="FootnoteReference"/>
          <w:rFonts w:cs="Segoe UI Light"/>
          <w:szCs w:val="16"/>
        </w:rPr>
        <w:footnoteRef/>
      </w:r>
      <w:r w:rsidRPr="00627EE5">
        <w:rPr>
          <w:rFonts w:cs="Segoe UI Light"/>
          <w:szCs w:val="16"/>
        </w:rPr>
        <w:t xml:space="preserve"> EPA Inquiry Report, page 380.</w:t>
      </w:r>
    </w:p>
  </w:footnote>
  <w:footnote w:id="311">
    <w:p w14:paraId="66F7DEC2" w14:textId="77777777" w:rsidR="00E752DE" w:rsidRPr="00627EE5" w:rsidRDefault="00E752DE" w:rsidP="001433A1">
      <w:pPr>
        <w:pStyle w:val="FootnoteText"/>
      </w:pPr>
      <w:r w:rsidRPr="00627EE5">
        <w:rPr>
          <w:rStyle w:val="FootnoteReference"/>
        </w:rPr>
        <w:footnoteRef/>
      </w:r>
      <w:r w:rsidRPr="00627EE5">
        <w:t xml:space="preserve"> </w:t>
      </w:r>
      <w:r w:rsidRPr="00627EE5">
        <w:rPr>
          <w:rFonts w:cs="Segoe UI Light"/>
          <w:szCs w:val="16"/>
        </w:rPr>
        <w:t>Defined in Inquiry Report as “A licensing scheme where licence fees are linked to the level of pollutants emitted by the licensee.”, page 406.</w:t>
      </w:r>
    </w:p>
  </w:footnote>
  <w:footnote w:id="312">
    <w:p w14:paraId="4E29B010" w14:textId="77777777" w:rsidR="00E752DE" w:rsidRPr="00627EE5" w:rsidRDefault="00E752DE" w:rsidP="001433A1">
      <w:pPr>
        <w:pStyle w:val="FootnoteText"/>
      </w:pPr>
      <w:r w:rsidRPr="00627EE5">
        <w:rPr>
          <w:rStyle w:val="FootnoteReference"/>
        </w:rPr>
        <w:footnoteRef/>
      </w:r>
      <w:r w:rsidRPr="00627EE5">
        <w:t xml:space="preserve"> EPA Inquiry Report, page 288.</w:t>
      </w:r>
    </w:p>
  </w:footnote>
  <w:footnote w:id="313">
    <w:p w14:paraId="30542BC2" w14:textId="77777777" w:rsidR="00E752DE" w:rsidRPr="00627EE5" w:rsidRDefault="00E752DE" w:rsidP="001433A1">
      <w:pPr>
        <w:pStyle w:val="FootnoteText"/>
      </w:pPr>
      <w:r w:rsidRPr="00627EE5">
        <w:rPr>
          <w:rStyle w:val="FootnoteReference"/>
        </w:rPr>
        <w:footnoteRef/>
      </w:r>
      <w:r w:rsidRPr="00627EE5">
        <w:t xml:space="preserve"> </w:t>
      </w:r>
      <w:r w:rsidRPr="002D676C">
        <w:rPr>
          <w:rFonts w:cs="Segoe UI Light"/>
        </w:rPr>
        <w:t>Government’s response to the EPA Inquiry, page 277.</w:t>
      </w:r>
    </w:p>
  </w:footnote>
  <w:footnote w:id="314">
    <w:p w14:paraId="281F7211" w14:textId="77777777" w:rsidR="00E752DE" w:rsidRPr="00627EE5" w:rsidRDefault="00E752DE" w:rsidP="001433A1">
      <w:pPr>
        <w:pStyle w:val="FootnoteText"/>
      </w:pPr>
      <w:r w:rsidRPr="00627EE5">
        <w:rPr>
          <w:rStyle w:val="FootnoteReference"/>
        </w:rPr>
        <w:footnoteRef/>
      </w:r>
      <w:r w:rsidRPr="00627EE5">
        <w:t xml:space="preserve"> </w:t>
      </w:r>
      <w:r w:rsidRPr="002D676C">
        <w:rPr>
          <w:rFonts w:cs="Segoe UI Light"/>
        </w:rPr>
        <w:t>Government’s response to the EPA Inquiry, page 21.</w:t>
      </w:r>
    </w:p>
  </w:footnote>
  <w:footnote w:id="315">
    <w:p w14:paraId="5967BFAE" w14:textId="77777777" w:rsidR="00E752DE" w:rsidRPr="00627EE5" w:rsidRDefault="00E752DE" w:rsidP="001433A1">
      <w:pPr>
        <w:pStyle w:val="FootnoteText"/>
      </w:pPr>
      <w:r w:rsidRPr="00627EE5">
        <w:rPr>
          <w:rStyle w:val="FootnoteReference"/>
        </w:rPr>
        <w:footnoteRef/>
      </w:r>
      <w:r w:rsidRPr="00627EE5">
        <w:t xml:space="preserve"> The rationale for the proposed Regulations themselves has already been addressed in the earlier chapters of this RIS.</w:t>
      </w:r>
    </w:p>
  </w:footnote>
  <w:footnote w:id="316">
    <w:p w14:paraId="7C315751" w14:textId="77777777" w:rsidR="00E752DE" w:rsidRDefault="00E752DE" w:rsidP="001433A1">
      <w:pPr>
        <w:pStyle w:val="FootnoteText"/>
      </w:pPr>
      <w:r w:rsidRPr="00627EE5">
        <w:rPr>
          <w:rStyle w:val="FootnoteReference"/>
        </w:rPr>
        <w:footnoteRef/>
      </w:r>
      <w:r w:rsidRPr="00627EE5">
        <w:t xml:space="preserve"> Department of Treasury (Victoria) (2013). Cost recovery guidelines, page 21</w:t>
      </w:r>
    </w:p>
  </w:footnote>
  <w:footnote w:id="317">
    <w:p w14:paraId="0BEFA7DA" w14:textId="77777777" w:rsidR="00E752DE" w:rsidRDefault="00E752DE" w:rsidP="001433A1">
      <w:pPr>
        <w:pStyle w:val="FootnoteText"/>
      </w:pPr>
      <w:r>
        <w:rPr>
          <w:rStyle w:val="FootnoteReference"/>
        </w:rPr>
        <w:footnoteRef/>
      </w:r>
      <w:r>
        <w:t xml:space="preserve"> </w:t>
      </w:r>
      <w:r>
        <w:rPr>
          <w:lang w:eastAsia="en-AU"/>
        </w:rPr>
        <w:t>B</w:t>
      </w:r>
      <w:r w:rsidRPr="009B2611">
        <w:rPr>
          <w:lang w:eastAsia="en-AU"/>
        </w:rPr>
        <w:t>ased on DTF’s Guide to assessing and calculating costs</w:t>
      </w:r>
      <w:r>
        <w:rPr>
          <w:lang w:eastAsia="en-AU"/>
        </w:rPr>
        <w:t>. See Appendix 9 for further discussion of fee assumptions.</w:t>
      </w:r>
    </w:p>
  </w:footnote>
  <w:footnote w:id="318">
    <w:p w14:paraId="04071F8E" w14:textId="77777777" w:rsidR="00E752DE" w:rsidRDefault="00E752DE" w:rsidP="001433A1">
      <w:pPr>
        <w:pStyle w:val="FootnoteText"/>
      </w:pPr>
      <w:r>
        <w:rPr>
          <w:rStyle w:val="FootnoteReference"/>
        </w:rPr>
        <w:footnoteRef/>
      </w:r>
      <w:r>
        <w:t xml:space="preserve"> State of Victoria, </w:t>
      </w:r>
      <w:r>
        <w:rPr>
          <w:i/>
        </w:rPr>
        <w:t>Independent Inquiry into the Environment Protection Authority</w:t>
      </w:r>
      <w:r>
        <w:t xml:space="preserve"> (2016), 359.</w:t>
      </w:r>
    </w:p>
  </w:footnote>
  <w:footnote w:id="319">
    <w:p w14:paraId="20523765" w14:textId="77777777" w:rsidR="00E752DE" w:rsidRDefault="00E752DE" w:rsidP="001433A1">
      <w:pPr>
        <w:pStyle w:val="FootnoteText"/>
      </w:pPr>
      <w:r>
        <w:rPr>
          <w:rStyle w:val="FootnoteReference"/>
        </w:rPr>
        <w:footnoteRef/>
      </w:r>
      <w:r>
        <w:t xml:space="preserve"> </w:t>
      </w:r>
      <w:r w:rsidRPr="00DB768F">
        <w:rPr>
          <w:rFonts w:cs="Segoe UI Light"/>
        </w:rPr>
        <w:t xml:space="preserve">Exceptions include the annual fee for </w:t>
      </w:r>
      <w:r w:rsidRPr="00785A28">
        <w:rPr>
          <w:rFonts w:cs="Segoe UI Light"/>
        </w:rPr>
        <w:t xml:space="preserve">licence holders </w:t>
      </w:r>
      <w:r w:rsidRPr="00FF1C9E">
        <w:rPr>
          <w:rFonts w:cs="Segoe UI Light"/>
        </w:rPr>
        <w:t>reprocessing specified</w:t>
      </w:r>
      <w:r w:rsidRPr="00785A28">
        <w:rPr>
          <w:rFonts w:cs="Segoe UI Light"/>
        </w:rPr>
        <w:t xml:space="preserve"> e</w:t>
      </w:r>
      <w:r w:rsidRPr="00FF1C9E">
        <w:rPr>
          <w:rFonts w:cs="Segoe UI Light"/>
        </w:rPr>
        <w:t>lectronic</w:t>
      </w:r>
      <w:r w:rsidRPr="00785A28">
        <w:rPr>
          <w:rFonts w:cs="Segoe UI Light"/>
        </w:rPr>
        <w:t xml:space="preserve"> waste </w:t>
      </w:r>
      <w:r w:rsidRPr="00FF1C9E">
        <w:rPr>
          <w:rFonts w:cs="Segoe UI Light"/>
        </w:rPr>
        <w:t>(prescribed activity A02b)</w:t>
      </w:r>
      <w:r w:rsidRPr="00785A28">
        <w:rPr>
          <w:rFonts w:cs="Segoe UI Light"/>
        </w:rPr>
        <w:t xml:space="preserve"> and </w:t>
      </w:r>
      <w:r w:rsidRPr="00FF1C9E">
        <w:rPr>
          <w:rFonts w:cs="Segoe UI Light"/>
        </w:rPr>
        <w:t>reprocessing</w:t>
      </w:r>
      <w:r w:rsidRPr="00785A28">
        <w:rPr>
          <w:rFonts w:cs="Segoe UI Light"/>
        </w:rPr>
        <w:t xml:space="preserve"> glass </w:t>
      </w:r>
      <w:r w:rsidRPr="00FF1C9E">
        <w:rPr>
          <w:rFonts w:cs="Segoe UI Light"/>
        </w:rPr>
        <w:t>waste</w:t>
      </w:r>
      <w:r w:rsidRPr="00785A28">
        <w:rPr>
          <w:rFonts w:cs="Segoe UI Light"/>
        </w:rPr>
        <w:t xml:space="preserve"> </w:t>
      </w:r>
      <w:r w:rsidRPr="00FF1C9E">
        <w:rPr>
          <w:rFonts w:cs="Segoe UI Light"/>
        </w:rPr>
        <w:t>(prescribed activity H05b)</w:t>
      </w:r>
      <w:r w:rsidRPr="00785A28">
        <w:rPr>
          <w:rFonts w:cs="Segoe UI Light"/>
        </w:rPr>
        <w:t>. A one-</w:t>
      </w:r>
      <w:r w:rsidRPr="00DB768F">
        <w:rPr>
          <w:rFonts w:cs="Segoe UI Light"/>
        </w:rPr>
        <w:t>tier fee will be replaced by a three-tier fee, w</w:t>
      </w:r>
      <w:r>
        <w:rPr>
          <w:rFonts w:cs="Segoe UI Light"/>
        </w:rPr>
        <w:t xml:space="preserve">hich is expected to result in </w:t>
      </w:r>
      <w:r w:rsidRPr="00DB768F">
        <w:rPr>
          <w:rFonts w:cs="Segoe UI Light"/>
        </w:rPr>
        <w:t xml:space="preserve">fee reductions for approximately 10 licence holders - a tiered fee structure is preferred so as to not create a barrier to entry for smaller businesses. </w:t>
      </w:r>
    </w:p>
  </w:footnote>
  <w:footnote w:id="320">
    <w:p w14:paraId="0D23E8FF" w14:textId="77777777" w:rsidR="00E752DE" w:rsidRPr="005F27F7" w:rsidRDefault="00E752DE" w:rsidP="001433A1">
      <w:pPr>
        <w:pStyle w:val="FootnoteText"/>
        <w:rPr>
          <w:rFonts w:cs="Segoe UI Light"/>
        </w:rPr>
      </w:pPr>
      <w:r>
        <w:rPr>
          <w:rStyle w:val="FootnoteReference"/>
        </w:rPr>
        <w:footnoteRef/>
      </w:r>
      <w:r>
        <w:t xml:space="preserve"> </w:t>
      </w:r>
      <w:r>
        <w:rPr>
          <w:rFonts w:cs="Segoe UI Light"/>
        </w:rPr>
        <w:t xml:space="preserve">RIS for the </w:t>
      </w:r>
      <w:r w:rsidRPr="00E3171B">
        <w:rPr>
          <w:rFonts w:cs="Segoe UI Light"/>
          <w:i/>
        </w:rPr>
        <w:t>Environment Protection (Fees) Regulations 2012</w:t>
      </w:r>
      <w:r>
        <w:rPr>
          <w:rFonts w:cs="Segoe UI Light"/>
        </w:rPr>
        <w:t>, page 7.</w:t>
      </w:r>
    </w:p>
  </w:footnote>
  <w:footnote w:id="321">
    <w:p w14:paraId="35AE472B" w14:textId="77777777" w:rsidR="00E752DE" w:rsidRDefault="00E752DE" w:rsidP="001433A1">
      <w:pPr>
        <w:pStyle w:val="FootnoteText"/>
      </w:pPr>
      <w:r>
        <w:rPr>
          <w:rStyle w:val="FootnoteReference"/>
        </w:rPr>
        <w:footnoteRef/>
      </w:r>
      <w:r>
        <w:t xml:space="preserve"> </w:t>
      </w:r>
      <w:r>
        <w:rPr>
          <w:rFonts w:cs="Segoe UI Light"/>
        </w:rPr>
        <w:t xml:space="preserve">RIS for the </w:t>
      </w:r>
      <w:r w:rsidRPr="00E3171B">
        <w:rPr>
          <w:rFonts w:cs="Segoe UI Light"/>
          <w:i/>
        </w:rPr>
        <w:t>Environment Protection (Fees) Regulations 2012</w:t>
      </w:r>
      <w:r>
        <w:rPr>
          <w:rFonts w:cs="Segoe UI Light"/>
        </w:rPr>
        <w:t>, page 11.</w:t>
      </w:r>
    </w:p>
  </w:footnote>
  <w:footnote w:id="322">
    <w:p w14:paraId="79ED0FDD" w14:textId="77777777" w:rsidR="00E752DE" w:rsidRDefault="00E752DE" w:rsidP="001433A1"/>
    <w:p w14:paraId="168689EC" w14:textId="77777777" w:rsidR="00E752DE" w:rsidRDefault="00E752DE" w:rsidP="001433A1"/>
  </w:footnote>
  <w:footnote w:id="323">
    <w:p w14:paraId="4265E74B" w14:textId="77777777" w:rsidR="00E752DE" w:rsidRDefault="00E752DE" w:rsidP="001433A1">
      <w:pPr>
        <w:pStyle w:val="FootnoteText"/>
      </w:pPr>
      <w:r>
        <w:rPr>
          <w:rStyle w:val="FootnoteReference"/>
        </w:rPr>
        <w:footnoteRef/>
      </w:r>
      <w:r>
        <w:t xml:space="preserve"> Source: EPA 2012, </w:t>
      </w:r>
      <w:r w:rsidRPr="00F8453F">
        <w:rPr>
          <w:i/>
        </w:rPr>
        <w:t>Regulatory Impact Statement: Environmental Protection (</w:t>
      </w:r>
      <w:r>
        <w:rPr>
          <w:i/>
        </w:rPr>
        <w:t>Fees</w:t>
      </w:r>
      <w:r w:rsidRPr="00F8453F">
        <w:rPr>
          <w:i/>
        </w:rPr>
        <w:t>) Regulations 201</w:t>
      </w:r>
      <w:r>
        <w:rPr>
          <w:i/>
        </w:rPr>
        <w:t>2</w:t>
      </w:r>
      <w:r>
        <w:t>.</w:t>
      </w:r>
    </w:p>
  </w:footnote>
  <w:footnote w:id="324">
    <w:p w14:paraId="5A6709CD" w14:textId="77777777" w:rsidR="00E752DE" w:rsidRDefault="00E752DE" w:rsidP="001433A1">
      <w:pPr>
        <w:pStyle w:val="FootnoteText"/>
      </w:pPr>
      <w:r>
        <w:rPr>
          <w:rStyle w:val="FootnoteReference"/>
        </w:rPr>
        <w:footnoteRef/>
      </w:r>
      <w:r>
        <w:t xml:space="preserve"> Note, t</w:t>
      </w:r>
      <w:r w:rsidRPr="00E52B62">
        <w:t xml:space="preserve">here are no </w:t>
      </w:r>
      <w:r>
        <w:t xml:space="preserve">prescribed operating </w:t>
      </w:r>
      <w:r w:rsidRPr="00E52B62">
        <w:t>activities for which a new applicant can go straight into an operating licence</w:t>
      </w:r>
      <w:r>
        <w:t xml:space="preserve"> without first applying for a development licence. T</w:t>
      </w:r>
      <w:r w:rsidRPr="00E52B62">
        <w:t xml:space="preserve">here are a number of </w:t>
      </w:r>
      <w:r w:rsidRPr="007E352A">
        <w:t>prescribed</w:t>
      </w:r>
      <w:r>
        <w:t xml:space="preserve"> </w:t>
      </w:r>
      <w:r w:rsidRPr="00E52B62">
        <w:t xml:space="preserve">activities which can have a </w:t>
      </w:r>
      <w:r>
        <w:t>development licence</w:t>
      </w:r>
      <w:r w:rsidRPr="00E52B62">
        <w:t xml:space="preserve"> up front and then a permit, exemption or just no additional requirement</w:t>
      </w:r>
    </w:p>
  </w:footnote>
  <w:footnote w:id="325">
    <w:p w14:paraId="3DEFEA58" w14:textId="77777777" w:rsidR="00E752DE" w:rsidRDefault="00E752DE" w:rsidP="001433A1"/>
    <w:p w14:paraId="37FE08E3" w14:textId="77777777" w:rsidR="00E752DE" w:rsidRDefault="00E752DE" w:rsidP="001433A1"/>
  </w:footnote>
  <w:footnote w:id="326">
    <w:p w14:paraId="656B218C" w14:textId="77777777" w:rsidR="00E752DE" w:rsidRPr="00040A06" w:rsidRDefault="00E752DE" w:rsidP="00A717E7">
      <w:pPr>
        <w:rPr>
          <w:rFonts w:cs="Segoe UI Light"/>
          <w:sz w:val="16"/>
          <w:szCs w:val="16"/>
        </w:rPr>
      </w:pPr>
      <w:r w:rsidRPr="00040A06">
        <w:rPr>
          <w:rStyle w:val="FootnoteReference"/>
          <w:sz w:val="16"/>
          <w:szCs w:val="16"/>
        </w:rPr>
        <w:footnoteRef/>
      </w:r>
      <w:r w:rsidRPr="00040A06">
        <w:rPr>
          <w:sz w:val="16"/>
          <w:szCs w:val="16"/>
        </w:rPr>
        <w:t xml:space="preserve"> </w:t>
      </w:r>
      <w:r w:rsidRPr="00040A06">
        <w:rPr>
          <w:rFonts w:cs="Segoe UI Light"/>
          <w:sz w:val="16"/>
          <w:szCs w:val="16"/>
        </w:rPr>
        <w:t xml:space="preserve">The </w:t>
      </w:r>
      <w:r w:rsidRPr="00B10B84">
        <w:rPr>
          <w:rFonts w:cs="Segoe UI Light"/>
          <w:sz w:val="16"/>
          <w:szCs w:val="16"/>
        </w:rPr>
        <w:t>proposed ERSs</w:t>
      </w:r>
      <w:r w:rsidRPr="00B10B84">
        <w:t xml:space="preserve"> </w:t>
      </w:r>
      <w:r w:rsidRPr="00040A06">
        <w:rPr>
          <w:rFonts w:cs="Segoe UI Light"/>
          <w:sz w:val="16"/>
          <w:szCs w:val="16"/>
        </w:rPr>
        <w:t>and impact statement will be published for public comment in mid-2019.</w:t>
      </w:r>
    </w:p>
    <w:p w14:paraId="656B218D" w14:textId="77777777" w:rsidR="00E752DE" w:rsidRDefault="00E752DE" w:rsidP="00A717E7">
      <w:pPr>
        <w:pStyle w:val="FootnoteText"/>
      </w:pPr>
    </w:p>
  </w:footnote>
  <w:footnote w:id="327">
    <w:p w14:paraId="656B218E" w14:textId="77777777" w:rsidR="00E752DE" w:rsidRDefault="00E752DE" w:rsidP="00E92B8E">
      <w:pPr>
        <w:pStyle w:val="FootnoteText"/>
      </w:pPr>
      <w:r>
        <w:rPr>
          <w:rStyle w:val="FootnoteReference"/>
        </w:rPr>
        <w:footnoteRef/>
      </w:r>
      <w:r>
        <w:t xml:space="preserve"> Office of the Commissioner for Better Regulation. (2016). </w:t>
      </w:r>
      <w:r w:rsidRPr="0013388A">
        <w:rPr>
          <w:i/>
        </w:rPr>
        <w:t>Victorian Guide to Regulation: A handbook for policy-makers in Victoria</w:t>
      </w:r>
      <w:r>
        <w:t xml:space="preserve">. Melbourne, Australia. </w:t>
      </w:r>
      <w:hyperlink r:id="rId52" w:history="1">
        <w:r w:rsidRPr="00F05239">
          <w:rPr>
            <w:rStyle w:val="Hyperlink"/>
          </w:rPr>
          <w:t>http://www.betterregulation.vic.gov.au/files/98181269-905c-4893-bff3- a6bb009df93c/Victorian-Guide-to-Regulation-PDF-final.pdf</w:t>
        </w:r>
      </w:hyperlink>
      <w:r>
        <w:t xml:space="preserve"> </w:t>
      </w:r>
    </w:p>
  </w:footnote>
  <w:footnote w:id="328">
    <w:p w14:paraId="656B218F" w14:textId="77777777" w:rsidR="00E752DE" w:rsidRDefault="00E752DE">
      <w:pPr>
        <w:pStyle w:val="FootnoteText"/>
      </w:pPr>
      <w:r>
        <w:rPr>
          <w:rStyle w:val="FootnoteReference"/>
        </w:rPr>
        <w:footnoteRef/>
      </w:r>
      <w:r>
        <w:t xml:space="preserve"> </w:t>
      </w:r>
      <w:r w:rsidRPr="00BC098E">
        <w:t>State of the Environment 2018 report, available at https://www.ces.vic.gov.au/reports/state-environment-2018/water-quality, accessed April 2019</w:t>
      </w:r>
    </w:p>
  </w:footnote>
  <w:footnote w:id="329">
    <w:p w14:paraId="656B2190" w14:textId="77777777" w:rsidR="00E752DE" w:rsidRDefault="00E752DE" w:rsidP="00B2202D">
      <w:pPr>
        <w:pStyle w:val="FootnoteText"/>
        <w:rPr>
          <w:rFonts w:ascii="Arial" w:hAnsi="Arial" w:cs="Arial"/>
          <w:bCs/>
          <w:sz w:val="18"/>
          <w:szCs w:val="18"/>
        </w:rPr>
      </w:pPr>
      <w:r>
        <w:rPr>
          <w:rStyle w:val="FootnoteReference"/>
          <w:sz w:val="18"/>
          <w:szCs w:val="18"/>
        </w:rPr>
        <w:footnoteRef/>
      </w:r>
      <w:r>
        <w:rPr>
          <w:sz w:val="18"/>
          <w:szCs w:val="18"/>
        </w:rPr>
        <w:t xml:space="preserve"> EP Act section 93(1) and section 93(2).</w:t>
      </w:r>
    </w:p>
  </w:footnote>
  <w:footnote w:id="330">
    <w:p w14:paraId="656B2191" w14:textId="77777777" w:rsidR="00E752DE" w:rsidRDefault="00E752DE" w:rsidP="002E0EEB">
      <w:pPr>
        <w:pStyle w:val="FootnoteText"/>
      </w:pPr>
      <w:r>
        <w:rPr>
          <w:rStyle w:val="FootnoteReference"/>
        </w:rPr>
        <w:footnoteRef/>
      </w:r>
      <w:r>
        <w:t xml:space="preserve"> </w:t>
      </w:r>
      <w:r w:rsidRPr="0015733E">
        <w:t>Section 2.1.1</w:t>
      </w:r>
      <w:r>
        <w:t xml:space="preserve">, </w:t>
      </w:r>
      <w:r w:rsidRPr="0015733E">
        <w:rPr>
          <w:i/>
        </w:rPr>
        <w:t>Regulatory Impact Statement: proposed Environment Protection (Residential Noise) Regulations 2018</w:t>
      </w:r>
      <w:r>
        <w:t>, Publication 1694 – May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EE8" w14:textId="6AE0195F" w:rsidR="00E752DE" w:rsidRPr="000116B0" w:rsidRDefault="009144CD">
    <w:pPr>
      <w:pStyle w:val="Header"/>
    </w:pPr>
    <w:sdt>
      <w:sdtPr>
        <w:alias w:val="Title"/>
        <w:id w:val="212235996"/>
        <w:dataBinding w:prefixMappings="xmlns:ns0='http://purl.org/dc/elements/1.1/' xmlns:ns1='http://schemas.openxmlformats.org/package/2006/metadata/core-properties' " w:xpath="/ns1:coreProperties[1]/ns0:title[1]" w:storeItemID="{6C3C8BC8-F283-45AE-878A-BAB7291924A1}"/>
        <w:text/>
      </w:sdtPr>
      <w:sdtEndPr/>
      <w:sdtContent>
        <w:r w:rsidR="00E752DE">
          <w:t>Regulatory Impact Statement: Proposed Environment Protection Regulations</w:t>
        </w:r>
      </w:sdtContent>
    </w:sdt>
  </w:p>
  <w:p w14:paraId="656B1EE9" w14:textId="77777777" w:rsidR="00E752DE" w:rsidRDefault="00E752DE">
    <w:pPr>
      <w:pStyle w:val="Header"/>
    </w:pPr>
    <w:r>
      <w:rPr>
        <w:noProof/>
        <w:color w:val="2B579A"/>
        <w:shd w:val="clear" w:color="auto" w:fill="E6E6E6"/>
        <w:lang w:eastAsia="en-AU"/>
      </w:rPr>
      <mc:AlternateContent>
        <mc:Choice Requires="wps">
          <w:drawing>
            <wp:anchor distT="0" distB="0" distL="0" distR="0" simplePos="0" relativeHeight="251658244" behindDoc="1" locked="1" layoutInCell="1" allowOverlap="1" wp14:anchorId="656B1F45" wp14:editId="656B1F46">
              <wp:simplePos x="0" y="0"/>
              <wp:positionH relativeFrom="page">
                <wp:posOffset>0</wp:posOffset>
              </wp:positionH>
              <wp:positionV relativeFrom="page">
                <wp:posOffset>0</wp:posOffset>
              </wp:positionV>
              <wp:extent cx="2880000" cy="770400"/>
              <wp:effectExtent l="0" t="0" r="0" b="10795"/>
              <wp:wrapNone/>
              <wp:docPr id="65593939"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6B2239" w14:textId="77777777" w:rsidR="00E752DE" w:rsidRDefault="00E752DE"/>
                      </w:txbxContent>
                    </wps:txbx>
                    <wps:bodyPr rot="0" spcFirstLastPara="0" vertOverflow="overflow" horzOverflow="overflow" vert="horz" wrap="square" lIns="432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B1F45" id="_x0000_t202" coordsize="21600,21600" o:spt="202" path="m,l,21600r21600,l21600,xe">
              <v:stroke joinstyle="miter"/>
              <v:path gradientshapeok="t" o:connecttype="rect"/>
            </v:shapetype>
            <v:shape id="Commercial-in-confidence_Hide" o:spid="_x0000_s1083" type="#_x0000_t202" style="position:absolute;margin-left:0;margin-top:0;width:226.75pt;height:60.6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" filled="f" stroked="f" strokeweight=".5pt">
              <v:textbox inset="12mm,0,0,0">
                <w:txbxContent>
                  <w:p w14:paraId="656B2239" w14:textId="77777777" w:rsidR="00E752DE" w:rsidRDefault="00E752DE"/>
                </w:txbxContent>
              </v:textbox>
              <w10:wrap anchorx="page" anchory="page"/>
              <w10:anchorlock/>
            </v:shape>
          </w:pict>
        </mc:Fallback>
      </mc:AlternateContent>
    </w:r>
  </w:p>
  <w:p w14:paraId="656B1EEA" w14:textId="6EE72860" w:rsidR="00E752DE" w:rsidRDefault="00E752DE" w:rsidP="00CB1191">
    <w:pPr>
      <w:pStyle w:val="Header"/>
      <w:tabs>
        <w:tab w:val="clear" w:pos="4513"/>
        <w:tab w:val="clear" w:pos="9026"/>
        <w:tab w:val="left" w:pos="666"/>
      </w:tabs>
    </w:pPr>
    <w:r>
      <w:rPr>
        <w:noProof/>
        <w:color w:val="2B579A"/>
        <w:shd w:val="clear" w:color="auto" w:fill="E6E6E6"/>
        <w:lang w:eastAsia="en-AU"/>
      </w:rPr>
      <w:drawing>
        <wp:anchor distT="0" distB="0" distL="0" distR="0" simplePos="0" relativeHeight="251658359" behindDoc="1" locked="0" layoutInCell="1" allowOverlap="1" wp14:anchorId="656B1F47" wp14:editId="656B1F48">
          <wp:simplePos x="0" y="0"/>
          <wp:positionH relativeFrom="page">
            <wp:posOffset>3600000</wp:posOffset>
          </wp:positionH>
          <wp:positionV relativeFrom="page">
            <wp:posOffset>10188000</wp:posOffset>
          </wp:positionV>
          <wp:extent cx="5553450" cy="154800"/>
          <wp:effectExtent l="0" t="0" r="0" b="0"/>
          <wp:wrapNone/>
          <wp:docPr id="1" name="Public_Hide5" hidden="1"/>
          <wp:cNvGraphicFramePr/>
          <a:graphic xmlns:a="http://schemas.openxmlformats.org/drawingml/2006/main">
            <a:graphicData uri="http://schemas.openxmlformats.org/drawingml/2006/picture">
              <pic:pic xmlns:pic="http://schemas.openxmlformats.org/drawingml/2006/picture">
                <pic:nvPicPr>
                  <pic:cNvPr id="527703724" name="Public_Hide5"/>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61" behindDoc="1" locked="0" layoutInCell="1" allowOverlap="1" wp14:anchorId="656B1F4B" wp14:editId="656B1F4C">
          <wp:simplePos x="0" y="0"/>
          <wp:positionH relativeFrom="page">
            <wp:posOffset>3600000</wp:posOffset>
          </wp:positionH>
          <wp:positionV relativeFrom="page">
            <wp:posOffset>10188000</wp:posOffset>
          </wp:positionV>
          <wp:extent cx="5553450" cy="154800"/>
          <wp:effectExtent l="0" t="0" r="0" b="0"/>
          <wp:wrapNone/>
          <wp:docPr id="20" name="HighRisk_Hide5" hidden="1"/>
          <wp:cNvGraphicFramePr/>
          <a:graphic xmlns:a="http://schemas.openxmlformats.org/drawingml/2006/main">
            <a:graphicData uri="http://schemas.openxmlformats.org/drawingml/2006/picture">
              <pic:pic xmlns:pic="http://schemas.openxmlformats.org/drawingml/2006/picture">
                <pic:nvPicPr>
                  <pic:cNvPr id="1089190238" name="HighRisk_Hide5"/>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55" behindDoc="1" locked="0" layoutInCell="1" allowOverlap="1" wp14:anchorId="656B1F4D" wp14:editId="656B1F4E">
          <wp:simplePos x="0" y="0"/>
          <wp:positionH relativeFrom="page">
            <wp:posOffset>3600000</wp:posOffset>
          </wp:positionH>
          <wp:positionV relativeFrom="page">
            <wp:posOffset>10188000</wp:posOffset>
          </wp:positionV>
          <wp:extent cx="5553450" cy="154800"/>
          <wp:effectExtent l="0" t="0" r="0" b="0"/>
          <wp:wrapNone/>
          <wp:docPr id="28" name="Public_Hide5" hidden="1"/>
          <wp:cNvGraphicFramePr/>
          <a:graphic xmlns:a="http://schemas.openxmlformats.org/drawingml/2006/main">
            <a:graphicData uri="http://schemas.openxmlformats.org/drawingml/2006/picture">
              <pic:pic xmlns:pic="http://schemas.openxmlformats.org/drawingml/2006/picture">
                <pic:nvPicPr>
                  <pic:cNvPr id="527703724" name="Public_Hide5"/>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57" behindDoc="1" locked="0" layoutInCell="1" allowOverlap="1" wp14:anchorId="656B1F51" wp14:editId="656B1F52">
          <wp:simplePos x="0" y="0"/>
          <wp:positionH relativeFrom="page">
            <wp:posOffset>3600000</wp:posOffset>
          </wp:positionH>
          <wp:positionV relativeFrom="page">
            <wp:posOffset>10188000</wp:posOffset>
          </wp:positionV>
          <wp:extent cx="5553450" cy="154800"/>
          <wp:effectExtent l="0" t="0" r="0" b="0"/>
          <wp:wrapNone/>
          <wp:docPr id="1700302022" name="HighRisk_Hide5" hidden="1"/>
          <wp:cNvGraphicFramePr/>
          <a:graphic xmlns:a="http://schemas.openxmlformats.org/drawingml/2006/main">
            <a:graphicData uri="http://schemas.openxmlformats.org/drawingml/2006/picture">
              <pic:pic xmlns:pic="http://schemas.openxmlformats.org/drawingml/2006/picture">
                <pic:nvPicPr>
                  <pic:cNvPr id="1089190238" name="HighRisk_Hide5"/>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51" behindDoc="1" locked="0" layoutInCell="1" allowOverlap="1" wp14:anchorId="656B1F55" wp14:editId="656B1F56">
          <wp:simplePos x="0" y="0"/>
          <wp:positionH relativeFrom="page">
            <wp:posOffset>3600000</wp:posOffset>
          </wp:positionH>
          <wp:positionV relativeFrom="page">
            <wp:posOffset>10188000</wp:posOffset>
          </wp:positionV>
          <wp:extent cx="5553450" cy="154800"/>
          <wp:effectExtent l="0" t="0" r="0" b="0"/>
          <wp:wrapNone/>
          <wp:docPr id="1700302026" name="Public_Hide5" hidden="1"/>
          <wp:cNvGraphicFramePr/>
          <a:graphic xmlns:a="http://schemas.openxmlformats.org/drawingml/2006/main">
            <a:graphicData uri="http://schemas.openxmlformats.org/drawingml/2006/picture">
              <pic:pic xmlns:pic="http://schemas.openxmlformats.org/drawingml/2006/picture">
                <pic:nvPicPr>
                  <pic:cNvPr id="527703724" name="Public_Hide5"/>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53" behindDoc="1" locked="0" layoutInCell="1" allowOverlap="1" wp14:anchorId="656B1F57" wp14:editId="656B1F58">
          <wp:simplePos x="0" y="0"/>
          <wp:positionH relativeFrom="page">
            <wp:posOffset>3600000</wp:posOffset>
          </wp:positionH>
          <wp:positionV relativeFrom="page">
            <wp:posOffset>10188000</wp:posOffset>
          </wp:positionV>
          <wp:extent cx="5553450" cy="154800"/>
          <wp:effectExtent l="0" t="0" r="0" b="0"/>
          <wp:wrapNone/>
          <wp:docPr id="1700302027" name="HighRisk_Hide5" hidden="1"/>
          <wp:cNvGraphicFramePr/>
          <a:graphic xmlns:a="http://schemas.openxmlformats.org/drawingml/2006/main">
            <a:graphicData uri="http://schemas.openxmlformats.org/drawingml/2006/picture">
              <pic:pic xmlns:pic="http://schemas.openxmlformats.org/drawingml/2006/picture">
                <pic:nvPicPr>
                  <pic:cNvPr id="1089190238" name="HighRisk_Hide5"/>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39" behindDoc="1" locked="0" layoutInCell="1" allowOverlap="1" wp14:anchorId="656B1F5B" wp14:editId="656B1F5C">
          <wp:simplePos x="0" y="0"/>
          <wp:positionH relativeFrom="page">
            <wp:posOffset>3600000</wp:posOffset>
          </wp:positionH>
          <wp:positionV relativeFrom="page">
            <wp:posOffset>10188000</wp:posOffset>
          </wp:positionV>
          <wp:extent cx="5553450" cy="154800"/>
          <wp:effectExtent l="0" t="0" r="0" b="0"/>
          <wp:wrapNone/>
          <wp:docPr id="1700302032" name="Public_Hide5" hidden="1"/>
          <wp:cNvGraphicFramePr/>
          <a:graphic xmlns:a="http://schemas.openxmlformats.org/drawingml/2006/main">
            <a:graphicData uri="http://schemas.openxmlformats.org/drawingml/2006/picture">
              <pic:pic xmlns:pic="http://schemas.openxmlformats.org/drawingml/2006/picture">
                <pic:nvPicPr>
                  <pic:cNvPr id="527703724" name="Public_Hide5"/>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41" behindDoc="1" locked="0" layoutInCell="1" allowOverlap="1" wp14:anchorId="656B1F5D" wp14:editId="656B1F5E">
          <wp:simplePos x="0" y="0"/>
          <wp:positionH relativeFrom="page">
            <wp:posOffset>3600000</wp:posOffset>
          </wp:positionH>
          <wp:positionV relativeFrom="page">
            <wp:posOffset>10188000</wp:posOffset>
          </wp:positionV>
          <wp:extent cx="5553450" cy="154800"/>
          <wp:effectExtent l="0" t="0" r="0" b="0"/>
          <wp:wrapNone/>
          <wp:docPr id="1700302033" name="HighRisk_Hide5" hidden="1"/>
          <wp:cNvGraphicFramePr/>
          <a:graphic xmlns:a="http://schemas.openxmlformats.org/drawingml/2006/main">
            <a:graphicData uri="http://schemas.openxmlformats.org/drawingml/2006/picture">
              <pic:pic xmlns:pic="http://schemas.openxmlformats.org/drawingml/2006/picture">
                <pic:nvPicPr>
                  <pic:cNvPr id="1089190238" name="HighRisk_Hide5"/>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35" behindDoc="1" locked="0" layoutInCell="1" allowOverlap="1" wp14:anchorId="656B1F5F" wp14:editId="656B1F60">
          <wp:simplePos x="0" y="0"/>
          <wp:positionH relativeFrom="page">
            <wp:posOffset>3600000</wp:posOffset>
          </wp:positionH>
          <wp:positionV relativeFrom="page">
            <wp:posOffset>10188000</wp:posOffset>
          </wp:positionV>
          <wp:extent cx="5553450" cy="154800"/>
          <wp:effectExtent l="0" t="0" r="0" b="0"/>
          <wp:wrapNone/>
          <wp:docPr id="1700302035" name="Public_Hide5" hidden="1"/>
          <wp:cNvGraphicFramePr/>
          <a:graphic xmlns:a="http://schemas.openxmlformats.org/drawingml/2006/main">
            <a:graphicData uri="http://schemas.openxmlformats.org/drawingml/2006/picture">
              <pic:pic xmlns:pic="http://schemas.openxmlformats.org/drawingml/2006/picture">
                <pic:nvPicPr>
                  <pic:cNvPr id="527703724" name="Public_Hide5"/>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37" behindDoc="1" locked="0" layoutInCell="1" allowOverlap="1" wp14:anchorId="656B1F61" wp14:editId="656B1F62">
          <wp:simplePos x="0" y="0"/>
          <wp:positionH relativeFrom="page">
            <wp:posOffset>3600000</wp:posOffset>
          </wp:positionH>
          <wp:positionV relativeFrom="page">
            <wp:posOffset>10188000</wp:posOffset>
          </wp:positionV>
          <wp:extent cx="5553450" cy="154800"/>
          <wp:effectExtent l="0" t="0" r="0" b="0"/>
          <wp:wrapNone/>
          <wp:docPr id="1700302037" name="HighRisk_Hide5" hidden="1"/>
          <wp:cNvGraphicFramePr/>
          <a:graphic xmlns:a="http://schemas.openxmlformats.org/drawingml/2006/main">
            <a:graphicData uri="http://schemas.openxmlformats.org/drawingml/2006/picture">
              <pic:pic xmlns:pic="http://schemas.openxmlformats.org/drawingml/2006/picture">
                <pic:nvPicPr>
                  <pic:cNvPr id="1089190238" name="HighRisk_Hide5"/>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54" behindDoc="1" locked="0" layoutInCell="1" allowOverlap="1" wp14:anchorId="656B1F63" wp14:editId="656B1F64">
          <wp:simplePos x="0" y="0"/>
          <wp:positionH relativeFrom="page">
            <wp:posOffset>3600000</wp:posOffset>
          </wp:positionH>
          <wp:positionV relativeFrom="page">
            <wp:posOffset>10188000</wp:posOffset>
          </wp:positionV>
          <wp:extent cx="5553450" cy="154800"/>
          <wp:effectExtent l="0" t="0" r="0" b="0"/>
          <wp:wrapNone/>
          <wp:docPr id="1700302038" name="Public_Hide5" hidden="1"/>
          <wp:cNvGraphicFramePr/>
          <a:graphic xmlns:a="http://schemas.openxmlformats.org/drawingml/2006/main">
            <a:graphicData uri="http://schemas.openxmlformats.org/drawingml/2006/picture">
              <pic:pic xmlns:pic="http://schemas.openxmlformats.org/drawingml/2006/picture">
                <pic:nvPicPr>
                  <pic:cNvPr id="527703724" name="Public_Hide5"/>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56" behindDoc="1" locked="0" layoutInCell="1" allowOverlap="1" wp14:anchorId="656B1F67" wp14:editId="656B1F68">
          <wp:simplePos x="0" y="0"/>
          <wp:positionH relativeFrom="page">
            <wp:posOffset>3600000</wp:posOffset>
          </wp:positionH>
          <wp:positionV relativeFrom="page">
            <wp:posOffset>10188000</wp:posOffset>
          </wp:positionV>
          <wp:extent cx="5553450" cy="154800"/>
          <wp:effectExtent l="0" t="0" r="0" b="0"/>
          <wp:wrapNone/>
          <wp:docPr id="1700302050" name="HighRisk_Hide5" hidden="1"/>
          <wp:cNvGraphicFramePr/>
          <a:graphic xmlns:a="http://schemas.openxmlformats.org/drawingml/2006/main">
            <a:graphicData uri="http://schemas.openxmlformats.org/drawingml/2006/picture">
              <pic:pic xmlns:pic="http://schemas.openxmlformats.org/drawingml/2006/picture">
                <pic:nvPicPr>
                  <pic:cNvPr id="1089190238" name="HighRisk_Hide5"/>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41" behindDoc="1" locked="0" layoutInCell="1" allowOverlap="1" wp14:anchorId="656B1F69" wp14:editId="656B1F6A">
          <wp:simplePos x="0" y="0"/>
          <wp:positionH relativeFrom="page">
            <wp:posOffset>3600000</wp:posOffset>
          </wp:positionH>
          <wp:positionV relativeFrom="page">
            <wp:posOffset>10188000</wp:posOffset>
          </wp:positionV>
          <wp:extent cx="5553450" cy="154800"/>
          <wp:effectExtent l="0" t="0" r="0" b="0"/>
          <wp:wrapNone/>
          <wp:docPr id="1700302055" name="Public_Hide5" hidden="1"/>
          <wp:cNvGraphicFramePr/>
          <a:graphic xmlns:a="http://schemas.openxmlformats.org/drawingml/2006/main">
            <a:graphicData uri="http://schemas.openxmlformats.org/drawingml/2006/picture">
              <pic:pic xmlns:pic="http://schemas.openxmlformats.org/drawingml/2006/picture">
                <pic:nvPicPr>
                  <pic:cNvPr id="527703724" name="Public_Hide5"/>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43" behindDoc="1" locked="0" layoutInCell="1" allowOverlap="1" wp14:anchorId="656B1F6D" wp14:editId="656B1F6E">
          <wp:simplePos x="0" y="0"/>
          <wp:positionH relativeFrom="page">
            <wp:posOffset>3600000</wp:posOffset>
          </wp:positionH>
          <wp:positionV relativeFrom="page">
            <wp:posOffset>10188000</wp:posOffset>
          </wp:positionV>
          <wp:extent cx="5553450" cy="154800"/>
          <wp:effectExtent l="0" t="0" r="0" b="0"/>
          <wp:wrapNone/>
          <wp:docPr id="1700302066" name="HighRisk_Hide5" hidden="1"/>
          <wp:cNvGraphicFramePr/>
          <a:graphic xmlns:a="http://schemas.openxmlformats.org/drawingml/2006/main">
            <a:graphicData uri="http://schemas.openxmlformats.org/drawingml/2006/picture">
              <pic:pic xmlns:pic="http://schemas.openxmlformats.org/drawingml/2006/picture">
                <pic:nvPicPr>
                  <pic:cNvPr id="1089190238" name="HighRisk_Hide5"/>
                  <pic:cNvPicPr/>
                </pic:nvPicPr>
                <pic:blipFill>
                  <a:blip r:embed="rId2"/>
                  <a:srcRect/>
                  <a:stretch/>
                </pic:blipFill>
                <pic:spPr>
                  <a:xfrm>
                    <a:off x="0" y="0"/>
                    <a:ext cx="5553450" cy="154800"/>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F29" w14:textId="77777777" w:rsidR="00E752DE" w:rsidRDefault="00E752DE" w:rsidP="00094CBC">
    <w:r>
      <w:rPr>
        <w:noProof/>
        <w:color w:val="2B579A"/>
        <w:shd w:val="clear" w:color="auto" w:fill="E6E6E6"/>
        <w:lang w:eastAsia="en-AU"/>
      </w:rPr>
      <w:drawing>
        <wp:anchor distT="0" distB="0" distL="0" distR="0" simplePos="0" relativeHeight="251658299" behindDoc="1" locked="0" layoutInCell="1" allowOverlap="1" wp14:anchorId="656B2009" wp14:editId="656B200A">
          <wp:simplePos x="0" y="0"/>
          <wp:positionH relativeFrom="page">
            <wp:posOffset>3600000</wp:posOffset>
          </wp:positionH>
          <wp:positionV relativeFrom="page">
            <wp:posOffset>10188000</wp:posOffset>
          </wp:positionV>
          <wp:extent cx="5553450" cy="154800"/>
          <wp:effectExtent l="0" t="0" r="0" b="0"/>
          <wp:wrapNone/>
          <wp:docPr id="65593931"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00" behindDoc="1" locked="0" layoutInCell="1" allowOverlap="1" wp14:anchorId="656B200B" wp14:editId="656B200C">
          <wp:simplePos x="0" y="0"/>
          <wp:positionH relativeFrom="page">
            <wp:posOffset>3600000</wp:posOffset>
          </wp:positionH>
          <wp:positionV relativeFrom="page">
            <wp:posOffset>10188000</wp:posOffset>
          </wp:positionV>
          <wp:extent cx="5553450" cy="154800"/>
          <wp:effectExtent l="0" t="0" r="0" b="0"/>
          <wp:wrapNone/>
          <wp:docPr id="65593932"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91" behindDoc="1" locked="0" layoutInCell="1" allowOverlap="1" wp14:anchorId="656B200D" wp14:editId="656B200E">
          <wp:simplePos x="0" y="0"/>
          <wp:positionH relativeFrom="page">
            <wp:posOffset>3600000</wp:posOffset>
          </wp:positionH>
          <wp:positionV relativeFrom="page">
            <wp:posOffset>10188000</wp:posOffset>
          </wp:positionV>
          <wp:extent cx="5553450" cy="154800"/>
          <wp:effectExtent l="0" t="0" r="0" b="0"/>
          <wp:wrapNone/>
          <wp:docPr id="65593933"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92" behindDoc="1" locked="0" layoutInCell="1" allowOverlap="1" wp14:anchorId="656B200F" wp14:editId="656B2010">
          <wp:simplePos x="0" y="0"/>
          <wp:positionH relativeFrom="page">
            <wp:posOffset>3600000</wp:posOffset>
          </wp:positionH>
          <wp:positionV relativeFrom="page">
            <wp:posOffset>10188000</wp:posOffset>
          </wp:positionV>
          <wp:extent cx="5553450" cy="154800"/>
          <wp:effectExtent l="0" t="0" r="0" b="0"/>
          <wp:wrapNone/>
          <wp:docPr id="65593934"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83" behindDoc="1" locked="0" layoutInCell="1" allowOverlap="1" wp14:anchorId="656B2011" wp14:editId="656B2012">
          <wp:simplePos x="0" y="0"/>
          <wp:positionH relativeFrom="page">
            <wp:posOffset>3600000</wp:posOffset>
          </wp:positionH>
          <wp:positionV relativeFrom="page">
            <wp:posOffset>10188000</wp:posOffset>
          </wp:positionV>
          <wp:extent cx="5553450" cy="154800"/>
          <wp:effectExtent l="0" t="0" r="0" b="0"/>
          <wp:wrapNone/>
          <wp:docPr id="65593935"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84" behindDoc="1" locked="0" layoutInCell="1" allowOverlap="1" wp14:anchorId="656B2013" wp14:editId="656B2014">
          <wp:simplePos x="0" y="0"/>
          <wp:positionH relativeFrom="page">
            <wp:posOffset>3600000</wp:posOffset>
          </wp:positionH>
          <wp:positionV relativeFrom="page">
            <wp:posOffset>10188000</wp:posOffset>
          </wp:positionV>
          <wp:extent cx="5553450" cy="154800"/>
          <wp:effectExtent l="0" t="0" r="0" b="0"/>
          <wp:wrapNone/>
          <wp:docPr id="65593936"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p>
  <w:p w14:paraId="656B1F2A" w14:textId="77777777" w:rsidR="00E752DE" w:rsidRDefault="00E752DE">
    <w:pPr>
      <w:pStyle w:val="Header"/>
    </w:pPr>
  </w:p>
  <w:p w14:paraId="656B1F2B" w14:textId="77777777" w:rsidR="00E752DE" w:rsidRDefault="00E752D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F2C" w14:textId="77777777" w:rsidR="00E752DE" w:rsidRDefault="00E752DE">
    <w:r>
      <w:rPr>
        <w:noProof/>
        <w:color w:val="2B579A"/>
        <w:shd w:val="clear" w:color="auto" w:fill="E6E6E6"/>
        <w:lang w:eastAsia="en-AU"/>
      </w:rPr>
      <w:drawing>
        <wp:anchor distT="0" distB="0" distL="0" distR="0" simplePos="0" relativeHeight="251658301" behindDoc="1" locked="0" layoutInCell="1" allowOverlap="1" wp14:anchorId="656B2015" wp14:editId="656B2016">
          <wp:simplePos x="0" y="0"/>
          <wp:positionH relativeFrom="page">
            <wp:posOffset>3600000</wp:posOffset>
          </wp:positionH>
          <wp:positionV relativeFrom="page">
            <wp:posOffset>10188000</wp:posOffset>
          </wp:positionV>
          <wp:extent cx="5553450" cy="154800"/>
          <wp:effectExtent l="0" t="0" r="0" b="0"/>
          <wp:wrapNone/>
          <wp:docPr id="65593937"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02" behindDoc="1" locked="0" layoutInCell="1" allowOverlap="1" wp14:anchorId="656B2017" wp14:editId="656B2018">
          <wp:simplePos x="0" y="0"/>
          <wp:positionH relativeFrom="page">
            <wp:posOffset>3600000</wp:posOffset>
          </wp:positionH>
          <wp:positionV relativeFrom="page">
            <wp:posOffset>10188000</wp:posOffset>
          </wp:positionV>
          <wp:extent cx="5553450" cy="154800"/>
          <wp:effectExtent l="0" t="0" r="0" b="0"/>
          <wp:wrapNone/>
          <wp:docPr id="65593938"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93" behindDoc="1" locked="0" layoutInCell="1" allowOverlap="1" wp14:anchorId="656B2019" wp14:editId="656B201A">
          <wp:simplePos x="0" y="0"/>
          <wp:positionH relativeFrom="page">
            <wp:posOffset>3600000</wp:posOffset>
          </wp:positionH>
          <wp:positionV relativeFrom="page">
            <wp:posOffset>10188000</wp:posOffset>
          </wp:positionV>
          <wp:extent cx="5553450" cy="154800"/>
          <wp:effectExtent l="0" t="0" r="0" b="0"/>
          <wp:wrapNone/>
          <wp:docPr id="65593940"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94" behindDoc="1" locked="0" layoutInCell="1" allowOverlap="1" wp14:anchorId="656B201B" wp14:editId="656B201C">
          <wp:simplePos x="0" y="0"/>
          <wp:positionH relativeFrom="page">
            <wp:posOffset>3600000</wp:posOffset>
          </wp:positionH>
          <wp:positionV relativeFrom="page">
            <wp:posOffset>10188000</wp:posOffset>
          </wp:positionV>
          <wp:extent cx="5553450" cy="154800"/>
          <wp:effectExtent l="0" t="0" r="0" b="0"/>
          <wp:wrapNone/>
          <wp:docPr id="65593941"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85" behindDoc="1" locked="0" layoutInCell="1" allowOverlap="1" wp14:anchorId="656B201D" wp14:editId="656B201E">
          <wp:simplePos x="0" y="0"/>
          <wp:positionH relativeFrom="page">
            <wp:posOffset>3600000</wp:posOffset>
          </wp:positionH>
          <wp:positionV relativeFrom="page">
            <wp:posOffset>10188000</wp:posOffset>
          </wp:positionV>
          <wp:extent cx="5553450" cy="154800"/>
          <wp:effectExtent l="0" t="0" r="0" b="0"/>
          <wp:wrapNone/>
          <wp:docPr id="65593942"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86" behindDoc="1" locked="0" layoutInCell="1" allowOverlap="1" wp14:anchorId="656B201F" wp14:editId="656B2020">
          <wp:simplePos x="0" y="0"/>
          <wp:positionH relativeFrom="page">
            <wp:posOffset>3600000</wp:posOffset>
          </wp:positionH>
          <wp:positionV relativeFrom="page">
            <wp:posOffset>10188000</wp:posOffset>
          </wp:positionV>
          <wp:extent cx="5553450" cy="154800"/>
          <wp:effectExtent l="0" t="0" r="0" b="0"/>
          <wp:wrapNone/>
          <wp:docPr id="65593943"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p>
  <w:p w14:paraId="656B1F2D" w14:textId="77777777" w:rsidR="00E752DE" w:rsidRDefault="00E752DE"/>
  <w:p w14:paraId="656B1F2E" w14:textId="77777777" w:rsidR="00E752DE" w:rsidRDefault="00E752DE" w:rsidP="00094CBC">
    <w:pPr>
      <w:pStyle w:val="Footer"/>
      <w:rPr>
        <w:rStyle w:val="PageNumber"/>
      </w:rPr>
    </w:pPr>
  </w:p>
  <w:p w14:paraId="656B1F2F" w14:textId="77777777" w:rsidR="00E752DE" w:rsidRDefault="00E752DE">
    <w:pPr>
      <w:pStyle w:val="Footer"/>
      <w:rPr>
        <w:rStyle w:val="PageNumbe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F3B" w14:textId="77777777" w:rsidR="00E752DE" w:rsidRDefault="00E752DE" w:rsidP="00094CBC">
    <w:r>
      <w:rPr>
        <w:noProof/>
        <w:color w:val="2B579A"/>
        <w:shd w:val="clear" w:color="auto" w:fill="E6E6E6"/>
        <w:lang w:eastAsia="en-AU"/>
      </w:rPr>
      <w:drawing>
        <wp:anchor distT="0" distB="0" distL="0" distR="0" simplePos="0" relativeHeight="251658303" behindDoc="0" locked="0" layoutInCell="1" allowOverlap="1" wp14:anchorId="656B2021" wp14:editId="656B2022">
          <wp:simplePos x="0" y="0"/>
          <wp:positionH relativeFrom="margin">
            <wp:align>left</wp:align>
          </wp:positionH>
          <wp:positionV relativeFrom="page">
            <wp:posOffset>10314000</wp:posOffset>
          </wp:positionV>
          <wp:extent cx="5940000" cy="156704"/>
          <wp:effectExtent l="0" t="0" r="0" b="0"/>
          <wp:wrapNone/>
          <wp:docPr id="65593944" name="Draft_Text8"/>
          <wp:cNvGraphicFramePr/>
          <a:graphic xmlns:a="http://schemas.openxmlformats.org/drawingml/2006/main">
            <a:graphicData uri="http://schemas.openxmlformats.org/drawingml/2006/picture">
              <pic:pic xmlns:pic="http://schemas.openxmlformats.org/drawingml/2006/picture">
                <pic:nvPicPr>
                  <pic:cNvPr id="895406505" name="Draft_Text8"/>
                  <pic:cNvPicPr/>
                </pic:nvPicPr>
                <pic:blipFill>
                  <a:blip r:embed="rId1"/>
                  <a:srcRect/>
                  <a:stretch/>
                </pic:blipFill>
                <pic:spPr>
                  <a:xfrm>
                    <a:off x="0" y="0"/>
                    <a:ext cx="5940000" cy="156704"/>
                  </a:xfrm>
                  <a:prstGeom prst="rect">
                    <a:avLst/>
                  </a:prstGeom>
                </pic:spPr>
              </pic:pic>
            </a:graphicData>
          </a:graphic>
        </wp:anchor>
      </w:drawing>
    </w:r>
    <w:r>
      <w:rPr>
        <w:noProof/>
        <w:color w:val="2B579A"/>
        <w:shd w:val="clear" w:color="auto" w:fill="E6E6E6"/>
        <w:lang w:eastAsia="en-AU"/>
      </w:rPr>
      <w:drawing>
        <wp:anchor distT="0" distB="0" distL="0" distR="0" simplePos="0" relativeHeight="251658304" behindDoc="1" locked="0" layoutInCell="1" allowOverlap="1" wp14:anchorId="656B2023" wp14:editId="656B2024">
          <wp:simplePos x="0" y="0"/>
          <wp:positionH relativeFrom="page">
            <wp:posOffset>3600000</wp:posOffset>
          </wp:positionH>
          <wp:positionV relativeFrom="page">
            <wp:posOffset>10188000</wp:posOffset>
          </wp:positionV>
          <wp:extent cx="5553450" cy="154800"/>
          <wp:effectExtent l="0" t="0" r="0" b="0"/>
          <wp:wrapNone/>
          <wp:docPr id="65593945"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05" behindDoc="1" locked="0" layoutInCell="1" allowOverlap="1" wp14:anchorId="656B2025" wp14:editId="656B2026">
          <wp:simplePos x="0" y="0"/>
          <wp:positionH relativeFrom="page">
            <wp:posOffset>3600000</wp:posOffset>
          </wp:positionH>
          <wp:positionV relativeFrom="page">
            <wp:posOffset>10188000</wp:posOffset>
          </wp:positionV>
          <wp:extent cx="5553450" cy="154800"/>
          <wp:effectExtent l="0" t="0" r="0" b="0"/>
          <wp:wrapNone/>
          <wp:docPr id="65593947" name="Confidential_Hide8"/>
          <wp:cNvGraphicFramePr/>
          <a:graphic xmlns:a="http://schemas.openxmlformats.org/drawingml/2006/main">
            <a:graphicData uri="http://schemas.openxmlformats.org/drawingml/2006/picture">
              <pic:pic xmlns:pic="http://schemas.openxmlformats.org/drawingml/2006/picture">
                <pic:nvPicPr>
                  <pic:cNvPr id="391513294" name="Confidential_Hide8"/>
                  <pic:cNvPicPr/>
                </pic:nvPicPr>
                <pic:blipFill>
                  <a:blip r:embed="rId3"/>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06" behindDoc="1" locked="0" layoutInCell="1" allowOverlap="1" wp14:anchorId="656B2027" wp14:editId="656B2028">
          <wp:simplePos x="0" y="0"/>
          <wp:positionH relativeFrom="page">
            <wp:posOffset>3600000</wp:posOffset>
          </wp:positionH>
          <wp:positionV relativeFrom="page">
            <wp:posOffset>10188000</wp:posOffset>
          </wp:positionV>
          <wp:extent cx="5553450" cy="154800"/>
          <wp:effectExtent l="0" t="0" r="0" b="0"/>
          <wp:wrapNone/>
          <wp:docPr id="65593948"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4"/>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95" behindDoc="0" locked="0" layoutInCell="1" allowOverlap="1" wp14:anchorId="656B2029" wp14:editId="656B202A">
          <wp:simplePos x="0" y="0"/>
          <wp:positionH relativeFrom="margin">
            <wp:align>left</wp:align>
          </wp:positionH>
          <wp:positionV relativeFrom="page">
            <wp:posOffset>10314000</wp:posOffset>
          </wp:positionV>
          <wp:extent cx="5940000" cy="156704"/>
          <wp:effectExtent l="0" t="0" r="0" b="0"/>
          <wp:wrapNone/>
          <wp:docPr id="65593949" name="Draft_Text8"/>
          <wp:cNvGraphicFramePr/>
          <a:graphic xmlns:a="http://schemas.openxmlformats.org/drawingml/2006/main">
            <a:graphicData uri="http://schemas.openxmlformats.org/drawingml/2006/picture">
              <pic:pic xmlns:pic="http://schemas.openxmlformats.org/drawingml/2006/picture">
                <pic:nvPicPr>
                  <pic:cNvPr id="895406505" name="Draft_Text8"/>
                  <pic:cNvPicPr/>
                </pic:nvPicPr>
                <pic:blipFill>
                  <a:blip r:embed="rId1"/>
                  <a:srcRect/>
                  <a:stretch/>
                </pic:blipFill>
                <pic:spPr>
                  <a:xfrm>
                    <a:off x="0" y="0"/>
                    <a:ext cx="5940000" cy="156704"/>
                  </a:xfrm>
                  <a:prstGeom prst="rect">
                    <a:avLst/>
                  </a:prstGeom>
                </pic:spPr>
              </pic:pic>
            </a:graphicData>
          </a:graphic>
        </wp:anchor>
      </w:drawing>
    </w:r>
    <w:r>
      <w:rPr>
        <w:noProof/>
        <w:color w:val="2B579A"/>
        <w:shd w:val="clear" w:color="auto" w:fill="E6E6E6"/>
        <w:lang w:eastAsia="en-AU"/>
      </w:rPr>
      <w:drawing>
        <wp:anchor distT="0" distB="0" distL="0" distR="0" simplePos="0" relativeHeight="251658296" behindDoc="1" locked="0" layoutInCell="1" allowOverlap="1" wp14:anchorId="656B202B" wp14:editId="656B202C">
          <wp:simplePos x="0" y="0"/>
          <wp:positionH relativeFrom="page">
            <wp:posOffset>3600000</wp:posOffset>
          </wp:positionH>
          <wp:positionV relativeFrom="page">
            <wp:posOffset>10188000</wp:posOffset>
          </wp:positionV>
          <wp:extent cx="5553450" cy="154800"/>
          <wp:effectExtent l="0" t="0" r="0" b="0"/>
          <wp:wrapNone/>
          <wp:docPr id="65593950"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97" behindDoc="1" locked="0" layoutInCell="1" allowOverlap="1" wp14:anchorId="656B202D" wp14:editId="656B202E">
          <wp:simplePos x="0" y="0"/>
          <wp:positionH relativeFrom="page">
            <wp:posOffset>3600000</wp:posOffset>
          </wp:positionH>
          <wp:positionV relativeFrom="page">
            <wp:posOffset>10188000</wp:posOffset>
          </wp:positionV>
          <wp:extent cx="5553450" cy="154800"/>
          <wp:effectExtent l="0" t="0" r="0" b="0"/>
          <wp:wrapNone/>
          <wp:docPr id="65593951" name="Confidential_Hide8"/>
          <wp:cNvGraphicFramePr/>
          <a:graphic xmlns:a="http://schemas.openxmlformats.org/drawingml/2006/main">
            <a:graphicData uri="http://schemas.openxmlformats.org/drawingml/2006/picture">
              <pic:pic xmlns:pic="http://schemas.openxmlformats.org/drawingml/2006/picture">
                <pic:nvPicPr>
                  <pic:cNvPr id="391513294" name="Confidential_Hide8"/>
                  <pic:cNvPicPr/>
                </pic:nvPicPr>
                <pic:blipFill>
                  <a:blip r:embed="rId3"/>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98" behindDoc="1" locked="0" layoutInCell="1" allowOverlap="1" wp14:anchorId="656B202F" wp14:editId="656B2030">
          <wp:simplePos x="0" y="0"/>
          <wp:positionH relativeFrom="page">
            <wp:posOffset>3600000</wp:posOffset>
          </wp:positionH>
          <wp:positionV relativeFrom="page">
            <wp:posOffset>10188000</wp:posOffset>
          </wp:positionV>
          <wp:extent cx="5553450" cy="154800"/>
          <wp:effectExtent l="0" t="0" r="0" b="0"/>
          <wp:wrapNone/>
          <wp:docPr id="1565245696"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4"/>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87" behindDoc="0" locked="0" layoutInCell="1" allowOverlap="1" wp14:anchorId="656B2031" wp14:editId="656B2032">
          <wp:simplePos x="0" y="0"/>
          <wp:positionH relativeFrom="margin">
            <wp:align>left</wp:align>
          </wp:positionH>
          <wp:positionV relativeFrom="page">
            <wp:posOffset>10314000</wp:posOffset>
          </wp:positionV>
          <wp:extent cx="5940000" cy="156704"/>
          <wp:effectExtent l="0" t="0" r="0" b="0"/>
          <wp:wrapNone/>
          <wp:docPr id="1565245697" name="Draft_Text8"/>
          <wp:cNvGraphicFramePr/>
          <a:graphic xmlns:a="http://schemas.openxmlformats.org/drawingml/2006/main">
            <a:graphicData uri="http://schemas.openxmlformats.org/drawingml/2006/picture">
              <pic:pic xmlns:pic="http://schemas.openxmlformats.org/drawingml/2006/picture">
                <pic:nvPicPr>
                  <pic:cNvPr id="895406505" name="Draft_Text8"/>
                  <pic:cNvPicPr/>
                </pic:nvPicPr>
                <pic:blipFill>
                  <a:blip r:embed="rId1"/>
                  <a:srcRect/>
                  <a:stretch/>
                </pic:blipFill>
                <pic:spPr>
                  <a:xfrm>
                    <a:off x="0" y="0"/>
                    <a:ext cx="5940000" cy="156704"/>
                  </a:xfrm>
                  <a:prstGeom prst="rect">
                    <a:avLst/>
                  </a:prstGeom>
                </pic:spPr>
              </pic:pic>
            </a:graphicData>
          </a:graphic>
        </wp:anchor>
      </w:drawing>
    </w:r>
    <w:r>
      <w:rPr>
        <w:noProof/>
        <w:color w:val="2B579A"/>
        <w:shd w:val="clear" w:color="auto" w:fill="E6E6E6"/>
        <w:lang w:eastAsia="en-AU"/>
      </w:rPr>
      <w:drawing>
        <wp:anchor distT="0" distB="0" distL="0" distR="0" simplePos="0" relativeHeight="251658288" behindDoc="1" locked="0" layoutInCell="1" allowOverlap="1" wp14:anchorId="656B2033" wp14:editId="656B2034">
          <wp:simplePos x="0" y="0"/>
          <wp:positionH relativeFrom="page">
            <wp:posOffset>3600000</wp:posOffset>
          </wp:positionH>
          <wp:positionV relativeFrom="page">
            <wp:posOffset>10188000</wp:posOffset>
          </wp:positionV>
          <wp:extent cx="5553450" cy="154800"/>
          <wp:effectExtent l="0" t="0" r="0" b="0"/>
          <wp:wrapNone/>
          <wp:docPr id="1565245698"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89" behindDoc="1" locked="0" layoutInCell="1" allowOverlap="1" wp14:anchorId="656B2035" wp14:editId="656B2036">
          <wp:simplePos x="0" y="0"/>
          <wp:positionH relativeFrom="page">
            <wp:posOffset>3600000</wp:posOffset>
          </wp:positionH>
          <wp:positionV relativeFrom="page">
            <wp:posOffset>10188000</wp:posOffset>
          </wp:positionV>
          <wp:extent cx="5553450" cy="154800"/>
          <wp:effectExtent l="0" t="0" r="0" b="0"/>
          <wp:wrapNone/>
          <wp:docPr id="1565245699" name="Confidential_Hide8"/>
          <wp:cNvGraphicFramePr/>
          <a:graphic xmlns:a="http://schemas.openxmlformats.org/drawingml/2006/main">
            <a:graphicData uri="http://schemas.openxmlformats.org/drawingml/2006/picture">
              <pic:pic xmlns:pic="http://schemas.openxmlformats.org/drawingml/2006/picture">
                <pic:nvPicPr>
                  <pic:cNvPr id="391513294" name="Confidential_Hide8"/>
                  <pic:cNvPicPr/>
                </pic:nvPicPr>
                <pic:blipFill>
                  <a:blip r:embed="rId3"/>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90" behindDoc="1" locked="0" layoutInCell="1" allowOverlap="1" wp14:anchorId="656B2037" wp14:editId="656B2038">
          <wp:simplePos x="0" y="0"/>
          <wp:positionH relativeFrom="page">
            <wp:posOffset>3600000</wp:posOffset>
          </wp:positionH>
          <wp:positionV relativeFrom="page">
            <wp:posOffset>10188000</wp:posOffset>
          </wp:positionV>
          <wp:extent cx="5553450" cy="154800"/>
          <wp:effectExtent l="0" t="0" r="0" b="0"/>
          <wp:wrapNone/>
          <wp:docPr id="1565245700"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4"/>
                  <a:srcRect/>
                  <a:stretch/>
                </pic:blipFill>
                <pic:spPr>
                  <a:xfrm>
                    <a:off x="0" y="0"/>
                    <a:ext cx="5553450" cy="154800"/>
                  </a:xfrm>
                  <a:prstGeom prst="rect">
                    <a:avLst/>
                  </a:prstGeom>
                </pic:spPr>
              </pic:pic>
            </a:graphicData>
          </a:graphic>
        </wp:anchor>
      </w:drawing>
    </w:r>
  </w:p>
  <w:p w14:paraId="656B1F3C" w14:textId="77777777" w:rsidR="00E752DE" w:rsidRDefault="00E752DE">
    <w:pPr>
      <w:pStyle w:val="Header"/>
    </w:pPr>
  </w:p>
  <w:p w14:paraId="656B1F3D" w14:textId="77777777" w:rsidR="00E752DE" w:rsidRDefault="00E752DE"/>
  <w:p w14:paraId="656B1F3E" w14:textId="77777777" w:rsidR="00E752DE" w:rsidRDefault="00E752DE" w:rsidP="00094CBC">
    <w:pPr>
      <w:pStyle w:val="Footer"/>
      <w:rPr>
        <w:rStyle w:val="PageNumber"/>
      </w:rPr>
    </w:pPr>
  </w:p>
  <w:p w14:paraId="656B1F3F" w14:textId="77777777" w:rsidR="00E752DE" w:rsidRDefault="00E752DE">
    <w:pPr>
      <w:pStyle w:val="Footer"/>
      <w:rPr>
        <w:rStyle w:val="PageNumbe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EEB" w14:textId="7DBE5EDC" w:rsidR="00E752DE" w:rsidRPr="000116B0" w:rsidRDefault="009144CD" w:rsidP="00E33B5F">
    <w:pPr>
      <w:pStyle w:val="Header"/>
    </w:pPr>
    <w:sdt>
      <w:sdtPr>
        <w:alias w:val="Title"/>
        <w:id w:val="627981782"/>
        <w:dataBinding w:prefixMappings="xmlns:ns0='http://purl.org/dc/elements/1.1/' xmlns:ns1='http://schemas.openxmlformats.org/package/2006/metadata/core-properties' " w:xpath="/ns1:coreProperties[1]/ns0:title[1]" w:storeItemID="{6C3C8BC8-F283-45AE-878A-BAB7291924A1}"/>
        <w:text/>
      </w:sdtPr>
      <w:sdtEndPr/>
      <w:sdtContent>
        <w:r w:rsidR="00E752DE">
          <w:t>Regulatory Impact Statement: Proposed Environment Protection Regulations</w:t>
        </w:r>
      </w:sdtContent>
    </w:sdt>
  </w:p>
  <w:p w14:paraId="656B1EEC" w14:textId="77777777" w:rsidR="00E752DE" w:rsidRDefault="00E752DE" w:rsidP="00E33B5F">
    <w:pPr>
      <w:pStyle w:val="Header"/>
    </w:pPr>
    <w:r>
      <w:rPr>
        <w:noProof/>
        <w:color w:val="2B579A"/>
        <w:shd w:val="clear" w:color="auto" w:fill="E6E6E6"/>
        <w:lang w:eastAsia="en-AU"/>
      </w:rPr>
      <mc:AlternateContent>
        <mc:Choice Requires="wps">
          <w:drawing>
            <wp:anchor distT="0" distB="0" distL="0" distR="0" simplePos="0" relativeHeight="251658342" behindDoc="1" locked="1" layoutInCell="1" allowOverlap="1" wp14:anchorId="656B1F6F" wp14:editId="656B1F70">
              <wp:simplePos x="0" y="0"/>
              <wp:positionH relativeFrom="page">
                <wp:posOffset>0</wp:posOffset>
              </wp:positionH>
              <wp:positionV relativeFrom="page">
                <wp:posOffset>0</wp:posOffset>
              </wp:positionV>
              <wp:extent cx="2880000" cy="770400"/>
              <wp:effectExtent l="0" t="0" r="0" b="10795"/>
              <wp:wrapNone/>
              <wp:docPr id="1048826391"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6B223A" w14:textId="77777777" w:rsidR="00E752DE" w:rsidRDefault="00E752DE" w:rsidP="00E33B5F">
                          <w:pPr>
                            <w:pStyle w:val="Footer"/>
                          </w:pPr>
                          <w:r w:rsidRPr="00FD7D79">
                            <w:t>Commercial-in-confidence</w:t>
                          </w:r>
                        </w:p>
                      </w:txbxContent>
                    </wps:txbx>
                    <wps:bodyPr rot="0" spcFirstLastPara="0" vertOverflow="overflow" horzOverflow="overflow" vert="horz" wrap="square" lIns="432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B1F6F" id="_x0000_t202" coordsize="21600,21600" o:spt="202" path="m,l,21600r21600,l21600,xe">
              <v:stroke joinstyle="miter"/>
              <v:path gradientshapeok="t" o:connecttype="rect"/>
            </v:shapetype>
            <v:shape id="_x0000_s1084" type="#_x0000_t202" style="position:absolute;margin-left:0;margin-top:0;width:226.75pt;height:60.65pt;z-index:-2516581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" filled="f" stroked="f" strokeweight=".5pt">
              <v:textbox inset="12mm,0,0,0">
                <w:txbxContent>
                  <w:p w14:paraId="656B223A" w14:textId="77777777" w:rsidR="00E752DE" w:rsidRDefault="00E752DE" w:rsidP="00E33B5F">
                    <w:pPr>
                      <w:pStyle w:val="Footer"/>
                    </w:pPr>
                    <w:r w:rsidRPr="00FD7D79">
                      <w:t>Commercial-in-confidence</w:t>
                    </w:r>
                  </w:p>
                </w:txbxContent>
              </v:textbox>
              <w10:wrap anchorx="page" anchory="page"/>
              <w10:anchorlock/>
            </v:shape>
          </w:pict>
        </mc:Fallback>
      </mc:AlternateContent>
    </w:r>
    <w:r>
      <w:rPr>
        <w:noProof/>
        <w:color w:val="2B579A"/>
        <w:shd w:val="clear" w:color="auto" w:fill="E6E6E6"/>
        <w:lang w:eastAsia="en-AU"/>
      </w:rPr>
      <mc:AlternateContent>
        <mc:Choice Requires="wps">
          <w:drawing>
            <wp:anchor distT="0" distB="0" distL="0" distR="0" simplePos="0" relativeHeight="251658257" behindDoc="1" locked="1" layoutInCell="1" allowOverlap="1" wp14:anchorId="656B1F71" wp14:editId="656B1F72">
              <wp:simplePos x="0" y="0"/>
              <wp:positionH relativeFrom="page">
                <wp:posOffset>0</wp:posOffset>
              </wp:positionH>
              <wp:positionV relativeFrom="page">
                <wp:posOffset>0</wp:posOffset>
              </wp:positionV>
              <wp:extent cx="2880000" cy="770400"/>
              <wp:effectExtent l="0" t="0" r="0" b="10795"/>
              <wp:wrapNone/>
              <wp:docPr id="1797047249"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6B223B" w14:textId="77777777" w:rsidR="00E752DE" w:rsidRDefault="00E752DE" w:rsidP="00E33B5F">
                          <w:pPr>
                            <w:pStyle w:val="Footer"/>
                          </w:pPr>
                          <w:r w:rsidRPr="00FD7D79">
                            <w:t>Commercial-in-confidence</w:t>
                          </w:r>
                        </w:p>
                      </w:txbxContent>
                    </wps:txbx>
                    <wps:bodyPr rot="0" spcFirstLastPara="0" vertOverflow="overflow" horzOverflow="overflow" vert="horz" wrap="square" lIns="432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B1F71" id="_x0000_s1085" type="#_x0000_t202" style="position:absolute;margin-left:0;margin-top:0;width:226.75pt;height:60.65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" filled="f" stroked="f" strokeweight=".5pt">
              <v:textbox inset="12mm,0,0,0">
                <w:txbxContent>
                  <w:p w14:paraId="656B223B" w14:textId="77777777" w:rsidR="00E752DE" w:rsidRDefault="00E752DE" w:rsidP="00E33B5F">
                    <w:pPr>
                      <w:pStyle w:val="Footer"/>
                    </w:pPr>
                    <w:r w:rsidRPr="00FD7D79">
                      <w:t>Commercial-in-confidence</w:t>
                    </w:r>
                  </w:p>
                </w:txbxContent>
              </v:textbox>
              <w10:wrap anchorx="page" anchory="page"/>
              <w10:anchorlock/>
            </v:shape>
          </w:pict>
        </mc:Fallback>
      </mc:AlternateContent>
    </w:r>
    <w:r>
      <w:rPr>
        <w:noProof/>
        <w:color w:val="2B579A"/>
        <w:shd w:val="clear" w:color="auto" w:fill="E6E6E6"/>
        <w:lang w:eastAsia="en-AU"/>
      </w:rPr>
      <mc:AlternateContent>
        <mc:Choice Requires="wps">
          <w:drawing>
            <wp:anchor distT="0" distB="0" distL="0" distR="0" simplePos="0" relativeHeight="251658245" behindDoc="1" locked="1" layoutInCell="1" allowOverlap="1" wp14:anchorId="656B1F73" wp14:editId="656B1F74">
              <wp:simplePos x="0" y="0"/>
              <wp:positionH relativeFrom="page">
                <wp:posOffset>0</wp:posOffset>
              </wp:positionH>
              <wp:positionV relativeFrom="page">
                <wp:posOffset>0</wp:posOffset>
              </wp:positionV>
              <wp:extent cx="2880000" cy="770400"/>
              <wp:effectExtent l="0" t="0" r="0" b="10795"/>
              <wp:wrapNone/>
              <wp:docPr id="65593946"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6B223C" w14:textId="77777777" w:rsidR="00E752DE" w:rsidRDefault="00E752DE" w:rsidP="00E33B5F">
                          <w:pPr>
                            <w:pStyle w:val="Footer"/>
                          </w:pPr>
                          <w:r w:rsidRPr="00FD7D79">
                            <w:t>Commercial-in-confidence</w:t>
                          </w:r>
                        </w:p>
                      </w:txbxContent>
                    </wps:txbx>
                    <wps:bodyPr rot="0" spcFirstLastPara="0" vertOverflow="overflow" horzOverflow="overflow" vert="horz" wrap="square" lIns="432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B1F73" id="_x0000_s1086" type="#_x0000_t202" style="position:absolute;margin-left:0;margin-top:0;width:226.75pt;height:60.6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" filled="f" stroked="f" strokeweight=".5pt">
              <v:textbox inset="12mm,0,0,0">
                <w:txbxContent>
                  <w:p w14:paraId="656B223C" w14:textId="77777777" w:rsidR="00E752DE" w:rsidRDefault="00E752DE" w:rsidP="00E33B5F">
                    <w:pPr>
                      <w:pStyle w:val="Footer"/>
                    </w:pPr>
                    <w:r w:rsidRPr="00FD7D79">
                      <w:t>Commercial-in-confidence</w:t>
                    </w:r>
                  </w:p>
                </w:txbxContent>
              </v:textbox>
              <w10:wrap anchorx="page" anchory="page"/>
              <w10:anchorlock/>
            </v:shape>
          </w:pict>
        </mc:Fallback>
      </mc:AlternateContent>
    </w:r>
  </w:p>
  <w:p w14:paraId="656B1EED" w14:textId="23D0AB41" w:rsidR="00E752DE" w:rsidRPr="00E33B5F" w:rsidRDefault="00E752DE" w:rsidP="00E33B5F">
    <w:pPr>
      <w:pStyle w:val="Header"/>
    </w:pPr>
    <w:r>
      <w:rPr>
        <w:noProof/>
        <w:color w:val="2B579A"/>
        <w:shd w:val="clear" w:color="auto" w:fill="E6E6E6"/>
        <w:lang w:eastAsia="en-AU"/>
      </w:rPr>
      <w:drawing>
        <wp:anchor distT="0" distB="0" distL="0" distR="0" simplePos="0" relativeHeight="251658344" behindDoc="1" locked="0" layoutInCell="1" allowOverlap="1" wp14:anchorId="656B1F77" wp14:editId="656B1F78">
          <wp:simplePos x="0" y="0"/>
          <wp:positionH relativeFrom="page">
            <wp:posOffset>3600000</wp:posOffset>
          </wp:positionH>
          <wp:positionV relativeFrom="page">
            <wp:posOffset>10188000</wp:posOffset>
          </wp:positionV>
          <wp:extent cx="5553450" cy="154800"/>
          <wp:effectExtent l="0" t="0" r="0" b="0"/>
          <wp:wrapNone/>
          <wp:docPr id="1700302074" name="Public_Hide5" hidden="1"/>
          <wp:cNvGraphicFramePr/>
          <a:graphic xmlns:a="http://schemas.openxmlformats.org/drawingml/2006/main">
            <a:graphicData uri="http://schemas.openxmlformats.org/drawingml/2006/picture">
              <pic:pic xmlns:pic="http://schemas.openxmlformats.org/drawingml/2006/picture">
                <pic:nvPicPr>
                  <pic:cNvPr id="527703724" name="Public_Hide5"/>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45" behindDoc="1" locked="0" layoutInCell="1" allowOverlap="1" wp14:anchorId="656B1F79" wp14:editId="656B1F7A">
          <wp:simplePos x="0" y="0"/>
          <wp:positionH relativeFrom="page">
            <wp:posOffset>3600000</wp:posOffset>
          </wp:positionH>
          <wp:positionV relativeFrom="page">
            <wp:posOffset>10188000</wp:posOffset>
          </wp:positionV>
          <wp:extent cx="5553450" cy="154800"/>
          <wp:effectExtent l="0" t="0" r="0" b="0"/>
          <wp:wrapNone/>
          <wp:docPr id="1700302076" name="HighRisk_Hide5" hidden="1"/>
          <wp:cNvGraphicFramePr/>
          <a:graphic xmlns:a="http://schemas.openxmlformats.org/drawingml/2006/main">
            <a:graphicData uri="http://schemas.openxmlformats.org/drawingml/2006/picture">
              <pic:pic xmlns:pic="http://schemas.openxmlformats.org/drawingml/2006/picture">
                <pic:nvPicPr>
                  <pic:cNvPr id="1089190238" name="HighRisk_Hide5"/>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28" behindDoc="1" locked="0" layoutInCell="1" allowOverlap="1" wp14:anchorId="656B1F7D" wp14:editId="656B1F7E">
          <wp:simplePos x="0" y="0"/>
          <wp:positionH relativeFrom="page">
            <wp:posOffset>3600000</wp:posOffset>
          </wp:positionH>
          <wp:positionV relativeFrom="page">
            <wp:posOffset>10188000</wp:posOffset>
          </wp:positionV>
          <wp:extent cx="5553450" cy="154800"/>
          <wp:effectExtent l="0" t="0" r="0" b="0"/>
          <wp:wrapNone/>
          <wp:docPr id="662474176" name="Public_Hide5" hidden="1"/>
          <wp:cNvGraphicFramePr/>
          <a:graphic xmlns:a="http://schemas.openxmlformats.org/drawingml/2006/main">
            <a:graphicData uri="http://schemas.openxmlformats.org/drawingml/2006/picture">
              <pic:pic xmlns:pic="http://schemas.openxmlformats.org/drawingml/2006/picture">
                <pic:nvPicPr>
                  <pic:cNvPr id="527703724" name="Public_Hide5"/>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29" behindDoc="1" locked="0" layoutInCell="1" allowOverlap="1" wp14:anchorId="656B1F7F" wp14:editId="656B1F80">
          <wp:simplePos x="0" y="0"/>
          <wp:positionH relativeFrom="page">
            <wp:posOffset>3600000</wp:posOffset>
          </wp:positionH>
          <wp:positionV relativeFrom="page">
            <wp:posOffset>10188000</wp:posOffset>
          </wp:positionV>
          <wp:extent cx="5553450" cy="154800"/>
          <wp:effectExtent l="0" t="0" r="0" b="0"/>
          <wp:wrapNone/>
          <wp:docPr id="662474180" name="HighRisk_Hide5" hidden="1"/>
          <wp:cNvGraphicFramePr/>
          <a:graphic xmlns:a="http://schemas.openxmlformats.org/drawingml/2006/main">
            <a:graphicData uri="http://schemas.openxmlformats.org/drawingml/2006/picture">
              <pic:pic xmlns:pic="http://schemas.openxmlformats.org/drawingml/2006/picture">
                <pic:nvPicPr>
                  <pic:cNvPr id="1089190238" name="HighRisk_Hide5"/>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47" behindDoc="1" locked="0" layoutInCell="1" allowOverlap="1" wp14:anchorId="656B1F83" wp14:editId="656B1F84">
          <wp:simplePos x="0" y="0"/>
          <wp:positionH relativeFrom="page">
            <wp:posOffset>3600000</wp:posOffset>
          </wp:positionH>
          <wp:positionV relativeFrom="page">
            <wp:posOffset>10188000</wp:posOffset>
          </wp:positionV>
          <wp:extent cx="5553450" cy="154800"/>
          <wp:effectExtent l="0" t="0" r="0" b="0"/>
          <wp:wrapNone/>
          <wp:docPr id="662474182" name="Public_Hide5" hidden="1"/>
          <wp:cNvGraphicFramePr/>
          <a:graphic xmlns:a="http://schemas.openxmlformats.org/drawingml/2006/main">
            <a:graphicData uri="http://schemas.openxmlformats.org/drawingml/2006/picture">
              <pic:pic xmlns:pic="http://schemas.openxmlformats.org/drawingml/2006/picture">
                <pic:nvPicPr>
                  <pic:cNvPr id="527703724" name="Public_Hide5"/>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48" behindDoc="1" locked="0" layoutInCell="1" allowOverlap="1" wp14:anchorId="656B1F85" wp14:editId="656B1F86">
          <wp:simplePos x="0" y="0"/>
          <wp:positionH relativeFrom="page">
            <wp:posOffset>3600000</wp:posOffset>
          </wp:positionH>
          <wp:positionV relativeFrom="page">
            <wp:posOffset>10188000</wp:posOffset>
          </wp:positionV>
          <wp:extent cx="5553450" cy="154800"/>
          <wp:effectExtent l="0" t="0" r="0" b="0"/>
          <wp:wrapNone/>
          <wp:docPr id="662474183" name="HighRisk_Hide5" hidden="1"/>
          <wp:cNvGraphicFramePr/>
          <a:graphic xmlns:a="http://schemas.openxmlformats.org/drawingml/2006/main">
            <a:graphicData uri="http://schemas.openxmlformats.org/drawingml/2006/picture">
              <pic:pic xmlns:pic="http://schemas.openxmlformats.org/drawingml/2006/picture">
                <pic:nvPicPr>
                  <pic:cNvPr id="1089190238" name="HighRisk_Hide5"/>
                  <pic:cNvPicPr/>
                </pic:nvPicPr>
                <pic:blipFill>
                  <a:blip r:embed="rId2"/>
                  <a:srcRect/>
                  <a:stretch/>
                </pic:blipFill>
                <pic:spPr>
                  <a:xfrm>
                    <a:off x="0" y="0"/>
                    <a:ext cx="5553450" cy="154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EF5" w14:textId="3B501BBF" w:rsidR="00E752DE" w:rsidRPr="000116B0" w:rsidRDefault="009144CD" w:rsidP="00094CBC">
    <w:pPr>
      <w:pStyle w:val="Header"/>
    </w:pPr>
    <w:sdt>
      <w:sdtPr>
        <w:alias w:val="Title"/>
        <w:id w:val="-1984997717"/>
        <w:dataBinding w:prefixMappings="xmlns:ns0='http://purl.org/dc/elements/1.1/' xmlns:ns1='http://schemas.openxmlformats.org/package/2006/metadata/core-properties' " w:xpath="/ns1:coreProperties[1]/ns0:title[1]" w:storeItemID="{6C3C8BC8-F283-45AE-878A-BAB7291924A1}"/>
        <w:text/>
      </w:sdtPr>
      <w:sdtEndPr/>
      <w:sdtContent>
        <w:r w:rsidR="00E752DE">
          <w:t>Regulatory Impact Statement: Proposed Environment Protection Regulations</w:t>
        </w:r>
      </w:sdtContent>
    </w:sdt>
  </w:p>
  <w:p w14:paraId="656B1EF6" w14:textId="77777777" w:rsidR="00E752DE" w:rsidRDefault="00E752DE" w:rsidP="00094CBC">
    <w:pPr>
      <w:pStyle w:val="Header"/>
    </w:pPr>
  </w:p>
  <w:p w14:paraId="656B1EF7" w14:textId="735C88D8" w:rsidR="00E752DE" w:rsidRPr="00E33B5F" w:rsidRDefault="00E752DE">
    <w:pPr>
      <w:pStyle w:val="Header"/>
    </w:pPr>
    <w:r>
      <w:rPr>
        <w:noProof/>
        <w:color w:val="2B579A"/>
        <w:shd w:val="clear" w:color="auto" w:fill="E6E6E6"/>
        <w:lang w:eastAsia="en-AU"/>
      </w:rPr>
      <w:drawing>
        <wp:anchor distT="0" distB="0" distL="0" distR="0" simplePos="0" relativeHeight="251658346" behindDoc="0" locked="0" layoutInCell="1" allowOverlap="1" wp14:anchorId="656B1F97" wp14:editId="656B1F98">
          <wp:simplePos x="0" y="0"/>
          <wp:positionH relativeFrom="page">
            <wp:align>center</wp:align>
          </wp:positionH>
          <wp:positionV relativeFrom="page">
            <wp:align>center</wp:align>
          </wp:positionV>
          <wp:extent cx="5117755" cy="5400000"/>
          <wp:effectExtent l="0" t="0" r="0" b="0"/>
          <wp:wrapNone/>
          <wp:docPr id="662474199" name="Draft5"/>
          <wp:cNvGraphicFramePr/>
          <a:graphic xmlns:a="http://schemas.openxmlformats.org/drawingml/2006/main">
            <a:graphicData uri="http://schemas.openxmlformats.org/drawingml/2006/picture">
              <pic:pic xmlns:pic="http://schemas.openxmlformats.org/drawingml/2006/picture">
                <pic:nvPicPr>
                  <pic:cNvPr id="738180702" name="Draft5"/>
                  <pic:cNvPicPr/>
                </pic:nvPicPr>
                <pic:blipFill>
                  <a:blip r:embed="rId1"/>
                  <a:srcRect/>
                  <a:stretch/>
                </pic:blipFill>
                <pic:spPr>
                  <a:xfrm>
                    <a:off x="0" y="0"/>
                    <a:ext cx="5117755" cy="5400000"/>
                  </a:xfrm>
                  <a:prstGeom prst="rect">
                    <a:avLst/>
                  </a:prstGeom>
                </pic:spPr>
              </pic:pic>
            </a:graphicData>
          </a:graphic>
        </wp:anchor>
      </w:drawing>
    </w:r>
    <w:r>
      <w:rPr>
        <w:noProof/>
        <w:color w:val="2B579A"/>
        <w:shd w:val="clear" w:color="auto" w:fill="E6E6E6"/>
        <w:lang w:eastAsia="en-AU"/>
      </w:rPr>
      <w:drawing>
        <wp:anchor distT="0" distB="0" distL="0" distR="0" simplePos="0" relativeHeight="251658348" behindDoc="1" locked="0" layoutInCell="1" allowOverlap="1" wp14:anchorId="656B1F9B" wp14:editId="656B1F9C">
          <wp:simplePos x="0" y="0"/>
          <wp:positionH relativeFrom="page">
            <wp:posOffset>3600000</wp:posOffset>
          </wp:positionH>
          <wp:positionV relativeFrom="page">
            <wp:posOffset>10188000</wp:posOffset>
          </wp:positionV>
          <wp:extent cx="5553450" cy="154800"/>
          <wp:effectExtent l="0" t="0" r="0" b="0"/>
          <wp:wrapNone/>
          <wp:docPr id="662474201" name="Public_Hide5" hidden="1"/>
          <wp:cNvGraphicFramePr/>
          <a:graphic xmlns:a="http://schemas.openxmlformats.org/drawingml/2006/main">
            <a:graphicData uri="http://schemas.openxmlformats.org/drawingml/2006/picture">
              <pic:pic xmlns:pic="http://schemas.openxmlformats.org/drawingml/2006/picture">
                <pic:nvPicPr>
                  <pic:cNvPr id="527703724" name="Public_Hide5"/>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49" behindDoc="1" locked="0" layoutInCell="1" allowOverlap="1" wp14:anchorId="656B1F9D" wp14:editId="656B1F9E">
          <wp:simplePos x="0" y="0"/>
          <wp:positionH relativeFrom="page">
            <wp:posOffset>3600000</wp:posOffset>
          </wp:positionH>
          <wp:positionV relativeFrom="page">
            <wp:posOffset>10188000</wp:posOffset>
          </wp:positionV>
          <wp:extent cx="5553450" cy="154800"/>
          <wp:effectExtent l="0" t="0" r="0" b="0"/>
          <wp:wrapNone/>
          <wp:docPr id="662474205" name="HighRisk_Hide5" hidden="1"/>
          <wp:cNvGraphicFramePr/>
          <a:graphic xmlns:a="http://schemas.openxmlformats.org/drawingml/2006/main">
            <a:graphicData uri="http://schemas.openxmlformats.org/drawingml/2006/picture">
              <pic:pic xmlns:pic="http://schemas.openxmlformats.org/drawingml/2006/picture">
                <pic:nvPicPr>
                  <pic:cNvPr id="1089190238" name="HighRisk_Hide5"/>
                  <pic:cNvPicPr/>
                </pic:nvPicPr>
                <pic:blipFill>
                  <a:blip r:embed="rId3"/>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30" behindDoc="0" locked="0" layoutInCell="1" allowOverlap="1" wp14:anchorId="656B1F9F" wp14:editId="656B1FA0">
          <wp:simplePos x="0" y="0"/>
          <wp:positionH relativeFrom="page">
            <wp:align>center</wp:align>
          </wp:positionH>
          <wp:positionV relativeFrom="page">
            <wp:align>center</wp:align>
          </wp:positionV>
          <wp:extent cx="5117755" cy="5400000"/>
          <wp:effectExtent l="0" t="0" r="0" b="0"/>
          <wp:wrapNone/>
          <wp:docPr id="662474206" name="Draft5"/>
          <wp:cNvGraphicFramePr/>
          <a:graphic xmlns:a="http://schemas.openxmlformats.org/drawingml/2006/main">
            <a:graphicData uri="http://schemas.openxmlformats.org/drawingml/2006/picture">
              <pic:pic xmlns:pic="http://schemas.openxmlformats.org/drawingml/2006/picture">
                <pic:nvPicPr>
                  <pic:cNvPr id="738180702" name="Draft5"/>
                  <pic:cNvPicPr/>
                </pic:nvPicPr>
                <pic:blipFill>
                  <a:blip r:embed="rId1"/>
                  <a:srcRect/>
                  <a:stretch/>
                </pic:blipFill>
                <pic:spPr>
                  <a:xfrm>
                    <a:off x="0" y="0"/>
                    <a:ext cx="5117755" cy="5400000"/>
                  </a:xfrm>
                  <a:prstGeom prst="rect">
                    <a:avLst/>
                  </a:prstGeom>
                </pic:spPr>
              </pic:pic>
            </a:graphicData>
          </a:graphic>
        </wp:anchor>
      </w:drawing>
    </w:r>
    <w:r>
      <w:rPr>
        <w:noProof/>
        <w:color w:val="2B579A"/>
        <w:shd w:val="clear" w:color="auto" w:fill="E6E6E6"/>
        <w:lang w:eastAsia="en-AU"/>
      </w:rPr>
      <w:drawing>
        <wp:anchor distT="0" distB="0" distL="0" distR="0" simplePos="0" relativeHeight="251658332" behindDoc="1" locked="0" layoutInCell="1" allowOverlap="1" wp14:anchorId="656B1FA3" wp14:editId="656B1FA4">
          <wp:simplePos x="0" y="0"/>
          <wp:positionH relativeFrom="page">
            <wp:posOffset>3600000</wp:posOffset>
          </wp:positionH>
          <wp:positionV relativeFrom="page">
            <wp:posOffset>10188000</wp:posOffset>
          </wp:positionV>
          <wp:extent cx="5553450" cy="154800"/>
          <wp:effectExtent l="0" t="0" r="0" b="0"/>
          <wp:wrapNone/>
          <wp:docPr id="33" name="Public_Hide5" hidden="1"/>
          <wp:cNvGraphicFramePr/>
          <a:graphic xmlns:a="http://schemas.openxmlformats.org/drawingml/2006/main">
            <a:graphicData uri="http://schemas.openxmlformats.org/drawingml/2006/picture">
              <pic:pic xmlns:pic="http://schemas.openxmlformats.org/drawingml/2006/picture">
                <pic:nvPicPr>
                  <pic:cNvPr id="527703724" name="Public_Hide5"/>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33" behindDoc="1" locked="0" layoutInCell="1" allowOverlap="1" wp14:anchorId="656B1FA5" wp14:editId="656B1FA6">
          <wp:simplePos x="0" y="0"/>
          <wp:positionH relativeFrom="page">
            <wp:posOffset>3600000</wp:posOffset>
          </wp:positionH>
          <wp:positionV relativeFrom="page">
            <wp:posOffset>10188000</wp:posOffset>
          </wp:positionV>
          <wp:extent cx="5553450" cy="154800"/>
          <wp:effectExtent l="0" t="0" r="0" b="0"/>
          <wp:wrapNone/>
          <wp:docPr id="34" name="HighRisk_Hide5" hidden="1"/>
          <wp:cNvGraphicFramePr/>
          <a:graphic xmlns:a="http://schemas.openxmlformats.org/drawingml/2006/main">
            <a:graphicData uri="http://schemas.openxmlformats.org/drawingml/2006/picture">
              <pic:pic xmlns:pic="http://schemas.openxmlformats.org/drawingml/2006/picture">
                <pic:nvPicPr>
                  <pic:cNvPr id="1089190238" name="HighRisk_Hide5"/>
                  <pic:cNvPicPr/>
                </pic:nvPicPr>
                <pic:blipFill>
                  <a:blip r:embed="rId3"/>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49" behindDoc="0" locked="0" layoutInCell="1" allowOverlap="1" wp14:anchorId="656B1FA7" wp14:editId="656B1FA8">
          <wp:simplePos x="0" y="0"/>
          <wp:positionH relativeFrom="page">
            <wp:align>center</wp:align>
          </wp:positionH>
          <wp:positionV relativeFrom="page">
            <wp:align>center</wp:align>
          </wp:positionV>
          <wp:extent cx="5117755" cy="5400000"/>
          <wp:effectExtent l="0" t="0" r="0" b="0"/>
          <wp:wrapNone/>
          <wp:docPr id="35" name="Draft5"/>
          <wp:cNvGraphicFramePr/>
          <a:graphic xmlns:a="http://schemas.openxmlformats.org/drawingml/2006/main">
            <a:graphicData uri="http://schemas.openxmlformats.org/drawingml/2006/picture">
              <pic:pic xmlns:pic="http://schemas.openxmlformats.org/drawingml/2006/picture">
                <pic:nvPicPr>
                  <pic:cNvPr id="738180702" name="Draft5"/>
                  <pic:cNvPicPr/>
                </pic:nvPicPr>
                <pic:blipFill>
                  <a:blip r:embed="rId1"/>
                  <a:srcRect/>
                  <a:stretch/>
                </pic:blipFill>
                <pic:spPr>
                  <a:xfrm>
                    <a:off x="0" y="0"/>
                    <a:ext cx="5117755" cy="5400000"/>
                  </a:xfrm>
                  <a:prstGeom prst="rect">
                    <a:avLst/>
                  </a:prstGeom>
                </pic:spPr>
              </pic:pic>
            </a:graphicData>
          </a:graphic>
        </wp:anchor>
      </w:drawing>
    </w:r>
    <w:r>
      <w:rPr>
        <w:noProof/>
        <w:color w:val="2B579A"/>
        <w:shd w:val="clear" w:color="auto" w:fill="E6E6E6"/>
        <w:lang w:eastAsia="en-AU"/>
      </w:rPr>
      <w:drawing>
        <wp:anchor distT="0" distB="0" distL="0" distR="0" simplePos="0" relativeHeight="251658251" behindDoc="1" locked="0" layoutInCell="1" allowOverlap="1" wp14:anchorId="656B1FAB" wp14:editId="656B1FAC">
          <wp:simplePos x="0" y="0"/>
          <wp:positionH relativeFrom="page">
            <wp:posOffset>3600000</wp:posOffset>
          </wp:positionH>
          <wp:positionV relativeFrom="page">
            <wp:posOffset>10188000</wp:posOffset>
          </wp:positionV>
          <wp:extent cx="5553450" cy="154800"/>
          <wp:effectExtent l="0" t="0" r="0" b="0"/>
          <wp:wrapNone/>
          <wp:docPr id="45" name="Public_Hide5" hidden="1"/>
          <wp:cNvGraphicFramePr/>
          <a:graphic xmlns:a="http://schemas.openxmlformats.org/drawingml/2006/main">
            <a:graphicData uri="http://schemas.openxmlformats.org/drawingml/2006/picture">
              <pic:pic xmlns:pic="http://schemas.openxmlformats.org/drawingml/2006/picture">
                <pic:nvPicPr>
                  <pic:cNvPr id="527703724" name="Public_Hide5"/>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52" behindDoc="1" locked="0" layoutInCell="1" allowOverlap="1" wp14:anchorId="656B1FAD" wp14:editId="656B1FAE">
          <wp:simplePos x="0" y="0"/>
          <wp:positionH relativeFrom="page">
            <wp:posOffset>3600000</wp:posOffset>
          </wp:positionH>
          <wp:positionV relativeFrom="page">
            <wp:posOffset>10188000</wp:posOffset>
          </wp:positionV>
          <wp:extent cx="5553450" cy="154800"/>
          <wp:effectExtent l="0" t="0" r="0" b="0"/>
          <wp:wrapNone/>
          <wp:docPr id="47" name="HighRisk_Hide5" hidden="1"/>
          <wp:cNvGraphicFramePr/>
          <a:graphic xmlns:a="http://schemas.openxmlformats.org/drawingml/2006/main">
            <a:graphicData uri="http://schemas.openxmlformats.org/drawingml/2006/picture">
              <pic:pic xmlns:pic="http://schemas.openxmlformats.org/drawingml/2006/picture">
                <pic:nvPicPr>
                  <pic:cNvPr id="1089190238" name="HighRisk_Hide5"/>
                  <pic:cNvPicPr/>
                </pic:nvPicPr>
                <pic:blipFill>
                  <a:blip r:embed="rId3"/>
                  <a:srcRect/>
                  <a:stretch/>
                </pic:blipFill>
                <pic:spPr>
                  <a:xfrm>
                    <a:off x="0" y="0"/>
                    <a:ext cx="5553450" cy="154800"/>
                  </a:xfrm>
                  <a:prstGeom prst="rect">
                    <a:avLst/>
                  </a:prstGeom>
                </pic:spPr>
              </pic:pic>
            </a:graphicData>
          </a:graphic>
        </wp:anchor>
      </w:drawing>
    </w:r>
  </w:p>
  <w:p w14:paraId="656B1EF8" w14:textId="77777777" w:rsidR="00E752DE" w:rsidRDefault="00E752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EFD" w14:textId="77777777" w:rsidR="00E752DE" w:rsidRDefault="00E752DE" w:rsidP="00094CBC">
    <w:r>
      <w:rPr>
        <w:noProof/>
        <w:color w:val="2B579A"/>
        <w:shd w:val="clear" w:color="auto" w:fill="E6E6E6"/>
        <w:lang w:eastAsia="en-AU"/>
      </w:rPr>
      <w:drawing>
        <wp:anchor distT="0" distB="0" distL="0" distR="0" simplePos="0" relativeHeight="251658258" behindDoc="1" locked="0" layoutInCell="1" allowOverlap="1" wp14:anchorId="656B1FAF" wp14:editId="656B1FB0">
          <wp:simplePos x="0" y="0"/>
          <wp:positionH relativeFrom="page">
            <wp:posOffset>3600000</wp:posOffset>
          </wp:positionH>
          <wp:positionV relativeFrom="page">
            <wp:posOffset>10188000</wp:posOffset>
          </wp:positionV>
          <wp:extent cx="5553450" cy="154800"/>
          <wp:effectExtent l="0" t="0" r="0" b="0"/>
          <wp:wrapNone/>
          <wp:docPr id="49" name="Public_Hide7" hidden="1"/>
          <wp:cNvGraphicFramePr/>
          <a:graphic xmlns:a="http://schemas.openxmlformats.org/drawingml/2006/main">
            <a:graphicData uri="http://schemas.openxmlformats.org/drawingml/2006/picture">
              <pic:pic xmlns:pic="http://schemas.openxmlformats.org/drawingml/2006/picture">
                <pic:nvPicPr>
                  <pic:cNvPr id="813461840" name="Public_Hide7"/>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59" behindDoc="1" locked="0" layoutInCell="1" allowOverlap="1" wp14:anchorId="656B1FB1" wp14:editId="656B1FB2">
          <wp:simplePos x="0" y="0"/>
          <wp:positionH relativeFrom="page">
            <wp:posOffset>3600000</wp:posOffset>
          </wp:positionH>
          <wp:positionV relativeFrom="page">
            <wp:posOffset>10188000</wp:posOffset>
          </wp:positionV>
          <wp:extent cx="5553450" cy="154800"/>
          <wp:effectExtent l="0" t="0" r="0" b="0"/>
          <wp:wrapNone/>
          <wp:docPr id="51" name="HighRisk_Hide7" hidden="1"/>
          <wp:cNvGraphicFramePr/>
          <a:graphic xmlns:a="http://schemas.openxmlformats.org/drawingml/2006/main">
            <a:graphicData uri="http://schemas.openxmlformats.org/drawingml/2006/picture">
              <pic:pic xmlns:pic="http://schemas.openxmlformats.org/drawingml/2006/picture">
                <pic:nvPicPr>
                  <pic:cNvPr id="1286410772" name="HighRisk_Hide7"/>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60" behindDoc="1" locked="0" layoutInCell="1" allowOverlap="1" wp14:anchorId="656B1FB3" wp14:editId="656B1FB4">
          <wp:simplePos x="0" y="0"/>
          <wp:positionH relativeFrom="page">
            <wp:posOffset>3600000</wp:posOffset>
          </wp:positionH>
          <wp:positionV relativeFrom="page">
            <wp:posOffset>10188000</wp:posOffset>
          </wp:positionV>
          <wp:extent cx="5553450" cy="154800"/>
          <wp:effectExtent l="0" t="0" r="0" b="0"/>
          <wp:wrapNone/>
          <wp:docPr id="53" name="Public_Hide7" hidden="1"/>
          <wp:cNvGraphicFramePr/>
          <a:graphic xmlns:a="http://schemas.openxmlformats.org/drawingml/2006/main">
            <a:graphicData uri="http://schemas.openxmlformats.org/drawingml/2006/picture">
              <pic:pic xmlns:pic="http://schemas.openxmlformats.org/drawingml/2006/picture">
                <pic:nvPicPr>
                  <pic:cNvPr id="813461840" name="Public_Hide7"/>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61" behindDoc="1" locked="0" layoutInCell="1" allowOverlap="1" wp14:anchorId="656B1FB5" wp14:editId="656B1FB6">
          <wp:simplePos x="0" y="0"/>
          <wp:positionH relativeFrom="page">
            <wp:posOffset>3600000</wp:posOffset>
          </wp:positionH>
          <wp:positionV relativeFrom="page">
            <wp:posOffset>10188000</wp:posOffset>
          </wp:positionV>
          <wp:extent cx="5553450" cy="154800"/>
          <wp:effectExtent l="0" t="0" r="0" b="0"/>
          <wp:wrapNone/>
          <wp:docPr id="56" name="HighRisk_Hide7" hidden="1"/>
          <wp:cNvGraphicFramePr/>
          <a:graphic xmlns:a="http://schemas.openxmlformats.org/drawingml/2006/main">
            <a:graphicData uri="http://schemas.openxmlformats.org/drawingml/2006/picture">
              <pic:pic xmlns:pic="http://schemas.openxmlformats.org/drawingml/2006/picture">
                <pic:nvPicPr>
                  <pic:cNvPr id="1286410772" name="HighRisk_Hide7"/>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62" behindDoc="1" locked="0" layoutInCell="1" allowOverlap="1" wp14:anchorId="656B1FB7" wp14:editId="656B1FB8">
          <wp:simplePos x="0" y="0"/>
          <wp:positionH relativeFrom="page">
            <wp:posOffset>3600000</wp:posOffset>
          </wp:positionH>
          <wp:positionV relativeFrom="page">
            <wp:posOffset>10188000</wp:posOffset>
          </wp:positionV>
          <wp:extent cx="5553450" cy="154800"/>
          <wp:effectExtent l="0" t="0" r="0" b="0"/>
          <wp:wrapNone/>
          <wp:docPr id="59" name="Public_Hide7" hidden="1"/>
          <wp:cNvGraphicFramePr/>
          <a:graphic xmlns:a="http://schemas.openxmlformats.org/drawingml/2006/main">
            <a:graphicData uri="http://schemas.openxmlformats.org/drawingml/2006/picture">
              <pic:pic xmlns:pic="http://schemas.openxmlformats.org/drawingml/2006/picture">
                <pic:nvPicPr>
                  <pic:cNvPr id="813461840" name="Public_Hide7"/>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63" behindDoc="1" locked="0" layoutInCell="1" allowOverlap="1" wp14:anchorId="656B1FB9" wp14:editId="656B1FBA">
          <wp:simplePos x="0" y="0"/>
          <wp:positionH relativeFrom="page">
            <wp:posOffset>3600000</wp:posOffset>
          </wp:positionH>
          <wp:positionV relativeFrom="page">
            <wp:posOffset>10188000</wp:posOffset>
          </wp:positionV>
          <wp:extent cx="5553450" cy="154800"/>
          <wp:effectExtent l="0" t="0" r="0" b="0"/>
          <wp:wrapNone/>
          <wp:docPr id="63" name="HighRisk_Hide7" hidden="1"/>
          <wp:cNvGraphicFramePr/>
          <a:graphic xmlns:a="http://schemas.openxmlformats.org/drawingml/2006/main">
            <a:graphicData uri="http://schemas.openxmlformats.org/drawingml/2006/picture">
              <pic:pic xmlns:pic="http://schemas.openxmlformats.org/drawingml/2006/picture">
                <pic:nvPicPr>
                  <pic:cNvPr id="1286410772" name="HighRisk_Hide7"/>
                  <pic:cNvPicPr/>
                </pic:nvPicPr>
                <pic:blipFill>
                  <a:blip r:embed="rId2"/>
                  <a:srcRect/>
                  <a:stretch/>
                </pic:blipFill>
                <pic:spPr>
                  <a:xfrm>
                    <a:off x="0" y="0"/>
                    <a:ext cx="5553450" cy="154800"/>
                  </a:xfrm>
                  <a:prstGeom prst="rect">
                    <a:avLst/>
                  </a:prstGeom>
                </pic:spPr>
              </pic:pic>
            </a:graphicData>
          </a:graphic>
        </wp:anchor>
      </w:drawing>
    </w:r>
  </w:p>
  <w:p w14:paraId="656B1EFE" w14:textId="77777777" w:rsidR="00E752DE" w:rsidRDefault="00E752DE" w:rsidP="00094C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EFF" w14:textId="77777777" w:rsidR="00E752DE" w:rsidRDefault="00E752DE">
    <w:r>
      <w:rPr>
        <w:noProof/>
        <w:color w:val="2B579A"/>
        <w:shd w:val="clear" w:color="auto" w:fill="E6E6E6"/>
        <w:lang w:eastAsia="en-AU"/>
      </w:rPr>
      <w:drawing>
        <wp:anchor distT="0" distB="0" distL="0" distR="0" simplePos="0" relativeHeight="251658264" behindDoc="1" locked="0" layoutInCell="1" allowOverlap="1" wp14:anchorId="656B1FBB" wp14:editId="656B1FBC">
          <wp:simplePos x="0" y="0"/>
          <wp:positionH relativeFrom="page">
            <wp:posOffset>3600000</wp:posOffset>
          </wp:positionH>
          <wp:positionV relativeFrom="page">
            <wp:posOffset>10188000</wp:posOffset>
          </wp:positionV>
          <wp:extent cx="5553450" cy="154800"/>
          <wp:effectExtent l="0" t="0" r="0" b="0"/>
          <wp:wrapNone/>
          <wp:docPr id="662474208" name="Public_Hide7" hidden="1"/>
          <wp:cNvGraphicFramePr/>
          <a:graphic xmlns:a="http://schemas.openxmlformats.org/drawingml/2006/main">
            <a:graphicData uri="http://schemas.openxmlformats.org/drawingml/2006/picture">
              <pic:pic xmlns:pic="http://schemas.openxmlformats.org/drawingml/2006/picture">
                <pic:nvPicPr>
                  <pic:cNvPr id="813461840" name="Public_Hide7"/>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65" behindDoc="1" locked="0" layoutInCell="1" allowOverlap="1" wp14:anchorId="656B1FBD" wp14:editId="656B1FBE">
          <wp:simplePos x="0" y="0"/>
          <wp:positionH relativeFrom="page">
            <wp:posOffset>3600000</wp:posOffset>
          </wp:positionH>
          <wp:positionV relativeFrom="page">
            <wp:posOffset>10188000</wp:posOffset>
          </wp:positionV>
          <wp:extent cx="5553450" cy="154800"/>
          <wp:effectExtent l="0" t="0" r="0" b="0"/>
          <wp:wrapNone/>
          <wp:docPr id="662474209" name="HighRisk_Hide7" hidden="1"/>
          <wp:cNvGraphicFramePr/>
          <a:graphic xmlns:a="http://schemas.openxmlformats.org/drawingml/2006/main">
            <a:graphicData uri="http://schemas.openxmlformats.org/drawingml/2006/picture">
              <pic:pic xmlns:pic="http://schemas.openxmlformats.org/drawingml/2006/picture">
                <pic:nvPicPr>
                  <pic:cNvPr id="1286410772" name="HighRisk_Hide7"/>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66" behindDoc="1" locked="0" layoutInCell="1" allowOverlap="1" wp14:anchorId="656B1FBF" wp14:editId="656B1FC0">
          <wp:simplePos x="0" y="0"/>
          <wp:positionH relativeFrom="page">
            <wp:posOffset>3600000</wp:posOffset>
          </wp:positionH>
          <wp:positionV relativeFrom="page">
            <wp:posOffset>10188000</wp:posOffset>
          </wp:positionV>
          <wp:extent cx="5553450" cy="154800"/>
          <wp:effectExtent l="0" t="0" r="0" b="0"/>
          <wp:wrapNone/>
          <wp:docPr id="662474210" name="Public_Hide7" hidden="1"/>
          <wp:cNvGraphicFramePr/>
          <a:graphic xmlns:a="http://schemas.openxmlformats.org/drawingml/2006/main">
            <a:graphicData uri="http://schemas.openxmlformats.org/drawingml/2006/picture">
              <pic:pic xmlns:pic="http://schemas.openxmlformats.org/drawingml/2006/picture">
                <pic:nvPicPr>
                  <pic:cNvPr id="813461840" name="Public_Hide7"/>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67" behindDoc="1" locked="0" layoutInCell="1" allowOverlap="1" wp14:anchorId="656B1FC1" wp14:editId="656B1FC2">
          <wp:simplePos x="0" y="0"/>
          <wp:positionH relativeFrom="page">
            <wp:posOffset>3600000</wp:posOffset>
          </wp:positionH>
          <wp:positionV relativeFrom="page">
            <wp:posOffset>10188000</wp:posOffset>
          </wp:positionV>
          <wp:extent cx="5553450" cy="154800"/>
          <wp:effectExtent l="0" t="0" r="0" b="0"/>
          <wp:wrapNone/>
          <wp:docPr id="662474211" name="HighRisk_Hide7" hidden="1"/>
          <wp:cNvGraphicFramePr/>
          <a:graphic xmlns:a="http://schemas.openxmlformats.org/drawingml/2006/main">
            <a:graphicData uri="http://schemas.openxmlformats.org/drawingml/2006/picture">
              <pic:pic xmlns:pic="http://schemas.openxmlformats.org/drawingml/2006/picture">
                <pic:nvPicPr>
                  <pic:cNvPr id="1286410772" name="HighRisk_Hide7"/>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68" behindDoc="1" locked="0" layoutInCell="1" allowOverlap="1" wp14:anchorId="656B1FC3" wp14:editId="656B1FC4">
          <wp:simplePos x="0" y="0"/>
          <wp:positionH relativeFrom="page">
            <wp:posOffset>3600000</wp:posOffset>
          </wp:positionH>
          <wp:positionV relativeFrom="page">
            <wp:posOffset>10188000</wp:posOffset>
          </wp:positionV>
          <wp:extent cx="5553450" cy="154800"/>
          <wp:effectExtent l="0" t="0" r="0" b="0"/>
          <wp:wrapNone/>
          <wp:docPr id="662474212" name="Public_Hide7" hidden="1"/>
          <wp:cNvGraphicFramePr/>
          <a:graphic xmlns:a="http://schemas.openxmlformats.org/drawingml/2006/main">
            <a:graphicData uri="http://schemas.openxmlformats.org/drawingml/2006/picture">
              <pic:pic xmlns:pic="http://schemas.openxmlformats.org/drawingml/2006/picture">
                <pic:nvPicPr>
                  <pic:cNvPr id="813461840" name="Public_Hide7"/>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69" behindDoc="1" locked="0" layoutInCell="1" allowOverlap="1" wp14:anchorId="656B1FC5" wp14:editId="656B1FC6">
          <wp:simplePos x="0" y="0"/>
          <wp:positionH relativeFrom="page">
            <wp:posOffset>3600000</wp:posOffset>
          </wp:positionH>
          <wp:positionV relativeFrom="page">
            <wp:posOffset>10188000</wp:posOffset>
          </wp:positionV>
          <wp:extent cx="5553450" cy="154800"/>
          <wp:effectExtent l="0" t="0" r="0" b="0"/>
          <wp:wrapNone/>
          <wp:docPr id="662474213" name="HighRisk_Hide7" hidden="1"/>
          <wp:cNvGraphicFramePr/>
          <a:graphic xmlns:a="http://schemas.openxmlformats.org/drawingml/2006/main">
            <a:graphicData uri="http://schemas.openxmlformats.org/drawingml/2006/picture">
              <pic:pic xmlns:pic="http://schemas.openxmlformats.org/drawingml/2006/picture">
                <pic:nvPicPr>
                  <pic:cNvPr id="1286410772" name="HighRisk_Hide7"/>
                  <pic:cNvPicPr/>
                </pic:nvPicPr>
                <pic:blipFill>
                  <a:blip r:embed="rId2"/>
                  <a:srcRect/>
                  <a:stretch/>
                </pic:blipFill>
                <pic:spPr>
                  <a:xfrm>
                    <a:off x="0" y="0"/>
                    <a:ext cx="5553450" cy="1548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1F07" w14:textId="77777777" w:rsidR="00E752DE" w:rsidRDefault="00E752DE" w:rsidP="00094CBC">
    <w:r>
      <w:rPr>
        <w:noProof/>
        <w:color w:val="2B579A"/>
        <w:shd w:val="clear" w:color="auto" w:fill="E6E6E6"/>
        <w:lang w:eastAsia="en-AU"/>
      </w:rPr>
      <w:drawing>
        <wp:anchor distT="0" distB="0" distL="0" distR="0" simplePos="0" relativeHeight="251658270" behindDoc="0" locked="0" layoutInCell="1" allowOverlap="1" wp14:anchorId="656B1FC7" wp14:editId="656B1FC8">
          <wp:simplePos x="0" y="0"/>
          <wp:positionH relativeFrom="page">
            <wp:align>center</wp:align>
          </wp:positionH>
          <wp:positionV relativeFrom="page">
            <wp:align>center</wp:align>
          </wp:positionV>
          <wp:extent cx="5117755" cy="5400000"/>
          <wp:effectExtent l="0" t="0" r="0" b="0"/>
          <wp:wrapNone/>
          <wp:docPr id="662474214" name="Draft7"/>
          <wp:cNvGraphicFramePr/>
          <a:graphic xmlns:a="http://schemas.openxmlformats.org/drawingml/2006/main">
            <a:graphicData uri="http://schemas.openxmlformats.org/drawingml/2006/picture">
              <pic:pic xmlns:pic="http://schemas.openxmlformats.org/drawingml/2006/picture">
                <pic:nvPicPr>
                  <pic:cNvPr id="1265885173" name="Draft7"/>
                  <pic:cNvPicPr/>
                </pic:nvPicPr>
                <pic:blipFill>
                  <a:blip r:embed="rId1"/>
                  <a:srcRect/>
                  <a:stretch/>
                </pic:blipFill>
                <pic:spPr>
                  <a:xfrm>
                    <a:off x="0" y="0"/>
                    <a:ext cx="5117755" cy="5400000"/>
                  </a:xfrm>
                  <a:prstGeom prst="rect">
                    <a:avLst/>
                  </a:prstGeom>
                </pic:spPr>
              </pic:pic>
            </a:graphicData>
          </a:graphic>
        </wp:anchor>
      </w:drawing>
    </w:r>
    <w:r>
      <w:rPr>
        <w:noProof/>
        <w:color w:val="2B579A"/>
        <w:shd w:val="clear" w:color="auto" w:fill="E6E6E6"/>
        <w:lang w:eastAsia="en-AU"/>
      </w:rPr>
      <w:drawing>
        <wp:anchor distT="0" distB="0" distL="0" distR="0" simplePos="0" relativeHeight="251658271" behindDoc="0" locked="0" layoutInCell="1" allowOverlap="1" wp14:anchorId="656B1FC9" wp14:editId="656B1FCA">
          <wp:simplePos x="0" y="0"/>
          <wp:positionH relativeFrom="margin">
            <wp:align>left</wp:align>
          </wp:positionH>
          <wp:positionV relativeFrom="page">
            <wp:posOffset>10314000</wp:posOffset>
          </wp:positionV>
          <wp:extent cx="5940000" cy="156704"/>
          <wp:effectExtent l="0" t="0" r="0" b="0"/>
          <wp:wrapNone/>
          <wp:docPr id="662474215" name="Draft_Text7"/>
          <wp:cNvGraphicFramePr/>
          <a:graphic xmlns:a="http://schemas.openxmlformats.org/drawingml/2006/main">
            <a:graphicData uri="http://schemas.openxmlformats.org/drawingml/2006/picture">
              <pic:pic xmlns:pic="http://schemas.openxmlformats.org/drawingml/2006/picture">
                <pic:nvPicPr>
                  <pic:cNvPr id="652227264" name="Draft_Text7"/>
                  <pic:cNvPicPr/>
                </pic:nvPicPr>
                <pic:blipFill>
                  <a:blip r:embed="rId2"/>
                  <a:srcRect/>
                  <a:stretch/>
                </pic:blipFill>
                <pic:spPr>
                  <a:xfrm>
                    <a:off x="0" y="0"/>
                    <a:ext cx="5940000" cy="156704"/>
                  </a:xfrm>
                  <a:prstGeom prst="rect">
                    <a:avLst/>
                  </a:prstGeom>
                </pic:spPr>
              </pic:pic>
            </a:graphicData>
          </a:graphic>
        </wp:anchor>
      </w:drawing>
    </w:r>
    <w:r>
      <w:rPr>
        <w:noProof/>
        <w:color w:val="2B579A"/>
        <w:shd w:val="clear" w:color="auto" w:fill="E6E6E6"/>
        <w:lang w:eastAsia="en-AU"/>
      </w:rPr>
      <w:drawing>
        <wp:anchor distT="0" distB="0" distL="0" distR="0" simplePos="0" relativeHeight="251658272" behindDoc="1" locked="0" layoutInCell="1" allowOverlap="1" wp14:anchorId="656B1FCB" wp14:editId="656B1FCC">
          <wp:simplePos x="0" y="0"/>
          <wp:positionH relativeFrom="page">
            <wp:posOffset>3600000</wp:posOffset>
          </wp:positionH>
          <wp:positionV relativeFrom="page">
            <wp:posOffset>10188000</wp:posOffset>
          </wp:positionV>
          <wp:extent cx="5553450" cy="154800"/>
          <wp:effectExtent l="0" t="0" r="0" b="0"/>
          <wp:wrapNone/>
          <wp:docPr id="662474216" name="Public_Hide7" hidden="1"/>
          <wp:cNvGraphicFramePr/>
          <a:graphic xmlns:a="http://schemas.openxmlformats.org/drawingml/2006/main">
            <a:graphicData uri="http://schemas.openxmlformats.org/drawingml/2006/picture">
              <pic:pic xmlns:pic="http://schemas.openxmlformats.org/drawingml/2006/picture">
                <pic:nvPicPr>
                  <pic:cNvPr id="813461840" name="Public_Hide7"/>
                  <pic:cNvPicPr/>
                </pic:nvPicPr>
                <pic:blipFill>
                  <a:blip r:embed="rId3"/>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73" behindDoc="1" locked="0" layoutInCell="1" allowOverlap="1" wp14:anchorId="656B1FCD" wp14:editId="656B1FCE">
          <wp:simplePos x="0" y="0"/>
          <wp:positionH relativeFrom="page">
            <wp:posOffset>3600000</wp:posOffset>
          </wp:positionH>
          <wp:positionV relativeFrom="page">
            <wp:posOffset>10188000</wp:posOffset>
          </wp:positionV>
          <wp:extent cx="5553450" cy="154800"/>
          <wp:effectExtent l="0" t="0" r="0" b="0"/>
          <wp:wrapNone/>
          <wp:docPr id="662474217" name="Confidential_Hide7"/>
          <wp:cNvGraphicFramePr/>
          <a:graphic xmlns:a="http://schemas.openxmlformats.org/drawingml/2006/main">
            <a:graphicData uri="http://schemas.openxmlformats.org/drawingml/2006/picture">
              <pic:pic xmlns:pic="http://schemas.openxmlformats.org/drawingml/2006/picture">
                <pic:nvPicPr>
                  <pic:cNvPr id="48628336" name="Confidential_Hide7"/>
                  <pic:cNvPicPr/>
                </pic:nvPicPr>
                <pic:blipFill>
                  <a:blip r:embed="rId4"/>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74" behindDoc="1" locked="0" layoutInCell="1" allowOverlap="1" wp14:anchorId="656B1FCF" wp14:editId="656B1FD0">
          <wp:simplePos x="0" y="0"/>
          <wp:positionH relativeFrom="page">
            <wp:posOffset>3600000</wp:posOffset>
          </wp:positionH>
          <wp:positionV relativeFrom="page">
            <wp:posOffset>10188000</wp:posOffset>
          </wp:positionV>
          <wp:extent cx="5553450" cy="154800"/>
          <wp:effectExtent l="0" t="0" r="0" b="0"/>
          <wp:wrapNone/>
          <wp:docPr id="662474218" name="HighRisk_Hide7" hidden="1"/>
          <wp:cNvGraphicFramePr/>
          <a:graphic xmlns:a="http://schemas.openxmlformats.org/drawingml/2006/main">
            <a:graphicData uri="http://schemas.openxmlformats.org/drawingml/2006/picture">
              <pic:pic xmlns:pic="http://schemas.openxmlformats.org/drawingml/2006/picture">
                <pic:nvPicPr>
                  <pic:cNvPr id="1286410772" name="HighRisk_Hide7"/>
                  <pic:cNvPicPr/>
                </pic:nvPicPr>
                <pic:blipFill>
                  <a:blip r:embed="rId5"/>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75" behindDoc="0" locked="0" layoutInCell="1" allowOverlap="1" wp14:anchorId="656B1FD1" wp14:editId="656B1FD2">
          <wp:simplePos x="0" y="0"/>
          <wp:positionH relativeFrom="page">
            <wp:align>center</wp:align>
          </wp:positionH>
          <wp:positionV relativeFrom="page">
            <wp:align>center</wp:align>
          </wp:positionV>
          <wp:extent cx="5117755" cy="5400000"/>
          <wp:effectExtent l="0" t="0" r="0" b="0"/>
          <wp:wrapNone/>
          <wp:docPr id="662474219" name="Draft7"/>
          <wp:cNvGraphicFramePr/>
          <a:graphic xmlns:a="http://schemas.openxmlformats.org/drawingml/2006/main">
            <a:graphicData uri="http://schemas.openxmlformats.org/drawingml/2006/picture">
              <pic:pic xmlns:pic="http://schemas.openxmlformats.org/drawingml/2006/picture">
                <pic:nvPicPr>
                  <pic:cNvPr id="1265885173" name="Draft7"/>
                  <pic:cNvPicPr/>
                </pic:nvPicPr>
                <pic:blipFill>
                  <a:blip r:embed="rId1"/>
                  <a:srcRect/>
                  <a:stretch/>
                </pic:blipFill>
                <pic:spPr>
                  <a:xfrm>
                    <a:off x="0" y="0"/>
                    <a:ext cx="5117755" cy="5400000"/>
                  </a:xfrm>
                  <a:prstGeom prst="rect">
                    <a:avLst/>
                  </a:prstGeom>
                </pic:spPr>
              </pic:pic>
            </a:graphicData>
          </a:graphic>
        </wp:anchor>
      </w:drawing>
    </w:r>
    <w:r>
      <w:rPr>
        <w:noProof/>
        <w:color w:val="2B579A"/>
        <w:shd w:val="clear" w:color="auto" w:fill="E6E6E6"/>
        <w:lang w:eastAsia="en-AU"/>
      </w:rPr>
      <w:drawing>
        <wp:anchor distT="0" distB="0" distL="0" distR="0" simplePos="0" relativeHeight="251658276" behindDoc="0" locked="0" layoutInCell="1" allowOverlap="1" wp14:anchorId="656B1FD3" wp14:editId="656B1FD4">
          <wp:simplePos x="0" y="0"/>
          <wp:positionH relativeFrom="margin">
            <wp:align>left</wp:align>
          </wp:positionH>
          <wp:positionV relativeFrom="page">
            <wp:posOffset>10314000</wp:posOffset>
          </wp:positionV>
          <wp:extent cx="5940000" cy="156704"/>
          <wp:effectExtent l="0" t="0" r="0" b="0"/>
          <wp:wrapNone/>
          <wp:docPr id="662474220" name="Draft_Text7"/>
          <wp:cNvGraphicFramePr/>
          <a:graphic xmlns:a="http://schemas.openxmlformats.org/drawingml/2006/main">
            <a:graphicData uri="http://schemas.openxmlformats.org/drawingml/2006/picture">
              <pic:pic xmlns:pic="http://schemas.openxmlformats.org/drawingml/2006/picture">
                <pic:nvPicPr>
                  <pic:cNvPr id="652227264" name="Draft_Text7"/>
                  <pic:cNvPicPr/>
                </pic:nvPicPr>
                <pic:blipFill>
                  <a:blip r:embed="rId2"/>
                  <a:srcRect/>
                  <a:stretch/>
                </pic:blipFill>
                <pic:spPr>
                  <a:xfrm>
                    <a:off x="0" y="0"/>
                    <a:ext cx="5940000" cy="156704"/>
                  </a:xfrm>
                  <a:prstGeom prst="rect">
                    <a:avLst/>
                  </a:prstGeom>
                </pic:spPr>
              </pic:pic>
            </a:graphicData>
          </a:graphic>
        </wp:anchor>
      </w:drawing>
    </w:r>
    <w:r>
      <w:rPr>
        <w:noProof/>
        <w:color w:val="2B579A"/>
        <w:shd w:val="clear" w:color="auto" w:fill="E6E6E6"/>
        <w:lang w:eastAsia="en-AU"/>
      </w:rPr>
      <w:drawing>
        <wp:anchor distT="0" distB="0" distL="0" distR="0" simplePos="0" relativeHeight="251658277" behindDoc="1" locked="0" layoutInCell="1" allowOverlap="1" wp14:anchorId="656B1FD5" wp14:editId="656B1FD6">
          <wp:simplePos x="0" y="0"/>
          <wp:positionH relativeFrom="page">
            <wp:posOffset>3600000</wp:posOffset>
          </wp:positionH>
          <wp:positionV relativeFrom="page">
            <wp:posOffset>10188000</wp:posOffset>
          </wp:positionV>
          <wp:extent cx="5553450" cy="154800"/>
          <wp:effectExtent l="0" t="0" r="0" b="0"/>
          <wp:wrapNone/>
          <wp:docPr id="662474221" name="Public_Hide7" hidden="1"/>
          <wp:cNvGraphicFramePr/>
          <a:graphic xmlns:a="http://schemas.openxmlformats.org/drawingml/2006/main">
            <a:graphicData uri="http://schemas.openxmlformats.org/drawingml/2006/picture">
              <pic:pic xmlns:pic="http://schemas.openxmlformats.org/drawingml/2006/picture">
                <pic:nvPicPr>
                  <pic:cNvPr id="813461840" name="Public_Hide7"/>
                  <pic:cNvPicPr/>
                </pic:nvPicPr>
                <pic:blipFill>
                  <a:blip r:embed="rId3"/>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78" behindDoc="1" locked="0" layoutInCell="1" allowOverlap="1" wp14:anchorId="656B1FD7" wp14:editId="656B1FD8">
          <wp:simplePos x="0" y="0"/>
          <wp:positionH relativeFrom="page">
            <wp:posOffset>3600000</wp:posOffset>
          </wp:positionH>
          <wp:positionV relativeFrom="page">
            <wp:posOffset>10188000</wp:posOffset>
          </wp:positionV>
          <wp:extent cx="5553450" cy="154800"/>
          <wp:effectExtent l="0" t="0" r="0" b="0"/>
          <wp:wrapNone/>
          <wp:docPr id="662474222" name="Confidential_Hide7"/>
          <wp:cNvGraphicFramePr/>
          <a:graphic xmlns:a="http://schemas.openxmlformats.org/drawingml/2006/main">
            <a:graphicData uri="http://schemas.openxmlformats.org/drawingml/2006/picture">
              <pic:pic xmlns:pic="http://schemas.openxmlformats.org/drawingml/2006/picture">
                <pic:nvPicPr>
                  <pic:cNvPr id="48628336" name="Confidential_Hide7"/>
                  <pic:cNvPicPr/>
                </pic:nvPicPr>
                <pic:blipFill>
                  <a:blip r:embed="rId4"/>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79" behindDoc="1" locked="0" layoutInCell="1" allowOverlap="1" wp14:anchorId="656B1FD9" wp14:editId="656B1FDA">
          <wp:simplePos x="0" y="0"/>
          <wp:positionH relativeFrom="page">
            <wp:posOffset>3600000</wp:posOffset>
          </wp:positionH>
          <wp:positionV relativeFrom="page">
            <wp:posOffset>10188000</wp:posOffset>
          </wp:positionV>
          <wp:extent cx="5553450" cy="154800"/>
          <wp:effectExtent l="0" t="0" r="0" b="0"/>
          <wp:wrapNone/>
          <wp:docPr id="662474223" name="HighRisk_Hide7" hidden="1"/>
          <wp:cNvGraphicFramePr/>
          <a:graphic xmlns:a="http://schemas.openxmlformats.org/drawingml/2006/main">
            <a:graphicData uri="http://schemas.openxmlformats.org/drawingml/2006/picture">
              <pic:pic xmlns:pic="http://schemas.openxmlformats.org/drawingml/2006/picture">
                <pic:nvPicPr>
                  <pic:cNvPr id="1286410772" name="HighRisk_Hide7"/>
                  <pic:cNvPicPr/>
                </pic:nvPicPr>
                <pic:blipFill>
                  <a:blip r:embed="rId5"/>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280" behindDoc="0" locked="0" layoutInCell="1" allowOverlap="1" wp14:anchorId="656B1FDB" wp14:editId="656B1FDC">
          <wp:simplePos x="0" y="0"/>
          <wp:positionH relativeFrom="page">
            <wp:align>center</wp:align>
          </wp:positionH>
          <wp:positionV relativeFrom="page">
            <wp:align>center</wp:align>
          </wp:positionV>
          <wp:extent cx="5117755" cy="5400000"/>
          <wp:effectExtent l="0" t="0" r="0" b="0"/>
          <wp:wrapNone/>
          <wp:docPr id="662474224" name="Draft7"/>
          <wp:cNvGraphicFramePr/>
          <a:graphic xmlns:a="http://schemas.openxmlformats.org/drawingml/2006/main">
            <a:graphicData uri="http://schemas.openxmlformats.org/drawingml/2006/picture">
              <pic:pic xmlns:pic="http://schemas.openxmlformats.org/drawingml/2006/picture">
                <pic:nvPicPr>
                  <pic:cNvPr id="1265885173" name="Draft7"/>
                  <pic:cNvPicPr/>
                </pic:nvPicPr>
                <pic:blipFill>
                  <a:blip r:embed="rId1"/>
                  <a:srcRect/>
                  <a:stretch/>
                </pic:blipFill>
                <pic:spPr>
                  <a:xfrm>
                    <a:off x="0" y="0"/>
                    <a:ext cx="5117755" cy="5400000"/>
                  </a:xfrm>
                  <a:prstGeom prst="rect">
                    <a:avLst/>
                  </a:prstGeom>
                </pic:spPr>
              </pic:pic>
            </a:graphicData>
          </a:graphic>
        </wp:anchor>
      </w:drawing>
    </w:r>
    <w:r>
      <w:rPr>
        <w:noProof/>
        <w:color w:val="2B579A"/>
        <w:shd w:val="clear" w:color="auto" w:fill="E6E6E6"/>
        <w:lang w:eastAsia="en-AU"/>
      </w:rPr>
      <w:drawing>
        <wp:anchor distT="0" distB="0" distL="0" distR="0" simplePos="0" relativeHeight="251658281" behindDoc="0" locked="0" layoutInCell="1" allowOverlap="1" wp14:anchorId="656B1FDD" wp14:editId="656B1FDE">
          <wp:simplePos x="0" y="0"/>
          <wp:positionH relativeFrom="margin">
            <wp:align>left</wp:align>
          </wp:positionH>
          <wp:positionV relativeFrom="page">
            <wp:posOffset>10314000</wp:posOffset>
          </wp:positionV>
          <wp:extent cx="5940000" cy="156704"/>
          <wp:effectExtent l="0" t="0" r="0" b="0"/>
          <wp:wrapNone/>
          <wp:docPr id="662474225" name="Draft_Text7"/>
          <wp:cNvGraphicFramePr/>
          <a:graphic xmlns:a="http://schemas.openxmlformats.org/drawingml/2006/main">
            <a:graphicData uri="http://schemas.openxmlformats.org/drawingml/2006/picture">
              <pic:pic xmlns:pic="http://schemas.openxmlformats.org/drawingml/2006/picture">
                <pic:nvPicPr>
                  <pic:cNvPr id="652227264" name="Draft_Text7"/>
                  <pic:cNvPicPr/>
                </pic:nvPicPr>
                <pic:blipFill>
                  <a:blip r:embed="rId2"/>
                  <a:srcRect/>
                  <a:stretch/>
                </pic:blipFill>
                <pic:spPr>
                  <a:xfrm>
                    <a:off x="0" y="0"/>
                    <a:ext cx="5940000" cy="156704"/>
                  </a:xfrm>
                  <a:prstGeom prst="rect">
                    <a:avLst/>
                  </a:prstGeom>
                </pic:spPr>
              </pic:pic>
            </a:graphicData>
          </a:graphic>
        </wp:anchor>
      </w:drawing>
    </w:r>
    <w:r>
      <w:rPr>
        <w:noProof/>
        <w:color w:val="2B579A"/>
        <w:shd w:val="clear" w:color="auto" w:fill="E6E6E6"/>
        <w:lang w:eastAsia="en-AU"/>
      </w:rPr>
      <w:drawing>
        <wp:anchor distT="0" distB="0" distL="0" distR="0" simplePos="0" relativeHeight="251658282" behindDoc="1" locked="0" layoutInCell="1" allowOverlap="1" wp14:anchorId="656B1FDF" wp14:editId="656B1FE0">
          <wp:simplePos x="0" y="0"/>
          <wp:positionH relativeFrom="page">
            <wp:posOffset>3600000</wp:posOffset>
          </wp:positionH>
          <wp:positionV relativeFrom="page">
            <wp:posOffset>10188000</wp:posOffset>
          </wp:positionV>
          <wp:extent cx="5553450" cy="154800"/>
          <wp:effectExtent l="0" t="0" r="0" b="0"/>
          <wp:wrapNone/>
          <wp:docPr id="662474226" name="Public_Hide7" hidden="1"/>
          <wp:cNvGraphicFramePr/>
          <a:graphic xmlns:a="http://schemas.openxmlformats.org/drawingml/2006/main">
            <a:graphicData uri="http://schemas.openxmlformats.org/drawingml/2006/picture">
              <pic:pic xmlns:pic="http://schemas.openxmlformats.org/drawingml/2006/picture">
                <pic:nvPicPr>
                  <pic:cNvPr id="813461840" name="Public_Hide7"/>
                  <pic:cNvPicPr/>
                </pic:nvPicPr>
                <pic:blipFill>
                  <a:blip r:embed="rId3"/>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07" behindDoc="1" locked="0" layoutInCell="1" allowOverlap="1" wp14:anchorId="656B1FE1" wp14:editId="656B1FE2">
          <wp:simplePos x="0" y="0"/>
          <wp:positionH relativeFrom="page">
            <wp:posOffset>3600000</wp:posOffset>
          </wp:positionH>
          <wp:positionV relativeFrom="page">
            <wp:posOffset>10188000</wp:posOffset>
          </wp:positionV>
          <wp:extent cx="5553450" cy="154800"/>
          <wp:effectExtent l="0" t="0" r="0" b="0"/>
          <wp:wrapNone/>
          <wp:docPr id="662474227" name="Confidential_Hide7"/>
          <wp:cNvGraphicFramePr/>
          <a:graphic xmlns:a="http://schemas.openxmlformats.org/drawingml/2006/main">
            <a:graphicData uri="http://schemas.openxmlformats.org/drawingml/2006/picture">
              <pic:pic xmlns:pic="http://schemas.openxmlformats.org/drawingml/2006/picture">
                <pic:nvPicPr>
                  <pic:cNvPr id="48628336" name="Confidential_Hide7"/>
                  <pic:cNvPicPr/>
                </pic:nvPicPr>
                <pic:blipFill>
                  <a:blip r:embed="rId4"/>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08" behindDoc="1" locked="0" layoutInCell="1" allowOverlap="1" wp14:anchorId="656B1FE3" wp14:editId="656B1FE4">
          <wp:simplePos x="0" y="0"/>
          <wp:positionH relativeFrom="page">
            <wp:posOffset>3600000</wp:posOffset>
          </wp:positionH>
          <wp:positionV relativeFrom="page">
            <wp:posOffset>10188000</wp:posOffset>
          </wp:positionV>
          <wp:extent cx="5553450" cy="154800"/>
          <wp:effectExtent l="0" t="0" r="0" b="0"/>
          <wp:wrapNone/>
          <wp:docPr id="662474228" name="HighRisk_Hide7" hidden="1"/>
          <wp:cNvGraphicFramePr/>
          <a:graphic xmlns:a="http://schemas.openxmlformats.org/drawingml/2006/main">
            <a:graphicData uri="http://schemas.openxmlformats.org/drawingml/2006/picture">
              <pic:pic xmlns:pic="http://schemas.openxmlformats.org/drawingml/2006/picture">
                <pic:nvPicPr>
                  <pic:cNvPr id="1286410772" name="HighRisk_Hide7"/>
                  <pic:cNvPicPr/>
                </pic:nvPicPr>
                <pic:blipFill>
                  <a:blip r:embed="rId5"/>
                  <a:srcRect/>
                  <a:stretch/>
                </pic:blipFill>
                <pic:spPr>
                  <a:xfrm>
                    <a:off x="0" y="0"/>
                    <a:ext cx="5553450" cy="154800"/>
                  </a:xfrm>
                  <a:prstGeom prst="rect">
                    <a:avLst/>
                  </a:prstGeom>
                </pic:spPr>
              </pic:pic>
            </a:graphicData>
          </a:graphic>
        </wp:anchor>
      </w:drawing>
    </w:r>
  </w:p>
  <w:p w14:paraId="656B1F08" w14:textId="77777777" w:rsidR="00E752DE" w:rsidRDefault="00E752DE" w:rsidP="00094C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7BAEB" w14:textId="77777777" w:rsidR="00E752DE" w:rsidRDefault="00E752DE" w:rsidP="00094CBC">
    <w:r>
      <w:rPr>
        <w:noProof/>
        <w:color w:val="2B579A"/>
        <w:shd w:val="clear" w:color="auto" w:fill="E6E6E6"/>
        <w:lang w:eastAsia="en-AU"/>
      </w:rPr>
      <w:drawing>
        <wp:anchor distT="0" distB="0" distL="0" distR="0" simplePos="0" relativeHeight="251658374" behindDoc="1" locked="0" layoutInCell="1" allowOverlap="1" wp14:anchorId="453F1F1B" wp14:editId="21993576">
          <wp:simplePos x="0" y="0"/>
          <wp:positionH relativeFrom="page">
            <wp:posOffset>3600000</wp:posOffset>
          </wp:positionH>
          <wp:positionV relativeFrom="page">
            <wp:posOffset>10188000</wp:posOffset>
          </wp:positionV>
          <wp:extent cx="5553450" cy="154800"/>
          <wp:effectExtent l="0" t="0" r="0" b="0"/>
          <wp:wrapNone/>
          <wp:docPr id="662474229"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75" behindDoc="1" locked="0" layoutInCell="1" allowOverlap="1" wp14:anchorId="0DA4C3DD" wp14:editId="04FAC084">
          <wp:simplePos x="0" y="0"/>
          <wp:positionH relativeFrom="page">
            <wp:posOffset>3600000</wp:posOffset>
          </wp:positionH>
          <wp:positionV relativeFrom="page">
            <wp:posOffset>10188000</wp:posOffset>
          </wp:positionV>
          <wp:extent cx="5553450" cy="154800"/>
          <wp:effectExtent l="0" t="0" r="0" b="0"/>
          <wp:wrapNone/>
          <wp:docPr id="662474230"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68" behindDoc="1" locked="0" layoutInCell="1" allowOverlap="1" wp14:anchorId="22B84984" wp14:editId="12E92453">
          <wp:simplePos x="0" y="0"/>
          <wp:positionH relativeFrom="page">
            <wp:posOffset>3600000</wp:posOffset>
          </wp:positionH>
          <wp:positionV relativeFrom="page">
            <wp:posOffset>10188000</wp:posOffset>
          </wp:positionV>
          <wp:extent cx="5553450" cy="154800"/>
          <wp:effectExtent l="0" t="0" r="0" b="0"/>
          <wp:wrapNone/>
          <wp:docPr id="662474231"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69" behindDoc="1" locked="0" layoutInCell="1" allowOverlap="1" wp14:anchorId="15232FB0" wp14:editId="01E93ADF">
          <wp:simplePos x="0" y="0"/>
          <wp:positionH relativeFrom="page">
            <wp:posOffset>3600000</wp:posOffset>
          </wp:positionH>
          <wp:positionV relativeFrom="page">
            <wp:posOffset>10188000</wp:posOffset>
          </wp:positionV>
          <wp:extent cx="5553450" cy="154800"/>
          <wp:effectExtent l="0" t="0" r="0" b="0"/>
          <wp:wrapNone/>
          <wp:docPr id="662474232"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62" behindDoc="1" locked="0" layoutInCell="1" allowOverlap="1" wp14:anchorId="6B843EDF" wp14:editId="4B6CE441">
          <wp:simplePos x="0" y="0"/>
          <wp:positionH relativeFrom="page">
            <wp:posOffset>3600000</wp:posOffset>
          </wp:positionH>
          <wp:positionV relativeFrom="page">
            <wp:posOffset>10188000</wp:posOffset>
          </wp:positionV>
          <wp:extent cx="5553450" cy="154800"/>
          <wp:effectExtent l="0" t="0" r="0" b="0"/>
          <wp:wrapNone/>
          <wp:docPr id="662474233"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63" behindDoc="1" locked="0" layoutInCell="1" allowOverlap="1" wp14:anchorId="2B7D6A1B" wp14:editId="055C5525">
          <wp:simplePos x="0" y="0"/>
          <wp:positionH relativeFrom="page">
            <wp:posOffset>3600000</wp:posOffset>
          </wp:positionH>
          <wp:positionV relativeFrom="page">
            <wp:posOffset>10188000</wp:posOffset>
          </wp:positionV>
          <wp:extent cx="5553450" cy="154800"/>
          <wp:effectExtent l="0" t="0" r="0" b="0"/>
          <wp:wrapNone/>
          <wp:docPr id="662474234"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p>
  <w:p w14:paraId="68BA83AA" w14:textId="77777777" w:rsidR="00E752DE" w:rsidRDefault="00E752DE">
    <w:pPr>
      <w:pStyle w:val="Header"/>
    </w:pPr>
  </w:p>
  <w:p w14:paraId="5659F6BC" w14:textId="77777777" w:rsidR="00E752DE" w:rsidRDefault="00E752D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6B64A" w14:textId="77777777" w:rsidR="00E752DE" w:rsidRDefault="00E752DE">
    <w:r>
      <w:rPr>
        <w:noProof/>
        <w:color w:val="2B579A"/>
        <w:shd w:val="clear" w:color="auto" w:fill="E6E6E6"/>
        <w:lang w:eastAsia="en-AU"/>
      </w:rPr>
      <w:drawing>
        <wp:anchor distT="0" distB="0" distL="0" distR="0" simplePos="0" relativeHeight="251658376" behindDoc="1" locked="0" layoutInCell="1" allowOverlap="1" wp14:anchorId="423B1CEC" wp14:editId="70D15137">
          <wp:simplePos x="0" y="0"/>
          <wp:positionH relativeFrom="page">
            <wp:posOffset>3600000</wp:posOffset>
          </wp:positionH>
          <wp:positionV relativeFrom="page">
            <wp:posOffset>10188000</wp:posOffset>
          </wp:positionV>
          <wp:extent cx="5553450" cy="154800"/>
          <wp:effectExtent l="0" t="0" r="0" b="0"/>
          <wp:wrapNone/>
          <wp:docPr id="662474235"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77" behindDoc="1" locked="0" layoutInCell="1" allowOverlap="1" wp14:anchorId="29258FC3" wp14:editId="2108EB28">
          <wp:simplePos x="0" y="0"/>
          <wp:positionH relativeFrom="page">
            <wp:posOffset>3600000</wp:posOffset>
          </wp:positionH>
          <wp:positionV relativeFrom="page">
            <wp:posOffset>10188000</wp:posOffset>
          </wp:positionV>
          <wp:extent cx="5553450" cy="154800"/>
          <wp:effectExtent l="0" t="0" r="0" b="0"/>
          <wp:wrapNone/>
          <wp:docPr id="65593920"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70" behindDoc="1" locked="0" layoutInCell="1" allowOverlap="1" wp14:anchorId="6E3223A9" wp14:editId="148F0B33">
          <wp:simplePos x="0" y="0"/>
          <wp:positionH relativeFrom="page">
            <wp:posOffset>3600000</wp:posOffset>
          </wp:positionH>
          <wp:positionV relativeFrom="page">
            <wp:posOffset>10188000</wp:posOffset>
          </wp:positionV>
          <wp:extent cx="5553450" cy="154800"/>
          <wp:effectExtent l="0" t="0" r="0" b="0"/>
          <wp:wrapNone/>
          <wp:docPr id="65593921"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71" behindDoc="1" locked="0" layoutInCell="1" allowOverlap="1" wp14:anchorId="4EAD604B" wp14:editId="6C5402FF">
          <wp:simplePos x="0" y="0"/>
          <wp:positionH relativeFrom="page">
            <wp:posOffset>3600000</wp:posOffset>
          </wp:positionH>
          <wp:positionV relativeFrom="page">
            <wp:posOffset>10188000</wp:posOffset>
          </wp:positionV>
          <wp:extent cx="5553450" cy="154800"/>
          <wp:effectExtent l="0" t="0" r="0" b="0"/>
          <wp:wrapNone/>
          <wp:docPr id="65593922"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64" behindDoc="1" locked="0" layoutInCell="1" allowOverlap="1" wp14:anchorId="6E03E419" wp14:editId="26528FD7">
          <wp:simplePos x="0" y="0"/>
          <wp:positionH relativeFrom="page">
            <wp:posOffset>3600000</wp:posOffset>
          </wp:positionH>
          <wp:positionV relativeFrom="page">
            <wp:posOffset>10188000</wp:posOffset>
          </wp:positionV>
          <wp:extent cx="5553450" cy="154800"/>
          <wp:effectExtent l="0" t="0" r="0" b="0"/>
          <wp:wrapNone/>
          <wp:docPr id="65593923"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65" behindDoc="1" locked="0" layoutInCell="1" allowOverlap="1" wp14:anchorId="4864EF37" wp14:editId="6339EF17">
          <wp:simplePos x="0" y="0"/>
          <wp:positionH relativeFrom="page">
            <wp:posOffset>3600000</wp:posOffset>
          </wp:positionH>
          <wp:positionV relativeFrom="page">
            <wp:posOffset>10188000</wp:posOffset>
          </wp:positionV>
          <wp:extent cx="5553450" cy="154800"/>
          <wp:effectExtent l="0" t="0" r="0" b="0"/>
          <wp:wrapNone/>
          <wp:docPr id="65593924"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p>
  <w:p w14:paraId="639C196F" w14:textId="77777777" w:rsidR="00E752DE" w:rsidRDefault="00E752DE"/>
  <w:p w14:paraId="7688AE62" w14:textId="77777777" w:rsidR="00E752DE" w:rsidRDefault="00E752DE" w:rsidP="00094CBC">
    <w:pPr>
      <w:pStyle w:val="Footer"/>
      <w:rPr>
        <w:rStyle w:val="PageNumber"/>
      </w:rPr>
    </w:pPr>
  </w:p>
  <w:p w14:paraId="7496D77D" w14:textId="77777777" w:rsidR="00E752DE" w:rsidRDefault="00E752DE">
    <w:pPr>
      <w:pStyle w:val="Footer"/>
      <w:rPr>
        <w:rStyle w:val="PageNumbe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B8874" w14:textId="77777777" w:rsidR="00E752DE" w:rsidRDefault="00E752DE" w:rsidP="00094CBC">
    <w:r>
      <w:rPr>
        <w:noProof/>
        <w:color w:val="2B579A"/>
        <w:shd w:val="clear" w:color="auto" w:fill="E6E6E6"/>
        <w:lang w:eastAsia="en-AU"/>
      </w:rPr>
      <w:drawing>
        <wp:anchor distT="0" distB="0" distL="0" distR="0" simplePos="0" relativeHeight="251658378" behindDoc="1" locked="0" layoutInCell="1" allowOverlap="1" wp14:anchorId="40962497" wp14:editId="5B068986">
          <wp:simplePos x="0" y="0"/>
          <wp:positionH relativeFrom="page">
            <wp:posOffset>3600000</wp:posOffset>
          </wp:positionH>
          <wp:positionV relativeFrom="page">
            <wp:posOffset>10188000</wp:posOffset>
          </wp:positionV>
          <wp:extent cx="5553450" cy="154800"/>
          <wp:effectExtent l="0" t="0" r="0" b="0"/>
          <wp:wrapNone/>
          <wp:docPr id="65593925"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79" behindDoc="1" locked="0" layoutInCell="1" allowOverlap="1" wp14:anchorId="24D6BD43" wp14:editId="5D27762D">
          <wp:simplePos x="0" y="0"/>
          <wp:positionH relativeFrom="page">
            <wp:posOffset>3600000</wp:posOffset>
          </wp:positionH>
          <wp:positionV relativeFrom="page">
            <wp:posOffset>10188000</wp:posOffset>
          </wp:positionV>
          <wp:extent cx="5553450" cy="154800"/>
          <wp:effectExtent l="0" t="0" r="0" b="0"/>
          <wp:wrapNone/>
          <wp:docPr id="65593926"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72" behindDoc="1" locked="0" layoutInCell="1" allowOverlap="1" wp14:anchorId="4DED7716" wp14:editId="29FE5F8F">
          <wp:simplePos x="0" y="0"/>
          <wp:positionH relativeFrom="page">
            <wp:posOffset>3600000</wp:posOffset>
          </wp:positionH>
          <wp:positionV relativeFrom="page">
            <wp:posOffset>10188000</wp:posOffset>
          </wp:positionV>
          <wp:extent cx="5553450" cy="154800"/>
          <wp:effectExtent l="0" t="0" r="0" b="0"/>
          <wp:wrapNone/>
          <wp:docPr id="65593927"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73" behindDoc="1" locked="0" layoutInCell="1" allowOverlap="1" wp14:anchorId="1EA4BF40" wp14:editId="3149CCF9">
          <wp:simplePos x="0" y="0"/>
          <wp:positionH relativeFrom="page">
            <wp:posOffset>3600000</wp:posOffset>
          </wp:positionH>
          <wp:positionV relativeFrom="page">
            <wp:posOffset>10188000</wp:posOffset>
          </wp:positionV>
          <wp:extent cx="5553450" cy="154800"/>
          <wp:effectExtent l="0" t="0" r="0" b="0"/>
          <wp:wrapNone/>
          <wp:docPr id="65593928"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66" behindDoc="1" locked="0" layoutInCell="1" allowOverlap="1" wp14:anchorId="7749344F" wp14:editId="4E68C252">
          <wp:simplePos x="0" y="0"/>
          <wp:positionH relativeFrom="page">
            <wp:posOffset>3600000</wp:posOffset>
          </wp:positionH>
          <wp:positionV relativeFrom="page">
            <wp:posOffset>10188000</wp:posOffset>
          </wp:positionV>
          <wp:extent cx="5553450" cy="154800"/>
          <wp:effectExtent l="0" t="0" r="0" b="0"/>
          <wp:wrapNone/>
          <wp:docPr id="65593929" name="Public_Hide8" hidden="1"/>
          <wp:cNvGraphicFramePr/>
          <a:graphic xmlns:a="http://schemas.openxmlformats.org/drawingml/2006/main">
            <a:graphicData uri="http://schemas.openxmlformats.org/drawingml/2006/picture">
              <pic:pic xmlns:pic="http://schemas.openxmlformats.org/drawingml/2006/picture">
                <pic:nvPicPr>
                  <pic:cNvPr id="1853236919" name="Public_Hide8"/>
                  <pic:cNvPicPr/>
                </pic:nvPicPr>
                <pic:blipFill>
                  <a:blip r:embed="rId1"/>
                  <a:srcRect/>
                  <a:stretch/>
                </pic:blipFill>
                <pic:spPr>
                  <a:xfrm>
                    <a:off x="0" y="0"/>
                    <a:ext cx="5553450" cy="154800"/>
                  </a:xfrm>
                  <a:prstGeom prst="rect">
                    <a:avLst/>
                  </a:prstGeom>
                </pic:spPr>
              </pic:pic>
            </a:graphicData>
          </a:graphic>
        </wp:anchor>
      </w:drawing>
    </w:r>
    <w:r>
      <w:rPr>
        <w:noProof/>
        <w:color w:val="2B579A"/>
        <w:shd w:val="clear" w:color="auto" w:fill="E6E6E6"/>
        <w:lang w:eastAsia="en-AU"/>
      </w:rPr>
      <w:drawing>
        <wp:anchor distT="0" distB="0" distL="0" distR="0" simplePos="0" relativeHeight="251658367" behindDoc="1" locked="0" layoutInCell="1" allowOverlap="1" wp14:anchorId="23F394F0" wp14:editId="52A58A29">
          <wp:simplePos x="0" y="0"/>
          <wp:positionH relativeFrom="page">
            <wp:posOffset>3600000</wp:posOffset>
          </wp:positionH>
          <wp:positionV relativeFrom="page">
            <wp:posOffset>10188000</wp:posOffset>
          </wp:positionV>
          <wp:extent cx="5553450" cy="154800"/>
          <wp:effectExtent l="0" t="0" r="0" b="0"/>
          <wp:wrapNone/>
          <wp:docPr id="65593930" name="HighRisk_Hide8" hidden="1"/>
          <wp:cNvGraphicFramePr/>
          <a:graphic xmlns:a="http://schemas.openxmlformats.org/drawingml/2006/main">
            <a:graphicData uri="http://schemas.openxmlformats.org/drawingml/2006/picture">
              <pic:pic xmlns:pic="http://schemas.openxmlformats.org/drawingml/2006/picture">
                <pic:nvPicPr>
                  <pic:cNvPr id="1562759214" name="HighRisk_Hide8"/>
                  <pic:cNvPicPr/>
                </pic:nvPicPr>
                <pic:blipFill>
                  <a:blip r:embed="rId2"/>
                  <a:srcRect/>
                  <a:stretch/>
                </pic:blipFill>
                <pic:spPr>
                  <a:xfrm>
                    <a:off x="0" y="0"/>
                    <a:ext cx="5553450" cy="154800"/>
                  </a:xfrm>
                  <a:prstGeom prst="rect">
                    <a:avLst/>
                  </a:prstGeom>
                </pic:spPr>
              </pic:pic>
            </a:graphicData>
          </a:graphic>
        </wp:anchor>
      </w:drawing>
    </w:r>
  </w:p>
  <w:p w14:paraId="47FE9897" w14:textId="77777777" w:rsidR="00E752DE" w:rsidRDefault="00E752DE">
    <w:pPr>
      <w:pStyle w:val="Header"/>
    </w:pPr>
  </w:p>
  <w:p w14:paraId="0D30B984" w14:textId="77777777" w:rsidR="00E752DE" w:rsidRDefault="00E752DE"/>
  <w:p w14:paraId="2149BC92" w14:textId="77777777" w:rsidR="00E752DE" w:rsidRDefault="00E752DE" w:rsidP="00094CBC">
    <w:pPr>
      <w:pStyle w:val="Footer"/>
      <w:rPr>
        <w:rStyle w:val="PageNumber"/>
      </w:rPr>
    </w:pPr>
  </w:p>
  <w:p w14:paraId="24D3E8AF" w14:textId="77777777" w:rsidR="00E752DE" w:rsidRDefault="00E752DE">
    <w:pPr>
      <w:pStyle w:val="Foot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0F7ED5"/>
    <w:multiLevelType w:val="hybridMultilevel"/>
    <w:tmpl w:val="139A56F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0380354"/>
    <w:multiLevelType w:val="hybridMultilevel"/>
    <w:tmpl w:val="A9B293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03D61C9"/>
    <w:multiLevelType w:val="hybridMultilevel"/>
    <w:tmpl w:val="6100BF62"/>
    <w:lvl w:ilvl="0" w:tplc="0C090003">
      <w:start w:val="1"/>
      <w:numFmt w:val="bullet"/>
      <w:lvlText w:val="o"/>
      <w:lvlJc w:val="left"/>
      <w:pPr>
        <w:ind w:left="645" w:hanging="360"/>
      </w:pPr>
      <w:rPr>
        <w:rFonts w:ascii="Courier New" w:hAnsi="Courier New" w:cs="Courier New" w:hint="default"/>
      </w:rPr>
    </w:lvl>
    <w:lvl w:ilvl="1" w:tplc="0C090003">
      <w:start w:val="1"/>
      <w:numFmt w:val="bullet"/>
      <w:lvlText w:val="o"/>
      <w:lvlJc w:val="left"/>
      <w:pPr>
        <w:ind w:left="1365" w:hanging="360"/>
      </w:pPr>
      <w:rPr>
        <w:rFonts w:ascii="Courier New" w:hAnsi="Courier New" w:cs="Courier New" w:hint="default"/>
      </w:rPr>
    </w:lvl>
    <w:lvl w:ilvl="2" w:tplc="0C090005">
      <w:start w:val="1"/>
      <w:numFmt w:val="bullet"/>
      <w:lvlText w:val=""/>
      <w:lvlJc w:val="left"/>
      <w:pPr>
        <w:ind w:left="2085" w:hanging="360"/>
      </w:pPr>
      <w:rPr>
        <w:rFonts w:ascii="Wingdings" w:hAnsi="Wingdings" w:hint="default"/>
      </w:rPr>
    </w:lvl>
    <w:lvl w:ilvl="3" w:tplc="0C090001" w:tentative="1">
      <w:start w:val="1"/>
      <w:numFmt w:val="bullet"/>
      <w:lvlText w:val=""/>
      <w:lvlJc w:val="left"/>
      <w:pPr>
        <w:ind w:left="2805" w:hanging="360"/>
      </w:pPr>
      <w:rPr>
        <w:rFonts w:ascii="Symbol" w:hAnsi="Symbol" w:hint="default"/>
      </w:rPr>
    </w:lvl>
    <w:lvl w:ilvl="4" w:tplc="0C090003" w:tentative="1">
      <w:start w:val="1"/>
      <w:numFmt w:val="bullet"/>
      <w:lvlText w:val="o"/>
      <w:lvlJc w:val="left"/>
      <w:pPr>
        <w:ind w:left="3525" w:hanging="360"/>
      </w:pPr>
      <w:rPr>
        <w:rFonts w:ascii="Courier New" w:hAnsi="Courier New" w:cs="Courier New" w:hint="default"/>
      </w:rPr>
    </w:lvl>
    <w:lvl w:ilvl="5" w:tplc="0C090005" w:tentative="1">
      <w:start w:val="1"/>
      <w:numFmt w:val="bullet"/>
      <w:lvlText w:val=""/>
      <w:lvlJc w:val="left"/>
      <w:pPr>
        <w:ind w:left="4245" w:hanging="360"/>
      </w:pPr>
      <w:rPr>
        <w:rFonts w:ascii="Wingdings" w:hAnsi="Wingdings" w:hint="default"/>
      </w:rPr>
    </w:lvl>
    <w:lvl w:ilvl="6" w:tplc="0C090001" w:tentative="1">
      <w:start w:val="1"/>
      <w:numFmt w:val="bullet"/>
      <w:lvlText w:val=""/>
      <w:lvlJc w:val="left"/>
      <w:pPr>
        <w:ind w:left="4965" w:hanging="360"/>
      </w:pPr>
      <w:rPr>
        <w:rFonts w:ascii="Symbol" w:hAnsi="Symbol" w:hint="default"/>
      </w:rPr>
    </w:lvl>
    <w:lvl w:ilvl="7" w:tplc="0C090003" w:tentative="1">
      <w:start w:val="1"/>
      <w:numFmt w:val="bullet"/>
      <w:lvlText w:val="o"/>
      <w:lvlJc w:val="left"/>
      <w:pPr>
        <w:ind w:left="5685" w:hanging="360"/>
      </w:pPr>
      <w:rPr>
        <w:rFonts w:ascii="Courier New" w:hAnsi="Courier New" w:cs="Courier New" w:hint="default"/>
      </w:rPr>
    </w:lvl>
    <w:lvl w:ilvl="8" w:tplc="0C090005" w:tentative="1">
      <w:start w:val="1"/>
      <w:numFmt w:val="bullet"/>
      <w:lvlText w:val=""/>
      <w:lvlJc w:val="left"/>
      <w:pPr>
        <w:ind w:left="6405" w:hanging="360"/>
      </w:pPr>
      <w:rPr>
        <w:rFonts w:ascii="Wingdings" w:hAnsi="Wingdings" w:hint="default"/>
      </w:rPr>
    </w:lvl>
  </w:abstractNum>
  <w:abstractNum w:abstractNumId="6" w15:restartNumberingAfterBreak="0">
    <w:nsid w:val="00491FB6"/>
    <w:multiLevelType w:val="hybridMultilevel"/>
    <w:tmpl w:val="62582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0864BC8"/>
    <w:multiLevelType w:val="hybridMultilevel"/>
    <w:tmpl w:val="DCBEE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0A908C7"/>
    <w:multiLevelType w:val="hybridMultilevel"/>
    <w:tmpl w:val="BDFC021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7A2D90"/>
    <w:multiLevelType w:val="hybridMultilevel"/>
    <w:tmpl w:val="453A52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A949E7"/>
    <w:multiLevelType w:val="hybridMultilevel"/>
    <w:tmpl w:val="D87458DC"/>
    <w:lvl w:ilvl="0" w:tplc="59021EE0">
      <w:start w:val="29"/>
      <w:numFmt w:val="bullet"/>
      <w:lvlText w:val=""/>
      <w:lvlJc w:val="left"/>
      <w:pPr>
        <w:ind w:left="360" w:hanging="360"/>
      </w:pPr>
      <w:rPr>
        <w:rFonts w:ascii="Symbol" w:eastAsia="Times New Roman" w:hAnsi="Symbol"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2" w15:restartNumberingAfterBreak="0">
    <w:nsid w:val="0573327A"/>
    <w:multiLevelType w:val="hybridMultilevel"/>
    <w:tmpl w:val="4B5C7640"/>
    <w:lvl w:ilvl="0" w:tplc="0C090003">
      <w:start w:val="1"/>
      <w:numFmt w:val="bullet"/>
      <w:lvlText w:val="o"/>
      <w:lvlJc w:val="left"/>
      <w:pPr>
        <w:ind w:left="1080" w:hanging="360"/>
      </w:pPr>
      <w:rPr>
        <w:rFonts w:ascii="Courier New" w:hAnsi="Courier New" w:cs="Courier New" w:hint="default"/>
      </w:rPr>
    </w:lvl>
    <w:lvl w:ilvl="1" w:tplc="DD908350">
      <w:numFmt w:val="bullet"/>
      <w:lvlText w:val="•"/>
      <w:lvlJc w:val="left"/>
      <w:pPr>
        <w:ind w:left="2160" w:hanging="720"/>
      </w:pPr>
      <w:rPr>
        <w:rFonts w:ascii="Segoe UI Light" w:eastAsiaTheme="minorHAnsi" w:hAnsi="Segoe UI Light" w:cs="Segoe UI Light"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5FE1A9E"/>
    <w:multiLevelType w:val="hybridMultilevel"/>
    <w:tmpl w:val="CF36D6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7C705A"/>
    <w:multiLevelType w:val="hybridMultilevel"/>
    <w:tmpl w:val="E93AE3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5" w15:restartNumberingAfterBreak="0">
    <w:nsid w:val="068F527F"/>
    <w:multiLevelType w:val="hybridMultilevel"/>
    <w:tmpl w:val="20468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6AB1180"/>
    <w:multiLevelType w:val="hybridMultilevel"/>
    <w:tmpl w:val="32E28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817117A"/>
    <w:multiLevelType w:val="hybridMultilevel"/>
    <w:tmpl w:val="B5B0B2B4"/>
    <w:lvl w:ilvl="0" w:tplc="0C09000F">
      <w:start w:val="1"/>
      <w:numFmt w:val="decimal"/>
      <w:lvlText w:val="%1."/>
      <w:lvlJc w:val="left"/>
      <w:pPr>
        <w:ind w:left="720" w:hanging="360"/>
      </w:pPr>
      <w:rPr>
        <w:rFonts w:hint="default"/>
        <w:color w:val="72C7E7"/>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94A141C"/>
    <w:multiLevelType w:val="hybridMultilevel"/>
    <w:tmpl w:val="540827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099A0E3C"/>
    <w:multiLevelType w:val="hybridMultilevel"/>
    <w:tmpl w:val="E712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AEE775F"/>
    <w:multiLevelType w:val="hybridMultilevel"/>
    <w:tmpl w:val="B10216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0BBB336F"/>
    <w:multiLevelType w:val="multilevel"/>
    <w:tmpl w:val="ED4405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BE805CD"/>
    <w:multiLevelType w:val="multilevel"/>
    <w:tmpl w:val="BE0A3C7C"/>
    <w:lvl w:ilvl="0">
      <w:start w:val="1"/>
      <w:numFmt w:val="upperLetter"/>
      <w:pStyle w:val="Appendixhead1"/>
      <w:suff w:val="nothing"/>
      <w:lvlText w:val="Appendix %1"/>
      <w:lvlJc w:val="left"/>
      <w:pPr>
        <w:ind w:left="0" w:firstLine="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suff w:val="nothing"/>
      <w:lvlText w:val="Table %1.%7"/>
      <w:lvlJc w:val="left"/>
      <w:pPr>
        <w:ind w:left="0" w:firstLine="0"/>
      </w:pPr>
      <w:rPr>
        <w:rFonts w:hint="default"/>
      </w:rPr>
    </w:lvl>
    <w:lvl w:ilvl="7">
      <w:start w:val="1"/>
      <w:numFmt w:val="decimal"/>
      <w:lvlRestart w:val="1"/>
      <w:suff w:val="nothing"/>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rPr>
    </w:lvl>
  </w:abstractNum>
  <w:abstractNum w:abstractNumId="23" w15:restartNumberingAfterBreak="0">
    <w:nsid w:val="0C137052"/>
    <w:multiLevelType w:val="hybridMultilevel"/>
    <w:tmpl w:val="9DA43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C972B4C"/>
    <w:multiLevelType w:val="hybridMultilevel"/>
    <w:tmpl w:val="26143AB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E255C1F"/>
    <w:multiLevelType w:val="hybridMultilevel"/>
    <w:tmpl w:val="CDACF9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F235F65"/>
    <w:multiLevelType w:val="hybridMultilevel"/>
    <w:tmpl w:val="C89C9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040073B"/>
    <w:multiLevelType w:val="hybridMultilevel"/>
    <w:tmpl w:val="06F06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1633179"/>
    <w:multiLevelType w:val="hybridMultilevel"/>
    <w:tmpl w:val="4CC46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21E3434"/>
    <w:multiLevelType w:val="multilevel"/>
    <w:tmpl w:val="B3EE66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27538D3"/>
    <w:multiLevelType w:val="hybridMultilevel"/>
    <w:tmpl w:val="685CF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2B67D0C"/>
    <w:multiLevelType w:val="hybridMultilevel"/>
    <w:tmpl w:val="1E0E6834"/>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146049ED"/>
    <w:multiLevelType w:val="hybridMultilevel"/>
    <w:tmpl w:val="9B5CA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4860B57"/>
    <w:multiLevelType w:val="hybridMultilevel"/>
    <w:tmpl w:val="193A24A6"/>
    <w:lvl w:ilvl="0" w:tplc="80547A1E">
      <w:start w:val="1"/>
      <w:numFmt w:val="bullet"/>
      <w:pStyle w:val="RFQBullet"/>
      <w:lvlText w:val=""/>
      <w:lvlJc w:val="left"/>
      <w:pPr>
        <w:ind w:left="360"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start w:val="1"/>
      <w:numFmt w:val="bullet"/>
      <w:lvlText w:val=""/>
      <w:lvlJc w:val="left"/>
      <w:pPr>
        <w:ind w:left="1803" w:hanging="360"/>
      </w:pPr>
      <w:rPr>
        <w:rFonts w:ascii="Wingdings" w:hAnsi="Wingdings" w:hint="default"/>
      </w:rPr>
    </w:lvl>
    <w:lvl w:ilvl="3" w:tplc="0C090001">
      <w:start w:val="1"/>
      <w:numFmt w:val="bullet"/>
      <w:lvlText w:val=""/>
      <w:lvlJc w:val="left"/>
      <w:pPr>
        <w:ind w:left="2523" w:hanging="360"/>
      </w:pPr>
      <w:rPr>
        <w:rFonts w:ascii="Symbol" w:hAnsi="Symbol" w:hint="default"/>
      </w:rPr>
    </w:lvl>
    <w:lvl w:ilvl="4" w:tplc="0C090003">
      <w:start w:val="1"/>
      <w:numFmt w:val="bullet"/>
      <w:lvlText w:val="o"/>
      <w:lvlJc w:val="left"/>
      <w:pPr>
        <w:ind w:left="3243" w:hanging="360"/>
      </w:pPr>
      <w:rPr>
        <w:rFonts w:ascii="Courier New" w:hAnsi="Courier New" w:cs="Courier New" w:hint="default"/>
      </w:rPr>
    </w:lvl>
    <w:lvl w:ilvl="5" w:tplc="0C090005">
      <w:start w:val="1"/>
      <w:numFmt w:val="bullet"/>
      <w:lvlText w:val=""/>
      <w:lvlJc w:val="left"/>
      <w:pPr>
        <w:ind w:left="3963" w:hanging="360"/>
      </w:pPr>
      <w:rPr>
        <w:rFonts w:ascii="Wingdings" w:hAnsi="Wingdings" w:hint="default"/>
      </w:rPr>
    </w:lvl>
    <w:lvl w:ilvl="6" w:tplc="0C090001">
      <w:start w:val="1"/>
      <w:numFmt w:val="bullet"/>
      <w:lvlText w:val=""/>
      <w:lvlJc w:val="left"/>
      <w:pPr>
        <w:ind w:left="4683" w:hanging="360"/>
      </w:pPr>
      <w:rPr>
        <w:rFonts w:ascii="Symbol" w:hAnsi="Symbol" w:hint="default"/>
      </w:rPr>
    </w:lvl>
    <w:lvl w:ilvl="7" w:tplc="0C090003">
      <w:start w:val="1"/>
      <w:numFmt w:val="bullet"/>
      <w:lvlText w:val="o"/>
      <w:lvlJc w:val="left"/>
      <w:pPr>
        <w:ind w:left="5403" w:hanging="360"/>
      </w:pPr>
      <w:rPr>
        <w:rFonts w:ascii="Courier New" w:hAnsi="Courier New" w:cs="Courier New" w:hint="default"/>
      </w:rPr>
    </w:lvl>
    <w:lvl w:ilvl="8" w:tplc="0C090005">
      <w:start w:val="1"/>
      <w:numFmt w:val="bullet"/>
      <w:lvlText w:val=""/>
      <w:lvlJc w:val="left"/>
      <w:pPr>
        <w:ind w:left="6123" w:hanging="360"/>
      </w:pPr>
      <w:rPr>
        <w:rFonts w:ascii="Wingdings" w:hAnsi="Wingdings" w:hint="default"/>
      </w:rPr>
    </w:lvl>
  </w:abstractNum>
  <w:abstractNum w:abstractNumId="34" w15:restartNumberingAfterBreak="0">
    <w:nsid w:val="148B51A5"/>
    <w:multiLevelType w:val="hybridMultilevel"/>
    <w:tmpl w:val="C30E9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4B64387"/>
    <w:multiLevelType w:val="hybridMultilevel"/>
    <w:tmpl w:val="B1C8B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579747A"/>
    <w:multiLevelType w:val="multilevel"/>
    <w:tmpl w:val="8BF83372"/>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37" w15:restartNumberingAfterBreak="0">
    <w:nsid w:val="16434C87"/>
    <w:multiLevelType w:val="hybridMultilevel"/>
    <w:tmpl w:val="97FE63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16946D53"/>
    <w:multiLevelType w:val="hybridMultilevel"/>
    <w:tmpl w:val="9DA8A5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70A1CD4"/>
    <w:multiLevelType w:val="hybridMultilevel"/>
    <w:tmpl w:val="5ED699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170C63CB"/>
    <w:multiLevelType w:val="hybridMultilevel"/>
    <w:tmpl w:val="570E3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7375D16"/>
    <w:multiLevelType w:val="multilevel"/>
    <w:tmpl w:val="6C4C0834"/>
    <w:lvl w:ilvl="0">
      <w:start w:val="1"/>
      <w:numFmt w:val="decimal"/>
      <w:pStyle w:val="Itemnumber"/>
      <w:lvlText w:val="%1:"/>
      <w:lvlJc w:val="left"/>
      <w:pPr>
        <w:ind w:left="340" w:hanging="340"/>
      </w:pPr>
      <w:rPr>
        <w:b/>
        <w:i w:val="0"/>
        <w:sz w:val="20"/>
        <w:szCs w:val="20"/>
      </w:rPr>
    </w:lvl>
    <w:lvl w:ilvl="1">
      <w:start w:val="1"/>
      <w:numFmt w:val="decimal"/>
      <w:lvlText w:val="%1.%2."/>
      <w:lvlJc w:val="left"/>
      <w:pPr>
        <w:ind w:left="792" w:hanging="452"/>
      </w:pPr>
    </w:lvl>
    <w:lvl w:ilvl="2">
      <w:start w:val="1"/>
      <w:numFmt w:val="decimal"/>
      <w:lvlText w:val="%1.%2.%3."/>
      <w:lvlJc w:val="left"/>
      <w:pPr>
        <w:ind w:left="1247" w:hanging="510"/>
      </w:pPr>
    </w:lvl>
    <w:lvl w:ilvl="3">
      <w:start w:val="1"/>
      <w:numFmt w:val="decimal"/>
      <w:lvlText w:val="%1.%2.%3.%4."/>
      <w:lvlJc w:val="left"/>
      <w:pPr>
        <w:ind w:left="1701" w:hanging="621"/>
      </w:pPr>
    </w:lvl>
    <w:lvl w:ilvl="4">
      <w:start w:val="1"/>
      <w:numFmt w:val="decimal"/>
      <w:lvlText w:val="%1.%2.%3.%4.%5."/>
      <w:lvlJc w:val="left"/>
      <w:pPr>
        <w:ind w:left="2268" w:hanging="794"/>
      </w:pPr>
    </w:lvl>
    <w:lvl w:ilvl="5">
      <w:start w:val="1"/>
      <w:numFmt w:val="decimal"/>
      <w:lvlText w:val="%1.%2.%3.%4.%5.%6."/>
      <w:lvlJc w:val="left"/>
      <w:pPr>
        <w:ind w:left="2722" w:hanging="908"/>
      </w:pPr>
    </w:lvl>
    <w:lvl w:ilvl="6">
      <w:start w:val="1"/>
      <w:numFmt w:val="decimal"/>
      <w:lvlText w:val="%1.%2.%3.%4.%5.%6.%7."/>
      <w:lvlJc w:val="left"/>
      <w:pPr>
        <w:ind w:left="3232" w:hanging="1077"/>
      </w:pPr>
    </w:lvl>
    <w:lvl w:ilvl="7">
      <w:start w:val="1"/>
      <w:numFmt w:val="decimal"/>
      <w:lvlText w:val="%1.%2.%3.%4.%5.%6.%7.%8."/>
      <w:lvlJc w:val="left"/>
      <w:pPr>
        <w:ind w:left="3742" w:hanging="1190"/>
      </w:pPr>
    </w:lvl>
    <w:lvl w:ilvl="8">
      <w:start w:val="1"/>
      <w:numFmt w:val="decimal"/>
      <w:lvlText w:val="%1.%2.%3.%4.%5.%6.%7.%8.%9."/>
      <w:lvlJc w:val="left"/>
      <w:pPr>
        <w:ind w:left="4309" w:hanging="1474"/>
      </w:pPr>
    </w:lvl>
  </w:abstractNum>
  <w:abstractNum w:abstractNumId="42" w15:restartNumberingAfterBreak="0">
    <w:nsid w:val="17635B89"/>
    <w:multiLevelType w:val="hybridMultilevel"/>
    <w:tmpl w:val="ADB44A46"/>
    <w:lvl w:ilvl="0" w:tplc="0C090001">
      <w:start w:val="1"/>
      <w:numFmt w:val="bullet"/>
      <w:lvlText w:val=""/>
      <w:lvlJc w:val="left"/>
      <w:pPr>
        <w:ind w:left="720" w:hanging="360"/>
      </w:pPr>
      <w:rPr>
        <w:rFonts w:ascii="Symbol" w:hAnsi="Symbol" w:hint="default"/>
      </w:rPr>
    </w:lvl>
    <w:lvl w:ilvl="1" w:tplc="E31431AE">
      <w:numFmt w:val="bullet"/>
      <w:lvlText w:val="•"/>
      <w:lvlJc w:val="left"/>
      <w:pPr>
        <w:ind w:left="1800" w:hanging="720"/>
      </w:pPr>
      <w:rPr>
        <w:rFonts w:ascii="Segoe UI Light" w:eastAsiaTheme="minorHAnsi" w:hAnsi="Segoe UI Light" w:cs="Segoe UI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769590F"/>
    <w:multiLevelType w:val="hybridMultilevel"/>
    <w:tmpl w:val="19343EEE"/>
    <w:lvl w:ilvl="0" w:tplc="838C0370">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17FA7F04"/>
    <w:multiLevelType w:val="hybridMultilevel"/>
    <w:tmpl w:val="0D9EB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81E724C"/>
    <w:multiLevelType w:val="hybridMultilevel"/>
    <w:tmpl w:val="4852CB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8647010"/>
    <w:multiLevelType w:val="multilevel"/>
    <w:tmpl w:val="2C5047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48" w15:restartNumberingAfterBreak="0">
    <w:nsid w:val="19256168"/>
    <w:multiLevelType w:val="hybridMultilevel"/>
    <w:tmpl w:val="231C5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92A0720"/>
    <w:multiLevelType w:val="multilevel"/>
    <w:tmpl w:val="0E1E05B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19C138EE"/>
    <w:multiLevelType w:val="hybridMultilevel"/>
    <w:tmpl w:val="609A7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A05616E"/>
    <w:multiLevelType w:val="hybridMultilevel"/>
    <w:tmpl w:val="7B584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BF25211"/>
    <w:multiLevelType w:val="hybridMultilevel"/>
    <w:tmpl w:val="325659C0"/>
    <w:lvl w:ilvl="0" w:tplc="C0CE1E0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CCE2F9B"/>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54" w15:restartNumberingAfterBreak="0">
    <w:nsid w:val="1D795734"/>
    <w:multiLevelType w:val="multilevel"/>
    <w:tmpl w:val="4AA276AC"/>
    <w:lvl w:ilvl="0">
      <w:start w:val="1"/>
      <w:numFmt w:val="lowerLetter"/>
      <w:lvlText w:val="%1)"/>
      <w:lvlJc w:val="left"/>
      <w:pPr>
        <w:ind w:left="1080" w:hanging="360"/>
      </w:pPr>
      <w:rPr>
        <w:rFonts w:hint="default"/>
        <w:color w:val="auto"/>
        <w:sz w:val="20"/>
        <w:szCs w:val="20"/>
      </w:rPr>
    </w:lvl>
    <w:lvl w:ilvl="1">
      <w:start w:val="1"/>
      <w:numFmt w:val="decimal"/>
      <w:lvlText w:val="%2."/>
      <w:lvlJc w:val="left"/>
      <w:pPr>
        <w:tabs>
          <w:tab w:val="num" w:pos="1854"/>
        </w:tabs>
        <w:ind w:left="1854" w:hanging="567"/>
      </w:pPr>
      <w:rPr>
        <w:rFonts w:hint="default"/>
        <w:b/>
        <w:i w:val="0"/>
        <w:color w:val="auto"/>
        <w:sz w:val="20"/>
        <w:szCs w:val="20"/>
      </w:rPr>
    </w:lvl>
    <w:lvl w:ilvl="2">
      <w:start w:val="1"/>
      <w:numFmt w:val="bullet"/>
      <w:lvlText w:val="-"/>
      <w:lvlJc w:val="left"/>
      <w:pPr>
        <w:tabs>
          <w:tab w:val="num" w:pos="2421"/>
        </w:tabs>
        <w:ind w:left="2421" w:hanging="567"/>
      </w:pPr>
      <w:rPr>
        <w:rFonts w:ascii="Arial" w:hAnsi="Arial" w:hint="default"/>
        <w:color w:val="931638"/>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5" w15:restartNumberingAfterBreak="0">
    <w:nsid w:val="1DA27B19"/>
    <w:multiLevelType w:val="hybridMultilevel"/>
    <w:tmpl w:val="990A79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1E7C3369"/>
    <w:multiLevelType w:val="hybridMultilevel"/>
    <w:tmpl w:val="E6EEC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EA56513"/>
    <w:multiLevelType w:val="multilevel"/>
    <w:tmpl w:val="A3B4D55C"/>
    <w:lvl w:ilvl="0">
      <w:start w:val="1"/>
      <w:numFmt w:val="bullet"/>
      <w:lvlText w:val=""/>
      <w:lvlJc w:val="left"/>
      <w:pPr>
        <w:ind w:left="340" w:hanging="340"/>
      </w:pPr>
      <w:rPr>
        <w:rFonts w:ascii="Symbol" w:hAnsi="Symbol"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 w:ilvl="1">
      <w:start w:val="1"/>
      <w:numFmt w:val="lowerLetter"/>
      <w:lvlText w:val="%2)"/>
      <w:lvlJc w:val="left"/>
      <w:pPr>
        <w:ind w:left="680" w:hanging="340"/>
      </w:pPr>
    </w:lvl>
    <w:lvl w:ilvl="2">
      <w:start w:val="1"/>
      <w:numFmt w:val="lowerRoman"/>
      <w:lvlText w:val="%3)"/>
      <w:lvlJc w:val="left"/>
      <w:pPr>
        <w:ind w:left="1020" w:hanging="340"/>
      </w:pPr>
    </w:lvl>
    <w:lvl w:ilvl="3">
      <w:start w:val="1"/>
      <w:numFmt w:val="decimal"/>
      <w:lvlText w:val="(%4)"/>
      <w:lvlJc w:val="left"/>
      <w:pPr>
        <w:ind w:left="1360" w:hanging="340"/>
      </w:pPr>
    </w:lvl>
    <w:lvl w:ilvl="4">
      <w:start w:val="1"/>
      <w:numFmt w:val="lowerLetter"/>
      <w:lvlText w:val="(%5)"/>
      <w:lvlJc w:val="left"/>
      <w:pPr>
        <w:ind w:left="1700" w:hanging="340"/>
      </w:pPr>
    </w:lvl>
    <w:lvl w:ilvl="5">
      <w:start w:val="1"/>
      <w:numFmt w:val="lowerRoman"/>
      <w:lvlText w:val="(%6)"/>
      <w:lvlJc w:val="left"/>
      <w:pPr>
        <w:ind w:left="2040" w:hanging="340"/>
      </w:pPr>
    </w:lvl>
    <w:lvl w:ilvl="6">
      <w:start w:val="1"/>
      <w:numFmt w:val="decimal"/>
      <w:lvlText w:val="%7."/>
      <w:lvlJc w:val="left"/>
      <w:pPr>
        <w:ind w:left="2380" w:hanging="340"/>
      </w:pPr>
    </w:lvl>
    <w:lvl w:ilvl="7">
      <w:start w:val="1"/>
      <w:numFmt w:val="decimal"/>
      <w:lvlText w:val="%8."/>
      <w:lvlJc w:val="left"/>
      <w:pPr>
        <w:ind w:left="2720" w:hanging="340"/>
      </w:pPr>
    </w:lvl>
    <w:lvl w:ilvl="8">
      <w:start w:val="1"/>
      <w:numFmt w:val="lowerRoman"/>
      <w:lvlText w:val="%9."/>
      <w:lvlJc w:val="left"/>
      <w:pPr>
        <w:ind w:left="3060" w:hanging="340"/>
      </w:pPr>
    </w:lvl>
  </w:abstractNum>
  <w:abstractNum w:abstractNumId="58" w15:restartNumberingAfterBreak="0">
    <w:nsid w:val="1EFA0E59"/>
    <w:multiLevelType w:val="hybridMultilevel"/>
    <w:tmpl w:val="6AB03D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1F610D6C"/>
    <w:multiLevelType w:val="hybridMultilevel"/>
    <w:tmpl w:val="58D8F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1F832C76"/>
    <w:multiLevelType w:val="hybridMultilevel"/>
    <w:tmpl w:val="EE828C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FA70CA9"/>
    <w:multiLevelType w:val="hybridMultilevel"/>
    <w:tmpl w:val="D7849832"/>
    <w:lvl w:ilvl="0" w:tplc="21E21F5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0285C85"/>
    <w:multiLevelType w:val="multilevel"/>
    <w:tmpl w:val="9564C65E"/>
    <w:lvl w:ilvl="0">
      <w:start w:val="1"/>
      <w:numFmt w:val="decimal"/>
      <w:lvlText w:val="%1"/>
      <w:lvlJc w:val="left"/>
      <w:pPr>
        <w:ind w:left="1418" w:hanging="794"/>
      </w:pPr>
      <w:rPr>
        <w:rFonts w:hint="default"/>
      </w:rPr>
    </w:lvl>
    <w:lvl w:ilvl="1">
      <w:start w:val="1"/>
      <w:numFmt w:val="decimal"/>
      <w:lvlText w:val="(%2)"/>
      <w:lvlJc w:val="right"/>
      <w:pPr>
        <w:ind w:left="1440" w:hanging="360"/>
      </w:pPr>
      <w:rPr>
        <w:rFonts w:hint="default"/>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20D2434B"/>
    <w:multiLevelType w:val="hybridMultilevel"/>
    <w:tmpl w:val="AD18E1E4"/>
    <w:lvl w:ilvl="0" w:tplc="0C090001">
      <w:start w:val="1"/>
      <w:numFmt w:val="bullet"/>
      <w:lvlText w:val=""/>
      <w:lvlJc w:val="left"/>
      <w:pPr>
        <w:ind w:left="543" w:hanging="360"/>
      </w:pPr>
      <w:rPr>
        <w:rFonts w:ascii="Symbol" w:hAnsi="Symbol" w:hint="default"/>
      </w:rPr>
    </w:lvl>
    <w:lvl w:ilvl="1" w:tplc="0C090003" w:tentative="1">
      <w:start w:val="1"/>
      <w:numFmt w:val="bullet"/>
      <w:lvlText w:val="o"/>
      <w:lvlJc w:val="left"/>
      <w:pPr>
        <w:ind w:left="1263" w:hanging="360"/>
      </w:pPr>
      <w:rPr>
        <w:rFonts w:ascii="Courier New" w:hAnsi="Courier New" w:cs="Courier New" w:hint="default"/>
      </w:rPr>
    </w:lvl>
    <w:lvl w:ilvl="2" w:tplc="0C090005" w:tentative="1">
      <w:start w:val="1"/>
      <w:numFmt w:val="bullet"/>
      <w:lvlText w:val=""/>
      <w:lvlJc w:val="left"/>
      <w:pPr>
        <w:ind w:left="1983" w:hanging="360"/>
      </w:pPr>
      <w:rPr>
        <w:rFonts w:ascii="Wingdings" w:hAnsi="Wingdings" w:hint="default"/>
      </w:rPr>
    </w:lvl>
    <w:lvl w:ilvl="3" w:tplc="0C090001" w:tentative="1">
      <w:start w:val="1"/>
      <w:numFmt w:val="bullet"/>
      <w:lvlText w:val=""/>
      <w:lvlJc w:val="left"/>
      <w:pPr>
        <w:ind w:left="2703" w:hanging="360"/>
      </w:pPr>
      <w:rPr>
        <w:rFonts w:ascii="Symbol" w:hAnsi="Symbol" w:hint="default"/>
      </w:rPr>
    </w:lvl>
    <w:lvl w:ilvl="4" w:tplc="0C090003" w:tentative="1">
      <w:start w:val="1"/>
      <w:numFmt w:val="bullet"/>
      <w:lvlText w:val="o"/>
      <w:lvlJc w:val="left"/>
      <w:pPr>
        <w:ind w:left="3423" w:hanging="360"/>
      </w:pPr>
      <w:rPr>
        <w:rFonts w:ascii="Courier New" w:hAnsi="Courier New" w:cs="Courier New" w:hint="default"/>
      </w:rPr>
    </w:lvl>
    <w:lvl w:ilvl="5" w:tplc="0C090005" w:tentative="1">
      <w:start w:val="1"/>
      <w:numFmt w:val="bullet"/>
      <w:lvlText w:val=""/>
      <w:lvlJc w:val="left"/>
      <w:pPr>
        <w:ind w:left="4143" w:hanging="360"/>
      </w:pPr>
      <w:rPr>
        <w:rFonts w:ascii="Wingdings" w:hAnsi="Wingdings" w:hint="default"/>
      </w:rPr>
    </w:lvl>
    <w:lvl w:ilvl="6" w:tplc="0C090001" w:tentative="1">
      <w:start w:val="1"/>
      <w:numFmt w:val="bullet"/>
      <w:lvlText w:val=""/>
      <w:lvlJc w:val="left"/>
      <w:pPr>
        <w:ind w:left="4863" w:hanging="360"/>
      </w:pPr>
      <w:rPr>
        <w:rFonts w:ascii="Symbol" w:hAnsi="Symbol" w:hint="default"/>
      </w:rPr>
    </w:lvl>
    <w:lvl w:ilvl="7" w:tplc="0C090003" w:tentative="1">
      <w:start w:val="1"/>
      <w:numFmt w:val="bullet"/>
      <w:lvlText w:val="o"/>
      <w:lvlJc w:val="left"/>
      <w:pPr>
        <w:ind w:left="5583" w:hanging="360"/>
      </w:pPr>
      <w:rPr>
        <w:rFonts w:ascii="Courier New" w:hAnsi="Courier New" w:cs="Courier New" w:hint="default"/>
      </w:rPr>
    </w:lvl>
    <w:lvl w:ilvl="8" w:tplc="0C090005" w:tentative="1">
      <w:start w:val="1"/>
      <w:numFmt w:val="bullet"/>
      <w:lvlText w:val=""/>
      <w:lvlJc w:val="left"/>
      <w:pPr>
        <w:ind w:left="6303" w:hanging="360"/>
      </w:pPr>
      <w:rPr>
        <w:rFonts w:ascii="Wingdings" w:hAnsi="Wingdings" w:hint="default"/>
      </w:rPr>
    </w:lvl>
  </w:abstractNum>
  <w:abstractNum w:abstractNumId="64" w15:restartNumberingAfterBreak="0">
    <w:nsid w:val="21612DA2"/>
    <w:multiLevelType w:val="hybridMultilevel"/>
    <w:tmpl w:val="D7626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20A1B82"/>
    <w:multiLevelType w:val="hybridMultilevel"/>
    <w:tmpl w:val="19C6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B816D2"/>
    <w:multiLevelType w:val="hybridMultilevel"/>
    <w:tmpl w:val="32925C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24062628"/>
    <w:multiLevelType w:val="hybridMultilevel"/>
    <w:tmpl w:val="F85EE6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24451E2F"/>
    <w:multiLevelType w:val="hybridMultilevel"/>
    <w:tmpl w:val="6FEAD6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499329B"/>
    <w:multiLevelType w:val="singleLevel"/>
    <w:tmpl w:val="E5F6A356"/>
    <w:lvl w:ilvl="0">
      <w:start w:val="1"/>
      <w:numFmt w:val="none"/>
      <w:lvlText w:val="Penalty:"/>
      <w:legacy w:legacy="1" w:legacySpace="113" w:legacyIndent="1021"/>
      <w:lvlJc w:val="left"/>
      <w:pPr>
        <w:ind w:left="2382" w:hanging="1021"/>
      </w:pPr>
    </w:lvl>
  </w:abstractNum>
  <w:abstractNum w:abstractNumId="70" w15:restartNumberingAfterBreak="0">
    <w:nsid w:val="25B95F3C"/>
    <w:multiLevelType w:val="hybridMultilevel"/>
    <w:tmpl w:val="9CAE6F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62B0AD4"/>
    <w:multiLevelType w:val="hybridMultilevel"/>
    <w:tmpl w:val="299A4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70942B4"/>
    <w:multiLevelType w:val="multilevel"/>
    <w:tmpl w:val="530AFF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27B75F10"/>
    <w:multiLevelType w:val="multilevel"/>
    <w:tmpl w:val="6636A9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283D5DF4"/>
    <w:multiLevelType w:val="hybridMultilevel"/>
    <w:tmpl w:val="4052D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87A01F3"/>
    <w:multiLevelType w:val="hybridMultilevel"/>
    <w:tmpl w:val="DFEC0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88F2925"/>
    <w:multiLevelType w:val="hybridMultilevel"/>
    <w:tmpl w:val="74F65D92"/>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77" w15:restartNumberingAfterBreak="0">
    <w:nsid w:val="29236DF2"/>
    <w:multiLevelType w:val="hybridMultilevel"/>
    <w:tmpl w:val="54860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9B37FC6"/>
    <w:multiLevelType w:val="hybridMultilevel"/>
    <w:tmpl w:val="4F641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AD26502"/>
    <w:multiLevelType w:val="hybridMultilevel"/>
    <w:tmpl w:val="BA6AFC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0"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81" w15:restartNumberingAfterBreak="0">
    <w:nsid w:val="2C8411A3"/>
    <w:multiLevelType w:val="hybridMultilevel"/>
    <w:tmpl w:val="C0620EC6"/>
    <w:lvl w:ilvl="0" w:tplc="9DC4EC3E">
      <w:numFmt w:val="bullet"/>
      <w:lvlText w:val="-"/>
      <w:lvlJc w:val="left"/>
      <w:pPr>
        <w:ind w:left="720" w:hanging="360"/>
      </w:pPr>
      <w:rPr>
        <w:rFonts w:ascii="Segoe UI Light" w:eastAsiaTheme="minorHAnsi" w:hAnsi="Segoe UI Light" w:cs="Segoe U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DD02E73"/>
    <w:multiLevelType w:val="multilevel"/>
    <w:tmpl w:val="959CF5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1HeadingLv3FIXED"/>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15:restartNumberingAfterBreak="0">
    <w:nsid w:val="2F0104CF"/>
    <w:multiLevelType w:val="multilevel"/>
    <w:tmpl w:val="48FC83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2F057EED"/>
    <w:multiLevelType w:val="hybridMultilevel"/>
    <w:tmpl w:val="56A0973A"/>
    <w:lvl w:ilvl="0" w:tplc="34564BB0">
      <w:start w:val="1"/>
      <w:numFmt w:val="decimal"/>
      <w:lvlText w:val="%1."/>
      <w:lvlJc w:val="left"/>
      <w:pPr>
        <w:ind w:left="720" w:hanging="360"/>
      </w:pPr>
    </w:lvl>
    <w:lvl w:ilvl="1" w:tplc="FBD8204E">
      <w:start w:val="1"/>
      <w:numFmt w:val="lowerLetter"/>
      <w:lvlText w:val="%2."/>
      <w:lvlJc w:val="left"/>
      <w:pPr>
        <w:ind w:left="1440" w:hanging="360"/>
      </w:pPr>
    </w:lvl>
    <w:lvl w:ilvl="2" w:tplc="CA2C7EB6">
      <w:start w:val="1"/>
      <w:numFmt w:val="lowerRoman"/>
      <w:lvlText w:val="%3."/>
      <w:lvlJc w:val="right"/>
      <w:pPr>
        <w:ind w:left="2160" w:hanging="180"/>
      </w:pPr>
    </w:lvl>
    <w:lvl w:ilvl="3" w:tplc="B2947116">
      <w:start w:val="1"/>
      <w:numFmt w:val="decimal"/>
      <w:lvlText w:val="%4."/>
      <w:lvlJc w:val="left"/>
      <w:pPr>
        <w:ind w:left="2880" w:hanging="360"/>
      </w:pPr>
    </w:lvl>
    <w:lvl w:ilvl="4" w:tplc="D18A38FE">
      <w:start w:val="1"/>
      <w:numFmt w:val="lowerLetter"/>
      <w:lvlText w:val="%5."/>
      <w:lvlJc w:val="left"/>
      <w:pPr>
        <w:ind w:left="3600" w:hanging="360"/>
      </w:pPr>
    </w:lvl>
    <w:lvl w:ilvl="5" w:tplc="F98C2BAE">
      <w:start w:val="1"/>
      <w:numFmt w:val="lowerRoman"/>
      <w:lvlText w:val="%6."/>
      <w:lvlJc w:val="right"/>
      <w:pPr>
        <w:ind w:left="4320" w:hanging="180"/>
      </w:pPr>
    </w:lvl>
    <w:lvl w:ilvl="6" w:tplc="0DDC0DF2">
      <w:start w:val="1"/>
      <w:numFmt w:val="decimal"/>
      <w:lvlText w:val="%7."/>
      <w:lvlJc w:val="left"/>
      <w:pPr>
        <w:ind w:left="5040" w:hanging="360"/>
      </w:pPr>
    </w:lvl>
    <w:lvl w:ilvl="7" w:tplc="61546C60">
      <w:start w:val="1"/>
      <w:numFmt w:val="lowerLetter"/>
      <w:lvlText w:val="%8."/>
      <w:lvlJc w:val="left"/>
      <w:pPr>
        <w:ind w:left="5760" w:hanging="360"/>
      </w:pPr>
    </w:lvl>
    <w:lvl w:ilvl="8" w:tplc="F6CCB984">
      <w:start w:val="1"/>
      <w:numFmt w:val="lowerRoman"/>
      <w:lvlText w:val="%9."/>
      <w:lvlJc w:val="right"/>
      <w:pPr>
        <w:ind w:left="6480" w:hanging="180"/>
      </w:pPr>
    </w:lvl>
  </w:abstractNum>
  <w:abstractNum w:abstractNumId="85" w15:restartNumberingAfterBreak="0">
    <w:nsid w:val="2F187902"/>
    <w:multiLevelType w:val="hybridMultilevel"/>
    <w:tmpl w:val="4B323178"/>
    <w:lvl w:ilvl="0" w:tplc="E87EBBE2">
      <w:start w:val="1"/>
      <w:numFmt w:val="bullet"/>
      <w:lvlText w:val="­"/>
      <w:lvlJc w:val="left"/>
      <w:pPr>
        <w:ind w:left="720" w:hanging="360"/>
      </w:pPr>
      <w:rPr>
        <w:rFonts w:ascii="Courier New" w:hAnsi="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FB44716"/>
    <w:multiLevelType w:val="hybridMultilevel"/>
    <w:tmpl w:val="98F21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00C69AB"/>
    <w:multiLevelType w:val="hybridMultilevel"/>
    <w:tmpl w:val="0C080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21E7951"/>
    <w:multiLevelType w:val="hybridMultilevel"/>
    <w:tmpl w:val="05B420DE"/>
    <w:lvl w:ilvl="0" w:tplc="0C090001">
      <w:start w:val="1"/>
      <w:numFmt w:val="bullet"/>
      <w:lvlText w:val=""/>
      <w:lvlJc w:val="left"/>
      <w:pPr>
        <w:ind w:left="1418" w:hanging="360"/>
      </w:pPr>
      <w:rPr>
        <w:rFonts w:ascii="Symbol" w:hAnsi="Symbol" w:hint="default"/>
      </w:rPr>
    </w:lvl>
    <w:lvl w:ilvl="1" w:tplc="0C090003" w:tentative="1">
      <w:start w:val="1"/>
      <w:numFmt w:val="bullet"/>
      <w:lvlText w:val="o"/>
      <w:lvlJc w:val="left"/>
      <w:pPr>
        <w:ind w:left="2138" w:hanging="360"/>
      </w:pPr>
      <w:rPr>
        <w:rFonts w:ascii="Courier New" w:hAnsi="Courier New" w:cs="Courier New" w:hint="default"/>
      </w:rPr>
    </w:lvl>
    <w:lvl w:ilvl="2" w:tplc="0C090005" w:tentative="1">
      <w:start w:val="1"/>
      <w:numFmt w:val="bullet"/>
      <w:lvlText w:val=""/>
      <w:lvlJc w:val="left"/>
      <w:pPr>
        <w:ind w:left="2858" w:hanging="360"/>
      </w:pPr>
      <w:rPr>
        <w:rFonts w:ascii="Wingdings" w:hAnsi="Wingdings" w:hint="default"/>
      </w:rPr>
    </w:lvl>
    <w:lvl w:ilvl="3" w:tplc="0C090001" w:tentative="1">
      <w:start w:val="1"/>
      <w:numFmt w:val="bullet"/>
      <w:lvlText w:val=""/>
      <w:lvlJc w:val="left"/>
      <w:pPr>
        <w:ind w:left="3578" w:hanging="360"/>
      </w:pPr>
      <w:rPr>
        <w:rFonts w:ascii="Symbol" w:hAnsi="Symbol" w:hint="default"/>
      </w:rPr>
    </w:lvl>
    <w:lvl w:ilvl="4" w:tplc="0C090003" w:tentative="1">
      <w:start w:val="1"/>
      <w:numFmt w:val="bullet"/>
      <w:lvlText w:val="o"/>
      <w:lvlJc w:val="left"/>
      <w:pPr>
        <w:ind w:left="4298" w:hanging="360"/>
      </w:pPr>
      <w:rPr>
        <w:rFonts w:ascii="Courier New" w:hAnsi="Courier New" w:cs="Courier New" w:hint="default"/>
      </w:rPr>
    </w:lvl>
    <w:lvl w:ilvl="5" w:tplc="0C090005" w:tentative="1">
      <w:start w:val="1"/>
      <w:numFmt w:val="bullet"/>
      <w:lvlText w:val=""/>
      <w:lvlJc w:val="left"/>
      <w:pPr>
        <w:ind w:left="5018" w:hanging="360"/>
      </w:pPr>
      <w:rPr>
        <w:rFonts w:ascii="Wingdings" w:hAnsi="Wingdings" w:hint="default"/>
      </w:rPr>
    </w:lvl>
    <w:lvl w:ilvl="6" w:tplc="0C090001" w:tentative="1">
      <w:start w:val="1"/>
      <w:numFmt w:val="bullet"/>
      <w:lvlText w:val=""/>
      <w:lvlJc w:val="left"/>
      <w:pPr>
        <w:ind w:left="5738" w:hanging="360"/>
      </w:pPr>
      <w:rPr>
        <w:rFonts w:ascii="Symbol" w:hAnsi="Symbol" w:hint="default"/>
      </w:rPr>
    </w:lvl>
    <w:lvl w:ilvl="7" w:tplc="0C090003" w:tentative="1">
      <w:start w:val="1"/>
      <w:numFmt w:val="bullet"/>
      <w:lvlText w:val="o"/>
      <w:lvlJc w:val="left"/>
      <w:pPr>
        <w:ind w:left="6458" w:hanging="360"/>
      </w:pPr>
      <w:rPr>
        <w:rFonts w:ascii="Courier New" w:hAnsi="Courier New" w:cs="Courier New" w:hint="default"/>
      </w:rPr>
    </w:lvl>
    <w:lvl w:ilvl="8" w:tplc="0C090005" w:tentative="1">
      <w:start w:val="1"/>
      <w:numFmt w:val="bullet"/>
      <w:lvlText w:val=""/>
      <w:lvlJc w:val="left"/>
      <w:pPr>
        <w:ind w:left="7178" w:hanging="360"/>
      </w:pPr>
      <w:rPr>
        <w:rFonts w:ascii="Wingdings" w:hAnsi="Wingdings" w:hint="default"/>
      </w:rPr>
    </w:lvl>
  </w:abstractNum>
  <w:abstractNum w:abstractNumId="89" w15:restartNumberingAfterBreak="0">
    <w:nsid w:val="32BC1C4F"/>
    <w:multiLevelType w:val="hybridMultilevel"/>
    <w:tmpl w:val="6C56AD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0" w15:restartNumberingAfterBreak="0">
    <w:nsid w:val="32C61C0C"/>
    <w:multiLevelType w:val="multilevel"/>
    <w:tmpl w:val="BD364BB8"/>
    <w:lvl w:ilvl="0">
      <w:start w:val="1"/>
      <w:numFmt w:val="decimal"/>
      <w:lvlText w:val="%1."/>
      <w:lvlJc w:val="left"/>
      <w:pPr>
        <w:ind w:left="340" w:hanging="340"/>
      </w:pPr>
      <w:rPr>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 w:ilvl="1">
      <w:start w:val="1"/>
      <w:numFmt w:val="lowerLetter"/>
      <w:lvlText w:val="%2)"/>
      <w:lvlJc w:val="left"/>
      <w:pPr>
        <w:ind w:left="680" w:hanging="340"/>
      </w:pPr>
    </w:lvl>
    <w:lvl w:ilvl="2">
      <w:start w:val="1"/>
      <w:numFmt w:val="lowerRoman"/>
      <w:lvlText w:val="%3)"/>
      <w:lvlJc w:val="left"/>
      <w:pPr>
        <w:ind w:left="1020" w:hanging="340"/>
      </w:pPr>
    </w:lvl>
    <w:lvl w:ilvl="3">
      <w:start w:val="1"/>
      <w:numFmt w:val="decimal"/>
      <w:lvlText w:val="(%4)"/>
      <w:lvlJc w:val="left"/>
      <w:pPr>
        <w:ind w:left="1360" w:hanging="340"/>
      </w:pPr>
    </w:lvl>
    <w:lvl w:ilvl="4">
      <w:start w:val="1"/>
      <w:numFmt w:val="lowerLetter"/>
      <w:lvlText w:val="(%5)"/>
      <w:lvlJc w:val="left"/>
      <w:pPr>
        <w:ind w:left="1700" w:hanging="340"/>
      </w:pPr>
    </w:lvl>
    <w:lvl w:ilvl="5">
      <w:start w:val="1"/>
      <w:numFmt w:val="lowerRoman"/>
      <w:lvlText w:val="(%6)"/>
      <w:lvlJc w:val="left"/>
      <w:pPr>
        <w:ind w:left="2040" w:hanging="340"/>
      </w:pPr>
    </w:lvl>
    <w:lvl w:ilvl="6">
      <w:start w:val="1"/>
      <w:numFmt w:val="decimal"/>
      <w:lvlText w:val="%7."/>
      <w:lvlJc w:val="left"/>
      <w:pPr>
        <w:ind w:left="2380" w:hanging="340"/>
      </w:pPr>
    </w:lvl>
    <w:lvl w:ilvl="7">
      <w:start w:val="1"/>
      <w:numFmt w:val="decimal"/>
      <w:lvlText w:val="%8."/>
      <w:lvlJc w:val="left"/>
      <w:pPr>
        <w:ind w:left="2720" w:hanging="340"/>
      </w:pPr>
    </w:lvl>
    <w:lvl w:ilvl="8">
      <w:start w:val="1"/>
      <w:numFmt w:val="lowerRoman"/>
      <w:lvlText w:val="%9."/>
      <w:lvlJc w:val="left"/>
      <w:pPr>
        <w:ind w:left="3060" w:hanging="340"/>
      </w:pPr>
    </w:lvl>
  </w:abstractNum>
  <w:abstractNum w:abstractNumId="91" w15:restartNumberingAfterBreak="0">
    <w:nsid w:val="338C3ADC"/>
    <w:multiLevelType w:val="hybridMultilevel"/>
    <w:tmpl w:val="8D5440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2" w15:restartNumberingAfterBreak="0">
    <w:nsid w:val="340B4D2A"/>
    <w:multiLevelType w:val="hybridMultilevel"/>
    <w:tmpl w:val="F8A80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593059C"/>
    <w:multiLevelType w:val="hybridMultilevel"/>
    <w:tmpl w:val="A31E6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6843196"/>
    <w:multiLevelType w:val="hybridMultilevel"/>
    <w:tmpl w:val="1C38E8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74345D1"/>
    <w:multiLevelType w:val="singleLevel"/>
    <w:tmpl w:val="3C02756A"/>
    <w:lvl w:ilvl="0">
      <w:start w:val="1"/>
      <w:numFmt w:val="bullet"/>
      <w:pStyle w:val="MJAbulletnormal"/>
      <w:lvlText w:val=""/>
      <w:lvlJc w:val="left"/>
      <w:pPr>
        <w:ind w:left="360" w:hanging="360"/>
      </w:pPr>
      <w:rPr>
        <w:rFonts w:ascii="Wingdings" w:hAnsi="Wingdings" w:hint="default"/>
        <w:color w:val="0093D0"/>
      </w:rPr>
    </w:lvl>
  </w:abstractNum>
  <w:abstractNum w:abstractNumId="96" w15:restartNumberingAfterBreak="0">
    <w:nsid w:val="37FE400F"/>
    <w:multiLevelType w:val="hybridMultilevel"/>
    <w:tmpl w:val="966C3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9D01C52"/>
    <w:multiLevelType w:val="hybridMultilevel"/>
    <w:tmpl w:val="8818725A"/>
    <w:lvl w:ilvl="0" w:tplc="E2EC323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3A44122C"/>
    <w:multiLevelType w:val="hybridMultilevel"/>
    <w:tmpl w:val="879E3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AF202C4"/>
    <w:multiLevelType w:val="hybridMultilevel"/>
    <w:tmpl w:val="FE34A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BA31F37"/>
    <w:multiLevelType w:val="hybridMultilevel"/>
    <w:tmpl w:val="5DC83BA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3C5B2655"/>
    <w:multiLevelType w:val="hybridMultilevel"/>
    <w:tmpl w:val="A59E1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CFC5E8A"/>
    <w:multiLevelType w:val="hybridMultilevel"/>
    <w:tmpl w:val="263E8C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3D6A5622"/>
    <w:multiLevelType w:val="hybridMultilevel"/>
    <w:tmpl w:val="349CB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D952BAD"/>
    <w:multiLevelType w:val="hybridMultilevel"/>
    <w:tmpl w:val="81AC268C"/>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5" w15:restartNumberingAfterBreak="0">
    <w:nsid w:val="3E882F23"/>
    <w:multiLevelType w:val="hybridMultilevel"/>
    <w:tmpl w:val="3DD6C12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6" w15:restartNumberingAfterBreak="0">
    <w:nsid w:val="3FAD01D2"/>
    <w:multiLevelType w:val="multilevel"/>
    <w:tmpl w:val="4A3A1D74"/>
    <w:lvl w:ilvl="0">
      <w:start w:val="1"/>
      <w:numFmt w:val="decimal"/>
      <w:lvlText w:val="%1"/>
      <w:lvlJc w:val="left"/>
      <w:pPr>
        <w:ind w:left="794" w:hanging="794"/>
      </w:pPr>
    </w:lvl>
    <w:lvl w:ilvl="1">
      <w:start w:val="1"/>
      <w:numFmt w:val="decimal"/>
      <w:lvlText w:val="%1.%2"/>
      <w:lvlJc w:val="left"/>
      <w:pPr>
        <w:ind w:left="794" w:hanging="794"/>
      </w:pPr>
    </w:lvl>
    <w:lvl w:ilvl="2">
      <w:start w:val="1"/>
      <w:numFmt w:val="decimal"/>
      <w:lvlText w:val="%1.%2.%3"/>
      <w:lvlJc w:val="left"/>
      <w:pPr>
        <w:ind w:left="1021" w:hanging="1021"/>
      </w:pPr>
    </w:lvl>
    <w:lvl w:ilvl="3">
      <w:start w:val="1"/>
      <w:numFmt w:val="decimal"/>
      <w:lvlText w:val="%1.%2.%3.%4"/>
      <w:lvlJc w:val="left"/>
      <w:pPr>
        <w:ind w:left="1134" w:hanging="1134"/>
      </w:pPr>
    </w:lvl>
    <w:lvl w:ilvl="4">
      <w:start w:val="1"/>
      <w:numFmt w:val="decimal"/>
      <w:lvlText w:val="%1.%2.%3.%4.%5"/>
      <w:lvlJc w:val="left"/>
      <w:pPr>
        <w:ind w:left="1077" w:hanging="1077"/>
      </w:pPr>
    </w:lvl>
    <w:lvl w:ilvl="5">
      <w:start w:val="1"/>
      <w:numFmt w:val="decimal"/>
      <w:lvlText w:val="%1.%2.%3.%4.%5.%6"/>
      <w:lvlJc w:val="left"/>
      <w:pPr>
        <w:ind w:left="1247" w:hanging="1247"/>
      </w:pPr>
    </w:lvl>
    <w:lvl w:ilvl="6">
      <w:start w:val="1"/>
      <w:numFmt w:val="decimal"/>
      <w:lvlRestart w:val="1"/>
      <w:suff w:val="nothing"/>
      <w:lvlText w:val="Table %1.%7"/>
      <w:lvlJc w:val="left"/>
      <w:pPr>
        <w:ind w:left="0" w:firstLine="0"/>
      </w:pPr>
    </w:lvl>
    <w:lvl w:ilvl="7">
      <w:start w:val="1"/>
      <w:numFmt w:val="decimal"/>
      <w:lvlRestart w:val="1"/>
      <w:suff w:val="nothing"/>
      <w:lvlText w:val="Chart %1.%8"/>
      <w:lvlJc w:val="left"/>
      <w:pPr>
        <w:ind w:left="0" w:firstLine="0"/>
      </w:pPr>
    </w:lvl>
    <w:lvl w:ilvl="8">
      <w:start w:val="1"/>
      <w:numFmt w:val="decimal"/>
      <w:lvlRestart w:val="1"/>
      <w:suff w:val="nothing"/>
      <w:lvlText w:val="Figure %1.%9"/>
      <w:lvlJc w:val="left"/>
      <w:pPr>
        <w:ind w:left="0" w:firstLine="0"/>
      </w:pPr>
    </w:lvl>
  </w:abstractNum>
  <w:abstractNum w:abstractNumId="107" w15:restartNumberingAfterBreak="0">
    <w:nsid w:val="40140087"/>
    <w:multiLevelType w:val="hybridMultilevel"/>
    <w:tmpl w:val="D1146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18128A9"/>
    <w:multiLevelType w:val="hybridMultilevel"/>
    <w:tmpl w:val="6D909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27B3C56"/>
    <w:multiLevelType w:val="hybridMultilevel"/>
    <w:tmpl w:val="BA340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42ED3714"/>
    <w:multiLevelType w:val="hybridMultilevel"/>
    <w:tmpl w:val="54AA57A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112" w15:restartNumberingAfterBreak="0">
    <w:nsid w:val="43AD1822"/>
    <w:multiLevelType w:val="hybridMultilevel"/>
    <w:tmpl w:val="EAA675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43D32C16"/>
    <w:multiLevelType w:val="hybridMultilevel"/>
    <w:tmpl w:val="F3AA8592"/>
    <w:lvl w:ilvl="0" w:tplc="1408D6D6">
      <w:start w:val="1"/>
      <w:numFmt w:val="decimal"/>
      <w:pStyle w:val="RegBody1"/>
      <w:lvlText w:val="(%1)"/>
      <w:lvlJc w:val="left"/>
      <w:pPr>
        <w:tabs>
          <w:tab w:val="num" w:pos="1276"/>
        </w:tabs>
        <w:ind w:left="1276"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4" w15:restartNumberingAfterBreak="0">
    <w:nsid w:val="43E97C36"/>
    <w:multiLevelType w:val="hybridMultilevel"/>
    <w:tmpl w:val="F98E8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40402B8"/>
    <w:multiLevelType w:val="hybridMultilevel"/>
    <w:tmpl w:val="75ACCDA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440A7A17"/>
    <w:multiLevelType w:val="hybridMultilevel"/>
    <w:tmpl w:val="47DE69E8"/>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4D14304"/>
    <w:multiLevelType w:val="multilevel"/>
    <w:tmpl w:val="5D96D5CC"/>
    <w:lvl w:ilvl="0">
      <w:start w:val="1"/>
      <w:numFmt w:val="bullet"/>
      <w:lvlText w:val=""/>
      <w:lvlJc w:val="left"/>
      <w:pPr>
        <w:ind w:left="720" w:hanging="360"/>
      </w:pPr>
      <w:rPr>
        <w:rFonts w:ascii="Symbol" w:hAnsi="Symbol" w:hint="default"/>
        <w:color w:val="auto"/>
        <w:sz w:val="20"/>
        <w:szCs w:val="20"/>
      </w:rPr>
    </w:lvl>
    <w:lvl w:ilvl="1">
      <w:start w:val="1"/>
      <w:numFmt w:val="decimal"/>
      <w:lvlText w:val="%2."/>
      <w:lvlJc w:val="left"/>
      <w:pPr>
        <w:tabs>
          <w:tab w:val="num" w:pos="1494"/>
        </w:tabs>
        <w:ind w:left="1494" w:hanging="567"/>
      </w:pPr>
      <w:rPr>
        <w:rFonts w:hint="default"/>
        <w:b/>
        <w:i w:val="0"/>
        <w:color w:val="auto"/>
        <w:sz w:val="20"/>
        <w:szCs w:val="20"/>
      </w:rPr>
    </w:lvl>
    <w:lvl w:ilvl="2">
      <w:start w:val="1"/>
      <w:numFmt w:val="bullet"/>
      <w:lvlText w:val="-"/>
      <w:lvlJc w:val="left"/>
      <w:pPr>
        <w:tabs>
          <w:tab w:val="num" w:pos="2061"/>
        </w:tabs>
        <w:ind w:left="2061" w:hanging="567"/>
      </w:pPr>
      <w:rPr>
        <w:rFonts w:ascii="Arial" w:hAnsi="Arial" w:hint="default"/>
        <w:color w:val="931638"/>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18" w15:restartNumberingAfterBreak="0">
    <w:nsid w:val="45506179"/>
    <w:multiLevelType w:val="hybridMultilevel"/>
    <w:tmpl w:val="7680A3C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9"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632299A"/>
    <w:multiLevelType w:val="hybridMultilevel"/>
    <w:tmpl w:val="77C06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48FB76ED"/>
    <w:multiLevelType w:val="multilevel"/>
    <w:tmpl w:val="52D2C07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494E7BA1"/>
    <w:multiLevelType w:val="multilevel"/>
    <w:tmpl w:val="2FA4F442"/>
    <w:lvl w:ilvl="0">
      <w:start w:val="1"/>
      <w:numFmt w:val="lowerLetter"/>
      <w:lvlText w:val="%1)"/>
      <w:lvlJc w:val="left"/>
      <w:pPr>
        <w:ind w:left="1800" w:hanging="360"/>
      </w:pPr>
      <w:rPr>
        <w:rFonts w:hint="default"/>
        <w:color w:val="auto"/>
        <w:sz w:val="20"/>
        <w:szCs w:val="20"/>
      </w:rPr>
    </w:lvl>
    <w:lvl w:ilvl="1">
      <w:start w:val="1"/>
      <w:numFmt w:val="decimal"/>
      <w:lvlText w:val="%2."/>
      <w:lvlJc w:val="left"/>
      <w:pPr>
        <w:tabs>
          <w:tab w:val="num" w:pos="2574"/>
        </w:tabs>
        <w:ind w:left="2574" w:hanging="567"/>
      </w:pPr>
      <w:rPr>
        <w:rFonts w:hint="default"/>
        <w:b/>
        <w:i w:val="0"/>
        <w:color w:val="auto"/>
        <w:sz w:val="20"/>
        <w:szCs w:val="20"/>
      </w:rPr>
    </w:lvl>
    <w:lvl w:ilvl="2">
      <w:start w:val="1"/>
      <w:numFmt w:val="bullet"/>
      <w:lvlText w:val="-"/>
      <w:lvlJc w:val="left"/>
      <w:pPr>
        <w:tabs>
          <w:tab w:val="num" w:pos="3141"/>
        </w:tabs>
        <w:ind w:left="3141" w:hanging="567"/>
      </w:pPr>
      <w:rPr>
        <w:rFonts w:ascii="Arial" w:hAnsi="Arial" w:hint="default"/>
        <w:color w:val="931638"/>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124" w15:restartNumberingAfterBreak="0">
    <w:nsid w:val="49BE3695"/>
    <w:multiLevelType w:val="hybridMultilevel"/>
    <w:tmpl w:val="782C92E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4AB13FC2"/>
    <w:multiLevelType w:val="multilevel"/>
    <w:tmpl w:val="B97A30EE"/>
    <w:lvl w:ilvl="0">
      <w:start w:val="18"/>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15:restartNumberingAfterBreak="0">
    <w:nsid w:val="4AFE2FAA"/>
    <w:multiLevelType w:val="multilevel"/>
    <w:tmpl w:val="355A2150"/>
    <w:lvl w:ilvl="0">
      <w:start w:val="1"/>
      <w:numFmt w:val="decimal"/>
      <w:lvlText w:val="%1."/>
      <w:lvlJc w:val="left"/>
      <w:pPr>
        <w:ind w:left="360" w:hanging="360"/>
      </w:pPr>
      <w:rPr>
        <w:rFonts w:hint="default"/>
        <w:color w:val="auto"/>
        <w:sz w:val="20"/>
        <w:szCs w:val="20"/>
      </w:rPr>
    </w:lvl>
    <w:lvl w:ilvl="1">
      <w:start w:val="1"/>
      <w:numFmt w:val="decimal"/>
      <w:lvlText w:val="%2."/>
      <w:lvlJc w:val="left"/>
      <w:pPr>
        <w:tabs>
          <w:tab w:val="num" w:pos="1134"/>
        </w:tabs>
        <w:ind w:left="1134" w:hanging="567"/>
      </w:pPr>
      <w:rPr>
        <w:rFonts w:hint="default"/>
        <w:b/>
        <w:i w:val="0"/>
        <w:color w:val="auto"/>
        <w:sz w:val="20"/>
        <w:szCs w:val="20"/>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4B10634D"/>
    <w:multiLevelType w:val="hybridMultilevel"/>
    <w:tmpl w:val="5D085B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8" w15:restartNumberingAfterBreak="0">
    <w:nsid w:val="4C551FA1"/>
    <w:multiLevelType w:val="hybridMultilevel"/>
    <w:tmpl w:val="1E588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4C8302B9"/>
    <w:multiLevelType w:val="hybridMultilevel"/>
    <w:tmpl w:val="3EB65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4CA2373E"/>
    <w:multiLevelType w:val="hybridMultilevel"/>
    <w:tmpl w:val="23887F8E"/>
    <w:lvl w:ilvl="0" w:tplc="04742E60">
      <w:start w:val="1"/>
      <w:numFmt w:val="bullet"/>
      <w:lvlText w:val=""/>
      <w:lvlJc w:val="left"/>
      <w:pPr>
        <w:ind w:left="720" w:hanging="360"/>
      </w:pPr>
      <w:rPr>
        <w:rFonts w:ascii="Symbol" w:hAnsi="Symbol" w:hint="default"/>
      </w:rPr>
    </w:lvl>
    <w:lvl w:ilvl="1" w:tplc="92DA2B8A">
      <w:start w:val="1"/>
      <w:numFmt w:val="bullet"/>
      <w:lvlText w:val="o"/>
      <w:lvlJc w:val="left"/>
      <w:pPr>
        <w:ind w:left="1440" w:hanging="360"/>
      </w:pPr>
      <w:rPr>
        <w:rFonts w:ascii="Courier New" w:hAnsi="Courier New" w:hint="default"/>
      </w:rPr>
    </w:lvl>
    <w:lvl w:ilvl="2" w:tplc="AE36C00E">
      <w:start w:val="1"/>
      <w:numFmt w:val="bullet"/>
      <w:lvlText w:val=""/>
      <w:lvlJc w:val="left"/>
      <w:pPr>
        <w:ind w:left="2160" w:hanging="360"/>
      </w:pPr>
      <w:rPr>
        <w:rFonts w:ascii="Wingdings" w:hAnsi="Wingdings" w:hint="default"/>
      </w:rPr>
    </w:lvl>
    <w:lvl w:ilvl="3" w:tplc="69BCAB00">
      <w:start w:val="1"/>
      <w:numFmt w:val="bullet"/>
      <w:lvlText w:val=""/>
      <w:lvlJc w:val="left"/>
      <w:pPr>
        <w:ind w:left="2880" w:hanging="360"/>
      </w:pPr>
      <w:rPr>
        <w:rFonts w:ascii="Symbol" w:hAnsi="Symbol" w:hint="default"/>
      </w:rPr>
    </w:lvl>
    <w:lvl w:ilvl="4" w:tplc="9A3C81B8">
      <w:start w:val="1"/>
      <w:numFmt w:val="bullet"/>
      <w:lvlText w:val="o"/>
      <w:lvlJc w:val="left"/>
      <w:pPr>
        <w:ind w:left="3600" w:hanging="360"/>
      </w:pPr>
      <w:rPr>
        <w:rFonts w:ascii="Courier New" w:hAnsi="Courier New" w:hint="default"/>
      </w:rPr>
    </w:lvl>
    <w:lvl w:ilvl="5" w:tplc="0CB86C20">
      <w:start w:val="1"/>
      <w:numFmt w:val="bullet"/>
      <w:lvlText w:val=""/>
      <w:lvlJc w:val="left"/>
      <w:pPr>
        <w:ind w:left="4320" w:hanging="360"/>
      </w:pPr>
      <w:rPr>
        <w:rFonts w:ascii="Wingdings" w:hAnsi="Wingdings" w:hint="default"/>
      </w:rPr>
    </w:lvl>
    <w:lvl w:ilvl="6" w:tplc="AA843C80">
      <w:start w:val="1"/>
      <w:numFmt w:val="bullet"/>
      <w:lvlText w:val=""/>
      <w:lvlJc w:val="left"/>
      <w:pPr>
        <w:ind w:left="5040" w:hanging="360"/>
      </w:pPr>
      <w:rPr>
        <w:rFonts w:ascii="Symbol" w:hAnsi="Symbol" w:hint="default"/>
      </w:rPr>
    </w:lvl>
    <w:lvl w:ilvl="7" w:tplc="79C0577C">
      <w:start w:val="1"/>
      <w:numFmt w:val="bullet"/>
      <w:lvlText w:val="o"/>
      <w:lvlJc w:val="left"/>
      <w:pPr>
        <w:ind w:left="5760" w:hanging="360"/>
      </w:pPr>
      <w:rPr>
        <w:rFonts w:ascii="Courier New" w:hAnsi="Courier New" w:hint="default"/>
      </w:rPr>
    </w:lvl>
    <w:lvl w:ilvl="8" w:tplc="C10A52AC">
      <w:start w:val="1"/>
      <w:numFmt w:val="bullet"/>
      <w:lvlText w:val=""/>
      <w:lvlJc w:val="left"/>
      <w:pPr>
        <w:ind w:left="6480" w:hanging="360"/>
      </w:pPr>
      <w:rPr>
        <w:rFonts w:ascii="Wingdings" w:hAnsi="Wingdings" w:hint="default"/>
      </w:rPr>
    </w:lvl>
  </w:abstractNum>
  <w:abstractNum w:abstractNumId="131"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2" w15:restartNumberingAfterBreak="0">
    <w:nsid w:val="4DE220D9"/>
    <w:multiLevelType w:val="hybridMultilevel"/>
    <w:tmpl w:val="BD5CEB58"/>
    <w:lvl w:ilvl="0" w:tplc="25C8F60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4E444DD1"/>
    <w:multiLevelType w:val="hybridMultilevel"/>
    <w:tmpl w:val="570E3C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4" w15:restartNumberingAfterBreak="0">
    <w:nsid w:val="4F401FF0"/>
    <w:multiLevelType w:val="hybridMultilevel"/>
    <w:tmpl w:val="DE68D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4FD31952"/>
    <w:multiLevelType w:val="hybridMultilevel"/>
    <w:tmpl w:val="29EC9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4FF35967"/>
    <w:multiLevelType w:val="multilevel"/>
    <w:tmpl w:val="F9142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03D77CC"/>
    <w:multiLevelType w:val="hybridMultilevel"/>
    <w:tmpl w:val="56E05B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0407A8B"/>
    <w:multiLevelType w:val="hybridMultilevel"/>
    <w:tmpl w:val="D11E1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0BB4D15"/>
    <w:multiLevelType w:val="hybridMultilevel"/>
    <w:tmpl w:val="A4DAE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1AE3809"/>
    <w:multiLevelType w:val="hybridMultilevel"/>
    <w:tmpl w:val="0614A42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1FD1B30"/>
    <w:multiLevelType w:val="hybridMultilevel"/>
    <w:tmpl w:val="8BBA00C2"/>
    <w:lvl w:ilvl="0" w:tplc="BFC68C16">
      <w:numFmt w:val="bullet"/>
      <w:lvlText w:val=""/>
      <w:lvlJc w:val="left"/>
      <w:pPr>
        <w:ind w:left="360" w:hanging="360"/>
      </w:pPr>
      <w:rPr>
        <w:rFonts w:ascii="Symbol" w:eastAsiaTheme="minorHAnsi" w:hAnsi="Symbol"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526367B6"/>
    <w:multiLevelType w:val="hybridMultilevel"/>
    <w:tmpl w:val="06F2B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27D3E8B"/>
    <w:multiLevelType w:val="multilevel"/>
    <w:tmpl w:val="5C081C88"/>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4" w15:restartNumberingAfterBreak="0">
    <w:nsid w:val="532C0BD9"/>
    <w:multiLevelType w:val="hybridMultilevel"/>
    <w:tmpl w:val="8B98D04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53953127"/>
    <w:multiLevelType w:val="hybridMultilevel"/>
    <w:tmpl w:val="CFE2C9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541A371A"/>
    <w:multiLevelType w:val="hybridMultilevel"/>
    <w:tmpl w:val="637622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659502A"/>
    <w:multiLevelType w:val="hybridMultilevel"/>
    <w:tmpl w:val="68E6C3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8" w15:restartNumberingAfterBreak="0">
    <w:nsid w:val="56F07BF2"/>
    <w:multiLevelType w:val="hybridMultilevel"/>
    <w:tmpl w:val="93CED296"/>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9" w15:restartNumberingAfterBreak="0">
    <w:nsid w:val="56FF4FCD"/>
    <w:multiLevelType w:val="hybridMultilevel"/>
    <w:tmpl w:val="7BC2300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570D5B70"/>
    <w:multiLevelType w:val="hybridMultilevel"/>
    <w:tmpl w:val="53E6EF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1" w15:restartNumberingAfterBreak="0">
    <w:nsid w:val="58352976"/>
    <w:multiLevelType w:val="hybridMultilevel"/>
    <w:tmpl w:val="A99422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588D65A6"/>
    <w:multiLevelType w:val="hybridMultilevel"/>
    <w:tmpl w:val="DB6E9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58AF0BE9"/>
    <w:multiLevelType w:val="hybridMultilevel"/>
    <w:tmpl w:val="4E6272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4" w15:restartNumberingAfterBreak="0">
    <w:nsid w:val="59636E1F"/>
    <w:multiLevelType w:val="hybridMultilevel"/>
    <w:tmpl w:val="DBAA9106"/>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5" w15:restartNumberingAfterBreak="0">
    <w:nsid w:val="5A855C03"/>
    <w:multiLevelType w:val="hybridMultilevel"/>
    <w:tmpl w:val="7326D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5B092EA8"/>
    <w:multiLevelType w:val="hybridMultilevel"/>
    <w:tmpl w:val="5D68C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5B144FB1"/>
    <w:multiLevelType w:val="hybridMultilevel"/>
    <w:tmpl w:val="151E85A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8" w15:restartNumberingAfterBreak="0">
    <w:nsid w:val="5B6174CD"/>
    <w:multiLevelType w:val="hybridMultilevel"/>
    <w:tmpl w:val="782A8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5BB86D4F"/>
    <w:multiLevelType w:val="hybridMultilevel"/>
    <w:tmpl w:val="98E89F60"/>
    <w:lvl w:ilvl="0" w:tplc="2892F572">
      <w:start w:val="1"/>
      <w:numFmt w:val="bullet"/>
      <w:pStyle w:val="Bullet2"/>
      <w:lvlText w:val="•"/>
      <w:lvlJc w:val="left"/>
      <w:pPr>
        <w:ind w:left="720" w:hanging="360"/>
      </w:pPr>
      <w:rPr>
        <w:rFonts w:ascii="Calibri" w:hAnsi="Calibri" w:hint="default"/>
        <w:color w:val="72C7E7"/>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5C8B0F98"/>
    <w:multiLevelType w:val="hybridMultilevel"/>
    <w:tmpl w:val="F32A5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5D3A40D8"/>
    <w:multiLevelType w:val="multilevel"/>
    <w:tmpl w:val="7120514A"/>
    <w:lvl w:ilvl="0">
      <w:start w:val="1"/>
      <w:numFmt w:val="bullet"/>
      <w:lvlText w:val=""/>
      <w:lvlJc w:val="left"/>
      <w:pPr>
        <w:ind w:left="360" w:hanging="360"/>
      </w:pPr>
      <w:rPr>
        <w:rFonts w:ascii="Symbol" w:hAnsi="Symbol" w:hint="default"/>
        <w:b w:val="0"/>
        <w:i w:val="0"/>
      </w:rPr>
    </w:lvl>
    <w:lvl w:ilvl="1">
      <w:start w:val="1"/>
      <w:numFmt w:val="lowerLetter"/>
      <w:lvlText w:val="%2)"/>
      <w:lvlJc w:val="left"/>
      <w:pPr>
        <w:ind w:left="785" w:hanging="360"/>
      </w:pPr>
      <w:rPr>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2" w15:restartNumberingAfterBreak="0">
    <w:nsid w:val="5E0A01A3"/>
    <w:multiLevelType w:val="hybridMultilevel"/>
    <w:tmpl w:val="10365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5F0924E0"/>
    <w:multiLevelType w:val="hybridMultilevel"/>
    <w:tmpl w:val="D8861F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5F964C91"/>
    <w:multiLevelType w:val="hybridMultilevel"/>
    <w:tmpl w:val="F21CD202"/>
    <w:lvl w:ilvl="0" w:tplc="4C28FDD2">
      <w:numFmt w:val="bullet"/>
      <w:lvlText w:val="-"/>
      <w:lvlJc w:val="left"/>
      <w:pPr>
        <w:ind w:left="720" w:hanging="360"/>
      </w:pPr>
      <w:rPr>
        <w:rFonts w:ascii="Segoe UI Light" w:eastAsiaTheme="minorHAnsi" w:hAnsi="Segoe UI Light" w:cs="Segoe U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602A7422"/>
    <w:multiLevelType w:val="hybridMultilevel"/>
    <w:tmpl w:val="215AEA18"/>
    <w:lvl w:ilvl="0" w:tplc="E2EC323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603B11BF"/>
    <w:multiLevelType w:val="hybridMultilevel"/>
    <w:tmpl w:val="C1A802D4"/>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7"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168" w15:restartNumberingAfterBreak="0">
    <w:nsid w:val="609C1D14"/>
    <w:multiLevelType w:val="hybridMultilevel"/>
    <w:tmpl w:val="5A3663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9" w15:restartNumberingAfterBreak="0">
    <w:nsid w:val="60F60830"/>
    <w:multiLevelType w:val="hybridMultilevel"/>
    <w:tmpl w:val="A3F0D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15F4390"/>
    <w:multiLevelType w:val="hybridMultilevel"/>
    <w:tmpl w:val="46B04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61F00A03"/>
    <w:multiLevelType w:val="hybridMultilevel"/>
    <w:tmpl w:val="382413FA"/>
    <w:lvl w:ilvl="0" w:tplc="0C09000F">
      <w:start w:val="1"/>
      <w:numFmt w:val="decimal"/>
      <w:lvlText w:val="%1."/>
      <w:lvlJc w:val="left"/>
      <w:pPr>
        <w:ind w:left="1080" w:hanging="360"/>
      </w:pPr>
      <w:rPr>
        <w:rFonts w:hint="default"/>
        <w:b/>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2" w15:restartNumberingAfterBreak="0">
    <w:nsid w:val="6424102B"/>
    <w:multiLevelType w:val="hybridMultilevel"/>
    <w:tmpl w:val="DFB27186"/>
    <w:lvl w:ilvl="0" w:tplc="8B0820AE">
      <w:start w:val="1"/>
      <w:numFmt w:val="lowerLetter"/>
      <w:lvlText w:val="(%1)"/>
      <w:lvlJc w:val="lef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73" w15:restartNumberingAfterBreak="0">
    <w:nsid w:val="647C3660"/>
    <w:multiLevelType w:val="hybridMultilevel"/>
    <w:tmpl w:val="9E3C0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64DC221F"/>
    <w:multiLevelType w:val="hybridMultilevel"/>
    <w:tmpl w:val="7E82A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64FB4B14"/>
    <w:multiLevelType w:val="hybridMultilevel"/>
    <w:tmpl w:val="0F349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65140B3E"/>
    <w:multiLevelType w:val="hybridMultilevel"/>
    <w:tmpl w:val="18A4B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65984CFE"/>
    <w:multiLevelType w:val="hybridMultilevel"/>
    <w:tmpl w:val="96F60A24"/>
    <w:lvl w:ilvl="0" w:tplc="0C090001">
      <w:start w:val="1"/>
      <w:numFmt w:val="bullet"/>
      <w:lvlText w:val=""/>
      <w:lvlJc w:val="left"/>
      <w:pPr>
        <w:ind w:left="720" w:hanging="360"/>
      </w:pPr>
      <w:rPr>
        <w:rFonts w:ascii="Symbol" w:hAnsi="Symbol" w:hint="default"/>
      </w:rPr>
    </w:lvl>
    <w:lvl w:ilvl="1" w:tplc="44107EA8">
      <w:numFmt w:val="bullet"/>
      <w:lvlText w:val="-"/>
      <w:lvlJc w:val="left"/>
      <w:pPr>
        <w:ind w:left="1440" w:hanging="360"/>
      </w:pPr>
      <w:rPr>
        <w:rFonts w:ascii="Verdana" w:eastAsiaTheme="minorHAnsi" w:hAnsi="Verdan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661161EC"/>
    <w:multiLevelType w:val="hybridMultilevel"/>
    <w:tmpl w:val="E91093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68CE7E8A"/>
    <w:multiLevelType w:val="hybridMultilevel"/>
    <w:tmpl w:val="B22CCF0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68D61E8E"/>
    <w:multiLevelType w:val="hybridMultilevel"/>
    <w:tmpl w:val="A4B8C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692E5512"/>
    <w:multiLevelType w:val="multilevel"/>
    <w:tmpl w:val="71A2D6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2" w15:restartNumberingAfterBreak="0">
    <w:nsid w:val="6A0F7D37"/>
    <w:multiLevelType w:val="hybridMultilevel"/>
    <w:tmpl w:val="0040F5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6A811300"/>
    <w:multiLevelType w:val="hybridMultilevel"/>
    <w:tmpl w:val="D2AE17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6A964155"/>
    <w:multiLevelType w:val="hybridMultilevel"/>
    <w:tmpl w:val="1CFEA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6B156464"/>
    <w:multiLevelType w:val="hybridMultilevel"/>
    <w:tmpl w:val="8E4806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95F8BAE2">
      <w:start w:val="1"/>
      <w:numFmt w:val="lowerLetter"/>
      <w:lvlText w:val="%5."/>
      <w:lvlJc w:val="left"/>
      <w:pPr>
        <w:ind w:left="3600" w:hanging="360"/>
      </w:pPr>
      <w:rPr>
        <w:rFonts w:ascii="Segoe UI Light" w:hAnsi="Segoe UI Light" w:cs="Segoe UI Light" w:hint="default"/>
        <w:b w:val="0"/>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6BAC039C"/>
    <w:multiLevelType w:val="hybridMultilevel"/>
    <w:tmpl w:val="42F8BA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7" w15:restartNumberingAfterBreak="0">
    <w:nsid w:val="6CE8502A"/>
    <w:multiLevelType w:val="hybridMultilevel"/>
    <w:tmpl w:val="3C223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6D08213C"/>
    <w:multiLevelType w:val="hybridMultilevel"/>
    <w:tmpl w:val="7EEA6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6E3F36F6"/>
    <w:multiLevelType w:val="hybridMultilevel"/>
    <w:tmpl w:val="731C72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6E5618E6"/>
    <w:multiLevelType w:val="hybridMultilevel"/>
    <w:tmpl w:val="9B96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6EE33E1E"/>
    <w:multiLevelType w:val="hybridMultilevel"/>
    <w:tmpl w:val="AFCE1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701A57A4"/>
    <w:multiLevelType w:val="hybridMultilevel"/>
    <w:tmpl w:val="00FABFAA"/>
    <w:lvl w:ilvl="0" w:tplc="0C09000F">
      <w:start w:val="1"/>
      <w:numFmt w:val="decimal"/>
      <w:lvlText w:val="%1."/>
      <w:lvlJc w:val="left"/>
      <w:pPr>
        <w:ind w:left="-1060" w:hanging="360"/>
      </w:pPr>
    </w:lvl>
    <w:lvl w:ilvl="1" w:tplc="0C090001">
      <w:start w:val="1"/>
      <w:numFmt w:val="bullet"/>
      <w:lvlText w:val=""/>
      <w:lvlJc w:val="left"/>
      <w:pPr>
        <w:ind w:left="-264" w:hanging="360"/>
      </w:pPr>
      <w:rPr>
        <w:rFonts w:ascii="Symbol" w:hAnsi="Symbol" w:hint="default"/>
      </w:rPr>
    </w:lvl>
    <w:lvl w:ilvl="2" w:tplc="0C09001B">
      <w:start w:val="1"/>
      <w:numFmt w:val="lowerRoman"/>
      <w:lvlText w:val="%3."/>
      <w:lvlJc w:val="right"/>
      <w:pPr>
        <w:ind w:left="456" w:hanging="180"/>
      </w:pPr>
    </w:lvl>
    <w:lvl w:ilvl="3" w:tplc="0C09000F">
      <w:start w:val="1"/>
      <w:numFmt w:val="decimal"/>
      <w:lvlText w:val="%4."/>
      <w:lvlJc w:val="left"/>
      <w:pPr>
        <w:ind w:left="1176" w:hanging="360"/>
      </w:pPr>
    </w:lvl>
    <w:lvl w:ilvl="4" w:tplc="0C090019">
      <w:start w:val="1"/>
      <w:numFmt w:val="lowerLetter"/>
      <w:lvlText w:val="%5."/>
      <w:lvlJc w:val="left"/>
      <w:pPr>
        <w:ind w:left="1896" w:hanging="360"/>
      </w:pPr>
    </w:lvl>
    <w:lvl w:ilvl="5" w:tplc="0C09001B">
      <w:start w:val="1"/>
      <w:numFmt w:val="lowerRoman"/>
      <w:lvlText w:val="%6."/>
      <w:lvlJc w:val="right"/>
      <w:pPr>
        <w:ind w:left="2616" w:hanging="180"/>
      </w:pPr>
    </w:lvl>
    <w:lvl w:ilvl="6" w:tplc="0C09000F">
      <w:start w:val="1"/>
      <w:numFmt w:val="decimal"/>
      <w:lvlText w:val="%7."/>
      <w:lvlJc w:val="left"/>
      <w:pPr>
        <w:ind w:left="3336" w:hanging="360"/>
      </w:pPr>
    </w:lvl>
    <w:lvl w:ilvl="7" w:tplc="0C090019">
      <w:start w:val="1"/>
      <w:numFmt w:val="lowerLetter"/>
      <w:lvlText w:val="%8."/>
      <w:lvlJc w:val="left"/>
      <w:pPr>
        <w:ind w:left="4056" w:hanging="360"/>
      </w:pPr>
    </w:lvl>
    <w:lvl w:ilvl="8" w:tplc="0C09001B">
      <w:start w:val="1"/>
      <w:numFmt w:val="lowerRoman"/>
      <w:lvlText w:val="%9."/>
      <w:lvlJc w:val="right"/>
      <w:pPr>
        <w:ind w:left="4776" w:hanging="180"/>
      </w:pPr>
    </w:lvl>
  </w:abstractNum>
  <w:abstractNum w:abstractNumId="193" w15:restartNumberingAfterBreak="0">
    <w:nsid w:val="70984568"/>
    <w:multiLevelType w:val="hybridMultilevel"/>
    <w:tmpl w:val="DBA24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70D72649"/>
    <w:multiLevelType w:val="hybridMultilevel"/>
    <w:tmpl w:val="0B1ED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71715478"/>
    <w:multiLevelType w:val="hybridMultilevel"/>
    <w:tmpl w:val="76421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717B4C87"/>
    <w:multiLevelType w:val="hybridMultilevel"/>
    <w:tmpl w:val="CC465534"/>
    <w:lvl w:ilvl="0" w:tplc="229AF0EE">
      <w:numFmt w:val="bullet"/>
      <w:lvlText w:val=""/>
      <w:lvlJc w:val="left"/>
      <w:pPr>
        <w:ind w:left="700" w:hanging="360"/>
      </w:pPr>
      <w:rPr>
        <w:rFonts w:ascii="Symbol" w:eastAsia="Times New Roman" w:hAnsi="Symbol" w:cs="Arial" w:hint="default"/>
      </w:rPr>
    </w:lvl>
    <w:lvl w:ilvl="1" w:tplc="0C090003">
      <w:start w:val="1"/>
      <w:numFmt w:val="bullet"/>
      <w:lvlText w:val="o"/>
      <w:lvlJc w:val="left"/>
      <w:pPr>
        <w:ind w:left="1420" w:hanging="360"/>
      </w:pPr>
      <w:rPr>
        <w:rFonts w:ascii="Courier New" w:hAnsi="Courier New" w:cs="Courier New" w:hint="default"/>
      </w:rPr>
    </w:lvl>
    <w:lvl w:ilvl="2" w:tplc="0C090005">
      <w:start w:val="1"/>
      <w:numFmt w:val="bullet"/>
      <w:lvlText w:val=""/>
      <w:lvlJc w:val="left"/>
      <w:pPr>
        <w:ind w:left="2140" w:hanging="360"/>
      </w:pPr>
      <w:rPr>
        <w:rFonts w:ascii="Wingdings" w:hAnsi="Wingdings" w:hint="default"/>
      </w:rPr>
    </w:lvl>
    <w:lvl w:ilvl="3" w:tplc="0C090001">
      <w:start w:val="1"/>
      <w:numFmt w:val="bullet"/>
      <w:lvlText w:val=""/>
      <w:lvlJc w:val="left"/>
      <w:pPr>
        <w:ind w:left="2860" w:hanging="360"/>
      </w:pPr>
      <w:rPr>
        <w:rFonts w:ascii="Symbol" w:hAnsi="Symbol" w:hint="default"/>
      </w:rPr>
    </w:lvl>
    <w:lvl w:ilvl="4" w:tplc="0C090003">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97" w15:restartNumberingAfterBreak="0">
    <w:nsid w:val="71A16B9B"/>
    <w:multiLevelType w:val="multilevel"/>
    <w:tmpl w:val="A3B4D55C"/>
    <w:lvl w:ilvl="0">
      <w:start w:val="1"/>
      <w:numFmt w:val="bullet"/>
      <w:lvlText w:val=""/>
      <w:lvlJc w:val="left"/>
      <w:pPr>
        <w:ind w:left="340" w:hanging="340"/>
      </w:pPr>
      <w:rPr>
        <w:rFonts w:ascii="Symbol" w:hAnsi="Symbol"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 w:ilvl="1">
      <w:start w:val="1"/>
      <w:numFmt w:val="lowerLetter"/>
      <w:lvlText w:val="%2)"/>
      <w:lvlJc w:val="left"/>
      <w:pPr>
        <w:ind w:left="680" w:hanging="340"/>
      </w:pPr>
    </w:lvl>
    <w:lvl w:ilvl="2">
      <w:start w:val="1"/>
      <w:numFmt w:val="lowerRoman"/>
      <w:lvlText w:val="%3)"/>
      <w:lvlJc w:val="left"/>
      <w:pPr>
        <w:ind w:left="1020" w:hanging="340"/>
      </w:pPr>
    </w:lvl>
    <w:lvl w:ilvl="3">
      <w:start w:val="1"/>
      <w:numFmt w:val="decimal"/>
      <w:lvlText w:val="(%4)"/>
      <w:lvlJc w:val="left"/>
      <w:pPr>
        <w:ind w:left="1360" w:hanging="340"/>
      </w:pPr>
    </w:lvl>
    <w:lvl w:ilvl="4">
      <w:start w:val="1"/>
      <w:numFmt w:val="lowerLetter"/>
      <w:lvlText w:val="(%5)"/>
      <w:lvlJc w:val="left"/>
      <w:pPr>
        <w:ind w:left="1700" w:hanging="340"/>
      </w:pPr>
    </w:lvl>
    <w:lvl w:ilvl="5">
      <w:start w:val="1"/>
      <w:numFmt w:val="lowerRoman"/>
      <w:lvlText w:val="(%6)"/>
      <w:lvlJc w:val="left"/>
      <w:pPr>
        <w:ind w:left="2040" w:hanging="340"/>
      </w:pPr>
    </w:lvl>
    <w:lvl w:ilvl="6">
      <w:start w:val="1"/>
      <w:numFmt w:val="decimal"/>
      <w:lvlText w:val="%7."/>
      <w:lvlJc w:val="left"/>
      <w:pPr>
        <w:ind w:left="2380" w:hanging="340"/>
      </w:pPr>
    </w:lvl>
    <w:lvl w:ilvl="7">
      <w:start w:val="1"/>
      <w:numFmt w:val="decimal"/>
      <w:lvlText w:val="%8."/>
      <w:lvlJc w:val="left"/>
      <w:pPr>
        <w:ind w:left="2720" w:hanging="340"/>
      </w:pPr>
    </w:lvl>
    <w:lvl w:ilvl="8">
      <w:start w:val="1"/>
      <w:numFmt w:val="lowerRoman"/>
      <w:lvlText w:val="%9."/>
      <w:lvlJc w:val="left"/>
      <w:pPr>
        <w:ind w:left="3060" w:hanging="340"/>
      </w:pPr>
    </w:lvl>
  </w:abstractNum>
  <w:abstractNum w:abstractNumId="198" w15:restartNumberingAfterBreak="0">
    <w:nsid w:val="728817F3"/>
    <w:multiLevelType w:val="multilevel"/>
    <w:tmpl w:val="F1DC4BB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Segoe UI Light" w:hAnsi="Segoe UI Light" w:cs="Segoe UI Light" w:hint="default"/>
        <w:sz w:val="20"/>
        <w:szCs w:val="20"/>
      </w:rPr>
    </w:lvl>
    <w:lvl w:ilvl="2">
      <w:start w:val="1"/>
      <w:numFmt w:val="decimal"/>
      <w:pStyle w:val="Heading3"/>
      <w:lvlText w:val="%1.%2.%3"/>
      <w:lvlJc w:val="left"/>
      <w:pPr>
        <w:ind w:left="2564"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9" w15:restartNumberingAfterBreak="0">
    <w:nsid w:val="72CE20A5"/>
    <w:multiLevelType w:val="hybridMultilevel"/>
    <w:tmpl w:val="0896C2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0" w15:restartNumberingAfterBreak="0">
    <w:nsid w:val="747C0EC6"/>
    <w:multiLevelType w:val="hybridMultilevel"/>
    <w:tmpl w:val="DAB040F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74D31029"/>
    <w:multiLevelType w:val="multilevel"/>
    <w:tmpl w:val="355A2150"/>
    <w:lvl w:ilvl="0">
      <w:start w:val="1"/>
      <w:numFmt w:val="decimal"/>
      <w:lvlText w:val="%1."/>
      <w:lvlJc w:val="left"/>
      <w:pPr>
        <w:ind w:left="-349" w:hanging="360"/>
      </w:pPr>
      <w:rPr>
        <w:rFonts w:hint="default"/>
        <w:color w:val="auto"/>
        <w:sz w:val="20"/>
        <w:szCs w:val="20"/>
      </w:rPr>
    </w:lvl>
    <w:lvl w:ilvl="1">
      <w:start w:val="1"/>
      <w:numFmt w:val="decimal"/>
      <w:lvlText w:val="%2."/>
      <w:lvlJc w:val="left"/>
      <w:pPr>
        <w:tabs>
          <w:tab w:val="num" w:pos="425"/>
        </w:tabs>
        <w:ind w:left="425" w:hanging="567"/>
      </w:pPr>
      <w:rPr>
        <w:rFonts w:hint="default"/>
        <w:b/>
        <w:i w:val="0"/>
        <w:color w:val="auto"/>
        <w:sz w:val="20"/>
        <w:szCs w:val="20"/>
      </w:rPr>
    </w:lvl>
    <w:lvl w:ilvl="2">
      <w:start w:val="1"/>
      <w:numFmt w:val="bullet"/>
      <w:lvlText w:val="-"/>
      <w:lvlJc w:val="left"/>
      <w:pPr>
        <w:tabs>
          <w:tab w:val="num" w:pos="992"/>
        </w:tabs>
        <w:ind w:left="992" w:hanging="567"/>
      </w:pPr>
      <w:rPr>
        <w:rFonts w:ascii="Arial" w:hAnsi="Arial" w:hint="default"/>
        <w:color w:val="931638"/>
      </w:rPr>
    </w:lvl>
    <w:lvl w:ilvl="3">
      <w:start w:val="1"/>
      <w:numFmt w:val="decimal"/>
      <w:lvlText w:val="(%4)"/>
      <w:lvlJc w:val="left"/>
      <w:pPr>
        <w:tabs>
          <w:tab w:val="num" w:pos="731"/>
        </w:tabs>
        <w:ind w:left="731" w:hanging="360"/>
      </w:pPr>
      <w:rPr>
        <w:rFonts w:hint="default"/>
      </w:rPr>
    </w:lvl>
    <w:lvl w:ilvl="4">
      <w:start w:val="1"/>
      <w:numFmt w:val="lowerLetter"/>
      <w:lvlText w:val="(%5)"/>
      <w:lvlJc w:val="left"/>
      <w:pPr>
        <w:tabs>
          <w:tab w:val="num" w:pos="1091"/>
        </w:tabs>
        <w:ind w:left="1091" w:hanging="360"/>
      </w:pPr>
      <w:rPr>
        <w:rFonts w:hint="default"/>
      </w:rPr>
    </w:lvl>
    <w:lvl w:ilvl="5">
      <w:start w:val="1"/>
      <w:numFmt w:val="lowerRoman"/>
      <w:lvlText w:val="(%6)"/>
      <w:lvlJc w:val="left"/>
      <w:pPr>
        <w:tabs>
          <w:tab w:val="num" w:pos="1451"/>
        </w:tabs>
        <w:ind w:left="1451" w:hanging="360"/>
      </w:pPr>
      <w:rPr>
        <w:rFonts w:hint="default"/>
      </w:rPr>
    </w:lvl>
    <w:lvl w:ilvl="6">
      <w:start w:val="1"/>
      <w:numFmt w:val="decimal"/>
      <w:lvlText w:val="%7."/>
      <w:lvlJc w:val="left"/>
      <w:pPr>
        <w:tabs>
          <w:tab w:val="num" w:pos="1811"/>
        </w:tabs>
        <w:ind w:left="1811" w:hanging="360"/>
      </w:pPr>
      <w:rPr>
        <w:rFonts w:hint="default"/>
      </w:rPr>
    </w:lvl>
    <w:lvl w:ilvl="7">
      <w:start w:val="1"/>
      <w:numFmt w:val="lowerLetter"/>
      <w:lvlText w:val="%8."/>
      <w:lvlJc w:val="left"/>
      <w:pPr>
        <w:tabs>
          <w:tab w:val="num" w:pos="2171"/>
        </w:tabs>
        <w:ind w:left="2171" w:hanging="360"/>
      </w:pPr>
      <w:rPr>
        <w:rFonts w:hint="default"/>
      </w:rPr>
    </w:lvl>
    <w:lvl w:ilvl="8">
      <w:start w:val="1"/>
      <w:numFmt w:val="lowerRoman"/>
      <w:lvlText w:val="%9."/>
      <w:lvlJc w:val="left"/>
      <w:pPr>
        <w:tabs>
          <w:tab w:val="num" w:pos="2531"/>
        </w:tabs>
        <w:ind w:left="2531" w:hanging="360"/>
      </w:pPr>
      <w:rPr>
        <w:rFonts w:hint="default"/>
      </w:rPr>
    </w:lvl>
  </w:abstractNum>
  <w:abstractNum w:abstractNumId="202" w15:restartNumberingAfterBreak="0">
    <w:nsid w:val="75674859"/>
    <w:multiLevelType w:val="multilevel"/>
    <w:tmpl w:val="8F6C9C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3" w15:restartNumberingAfterBreak="0">
    <w:nsid w:val="75AC186A"/>
    <w:multiLevelType w:val="hybridMultilevel"/>
    <w:tmpl w:val="9A74BB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761A22E8"/>
    <w:multiLevelType w:val="hybridMultilevel"/>
    <w:tmpl w:val="F88C9798"/>
    <w:lvl w:ilvl="0" w:tplc="8B0820AE">
      <w:start w:val="1"/>
      <w:numFmt w:val="lowerLetter"/>
      <w:lvlText w:val="(%1)"/>
      <w:lvlJc w:val="left"/>
      <w:pPr>
        <w:ind w:left="2132" w:hanging="375"/>
      </w:pPr>
    </w:lvl>
    <w:lvl w:ilvl="1" w:tplc="0C090019">
      <w:start w:val="1"/>
      <w:numFmt w:val="lowerLetter"/>
      <w:lvlText w:val="%2."/>
      <w:lvlJc w:val="left"/>
      <w:pPr>
        <w:ind w:left="2837" w:hanging="360"/>
      </w:pPr>
    </w:lvl>
    <w:lvl w:ilvl="2" w:tplc="0C09001B">
      <w:start w:val="1"/>
      <w:numFmt w:val="lowerRoman"/>
      <w:lvlText w:val="%3."/>
      <w:lvlJc w:val="right"/>
      <w:pPr>
        <w:ind w:left="3557" w:hanging="180"/>
      </w:pPr>
    </w:lvl>
    <w:lvl w:ilvl="3" w:tplc="0C09000F">
      <w:start w:val="1"/>
      <w:numFmt w:val="decimal"/>
      <w:lvlText w:val="%4."/>
      <w:lvlJc w:val="left"/>
      <w:pPr>
        <w:ind w:left="4277" w:hanging="360"/>
      </w:pPr>
    </w:lvl>
    <w:lvl w:ilvl="4" w:tplc="0C090019">
      <w:start w:val="1"/>
      <w:numFmt w:val="lowerLetter"/>
      <w:lvlText w:val="%5."/>
      <w:lvlJc w:val="left"/>
      <w:pPr>
        <w:ind w:left="4997" w:hanging="360"/>
      </w:pPr>
    </w:lvl>
    <w:lvl w:ilvl="5" w:tplc="0C09001B">
      <w:start w:val="1"/>
      <w:numFmt w:val="lowerRoman"/>
      <w:lvlText w:val="%6."/>
      <w:lvlJc w:val="right"/>
      <w:pPr>
        <w:ind w:left="5717" w:hanging="180"/>
      </w:pPr>
    </w:lvl>
    <w:lvl w:ilvl="6" w:tplc="0C09000F">
      <w:start w:val="1"/>
      <w:numFmt w:val="decimal"/>
      <w:lvlText w:val="%7."/>
      <w:lvlJc w:val="left"/>
      <w:pPr>
        <w:ind w:left="6437" w:hanging="360"/>
      </w:pPr>
    </w:lvl>
    <w:lvl w:ilvl="7" w:tplc="0C090019">
      <w:start w:val="1"/>
      <w:numFmt w:val="lowerLetter"/>
      <w:lvlText w:val="%8."/>
      <w:lvlJc w:val="left"/>
      <w:pPr>
        <w:ind w:left="7157" w:hanging="360"/>
      </w:pPr>
    </w:lvl>
    <w:lvl w:ilvl="8" w:tplc="0C09001B">
      <w:start w:val="1"/>
      <w:numFmt w:val="lowerRoman"/>
      <w:lvlText w:val="%9."/>
      <w:lvlJc w:val="right"/>
      <w:pPr>
        <w:ind w:left="7877" w:hanging="180"/>
      </w:pPr>
    </w:lvl>
  </w:abstractNum>
  <w:abstractNum w:abstractNumId="205" w15:restartNumberingAfterBreak="0">
    <w:nsid w:val="76394D56"/>
    <w:multiLevelType w:val="hybridMultilevel"/>
    <w:tmpl w:val="1E4A8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7669679F"/>
    <w:multiLevelType w:val="hybridMultilevel"/>
    <w:tmpl w:val="1FA2F4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768B740C"/>
    <w:multiLevelType w:val="hybridMultilevel"/>
    <w:tmpl w:val="831E7D3C"/>
    <w:lvl w:ilvl="0" w:tplc="0C090003">
      <w:start w:val="1"/>
      <w:numFmt w:val="bullet"/>
      <w:lvlText w:val="o"/>
      <w:lvlJc w:val="left"/>
      <w:pPr>
        <w:ind w:left="645" w:hanging="360"/>
      </w:pPr>
      <w:rPr>
        <w:rFonts w:ascii="Courier New" w:hAnsi="Courier New" w:cs="Courier New" w:hint="default"/>
      </w:rPr>
    </w:lvl>
    <w:lvl w:ilvl="1" w:tplc="0C090003" w:tentative="1">
      <w:start w:val="1"/>
      <w:numFmt w:val="bullet"/>
      <w:lvlText w:val="o"/>
      <w:lvlJc w:val="left"/>
      <w:pPr>
        <w:ind w:left="1365" w:hanging="360"/>
      </w:pPr>
      <w:rPr>
        <w:rFonts w:ascii="Courier New" w:hAnsi="Courier New" w:cs="Courier New" w:hint="default"/>
      </w:rPr>
    </w:lvl>
    <w:lvl w:ilvl="2" w:tplc="0C090005" w:tentative="1">
      <w:start w:val="1"/>
      <w:numFmt w:val="bullet"/>
      <w:lvlText w:val=""/>
      <w:lvlJc w:val="left"/>
      <w:pPr>
        <w:ind w:left="2085" w:hanging="360"/>
      </w:pPr>
      <w:rPr>
        <w:rFonts w:ascii="Wingdings" w:hAnsi="Wingdings" w:hint="default"/>
      </w:rPr>
    </w:lvl>
    <w:lvl w:ilvl="3" w:tplc="0C090001" w:tentative="1">
      <w:start w:val="1"/>
      <w:numFmt w:val="bullet"/>
      <w:lvlText w:val=""/>
      <w:lvlJc w:val="left"/>
      <w:pPr>
        <w:ind w:left="2805" w:hanging="360"/>
      </w:pPr>
      <w:rPr>
        <w:rFonts w:ascii="Symbol" w:hAnsi="Symbol" w:hint="default"/>
      </w:rPr>
    </w:lvl>
    <w:lvl w:ilvl="4" w:tplc="0C090003" w:tentative="1">
      <w:start w:val="1"/>
      <w:numFmt w:val="bullet"/>
      <w:lvlText w:val="o"/>
      <w:lvlJc w:val="left"/>
      <w:pPr>
        <w:ind w:left="3525" w:hanging="360"/>
      </w:pPr>
      <w:rPr>
        <w:rFonts w:ascii="Courier New" w:hAnsi="Courier New" w:cs="Courier New" w:hint="default"/>
      </w:rPr>
    </w:lvl>
    <w:lvl w:ilvl="5" w:tplc="0C090005" w:tentative="1">
      <w:start w:val="1"/>
      <w:numFmt w:val="bullet"/>
      <w:lvlText w:val=""/>
      <w:lvlJc w:val="left"/>
      <w:pPr>
        <w:ind w:left="4245" w:hanging="360"/>
      </w:pPr>
      <w:rPr>
        <w:rFonts w:ascii="Wingdings" w:hAnsi="Wingdings" w:hint="default"/>
      </w:rPr>
    </w:lvl>
    <w:lvl w:ilvl="6" w:tplc="0C090001" w:tentative="1">
      <w:start w:val="1"/>
      <w:numFmt w:val="bullet"/>
      <w:lvlText w:val=""/>
      <w:lvlJc w:val="left"/>
      <w:pPr>
        <w:ind w:left="4965" w:hanging="360"/>
      </w:pPr>
      <w:rPr>
        <w:rFonts w:ascii="Symbol" w:hAnsi="Symbol" w:hint="default"/>
      </w:rPr>
    </w:lvl>
    <w:lvl w:ilvl="7" w:tplc="0C090003" w:tentative="1">
      <w:start w:val="1"/>
      <w:numFmt w:val="bullet"/>
      <w:lvlText w:val="o"/>
      <w:lvlJc w:val="left"/>
      <w:pPr>
        <w:ind w:left="5685" w:hanging="360"/>
      </w:pPr>
      <w:rPr>
        <w:rFonts w:ascii="Courier New" w:hAnsi="Courier New" w:cs="Courier New" w:hint="default"/>
      </w:rPr>
    </w:lvl>
    <w:lvl w:ilvl="8" w:tplc="0C090005" w:tentative="1">
      <w:start w:val="1"/>
      <w:numFmt w:val="bullet"/>
      <w:lvlText w:val=""/>
      <w:lvlJc w:val="left"/>
      <w:pPr>
        <w:ind w:left="6405" w:hanging="360"/>
      </w:pPr>
      <w:rPr>
        <w:rFonts w:ascii="Wingdings" w:hAnsi="Wingdings" w:hint="default"/>
      </w:rPr>
    </w:lvl>
  </w:abstractNum>
  <w:abstractNum w:abstractNumId="208" w15:restartNumberingAfterBreak="0">
    <w:nsid w:val="76986DE1"/>
    <w:multiLevelType w:val="multilevel"/>
    <w:tmpl w:val="8E9090D8"/>
    <w:lvl w:ilvl="0">
      <w:start w:val="1"/>
      <w:numFmt w:val="decimal"/>
      <w:pStyle w:val="Appendixhead3"/>
      <w:lvlText w:val="%1"/>
      <w:lvlJc w:val="left"/>
      <w:pPr>
        <w:ind w:left="432" w:hanging="432"/>
      </w:pPr>
    </w:lvl>
    <w:lvl w:ilvl="1">
      <w:start w:val="1"/>
      <w:numFmt w:val="decimal"/>
      <w:lvlText w:val="%1.%2"/>
      <w:lvlJc w:val="left"/>
      <w:pPr>
        <w:ind w:left="576" w:hanging="576"/>
      </w:pPr>
    </w:lvl>
    <w:lvl w:ilvl="2">
      <w:start w:val="1"/>
      <w:numFmt w:val="decimal"/>
      <w:pStyle w:val="Appendixhead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9" w15:restartNumberingAfterBreak="0">
    <w:nsid w:val="77316DC5"/>
    <w:multiLevelType w:val="hybridMultilevel"/>
    <w:tmpl w:val="68CA9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1">
      <w:start w:val="1"/>
      <w:numFmt w:val="bullet"/>
      <w:lvlText w:val=""/>
      <w:lvlJc w:val="left"/>
      <w:pPr>
        <w:ind w:left="1800" w:hanging="360"/>
      </w:pPr>
      <w:rPr>
        <w:rFonts w:ascii="Symbol" w:hAnsi="Symbol" w:hint="default"/>
      </w:rPr>
    </w:lvl>
    <w:lvl w:ilvl="4" w:tplc="0C090003">
      <w:start w:val="1"/>
      <w:numFmt w:val="bullet"/>
      <w:lvlText w:val="o"/>
      <w:lvlJc w:val="left"/>
      <w:pPr>
        <w:ind w:left="2520" w:hanging="360"/>
      </w:pPr>
      <w:rPr>
        <w:rFonts w:ascii="Courier New" w:hAnsi="Courier New" w:cs="Courier New" w:hint="default"/>
      </w:rPr>
    </w:lvl>
    <w:lvl w:ilvl="5" w:tplc="0C090005">
      <w:start w:val="1"/>
      <w:numFmt w:val="bullet"/>
      <w:lvlText w:val=""/>
      <w:lvlJc w:val="left"/>
      <w:pPr>
        <w:ind w:left="3240" w:hanging="360"/>
      </w:pPr>
      <w:rPr>
        <w:rFonts w:ascii="Wingdings" w:hAnsi="Wingdings" w:hint="default"/>
      </w:rPr>
    </w:lvl>
    <w:lvl w:ilvl="6" w:tplc="0C090001">
      <w:start w:val="1"/>
      <w:numFmt w:val="bullet"/>
      <w:lvlText w:val=""/>
      <w:lvlJc w:val="left"/>
      <w:pPr>
        <w:ind w:left="3960" w:hanging="360"/>
      </w:pPr>
      <w:rPr>
        <w:rFonts w:ascii="Symbol" w:hAnsi="Symbol" w:hint="default"/>
      </w:rPr>
    </w:lvl>
    <w:lvl w:ilvl="7" w:tplc="0C090003">
      <w:start w:val="1"/>
      <w:numFmt w:val="bullet"/>
      <w:lvlText w:val="o"/>
      <w:lvlJc w:val="left"/>
      <w:pPr>
        <w:ind w:left="4680" w:hanging="360"/>
      </w:pPr>
      <w:rPr>
        <w:rFonts w:ascii="Courier New" w:hAnsi="Courier New" w:cs="Courier New" w:hint="default"/>
      </w:rPr>
    </w:lvl>
    <w:lvl w:ilvl="8" w:tplc="0C090005">
      <w:start w:val="1"/>
      <w:numFmt w:val="bullet"/>
      <w:lvlText w:val=""/>
      <w:lvlJc w:val="left"/>
      <w:pPr>
        <w:ind w:left="5400" w:hanging="360"/>
      </w:pPr>
      <w:rPr>
        <w:rFonts w:ascii="Wingdings" w:hAnsi="Wingdings" w:hint="default"/>
      </w:rPr>
    </w:lvl>
  </w:abstractNum>
  <w:abstractNum w:abstractNumId="210" w15:restartNumberingAfterBreak="0">
    <w:nsid w:val="77C76DA8"/>
    <w:multiLevelType w:val="hybridMultilevel"/>
    <w:tmpl w:val="47946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1" w15:restartNumberingAfterBreak="0">
    <w:nsid w:val="78D6799D"/>
    <w:multiLevelType w:val="hybridMultilevel"/>
    <w:tmpl w:val="AD2C1812"/>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12" w15:restartNumberingAfterBreak="0">
    <w:nsid w:val="796D0F44"/>
    <w:multiLevelType w:val="hybridMultilevel"/>
    <w:tmpl w:val="9432B9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79BF5770"/>
    <w:multiLevelType w:val="hybridMultilevel"/>
    <w:tmpl w:val="6EF2C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7A107EF7"/>
    <w:multiLevelType w:val="hybridMultilevel"/>
    <w:tmpl w:val="E132EB86"/>
    <w:lvl w:ilvl="0" w:tplc="0C090001">
      <w:start w:val="1"/>
      <w:numFmt w:val="bullet"/>
      <w:lvlText w:val=""/>
      <w:lvlJc w:val="left"/>
      <w:pPr>
        <w:ind w:left="360" w:hanging="360"/>
      </w:pPr>
      <w:rPr>
        <w:rFonts w:ascii="Symbol" w:hAnsi="Symbol" w:hint="default"/>
      </w:rPr>
    </w:lvl>
    <w:lvl w:ilvl="1" w:tplc="E87EBBE2">
      <w:start w:val="1"/>
      <w:numFmt w:val="bullet"/>
      <w:lvlText w:val="­"/>
      <w:lvlJc w:val="left"/>
      <w:pPr>
        <w:ind w:left="1080" w:hanging="360"/>
      </w:pPr>
      <w:rPr>
        <w:rFonts w:ascii="Courier New" w:hAnsi="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5" w15:restartNumberingAfterBreak="0">
    <w:nsid w:val="7A4D36A3"/>
    <w:multiLevelType w:val="hybridMultilevel"/>
    <w:tmpl w:val="18A6E406"/>
    <w:lvl w:ilvl="0" w:tplc="0C090001">
      <w:start w:val="1"/>
      <w:numFmt w:val="bullet"/>
      <w:lvlText w:val=""/>
      <w:lvlJc w:val="left"/>
      <w:pPr>
        <w:ind w:left="720" w:hanging="360"/>
      </w:pPr>
      <w:rPr>
        <w:rFonts w:ascii="Symbol" w:hAnsi="Symbol" w:hint="default"/>
        <w:i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6" w15:restartNumberingAfterBreak="0">
    <w:nsid w:val="7A5D1DD9"/>
    <w:multiLevelType w:val="hybridMultilevel"/>
    <w:tmpl w:val="7DA48044"/>
    <w:lvl w:ilvl="0" w:tplc="1ACE96F0">
      <w:start w:val="1"/>
      <w:numFmt w:val="bullet"/>
      <w:lvlText w:val=""/>
      <w:lvlJc w:val="left"/>
      <w:pPr>
        <w:ind w:left="720" w:hanging="360"/>
      </w:pPr>
      <w:rPr>
        <w:rFonts w:ascii="Symbol" w:hAnsi="Symbol" w:hint="default"/>
      </w:rPr>
    </w:lvl>
    <w:lvl w:ilvl="1" w:tplc="E6F878CE">
      <w:start w:val="1"/>
      <w:numFmt w:val="bullet"/>
      <w:lvlText w:val="o"/>
      <w:lvlJc w:val="left"/>
      <w:pPr>
        <w:ind w:left="1440" w:hanging="360"/>
      </w:pPr>
      <w:rPr>
        <w:rFonts w:ascii="Courier New" w:hAnsi="Courier New" w:cs="Times New Roman" w:hint="default"/>
      </w:rPr>
    </w:lvl>
    <w:lvl w:ilvl="2" w:tplc="0298C6DC">
      <w:start w:val="1"/>
      <w:numFmt w:val="bullet"/>
      <w:lvlText w:val=""/>
      <w:lvlJc w:val="left"/>
      <w:pPr>
        <w:ind w:left="2160" w:hanging="360"/>
      </w:pPr>
      <w:rPr>
        <w:rFonts w:ascii="Wingdings" w:hAnsi="Wingdings" w:hint="default"/>
      </w:rPr>
    </w:lvl>
    <w:lvl w:ilvl="3" w:tplc="8B4E9D6C">
      <w:start w:val="1"/>
      <w:numFmt w:val="bullet"/>
      <w:lvlText w:val=""/>
      <w:lvlJc w:val="left"/>
      <w:pPr>
        <w:ind w:left="2880" w:hanging="360"/>
      </w:pPr>
      <w:rPr>
        <w:rFonts w:ascii="Symbol" w:hAnsi="Symbol" w:hint="default"/>
      </w:rPr>
    </w:lvl>
    <w:lvl w:ilvl="4" w:tplc="C07C00B4">
      <w:start w:val="1"/>
      <w:numFmt w:val="bullet"/>
      <w:lvlText w:val="o"/>
      <w:lvlJc w:val="left"/>
      <w:pPr>
        <w:ind w:left="3600" w:hanging="360"/>
      </w:pPr>
      <w:rPr>
        <w:rFonts w:ascii="Courier New" w:hAnsi="Courier New" w:cs="Times New Roman" w:hint="default"/>
      </w:rPr>
    </w:lvl>
    <w:lvl w:ilvl="5" w:tplc="7C6817A4">
      <w:start w:val="1"/>
      <w:numFmt w:val="bullet"/>
      <w:lvlText w:val=""/>
      <w:lvlJc w:val="left"/>
      <w:pPr>
        <w:ind w:left="4320" w:hanging="360"/>
      </w:pPr>
      <w:rPr>
        <w:rFonts w:ascii="Wingdings" w:hAnsi="Wingdings" w:hint="default"/>
      </w:rPr>
    </w:lvl>
    <w:lvl w:ilvl="6" w:tplc="41CEF834">
      <w:start w:val="1"/>
      <w:numFmt w:val="bullet"/>
      <w:lvlText w:val=""/>
      <w:lvlJc w:val="left"/>
      <w:pPr>
        <w:ind w:left="5040" w:hanging="360"/>
      </w:pPr>
      <w:rPr>
        <w:rFonts w:ascii="Symbol" w:hAnsi="Symbol" w:hint="default"/>
      </w:rPr>
    </w:lvl>
    <w:lvl w:ilvl="7" w:tplc="AA7CEC1E">
      <w:start w:val="1"/>
      <w:numFmt w:val="bullet"/>
      <w:lvlText w:val="o"/>
      <w:lvlJc w:val="left"/>
      <w:pPr>
        <w:ind w:left="5760" w:hanging="360"/>
      </w:pPr>
      <w:rPr>
        <w:rFonts w:ascii="Courier New" w:hAnsi="Courier New" w:cs="Times New Roman" w:hint="default"/>
      </w:rPr>
    </w:lvl>
    <w:lvl w:ilvl="8" w:tplc="DBBAF25E">
      <w:start w:val="1"/>
      <w:numFmt w:val="bullet"/>
      <w:lvlText w:val=""/>
      <w:lvlJc w:val="left"/>
      <w:pPr>
        <w:ind w:left="6480" w:hanging="360"/>
      </w:pPr>
      <w:rPr>
        <w:rFonts w:ascii="Wingdings" w:hAnsi="Wingdings" w:hint="default"/>
      </w:rPr>
    </w:lvl>
  </w:abstractNum>
  <w:abstractNum w:abstractNumId="217" w15:restartNumberingAfterBreak="0">
    <w:nsid w:val="7ACB044E"/>
    <w:multiLevelType w:val="hybridMultilevel"/>
    <w:tmpl w:val="9202F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7C1A3EBF"/>
    <w:multiLevelType w:val="hybridMultilevel"/>
    <w:tmpl w:val="3A229FF2"/>
    <w:lvl w:ilvl="0" w:tplc="0C090001">
      <w:start w:val="1"/>
      <w:numFmt w:val="bullet"/>
      <w:lvlText w:val=""/>
      <w:lvlJc w:val="left"/>
      <w:pPr>
        <w:ind w:left="2514" w:hanging="360"/>
      </w:pPr>
      <w:rPr>
        <w:rFonts w:ascii="Symbol" w:hAnsi="Symbol" w:hint="default"/>
      </w:rPr>
    </w:lvl>
    <w:lvl w:ilvl="1" w:tplc="0C090003" w:tentative="1">
      <w:start w:val="1"/>
      <w:numFmt w:val="bullet"/>
      <w:lvlText w:val="o"/>
      <w:lvlJc w:val="left"/>
      <w:pPr>
        <w:ind w:left="3234" w:hanging="360"/>
      </w:pPr>
      <w:rPr>
        <w:rFonts w:ascii="Courier New" w:hAnsi="Courier New" w:cs="Courier New" w:hint="default"/>
      </w:rPr>
    </w:lvl>
    <w:lvl w:ilvl="2" w:tplc="0C090005" w:tentative="1">
      <w:start w:val="1"/>
      <w:numFmt w:val="bullet"/>
      <w:lvlText w:val=""/>
      <w:lvlJc w:val="left"/>
      <w:pPr>
        <w:ind w:left="3954" w:hanging="360"/>
      </w:pPr>
      <w:rPr>
        <w:rFonts w:ascii="Wingdings" w:hAnsi="Wingdings" w:hint="default"/>
      </w:rPr>
    </w:lvl>
    <w:lvl w:ilvl="3" w:tplc="0C090001" w:tentative="1">
      <w:start w:val="1"/>
      <w:numFmt w:val="bullet"/>
      <w:lvlText w:val=""/>
      <w:lvlJc w:val="left"/>
      <w:pPr>
        <w:ind w:left="4674" w:hanging="360"/>
      </w:pPr>
      <w:rPr>
        <w:rFonts w:ascii="Symbol" w:hAnsi="Symbol" w:hint="default"/>
      </w:rPr>
    </w:lvl>
    <w:lvl w:ilvl="4" w:tplc="0C090003" w:tentative="1">
      <w:start w:val="1"/>
      <w:numFmt w:val="bullet"/>
      <w:lvlText w:val="o"/>
      <w:lvlJc w:val="left"/>
      <w:pPr>
        <w:ind w:left="5394" w:hanging="360"/>
      </w:pPr>
      <w:rPr>
        <w:rFonts w:ascii="Courier New" w:hAnsi="Courier New" w:cs="Courier New" w:hint="default"/>
      </w:rPr>
    </w:lvl>
    <w:lvl w:ilvl="5" w:tplc="0C090005" w:tentative="1">
      <w:start w:val="1"/>
      <w:numFmt w:val="bullet"/>
      <w:lvlText w:val=""/>
      <w:lvlJc w:val="left"/>
      <w:pPr>
        <w:ind w:left="6114" w:hanging="360"/>
      </w:pPr>
      <w:rPr>
        <w:rFonts w:ascii="Wingdings" w:hAnsi="Wingdings" w:hint="default"/>
      </w:rPr>
    </w:lvl>
    <w:lvl w:ilvl="6" w:tplc="0C090001" w:tentative="1">
      <w:start w:val="1"/>
      <w:numFmt w:val="bullet"/>
      <w:lvlText w:val=""/>
      <w:lvlJc w:val="left"/>
      <w:pPr>
        <w:ind w:left="6834" w:hanging="360"/>
      </w:pPr>
      <w:rPr>
        <w:rFonts w:ascii="Symbol" w:hAnsi="Symbol" w:hint="default"/>
      </w:rPr>
    </w:lvl>
    <w:lvl w:ilvl="7" w:tplc="0C090003" w:tentative="1">
      <w:start w:val="1"/>
      <w:numFmt w:val="bullet"/>
      <w:lvlText w:val="o"/>
      <w:lvlJc w:val="left"/>
      <w:pPr>
        <w:ind w:left="7554" w:hanging="360"/>
      </w:pPr>
      <w:rPr>
        <w:rFonts w:ascii="Courier New" w:hAnsi="Courier New" w:cs="Courier New" w:hint="default"/>
      </w:rPr>
    </w:lvl>
    <w:lvl w:ilvl="8" w:tplc="0C090005" w:tentative="1">
      <w:start w:val="1"/>
      <w:numFmt w:val="bullet"/>
      <w:lvlText w:val=""/>
      <w:lvlJc w:val="left"/>
      <w:pPr>
        <w:ind w:left="8274" w:hanging="360"/>
      </w:pPr>
      <w:rPr>
        <w:rFonts w:ascii="Wingdings" w:hAnsi="Wingdings" w:hint="default"/>
      </w:rPr>
    </w:lvl>
  </w:abstractNum>
  <w:abstractNum w:abstractNumId="219" w15:restartNumberingAfterBreak="0">
    <w:nsid w:val="7E3465AE"/>
    <w:multiLevelType w:val="hybridMultilevel"/>
    <w:tmpl w:val="1E120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0" w15:restartNumberingAfterBreak="0">
    <w:nsid w:val="7EE72B60"/>
    <w:multiLevelType w:val="hybridMultilevel"/>
    <w:tmpl w:val="670CC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0"/>
  </w:num>
  <w:num w:numId="2">
    <w:abstractNumId w:val="2"/>
  </w:num>
  <w:num w:numId="3">
    <w:abstractNumId w:val="1"/>
  </w:num>
  <w:num w:numId="4">
    <w:abstractNumId w:val="0"/>
  </w:num>
  <w:num w:numId="5">
    <w:abstractNumId w:val="121"/>
  </w:num>
  <w:num w:numId="6">
    <w:abstractNumId w:val="119"/>
  </w:num>
  <w:num w:numId="7">
    <w:abstractNumId w:val="167"/>
  </w:num>
  <w:num w:numId="8">
    <w:abstractNumId w:val="36"/>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47"/>
  </w:num>
  <w:num w:numId="12">
    <w:abstractNumId w:val="217"/>
  </w:num>
  <w:num w:numId="13">
    <w:abstractNumId w:val="77"/>
  </w:num>
  <w:num w:numId="14">
    <w:abstractNumId w:val="201"/>
  </w:num>
  <w:num w:numId="15">
    <w:abstractNumId w:val="218"/>
  </w:num>
  <w:num w:numId="16">
    <w:abstractNumId w:val="97"/>
  </w:num>
  <w:num w:numId="17">
    <w:abstractNumId w:val="113"/>
  </w:num>
  <w:num w:numId="18">
    <w:abstractNumId w:val="175"/>
  </w:num>
  <w:num w:numId="19">
    <w:abstractNumId w:val="42"/>
  </w:num>
  <w:num w:numId="20">
    <w:abstractNumId w:val="126"/>
  </w:num>
  <w:num w:numId="21">
    <w:abstractNumId w:val="171"/>
  </w:num>
  <w:num w:numId="22">
    <w:abstractNumId w:val="44"/>
  </w:num>
  <w:num w:numId="23">
    <w:abstractNumId w:val="159"/>
  </w:num>
  <w:num w:numId="24">
    <w:abstractNumId w:val="111"/>
  </w:num>
  <w:num w:numId="25">
    <w:abstractNumId w:val="53"/>
  </w:num>
  <w:num w:numId="26">
    <w:abstractNumId w:val="61"/>
  </w:num>
  <w:num w:numId="27">
    <w:abstractNumId w:val="134"/>
  </w:num>
  <w:num w:numId="28">
    <w:abstractNumId w:val="189"/>
  </w:num>
  <w:num w:numId="29">
    <w:abstractNumId w:val="157"/>
  </w:num>
  <w:num w:numId="30">
    <w:abstractNumId w:val="182"/>
  </w:num>
  <w:num w:numId="31">
    <w:abstractNumId w:val="12"/>
  </w:num>
  <w:num w:numId="32">
    <w:abstractNumId w:val="39"/>
  </w:num>
  <w:num w:numId="33">
    <w:abstractNumId w:val="196"/>
  </w:num>
  <w:num w:numId="34">
    <w:abstractNumId w:val="9"/>
  </w:num>
  <w:num w:numId="35">
    <w:abstractNumId w:val="177"/>
  </w:num>
  <w:num w:numId="36">
    <w:abstractNumId w:val="85"/>
  </w:num>
  <w:num w:numId="37">
    <w:abstractNumId w:val="49"/>
  </w:num>
  <w:num w:numId="38">
    <w:abstractNumId w:val="156"/>
  </w:num>
  <w:num w:numId="39">
    <w:abstractNumId w:val="187"/>
  </w:num>
  <w:num w:numId="40">
    <w:abstractNumId w:val="21"/>
  </w:num>
  <w:num w:numId="41">
    <w:abstractNumId w:val="41"/>
  </w:num>
  <w:num w:numId="42">
    <w:abstractNumId w:val="205"/>
  </w:num>
  <w:num w:numId="43">
    <w:abstractNumId w:val="59"/>
  </w:num>
  <w:num w:numId="44">
    <w:abstractNumId w:val="173"/>
  </w:num>
  <w:num w:numId="45">
    <w:abstractNumId w:val="68"/>
  </w:num>
  <w:num w:numId="46">
    <w:abstractNumId w:val="206"/>
  </w:num>
  <w:num w:numId="47">
    <w:abstractNumId w:val="88"/>
  </w:num>
  <w:num w:numId="48">
    <w:abstractNumId w:val="214"/>
  </w:num>
  <w:num w:numId="49">
    <w:abstractNumId w:val="142"/>
  </w:num>
  <w:num w:numId="50">
    <w:abstractNumId w:val="170"/>
  </w:num>
  <w:num w:numId="51">
    <w:abstractNumId w:val="19"/>
  </w:num>
  <w:num w:numId="52">
    <w:abstractNumId w:val="82"/>
  </w:num>
  <w:num w:numId="53">
    <w:abstractNumId w:val="178"/>
  </w:num>
  <w:num w:numId="54">
    <w:abstractNumId w:val="34"/>
  </w:num>
  <w:num w:numId="55">
    <w:abstractNumId w:val="43"/>
  </w:num>
  <w:num w:numId="56">
    <w:abstractNumId w:val="216"/>
  </w:num>
  <w:num w:numId="57">
    <w:abstractNumId w:val="4"/>
  </w:num>
  <w:num w:numId="58">
    <w:abstractNumId w:val="58"/>
  </w:num>
  <w:num w:numId="59">
    <w:abstractNumId w:val="94"/>
  </w:num>
  <w:num w:numId="60">
    <w:abstractNumId w:val="54"/>
  </w:num>
  <w:num w:numId="61">
    <w:abstractNumId w:val="110"/>
  </w:num>
  <w:num w:numId="62">
    <w:abstractNumId w:val="99"/>
  </w:num>
  <w:num w:numId="63">
    <w:abstractNumId w:val="203"/>
  </w:num>
  <w:num w:numId="64">
    <w:abstractNumId w:val="151"/>
  </w:num>
  <w:num w:numId="65">
    <w:abstractNumId w:val="180"/>
  </w:num>
  <w:num w:numId="66">
    <w:abstractNumId w:val="23"/>
  </w:num>
  <w:num w:numId="67">
    <w:abstractNumId w:val="25"/>
  </w:num>
  <w:num w:numId="68">
    <w:abstractNumId w:val="143"/>
  </w:num>
  <w:num w:numId="69">
    <w:abstractNumId w:val="122"/>
  </w:num>
  <w:num w:numId="70">
    <w:abstractNumId w:val="137"/>
  </w:num>
  <w:num w:numId="71">
    <w:abstractNumId w:val="128"/>
  </w:num>
  <w:num w:numId="72">
    <w:abstractNumId w:val="168"/>
  </w:num>
  <w:num w:numId="73">
    <w:abstractNumId w:val="132"/>
  </w:num>
  <w:num w:numId="74">
    <w:abstractNumId w:val="101"/>
  </w:num>
  <w:num w:numId="75">
    <w:abstractNumId w:val="169"/>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0"/>
  </w:num>
  <w:num w:numId="79">
    <w:abstractNumId w:val="194"/>
  </w:num>
  <w:num w:numId="80">
    <w:abstractNumId w:val="98"/>
  </w:num>
  <w:num w:numId="81">
    <w:abstractNumId w:val="32"/>
  </w:num>
  <w:num w:numId="82">
    <w:abstractNumId w:val="109"/>
  </w:num>
  <w:num w:numId="83">
    <w:abstractNumId w:val="99"/>
  </w:num>
  <w:num w:numId="84">
    <w:abstractNumId w:val="61"/>
  </w:num>
  <w:num w:numId="85">
    <w:abstractNumId w:val="6"/>
  </w:num>
  <w:num w:numId="86">
    <w:abstractNumId w:val="37"/>
  </w:num>
  <w:num w:numId="87">
    <w:abstractNumId w:val="87"/>
  </w:num>
  <w:num w:numId="88">
    <w:abstractNumId w:val="210"/>
  </w:num>
  <w:num w:numId="89">
    <w:abstractNumId w:val="209"/>
  </w:num>
  <w:num w:numId="90">
    <w:abstractNumId w:val="116"/>
  </w:num>
  <w:num w:numId="91">
    <w:abstractNumId w:val="188"/>
  </w:num>
  <w:num w:numId="92">
    <w:abstractNumId w:val="60"/>
  </w:num>
  <w:num w:numId="93">
    <w:abstractNumId w:val="103"/>
  </w:num>
  <w:num w:numId="94">
    <w:abstractNumId w:val="174"/>
  </w:num>
  <w:num w:numId="95">
    <w:abstractNumId w:val="15"/>
  </w:num>
  <w:num w:numId="96">
    <w:abstractNumId w:val="24"/>
  </w:num>
  <w:num w:numId="97">
    <w:abstractNumId w:val="138"/>
  </w:num>
  <w:num w:numId="98">
    <w:abstractNumId w:val="96"/>
  </w:num>
  <w:num w:numId="99">
    <w:abstractNumId w:val="92"/>
  </w:num>
  <w:num w:numId="100">
    <w:abstractNumId w:val="163"/>
  </w:num>
  <w:num w:numId="101">
    <w:abstractNumId w:val="75"/>
  </w:num>
  <w:num w:numId="102">
    <w:abstractNumId w:val="161"/>
  </w:num>
  <w:num w:numId="103">
    <w:abstractNumId w:val="33"/>
  </w:num>
  <w:num w:numId="104">
    <w:abstractNumId w:val="1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99"/>
  </w:num>
  <w:num w:numId="10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num>
  <w:num w:numId="109">
    <w:abstractNumId w:val="115"/>
  </w:num>
  <w:num w:numId="110">
    <w:abstractNumId w:val="99"/>
  </w:num>
  <w:num w:numId="111">
    <w:abstractNumId w:val="82"/>
    <w:lvlOverride w:ilvl="0">
      <w:startOverride w:val="2"/>
    </w:lvlOverride>
    <w:lvlOverride w:ilvl="1">
      <w:startOverride w:val="1"/>
    </w:lvlOverride>
  </w:num>
  <w:num w:numId="11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08"/>
  </w:num>
  <w:num w:numId="115">
    <w:abstractNumId w:val="85"/>
  </w:num>
  <w:num w:numId="116">
    <w:abstractNumId w:val="95"/>
  </w:num>
  <w:num w:numId="117">
    <w:abstractNumId w:val="162"/>
  </w:num>
  <w:num w:numId="118">
    <w:abstractNumId w:val="46"/>
  </w:num>
  <w:num w:numId="119">
    <w:abstractNumId w:val="117"/>
  </w:num>
  <w:num w:numId="120">
    <w:abstractNumId w:val="90"/>
  </w:num>
  <w:num w:numId="121">
    <w:abstractNumId w:val="57"/>
  </w:num>
  <w:num w:numId="122">
    <w:abstractNumId w:val="197"/>
  </w:num>
  <w:num w:numId="123">
    <w:abstractNumId w:val="152"/>
  </w:num>
  <w:num w:numId="124">
    <w:abstractNumId w:val="50"/>
  </w:num>
  <w:num w:numId="125">
    <w:abstractNumId w:val="16"/>
  </w:num>
  <w:num w:numId="126">
    <w:abstractNumId w:val="55"/>
  </w:num>
  <w:num w:numId="127">
    <w:abstractNumId w:val="191"/>
  </w:num>
  <w:num w:numId="128">
    <w:abstractNumId w:val="106"/>
  </w:num>
  <w:num w:numId="129">
    <w:abstractNumId w:val="78"/>
  </w:num>
  <w:num w:numId="130">
    <w:abstractNumId w:val="89"/>
  </w:num>
  <w:num w:numId="131">
    <w:abstractNumId w:val="112"/>
  </w:num>
  <w:num w:numId="132">
    <w:abstractNumId w:val="46"/>
  </w:num>
  <w:num w:numId="133">
    <w:abstractNumId w:val="93"/>
  </w:num>
  <w:num w:numId="134">
    <w:abstractNumId w:val="46"/>
  </w:num>
  <w:num w:numId="135">
    <w:abstractNumId w:val="46"/>
  </w:num>
  <w:num w:numId="136">
    <w:abstractNumId w:val="46"/>
  </w:num>
  <w:num w:numId="137">
    <w:abstractNumId w:val="46"/>
  </w:num>
  <w:num w:numId="138">
    <w:abstractNumId w:val="166"/>
  </w:num>
  <w:num w:numId="139">
    <w:abstractNumId w:val="108"/>
  </w:num>
  <w:num w:numId="140">
    <w:abstractNumId w:val="107"/>
  </w:num>
  <w:num w:numId="141">
    <w:abstractNumId w:val="195"/>
  </w:num>
  <w:num w:numId="142">
    <w:abstractNumId w:val="91"/>
  </w:num>
  <w:num w:numId="143">
    <w:abstractNumId w:val="70"/>
  </w:num>
  <w:num w:numId="144">
    <w:abstractNumId w:val="13"/>
  </w:num>
  <w:num w:numId="145">
    <w:abstractNumId w:val="149"/>
  </w:num>
  <w:num w:numId="146">
    <w:abstractNumId w:val="46"/>
  </w:num>
  <w:num w:numId="147">
    <w:abstractNumId w:val="46"/>
  </w:num>
  <w:num w:numId="148">
    <w:abstractNumId w:val="46"/>
  </w:num>
  <w:num w:numId="14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6"/>
  </w:num>
  <w:num w:numId="1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6"/>
  </w:num>
  <w:num w:numId="156">
    <w:abstractNumId w:val="4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3"/>
  </w:num>
  <w:num w:numId="158">
    <w:abstractNumId w:val="100"/>
  </w:num>
  <w:num w:numId="159">
    <w:abstractNumId w:val="144"/>
  </w:num>
  <w:num w:numId="160">
    <w:abstractNumId w:val="7"/>
  </w:num>
  <w:num w:numId="161">
    <w:abstractNumId w:val="135"/>
  </w:num>
  <w:num w:numId="162">
    <w:abstractNumId w:val="28"/>
  </w:num>
  <w:num w:numId="163">
    <w:abstractNumId w:val="181"/>
  </w:num>
  <w:num w:numId="164">
    <w:abstractNumId w:val="64"/>
  </w:num>
  <w:num w:numId="165">
    <w:abstractNumId w:val="219"/>
  </w:num>
  <w:num w:numId="166">
    <w:abstractNumId w:val="52"/>
  </w:num>
  <w:num w:numId="167">
    <w:abstractNumId w:val="193"/>
  </w:num>
  <w:num w:numId="168">
    <w:abstractNumId w:val="140"/>
  </w:num>
  <w:num w:numId="169">
    <w:abstractNumId w:val="179"/>
  </w:num>
  <w:num w:numId="170">
    <w:abstractNumId w:val="8"/>
  </w:num>
  <w:num w:numId="171">
    <w:abstractNumId w:val="17"/>
  </w:num>
  <w:num w:numId="172">
    <w:abstractNumId w:val="46"/>
  </w:num>
  <w:num w:numId="173">
    <w:abstractNumId w:val="155"/>
  </w:num>
  <w:num w:numId="174">
    <w:abstractNumId w:val="27"/>
  </w:num>
  <w:num w:numId="175">
    <w:abstractNumId w:val="145"/>
  </w:num>
  <w:num w:numId="176">
    <w:abstractNumId w:val="46"/>
  </w:num>
  <w:num w:numId="177">
    <w:abstractNumId w:val="213"/>
  </w:num>
  <w:num w:numId="178">
    <w:abstractNumId w:val="146"/>
  </w:num>
  <w:num w:numId="179">
    <w:abstractNumId w:val="46"/>
  </w:num>
  <w:num w:numId="180">
    <w:abstractNumId w:val="165"/>
  </w:num>
  <w:num w:numId="181">
    <w:abstractNumId w:val="164"/>
  </w:num>
  <w:num w:numId="182">
    <w:abstractNumId w:val="26"/>
  </w:num>
  <w:num w:numId="183">
    <w:abstractNumId w:val="30"/>
  </w:num>
  <w:num w:numId="184">
    <w:abstractNumId w:val="67"/>
  </w:num>
  <w:num w:numId="185">
    <w:abstractNumId w:val="120"/>
  </w:num>
  <w:num w:numId="1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6"/>
  </w:num>
  <w:num w:numId="188">
    <w:abstractNumId w:val="79"/>
  </w:num>
  <w:num w:numId="189">
    <w:abstractNumId w:val="38"/>
  </w:num>
  <w:num w:numId="190">
    <w:abstractNumId w:val="79"/>
  </w:num>
  <w:num w:numId="191">
    <w:abstractNumId w:val="198"/>
  </w:num>
  <w:num w:numId="192">
    <w:abstractNumId w:val="127"/>
  </w:num>
  <w:num w:numId="193">
    <w:abstractNumId w:val="186"/>
  </w:num>
  <w:num w:numId="194">
    <w:abstractNumId w:val="141"/>
  </w:num>
  <w:num w:numId="195">
    <w:abstractNumId w:val="147"/>
  </w:num>
  <w:num w:numId="19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3"/>
  </w:num>
  <w:num w:numId="199">
    <w:abstractNumId w:val="104"/>
  </w:num>
  <w:num w:numId="200">
    <w:abstractNumId w:val="176"/>
  </w:num>
  <w:num w:numId="201">
    <w:abstractNumId w:val="10"/>
  </w:num>
  <w:num w:numId="202">
    <w:abstractNumId w:val="1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02"/>
  </w:num>
  <w:num w:numId="204">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83"/>
  </w:num>
  <w:num w:numId="20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
  </w:num>
  <w:num w:numId="208">
    <w:abstractNumId w:val="125"/>
  </w:num>
  <w:num w:numId="209">
    <w:abstractNumId w:val="198"/>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2"/>
  </w:num>
  <w:num w:numId="211">
    <w:abstractNumId w:val="81"/>
  </w:num>
  <w:num w:numId="21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
  </w:num>
  <w:num w:numId="215">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5"/>
  </w:num>
  <w:num w:numId="217">
    <w:abstractNumId w:val="69"/>
    <w:lvlOverride w:ilvl="0">
      <w:startOverride w:val="1"/>
    </w:lvlOverride>
  </w:num>
  <w:num w:numId="218">
    <w:abstractNumId w:val="62"/>
  </w:num>
  <w:num w:numId="219">
    <w:abstractNumId w:val="29"/>
  </w:num>
  <w:num w:numId="220">
    <w:abstractNumId w:val="190"/>
  </w:num>
  <w:num w:numId="221">
    <w:abstractNumId w:val="139"/>
  </w:num>
  <w:num w:numId="222">
    <w:abstractNumId w:val="71"/>
  </w:num>
  <w:num w:numId="223">
    <w:abstractNumId w:val="66"/>
  </w:num>
  <w:num w:numId="224">
    <w:abstractNumId w:val="5"/>
  </w:num>
  <w:num w:numId="225">
    <w:abstractNumId w:val="124"/>
  </w:num>
  <w:num w:numId="226">
    <w:abstractNumId w:val="45"/>
  </w:num>
  <w:num w:numId="227">
    <w:abstractNumId w:val="212"/>
  </w:num>
  <w:num w:numId="228">
    <w:abstractNumId w:val="207"/>
  </w:num>
  <w:num w:numId="229">
    <w:abstractNumId w:val="105"/>
  </w:num>
  <w:num w:numId="230">
    <w:abstractNumId w:val="74"/>
  </w:num>
  <w:num w:numId="231">
    <w:abstractNumId w:val="158"/>
  </w:num>
  <w:num w:numId="232">
    <w:abstractNumId w:val="220"/>
  </w:num>
  <w:num w:numId="233">
    <w:abstractNumId w:val="198"/>
  </w:num>
  <w:num w:numId="234">
    <w:abstractNumId w:val="198"/>
  </w:num>
  <w:num w:numId="235">
    <w:abstractNumId w:val="42"/>
  </w:num>
  <w:num w:numId="236">
    <w:abstractNumId w:val="14"/>
  </w:num>
  <w:num w:numId="237">
    <w:abstractNumId w:val="114"/>
  </w:num>
  <w:num w:numId="238">
    <w:abstractNumId w:val="215"/>
  </w:num>
  <w:num w:numId="239">
    <w:abstractNumId w:val="86"/>
  </w:num>
  <w:num w:numId="240">
    <w:abstractNumId w:val="198"/>
  </w:num>
  <w:num w:numId="241">
    <w:abstractNumId w:val="198"/>
  </w:num>
  <w:num w:numId="242">
    <w:abstractNumId w:val="198"/>
  </w:num>
  <w:num w:numId="243">
    <w:abstractNumId w:val="198"/>
  </w:num>
  <w:num w:numId="244">
    <w:abstractNumId w:val="198"/>
  </w:num>
  <w:num w:numId="245">
    <w:abstractNumId w:val="198"/>
  </w:num>
  <w:num w:numId="246">
    <w:abstractNumId w:val="198"/>
  </w:num>
  <w:num w:numId="247">
    <w:abstractNumId w:val="198"/>
  </w:num>
  <w:num w:numId="248">
    <w:abstractNumId w:val="198"/>
  </w:num>
  <w:num w:numId="249">
    <w:abstractNumId w:val="198"/>
  </w:num>
  <w:num w:numId="250">
    <w:abstractNumId w:val="198"/>
  </w:num>
  <w:num w:numId="251">
    <w:abstractNumId w:val="198"/>
  </w:num>
  <w:num w:numId="252">
    <w:abstractNumId w:val="198"/>
  </w:num>
  <w:num w:numId="253">
    <w:abstractNumId w:val="198"/>
  </w:num>
  <w:num w:numId="254">
    <w:abstractNumId w:val="198"/>
  </w:num>
  <w:num w:numId="255">
    <w:abstractNumId w:val="198"/>
  </w:num>
  <w:num w:numId="256">
    <w:abstractNumId w:val="198"/>
  </w:num>
  <w:num w:numId="257">
    <w:abstractNumId w:val="200"/>
  </w:num>
  <w:num w:numId="258">
    <w:abstractNumId w:val="198"/>
  </w:num>
  <w:num w:numId="259">
    <w:abstractNumId w:val="198"/>
  </w:num>
  <w:num w:numId="260">
    <w:abstractNumId w:val="198"/>
  </w:num>
  <w:num w:numId="261">
    <w:abstractNumId w:val="198"/>
  </w:num>
  <w:num w:numId="262">
    <w:abstractNumId w:val="198"/>
  </w:num>
  <w:num w:numId="263">
    <w:abstractNumId w:val="198"/>
  </w:num>
  <w:num w:numId="264">
    <w:abstractNumId w:val="198"/>
  </w:num>
  <w:num w:numId="265">
    <w:abstractNumId w:val="198"/>
  </w:num>
  <w:num w:numId="266">
    <w:abstractNumId w:val="198"/>
  </w:num>
  <w:num w:numId="267">
    <w:abstractNumId w:val="198"/>
  </w:num>
  <w:num w:numId="268">
    <w:abstractNumId w:val="198"/>
  </w:num>
  <w:num w:numId="269">
    <w:abstractNumId w:val="198"/>
  </w:num>
  <w:num w:numId="270">
    <w:abstractNumId w:val="198"/>
  </w:num>
  <w:num w:numId="271">
    <w:abstractNumId w:val="198"/>
  </w:num>
  <w:num w:numId="272">
    <w:abstractNumId w:val="198"/>
  </w:num>
  <w:num w:numId="273">
    <w:abstractNumId w:val="198"/>
  </w:num>
  <w:num w:numId="274">
    <w:abstractNumId w:val="198"/>
  </w:num>
  <w:num w:numId="275">
    <w:abstractNumId w:val="198"/>
  </w:num>
  <w:num w:numId="276">
    <w:abstractNumId w:val="198"/>
  </w:num>
  <w:num w:numId="277">
    <w:abstractNumId w:val="198"/>
  </w:num>
  <w:num w:numId="278">
    <w:abstractNumId w:val="198"/>
  </w:num>
  <w:num w:numId="279">
    <w:abstractNumId w:val="198"/>
  </w:num>
  <w:num w:numId="280">
    <w:abstractNumId w:val="198"/>
  </w:num>
  <w:num w:numId="281">
    <w:abstractNumId w:val="198"/>
  </w:num>
  <w:num w:numId="282">
    <w:abstractNumId w:val="198"/>
  </w:num>
  <w:num w:numId="283">
    <w:abstractNumId w:val="198"/>
  </w:num>
  <w:num w:numId="284">
    <w:abstractNumId w:val="198"/>
  </w:num>
  <w:num w:numId="285">
    <w:abstractNumId w:val="198"/>
  </w:num>
  <w:num w:numId="286">
    <w:abstractNumId w:val="198"/>
  </w:num>
  <w:num w:numId="287">
    <w:abstractNumId w:val="198"/>
  </w:num>
  <w:num w:numId="288">
    <w:abstractNumId w:val="198"/>
  </w:num>
  <w:num w:numId="289">
    <w:abstractNumId w:val="198"/>
  </w:num>
  <w:num w:numId="290">
    <w:abstractNumId w:val="198"/>
  </w:num>
  <w:num w:numId="291">
    <w:abstractNumId w:val="198"/>
  </w:num>
  <w:num w:numId="292">
    <w:abstractNumId w:val="198"/>
  </w:num>
  <w:num w:numId="293">
    <w:abstractNumId w:val="198"/>
  </w:num>
  <w:num w:numId="294">
    <w:abstractNumId w:val="198"/>
  </w:num>
  <w:num w:numId="295">
    <w:abstractNumId w:val="198"/>
  </w:num>
  <w:num w:numId="296">
    <w:abstractNumId w:val="198"/>
  </w:num>
  <w:num w:numId="297">
    <w:abstractNumId w:val="198"/>
  </w:num>
  <w:num w:numId="298">
    <w:abstractNumId w:val="198"/>
  </w:num>
  <w:num w:numId="299">
    <w:abstractNumId w:val="198"/>
  </w:num>
  <w:num w:numId="300">
    <w:abstractNumId w:val="198"/>
  </w:num>
  <w:num w:numId="301">
    <w:abstractNumId w:val="198"/>
  </w:num>
  <w:num w:numId="302">
    <w:abstractNumId w:val="198"/>
  </w:num>
  <w:num w:numId="303">
    <w:abstractNumId w:val="198"/>
  </w:num>
  <w:num w:numId="304">
    <w:abstractNumId w:val="198"/>
  </w:num>
  <w:num w:numId="305">
    <w:abstractNumId w:val="198"/>
  </w:num>
  <w:num w:numId="306">
    <w:abstractNumId w:val="198"/>
  </w:num>
  <w:num w:numId="307">
    <w:abstractNumId w:val="198"/>
  </w:num>
  <w:num w:numId="308">
    <w:abstractNumId w:val="198"/>
  </w:num>
  <w:num w:numId="309">
    <w:abstractNumId w:val="198"/>
  </w:num>
  <w:num w:numId="310">
    <w:abstractNumId w:val="198"/>
  </w:num>
  <w:num w:numId="311">
    <w:abstractNumId w:val="198"/>
  </w:num>
  <w:num w:numId="312">
    <w:abstractNumId w:val="198"/>
  </w:num>
  <w:num w:numId="313">
    <w:abstractNumId w:val="198"/>
  </w:num>
  <w:num w:numId="314">
    <w:abstractNumId w:val="198"/>
  </w:num>
  <w:num w:numId="315">
    <w:abstractNumId w:val="198"/>
  </w:num>
  <w:num w:numId="316">
    <w:abstractNumId w:val="198"/>
  </w:num>
  <w:num w:numId="317">
    <w:abstractNumId w:val="198"/>
  </w:num>
  <w:num w:numId="318">
    <w:abstractNumId w:val="198"/>
  </w:num>
  <w:num w:numId="319">
    <w:abstractNumId w:val="198"/>
  </w:num>
  <w:num w:numId="320">
    <w:abstractNumId w:val="198"/>
  </w:num>
  <w:num w:numId="321">
    <w:abstractNumId w:val="198"/>
  </w:num>
  <w:num w:numId="322">
    <w:abstractNumId w:val="198"/>
  </w:num>
  <w:num w:numId="323">
    <w:abstractNumId w:val="198"/>
  </w:num>
  <w:num w:numId="324">
    <w:abstractNumId w:val="198"/>
  </w:num>
  <w:num w:numId="325">
    <w:abstractNumId w:val="198"/>
  </w:num>
  <w:num w:numId="326">
    <w:abstractNumId w:val="198"/>
  </w:num>
  <w:num w:numId="327">
    <w:abstractNumId w:val="198"/>
  </w:num>
  <w:num w:numId="328">
    <w:abstractNumId w:val="198"/>
  </w:num>
  <w:num w:numId="329">
    <w:abstractNumId w:val="198"/>
  </w:num>
  <w:num w:numId="330">
    <w:abstractNumId w:val="198"/>
  </w:num>
  <w:num w:numId="331">
    <w:abstractNumId w:val="198"/>
  </w:num>
  <w:num w:numId="332">
    <w:abstractNumId w:val="198"/>
  </w:num>
  <w:num w:numId="333">
    <w:abstractNumId w:val="198"/>
  </w:num>
  <w:num w:numId="334">
    <w:abstractNumId w:val="198"/>
  </w:num>
  <w:num w:numId="335">
    <w:abstractNumId w:val="198"/>
  </w:num>
  <w:num w:numId="336">
    <w:abstractNumId w:val="198"/>
  </w:num>
  <w:num w:numId="337">
    <w:abstractNumId w:val="198"/>
  </w:num>
  <w:num w:numId="338">
    <w:abstractNumId w:val="198"/>
  </w:num>
  <w:num w:numId="339">
    <w:abstractNumId w:val="198"/>
  </w:num>
  <w:num w:numId="340">
    <w:abstractNumId w:val="198"/>
  </w:num>
  <w:num w:numId="341">
    <w:abstractNumId w:val="198"/>
  </w:num>
  <w:num w:numId="342">
    <w:abstractNumId w:val="198"/>
  </w:num>
  <w:num w:numId="343">
    <w:abstractNumId w:val="198"/>
  </w:num>
  <w:num w:numId="344">
    <w:abstractNumId w:val="198"/>
  </w:num>
  <w:num w:numId="345">
    <w:abstractNumId w:val="198"/>
  </w:num>
  <w:num w:numId="346">
    <w:abstractNumId w:val="198"/>
  </w:num>
  <w:num w:numId="347">
    <w:abstractNumId w:val="198"/>
  </w:num>
  <w:num w:numId="348">
    <w:abstractNumId w:val="198"/>
  </w:num>
  <w:num w:numId="349">
    <w:abstractNumId w:val="198"/>
  </w:num>
  <w:num w:numId="350">
    <w:abstractNumId w:val="198"/>
  </w:num>
  <w:num w:numId="351">
    <w:abstractNumId w:val="198"/>
  </w:num>
  <w:num w:numId="352">
    <w:abstractNumId w:val="198"/>
  </w:num>
  <w:num w:numId="353">
    <w:abstractNumId w:val="198"/>
  </w:num>
  <w:num w:numId="354">
    <w:abstractNumId w:val="198"/>
  </w:num>
  <w:num w:numId="355">
    <w:abstractNumId w:val="198"/>
  </w:num>
  <w:num w:numId="356">
    <w:abstractNumId w:val="198"/>
  </w:num>
  <w:num w:numId="357">
    <w:abstractNumId w:val="198"/>
  </w:num>
  <w:num w:numId="358">
    <w:abstractNumId w:val="198"/>
  </w:num>
  <w:num w:numId="359">
    <w:abstractNumId w:val="198"/>
  </w:num>
  <w:num w:numId="360">
    <w:abstractNumId w:val="198"/>
  </w:num>
  <w:num w:numId="361">
    <w:abstractNumId w:val="198"/>
  </w:num>
  <w:num w:numId="362">
    <w:abstractNumId w:val="198"/>
  </w:num>
  <w:num w:numId="363">
    <w:abstractNumId w:val="198"/>
  </w:num>
  <w:num w:numId="364">
    <w:abstractNumId w:val="198"/>
  </w:num>
  <w:num w:numId="365">
    <w:abstractNumId w:val="198"/>
  </w:num>
  <w:num w:numId="366">
    <w:abstractNumId w:val="148"/>
  </w:num>
  <w:num w:numId="367">
    <w:abstractNumId w:val="31"/>
  </w:num>
  <w:num w:numId="368">
    <w:abstractNumId w:val="154"/>
  </w:num>
  <w:num w:numId="369">
    <w:abstractNumId w:val="198"/>
  </w:num>
  <w:num w:numId="370">
    <w:abstractNumId w:val="198"/>
  </w:num>
  <w:num w:numId="371">
    <w:abstractNumId w:val="198"/>
  </w:num>
  <w:num w:numId="372">
    <w:abstractNumId w:val="198"/>
  </w:num>
  <w:num w:numId="373">
    <w:abstractNumId w:val="198"/>
  </w:num>
  <w:num w:numId="374">
    <w:abstractNumId w:val="198"/>
  </w:num>
  <w:num w:numId="375">
    <w:abstractNumId w:val="198"/>
  </w:num>
  <w:num w:numId="376">
    <w:abstractNumId w:val="198"/>
  </w:num>
  <w:num w:numId="377">
    <w:abstractNumId w:val="198"/>
  </w:num>
  <w:num w:numId="378">
    <w:abstractNumId w:val="198"/>
  </w:num>
  <w:num w:numId="379">
    <w:abstractNumId w:val="198"/>
  </w:num>
  <w:num w:numId="380">
    <w:abstractNumId w:val="198"/>
  </w:num>
  <w:num w:numId="381">
    <w:abstractNumId w:val="198"/>
  </w:num>
  <w:num w:numId="382">
    <w:abstractNumId w:val="198"/>
  </w:num>
  <w:num w:numId="383">
    <w:abstractNumId w:val="198"/>
  </w:num>
  <w:num w:numId="384">
    <w:abstractNumId w:val="198"/>
  </w:num>
  <w:num w:numId="385">
    <w:abstractNumId w:val="198"/>
  </w:num>
  <w:num w:numId="386">
    <w:abstractNumId w:val="198"/>
  </w:num>
  <w:num w:numId="387">
    <w:abstractNumId w:val="118"/>
  </w:num>
  <w:num w:numId="388">
    <w:abstractNumId w:val="160"/>
  </w:num>
  <w:num w:numId="389">
    <w:abstractNumId w:val="198"/>
  </w:num>
  <w:num w:numId="390">
    <w:abstractNumId w:val="130"/>
  </w:num>
  <w:num w:numId="391">
    <w:abstractNumId w:val="35"/>
  </w:num>
  <w:num w:numId="392">
    <w:abstractNumId w:val="102"/>
  </w:num>
  <w:num w:numId="393">
    <w:abstractNumId w:val="48"/>
  </w:num>
  <w:num w:numId="394">
    <w:abstractNumId w:val="76"/>
  </w:num>
  <w:num w:numId="395">
    <w:abstractNumId w:val="211"/>
  </w:num>
  <w:num w:numId="396">
    <w:abstractNumId w:val="56"/>
  </w:num>
  <w:num w:numId="397">
    <w:abstractNumId w:val="51"/>
  </w:num>
  <w:num w:numId="398">
    <w:abstractNumId w:val="215"/>
  </w:num>
  <w:num w:numId="399">
    <w:abstractNumId w:val="185"/>
  </w:num>
  <w:num w:numId="400">
    <w:abstractNumId w:val="184"/>
  </w:num>
  <w:num w:numId="401">
    <w:abstractNumId w:val="136"/>
  </w:num>
  <w:num w:numId="402">
    <w:abstractNumId w:val="129"/>
  </w:num>
  <w:num w:numId="403">
    <w:abstractNumId w:val="150"/>
  </w:num>
  <w:numIdMacAtCleanup w:val="3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0"/>
  <w:defaultTabStop w:val="720"/>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303"/>
    <w:rsid w:val="00000304"/>
    <w:rsid w:val="000005FE"/>
    <w:rsid w:val="00000AB2"/>
    <w:rsid w:val="00000ADA"/>
    <w:rsid w:val="00000AE7"/>
    <w:rsid w:val="00000B79"/>
    <w:rsid w:val="000013F7"/>
    <w:rsid w:val="000017FA"/>
    <w:rsid w:val="0000188C"/>
    <w:rsid w:val="0000197A"/>
    <w:rsid w:val="00001B4B"/>
    <w:rsid w:val="00002094"/>
    <w:rsid w:val="0000229C"/>
    <w:rsid w:val="0000235E"/>
    <w:rsid w:val="0000239C"/>
    <w:rsid w:val="000025D4"/>
    <w:rsid w:val="0000292D"/>
    <w:rsid w:val="000031C6"/>
    <w:rsid w:val="0000321E"/>
    <w:rsid w:val="000032D0"/>
    <w:rsid w:val="00003564"/>
    <w:rsid w:val="000035BB"/>
    <w:rsid w:val="000035C2"/>
    <w:rsid w:val="000038D5"/>
    <w:rsid w:val="00003AE3"/>
    <w:rsid w:val="00003B30"/>
    <w:rsid w:val="00003C14"/>
    <w:rsid w:val="00003D4C"/>
    <w:rsid w:val="00003D94"/>
    <w:rsid w:val="00003E4E"/>
    <w:rsid w:val="00003EE7"/>
    <w:rsid w:val="00004107"/>
    <w:rsid w:val="00004179"/>
    <w:rsid w:val="0000422D"/>
    <w:rsid w:val="000042A6"/>
    <w:rsid w:val="0000435C"/>
    <w:rsid w:val="000045BF"/>
    <w:rsid w:val="000049EF"/>
    <w:rsid w:val="00005023"/>
    <w:rsid w:val="000050A1"/>
    <w:rsid w:val="0000529F"/>
    <w:rsid w:val="00005648"/>
    <w:rsid w:val="0000582A"/>
    <w:rsid w:val="00005F17"/>
    <w:rsid w:val="00005F55"/>
    <w:rsid w:val="00005F68"/>
    <w:rsid w:val="0000613F"/>
    <w:rsid w:val="00006181"/>
    <w:rsid w:val="00006320"/>
    <w:rsid w:val="000063C9"/>
    <w:rsid w:val="000066F4"/>
    <w:rsid w:val="00006994"/>
    <w:rsid w:val="00006A73"/>
    <w:rsid w:val="00006B81"/>
    <w:rsid w:val="00006BCD"/>
    <w:rsid w:val="00006DFC"/>
    <w:rsid w:val="00006E92"/>
    <w:rsid w:val="00006FD2"/>
    <w:rsid w:val="00007643"/>
    <w:rsid w:val="000101AC"/>
    <w:rsid w:val="0001020D"/>
    <w:rsid w:val="0001092C"/>
    <w:rsid w:val="000109A6"/>
    <w:rsid w:val="00010A57"/>
    <w:rsid w:val="00010CDE"/>
    <w:rsid w:val="00010CE9"/>
    <w:rsid w:val="00011060"/>
    <w:rsid w:val="000110F1"/>
    <w:rsid w:val="00011142"/>
    <w:rsid w:val="000112AF"/>
    <w:rsid w:val="000116B0"/>
    <w:rsid w:val="000116F6"/>
    <w:rsid w:val="00011746"/>
    <w:rsid w:val="00011823"/>
    <w:rsid w:val="00011898"/>
    <w:rsid w:val="00011F69"/>
    <w:rsid w:val="00012069"/>
    <w:rsid w:val="00012D01"/>
    <w:rsid w:val="000131A3"/>
    <w:rsid w:val="000132ED"/>
    <w:rsid w:val="00013649"/>
    <w:rsid w:val="000138C1"/>
    <w:rsid w:val="000139DC"/>
    <w:rsid w:val="00013F26"/>
    <w:rsid w:val="0001415C"/>
    <w:rsid w:val="00014268"/>
    <w:rsid w:val="000144D9"/>
    <w:rsid w:val="00014B13"/>
    <w:rsid w:val="00014B89"/>
    <w:rsid w:val="00014BC4"/>
    <w:rsid w:val="00014F56"/>
    <w:rsid w:val="00015312"/>
    <w:rsid w:val="000153F4"/>
    <w:rsid w:val="0001557C"/>
    <w:rsid w:val="000155A2"/>
    <w:rsid w:val="0001585B"/>
    <w:rsid w:val="000159B4"/>
    <w:rsid w:val="00015BB0"/>
    <w:rsid w:val="00015D73"/>
    <w:rsid w:val="00015DEF"/>
    <w:rsid w:val="00015FAA"/>
    <w:rsid w:val="000162C2"/>
    <w:rsid w:val="0001630B"/>
    <w:rsid w:val="000164BA"/>
    <w:rsid w:val="00016540"/>
    <w:rsid w:val="00016A97"/>
    <w:rsid w:val="00016C96"/>
    <w:rsid w:val="000170F5"/>
    <w:rsid w:val="000173AF"/>
    <w:rsid w:val="000173B3"/>
    <w:rsid w:val="00017799"/>
    <w:rsid w:val="0001784B"/>
    <w:rsid w:val="00017942"/>
    <w:rsid w:val="00017B5C"/>
    <w:rsid w:val="00017DEB"/>
    <w:rsid w:val="00020154"/>
    <w:rsid w:val="0002015D"/>
    <w:rsid w:val="00020292"/>
    <w:rsid w:val="00020297"/>
    <w:rsid w:val="000207E3"/>
    <w:rsid w:val="00020A34"/>
    <w:rsid w:val="00020D44"/>
    <w:rsid w:val="00020E26"/>
    <w:rsid w:val="0002102F"/>
    <w:rsid w:val="00021115"/>
    <w:rsid w:val="0002124F"/>
    <w:rsid w:val="00021611"/>
    <w:rsid w:val="0002194F"/>
    <w:rsid w:val="00021A39"/>
    <w:rsid w:val="00021C1C"/>
    <w:rsid w:val="00021D1F"/>
    <w:rsid w:val="00021D67"/>
    <w:rsid w:val="00021F3A"/>
    <w:rsid w:val="00022035"/>
    <w:rsid w:val="000220E8"/>
    <w:rsid w:val="00022345"/>
    <w:rsid w:val="000227CF"/>
    <w:rsid w:val="0002294A"/>
    <w:rsid w:val="00022C3A"/>
    <w:rsid w:val="00022CB6"/>
    <w:rsid w:val="00023772"/>
    <w:rsid w:val="00023C4F"/>
    <w:rsid w:val="00023D88"/>
    <w:rsid w:val="00024268"/>
    <w:rsid w:val="00024380"/>
    <w:rsid w:val="0002447F"/>
    <w:rsid w:val="0002480E"/>
    <w:rsid w:val="00024905"/>
    <w:rsid w:val="000249EA"/>
    <w:rsid w:val="000249EE"/>
    <w:rsid w:val="00024A57"/>
    <w:rsid w:val="00024ABA"/>
    <w:rsid w:val="00024BE7"/>
    <w:rsid w:val="00024C26"/>
    <w:rsid w:val="00024E0C"/>
    <w:rsid w:val="00024F0C"/>
    <w:rsid w:val="00025361"/>
    <w:rsid w:val="000254D6"/>
    <w:rsid w:val="000254E3"/>
    <w:rsid w:val="000255C1"/>
    <w:rsid w:val="00025A3E"/>
    <w:rsid w:val="00025C45"/>
    <w:rsid w:val="00025C99"/>
    <w:rsid w:val="00025E7D"/>
    <w:rsid w:val="000269ED"/>
    <w:rsid w:val="00026B2A"/>
    <w:rsid w:val="000277B1"/>
    <w:rsid w:val="0002781B"/>
    <w:rsid w:val="00027863"/>
    <w:rsid w:val="000278F5"/>
    <w:rsid w:val="00027CA1"/>
    <w:rsid w:val="00027D0C"/>
    <w:rsid w:val="00027D86"/>
    <w:rsid w:val="00027D95"/>
    <w:rsid w:val="00027F7C"/>
    <w:rsid w:val="00027F9D"/>
    <w:rsid w:val="00030030"/>
    <w:rsid w:val="0003055A"/>
    <w:rsid w:val="000309F8"/>
    <w:rsid w:val="00030AB9"/>
    <w:rsid w:val="0003129D"/>
    <w:rsid w:val="000312B4"/>
    <w:rsid w:val="000316E8"/>
    <w:rsid w:val="00031CAF"/>
    <w:rsid w:val="00031D50"/>
    <w:rsid w:val="00031E53"/>
    <w:rsid w:val="00031F08"/>
    <w:rsid w:val="00031FBD"/>
    <w:rsid w:val="000320C0"/>
    <w:rsid w:val="00032102"/>
    <w:rsid w:val="000321D2"/>
    <w:rsid w:val="00032351"/>
    <w:rsid w:val="00032BC4"/>
    <w:rsid w:val="00032C0A"/>
    <w:rsid w:val="00032EC0"/>
    <w:rsid w:val="00032FB8"/>
    <w:rsid w:val="0003307F"/>
    <w:rsid w:val="000333BB"/>
    <w:rsid w:val="00033E96"/>
    <w:rsid w:val="00034249"/>
    <w:rsid w:val="0003438B"/>
    <w:rsid w:val="0003443D"/>
    <w:rsid w:val="000345D9"/>
    <w:rsid w:val="00034653"/>
    <w:rsid w:val="00034FA0"/>
    <w:rsid w:val="00035008"/>
    <w:rsid w:val="0003516B"/>
    <w:rsid w:val="00035266"/>
    <w:rsid w:val="000355A1"/>
    <w:rsid w:val="000359EB"/>
    <w:rsid w:val="00035DBA"/>
    <w:rsid w:val="000361DA"/>
    <w:rsid w:val="000362CE"/>
    <w:rsid w:val="000367CC"/>
    <w:rsid w:val="00036B6E"/>
    <w:rsid w:val="00036EBD"/>
    <w:rsid w:val="00036F66"/>
    <w:rsid w:val="00037091"/>
    <w:rsid w:val="0003774B"/>
    <w:rsid w:val="00037AF8"/>
    <w:rsid w:val="00037C17"/>
    <w:rsid w:val="00037EA2"/>
    <w:rsid w:val="00040231"/>
    <w:rsid w:val="0004053B"/>
    <w:rsid w:val="000405EE"/>
    <w:rsid w:val="00040614"/>
    <w:rsid w:val="00040627"/>
    <w:rsid w:val="00040674"/>
    <w:rsid w:val="000409E1"/>
    <w:rsid w:val="00040A06"/>
    <w:rsid w:val="00040B25"/>
    <w:rsid w:val="00040EBE"/>
    <w:rsid w:val="00040F67"/>
    <w:rsid w:val="0004154A"/>
    <w:rsid w:val="00041730"/>
    <w:rsid w:val="0004190B"/>
    <w:rsid w:val="00041A0E"/>
    <w:rsid w:val="00041A3E"/>
    <w:rsid w:val="00041BD4"/>
    <w:rsid w:val="00041D04"/>
    <w:rsid w:val="00041DB4"/>
    <w:rsid w:val="0004200C"/>
    <w:rsid w:val="00042074"/>
    <w:rsid w:val="00042152"/>
    <w:rsid w:val="00042180"/>
    <w:rsid w:val="000426A0"/>
    <w:rsid w:val="0004286A"/>
    <w:rsid w:val="00042891"/>
    <w:rsid w:val="000429AC"/>
    <w:rsid w:val="00042B6A"/>
    <w:rsid w:val="00042B99"/>
    <w:rsid w:val="00042F4B"/>
    <w:rsid w:val="0004326B"/>
    <w:rsid w:val="000434C2"/>
    <w:rsid w:val="00043607"/>
    <w:rsid w:val="00044857"/>
    <w:rsid w:val="00044A7E"/>
    <w:rsid w:val="00044B20"/>
    <w:rsid w:val="00044BDC"/>
    <w:rsid w:val="00044BEF"/>
    <w:rsid w:val="00044DE9"/>
    <w:rsid w:val="00045030"/>
    <w:rsid w:val="000450AF"/>
    <w:rsid w:val="000453B7"/>
    <w:rsid w:val="000456BD"/>
    <w:rsid w:val="000456E6"/>
    <w:rsid w:val="000457F4"/>
    <w:rsid w:val="00045938"/>
    <w:rsid w:val="00045A7B"/>
    <w:rsid w:val="00045ECD"/>
    <w:rsid w:val="00045F60"/>
    <w:rsid w:val="00045FE2"/>
    <w:rsid w:val="000467F5"/>
    <w:rsid w:val="00046924"/>
    <w:rsid w:val="000469C9"/>
    <w:rsid w:val="000469E4"/>
    <w:rsid w:val="00046A3D"/>
    <w:rsid w:val="00046FF7"/>
    <w:rsid w:val="0004714A"/>
    <w:rsid w:val="0004725C"/>
    <w:rsid w:val="00047578"/>
    <w:rsid w:val="000475B8"/>
    <w:rsid w:val="000475F7"/>
    <w:rsid w:val="000478A8"/>
    <w:rsid w:val="00047902"/>
    <w:rsid w:val="000479E6"/>
    <w:rsid w:val="00047BD8"/>
    <w:rsid w:val="00047C92"/>
    <w:rsid w:val="0005056B"/>
    <w:rsid w:val="000506E6"/>
    <w:rsid w:val="0005098F"/>
    <w:rsid w:val="00050BD7"/>
    <w:rsid w:val="00050CFE"/>
    <w:rsid w:val="00050D66"/>
    <w:rsid w:val="00050F5E"/>
    <w:rsid w:val="000514DD"/>
    <w:rsid w:val="00051592"/>
    <w:rsid w:val="000515DE"/>
    <w:rsid w:val="000516C4"/>
    <w:rsid w:val="000516F2"/>
    <w:rsid w:val="000517C0"/>
    <w:rsid w:val="000518B0"/>
    <w:rsid w:val="00051A5A"/>
    <w:rsid w:val="00051AAE"/>
    <w:rsid w:val="00051E96"/>
    <w:rsid w:val="00051ED1"/>
    <w:rsid w:val="000520C0"/>
    <w:rsid w:val="000526CF"/>
    <w:rsid w:val="000529EE"/>
    <w:rsid w:val="00052AC1"/>
    <w:rsid w:val="00052D2C"/>
    <w:rsid w:val="00052EDF"/>
    <w:rsid w:val="00052F81"/>
    <w:rsid w:val="00053564"/>
    <w:rsid w:val="0005381E"/>
    <w:rsid w:val="000538B1"/>
    <w:rsid w:val="00053A43"/>
    <w:rsid w:val="00053DB1"/>
    <w:rsid w:val="00053FE7"/>
    <w:rsid w:val="000540C4"/>
    <w:rsid w:val="00054123"/>
    <w:rsid w:val="000543F1"/>
    <w:rsid w:val="0005452F"/>
    <w:rsid w:val="00054852"/>
    <w:rsid w:val="000548F8"/>
    <w:rsid w:val="00054DDC"/>
    <w:rsid w:val="00054EDA"/>
    <w:rsid w:val="00054F1F"/>
    <w:rsid w:val="00055014"/>
    <w:rsid w:val="00055708"/>
    <w:rsid w:val="00055A36"/>
    <w:rsid w:val="00055AC6"/>
    <w:rsid w:val="00055F13"/>
    <w:rsid w:val="00055FCB"/>
    <w:rsid w:val="000563C9"/>
    <w:rsid w:val="00056555"/>
    <w:rsid w:val="00056918"/>
    <w:rsid w:val="00056AC2"/>
    <w:rsid w:val="00056BF3"/>
    <w:rsid w:val="00057404"/>
    <w:rsid w:val="000575B0"/>
    <w:rsid w:val="000577C6"/>
    <w:rsid w:val="00057850"/>
    <w:rsid w:val="00057A9C"/>
    <w:rsid w:val="00057C98"/>
    <w:rsid w:val="00057CE0"/>
    <w:rsid w:val="00057D12"/>
    <w:rsid w:val="00057DC3"/>
    <w:rsid w:val="000603F4"/>
    <w:rsid w:val="000604CC"/>
    <w:rsid w:val="00060599"/>
    <w:rsid w:val="00060633"/>
    <w:rsid w:val="00060AF7"/>
    <w:rsid w:val="00060D39"/>
    <w:rsid w:val="00060D9B"/>
    <w:rsid w:val="00060DCA"/>
    <w:rsid w:val="00061156"/>
    <w:rsid w:val="000613DE"/>
    <w:rsid w:val="000613FC"/>
    <w:rsid w:val="000617AC"/>
    <w:rsid w:val="00061862"/>
    <w:rsid w:val="00061985"/>
    <w:rsid w:val="00061AE8"/>
    <w:rsid w:val="00061B04"/>
    <w:rsid w:val="00061FB9"/>
    <w:rsid w:val="00062028"/>
    <w:rsid w:val="00062051"/>
    <w:rsid w:val="000620C0"/>
    <w:rsid w:val="00062225"/>
    <w:rsid w:val="0006287A"/>
    <w:rsid w:val="00062AFB"/>
    <w:rsid w:val="00062B05"/>
    <w:rsid w:val="000632C0"/>
    <w:rsid w:val="0006365E"/>
    <w:rsid w:val="000636DD"/>
    <w:rsid w:val="0006374D"/>
    <w:rsid w:val="000637A6"/>
    <w:rsid w:val="000638B2"/>
    <w:rsid w:val="0006399B"/>
    <w:rsid w:val="00063C59"/>
    <w:rsid w:val="00063CFF"/>
    <w:rsid w:val="00063EBD"/>
    <w:rsid w:val="00063F34"/>
    <w:rsid w:val="000640BB"/>
    <w:rsid w:val="000640F3"/>
    <w:rsid w:val="00064125"/>
    <w:rsid w:val="0006417C"/>
    <w:rsid w:val="000652DF"/>
    <w:rsid w:val="0006560E"/>
    <w:rsid w:val="00065621"/>
    <w:rsid w:val="00065AE4"/>
    <w:rsid w:val="00065D26"/>
    <w:rsid w:val="00065F22"/>
    <w:rsid w:val="00066004"/>
    <w:rsid w:val="000661C6"/>
    <w:rsid w:val="000662D2"/>
    <w:rsid w:val="00066457"/>
    <w:rsid w:val="00066BBA"/>
    <w:rsid w:val="00066F31"/>
    <w:rsid w:val="000671E2"/>
    <w:rsid w:val="000675FF"/>
    <w:rsid w:val="00067680"/>
    <w:rsid w:val="00067CC6"/>
    <w:rsid w:val="00067E4F"/>
    <w:rsid w:val="00067E51"/>
    <w:rsid w:val="000701A9"/>
    <w:rsid w:val="00070420"/>
    <w:rsid w:val="00070DC5"/>
    <w:rsid w:val="00071203"/>
    <w:rsid w:val="00071280"/>
    <w:rsid w:val="00071496"/>
    <w:rsid w:val="000714CF"/>
    <w:rsid w:val="00071509"/>
    <w:rsid w:val="000715D5"/>
    <w:rsid w:val="00071731"/>
    <w:rsid w:val="00071784"/>
    <w:rsid w:val="00071A69"/>
    <w:rsid w:val="00071AC3"/>
    <w:rsid w:val="00071B65"/>
    <w:rsid w:val="0007213E"/>
    <w:rsid w:val="00072643"/>
    <w:rsid w:val="0007265E"/>
    <w:rsid w:val="000728D1"/>
    <w:rsid w:val="00072A49"/>
    <w:rsid w:val="00072AB3"/>
    <w:rsid w:val="00072CFA"/>
    <w:rsid w:val="00072E31"/>
    <w:rsid w:val="00072E58"/>
    <w:rsid w:val="00072E80"/>
    <w:rsid w:val="000730C7"/>
    <w:rsid w:val="0007344C"/>
    <w:rsid w:val="00073792"/>
    <w:rsid w:val="000737E2"/>
    <w:rsid w:val="00073886"/>
    <w:rsid w:val="000739AC"/>
    <w:rsid w:val="00073FAB"/>
    <w:rsid w:val="000741F0"/>
    <w:rsid w:val="00074293"/>
    <w:rsid w:val="000742D7"/>
    <w:rsid w:val="0007465A"/>
    <w:rsid w:val="000746E5"/>
    <w:rsid w:val="0007496C"/>
    <w:rsid w:val="00074982"/>
    <w:rsid w:val="0007544B"/>
    <w:rsid w:val="000757DB"/>
    <w:rsid w:val="00075836"/>
    <w:rsid w:val="00075D0F"/>
    <w:rsid w:val="00075F6A"/>
    <w:rsid w:val="000761B7"/>
    <w:rsid w:val="00076294"/>
    <w:rsid w:val="0007655E"/>
    <w:rsid w:val="00076701"/>
    <w:rsid w:val="000769CF"/>
    <w:rsid w:val="00076B76"/>
    <w:rsid w:val="0007730A"/>
    <w:rsid w:val="0007741B"/>
    <w:rsid w:val="000777FB"/>
    <w:rsid w:val="0007786F"/>
    <w:rsid w:val="000778DF"/>
    <w:rsid w:val="0008003A"/>
    <w:rsid w:val="0008006A"/>
    <w:rsid w:val="000800A7"/>
    <w:rsid w:val="00080278"/>
    <w:rsid w:val="00080282"/>
    <w:rsid w:val="000802A7"/>
    <w:rsid w:val="000804DD"/>
    <w:rsid w:val="00080562"/>
    <w:rsid w:val="00080580"/>
    <w:rsid w:val="00080902"/>
    <w:rsid w:val="000809FB"/>
    <w:rsid w:val="00080A0C"/>
    <w:rsid w:val="00080A71"/>
    <w:rsid w:val="00080C6D"/>
    <w:rsid w:val="00080F1B"/>
    <w:rsid w:val="00081539"/>
    <w:rsid w:val="00081616"/>
    <w:rsid w:val="00081751"/>
    <w:rsid w:val="00081B14"/>
    <w:rsid w:val="00081B65"/>
    <w:rsid w:val="00081BA1"/>
    <w:rsid w:val="00081EBF"/>
    <w:rsid w:val="000821A6"/>
    <w:rsid w:val="00082235"/>
    <w:rsid w:val="00082336"/>
    <w:rsid w:val="0008249E"/>
    <w:rsid w:val="00082927"/>
    <w:rsid w:val="00082C19"/>
    <w:rsid w:val="00083362"/>
    <w:rsid w:val="000834A6"/>
    <w:rsid w:val="00083911"/>
    <w:rsid w:val="000839CB"/>
    <w:rsid w:val="00083DD5"/>
    <w:rsid w:val="00083EE2"/>
    <w:rsid w:val="000845E2"/>
    <w:rsid w:val="00084804"/>
    <w:rsid w:val="00084875"/>
    <w:rsid w:val="0008495E"/>
    <w:rsid w:val="00084973"/>
    <w:rsid w:val="00084C6C"/>
    <w:rsid w:val="00084D3F"/>
    <w:rsid w:val="000855E8"/>
    <w:rsid w:val="00085712"/>
    <w:rsid w:val="000857FE"/>
    <w:rsid w:val="00085F47"/>
    <w:rsid w:val="00086117"/>
    <w:rsid w:val="0008628C"/>
    <w:rsid w:val="000862AE"/>
    <w:rsid w:val="00086A21"/>
    <w:rsid w:val="00086B20"/>
    <w:rsid w:val="00086B3D"/>
    <w:rsid w:val="00086D9C"/>
    <w:rsid w:val="00086F4B"/>
    <w:rsid w:val="0008700C"/>
    <w:rsid w:val="00087272"/>
    <w:rsid w:val="00087460"/>
    <w:rsid w:val="0008747D"/>
    <w:rsid w:val="000876C3"/>
    <w:rsid w:val="000876F3"/>
    <w:rsid w:val="00087AAB"/>
    <w:rsid w:val="00087AC7"/>
    <w:rsid w:val="00087B0A"/>
    <w:rsid w:val="000902AA"/>
    <w:rsid w:val="000906B9"/>
    <w:rsid w:val="000910C7"/>
    <w:rsid w:val="000910C9"/>
    <w:rsid w:val="000912B7"/>
    <w:rsid w:val="000918D9"/>
    <w:rsid w:val="00091939"/>
    <w:rsid w:val="00091991"/>
    <w:rsid w:val="0009199C"/>
    <w:rsid w:val="00091BB0"/>
    <w:rsid w:val="00092285"/>
    <w:rsid w:val="00092341"/>
    <w:rsid w:val="000923B3"/>
    <w:rsid w:val="00092597"/>
    <w:rsid w:val="00092708"/>
    <w:rsid w:val="000929B1"/>
    <w:rsid w:val="00092E92"/>
    <w:rsid w:val="00092ED3"/>
    <w:rsid w:val="00092F89"/>
    <w:rsid w:val="000930D8"/>
    <w:rsid w:val="000932E2"/>
    <w:rsid w:val="0009371E"/>
    <w:rsid w:val="00093734"/>
    <w:rsid w:val="0009416B"/>
    <w:rsid w:val="00094408"/>
    <w:rsid w:val="0009477B"/>
    <w:rsid w:val="00094CBC"/>
    <w:rsid w:val="000955C4"/>
    <w:rsid w:val="00095657"/>
    <w:rsid w:val="00095872"/>
    <w:rsid w:val="0009592A"/>
    <w:rsid w:val="00095BDA"/>
    <w:rsid w:val="00095D47"/>
    <w:rsid w:val="00095E5B"/>
    <w:rsid w:val="00095FF7"/>
    <w:rsid w:val="000961D8"/>
    <w:rsid w:val="000961E5"/>
    <w:rsid w:val="0009659D"/>
    <w:rsid w:val="00096868"/>
    <w:rsid w:val="0009690B"/>
    <w:rsid w:val="00096CAE"/>
    <w:rsid w:val="00096F74"/>
    <w:rsid w:val="00096F9A"/>
    <w:rsid w:val="000970D6"/>
    <w:rsid w:val="000971C1"/>
    <w:rsid w:val="000974BD"/>
    <w:rsid w:val="00097532"/>
    <w:rsid w:val="00097598"/>
    <w:rsid w:val="000977A6"/>
    <w:rsid w:val="000A026D"/>
    <w:rsid w:val="000A0317"/>
    <w:rsid w:val="000A0404"/>
    <w:rsid w:val="000A0489"/>
    <w:rsid w:val="000A0656"/>
    <w:rsid w:val="000A0731"/>
    <w:rsid w:val="000A07F0"/>
    <w:rsid w:val="000A0C51"/>
    <w:rsid w:val="000A0D08"/>
    <w:rsid w:val="000A0FC5"/>
    <w:rsid w:val="000A110C"/>
    <w:rsid w:val="000A1254"/>
    <w:rsid w:val="000A1441"/>
    <w:rsid w:val="000A18E9"/>
    <w:rsid w:val="000A1C84"/>
    <w:rsid w:val="000A1D65"/>
    <w:rsid w:val="000A1D71"/>
    <w:rsid w:val="000A206E"/>
    <w:rsid w:val="000A2518"/>
    <w:rsid w:val="000A2706"/>
    <w:rsid w:val="000A2798"/>
    <w:rsid w:val="000A2876"/>
    <w:rsid w:val="000A29F8"/>
    <w:rsid w:val="000A2B35"/>
    <w:rsid w:val="000A2C45"/>
    <w:rsid w:val="000A32A8"/>
    <w:rsid w:val="000A3552"/>
    <w:rsid w:val="000A35A9"/>
    <w:rsid w:val="000A3A12"/>
    <w:rsid w:val="000A3A20"/>
    <w:rsid w:val="000A3EA3"/>
    <w:rsid w:val="000A3EEF"/>
    <w:rsid w:val="000A4424"/>
    <w:rsid w:val="000A4932"/>
    <w:rsid w:val="000A4B2F"/>
    <w:rsid w:val="000A56C1"/>
    <w:rsid w:val="000A56C9"/>
    <w:rsid w:val="000A572A"/>
    <w:rsid w:val="000A59A6"/>
    <w:rsid w:val="000A5CC3"/>
    <w:rsid w:val="000A620A"/>
    <w:rsid w:val="000A62BD"/>
    <w:rsid w:val="000A6443"/>
    <w:rsid w:val="000A6459"/>
    <w:rsid w:val="000A6A2B"/>
    <w:rsid w:val="000A6B8C"/>
    <w:rsid w:val="000A6D29"/>
    <w:rsid w:val="000A7306"/>
    <w:rsid w:val="000A75BE"/>
    <w:rsid w:val="000A7745"/>
    <w:rsid w:val="000A7A6C"/>
    <w:rsid w:val="000A7B5E"/>
    <w:rsid w:val="000A7BC2"/>
    <w:rsid w:val="000A7BE2"/>
    <w:rsid w:val="000A7E2E"/>
    <w:rsid w:val="000A7F05"/>
    <w:rsid w:val="000B008F"/>
    <w:rsid w:val="000B011B"/>
    <w:rsid w:val="000B0512"/>
    <w:rsid w:val="000B0D0C"/>
    <w:rsid w:val="000B0E45"/>
    <w:rsid w:val="000B1105"/>
    <w:rsid w:val="000B11E7"/>
    <w:rsid w:val="000B121B"/>
    <w:rsid w:val="000B136C"/>
    <w:rsid w:val="000B1504"/>
    <w:rsid w:val="000B1A61"/>
    <w:rsid w:val="000B1EC9"/>
    <w:rsid w:val="000B2010"/>
    <w:rsid w:val="000B204F"/>
    <w:rsid w:val="000B22C7"/>
    <w:rsid w:val="000B2516"/>
    <w:rsid w:val="000B2793"/>
    <w:rsid w:val="000B282C"/>
    <w:rsid w:val="000B2834"/>
    <w:rsid w:val="000B2849"/>
    <w:rsid w:val="000B2CAD"/>
    <w:rsid w:val="000B2D0E"/>
    <w:rsid w:val="000B2D68"/>
    <w:rsid w:val="000B2E3C"/>
    <w:rsid w:val="000B2EC0"/>
    <w:rsid w:val="000B3306"/>
    <w:rsid w:val="000B3873"/>
    <w:rsid w:val="000B38BE"/>
    <w:rsid w:val="000B390B"/>
    <w:rsid w:val="000B3D57"/>
    <w:rsid w:val="000B3E1D"/>
    <w:rsid w:val="000B4040"/>
    <w:rsid w:val="000B4213"/>
    <w:rsid w:val="000B4C2A"/>
    <w:rsid w:val="000B4FB3"/>
    <w:rsid w:val="000B5271"/>
    <w:rsid w:val="000B59A8"/>
    <w:rsid w:val="000B5E5C"/>
    <w:rsid w:val="000B5E62"/>
    <w:rsid w:val="000B623D"/>
    <w:rsid w:val="000B62C7"/>
    <w:rsid w:val="000B6438"/>
    <w:rsid w:val="000B67D8"/>
    <w:rsid w:val="000B683E"/>
    <w:rsid w:val="000B6891"/>
    <w:rsid w:val="000B6A36"/>
    <w:rsid w:val="000B6AE4"/>
    <w:rsid w:val="000B6C05"/>
    <w:rsid w:val="000B6DBF"/>
    <w:rsid w:val="000B72E3"/>
    <w:rsid w:val="000B75EB"/>
    <w:rsid w:val="000B79B3"/>
    <w:rsid w:val="000B7EF3"/>
    <w:rsid w:val="000C04F1"/>
    <w:rsid w:val="000C0668"/>
    <w:rsid w:val="000C0945"/>
    <w:rsid w:val="000C0BCF"/>
    <w:rsid w:val="000C120A"/>
    <w:rsid w:val="000C18C5"/>
    <w:rsid w:val="000C1C1F"/>
    <w:rsid w:val="000C1C59"/>
    <w:rsid w:val="000C1FDA"/>
    <w:rsid w:val="000C20BD"/>
    <w:rsid w:val="000C21F0"/>
    <w:rsid w:val="000C2AEE"/>
    <w:rsid w:val="000C2B24"/>
    <w:rsid w:val="000C2F24"/>
    <w:rsid w:val="000C3013"/>
    <w:rsid w:val="000C3629"/>
    <w:rsid w:val="000C3637"/>
    <w:rsid w:val="000C3747"/>
    <w:rsid w:val="000C3D00"/>
    <w:rsid w:val="000C3DE1"/>
    <w:rsid w:val="000C4218"/>
    <w:rsid w:val="000C445F"/>
    <w:rsid w:val="000C456B"/>
    <w:rsid w:val="000C4727"/>
    <w:rsid w:val="000C499D"/>
    <w:rsid w:val="000C4E7C"/>
    <w:rsid w:val="000C52C3"/>
    <w:rsid w:val="000C57ED"/>
    <w:rsid w:val="000C5801"/>
    <w:rsid w:val="000C5998"/>
    <w:rsid w:val="000C5AC6"/>
    <w:rsid w:val="000C5ACE"/>
    <w:rsid w:val="000C5AE9"/>
    <w:rsid w:val="000C5C1F"/>
    <w:rsid w:val="000C5CEF"/>
    <w:rsid w:val="000C5D4E"/>
    <w:rsid w:val="000C5EA5"/>
    <w:rsid w:val="000C5FB4"/>
    <w:rsid w:val="000C5FD1"/>
    <w:rsid w:val="000C64B5"/>
    <w:rsid w:val="000C6955"/>
    <w:rsid w:val="000C6C27"/>
    <w:rsid w:val="000C718D"/>
    <w:rsid w:val="000C7424"/>
    <w:rsid w:val="000C762E"/>
    <w:rsid w:val="000C76ED"/>
    <w:rsid w:val="000C77A5"/>
    <w:rsid w:val="000C7D30"/>
    <w:rsid w:val="000C7E31"/>
    <w:rsid w:val="000C7F37"/>
    <w:rsid w:val="000D010E"/>
    <w:rsid w:val="000D038B"/>
    <w:rsid w:val="000D0494"/>
    <w:rsid w:val="000D08BD"/>
    <w:rsid w:val="000D0ACB"/>
    <w:rsid w:val="000D0CFA"/>
    <w:rsid w:val="000D0EB6"/>
    <w:rsid w:val="000D139E"/>
    <w:rsid w:val="000D1529"/>
    <w:rsid w:val="000D1854"/>
    <w:rsid w:val="000D18D1"/>
    <w:rsid w:val="000D1D49"/>
    <w:rsid w:val="000D1FE6"/>
    <w:rsid w:val="000D223B"/>
    <w:rsid w:val="000D232B"/>
    <w:rsid w:val="000D240E"/>
    <w:rsid w:val="000D29F0"/>
    <w:rsid w:val="000D2BB9"/>
    <w:rsid w:val="000D2D6D"/>
    <w:rsid w:val="000D2DE0"/>
    <w:rsid w:val="000D2F19"/>
    <w:rsid w:val="000D3224"/>
    <w:rsid w:val="000D3407"/>
    <w:rsid w:val="000D3517"/>
    <w:rsid w:val="000D3599"/>
    <w:rsid w:val="000D3A9D"/>
    <w:rsid w:val="000D417C"/>
    <w:rsid w:val="000D44F6"/>
    <w:rsid w:val="000D4507"/>
    <w:rsid w:val="000D49E0"/>
    <w:rsid w:val="000D4A36"/>
    <w:rsid w:val="000D4AB6"/>
    <w:rsid w:val="000D4B7C"/>
    <w:rsid w:val="000D4C56"/>
    <w:rsid w:val="000D4C75"/>
    <w:rsid w:val="000D4D99"/>
    <w:rsid w:val="000D4DA3"/>
    <w:rsid w:val="000D5012"/>
    <w:rsid w:val="000D55BF"/>
    <w:rsid w:val="000D55DD"/>
    <w:rsid w:val="000D56DB"/>
    <w:rsid w:val="000D5929"/>
    <w:rsid w:val="000D5C12"/>
    <w:rsid w:val="000D5E6E"/>
    <w:rsid w:val="000D5F61"/>
    <w:rsid w:val="000D5FCC"/>
    <w:rsid w:val="000D6025"/>
    <w:rsid w:val="000D637C"/>
    <w:rsid w:val="000D65D7"/>
    <w:rsid w:val="000D6691"/>
    <w:rsid w:val="000D67BD"/>
    <w:rsid w:val="000D6876"/>
    <w:rsid w:val="000D6BD5"/>
    <w:rsid w:val="000D6FFE"/>
    <w:rsid w:val="000D719D"/>
    <w:rsid w:val="000D73C2"/>
    <w:rsid w:val="000D7464"/>
    <w:rsid w:val="000D7724"/>
    <w:rsid w:val="000D779D"/>
    <w:rsid w:val="000D77E5"/>
    <w:rsid w:val="000D780C"/>
    <w:rsid w:val="000D7CB1"/>
    <w:rsid w:val="000D7D82"/>
    <w:rsid w:val="000D7EAF"/>
    <w:rsid w:val="000D7F46"/>
    <w:rsid w:val="000E0002"/>
    <w:rsid w:val="000E07C0"/>
    <w:rsid w:val="000E097D"/>
    <w:rsid w:val="000E0BAC"/>
    <w:rsid w:val="000E0F6F"/>
    <w:rsid w:val="000E13BE"/>
    <w:rsid w:val="000E14BB"/>
    <w:rsid w:val="000E1AFB"/>
    <w:rsid w:val="000E1F81"/>
    <w:rsid w:val="000E2003"/>
    <w:rsid w:val="000E2287"/>
    <w:rsid w:val="000E22A8"/>
    <w:rsid w:val="000E239C"/>
    <w:rsid w:val="000E25A7"/>
    <w:rsid w:val="000E273C"/>
    <w:rsid w:val="000E287E"/>
    <w:rsid w:val="000E2A34"/>
    <w:rsid w:val="000E2A80"/>
    <w:rsid w:val="000E2C94"/>
    <w:rsid w:val="000E2D5A"/>
    <w:rsid w:val="000E3635"/>
    <w:rsid w:val="000E36A7"/>
    <w:rsid w:val="000E3ABE"/>
    <w:rsid w:val="000E3B50"/>
    <w:rsid w:val="000E4096"/>
    <w:rsid w:val="000E4407"/>
    <w:rsid w:val="000E45E9"/>
    <w:rsid w:val="000E481A"/>
    <w:rsid w:val="000E4AA2"/>
    <w:rsid w:val="000E4AA4"/>
    <w:rsid w:val="000E4F1D"/>
    <w:rsid w:val="000E5770"/>
    <w:rsid w:val="000E5822"/>
    <w:rsid w:val="000E5A40"/>
    <w:rsid w:val="000E5C7A"/>
    <w:rsid w:val="000E5ED6"/>
    <w:rsid w:val="000E6132"/>
    <w:rsid w:val="000E61D4"/>
    <w:rsid w:val="000E6278"/>
    <w:rsid w:val="000E6912"/>
    <w:rsid w:val="000E69DC"/>
    <w:rsid w:val="000E6AE6"/>
    <w:rsid w:val="000E6EB7"/>
    <w:rsid w:val="000E7071"/>
    <w:rsid w:val="000E7167"/>
    <w:rsid w:val="000E72E9"/>
    <w:rsid w:val="000E7548"/>
    <w:rsid w:val="000E769E"/>
    <w:rsid w:val="000E792C"/>
    <w:rsid w:val="000E7C5E"/>
    <w:rsid w:val="000E7E2D"/>
    <w:rsid w:val="000F00B5"/>
    <w:rsid w:val="000F05E4"/>
    <w:rsid w:val="000F067A"/>
    <w:rsid w:val="000F0797"/>
    <w:rsid w:val="000F08C5"/>
    <w:rsid w:val="000F08F9"/>
    <w:rsid w:val="000F0B9A"/>
    <w:rsid w:val="000F0D83"/>
    <w:rsid w:val="000F1056"/>
    <w:rsid w:val="000F1093"/>
    <w:rsid w:val="000F1113"/>
    <w:rsid w:val="000F124C"/>
    <w:rsid w:val="000F1312"/>
    <w:rsid w:val="000F144E"/>
    <w:rsid w:val="000F19E3"/>
    <w:rsid w:val="000F2129"/>
    <w:rsid w:val="000F251B"/>
    <w:rsid w:val="000F2812"/>
    <w:rsid w:val="000F293E"/>
    <w:rsid w:val="000F2B1F"/>
    <w:rsid w:val="000F2B4D"/>
    <w:rsid w:val="000F2CFB"/>
    <w:rsid w:val="000F2D34"/>
    <w:rsid w:val="000F2F24"/>
    <w:rsid w:val="000F304E"/>
    <w:rsid w:val="000F30ED"/>
    <w:rsid w:val="000F337C"/>
    <w:rsid w:val="000F3390"/>
    <w:rsid w:val="000F33E1"/>
    <w:rsid w:val="000F3552"/>
    <w:rsid w:val="000F3566"/>
    <w:rsid w:val="000F384B"/>
    <w:rsid w:val="000F47CB"/>
    <w:rsid w:val="000F4D1E"/>
    <w:rsid w:val="000F54EA"/>
    <w:rsid w:val="000F589C"/>
    <w:rsid w:val="000F5A44"/>
    <w:rsid w:val="000F5AAB"/>
    <w:rsid w:val="000F5C22"/>
    <w:rsid w:val="000F5C5E"/>
    <w:rsid w:val="000F5D5A"/>
    <w:rsid w:val="000F5E3D"/>
    <w:rsid w:val="000F616B"/>
    <w:rsid w:val="000F61E6"/>
    <w:rsid w:val="000F6C6D"/>
    <w:rsid w:val="000F6D52"/>
    <w:rsid w:val="000F7273"/>
    <w:rsid w:val="000F72D6"/>
    <w:rsid w:val="000F7340"/>
    <w:rsid w:val="000F7731"/>
    <w:rsid w:val="000F7D20"/>
    <w:rsid w:val="000F7D77"/>
    <w:rsid w:val="000F7DF7"/>
    <w:rsid w:val="000F7F6E"/>
    <w:rsid w:val="00100745"/>
    <w:rsid w:val="001007A3"/>
    <w:rsid w:val="00100AE6"/>
    <w:rsid w:val="00100B79"/>
    <w:rsid w:val="00100D4F"/>
    <w:rsid w:val="00100E43"/>
    <w:rsid w:val="0010113D"/>
    <w:rsid w:val="0010118C"/>
    <w:rsid w:val="00101529"/>
    <w:rsid w:val="00101641"/>
    <w:rsid w:val="001018AB"/>
    <w:rsid w:val="00101B48"/>
    <w:rsid w:val="00101CB4"/>
    <w:rsid w:val="00101DBE"/>
    <w:rsid w:val="0010204F"/>
    <w:rsid w:val="00102517"/>
    <w:rsid w:val="00102A0E"/>
    <w:rsid w:val="00102F56"/>
    <w:rsid w:val="00103401"/>
    <w:rsid w:val="00103622"/>
    <w:rsid w:val="0010387C"/>
    <w:rsid w:val="00103A4E"/>
    <w:rsid w:val="00103A95"/>
    <w:rsid w:val="00103BBB"/>
    <w:rsid w:val="00103FCF"/>
    <w:rsid w:val="001040A5"/>
    <w:rsid w:val="001041EA"/>
    <w:rsid w:val="0010462B"/>
    <w:rsid w:val="001048A3"/>
    <w:rsid w:val="00104AAE"/>
    <w:rsid w:val="00104E26"/>
    <w:rsid w:val="00104E3D"/>
    <w:rsid w:val="00104F07"/>
    <w:rsid w:val="00104FB1"/>
    <w:rsid w:val="00105015"/>
    <w:rsid w:val="0010501D"/>
    <w:rsid w:val="00105163"/>
    <w:rsid w:val="00105460"/>
    <w:rsid w:val="00105932"/>
    <w:rsid w:val="00105C63"/>
    <w:rsid w:val="00105DD5"/>
    <w:rsid w:val="00106040"/>
    <w:rsid w:val="00106179"/>
    <w:rsid w:val="001063CA"/>
    <w:rsid w:val="00106615"/>
    <w:rsid w:val="0010741D"/>
    <w:rsid w:val="00107526"/>
    <w:rsid w:val="00107ABF"/>
    <w:rsid w:val="001102ED"/>
    <w:rsid w:val="0011039B"/>
    <w:rsid w:val="00110540"/>
    <w:rsid w:val="001105EC"/>
    <w:rsid w:val="00110959"/>
    <w:rsid w:val="00110B27"/>
    <w:rsid w:val="00110C92"/>
    <w:rsid w:val="00110F3C"/>
    <w:rsid w:val="00111186"/>
    <w:rsid w:val="0011158E"/>
    <w:rsid w:val="001116A9"/>
    <w:rsid w:val="00111838"/>
    <w:rsid w:val="00111928"/>
    <w:rsid w:val="001119A4"/>
    <w:rsid w:val="00112282"/>
    <w:rsid w:val="0011268C"/>
    <w:rsid w:val="001126D8"/>
    <w:rsid w:val="0011293D"/>
    <w:rsid w:val="00112AF8"/>
    <w:rsid w:val="00112BB6"/>
    <w:rsid w:val="00112EEA"/>
    <w:rsid w:val="001134CB"/>
    <w:rsid w:val="00113696"/>
    <w:rsid w:val="001136F7"/>
    <w:rsid w:val="00113960"/>
    <w:rsid w:val="00113B50"/>
    <w:rsid w:val="00113F31"/>
    <w:rsid w:val="0011400D"/>
    <w:rsid w:val="0011439F"/>
    <w:rsid w:val="001143D2"/>
    <w:rsid w:val="0011457E"/>
    <w:rsid w:val="00114781"/>
    <w:rsid w:val="001149C5"/>
    <w:rsid w:val="00114B54"/>
    <w:rsid w:val="00114BE9"/>
    <w:rsid w:val="00114C18"/>
    <w:rsid w:val="00114D9E"/>
    <w:rsid w:val="00114F2B"/>
    <w:rsid w:val="001151F4"/>
    <w:rsid w:val="00115D75"/>
    <w:rsid w:val="0011632A"/>
    <w:rsid w:val="001164C1"/>
    <w:rsid w:val="00116895"/>
    <w:rsid w:val="00116A85"/>
    <w:rsid w:val="00116AB9"/>
    <w:rsid w:val="00117003"/>
    <w:rsid w:val="001170FC"/>
    <w:rsid w:val="00117211"/>
    <w:rsid w:val="00117578"/>
    <w:rsid w:val="00117601"/>
    <w:rsid w:val="001176B7"/>
    <w:rsid w:val="00117A23"/>
    <w:rsid w:val="0012015E"/>
    <w:rsid w:val="00120B59"/>
    <w:rsid w:val="00120B86"/>
    <w:rsid w:val="00120D37"/>
    <w:rsid w:val="0012130F"/>
    <w:rsid w:val="00121339"/>
    <w:rsid w:val="001214C1"/>
    <w:rsid w:val="00121621"/>
    <w:rsid w:val="0012181E"/>
    <w:rsid w:val="00122387"/>
    <w:rsid w:val="0012239A"/>
    <w:rsid w:val="00122B67"/>
    <w:rsid w:val="00122E4C"/>
    <w:rsid w:val="00122EA0"/>
    <w:rsid w:val="001232AC"/>
    <w:rsid w:val="001233AD"/>
    <w:rsid w:val="0012345C"/>
    <w:rsid w:val="001234AC"/>
    <w:rsid w:val="001235CF"/>
    <w:rsid w:val="001235EE"/>
    <w:rsid w:val="001235FA"/>
    <w:rsid w:val="001236BC"/>
    <w:rsid w:val="001238B3"/>
    <w:rsid w:val="00123AD3"/>
    <w:rsid w:val="00123DDA"/>
    <w:rsid w:val="00123E6E"/>
    <w:rsid w:val="00124241"/>
    <w:rsid w:val="00124679"/>
    <w:rsid w:val="00124B34"/>
    <w:rsid w:val="00124B42"/>
    <w:rsid w:val="00124B55"/>
    <w:rsid w:val="0012501C"/>
    <w:rsid w:val="00125172"/>
    <w:rsid w:val="0012532E"/>
    <w:rsid w:val="001254D2"/>
    <w:rsid w:val="001255B3"/>
    <w:rsid w:val="00125740"/>
    <w:rsid w:val="00125A4C"/>
    <w:rsid w:val="00125D1F"/>
    <w:rsid w:val="001263BC"/>
    <w:rsid w:val="001263CD"/>
    <w:rsid w:val="001265CF"/>
    <w:rsid w:val="0012695D"/>
    <w:rsid w:val="001269DB"/>
    <w:rsid w:val="00126B60"/>
    <w:rsid w:val="00126E92"/>
    <w:rsid w:val="001273CC"/>
    <w:rsid w:val="0012742F"/>
    <w:rsid w:val="00127447"/>
    <w:rsid w:val="001275F2"/>
    <w:rsid w:val="001277F9"/>
    <w:rsid w:val="00127A61"/>
    <w:rsid w:val="0013009A"/>
    <w:rsid w:val="00130191"/>
    <w:rsid w:val="00130382"/>
    <w:rsid w:val="001303C9"/>
    <w:rsid w:val="0013042B"/>
    <w:rsid w:val="00130552"/>
    <w:rsid w:val="00130908"/>
    <w:rsid w:val="00130BC3"/>
    <w:rsid w:val="00130CED"/>
    <w:rsid w:val="00130D62"/>
    <w:rsid w:val="001312CA"/>
    <w:rsid w:val="001313B8"/>
    <w:rsid w:val="00131417"/>
    <w:rsid w:val="0013158F"/>
    <w:rsid w:val="0013180C"/>
    <w:rsid w:val="00131858"/>
    <w:rsid w:val="0013191B"/>
    <w:rsid w:val="00131A0F"/>
    <w:rsid w:val="00131B37"/>
    <w:rsid w:val="00131C09"/>
    <w:rsid w:val="00131D0B"/>
    <w:rsid w:val="00131E4B"/>
    <w:rsid w:val="00131F31"/>
    <w:rsid w:val="00132587"/>
    <w:rsid w:val="001326D1"/>
    <w:rsid w:val="00132CCD"/>
    <w:rsid w:val="00132E31"/>
    <w:rsid w:val="00133476"/>
    <w:rsid w:val="00133A9A"/>
    <w:rsid w:val="00133AA4"/>
    <w:rsid w:val="00133C92"/>
    <w:rsid w:val="00133E2A"/>
    <w:rsid w:val="00133E73"/>
    <w:rsid w:val="00133F83"/>
    <w:rsid w:val="0013418D"/>
    <w:rsid w:val="00134226"/>
    <w:rsid w:val="001345E1"/>
    <w:rsid w:val="00134D5E"/>
    <w:rsid w:val="00134E0E"/>
    <w:rsid w:val="00134F66"/>
    <w:rsid w:val="001350AA"/>
    <w:rsid w:val="001350CA"/>
    <w:rsid w:val="0013522A"/>
    <w:rsid w:val="0013581E"/>
    <w:rsid w:val="0013594B"/>
    <w:rsid w:val="00135983"/>
    <w:rsid w:val="001359FB"/>
    <w:rsid w:val="00135A5C"/>
    <w:rsid w:val="00135A8C"/>
    <w:rsid w:val="00135CC6"/>
    <w:rsid w:val="00135D19"/>
    <w:rsid w:val="00136148"/>
    <w:rsid w:val="00136200"/>
    <w:rsid w:val="00136294"/>
    <w:rsid w:val="0013641A"/>
    <w:rsid w:val="00136754"/>
    <w:rsid w:val="00136955"/>
    <w:rsid w:val="00136B27"/>
    <w:rsid w:val="00137401"/>
    <w:rsid w:val="001374F0"/>
    <w:rsid w:val="001377A8"/>
    <w:rsid w:val="00137ACD"/>
    <w:rsid w:val="00137F51"/>
    <w:rsid w:val="00137F93"/>
    <w:rsid w:val="0014045C"/>
    <w:rsid w:val="00140528"/>
    <w:rsid w:val="001406D4"/>
    <w:rsid w:val="001406D5"/>
    <w:rsid w:val="0014072B"/>
    <w:rsid w:val="0014073E"/>
    <w:rsid w:val="00140762"/>
    <w:rsid w:val="0014081D"/>
    <w:rsid w:val="00140866"/>
    <w:rsid w:val="00140929"/>
    <w:rsid w:val="00140D67"/>
    <w:rsid w:val="00140E5C"/>
    <w:rsid w:val="00140F6D"/>
    <w:rsid w:val="00141120"/>
    <w:rsid w:val="0014130A"/>
    <w:rsid w:val="001416F1"/>
    <w:rsid w:val="001417EE"/>
    <w:rsid w:val="00141A94"/>
    <w:rsid w:val="00141A99"/>
    <w:rsid w:val="00141ABF"/>
    <w:rsid w:val="00141D1D"/>
    <w:rsid w:val="00141D79"/>
    <w:rsid w:val="00142540"/>
    <w:rsid w:val="00142692"/>
    <w:rsid w:val="001426C1"/>
    <w:rsid w:val="0014286B"/>
    <w:rsid w:val="00142934"/>
    <w:rsid w:val="00142D65"/>
    <w:rsid w:val="001433A1"/>
    <w:rsid w:val="001434A5"/>
    <w:rsid w:val="001435A8"/>
    <w:rsid w:val="00143786"/>
    <w:rsid w:val="00144036"/>
    <w:rsid w:val="0014427E"/>
    <w:rsid w:val="00144525"/>
    <w:rsid w:val="001445BF"/>
    <w:rsid w:val="00144781"/>
    <w:rsid w:val="00144857"/>
    <w:rsid w:val="001449B5"/>
    <w:rsid w:val="00144A99"/>
    <w:rsid w:val="00144EEE"/>
    <w:rsid w:val="00144FEC"/>
    <w:rsid w:val="001452CB"/>
    <w:rsid w:val="00145640"/>
    <w:rsid w:val="001456B5"/>
    <w:rsid w:val="001457BC"/>
    <w:rsid w:val="00145B54"/>
    <w:rsid w:val="00145D5E"/>
    <w:rsid w:val="00145E00"/>
    <w:rsid w:val="00145ED1"/>
    <w:rsid w:val="0014608E"/>
    <w:rsid w:val="00146119"/>
    <w:rsid w:val="001465DC"/>
    <w:rsid w:val="00146681"/>
    <w:rsid w:val="001467FC"/>
    <w:rsid w:val="001469B6"/>
    <w:rsid w:val="00146A50"/>
    <w:rsid w:val="00146B6B"/>
    <w:rsid w:val="00146E44"/>
    <w:rsid w:val="00146E4A"/>
    <w:rsid w:val="00146EE0"/>
    <w:rsid w:val="00146FE9"/>
    <w:rsid w:val="0014721D"/>
    <w:rsid w:val="0014728C"/>
    <w:rsid w:val="001472A0"/>
    <w:rsid w:val="0014737E"/>
    <w:rsid w:val="001474DB"/>
    <w:rsid w:val="0014751B"/>
    <w:rsid w:val="001476FB"/>
    <w:rsid w:val="00147740"/>
    <w:rsid w:val="001479AA"/>
    <w:rsid w:val="001479D1"/>
    <w:rsid w:val="00147E20"/>
    <w:rsid w:val="00150047"/>
    <w:rsid w:val="001500AB"/>
    <w:rsid w:val="00150364"/>
    <w:rsid w:val="001505C6"/>
    <w:rsid w:val="001505F0"/>
    <w:rsid w:val="001508DF"/>
    <w:rsid w:val="0015093D"/>
    <w:rsid w:val="001509E1"/>
    <w:rsid w:val="00150ADF"/>
    <w:rsid w:val="00150B77"/>
    <w:rsid w:val="00150CFC"/>
    <w:rsid w:val="00150DFA"/>
    <w:rsid w:val="00150FC5"/>
    <w:rsid w:val="00151CE8"/>
    <w:rsid w:val="00151DAA"/>
    <w:rsid w:val="00151FC2"/>
    <w:rsid w:val="00152E73"/>
    <w:rsid w:val="00152E83"/>
    <w:rsid w:val="0015334C"/>
    <w:rsid w:val="001533C6"/>
    <w:rsid w:val="0015358D"/>
    <w:rsid w:val="001538DF"/>
    <w:rsid w:val="00153950"/>
    <w:rsid w:val="00153AB7"/>
    <w:rsid w:val="00153E0A"/>
    <w:rsid w:val="00153E74"/>
    <w:rsid w:val="00153F27"/>
    <w:rsid w:val="00153F8F"/>
    <w:rsid w:val="0015404D"/>
    <w:rsid w:val="001542CB"/>
    <w:rsid w:val="00154326"/>
    <w:rsid w:val="0015475D"/>
    <w:rsid w:val="001547CB"/>
    <w:rsid w:val="00154A4E"/>
    <w:rsid w:val="00154AA5"/>
    <w:rsid w:val="00154E5F"/>
    <w:rsid w:val="0015561A"/>
    <w:rsid w:val="001556D3"/>
    <w:rsid w:val="001559B1"/>
    <w:rsid w:val="0015606F"/>
    <w:rsid w:val="0015649A"/>
    <w:rsid w:val="00156592"/>
    <w:rsid w:val="001566F9"/>
    <w:rsid w:val="00156844"/>
    <w:rsid w:val="001569EC"/>
    <w:rsid w:val="00156B15"/>
    <w:rsid w:val="00156DCF"/>
    <w:rsid w:val="00156F1C"/>
    <w:rsid w:val="00157106"/>
    <w:rsid w:val="001571D3"/>
    <w:rsid w:val="001571FD"/>
    <w:rsid w:val="0015789E"/>
    <w:rsid w:val="001578C4"/>
    <w:rsid w:val="00157BD7"/>
    <w:rsid w:val="00157D08"/>
    <w:rsid w:val="00157D21"/>
    <w:rsid w:val="00157D98"/>
    <w:rsid w:val="00157FCA"/>
    <w:rsid w:val="0016004B"/>
    <w:rsid w:val="001608B6"/>
    <w:rsid w:val="001608E5"/>
    <w:rsid w:val="001609D8"/>
    <w:rsid w:val="00160F3B"/>
    <w:rsid w:val="001610B9"/>
    <w:rsid w:val="001613CA"/>
    <w:rsid w:val="00161443"/>
    <w:rsid w:val="001615E5"/>
    <w:rsid w:val="00161814"/>
    <w:rsid w:val="001619AD"/>
    <w:rsid w:val="00161F8E"/>
    <w:rsid w:val="0016230A"/>
    <w:rsid w:val="00162331"/>
    <w:rsid w:val="001623EE"/>
    <w:rsid w:val="0016287C"/>
    <w:rsid w:val="00162A78"/>
    <w:rsid w:val="00162C8A"/>
    <w:rsid w:val="00162F2C"/>
    <w:rsid w:val="0016307D"/>
    <w:rsid w:val="00163195"/>
    <w:rsid w:val="001634A7"/>
    <w:rsid w:val="001635F5"/>
    <w:rsid w:val="00163881"/>
    <w:rsid w:val="001638C9"/>
    <w:rsid w:val="0016398C"/>
    <w:rsid w:val="00163A2D"/>
    <w:rsid w:val="00163B15"/>
    <w:rsid w:val="00163EF5"/>
    <w:rsid w:val="0016404B"/>
    <w:rsid w:val="001640EB"/>
    <w:rsid w:val="001641F7"/>
    <w:rsid w:val="001645E9"/>
    <w:rsid w:val="001647EB"/>
    <w:rsid w:val="0016532A"/>
    <w:rsid w:val="001653F7"/>
    <w:rsid w:val="0016555C"/>
    <w:rsid w:val="001659E4"/>
    <w:rsid w:val="00165A1B"/>
    <w:rsid w:val="00165B70"/>
    <w:rsid w:val="00165F07"/>
    <w:rsid w:val="00166254"/>
    <w:rsid w:val="001662C9"/>
    <w:rsid w:val="0016665B"/>
    <w:rsid w:val="00166A36"/>
    <w:rsid w:val="00166C15"/>
    <w:rsid w:val="00166DAB"/>
    <w:rsid w:val="0016703A"/>
    <w:rsid w:val="00167353"/>
    <w:rsid w:val="001676C7"/>
    <w:rsid w:val="00167B46"/>
    <w:rsid w:val="00167D15"/>
    <w:rsid w:val="00167DAF"/>
    <w:rsid w:val="00170775"/>
    <w:rsid w:val="001708B9"/>
    <w:rsid w:val="001708E3"/>
    <w:rsid w:val="00170DB1"/>
    <w:rsid w:val="00170F8F"/>
    <w:rsid w:val="001710E3"/>
    <w:rsid w:val="00171BCA"/>
    <w:rsid w:val="00171CC2"/>
    <w:rsid w:val="00171E14"/>
    <w:rsid w:val="00171F4B"/>
    <w:rsid w:val="00172281"/>
    <w:rsid w:val="001725AE"/>
    <w:rsid w:val="00172665"/>
    <w:rsid w:val="001727FC"/>
    <w:rsid w:val="0017280D"/>
    <w:rsid w:val="0017285F"/>
    <w:rsid w:val="00172B25"/>
    <w:rsid w:val="00172B68"/>
    <w:rsid w:val="00172ED7"/>
    <w:rsid w:val="00173290"/>
    <w:rsid w:val="001732E6"/>
    <w:rsid w:val="0017350C"/>
    <w:rsid w:val="00173512"/>
    <w:rsid w:val="00173D14"/>
    <w:rsid w:val="00173E3B"/>
    <w:rsid w:val="00173F37"/>
    <w:rsid w:val="001741BC"/>
    <w:rsid w:val="001742E2"/>
    <w:rsid w:val="00174511"/>
    <w:rsid w:val="00174531"/>
    <w:rsid w:val="00174825"/>
    <w:rsid w:val="001748DA"/>
    <w:rsid w:val="00174D6C"/>
    <w:rsid w:val="00174FC9"/>
    <w:rsid w:val="00175016"/>
    <w:rsid w:val="0017535A"/>
    <w:rsid w:val="0017570B"/>
    <w:rsid w:val="001757CE"/>
    <w:rsid w:val="001757D5"/>
    <w:rsid w:val="0017600F"/>
    <w:rsid w:val="00176174"/>
    <w:rsid w:val="00176628"/>
    <w:rsid w:val="00176910"/>
    <w:rsid w:val="001769FC"/>
    <w:rsid w:val="00176EF7"/>
    <w:rsid w:val="001772FB"/>
    <w:rsid w:val="001773A5"/>
    <w:rsid w:val="00177428"/>
    <w:rsid w:val="001774AE"/>
    <w:rsid w:val="00177537"/>
    <w:rsid w:val="00177605"/>
    <w:rsid w:val="0017766A"/>
    <w:rsid w:val="0017788E"/>
    <w:rsid w:val="00177995"/>
    <w:rsid w:val="00177A64"/>
    <w:rsid w:val="00177B3B"/>
    <w:rsid w:val="00177B6E"/>
    <w:rsid w:val="00177F22"/>
    <w:rsid w:val="00177F59"/>
    <w:rsid w:val="0018018A"/>
    <w:rsid w:val="001802A6"/>
    <w:rsid w:val="001804DD"/>
    <w:rsid w:val="00180A69"/>
    <w:rsid w:val="00180AC5"/>
    <w:rsid w:val="00180B07"/>
    <w:rsid w:val="00180BDA"/>
    <w:rsid w:val="00180BDE"/>
    <w:rsid w:val="00180E0C"/>
    <w:rsid w:val="0018108F"/>
    <w:rsid w:val="001810D5"/>
    <w:rsid w:val="001811CF"/>
    <w:rsid w:val="00181639"/>
    <w:rsid w:val="00181656"/>
    <w:rsid w:val="00181E6C"/>
    <w:rsid w:val="0018213F"/>
    <w:rsid w:val="0018214E"/>
    <w:rsid w:val="0018220C"/>
    <w:rsid w:val="0018234D"/>
    <w:rsid w:val="001823A5"/>
    <w:rsid w:val="001826AD"/>
    <w:rsid w:val="00182802"/>
    <w:rsid w:val="001828CE"/>
    <w:rsid w:val="001829CB"/>
    <w:rsid w:val="00182D22"/>
    <w:rsid w:val="00183007"/>
    <w:rsid w:val="00183179"/>
    <w:rsid w:val="001831B0"/>
    <w:rsid w:val="001832A4"/>
    <w:rsid w:val="001836DB"/>
    <w:rsid w:val="00183732"/>
    <w:rsid w:val="0018373E"/>
    <w:rsid w:val="0018398B"/>
    <w:rsid w:val="001839DF"/>
    <w:rsid w:val="00183DBB"/>
    <w:rsid w:val="00183ED9"/>
    <w:rsid w:val="001840CE"/>
    <w:rsid w:val="001842AD"/>
    <w:rsid w:val="001843A0"/>
    <w:rsid w:val="001845DA"/>
    <w:rsid w:val="00184683"/>
    <w:rsid w:val="00184730"/>
    <w:rsid w:val="00184C28"/>
    <w:rsid w:val="0018557F"/>
    <w:rsid w:val="00185591"/>
    <w:rsid w:val="001855C7"/>
    <w:rsid w:val="00185709"/>
    <w:rsid w:val="00185FED"/>
    <w:rsid w:val="00186371"/>
    <w:rsid w:val="00186DA4"/>
    <w:rsid w:val="00186FC8"/>
    <w:rsid w:val="0018718B"/>
    <w:rsid w:val="001871AE"/>
    <w:rsid w:val="001872DC"/>
    <w:rsid w:val="001872EE"/>
    <w:rsid w:val="0018730B"/>
    <w:rsid w:val="0018759F"/>
    <w:rsid w:val="0018775A"/>
    <w:rsid w:val="00187840"/>
    <w:rsid w:val="00187F7F"/>
    <w:rsid w:val="0019024B"/>
    <w:rsid w:val="00190412"/>
    <w:rsid w:val="001908C6"/>
    <w:rsid w:val="00190A25"/>
    <w:rsid w:val="00190D66"/>
    <w:rsid w:val="00190F19"/>
    <w:rsid w:val="00191150"/>
    <w:rsid w:val="001912FC"/>
    <w:rsid w:val="0019133A"/>
    <w:rsid w:val="00191342"/>
    <w:rsid w:val="0019134F"/>
    <w:rsid w:val="0019146F"/>
    <w:rsid w:val="001915A0"/>
    <w:rsid w:val="0019167C"/>
    <w:rsid w:val="0019190F"/>
    <w:rsid w:val="00191978"/>
    <w:rsid w:val="001922B1"/>
    <w:rsid w:val="00192BB1"/>
    <w:rsid w:val="00192D96"/>
    <w:rsid w:val="00193097"/>
    <w:rsid w:val="00193328"/>
    <w:rsid w:val="00193540"/>
    <w:rsid w:val="0019380D"/>
    <w:rsid w:val="00193AB9"/>
    <w:rsid w:val="00193E2E"/>
    <w:rsid w:val="00193EA1"/>
    <w:rsid w:val="001941C6"/>
    <w:rsid w:val="0019436A"/>
    <w:rsid w:val="0019474E"/>
    <w:rsid w:val="001949D7"/>
    <w:rsid w:val="001949F2"/>
    <w:rsid w:val="00195209"/>
    <w:rsid w:val="001953C1"/>
    <w:rsid w:val="00195493"/>
    <w:rsid w:val="001958ED"/>
    <w:rsid w:val="00195994"/>
    <w:rsid w:val="001959AE"/>
    <w:rsid w:val="001959E8"/>
    <w:rsid w:val="0019603A"/>
    <w:rsid w:val="00196092"/>
    <w:rsid w:val="00196449"/>
    <w:rsid w:val="00196463"/>
    <w:rsid w:val="0019646B"/>
    <w:rsid w:val="00196B4D"/>
    <w:rsid w:val="00196CC2"/>
    <w:rsid w:val="00196E26"/>
    <w:rsid w:val="001971F3"/>
    <w:rsid w:val="00197257"/>
    <w:rsid w:val="00197298"/>
    <w:rsid w:val="00197419"/>
    <w:rsid w:val="001975EF"/>
    <w:rsid w:val="0019765A"/>
    <w:rsid w:val="00197820"/>
    <w:rsid w:val="0019785F"/>
    <w:rsid w:val="00197B9C"/>
    <w:rsid w:val="00197BC1"/>
    <w:rsid w:val="00197F60"/>
    <w:rsid w:val="001A0002"/>
    <w:rsid w:val="001A0CD0"/>
    <w:rsid w:val="001A1055"/>
    <w:rsid w:val="001A123E"/>
    <w:rsid w:val="001A125D"/>
    <w:rsid w:val="001A16B7"/>
    <w:rsid w:val="001A1792"/>
    <w:rsid w:val="001A1CDF"/>
    <w:rsid w:val="001A1EF5"/>
    <w:rsid w:val="001A21FA"/>
    <w:rsid w:val="001A26EE"/>
    <w:rsid w:val="001A27C6"/>
    <w:rsid w:val="001A2829"/>
    <w:rsid w:val="001A2864"/>
    <w:rsid w:val="001A296F"/>
    <w:rsid w:val="001A2980"/>
    <w:rsid w:val="001A2AA6"/>
    <w:rsid w:val="001A3072"/>
    <w:rsid w:val="001A37D4"/>
    <w:rsid w:val="001A3A68"/>
    <w:rsid w:val="001A3B1F"/>
    <w:rsid w:val="001A3B6D"/>
    <w:rsid w:val="001A3CD3"/>
    <w:rsid w:val="001A4187"/>
    <w:rsid w:val="001A4462"/>
    <w:rsid w:val="001A45CF"/>
    <w:rsid w:val="001A46C6"/>
    <w:rsid w:val="001A46FD"/>
    <w:rsid w:val="001A4A8C"/>
    <w:rsid w:val="001A4C4D"/>
    <w:rsid w:val="001A4CC3"/>
    <w:rsid w:val="001A4E61"/>
    <w:rsid w:val="001A50A6"/>
    <w:rsid w:val="001A53D6"/>
    <w:rsid w:val="001A598A"/>
    <w:rsid w:val="001A59AC"/>
    <w:rsid w:val="001A5A5D"/>
    <w:rsid w:val="001A5F33"/>
    <w:rsid w:val="001A6143"/>
    <w:rsid w:val="001A63B2"/>
    <w:rsid w:val="001A6967"/>
    <w:rsid w:val="001A6BA4"/>
    <w:rsid w:val="001A6D1B"/>
    <w:rsid w:val="001A6D7D"/>
    <w:rsid w:val="001A6DF9"/>
    <w:rsid w:val="001A70B5"/>
    <w:rsid w:val="001A74CC"/>
    <w:rsid w:val="001A7657"/>
    <w:rsid w:val="001A7658"/>
    <w:rsid w:val="001B025C"/>
    <w:rsid w:val="001B0409"/>
    <w:rsid w:val="001B0724"/>
    <w:rsid w:val="001B0AF8"/>
    <w:rsid w:val="001B0F94"/>
    <w:rsid w:val="001B18A8"/>
    <w:rsid w:val="001B1EEC"/>
    <w:rsid w:val="001B2351"/>
    <w:rsid w:val="001B27AD"/>
    <w:rsid w:val="001B27F6"/>
    <w:rsid w:val="001B2AD1"/>
    <w:rsid w:val="001B33D9"/>
    <w:rsid w:val="001B3557"/>
    <w:rsid w:val="001B3575"/>
    <w:rsid w:val="001B35CB"/>
    <w:rsid w:val="001B393B"/>
    <w:rsid w:val="001B3A06"/>
    <w:rsid w:val="001B3C76"/>
    <w:rsid w:val="001B3DE7"/>
    <w:rsid w:val="001B3E75"/>
    <w:rsid w:val="001B3F86"/>
    <w:rsid w:val="001B4567"/>
    <w:rsid w:val="001B4680"/>
    <w:rsid w:val="001B4781"/>
    <w:rsid w:val="001B4822"/>
    <w:rsid w:val="001B48B4"/>
    <w:rsid w:val="001B48BD"/>
    <w:rsid w:val="001B4CE3"/>
    <w:rsid w:val="001B4E67"/>
    <w:rsid w:val="001B4F51"/>
    <w:rsid w:val="001B4F86"/>
    <w:rsid w:val="001B537F"/>
    <w:rsid w:val="001B54BD"/>
    <w:rsid w:val="001B573C"/>
    <w:rsid w:val="001B57B2"/>
    <w:rsid w:val="001B5C19"/>
    <w:rsid w:val="001B5E86"/>
    <w:rsid w:val="001B64D1"/>
    <w:rsid w:val="001B687F"/>
    <w:rsid w:val="001B69F7"/>
    <w:rsid w:val="001B6A40"/>
    <w:rsid w:val="001B6EB7"/>
    <w:rsid w:val="001B703B"/>
    <w:rsid w:val="001B710C"/>
    <w:rsid w:val="001B718A"/>
    <w:rsid w:val="001B74A6"/>
    <w:rsid w:val="001B74C6"/>
    <w:rsid w:val="001B764B"/>
    <w:rsid w:val="001B7714"/>
    <w:rsid w:val="001B7763"/>
    <w:rsid w:val="001B7A2E"/>
    <w:rsid w:val="001B7E15"/>
    <w:rsid w:val="001B7E9B"/>
    <w:rsid w:val="001B7FDD"/>
    <w:rsid w:val="001C04A0"/>
    <w:rsid w:val="001C06E6"/>
    <w:rsid w:val="001C07DD"/>
    <w:rsid w:val="001C09CE"/>
    <w:rsid w:val="001C102E"/>
    <w:rsid w:val="001C146E"/>
    <w:rsid w:val="001C197B"/>
    <w:rsid w:val="001C22D2"/>
    <w:rsid w:val="001C27D5"/>
    <w:rsid w:val="001C2836"/>
    <w:rsid w:val="001C29FC"/>
    <w:rsid w:val="001C36C8"/>
    <w:rsid w:val="001C3806"/>
    <w:rsid w:val="001C3ADB"/>
    <w:rsid w:val="001C3CB2"/>
    <w:rsid w:val="001C3CE1"/>
    <w:rsid w:val="001C3E19"/>
    <w:rsid w:val="001C3E66"/>
    <w:rsid w:val="001C3FE3"/>
    <w:rsid w:val="001C41C9"/>
    <w:rsid w:val="001C45F2"/>
    <w:rsid w:val="001C48AC"/>
    <w:rsid w:val="001C48D4"/>
    <w:rsid w:val="001C49D1"/>
    <w:rsid w:val="001C4CD6"/>
    <w:rsid w:val="001C519B"/>
    <w:rsid w:val="001C5538"/>
    <w:rsid w:val="001C5761"/>
    <w:rsid w:val="001C5B43"/>
    <w:rsid w:val="001C5DF2"/>
    <w:rsid w:val="001C6037"/>
    <w:rsid w:val="001C6038"/>
    <w:rsid w:val="001C6155"/>
    <w:rsid w:val="001C666C"/>
    <w:rsid w:val="001C6AA3"/>
    <w:rsid w:val="001C6C27"/>
    <w:rsid w:val="001C6CBD"/>
    <w:rsid w:val="001C78F2"/>
    <w:rsid w:val="001D0263"/>
    <w:rsid w:val="001D03A7"/>
    <w:rsid w:val="001D03BB"/>
    <w:rsid w:val="001D0558"/>
    <w:rsid w:val="001D0619"/>
    <w:rsid w:val="001D0641"/>
    <w:rsid w:val="001D073A"/>
    <w:rsid w:val="001D0BC8"/>
    <w:rsid w:val="001D0BF5"/>
    <w:rsid w:val="001D0C33"/>
    <w:rsid w:val="001D0E34"/>
    <w:rsid w:val="001D0E5E"/>
    <w:rsid w:val="001D0F47"/>
    <w:rsid w:val="001D10C2"/>
    <w:rsid w:val="001D1152"/>
    <w:rsid w:val="001D118B"/>
    <w:rsid w:val="001D1313"/>
    <w:rsid w:val="001D158A"/>
    <w:rsid w:val="001D15E6"/>
    <w:rsid w:val="001D1E53"/>
    <w:rsid w:val="001D1F2B"/>
    <w:rsid w:val="001D1F92"/>
    <w:rsid w:val="001D1F9C"/>
    <w:rsid w:val="001D206E"/>
    <w:rsid w:val="001D216E"/>
    <w:rsid w:val="001D23FD"/>
    <w:rsid w:val="001D2559"/>
    <w:rsid w:val="001D2601"/>
    <w:rsid w:val="001D266C"/>
    <w:rsid w:val="001D2685"/>
    <w:rsid w:val="001D29D9"/>
    <w:rsid w:val="001D2A75"/>
    <w:rsid w:val="001D2D8D"/>
    <w:rsid w:val="001D30FB"/>
    <w:rsid w:val="001D33B4"/>
    <w:rsid w:val="001D3785"/>
    <w:rsid w:val="001D3815"/>
    <w:rsid w:val="001D391E"/>
    <w:rsid w:val="001D39E0"/>
    <w:rsid w:val="001D3C44"/>
    <w:rsid w:val="001D3E00"/>
    <w:rsid w:val="001D3FD6"/>
    <w:rsid w:val="001D426E"/>
    <w:rsid w:val="001D43A0"/>
    <w:rsid w:val="001D4AFF"/>
    <w:rsid w:val="001D53A2"/>
    <w:rsid w:val="001D5463"/>
    <w:rsid w:val="001D54C4"/>
    <w:rsid w:val="001D5755"/>
    <w:rsid w:val="001D5824"/>
    <w:rsid w:val="001D5A37"/>
    <w:rsid w:val="001D5C2C"/>
    <w:rsid w:val="001D5C55"/>
    <w:rsid w:val="001D5FCB"/>
    <w:rsid w:val="001D608B"/>
    <w:rsid w:val="001D62D5"/>
    <w:rsid w:val="001D62F9"/>
    <w:rsid w:val="001D6546"/>
    <w:rsid w:val="001D6632"/>
    <w:rsid w:val="001D69B8"/>
    <w:rsid w:val="001D6F12"/>
    <w:rsid w:val="001D7D22"/>
    <w:rsid w:val="001D7ED2"/>
    <w:rsid w:val="001E016B"/>
    <w:rsid w:val="001E046C"/>
    <w:rsid w:val="001E064E"/>
    <w:rsid w:val="001E064F"/>
    <w:rsid w:val="001E0683"/>
    <w:rsid w:val="001E0D4A"/>
    <w:rsid w:val="001E1123"/>
    <w:rsid w:val="001E116B"/>
    <w:rsid w:val="001E12E5"/>
    <w:rsid w:val="001E14B9"/>
    <w:rsid w:val="001E1772"/>
    <w:rsid w:val="001E1B90"/>
    <w:rsid w:val="001E1CF6"/>
    <w:rsid w:val="001E1D0B"/>
    <w:rsid w:val="001E236F"/>
    <w:rsid w:val="001E241C"/>
    <w:rsid w:val="001E28E7"/>
    <w:rsid w:val="001E2CAA"/>
    <w:rsid w:val="001E2EFE"/>
    <w:rsid w:val="001E30A7"/>
    <w:rsid w:val="001E349B"/>
    <w:rsid w:val="001E36BC"/>
    <w:rsid w:val="001E3AF7"/>
    <w:rsid w:val="001E3AFE"/>
    <w:rsid w:val="001E3FEB"/>
    <w:rsid w:val="001E4091"/>
    <w:rsid w:val="001E4651"/>
    <w:rsid w:val="001E4A7C"/>
    <w:rsid w:val="001E4C57"/>
    <w:rsid w:val="001E4CD3"/>
    <w:rsid w:val="001E4D76"/>
    <w:rsid w:val="001E4F9B"/>
    <w:rsid w:val="001E53EC"/>
    <w:rsid w:val="001E53F6"/>
    <w:rsid w:val="001E5763"/>
    <w:rsid w:val="001E580D"/>
    <w:rsid w:val="001E603A"/>
    <w:rsid w:val="001E6090"/>
    <w:rsid w:val="001E62F6"/>
    <w:rsid w:val="001E684B"/>
    <w:rsid w:val="001E6912"/>
    <w:rsid w:val="001E6DB8"/>
    <w:rsid w:val="001E6DFC"/>
    <w:rsid w:val="001E6E1A"/>
    <w:rsid w:val="001E7403"/>
    <w:rsid w:val="001E75A9"/>
    <w:rsid w:val="001E7B48"/>
    <w:rsid w:val="001E7D3E"/>
    <w:rsid w:val="001E7DEC"/>
    <w:rsid w:val="001E7F4C"/>
    <w:rsid w:val="001E7FED"/>
    <w:rsid w:val="001F03E9"/>
    <w:rsid w:val="001F0793"/>
    <w:rsid w:val="001F07C4"/>
    <w:rsid w:val="001F0A30"/>
    <w:rsid w:val="001F0EE9"/>
    <w:rsid w:val="001F111F"/>
    <w:rsid w:val="001F1337"/>
    <w:rsid w:val="001F1A3F"/>
    <w:rsid w:val="001F1BE3"/>
    <w:rsid w:val="001F1C0B"/>
    <w:rsid w:val="001F1C3D"/>
    <w:rsid w:val="001F1C85"/>
    <w:rsid w:val="001F2152"/>
    <w:rsid w:val="001F2162"/>
    <w:rsid w:val="001F223D"/>
    <w:rsid w:val="001F23D7"/>
    <w:rsid w:val="001F2777"/>
    <w:rsid w:val="001F27C4"/>
    <w:rsid w:val="001F2B86"/>
    <w:rsid w:val="001F2E8E"/>
    <w:rsid w:val="001F3235"/>
    <w:rsid w:val="001F38A8"/>
    <w:rsid w:val="001F38BE"/>
    <w:rsid w:val="001F3AF5"/>
    <w:rsid w:val="001F3B85"/>
    <w:rsid w:val="001F3ED5"/>
    <w:rsid w:val="001F4098"/>
    <w:rsid w:val="001F4348"/>
    <w:rsid w:val="001F4442"/>
    <w:rsid w:val="001F48D9"/>
    <w:rsid w:val="001F4996"/>
    <w:rsid w:val="001F4B59"/>
    <w:rsid w:val="001F4BD3"/>
    <w:rsid w:val="001F4FE5"/>
    <w:rsid w:val="001F544F"/>
    <w:rsid w:val="001F5466"/>
    <w:rsid w:val="001F55B0"/>
    <w:rsid w:val="001F5A2D"/>
    <w:rsid w:val="001F5EBD"/>
    <w:rsid w:val="001F5F46"/>
    <w:rsid w:val="001F61B8"/>
    <w:rsid w:val="001F6339"/>
    <w:rsid w:val="001F6490"/>
    <w:rsid w:val="001F6839"/>
    <w:rsid w:val="001F69D6"/>
    <w:rsid w:val="001F6CE9"/>
    <w:rsid w:val="001F6F46"/>
    <w:rsid w:val="001F72A2"/>
    <w:rsid w:val="001F7345"/>
    <w:rsid w:val="001F7C2F"/>
    <w:rsid w:val="001F7EA3"/>
    <w:rsid w:val="0020000E"/>
    <w:rsid w:val="00200079"/>
    <w:rsid w:val="002002DE"/>
    <w:rsid w:val="00200592"/>
    <w:rsid w:val="0020096A"/>
    <w:rsid w:val="00200B12"/>
    <w:rsid w:val="00200DE2"/>
    <w:rsid w:val="00200E52"/>
    <w:rsid w:val="00200E7F"/>
    <w:rsid w:val="002010D5"/>
    <w:rsid w:val="00201183"/>
    <w:rsid w:val="0020118F"/>
    <w:rsid w:val="00201388"/>
    <w:rsid w:val="002015E5"/>
    <w:rsid w:val="0020162E"/>
    <w:rsid w:val="002017D9"/>
    <w:rsid w:val="00201988"/>
    <w:rsid w:val="00201C9E"/>
    <w:rsid w:val="00202511"/>
    <w:rsid w:val="0020275D"/>
    <w:rsid w:val="002029AA"/>
    <w:rsid w:val="00202CB4"/>
    <w:rsid w:val="00202CD2"/>
    <w:rsid w:val="00202D9D"/>
    <w:rsid w:val="00203663"/>
    <w:rsid w:val="00203E7A"/>
    <w:rsid w:val="00203E7F"/>
    <w:rsid w:val="00203F9B"/>
    <w:rsid w:val="0020433A"/>
    <w:rsid w:val="00204508"/>
    <w:rsid w:val="00204BE2"/>
    <w:rsid w:val="00204CBA"/>
    <w:rsid w:val="00205930"/>
    <w:rsid w:val="00205C2E"/>
    <w:rsid w:val="00205CD7"/>
    <w:rsid w:val="00205D70"/>
    <w:rsid w:val="00206795"/>
    <w:rsid w:val="00206BF6"/>
    <w:rsid w:val="00206C2F"/>
    <w:rsid w:val="00206C30"/>
    <w:rsid w:val="00206FA7"/>
    <w:rsid w:val="00207186"/>
    <w:rsid w:val="00207363"/>
    <w:rsid w:val="00207407"/>
    <w:rsid w:val="00207799"/>
    <w:rsid w:val="002078B0"/>
    <w:rsid w:val="00207DB6"/>
    <w:rsid w:val="00207E5D"/>
    <w:rsid w:val="00210330"/>
    <w:rsid w:val="002104B8"/>
    <w:rsid w:val="002106E0"/>
    <w:rsid w:val="002107BD"/>
    <w:rsid w:val="00210B0F"/>
    <w:rsid w:val="00210B2C"/>
    <w:rsid w:val="00210D36"/>
    <w:rsid w:val="00210F9E"/>
    <w:rsid w:val="00211194"/>
    <w:rsid w:val="0021123A"/>
    <w:rsid w:val="00211307"/>
    <w:rsid w:val="00211526"/>
    <w:rsid w:val="002115F6"/>
    <w:rsid w:val="00211776"/>
    <w:rsid w:val="00211A95"/>
    <w:rsid w:val="00211CFA"/>
    <w:rsid w:val="00211D31"/>
    <w:rsid w:val="00211DF6"/>
    <w:rsid w:val="00212092"/>
    <w:rsid w:val="00212152"/>
    <w:rsid w:val="0021218B"/>
    <w:rsid w:val="00212772"/>
    <w:rsid w:val="0021280E"/>
    <w:rsid w:val="00212852"/>
    <w:rsid w:val="0021289C"/>
    <w:rsid w:val="00212A46"/>
    <w:rsid w:val="00212C21"/>
    <w:rsid w:val="00212E12"/>
    <w:rsid w:val="00212F8E"/>
    <w:rsid w:val="002133FA"/>
    <w:rsid w:val="002135C3"/>
    <w:rsid w:val="0021373B"/>
    <w:rsid w:val="002137CE"/>
    <w:rsid w:val="00213BAD"/>
    <w:rsid w:val="00213BE1"/>
    <w:rsid w:val="00213CC2"/>
    <w:rsid w:val="00213CCE"/>
    <w:rsid w:val="00213E13"/>
    <w:rsid w:val="0021431F"/>
    <w:rsid w:val="002145C8"/>
    <w:rsid w:val="00214843"/>
    <w:rsid w:val="00214E67"/>
    <w:rsid w:val="002153EF"/>
    <w:rsid w:val="0021566F"/>
    <w:rsid w:val="002158C6"/>
    <w:rsid w:val="00215B1C"/>
    <w:rsid w:val="00215BF3"/>
    <w:rsid w:val="00216380"/>
    <w:rsid w:val="00216718"/>
    <w:rsid w:val="002167FE"/>
    <w:rsid w:val="00216A1C"/>
    <w:rsid w:val="00216B19"/>
    <w:rsid w:val="00216C43"/>
    <w:rsid w:val="00216CF6"/>
    <w:rsid w:val="00216D6C"/>
    <w:rsid w:val="0021705F"/>
    <w:rsid w:val="002174EA"/>
    <w:rsid w:val="0021755D"/>
    <w:rsid w:val="00217CE2"/>
    <w:rsid w:val="002202AD"/>
    <w:rsid w:val="00220375"/>
    <w:rsid w:val="00220915"/>
    <w:rsid w:val="002209F3"/>
    <w:rsid w:val="00220CCF"/>
    <w:rsid w:val="002213F1"/>
    <w:rsid w:val="00221676"/>
    <w:rsid w:val="00221905"/>
    <w:rsid w:val="0022194C"/>
    <w:rsid w:val="00221A4D"/>
    <w:rsid w:val="00221C16"/>
    <w:rsid w:val="00221F38"/>
    <w:rsid w:val="0022253A"/>
    <w:rsid w:val="00222755"/>
    <w:rsid w:val="002227C7"/>
    <w:rsid w:val="00222833"/>
    <w:rsid w:val="00222D1D"/>
    <w:rsid w:val="00222E21"/>
    <w:rsid w:val="00222F55"/>
    <w:rsid w:val="00222FA2"/>
    <w:rsid w:val="002230E8"/>
    <w:rsid w:val="00223556"/>
    <w:rsid w:val="002236CF"/>
    <w:rsid w:val="00223785"/>
    <w:rsid w:val="002239DC"/>
    <w:rsid w:val="00223B43"/>
    <w:rsid w:val="00223BD9"/>
    <w:rsid w:val="00223FEB"/>
    <w:rsid w:val="002240FF"/>
    <w:rsid w:val="0022418F"/>
    <w:rsid w:val="00224248"/>
    <w:rsid w:val="0022456C"/>
    <w:rsid w:val="00224669"/>
    <w:rsid w:val="002247AA"/>
    <w:rsid w:val="002247D6"/>
    <w:rsid w:val="00224D11"/>
    <w:rsid w:val="00224EC0"/>
    <w:rsid w:val="002250F0"/>
    <w:rsid w:val="0022516A"/>
    <w:rsid w:val="00225757"/>
    <w:rsid w:val="00225C96"/>
    <w:rsid w:val="00226182"/>
    <w:rsid w:val="002262D6"/>
    <w:rsid w:val="0022638A"/>
    <w:rsid w:val="002268CC"/>
    <w:rsid w:val="00226A00"/>
    <w:rsid w:val="00226A24"/>
    <w:rsid w:val="00226C94"/>
    <w:rsid w:val="00226DD5"/>
    <w:rsid w:val="00227066"/>
    <w:rsid w:val="00227322"/>
    <w:rsid w:val="002273C5"/>
    <w:rsid w:val="00227DB3"/>
    <w:rsid w:val="00227DC5"/>
    <w:rsid w:val="00227EFE"/>
    <w:rsid w:val="00227F1F"/>
    <w:rsid w:val="0023026E"/>
    <w:rsid w:val="002304A1"/>
    <w:rsid w:val="00230668"/>
    <w:rsid w:val="0023077F"/>
    <w:rsid w:val="0023097B"/>
    <w:rsid w:val="00230C71"/>
    <w:rsid w:val="00230CDD"/>
    <w:rsid w:val="00230EFB"/>
    <w:rsid w:val="00230FA3"/>
    <w:rsid w:val="0023114D"/>
    <w:rsid w:val="002316A7"/>
    <w:rsid w:val="00231766"/>
    <w:rsid w:val="00231B44"/>
    <w:rsid w:val="00232200"/>
    <w:rsid w:val="0023237F"/>
    <w:rsid w:val="00232866"/>
    <w:rsid w:val="002329F8"/>
    <w:rsid w:val="00232C7E"/>
    <w:rsid w:val="00232D42"/>
    <w:rsid w:val="00232F58"/>
    <w:rsid w:val="00232FD6"/>
    <w:rsid w:val="002330BB"/>
    <w:rsid w:val="002330F9"/>
    <w:rsid w:val="00233125"/>
    <w:rsid w:val="002335F2"/>
    <w:rsid w:val="0023379D"/>
    <w:rsid w:val="00233BC0"/>
    <w:rsid w:val="00233E3A"/>
    <w:rsid w:val="00234019"/>
    <w:rsid w:val="002340B6"/>
    <w:rsid w:val="002340E1"/>
    <w:rsid w:val="002343DA"/>
    <w:rsid w:val="002343F6"/>
    <w:rsid w:val="002345D3"/>
    <w:rsid w:val="00234AF9"/>
    <w:rsid w:val="00234B6D"/>
    <w:rsid w:val="00234BA2"/>
    <w:rsid w:val="00234D55"/>
    <w:rsid w:val="00235293"/>
    <w:rsid w:val="00235409"/>
    <w:rsid w:val="00235582"/>
    <w:rsid w:val="002355E0"/>
    <w:rsid w:val="00235693"/>
    <w:rsid w:val="0023569E"/>
    <w:rsid w:val="00235852"/>
    <w:rsid w:val="00235FD2"/>
    <w:rsid w:val="00236250"/>
    <w:rsid w:val="002362CF"/>
    <w:rsid w:val="00236594"/>
    <w:rsid w:val="00236CEA"/>
    <w:rsid w:val="00236D94"/>
    <w:rsid w:val="00236F2F"/>
    <w:rsid w:val="002370AB"/>
    <w:rsid w:val="00237409"/>
    <w:rsid w:val="00237415"/>
    <w:rsid w:val="002376AB"/>
    <w:rsid w:val="00237872"/>
    <w:rsid w:val="00237C4B"/>
    <w:rsid w:val="00237D43"/>
    <w:rsid w:val="002402EF"/>
    <w:rsid w:val="00240455"/>
    <w:rsid w:val="00240757"/>
    <w:rsid w:val="00240AD8"/>
    <w:rsid w:val="00240BA6"/>
    <w:rsid w:val="00240E5F"/>
    <w:rsid w:val="00240EC2"/>
    <w:rsid w:val="00241392"/>
    <w:rsid w:val="002413BC"/>
    <w:rsid w:val="0024162E"/>
    <w:rsid w:val="002416A7"/>
    <w:rsid w:val="002416F0"/>
    <w:rsid w:val="0024182C"/>
    <w:rsid w:val="00241A67"/>
    <w:rsid w:val="00241D56"/>
    <w:rsid w:val="00241F64"/>
    <w:rsid w:val="00242505"/>
    <w:rsid w:val="00242510"/>
    <w:rsid w:val="00242B06"/>
    <w:rsid w:val="00242BDF"/>
    <w:rsid w:val="00242CA0"/>
    <w:rsid w:val="00242D5C"/>
    <w:rsid w:val="00242DDB"/>
    <w:rsid w:val="00242F94"/>
    <w:rsid w:val="0024320C"/>
    <w:rsid w:val="00243464"/>
    <w:rsid w:val="0024349F"/>
    <w:rsid w:val="00243688"/>
    <w:rsid w:val="002439F0"/>
    <w:rsid w:val="00243C13"/>
    <w:rsid w:val="00243F08"/>
    <w:rsid w:val="00243F5C"/>
    <w:rsid w:val="00244010"/>
    <w:rsid w:val="00244195"/>
    <w:rsid w:val="00244305"/>
    <w:rsid w:val="002444AF"/>
    <w:rsid w:val="002445DA"/>
    <w:rsid w:val="00244B80"/>
    <w:rsid w:val="00244BD9"/>
    <w:rsid w:val="00244F93"/>
    <w:rsid w:val="0024544C"/>
    <w:rsid w:val="0024574F"/>
    <w:rsid w:val="00245A77"/>
    <w:rsid w:val="00245EE3"/>
    <w:rsid w:val="00245FB3"/>
    <w:rsid w:val="00245FC2"/>
    <w:rsid w:val="002463CF"/>
    <w:rsid w:val="00246484"/>
    <w:rsid w:val="00246532"/>
    <w:rsid w:val="00246858"/>
    <w:rsid w:val="00246B0F"/>
    <w:rsid w:val="00246E8B"/>
    <w:rsid w:val="00247749"/>
    <w:rsid w:val="0024779F"/>
    <w:rsid w:val="00247956"/>
    <w:rsid w:val="00247CA7"/>
    <w:rsid w:val="00247E2F"/>
    <w:rsid w:val="0025004D"/>
    <w:rsid w:val="00250201"/>
    <w:rsid w:val="002509E0"/>
    <w:rsid w:val="00251245"/>
    <w:rsid w:val="00251331"/>
    <w:rsid w:val="00251362"/>
    <w:rsid w:val="0025149D"/>
    <w:rsid w:val="00251766"/>
    <w:rsid w:val="00251A7C"/>
    <w:rsid w:val="00251CB8"/>
    <w:rsid w:val="00251D5B"/>
    <w:rsid w:val="00251D7A"/>
    <w:rsid w:val="002521F4"/>
    <w:rsid w:val="00252900"/>
    <w:rsid w:val="00252966"/>
    <w:rsid w:val="00252A77"/>
    <w:rsid w:val="00252B18"/>
    <w:rsid w:val="002535AA"/>
    <w:rsid w:val="00253D2A"/>
    <w:rsid w:val="00253D86"/>
    <w:rsid w:val="00253E00"/>
    <w:rsid w:val="00253E40"/>
    <w:rsid w:val="00254077"/>
    <w:rsid w:val="00254347"/>
    <w:rsid w:val="002544FB"/>
    <w:rsid w:val="0025456D"/>
    <w:rsid w:val="002545EE"/>
    <w:rsid w:val="002546B7"/>
    <w:rsid w:val="0025498A"/>
    <w:rsid w:val="00254A08"/>
    <w:rsid w:val="00254B6C"/>
    <w:rsid w:val="00254C36"/>
    <w:rsid w:val="002552D8"/>
    <w:rsid w:val="002552D9"/>
    <w:rsid w:val="002552FB"/>
    <w:rsid w:val="0025584C"/>
    <w:rsid w:val="002558CB"/>
    <w:rsid w:val="00255A6E"/>
    <w:rsid w:val="00255C36"/>
    <w:rsid w:val="00255D53"/>
    <w:rsid w:val="002564AB"/>
    <w:rsid w:val="002567C0"/>
    <w:rsid w:val="002567C3"/>
    <w:rsid w:val="00256AA8"/>
    <w:rsid w:val="00256C6F"/>
    <w:rsid w:val="00256CD9"/>
    <w:rsid w:val="0025726F"/>
    <w:rsid w:val="002573C6"/>
    <w:rsid w:val="0026006C"/>
    <w:rsid w:val="00260390"/>
    <w:rsid w:val="0026045A"/>
    <w:rsid w:val="0026068C"/>
    <w:rsid w:val="0026083A"/>
    <w:rsid w:val="00260CDE"/>
    <w:rsid w:val="00260F40"/>
    <w:rsid w:val="00260F5D"/>
    <w:rsid w:val="00261091"/>
    <w:rsid w:val="002610A9"/>
    <w:rsid w:val="00261394"/>
    <w:rsid w:val="002615E0"/>
    <w:rsid w:val="00261993"/>
    <w:rsid w:val="00261D07"/>
    <w:rsid w:val="00261DCB"/>
    <w:rsid w:val="00261F56"/>
    <w:rsid w:val="00262121"/>
    <w:rsid w:val="00262B79"/>
    <w:rsid w:val="00262B91"/>
    <w:rsid w:val="00262DF6"/>
    <w:rsid w:val="00263041"/>
    <w:rsid w:val="002641E3"/>
    <w:rsid w:val="0026423B"/>
    <w:rsid w:val="002642F4"/>
    <w:rsid w:val="002644AA"/>
    <w:rsid w:val="0026457A"/>
    <w:rsid w:val="0026462A"/>
    <w:rsid w:val="0026504A"/>
    <w:rsid w:val="002652FD"/>
    <w:rsid w:val="002656B1"/>
    <w:rsid w:val="0026572A"/>
    <w:rsid w:val="002658AF"/>
    <w:rsid w:val="00265A19"/>
    <w:rsid w:val="00265C36"/>
    <w:rsid w:val="00265D1F"/>
    <w:rsid w:val="00265E2F"/>
    <w:rsid w:val="002660B5"/>
    <w:rsid w:val="0026688B"/>
    <w:rsid w:val="00266899"/>
    <w:rsid w:val="00266CBB"/>
    <w:rsid w:val="00266DD8"/>
    <w:rsid w:val="00266FB5"/>
    <w:rsid w:val="002671A2"/>
    <w:rsid w:val="0026736A"/>
    <w:rsid w:val="0026744C"/>
    <w:rsid w:val="00267836"/>
    <w:rsid w:val="0026795D"/>
    <w:rsid w:val="00267DB0"/>
    <w:rsid w:val="00267F02"/>
    <w:rsid w:val="00267FD9"/>
    <w:rsid w:val="002701DF"/>
    <w:rsid w:val="0027036C"/>
    <w:rsid w:val="002705A9"/>
    <w:rsid w:val="00270673"/>
    <w:rsid w:val="0027067C"/>
    <w:rsid w:val="002708DE"/>
    <w:rsid w:val="00270B62"/>
    <w:rsid w:val="00270FFE"/>
    <w:rsid w:val="00271271"/>
    <w:rsid w:val="00271D31"/>
    <w:rsid w:val="002722AB"/>
    <w:rsid w:val="00272ADB"/>
    <w:rsid w:val="00272B3A"/>
    <w:rsid w:val="002731CB"/>
    <w:rsid w:val="00273221"/>
    <w:rsid w:val="00273534"/>
    <w:rsid w:val="002735E4"/>
    <w:rsid w:val="002736A9"/>
    <w:rsid w:val="0027398E"/>
    <w:rsid w:val="00273A4E"/>
    <w:rsid w:val="00273BAA"/>
    <w:rsid w:val="00273EF4"/>
    <w:rsid w:val="00273FBA"/>
    <w:rsid w:val="00274591"/>
    <w:rsid w:val="0027476A"/>
    <w:rsid w:val="00274DD9"/>
    <w:rsid w:val="00274DED"/>
    <w:rsid w:val="00275036"/>
    <w:rsid w:val="00275596"/>
    <w:rsid w:val="00275620"/>
    <w:rsid w:val="0027575D"/>
    <w:rsid w:val="002759A2"/>
    <w:rsid w:val="002759FD"/>
    <w:rsid w:val="00275BC3"/>
    <w:rsid w:val="00275D3E"/>
    <w:rsid w:val="0027653A"/>
    <w:rsid w:val="002768E8"/>
    <w:rsid w:val="00276A0D"/>
    <w:rsid w:val="00276AAF"/>
    <w:rsid w:val="0027701E"/>
    <w:rsid w:val="00277302"/>
    <w:rsid w:val="002773CE"/>
    <w:rsid w:val="00277C56"/>
    <w:rsid w:val="00277E08"/>
    <w:rsid w:val="00277E33"/>
    <w:rsid w:val="00280393"/>
    <w:rsid w:val="00280868"/>
    <w:rsid w:val="00280918"/>
    <w:rsid w:val="00280D2A"/>
    <w:rsid w:val="00280D5F"/>
    <w:rsid w:val="00280D84"/>
    <w:rsid w:val="00281173"/>
    <w:rsid w:val="002811D2"/>
    <w:rsid w:val="00281282"/>
    <w:rsid w:val="00281391"/>
    <w:rsid w:val="002813CD"/>
    <w:rsid w:val="00281674"/>
    <w:rsid w:val="00281C4C"/>
    <w:rsid w:val="00281DF4"/>
    <w:rsid w:val="00281E0A"/>
    <w:rsid w:val="00281EFA"/>
    <w:rsid w:val="00281F82"/>
    <w:rsid w:val="002824E6"/>
    <w:rsid w:val="002827BF"/>
    <w:rsid w:val="00282B0E"/>
    <w:rsid w:val="00282EE0"/>
    <w:rsid w:val="00282FD7"/>
    <w:rsid w:val="00283250"/>
    <w:rsid w:val="00283357"/>
    <w:rsid w:val="0028356A"/>
    <w:rsid w:val="00283E27"/>
    <w:rsid w:val="00284026"/>
    <w:rsid w:val="00284501"/>
    <w:rsid w:val="00284522"/>
    <w:rsid w:val="00284536"/>
    <w:rsid w:val="00284699"/>
    <w:rsid w:val="00284F4A"/>
    <w:rsid w:val="00284F73"/>
    <w:rsid w:val="00284FC1"/>
    <w:rsid w:val="00284FE0"/>
    <w:rsid w:val="0028538C"/>
    <w:rsid w:val="002854C1"/>
    <w:rsid w:val="00285735"/>
    <w:rsid w:val="00286088"/>
    <w:rsid w:val="002865F4"/>
    <w:rsid w:val="002868CF"/>
    <w:rsid w:val="00286EA6"/>
    <w:rsid w:val="00286F9C"/>
    <w:rsid w:val="0028702F"/>
    <w:rsid w:val="00287198"/>
    <w:rsid w:val="002874C2"/>
    <w:rsid w:val="00287556"/>
    <w:rsid w:val="002876C1"/>
    <w:rsid w:val="0028776E"/>
    <w:rsid w:val="00287976"/>
    <w:rsid w:val="00287F35"/>
    <w:rsid w:val="00287FEB"/>
    <w:rsid w:val="002900ED"/>
    <w:rsid w:val="00290340"/>
    <w:rsid w:val="00290AE1"/>
    <w:rsid w:val="00290D11"/>
    <w:rsid w:val="00291656"/>
    <w:rsid w:val="002917A0"/>
    <w:rsid w:val="00291951"/>
    <w:rsid w:val="00291DD0"/>
    <w:rsid w:val="00291E1F"/>
    <w:rsid w:val="0029219F"/>
    <w:rsid w:val="00292556"/>
    <w:rsid w:val="00292629"/>
    <w:rsid w:val="00292BD7"/>
    <w:rsid w:val="00292BE2"/>
    <w:rsid w:val="00292FAB"/>
    <w:rsid w:val="002930B2"/>
    <w:rsid w:val="002930EB"/>
    <w:rsid w:val="00293343"/>
    <w:rsid w:val="00293432"/>
    <w:rsid w:val="00293526"/>
    <w:rsid w:val="002935A7"/>
    <w:rsid w:val="0029361E"/>
    <w:rsid w:val="00293BFC"/>
    <w:rsid w:val="00293D5F"/>
    <w:rsid w:val="00293F65"/>
    <w:rsid w:val="00294550"/>
    <w:rsid w:val="002947E5"/>
    <w:rsid w:val="00294BBA"/>
    <w:rsid w:val="00294D31"/>
    <w:rsid w:val="00294DEB"/>
    <w:rsid w:val="002950D7"/>
    <w:rsid w:val="002950DF"/>
    <w:rsid w:val="002954A4"/>
    <w:rsid w:val="0029559E"/>
    <w:rsid w:val="00295795"/>
    <w:rsid w:val="0029586C"/>
    <w:rsid w:val="002958FB"/>
    <w:rsid w:val="0029598D"/>
    <w:rsid w:val="00295AC7"/>
    <w:rsid w:val="002961BA"/>
    <w:rsid w:val="0029633E"/>
    <w:rsid w:val="00296378"/>
    <w:rsid w:val="002965B2"/>
    <w:rsid w:val="002965CD"/>
    <w:rsid w:val="00296675"/>
    <w:rsid w:val="002966F7"/>
    <w:rsid w:val="0029678D"/>
    <w:rsid w:val="002968A9"/>
    <w:rsid w:val="00296A86"/>
    <w:rsid w:val="00296A91"/>
    <w:rsid w:val="00296CA8"/>
    <w:rsid w:val="00296F29"/>
    <w:rsid w:val="002970EE"/>
    <w:rsid w:val="00297214"/>
    <w:rsid w:val="00297360"/>
    <w:rsid w:val="00297670"/>
    <w:rsid w:val="002978A3"/>
    <w:rsid w:val="00297A67"/>
    <w:rsid w:val="00297EF9"/>
    <w:rsid w:val="002A01E0"/>
    <w:rsid w:val="002A032F"/>
    <w:rsid w:val="002A0397"/>
    <w:rsid w:val="002A0A6A"/>
    <w:rsid w:val="002A0C33"/>
    <w:rsid w:val="002A0CC5"/>
    <w:rsid w:val="002A0DD7"/>
    <w:rsid w:val="002A14E1"/>
    <w:rsid w:val="002A1658"/>
    <w:rsid w:val="002A195C"/>
    <w:rsid w:val="002A19C0"/>
    <w:rsid w:val="002A1AC6"/>
    <w:rsid w:val="002A1CDF"/>
    <w:rsid w:val="002A1FA4"/>
    <w:rsid w:val="002A2DFB"/>
    <w:rsid w:val="002A32B3"/>
    <w:rsid w:val="002A33DD"/>
    <w:rsid w:val="002A38E2"/>
    <w:rsid w:val="002A3935"/>
    <w:rsid w:val="002A3EF7"/>
    <w:rsid w:val="002A405C"/>
    <w:rsid w:val="002A418E"/>
    <w:rsid w:val="002A4828"/>
    <w:rsid w:val="002A48A7"/>
    <w:rsid w:val="002A497B"/>
    <w:rsid w:val="002A4A17"/>
    <w:rsid w:val="002A4CAE"/>
    <w:rsid w:val="002A50B5"/>
    <w:rsid w:val="002A5434"/>
    <w:rsid w:val="002A57F7"/>
    <w:rsid w:val="002A5C38"/>
    <w:rsid w:val="002A5D28"/>
    <w:rsid w:val="002A6546"/>
    <w:rsid w:val="002A67B4"/>
    <w:rsid w:val="002A726C"/>
    <w:rsid w:val="002A72A6"/>
    <w:rsid w:val="002A7423"/>
    <w:rsid w:val="002A7E6E"/>
    <w:rsid w:val="002B0170"/>
    <w:rsid w:val="002B0214"/>
    <w:rsid w:val="002B0271"/>
    <w:rsid w:val="002B0932"/>
    <w:rsid w:val="002B0ADA"/>
    <w:rsid w:val="002B0AF0"/>
    <w:rsid w:val="002B10A5"/>
    <w:rsid w:val="002B1262"/>
    <w:rsid w:val="002B14F3"/>
    <w:rsid w:val="002B166D"/>
    <w:rsid w:val="002B1A38"/>
    <w:rsid w:val="002B2376"/>
    <w:rsid w:val="002B2448"/>
    <w:rsid w:val="002B25CD"/>
    <w:rsid w:val="002B27F3"/>
    <w:rsid w:val="002B2890"/>
    <w:rsid w:val="002B29AF"/>
    <w:rsid w:val="002B2B70"/>
    <w:rsid w:val="002B30E2"/>
    <w:rsid w:val="002B3244"/>
    <w:rsid w:val="002B37E9"/>
    <w:rsid w:val="002B3967"/>
    <w:rsid w:val="002B3EDA"/>
    <w:rsid w:val="002B4054"/>
    <w:rsid w:val="002B4164"/>
    <w:rsid w:val="002B4349"/>
    <w:rsid w:val="002B4440"/>
    <w:rsid w:val="002B446E"/>
    <w:rsid w:val="002B45A3"/>
    <w:rsid w:val="002B45B5"/>
    <w:rsid w:val="002B47FC"/>
    <w:rsid w:val="002B4C68"/>
    <w:rsid w:val="002B4CF0"/>
    <w:rsid w:val="002B4D02"/>
    <w:rsid w:val="002B4D5B"/>
    <w:rsid w:val="002B4F9D"/>
    <w:rsid w:val="002B5338"/>
    <w:rsid w:val="002B5419"/>
    <w:rsid w:val="002B57EF"/>
    <w:rsid w:val="002B58FE"/>
    <w:rsid w:val="002B5AF9"/>
    <w:rsid w:val="002B5F16"/>
    <w:rsid w:val="002B61FA"/>
    <w:rsid w:val="002B637C"/>
    <w:rsid w:val="002B6540"/>
    <w:rsid w:val="002B6801"/>
    <w:rsid w:val="002B6A72"/>
    <w:rsid w:val="002B6D2E"/>
    <w:rsid w:val="002B6DE3"/>
    <w:rsid w:val="002B716C"/>
    <w:rsid w:val="002B7376"/>
    <w:rsid w:val="002B746B"/>
    <w:rsid w:val="002B7630"/>
    <w:rsid w:val="002B7647"/>
    <w:rsid w:val="002B77A7"/>
    <w:rsid w:val="002B7AE1"/>
    <w:rsid w:val="002B7CDC"/>
    <w:rsid w:val="002B7D13"/>
    <w:rsid w:val="002C0302"/>
    <w:rsid w:val="002C0373"/>
    <w:rsid w:val="002C06DF"/>
    <w:rsid w:val="002C0780"/>
    <w:rsid w:val="002C085D"/>
    <w:rsid w:val="002C0BBE"/>
    <w:rsid w:val="002C0BC9"/>
    <w:rsid w:val="002C0D56"/>
    <w:rsid w:val="002C0DDB"/>
    <w:rsid w:val="002C0FE0"/>
    <w:rsid w:val="002C1140"/>
    <w:rsid w:val="002C135B"/>
    <w:rsid w:val="002C1390"/>
    <w:rsid w:val="002C1589"/>
    <w:rsid w:val="002C172E"/>
    <w:rsid w:val="002C1844"/>
    <w:rsid w:val="002C1A8D"/>
    <w:rsid w:val="002C1BDE"/>
    <w:rsid w:val="002C2068"/>
    <w:rsid w:val="002C2353"/>
    <w:rsid w:val="002C2557"/>
    <w:rsid w:val="002C282F"/>
    <w:rsid w:val="002C284A"/>
    <w:rsid w:val="002C294C"/>
    <w:rsid w:val="002C2986"/>
    <w:rsid w:val="002C2FD6"/>
    <w:rsid w:val="002C2FF1"/>
    <w:rsid w:val="002C314A"/>
    <w:rsid w:val="002C3274"/>
    <w:rsid w:val="002C378C"/>
    <w:rsid w:val="002C3810"/>
    <w:rsid w:val="002C38B1"/>
    <w:rsid w:val="002C3EC6"/>
    <w:rsid w:val="002C4179"/>
    <w:rsid w:val="002C481E"/>
    <w:rsid w:val="002C4878"/>
    <w:rsid w:val="002C4B80"/>
    <w:rsid w:val="002C4C96"/>
    <w:rsid w:val="002C4D8B"/>
    <w:rsid w:val="002C4EF8"/>
    <w:rsid w:val="002C51F5"/>
    <w:rsid w:val="002C536C"/>
    <w:rsid w:val="002C5655"/>
    <w:rsid w:val="002C5698"/>
    <w:rsid w:val="002C5972"/>
    <w:rsid w:val="002C5FEA"/>
    <w:rsid w:val="002C607B"/>
    <w:rsid w:val="002C63C4"/>
    <w:rsid w:val="002C669A"/>
    <w:rsid w:val="002C690A"/>
    <w:rsid w:val="002C6993"/>
    <w:rsid w:val="002C6BFA"/>
    <w:rsid w:val="002C6F50"/>
    <w:rsid w:val="002C74D6"/>
    <w:rsid w:val="002C7973"/>
    <w:rsid w:val="002C7CD4"/>
    <w:rsid w:val="002C7E6E"/>
    <w:rsid w:val="002C7F49"/>
    <w:rsid w:val="002D00B4"/>
    <w:rsid w:val="002D01F6"/>
    <w:rsid w:val="002D031F"/>
    <w:rsid w:val="002D054E"/>
    <w:rsid w:val="002D0810"/>
    <w:rsid w:val="002D0B62"/>
    <w:rsid w:val="002D0C7B"/>
    <w:rsid w:val="002D12B0"/>
    <w:rsid w:val="002D12B1"/>
    <w:rsid w:val="002D1314"/>
    <w:rsid w:val="002D13AB"/>
    <w:rsid w:val="002D1431"/>
    <w:rsid w:val="002D1759"/>
    <w:rsid w:val="002D21BA"/>
    <w:rsid w:val="002D24E3"/>
    <w:rsid w:val="002D2566"/>
    <w:rsid w:val="002D25AB"/>
    <w:rsid w:val="002D264F"/>
    <w:rsid w:val="002D275E"/>
    <w:rsid w:val="002D2913"/>
    <w:rsid w:val="002D2A54"/>
    <w:rsid w:val="002D2D74"/>
    <w:rsid w:val="002D35F0"/>
    <w:rsid w:val="002D3662"/>
    <w:rsid w:val="002D3807"/>
    <w:rsid w:val="002D3859"/>
    <w:rsid w:val="002D3C05"/>
    <w:rsid w:val="002D3C94"/>
    <w:rsid w:val="002D3FB9"/>
    <w:rsid w:val="002D41F7"/>
    <w:rsid w:val="002D431C"/>
    <w:rsid w:val="002D4337"/>
    <w:rsid w:val="002D441D"/>
    <w:rsid w:val="002D4626"/>
    <w:rsid w:val="002D487B"/>
    <w:rsid w:val="002D4997"/>
    <w:rsid w:val="002D567B"/>
    <w:rsid w:val="002D58A6"/>
    <w:rsid w:val="002D58C1"/>
    <w:rsid w:val="002D58C6"/>
    <w:rsid w:val="002D58C7"/>
    <w:rsid w:val="002D58E3"/>
    <w:rsid w:val="002D5B34"/>
    <w:rsid w:val="002D5DB2"/>
    <w:rsid w:val="002D5E5C"/>
    <w:rsid w:val="002D5FAC"/>
    <w:rsid w:val="002D63DC"/>
    <w:rsid w:val="002D6495"/>
    <w:rsid w:val="002D676C"/>
    <w:rsid w:val="002D6AC4"/>
    <w:rsid w:val="002D6AF5"/>
    <w:rsid w:val="002D7827"/>
    <w:rsid w:val="002D787D"/>
    <w:rsid w:val="002D79D0"/>
    <w:rsid w:val="002D7ADA"/>
    <w:rsid w:val="002D7B3E"/>
    <w:rsid w:val="002D7C19"/>
    <w:rsid w:val="002D7C1D"/>
    <w:rsid w:val="002D7C21"/>
    <w:rsid w:val="002E0185"/>
    <w:rsid w:val="002E0203"/>
    <w:rsid w:val="002E022C"/>
    <w:rsid w:val="002E02CC"/>
    <w:rsid w:val="002E038C"/>
    <w:rsid w:val="002E056E"/>
    <w:rsid w:val="002E05D7"/>
    <w:rsid w:val="002E07EA"/>
    <w:rsid w:val="002E09B5"/>
    <w:rsid w:val="002E0EEB"/>
    <w:rsid w:val="002E0EF8"/>
    <w:rsid w:val="002E10A7"/>
    <w:rsid w:val="002E12F2"/>
    <w:rsid w:val="002E14C2"/>
    <w:rsid w:val="002E1542"/>
    <w:rsid w:val="002E17F4"/>
    <w:rsid w:val="002E1C00"/>
    <w:rsid w:val="002E1CA9"/>
    <w:rsid w:val="002E1D04"/>
    <w:rsid w:val="002E1EEA"/>
    <w:rsid w:val="002E222F"/>
    <w:rsid w:val="002E23E3"/>
    <w:rsid w:val="002E264F"/>
    <w:rsid w:val="002E2674"/>
    <w:rsid w:val="002E26F9"/>
    <w:rsid w:val="002E28BB"/>
    <w:rsid w:val="002E28FA"/>
    <w:rsid w:val="002E2BA7"/>
    <w:rsid w:val="002E2EC5"/>
    <w:rsid w:val="002E2F90"/>
    <w:rsid w:val="002E3184"/>
    <w:rsid w:val="002E3358"/>
    <w:rsid w:val="002E33C4"/>
    <w:rsid w:val="002E36D5"/>
    <w:rsid w:val="002E374F"/>
    <w:rsid w:val="002E377E"/>
    <w:rsid w:val="002E4916"/>
    <w:rsid w:val="002E4AF7"/>
    <w:rsid w:val="002E4BBF"/>
    <w:rsid w:val="002E4DF0"/>
    <w:rsid w:val="002E5462"/>
    <w:rsid w:val="002E5B2B"/>
    <w:rsid w:val="002E5CF2"/>
    <w:rsid w:val="002E5E35"/>
    <w:rsid w:val="002E5E4B"/>
    <w:rsid w:val="002E5FF8"/>
    <w:rsid w:val="002E61D2"/>
    <w:rsid w:val="002E6421"/>
    <w:rsid w:val="002E67B6"/>
    <w:rsid w:val="002E67BC"/>
    <w:rsid w:val="002E6847"/>
    <w:rsid w:val="002E6B39"/>
    <w:rsid w:val="002E6B4B"/>
    <w:rsid w:val="002E7099"/>
    <w:rsid w:val="002E70CC"/>
    <w:rsid w:val="002E724B"/>
    <w:rsid w:val="002E7864"/>
    <w:rsid w:val="002E7A54"/>
    <w:rsid w:val="002E7AF5"/>
    <w:rsid w:val="002E7CEC"/>
    <w:rsid w:val="002E7D90"/>
    <w:rsid w:val="002F0227"/>
    <w:rsid w:val="002F0625"/>
    <w:rsid w:val="002F06BE"/>
    <w:rsid w:val="002F085B"/>
    <w:rsid w:val="002F0964"/>
    <w:rsid w:val="002F0E6E"/>
    <w:rsid w:val="002F126E"/>
    <w:rsid w:val="002F141B"/>
    <w:rsid w:val="002F16FE"/>
    <w:rsid w:val="002F17D2"/>
    <w:rsid w:val="002F19ED"/>
    <w:rsid w:val="002F1AA6"/>
    <w:rsid w:val="002F1B7D"/>
    <w:rsid w:val="002F1B87"/>
    <w:rsid w:val="002F1DB7"/>
    <w:rsid w:val="002F1E37"/>
    <w:rsid w:val="002F2771"/>
    <w:rsid w:val="002F2792"/>
    <w:rsid w:val="002F2887"/>
    <w:rsid w:val="002F2A45"/>
    <w:rsid w:val="002F2AF8"/>
    <w:rsid w:val="002F2DA2"/>
    <w:rsid w:val="002F2FD6"/>
    <w:rsid w:val="002F3053"/>
    <w:rsid w:val="002F339D"/>
    <w:rsid w:val="002F344F"/>
    <w:rsid w:val="002F355C"/>
    <w:rsid w:val="002F3756"/>
    <w:rsid w:val="002F37B2"/>
    <w:rsid w:val="002F3896"/>
    <w:rsid w:val="002F3941"/>
    <w:rsid w:val="002F3ADE"/>
    <w:rsid w:val="002F3FFA"/>
    <w:rsid w:val="002F4482"/>
    <w:rsid w:val="002F47D9"/>
    <w:rsid w:val="002F495F"/>
    <w:rsid w:val="002F4B22"/>
    <w:rsid w:val="002F4BF8"/>
    <w:rsid w:val="002F4E24"/>
    <w:rsid w:val="002F5044"/>
    <w:rsid w:val="002F545E"/>
    <w:rsid w:val="002F5462"/>
    <w:rsid w:val="002F559E"/>
    <w:rsid w:val="002F55CB"/>
    <w:rsid w:val="002F5634"/>
    <w:rsid w:val="002F56C7"/>
    <w:rsid w:val="002F59CB"/>
    <w:rsid w:val="002F5AD5"/>
    <w:rsid w:val="002F5B11"/>
    <w:rsid w:val="002F5C5D"/>
    <w:rsid w:val="002F5ED0"/>
    <w:rsid w:val="002F62FA"/>
    <w:rsid w:val="002F63EB"/>
    <w:rsid w:val="002F6570"/>
    <w:rsid w:val="002F660F"/>
    <w:rsid w:val="002F66AE"/>
    <w:rsid w:val="002F66CB"/>
    <w:rsid w:val="002F699D"/>
    <w:rsid w:val="002F69CC"/>
    <w:rsid w:val="002F6A14"/>
    <w:rsid w:val="002F6D55"/>
    <w:rsid w:val="002F6F86"/>
    <w:rsid w:val="002F6FA1"/>
    <w:rsid w:val="002F7066"/>
    <w:rsid w:val="002F7406"/>
    <w:rsid w:val="002F7AE3"/>
    <w:rsid w:val="002F7C93"/>
    <w:rsid w:val="002F7E43"/>
    <w:rsid w:val="00300455"/>
    <w:rsid w:val="003004A6"/>
    <w:rsid w:val="003007E6"/>
    <w:rsid w:val="003009DD"/>
    <w:rsid w:val="00300A71"/>
    <w:rsid w:val="00300AAF"/>
    <w:rsid w:val="00300AC6"/>
    <w:rsid w:val="003010A6"/>
    <w:rsid w:val="00301444"/>
    <w:rsid w:val="00301518"/>
    <w:rsid w:val="00301524"/>
    <w:rsid w:val="0030184B"/>
    <w:rsid w:val="00301CA5"/>
    <w:rsid w:val="003025B1"/>
    <w:rsid w:val="003025E3"/>
    <w:rsid w:val="003025EF"/>
    <w:rsid w:val="003027FA"/>
    <w:rsid w:val="00302852"/>
    <w:rsid w:val="003029FA"/>
    <w:rsid w:val="00302D8D"/>
    <w:rsid w:val="00302F13"/>
    <w:rsid w:val="0030339E"/>
    <w:rsid w:val="003035B5"/>
    <w:rsid w:val="003038D4"/>
    <w:rsid w:val="003038EB"/>
    <w:rsid w:val="00304062"/>
    <w:rsid w:val="0030428C"/>
    <w:rsid w:val="0030430D"/>
    <w:rsid w:val="0030447B"/>
    <w:rsid w:val="00304938"/>
    <w:rsid w:val="00304AD1"/>
    <w:rsid w:val="00304FF0"/>
    <w:rsid w:val="003050FA"/>
    <w:rsid w:val="00305310"/>
    <w:rsid w:val="00305398"/>
    <w:rsid w:val="00305F36"/>
    <w:rsid w:val="0030610B"/>
    <w:rsid w:val="00306166"/>
    <w:rsid w:val="00306D87"/>
    <w:rsid w:val="00306DB4"/>
    <w:rsid w:val="00306E6E"/>
    <w:rsid w:val="00306EBC"/>
    <w:rsid w:val="003073E7"/>
    <w:rsid w:val="003075BA"/>
    <w:rsid w:val="0030769F"/>
    <w:rsid w:val="00310520"/>
    <w:rsid w:val="00310744"/>
    <w:rsid w:val="00310E18"/>
    <w:rsid w:val="00310F7B"/>
    <w:rsid w:val="003112EC"/>
    <w:rsid w:val="00311656"/>
    <w:rsid w:val="003116D4"/>
    <w:rsid w:val="00311781"/>
    <w:rsid w:val="00311850"/>
    <w:rsid w:val="0031198D"/>
    <w:rsid w:val="00311B96"/>
    <w:rsid w:val="00311F3F"/>
    <w:rsid w:val="003120B5"/>
    <w:rsid w:val="003121C1"/>
    <w:rsid w:val="0031226E"/>
    <w:rsid w:val="003123DF"/>
    <w:rsid w:val="00312458"/>
    <w:rsid w:val="003126AC"/>
    <w:rsid w:val="00312809"/>
    <w:rsid w:val="0031288A"/>
    <w:rsid w:val="00312B7A"/>
    <w:rsid w:val="00312EAF"/>
    <w:rsid w:val="00312F5C"/>
    <w:rsid w:val="00313133"/>
    <w:rsid w:val="003131E9"/>
    <w:rsid w:val="00313412"/>
    <w:rsid w:val="003134D7"/>
    <w:rsid w:val="003138D3"/>
    <w:rsid w:val="003138FA"/>
    <w:rsid w:val="00313BF8"/>
    <w:rsid w:val="00313C5E"/>
    <w:rsid w:val="00313EC5"/>
    <w:rsid w:val="00313F44"/>
    <w:rsid w:val="0031407C"/>
    <w:rsid w:val="003140EC"/>
    <w:rsid w:val="00314158"/>
    <w:rsid w:val="0031430F"/>
    <w:rsid w:val="00314456"/>
    <w:rsid w:val="003147D6"/>
    <w:rsid w:val="003149C2"/>
    <w:rsid w:val="00314B47"/>
    <w:rsid w:val="00314F12"/>
    <w:rsid w:val="0031507D"/>
    <w:rsid w:val="0031554A"/>
    <w:rsid w:val="0031569A"/>
    <w:rsid w:val="00315935"/>
    <w:rsid w:val="00315C25"/>
    <w:rsid w:val="00315C55"/>
    <w:rsid w:val="00316247"/>
    <w:rsid w:val="0031630A"/>
    <w:rsid w:val="003163B5"/>
    <w:rsid w:val="0031644D"/>
    <w:rsid w:val="00316544"/>
    <w:rsid w:val="00316AC6"/>
    <w:rsid w:val="00316C01"/>
    <w:rsid w:val="00316C1E"/>
    <w:rsid w:val="00316C99"/>
    <w:rsid w:val="00316E70"/>
    <w:rsid w:val="0031725F"/>
    <w:rsid w:val="0031726F"/>
    <w:rsid w:val="003172DA"/>
    <w:rsid w:val="003173D1"/>
    <w:rsid w:val="0031750D"/>
    <w:rsid w:val="00317BBC"/>
    <w:rsid w:val="00317F35"/>
    <w:rsid w:val="00317FF5"/>
    <w:rsid w:val="003200A5"/>
    <w:rsid w:val="00320114"/>
    <w:rsid w:val="00320225"/>
    <w:rsid w:val="00320994"/>
    <w:rsid w:val="00320F3F"/>
    <w:rsid w:val="003211C8"/>
    <w:rsid w:val="003214C1"/>
    <w:rsid w:val="003214D9"/>
    <w:rsid w:val="00321771"/>
    <w:rsid w:val="003217B8"/>
    <w:rsid w:val="003218F0"/>
    <w:rsid w:val="00321FE0"/>
    <w:rsid w:val="0032221B"/>
    <w:rsid w:val="003225A3"/>
    <w:rsid w:val="00322670"/>
    <w:rsid w:val="0032326D"/>
    <w:rsid w:val="003232E2"/>
    <w:rsid w:val="00323301"/>
    <w:rsid w:val="0032373B"/>
    <w:rsid w:val="00323B15"/>
    <w:rsid w:val="00323DB0"/>
    <w:rsid w:val="0032411F"/>
    <w:rsid w:val="00324583"/>
    <w:rsid w:val="0032479E"/>
    <w:rsid w:val="00324B20"/>
    <w:rsid w:val="00324F19"/>
    <w:rsid w:val="003250B9"/>
    <w:rsid w:val="00325107"/>
    <w:rsid w:val="003251BD"/>
    <w:rsid w:val="003259E5"/>
    <w:rsid w:val="00325AC0"/>
    <w:rsid w:val="00325B6C"/>
    <w:rsid w:val="00325B9C"/>
    <w:rsid w:val="003261E6"/>
    <w:rsid w:val="00326611"/>
    <w:rsid w:val="0032677B"/>
    <w:rsid w:val="00326A47"/>
    <w:rsid w:val="00326DF1"/>
    <w:rsid w:val="0032705A"/>
    <w:rsid w:val="00327081"/>
    <w:rsid w:val="003271E4"/>
    <w:rsid w:val="003275DF"/>
    <w:rsid w:val="00327800"/>
    <w:rsid w:val="00327B2C"/>
    <w:rsid w:val="003301BD"/>
    <w:rsid w:val="00330309"/>
    <w:rsid w:val="00330499"/>
    <w:rsid w:val="00330A18"/>
    <w:rsid w:val="00330C99"/>
    <w:rsid w:val="00330DA3"/>
    <w:rsid w:val="00330F42"/>
    <w:rsid w:val="00331074"/>
    <w:rsid w:val="00331460"/>
    <w:rsid w:val="0033161B"/>
    <w:rsid w:val="00331D1F"/>
    <w:rsid w:val="00332037"/>
    <w:rsid w:val="00332B4E"/>
    <w:rsid w:val="00333B14"/>
    <w:rsid w:val="00333BFA"/>
    <w:rsid w:val="003340D1"/>
    <w:rsid w:val="003342AF"/>
    <w:rsid w:val="0033446E"/>
    <w:rsid w:val="003345AB"/>
    <w:rsid w:val="00334B7E"/>
    <w:rsid w:val="00334C69"/>
    <w:rsid w:val="003351F3"/>
    <w:rsid w:val="00335250"/>
    <w:rsid w:val="003354D8"/>
    <w:rsid w:val="003360AE"/>
    <w:rsid w:val="0033636D"/>
    <w:rsid w:val="0033667A"/>
    <w:rsid w:val="003366CA"/>
    <w:rsid w:val="0033672E"/>
    <w:rsid w:val="0033677A"/>
    <w:rsid w:val="00336908"/>
    <w:rsid w:val="003369C4"/>
    <w:rsid w:val="00336DCA"/>
    <w:rsid w:val="00336FAA"/>
    <w:rsid w:val="00337671"/>
    <w:rsid w:val="00337680"/>
    <w:rsid w:val="0033770B"/>
    <w:rsid w:val="00337919"/>
    <w:rsid w:val="00337A64"/>
    <w:rsid w:val="00337B53"/>
    <w:rsid w:val="003404A0"/>
    <w:rsid w:val="00340737"/>
    <w:rsid w:val="00340BE2"/>
    <w:rsid w:val="00341228"/>
    <w:rsid w:val="003414BF"/>
    <w:rsid w:val="00341E1F"/>
    <w:rsid w:val="003429FB"/>
    <w:rsid w:val="00342A7B"/>
    <w:rsid w:val="00342FCB"/>
    <w:rsid w:val="00343619"/>
    <w:rsid w:val="00343739"/>
    <w:rsid w:val="00343807"/>
    <w:rsid w:val="00343AB2"/>
    <w:rsid w:val="00343B27"/>
    <w:rsid w:val="00343B7E"/>
    <w:rsid w:val="00343D77"/>
    <w:rsid w:val="00343E80"/>
    <w:rsid w:val="00343F35"/>
    <w:rsid w:val="00344054"/>
    <w:rsid w:val="003445DD"/>
    <w:rsid w:val="003449AB"/>
    <w:rsid w:val="00344B6C"/>
    <w:rsid w:val="00344FA0"/>
    <w:rsid w:val="00344FF4"/>
    <w:rsid w:val="00345013"/>
    <w:rsid w:val="003451FF"/>
    <w:rsid w:val="0034523B"/>
    <w:rsid w:val="003455D8"/>
    <w:rsid w:val="00345E3B"/>
    <w:rsid w:val="00345E6B"/>
    <w:rsid w:val="00345F9C"/>
    <w:rsid w:val="003463FE"/>
    <w:rsid w:val="00346CA0"/>
    <w:rsid w:val="00346D41"/>
    <w:rsid w:val="00346DA8"/>
    <w:rsid w:val="00347061"/>
    <w:rsid w:val="003471ED"/>
    <w:rsid w:val="00347BD3"/>
    <w:rsid w:val="00350162"/>
    <w:rsid w:val="00350A19"/>
    <w:rsid w:val="00350ACC"/>
    <w:rsid w:val="00350DD8"/>
    <w:rsid w:val="00350EF0"/>
    <w:rsid w:val="00350F5F"/>
    <w:rsid w:val="0035124B"/>
    <w:rsid w:val="0035162E"/>
    <w:rsid w:val="0035173E"/>
    <w:rsid w:val="003518F1"/>
    <w:rsid w:val="00351986"/>
    <w:rsid w:val="00351E31"/>
    <w:rsid w:val="00352287"/>
    <w:rsid w:val="00352815"/>
    <w:rsid w:val="003528F5"/>
    <w:rsid w:val="00352963"/>
    <w:rsid w:val="003529B9"/>
    <w:rsid w:val="00352B9F"/>
    <w:rsid w:val="00352DD5"/>
    <w:rsid w:val="00352E34"/>
    <w:rsid w:val="0035319C"/>
    <w:rsid w:val="003531D6"/>
    <w:rsid w:val="00353442"/>
    <w:rsid w:val="003537AA"/>
    <w:rsid w:val="00353CC8"/>
    <w:rsid w:val="00354201"/>
    <w:rsid w:val="00354341"/>
    <w:rsid w:val="0035466C"/>
    <w:rsid w:val="003547B8"/>
    <w:rsid w:val="00354D19"/>
    <w:rsid w:val="00355057"/>
    <w:rsid w:val="00355171"/>
    <w:rsid w:val="003553AA"/>
    <w:rsid w:val="00355A06"/>
    <w:rsid w:val="00355E4A"/>
    <w:rsid w:val="00355ED2"/>
    <w:rsid w:val="003560EA"/>
    <w:rsid w:val="003563A0"/>
    <w:rsid w:val="0035652E"/>
    <w:rsid w:val="0035668D"/>
    <w:rsid w:val="003567AD"/>
    <w:rsid w:val="00356CE5"/>
    <w:rsid w:val="00356D01"/>
    <w:rsid w:val="00356D6B"/>
    <w:rsid w:val="00356F94"/>
    <w:rsid w:val="0035719B"/>
    <w:rsid w:val="0035768C"/>
    <w:rsid w:val="00357986"/>
    <w:rsid w:val="00357CC0"/>
    <w:rsid w:val="00357E4F"/>
    <w:rsid w:val="00357F4E"/>
    <w:rsid w:val="00357F8A"/>
    <w:rsid w:val="003601FC"/>
    <w:rsid w:val="00360576"/>
    <w:rsid w:val="0036062E"/>
    <w:rsid w:val="00360789"/>
    <w:rsid w:val="0036097A"/>
    <w:rsid w:val="00360A4E"/>
    <w:rsid w:val="00360B29"/>
    <w:rsid w:val="00360E20"/>
    <w:rsid w:val="003613AE"/>
    <w:rsid w:val="0036145F"/>
    <w:rsid w:val="0036159E"/>
    <w:rsid w:val="003618BE"/>
    <w:rsid w:val="00361A9A"/>
    <w:rsid w:val="00361BBC"/>
    <w:rsid w:val="00361DB4"/>
    <w:rsid w:val="0036267E"/>
    <w:rsid w:val="0036291D"/>
    <w:rsid w:val="00362BA0"/>
    <w:rsid w:val="00363416"/>
    <w:rsid w:val="003636AA"/>
    <w:rsid w:val="003637AC"/>
    <w:rsid w:val="00363969"/>
    <w:rsid w:val="00363ABD"/>
    <w:rsid w:val="00363BFE"/>
    <w:rsid w:val="0036402A"/>
    <w:rsid w:val="003640F3"/>
    <w:rsid w:val="00364431"/>
    <w:rsid w:val="00364661"/>
    <w:rsid w:val="00364BAA"/>
    <w:rsid w:val="00364EB5"/>
    <w:rsid w:val="00364F71"/>
    <w:rsid w:val="003654D9"/>
    <w:rsid w:val="00365511"/>
    <w:rsid w:val="003657F4"/>
    <w:rsid w:val="00365C4C"/>
    <w:rsid w:val="00366381"/>
    <w:rsid w:val="003663DA"/>
    <w:rsid w:val="003664FA"/>
    <w:rsid w:val="00366B13"/>
    <w:rsid w:val="00366D82"/>
    <w:rsid w:val="00366E22"/>
    <w:rsid w:val="00367010"/>
    <w:rsid w:val="00367222"/>
    <w:rsid w:val="003674FA"/>
    <w:rsid w:val="00367588"/>
    <w:rsid w:val="003676DB"/>
    <w:rsid w:val="00367787"/>
    <w:rsid w:val="00367849"/>
    <w:rsid w:val="0036798F"/>
    <w:rsid w:val="00367C0C"/>
    <w:rsid w:val="00367E1B"/>
    <w:rsid w:val="0037003C"/>
    <w:rsid w:val="00370280"/>
    <w:rsid w:val="00370331"/>
    <w:rsid w:val="00370658"/>
    <w:rsid w:val="00370DB1"/>
    <w:rsid w:val="00370E16"/>
    <w:rsid w:val="00370ED0"/>
    <w:rsid w:val="00370FDB"/>
    <w:rsid w:val="0037107E"/>
    <w:rsid w:val="00371472"/>
    <w:rsid w:val="00371D1C"/>
    <w:rsid w:val="00371D4E"/>
    <w:rsid w:val="003721F4"/>
    <w:rsid w:val="00372238"/>
    <w:rsid w:val="003723D6"/>
    <w:rsid w:val="003727A2"/>
    <w:rsid w:val="00372891"/>
    <w:rsid w:val="003728B0"/>
    <w:rsid w:val="003729E2"/>
    <w:rsid w:val="00372BE2"/>
    <w:rsid w:val="00372CBF"/>
    <w:rsid w:val="0037301A"/>
    <w:rsid w:val="003731D4"/>
    <w:rsid w:val="003732DA"/>
    <w:rsid w:val="00373508"/>
    <w:rsid w:val="003735A9"/>
    <w:rsid w:val="0037374E"/>
    <w:rsid w:val="00373793"/>
    <w:rsid w:val="0037384E"/>
    <w:rsid w:val="00373BFF"/>
    <w:rsid w:val="00373D22"/>
    <w:rsid w:val="00373D56"/>
    <w:rsid w:val="00373D5E"/>
    <w:rsid w:val="00373E73"/>
    <w:rsid w:val="00374234"/>
    <w:rsid w:val="003743A9"/>
    <w:rsid w:val="003744D0"/>
    <w:rsid w:val="0037479C"/>
    <w:rsid w:val="00374A46"/>
    <w:rsid w:val="00374A4E"/>
    <w:rsid w:val="00374CF6"/>
    <w:rsid w:val="00374F58"/>
    <w:rsid w:val="00375317"/>
    <w:rsid w:val="00375370"/>
    <w:rsid w:val="00375B42"/>
    <w:rsid w:val="00375BDE"/>
    <w:rsid w:val="00375BE7"/>
    <w:rsid w:val="00375D81"/>
    <w:rsid w:val="00375E5A"/>
    <w:rsid w:val="00375EB8"/>
    <w:rsid w:val="00375F9D"/>
    <w:rsid w:val="00376317"/>
    <w:rsid w:val="003765A4"/>
    <w:rsid w:val="003765EC"/>
    <w:rsid w:val="00376AD2"/>
    <w:rsid w:val="00376D0A"/>
    <w:rsid w:val="00376DEA"/>
    <w:rsid w:val="00376E63"/>
    <w:rsid w:val="00377160"/>
    <w:rsid w:val="003772A9"/>
    <w:rsid w:val="00377393"/>
    <w:rsid w:val="003774EB"/>
    <w:rsid w:val="00377AE4"/>
    <w:rsid w:val="00377BEE"/>
    <w:rsid w:val="00377C57"/>
    <w:rsid w:val="00380487"/>
    <w:rsid w:val="00380B30"/>
    <w:rsid w:val="00380B88"/>
    <w:rsid w:val="00380B91"/>
    <w:rsid w:val="00380C8F"/>
    <w:rsid w:val="00380CA9"/>
    <w:rsid w:val="00380E0F"/>
    <w:rsid w:val="00380F33"/>
    <w:rsid w:val="00381056"/>
    <w:rsid w:val="00381202"/>
    <w:rsid w:val="003812D0"/>
    <w:rsid w:val="0038160F"/>
    <w:rsid w:val="00381BA3"/>
    <w:rsid w:val="00381F11"/>
    <w:rsid w:val="00382009"/>
    <w:rsid w:val="003820B7"/>
    <w:rsid w:val="003827C9"/>
    <w:rsid w:val="00382A52"/>
    <w:rsid w:val="00382BB6"/>
    <w:rsid w:val="00382D06"/>
    <w:rsid w:val="00382E5E"/>
    <w:rsid w:val="00383678"/>
    <w:rsid w:val="003836E5"/>
    <w:rsid w:val="0038384D"/>
    <w:rsid w:val="00383D61"/>
    <w:rsid w:val="00383E01"/>
    <w:rsid w:val="003844CF"/>
    <w:rsid w:val="00384C23"/>
    <w:rsid w:val="00384D5C"/>
    <w:rsid w:val="00384D80"/>
    <w:rsid w:val="00384D8A"/>
    <w:rsid w:val="00384DCF"/>
    <w:rsid w:val="00384EF5"/>
    <w:rsid w:val="00384FBA"/>
    <w:rsid w:val="003857ED"/>
    <w:rsid w:val="00385B12"/>
    <w:rsid w:val="00385C1E"/>
    <w:rsid w:val="003863C7"/>
    <w:rsid w:val="00386495"/>
    <w:rsid w:val="003868A8"/>
    <w:rsid w:val="003868D4"/>
    <w:rsid w:val="00386A0A"/>
    <w:rsid w:val="00386A88"/>
    <w:rsid w:val="00386DA3"/>
    <w:rsid w:val="00386FFD"/>
    <w:rsid w:val="003874B9"/>
    <w:rsid w:val="003874F4"/>
    <w:rsid w:val="00387BF3"/>
    <w:rsid w:val="00387F54"/>
    <w:rsid w:val="00390510"/>
    <w:rsid w:val="00390684"/>
    <w:rsid w:val="0039098C"/>
    <w:rsid w:val="00390DE4"/>
    <w:rsid w:val="00390E48"/>
    <w:rsid w:val="00391088"/>
    <w:rsid w:val="00391168"/>
    <w:rsid w:val="003912BA"/>
    <w:rsid w:val="003917F0"/>
    <w:rsid w:val="0039181B"/>
    <w:rsid w:val="00391C70"/>
    <w:rsid w:val="00391D3D"/>
    <w:rsid w:val="00391D76"/>
    <w:rsid w:val="00391DF2"/>
    <w:rsid w:val="00391EC8"/>
    <w:rsid w:val="00392163"/>
    <w:rsid w:val="00392395"/>
    <w:rsid w:val="003923FD"/>
    <w:rsid w:val="00392EB4"/>
    <w:rsid w:val="00392EDB"/>
    <w:rsid w:val="00393173"/>
    <w:rsid w:val="00393379"/>
    <w:rsid w:val="00393412"/>
    <w:rsid w:val="00393695"/>
    <w:rsid w:val="003936E2"/>
    <w:rsid w:val="003938AE"/>
    <w:rsid w:val="0039394E"/>
    <w:rsid w:val="00393AC6"/>
    <w:rsid w:val="00393DDC"/>
    <w:rsid w:val="00393FB9"/>
    <w:rsid w:val="00394097"/>
    <w:rsid w:val="0039412B"/>
    <w:rsid w:val="0039417D"/>
    <w:rsid w:val="003945DC"/>
    <w:rsid w:val="003946A3"/>
    <w:rsid w:val="0039479A"/>
    <w:rsid w:val="0039486B"/>
    <w:rsid w:val="003951CA"/>
    <w:rsid w:val="003952C2"/>
    <w:rsid w:val="0039571D"/>
    <w:rsid w:val="003957FA"/>
    <w:rsid w:val="00395A71"/>
    <w:rsid w:val="00395FE8"/>
    <w:rsid w:val="00396067"/>
    <w:rsid w:val="003963A3"/>
    <w:rsid w:val="00396AB2"/>
    <w:rsid w:val="00396ED2"/>
    <w:rsid w:val="0039718D"/>
    <w:rsid w:val="003972A1"/>
    <w:rsid w:val="003975FB"/>
    <w:rsid w:val="00397928"/>
    <w:rsid w:val="00397AEF"/>
    <w:rsid w:val="00397B86"/>
    <w:rsid w:val="00397BD1"/>
    <w:rsid w:val="00397CB6"/>
    <w:rsid w:val="00397CE8"/>
    <w:rsid w:val="00397E9C"/>
    <w:rsid w:val="003A0654"/>
    <w:rsid w:val="003A07C5"/>
    <w:rsid w:val="003A07E3"/>
    <w:rsid w:val="003A09B5"/>
    <w:rsid w:val="003A0E84"/>
    <w:rsid w:val="003A1075"/>
    <w:rsid w:val="003A11AC"/>
    <w:rsid w:val="003A11F6"/>
    <w:rsid w:val="003A1ABC"/>
    <w:rsid w:val="003A1B1D"/>
    <w:rsid w:val="003A1BFB"/>
    <w:rsid w:val="003A21A2"/>
    <w:rsid w:val="003A2597"/>
    <w:rsid w:val="003A2756"/>
    <w:rsid w:val="003A2DC3"/>
    <w:rsid w:val="003A3060"/>
    <w:rsid w:val="003A358A"/>
    <w:rsid w:val="003A391D"/>
    <w:rsid w:val="003A3AC2"/>
    <w:rsid w:val="003A3CA1"/>
    <w:rsid w:val="003A3D30"/>
    <w:rsid w:val="003A3F73"/>
    <w:rsid w:val="003A3F78"/>
    <w:rsid w:val="003A4065"/>
    <w:rsid w:val="003A40DB"/>
    <w:rsid w:val="003A44DE"/>
    <w:rsid w:val="003A4603"/>
    <w:rsid w:val="003A4928"/>
    <w:rsid w:val="003A494E"/>
    <w:rsid w:val="003A4965"/>
    <w:rsid w:val="003A4B15"/>
    <w:rsid w:val="003A4B3B"/>
    <w:rsid w:val="003A4CEF"/>
    <w:rsid w:val="003A4EA2"/>
    <w:rsid w:val="003A4EE1"/>
    <w:rsid w:val="003A514F"/>
    <w:rsid w:val="003A5A06"/>
    <w:rsid w:val="003A5F03"/>
    <w:rsid w:val="003A653C"/>
    <w:rsid w:val="003A6A74"/>
    <w:rsid w:val="003A6B4C"/>
    <w:rsid w:val="003A6D56"/>
    <w:rsid w:val="003A6D6B"/>
    <w:rsid w:val="003A6DBA"/>
    <w:rsid w:val="003A6E13"/>
    <w:rsid w:val="003A6F1E"/>
    <w:rsid w:val="003A7563"/>
    <w:rsid w:val="003A7671"/>
    <w:rsid w:val="003A7A23"/>
    <w:rsid w:val="003A7EBD"/>
    <w:rsid w:val="003B018B"/>
    <w:rsid w:val="003B0340"/>
    <w:rsid w:val="003B044E"/>
    <w:rsid w:val="003B0669"/>
    <w:rsid w:val="003B0932"/>
    <w:rsid w:val="003B0AED"/>
    <w:rsid w:val="003B0CE8"/>
    <w:rsid w:val="003B0DB5"/>
    <w:rsid w:val="003B0FD4"/>
    <w:rsid w:val="003B10B2"/>
    <w:rsid w:val="003B10EA"/>
    <w:rsid w:val="003B1196"/>
    <w:rsid w:val="003B1291"/>
    <w:rsid w:val="003B199B"/>
    <w:rsid w:val="003B1B0F"/>
    <w:rsid w:val="003B1B24"/>
    <w:rsid w:val="003B1C1F"/>
    <w:rsid w:val="003B1FE0"/>
    <w:rsid w:val="003B23B4"/>
    <w:rsid w:val="003B261C"/>
    <w:rsid w:val="003B2970"/>
    <w:rsid w:val="003B2DB9"/>
    <w:rsid w:val="003B2E66"/>
    <w:rsid w:val="003B2ECE"/>
    <w:rsid w:val="003B31BD"/>
    <w:rsid w:val="003B3379"/>
    <w:rsid w:val="003B34F1"/>
    <w:rsid w:val="003B35E2"/>
    <w:rsid w:val="003B3984"/>
    <w:rsid w:val="003B3AD4"/>
    <w:rsid w:val="003B3C47"/>
    <w:rsid w:val="003B3C7D"/>
    <w:rsid w:val="003B3CCB"/>
    <w:rsid w:val="003B3DC5"/>
    <w:rsid w:val="003B3DF7"/>
    <w:rsid w:val="003B3F96"/>
    <w:rsid w:val="003B42DB"/>
    <w:rsid w:val="003B4343"/>
    <w:rsid w:val="003B459C"/>
    <w:rsid w:val="003B4913"/>
    <w:rsid w:val="003B4C64"/>
    <w:rsid w:val="003B4F47"/>
    <w:rsid w:val="003B54B8"/>
    <w:rsid w:val="003B54F7"/>
    <w:rsid w:val="003B5ADD"/>
    <w:rsid w:val="003B5E6F"/>
    <w:rsid w:val="003B60B5"/>
    <w:rsid w:val="003B67F4"/>
    <w:rsid w:val="003B6A2D"/>
    <w:rsid w:val="003B6B0F"/>
    <w:rsid w:val="003B6F33"/>
    <w:rsid w:val="003B7256"/>
    <w:rsid w:val="003B7AC9"/>
    <w:rsid w:val="003B7B32"/>
    <w:rsid w:val="003B7BC4"/>
    <w:rsid w:val="003B7E00"/>
    <w:rsid w:val="003B7ED0"/>
    <w:rsid w:val="003C0031"/>
    <w:rsid w:val="003C0487"/>
    <w:rsid w:val="003C08D3"/>
    <w:rsid w:val="003C0996"/>
    <w:rsid w:val="003C0A9D"/>
    <w:rsid w:val="003C0ACD"/>
    <w:rsid w:val="003C0CDB"/>
    <w:rsid w:val="003C0D4B"/>
    <w:rsid w:val="003C12AF"/>
    <w:rsid w:val="003C16E0"/>
    <w:rsid w:val="003C1AA1"/>
    <w:rsid w:val="003C1DEC"/>
    <w:rsid w:val="003C1F5B"/>
    <w:rsid w:val="003C2116"/>
    <w:rsid w:val="003C2241"/>
    <w:rsid w:val="003C22F7"/>
    <w:rsid w:val="003C2302"/>
    <w:rsid w:val="003C279E"/>
    <w:rsid w:val="003C28AC"/>
    <w:rsid w:val="003C2DA3"/>
    <w:rsid w:val="003C2E4C"/>
    <w:rsid w:val="003C31DB"/>
    <w:rsid w:val="003C37EE"/>
    <w:rsid w:val="003C3902"/>
    <w:rsid w:val="003C393B"/>
    <w:rsid w:val="003C39C8"/>
    <w:rsid w:val="003C3C4E"/>
    <w:rsid w:val="003C3CE4"/>
    <w:rsid w:val="003C3FE8"/>
    <w:rsid w:val="003C4189"/>
    <w:rsid w:val="003C43F0"/>
    <w:rsid w:val="003C4721"/>
    <w:rsid w:val="003C4783"/>
    <w:rsid w:val="003C4801"/>
    <w:rsid w:val="003C482A"/>
    <w:rsid w:val="003C4A47"/>
    <w:rsid w:val="003C4BE4"/>
    <w:rsid w:val="003C4BF7"/>
    <w:rsid w:val="003C4C0C"/>
    <w:rsid w:val="003C4DE4"/>
    <w:rsid w:val="003C4E73"/>
    <w:rsid w:val="003C4F37"/>
    <w:rsid w:val="003C5103"/>
    <w:rsid w:val="003C5340"/>
    <w:rsid w:val="003C5391"/>
    <w:rsid w:val="003C54E3"/>
    <w:rsid w:val="003C5740"/>
    <w:rsid w:val="003C577C"/>
    <w:rsid w:val="003C5785"/>
    <w:rsid w:val="003C580D"/>
    <w:rsid w:val="003C644C"/>
    <w:rsid w:val="003C64CC"/>
    <w:rsid w:val="003C6616"/>
    <w:rsid w:val="003C6C42"/>
    <w:rsid w:val="003C6DAF"/>
    <w:rsid w:val="003C6DB7"/>
    <w:rsid w:val="003C6F6C"/>
    <w:rsid w:val="003C77E3"/>
    <w:rsid w:val="003C7A09"/>
    <w:rsid w:val="003D0168"/>
    <w:rsid w:val="003D0329"/>
    <w:rsid w:val="003D0502"/>
    <w:rsid w:val="003D0B18"/>
    <w:rsid w:val="003D0BF6"/>
    <w:rsid w:val="003D14D3"/>
    <w:rsid w:val="003D17A2"/>
    <w:rsid w:val="003D1A1F"/>
    <w:rsid w:val="003D1A80"/>
    <w:rsid w:val="003D1B4C"/>
    <w:rsid w:val="003D1D1A"/>
    <w:rsid w:val="003D1E7A"/>
    <w:rsid w:val="003D20FB"/>
    <w:rsid w:val="003D21DC"/>
    <w:rsid w:val="003D225F"/>
    <w:rsid w:val="003D2326"/>
    <w:rsid w:val="003D23B4"/>
    <w:rsid w:val="003D2525"/>
    <w:rsid w:val="003D2533"/>
    <w:rsid w:val="003D276F"/>
    <w:rsid w:val="003D2A0F"/>
    <w:rsid w:val="003D2E6D"/>
    <w:rsid w:val="003D2FBC"/>
    <w:rsid w:val="003D3345"/>
    <w:rsid w:val="003D353E"/>
    <w:rsid w:val="003D368F"/>
    <w:rsid w:val="003D3824"/>
    <w:rsid w:val="003D3945"/>
    <w:rsid w:val="003D3B5F"/>
    <w:rsid w:val="003D3DCE"/>
    <w:rsid w:val="003D4140"/>
    <w:rsid w:val="003D425D"/>
    <w:rsid w:val="003D43A7"/>
    <w:rsid w:val="003D4594"/>
    <w:rsid w:val="003D47F2"/>
    <w:rsid w:val="003D4DDD"/>
    <w:rsid w:val="003D5076"/>
    <w:rsid w:val="003D5402"/>
    <w:rsid w:val="003D5599"/>
    <w:rsid w:val="003D581A"/>
    <w:rsid w:val="003D5AAB"/>
    <w:rsid w:val="003D6100"/>
    <w:rsid w:val="003D61DC"/>
    <w:rsid w:val="003D624E"/>
    <w:rsid w:val="003D645A"/>
    <w:rsid w:val="003D68B5"/>
    <w:rsid w:val="003D69B6"/>
    <w:rsid w:val="003D6AF8"/>
    <w:rsid w:val="003D6C5B"/>
    <w:rsid w:val="003D713A"/>
    <w:rsid w:val="003D75C0"/>
    <w:rsid w:val="003D75C9"/>
    <w:rsid w:val="003D7B97"/>
    <w:rsid w:val="003D7F3F"/>
    <w:rsid w:val="003D7FCC"/>
    <w:rsid w:val="003E0093"/>
    <w:rsid w:val="003E041A"/>
    <w:rsid w:val="003E0514"/>
    <w:rsid w:val="003E08C3"/>
    <w:rsid w:val="003E0A9D"/>
    <w:rsid w:val="003E0C05"/>
    <w:rsid w:val="003E0C97"/>
    <w:rsid w:val="003E138D"/>
    <w:rsid w:val="003E13B1"/>
    <w:rsid w:val="003E16EE"/>
    <w:rsid w:val="003E1767"/>
    <w:rsid w:val="003E1794"/>
    <w:rsid w:val="003E1820"/>
    <w:rsid w:val="003E18E8"/>
    <w:rsid w:val="003E1CE4"/>
    <w:rsid w:val="003E1ECC"/>
    <w:rsid w:val="003E226B"/>
    <w:rsid w:val="003E2D85"/>
    <w:rsid w:val="003E2E44"/>
    <w:rsid w:val="003E3365"/>
    <w:rsid w:val="003E3933"/>
    <w:rsid w:val="003E3F93"/>
    <w:rsid w:val="003E4099"/>
    <w:rsid w:val="003E4393"/>
    <w:rsid w:val="003E451C"/>
    <w:rsid w:val="003E4976"/>
    <w:rsid w:val="003E49BA"/>
    <w:rsid w:val="003E4ECD"/>
    <w:rsid w:val="003E4F68"/>
    <w:rsid w:val="003E5623"/>
    <w:rsid w:val="003E5783"/>
    <w:rsid w:val="003E5D30"/>
    <w:rsid w:val="003E5EE4"/>
    <w:rsid w:val="003E60A8"/>
    <w:rsid w:val="003E63E1"/>
    <w:rsid w:val="003E6418"/>
    <w:rsid w:val="003E64A9"/>
    <w:rsid w:val="003E6539"/>
    <w:rsid w:val="003E6837"/>
    <w:rsid w:val="003E6970"/>
    <w:rsid w:val="003E6CFF"/>
    <w:rsid w:val="003E71CB"/>
    <w:rsid w:val="003E72E1"/>
    <w:rsid w:val="003E7324"/>
    <w:rsid w:val="003E7660"/>
    <w:rsid w:val="003E7771"/>
    <w:rsid w:val="003E7D45"/>
    <w:rsid w:val="003F00D1"/>
    <w:rsid w:val="003F034B"/>
    <w:rsid w:val="003F051B"/>
    <w:rsid w:val="003F062B"/>
    <w:rsid w:val="003F0858"/>
    <w:rsid w:val="003F098B"/>
    <w:rsid w:val="003F0A19"/>
    <w:rsid w:val="003F0ADC"/>
    <w:rsid w:val="003F0B65"/>
    <w:rsid w:val="003F0BC3"/>
    <w:rsid w:val="003F0CC5"/>
    <w:rsid w:val="003F0DAA"/>
    <w:rsid w:val="003F11B2"/>
    <w:rsid w:val="003F1209"/>
    <w:rsid w:val="003F1292"/>
    <w:rsid w:val="003F157E"/>
    <w:rsid w:val="003F16E0"/>
    <w:rsid w:val="003F1B06"/>
    <w:rsid w:val="003F1D7D"/>
    <w:rsid w:val="003F1E83"/>
    <w:rsid w:val="003F1F1E"/>
    <w:rsid w:val="003F1F65"/>
    <w:rsid w:val="003F2224"/>
    <w:rsid w:val="003F244D"/>
    <w:rsid w:val="003F2D03"/>
    <w:rsid w:val="003F3130"/>
    <w:rsid w:val="003F39E0"/>
    <w:rsid w:val="003F3EC3"/>
    <w:rsid w:val="003F42BF"/>
    <w:rsid w:val="003F45A4"/>
    <w:rsid w:val="003F45E1"/>
    <w:rsid w:val="003F46FC"/>
    <w:rsid w:val="003F4AD9"/>
    <w:rsid w:val="003F4D7B"/>
    <w:rsid w:val="003F4F49"/>
    <w:rsid w:val="003F50E8"/>
    <w:rsid w:val="003F563B"/>
    <w:rsid w:val="003F597A"/>
    <w:rsid w:val="003F59A8"/>
    <w:rsid w:val="003F5CFB"/>
    <w:rsid w:val="003F5D12"/>
    <w:rsid w:val="003F5D2A"/>
    <w:rsid w:val="003F605F"/>
    <w:rsid w:val="003F6069"/>
    <w:rsid w:val="003F606B"/>
    <w:rsid w:val="003F64D7"/>
    <w:rsid w:val="003F64F2"/>
    <w:rsid w:val="003F654E"/>
    <w:rsid w:val="003F65B6"/>
    <w:rsid w:val="003F65FE"/>
    <w:rsid w:val="003F697E"/>
    <w:rsid w:val="003F69C2"/>
    <w:rsid w:val="003F6C99"/>
    <w:rsid w:val="003F6FF0"/>
    <w:rsid w:val="003F7217"/>
    <w:rsid w:val="003F7332"/>
    <w:rsid w:val="003F739D"/>
    <w:rsid w:val="003F741B"/>
    <w:rsid w:val="003F743A"/>
    <w:rsid w:val="003F76C4"/>
    <w:rsid w:val="003F77EF"/>
    <w:rsid w:val="003F79B4"/>
    <w:rsid w:val="003F7A4F"/>
    <w:rsid w:val="003F7A98"/>
    <w:rsid w:val="003F7AC8"/>
    <w:rsid w:val="003F7E66"/>
    <w:rsid w:val="004002D5"/>
    <w:rsid w:val="0040037D"/>
    <w:rsid w:val="00400607"/>
    <w:rsid w:val="0040061D"/>
    <w:rsid w:val="00400785"/>
    <w:rsid w:val="00400D46"/>
    <w:rsid w:val="00400DBA"/>
    <w:rsid w:val="00400E1C"/>
    <w:rsid w:val="00400E7B"/>
    <w:rsid w:val="004012AC"/>
    <w:rsid w:val="004013E7"/>
    <w:rsid w:val="0040191A"/>
    <w:rsid w:val="00401D5B"/>
    <w:rsid w:val="00401E5F"/>
    <w:rsid w:val="00402184"/>
    <w:rsid w:val="00402493"/>
    <w:rsid w:val="004024AA"/>
    <w:rsid w:val="00402576"/>
    <w:rsid w:val="00402B2A"/>
    <w:rsid w:val="00402C9C"/>
    <w:rsid w:val="00402DB8"/>
    <w:rsid w:val="00403037"/>
    <w:rsid w:val="00403252"/>
    <w:rsid w:val="004036E3"/>
    <w:rsid w:val="0040378A"/>
    <w:rsid w:val="00403CEF"/>
    <w:rsid w:val="00403D0E"/>
    <w:rsid w:val="00404297"/>
    <w:rsid w:val="0040445B"/>
    <w:rsid w:val="0040465F"/>
    <w:rsid w:val="00404793"/>
    <w:rsid w:val="00404884"/>
    <w:rsid w:val="004049F1"/>
    <w:rsid w:val="00404D26"/>
    <w:rsid w:val="00404DA0"/>
    <w:rsid w:val="00404F71"/>
    <w:rsid w:val="00405178"/>
    <w:rsid w:val="004051B8"/>
    <w:rsid w:val="004052BC"/>
    <w:rsid w:val="00405530"/>
    <w:rsid w:val="00405949"/>
    <w:rsid w:val="004062C1"/>
    <w:rsid w:val="00406509"/>
    <w:rsid w:val="004066C3"/>
    <w:rsid w:val="004068F5"/>
    <w:rsid w:val="00406940"/>
    <w:rsid w:val="00406A23"/>
    <w:rsid w:val="00406F30"/>
    <w:rsid w:val="0040717A"/>
    <w:rsid w:val="004072D5"/>
    <w:rsid w:val="004073A2"/>
    <w:rsid w:val="004073DE"/>
    <w:rsid w:val="00407BC7"/>
    <w:rsid w:val="00407D84"/>
    <w:rsid w:val="00407E8B"/>
    <w:rsid w:val="004101EC"/>
    <w:rsid w:val="00410776"/>
    <w:rsid w:val="00410AD8"/>
    <w:rsid w:val="00410EE3"/>
    <w:rsid w:val="00410F9E"/>
    <w:rsid w:val="0041102F"/>
    <w:rsid w:val="00411389"/>
    <w:rsid w:val="00411467"/>
    <w:rsid w:val="00411486"/>
    <w:rsid w:val="004114C4"/>
    <w:rsid w:val="00411680"/>
    <w:rsid w:val="0041169A"/>
    <w:rsid w:val="00411941"/>
    <w:rsid w:val="00411C4C"/>
    <w:rsid w:val="00411C5D"/>
    <w:rsid w:val="00411FB8"/>
    <w:rsid w:val="0041234C"/>
    <w:rsid w:val="004124F9"/>
    <w:rsid w:val="004129F2"/>
    <w:rsid w:val="00412C97"/>
    <w:rsid w:val="00412EA0"/>
    <w:rsid w:val="00412FCA"/>
    <w:rsid w:val="00413061"/>
    <w:rsid w:val="00413342"/>
    <w:rsid w:val="00413467"/>
    <w:rsid w:val="0041355A"/>
    <w:rsid w:val="00413D5D"/>
    <w:rsid w:val="00413E8A"/>
    <w:rsid w:val="00414301"/>
    <w:rsid w:val="00414336"/>
    <w:rsid w:val="0041456C"/>
    <w:rsid w:val="0041481F"/>
    <w:rsid w:val="00414C0D"/>
    <w:rsid w:val="00414DC2"/>
    <w:rsid w:val="00414E75"/>
    <w:rsid w:val="00414EC3"/>
    <w:rsid w:val="00415391"/>
    <w:rsid w:val="0041556B"/>
    <w:rsid w:val="00415919"/>
    <w:rsid w:val="00415C6E"/>
    <w:rsid w:val="00415C77"/>
    <w:rsid w:val="00415E14"/>
    <w:rsid w:val="00415E80"/>
    <w:rsid w:val="00416259"/>
    <w:rsid w:val="00416713"/>
    <w:rsid w:val="00416738"/>
    <w:rsid w:val="00416797"/>
    <w:rsid w:val="00416EFD"/>
    <w:rsid w:val="00416FBF"/>
    <w:rsid w:val="0041705B"/>
    <w:rsid w:val="0041716B"/>
    <w:rsid w:val="004176D9"/>
    <w:rsid w:val="00417D85"/>
    <w:rsid w:val="00417F9A"/>
    <w:rsid w:val="0042094A"/>
    <w:rsid w:val="004209D1"/>
    <w:rsid w:val="004209F8"/>
    <w:rsid w:val="00420C69"/>
    <w:rsid w:val="00420FF8"/>
    <w:rsid w:val="004213EA"/>
    <w:rsid w:val="00421902"/>
    <w:rsid w:val="00421A89"/>
    <w:rsid w:val="00421B29"/>
    <w:rsid w:val="00421B7D"/>
    <w:rsid w:val="00421FE1"/>
    <w:rsid w:val="0042201D"/>
    <w:rsid w:val="0042207A"/>
    <w:rsid w:val="00422273"/>
    <w:rsid w:val="00422320"/>
    <w:rsid w:val="00422341"/>
    <w:rsid w:val="00422388"/>
    <w:rsid w:val="00422FF0"/>
    <w:rsid w:val="004235A9"/>
    <w:rsid w:val="00423770"/>
    <w:rsid w:val="0042398B"/>
    <w:rsid w:val="00423BF5"/>
    <w:rsid w:val="00423C90"/>
    <w:rsid w:val="00424426"/>
    <w:rsid w:val="0042491C"/>
    <w:rsid w:val="004250E7"/>
    <w:rsid w:val="0042514C"/>
    <w:rsid w:val="00425179"/>
    <w:rsid w:val="00425640"/>
    <w:rsid w:val="00425676"/>
    <w:rsid w:val="00425693"/>
    <w:rsid w:val="00425C79"/>
    <w:rsid w:val="00425F22"/>
    <w:rsid w:val="00426085"/>
    <w:rsid w:val="00426379"/>
    <w:rsid w:val="00426739"/>
    <w:rsid w:val="00426A8B"/>
    <w:rsid w:val="00426C89"/>
    <w:rsid w:val="00426E4D"/>
    <w:rsid w:val="00426F38"/>
    <w:rsid w:val="00427545"/>
    <w:rsid w:val="00427875"/>
    <w:rsid w:val="004278B0"/>
    <w:rsid w:val="00427BA3"/>
    <w:rsid w:val="00427BEE"/>
    <w:rsid w:val="00427C8B"/>
    <w:rsid w:val="00427D6A"/>
    <w:rsid w:val="00427DA7"/>
    <w:rsid w:val="00430218"/>
    <w:rsid w:val="004306C0"/>
    <w:rsid w:val="00430E78"/>
    <w:rsid w:val="004310A7"/>
    <w:rsid w:val="0043141A"/>
    <w:rsid w:val="004314E1"/>
    <w:rsid w:val="004315CE"/>
    <w:rsid w:val="004317CF"/>
    <w:rsid w:val="00431911"/>
    <w:rsid w:val="00431CF9"/>
    <w:rsid w:val="00432002"/>
    <w:rsid w:val="004321AA"/>
    <w:rsid w:val="00432656"/>
    <w:rsid w:val="0043292C"/>
    <w:rsid w:val="00432C50"/>
    <w:rsid w:val="00432C93"/>
    <w:rsid w:val="00432CE4"/>
    <w:rsid w:val="0043304A"/>
    <w:rsid w:val="0043309C"/>
    <w:rsid w:val="00433204"/>
    <w:rsid w:val="00433256"/>
    <w:rsid w:val="00433443"/>
    <w:rsid w:val="00433AC5"/>
    <w:rsid w:val="00433DC6"/>
    <w:rsid w:val="00433E17"/>
    <w:rsid w:val="004340B3"/>
    <w:rsid w:val="00434475"/>
    <w:rsid w:val="00434555"/>
    <w:rsid w:val="00434CD3"/>
    <w:rsid w:val="00434CFE"/>
    <w:rsid w:val="00434D83"/>
    <w:rsid w:val="00434E68"/>
    <w:rsid w:val="00435266"/>
    <w:rsid w:val="004354C2"/>
    <w:rsid w:val="004354E1"/>
    <w:rsid w:val="00435624"/>
    <w:rsid w:val="004357A7"/>
    <w:rsid w:val="004357F6"/>
    <w:rsid w:val="00435D50"/>
    <w:rsid w:val="00435DA2"/>
    <w:rsid w:val="00436293"/>
    <w:rsid w:val="004367FE"/>
    <w:rsid w:val="00436A04"/>
    <w:rsid w:val="00436D16"/>
    <w:rsid w:val="00436E4A"/>
    <w:rsid w:val="004372E5"/>
    <w:rsid w:val="00437422"/>
    <w:rsid w:val="00437515"/>
    <w:rsid w:val="00437523"/>
    <w:rsid w:val="00437884"/>
    <w:rsid w:val="00437C73"/>
    <w:rsid w:val="00440582"/>
    <w:rsid w:val="004408B8"/>
    <w:rsid w:val="00440D7F"/>
    <w:rsid w:val="0044117C"/>
    <w:rsid w:val="00441345"/>
    <w:rsid w:val="004414C9"/>
    <w:rsid w:val="004417BE"/>
    <w:rsid w:val="00441907"/>
    <w:rsid w:val="00441E51"/>
    <w:rsid w:val="0044216A"/>
    <w:rsid w:val="004424DC"/>
    <w:rsid w:val="004427DE"/>
    <w:rsid w:val="004429D6"/>
    <w:rsid w:val="00442A5E"/>
    <w:rsid w:val="004433BF"/>
    <w:rsid w:val="004434DD"/>
    <w:rsid w:val="004434E1"/>
    <w:rsid w:val="00443933"/>
    <w:rsid w:val="00443BD6"/>
    <w:rsid w:val="004441F1"/>
    <w:rsid w:val="004442D1"/>
    <w:rsid w:val="0044453F"/>
    <w:rsid w:val="00444980"/>
    <w:rsid w:val="00444E6E"/>
    <w:rsid w:val="00445298"/>
    <w:rsid w:val="0044534D"/>
    <w:rsid w:val="00445509"/>
    <w:rsid w:val="0044558B"/>
    <w:rsid w:val="004455E7"/>
    <w:rsid w:val="004457C2"/>
    <w:rsid w:val="00445B70"/>
    <w:rsid w:val="00446532"/>
    <w:rsid w:val="004467EE"/>
    <w:rsid w:val="00446C30"/>
    <w:rsid w:val="00446D02"/>
    <w:rsid w:val="00446E47"/>
    <w:rsid w:val="00447127"/>
    <w:rsid w:val="004472E5"/>
    <w:rsid w:val="004474B3"/>
    <w:rsid w:val="00447552"/>
    <w:rsid w:val="004479DF"/>
    <w:rsid w:val="00447A55"/>
    <w:rsid w:val="00447D5D"/>
    <w:rsid w:val="00447DA1"/>
    <w:rsid w:val="00447DFE"/>
    <w:rsid w:val="00447ECB"/>
    <w:rsid w:val="004500CB"/>
    <w:rsid w:val="004504CB"/>
    <w:rsid w:val="004505D3"/>
    <w:rsid w:val="004509E3"/>
    <w:rsid w:val="00450A8E"/>
    <w:rsid w:val="00450B3C"/>
    <w:rsid w:val="00450BAD"/>
    <w:rsid w:val="00451087"/>
    <w:rsid w:val="004510A2"/>
    <w:rsid w:val="004510CC"/>
    <w:rsid w:val="00451530"/>
    <w:rsid w:val="00451749"/>
    <w:rsid w:val="004519A6"/>
    <w:rsid w:val="00451AD9"/>
    <w:rsid w:val="00451DDD"/>
    <w:rsid w:val="00452358"/>
    <w:rsid w:val="004523B1"/>
    <w:rsid w:val="004524EA"/>
    <w:rsid w:val="004526FF"/>
    <w:rsid w:val="00452BA1"/>
    <w:rsid w:val="00452BD2"/>
    <w:rsid w:val="00452F12"/>
    <w:rsid w:val="004530A2"/>
    <w:rsid w:val="00453353"/>
    <w:rsid w:val="0045366E"/>
    <w:rsid w:val="00454085"/>
    <w:rsid w:val="004541BD"/>
    <w:rsid w:val="004542E8"/>
    <w:rsid w:val="004542EC"/>
    <w:rsid w:val="0045434C"/>
    <w:rsid w:val="004543D9"/>
    <w:rsid w:val="004545A8"/>
    <w:rsid w:val="004549D6"/>
    <w:rsid w:val="00454CB6"/>
    <w:rsid w:val="00454E6F"/>
    <w:rsid w:val="004554F6"/>
    <w:rsid w:val="00455612"/>
    <w:rsid w:val="00455835"/>
    <w:rsid w:val="004558CD"/>
    <w:rsid w:val="00455A28"/>
    <w:rsid w:val="00455C06"/>
    <w:rsid w:val="00455E44"/>
    <w:rsid w:val="00455FC2"/>
    <w:rsid w:val="004565B5"/>
    <w:rsid w:val="004565C3"/>
    <w:rsid w:val="00456774"/>
    <w:rsid w:val="00456BC1"/>
    <w:rsid w:val="00456C5B"/>
    <w:rsid w:val="00456CAD"/>
    <w:rsid w:val="00456D79"/>
    <w:rsid w:val="00456F39"/>
    <w:rsid w:val="00456F57"/>
    <w:rsid w:val="00456F8B"/>
    <w:rsid w:val="004573A8"/>
    <w:rsid w:val="00457400"/>
    <w:rsid w:val="00457579"/>
    <w:rsid w:val="0045769C"/>
    <w:rsid w:val="004576D7"/>
    <w:rsid w:val="00457938"/>
    <w:rsid w:val="00457C1F"/>
    <w:rsid w:val="00457DB8"/>
    <w:rsid w:val="00460073"/>
    <w:rsid w:val="0046010C"/>
    <w:rsid w:val="00460AFA"/>
    <w:rsid w:val="00460C1C"/>
    <w:rsid w:val="00460D75"/>
    <w:rsid w:val="00460EF6"/>
    <w:rsid w:val="00460FAD"/>
    <w:rsid w:val="00461020"/>
    <w:rsid w:val="00461105"/>
    <w:rsid w:val="00461322"/>
    <w:rsid w:val="004613E4"/>
    <w:rsid w:val="004614CC"/>
    <w:rsid w:val="00461595"/>
    <w:rsid w:val="004616A4"/>
    <w:rsid w:val="00461708"/>
    <w:rsid w:val="00461A8F"/>
    <w:rsid w:val="00461EA3"/>
    <w:rsid w:val="0046247A"/>
    <w:rsid w:val="00462868"/>
    <w:rsid w:val="00462C18"/>
    <w:rsid w:val="004635C3"/>
    <w:rsid w:val="00464080"/>
    <w:rsid w:val="0046411D"/>
    <w:rsid w:val="00464438"/>
    <w:rsid w:val="00464578"/>
    <w:rsid w:val="004647A8"/>
    <w:rsid w:val="00464E39"/>
    <w:rsid w:val="00464E9C"/>
    <w:rsid w:val="00464EE5"/>
    <w:rsid w:val="00464F5C"/>
    <w:rsid w:val="00464FD2"/>
    <w:rsid w:val="00465721"/>
    <w:rsid w:val="00465778"/>
    <w:rsid w:val="00465A1E"/>
    <w:rsid w:val="00465ECC"/>
    <w:rsid w:val="004663E7"/>
    <w:rsid w:val="00466458"/>
    <w:rsid w:val="004665BF"/>
    <w:rsid w:val="0046674E"/>
    <w:rsid w:val="00466933"/>
    <w:rsid w:val="00466B80"/>
    <w:rsid w:val="00466DCC"/>
    <w:rsid w:val="00467313"/>
    <w:rsid w:val="0046753B"/>
    <w:rsid w:val="00467649"/>
    <w:rsid w:val="00467705"/>
    <w:rsid w:val="004678B5"/>
    <w:rsid w:val="00467BD8"/>
    <w:rsid w:val="00467E91"/>
    <w:rsid w:val="00467F2F"/>
    <w:rsid w:val="00467F61"/>
    <w:rsid w:val="004700B4"/>
    <w:rsid w:val="004700F0"/>
    <w:rsid w:val="00470655"/>
    <w:rsid w:val="00470F6A"/>
    <w:rsid w:val="0047123C"/>
    <w:rsid w:val="00471AED"/>
    <w:rsid w:val="00471C77"/>
    <w:rsid w:val="0047200F"/>
    <w:rsid w:val="004721B4"/>
    <w:rsid w:val="004721D4"/>
    <w:rsid w:val="0047236D"/>
    <w:rsid w:val="004725F6"/>
    <w:rsid w:val="0047284A"/>
    <w:rsid w:val="00472852"/>
    <w:rsid w:val="004728ED"/>
    <w:rsid w:val="00472D9F"/>
    <w:rsid w:val="00473039"/>
    <w:rsid w:val="0047339C"/>
    <w:rsid w:val="00473614"/>
    <w:rsid w:val="0047361E"/>
    <w:rsid w:val="004736BF"/>
    <w:rsid w:val="00474154"/>
    <w:rsid w:val="00474643"/>
    <w:rsid w:val="004746EE"/>
    <w:rsid w:val="00474B6B"/>
    <w:rsid w:val="00474B9B"/>
    <w:rsid w:val="00474C70"/>
    <w:rsid w:val="00474DC3"/>
    <w:rsid w:val="00474E61"/>
    <w:rsid w:val="00474EBF"/>
    <w:rsid w:val="004752D5"/>
    <w:rsid w:val="00475764"/>
    <w:rsid w:val="00475783"/>
    <w:rsid w:val="00475792"/>
    <w:rsid w:val="00475949"/>
    <w:rsid w:val="00475970"/>
    <w:rsid w:val="00475A1A"/>
    <w:rsid w:val="00475AB0"/>
    <w:rsid w:val="00475DF8"/>
    <w:rsid w:val="00476107"/>
    <w:rsid w:val="00476181"/>
    <w:rsid w:val="00476449"/>
    <w:rsid w:val="00476D83"/>
    <w:rsid w:val="00476E3D"/>
    <w:rsid w:val="004779A6"/>
    <w:rsid w:val="004779CB"/>
    <w:rsid w:val="004805D9"/>
    <w:rsid w:val="0048088D"/>
    <w:rsid w:val="004808BA"/>
    <w:rsid w:val="00480AED"/>
    <w:rsid w:val="0048124E"/>
    <w:rsid w:val="00481373"/>
    <w:rsid w:val="004814B9"/>
    <w:rsid w:val="0048159F"/>
    <w:rsid w:val="00481ABD"/>
    <w:rsid w:val="00481B0A"/>
    <w:rsid w:val="00481C53"/>
    <w:rsid w:val="00481CC2"/>
    <w:rsid w:val="00481DFF"/>
    <w:rsid w:val="00481FC1"/>
    <w:rsid w:val="00482096"/>
    <w:rsid w:val="00482102"/>
    <w:rsid w:val="00482207"/>
    <w:rsid w:val="0048257B"/>
    <w:rsid w:val="00482C28"/>
    <w:rsid w:val="00482E1D"/>
    <w:rsid w:val="004833B8"/>
    <w:rsid w:val="00483418"/>
    <w:rsid w:val="00483453"/>
    <w:rsid w:val="004834E5"/>
    <w:rsid w:val="0048386F"/>
    <w:rsid w:val="00483C90"/>
    <w:rsid w:val="00483DB0"/>
    <w:rsid w:val="00483E50"/>
    <w:rsid w:val="004840BF"/>
    <w:rsid w:val="00484273"/>
    <w:rsid w:val="004843D6"/>
    <w:rsid w:val="004844A7"/>
    <w:rsid w:val="004844AE"/>
    <w:rsid w:val="004844F9"/>
    <w:rsid w:val="00484813"/>
    <w:rsid w:val="0048485E"/>
    <w:rsid w:val="00484C14"/>
    <w:rsid w:val="004853B6"/>
    <w:rsid w:val="0048555D"/>
    <w:rsid w:val="004856B6"/>
    <w:rsid w:val="00485B99"/>
    <w:rsid w:val="00485C27"/>
    <w:rsid w:val="0048602D"/>
    <w:rsid w:val="004860A3"/>
    <w:rsid w:val="00486294"/>
    <w:rsid w:val="00486376"/>
    <w:rsid w:val="00486736"/>
    <w:rsid w:val="00486786"/>
    <w:rsid w:val="00486A1D"/>
    <w:rsid w:val="00487A62"/>
    <w:rsid w:val="00487C17"/>
    <w:rsid w:val="00487D5B"/>
    <w:rsid w:val="00490361"/>
    <w:rsid w:val="00490711"/>
    <w:rsid w:val="004907B9"/>
    <w:rsid w:val="00490B0E"/>
    <w:rsid w:val="00490EE0"/>
    <w:rsid w:val="00491318"/>
    <w:rsid w:val="0049157A"/>
    <w:rsid w:val="004917DE"/>
    <w:rsid w:val="00491CE2"/>
    <w:rsid w:val="00492028"/>
    <w:rsid w:val="00492495"/>
    <w:rsid w:val="00492577"/>
    <w:rsid w:val="00492865"/>
    <w:rsid w:val="004929F2"/>
    <w:rsid w:val="00492AC2"/>
    <w:rsid w:val="00492DED"/>
    <w:rsid w:val="00493354"/>
    <w:rsid w:val="004938BB"/>
    <w:rsid w:val="00493AF9"/>
    <w:rsid w:val="00493EAD"/>
    <w:rsid w:val="0049439E"/>
    <w:rsid w:val="00494423"/>
    <w:rsid w:val="00494896"/>
    <w:rsid w:val="00494A7B"/>
    <w:rsid w:val="00494C08"/>
    <w:rsid w:val="00494D07"/>
    <w:rsid w:val="00494D2A"/>
    <w:rsid w:val="00494EC9"/>
    <w:rsid w:val="004950CC"/>
    <w:rsid w:val="004952FE"/>
    <w:rsid w:val="00495600"/>
    <w:rsid w:val="00495777"/>
    <w:rsid w:val="00495B8F"/>
    <w:rsid w:val="00495C8C"/>
    <w:rsid w:val="00495D28"/>
    <w:rsid w:val="004960C5"/>
    <w:rsid w:val="00496642"/>
    <w:rsid w:val="004966A5"/>
    <w:rsid w:val="00496924"/>
    <w:rsid w:val="00496AED"/>
    <w:rsid w:val="00496CE6"/>
    <w:rsid w:val="00496DDB"/>
    <w:rsid w:val="00496F6E"/>
    <w:rsid w:val="00497233"/>
    <w:rsid w:val="004972E1"/>
    <w:rsid w:val="00497350"/>
    <w:rsid w:val="0049757C"/>
    <w:rsid w:val="00497844"/>
    <w:rsid w:val="00497E7C"/>
    <w:rsid w:val="00497EFD"/>
    <w:rsid w:val="004A0069"/>
    <w:rsid w:val="004A02D3"/>
    <w:rsid w:val="004A0437"/>
    <w:rsid w:val="004A061C"/>
    <w:rsid w:val="004A0742"/>
    <w:rsid w:val="004A09B2"/>
    <w:rsid w:val="004A09F1"/>
    <w:rsid w:val="004A0B07"/>
    <w:rsid w:val="004A0D21"/>
    <w:rsid w:val="004A0D65"/>
    <w:rsid w:val="004A0DBB"/>
    <w:rsid w:val="004A0DCC"/>
    <w:rsid w:val="004A1148"/>
    <w:rsid w:val="004A1256"/>
    <w:rsid w:val="004A1410"/>
    <w:rsid w:val="004A15CB"/>
    <w:rsid w:val="004A16A2"/>
    <w:rsid w:val="004A183E"/>
    <w:rsid w:val="004A2329"/>
    <w:rsid w:val="004A2442"/>
    <w:rsid w:val="004A2C31"/>
    <w:rsid w:val="004A3090"/>
    <w:rsid w:val="004A3116"/>
    <w:rsid w:val="004A349C"/>
    <w:rsid w:val="004A3676"/>
    <w:rsid w:val="004A38A9"/>
    <w:rsid w:val="004A3C6C"/>
    <w:rsid w:val="004A3E66"/>
    <w:rsid w:val="004A3F18"/>
    <w:rsid w:val="004A40AA"/>
    <w:rsid w:val="004A40F0"/>
    <w:rsid w:val="004A4160"/>
    <w:rsid w:val="004A49B6"/>
    <w:rsid w:val="004A4CAB"/>
    <w:rsid w:val="004A4D3D"/>
    <w:rsid w:val="004A4DC5"/>
    <w:rsid w:val="004A527D"/>
    <w:rsid w:val="004A530F"/>
    <w:rsid w:val="004A531E"/>
    <w:rsid w:val="004A576A"/>
    <w:rsid w:val="004A5D0F"/>
    <w:rsid w:val="004A6081"/>
    <w:rsid w:val="004A6873"/>
    <w:rsid w:val="004A6BA1"/>
    <w:rsid w:val="004A6E04"/>
    <w:rsid w:val="004A6EFB"/>
    <w:rsid w:val="004A6F85"/>
    <w:rsid w:val="004A7262"/>
    <w:rsid w:val="004A727F"/>
    <w:rsid w:val="004A7738"/>
    <w:rsid w:val="004A7864"/>
    <w:rsid w:val="004A78B4"/>
    <w:rsid w:val="004A7DA4"/>
    <w:rsid w:val="004A7F4E"/>
    <w:rsid w:val="004B0377"/>
    <w:rsid w:val="004B0DD4"/>
    <w:rsid w:val="004B104A"/>
    <w:rsid w:val="004B10D1"/>
    <w:rsid w:val="004B13F7"/>
    <w:rsid w:val="004B174E"/>
    <w:rsid w:val="004B1924"/>
    <w:rsid w:val="004B1B95"/>
    <w:rsid w:val="004B1BF8"/>
    <w:rsid w:val="004B20DB"/>
    <w:rsid w:val="004B2262"/>
    <w:rsid w:val="004B2360"/>
    <w:rsid w:val="004B2A80"/>
    <w:rsid w:val="004B2C5A"/>
    <w:rsid w:val="004B3028"/>
    <w:rsid w:val="004B31F5"/>
    <w:rsid w:val="004B399D"/>
    <w:rsid w:val="004B3B47"/>
    <w:rsid w:val="004B3CF3"/>
    <w:rsid w:val="004B3DEC"/>
    <w:rsid w:val="004B3E2A"/>
    <w:rsid w:val="004B4041"/>
    <w:rsid w:val="004B4384"/>
    <w:rsid w:val="004B43ED"/>
    <w:rsid w:val="004B44D9"/>
    <w:rsid w:val="004B45A0"/>
    <w:rsid w:val="004B47D5"/>
    <w:rsid w:val="004B4B8C"/>
    <w:rsid w:val="004B4C40"/>
    <w:rsid w:val="004B4D01"/>
    <w:rsid w:val="004B4E02"/>
    <w:rsid w:val="004B50CA"/>
    <w:rsid w:val="004B57EA"/>
    <w:rsid w:val="004B5801"/>
    <w:rsid w:val="004B5B68"/>
    <w:rsid w:val="004B5C80"/>
    <w:rsid w:val="004B5D77"/>
    <w:rsid w:val="004B5DB7"/>
    <w:rsid w:val="004B6061"/>
    <w:rsid w:val="004B6258"/>
    <w:rsid w:val="004B63C1"/>
    <w:rsid w:val="004B6EB2"/>
    <w:rsid w:val="004B7112"/>
    <w:rsid w:val="004B71DD"/>
    <w:rsid w:val="004B7552"/>
    <w:rsid w:val="004B7757"/>
    <w:rsid w:val="004B7848"/>
    <w:rsid w:val="004B7AC6"/>
    <w:rsid w:val="004B7C60"/>
    <w:rsid w:val="004B7C61"/>
    <w:rsid w:val="004B7CAD"/>
    <w:rsid w:val="004B7D18"/>
    <w:rsid w:val="004B7F8D"/>
    <w:rsid w:val="004B7FE7"/>
    <w:rsid w:val="004B7FED"/>
    <w:rsid w:val="004C03A5"/>
    <w:rsid w:val="004C04FD"/>
    <w:rsid w:val="004C065A"/>
    <w:rsid w:val="004C07C3"/>
    <w:rsid w:val="004C09E6"/>
    <w:rsid w:val="004C1460"/>
    <w:rsid w:val="004C1520"/>
    <w:rsid w:val="004C178B"/>
    <w:rsid w:val="004C1C7B"/>
    <w:rsid w:val="004C1D24"/>
    <w:rsid w:val="004C1EBA"/>
    <w:rsid w:val="004C1F5D"/>
    <w:rsid w:val="004C2165"/>
    <w:rsid w:val="004C22E0"/>
    <w:rsid w:val="004C232D"/>
    <w:rsid w:val="004C2596"/>
    <w:rsid w:val="004C2616"/>
    <w:rsid w:val="004C2731"/>
    <w:rsid w:val="004C29D4"/>
    <w:rsid w:val="004C2A27"/>
    <w:rsid w:val="004C2AC4"/>
    <w:rsid w:val="004C32EE"/>
    <w:rsid w:val="004C34A2"/>
    <w:rsid w:val="004C3C8B"/>
    <w:rsid w:val="004C4581"/>
    <w:rsid w:val="004C4CF8"/>
    <w:rsid w:val="004C5502"/>
    <w:rsid w:val="004C55C3"/>
    <w:rsid w:val="004C59A1"/>
    <w:rsid w:val="004C5A4C"/>
    <w:rsid w:val="004C5D9C"/>
    <w:rsid w:val="004C5F5B"/>
    <w:rsid w:val="004C60C6"/>
    <w:rsid w:val="004C63E7"/>
    <w:rsid w:val="004C6915"/>
    <w:rsid w:val="004C6A59"/>
    <w:rsid w:val="004C6C15"/>
    <w:rsid w:val="004C7057"/>
    <w:rsid w:val="004C714A"/>
    <w:rsid w:val="004C7439"/>
    <w:rsid w:val="004C77A7"/>
    <w:rsid w:val="004C7ABB"/>
    <w:rsid w:val="004C7CCE"/>
    <w:rsid w:val="004C7DDB"/>
    <w:rsid w:val="004D02EF"/>
    <w:rsid w:val="004D0546"/>
    <w:rsid w:val="004D08C8"/>
    <w:rsid w:val="004D0911"/>
    <w:rsid w:val="004D09CA"/>
    <w:rsid w:val="004D0C30"/>
    <w:rsid w:val="004D1416"/>
    <w:rsid w:val="004D159E"/>
    <w:rsid w:val="004D1BD4"/>
    <w:rsid w:val="004D1F57"/>
    <w:rsid w:val="004D20EE"/>
    <w:rsid w:val="004D210C"/>
    <w:rsid w:val="004D21C7"/>
    <w:rsid w:val="004D28D3"/>
    <w:rsid w:val="004D2C18"/>
    <w:rsid w:val="004D2CB3"/>
    <w:rsid w:val="004D2E55"/>
    <w:rsid w:val="004D2F48"/>
    <w:rsid w:val="004D3355"/>
    <w:rsid w:val="004D3471"/>
    <w:rsid w:val="004D34D9"/>
    <w:rsid w:val="004D35E7"/>
    <w:rsid w:val="004D36B8"/>
    <w:rsid w:val="004D3C2B"/>
    <w:rsid w:val="004D3C87"/>
    <w:rsid w:val="004D3D08"/>
    <w:rsid w:val="004D45E4"/>
    <w:rsid w:val="004D49FC"/>
    <w:rsid w:val="004D550F"/>
    <w:rsid w:val="004D5519"/>
    <w:rsid w:val="004D55CA"/>
    <w:rsid w:val="004D55FA"/>
    <w:rsid w:val="004D56E7"/>
    <w:rsid w:val="004D58BC"/>
    <w:rsid w:val="004D6088"/>
    <w:rsid w:val="004D64BF"/>
    <w:rsid w:val="004D6549"/>
    <w:rsid w:val="004D696A"/>
    <w:rsid w:val="004D6E06"/>
    <w:rsid w:val="004D6E56"/>
    <w:rsid w:val="004D72CB"/>
    <w:rsid w:val="004D72F2"/>
    <w:rsid w:val="004D7802"/>
    <w:rsid w:val="004D7C61"/>
    <w:rsid w:val="004D7E16"/>
    <w:rsid w:val="004D7E3D"/>
    <w:rsid w:val="004E02A2"/>
    <w:rsid w:val="004E05B7"/>
    <w:rsid w:val="004E0F1F"/>
    <w:rsid w:val="004E142B"/>
    <w:rsid w:val="004E1498"/>
    <w:rsid w:val="004E15D0"/>
    <w:rsid w:val="004E16B1"/>
    <w:rsid w:val="004E1919"/>
    <w:rsid w:val="004E20B2"/>
    <w:rsid w:val="004E20F3"/>
    <w:rsid w:val="004E2131"/>
    <w:rsid w:val="004E27EF"/>
    <w:rsid w:val="004E28D1"/>
    <w:rsid w:val="004E2AD3"/>
    <w:rsid w:val="004E2ADF"/>
    <w:rsid w:val="004E2AEB"/>
    <w:rsid w:val="004E2BA6"/>
    <w:rsid w:val="004E364E"/>
    <w:rsid w:val="004E37B1"/>
    <w:rsid w:val="004E39B7"/>
    <w:rsid w:val="004E3FDC"/>
    <w:rsid w:val="004E429F"/>
    <w:rsid w:val="004E4425"/>
    <w:rsid w:val="004E4493"/>
    <w:rsid w:val="004E4763"/>
    <w:rsid w:val="004E4804"/>
    <w:rsid w:val="004E4CD2"/>
    <w:rsid w:val="004E4E7B"/>
    <w:rsid w:val="004E50F3"/>
    <w:rsid w:val="004E51A5"/>
    <w:rsid w:val="004E575E"/>
    <w:rsid w:val="004E5AAD"/>
    <w:rsid w:val="004E5B39"/>
    <w:rsid w:val="004E5DE7"/>
    <w:rsid w:val="004E618D"/>
    <w:rsid w:val="004E637E"/>
    <w:rsid w:val="004E66A5"/>
    <w:rsid w:val="004E66CC"/>
    <w:rsid w:val="004E69D3"/>
    <w:rsid w:val="004E6B2E"/>
    <w:rsid w:val="004E6C03"/>
    <w:rsid w:val="004E6C5B"/>
    <w:rsid w:val="004E70AB"/>
    <w:rsid w:val="004E7774"/>
    <w:rsid w:val="004E7BE8"/>
    <w:rsid w:val="004E7F42"/>
    <w:rsid w:val="004F0000"/>
    <w:rsid w:val="004F05A5"/>
    <w:rsid w:val="004F0A99"/>
    <w:rsid w:val="004F0DCE"/>
    <w:rsid w:val="004F11BF"/>
    <w:rsid w:val="004F1745"/>
    <w:rsid w:val="004F1747"/>
    <w:rsid w:val="004F180A"/>
    <w:rsid w:val="004F1B1B"/>
    <w:rsid w:val="004F1D45"/>
    <w:rsid w:val="004F1E29"/>
    <w:rsid w:val="004F20D6"/>
    <w:rsid w:val="004F2174"/>
    <w:rsid w:val="004F21E0"/>
    <w:rsid w:val="004F22DC"/>
    <w:rsid w:val="004F2679"/>
    <w:rsid w:val="004F26A7"/>
    <w:rsid w:val="004F2A18"/>
    <w:rsid w:val="004F2B33"/>
    <w:rsid w:val="004F2BCF"/>
    <w:rsid w:val="004F2CF3"/>
    <w:rsid w:val="004F304F"/>
    <w:rsid w:val="004F322A"/>
    <w:rsid w:val="004F3406"/>
    <w:rsid w:val="004F376D"/>
    <w:rsid w:val="004F37C1"/>
    <w:rsid w:val="004F3ABE"/>
    <w:rsid w:val="004F3B3A"/>
    <w:rsid w:val="004F3C22"/>
    <w:rsid w:val="004F3C2F"/>
    <w:rsid w:val="004F429A"/>
    <w:rsid w:val="004F442D"/>
    <w:rsid w:val="004F4446"/>
    <w:rsid w:val="004F45F7"/>
    <w:rsid w:val="004F47B4"/>
    <w:rsid w:val="004F47D2"/>
    <w:rsid w:val="004F4A4B"/>
    <w:rsid w:val="004F4B74"/>
    <w:rsid w:val="004F517B"/>
    <w:rsid w:val="004F551E"/>
    <w:rsid w:val="004F587C"/>
    <w:rsid w:val="004F5C4C"/>
    <w:rsid w:val="004F5F42"/>
    <w:rsid w:val="004F617A"/>
    <w:rsid w:val="004F61A4"/>
    <w:rsid w:val="004F625E"/>
    <w:rsid w:val="004F630D"/>
    <w:rsid w:val="004F641E"/>
    <w:rsid w:val="004F6474"/>
    <w:rsid w:val="004F65B8"/>
    <w:rsid w:val="004F69CE"/>
    <w:rsid w:val="004F6AFF"/>
    <w:rsid w:val="004F6D7A"/>
    <w:rsid w:val="004F6EF1"/>
    <w:rsid w:val="004F70D7"/>
    <w:rsid w:val="004F7969"/>
    <w:rsid w:val="004F79CF"/>
    <w:rsid w:val="004F79EE"/>
    <w:rsid w:val="0050043B"/>
    <w:rsid w:val="005004C0"/>
    <w:rsid w:val="005006E6"/>
    <w:rsid w:val="005009FE"/>
    <w:rsid w:val="00500CB9"/>
    <w:rsid w:val="00500D91"/>
    <w:rsid w:val="00501089"/>
    <w:rsid w:val="0050125F"/>
    <w:rsid w:val="005012CE"/>
    <w:rsid w:val="00501331"/>
    <w:rsid w:val="005014DC"/>
    <w:rsid w:val="0050184A"/>
    <w:rsid w:val="005018A9"/>
    <w:rsid w:val="00501EFF"/>
    <w:rsid w:val="00502134"/>
    <w:rsid w:val="00502147"/>
    <w:rsid w:val="005023E6"/>
    <w:rsid w:val="005027DE"/>
    <w:rsid w:val="00502BD9"/>
    <w:rsid w:val="00502CE2"/>
    <w:rsid w:val="00502ECA"/>
    <w:rsid w:val="00503149"/>
    <w:rsid w:val="0050383E"/>
    <w:rsid w:val="00503FB4"/>
    <w:rsid w:val="005041CF"/>
    <w:rsid w:val="00504558"/>
    <w:rsid w:val="005047B7"/>
    <w:rsid w:val="00504A6F"/>
    <w:rsid w:val="00504A82"/>
    <w:rsid w:val="005050F1"/>
    <w:rsid w:val="00505123"/>
    <w:rsid w:val="00505E7B"/>
    <w:rsid w:val="00505FC0"/>
    <w:rsid w:val="005060ED"/>
    <w:rsid w:val="00506187"/>
    <w:rsid w:val="005061DC"/>
    <w:rsid w:val="0050628E"/>
    <w:rsid w:val="005062AF"/>
    <w:rsid w:val="00506463"/>
    <w:rsid w:val="0050685A"/>
    <w:rsid w:val="00506B90"/>
    <w:rsid w:val="00506BE8"/>
    <w:rsid w:val="00506CAC"/>
    <w:rsid w:val="00506DFD"/>
    <w:rsid w:val="00507495"/>
    <w:rsid w:val="005075AE"/>
    <w:rsid w:val="00510264"/>
    <w:rsid w:val="00510695"/>
    <w:rsid w:val="00510AA4"/>
    <w:rsid w:val="005114EF"/>
    <w:rsid w:val="00511CC5"/>
    <w:rsid w:val="00511F94"/>
    <w:rsid w:val="0051271B"/>
    <w:rsid w:val="00512C86"/>
    <w:rsid w:val="00512C93"/>
    <w:rsid w:val="00512D6C"/>
    <w:rsid w:val="00512EB5"/>
    <w:rsid w:val="00512F7C"/>
    <w:rsid w:val="00512F80"/>
    <w:rsid w:val="005130C6"/>
    <w:rsid w:val="005136F8"/>
    <w:rsid w:val="00513858"/>
    <w:rsid w:val="00513FDA"/>
    <w:rsid w:val="00513FFC"/>
    <w:rsid w:val="00514098"/>
    <w:rsid w:val="00514309"/>
    <w:rsid w:val="005143E3"/>
    <w:rsid w:val="00514453"/>
    <w:rsid w:val="00514947"/>
    <w:rsid w:val="0051499C"/>
    <w:rsid w:val="00514EB7"/>
    <w:rsid w:val="00515477"/>
    <w:rsid w:val="0051568F"/>
    <w:rsid w:val="0051572A"/>
    <w:rsid w:val="005157D9"/>
    <w:rsid w:val="0051583B"/>
    <w:rsid w:val="00516013"/>
    <w:rsid w:val="005169D8"/>
    <w:rsid w:val="00517065"/>
    <w:rsid w:val="005171A1"/>
    <w:rsid w:val="005179DF"/>
    <w:rsid w:val="00517AF3"/>
    <w:rsid w:val="00517B77"/>
    <w:rsid w:val="00517D77"/>
    <w:rsid w:val="00520380"/>
    <w:rsid w:val="00520515"/>
    <w:rsid w:val="0052072F"/>
    <w:rsid w:val="00520801"/>
    <w:rsid w:val="00520B77"/>
    <w:rsid w:val="00520B94"/>
    <w:rsid w:val="005214A2"/>
    <w:rsid w:val="005216E1"/>
    <w:rsid w:val="005216FE"/>
    <w:rsid w:val="00521722"/>
    <w:rsid w:val="00521890"/>
    <w:rsid w:val="0052198E"/>
    <w:rsid w:val="00521AA7"/>
    <w:rsid w:val="005221BB"/>
    <w:rsid w:val="005223B8"/>
    <w:rsid w:val="005224F4"/>
    <w:rsid w:val="00522860"/>
    <w:rsid w:val="005229D3"/>
    <w:rsid w:val="00522ED7"/>
    <w:rsid w:val="0052322C"/>
    <w:rsid w:val="00523426"/>
    <w:rsid w:val="00523558"/>
    <w:rsid w:val="00523770"/>
    <w:rsid w:val="00523C48"/>
    <w:rsid w:val="00523FEF"/>
    <w:rsid w:val="00524156"/>
    <w:rsid w:val="00524293"/>
    <w:rsid w:val="00524462"/>
    <w:rsid w:val="00524481"/>
    <w:rsid w:val="005248B7"/>
    <w:rsid w:val="005248EC"/>
    <w:rsid w:val="005249A2"/>
    <w:rsid w:val="00525087"/>
    <w:rsid w:val="005251C6"/>
    <w:rsid w:val="005252E5"/>
    <w:rsid w:val="005257B0"/>
    <w:rsid w:val="00525966"/>
    <w:rsid w:val="00525AF9"/>
    <w:rsid w:val="00525E14"/>
    <w:rsid w:val="00525EA4"/>
    <w:rsid w:val="00525FCC"/>
    <w:rsid w:val="00526127"/>
    <w:rsid w:val="00526347"/>
    <w:rsid w:val="00526863"/>
    <w:rsid w:val="00526A19"/>
    <w:rsid w:val="00526BA5"/>
    <w:rsid w:val="00526BBC"/>
    <w:rsid w:val="00526BEF"/>
    <w:rsid w:val="00526D31"/>
    <w:rsid w:val="00526DFD"/>
    <w:rsid w:val="0052701A"/>
    <w:rsid w:val="005270F9"/>
    <w:rsid w:val="0052722B"/>
    <w:rsid w:val="00527385"/>
    <w:rsid w:val="005275ED"/>
    <w:rsid w:val="005277E0"/>
    <w:rsid w:val="005279D1"/>
    <w:rsid w:val="00527A09"/>
    <w:rsid w:val="00527A5F"/>
    <w:rsid w:val="00527C55"/>
    <w:rsid w:val="00527C95"/>
    <w:rsid w:val="00527CA9"/>
    <w:rsid w:val="00527E7A"/>
    <w:rsid w:val="00527E95"/>
    <w:rsid w:val="00527FA8"/>
    <w:rsid w:val="005304A9"/>
    <w:rsid w:val="005305C7"/>
    <w:rsid w:val="005306BC"/>
    <w:rsid w:val="00530713"/>
    <w:rsid w:val="0053071E"/>
    <w:rsid w:val="0053090A"/>
    <w:rsid w:val="00530C3E"/>
    <w:rsid w:val="00530C58"/>
    <w:rsid w:val="00530D32"/>
    <w:rsid w:val="00530DC9"/>
    <w:rsid w:val="005310EF"/>
    <w:rsid w:val="005311EC"/>
    <w:rsid w:val="00531826"/>
    <w:rsid w:val="005318F2"/>
    <w:rsid w:val="00531A1F"/>
    <w:rsid w:val="00531C2D"/>
    <w:rsid w:val="00531E68"/>
    <w:rsid w:val="0053235B"/>
    <w:rsid w:val="00532AFC"/>
    <w:rsid w:val="00532CA3"/>
    <w:rsid w:val="00532DC9"/>
    <w:rsid w:val="00532DFF"/>
    <w:rsid w:val="00533027"/>
    <w:rsid w:val="005334F8"/>
    <w:rsid w:val="0053394A"/>
    <w:rsid w:val="00533B5B"/>
    <w:rsid w:val="00533CB9"/>
    <w:rsid w:val="00533E33"/>
    <w:rsid w:val="00533E6A"/>
    <w:rsid w:val="005344A3"/>
    <w:rsid w:val="005344AB"/>
    <w:rsid w:val="0053478A"/>
    <w:rsid w:val="0053543A"/>
    <w:rsid w:val="00535B56"/>
    <w:rsid w:val="00535B8D"/>
    <w:rsid w:val="00535D02"/>
    <w:rsid w:val="00535E74"/>
    <w:rsid w:val="00535F86"/>
    <w:rsid w:val="005361EA"/>
    <w:rsid w:val="0053632F"/>
    <w:rsid w:val="005366BB"/>
    <w:rsid w:val="005368BC"/>
    <w:rsid w:val="00536948"/>
    <w:rsid w:val="00536AB8"/>
    <w:rsid w:val="00536AD6"/>
    <w:rsid w:val="005371C1"/>
    <w:rsid w:val="005374FB"/>
    <w:rsid w:val="00537603"/>
    <w:rsid w:val="00537861"/>
    <w:rsid w:val="00537931"/>
    <w:rsid w:val="00537995"/>
    <w:rsid w:val="00537DB5"/>
    <w:rsid w:val="00537F7B"/>
    <w:rsid w:val="0054006A"/>
    <w:rsid w:val="00540770"/>
    <w:rsid w:val="0054079B"/>
    <w:rsid w:val="00540845"/>
    <w:rsid w:val="00540A85"/>
    <w:rsid w:val="00540C6C"/>
    <w:rsid w:val="00540EF3"/>
    <w:rsid w:val="005410B3"/>
    <w:rsid w:val="0054145E"/>
    <w:rsid w:val="0054147A"/>
    <w:rsid w:val="00541BF8"/>
    <w:rsid w:val="0054201A"/>
    <w:rsid w:val="00542505"/>
    <w:rsid w:val="00542843"/>
    <w:rsid w:val="00542864"/>
    <w:rsid w:val="0054289C"/>
    <w:rsid w:val="00542970"/>
    <w:rsid w:val="005429F4"/>
    <w:rsid w:val="00542AF5"/>
    <w:rsid w:val="00542D8C"/>
    <w:rsid w:val="00542F51"/>
    <w:rsid w:val="005431D6"/>
    <w:rsid w:val="00543B99"/>
    <w:rsid w:val="00543BA8"/>
    <w:rsid w:val="00543C13"/>
    <w:rsid w:val="00543C5C"/>
    <w:rsid w:val="00543E4B"/>
    <w:rsid w:val="00543E69"/>
    <w:rsid w:val="00543F77"/>
    <w:rsid w:val="00544131"/>
    <w:rsid w:val="00544137"/>
    <w:rsid w:val="0054455E"/>
    <w:rsid w:val="00544640"/>
    <w:rsid w:val="0054491E"/>
    <w:rsid w:val="00544980"/>
    <w:rsid w:val="00544B1D"/>
    <w:rsid w:val="00544B41"/>
    <w:rsid w:val="00544B9C"/>
    <w:rsid w:val="00544D36"/>
    <w:rsid w:val="00544D51"/>
    <w:rsid w:val="00544FFF"/>
    <w:rsid w:val="00545403"/>
    <w:rsid w:val="00545A42"/>
    <w:rsid w:val="00545D05"/>
    <w:rsid w:val="005461A7"/>
    <w:rsid w:val="005465F2"/>
    <w:rsid w:val="005469DA"/>
    <w:rsid w:val="00546AF9"/>
    <w:rsid w:val="0054702E"/>
    <w:rsid w:val="005470E2"/>
    <w:rsid w:val="005471ED"/>
    <w:rsid w:val="0054730C"/>
    <w:rsid w:val="00547A3E"/>
    <w:rsid w:val="00547B90"/>
    <w:rsid w:val="00550115"/>
    <w:rsid w:val="005502D5"/>
    <w:rsid w:val="00550FC1"/>
    <w:rsid w:val="005510E7"/>
    <w:rsid w:val="00551171"/>
    <w:rsid w:val="0055146D"/>
    <w:rsid w:val="005515E0"/>
    <w:rsid w:val="00551844"/>
    <w:rsid w:val="00551EBC"/>
    <w:rsid w:val="00552496"/>
    <w:rsid w:val="00552890"/>
    <w:rsid w:val="00552949"/>
    <w:rsid w:val="005529F2"/>
    <w:rsid w:val="00552A5A"/>
    <w:rsid w:val="00552B17"/>
    <w:rsid w:val="00552DEA"/>
    <w:rsid w:val="00553159"/>
    <w:rsid w:val="00553160"/>
    <w:rsid w:val="00553456"/>
    <w:rsid w:val="00553D2D"/>
    <w:rsid w:val="00554089"/>
    <w:rsid w:val="005540AD"/>
    <w:rsid w:val="00554329"/>
    <w:rsid w:val="005544EF"/>
    <w:rsid w:val="0055450B"/>
    <w:rsid w:val="0055455D"/>
    <w:rsid w:val="00554765"/>
    <w:rsid w:val="00554883"/>
    <w:rsid w:val="00554B72"/>
    <w:rsid w:val="00554CEB"/>
    <w:rsid w:val="00554F5F"/>
    <w:rsid w:val="00555241"/>
    <w:rsid w:val="005552DC"/>
    <w:rsid w:val="0055552E"/>
    <w:rsid w:val="00555892"/>
    <w:rsid w:val="00555904"/>
    <w:rsid w:val="00555B17"/>
    <w:rsid w:val="00555B79"/>
    <w:rsid w:val="00555C98"/>
    <w:rsid w:val="005564D2"/>
    <w:rsid w:val="005568F7"/>
    <w:rsid w:val="005568FC"/>
    <w:rsid w:val="00556AD2"/>
    <w:rsid w:val="00556CF3"/>
    <w:rsid w:val="00556E3D"/>
    <w:rsid w:val="005570C9"/>
    <w:rsid w:val="005572E3"/>
    <w:rsid w:val="005577BE"/>
    <w:rsid w:val="0055782A"/>
    <w:rsid w:val="00557F3C"/>
    <w:rsid w:val="0056016D"/>
    <w:rsid w:val="005601B6"/>
    <w:rsid w:val="00560347"/>
    <w:rsid w:val="0056039E"/>
    <w:rsid w:val="005604B3"/>
    <w:rsid w:val="005605D3"/>
    <w:rsid w:val="00560610"/>
    <w:rsid w:val="005608CD"/>
    <w:rsid w:val="00560CBC"/>
    <w:rsid w:val="00560ED8"/>
    <w:rsid w:val="00561024"/>
    <w:rsid w:val="005610DD"/>
    <w:rsid w:val="00561119"/>
    <w:rsid w:val="005613A1"/>
    <w:rsid w:val="005613E1"/>
    <w:rsid w:val="005613FD"/>
    <w:rsid w:val="00561432"/>
    <w:rsid w:val="005614A0"/>
    <w:rsid w:val="00561763"/>
    <w:rsid w:val="005617D4"/>
    <w:rsid w:val="00561954"/>
    <w:rsid w:val="00561C73"/>
    <w:rsid w:val="00561FB1"/>
    <w:rsid w:val="005621EC"/>
    <w:rsid w:val="00562340"/>
    <w:rsid w:val="005623AD"/>
    <w:rsid w:val="0056251A"/>
    <w:rsid w:val="0056271E"/>
    <w:rsid w:val="00562E9A"/>
    <w:rsid w:val="00563032"/>
    <w:rsid w:val="005630E7"/>
    <w:rsid w:val="0056355E"/>
    <w:rsid w:val="00563720"/>
    <w:rsid w:val="0056374B"/>
    <w:rsid w:val="005637F3"/>
    <w:rsid w:val="00563C6E"/>
    <w:rsid w:val="00563C6F"/>
    <w:rsid w:val="00563EC9"/>
    <w:rsid w:val="00564028"/>
    <w:rsid w:val="0056442D"/>
    <w:rsid w:val="005644C6"/>
    <w:rsid w:val="005645EA"/>
    <w:rsid w:val="00564A32"/>
    <w:rsid w:val="00564CBB"/>
    <w:rsid w:val="00564F21"/>
    <w:rsid w:val="00564FAE"/>
    <w:rsid w:val="00564FD6"/>
    <w:rsid w:val="005651B6"/>
    <w:rsid w:val="005656DA"/>
    <w:rsid w:val="00565B32"/>
    <w:rsid w:val="00565F60"/>
    <w:rsid w:val="00566135"/>
    <w:rsid w:val="0056639F"/>
    <w:rsid w:val="0056654A"/>
    <w:rsid w:val="005665A7"/>
    <w:rsid w:val="00566B55"/>
    <w:rsid w:val="00566E8E"/>
    <w:rsid w:val="00566E99"/>
    <w:rsid w:val="005671B8"/>
    <w:rsid w:val="00567516"/>
    <w:rsid w:val="00567706"/>
    <w:rsid w:val="00567824"/>
    <w:rsid w:val="005678CE"/>
    <w:rsid w:val="00567CAA"/>
    <w:rsid w:val="00567CEA"/>
    <w:rsid w:val="00570414"/>
    <w:rsid w:val="0057050C"/>
    <w:rsid w:val="005705B0"/>
    <w:rsid w:val="00570989"/>
    <w:rsid w:val="00570BE8"/>
    <w:rsid w:val="00570EC4"/>
    <w:rsid w:val="00571406"/>
    <w:rsid w:val="005716FD"/>
    <w:rsid w:val="0057177A"/>
    <w:rsid w:val="00571797"/>
    <w:rsid w:val="00571824"/>
    <w:rsid w:val="00571B52"/>
    <w:rsid w:val="00571F2F"/>
    <w:rsid w:val="00571F3B"/>
    <w:rsid w:val="0057234F"/>
    <w:rsid w:val="0057241D"/>
    <w:rsid w:val="0057259C"/>
    <w:rsid w:val="005728EF"/>
    <w:rsid w:val="00572A89"/>
    <w:rsid w:val="00572E0A"/>
    <w:rsid w:val="00572F04"/>
    <w:rsid w:val="00573556"/>
    <w:rsid w:val="005738E8"/>
    <w:rsid w:val="00573A4E"/>
    <w:rsid w:val="00573B94"/>
    <w:rsid w:val="00573D2F"/>
    <w:rsid w:val="00573FFB"/>
    <w:rsid w:val="00574284"/>
    <w:rsid w:val="0057484A"/>
    <w:rsid w:val="005748F8"/>
    <w:rsid w:val="00574C44"/>
    <w:rsid w:val="00574F3E"/>
    <w:rsid w:val="00575016"/>
    <w:rsid w:val="00575113"/>
    <w:rsid w:val="005754FE"/>
    <w:rsid w:val="005756A3"/>
    <w:rsid w:val="005756E8"/>
    <w:rsid w:val="00575BD9"/>
    <w:rsid w:val="00575C17"/>
    <w:rsid w:val="00575C31"/>
    <w:rsid w:val="00575D2E"/>
    <w:rsid w:val="00575E12"/>
    <w:rsid w:val="00575F61"/>
    <w:rsid w:val="00576080"/>
    <w:rsid w:val="00576195"/>
    <w:rsid w:val="005761F5"/>
    <w:rsid w:val="00576931"/>
    <w:rsid w:val="00576A4D"/>
    <w:rsid w:val="00576B82"/>
    <w:rsid w:val="00576DF9"/>
    <w:rsid w:val="00576E86"/>
    <w:rsid w:val="00576EC8"/>
    <w:rsid w:val="00577069"/>
    <w:rsid w:val="005771B8"/>
    <w:rsid w:val="00577598"/>
    <w:rsid w:val="005777E0"/>
    <w:rsid w:val="0057794C"/>
    <w:rsid w:val="00577D64"/>
    <w:rsid w:val="00577F60"/>
    <w:rsid w:val="005801D7"/>
    <w:rsid w:val="0058051E"/>
    <w:rsid w:val="00580822"/>
    <w:rsid w:val="00580900"/>
    <w:rsid w:val="00580B9D"/>
    <w:rsid w:val="00580C68"/>
    <w:rsid w:val="00580D7D"/>
    <w:rsid w:val="00581340"/>
    <w:rsid w:val="0058145F"/>
    <w:rsid w:val="00581E6F"/>
    <w:rsid w:val="00581EDB"/>
    <w:rsid w:val="0058209C"/>
    <w:rsid w:val="00582240"/>
    <w:rsid w:val="0058250F"/>
    <w:rsid w:val="00582591"/>
    <w:rsid w:val="0058295E"/>
    <w:rsid w:val="00582B4E"/>
    <w:rsid w:val="00582B92"/>
    <w:rsid w:val="00582D1F"/>
    <w:rsid w:val="00582D4C"/>
    <w:rsid w:val="00583167"/>
    <w:rsid w:val="0058334F"/>
    <w:rsid w:val="00583419"/>
    <w:rsid w:val="0058349E"/>
    <w:rsid w:val="00583859"/>
    <w:rsid w:val="00583C26"/>
    <w:rsid w:val="00583E48"/>
    <w:rsid w:val="00583EC7"/>
    <w:rsid w:val="00584202"/>
    <w:rsid w:val="0058428D"/>
    <w:rsid w:val="00584319"/>
    <w:rsid w:val="005843DE"/>
    <w:rsid w:val="0058441D"/>
    <w:rsid w:val="00584444"/>
    <w:rsid w:val="00584C32"/>
    <w:rsid w:val="00584C55"/>
    <w:rsid w:val="00584DC2"/>
    <w:rsid w:val="00585018"/>
    <w:rsid w:val="00585084"/>
    <w:rsid w:val="00585246"/>
    <w:rsid w:val="005856B0"/>
    <w:rsid w:val="00585A87"/>
    <w:rsid w:val="00585DFC"/>
    <w:rsid w:val="0058606E"/>
    <w:rsid w:val="00586327"/>
    <w:rsid w:val="005865A0"/>
    <w:rsid w:val="005866D9"/>
    <w:rsid w:val="00586E3A"/>
    <w:rsid w:val="005870D3"/>
    <w:rsid w:val="005872C9"/>
    <w:rsid w:val="00587A38"/>
    <w:rsid w:val="00587AD3"/>
    <w:rsid w:val="00587C4D"/>
    <w:rsid w:val="00590019"/>
    <w:rsid w:val="00590622"/>
    <w:rsid w:val="0059089F"/>
    <w:rsid w:val="00590CEB"/>
    <w:rsid w:val="00590D85"/>
    <w:rsid w:val="00591511"/>
    <w:rsid w:val="0059166F"/>
    <w:rsid w:val="00591A6C"/>
    <w:rsid w:val="00591C13"/>
    <w:rsid w:val="0059227C"/>
    <w:rsid w:val="00592535"/>
    <w:rsid w:val="00592543"/>
    <w:rsid w:val="00592600"/>
    <w:rsid w:val="0059263B"/>
    <w:rsid w:val="005928CB"/>
    <w:rsid w:val="00592C8F"/>
    <w:rsid w:val="00592CE2"/>
    <w:rsid w:val="00592E6C"/>
    <w:rsid w:val="00592ED7"/>
    <w:rsid w:val="00592EE2"/>
    <w:rsid w:val="0059309D"/>
    <w:rsid w:val="00593332"/>
    <w:rsid w:val="00593412"/>
    <w:rsid w:val="00593627"/>
    <w:rsid w:val="005939B5"/>
    <w:rsid w:val="00593BF7"/>
    <w:rsid w:val="00593C25"/>
    <w:rsid w:val="0059417A"/>
    <w:rsid w:val="0059419A"/>
    <w:rsid w:val="00594391"/>
    <w:rsid w:val="00594399"/>
    <w:rsid w:val="0059443B"/>
    <w:rsid w:val="00594730"/>
    <w:rsid w:val="0059478C"/>
    <w:rsid w:val="005947F8"/>
    <w:rsid w:val="00594AE3"/>
    <w:rsid w:val="00594CEE"/>
    <w:rsid w:val="00594F8E"/>
    <w:rsid w:val="005951E6"/>
    <w:rsid w:val="005952C3"/>
    <w:rsid w:val="0059551D"/>
    <w:rsid w:val="00595C69"/>
    <w:rsid w:val="00595D4F"/>
    <w:rsid w:val="00596611"/>
    <w:rsid w:val="005967D7"/>
    <w:rsid w:val="0059682F"/>
    <w:rsid w:val="00596884"/>
    <w:rsid w:val="0059690B"/>
    <w:rsid w:val="005969FB"/>
    <w:rsid w:val="00596AE3"/>
    <w:rsid w:val="00596CF3"/>
    <w:rsid w:val="00596F55"/>
    <w:rsid w:val="00596F60"/>
    <w:rsid w:val="00596FF2"/>
    <w:rsid w:val="00597051"/>
    <w:rsid w:val="005971CA"/>
    <w:rsid w:val="005971D3"/>
    <w:rsid w:val="005972EE"/>
    <w:rsid w:val="005974D5"/>
    <w:rsid w:val="005976FB"/>
    <w:rsid w:val="00597834"/>
    <w:rsid w:val="00597A3F"/>
    <w:rsid w:val="00597DA8"/>
    <w:rsid w:val="005A03C0"/>
    <w:rsid w:val="005A0422"/>
    <w:rsid w:val="005A04B2"/>
    <w:rsid w:val="005A055A"/>
    <w:rsid w:val="005A08F5"/>
    <w:rsid w:val="005A0A43"/>
    <w:rsid w:val="005A0B2E"/>
    <w:rsid w:val="005A0F04"/>
    <w:rsid w:val="005A1158"/>
    <w:rsid w:val="005A15FD"/>
    <w:rsid w:val="005A16BE"/>
    <w:rsid w:val="005A1AE9"/>
    <w:rsid w:val="005A1B1F"/>
    <w:rsid w:val="005A1E6D"/>
    <w:rsid w:val="005A1FEA"/>
    <w:rsid w:val="005A2237"/>
    <w:rsid w:val="005A2865"/>
    <w:rsid w:val="005A29F6"/>
    <w:rsid w:val="005A2CDB"/>
    <w:rsid w:val="005A301F"/>
    <w:rsid w:val="005A307E"/>
    <w:rsid w:val="005A3290"/>
    <w:rsid w:val="005A3506"/>
    <w:rsid w:val="005A36BE"/>
    <w:rsid w:val="005A3C22"/>
    <w:rsid w:val="005A40EF"/>
    <w:rsid w:val="005A414B"/>
    <w:rsid w:val="005A41C6"/>
    <w:rsid w:val="005A4340"/>
    <w:rsid w:val="005A43B5"/>
    <w:rsid w:val="005A43B6"/>
    <w:rsid w:val="005A456F"/>
    <w:rsid w:val="005A4A77"/>
    <w:rsid w:val="005A4ABF"/>
    <w:rsid w:val="005A4CE6"/>
    <w:rsid w:val="005A4D3F"/>
    <w:rsid w:val="005A4FDE"/>
    <w:rsid w:val="005A5105"/>
    <w:rsid w:val="005A51F0"/>
    <w:rsid w:val="005A5345"/>
    <w:rsid w:val="005A53EC"/>
    <w:rsid w:val="005A5584"/>
    <w:rsid w:val="005A5708"/>
    <w:rsid w:val="005A5774"/>
    <w:rsid w:val="005A5C61"/>
    <w:rsid w:val="005A5E64"/>
    <w:rsid w:val="005A5FB0"/>
    <w:rsid w:val="005A6023"/>
    <w:rsid w:val="005A6024"/>
    <w:rsid w:val="005A6C37"/>
    <w:rsid w:val="005A711D"/>
    <w:rsid w:val="005A7156"/>
    <w:rsid w:val="005A755A"/>
    <w:rsid w:val="005A7641"/>
    <w:rsid w:val="005A7D22"/>
    <w:rsid w:val="005A7E24"/>
    <w:rsid w:val="005A7F03"/>
    <w:rsid w:val="005B00B8"/>
    <w:rsid w:val="005B0385"/>
    <w:rsid w:val="005B03CD"/>
    <w:rsid w:val="005B0546"/>
    <w:rsid w:val="005B0600"/>
    <w:rsid w:val="005B066F"/>
    <w:rsid w:val="005B0779"/>
    <w:rsid w:val="005B07F6"/>
    <w:rsid w:val="005B088D"/>
    <w:rsid w:val="005B0E3C"/>
    <w:rsid w:val="005B0E5C"/>
    <w:rsid w:val="005B0FDB"/>
    <w:rsid w:val="005B1228"/>
    <w:rsid w:val="005B145C"/>
    <w:rsid w:val="005B14AB"/>
    <w:rsid w:val="005B164F"/>
    <w:rsid w:val="005B19F5"/>
    <w:rsid w:val="005B1B05"/>
    <w:rsid w:val="005B1E24"/>
    <w:rsid w:val="005B1F71"/>
    <w:rsid w:val="005B21CC"/>
    <w:rsid w:val="005B22DD"/>
    <w:rsid w:val="005B2410"/>
    <w:rsid w:val="005B2460"/>
    <w:rsid w:val="005B2BFF"/>
    <w:rsid w:val="005B2EBE"/>
    <w:rsid w:val="005B2FBF"/>
    <w:rsid w:val="005B30C2"/>
    <w:rsid w:val="005B320D"/>
    <w:rsid w:val="005B359E"/>
    <w:rsid w:val="005B3662"/>
    <w:rsid w:val="005B3798"/>
    <w:rsid w:val="005B38F8"/>
    <w:rsid w:val="005B3AFB"/>
    <w:rsid w:val="005B3DE0"/>
    <w:rsid w:val="005B3FFC"/>
    <w:rsid w:val="005B52AE"/>
    <w:rsid w:val="005B55BC"/>
    <w:rsid w:val="005B56D4"/>
    <w:rsid w:val="005B59CE"/>
    <w:rsid w:val="005B5C5A"/>
    <w:rsid w:val="005B5CD1"/>
    <w:rsid w:val="005B5CDF"/>
    <w:rsid w:val="005B6B34"/>
    <w:rsid w:val="005B6B53"/>
    <w:rsid w:val="005B6BA1"/>
    <w:rsid w:val="005B6C9C"/>
    <w:rsid w:val="005B6D6E"/>
    <w:rsid w:val="005B6DA9"/>
    <w:rsid w:val="005B6DBB"/>
    <w:rsid w:val="005B6FFA"/>
    <w:rsid w:val="005B744B"/>
    <w:rsid w:val="005B74F2"/>
    <w:rsid w:val="005B776C"/>
    <w:rsid w:val="005B7CC0"/>
    <w:rsid w:val="005B7FCF"/>
    <w:rsid w:val="005C028A"/>
    <w:rsid w:val="005C04F2"/>
    <w:rsid w:val="005C0531"/>
    <w:rsid w:val="005C05CB"/>
    <w:rsid w:val="005C09D4"/>
    <w:rsid w:val="005C0A4E"/>
    <w:rsid w:val="005C0BB3"/>
    <w:rsid w:val="005C0F4A"/>
    <w:rsid w:val="005C13CC"/>
    <w:rsid w:val="005C1478"/>
    <w:rsid w:val="005C1617"/>
    <w:rsid w:val="005C1BB3"/>
    <w:rsid w:val="005C1D0B"/>
    <w:rsid w:val="005C1FC0"/>
    <w:rsid w:val="005C2057"/>
    <w:rsid w:val="005C209A"/>
    <w:rsid w:val="005C2626"/>
    <w:rsid w:val="005C27D5"/>
    <w:rsid w:val="005C280C"/>
    <w:rsid w:val="005C2BE7"/>
    <w:rsid w:val="005C2C43"/>
    <w:rsid w:val="005C2CD1"/>
    <w:rsid w:val="005C3B7A"/>
    <w:rsid w:val="005C3DA2"/>
    <w:rsid w:val="005C404B"/>
    <w:rsid w:val="005C421B"/>
    <w:rsid w:val="005C432C"/>
    <w:rsid w:val="005C4885"/>
    <w:rsid w:val="005C4C0C"/>
    <w:rsid w:val="005C4C4D"/>
    <w:rsid w:val="005C4E52"/>
    <w:rsid w:val="005C5358"/>
    <w:rsid w:val="005C568C"/>
    <w:rsid w:val="005C5C8B"/>
    <w:rsid w:val="005C5CE1"/>
    <w:rsid w:val="005C5D39"/>
    <w:rsid w:val="005C6045"/>
    <w:rsid w:val="005C623D"/>
    <w:rsid w:val="005C682A"/>
    <w:rsid w:val="005C72EC"/>
    <w:rsid w:val="005C75F8"/>
    <w:rsid w:val="005C7C43"/>
    <w:rsid w:val="005C7DE8"/>
    <w:rsid w:val="005D0196"/>
    <w:rsid w:val="005D0318"/>
    <w:rsid w:val="005D0798"/>
    <w:rsid w:val="005D0B44"/>
    <w:rsid w:val="005D0B9A"/>
    <w:rsid w:val="005D13B5"/>
    <w:rsid w:val="005D149D"/>
    <w:rsid w:val="005D16F5"/>
    <w:rsid w:val="005D1704"/>
    <w:rsid w:val="005D173F"/>
    <w:rsid w:val="005D1AE0"/>
    <w:rsid w:val="005D1C8B"/>
    <w:rsid w:val="005D1D41"/>
    <w:rsid w:val="005D21A1"/>
    <w:rsid w:val="005D2713"/>
    <w:rsid w:val="005D28E0"/>
    <w:rsid w:val="005D2B8B"/>
    <w:rsid w:val="005D2B8F"/>
    <w:rsid w:val="005D2C6E"/>
    <w:rsid w:val="005D301B"/>
    <w:rsid w:val="005D3359"/>
    <w:rsid w:val="005D35A7"/>
    <w:rsid w:val="005D3659"/>
    <w:rsid w:val="005D382B"/>
    <w:rsid w:val="005D38AA"/>
    <w:rsid w:val="005D38E7"/>
    <w:rsid w:val="005D3927"/>
    <w:rsid w:val="005D3964"/>
    <w:rsid w:val="005D3B6D"/>
    <w:rsid w:val="005D3BB2"/>
    <w:rsid w:val="005D3CA2"/>
    <w:rsid w:val="005D3D6D"/>
    <w:rsid w:val="005D40FA"/>
    <w:rsid w:val="005D42E1"/>
    <w:rsid w:val="005D4A6B"/>
    <w:rsid w:val="005D4C9B"/>
    <w:rsid w:val="005D4F52"/>
    <w:rsid w:val="005D5011"/>
    <w:rsid w:val="005D5119"/>
    <w:rsid w:val="005D549E"/>
    <w:rsid w:val="005D550E"/>
    <w:rsid w:val="005D5512"/>
    <w:rsid w:val="005D5854"/>
    <w:rsid w:val="005D58B0"/>
    <w:rsid w:val="005D5B11"/>
    <w:rsid w:val="005D5DF1"/>
    <w:rsid w:val="005D6185"/>
    <w:rsid w:val="005D62D8"/>
    <w:rsid w:val="005D63F0"/>
    <w:rsid w:val="005D6648"/>
    <w:rsid w:val="005D6BC4"/>
    <w:rsid w:val="005D6D0B"/>
    <w:rsid w:val="005D6D0C"/>
    <w:rsid w:val="005D77DA"/>
    <w:rsid w:val="005D7838"/>
    <w:rsid w:val="005D79CF"/>
    <w:rsid w:val="005D7A72"/>
    <w:rsid w:val="005D7BFE"/>
    <w:rsid w:val="005D7CCC"/>
    <w:rsid w:val="005E007D"/>
    <w:rsid w:val="005E016A"/>
    <w:rsid w:val="005E035A"/>
    <w:rsid w:val="005E05C8"/>
    <w:rsid w:val="005E0720"/>
    <w:rsid w:val="005E0D3D"/>
    <w:rsid w:val="005E1BA2"/>
    <w:rsid w:val="005E1DEE"/>
    <w:rsid w:val="005E1E13"/>
    <w:rsid w:val="005E1E15"/>
    <w:rsid w:val="005E1E8E"/>
    <w:rsid w:val="005E2182"/>
    <w:rsid w:val="005E26C1"/>
    <w:rsid w:val="005E2C03"/>
    <w:rsid w:val="005E2EFB"/>
    <w:rsid w:val="005E3501"/>
    <w:rsid w:val="005E38A2"/>
    <w:rsid w:val="005E3DFB"/>
    <w:rsid w:val="005E4350"/>
    <w:rsid w:val="005E4852"/>
    <w:rsid w:val="005E4EB7"/>
    <w:rsid w:val="005E5001"/>
    <w:rsid w:val="005E5488"/>
    <w:rsid w:val="005E54EE"/>
    <w:rsid w:val="005E5A70"/>
    <w:rsid w:val="005E5C5C"/>
    <w:rsid w:val="005E5D5F"/>
    <w:rsid w:val="005E5E5A"/>
    <w:rsid w:val="005E6280"/>
    <w:rsid w:val="005E63A1"/>
    <w:rsid w:val="005E6CBB"/>
    <w:rsid w:val="005E6E61"/>
    <w:rsid w:val="005E6F66"/>
    <w:rsid w:val="005E707C"/>
    <w:rsid w:val="005E71D8"/>
    <w:rsid w:val="005E78CA"/>
    <w:rsid w:val="005F0436"/>
    <w:rsid w:val="005F0603"/>
    <w:rsid w:val="005F08C6"/>
    <w:rsid w:val="005F0E80"/>
    <w:rsid w:val="005F0EF2"/>
    <w:rsid w:val="005F11C9"/>
    <w:rsid w:val="005F12C3"/>
    <w:rsid w:val="005F142A"/>
    <w:rsid w:val="005F15A2"/>
    <w:rsid w:val="005F15B9"/>
    <w:rsid w:val="005F17E4"/>
    <w:rsid w:val="005F1BF8"/>
    <w:rsid w:val="005F1F74"/>
    <w:rsid w:val="005F2577"/>
    <w:rsid w:val="005F25B6"/>
    <w:rsid w:val="005F278C"/>
    <w:rsid w:val="005F2B7A"/>
    <w:rsid w:val="005F2BA9"/>
    <w:rsid w:val="005F2BFE"/>
    <w:rsid w:val="005F2E86"/>
    <w:rsid w:val="005F3003"/>
    <w:rsid w:val="005F327B"/>
    <w:rsid w:val="005F3425"/>
    <w:rsid w:val="005F3BE6"/>
    <w:rsid w:val="005F3D7B"/>
    <w:rsid w:val="005F3FDB"/>
    <w:rsid w:val="005F4399"/>
    <w:rsid w:val="005F46F5"/>
    <w:rsid w:val="005F47D2"/>
    <w:rsid w:val="005F4B82"/>
    <w:rsid w:val="005F4EE6"/>
    <w:rsid w:val="005F512B"/>
    <w:rsid w:val="005F525A"/>
    <w:rsid w:val="005F54F5"/>
    <w:rsid w:val="005F5506"/>
    <w:rsid w:val="005F57A0"/>
    <w:rsid w:val="005F57B7"/>
    <w:rsid w:val="005F58A4"/>
    <w:rsid w:val="005F58DF"/>
    <w:rsid w:val="005F5F4E"/>
    <w:rsid w:val="005F644B"/>
    <w:rsid w:val="005F65C1"/>
    <w:rsid w:val="005F67D1"/>
    <w:rsid w:val="005F6855"/>
    <w:rsid w:val="005F68FD"/>
    <w:rsid w:val="005F69B4"/>
    <w:rsid w:val="005F6D89"/>
    <w:rsid w:val="005F6E82"/>
    <w:rsid w:val="005F72CC"/>
    <w:rsid w:val="005F743B"/>
    <w:rsid w:val="005F74C0"/>
    <w:rsid w:val="005F77B8"/>
    <w:rsid w:val="005F7907"/>
    <w:rsid w:val="005F7A9C"/>
    <w:rsid w:val="005F7C6F"/>
    <w:rsid w:val="006002E3"/>
    <w:rsid w:val="0060033B"/>
    <w:rsid w:val="00600B09"/>
    <w:rsid w:val="00600B90"/>
    <w:rsid w:val="00600C9A"/>
    <w:rsid w:val="00600D31"/>
    <w:rsid w:val="00600D71"/>
    <w:rsid w:val="00600F8B"/>
    <w:rsid w:val="006012EB"/>
    <w:rsid w:val="006013D4"/>
    <w:rsid w:val="00601792"/>
    <w:rsid w:val="00601815"/>
    <w:rsid w:val="00601DBE"/>
    <w:rsid w:val="00601EF0"/>
    <w:rsid w:val="00601FC0"/>
    <w:rsid w:val="00602146"/>
    <w:rsid w:val="00602189"/>
    <w:rsid w:val="0060221D"/>
    <w:rsid w:val="00602270"/>
    <w:rsid w:val="006027BE"/>
    <w:rsid w:val="006027D4"/>
    <w:rsid w:val="0060287F"/>
    <w:rsid w:val="00602B19"/>
    <w:rsid w:val="00602F7B"/>
    <w:rsid w:val="00603072"/>
    <w:rsid w:val="0060320D"/>
    <w:rsid w:val="00603423"/>
    <w:rsid w:val="0060389D"/>
    <w:rsid w:val="00603903"/>
    <w:rsid w:val="00603B3B"/>
    <w:rsid w:val="00603FBA"/>
    <w:rsid w:val="0060419E"/>
    <w:rsid w:val="006041C9"/>
    <w:rsid w:val="006043E0"/>
    <w:rsid w:val="00604576"/>
    <w:rsid w:val="006045A9"/>
    <w:rsid w:val="00604792"/>
    <w:rsid w:val="0060484F"/>
    <w:rsid w:val="00604E3A"/>
    <w:rsid w:val="00604F62"/>
    <w:rsid w:val="00605199"/>
    <w:rsid w:val="0060544F"/>
    <w:rsid w:val="0060593C"/>
    <w:rsid w:val="006059DD"/>
    <w:rsid w:val="00605AF2"/>
    <w:rsid w:val="00605C29"/>
    <w:rsid w:val="00605F9D"/>
    <w:rsid w:val="00606283"/>
    <w:rsid w:val="00606297"/>
    <w:rsid w:val="006062AC"/>
    <w:rsid w:val="0060684D"/>
    <w:rsid w:val="0060687F"/>
    <w:rsid w:val="00606D13"/>
    <w:rsid w:val="0060702A"/>
    <w:rsid w:val="006074A1"/>
    <w:rsid w:val="006074A4"/>
    <w:rsid w:val="0060751B"/>
    <w:rsid w:val="00607580"/>
    <w:rsid w:val="0060760B"/>
    <w:rsid w:val="00607721"/>
    <w:rsid w:val="0060790A"/>
    <w:rsid w:val="0060790D"/>
    <w:rsid w:val="00607B8B"/>
    <w:rsid w:val="00607F49"/>
    <w:rsid w:val="00607F63"/>
    <w:rsid w:val="0061007F"/>
    <w:rsid w:val="00610322"/>
    <w:rsid w:val="006107BE"/>
    <w:rsid w:val="00610912"/>
    <w:rsid w:val="00610957"/>
    <w:rsid w:val="0061096F"/>
    <w:rsid w:val="00610AED"/>
    <w:rsid w:val="00610B91"/>
    <w:rsid w:val="00610D9B"/>
    <w:rsid w:val="00611147"/>
    <w:rsid w:val="006111C9"/>
    <w:rsid w:val="00611409"/>
    <w:rsid w:val="00611D97"/>
    <w:rsid w:val="00611E04"/>
    <w:rsid w:val="00611F56"/>
    <w:rsid w:val="00612100"/>
    <w:rsid w:val="0061215D"/>
    <w:rsid w:val="00612174"/>
    <w:rsid w:val="00612671"/>
    <w:rsid w:val="0061268F"/>
    <w:rsid w:val="006126B6"/>
    <w:rsid w:val="00612703"/>
    <w:rsid w:val="0061272D"/>
    <w:rsid w:val="00612E42"/>
    <w:rsid w:val="00612FB3"/>
    <w:rsid w:val="006130F2"/>
    <w:rsid w:val="0061330E"/>
    <w:rsid w:val="00613653"/>
    <w:rsid w:val="0061365C"/>
    <w:rsid w:val="00613727"/>
    <w:rsid w:val="0061381B"/>
    <w:rsid w:val="00613A67"/>
    <w:rsid w:val="00613ABC"/>
    <w:rsid w:val="00613D99"/>
    <w:rsid w:val="00613E46"/>
    <w:rsid w:val="00613E6A"/>
    <w:rsid w:val="0061480C"/>
    <w:rsid w:val="00614A99"/>
    <w:rsid w:val="0061520B"/>
    <w:rsid w:val="00615278"/>
    <w:rsid w:val="0061553A"/>
    <w:rsid w:val="00615677"/>
    <w:rsid w:val="00615769"/>
    <w:rsid w:val="00615A40"/>
    <w:rsid w:val="00615A73"/>
    <w:rsid w:val="00615DE0"/>
    <w:rsid w:val="00616619"/>
    <w:rsid w:val="00616A96"/>
    <w:rsid w:val="00616B47"/>
    <w:rsid w:val="00616CD8"/>
    <w:rsid w:val="00617196"/>
    <w:rsid w:val="006172F6"/>
    <w:rsid w:val="00617348"/>
    <w:rsid w:val="00617462"/>
    <w:rsid w:val="006178BE"/>
    <w:rsid w:val="006179FE"/>
    <w:rsid w:val="00617BA1"/>
    <w:rsid w:val="00617BE1"/>
    <w:rsid w:val="00617D00"/>
    <w:rsid w:val="00617DBD"/>
    <w:rsid w:val="00617E46"/>
    <w:rsid w:val="00617EB7"/>
    <w:rsid w:val="006200FB"/>
    <w:rsid w:val="006205B3"/>
    <w:rsid w:val="006206CE"/>
    <w:rsid w:val="00620BED"/>
    <w:rsid w:val="00620E40"/>
    <w:rsid w:val="00620EAF"/>
    <w:rsid w:val="00621A4B"/>
    <w:rsid w:val="00621E0F"/>
    <w:rsid w:val="0062205F"/>
    <w:rsid w:val="0062211C"/>
    <w:rsid w:val="006221CB"/>
    <w:rsid w:val="006225B9"/>
    <w:rsid w:val="0062298C"/>
    <w:rsid w:val="00622CB8"/>
    <w:rsid w:val="006231F8"/>
    <w:rsid w:val="006235D5"/>
    <w:rsid w:val="006236FE"/>
    <w:rsid w:val="006238BB"/>
    <w:rsid w:val="00623A43"/>
    <w:rsid w:val="006241CE"/>
    <w:rsid w:val="006242DD"/>
    <w:rsid w:val="00624595"/>
    <w:rsid w:val="00624654"/>
    <w:rsid w:val="006247C8"/>
    <w:rsid w:val="006248B7"/>
    <w:rsid w:val="006249C6"/>
    <w:rsid w:val="00624C5E"/>
    <w:rsid w:val="00625303"/>
    <w:rsid w:val="006254A3"/>
    <w:rsid w:val="006254BE"/>
    <w:rsid w:val="0062557A"/>
    <w:rsid w:val="006257CE"/>
    <w:rsid w:val="00625A65"/>
    <w:rsid w:val="00625C62"/>
    <w:rsid w:val="00625D85"/>
    <w:rsid w:val="00625E38"/>
    <w:rsid w:val="0062607B"/>
    <w:rsid w:val="006260A7"/>
    <w:rsid w:val="0062633E"/>
    <w:rsid w:val="006266AC"/>
    <w:rsid w:val="00626750"/>
    <w:rsid w:val="00626828"/>
    <w:rsid w:val="0062699B"/>
    <w:rsid w:val="00626A0F"/>
    <w:rsid w:val="00626A3F"/>
    <w:rsid w:val="00626FD8"/>
    <w:rsid w:val="00627A27"/>
    <w:rsid w:val="00627A77"/>
    <w:rsid w:val="00627B98"/>
    <w:rsid w:val="00627EE5"/>
    <w:rsid w:val="0063017F"/>
    <w:rsid w:val="00630273"/>
    <w:rsid w:val="006302C3"/>
    <w:rsid w:val="0063031F"/>
    <w:rsid w:val="00630340"/>
    <w:rsid w:val="00630594"/>
    <w:rsid w:val="00630A59"/>
    <w:rsid w:val="00630C33"/>
    <w:rsid w:val="00630C5C"/>
    <w:rsid w:val="0063101C"/>
    <w:rsid w:val="0063141E"/>
    <w:rsid w:val="00631694"/>
    <w:rsid w:val="00631895"/>
    <w:rsid w:val="00631899"/>
    <w:rsid w:val="006319D4"/>
    <w:rsid w:val="00631A58"/>
    <w:rsid w:val="00631E91"/>
    <w:rsid w:val="00632856"/>
    <w:rsid w:val="00632861"/>
    <w:rsid w:val="0063296B"/>
    <w:rsid w:val="00632D7E"/>
    <w:rsid w:val="00632E26"/>
    <w:rsid w:val="00633571"/>
    <w:rsid w:val="00633994"/>
    <w:rsid w:val="00633A88"/>
    <w:rsid w:val="00633E36"/>
    <w:rsid w:val="00633E3C"/>
    <w:rsid w:val="006345A8"/>
    <w:rsid w:val="0063469A"/>
    <w:rsid w:val="0063475B"/>
    <w:rsid w:val="006348CC"/>
    <w:rsid w:val="00634906"/>
    <w:rsid w:val="00634966"/>
    <w:rsid w:val="00635329"/>
    <w:rsid w:val="00635E53"/>
    <w:rsid w:val="006364C8"/>
    <w:rsid w:val="006367B4"/>
    <w:rsid w:val="00636A3D"/>
    <w:rsid w:val="00636B16"/>
    <w:rsid w:val="00636EA1"/>
    <w:rsid w:val="00636F00"/>
    <w:rsid w:val="00637315"/>
    <w:rsid w:val="00637C7D"/>
    <w:rsid w:val="00637F62"/>
    <w:rsid w:val="00640023"/>
    <w:rsid w:val="006401A5"/>
    <w:rsid w:val="006402CC"/>
    <w:rsid w:val="00640546"/>
    <w:rsid w:val="006405EE"/>
    <w:rsid w:val="006406AD"/>
    <w:rsid w:val="00640752"/>
    <w:rsid w:val="006408B1"/>
    <w:rsid w:val="006409B1"/>
    <w:rsid w:val="00640A01"/>
    <w:rsid w:val="00640AA1"/>
    <w:rsid w:val="00640B34"/>
    <w:rsid w:val="00640DEA"/>
    <w:rsid w:val="00640EE0"/>
    <w:rsid w:val="006410C5"/>
    <w:rsid w:val="006411AF"/>
    <w:rsid w:val="006411E4"/>
    <w:rsid w:val="006415C4"/>
    <w:rsid w:val="0064183B"/>
    <w:rsid w:val="006418A6"/>
    <w:rsid w:val="0064198F"/>
    <w:rsid w:val="00641BAA"/>
    <w:rsid w:val="00641C5A"/>
    <w:rsid w:val="00641E26"/>
    <w:rsid w:val="00641EF0"/>
    <w:rsid w:val="00641F86"/>
    <w:rsid w:val="006421F0"/>
    <w:rsid w:val="00642482"/>
    <w:rsid w:val="006425B5"/>
    <w:rsid w:val="00643125"/>
    <w:rsid w:val="00643209"/>
    <w:rsid w:val="006432F0"/>
    <w:rsid w:val="00643661"/>
    <w:rsid w:val="006437B1"/>
    <w:rsid w:val="0064394A"/>
    <w:rsid w:val="00643C37"/>
    <w:rsid w:val="00643D89"/>
    <w:rsid w:val="00643EC0"/>
    <w:rsid w:val="00643FB8"/>
    <w:rsid w:val="00644405"/>
    <w:rsid w:val="00644640"/>
    <w:rsid w:val="00644672"/>
    <w:rsid w:val="00644676"/>
    <w:rsid w:val="00644696"/>
    <w:rsid w:val="0064472A"/>
    <w:rsid w:val="00644840"/>
    <w:rsid w:val="00644B5A"/>
    <w:rsid w:val="00645049"/>
    <w:rsid w:val="0064529E"/>
    <w:rsid w:val="00645A60"/>
    <w:rsid w:val="00645C42"/>
    <w:rsid w:val="00645F04"/>
    <w:rsid w:val="00646233"/>
    <w:rsid w:val="006462A4"/>
    <w:rsid w:val="0064630E"/>
    <w:rsid w:val="006463BD"/>
    <w:rsid w:val="006464CD"/>
    <w:rsid w:val="006464D9"/>
    <w:rsid w:val="00646AC3"/>
    <w:rsid w:val="00646BEF"/>
    <w:rsid w:val="00646D09"/>
    <w:rsid w:val="006476F8"/>
    <w:rsid w:val="00647794"/>
    <w:rsid w:val="00647808"/>
    <w:rsid w:val="00647B25"/>
    <w:rsid w:val="00647B3E"/>
    <w:rsid w:val="00650500"/>
    <w:rsid w:val="006505E8"/>
    <w:rsid w:val="006508E0"/>
    <w:rsid w:val="00650D85"/>
    <w:rsid w:val="00650F0F"/>
    <w:rsid w:val="00650FFD"/>
    <w:rsid w:val="00651116"/>
    <w:rsid w:val="006515C1"/>
    <w:rsid w:val="006519D0"/>
    <w:rsid w:val="00651BFA"/>
    <w:rsid w:val="00651DFC"/>
    <w:rsid w:val="00651E82"/>
    <w:rsid w:val="00651EF2"/>
    <w:rsid w:val="006526A0"/>
    <w:rsid w:val="006528C9"/>
    <w:rsid w:val="00652C0B"/>
    <w:rsid w:val="00652EE3"/>
    <w:rsid w:val="0065325A"/>
    <w:rsid w:val="0065367D"/>
    <w:rsid w:val="006537CC"/>
    <w:rsid w:val="0065387B"/>
    <w:rsid w:val="006539D5"/>
    <w:rsid w:val="0065408F"/>
    <w:rsid w:val="0065421D"/>
    <w:rsid w:val="0065434E"/>
    <w:rsid w:val="00654357"/>
    <w:rsid w:val="00654857"/>
    <w:rsid w:val="00654D40"/>
    <w:rsid w:val="00654DB1"/>
    <w:rsid w:val="00654DCD"/>
    <w:rsid w:val="006553CF"/>
    <w:rsid w:val="0065543D"/>
    <w:rsid w:val="00655791"/>
    <w:rsid w:val="006557F0"/>
    <w:rsid w:val="00655A87"/>
    <w:rsid w:val="00655B63"/>
    <w:rsid w:val="00655BA1"/>
    <w:rsid w:val="00655C6D"/>
    <w:rsid w:val="00655C8B"/>
    <w:rsid w:val="00655D05"/>
    <w:rsid w:val="00655FCE"/>
    <w:rsid w:val="006560C3"/>
    <w:rsid w:val="006562BF"/>
    <w:rsid w:val="0065639C"/>
    <w:rsid w:val="0065648E"/>
    <w:rsid w:val="00656F10"/>
    <w:rsid w:val="0065752E"/>
    <w:rsid w:val="006576A6"/>
    <w:rsid w:val="00657B45"/>
    <w:rsid w:val="00657ED7"/>
    <w:rsid w:val="006605EF"/>
    <w:rsid w:val="006607F7"/>
    <w:rsid w:val="00660D07"/>
    <w:rsid w:val="00660E93"/>
    <w:rsid w:val="0066109B"/>
    <w:rsid w:val="0066142F"/>
    <w:rsid w:val="006614F8"/>
    <w:rsid w:val="0066155A"/>
    <w:rsid w:val="0066166E"/>
    <w:rsid w:val="00661BFF"/>
    <w:rsid w:val="0066249F"/>
    <w:rsid w:val="006625A7"/>
    <w:rsid w:val="006629A5"/>
    <w:rsid w:val="00662A64"/>
    <w:rsid w:val="006631AE"/>
    <w:rsid w:val="00663304"/>
    <w:rsid w:val="00663388"/>
    <w:rsid w:val="006633BC"/>
    <w:rsid w:val="006634E6"/>
    <w:rsid w:val="00663532"/>
    <w:rsid w:val="0066353B"/>
    <w:rsid w:val="006635C4"/>
    <w:rsid w:val="006637A5"/>
    <w:rsid w:val="006637D7"/>
    <w:rsid w:val="006638E6"/>
    <w:rsid w:val="00663A32"/>
    <w:rsid w:val="00663EB9"/>
    <w:rsid w:val="006640AF"/>
    <w:rsid w:val="00664307"/>
    <w:rsid w:val="00664D6F"/>
    <w:rsid w:val="006650BF"/>
    <w:rsid w:val="00665145"/>
    <w:rsid w:val="006651BD"/>
    <w:rsid w:val="00665606"/>
    <w:rsid w:val="006658BC"/>
    <w:rsid w:val="0066592B"/>
    <w:rsid w:val="00665ED5"/>
    <w:rsid w:val="00666010"/>
    <w:rsid w:val="0066620A"/>
    <w:rsid w:val="00666417"/>
    <w:rsid w:val="006670DA"/>
    <w:rsid w:val="00667110"/>
    <w:rsid w:val="006673E8"/>
    <w:rsid w:val="0066740F"/>
    <w:rsid w:val="00667C2A"/>
    <w:rsid w:val="00667D6C"/>
    <w:rsid w:val="00670172"/>
    <w:rsid w:val="006703B8"/>
    <w:rsid w:val="0067046A"/>
    <w:rsid w:val="00670ADF"/>
    <w:rsid w:val="006714A4"/>
    <w:rsid w:val="00671638"/>
    <w:rsid w:val="00671BD0"/>
    <w:rsid w:val="00671C07"/>
    <w:rsid w:val="00671DEE"/>
    <w:rsid w:val="00671EA2"/>
    <w:rsid w:val="00671EC0"/>
    <w:rsid w:val="006720FF"/>
    <w:rsid w:val="00672300"/>
    <w:rsid w:val="00672650"/>
    <w:rsid w:val="00672905"/>
    <w:rsid w:val="00672AC6"/>
    <w:rsid w:val="00673182"/>
    <w:rsid w:val="006731CC"/>
    <w:rsid w:val="0067323B"/>
    <w:rsid w:val="006736DC"/>
    <w:rsid w:val="0067378A"/>
    <w:rsid w:val="006737FF"/>
    <w:rsid w:val="00673A75"/>
    <w:rsid w:val="00673E1F"/>
    <w:rsid w:val="006741D9"/>
    <w:rsid w:val="0067444A"/>
    <w:rsid w:val="0067468D"/>
    <w:rsid w:val="00674A4B"/>
    <w:rsid w:val="00674BEF"/>
    <w:rsid w:val="00674ED4"/>
    <w:rsid w:val="006755A2"/>
    <w:rsid w:val="00675828"/>
    <w:rsid w:val="00675AB2"/>
    <w:rsid w:val="00675E63"/>
    <w:rsid w:val="0067600B"/>
    <w:rsid w:val="00676226"/>
    <w:rsid w:val="00676473"/>
    <w:rsid w:val="006764E7"/>
    <w:rsid w:val="00676531"/>
    <w:rsid w:val="0067667B"/>
    <w:rsid w:val="0067669A"/>
    <w:rsid w:val="00676924"/>
    <w:rsid w:val="00676951"/>
    <w:rsid w:val="00676E8C"/>
    <w:rsid w:val="00676ED2"/>
    <w:rsid w:val="00676F3F"/>
    <w:rsid w:val="00676F48"/>
    <w:rsid w:val="00677124"/>
    <w:rsid w:val="006771B4"/>
    <w:rsid w:val="006771EE"/>
    <w:rsid w:val="00677363"/>
    <w:rsid w:val="0067770B"/>
    <w:rsid w:val="006778F7"/>
    <w:rsid w:val="00677BC6"/>
    <w:rsid w:val="00677CA7"/>
    <w:rsid w:val="00677EDD"/>
    <w:rsid w:val="00680031"/>
    <w:rsid w:val="00680282"/>
    <w:rsid w:val="006803BD"/>
    <w:rsid w:val="00680424"/>
    <w:rsid w:val="00680528"/>
    <w:rsid w:val="0068065E"/>
    <w:rsid w:val="00680970"/>
    <w:rsid w:val="00680A0E"/>
    <w:rsid w:val="00680CEC"/>
    <w:rsid w:val="0068118D"/>
    <w:rsid w:val="00681321"/>
    <w:rsid w:val="00681410"/>
    <w:rsid w:val="0068151F"/>
    <w:rsid w:val="0068179C"/>
    <w:rsid w:val="006818E9"/>
    <w:rsid w:val="00681AA2"/>
    <w:rsid w:val="00681BF1"/>
    <w:rsid w:val="00681F9A"/>
    <w:rsid w:val="00682038"/>
    <w:rsid w:val="0068251B"/>
    <w:rsid w:val="00682B83"/>
    <w:rsid w:val="00683218"/>
    <w:rsid w:val="00683657"/>
    <w:rsid w:val="006838A5"/>
    <w:rsid w:val="00683A98"/>
    <w:rsid w:val="00683AF0"/>
    <w:rsid w:val="00683D0B"/>
    <w:rsid w:val="00683E6F"/>
    <w:rsid w:val="006840C3"/>
    <w:rsid w:val="006847A5"/>
    <w:rsid w:val="00684AA8"/>
    <w:rsid w:val="00684C9F"/>
    <w:rsid w:val="00684EA6"/>
    <w:rsid w:val="00684ED2"/>
    <w:rsid w:val="00684F12"/>
    <w:rsid w:val="00684F7F"/>
    <w:rsid w:val="00685159"/>
    <w:rsid w:val="006852C5"/>
    <w:rsid w:val="006853CF"/>
    <w:rsid w:val="00685904"/>
    <w:rsid w:val="00685A47"/>
    <w:rsid w:val="00685B71"/>
    <w:rsid w:val="00685BEE"/>
    <w:rsid w:val="00685C0D"/>
    <w:rsid w:val="00685F58"/>
    <w:rsid w:val="00686056"/>
    <w:rsid w:val="00686093"/>
    <w:rsid w:val="00686614"/>
    <w:rsid w:val="006869BD"/>
    <w:rsid w:val="00686BBC"/>
    <w:rsid w:val="0068716F"/>
    <w:rsid w:val="006877C2"/>
    <w:rsid w:val="00687A65"/>
    <w:rsid w:val="00687E87"/>
    <w:rsid w:val="006901A3"/>
    <w:rsid w:val="0069021E"/>
    <w:rsid w:val="0069039E"/>
    <w:rsid w:val="00690400"/>
    <w:rsid w:val="0069055F"/>
    <w:rsid w:val="0069061E"/>
    <w:rsid w:val="00690CAA"/>
    <w:rsid w:val="00691484"/>
    <w:rsid w:val="0069193A"/>
    <w:rsid w:val="00691956"/>
    <w:rsid w:val="00691975"/>
    <w:rsid w:val="00691C32"/>
    <w:rsid w:val="00691C51"/>
    <w:rsid w:val="00691E61"/>
    <w:rsid w:val="00691E75"/>
    <w:rsid w:val="00692213"/>
    <w:rsid w:val="006923F6"/>
    <w:rsid w:val="00692413"/>
    <w:rsid w:val="0069263D"/>
    <w:rsid w:val="00692B80"/>
    <w:rsid w:val="00692EFF"/>
    <w:rsid w:val="00693108"/>
    <w:rsid w:val="006931A7"/>
    <w:rsid w:val="00693407"/>
    <w:rsid w:val="0069397C"/>
    <w:rsid w:val="00693A8E"/>
    <w:rsid w:val="0069405B"/>
    <w:rsid w:val="006940B9"/>
    <w:rsid w:val="00694450"/>
    <w:rsid w:val="00694D0B"/>
    <w:rsid w:val="00694D57"/>
    <w:rsid w:val="00695175"/>
    <w:rsid w:val="006951AC"/>
    <w:rsid w:val="00695628"/>
    <w:rsid w:val="00695BAB"/>
    <w:rsid w:val="00695E24"/>
    <w:rsid w:val="00695F16"/>
    <w:rsid w:val="00696055"/>
    <w:rsid w:val="00696516"/>
    <w:rsid w:val="0069659E"/>
    <w:rsid w:val="00696DB2"/>
    <w:rsid w:val="00696E1F"/>
    <w:rsid w:val="00696E54"/>
    <w:rsid w:val="00696FEF"/>
    <w:rsid w:val="006970CA"/>
    <w:rsid w:val="006973AC"/>
    <w:rsid w:val="0069741B"/>
    <w:rsid w:val="00697A87"/>
    <w:rsid w:val="00697AFB"/>
    <w:rsid w:val="00697B6B"/>
    <w:rsid w:val="00697B88"/>
    <w:rsid w:val="00697E16"/>
    <w:rsid w:val="00697E99"/>
    <w:rsid w:val="006A0432"/>
    <w:rsid w:val="006A0854"/>
    <w:rsid w:val="006A09A5"/>
    <w:rsid w:val="006A0DDC"/>
    <w:rsid w:val="006A1697"/>
    <w:rsid w:val="006A1B54"/>
    <w:rsid w:val="006A1BFA"/>
    <w:rsid w:val="006A1FA8"/>
    <w:rsid w:val="006A221F"/>
    <w:rsid w:val="006A239A"/>
    <w:rsid w:val="006A2706"/>
    <w:rsid w:val="006A2889"/>
    <w:rsid w:val="006A2932"/>
    <w:rsid w:val="006A29E3"/>
    <w:rsid w:val="006A2CA6"/>
    <w:rsid w:val="006A2E01"/>
    <w:rsid w:val="006A3091"/>
    <w:rsid w:val="006A34F5"/>
    <w:rsid w:val="006A35A1"/>
    <w:rsid w:val="006A3FB2"/>
    <w:rsid w:val="006A4035"/>
    <w:rsid w:val="006A44F0"/>
    <w:rsid w:val="006A4701"/>
    <w:rsid w:val="006A472D"/>
    <w:rsid w:val="006A473D"/>
    <w:rsid w:val="006A4A52"/>
    <w:rsid w:val="006A4E08"/>
    <w:rsid w:val="006A5058"/>
    <w:rsid w:val="006A5333"/>
    <w:rsid w:val="006A53A9"/>
    <w:rsid w:val="006A53DD"/>
    <w:rsid w:val="006A5A54"/>
    <w:rsid w:val="006A5B3C"/>
    <w:rsid w:val="006A5DD1"/>
    <w:rsid w:val="006A5E0D"/>
    <w:rsid w:val="006A5F1C"/>
    <w:rsid w:val="006A65CB"/>
    <w:rsid w:val="006A65F7"/>
    <w:rsid w:val="006A6705"/>
    <w:rsid w:val="006A6B88"/>
    <w:rsid w:val="006A6D65"/>
    <w:rsid w:val="006A6DDE"/>
    <w:rsid w:val="006A6E47"/>
    <w:rsid w:val="006A726A"/>
    <w:rsid w:val="006A73AC"/>
    <w:rsid w:val="006A73C6"/>
    <w:rsid w:val="006A77EB"/>
    <w:rsid w:val="006A78F6"/>
    <w:rsid w:val="006A7D20"/>
    <w:rsid w:val="006A7D51"/>
    <w:rsid w:val="006B03CF"/>
    <w:rsid w:val="006B04A4"/>
    <w:rsid w:val="006B0513"/>
    <w:rsid w:val="006B08C0"/>
    <w:rsid w:val="006B0D6B"/>
    <w:rsid w:val="006B0E98"/>
    <w:rsid w:val="006B0FFA"/>
    <w:rsid w:val="006B120E"/>
    <w:rsid w:val="006B123C"/>
    <w:rsid w:val="006B14A0"/>
    <w:rsid w:val="006B16E0"/>
    <w:rsid w:val="006B1876"/>
    <w:rsid w:val="006B1A60"/>
    <w:rsid w:val="006B1F52"/>
    <w:rsid w:val="006B210A"/>
    <w:rsid w:val="006B21A2"/>
    <w:rsid w:val="006B2203"/>
    <w:rsid w:val="006B238D"/>
    <w:rsid w:val="006B24BB"/>
    <w:rsid w:val="006B24EB"/>
    <w:rsid w:val="006B26A1"/>
    <w:rsid w:val="006B2929"/>
    <w:rsid w:val="006B2D13"/>
    <w:rsid w:val="006B2F78"/>
    <w:rsid w:val="006B2F7C"/>
    <w:rsid w:val="006B2FC2"/>
    <w:rsid w:val="006B30D1"/>
    <w:rsid w:val="006B34CA"/>
    <w:rsid w:val="006B3B1A"/>
    <w:rsid w:val="006B3C9B"/>
    <w:rsid w:val="006B4019"/>
    <w:rsid w:val="006B40D2"/>
    <w:rsid w:val="006B41DE"/>
    <w:rsid w:val="006B41FE"/>
    <w:rsid w:val="006B4799"/>
    <w:rsid w:val="006B4816"/>
    <w:rsid w:val="006B49CB"/>
    <w:rsid w:val="006B49E2"/>
    <w:rsid w:val="006B4A1C"/>
    <w:rsid w:val="006B5332"/>
    <w:rsid w:val="006B5571"/>
    <w:rsid w:val="006B565A"/>
    <w:rsid w:val="006B56CC"/>
    <w:rsid w:val="006B5EA6"/>
    <w:rsid w:val="006B5F57"/>
    <w:rsid w:val="006B6224"/>
    <w:rsid w:val="006B6491"/>
    <w:rsid w:val="006B667C"/>
    <w:rsid w:val="006B6A47"/>
    <w:rsid w:val="006B6F64"/>
    <w:rsid w:val="006B7012"/>
    <w:rsid w:val="006B7798"/>
    <w:rsid w:val="006B7B06"/>
    <w:rsid w:val="006B7CCD"/>
    <w:rsid w:val="006B7D49"/>
    <w:rsid w:val="006B7D7E"/>
    <w:rsid w:val="006C02E4"/>
    <w:rsid w:val="006C031A"/>
    <w:rsid w:val="006C0537"/>
    <w:rsid w:val="006C08CC"/>
    <w:rsid w:val="006C0A2C"/>
    <w:rsid w:val="006C0B48"/>
    <w:rsid w:val="006C111C"/>
    <w:rsid w:val="006C1167"/>
    <w:rsid w:val="006C150C"/>
    <w:rsid w:val="006C1894"/>
    <w:rsid w:val="006C1AA4"/>
    <w:rsid w:val="006C1B91"/>
    <w:rsid w:val="006C1DF2"/>
    <w:rsid w:val="006C21CA"/>
    <w:rsid w:val="006C263C"/>
    <w:rsid w:val="006C27BD"/>
    <w:rsid w:val="006C29A8"/>
    <w:rsid w:val="006C2B45"/>
    <w:rsid w:val="006C2B55"/>
    <w:rsid w:val="006C2D4C"/>
    <w:rsid w:val="006C2E9D"/>
    <w:rsid w:val="006C2FDB"/>
    <w:rsid w:val="006C33CB"/>
    <w:rsid w:val="006C34B0"/>
    <w:rsid w:val="006C3783"/>
    <w:rsid w:val="006C3977"/>
    <w:rsid w:val="006C3BE7"/>
    <w:rsid w:val="006C3EB4"/>
    <w:rsid w:val="006C3FB2"/>
    <w:rsid w:val="006C3FC0"/>
    <w:rsid w:val="006C406C"/>
    <w:rsid w:val="006C40B6"/>
    <w:rsid w:val="006C40D3"/>
    <w:rsid w:val="006C4647"/>
    <w:rsid w:val="006C4761"/>
    <w:rsid w:val="006C48C7"/>
    <w:rsid w:val="006C495B"/>
    <w:rsid w:val="006C52E7"/>
    <w:rsid w:val="006C5375"/>
    <w:rsid w:val="006C5621"/>
    <w:rsid w:val="006C5670"/>
    <w:rsid w:val="006C584D"/>
    <w:rsid w:val="006C5AD3"/>
    <w:rsid w:val="006C617F"/>
    <w:rsid w:val="006C62F8"/>
    <w:rsid w:val="006C6339"/>
    <w:rsid w:val="006C6666"/>
    <w:rsid w:val="006C6870"/>
    <w:rsid w:val="006C6A0E"/>
    <w:rsid w:val="006C6D6B"/>
    <w:rsid w:val="006C6DC8"/>
    <w:rsid w:val="006C6E7B"/>
    <w:rsid w:val="006C726F"/>
    <w:rsid w:val="006C74B8"/>
    <w:rsid w:val="006C75E3"/>
    <w:rsid w:val="006C75E6"/>
    <w:rsid w:val="006C7689"/>
    <w:rsid w:val="006C7B1D"/>
    <w:rsid w:val="006C7DAA"/>
    <w:rsid w:val="006C7E00"/>
    <w:rsid w:val="006D0320"/>
    <w:rsid w:val="006D05F3"/>
    <w:rsid w:val="006D0942"/>
    <w:rsid w:val="006D0BE4"/>
    <w:rsid w:val="006D0DFC"/>
    <w:rsid w:val="006D1220"/>
    <w:rsid w:val="006D1897"/>
    <w:rsid w:val="006D1B8A"/>
    <w:rsid w:val="006D1C0C"/>
    <w:rsid w:val="006D1EAB"/>
    <w:rsid w:val="006D205F"/>
    <w:rsid w:val="006D22CF"/>
    <w:rsid w:val="006D2666"/>
    <w:rsid w:val="006D26D4"/>
    <w:rsid w:val="006D277B"/>
    <w:rsid w:val="006D2C4B"/>
    <w:rsid w:val="006D2E38"/>
    <w:rsid w:val="006D2F10"/>
    <w:rsid w:val="006D3221"/>
    <w:rsid w:val="006D376F"/>
    <w:rsid w:val="006D3878"/>
    <w:rsid w:val="006D398F"/>
    <w:rsid w:val="006D3EF4"/>
    <w:rsid w:val="006D413B"/>
    <w:rsid w:val="006D4194"/>
    <w:rsid w:val="006D41A6"/>
    <w:rsid w:val="006D4223"/>
    <w:rsid w:val="006D425B"/>
    <w:rsid w:val="006D4359"/>
    <w:rsid w:val="006D4518"/>
    <w:rsid w:val="006D451B"/>
    <w:rsid w:val="006D4AA8"/>
    <w:rsid w:val="006D5123"/>
    <w:rsid w:val="006D5243"/>
    <w:rsid w:val="006D5461"/>
    <w:rsid w:val="006D5690"/>
    <w:rsid w:val="006D56DC"/>
    <w:rsid w:val="006D57A5"/>
    <w:rsid w:val="006D5ABE"/>
    <w:rsid w:val="006D5B85"/>
    <w:rsid w:val="006D5C80"/>
    <w:rsid w:val="006D5CA9"/>
    <w:rsid w:val="006D6319"/>
    <w:rsid w:val="006D6377"/>
    <w:rsid w:val="006D68E8"/>
    <w:rsid w:val="006D69BA"/>
    <w:rsid w:val="006D6A17"/>
    <w:rsid w:val="006D6C6D"/>
    <w:rsid w:val="006D6C9A"/>
    <w:rsid w:val="006D7746"/>
    <w:rsid w:val="006D79FA"/>
    <w:rsid w:val="006E0124"/>
    <w:rsid w:val="006E03CF"/>
    <w:rsid w:val="006E074B"/>
    <w:rsid w:val="006E0922"/>
    <w:rsid w:val="006E097A"/>
    <w:rsid w:val="006E0CDD"/>
    <w:rsid w:val="006E0DB2"/>
    <w:rsid w:val="006E1578"/>
    <w:rsid w:val="006E16A5"/>
    <w:rsid w:val="006E18AE"/>
    <w:rsid w:val="006E1A57"/>
    <w:rsid w:val="006E1CA1"/>
    <w:rsid w:val="006E1DF6"/>
    <w:rsid w:val="006E1F51"/>
    <w:rsid w:val="006E1FE0"/>
    <w:rsid w:val="006E2136"/>
    <w:rsid w:val="006E242E"/>
    <w:rsid w:val="006E24C3"/>
    <w:rsid w:val="006E2826"/>
    <w:rsid w:val="006E293B"/>
    <w:rsid w:val="006E2D84"/>
    <w:rsid w:val="006E325F"/>
    <w:rsid w:val="006E346A"/>
    <w:rsid w:val="006E34E5"/>
    <w:rsid w:val="006E4463"/>
    <w:rsid w:val="006E4628"/>
    <w:rsid w:val="006E4A14"/>
    <w:rsid w:val="006E4AD3"/>
    <w:rsid w:val="006E4F2D"/>
    <w:rsid w:val="006E5152"/>
    <w:rsid w:val="006E540A"/>
    <w:rsid w:val="006E5733"/>
    <w:rsid w:val="006E573D"/>
    <w:rsid w:val="006E5AB3"/>
    <w:rsid w:val="006E5BD8"/>
    <w:rsid w:val="006E5E6B"/>
    <w:rsid w:val="006E65C8"/>
    <w:rsid w:val="006E66CA"/>
    <w:rsid w:val="006E6ACB"/>
    <w:rsid w:val="006E6F04"/>
    <w:rsid w:val="006E7156"/>
    <w:rsid w:val="006E75DA"/>
    <w:rsid w:val="006E7C27"/>
    <w:rsid w:val="006E7D97"/>
    <w:rsid w:val="006E7E63"/>
    <w:rsid w:val="006F009C"/>
    <w:rsid w:val="006F04F8"/>
    <w:rsid w:val="006F071A"/>
    <w:rsid w:val="006F0820"/>
    <w:rsid w:val="006F0867"/>
    <w:rsid w:val="006F0CC5"/>
    <w:rsid w:val="006F0D02"/>
    <w:rsid w:val="006F0DFF"/>
    <w:rsid w:val="006F10C9"/>
    <w:rsid w:val="006F1312"/>
    <w:rsid w:val="006F1F4D"/>
    <w:rsid w:val="006F215F"/>
    <w:rsid w:val="006F224E"/>
    <w:rsid w:val="006F228B"/>
    <w:rsid w:val="006F2799"/>
    <w:rsid w:val="006F2B70"/>
    <w:rsid w:val="006F2C17"/>
    <w:rsid w:val="006F3226"/>
    <w:rsid w:val="006F342C"/>
    <w:rsid w:val="006F3924"/>
    <w:rsid w:val="006F3C39"/>
    <w:rsid w:val="006F3D4C"/>
    <w:rsid w:val="006F4009"/>
    <w:rsid w:val="006F4187"/>
    <w:rsid w:val="006F42A8"/>
    <w:rsid w:val="006F4488"/>
    <w:rsid w:val="006F4717"/>
    <w:rsid w:val="006F49A3"/>
    <w:rsid w:val="006F4C52"/>
    <w:rsid w:val="006F4D38"/>
    <w:rsid w:val="006F4F8D"/>
    <w:rsid w:val="006F5438"/>
    <w:rsid w:val="006F5723"/>
    <w:rsid w:val="006F57C6"/>
    <w:rsid w:val="006F57FF"/>
    <w:rsid w:val="006F58C8"/>
    <w:rsid w:val="006F5938"/>
    <w:rsid w:val="006F5A3C"/>
    <w:rsid w:val="006F5DE2"/>
    <w:rsid w:val="006F5F4B"/>
    <w:rsid w:val="006F6084"/>
    <w:rsid w:val="006F613F"/>
    <w:rsid w:val="006F667B"/>
    <w:rsid w:val="006F684E"/>
    <w:rsid w:val="006F6B9A"/>
    <w:rsid w:val="006F6D28"/>
    <w:rsid w:val="006F786A"/>
    <w:rsid w:val="006F7C75"/>
    <w:rsid w:val="0070025A"/>
    <w:rsid w:val="007003F9"/>
    <w:rsid w:val="0070042E"/>
    <w:rsid w:val="007004B9"/>
    <w:rsid w:val="0070051A"/>
    <w:rsid w:val="007006F7"/>
    <w:rsid w:val="00700983"/>
    <w:rsid w:val="00700D58"/>
    <w:rsid w:val="00700FA7"/>
    <w:rsid w:val="00701304"/>
    <w:rsid w:val="007015DD"/>
    <w:rsid w:val="00701872"/>
    <w:rsid w:val="00701C7F"/>
    <w:rsid w:val="00701E04"/>
    <w:rsid w:val="00701EB1"/>
    <w:rsid w:val="0070279D"/>
    <w:rsid w:val="00702EB9"/>
    <w:rsid w:val="00702F5F"/>
    <w:rsid w:val="00702FCA"/>
    <w:rsid w:val="00703641"/>
    <w:rsid w:val="007038A0"/>
    <w:rsid w:val="00703A77"/>
    <w:rsid w:val="00703CC6"/>
    <w:rsid w:val="00703CD2"/>
    <w:rsid w:val="0070404C"/>
    <w:rsid w:val="0070462C"/>
    <w:rsid w:val="00704880"/>
    <w:rsid w:val="007050AC"/>
    <w:rsid w:val="007050D8"/>
    <w:rsid w:val="007051ED"/>
    <w:rsid w:val="00705672"/>
    <w:rsid w:val="00705766"/>
    <w:rsid w:val="007059B5"/>
    <w:rsid w:val="00705B99"/>
    <w:rsid w:val="00705C17"/>
    <w:rsid w:val="00705EF6"/>
    <w:rsid w:val="00705FB8"/>
    <w:rsid w:val="007060A1"/>
    <w:rsid w:val="007068D9"/>
    <w:rsid w:val="007069DB"/>
    <w:rsid w:val="00706A70"/>
    <w:rsid w:val="00706AEF"/>
    <w:rsid w:val="00706ED3"/>
    <w:rsid w:val="0070732C"/>
    <w:rsid w:val="00707470"/>
    <w:rsid w:val="00707492"/>
    <w:rsid w:val="0070763B"/>
    <w:rsid w:val="00707806"/>
    <w:rsid w:val="0070780A"/>
    <w:rsid w:val="00707873"/>
    <w:rsid w:val="00707A10"/>
    <w:rsid w:val="00707C54"/>
    <w:rsid w:val="00707FD0"/>
    <w:rsid w:val="00710354"/>
    <w:rsid w:val="007109A4"/>
    <w:rsid w:val="00710B03"/>
    <w:rsid w:val="00710C2E"/>
    <w:rsid w:val="00710F8E"/>
    <w:rsid w:val="00711065"/>
    <w:rsid w:val="0071126B"/>
    <w:rsid w:val="007116E0"/>
    <w:rsid w:val="00711FDD"/>
    <w:rsid w:val="00712479"/>
    <w:rsid w:val="00712489"/>
    <w:rsid w:val="00712630"/>
    <w:rsid w:val="007127F9"/>
    <w:rsid w:val="0071333E"/>
    <w:rsid w:val="00713697"/>
    <w:rsid w:val="007136A4"/>
    <w:rsid w:val="0071384C"/>
    <w:rsid w:val="0071391A"/>
    <w:rsid w:val="0071392A"/>
    <w:rsid w:val="00713B24"/>
    <w:rsid w:val="00713BFC"/>
    <w:rsid w:val="00713EAB"/>
    <w:rsid w:val="0071415E"/>
    <w:rsid w:val="00714778"/>
    <w:rsid w:val="00714800"/>
    <w:rsid w:val="0071494C"/>
    <w:rsid w:val="00714EC8"/>
    <w:rsid w:val="00714F2E"/>
    <w:rsid w:val="007151DF"/>
    <w:rsid w:val="00715409"/>
    <w:rsid w:val="007154FC"/>
    <w:rsid w:val="00715506"/>
    <w:rsid w:val="007157D9"/>
    <w:rsid w:val="007157F1"/>
    <w:rsid w:val="00715A2A"/>
    <w:rsid w:val="00715C00"/>
    <w:rsid w:val="00715F9E"/>
    <w:rsid w:val="007162C7"/>
    <w:rsid w:val="007168A0"/>
    <w:rsid w:val="007169FE"/>
    <w:rsid w:val="00716B52"/>
    <w:rsid w:val="00716BE0"/>
    <w:rsid w:val="00716FB1"/>
    <w:rsid w:val="00717089"/>
    <w:rsid w:val="007172D9"/>
    <w:rsid w:val="007178F9"/>
    <w:rsid w:val="00717BFF"/>
    <w:rsid w:val="00717C04"/>
    <w:rsid w:val="00717C93"/>
    <w:rsid w:val="00717E18"/>
    <w:rsid w:val="007203AE"/>
    <w:rsid w:val="00720490"/>
    <w:rsid w:val="00720661"/>
    <w:rsid w:val="00720888"/>
    <w:rsid w:val="0072093A"/>
    <w:rsid w:val="00720D86"/>
    <w:rsid w:val="0072116A"/>
    <w:rsid w:val="0072138D"/>
    <w:rsid w:val="007214BC"/>
    <w:rsid w:val="00721593"/>
    <w:rsid w:val="00721D99"/>
    <w:rsid w:val="00722392"/>
    <w:rsid w:val="0072252F"/>
    <w:rsid w:val="00722585"/>
    <w:rsid w:val="00722774"/>
    <w:rsid w:val="0072303D"/>
    <w:rsid w:val="0072336D"/>
    <w:rsid w:val="007235A7"/>
    <w:rsid w:val="00724392"/>
    <w:rsid w:val="00724A30"/>
    <w:rsid w:val="00724B84"/>
    <w:rsid w:val="00724C5F"/>
    <w:rsid w:val="00724CD9"/>
    <w:rsid w:val="00724E89"/>
    <w:rsid w:val="0072500E"/>
    <w:rsid w:val="00725231"/>
    <w:rsid w:val="007252C4"/>
    <w:rsid w:val="00725373"/>
    <w:rsid w:val="00725D7D"/>
    <w:rsid w:val="00726002"/>
    <w:rsid w:val="007268C6"/>
    <w:rsid w:val="00727398"/>
    <w:rsid w:val="0072746D"/>
    <w:rsid w:val="007277AE"/>
    <w:rsid w:val="007277BA"/>
    <w:rsid w:val="00727B06"/>
    <w:rsid w:val="00727D86"/>
    <w:rsid w:val="007300FB"/>
    <w:rsid w:val="00730881"/>
    <w:rsid w:val="00730A96"/>
    <w:rsid w:val="00730CDE"/>
    <w:rsid w:val="00730E2A"/>
    <w:rsid w:val="00730E58"/>
    <w:rsid w:val="007312AA"/>
    <w:rsid w:val="007315E5"/>
    <w:rsid w:val="00731697"/>
    <w:rsid w:val="00731AE3"/>
    <w:rsid w:val="00731C13"/>
    <w:rsid w:val="00731CF0"/>
    <w:rsid w:val="00731E5D"/>
    <w:rsid w:val="00732709"/>
    <w:rsid w:val="00732AE8"/>
    <w:rsid w:val="00732B98"/>
    <w:rsid w:val="00732D1F"/>
    <w:rsid w:val="00732E82"/>
    <w:rsid w:val="007331AF"/>
    <w:rsid w:val="007332D0"/>
    <w:rsid w:val="00733428"/>
    <w:rsid w:val="007335BE"/>
    <w:rsid w:val="00733751"/>
    <w:rsid w:val="00733B27"/>
    <w:rsid w:val="00733B7D"/>
    <w:rsid w:val="00734278"/>
    <w:rsid w:val="0073446C"/>
    <w:rsid w:val="007346EE"/>
    <w:rsid w:val="00734B02"/>
    <w:rsid w:val="00734C1B"/>
    <w:rsid w:val="00734F03"/>
    <w:rsid w:val="00734F36"/>
    <w:rsid w:val="0073525D"/>
    <w:rsid w:val="00735461"/>
    <w:rsid w:val="0073546C"/>
    <w:rsid w:val="007357EC"/>
    <w:rsid w:val="00735B93"/>
    <w:rsid w:val="007363BE"/>
    <w:rsid w:val="00736905"/>
    <w:rsid w:val="0073725F"/>
    <w:rsid w:val="00737561"/>
    <w:rsid w:val="0073765A"/>
    <w:rsid w:val="0073767B"/>
    <w:rsid w:val="007379A6"/>
    <w:rsid w:val="00737CA4"/>
    <w:rsid w:val="00737E6A"/>
    <w:rsid w:val="00737FF3"/>
    <w:rsid w:val="00740286"/>
    <w:rsid w:val="007403B0"/>
    <w:rsid w:val="0074077C"/>
    <w:rsid w:val="007409F4"/>
    <w:rsid w:val="00740A48"/>
    <w:rsid w:val="00740A65"/>
    <w:rsid w:val="00740B35"/>
    <w:rsid w:val="00740BBC"/>
    <w:rsid w:val="00740D03"/>
    <w:rsid w:val="00740D47"/>
    <w:rsid w:val="00740F6E"/>
    <w:rsid w:val="00741175"/>
    <w:rsid w:val="00741319"/>
    <w:rsid w:val="007414B7"/>
    <w:rsid w:val="00741AE6"/>
    <w:rsid w:val="00741B03"/>
    <w:rsid w:val="00741BA5"/>
    <w:rsid w:val="00741C06"/>
    <w:rsid w:val="00741D87"/>
    <w:rsid w:val="00741FB1"/>
    <w:rsid w:val="0074226B"/>
    <w:rsid w:val="00742415"/>
    <w:rsid w:val="0074279D"/>
    <w:rsid w:val="007427FD"/>
    <w:rsid w:val="00742EE0"/>
    <w:rsid w:val="007431DE"/>
    <w:rsid w:val="00743237"/>
    <w:rsid w:val="007434E7"/>
    <w:rsid w:val="00743D90"/>
    <w:rsid w:val="00743E08"/>
    <w:rsid w:val="00743E40"/>
    <w:rsid w:val="00744721"/>
    <w:rsid w:val="00744817"/>
    <w:rsid w:val="007448DF"/>
    <w:rsid w:val="00744980"/>
    <w:rsid w:val="00744D39"/>
    <w:rsid w:val="00744DEE"/>
    <w:rsid w:val="007450AD"/>
    <w:rsid w:val="00745893"/>
    <w:rsid w:val="007460A4"/>
    <w:rsid w:val="007460DB"/>
    <w:rsid w:val="007461AD"/>
    <w:rsid w:val="00746226"/>
    <w:rsid w:val="00746B60"/>
    <w:rsid w:val="00746B66"/>
    <w:rsid w:val="00746B79"/>
    <w:rsid w:val="00746D31"/>
    <w:rsid w:val="00746DA7"/>
    <w:rsid w:val="00746DAA"/>
    <w:rsid w:val="00747017"/>
    <w:rsid w:val="00747355"/>
    <w:rsid w:val="00747380"/>
    <w:rsid w:val="0074755E"/>
    <w:rsid w:val="00747B25"/>
    <w:rsid w:val="00747BFA"/>
    <w:rsid w:val="00747E6F"/>
    <w:rsid w:val="0075022B"/>
    <w:rsid w:val="00750388"/>
    <w:rsid w:val="007504B9"/>
    <w:rsid w:val="00750964"/>
    <w:rsid w:val="007509C1"/>
    <w:rsid w:val="00750D3B"/>
    <w:rsid w:val="00750F68"/>
    <w:rsid w:val="007514B0"/>
    <w:rsid w:val="007516F0"/>
    <w:rsid w:val="00751AB5"/>
    <w:rsid w:val="00751EE0"/>
    <w:rsid w:val="00752109"/>
    <w:rsid w:val="0075235E"/>
    <w:rsid w:val="007525C2"/>
    <w:rsid w:val="00752697"/>
    <w:rsid w:val="00752A5E"/>
    <w:rsid w:val="00752D7D"/>
    <w:rsid w:val="00752FDA"/>
    <w:rsid w:val="0075382D"/>
    <w:rsid w:val="00753A99"/>
    <w:rsid w:val="00753B12"/>
    <w:rsid w:val="00753E3E"/>
    <w:rsid w:val="00753F13"/>
    <w:rsid w:val="00754C06"/>
    <w:rsid w:val="00754EBE"/>
    <w:rsid w:val="00754F0E"/>
    <w:rsid w:val="007550AB"/>
    <w:rsid w:val="007552CC"/>
    <w:rsid w:val="007554BC"/>
    <w:rsid w:val="00755562"/>
    <w:rsid w:val="00756138"/>
    <w:rsid w:val="007563B6"/>
    <w:rsid w:val="007564FB"/>
    <w:rsid w:val="0075669C"/>
    <w:rsid w:val="007567B6"/>
    <w:rsid w:val="00756808"/>
    <w:rsid w:val="007568A6"/>
    <w:rsid w:val="00756935"/>
    <w:rsid w:val="0075699D"/>
    <w:rsid w:val="00756A3D"/>
    <w:rsid w:val="00756B9D"/>
    <w:rsid w:val="00756C44"/>
    <w:rsid w:val="00756D87"/>
    <w:rsid w:val="00757021"/>
    <w:rsid w:val="007577E3"/>
    <w:rsid w:val="00757B22"/>
    <w:rsid w:val="007600AC"/>
    <w:rsid w:val="00760230"/>
    <w:rsid w:val="0076057E"/>
    <w:rsid w:val="00760EE0"/>
    <w:rsid w:val="0076157E"/>
    <w:rsid w:val="0076174B"/>
    <w:rsid w:val="00761754"/>
    <w:rsid w:val="00761B67"/>
    <w:rsid w:val="00761D09"/>
    <w:rsid w:val="0076224E"/>
    <w:rsid w:val="0076234C"/>
    <w:rsid w:val="00762442"/>
    <w:rsid w:val="00762844"/>
    <w:rsid w:val="007629C6"/>
    <w:rsid w:val="00762BDE"/>
    <w:rsid w:val="00762C39"/>
    <w:rsid w:val="00762DCE"/>
    <w:rsid w:val="00762E6C"/>
    <w:rsid w:val="00763105"/>
    <w:rsid w:val="0076310F"/>
    <w:rsid w:val="00763325"/>
    <w:rsid w:val="007633E9"/>
    <w:rsid w:val="0076347B"/>
    <w:rsid w:val="0076347F"/>
    <w:rsid w:val="0076399F"/>
    <w:rsid w:val="00763CB5"/>
    <w:rsid w:val="00763E5D"/>
    <w:rsid w:val="00763FA4"/>
    <w:rsid w:val="00763FEC"/>
    <w:rsid w:val="007647A2"/>
    <w:rsid w:val="0076489C"/>
    <w:rsid w:val="00764976"/>
    <w:rsid w:val="00764E9A"/>
    <w:rsid w:val="007650D5"/>
    <w:rsid w:val="0076533C"/>
    <w:rsid w:val="007653DA"/>
    <w:rsid w:val="007653ED"/>
    <w:rsid w:val="00765408"/>
    <w:rsid w:val="0076540E"/>
    <w:rsid w:val="007655AB"/>
    <w:rsid w:val="00765702"/>
    <w:rsid w:val="00765804"/>
    <w:rsid w:val="007658D0"/>
    <w:rsid w:val="0076594F"/>
    <w:rsid w:val="00765C35"/>
    <w:rsid w:val="00765DDE"/>
    <w:rsid w:val="0076611E"/>
    <w:rsid w:val="0076614E"/>
    <w:rsid w:val="00766962"/>
    <w:rsid w:val="00766BB3"/>
    <w:rsid w:val="00766BB8"/>
    <w:rsid w:val="00766D73"/>
    <w:rsid w:val="007679EC"/>
    <w:rsid w:val="00767EEB"/>
    <w:rsid w:val="007701AF"/>
    <w:rsid w:val="00770518"/>
    <w:rsid w:val="0077061C"/>
    <w:rsid w:val="00770883"/>
    <w:rsid w:val="007708D5"/>
    <w:rsid w:val="007710F8"/>
    <w:rsid w:val="007711F2"/>
    <w:rsid w:val="00771538"/>
    <w:rsid w:val="007715B0"/>
    <w:rsid w:val="007716E5"/>
    <w:rsid w:val="00771B16"/>
    <w:rsid w:val="00771B90"/>
    <w:rsid w:val="00771F75"/>
    <w:rsid w:val="0077207F"/>
    <w:rsid w:val="007724F5"/>
    <w:rsid w:val="007725CA"/>
    <w:rsid w:val="0077266D"/>
    <w:rsid w:val="0077277D"/>
    <w:rsid w:val="007729A7"/>
    <w:rsid w:val="007729F0"/>
    <w:rsid w:val="00772D54"/>
    <w:rsid w:val="00772DA1"/>
    <w:rsid w:val="00772F26"/>
    <w:rsid w:val="00773233"/>
    <w:rsid w:val="00773368"/>
    <w:rsid w:val="007734B9"/>
    <w:rsid w:val="0077367F"/>
    <w:rsid w:val="007736CD"/>
    <w:rsid w:val="00773725"/>
    <w:rsid w:val="0077375E"/>
    <w:rsid w:val="00773ACF"/>
    <w:rsid w:val="00773EB0"/>
    <w:rsid w:val="00773F13"/>
    <w:rsid w:val="00773F51"/>
    <w:rsid w:val="00773FE4"/>
    <w:rsid w:val="00774048"/>
    <w:rsid w:val="007740E8"/>
    <w:rsid w:val="00774196"/>
    <w:rsid w:val="00774633"/>
    <w:rsid w:val="007746FA"/>
    <w:rsid w:val="00774709"/>
    <w:rsid w:val="00774A63"/>
    <w:rsid w:val="00774C98"/>
    <w:rsid w:val="00774CD8"/>
    <w:rsid w:val="00775894"/>
    <w:rsid w:val="0077594B"/>
    <w:rsid w:val="00775C90"/>
    <w:rsid w:val="007762A9"/>
    <w:rsid w:val="007766BB"/>
    <w:rsid w:val="00776923"/>
    <w:rsid w:val="00776A2B"/>
    <w:rsid w:val="00776B0F"/>
    <w:rsid w:val="00776B75"/>
    <w:rsid w:val="00776C8B"/>
    <w:rsid w:val="00776D68"/>
    <w:rsid w:val="00776DD1"/>
    <w:rsid w:val="007771E1"/>
    <w:rsid w:val="00777E66"/>
    <w:rsid w:val="00780165"/>
    <w:rsid w:val="007803E5"/>
    <w:rsid w:val="00780775"/>
    <w:rsid w:val="007807BB"/>
    <w:rsid w:val="00780831"/>
    <w:rsid w:val="00780A78"/>
    <w:rsid w:val="00780B62"/>
    <w:rsid w:val="00780BF2"/>
    <w:rsid w:val="00780FA9"/>
    <w:rsid w:val="0078130C"/>
    <w:rsid w:val="0078133F"/>
    <w:rsid w:val="0078141B"/>
    <w:rsid w:val="007819C2"/>
    <w:rsid w:val="00781B91"/>
    <w:rsid w:val="00781DD2"/>
    <w:rsid w:val="00781DDA"/>
    <w:rsid w:val="00782274"/>
    <w:rsid w:val="0078241F"/>
    <w:rsid w:val="00782BBB"/>
    <w:rsid w:val="00782BF7"/>
    <w:rsid w:val="00782E92"/>
    <w:rsid w:val="007833A0"/>
    <w:rsid w:val="00783A27"/>
    <w:rsid w:val="00783FD4"/>
    <w:rsid w:val="00784014"/>
    <w:rsid w:val="00784032"/>
    <w:rsid w:val="00784198"/>
    <w:rsid w:val="007841B0"/>
    <w:rsid w:val="00784353"/>
    <w:rsid w:val="00784497"/>
    <w:rsid w:val="007844AE"/>
    <w:rsid w:val="00784A6A"/>
    <w:rsid w:val="00784B82"/>
    <w:rsid w:val="00784B9D"/>
    <w:rsid w:val="00784D95"/>
    <w:rsid w:val="00784EF9"/>
    <w:rsid w:val="00784F6B"/>
    <w:rsid w:val="00784F86"/>
    <w:rsid w:val="00785246"/>
    <w:rsid w:val="0078543C"/>
    <w:rsid w:val="0078557B"/>
    <w:rsid w:val="007855A2"/>
    <w:rsid w:val="007856BB"/>
    <w:rsid w:val="00785A28"/>
    <w:rsid w:val="00785C05"/>
    <w:rsid w:val="00785D67"/>
    <w:rsid w:val="00785E03"/>
    <w:rsid w:val="00786094"/>
    <w:rsid w:val="007865D0"/>
    <w:rsid w:val="007867E1"/>
    <w:rsid w:val="0078681C"/>
    <w:rsid w:val="00786903"/>
    <w:rsid w:val="00786B47"/>
    <w:rsid w:val="007870DC"/>
    <w:rsid w:val="00787395"/>
    <w:rsid w:val="00787776"/>
    <w:rsid w:val="00787855"/>
    <w:rsid w:val="00787AD8"/>
    <w:rsid w:val="00790062"/>
    <w:rsid w:val="007901B3"/>
    <w:rsid w:val="007902E1"/>
    <w:rsid w:val="0079031F"/>
    <w:rsid w:val="00790726"/>
    <w:rsid w:val="007907F9"/>
    <w:rsid w:val="00790D7A"/>
    <w:rsid w:val="00790E01"/>
    <w:rsid w:val="00790F71"/>
    <w:rsid w:val="007910CC"/>
    <w:rsid w:val="00791403"/>
    <w:rsid w:val="00791BFD"/>
    <w:rsid w:val="00791E40"/>
    <w:rsid w:val="00791E7E"/>
    <w:rsid w:val="00791F85"/>
    <w:rsid w:val="00792793"/>
    <w:rsid w:val="0079295E"/>
    <w:rsid w:val="00792B1E"/>
    <w:rsid w:val="00792CA0"/>
    <w:rsid w:val="00792E04"/>
    <w:rsid w:val="00792E29"/>
    <w:rsid w:val="00792E32"/>
    <w:rsid w:val="00792E6B"/>
    <w:rsid w:val="0079305A"/>
    <w:rsid w:val="007930A3"/>
    <w:rsid w:val="00793D2A"/>
    <w:rsid w:val="00793E4E"/>
    <w:rsid w:val="00794062"/>
    <w:rsid w:val="007941FA"/>
    <w:rsid w:val="007942ED"/>
    <w:rsid w:val="00794606"/>
    <w:rsid w:val="00794804"/>
    <w:rsid w:val="007948A2"/>
    <w:rsid w:val="00794961"/>
    <w:rsid w:val="007949AA"/>
    <w:rsid w:val="00794A91"/>
    <w:rsid w:val="00794B85"/>
    <w:rsid w:val="00794B8D"/>
    <w:rsid w:val="00794C97"/>
    <w:rsid w:val="00794DD5"/>
    <w:rsid w:val="00795131"/>
    <w:rsid w:val="00795957"/>
    <w:rsid w:val="007959B6"/>
    <w:rsid w:val="00795BEC"/>
    <w:rsid w:val="00795CCA"/>
    <w:rsid w:val="00795D8F"/>
    <w:rsid w:val="00795E50"/>
    <w:rsid w:val="00795FA9"/>
    <w:rsid w:val="00796045"/>
    <w:rsid w:val="007962BB"/>
    <w:rsid w:val="007963D4"/>
    <w:rsid w:val="00796496"/>
    <w:rsid w:val="00796629"/>
    <w:rsid w:val="007969C8"/>
    <w:rsid w:val="00796AA5"/>
    <w:rsid w:val="00796E64"/>
    <w:rsid w:val="00796F60"/>
    <w:rsid w:val="00796FE4"/>
    <w:rsid w:val="007974B8"/>
    <w:rsid w:val="0079761F"/>
    <w:rsid w:val="0079799C"/>
    <w:rsid w:val="00797C19"/>
    <w:rsid w:val="00797D62"/>
    <w:rsid w:val="007A01B2"/>
    <w:rsid w:val="007A04F8"/>
    <w:rsid w:val="007A0988"/>
    <w:rsid w:val="007A0D69"/>
    <w:rsid w:val="007A13CB"/>
    <w:rsid w:val="007A1421"/>
    <w:rsid w:val="007A152C"/>
    <w:rsid w:val="007A192C"/>
    <w:rsid w:val="007A199B"/>
    <w:rsid w:val="007A1C89"/>
    <w:rsid w:val="007A21E6"/>
    <w:rsid w:val="007A22EF"/>
    <w:rsid w:val="007A2318"/>
    <w:rsid w:val="007A2429"/>
    <w:rsid w:val="007A265B"/>
    <w:rsid w:val="007A2D40"/>
    <w:rsid w:val="007A2E0D"/>
    <w:rsid w:val="007A306F"/>
    <w:rsid w:val="007A30BA"/>
    <w:rsid w:val="007A3366"/>
    <w:rsid w:val="007A3393"/>
    <w:rsid w:val="007A3429"/>
    <w:rsid w:val="007A34E3"/>
    <w:rsid w:val="007A36E1"/>
    <w:rsid w:val="007A3C22"/>
    <w:rsid w:val="007A3D87"/>
    <w:rsid w:val="007A42C5"/>
    <w:rsid w:val="007A467E"/>
    <w:rsid w:val="007A472C"/>
    <w:rsid w:val="007A4A4D"/>
    <w:rsid w:val="007A4BD2"/>
    <w:rsid w:val="007A51C3"/>
    <w:rsid w:val="007A53B5"/>
    <w:rsid w:val="007A542C"/>
    <w:rsid w:val="007A551A"/>
    <w:rsid w:val="007A5699"/>
    <w:rsid w:val="007A5756"/>
    <w:rsid w:val="007A6013"/>
    <w:rsid w:val="007A65FD"/>
    <w:rsid w:val="007A66F4"/>
    <w:rsid w:val="007A6724"/>
    <w:rsid w:val="007A6AE5"/>
    <w:rsid w:val="007A6F04"/>
    <w:rsid w:val="007A74F0"/>
    <w:rsid w:val="007A7AFB"/>
    <w:rsid w:val="007A7B4D"/>
    <w:rsid w:val="007A7DB2"/>
    <w:rsid w:val="007A7F05"/>
    <w:rsid w:val="007A7F36"/>
    <w:rsid w:val="007B0124"/>
    <w:rsid w:val="007B0629"/>
    <w:rsid w:val="007B0762"/>
    <w:rsid w:val="007B0BB0"/>
    <w:rsid w:val="007B11F0"/>
    <w:rsid w:val="007B15CE"/>
    <w:rsid w:val="007B1838"/>
    <w:rsid w:val="007B1899"/>
    <w:rsid w:val="007B19BB"/>
    <w:rsid w:val="007B1A78"/>
    <w:rsid w:val="007B1AF2"/>
    <w:rsid w:val="007B1B75"/>
    <w:rsid w:val="007B1EFA"/>
    <w:rsid w:val="007B1FF7"/>
    <w:rsid w:val="007B21D3"/>
    <w:rsid w:val="007B237C"/>
    <w:rsid w:val="007B2700"/>
    <w:rsid w:val="007B2748"/>
    <w:rsid w:val="007B29C4"/>
    <w:rsid w:val="007B2E55"/>
    <w:rsid w:val="007B2EF1"/>
    <w:rsid w:val="007B2FB1"/>
    <w:rsid w:val="007B2FBD"/>
    <w:rsid w:val="007B310B"/>
    <w:rsid w:val="007B314A"/>
    <w:rsid w:val="007B38AA"/>
    <w:rsid w:val="007B391D"/>
    <w:rsid w:val="007B39AE"/>
    <w:rsid w:val="007B3D42"/>
    <w:rsid w:val="007B3F42"/>
    <w:rsid w:val="007B409C"/>
    <w:rsid w:val="007B4261"/>
    <w:rsid w:val="007B44C8"/>
    <w:rsid w:val="007B4758"/>
    <w:rsid w:val="007B4A2F"/>
    <w:rsid w:val="007B4FFE"/>
    <w:rsid w:val="007B515B"/>
    <w:rsid w:val="007B523E"/>
    <w:rsid w:val="007B535C"/>
    <w:rsid w:val="007B5547"/>
    <w:rsid w:val="007B5571"/>
    <w:rsid w:val="007B5578"/>
    <w:rsid w:val="007B5A47"/>
    <w:rsid w:val="007B5CD4"/>
    <w:rsid w:val="007B5E2B"/>
    <w:rsid w:val="007B60F8"/>
    <w:rsid w:val="007B6340"/>
    <w:rsid w:val="007B6778"/>
    <w:rsid w:val="007B693A"/>
    <w:rsid w:val="007B6C0D"/>
    <w:rsid w:val="007B6CC2"/>
    <w:rsid w:val="007B6EB2"/>
    <w:rsid w:val="007B7231"/>
    <w:rsid w:val="007B78F2"/>
    <w:rsid w:val="007B7A36"/>
    <w:rsid w:val="007B7B96"/>
    <w:rsid w:val="007B7BCF"/>
    <w:rsid w:val="007B7D42"/>
    <w:rsid w:val="007C008A"/>
    <w:rsid w:val="007C03AF"/>
    <w:rsid w:val="007C03DC"/>
    <w:rsid w:val="007C04C6"/>
    <w:rsid w:val="007C07AA"/>
    <w:rsid w:val="007C08D8"/>
    <w:rsid w:val="007C0AD0"/>
    <w:rsid w:val="007C0B46"/>
    <w:rsid w:val="007C0C20"/>
    <w:rsid w:val="007C0DA9"/>
    <w:rsid w:val="007C0EB0"/>
    <w:rsid w:val="007C0ED1"/>
    <w:rsid w:val="007C1760"/>
    <w:rsid w:val="007C1783"/>
    <w:rsid w:val="007C1FED"/>
    <w:rsid w:val="007C267A"/>
    <w:rsid w:val="007C26B7"/>
    <w:rsid w:val="007C26F7"/>
    <w:rsid w:val="007C27DE"/>
    <w:rsid w:val="007C2B1A"/>
    <w:rsid w:val="007C2CF4"/>
    <w:rsid w:val="007C2EAE"/>
    <w:rsid w:val="007C3081"/>
    <w:rsid w:val="007C31B8"/>
    <w:rsid w:val="007C343E"/>
    <w:rsid w:val="007C35D6"/>
    <w:rsid w:val="007C3795"/>
    <w:rsid w:val="007C3A56"/>
    <w:rsid w:val="007C3C88"/>
    <w:rsid w:val="007C3D8C"/>
    <w:rsid w:val="007C42BE"/>
    <w:rsid w:val="007C42D8"/>
    <w:rsid w:val="007C42F1"/>
    <w:rsid w:val="007C43E4"/>
    <w:rsid w:val="007C47C1"/>
    <w:rsid w:val="007C48B4"/>
    <w:rsid w:val="007C4A0A"/>
    <w:rsid w:val="007C4AD9"/>
    <w:rsid w:val="007C4B94"/>
    <w:rsid w:val="007C4BD4"/>
    <w:rsid w:val="007C4F77"/>
    <w:rsid w:val="007C4F93"/>
    <w:rsid w:val="007C5290"/>
    <w:rsid w:val="007C5677"/>
    <w:rsid w:val="007C56E0"/>
    <w:rsid w:val="007C5E7D"/>
    <w:rsid w:val="007C5F80"/>
    <w:rsid w:val="007C6071"/>
    <w:rsid w:val="007C61E5"/>
    <w:rsid w:val="007C6435"/>
    <w:rsid w:val="007C65E9"/>
    <w:rsid w:val="007C6615"/>
    <w:rsid w:val="007C67DD"/>
    <w:rsid w:val="007C68E3"/>
    <w:rsid w:val="007C6B35"/>
    <w:rsid w:val="007C6BC1"/>
    <w:rsid w:val="007C6C8D"/>
    <w:rsid w:val="007C6FDC"/>
    <w:rsid w:val="007C70D4"/>
    <w:rsid w:val="007C72DD"/>
    <w:rsid w:val="007C73C2"/>
    <w:rsid w:val="007C754C"/>
    <w:rsid w:val="007C75C7"/>
    <w:rsid w:val="007C7645"/>
    <w:rsid w:val="007C7944"/>
    <w:rsid w:val="007C7B30"/>
    <w:rsid w:val="007C7C55"/>
    <w:rsid w:val="007C7D12"/>
    <w:rsid w:val="007C7FB4"/>
    <w:rsid w:val="007C7FDE"/>
    <w:rsid w:val="007D0213"/>
    <w:rsid w:val="007D03CB"/>
    <w:rsid w:val="007D04AB"/>
    <w:rsid w:val="007D0A26"/>
    <w:rsid w:val="007D0AFD"/>
    <w:rsid w:val="007D0B0D"/>
    <w:rsid w:val="007D0C29"/>
    <w:rsid w:val="007D0D8C"/>
    <w:rsid w:val="007D1256"/>
    <w:rsid w:val="007D127F"/>
    <w:rsid w:val="007D188D"/>
    <w:rsid w:val="007D190D"/>
    <w:rsid w:val="007D1A97"/>
    <w:rsid w:val="007D1C81"/>
    <w:rsid w:val="007D2033"/>
    <w:rsid w:val="007D22BC"/>
    <w:rsid w:val="007D24C0"/>
    <w:rsid w:val="007D2F57"/>
    <w:rsid w:val="007D3419"/>
    <w:rsid w:val="007D342D"/>
    <w:rsid w:val="007D348F"/>
    <w:rsid w:val="007D367F"/>
    <w:rsid w:val="007D3FBD"/>
    <w:rsid w:val="007D4653"/>
    <w:rsid w:val="007D5153"/>
    <w:rsid w:val="007D51AB"/>
    <w:rsid w:val="007D51B2"/>
    <w:rsid w:val="007D5214"/>
    <w:rsid w:val="007D5503"/>
    <w:rsid w:val="007D5519"/>
    <w:rsid w:val="007D58C7"/>
    <w:rsid w:val="007D5A90"/>
    <w:rsid w:val="007D5FCF"/>
    <w:rsid w:val="007D64EA"/>
    <w:rsid w:val="007D66E4"/>
    <w:rsid w:val="007D6714"/>
    <w:rsid w:val="007D697C"/>
    <w:rsid w:val="007D6F47"/>
    <w:rsid w:val="007D7019"/>
    <w:rsid w:val="007D7855"/>
    <w:rsid w:val="007D7973"/>
    <w:rsid w:val="007D7980"/>
    <w:rsid w:val="007D7BF4"/>
    <w:rsid w:val="007D7F17"/>
    <w:rsid w:val="007E0079"/>
    <w:rsid w:val="007E02C2"/>
    <w:rsid w:val="007E03C0"/>
    <w:rsid w:val="007E0B41"/>
    <w:rsid w:val="007E0BE9"/>
    <w:rsid w:val="007E0F42"/>
    <w:rsid w:val="007E0F8A"/>
    <w:rsid w:val="007E0FBC"/>
    <w:rsid w:val="007E1026"/>
    <w:rsid w:val="007E1076"/>
    <w:rsid w:val="007E1098"/>
    <w:rsid w:val="007E1621"/>
    <w:rsid w:val="007E16DD"/>
    <w:rsid w:val="007E16EB"/>
    <w:rsid w:val="007E1E2C"/>
    <w:rsid w:val="007E2034"/>
    <w:rsid w:val="007E2378"/>
    <w:rsid w:val="007E275A"/>
    <w:rsid w:val="007E2836"/>
    <w:rsid w:val="007E2CDF"/>
    <w:rsid w:val="007E2D45"/>
    <w:rsid w:val="007E31F5"/>
    <w:rsid w:val="007E3201"/>
    <w:rsid w:val="007E352A"/>
    <w:rsid w:val="007E37DD"/>
    <w:rsid w:val="007E397A"/>
    <w:rsid w:val="007E3E7D"/>
    <w:rsid w:val="007E3EC9"/>
    <w:rsid w:val="007E4238"/>
    <w:rsid w:val="007E435E"/>
    <w:rsid w:val="007E44BD"/>
    <w:rsid w:val="007E4792"/>
    <w:rsid w:val="007E4968"/>
    <w:rsid w:val="007E4A6A"/>
    <w:rsid w:val="007E4B19"/>
    <w:rsid w:val="007E4B60"/>
    <w:rsid w:val="007E4BE6"/>
    <w:rsid w:val="007E4C15"/>
    <w:rsid w:val="007E5228"/>
    <w:rsid w:val="007E562B"/>
    <w:rsid w:val="007E568A"/>
    <w:rsid w:val="007E575A"/>
    <w:rsid w:val="007E587D"/>
    <w:rsid w:val="007E5A23"/>
    <w:rsid w:val="007E5AB3"/>
    <w:rsid w:val="007E5BF5"/>
    <w:rsid w:val="007E5C15"/>
    <w:rsid w:val="007E5DCC"/>
    <w:rsid w:val="007E5FA4"/>
    <w:rsid w:val="007E694D"/>
    <w:rsid w:val="007E6F37"/>
    <w:rsid w:val="007E7048"/>
    <w:rsid w:val="007E7085"/>
    <w:rsid w:val="007E735F"/>
    <w:rsid w:val="007E7491"/>
    <w:rsid w:val="007E791C"/>
    <w:rsid w:val="007E7AB0"/>
    <w:rsid w:val="007E7D93"/>
    <w:rsid w:val="007E7DBC"/>
    <w:rsid w:val="007F02D7"/>
    <w:rsid w:val="007F0C5B"/>
    <w:rsid w:val="007F0D03"/>
    <w:rsid w:val="007F0FB1"/>
    <w:rsid w:val="007F160C"/>
    <w:rsid w:val="007F2027"/>
    <w:rsid w:val="007F2087"/>
    <w:rsid w:val="007F25C2"/>
    <w:rsid w:val="007F264B"/>
    <w:rsid w:val="007F2C01"/>
    <w:rsid w:val="007F2C23"/>
    <w:rsid w:val="007F2C5A"/>
    <w:rsid w:val="007F2F17"/>
    <w:rsid w:val="007F313C"/>
    <w:rsid w:val="007F3265"/>
    <w:rsid w:val="007F3793"/>
    <w:rsid w:val="007F3A09"/>
    <w:rsid w:val="007F3AE1"/>
    <w:rsid w:val="007F3B80"/>
    <w:rsid w:val="007F3CBE"/>
    <w:rsid w:val="007F40F4"/>
    <w:rsid w:val="007F415B"/>
    <w:rsid w:val="007F44DC"/>
    <w:rsid w:val="007F46E2"/>
    <w:rsid w:val="007F4752"/>
    <w:rsid w:val="007F4828"/>
    <w:rsid w:val="007F4ABF"/>
    <w:rsid w:val="007F4B41"/>
    <w:rsid w:val="007F4D1A"/>
    <w:rsid w:val="007F4EE6"/>
    <w:rsid w:val="007F4F94"/>
    <w:rsid w:val="007F4FF2"/>
    <w:rsid w:val="007F5081"/>
    <w:rsid w:val="007F51B0"/>
    <w:rsid w:val="007F58C2"/>
    <w:rsid w:val="007F5B74"/>
    <w:rsid w:val="007F5D09"/>
    <w:rsid w:val="007F602B"/>
    <w:rsid w:val="007F60A5"/>
    <w:rsid w:val="007F61ED"/>
    <w:rsid w:val="007F6243"/>
    <w:rsid w:val="007F635C"/>
    <w:rsid w:val="007F64E6"/>
    <w:rsid w:val="007F669D"/>
    <w:rsid w:val="007F66BA"/>
    <w:rsid w:val="007F6AED"/>
    <w:rsid w:val="007F7482"/>
    <w:rsid w:val="007F7860"/>
    <w:rsid w:val="007F78E1"/>
    <w:rsid w:val="007F797B"/>
    <w:rsid w:val="007F7A8C"/>
    <w:rsid w:val="007F7AFE"/>
    <w:rsid w:val="007F7C3D"/>
    <w:rsid w:val="007F7D8E"/>
    <w:rsid w:val="0080001F"/>
    <w:rsid w:val="0080008F"/>
    <w:rsid w:val="008002E5"/>
    <w:rsid w:val="008002F6"/>
    <w:rsid w:val="008005C8"/>
    <w:rsid w:val="00800613"/>
    <w:rsid w:val="008006BE"/>
    <w:rsid w:val="008007E9"/>
    <w:rsid w:val="0080090C"/>
    <w:rsid w:val="00800A99"/>
    <w:rsid w:val="00800DE5"/>
    <w:rsid w:val="00800F37"/>
    <w:rsid w:val="008011F1"/>
    <w:rsid w:val="00801B36"/>
    <w:rsid w:val="00801C32"/>
    <w:rsid w:val="00801D0A"/>
    <w:rsid w:val="00801E80"/>
    <w:rsid w:val="008021FC"/>
    <w:rsid w:val="008023C7"/>
    <w:rsid w:val="00803033"/>
    <w:rsid w:val="0080325D"/>
    <w:rsid w:val="00803319"/>
    <w:rsid w:val="008033E0"/>
    <w:rsid w:val="008036E9"/>
    <w:rsid w:val="008037FF"/>
    <w:rsid w:val="0080397A"/>
    <w:rsid w:val="00803A60"/>
    <w:rsid w:val="00803D65"/>
    <w:rsid w:val="00804077"/>
    <w:rsid w:val="00804197"/>
    <w:rsid w:val="0080446F"/>
    <w:rsid w:val="0080447F"/>
    <w:rsid w:val="008048CF"/>
    <w:rsid w:val="00804BF7"/>
    <w:rsid w:val="008050D5"/>
    <w:rsid w:val="00805471"/>
    <w:rsid w:val="0080585D"/>
    <w:rsid w:val="008059FB"/>
    <w:rsid w:val="00805BE3"/>
    <w:rsid w:val="00805C3F"/>
    <w:rsid w:val="00805E66"/>
    <w:rsid w:val="00805F71"/>
    <w:rsid w:val="008065C9"/>
    <w:rsid w:val="00806612"/>
    <w:rsid w:val="00806815"/>
    <w:rsid w:val="00806CC5"/>
    <w:rsid w:val="00806D70"/>
    <w:rsid w:val="00807054"/>
    <w:rsid w:val="0080710D"/>
    <w:rsid w:val="0080728A"/>
    <w:rsid w:val="00807422"/>
    <w:rsid w:val="00810064"/>
    <w:rsid w:val="00810082"/>
    <w:rsid w:val="008100A1"/>
    <w:rsid w:val="00810154"/>
    <w:rsid w:val="00810195"/>
    <w:rsid w:val="008101A5"/>
    <w:rsid w:val="00810236"/>
    <w:rsid w:val="00810CE2"/>
    <w:rsid w:val="008113F9"/>
    <w:rsid w:val="00811A89"/>
    <w:rsid w:val="00811EC0"/>
    <w:rsid w:val="0081223B"/>
    <w:rsid w:val="008122AD"/>
    <w:rsid w:val="0081263E"/>
    <w:rsid w:val="008126DB"/>
    <w:rsid w:val="00812941"/>
    <w:rsid w:val="00812FE4"/>
    <w:rsid w:val="00813617"/>
    <w:rsid w:val="00813C55"/>
    <w:rsid w:val="00813DBC"/>
    <w:rsid w:val="00813F7A"/>
    <w:rsid w:val="008142B4"/>
    <w:rsid w:val="008146EA"/>
    <w:rsid w:val="008148BA"/>
    <w:rsid w:val="00814B41"/>
    <w:rsid w:val="00814D4E"/>
    <w:rsid w:val="00814DE6"/>
    <w:rsid w:val="00814EAE"/>
    <w:rsid w:val="00814F9C"/>
    <w:rsid w:val="00815A29"/>
    <w:rsid w:val="00815B79"/>
    <w:rsid w:val="00815BA3"/>
    <w:rsid w:val="00815C30"/>
    <w:rsid w:val="00816536"/>
    <w:rsid w:val="00816672"/>
    <w:rsid w:val="00816920"/>
    <w:rsid w:val="00816F9E"/>
    <w:rsid w:val="00817528"/>
    <w:rsid w:val="00817954"/>
    <w:rsid w:val="0081798B"/>
    <w:rsid w:val="00817FF7"/>
    <w:rsid w:val="00820050"/>
    <w:rsid w:val="00820375"/>
    <w:rsid w:val="008203B9"/>
    <w:rsid w:val="008203C3"/>
    <w:rsid w:val="0082046D"/>
    <w:rsid w:val="00820499"/>
    <w:rsid w:val="008208BC"/>
    <w:rsid w:val="00820A39"/>
    <w:rsid w:val="0082107B"/>
    <w:rsid w:val="008210FE"/>
    <w:rsid w:val="00821123"/>
    <w:rsid w:val="00821C1E"/>
    <w:rsid w:val="00821DA4"/>
    <w:rsid w:val="00821DB0"/>
    <w:rsid w:val="00821F18"/>
    <w:rsid w:val="00822164"/>
    <w:rsid w:val="00822216"/>
    <w:rsid w:val="00822768"/>
    <w:rsid w:val="00822864"/>
    <w:rsid w:val="00822970"/>
    <w:rsid w:val="00822995"/>
    <w:rsid w:val="00822B51"/>
    <w:rsid w:val="00822C7D"/>
    <w:rsid w:val="00822DC8"/>
    <w:rsid w:val="00822F59"/>
    <w:rsid w:val="00822F90"/>
    <w:rsid w:val="00822FC7"/>
    <w:rsid w:val="00822FE1"/>
    <w:rsid w:val="00823173"/>
    <w:rsid w:val="00823213"/>
    <w:rsid w:val="0082382E"/>
    <w:rsid w:val="008239B3"/>
    <w:rsid w:val="00823A83"/>
    <w:rsid w:val="00823B43"/>
    <w:rsid w:val="00823D1A"/>
    <w:rsid w:val="00823FA7"/>
    <w:rsid w:val="0082413C"/>
    <w:rsid w:val="00824232"/>
    <w:rsid w:val="00824586"/>
    <w:rsid w:val="00824693"/>
    <w:rsid w:val="008247C5"/>
    <w:rsid w:val="00824806"/>
    <w:rsid w:val="00824918"/>
    <w:rsid w:val="00824B2B"/>
    <w:rsid w:val="00824B93"/>
    <w:rsid w:val="00825105"/>
    <w:rsid w:val="00825188"/>
    <w:rsid w:val="00825214"/>
    <w:rsid w:val="00825CB7"/>
    <w:rsid w:val="00825D40"/>
    <w:rsid w:val="00825E9A"/>
    <w:rsid w:val="0082601C"/>
    <w:rsid w:val="00826403"/>
    <w:rsid w:val="00826899"/>
    <w:rsid w:val="00827009"/>
    <w:rsid w:val="00827047"/>
    <w:rsid w:val="008272EE"/>
    <w:rsid w:val="00827816"/>
    <w:rsid w:val="00827AF1"/>
    <w:rsid w:val="00827B8A"/>
    <w:rsid w:val="00827D05"/>
    <w:rsid w:val="00827D39"/>
    <w:rsid w:val="00827FFD"/>
    <w:rsid w:val="0083050E"/>
    <w:rsid w:val="0083071C"/>
    <w:rsid w:val="008308CC"/>
    <w:rsid w:val="008309C9"/>
    <w:rsid w:val="00830BA7"/>
    <w:rsid w:val="00830C9C"/>
    <w:rsid w:val="00830D76"/>
    <w:rsid w:val="00830DA7"/>
    <w:rsid w:val="00830E1D"/>
    <w:rsid w:val="00830E9C"/>
    <w:rsid w:val="008310D8"/>
    <w:rsid w:val="0083134F"/>
    <w:rsid w:val="008314B3"/>
    <w:rsid w:val="0083165D"/>
    <w:rsid w:val="008316CA"/>
    <w:rsid w:val="008316EF"/>
    <w:rsid w:val="008318DE"/>
    <w:rsid w:val="0083197E"/>
    <w:rsid w:val="008319C2"/>
    <w:rsid w:val="008319CE"/>
    <w:rsid w:val="0083213D"/>
    <w:rsid w:val="0083228D"/>
    <w:rsid w:val="00832B03"/>
    <w:rsid w:val="00832EA7"/>
    <w:rsid w:val="0083306F"/>
    <w:rsid w:val="00833154"/>
    <w:rsid w:val="00833336"/>
    <w:rsid w:val="00833430"/>
    <w:rsid w:val="00833A60"/>
    <w:rsid w:val="00833ECF"/>
    <w:rsid w:val="008340AA"/>
    <w:rsid w:val="0083416D"/>
    <w:rsid w:val="00834760"/>
    <w:rsid w:val="008347F7"/>
    <w:rsid w:val="008348A1"/>
    <w:rsid w:val="00834993"/>
    <w:rsid w:val="00834AE9"/>
    <w:rsid w:val="00834B98"/>
    <w:rsid w:val="00834BC6"/>
    <w:rsid w:val="00834DB6"/>
    <w:rsid w:val="00834FDA"/>
    <w:rsid w:val="008350CD"/>
    <w:rsid w:val="00835A69"/>
    <w:rsid w:val="00835A77"/>
    <w:rsid w:val="00835CFF"/>
    <w:rsid w:val="00835F20"/>
    <w:rsid w:val="00835FBB"/>
    <w:rsid w:val="00835FDF"/>
    <w:rsid w:val="00836596"/>
    <w:rsid w:val="0083665F"/>
    <w:rsid w:val="008366A9"/>
    <w:rsid w:val="00836BCA"/>
    <w:rsid w:val="00836E20"/>
    <w:rsid w:val="00837026"/>
    <w:rsid w:val="00837064"/>
    <w:rsid w:val="00837185"/>
    <w:rsid w:val="008372D4"/>
    <w:rsid w:val="00837324"/>
    <w:rsid w:val="00837560"/>
    <w:rsid w:val="008376D9"/>
    <w:rsid w:val="00837807"/>
    <w:rsid w:val="00837A1B"/>
    <w:rsid w:val="00837A99"/>
    <w:rsid w:val="00837B92"/>
    <w:rsid w:val="00837D1D"/>
    <w:rsid w:val="00837F1C"/>
    <w:rsid w:val="00840005"/>
    <w:rsid w:val="00840248"/>
    <w:rsid w:val="008402EF"/>
    <w:rsid w:val="0084030C"/>
    <w:rsid w:val="008408E5"/>
    <w:rsid w:val="00841047"/>
    <w:rsid w:val="00841416"/>
    <w:rsid w:val="00841646"/>
    <w:rsid w:val="008419EF"/>
    <w:rsid w:val="00841E40"/>
    <w:rsid w:val="0084220C"/>
    <w:rsid w:val="008424F5"/>
    <w:rsid w:val="00842608"/>
    <w:rsid w:val="008429D9"/>
    <w:rsid w:val="00842AE1"/>
    <w:rsid w:val="00842F0F"/>
    <w:rsid w:val="008434C8"/>
    <w:rsid w:val="008434CE"/>
    <w:rsid w:val="0084389C"/>
    <w:rsid w:val="008438DE"/>
    <w:rsid w:val="00843BB3"/>
    <w:rsid w:val="00843CD7"/>
    <w:rsid w:val="00843F7C"/>
    <w:rsid w:val="0084401D"/>
    <w:rsid w:val="008447CE"/>
    <w:rsid w:val="00844B85"/>
    <w:rsid w:val="00844C4B"/>
    <w:rsid w:val="00844D2E"/>
    <w:rsid w:val="00844F6F"/>
    <w:rsid w:val="008453BA"/>
    <w:rsid w:val="0084558D"/>
    <w:rsid w:val="008456FD"/>
    <w:rsid w:val="008458A6"/>
    <w:rsid w:val="00845A1D"/>
    <w:rsid w:val="00845B04"/>
    <w:rsid w:val="0084624B"/>
    <w:rsid w:val="00846265"/>
    <w:rsid w:val="008462D0"/>
    <w:rsid w:val="00846324"/>
    <w:rsid w:val="0084637D"/>
    <w:rsid w:val="00846550"/>
    <w:rsid w:val="008468E3"/>
    <w:rsid w:val="00846972"/>
    <w:rsid w:val="00846F28"/>
    <w:rsid w:val="00846F74"/>
    <w:rsid w:val="008473D7"/>
    <w:rsid w:val="0085051C"/>
    <w:rsid w:val="00850585"/>
    <w:rsid w:val="008508A7"/>
    <w:rsid w:val="00850C18"/>
    <w:rsid w:val="00850E09"/>
    <w:rsid w:val="00850E47"/>
    <w:rsid w:val="00850E49"/>
    <w:rsid w:val="00850F5B"/>
    <w:rsid w:val="0085119F"/>
    <w:rsid w:val="00851666"/>
    <w:rsid w:val="008518EE"/>
    <w:rsid w:val="00851956"/>
    <w:rsid w:val="008519B3"/>
    <w:rsid w:val="00851CAB"/>
    <w:rsid w:val="00851CC9"/>
    <w:rsid w:val="0085217A"/>
    <w:rsid w:val="008522E7"/>
    <w:rsid w:val="00852412"/>
    <w:rsid w:val="0085251A"/>
    <w:rsid w:val="00852648"/>
    <w:rsid w:val="008526DA"/>
    <w:rsid w:val="00852716"/>
    <w:rsid w:val="00852A18"/>
    <w:rsid w:val="0085335E"/>
    <w:rsid w:val="00853905"/>
    <w:rsid w:val="00853A2F"/>
    <w:rsid w:val="00853B9D"/>
    <w:rsid w:val="00853F1D"/>
    <w:rsid w:val="008544F7"/>
    <w:rsid w:val="0085469A"/>
    <w:rsid w:val="00854BFE"/>
    <w:rsid w:val="00854C8A"/>
    <w:rsid w:val="00854EC9"/>
    <w:rsid w:val="00854FF8"/>
    <w:rsid w:val="00855878"/>
    <w:rsid w:val="00855A9A"/>
    <w:rsid w:val="008560B8"/>
    <w:rsid w:val="00856116"/>
    <w:rsid w:val="00856184"/>
    <w:rsid w:val="0085666A"/>
    <w:rsid w:val="00856A0E"/>
    <w:rsid w:val="00856C12"/>
    <w:rsid w:val="00856CEA"/>
    <w:rsid w:val="00856EFA"/>
    <w:rsid w:val="008570CB"/>
    <w:rsid w:val="00857168"/>
    <w:rsid w:val="008574AD"/>
    <w:rsid w:val="008575BE"/>
    <w:rsid w:val="0085765A"/>
    <w:rsid w:val="0085770B"/>
    <w:rsid w:val="008579C6"/>
    <w:rsid w:val="00857DB3"/>
    <w:rsid w:val="0086008F"/>
    <w:rsid w:val="00860166"/>
    <w:rsid w:val="00860209"/>
    <w:rsid w:val="008603A9"/>
    <w:rsid w:val="008607D8"/>
    <w:rsid w:val="0086098C"/>
    <w:rsid w:val="00860A7B"/>
    <w:rsid w:val="00860BAD"/>
    <w:rsid w:val="0086109F"/>
    <w:rsid w:val="00861112"/>
    <w:rsid w:val="0086124A"/>
    <w:rsid w:val="008612A9"/>
    <w:rsid w:val="00861BD3"/>
    <w:rsid w:val="00861E85"/>
    <w:rsid w:val="00862032"/>
    <w:rsid w:val="00862047"/>
    <w:rsid w:val="0086220A"/>
    <w:rsid w:val="008623B7"/>
    <w:rsid w:val="008631CE"/>
    <w:rsid w:val="008632A3"/>
    <w:rsid w:val="0086336B"/>
    <w:rsid w:val="008634E6"/>
    <w:rsid w:val="00863942"/>
    <w:rsid w:val="00863C40"/>
    <w:rsid w:val="00863EF5"/>
    <w:rsid w:val="008640D3"/>
    <w:rsid w:val="0086443E"/>
    <w:rsid w:val="008644AB"/>
    <w:rsid w:val="008645C6"/>
    <w:rsid w:val="00864610"/>
    <w:rsid w:val="00864734"/>
    <w:rsid w:val="008647A2"/>
    <w:rsid w:val="0086498F"/>
    <w:rsid w:val="00864AEB"/>
    <w:rsid w:val="00864DE4"/>
    <w:rsid w:val="00865235"/>
    <w:rsid w:val="0086531E"/>
    <w:rsid w:val="00865490"/>
    <w:rsid w:val="00865526"/>
    <w:rsid w:val="00865CB9"/>
    <w:rsid w:val="00865F50"/>
    <w:rsid w:val="008660EC"/>
    <w:rsid w:val="00866731"/>
    <w:rsid w:val="00866759"/>
    <w:rsid w:val="00866B29"/>
    <w:rsid w:val="00866C79"/>
    <w:rsid w:val="00866DFA"/>
    <w:rsid w:val="008671DF"/>
    <w:rsid w:val="00867479"/>
    <w:rsid w:val="008675C9"/>
    <w:rsid w:val="008678E6"/>
    <w:rsid w:val="00867FD8"/>
    <w:rsid w:val="00870128"/>
    <w:rsid w:val="0087038A"/>
    <w:rsid w:val="00870882"/>
    <w:rsid w:val="00870D9C"/>
    <w:rsid w:val="00870EF0"/>
    <w:rsid w:val="0087139E"/>
    <w:rsid w:val="00871652"/>
    <w:rsid w:val="00871C29"/>
    <w:rsid w:val="00871FB1"/>
    <w:rsid w:val="008726C4"/>
    <w:rsid w:val="008726F0"/>
    <w:rsid w:val="00872878"/>
    <w:rsid w:val="00872D66"/>
    <w:rsid w:val="00872DE1"/>
    <w:rsid w:val="00872E52"/>
    <w:rsid w:val="00872E8E"/>
    <w:rsid w:val="00872FD2"/>
    <w:rsid w:val="008733E0"/>
    <w:rsid w:val="0087360A"/>
    <w:rsid w:val="00873686"/>
    <w:rsid w:val="00873806"/>
    <w:rsid w:val="008739E7"/>
    <w:rsid w:val="00873D35"/>
    <w:rsid w:val="00873E0F"/>
    <w:rsid w:val="0087486E"/>
    <w:rsid w:val="00874BC9"/>
    <w:rsid w:val="00874CA8"/>
    <w:rsid w:val="00874DD7"/>
    <w:rsid w:val="00874EE2"/>
    <w:rsid w:val="00875050"/>
    <w:rsid w:val="00875101"/>
    <w:rsid w:val="008751BB"/>
    <w:rsid w:val="00875338"/>
    <w:rsid w:val="0087534E"/>
    <w:rsid w:val="00875723"/>
    <w:rsid w:val="0087598D"/>
    <w:rsid w:val="008759E5"/>
    <w:rsid w:val="00875A07"/>
    <w:rsid w:val="00875B43"/>
    <w:rsid w:val="00875B6B"/>
    <w:rsid w:val="00875CC9"/>
    <w:rsid w:val="008761C8"/>
    <w:rsid w:val="00876341"/>
    <w:rsid w:val="008763B3"/>
    <w:rsid w:val="008763FE"/>
    <w:rsid w:val="0087676C"/>
    <w:rsid w:val="00876869"/>
    <w:rsid w:val="00876B93"/>
    <w:rsid w:val="00876DFD"/>
    <w:rsid w:val="00876E58"/>
    <w:rsid w:val="00876E93"/>
    <w:rsid w:val="008771B3"/>
    <w:rsid w:val="00877D3E"/>
    <w:rsid w:val="008801C5"/>
    <w:rsid w:val="008803B3"/>
    <w:rsid w:val="008804A1"/>
    <w:rsid w:val="00880501"/>
    <w:rsid w:val="008805F3"/>
    <w:rsid w:val="00880B3C"/>
    <w:rsid w:val="00880B52"/>
    <w:rsid w:val="0088153B"/>
    <w:rsid w:val="008815AA"/>
    <w:rsid w:val="00881638"/>
    <w:rsid w:val="00881AF4"/>
    <w:rsid w:val="00881AFA"/>
    <w:rsid w:val="0088204A"/>
    <w:rsid w:val="00882607"/>
    <w:rsid w:val="0088290D"/>
    <w:rsid w:val="00882AD1"/>
    <w:rsid w:val="00882CC0"/>
    <w:rsid w:val="00882CF4"/>
    <w:rsid w:val="00882D72"/>
    <w:rsid w:val="00882EAB"/>
    <w:rsid w:val="008833E5"/>
    <w:rsid w:val="00883762"/>
    <w:rsid w:val="008838F6"/>
    <w:rsid w:val="00883BB5"/>
    <w:rsid w:val="0088419B"/>
    <w:rsid w:val="00884494"/>
    <w:rsid w:val="00884792"/>
    <w:rsid w:val="008849BE"/>
    <w:rsid w:val="00884A28"/>
    <w:rsid w:val="00884A74"/>
    <w:rsid w:val="00884ACA"/>
    <w:rsid w:val="00884CCC"/>
    <w:rsid w:val="00884EB5"/>
    <w:rsid w:val="00885236"/>
    <w:rsid w:val="0088566D"/>
    <w:rsid w:val="00885679"/>
    <w:rsid w:val="008858C4"/>
    <w:rsid w:val="008859DC"/>
    <w:rsid w:val="00885A19"/>
    <w:rsid w:val="00885A6D"/>
    <w:rsid w:val="00885C53"/>
    <w:rsid w:val="00886578"/>
    <w:rsid w:val="00886675"/>
    <w:rsid w:val="0088673C"/>
    <w:rsid w:val="008869A6"/>
    <w:rsid w:val="00886EFF"/>
    <w:rsid w:val="008870F2"/>
    <w:rsid w:val="00887288"/>
    <w:rsid w:val="00887349"/>
    <w:rsid w:val="0088737E"/>
    <w:rsid w:val="0088749F"/>
    <w:rsid w:val="0088755E"/>
    <w:rsid w:val="008875EA"/>
    <w:rsid w:val="008877EE"/>
    <w:rsid w:val="00887FC6"/>
    <w:rsid w:val="008905BD"/>
    <w:rsid w:val="0089072E"/>
    <w:rsid w:val="008907F1"/>
    <w:rsid w:val="008909A5"/>
    <w:rsid w:val="00890AD3"/>
    <w:rsid w:val="00890C42"/>
    <w:rsid w:val="00890DC3"/>
    <w:rsid w:val="00890EA7"/>
    <w:rsid w:val="0089147D"/>
    <w:rsid w:val="00891870"/>
    <w:rsid w:val="00891BBD"/>
    <w:rsid w:val="008924B5"/>
    <w:rsid w:val="00892788"/>
    <w:rsid w:val="008928C8"/>
    <w:rsid w:val="00892965"/>
    <w:rsid w:val="00892A4A"/>
    <w:rsid w:val="00892DCD"/>
    <w:rsid w:val="00892E65"/>
    <w:rsid w:val="0089343B"/>
    <w:rsid w:val="00893795"/>
    <w:rsid w:val="008938C3"/>
    <w:rsid w:val="00893A4F"/>
    <w:rsid w:val="00893EA5"/>
    <w:rsid w:val="008941CE"/>
    <w:rsid w:val="00894A49"/>
    <w:rsid w:val="00894AD3"/>
    <w:rsid w:val="00894B31"/>
    <w:rsid w:val="00894DB2"/>
    <w:rsid w:val="00894E4D"/>
    <w:rsid w:val="00894F9A"/>
    <w:rsid w:val="00895384"/>
    <w:rsid w:val="008953DB"/>
    <w:rsid w:val="00895463"/>
    <w:rsid w:val="00895568"/>
    <w:rsid w:val="00895744"/>
    <w:rsid w:val="008958F9"/>
    <w:rsid w:val="00895A83"/>
    <w:rsid w:val="00895C9A"/>
    <w:rsid w:val="00895DCE"/>
    <w:rsid w:val="00895DE4"/>
    <w:rsid w:val="00895E16"/>
    <w:rsid w:val="008961D7"/>
    <w:rsid w:val="008965AB"/>
    <w:rsid w:val="00896659"/>
    <w:rsid w:val="00896BD0"/>
    <w:rsid w:val="00896D99"/>
    <w:rsid w:val="00896E9E"/>
    <w:rsid w:val="008971D3"/>
    <w:rsid w:val="008974B3"/>
    <w:rsid w:val="008978AE"/>
    <w:rsid w:val="00897D65"/>
    <w:rsid w:val="008A004D"/>
    <w:rsid w:val="008A011F"/>
    <w:rsid w:val="008A0D92"/>
    <w:rsid w:val="008A0D9B"/>
    <w:rsid w:val="008A1020"/>
    <w:rsid w:val="008A136F"/>
    <w:rsid w:val="008A1514"/>
    <w:rsid w:val="008A19ED"/>
    <w:rsid w:val="008A1C56"/>
    <w:rsid w:val="008A23C8"/>
    <w:rsid w:val="008A2455"/>
    <w:rsid w:val="008A2ADD"/>
    <w:rsid w:val="008A2E3E"/>
    <w:rsid w:val="008A2F38"/>
    <w:rsid w:val="008A35C4"/>
    <w:rsid w:val="008A35D1"/>
    <w:rsid w:val="008A3668"/>
    <w:rsid w:val="008A36DD"/>
    <w:rsid w:val="008A3CBE"/>
    <w:rsid w:val="008A3E2B"/>
    <w:rsid w:val="008A4040"/>
    <w:rsid w:val="008A40AD"/>
    <w:rsid w:val="008A43E7"/>
    <w:rsid w:val="008A4ABD"/>
    <w:rsid w:val="008A4CE3"/>
    <w:rsid w:val="008A4F8B"/>
    <w:rsid w:val="008A5296"/>
    <w:rsid w:val="008A53D7"/>
    <w:rsid w:val="008A53E0"/>
    <w:rsid w:val="008A5567"/>
    <w:rsid w:val="008A5A91"/>
    <w:rsid w:val="008A5AA7"/>
    <w:rsid w:val="008A5CB5"/>
    <w:rsid w:val="008A5D6E"/>
    <w:rsid w:val="008A6144"/>
    <w:rsid w:val="008A6456"/>
    <w:rsid w:val="008A6522"/>
    <w:rsid w:val="008A6ABB"/>
    <w:rsid w:val="008A6B35"/>
    <w:rsid w:val="008A6CA5"/>
    <w:rsid w:val="008A6E89"/>
    <w:rsid w:val="008A7124"/>
    <w:rsid w:val="008A74D1"/>
    <w:rsid w:val="008A7AEC"/>
    <w:rsid w:val="008A7BFE"/>
    <w:rsid w:val="008B045F"/>
    <w:rsid w:val="008B04AC"/>
    <w:rsid w:val="008B04D6"/>
    <w:rsid w:val="008B0E9E"/>
    <w:rsid w:val="008B1491"/>
    <w:rsid w:val="008B169F"/>
    <w:rsid w:val="008B1C2B"/>
    <w:rsid w:val="008B1D81"/>
    <w:rsid w:val="008B20E8"/>
    <w:rsid w:val="008B219B"/>
    <w:rsid w:val="008B2330"/>
    <w:rsid w:val="008B25FC"/>
    <w:rsid w:val="008B26FD"/>
    <w:rsid w:val="008B2A58"/>
    <w:rsid w:val="008B2E86"/>
    <w:rsid w:val="008B304B"/>
    <w:rsid w:val="008B3306"/>
    <w:rsid w:val="008B3311"/>
    <w:rsid w:val="008B352E"/>
    <w:rsid w:val="008B36AB"/>
    <w:rsid w:val="008B37B1"/>
    <w:rsid w:val="008B3849"/>
    <w:rsid w:val="008B3D07"/>
    <w:rsid w:val="008B3FEA"/>
    <w:rsid w:val="008B3FF8"/>
    <w:rsid w:val="008B4569"/>
    <w:rsid w:val="008B4812"/>
    <w:rsid w:val="008B4F52"/>
    <w:rsid w:val="008B5044"/>
    <w:rsid w:val="008B5607"/>
    <w:rsid w:val="008B56C6"/>
    <w:rsid w:val="008B56EA"/>
    <w:rsid w:val="008B57E1"/>
    <w:rsid w:val="008B5878"/>
    <w:rsid w:val="008B592C"/>
    <w:rsid w:val="008B593E"/>
    <w:rsid w:val="008B5B77"/>
    <w:rsid w:val="008B5D65"/>
    <w:rsid w:val="008B63A6"/>
    <w:rsid w:val="008B64FB"/>
    <w:rsid w:val="008B65B3"/>
    <w:rsid w:val="008B6663"/>
    <w:rsid w:val="008B67E0"/>
    <w:rsid w:val="008B6B42"/>
    <w:rsid w:val="008B6C81"/>
    <w:rsid w:val="008B6C8E"/>
    <w:rsid w:val="008B6E97"/>
    <w:rsid w:val="008B7241"/>
    <w:rsid w:val="008B733E"/>
    <w:rsid w:val="008B7449"/>
    <w:rsid w:val="008B76A4"/>
    <w:rsid w:val="008B7709"/>
    <w:rsid w:val="008B7AAC"/>
    <w:rsid w:val="008B7BE8"/>
    <w:rsid w:val="008C012E"/>
    <w:rsid w:val="008C0324"/>
    <w:rsid w:val="008C0D47"/>
    <w:rsid w:val="008C0EAA"/>
    <w:rsid w:val="008C0F07"/>
    <w:rsid w:val="008C100B"/>
    <w:rsid w:val="008C101A"/>
    <w:rsid w:val="008C13F5"/>
    <w:rsid w:val="008C1481"/>
    <w:rsid w:val="008C14F5"/>
    <w:rsid w:val="008C16DC"/>
    <w:rsid w:val="008C16EB"/>
    <w:rsid w:val="008C1C8D"/>
    <w:rsid w:val="008C1D31"/>
    <w:rsid w:val="008C1D3F"/>
    <w:rsid w:val="008C1F1B"/>
    <w:rsid w:val="008C1FCF"/>
    <w:rsid w:val="008C2266"/>
    <w:rsid w:val="008C262D"/>
    <w:rsid w:val="008C26C7"/>
    <w:rsid w:val="008C2790"/>
    <w:rsid w:val="008C2CE7"/>
    <w:rsid w:val="008C2F61"/>
    <w:rsid w:val="008C3188"/>
    <w:rsid w:val="008C31B0"/>
    <w:rsid w:val="008C3255"/>
    <w:rsid w:val="008C355D"/>
    <w:rsid w:val="008C3588"/>
    <w:rsid w:val="008C3F6B"/>
    <w:rsid w:val="008C420E"/>
    <w:rsid w:val="008C43EA"/>
    <w:rsid w:val="008C4765"/>
    <w:rsid w:val="008C4781"/>
    <w:rsid w:val="008C4E9A"/>
    <w:rsid w:val="008C52A7"/>
    <w:rsid w:val="008C575D"/>
    <w:rsid w:val="008C586A"/>
    <w:rsid w:val="008C59F1"/>
    <w:rsid w:val="008C5A91"/>
    <w:rsid w:val="008C5AAC"/>
    <w:rsid w:val="008C5D03"/>
    <w:rsid w:val="008C5D06"/>
    <w:rsid w:val="008C5DE1"/>
    <w:rsid w:val="008C6324"/>
    <w:rsid w:val="008C668F"/>
    <w:rsid w:val="008C6AD9"/>
    <w:rsid w:val="008C6E08"/>
    <w:rsid w:val="008C70D5"/>
    <w:rsid w:val="008C70F1"/>
    <w:rsid w:val="008C71E4"/>
    <w:rsid w:val="008C71E6"/>
    <w:rsid w:val="008C72FA"/>
    <w:rsid w:val="008C776D"/>
    <w:rsid w:val="008C77D2"/>
    <w:rsid w:val="008C77DE"/>
    <w:rsid w:val="008C7964"/>
    <w:rsid w:val="008C7B24"/>
    <w:rsid w:val="008C7D2F"/>
    <w:rsid w:val="008C7D76"/>
    <w:rsid w:val="008C7E2D"/>
    <w:rsid w:val="008D00A7"/>
    <w:rsid w:val="008D0136"/>
    <w:rsid w:val="008D03FC"/>
    <w:rsid w:val="008D0488"/>
    <w:rsid w:val="008D06BB"/>
    <w:rsid w:val="008D0D3B"/>
    <w:rsid w:val="008D0EDA"/>
    <w:rsid w:val="008D141F"/>
    <w:rsid w:val="008D16D8"/>
    <w:rsid w:val="008D1955"/>
    <w:rsid w:val="008D1B46"/>
    <w:rsid w:val="008D1D2C"/>
    <w:rsid w:val="008D2448"/>
    <w:rsid w:val="008D2613"/>
    <w:rsid w:val="008D2B40"/>
    <w:rsid w:val="008D310F"/>
    <w:rsid w:val="008D317F"/>
    <w:rsid w:val="008D3202"/>
    <w:rsid w:val="008D3B91"/>
    <w:rsid w:val="008D437E"/>
    <w:rsid w:val="008D49F1"/>
    <w:rsid w:val="008D4D1B"/>
    <w:rsid w:val="008D5336"/>
    <w:rsid w:val="008D5555"/>
    <w:rsid w:val="008D56F5"/>
    <w:rsid w:val="008D5735"/>
    <w:rsid w:val="008D57B2"/>
    <w:rsid w:val="008D584D"/>
    <w:rsid w:val="008D58A8"/>
    <w:rsid w:val="008D5CF3"/>
    <w:rsid w:val="008D5E94"/>
    <w:rsid w:val="008D6531"/>
    <w:rsid w:val="008D6863"/>
    <w:rsid w:val="008D693B"/>
    <w:rsid w:val="008D6B5D"/>
    <w:rsid w:val="008D6CB4"/>
    <w:rsid w:val="008D6D7B"/>
    <w:rsid w:val="008D6E9D"/>
    <w:rsid w:val="008D6EF7"/>
    <w:rsid w:val="008D6F5C"/>
    <w:rsid w:val="008D72C1"/>
    <w:rsid w:val="008D72C4"/>
    <w:rsid w:val="008D72DC"/>
    <w:rsid w:val="008D765F"/>
    <w:rsid w:val="008D7704"/>
    <w:rsid w:val="008D7A71"/>
    <w:rsid w:val="008D7BFA"/>
    <w:rsid w:val="008D7E21"/>
    <w:rsid w:val="008E03E9"/>
    <w:rsid w:val="008E0971"/>
    <w:rsid w:val="008E0D2B"/>
    <w:rsid w:val="008E1009"/>
    <w:rsid w:val="008E12E3"/>
    <w:rsid w:val="008E144A"/>
    <w:rsid w:val="008E16BE"/>
    <w:rsid w:val="008E1D2B"/>
    <w:rsid w:val="008E1E29"/>
    <w:rsid w:val="008E21A6"/>
    <w:rsid w:val="008E26B3"/>
    <w:rsid w:val="008E29C7"/>
    <w:rsid w:val="008E2A73"/>
    <w:rsid w:val="008E2A95"/>
    <w:rsid w:val="008E30B2"/>
    <w:rsid w:val="008E35ED"/>
    <w:rsid w:val="008E3689"/>
    <w:rsid w:val="008E3865"/>
    <w:rsid w:val="008E3C92"/>
    <w:rsid w:val="008E404B"/>
    <w:rsid w:val="008E4239"/>
    <w:rsid w:val="008E433D"/>
    <w:rsid w:val="008E4394"/>
    <w:rsid w:val="008E4563"/>
    <w:rsid w:val="008E4754"/>
    <w:rsid w:val="008E49F0"/>
    <w:rsid w:val="008E518E"/>
    <w:rsid w:val="008E51B3"/>
    <w:rsid w:val="008E5405"/>
    <w:rsid w:val="008E5917"/>
    <w:rsid w:val="008E5A8A"/>
    <w:rsid w:val="008E5A9D"/>
    <w:rsid w:val="008E605C"/>
    <w:rsid w:val="008E615D"/>
    <w:rsid w:val="008E625C"/>
    <w:rsid w:val="008E62BE"/>
    <w:rsid w:val="008E6A4C"/>
    <w:rsid w:val="008E6ECC"/>
    <w:rsid w:val="008E77D2"/>
    <w:rsid w:val="008E784F"/>
    <w:rsid w:val="008E79DC"/>
    <w:rsid w:val="008E7A22"/>
    <w:rsid w:val="008E7B8E"/>
    <w:rsid w:val="008E7DEE"/>
    <w:rsid w:val="008E7E6F"/>
    <w:rsid w:val="008E7ED3"/>
    <w:rsid w:val="008E7EF2"/>
    <w:rsid w:val="008F02A4"/>
    <w:rsid w:val="008F02FF"/>
    <w:rsid w:val="008F0677"/>
    <w:rsid w:val="008F0B42"/>
    <w:rsid w:val="008F0D16"/>
    <w:rsid w:val="008F163B"/>
    <w:rsid w:val="008F172B"/>
    <w:rsid w:val="008F173F"/>
    <w:rsid w:val="008F177C"/>
    <w:rsid w:val="008F189D"/>
    <w:rsid w:val="008F1B1A"/>
    <w:rsid w:val="008F1C6C"/>
    <w:rsid w:val="008F1EED"/>
    <w:rsid w:val="008F205B"/>
    <w:rsid w:val="008F21F6"/>
    <w:rsid w:val="008F22D8"/>
    <w:rsid w:val="008F22EA"/>
    <w:rsid w:val="008F22F9"/>
    <w:rsid w:val="008F2638"/>
    <w:rsid w:val="008F2B61"/>
    <w:rsid w:val="008F2C1F"/>
    <w:rsid w:val="008F2C54"/>
    <w:rsid w:val="008F31BA"/>
    <w:rsid w:val="008F3285"/>
    <w:rsid w:val="008F33B7"/>
    <w:rsid w:val="008F351D"/>
    <w:rsid w:val="008F3ED2"/>
    <w:rsid w:val="008F3F6D"/>
    <w:rsid w:val="008F3FA5"/>
    <w:rsid w:val="008F40C3"/>
    <w:rsid w:val="008F4406"/>
    <w:rsid w:val="008F4696"/>
    <w:rsid w:val="008F46D2"/>
    <w:rsid w:val="008F4934"/>
    <w:rsid w:val="008F4BFD"/>
    <w:rsid w:val="008F4D6E"/>
    <w:rsid w:val="008F5A39"/>
    <w:rsid w:val="008F5DC9"/>
    <w:rsid w:val="008F6066"/>
    <w:rsid w:val="008F66EE"/>
    <w:rsid w:val="008F69DD"/>
    <w:rsid w:val="008F6AF0"/>
    <w:rsid w:val="008F6ECA"/>
    <w:rsid w:val="008F7006"/>
    <w:rsid w:val="008F718B"/>
    <w:rsid w:val="008F7438"/>
    <w:rsid w:val="008F743F"/>
    <w:rsid w:val="008F749F"/>
    <w:rsid w:val="008F773E"/>
    <w:rsid w:val="008F7BBF"/>
    <w:rsid w:val="008F7D2A"/>
    <w:rsid w:val="008F7D2E"/>
    <w:rsid w:val="009002DA"/>
    <w:rsid w:val="00900382"/>
    <w:rsid w:val="009008C2"/>
    <w:rsid w:val="00901090"/>
    <w:rsid w:val="0090133D"/>
    <w:rsid w:val="00901A2C"/>
    <w:rsid w:val="00901C05"/>
    <w:rsid w:val="00901C26"/>
    <w:rsid w:val="00901CA8"/>
    <w:rsid w:val="00901D61"/>
    <w:rsid w:val="00901E08"/>
    <w:rsid w:val="00901F78"/>
    <w:rsid w:val="00901FE8"/>
    <w:rsid w:val="0090231F"/>
    <w:rsid w:val="0090233D"/>
    <w:rsid w:val="00902D19"/>
    <w:rsid w:val="00902DC4"/>
    <w:rsid w:val="009035F5"/>
    <w:rsid w:val="00903845"/>
    <w:rsid w:val="0090390C"/>
    <w:rsid w:val="00903B6A"/>
    <w:rsid w:val="00903E9D"/>
    <w:rsid w:val="00903FD7"/>
    <w:rsid w:val="00904097"/>
    <w:rsid w:val="009041DA"/>
    <w:rsid w:val="009042C5"/>
    <w:rsid w:val="009045F3"/>
    <w:rsid w:val="009048BE"/>
    <w:rsid w:val="009048DA"/>
    <w:rsid w:val="00904B2D"/>
    <w:rsid w:val="00904DC8"/>
    <w:rsid w:val="00904E42"/>
    <w:rsid w:val="00904F29"/>
    <w:rsid w:val="009053F7"/>
    <w:rsid w:val="00905422"/>
    <w:rsid w:val="00905454"/>
    <w:rsid w:val="00905ADD"/>
    <w:rsid w:val="0090606E"/>
    <w:rsid w:val="0090642D"/>
    <w:rsid w:val="00906543"/>
    <w:rsid w:val="0090656B"/>
    <w:rsid w:val="00906C8E"/>
    <w:rsid w:val="00906D22"/>
    <w:rsid w:val="00906F3B"/>
    <w:rsid w:val="009071FD"/>
    <w:rsid w:val="00907316"/>
    <w:rsid w:val="0090762C"/>
    <w:rsid w:val="0090763B"/>
    <w:rsid w:val="0090783D"/>
    <w:rsid w:val="00907F01"/>
    <w:rsid w:val="009104DD"/>
    <w:rsid w:val="009108A6"/>
    <w:rsid w:val="009108D1"/>
    <w:rsid w:val="0091099D"/>
    <w:rsid w:val="00910BFD"/>
    <w:rsid w:val="00910FB8"/>
    <w:rsid w:val="009115C3"/>
    <w:rsid w:val="0091164E"/>
    <w:rsid w:val="009116DF"/>
    <w:rsid w:val="00911769"/>
    <w:rsid w:val="009119A5"/>
    <w:rsid w:val="009125D2"/>
    <w:rsid w:val="009125F2"/>
    <w:rsid w:val="009127D9"/>
    <w:rsid w:val="0091282B"/>
    <w:rsid w:val="00912AE0"/>
    <w:rsid w:val="00912BC9"/>
    <w:rsid w:val="00912D62"/>
    <w:rsid w:val="00912E2F"/>
    <w:rsid w:val="00912E91"/>
    <w:rsid w:val="0091307D"/>
    <w:rsid w:val="0091327A"/>
    <w:rsid w:val="00913291"/>
    <w:rsid w:val="00913467"/>
    <w:rsid w:val="009135A3"/>
    <w:rsid w:val="00913710"/>
    <w:rsid w:val="00913805"/>
    <w:rsid w:val="0091384D"/>
    <w:rsid w:val="00913987"/>
    <w:rsid w:val="0091399D"/>
    <w:rsid w:val="00913A52"/>
    <w:rsid w:val="00913A81"/>
    <w:rsid w:val="00913B1E"/>
    <w:rsid w:val="00913B9B"/>
    <w:rsid w:val="00914133"/>
    <w:rsid w:val="009144CD"/>
    <w:rsid w:val="00914C35"/>
    <w:rsid w:val="00914F0A"/>
    <w:rsid w:val="00914F23"/>
    <w:rsid w:val="00914F74"/>
    <w:rsid w:val="00914F7D"/>
    <w:rsid w:val="00914FED"/>
    <w:rsid w:val="009160C8"/>
    <w:rsid w:val="00916198"/>
    <w:rsid w:val="009164F1"/>
    <w:rsid w:val="0091655D"/>
    <w:rsid w:val="009165FF"/>
    <w:rsid w:val="00916A07"/>
    <w:rsid w:val="00916CDC"/>
    <w:rsid w:val="00916E2D"/>
    <w:rsid w:val="00916F93"/>
    <w:rsid w:val="00916F96"/>
    <w:rsid w:val="00917291"/>
    <w:rsid w:val="0091784A"/>
    <w:rsid w:val="00917A4A"/>
    <w:rsid w:val="00917AE7"/>
    <w:rsid w:val="00917AED"/>
    <w:rsid w:val="00917B19"/>
    <w:rsid w:val="00917BE5"/>
    <w:rsid w:val="00917CD7"/>
    <w:rsid w:val="0092021F"/>
    <w:rsid w:val="0092054B"/>
    <w:rsid w:val="00920781"/>
    <w:rsid w:val="00920839"/>
    <w:rsid w:val="009209B1"/>
    <w:rsid w:val="009209C2"/>
    <w:rsid w:val="00920D91"/>
    <w:rsid w:val="009211B6"/>
    <w:rsid w:val="00921592"/>
    <w:rsid w:val="00921627"/>
    <w:rsid w:val="00921A0E"/>
    <w:rsid w:val="00921BF9"/>
    <w:rsid w:val="00921D88"/>
    <w:rsid w:val="00922375"/>
    <w:rsid w:val="0092258E"/>
    <w:rsid w:val="009227A2"/>
    <w:rsid w:val="00922853"/>
    <w:rsid w:val="00922BBC"/>
    <w:rsid w:val="00922DFF"/>
    <w:rsid w:val="00923065"/>
    <w:rsid w:val="009232DC"/>
    <w:rsid w:val="00923F95"/>
    <w:rsid w:val="009248CA"/>
    <w:rsid w:val="00924A00"/>
    <w:rsid w:val="00924C34"/>
    <w:rsid w:val="00924CA0"/>
    <w:rsid w:val="009250DC"/>
    <w:rsid w:val="009253FD"/>
    <w:rsid w:val="0092548E"/>
    <w:rsid w:val="0092551D"/>
    <w:rsid w:val="00925999"/>
    <w:rsid w:val="00925CC4"/>
    <w:rsid w:val="00925D97"/>
    <w:rsid w:val="00926188"/>
    <w:rsid w:val="00926294"/>
    <w:rsid w:val="0092673A"/>
    <w:rsid w:val="00926822"/>
    <w:rsid w:val="009270C5"/>
    <w:rsid w:val="009271CA"/>
    <w:rsid w:val="00927322"/>
    <w:rsid w:val="009273C8"/>
    <w:rsid w:val="00927402"/>
    <w:rsid w:val="009276F7"/>
    <w:rsid w:val="009278F6"/>
    <w:rsid w:val="00930258"/>
    <w:rsid w:val="009302B2"/>
    <w:rsid w:val="009306F1"/>
    <w:rsid w:val="00930A39"/>
    <w:rsid w:val="00930A4C"/>
    <w:rsid w:val="00930AEC"/>
    <w:rsid w:val="00930C22"/>
    <w:rsid w:val="00930C4A"/>
    <w:rsid w:val="009311C1"/>
    <w:rsid w:val="0093151C"/>
    <w:rsid w:val="00931627"/>
    <w:rsid w:val="0093166D"/>
    <w:rsid w:val="00931827"/>
    <w:rsid w:val="00931B73"/>
    <w:rsid w:val="00931CD1"/>
    <w:rsid w:val="00931D99"/>
    <w:rsid w:val="009320AF"/>
    <w:rsid w:val="0093229A"/>
    <w:rsid w:val="0093246B"/>
    <w:rsid w:val="009325B6"/>
    <w:rsid w:val="00932717"/>
    <w:rsid w:val="00932941"/>
    <w:rsid w:val="00932A10"/>
    <w:rsid w:val="00932F35"/>
    <w:rsid w:val="00932FA2"/>
    <w:rsid w:val="00933015"/>
    <w:rsid w:val="0093324D"/>
    <w:rsid w:val="009338DD"/>
    <w:rsid w:val="00933964"/>
    <w:rsid w:val="009339FB"/>
    <w:rsid w:val="0093402C"/>
    <w:rsid w:val="009341C5"/>
    <w:rsid w:val="00934328"/>
    <w:rsid w:val="00934384"/>
    <w:rsid w:val="009343FA"/>
    <w:rsid w:val="009344ED"/>
    <w:rsid w:val="009346A3"/>
    <w:rsid w:val="009346A6"/>
    <w:rsid w:val="00934726"/>
    <w:rsid w:val="0093481A"/>
    <w:rsid w:val="009349C3"/>
    <w:rsid w:val="00934E67"/>
    <w:rsid w:val="0093501A"/>
    <w:rsid w:val="00935034"/>
    <w:rsid w:val="009350E6"/>
    <w:rsid w:val="009350F0"/>
    <w:rsid w:val="0093521A"/>
    <w:rsid w:val="00935258"/>
    <w:rsid w:val="0093532B"/>
    <w:rsid w:val="00935827"/>
    <w:rsid w:val="00935A79"/>
    <w:rsid w:val="00936087"/>
    <w:rsid w:val="009361DE"/>
    <w:rsid w:val="009364B7"/>
    <w:rsid w:val="00936729"/>
    <w:rsid w:val="00936A8B"/>
    <w:rsid w:val="00936B35"/>
    <w:rsid w:val="009372C7"/>
    <w:rsid w:val="009375BA"/>
    <w:rsid w:val="009378CC"/>
    <w:rsid w:val="00937991"/>
    <w:rsid w:val="00937B65"/>
    <w:rsid w:val="00937F44"/>
    <w:rsid w:val="0094008F"/>
    <w:rsid w:val="009400CB"/>
    <w:rsid w:val="00940198"/>
    <w:rsid w:val="009402A8"/>
    <w:rsid w:val="0094039D"/>
    <w:rsid w:val="00940494"/>
    <w:rsid w:val="00940DCE"/>
    <w:rsid w:val="0094146B"/>
    <w:rsid w:val="009419A4"/>
    <w:rsid w:val="00941BA4"/>
    <w:rsid w:val="00941D5A"/>
    <w:rsid w:val="0094212A"/>
    <w:rsid w:val="009421D9"/>
    <w:rsid w:val="00942953"/>
    <w:rsid w:val="00942B10"/>
    <w:rsid w:val="00942E5C"/>
    <w:rsid w:val="009437A7"/>
    <w:rsid w:val="009439B9"/>
    <w:rsid w:val="009439DD"/>
    <w:rsid w:val="00943A9B"/>
    <w:rsid w:val="00943CC4"/>
    <w:rsid w:val="009442A2"/>
    <w:rsid w:val="00944451"/>
    <w:rsid w:val="00944510"/>
    <w:rsid w:val="00944710"/>
    <w:rsid w:val="009449DD"/>
    <w:rsid w:val="00944C48"/>
    <w:rsid w:val="00944EB0"/>
    <w:rsid w:val="00944FF5"/>
    <w:rsid w:val="00945197"/>
    <w:rsid w:val="009452B7"/>
    <w:rsid w:val="009453E9"/>
    <w:rsid w:val="009456A8"/>
    <w:rsid w:val="00945711"/>
    <w:rsid w:val="00945C22"/>
    <w:rsid w:val="00946097"/>
    <w:rsid w:val="009462E8"/>
    <w:rsid w:val="00946512"/>
    <w:rsid w:val="0094654C"/>
    <w:rsid w:val="0094663E"/>
    <w:rsid w:val="00946728"/>
    <w:rsid w:val="00946E6A"/>
    <w:rsid w:val="00947883"/>
    <w:rsid w:val="0094788D"/>
    <w:rsid w:val="00947918"/>
    <w:rsid w:val="0095025C"/>
    <w:rsid w:val="0095045E"/>
    <w:rsid w:val="009504C9"/>
    <w:rsid w:val="00950AE1"/>
    <w:rsid w:val="00950AFE"/>
    <w:rsid w:val="00950B54"/>
    <w:rsid w:val="00950CA4"/>
    <w:rsid w:val="009514BE"/>
    <w:rsid w:val="00951752"/>
    <w:rsid w:val="009518B4"/>
    <w:rsid w:val="00951DE9"/>
    <w:rsid w:val="00951E9D"/>
    <w:rsid w:val="009521FC"/>
    <w:rsid w:val="00952A91"/>
    <w:rsid w:val="00952B0B"/>
    <w:rsid w:val="00952C31"/>
    <w:rsid w:val="0095308C"/>
    <w:rsid w:val="0095341E"/>
    <w:rsid w:val="009534DE"/>
    <w:rsid w:val="00953B17"/>
    <w:rsid w:val="00953F66"/>
    <w:rsid w:val="0095401D"/>
    <w:rsid w:val="009540CC"/>
    <w:rsid w:val="009541DA"/>
    <w:rsid w:val="00954331"/>
    <w:rsid w:val="00954464"/>
    <w:rsid w:val="009544F9"/>
    <w:rsid w:val="00954695"/>
    <w:rsid w:val="00954913"/>
    <w:rsid w:val="0095491F"/>
    <w:rsid w:val="00954954"/>
    <w:rsid w:val="00954A0D"/>
    <w:rsid w:val="00954B1C"/>
    <w:rsid w:val="00954BE8"/>
    <w:rsid w:val="00954C2E"/>
    <w:rsid w:val="00954D08"/>
    <w:rsid w:val="00954ED3"/>
    <w:rsid w:val="0095505F"/>
    <w:rsid w:val="009550C7"/>
    <w:rsid w:val="009551B7"/>
    <w:rsid w:val="009551CD"/>
    <w:rsid w:val="009554A5"/>
    <w:rsid w:val="00955580"/>
    <w:rsid w:val="0095572D"/>
    <w:rsid w:val="00955A4A"/>
    <w:rsid w:val="00955B2A"/>
    <w:rsid w:val="00955FDD"/>
    <w:rsid w:val="0095615D"/>
    <w:rsid w:val="009569D2"/>
    <w:rsid w:val="00956F0C"/>
    <w:rsid w:val="0095721B"/>
    <w:rsid w:val="00957438"/>
    <w:rsid w:val="00957BA0"/>
    <w:rsid w:val="00957DF1"/>
    <w:rsid w:val="00957EA1"/>
    <w:rsid w:val="00957F2E"/>
    <w:rsid w:val="00960145"/>
    <w:rsid w:val="009601B4"/>
    <w:rsid w:val="009604F4"/>
    <w:rsid w:val="009605D5"/>
    <w:rsid w:val="009605DB"/>
    <w:rsid w:val="00960AC1"/>
    <w:rsid w:val="00960F97"/>
    <w:rsid w:val="009612B6"/>
    <w:rsid w:val="0096189F"/>
    <w:rsid w:val="00961999"/>
    <w:rsid w:val="00961FCC"/>
    <w:rsid w:val="00962205"/>
    <w:rsid w:val="00962219"/>
    <w:rsid w:val="00962256"/>
    <w:rsid w:val="0096257F"/>
    <w:rsid w:val="0096268B"/>
    <w:rsid w:val="009629BF"/>
    <w:rsid w:val="00962C4D"/>
    <w:rsid w:val="00962EFA"/>
    <w:rsid w:val="00962F46"/>
    <w:rsid w:val="0096332A"/>
    <w:rsid w:val="0096334A"/>
    <w:rsid w:val="00963381"/>
    <w:rsid w:val="00963519"/>
    <w:rsid w:val="0096368B"/>
    <w:rsid w:val="0096395F"/>
    <w:rsid w:val="00963A9A"/>
    <w:rsid w:val="00963EB4"/>
    <w:rsid w:val="00963F6D"/>
    <w:rsid w:val="00964114"/>
    <w:rsid w:val="0096425C"/>
    <w:rsid w:val="00964756"/>
    <w:rsid w:val="0096480B"/>
    <w:rsid w:val="009648D6"/>
    <w:rsid w:val="00964C70"/>
    <w:rsid w:val="0096501E"/>
    <w:rsid w:val="0096566D"/>
    <w:rsid w:val="009657DF"/>
    <w:rsid w:val="009658A6"/>
    <w:rsid w:val="00965AD3"/>
    <w:rsid w:val="00965B88"/>
    <w:rsid w:val="00965F22"/>
    <w:rsid w:val="00965F5F"/>
    <w:rsid w:val="00966073"/>
    <w:rsid w:val="009662FA"/>
    <w:rsid w:val="0096675F"/>
    <w:rsid w:val="00966AE6"/>
    <w:rsid w:val="00966C33"/>
    <w:rsid w:val="0096713E"/>
    <w:rsid w:val="00967A69"/>
    <w:rsid w:val="00970908"/>
    <w:rsid w:val="009709E0"/>
    <w:rsid w:val="009709E7"/>
    <w:rsid w:val="00970A46"/>
    <w:rsid w:val="00970D5C"/>
    <w:rsid w:val="00971170"/>
    <w:rsid w:val="009713A4"/>
    <w:rsid w:val="009716AD"/>
    <w:rsid w:val="00971A87"/>
    <w:rsid w:val="00971D45"/>
    <w:rsid w:val="00971DD7"/>
    <w:rsid w:val="0097216D"/>
    <w:rsid w:val="00972364"/>
    <w:rsid w:val="00972587"/>
    <w:rsid w:val="00972667"/>
    <w:rsid w:val="00972709"/>
    <w:rsid w:val="0097282A"/>
    <w:rsid w:val="009728AB"/>
    <w:rsid w:val="00972A57"/>
    <w:rsid w:val="00972DD7"/>
    <w:rsid w:val="00972E93"/>
    <w:rsid w:val="00973377"/>
    <w:rsid w:val="0097370C"/>
    <w:rsid w:val="009739C4"/>
    <w:rsid w:val="00973DA3"/>
    <w:rsid w:val="00973FB2"/>
    <w:rsid w:val="0097401C"/>
    <w:rsid w:val="0097413B"/>
    <w:rsid w:val="009741F4"/>
    <w:rsid w:val="009742D2"/>
    <w:rsid w:val="0097440F"/>
    <w:rsid w:val="0097445D"/>
    <w:rsid w:val="00974842"/>
    <w:rsid w:val="009748FB"/>
    <w:rsid w:val="009749AC"/>
    <w:rsid w:val="00974F74"/>
    <w:rsid w:val="009750CD"/>
    <w:rsid w:val="009756C4"/>
    <w:rsid w:val="00975B64"/>
    <w:rsid w:val="00975E27"/>
    <w:rsid w:val="00975E7C"/>
    <w:rsid w:val="00976011"/>
    <w:rsid w:val="0097638A"/>
    <w:rsid w:val="009768EA"/>
    <w:rsid w:val="009769F0"/>
    <w:rsid w:val="00976C72"/>
    <w:rsid w:val="00976FD2"/>
    <w:rsid w:val="00977131"/>
    <w:rsid w:val="00977166"/>
    <w:rsid w:val="009772E8"/>
    <w:rsid w:val="00977BEA"/>
    <w:rsid w:val="00977C20"/>
    <w:rsid w:val="00977F11"/>
    <w:rsid w:val="00977FB7"/>
    <w:rsid w:val="00980044"/>
    <w:rsid w:val="009801E0"/>
    <w:rsid w:val="00980636"/>
    <w:rsid w:val="00980997"/>
    <w:rsid w:val="009809FC"/>
    <w:rsid w:val="00980F56"/>
    <w:rsid w:val="00980FFB"/>
    <w:rsid w:val="00981013"/>
    <w:rsid w:val="00981018"/>
    <w:rsid w:val="0098102A"/>
    <w:rsid w:val="0098137C"/>
    <w:rsid w:val="0098141F"/>
    <w:rsid w:val="00981798"/>
    <w:rsid w:val="009818A8"/>
    <w:rsid w:val="00981F80"/>
    <w:rsid w:val="009821F0"/>
    <w:rsid w:val="00982337"/>
    <w:rsid w:val="00982438"/>
    <w:rsid w:val="00982D63"/>
    <w:rsid w:val="00982DD5"/>
    <w:rsid w:val="00982FC9"/>
    <w:rsid w:val="0098301E"/>
    <w:rsid w:val="0098328C"/>
    <w:rsid w:val="009835E3"/>
    <w:rsid w:val="009836BE"/>
    <w:rsid w:val="00983929"/>
    <w:rsid w:val="00983A25"/>
    <w:rsid w:val="00983FBD"/>
    <w:rsid w:val="009841B2"/>
    <w:rsid w:val="009845B6"/>
    <w:rsid w:val="0098575F"/>
    <w:rsid w:val="00985B8C"/>
    <w:rsid w:val="00985DFC"/>
    <w:rsid w:val="009865C0"/>
    <w:rsid w:val="009866B4"/>
    <w:rsid w:val="009869D7"/>
    <w:rsid w:val="00986CB0"/>
    <w:rsid w:val="009870EC"/>
    <w:rsid w:val="0098727C"/>
    <w:rsid w:val="009872F9"/>
    <w:rsid w:val="0098770B"/>
    <w:rsid w:val="00987804"/>
    <w:rsid w:val="00987978"/>
    <w:rsid w:val="00987984"/>
    <w:rsid w:val="00990038"/>
    <w:rsid w:val="0099004C"/>
    <w:rsid w:val="009903FE"/>
    <w:rsid w:val="00990648"/>
    <w:rsid w:val="00990937"/>
    <w:rsid w:val="00990CA9"/>
    <w:rsid w:val="00990DC7"/>
    <w:rsid w:val="00990E27"/>
    <w:rsid w:val="00990F30"/>
    <w:rsid w:val="00990FE3"/>
    <w:rsid w:val="0099107F"/>
    <w:rsid w:val="00991247"/>
    <w:rsid w:val="009913B3"/>
    <w:rsid w:val="00991538"/>
    <w:rsid w:val="009919B4"/>
    <w:rsid w:val="00991AE3"/>
    <w:rsid w:val="00991D4F"/>
    <w:rsid w:val="0099213F"/>
    <w:rsid w:val="0099269A"/>
    <w:rsid w:val="00992A80"/>
    <w:rsid w:val="00992ABA"/>
    <w:rsid w:val="00992B2B"/>
    <w:rsid w:val="00993497"/>
    <w:rsid w:val="00993648"/>
    <w:rsid w:val="0099372E"/>
    <w:rsid w:val="00994148"/>
    <w:rsid w:val="0099447B"/>
    <w:rsid w:val="0099447E"/>
    <w:rsid w:val="0099470C"/>
    <w:rsid w:val="009947E7"/>
    <w:rsid w:val="00994C3F"/>
    <w:rsid w:val="00994C96"/>
    <w:rsid w:val="00994DF8"/>
    <w:rsid w:val="00994EA7"/>
    <w:rsid w:val="00995027"/>
    <w:rsid w:val="00995104"/>
    <w:rsid w:val="0099545A"/>
    <w:rsid w:val="00995460"/>
    <w:rsid w:val="0099566D"/>
    <w:rsid w:val="009957B6"/>
    <w:rsid w:val="009958EA"/>
    <w:rsid w:val="0099590C"/>
    <w:rsid w:val="00995C63"/>
    <w:rsid w:val="00995E90"/>
    <w:rsid w:val="009962DA"/>
    <w:rsid w:val="009969DF"/>
    <w:rsid w:val="00996D53"/>
    <w:rsid w:val="00997034"/>
    <w:rsid w:val="00997491"/>
    <w:rsid w:val="009974C1"/>
    <w:rsid w:val="009977F0"/>
    <w:rsid w:val="00997CFA"/>
    <w:rsid w:val="009A0299"/>
    <w:rsid w:val="009A0464"/>
    <w:rsid w:val="009A05B3"/>
    <w:rsid w:val="009A0CEC"/>
    <w:rsid w:val="009A0D69"/>
    <w:rsid w:val="009A0DA8"/>
    <w:rsid w:val="009A0FA7"/>
    <w:rsid w:val="009A118F"/>
    <w:rsid w:val="009A161C"/>
    <w:rsid w:val="009A164D"/>
    <w:rsid w:val="009A194A"/>
    <w:rsid w:val="009A1FD3"/>
    <w:rsid w:val="009A2138"/>
    <w:rsid w:val="009A248E"/>
    <w:rsid w:val="009A2530"/>
    <w:rsid w:val="009A2619"/>
    <w:rsid w:val="009A2649"/>
    <w:rsid w:val="009A2831"/>
    <w:rsid w:val="009A2D01"/>
    <w:rsid w:val="009A32A6"/>
    <w:rsid w:val="009A34CE"/>
    <w:rsid w:val="009A3655"/>
    <w:rsid w:val="009A367C"/>
    <w:rsid w:val="009A3865"/>
    <w:rsid w:val="009A3A0B"/>
    <w:rsid w:val="009A3DD5"/>
    <w:rsid w:val="009A44A5"/>
    <w:rsid w:val="009A48CD"/>
    <w:rsid w:val="009A492B"/>
    <w:rsid w:val="009A49CB"/>
    <w:rsid w:val="009A4A25"/>
    <w:rsid w:val="009A4AA9"/>
    <w:rsid w:val="009A4D0B"/>
    <w:rsid w:val="009A4DAA"/>
    <w:rsid w:val="009A4DAD"/>
    <w:rsid w:val="009A4E18"/>
    <w:rsid w:val="009A55C2"/>
    <w:rsid w:val="009A58C5"/>
    <w:rsid w:val="009A5EAA"/>
    <w:rsid w:val="009A5EDB"/>
    <w:rsid w:val="009A639C"/>
    <w:rsid w:val="009A6560"/>
    <w:rsid w:val="009A6765"/>
    <w:rsid w:val="009A6903"/>
    <w:rsid w:val="009A6B97"/>
    <w:rsid w:val="009A6F84"/>
    <w:rsid w:val="009A72BB"/>
    <w:rsid w:val="009A7661"/>
    <w:rsid w:val="009A7726"/>
    <w:rsid w:val="009A77A2"/>
    <w:rsid w:val="009A7A03"/>
    <w:rsid w:val="009A7AEA"/>
    <w:rsid w:val="009A7B3A"/>
    <w:rsid w:val="009B0304"/>
    <w:rsid w:val="009B03CE"/>
    <w:rsid w:val="009B0401"/>
    <w:rsid w:val="009B0416"/>
    <w:rsid w:val="009B0434"/>
    <w:rsid w:val="009B0443"/>
    <w:rsid w:val="009B058D"/>
    <w:rsid w:val="009B0605"/>
    <w:rsid w:val="009B0652"/>
    <w:rsid w:val="009B095B"/>
    <w:rsid w:val="009B0A89"/>
    <w:rsid w:val="009B0B73"/>
    <w:rsid w:val="009B0FBB"/>
    <w:rsid w:val="009B1051"/>
    <w:rsid w:val="009B139F"/>
    <w:rsid w:val="009B197E"/>
    <w:rsid w:val="009B1DDA"/>
    <w:rsid w:val="009B24C1"/>
    <w:rsid w:val="009B2611"/>
    <w:rsid w:val="009B27E4"/>
    <w:rsid w:val="009B2967"/>
    <w:rsid w:val="009B29DB"/>
    <w:rsid w:val="009B2B3E"/>
    <w:rsid w:val="009B2C8C"/>
    <w:rsid w:val="009B2D95"/>
    <w:rsid w:val="009B3399"/>
    <w:rsid w:val="009B36BA"/>
    <w:rsid w:val="009B36FE"/>
    <w:rsid w:val="009B3A95"/>
    <w:rsid w:val="009B4048"/>
    <w:rsid w:val="009B4442"/>
    <w:rsid w:val="009B48F2"/>
    <w:rsid w:val="009B4EBE"/>
    <w:rsid w:val="009B51CA"/>
    <w:rsid w:val="009B52CF"/>
    <w:rsid w:val="009B57A7"/>
    <w:rsid w:val="009B5AA3"/>
    <w:rsid w:val="009B5C4F"/>
    <w:rsid w:val="009B5CE2"/>
    <w:rsid w:val="009B5DDB"/>
    <w:rsid w:val="009B5EF0"/>
    <w:rsid w:val="009B60B8"/>
    <w:rsid w:val="009B6528"/>
    <w:rsid w:val="009B6540"/>
    <w:rsid w:val="009B668C"/>
    <w:rsid w:val="009B66D4"/>
    <w:rsid w:val="009B6B1D"/>
    <w:rsid w:val="009B6C31"/>
    <w:rsid w:val="009B6E9F"/>
    <w:rsid w:val="009B6F21"/>
    <w:rsid w:val="009B786F"/>
    <w:rsid w:val="009B7D0E"/>
    <w:rsid w:val="009B7D74"/>
    <w:rsid w:val="009C00B8"/>
    <w:rsid w:val="009C0263"/>
    <w:rsid w:val="009C0A12"/>
    <w:rsid w:val="009C0B0C"/>
    <w:rsid w:val="009C0D46"/>
    <w:rsid w:val="009C0E50"/>
    <w:rsid w:val="009C0F0D"/>
    <w:rsid w:val="009C0FB3"/>
    <w:rsid w:val="009C1120"/>
    <w:rsid w:val="009C127D"/>
    <w:rsid w:val="009C142C"/>
    <w:rsid w:val="009C16E7"/>
    <w:rsid w:val="009C18A0"/>
    <w:rsid w:val="009C257C"/>
    <w:rsid w:val="009C2A19"/>
    <w:rsid w:val="009C2B0C"/>
    <w:rsid w:val="009C2B45"/>
    <w:rsid w:val="009C2D5A"/>
    <w:rsid w:val="009C2FCE"/>
    <w:rsid w:val="009C30E0"/>
    <w:rsid w:val="009C3105"/>
    <w:rsid w:val="009C3958"/>
    <w:rsid w:val="009C3FEE"/>
    <w:rsid w:val="009C403B"/>
    <w:rsid w:val="009C467A"/>
    <w:rsid w:val="009C47FC"/>
    <w:rsid w:val="009C4945"/>
    <w:rsid w:val="009C497B"/>
    <w:rsid w:val="009C4AA4"/>
    <w:rsid w:val="009C4F82"/>
    <w:rsid w:val="009C5048"/>
    <w:rsid w:val="009C56F6"/>
    <w:rsid w:val="009C5EC2"/>
    <w:rsid w:val="009C6462"/>
    <w:rsid w:val="009C64B9"/>
    <w:rsid w:val="009C70C1"/>
    <w:rsid w:val="009C73DF"/>
    <w:rsid w:val="009C7478"/>
    <w:rsid w:val="009C79F2"/>
    <w:rsid w:val="009C7B12"/>
    <w:rsid w:val="009C7C59"/>
    <w:rsid w:val="009D009E"/>
    <w:rsid w:val="009D02E1"/>
    <w:rsid w:val="009D0340"/>
    <w:rsid w:val="009D052C"/>
    <w:rsid w:val="009D0BB3"/>
    <w:rsid w:val="009D0DD0"/>
    <w:rsid w:val="009D0DFF"/>
    <w:rsid w:val="009D1151"/>
    <w:rsid w:val="009D129B"/>
    <w:rsid w:val="009D12D1"/>
    <w:rsid w:val="009D17BE"/>
    <w:rsid w:val="009D18E8"/>
    <w:rsid w:val="009D18F6"/>
    <w:rsid w:val="009D1940"/>
    <w:rsid w:val="009D1A56"/>
    <w:rsid w:val="009D1A8D"/>
    <w:rsid w:val="009D1BE7"/>
    <w:rsid w:val="009D1E1D"/>
    <w:rsid w:val="009D1E74"/>
    <w:rsid w:val="009D2023"/>
    <w:rsid w:val="009D22E8"/>
    <w:rsid w:val="009D2339"/>
    <w:rsid w:val="009D240D"/>
    <w:rsid w:val="009D255A"/>
    <w:rsid w:val="009D282E"/>
    <w:rsid w:val="009D2922"/>
    <w:rsid w:val="009D2AE1"/>
    <w:rsid w:val="009D2BC0"/>
    <w:rsid w:val="009D2BDC"/>
    <w:rsid w:val="009D2D98"/>
    <w:rsid w:val="009D3564"/>
    <w:rsid w:val="009D3819"/>
    <w:rsid w:val="009D38F9"/>
    <w:rsid w:val="009D3914"/>
    <w:rsid w:val="009D3AB9"/>
    <w:rsid w:val="009D404F"/>
    <w:rsid w:val="009D440A"/>
    <w:rsid w:val="009D44EC"/>
    <w:rsid w:val="009D4E2D"/>
    <w:rsid w:val="009D5174"/>
    <w:rsid w:val="009D56AE"/>
    <w:rsid w:val="009D57E3"/>
    <w:rsid w:val="009D5D13"/>
    <w:rsid w:val="009D5E34"/>
    <w:rsid w:val="009D61A5"/>
    <w:rsid w:val="009D678D"/>
    <w:rsid w:val="009D6B9B"/>
    <w:rsid w:val="009D733B"/>
    <w:rsid w:val="009D7700"/>
    <w:rsid w:val="009D770A"/>
    <w:rsid w:val="009D7823"/>
    <w:rsid w:val="009D78B6"/>
    <w:rsid w:val="009D792B"/>
    <w:rsid w:val="009D7963"/>
    <w:rsid w:val="009D7F58"/>
    <w:rsid w:val="009D7F6E"/>
    <w:rsid w:val="009E006D"/>
    <w:rsid w:val="009E012A"/>
    <w:rsid w:val="009E0487"/>
    <w:rsid w:val="009E0999"/>
    <w:rsid w:val="009E0A61"/>
    <w:rsid w:val="009E0A65"/>
    <w:rsid w:val="009E0AEF"/>
    <w:rsid w:val="009E0C08"/>
    <w:rsid w:val="009E0C67"/>
    <w:rsid w:val="009E12A6"/>
    <w:rsid w:val="009E1601"/>
    <w:rsid w:val="009E179F"/>
    <w:rsid w:val="009E1858"/>
    <w:rsid w:val="009E18CE"/>
    <w:rsid w:val="009E19EF"/>
    <w:rsid w:val="009E1BD6"/>
    <w:rsid w:val="009E1EFA"/>
    <w:rsid w:val="009E202D"/>
    <w:rsid w:val="009E2071"/>
    <w:rsid w:val="009E23D5"/>
    <w:rsid w:val="009E24F0"/>
    <w:rsid w:val="009E290B"/>
    <w:rsid w:val="009E294E"/>
    <w:rsid w:val="009E2A81"/>
    <w:rsid w:val="009E2AC7"/>
    <w:rsid w:val="009E2AFD"/>
    <w:rsid w:val="009E2C0A"/>
    <w:rsid w:val="009E2E06"/>
    <w:rsid w:val="009E2EB4"/>
    <w:rsid w:val="009E2F33"/>
    <w:rsid w:val="009E31F1"/>
    <w:rsid w:val="009E3221"/>
    <w:rsid w:val="009E32EB"/>
    <w:rsid w:val="009E330D"/>
    <w:rsid w:val="009E3434"/>
    <w:rsid w:val="009E3521"/>
    <w:rsid w:val="009E36A6"/>
    <w:rsid w:val="009E3AD6"/>
    <w:rsid w:val="009E3BC2"/>
    <w:rsid w:val="009E3E88"/>
    <w:rsid w:val="009E3EDE"/>
    <w:rsid w:val="009E425D"/>
    <w:rsid w:val="009E43E3"/>
    <w:rsid w:val="009E4540"/>
    <w:rsid w:val="009E4821"/>
    <w:rsid w:val="009E493A"/>
    <w:rsid w:val="009E49D5"/>
    <w:rsid w:val="009E4A6F"/>
    <w:rsid w:val="009E4B10"/>
    <w:rsid w:val="009E4B13"/>
    <w:rsid w:val="009E4F59"/>
    <w:rsid w:val="009E502C"/>
    <w:rsid w:val="009E5122"/>
    <w:rsid w:val="009E51C2"/>
    <w:rsid w:val="009E53B9"/>
    <w:rsid w:val="009E56ED"/>
    <w:rsid w:val="009E58AC"/>
    <w:rsid w:val="009E5A44"/>
    <w:rsid w:val="009E5EA6"/>
    <w:rsid w:val="009E6185"/>
    <w:rsid w:val="009E64BB"/>
    <w:rsid w:val="009E6646"/>
    <w:rsid w:val="009E667F"/>
    <w:rsid w:val="009E6A52"/>
    <w:rsid w:val="009E6C22"/>
    <w:rsid w:val="009E6DBC"/>
    <w:rsid w:val="009E70F4"/>
    <w:rsid w:val="009E74A0"/>
    <w:rsid w:val="009E7847"/>
    <w:rsid w:val="009E7868"/>
    <w:rsid w:val="009E7A4B"/>
    <w:rsid w:val="009E7A9F"/>
    <w:rsid w:val="009E7ADF"/>
    <w:rsid w:val="009E7B7F"/>
    <w:rsid w:val="009E7C48"/>
    <w:rsid w:val="009E7CA2"/>
    <w:rsid w:val="009E7D67"/>
    <w:rsid w:val="009E7F7C"/>
    <w:rsid w:val="009F03D8"/>
    <w:rsid w:val="009F03E3"/>
    <w:rsid w:val="009F0679"/>
    <w:rsid w:val="009F0719"/>
    <w:rsid w:val="009F07DE"/>
    <w:rsid w:val="009F0878"/>
    <w:rsid w:val="009F0902"/>
    <w:rsid w:val="009F0907"/>
    <w:rsid w:val="009F0B0B"/>
    <w:rsid w:val="009F0B8B"/>
    <w:rsid w:val="009F0E86"/>
    <w:rsid w:val="009F0F82"/>
    <w:rsid w:val="009F1266"/>
    <w:rsid w:val="009F12CD"/>
    <w:rsid w:val="009F1343"/>
    <w:rsid w:val="009F14D6"/>
    <w:rsid w:val="009F17D7"/>
    <w:rsid w:val="009F1CAC"/>
    <w:rsid w:val="009F1CAD"/>
    <w:rsid w:val="009F1F48"/>
    <w:rsid w:val="009F21AE"/>
    <w:rsid w:val="009F233F"/>
    <w:rsid w:val="009F234C"/>
    <w:rsid w:val="009F23A5"/>
    <w:rsid w:val="009F2A21"/>
    <w:rsid w:val="009F2A8C"/>
    <w:rsid w:val="009F2B56"/>
    <w:rsid w:val="009F2D67"/>
    <w:rsid w:val="009F2E2E"/>
    <w:rsid w:val="009F313C"/>
    <w:rsid w:val="009F3B09"/>
    <w:rsid w:val="009F3FAE"/>
    <w:rsid w:val="009F4138"/>
    <w:rsid w:val="009F41B7"/>
    <w:rsid w:val="009F4220"/>
    <w:rsid w:val="009F4260"/>
    <w:rsid w:val="009F4341"/>
    <w:rsid w:val="009F4AB5"/>
    <w:rsid w:val="009F4EF8"/>
    <w:rsid w:val="009F524A"/>
    <w:rsid w:val="009F56E9"/>
    <w:rsid w:val="009F5994"/>
    <w:rsid w:val="009F5CFE"/>
    <w:rsid w:val="009F5DB1"/>
    <w:rsid w:val="009F631C"/>
    <w:rsid w:val="009F65B1"/>
    <w:rsid w:val="009F6A95"/>
    <w:rsid w:val="009F6F7A"/>
    <w:rsid w:val="009F73F4"/>
    <w:rsid w:val="009F7413"/>
    <w:rsid w:val="009F76A4"/>
    <w:rsid w:val="009F7C62"/>
    <w:rsid w:val="009F7FB9"/>
    <w:rsid w:val="00A0008F"/>
    <w:rsid w:val="00A00215"/>
    <w:rsid w:val="00A00457"/>
    <w:rsid w:val="00A00AFE"/>
    <w:rsid w:val="00A0156A"/>
    <w:rsid w:val="00A01727"/>
    <w:rsid w:val="00A01B16"/>
    <w:rsid w:val="00A01D16"/>
    <w:rsid w:val="00A01DA8"/>
    <w:rsid w:val="00A01EB9"/>
    <w:rsid w:val="00A01EF8"/>
    <w:rsid w:val="00A01F83"/>
    <w:rsid w:val="00A020B5"/>
    <w:rsid w:val="00A020D1"/>
    <w:rsid w:val="00A026DC"/>
    <w:rsid w:val="00A029F6"/>
    <w:rsid w:val="00A0324E"/>
    <w:rsid w:val="00A03854"/>
    <w:rsid w:val="00A03A96"/>
    <w:rsid w:val="00A03B16"/>
    <w:rsid w:val="00A03DE9"/>
    <w:rsid w:val="00A04052"/>
    <w:rsid w:val="00A0405F"/>
    <w:rsid w:val="00A044C8"/>
    <w:rsid w:val="00A045CB"/>
    <w:rsid w:val="00A049F7"/>
    <w:rsid w:val="00A04B28"/>
    <w:rsid w:val="00A04B6E"/>
    <w:rsid w:val="00A04E6E"/>
    <w:rsid w:val="00A0507B"/>
    <w:rsid w:val="00A050F4"/>
    <w:rsid w:val="00A0525A"/>
    <w:rsid w:val="00A0525C"/>
    <w:rsid w:val="00A05293"/>
    <w:rsid w:val="00A053AD"/>
    <w:rsid w:val="00A05439"/>
    <w:rsid w:val="00A05442"/>
    <w:rsid w:val="00A05548"/>
    <w:rsid w:val="00A05614"/>
    <w:rsid w:val="00A05617"/>
    <w:rsid w:val="00A056A9"/>
    <w:rsid w:val="00A056DB"/>
    <w:rsid w:val="00A05752"/>
    <w:rsid w:val="00A05824"/>
    <w:rsid w:val="00A05902"/>
    <w:rsid w:val="00A05B12"/>
    <w:rsid w:val="00A05B98"/>
    <w:rsid w:val="00A05EEE"/>
    <w:rsid w:val="00A063EE"/>
    <w:rsid w:val="00A064E0"/>
    <w:rsid w:val="00A06584"/>
    <w:rsid w:val="00A06627"/>
    <w:rsid w:val="00A06696"/>
    <w:rsid w:val="00A066DC"/>
    <w:rsid w:val="00A0686F"/>
    <w:rsid w:val="00A06AB3"/>
    <w:rsid w:val="00A06C26"/>
    <w:rsid w:val="00A06CF6"/>
    <w:rsid w:val="00A06E6C"/>
    <w:rsid w:val="00A06ED4"/>
    <w:rsid w:val="00A06EF5"/>
    <w:rsid w:val="00A0705A"/>
    <w:rsid w:val="00A070C5"/>
    <w:rsid w:val="00A0716A"/>
    <w:rsid w:val="00A07276"/>
    <w:rsid w:val="00A07475"/>
    <w:rsid w:val="00A075D3"/>
    <w:rsid w:val="00A077E8"/>
    <w:rsid w:val="00A07B18"/>
    <w:rsid w:val="00A105F8"/>
    <w:rsid w:val="00A105FE"/>
    <w:rsid w:val="00A10A2F"/>
    <w:rsid w:val="00A10B17"/>
    <w:rsid w:val="00A10BF0"/>
    <w:rsid w:val="00A10CF3"/>
    <w:rsid w:val="00A10FD1"/>
    <w:rsid w:val="00A11110"/>
    <w:rsid w:val="00A114C2"/>
    <w:rsid w:val="00A11646"/>
    <w:rsid w:val="00A11B83"/>
    <w:rsid w:val="00A11C78"/>
    <w:rsid w:val="00A11D28"/>
    <w:rsid w:val="00A12184"/>
    <w:rsid w:val="00A12327"/>
    <w:rsid w:val="00A124ED"/>
    <w:rsid w:val="00A12920"/>
    <w:rsid w:val="00A1296D"/>
    <w:rsid w:val="00A12A43"/>
    <w:rsid w:val="00A12A44"/>
    <w:rsid w:val="00A12CB7"/>
    <w:rsid w:val="00A12E1D"/>
    <w:rsid w:val="00A1303A"/>
    <w:rsid w:val="00A1354E"/>
    <w:rsid w:val="00A13887"/>
    <w:rsid w:val="00A1396E"/>
    <w:rsid w:val="00A13C73"/>
    <w:rsid w:val="00A13C8C"/>
    <w:rsid w:val="00A13E0B"/>
    <w:rsid w:val="00A13EBC"/>
    <w:rsid w:val="00A13F25"/>
    <w:rsid w:val="00A14467"/>
    <w:rsid w:val="00A148A5"/>
    <w:rsid w:val="00A14DA4"/>
    <w:rsid w:val="00A15187"/>
    <w:rsid w:val="00A153C8"/>
    <w:rsid w:val="00A15668"/>
    <w:rsid w:val="00A159B0"/>
    <w:rsid w:val="00A15A33"/>
    <w:rsid w:val="00A15B8A"/>
    <w:rsid w:val="00A15CD9"/>
    <w:rsid w:val="00A15E3F"/>
    <w:rsid w:val="00A15FC7"/>
    <w:rsid w:val="00A1604D"/>
    <w:rsid w:val="00A161A4"/>
    <w:rsid w:val="00A1690E"/>
    <w:rsid w:val="00A1692E"/>
    <w:rsid w:val="00A16942"/>
    <w:rsid w:val="00A16CDE"/>
    <w:rsid w:val="00A17030"/>
    <w:rsid w:val="00A1735D"/>
    <w:rsid w:val="00A17435"/>
    <w:rsid w:val="00A1746A"/>
    <w:rsid w:val="00A17684"/>
    <w:rsid w:val="00A17957"/>
    <w:rsid w:val="00A1795F"/>
    <w:rsid w:val="00A17AF6"/>
    <w:rsid w:val="00A17B5D"/>
    <w:rsid w:val="00A17E73"/>
    <w:rsid w:val="00A17EED"/>
    <w:rsid w:val="00A200C5"/>
    <w:rsid w:val="00A20304"/>
    <w:rsid w:val="00A20B40"/>
    <w:rsid w:val="00A20B80"/>
    <w:rsid w:val="00A20EDF"/>
    <w:rsid w:val="00A212F0"/>
    <w:rsid w:val="00A21405"/>
    <w:rsid w:val="00A214BD"/>
    <w:rsid w:val="00A215FF"/>
    <w:rsid w:val="00A219F4"/>
    <w:rsid w:val="00A21E27"/>
    <w:rsid w:val="00A2264F"/>
    <w:rsid w:val="00A228C7"/>
    <w:rsid w:val="00A2291D"/>
    <w:rsid w:val="00A22B54"/>
    <w:rsid w:val="00A22C63"/>
    <w:rsid w:val="00A22F52"/>
    <w:rsid w:val="00A23198"/>
    <w:rsid w:val="00A23306"/>
    <w:rsid w:val="00A23425"/>
    <w:rsid w:val="00A235E9"/>
    <w:rsid w:val="00A23663"/>
    <w:rsid w:val="00A237DB"/>
    <w:rsid w:val="00A238FC"/>
    <w:rsid w:val="00A239EE"/>
    <w:rsid w:val="00A23CD7"/>
    <w:rsid w:val="00A23E43"/>
    <w:rsid w:val="00A242DE"/>
    <w:rsid w:val="00A24657"/>
    <w:rsid w:val="00A24F89"/>
    <w:rsid w:val="00A24FD7"/>
    <w:rsid w:val="00A25038"/>
    <w:rsid w:val="00A2503B"/>
    <w:rsid w:val="00A25095"/>
    <w:rsid w:val="00A250BD"/>
    <w:rsid w:val="00A252BE"/>
    <w:rsid w:val="00A253F8"/>
    <w:rsid w:val="00A254DD"/>
    <w:rsid w:val="00A25A1E"/>
    <w:rsid w:val="00A25B1D"/>
    <w:rsid w:val="00A25E3F"/>
    <w:rsid w:val="00A26160"/>
    <w:rsid w:val="00A2675E"/>
    <w:rsid w:val="00A26B7B"/>
    <w:rsid w:val="00A26C35"/>
    <w:rsid w:val="00A26F3C"/>
    <w:rsid w:val="00A27256"/>
    <w:rsid w:val="00A27864"/>
    <w:rsid w:val="00A27FF3"/>
    <w:rsid w:val="00A304D2"/>
    <w:rsid w:val="00A30506"/>
    <w:rsid w:val="00A30553"/>
    <w:rsid w:val="00A30589"/>
    <w:rsid w:val="00A3060D"/>
    <w:rsid w:val="00A307D9"/>
    <w:rsid w:val="00A307F3"/>
    <w:rsid w:val="00A3080D"/>
    <w:rsid w:val="00A3084C"/>
    <w:rsid w:val="00A3090E"/>
    <w:rsid w:val="00A3099C"/>
    <w:rsid w:val="00A30C82"/>
    <w:rsid w:val="00A30CFB"/>
    <w:rsid w:val="00A30EAE"/>
    <w:rsid w:val="00A3100D"/>
    <w:rsid w:val="00A31750"/>
    <w:rsid w:val="00A3181B"/>
    <w:rsid w:val="00A31B31"/>
    <w:rsid w:val="00A31C12"/>
    <w:rsid w:val="00A31EF9"/>
    <w:rsid w:val="00A32258"/>
    <w:rsid w:val="00A329E6"/>
    <w:rsid w:val="00A32A09"/>
    <w:rsid w:val="00A32E03"/>
    <w:rsid w:val="00A32E4E"/>
    <w:rsid w:val="00A33333"/>
    <w:rsid w:val="00A335BB"/>
    <w:rsid w:val="00A33823"/>
    <w:rsid w:val="00A338AA"/>
    <w:rsid w:val="00A33A5B"/>
    <w:rsid w:val="00A33B9B"/>
    <w:rsid w:val="00A33CAD"/>
    <w:rsid w:val="00A3423A"/>
    <w:rsid w:val="00A34511"/>
    <w:rsid w:val="00A3464F"/>
    <w:rsid w:val="00A34CDC"/>
    <w:rsid w:val="00A34F7B"/>
    <w:rsid w:val="00A35170"/>
    <w:rsid w:val="00A352D4"/>
    <w:rsid w:val="00A35A0D"/>
    <w:rsid w:val="00A35E94"/>
    <w:rsid w:val="00A36166"/>
    <w:rsid w:val="00A361E3"/>
    <w:rsid w:val="00A3636F"/>
    <w:rsid w:val="00A36452"/>
    <w:rsid w:val="00A3648E"/>
    <w:rsid w:val="00A36573"/>
    <w:rsid w:val="00A365AC"/>
    <w:rsid w:val="00A36AB6"/>
    <w:rsid w:val="00A36EEC"/>
    <w:rsid w:val="00A37006"/>
    <w:rsid w:val="00A37554"/>
    <w:rsid w:val="00A37725"/>
    <w:rsid w:val="00A378A2"/>
    <w:rsid w:val="00A4039B"/>
    <w:rsid w:val="00A404D6"/>
    <w:rsid w:val="00A40B25"/>
    <w:rsid w:val="00A410C0"/>
    <w:rsid w:val="00A41138"/>
    <w:rsid w:val="00A411BD"/>
    <w:rsid w:val="00A41373"/>
    <w:rsid w:val="00A41662"/>
    <w:rsid w:val="00A41BB9"/>
    <w:rsid w:val="00A41BBA"/>
    <w:rsid w:val="00A41C2F"/>
    <w:rsid w:val="00A41F4E"/>
    <w:rsid w:val="00A4209B"/>
    <w:rsid w:val="00A4240A"/>
    <w:rsid w:val="00A42684"/>
    <w:rsid w:val="00A426EC"/>
    <w:rsid w:val="00A42B96"/>
    <w:rsid w:val="00A436C1"/>
    <w:rsid w:val="00A436F7"/>
    <w:rsid w:val="00A43B3E"/>
    <w:rsid w:val="00A43B8D"/>
    <w:rsid w:val="00A43CE7"/>
    <w:rsid w:val="00A43FB4"/>
    <w:rsid w:val="00A442A5"/>
    <w:rsid w:val="00A4439A"/>
    <w:rsid w:val="00A44434"/>
    <w:rsid w:val="00A4466A"/>
    <w:rsid w:val="00A448C6"/>
    <w:rsid w:val="00A44CE1"/>
    <w:rsid w:val="00A44DFB"/>
    <w:rsid w:val="00A44F1C"/>
    <w:rsid w:val="00A4519C"/>
    <w:rsid w:val="00A459B4"/>
    <w:rsid w:val="00A45AE5"/>
    <w:rsid w:val="00A46043"/>
    <w:rsid w:val="00A460F0"/>
    <w:rsid w:val="00A461B2"/>
    <w:rsid w:val="00A46360"/>
    <w:rsid w:val="00A46376"/>
    <w:rsid w:val="00A466D5"/>
    <w:rsid w:val="00A46721"/>
    <w:rsid w:val="00A47308"/>
    <w:rsid w:val="00A473AF"/>
    <w:rsid w:val="00A47556"/>
    <w:rsid w:val="00A477CD"/>
    <w:rsid w:val="00A47CA0"/>
    <w:rsid w:val="00A47E02"/>
    <w:rsid w:val="00A4C0E9"/>
    <w:rsid w:val="00A50297"/>
    <w:rsid w:val="00A5073F"/>
    <w:rsid w:val="00A5082D"/>
    <w:rsid w:val="00A50A1F"/>
    <w:rsid w:val="00A50DDB"/>
    <w:rsid w:val="00A51151"/>
    <w:rsid w:val="00A511CF"/>
    <w:rsid w:val="00A5124C"/>
    <w:rsid w:val="00A5126C"/>
    <w:rsid w:val="00A51334"/>
    <w:rsid w:val="00A51525"/>
    <w:rsid w:val="00A519D0"/>
    <w:rsid w:val="00A51D7A"/>
    <w:rsid w:val="00A52562"/>
    <w:rsid w:val="00A52A88"/>
    <w:rsid w:val="00A52CF7"/>
    <w:rsid w:val="00A52E9C"/>
    <w:rsid w:val="00A52F2C"/>
    <w:rsid w:val="00A532C7"/>
    <w:rsid w:val="00A533D4"/>
    <w:rsid w:val="00A53677"/>
    <w:rsid w:val="00A53B35"/>
    <w:rsid w:val="00A53D36"/>
    <w:rsid w:val="00A53E2E"/>
    <w:rsid w:val="00A53E64"/>
    <w:rsid w:val="00A53EFA"/>
    <w:rsid w:val="00A547C9"/>
    <w:rsid w:val="00A547F6"/>
    <w:rsid w:val="00A54998"/>
    <w:rsid w:val="00A54CD0"/>
    <w:rsid w:val="00A55130"/>
    <w:rsid w:val="00A55260"/>
    <w:rsid w:val="00A55334"/>
    <w:rsid w:val="00A554BB"/>
    <w:rsid w:val="00A555F7"/>
    <w:rsid w:val="00A556AC"/>
    <w:rsid w:val="00A5592E"/>
    <w:rsid w:val="00A55B7C"/>
    <w:rsid w:val="00A55D96"/>
    <w:rsid w:val="00A55F55"/>
    <w:rsid w:val="00A56159"/>
    <w:rsid w:val="00A5619A"/>
    <w:rsid w:val="00A56433"/>
    <w:rsid w:val="00A564FA"/>
    <w:rsid w:val="00A56586"/>
    <w:rsid w:val="00A56674"/>
    <w:rsid w:val="00A569BC"/>
    <w:rsid w:val="00A569FE"/>
    <w:rsid w:val="00A56B59"/>
    <w:rsid w:val="00A56E40"/>
    <w:rsid w:val="00A57241"/>
    <w:rsid w:val="00A5752A"/>
    <w:rsid w:val="00A57619"/>
    <w:rsid w:val="00A604BF"/>
    <w:rsid w:val="00A61148"/>
    <w:rsid w:val="00A61646"/>
    <w:rsid w:val="00A61703"/>
    <w:rsid w:val="00A61938"/>
    <w:rsid w:val="00A61D01"/>
    <w:rsid w:val="00A62162"/>
    <w:rsid w:val="00A6248E"/>
    <w:rsid w:val="00A6269E"/>
    <w:rsid w:val="00A62D21"/>
    <w:rsid w:val="00A62D7C"/>
    <w:rsid w:val="00A630FA"/>
    <w:rsid w:val="00A63119"/>
    <w:rsid w:val="00A63419"/>
    <w:rsid w:val="00A63522"/>
    <w:rsid w:val="00A6357B"/>
    <w:rsid w:val="00A636F9"/>
    <w:rsid w:val="00A6377E"/>
    <w:rsid w:val="00A63872"/>
    <w:rsid w:val="00A6389F"/>
    <w:rsid w:val="00A639BB"/>
    <w:rsid w:val="00A63AA9"/>
    <w:rsid w:val="00A63B68"/>
    <w:rsid w:val="00A63C69"/>
    <w:rsid w:val="00A63D72"/>
    <w:rsid w:val="00A63E84"/>
    <w:rsid w:val="00A63E92"/>
    <w:rsid w:val="00A644C5"/>
    <w:rsid w:val="00A64809"/>
    <w:rsid w:val="00A648FA"/>
    <w:rsid w:val="00A64902"/>
    <w:rsid w:val="00A64D27"/>
    <w:rsid w:val="00A64E64"/>
    <w:rsid w:val="00A650D6"/>
    <w:rsid w:val="00A65265"/>
    <w:rsid w:val="00A653AF"/>
    <w:rsid w:val="00A65527"/>
    <w:rsid w:val="00A6563E"/>
    <w:rsid w:val="00A659E1"/>
    <w:rsid w:val="00A66226"/>
    <w:rsid w:val="00A66416"/>
    <w:rsid w:val="00A66458"/>
    <w:rsid w:val="00A664DE"/>
    <w:rsid w:val="00A6694A"/>
    <w:rsid w:val="00A66D64"/>
    <w:rsid w:val="00A66EAB"/>
    <w:rsid w:val="00A673DF"/>
    <w:rsid w:val="00A67446"/>
    <w:rsid w:val="00A6745F"/>
    <w:rsid w:val="00A67B85"/>
    <w:rsid w:val="00A67C0C"/>
    <w:rsid w:val="00A701F4"/>
    <w:rsid w:val="00A706B3"/>
    <w:rsid w:val="00A70979"/>
    <w:rsid w:val="00A70A0B"/>
    <w:rsid w:val="00A70B53"/>
    <w:rsid w:val="00A70FC3"/>
    <w:rsid w:val="00A71052"/>
    <w:rsid w:val="00A712C2"/>
    <w:rsid w:val="00A71330"/>
    <w:rsid w:val="00A71476"/>
    <w:rsid w:val="00A71501"/>
    <w:rsid w:val="00A717E7"/>
    <w:rsid w:val="00A719F2"/>
    <w:rsid w:val="00A71D42"/>
    <w:rsid w:val="00A71EFA"/>
    <w:rsid w:val="00A72133"/>
    <w:rsid w:val="00A72679"/>
    <w:rsid w:val="00A727B1"/>
    <w:rsid w:val="00A7281A"/>
    <w:rsid w:val="00A728AA"/>
    <w:rsid w:val="00A72B37"/>
    <w:rsid w:val="00A72DAC"/>
    <w:rsid w:val="00A72E96"/>
    <w:rsid w:val="00A72EC5"/>
    <w:rsid w:val="00A72F87"/>
    <w:rsid w:val="00A72FEA"/>
    <w:rsid w:val="00A7330E"/>
    <w:rsid w:val="00A73441"/>
    <w:rsid w:val="00A734D9"/>
    <w:rsid w:val="00A73645"/>
    <w:rsid w:val="00A73928"/>
    <w:rsid w:val="00A73C41"/>
    <w:rsid w:val="00A73D8C"/>
    <w:rsid w:val="00A73FB4"/>
    <w:rsid w:val="00A743E8"/>
    <w:rsid w:val="00A74435"/>
    <w:rsid w:val="00A7469E"/>
    <w:rsid w:val="00A74873"/>
    <w:rsid w:val="00A74A53"/>
    <w:rsid w:val="00A75189"/>
    <w:rsid w:val="00A75257"/>
    <w:rsid w:val="00A7527E"/>
    <w:rsid w:val="00A75953"/>
    <w:rsid w:val="00A75B72"/>
    <w:rsid w:val="00A75E1E"/>
    <w:rsid w:val="00A75E94"/>
    <w:rsid w:val="00A76508"/>
    <w:rsid w:val="00A7650A"/>
    <w:rsid w:val="00A76847"/>
    <w:rsid w:val="00A76AAC"/>
    <w:rsid w:val="00A7705C"/>
    <w:rsid w:val="00A772D5"/>
    <w:rsid w:val="00A7736F"/>
    <w:rsid w:val="00A774B3"/>
    <w:rsid w:val="00A776D0"/>
    <w:rsid w:val="00A77F48"/>
    <w:rsid w:val="00A800FD"/>
    <w:rsid w:val="00A80158"/>
    <w:rsid w:val="00A8019C"/>
    <w:rsid w:val="00A802C5"/>
    <w:rsid w:val="00A805CD"/>
    <w:rsid w:val="00A80A08"/>
    <w:rsid w:val="00A80E26"/>
    <w:rsid w:val="00A8109E"/>
    <w:rsid w:val="00A810DA"/>
    <w:rsid w:val="00A81128"/>
    <w:rsid w:val="00A811A2"/>
    <w:rsid w:val="00A8137A"/>
    <w:rsid w:val="00A8165F"/>
    <w:rsid w:val="00A81A0E"/>
    <w:rsid w:val="00A81DEA"/>
    <w:rsid w:val="00A81E11"/>
    <w:rsid w:val="00A81F83"/>
    <w:rsid w:val="00A821A2"/>
    <w:rsid w:val="00A822E1"/>
    <w:rsid w:val="00A8231E"/>
    <w:rsid w:val="00A82354"/>
    <w:rsid w:val="00A824C6"/>
    <w:rsid w:val="00A82572"/>
    <w:rsid w:val="00A82B77"/>
    <w:rsid w:val="00A82D46"/>
    <w:rsid w:val="00A830EC"/>
    <w:rsid w:val="00A83308"/>
    <w:rsid w:val="00A83735"/>
    <w:rsid w:val="00A83752"/>
    <w:rsid w:val="00A83A40"/>
    <w:rsid w:val="00A83FA2"/>
    <w:rsid w:val="00A84092"/>
    <w:rsid w:val="00A84496"/>
    <w:rsid w:val="00A844E1"/>
    <w:rsid w:val="00A847E9"/>
    <w:rsid w:val="00A8480E"/>
    <w:rsid w:val="00A84BF7"/>
    <w:rsid w:val="00A84D64"/>
    <w:rsid w:val="00A84EC5"/>
    <w:rsid w:val="00A8504D"/>
    <w:rsid w:val="00A851E9"/>
    <w:rsid w:val="00A852F8"/>
    <w:rsid w:val="00A85445"/>
    <w:rsid w:val="00A85868"/>
    <w:rsid w:val="00A86081"/>
    <w:rsid w:val="00A86267"/>
    <w:rsid w:val="00A863D8"/>
    <w:rsid w:val="00A86441"/>
    <w:rsid w:val="00A868AE"/>
    <w:rsid w:val="00A86B95"/>
    <w:rsid w:val="00A86D35"/>
    <w:rsid w:val="00A872A4"/>
    <w:rsid w:val="00A8746D"/>
    <w:rsid w:val="00A87593"/>
    <w:rsid w:val="00A877BF"/>
    <w:rsid w:val="00A87C79"/>
    <w:rsid w:val="00A87CEF"/>
    <w:rsid w:val="00A87D5B"/>
    <w:rsid w:val="00A87F7D"/>
    <w:rsid w:val="00A900CC"/>
    <w:rsid w:val="00A90187"/>
    <w:rsid w:val="00A903BC"/>
    <w:rsid w:val="00A905CD"/>
    <w:rsid w:val="00A908E5"/>
    <w:rsid w:val="00A9095F"/>
    <w:rsid w:val="00A9129D"/>
    <w:rsid w:val="00A9183F"/>
    <w:rsid w:val="00A91A5B"/>
    <w:rsid w:val="00A91C54"/>
    <w:rsid w:val="00A91C98"/>
    <w:rsid w:val="00A91D4C"/>
    <w:rsid w:val="00A91DB1"/>
    <w:rsid w:val="00A91FAB"/>
    <w:rsid w:val="00A92025"/>
    <w:rsid w:val="00A9220B"/>
    <w:rsid w:val="00A92779"/>
    <w:rsid w:val="00A9296C"/>
    <w:rsid w:val="00A92BE2"/>
    <w:rsid w:val="00A92C4C"/>
    <w:rsid w:val="00A92E42"/>
    <w:rsid w:val="00A92F9F"/>
    <w:rsid w:val="00A93001"/>
    <w:rsid w:val="00A9319F"/>
    <w:rsid w:val="00A931F9"/>
    <w:rsid w:val="00A932E5"/>
    <w:rsid w:val="00A93323"/>
    <w:rsid w:val="00A934C5"/>
    <w:rsid w:val="00A93746"/>
    <w:rsid w:val="00A93A49"/>
    <w:rsid w:val="00A93F1D"/>
    <w:rsid w:val="00A9461C"/>
    <w:rsid w:val="00A94734"/>
    <w:rsid w:val="00A94773"/>
    <w:rsid w:val="00A94C78"/>
    <w:rsid w:val="00A94DFE"/>
    <w:rsid w:val="00A94F74"/>
    <w:rsid w:val="00A950C3"/>
    <w:rsid w:val="00A951AC"/>
    <w:rsid w:val="00A951BD"/>
    <w:rsid w:val="00A9529C"/>
    <w:rsid w:val="00A95366"/>
    <w:rsid w:val="00A9538C"/>
    <w:rsid w:val="00A9540A"/>
    <w:rsid w:val="00A95553"/>
    <w:rsid w:val="00A9565C"/>
    <w:rsid w:val="00A95904"/>
    <w:rsid w:val="00A960E2"/>
    <w:rsid w:val="00A962CF"/>
    <w:rsid w:val="00A963DC"/>
    <w:rsid w:val="00A966C9"/>
    <w:rsid w:val="00A9681F"/>
    <w:rsid w:val="00A969AC"/>
    <w:rsid w:val="00A96A0D"/>
    <w:rsid w:val="00A96D7E"/>
    <w:rsid w:val="00A96E90"/>
    <w:rsid w:val="00A96ED4"/>
    <w:rsid w:val="00A96F76"/>
    <w:rsid w:val="00A971E0"/>
    <w:rsid w:val="00A9720D"/>
    <w:rsid w:val="00A972B8"/>
    <w:rsid w:val="00A973FD"/>
    <w:rsid w:val="00A976EA"/>
    <w:rsid w:val="00A976EF"/>
    <w:rsid w:val="00A978B6"/>
    <w:rsid w:val="00A97971"/>
    <w:rsid w:val="00A979BA"/>
    <w:rsid w:val="00A97AF3"/>
    <w:rsid w:val="00A97D59"/>
    <w:rsid w:val="00A97DC9"/>
    <w:rsid w:val="00A97EDE"/>
    <w:rsid w:val="00AA0079"/>
    <w:rsid w:val="00AA00CE"/>
    <w:rsid w:val="00AA0212"/>
    <w:rsid w:val="00AA05B1"/>
    <w:rsid w:val="00AA05F6"/>
    <w:rsid w:val="00AA073B"/>
    <w:rsid w:val="00AA0AD7"/>
    <w:rsid w:val="00AA0D79"/>
    <w:rsid w:val="00AA12F9"/>
    <w:rsid w:val="00AA14A2"/>
    <w:rsid w:val="00AA164E"/>
    <w:rsid w:val="00AA187D"/>
    <w:rsid w:val="00AA1EE0"/>
    <w:rsid w:val="00AA21DE"/>
    <w:rsid w:val="00AA22BD"/>
    <w:rsid w:val="00AA238C"/>
    <w:rsid w:val="00AA2958"/>
    <w:rsid w:val="00AA2D2F"/>
    <w:rsid w:val="00AA315F"/>
    <w:rsid w:val="00AA33E0"/>
    <w:rsid w:val="00AA34E3"/>
    <w:rsid w:val="00AA34F8"/>
    <w:rsid w:val="00AA35AA"/>
    <w:rsid w:val="00AA3892"/>
    <w:rsid w:val="00AA38E9"/>
    <w:rsid w:val="00AA4189"/>
    <w:rsid w:val="00AA4325"/>
    <w:rsid w:val="00AA4350"/>
    <w:rsid w:val="00AA4559"/>
    <w:rsid w:val="00AA4658"/>
    <w:rsid w:val="00AA4905"/>
    <w:rsid w:val="00AA4A0A"/>
    <w:rsid w:val="00AA4F21"/>
    <w:rsid w:val="00AA50E4"/>
    <w:rsid w:val="00AA5422"/>
    <w:rsid w:val="00AA583F"/>
    <w:rsid w:val="00AA5964"/>
    <w:rsid w:val="00AA5CB7"/>
    <w:rsid w:val="00AA6282"/>
    <w:rsid w:val="00AA62A2"/>
    <w:rsid w:val="00AA64D3"/>
    <w:rsid w:val="00AA67F6"/>
    <w:rsid w:val="00AA68CF"/>
    <w:rsid w:val="00AA715B"/>
    <w:rsid w:val="00AA729D"/>
    <w:rsid w:val="00AA73E6"/>
    <w:rsid w:val="00AA7532"/>
    <w:rsid w:val="00AA757D"/>
    <w:rsid w:val="00AA778B"/>
    <w:rsid w:val="00AA7A68"/>
    <w:rsid w:val="00AA7ACF"/>
    <w:rsid w:val="00AA7BD6"/>
    <w:rsid w:val="00AA7E03"/>
    <w:rsid w:val="00AB0101"/>
    <w:rsid w:val="00AB017E"/>
    <w:rsid w:val="00AB0310"/>
    <w:rsid w:val="00AB0484"/>
    <w:rsid w:val="00AB0587"/>
    <w:rsid w:val="00AB0734"/>
    <w:rsid w:val="00AB08DE"/>
    <w:rsid w:val="00AB0A75"/>
    <w:rsid w:val="00AB0B23"/>
    <w:rsid w:val="00AB0D10"/>
    <w:rsid w:val="00AB0D62"/>
    <w:rsid w:val="00AB0DCB"/>
    <w:rsid w:val="00AB0E4C"/>
    <w:rsid w:val="00AB110E"/>
    <w:rsid w:val="00AB11CC"/>
    <w:rsid w:val="00AB1322"/>
    <w:rsid w:val="00AB166C"/>
    <w:rsid w:val="00AB18D1"/>
    <w:rsid w:val="00AB1D67"/>
    <w:rsid w:val="00AB1E0A"/>
    <w:rsid w:val="00AB2104"/>
    <w:rsid w:val="00AB210D"/>
    <w:rsid w:val="00AB2142"/>
    <w:rsid w:val="00AB2207"/>
    <w:rsid w:val="00AB2644"/>
    <w:rsid w:val="00AB2920"/>
    <w:rsid w:val="00AB3017"/>
    <w:rsid w:val="00AB3066"/>
    <w:rsid w:val="00AB31FF"/>
    <w:rsid w:val="00AB32A9"/>
    <w:rsid w:val="00AB3302"/>
    <w:rsid w:val="00AB347C"/>
    <w:rsid w:val="00AB3785"/>
    <w:rsid w:val="00AB39C6"/>
    <w:rsid w:val="00AB3ADC"/>
    <w:rsid w:val="00AB3C1E"/>
    <w:rsid w:val="00AB3DD5"/>
    <w:rsid w:val="00AB3DEE"/>
    <w:rsid w:val="00AB3EA1"/>
    <w:rsid w:val="00AB407B"/>
    <w:rsid w:val="00AB4C8D"/>
    <w:rsid w:val="00AB4E39"/>
    <w:rsid w:val="00AB4E3C"/>
    <w:rsid w:val="00AB5019"/>
    <w:rsid w:val="00AB5368"/>
    <w:rsid w:val="00AB53AA"/>
    <w:rsid w:val="00AB5F76"/>
    <w:rsid w:val="00AB6032"/>
    <w:rsid w:val="00AB67FC"/>
    <w:rsid w:val="00AB6BCB"/>
    <w:rsid w:val="00AB6C6B"/>
    <w:rsid w:val="00AB6DC3"/>
    <w:rsid w:val="00AB6E52"/>
    <w:rsid w:val="00AB6FF7"/>
    <w:rsid w:val="00AB72CF"/>
    <w:rsid w:val="00AB7318"/>
    <w:rsid w:val="00AB7377"/>
    <w:rsid w:val="00AB7411"/>
    <w:rsid w:val="00AB7A8A"/>
    <w:rsid w:val="00AB7D3F"/>
    <w:rsid w:val="00AC0166"/>
    <w:rsid w:val="00AC02AA"/>
    <w:rsid w:val="00AC04B6"/>
    <w:rsid w:val="00AC0A6D"/>
    <w:rsid w:val="00AC0AEE"/>
    <w:rsid w:val="00AC0BB6"/>
    <w:rsid w:val="00AC0C16"/>
    <w:rsid w:val="00AC0CF2"/>
    <w:rsid w:val="00AC0ED0"/>
    <w:rsid w:val="00AC11B5"/>
    <w:rsid w:val="00AC14F0"/>
    <w:rsid w:val="00AC1513"/>
    <w:rsid w:val="00AC16CD"/>
    <w:rsid w:val="00AC1D94"/>
    <w:rsid w:val="00AC1DE8"/>
    <w:rsid w:val="00AC1F7B"/>
    <w:rsid w:val="00AC2081"/>
    <w:rsid w:val="00AC277A"/>
    <w:rsid w:val="00AC2829"/>
    <w:rsid w:val="00AC2D75"/>
    <w:rsid w:val="00AC2EF9"/>
    <w:rsid w:val="00AC2F40"/>
    <w:rsid w:val="00AC3C6E"/>
    <w:rsid w:val="00AC3D8C"/>
    <w:rsid w:val="00AC3E3D"/>
    <w:rsid w:val="00AC428C"/>
    <w:rsid w:val="00AC471C"/>
    <w:rsid w:val="00AC493F"/>
    <w:rsid w:val="00AC4F0F"/>
    <w:rsid w:val="00AC4FAD"/>
    <w:rsid w:val="00AC5309"/>
    <w:rsid w:val="00AC55CB"/>
    <w:rsid w:val="00AC5E13"/>
    <w:rsid w:val="00AC610D"/>
    <w:rsid w:val="00AC62B9"/>
    <w:rsid w:val="00AC64E3"/>
    <w:rsid w:val="00AC6811"/>
    <w:rsid w:val="00AC6C87"/>
    <w:rsid w:val="00AC6D72"/>
    <w:rsid w:val="00AC7029"/>
    <w:rsid w:val="00AC7190"/>
    <w:rsid w:val="00AC72CD"/>
    <w:rsid w:val="00AC73B9"/>
    <w:rsid w:val="00AC7509"/>
    <w:rsid w:val="00AC756A"/>
    <w:rsid w:val="00AC777B"/>
    <w:rsid w:val="00AC77B1"/>
    <w:rsid w:val="00AD00EA"/>
    <w:rsid w:val="00AD013F"/>
    <w:rsid w:val="00AD0148"/>
    <w:rsid w:val="00AD0486"/>
    <w:rsid w:val="00AD05A0"/>
    <w:rsid w:val="00AD0978"/>
    <w:rsid w:val="00AD0B30"/>
    <w:rsid w:val="00AD0EB1"/>
    <w:rsid w:val="00AD11F7"/>
    <w:rsid w:val="00AD123A"/>
    <w:rsid w:val="00AD14A2"/>
    <w:rsid w:val="00AD178C"/>
    <w:rsid w:val="00AD1790"/>
    <w:rsid w:val="00AD1CE4"/>
    <w:rsid w:val="00AD1FFB"/>
    <w:rsid w:val="00AD221C"/>
    <w:rsid w:val="00AD25D9"/>
    <w:rsid w:val="00AD2877"/>
    <w:rsid w:val="00AD2B0F"/>
    <w:rsid w:val="00AD2E12"/>
    <w:rsid w:val="00AD3032"/>
    <w:rsid w:val="00AD307D"/>
    <w:rsid w:val="00AD32C1"/>
    <w:rsid w:val="00AD34E3"/>
    <w:rsid w:val="00AD3A16"/>
    <w:rsid w:val="00AD3C9E"/>
    <w:rsid w:val="00AD3D3A"/>
    <w:rsid w:val="00AD3D79"/>
    <w:rsid w:val="00AD3F58"/>
    <w:rsid w:val="00AD43E4"/>
    <w:rsid w:val="00AD485B"/>
    <w:rsid w:val="00AD4925"/>
    <w:rsid w:val="00AD4936"/>
    <w:rsid w:val="00AD4F3F"/>
    <w:rsid w:val="00AD5002"/>
    <w:rsid w:val="00AD5073"/>
    <w:rsid w:val="00AD508C"/>
    <w:rsid w:val="00AD52C0"/>
    <w:rsid w:val="00AD5850"/>
    <w:rsid w:val="00AD5912"/>
    <w:rsid w:val="00AD598F"/>
    <w:rsid w:val="00AD5A1E"/>
    <w:rsid w:val="00AD5A6D"/>
    <w:rsid w:val="00AD5FB4"/>
    <w:rsid w:val="00AD6436"/>
    <w:rsid w:val="00AD662C"/>
    <w:rsid w:val="00AD6683"/>
    <w:rsid w:val="00AD6A1D"/>
    <w:rsid w:val="00AD6A64"/>
    <w:rsid w:val="00AD6A88"/>
    <w:rsid w:val="00AD6A97"/>
    <w:rsid w:val="00AD6C09"/>
    <w:rsid w:val="00AD7172"/>
    <w:rsid w:val="00AD72CB"/>
    <w:rsid w:val="00AD7419"/>
    <w:rsid w:val="00AD7879"/>
    <w:rsid w:val="00AD7F6D"/>
    <w:rsid w:val="00AD7FCC"/>
    <w:rsid w:val="00AE0060"/>
    <w:rsid w:val="00AE03A3"/>
    <w:rsid w:val="00AE048C"/>
    <w:rsid w:val="00AE0649"/>
    <w:rsid w:val="00AE0ADA"/>
    <w:rsid w:val="00AE0BB3"/>
    <w:rsid w:val="00AE0C24"/>
    <w:rsid w:val="00AE0FC7"/>
    <w:rsid w:val="00AE10BD"/>
    <w:rsid w:val="00AE12AC"/>
    <w:rsid w:val="00AE13B6"/>
    <w:rsid w:val="00AE2041"/>
    <w:rsid w:val="00AE2086"/>
    <w:rsid w:val="00AE20E2"/>
    <w:rsid w:val="00AE228D"/>
    <w:rsid w:val="00AE23A1"/>
    <w:rsid w:val="00AE2630"/>
    <w:rsid w:val="00AE27B8"/>
    <w:rsid w:val="00AE282B"/>
    <w:rsid w:val="00AE28E7"/>
    <w:rsid w:val="00AE297C"/>
    <w:rsid w:val="00AE2A33"/>
    <w:rsid w:val="00AE2CF4"/>
    <w:rsid w:val="00AE2DF7"/>
    <w:rsid w:val="00AE306B"/>
    <w:rsid w:val="00AE3341"/>
    <w:rsid w:val="00AE334C"/>
    <w:rsid w:val="00AE350E"/>
    <w:rsid w:val="00AE3612"/>
    <w:rsid w:val="00AE377D"/>
    <w:rsid w:val="00AE388D"/>
    <w:rsid w:val="00AE38C5"/>
    <w:rsid w:val="00AE3B35"/>
    <w:rsid w:val="00AE3B46"/>
    <w:rsid w:val="00AE41E0"/>
    <w:rsid w:val="00AE4418"/>
    <w:rsid w:val="00AE47CC"/>
    <w:rsid w:val="00AE47E8"/>
    <w:rsid w:val="00AE4BDD"/>
    <w:rsid w:val="00AE4C56"/>
    <w:rsid w:val="00AE52FB"/>
    <w:rsid w:val="00AE5314"/>
    <w:rsid w:val="00AE5569"/>
    <w:rsid w:val="00AE5705"/>
    <w:rsid w:val="00AE599B"/>
    <w:rsid w:val="00AE5C16"/>
    <w:rsid w:val="00AE640B"/>
    <w:rsid w:val="00AE654F"/>
    <w:rsid w:val="00AE6787"/>
    <w:rsid w:val="00AE6B00"/>
    <w:rsid w:val="00AE6C40"/>
    <w:rsid w:val="00AE6ECE"/>
    <w:rsid w:val="00AE6F37"/>
    <w:rsid w:val="00AE710A"/>
    <w:rsid w:val="00AE75B0"/>
    <w:rsid w:val="00AF0372"/>
    <w:rsid w:val="00AF03FA"/>
    <w:rsid w:val="00AF0AEB"/>
    <w:rsid w:val="00AF0AF4"/>
    <w:rsid w:val="00AF0D35"/>
    <w:rsid w:val="00AF0D9B"/>
    <w:rsid w:val="00AF1032"/>
    <w:rsid w:val="00AF110E"/>
    <w:rsid w:val="00AF112D"/>
    <w:rsid w:val="00AF14EB"/>
    <w:rsid w:val="00AF156C"/>
    <w:rsid w:val="00AF183E"/>
    <w:rsid w:val="00AF1882"/>
    <w:rsid w:val="00AF1933"/>
    <w:rsid w:val="00AF2290"/>
    <w:rsid w:val="00AF22CC"/>
    <w:rsid w:val="00AF28C6"/>
    <w:rsid w:val="00AF292A"/>
    <w:rsid w:val="00AF29A2"/>
    <w:rsid w:val="00AF2A3C"/>
    <w:rsid w:val="00AF2B63"/>
    <w:rsid w:val="00AF2E35"/>
    <w:rsid w:val="00AF319D"/>
    <w:rsid w:val="00AF3785"/>
    <w:rsid w:val="00AF385A"/>
    <w:rsid w:val="00AF3908"/>
    <w:rsid w:val="00AF39AD"/>
    <w:rsid w:val="00AF39F7"/>
    <w:rsid w:val="00AF3C30"/>
    <w:rsid w:val="00AF3CFE"/>
    <w:rsid w:val="00AF3E41"/>
    <w:rsid w:val="00AF4266"/>
    <w:rsid w:val="00AF42B2"/>
    <w:rsid w:val="00AF44AE"/>
    <w:rsid w:val="00AF4788"/>
    <w:rsid w:val="00AF4B09"/>
    <w:rsid w:val="00AF4C65"/>
    <w:rsid w:val="00AF4D2C"/>
    <w:rsid w:val="00AF4F53"/>
    <w:rsid w:val="00AF50A8"/>
    <w:rsid w:val="00AF51F2"/>
    <w:rsid w:val="00AF551D"/>
    <w:rsid w:val="00AF5913"/>
    <w:rsid w:val="00AF5948"/>
    <w:rsid w:val="00AF5A17"/>
    <w:rsid w:val="00AF5CFF"/>
    <w:rsid w:val="00AF5D0F"/>
    <w:rsid w:val="00AF5F0D"/>
    <w:rsid w:val="00AF6AA2"/>
    <w:rsid w:val="00AF6BC0"/>
    <w:rsid w:val="00AF6FE9"/>
    <w:rsid w:val="00AF70EE"/>
    <w:rsid w:val="00AF7945"/>
    <w:rsid w:val="00AF7996"/>
    <w:rsid w:val="00AF79B5"/>
    <w:rsid w:val="00AF7BC8"/>
    <w:rsid w:val="00AF7FAE"/>
    <w:rsid w:val="00B0030A"/>
    <w:rsid w:val="00B0079F"/>
    <w:rsid w:val="00B00BD1"/>
    <w:rsid w:val="00B01286"/>
    <w:rsid w:val="00B0145A"/>
    <w:rsid w:val="00B0162B"/>
    <w:rsid w:val="00B01AD2"/>
    <w:rsid w:val="00B01C5F"/>
    <w:rsid w:val="00B01E59"/>
    <w:rsid w:val="00B01E79"/>
    <w:rsid w:val="00B0201A"/>
    <w:rsid w:val="00B020E4"/>
    <w:rsid w:val="00B021DA"/>
    <w:rsid w:val="00B02723"/>
    <w:rsid w:val="00B02BFB"/>
    <w:rsid w:val="00B02DC6"/>
    <w:rsid w:val="00B02EDA"/>
    <w:rsid w:val="00B031F1"/>
    <w:rsid w:val="00B0381D"/>
    <w:rsid w:val="00B03AB2"/>
    <w:rsid w:val="00B03B72"/>
    <w:rsid w:val="00B04115"/>
    <w:rsid w:val="00B0424B"/>
    <w:rsid w:val="00B042F0"/>
    <w:rsid w:val="00B04342"/>
    <w:rsid w:val="00B043E3"/>
    <w:rsid w:val="00B045B0"/>
    <w:rsid w:val="00B04896"/>
    <w:rsid w:val="00B0498F"/>
    <w:rsid w:val="00B04A89"/>
    <w:rsid w:val="00B04AB7"/>
    <w:rsid w:val="00B04DA9"/>
    <w:rsid w:val="00B04E41"/>
    <w:rsid w:val="00B04F9D"/>
    <w:rsid w:val="00B050AF"/>
    <w:rsid w:val="00B0528C"/>
    <w:rsid w:val="00B055B1"/>
    <w:rsid w:val="00B05634"/>
    <w:rsid w:val="00B057D8"/>
    <w:rsid w:val="00B05930"/>
    <w:rsid w:val="00B05AC8"/>
    <w:rsid w:val="00B05DA3"/>
    <w:rsid w:val="00B062B0"/>
    <w:rsid w:val="00B065EA"/>
    <w:rsid w:val="00B0660D"/>
    <w:rsid w:val="00B06697"/>
    <w:rsid w:val="00B06C60"/>
    <w:rsid w:val="00B06D2B"/>
    <w:rsid w:val="00B06E43"/>
    <w:rsid w:val="00B070DE"/>
    <w:rsid w:val="00B07437"/>
    <w:rsid w:val="00B075D7"/>
    <w:rsid w:val="00B07A80"/>
    <w:rsid w:val="00B07FF6"/>
    <w:rsid w:val="00B10040"/>
    <w:rsid w:val="00B101DA"/>
    <w:rsid w:val="00B1040F"/>
    <w:rsid w:val="00B1048B"/>
    <w:rsid w:val="00B10534"/>
    <w:rsid w:val="00B10622"/>
    <w:rsid w:val="00B1098A"/>
    <w:rsid w:val="00B10A9A"/>
    <w:rsid w:val="00B10AAC"/>
    <w:rsid w:val="00B10B84"/>
    <w:rsid w:val="00B10C50"/>
    <w:rsid w:val="00B11229"/>
    <w:rsid w:val="00B11374"/>
    <w:rsid w:val="00B11820"/>
    <w:rsid w:val="00B11AB8"/>
    <w:rsid w:val="00B11C1E"/>
    <w:rsid w:val="00B11CC3"/>
    <w:rsid w:val="00B11E3B"/>
    <w:rsid w:val="00B12241"/>
    <w:rsid w:val="00B12C1A"/>
    <w:rsid w:val="00B12C8F"/>
    <w:rsid w:val="00B12EB4"/>
    <w:rsid w:val="00B12F04"/>
    <w:rsid w:val="00B130C2"/>
    <w:rsid w:val="00B13550"/>
    <w:rsid w:val="00B13658"/>
    <w:rsid w:val="00B13878"/>
    <w:rsid w:val="00B13D90"/>
    <w:rsid w:val="00B1448F"/>
    <w:rsid w:val="00B146BB"/>
    <w:rsid w:val="00B1481C"/>
    <w:rsid w:val="00B1485A"/>
    <w:rsid w:val="00B14C7A"/>
    <w:rsid w:val="00B14C82"/>
    <w:rsid w:val="00B14E27"/>
    <w:rsid w:val="00B1519D"/>
    <w:rsid w:val="00B153BB"/>
    <w:rsid w:val="00B155A2"/>
    <w:rsid w:val="00B159A4"/>
    <w:rsid w:val="00B15A00"/>
    <w:rsid w:val="00B15E99"/>
    <w:rsid w:val="00B16591"/>
    <w:rsid w:val="00B1718A"/>
    <w:rsid w:val="00B17473"/>
    <w:rsid w:val="00B17618"/>
    <w:rsid w:val="00B176C3"/>
    <w:rsid w:val="00B17779"/>
    <w:rsid w:val="00B17B9F"/>
    <w:rsid w:val="00B20185"/>
    <w:rsid w:val="00B202E6"/>
    <w:rsid w:val="00B20720"/>
    <w:rsid w:val="00B20955"/>
    <w:rsid w:val="00B20B3F"/>
    <w:rsid w:val="00B20CC5"/>
    <w:rsid w:val="00B20D33"/>
    <w:rsid w:val="00B20E03"/>
    <w:rsid w:val="00B21019"/>
    <w:rsid w:val="00B21133"/>
    <w:rsid w:val="00B2122D"/>
    <w:rsid w:val="00B214C4"/>
    <w:rsid w:val="00B21694"/>
    <w:rsid w:val="00B21794"/>
    <w:rsid w:val="00B21A95"/>
    <w:rsid w:val="00B21E68"/>
    <w:rsid w:val="00B2202D"/>
    <w:rsid w:val="00B22072"/>
    <w:rsid w:val="00B2257A"/>
    <w:rsid w:val="00B22725"/>
    <w:rsid w:val="00B22A22"/>
    <w:rsid w:val="00B22C46"/>
    <w:rsid w:val="00B22F47"/>
    <w:rsid w:val="00B23439"/>
    <w:rsid w:val="00B23995"/>
    <w:rsid w:val="00B23A1F"/>
    <w:rsid w:val="00B23C77"/>
    <w:rsid w:val="00B23C7F"/>
    <w:rsid w:val="00B24174"/>
    <w:rsid w:val="00B2427D"/>
    <w:rsid w:val="00B24458"/>
    <w:rsid w:val="00B2445C"/>
    <w:rsid w:val="00B24489"/>
    <w:rsid w:val="00B24542"/>
    <w:rsid w:val="00B247AF"/>
    <w:rsid w:val="00B24846"/>
    <w:rsid w:val="00B2489A"/>
    <w:rsid w:val="00B24AC2"/>
    <w:rsid w:val="00B24F53"/>
    <w:rsid w:val="00B25387"/>
    <w:rsid w:val="00B253A1"/>
    <w:rsid w:val="00B255D5"/>
    <w:rsid w:val="00B25808"/>
    <w:rsid w:val="00B25A1D"/>
    <w:rsid w:val="00B25F98"/>
    <w:rsid w:val="00B26046"/>
    <w:rsid w:val="00B26093"/>
    <w:rsid w:val="00B261DF"/>
    <w:rsid w:val="00B262AB"/>
    <w:rsid w:val="00B26600"/>
    <w:rsid w:val="00B2660A"/>
    <w:rsid w:val="00B2663F"/>
    <w:rsid w:val="00B26BFA"/>
    <w:rsid w:val="00B27156"/>
    <w:rsid w:val="00B27987"/>
    <w:rsid w:val="00B27A8B"/>
    <w:rsid w:val="00B27CE0"/>
    <w:rsid w:val="00B30031"/>
    <w:rsid w:val="00B30033"/>
    <w:rsid w:val="00B3007A"/>
    <w:rsid w:val="00B3030C"/>
    <w:rsid w:val="00B308DF"/>
    <w:rsid w:val="00B30A4B"/>
    <w:rsid w:val="00B30B14"/>
    <w:rsid w:val="00B30F68"/>
    <w:rsid w:val="00B3108E"/>
    <w:rsid w:val="00B3115A"/>
    <w:rsid w:val="00B3137E"/>
    <w:rsid w:val="00B3140E"/>
    <w:rsid w:val="00B31D14"/>
    <w:rsid w:val="00B3252B"/>
    <w:rsid w:val="00B32926"/>
    <w:rsid w:val="00B32BBE"/>
    <w:rsid w:val="00B32C12"/>
    <w:rsid w:val="00B32E37"/>
    <w:rsid w:val="00B32E76"/>
    <w:rsid w:val="00B333B6"/>
    <w:rsid w:val="00B33802"/>
    <w:rsid w:val="00B33CB7"/>
    <w:rsid w:val="00B33DB4"/>
    <w:rsid w:val="00B33E21"/>
    <w:rsid w:val="00B34334"/>
    <w:rsid w:val="00B344C5"/>
    <w:rsid w:val="00B348B7"/>
    <w:rsid w:val="00B34C2D"/>
    <w:rsid w:val="00B34EB7"/>
    <w:rsid w:val="00B352FA"/>
    <w:rsid w:val="00B3542F"/>
    <w:rsid w:val="00B35A3F"/>
    <w:rsid w:val="00B35ADA"/>
    <w:rsid w:val="00B362B2"/>
    <w:rsid w:val="00B36372"/>
    <w:rsid w:val="00B36533"/>
    <w:rsid w:val="00B36612"/>
    <w:rsid w:val="00B36A75"/>
    <w:rsid w:val="00B36B5C"/>
    <w:rsid w:val="00B36CC5"/>
    <w:rsid w:val="00B36D31"/>
    <w:rsid w:val="00B371B5"/>
    <w:rsid w:val="00B378C5"/>
    <w:rsid w:val="00B37D54"/>
    <w:rsid w:val="00B37EE5"/>
    <w:rsid w:val="00B4004D"/>
    <w:rsid w:val="00B402C8"/>
    <w:rsid w:val="00B404D6"/>
    <w:rsid w:val="00B404E5"/>
    <w:rsid w:val="00B4072A"/>
    <w:rsid w:val="00B409CD"/>
    <w:rsid w:val="00B40C9B"/>
    <w:rsid w:val="00B40D23"/>
    <w:rsid w:val="00B4111C"/>
    <w:rsid w:val="00B41230"/>
    <w:rsid w:val="00B4141B"/>
    <w:rsid w:val="00B41D79"/>
    <w:rsid w:val="00B422C3"/>
    <w:rsid w:val="00B42519"/>
    <w:rsid w:val="00B4259A"/>
    <w:rsid w:val="00B42B40"/>
    <w:rsid w:val="00B42B5D"/>
    <w:rsid w:val="00B42C24"/>
    <w:rsid w:val="00B42D50"/>
    <w:rsid w:val="00B42D8D"/>
    <w:rsid w:val="00B42FC0"/>
    <w:rsid w:val="00B42FCD"/>
    <w:rsid w:val="00B43146"/>
    <w:rsid w:val="00B4323F"/>
    <w:rsid w:val="00B43655"/>
    <w:rsid w:val="00B43877"/>
    <w:rsid w:val="00B44368"/>
    <w:rsid w:val="00B44AB6"/>
    <w:rsid w:val="00B44AD5"/>
    <w:rsid w:val="00B44BDA"/>
    <w:rsid w:val="00B44C49"/>
    <w:rsid w:val="00B44F11"/>
    <w:rsid w:val="00B45061"/>
    <w:rsid w:val="00B4524E"/>
    <w:rsid w:val="00B452ED"/>
    <w:rsid w:val="00B452FA"/>
    <w:rsid w:val="00B455FD"/>
    <w:rsid w:val="00B4579D"/>
    <w:rsid w:val="00B45994"/>
    <w:rsid w:val="00B4599C"/>
    <w:rsid w:val="00B459BB"/>
    <w:rsid w:val="00B45B77"/>
    <w:rsid w:val="00B45EAF"/>
    <w:rsid w:val="00B460C3"/>
    <w:rsid w:val="00B462DD"/>
    <w:rsid w:val="00B464C3"/>
    <w:rsid w:val="00B468B8"/>
    <w:rsid w:val="00B468FF"/>
    <w:rsid w:val="00B46969"/>
    <w:rsid w:val="00B46985"/>
    <w:rsid w:val="00B469CB"/>
    <w:rsid w:val="00B46F22"/>
    <w:rsid w:val="00B47179"/>
    <w:rsid w:val="00B471C4"/>
    <w:rsid w:val="00B4735F"/>
    <w:rsid w:val="00B47567"/>
    <w:rsid w:val="00B47720"/>
    <w:rsid w:val="00B47A1D"/>
    <w:rsid w:val="00B47B07"/>
    <w:rsid w:val="00B50056"/>
    <w:rsid w:val="00B50125"/>
    <w:rsid w:val="00B5056F"/>
    <w:rsid w:val="00B5064D"/>
    <w:rsid w:val="00B50993"/>
    <w:rsid w:val="00B50ADF"/>
    <w:rsid w:val="00B50E92"/>
    <w:rsid w:val="00B511BA"/>
    <w:rsid w:val="00B51558"/>
    <w:rsid w:val="00B515F4"/>
    <w:rsid w:val="00B517AE"/>
    <w:rsid w:val="00B518D6"/>
    <w:rsid w:val="00B51904"/>
    <w:rsid w:val="00B51F6D"/>
    <w:rsid w:val="00B51FA0"/>
    <w:rsid w:val="00B5212A"/>
    <w:rsid w:val="00B521FB"/>
    <w:rsid w:val="00B52272"/>
    <w:rsid w:val="00B52459"/>
    <w:rsid w:val="00B52819"/>
    <w:rsid w:val="00B52A4A"/>
    <w:rsid w:val="00B52E12"/>
    <w:rsid w:val="00B53116"/>
    <w:rsid w:val="00B532A1"/>
    <w:rsid w:val="00B53341"/>
    <w:rsid w:val="00B53421"/>
    <w:rsid w:val="00B53576"/>
    <w:rsid w:val="00B53815"/>
    <w:rsid w:val="00B538EF"/>
    <w:rsid w:val="00B539D7"/>
    <w:rsid w:val="00B53A83"/>
    <w:rsid w:val="00B53C0C"/>
    <w:rsid w:val="00B53C0D"/>
    <w:rsid w:val="00B53C30"/>
    <w:rsid w:val="00B53D33"/>
    <w:rsid w:val="00B541D0"/>
    <w:rsid w:val="00B54452"/>
    <w:rsid w:val="00B5446B"/>
    <w:rsid w:val="00B546BE"/>
    <w:rsid w:val="00B5479F"/>
    <w:rsid w:val="00B54AE3"/>
    <w:rsid w:val="00B54B17"/>
    <w:rsid w:val="00B54CE0"/>
    <w:rsid w:val="00B54DD4"/>
    <w:rsid w:val="00B553C2"/>
    <w:rsid w:val="00B5555D"/>
    <w:rsid w:val="00B5596C"/>
    <w:rsid w:val="00B55D0A"/>
    <w:rsid w:val="00B5608F"/>
    <w:rsid w:val="00B5626B"/>
    <w:rsid w:val="00B56983"/>
    <w:rsid w:val="00B56CE6"/>
    <w:rsid w:val="00B57025"/>
    <w:rsid w:val="00B57A25"/>
    <w:rsid w:val="00B57B54"/>
    <w:rsid w:val="00B60470"/>
    <w:rsid w:val="00B6059B"/>
    <w:rsid w:val="00B6092A"/>
    <w:rsid w:val="00B60B63"/>
    <w:rsid w:val="00B60F0B"/>
    <w:rsid w:val="00B61083"/>
    <w:rsid w:val="00B6150F"/>
    <w:rsid w:val="00B615B3"/>
    <w:rsid w:val="00B617CD"/>
    <w:rsid w:val="00B618B5"/>
    <w:rsid w:val="00B618D1"/>
    <w:rsid w:val="00B61CB8"/>
    <w:rsid w:val="00B61E27"/>
    <w:rsid w:val="00B6222B"/>
    <w:rsid w:val="00B62422"/>
    <w:rsid w:val="00B626AB"/>
    <w:rsid w:val="00B628F2"/>
    <w:rsid w:val="00B62C67"/>
    <w:rsid w:val="00B62DDF"/>
    <w:rsid w:val="00B62E86"/>
    <w:rsid w:val="00B62EA4"/>
    <w:rsid w:val="00B63136"/>
    <w:rsid w:val="00B6315F"/>
    <w:rsid w:val="00B6333F"/>
    <w:rsid w:val="00B634B3"/>
    <w:rsid w:val="00B6452F"/>
    <w:rsid w:val="00B64534"/>
    <w:rsid w:val="00B6476B"/>
    <w:rsid w:val="00B6484C"/>
    <w:rsid w:val="00B64886"/>
    <w:rsid w:val="00B64C13"/>
    <w:rsid w:val="00B64C5A"/>
    <w:rsid w:val="00B64DDD"/>
    <w:rsid w:val="00B65062"/>
    <w:rsid w:val="00B656B1"/>
    <w:rsid w:val="00B65C5F"/>
    <w:rsid w:val="00B65D31"/>
    <w:rsid w:val="00B65D73"/>
    <w:rsid w:val="00B6606C"/>
    <w:rsid w:val="00B66355"/>
    <w:rsid w:val="00B664A9"/>
    <w:rsid w:val="00B66610"/>
    <w:rsid w:val="00B6684C"/>
    <w:rsid w:val="00B669EB"/>
    <w:rsid w:val="00B66A05"/>
    <w:rsid w:val="00B66E77"/>
    <w:rsid w:val="00B66F45"/>
    <w:rsid w:val="00B67067"/>
    <w:rsid w:val="00B67292"/>
    <w:rsid w:val="00B67391"/>
    <w:rsid w:val="00B673F4"/>
    <w:rsid w:val="00B67A42"/>
    <w:rsid w:val="00B67E1E"/>
    <w:rsid w:val="00B7030E"/>
    <w:rsid w:val="00B7032A"/>
    <w:rsid w:val="00B70699"/>
    <w:rsid w:val="00B70AB6"/>
    <w:rsid w:val="00B70C71"/>
    <w:rsid w:val="00B70CD7"/>
    <w:rsid w:val="00B70E30"/>
    <w:rsid w:val="00B7111F"/>
    <w:rsid w:val="00B7113F"/>
    <w:rsid w:val="00B716EC"/>
    <w:rsid w:val="00B718C8"/>
    <w:rsid w:val="00B71AB3"/>
    <w:rsid w:val="00B71C21"/>
    <w:rsid w:val="00B71D2E"/>
    <w:rsid w:val="00B71F2F"/>
    <w:rsid w:val="00B71F63"/>
    <w:rsid w:val="00B71FA2"/>
    <w:rsid w:val="00B72619"/>
    <w:rsid w:val="00B727E0"/>
    <w:rsid w:val="00B72836"/>
    <w:rsid w:val="00B7306A"/>
    <w:rsid w:val="00B73629"/>
    <w:rsid w:val="00B73901"/>
    <w:rsid w:val="00B73B5F"/>
    <w:rsid w:val="00B73D17"/>
    <w:rsid w:val="00B74063"/>
    <w:rsid w:val="00B743B3"/>
    <w:rsid w:val="00B74739"/>
    <w:rsid w:val="00B748C9"/>
    <w:rsid w:val="00B748E3"/>
    <w:rsid w:val="00B74A55"/>
    <w:rsid w:val="00B74B20"/>
    <w:rsid w:val="00B74FA4"/>
    <w:rsid w:val="00B752C6"/>
    <w:rsid w:val="00B75BC8"/>
    <w:rsid w:val="00B75C68"/>
    <w:rsid w:val="00B75C70"/>
    <w:rsid w:val="00B75D63"/>
    <w:rsid w:val="00B75E4D"/>
    <w:rsid w:val="00B761D7"/>
    <w:rsid w:val="00B762B3"/>
    <w:rsid w:val="00B76481"/>
    <w:rsid w:val="00B7667F"/>
    <w:rsid w:val="00B766AA"/>
    <w:rsid w:val="00B76730"/>
    <w:rsid w:val="00B7692C"/>
    <w:rsid w:val="00B76AF5"/>
    <w:rsid w:val="00B76B8F"/>
    <w:rsid w:val="00B76C70"/>
    <w:rsid w:val="00B76E4D"/>
    <w:rsid w:val="00B77520"/>
    <w:rsid w:val="00B775D2"/>
    <w:rsid w:val="00B7777E"/>
    <w:rsid w:val="00B7783F"/>
    <w:rsid w:val="00B8020A"/>
    <w:rsid w:val="00B8021D"/>
    <w:rsid w:val="00B80410"/>
    <w:rsid w:val="00B80503"/>
    <w:rsid w:val="00B805E0"/>
    <w:rsid w:val="00B8082A"/>
    <w:rsid w:val="00B80FE7"/>
    <w:rsid w:val="00B81369"/>
    <w:rsid w:val="00B8146E"/>
    <w:rsid w:val="00B814BF"/>
    <w:rsid w:val="00B81573"/>
    <w:rsid w:val="00B81803"/>
    <w:rsid w:val="00B8189B"/>
    <w:rsid w:val="00B818AC"/>
    <w:rsid w:val="00B81AAA"/>
    <w:rsid w:val="00B827EC"/>
    <w:rsid w:val="00B828E6"/>
    <w:rsid w:val="00B829A6"/>
    <w:rsid w:val="00B830EC"/>
    <w:rsid w:val="00B83100"/>
    <w:rsid w:val="00B83230"/>
    <w:rsid w:val="00B83796"/>
    <w:rsid w:val="00B838BF"/>
    <w:rsid w:val="00B83C56"/>
    <w:rsid w:val="00B83F39"/>
    <w:rsid w:val="00B84217"/>
    <w:rsid w:val="00B8433E"/>
    <w:rsid w:val="00B84869"/>
    <w:rsid w:val="00B8492E"/>
    <w:rsid w:val="00B84CD1"/>
    <w:rsid w:val="00B85387"/>
    <w:rsid w:val="00B85879"/>
    <w:rsid w:val="00B858A6"/>
    <w:rsid w:val="00B85BE7"/>
    <w:rsid w:val="00B85D42"/>
    <w:rsid w:val="00B85DE6"/>
    <w:rsid w:val="00B85F77"/>
    <w:rsid w:val="00B860C2"/>
    <w:rsid w:val="00B86307"/>
    <w:rsid w:val="00B863D1"/>
    <w:rsid w:val="00B86406"/>
    <w:rsid w:val="00B86605"/>
    <w:rsid w:val="00B867AC"/>
    <w:rsid w:val="00B868B7"/>
    <w:rsid w:val="00B86A54"/>
    <w:rsid w:val="00B86AB9"/>
    <w:rsid w:val="00B86B78"/>
    <w:rsid w:val="00B86E85"/>
    <w:rsid w:val="00B873FA"/>
    <w:rsid w:val="00B875E8"/>
    <w:rsid w:val="00B876DA"/>
    <w:rsid w:val="00B87939"/>
    <w:rsid w:val="00B87A58"/>
    <w:rsid w:val="00B87D16"/>
    <w:rsid w:val="00B90115"/>
    <w:rsid w:val="00B9013B"/>
    <w:rsid w:val="00B90346"/>
    <w:rsid w:val="00B90513"/>
    <w:rsid w:val="00B90909"/>
    <w:rsid w:val="00B90B03"/>
    <w:rsid w:val="00B90B70"/>
    <w:rsid w:val="00B90C19"/>
    <w:rsid w:val="00B90D7A"/>
    <w:rsid w:val="00B90DCE"/>
    <w:rsid w:val="00B90FDD"/>
    <w:rsid w:val="00B9118F"/>
    <w:rsid w:val="00B91198"/>
    <w:rsid w:val="00B9126F"/>
    <w:rsid w:val="00B91282"/>
    <w:rsid w:val="00B912CF"/>
    <w:rsid w:val="00B9192C"/>
    <w:rsid w:val="00B91DD0"/>
    <w:rsid w:val="00B92006"/>
    <w:rsid w:val="00B924DE"/>
    <w:rsid w:val="00B925FC"/>
    <w:rsid w:val="00B928F8"/>
    <w:rsid w:val="00B92FB4"/>
    <w:rsid w:val="00B92FDC"/>
    <w:rsid w:val="00B93070"/>
    <w:rsid w:val="00B930BC"/>
    <w:rsid w:val="00B9319F"/>
    <w:rsid w:val="00B932A6"/>
    <w:rsid w:val="00B93C80"/>
    <w:rsid w:val="00B93DE8"/>
    <w:rsid w:val="00B93E04"/>
    <w:rsid w:val="00B93E61"/>
    <w:rsid w:val="00B93F48"/>
    <w:rsid w:val="00B93F9C"/>
    <w:rsid w:val="00B94010"/>
    <w:rsid w:val="00B9402A"/>
    <w:rsid w:val="00B94095"/>
    <w:rsid w:val="00B94916"/>
    <w:rsid w:val="00B94A36"/>
    <w:rsid w:val="00B94BC8"/>
    <w:rsid w:val="00B94E75"/>
    <w:rsid w:val="00B94FCC"/>
    <w:rsid w:val="00B95081"/>
    <w:rsid w:val="00B95210"/>
    <w:rsid w:val="00B9532F"/>
    <w:rsid w:val="00B95414"/>
    <w:rsid w:val="00B954E8"/>
    <w:rsid w:val="00B955FF"/>
    <w:rsid w:val="00B957F4"/>
    <w:rsid w:val="00B959BE"/>
    <w:rsid w:val="00B95A2A"/>
    <w:rsid w:val="00B95C1F"/>
    <w:rsid w:val="00B95CF0"/>
    <w:rsid w:val="00B95D8D"/>
    <w:rsid w:val="00B9629B"/>
    <w:rsid w:val="00B962CB"/>
    <w:rsid w:val="00B96361"/>
    <w:rsid w:val="00B96369"/>
    <w:rsid w:val="00B9658F"/>
    <w:rsid w:val="00B96621"/>
    <w:rsid w:val="00B96805"/>
    <w:rsid w:val="00B96A70"/>
    <w:rsid w:val="00B96C53"/>
    <w:rsid w:val="00B96CB0"/>
    <w:rsid w:val="00B96CDA"/>
    <w:rsid w:val="00B973DA"/>
    <w:rsid w:val="00B9780E"/>
    <w:rsid w:val="00B97890"/>
    <w:rsid w:val="00B97ACF"/>
    <w:rsid w:val="00B97BC6"/>
    <w:rsid w:val="00BA0497"/>
    <w:rsid w:val="00BA0908"/>
    <w:rsid w:val="00BA0B6B"/>
    <w:rsid w:val="00BA0D3C"/>
    <w:rsid w:val="00BA0DD6"/>
    <w:rsid w:val="00BA12BE"/>
    <w:rsid w:val="00BA13C5"/>
    <w:rsid w:val="00BA15A9"/>
    <w:rsid w:val="00BA195A"/>
    <w:rsid w:val="00BA1D53"/>
    <w:rsid w:val="00BA1E58"/>
    <w:rsid w:val="00BA2844"/>
    <w:rsid w:val="00BA2853"/>
    <w:rsid w:val="00BA29A0"/>
    <w:rsid w:val="00BA2A51"/>
    <w:rsid w:val="00BA30C4"/>
    <w:rsid w:val="00BA31E9"/>
    <w:rsid w:val="00BA3283"/>
    <w:rsid w:val="00BA3595"/>
    <w:rsid w:val="00BA3833"/>
    <w:rsid w:val="00BA38D1"/>
    <w:rsid w:val="00BA3937"/>
    <w:rsid w:val="00BA3BD8"/>
    <w:rsid w:val="00BA417D"/>
    <w:rsid w:val="00BA4613"/>
    <w:rsid w:val="00BA47AF"/>
    <w:rsid w:val="00BA48C0"/>
    <w:rsid w:val="00BA4A12"/>
    <w:rsid w:val="00BA4B90"/>
    <w:rsid w:val="00BA4EE8"/>
    <w:rsid w:val="00BA524B"/>
    <w:rsid w:val="00BA5323"/>
    <w:rsid w:val="00BA535C"/>
    <w:rsid w:val="00BA549F"/>
    <w:rsid w:val="00BA56D2"/>
    <w:rsid w:val="00BA5751"/>
    <w:rsid w:val="00BA59E6"/>
    <w:rsid w:val="00BA5BB1"/>
    <w:rsid w:val="00BA5C83"/>
    <w:rsid w:val="00BA5DA9"/>
    <w:rsid w:val="00BA5E05"/>
    <w:rsid w:val="00BA6078"/>
    <w:rsid w:val="00BA6227"/>
    <w:rsid w:val="00BA6333"/>
    <w:rsid w:val="00BA63D4"/>
    <w:rsid w:val="00BA64ED"/>
    <w:rsid w:val="00BA67DA"/>
    <w:rsid w:val="00BA6AF7"/>
    <w:rsid w:val="00BA7292"/>
    <w:rsid w:val="00BA74CC"/>
    <w:rsid w:val="00BA76BD"/>
    <w:rsid w:val="00BA7A0D"/>
    <w:rsid w:val="00BA7AA7"/>
    <w:rsid w:val="00BA7B0D"/>
    <w:rsid w:val="00BA7C27"/>
    <w:rsid w:val="00BA7E9E"/>
    <w:rsid w:val="00BB004E"/>
    <w:rsid w:val="00BB03AD"/>
    <w:rsid w:val="00BB05FE"/>
    <w:rsid w:val="00BB07CE"/>
    <w:rsid w:val="00BB08FC"/>
    <w:rsid w:val="00BB090D"/>
    <w:rsid w:val="00BB0938"/>
    <w:rsid w:val="00BB095B"/>
    <w:rsid w:val="00BB0B00"/>
    <w:rsid w:val="00BB0EBB"/>
    <w:rsid w:val="00BB0F93"/>
    <w:rsid w:val="00BB0FFC"/>
    <w:rsid w:val="00BB1450"/>
    <w:rsid w:val="00BB177F"/>
    <w:rsid w:val="00BB19DE"/>
    <w:rsid w:val="00BB1C73"/>
    <w:rsid w:val="00BB1EDA"/>
    <w:rsid w:val="00BB1EE7"/>
    <w:rsid w:val="00BB20E0"/>
    <w:rsid w:val="00BB2212"/>
    <w:rsid w:val="00BB221B"/>
    <w:rsid w:val="00BB27CB"/>
    <w:rsid w:val="00BB27FD"/>
    <w:rsid w:val="00BB2928"/>
    <w:rsid w:val="00BB297F"/>
    <w:rsid w:val="00BB29B3"/>
    <w:rsid w:val="00BB2A00"/>
    <w:rsid w:val="00BB2ADD"/>
    <w:rsid w:val="00BB2C9B"/>
    <w:rsid w:val="00BB2FB4"/>
    <w:rsid w:val="00BB2FCA"/>
    <w:rsid w:val="00BB313D"/>
    <w:rsid w:val="00BB317B"/>
    <w:rsid w:val="00BB332B"/>
    <w:rsid w:val="00BB3356"/>
    <w:rsid w:val="00BB3735"/>
    <w:rsid w:val="00BB3F9B"/>
    <w:rsid w:val="00BB4086"/>
    <w:rsid w:val="00BB40AB"/>
    <w:rsid w:val="00BB40CD"/>
    <w:rsid w:val="00BB429D"/>
    <w:rsid w:val="00BB479A"/>
    <w:rsid w:val="00BB49AA"/>
    <w:rsid w:val="00BB4A7A"/>
    <w:rsid w:val="00BB5175"/>
    <w:rsid w:val="00BB523A"/>
    <w:rsid w:val="00BB544D"/>
    <w:rsid w:val="00BB58E0"/>
    <w:rsid w:val="00BB5D7E"/>
    <w:rsid w:val="00BB5DE5"/>
    <w:rsid w:val="00BB5E24"/>
    <w:rsid w:val="00BB62BC"/>
    <w:rsid w:val="00BB6334"/>
    <w:rsid w:val="00BB6539"/>
    <w:rsid w:val="00BB66E6"/>
    <w:rsid w:val="00BB6A4C"/>
    <w:rsid w:val="00BB6A53"/>
    <w:rsid w:val="00BB6BB6"/>
    <w:rsid w:val="00BB6BDC"/>
    <w:rsid w:val="00BB6C04"/>
    <w:rsid w:val="00BB6CB3"/>
    <w:rsid w:val="00BB70CD"/>
    <w:rsid w:val="00BB764B"/>
    <w:rsid w:val="00BB786D"/>
    <w:rsid w:val="00BB7ABD"/>
    <w:rsid w:val="00BB7AC0"/>
    <w:rsid w:val="00BB7D30"/>
    <w:rsid w:val="00BB7F8C"/>
    <w:rsid w:val="00BC0047"/>
    <w:rsid w:val="00BC0515"/>
    <w:rsid w:val="00BC0561"/>
    <w:rsid w:val="00BC064B"/>
    <w:rsid w:val="00BC08CA"/>
    <w:rsid w:val="00BC095C"/>
    <w:rsid w:val="00BC098E"/>
    <w:rsid w:val="00BC0A62"/>
    <w:rsid w:val="00BC0AED"/>
    <w:rsid w:val="00BC0C7C"/>
    <w:rsid w:val="00BC1196"/>
    <w:rsid w:val="00BC1433"/>
    <w:rsid w:val="00BC198A"/>
    <w:rsid w:val="00BC19D1"/>
    <w:rsid w:val="00BC1A0C"/>
    <w:rsid w:val="00BC1E73"/>
    <w:rsid w:val="00BC21A1"/>
    <w:rsid w:val="00BC21D4"/>
    <w:rsid w:val="00BC2517"/>
    <w:rsid w:val="00BC266F"/>
    <w:rsid w:val="00BC270F"/>
    <w:rsid w:val="00BC280F"/>
    <w:rsid w:val="00BC2950"/>
    <w:rsid w:val="00BC2DB1"/>
    <w:rsid w:val="00BC304C"/>
    <w:rsid w:val="00BC3A53"/>
    <w:rsid w:val="00BC3B3F"/>
    <w:rsid w:val="00BC3CC3"/>
    <w:rsid w:val="00BC3EDF"/>
    <w:rsid w:val="00BC4261"/>
    <w:rsid w:val="00BC42D0"/>
    <w:rsid w:val="00BC42F0"/>
    <w:rsid w:val="00BC4A71"/>
    <w:rsid w:val="00BC4DAA"/>
    <w:rsid w:val="00BC4F2E"/>
    <w:rsid w:val="00BC4F96"/>
    <w:rsid w:val="00BC4FDC"/>
    <w:rsid w:val="00BC51FE"/>
    <w:rsid w:val="00BC57A0"/>
    <w:rsid w:val="00BC57E3"/>
    <w:rsid w:val="00BC5E5B"/>
    <w:rsid w:val="00BC6158"/>
    <w:rsid w:val="00BC625A"/>
    <w:rsid w:val="00BC62AB"/>
    <w:rsid w:val="00BC6458"/>
    <w:rsid w:val="00BC64DB"/>
    <w:rsid w:val="00BC67C6"/>
    <w:rsid w:val="00BC687F"/>
    <w:rsid w:val="00BC6B65"/>
    <w:rsid w:val="00BC6C08"/>
    <w:rsid w:val="00BC6E4E"/>
    <w:rsid w:val="00BC746D"/>
    <w:rsid w:val="00BC7651"/>
    <w:rsid w:val="00BC77A6"/>
    <w:rsid w:val="00BC7B64"/>
    <w:rsid w:val="00BC7E4B"/>
    <w:rsid w:val="00BD0137"/>
    <w:rsid w:val="00BD01AE"/>
    <w:rsid w:val="00BD0263"/>
    <w:rsid w:val="00BD0502"/>
    <w:rsid w:val="00BD06B7"/>
    <w:rsid w:val="00BD071C"/>
    <w:rsid w:val="00BD0756"/>
    <w:rsid w:val="00BD0FDB"/>
    <w:rsid w:val="00BD10DB"/>
    <w:rsid w:val="00BD1113"/>
    <w:rsid w:val="00BD11D9"/>
    <w:rsid w:val="00BD1691"/>
    <w:rsid w:val="00BD1893"/>
    <w:rsid w:val="00BD1B77"/>
    <w:rsid w:val="00BD1B98"/>
    <w:rsid w:val="00BD1C7F"/>
    <w:rsid w:val="00BD2001"/>
    <w:rsid w:val="00BD2152"/>
    <w:rsid w:val="00BD2170"/>
    <w:rsid w:val="00BD218F"/>
    <w:rsid w:val="00BD2831"/>
    <w:rsid w:val="00BD292A"/>
    <w:rsid w:val="00BD2A43"/>
    <w:rsid w:val="00BD2D95"/>
    <w:rsid w:val="00BD313D"/>
    <w:rsid w:val="00BD3354"/>
    <w:rsid w:val="00BD33A1"/>
    <w:rsid w:val="00BD3452"/>
    <w:rsid w:val="00BD391A"/>
    <w:rsid w:val="00BD3E53"/>
    <w:rsid w:val="00BD3EDD"/>
    <w:rsid w:val="00BD3FA3"/>
    <w:rsid w:val="00BD41C6"/>
    <w:rsid w:val="00BD480F"/>
    <w:rsid w:val="00BD481A"/>
    <w:rsid w:val="00BD49C4"/>
    <w:rsid w:val="00BD4B18"/>
    <w:rsid w:val="00BD4B21"/>
    <w:rsid w:val="00BD4B63"/>
    <w:rsid w:val="00BD4C1D"/>
    <w:rsid w:val="00BD4D06"/>
    <w:rsid w:val="00BD4FAC"/>
    <w:rsid w:val="00BD503A"/>
    <w:rsid w:val="00BD5340"/>
    <w:rsid w:val="00BD53B8"/>
    <w:rsid w:val="00BD55CB"/>
    <w:rsid w:val="00BD58F3"/>
    <w:rsid w:val="00BD599D"/>
    <w:rsid w:val="00BD5A01"/>
    <w:rsid w:val="00BD5F29"/>
    <w:rsid w:val="00BD5F31"/>
    <w:rsid w:val="00BD698F"/>
    <w:rsid w:val="00BD6BA2"/>
    <w:rsid w:val="00BD6C1B"/>
    <w:rsid w:val="00BD6E9A"/>
    <w:rsid w:val="00BD7055"/>
    <w:rsid w:val="00BD7316"/>
    <w:rsid w:val="00BD741F"/>
    <w:rsid w:val="00BD7478"/>
    <w:rsid w:val="00BD752F"/>
    <w:rsid w:val="00BD75D6"/>
    <w:rsid w:val="00BD7BD7"/>
    <w:rsid w:val="00BD7E69"/>
    <w:rsid w:val="00BD7FFD"/>
    <w:rsid w:val="00BE05FA"/>
    <w:rsid w:val="00BE09CD"/>
    <w:rsid w:val="00BE0A07"/>
    <w:rsid w:val="00BE0B5C"/>
    <w:rsid w:val="00BE100F"/>
    <w:rsid w:val="00BE1229"/>
    <w:rsid w:val="00BE1441"/>
    <w:rsid w:val="00BE1515"/>
    <w:rsid w:val="00BE17E1"/>
    <w:rsid w:val="00BE1A78"/>
    <w:rsid w:val="00BE1A95"/>
    <w:rsid w:val="00BE1BE7"/>
    <w:rsid w:val="00BE2229"/>
    <w:rsid w:val="00BE2342"/>
    <w:rsid w:val="00BE23A9"/>
    <w:rsid w:val="00BE2577"/>
    <w:rsid w:val="00BE27CA"/>
    <w:rsid w:val="00BE2836"/>
    <w:rsid w:val="00BE29BD"/>
    <w:rsid w:val="00BE2C93"/>
    <w:rsid w:val="00BE2F6D"/>
    <w:rsid w:val="00BE33DF"/>
    <w:rsid w:val="00BE357F"/>
    <w:rsid w:val="00BE35A8"/>
    <w:rsid w:val="00BE35C4"/>
    <w:rsid w:val="00BE3707"/>
    <w:rsid w:val="00BE39FC"/>
    <w:rsid w:val="00BE3A14"/>
    <w:rsid w:val="00BE3A72"/>
    <w:rsid w:val="00BE3FB9"/>
    <w:rsid w:val="00BE4025"/>
    <w:rsid w:val="00BE4240"/>
    <w:rsid w:val="00BE4805"/>
    <w:rsid w:val="00BE48D2"/>
    <w:rsid w:val="00BE4964"/>
    <w:rsid w:val="00BE4B2F"/>
    <w:rsid w:val="00BE4E8E"/>
    <w:rsid w:val="00BE56C2"/>
    <w:rsid w:val="00BE574F"/>
    <w:rsid w:val="00BE5A10"/>
    <w:rsid w:val="00BE5B26"/>
    <w:rsid w:val="00BE5E33"/>
    <w:rsid w:val="00BE5EAE"/>
    <w:rsid w:val="00BE604B"/>
    <w:rsid w:val="00BE62B9"/>
    <w:rsid w:val="00BE6455"/>
    <w:rsid w:val="00BE69BC"/>
    <w:rsid w:val="00BE6C45"/>
    <w:rsid w:val="00BE6FC1"/>
    <w:rsid w:val="00BE6FD4"/>
    <w:rsid w:val="00BE7131"/>
    <w:rsid w:val="00BE775C"/>
    <w:rsid w:val="00BE77B1"/>
    <w:rsid w:val="00BE7844"/>
    <w:rsid w:val="00BE7891"/>
    <w:rsid w:val="00BE797E"/>
    <w:rsid w:val="00BE79BA"/>
    <w:rsid w:val="00BE7BDD"/>
    <w:rsid w:val="00BF00E4"/>
    <w:rsid w:val="00BF0345"/>
    <w:rsid w:val="00BF0553"/>
    <w:rsid w:val="00BF05B5"/>
    <w:rsid w:val="00BF0DB6"/>
    <w:rsid w:val="00BF1066"/>
    <w:rsid w:val="00BF10DA"/>
    <w:rsid w:val="00BF1631"/>
    <w:rsid w:val="00BF18A2"/>
    <w:rsid w:val="00BF262A"/>
    <w:rsid w:val="00BF2649"/>
    <w:rsid w:val="00BF2882"/>
    <w:rsid w:val="00BF2C24"/>
    <w:rsid w:val="00BF2DF4"/>
    <w:rsid w:val="00BF3090"/>
    <w:rsid w:val="00BF3260"/>
    <w:rsid w:val="00BF330A"/>
    <w:rsid w:val="00BF3AB9"/>
    <w:rsid w:val="00BF3CEC"/>
    <w:rsid w:val="00BF3EE2"/>
    <w:rsid w:val="00BF4173"/>
    <w:rsid w:val="00BF4216"/>
    <w:rsid w:val="00BF44BA"/>
    <w:rsid w:val="00BF4573"/>
    <w:rsid w:val="00BF465C"/>
    <w:rsid w:val="00BF4780"/>
    <w:rsid w:val="00BF497F"/>
    <w:rsid w:val="00BF4D06"/>
    <w:rsid w:val="00BF4DA7"/>
    <w:rsid w:val="00BF5298"/>
    <w:rsid w:val="00BF5628"/>
    <w:rsid w:val="00BF5E04"/>
    <w:rsid w:val="00BF62B1"/>
    <w:rsid w:val="00BF64A0"/>
    <w:rsid w:val="00BF6712"/>
    <w:rsid w:val="00BF673F"/>
    <w:rsid w:val="00BF67EE"/>
    <w:rsid w:val="00BF68BF"/>
    <w:rsid w:val="00BF68E9"/>
    <w:rsid w:val="00BF6F8B"/>
    <w:rsid w:val="00BF706E"/>
    <w:rsid w:val="00BF72CF"/>
    <w:rsid w:val="00BF74CD"/>
    <w:rsid w:val="00BF7521"/>
    <w:rsid w:val="00BF7563"/>
    <w:rsid w:val="00BF7576"/>
    <w:rsid w:val="00BF7637"/>
    <w:rsid w:val="00BF76B5"/>
    <w:rsid w:val="00BF7745"/>
    <w:rsid w:val="00BF7CBA"/>
    <w:rsid w:val="00C001EF"/>
    <w:rsid w:val="00C00308"/>
    <w:rsid w:val="00C00508"/>
    <w:rsid w:val="00C006C9"/>
    <w:rsid w:val="00C00702"/>
    <w:rsid w:val="00C0091E"/>
    <w:rsid w:val="00C00B5A"/>
    <w:rsid w:val="00C00FB0"/>
    <w:rsid w:val="00C01788"/>
    <w:rsid w:val="00C01C0F"/>
    <w:rsid w:val="00C01C16"/>
    <w:rsid w:val="00C01CFD"/>
    <w:rsid w:val="00C01DD8"/>
    <w:rsid w:val="00C02008"/>
    <w:rsid w:val="00C02254"/>
    <w:rsid w:val="00C02322"/>
    <w:rsid w:val="00C023C6"/>
    <w:rsid w:val="00C026C6"/>
    <w:rsid w:val="00C02826"/>
    <w:rsid w:val="00C02841"/>
    <w:rsid w:val="00C02AB3"/>
    <w:rsid w:val="00C02CC9"/>
    <w:rsid w:val="00C03E28"/>
    <w:rsid w:val="00C04617"/>
    <w:rsid w:val="00C047F6"/>
    <w:rsid w:val="00C04BF4"/>
    <w:rsid w:val="00C04CDA"/>
    <w:rsid w:val="00C04DCF"/>
    <w:rsid w:val="00C04E56"/>
    <w:rsid w:val="00C05000"/>
    <w:rsid w:val="00C05082"/>
    <w:rsid w:val="00C052F0"/>
    <w:rsid w:val="00C05561"/>
    <w:rsid w:val="00C055A0"/>
    <w:rsid w:val="00C058D0"/>
    <w:rsid w:val="00C0595E"/>
    <w:rsid w:val="00C05996"/>
    <w:rsid w:val="00C05AE1"/>
    <w:rsid w:val="00C05B04"/>
    <w:rsid w:val="00C05CDA"/>
    <w:rsid w:val="00C05E24"/>
    <w:rsid w:val="00C05F20"/>
    <w:rsid w:val="00C05F6C"/>
    <w:rsid w:val="00C06177"/>
    <w:rsid w:val="00C061A6"/>
    <w:rsid w:val="00C06280"/>
    <w:rsid w:val="00C06BC8"/>
    <w:rsid w:val="00C06C9E"/>
    <w:rsid w:val="00C06D11"/>
    <w:rsid w:val="00C06D39"/>
    <w:rsid w:val="00C06D99"/>
    <w:rsid w:val="00C06E5B"/>
    <w:rsid w:val="00C074CA"/>
    <w:rsid w:val="00C075EA"/>
    <w:rsid w:val="00C07BE5"/>
    <w:rsid w:val="00C07F53"/>
    <w:rsid w:val="00C10563"/>
    <w:rsid w:val="00C105A1"/>
    <w:rsid w:val="00C10713"/>
    <w:rsid w:val="00C10737"/>
    <w:rsid w:val="00C10F87"/>
    <w:rsid w:val="00C111F3"/>
    <w:rsid w:val="00C113F0"/>
    <w:rsid w:val="00C1162B"/>
    <w:rsid w:val="00C11AB7"/>
    <w:rsid w:val="00C12145"/>
    <w:rsid w:val="00C12738"/>
    <w:rsid w:val="00C129FA"/>
    <w:rsid w:val="00C12A47"/>
    <w:rsid w:val="00C12DC6"/>
    <w:rsid w:val="00C1328D"/>
    <w:rsid w:val="00C13703"/>
    <w:rsid w:val="00C13728"/>
    <w:rsid w:val="00C138A1"/>
    <w:rsid w:val="00C13959"/>
    <w:rsid w:val="00C139F5"/>
    <w:rsid w:val="00C13BFF"/>
    <w:rsid w:val="00C14215"/>
    <w:rsid w:val="00C142D6"/>
    <w:rsid w:val="00C1435E"/>
    <w:rsid w:val="00C143AD"/>
    <w:rsid w:val="00C144A2"/>
    <w:rsid w:val="00C145BF"/>
    <w:rsid w:val="00C1485A"/>
    <w:rsid w:val="00C14F7A"/>
    <w:rsid w:val="00C152F7"/>
    <w:rsid w:val="00C15457"/>
    <w:rsid w:val="00C1549E"/>
    <w:rsid w:val="00C1562C"/>
    <w:rsid w:val="00C158DA"/>
    <w:rsid w:val="00C15B64"/>
    <w:rsid w:val="00C15ECF"/>
    <w:rsid w:val="00C15EE0"/>
    <w:rsid w:val="00C15FDA"/>
    <w:rsid w:val="00C160D9"/>
    <w:rsid w:val="00C16203"/>
    <w:rsid w:val="00C16306"/>
    <w:rsid w:val="00C16405"/>
    <w:rsid w:val="00C165A7"/>
    <w:rsid w:val="00C16C9A"/>
    <w:rsid w:val="00C16FA3"/>
    <w:rsid w:val="00C1713B"/>
    <w:rsid w:val="00C172F3"/>
    <w:rsid w:val="00C1749E"/>
    <w:rsid w:val="00C1798C"/>
    <w:rsid w:val="00C179D3"/>
    <w:rsid w:val="00C17F05"/>
    <w:rsid w:val="00C20127"/>
    <w:rsid w:val="00C201AC"/>
    <w:rsid w:val="00C203C3"/>
    <w:rsid w:val="00C20433"/>
    <w:rsid w:val="00C2049B"/>
    <w:rsid w:val="00C20637"/>
    <w:rsid w:val="00C20823"/>
    <w:rsid w:val="00C20AEC"/>
    <w:rsid w:val="00C20B68"/>
    <w:rsid w:val="00C20B92"/>
    <w:rsid w:val="00C21051"/>
    <w:rsid w:val="00C210B0"/>
    <w:rsid w:val="00C210CB"/>
    <w:rsid w:val="00C2111D"/>
    <w:rsid w:val="00C215AF"/>
    <w:rsid w:val="00C21801"/>
    <w:rsid w:val="00C21A00"/>
    <w:rsid w:val="00C21C75"/>
    <w:rsid w:val="00C21CD6"/>
    <w:rsid w:val="00C226FA"/>
    <w:rsid w:val="00C22750"/>
    <w:rsid w:val="00C22772"/>
    <w:rsid w:val="00C227E5"/>
    <w:rsid w:val="00C2293F"/>
    <w:rsid w:val="00C22DA3"/>
    <w:rsid w:val="00C2312D"/>
    <w:rsid w:val="00C234A9"/>
    <w:rsid w:val="00C237FB"/>
    <w:rsid w:val="00C23880"/>
    <w:rsid w:val="00C23990"/>
    <w:rsid w:val="00C239DC"/>
    <w:rsid w:val="00C23ABF"/>
    <w:rsid w:val="00C23C88"/>
    <w:rsid w:val="00C23EBF"/>
    <w:rsid w:val="00C240C4"/>
    <w:rsid w:val="00C245C0"/>
    <w:rsid w:val="00C248DD"/>
    <w:rsid w:val="00C24975"/>
    <w:rsid w:val="00C24EAF"/>
    <w:rsid w:val="00C25054"/>
    <w:rsid w:val="00C25171"/>
    <w:rsid w:val="00C2520C"/>
    <w:rsid w:val="00C25255"/>
    <w:rsid w:val="00C2531E"/>
    <w:rsid w:val="00C2536E"/>
    <w:rsid w:val="00C253B1"/>
    <w:rsid w:val="00C255CB"/>
    <w:rsid w:val="00C25627"/>
    <w:rsid w:val="00C256B1"/>
    <w:rsid w:val="00C257FC"/>
    <w:rsid w:val="00C25B68"/>
    <w:rsid w:val="00C25BE4"/>
    <w:rsid w:val="00C25C3C"/>
    <w:rsid w:val="00C25EC1"/>
    <w:rsid w:val="00C25FC4"/>
    <w:rsid w:val="00C2610A"/>
    <w:rsid w:val="00C262B8"/>
    <w:rsid w:val="00C264DB"/>
    <w:rsid w:val="00C2652A"/>
    <w:rsid w:val="00C2675E"/>
    <w:rsid w:val="00C2681F"/>
    <w:rsid w:val="00C269E3"/>
    <w:rsid w:val="00C26C35"/>
    <w:rsid w:val="00C26D63"/>
    <w:rsid w:val="00C27267"/>
    <w:rsid w:val="00C27319"/>
    <w:rsid w:val="00C2777C"/>
    <w:rsid w:val="00C27780"/>
    <w:rsid w:val="00C278D7"/>
    <w:rsid w:val="00C27E13"/>
    <w:rsid w:val="00C27F95"/>
    <w:rsid w:val="00C27F96"/>
    <w:rsid w:val="00C3029C"/>
    <w:rsid w:val="00C303B5"/>
    <w:rsid w:val="00C304A1"/>
    <w:rsid w:val="00C304F2"/>
    <w:rsid w:val="00C3076F"/>
    <w:rsid w:val="00C30A5C"/>
    <w:rsid w:val="00C30B68"/>
    <w:rsid w:val="00C30E56"/>
    <w:rsid w:val="00C31052"/>
    <w:rsid w:val="00C311C5"/>
    <w:rsid w:val="00C31640"/>
    <w:rsid w:val="00C31870"/>
    <w:rsid w:val="00C3196D"/>
    <w:rsid w:val="00C31AA7"/>
    <w:rsid w:val="00C31E41"/>
    <w:rsid w:val="00C320D6"/>
    <w:rsid w:val="00C32137"/>
    <w:rsid w:val="00C3232A"/>
    <w:rsid w:val="00C323A9"/>
    <w:rsid w:val="00C323C9"/>
    <w:rsid w:val="00C32412"/>
    <w:rsid w:val="00C32586"/>
    <w:rsid w:val="00C330C2"/>
    <w:rsid w:val="00C33281"/>
    <w:rsid w:val="00C332E7"/>
    <w:rsid w:val="00C33945"/>
    <w:rsid w:val="00C33D51"/>
    <w:rsid w:val="00C3460D"/>
    <w:rsid w:val="00C34ABF"/>
    <w:rsid w:val="00C34B04"/>
    <w:rsid w:val="00C34C00"/>
    <w:rsid w:val="00C34C43"/>
    <w:rsid w:val="00C34C5D"/>
    <w:rsid w:val="00C34D19"/>
    <w:rsid w:val="00C34E26"/>
    <w:rsid w:val="00C34EA6"/>
    <w:rsid w:val="00C35280"/>
    <w:rsid w:val="00C352F2"/>
    <w:rsid w:val="00C353DE"/>
    <w:rsid w:val="00C354E9"/>
    <w:rsid w:val="00C35567"/>
    <w:rsid w:val="00C355C1"/>
    <w:rsid w:val="00C356E9"/>
    <w:rsid w:val="00C3575A"/>
    <w:rsid w:val="00C35A09"/>
    <w:rsid w:val="00C36104"/>
    <w:rsid w:val="00C36141"/>
    <w:rsid w:val="00C361C2"/>
    <w:rsid w:val="00C362FA"/>
    <w:rsid w:val="00C363F1"/>
    <w:rsid w:val="00C36F1B"/>
    <w:rsid w:val="00C36F3B"/>
    <w:rsid w:val="00C3735B"/>
    <w:rsid w:val="00C37656"/>
    <w:rsid w:val="00C37C67"/>
    <w:rsid w:val="00C37DFA"/>
    <w:rsid w:val="00C401F4"/>
    <w:rsid w:val="00C405E4"/>
    <w:rsid w:val="00C40705"/>
    <w:rsid w:val="00C40808"/>
    <w:rsid w:val="00C40905"/>
    <w:rsid w:val="00C409DF"/>
    <w:rsid w:val="00C40A1D"/>
    <w:rsid w:val="00C40C05"/>
    <w:rsid w:val="00C40E2D"/>
    <w:rsid w:val="00C40E92"/>
    <w:rsid w:val="00C4117B"/>
    <w:rsid w:val="00C418A2"/>
    <w:rsid w:val="00C41BEB"/>
    <w:rsid w:val="00C41E34"/>
    <w:rsid w:val="00C41F59"/>
    <w:rsid w:val="00C41FB6"/>
    <w:rsid w:val="00C421D6"/>
    <w:rsid w:val="00C4248B"/>
    <w:rsid w:val="00C42601"/>
    <w:rsid w:val="00C427AC"/>
    <w:rsid w:val="00C42904"/>
    <w:rsid w:val="00C42CEF"/>
    <w:rsid w:val="00C432BC"/>
    <w:rsid w:val="00C435E8"/>
    <w:rsid w:val="00C43639"/>
    <w:rsid w:val="00C43E0C"/>
    <w:rsid w:val="00C43E8C"/>
    <w:rsid w:val="00C440BB"/>
    <w:rsid w:val="00C4453D"/>
    <w:rsid w:val="00C44902"/>
    <w:rsid w:val="00C44D3A"/>
    <w:rsid w:val="00C45038"/>
    <w:rsid w:val="00C45223"/>
    <w:rsid w:val="00C45436"/>
    <w:rsid w:val="00C459A6"/>
    <w:rsid w:val="00C45A24"/>
    <w:rsid w:val="00C45F50"/>
    <w:rsid w:val="00C46249"/>
    <w:rsid w:val="00C46D42"/>
    <w:rsid w:val="00C4706F"/>
    <w:rsid w:val="00C474EB"/>
    <w:rsid w:val="00C47550"/>
    <w:rsid w:val="00C475B6"/>
    <w:rsid w:val="00C479D2"/>
    <w:rsid w:val="00C47A40"/>
    <w:rsid w:val="00C47D0D"/>
    <w:rsid w:val="00C47F40"/>
    <w:rsid w:val="00C50122"/>
    <w:rsid w:val="00C5013E"/>
    <w:rsid w:val="00C50186"/>
    <w:rsid w:val="00C50447"/>
    <w:rsid w:val="00C504DF"/>
    <w:rsid w:val="00C50803"/>
    <w:rsid w:val="00C50A26"/>
    <w:rsid w:val="00C50FDA"/>
    <w:rsid w:val="00C51524"/>
    <w:rsid w:val="00C5153F"/>
    <w:rsid w:val="00C51582"/>
    <w:rsid w:val="00C5170A"/>
    <w:rsid w:val="00C518E1"/>
    <w:rsid w:val="00C51B8C"/>
    <w:rsid w:val="00C51D84"/>
    <w:rsid w:val="00C520EB"/>
    <w:rsid w:val="00C521D8"/>
    <w:rsid w:val="00C522BA"/>
    <w:rsid w:val="00C52C8A"/>
    <w:rsid w:val="00C531E6"/>
    <w:rsid w:val="00C53291"/>
    <w:rsid w:val="00C533DD"/>
    <w:rsid w:val="00C5369D"/>
    <w:rsid w:val="00C53D9D"/>
    <w:rsid w:val="00C53E85"/>
    <w:rsid w:val="00C5401D"/>
    <w:rsid w:val="00C54148"/>
    <w:rsid w:val="00C54A95"/>
    <w:rsid w:val="00C54E87"/>
    <w:rsid w:val="00C55069"/>
    <w:rsid w:val="00C550F8"/>
    <w:rsid w:val="00C55FB4"/>
    <w:rsid w:val="00C5608B"/>
    <w:rsid w:val="00C5618E"/>
    <w:rsid w:val="00C561E6"/>
    <w:rsid w:val="00C563C3"/>
    <w:rsid w:val="00C566A1"/>
    <w:rsid w:val="00C572D7"/>
    <w:rsid w:val="00C5733C"/>
    <w:rsid w:val="00C573BE"/>
    <w:rsid w:val="00C577D6"/>
    <w:rsid w:val="00C57ECE"/>
    <w:rsid w:val="00C6008E"/>
    <w:rsid w:val="00C60370"/>
    <w:rsid w:val="00C60567"/>
    <w:rsid w:val="00C6094E"/>
    <w:rsid w:val="00C60E1B"/>
    <w:rsid w:val="00C61411"/>
    <w:rsid w:val="00C61801"/>
    <w:rsid w:val="00C61A8B"/>
    <w:rsid w:val="00C61AC6"/>
    <w:rsid w:val="00C61F88"/>
    <w:rsid w:val="00C62446"/>
    <w:rsid w:val="00C624E0"/>
    <w:rsid w:val="00C62573"/>
    <w:rsid w:val="00C627B8"/>
    <w:rsid w:val="00C62861"/>
    <w:rsid w:val="00C6291F"/>
    <w:rsid w:val="00C62B6A"/>
    <w:rsid w:val="00C62F1E"/>
    <w:rsid w:val="00C62F97"/>
    <w:rsid w:val="00C63131"/>
    <w:rsid w:val="00C632BD"/>
    <w:rsid w:val="00C63378"/>
    <w:rsid w:val="00C63810"/>
    <w:rsid w:val="00C6406F"/>
    <w:rsid w:val="00C640AB"/>
    <w:rsid w:val="00C640E9"/>
    <w:rsid w:val="00C642B3"/>
    <w:rsid w:val="00C64373"/>
    <w:rsid w:val="00C64514"/>
    <w:rsid w:val="00C64526"/>
    <w:rsid w:val="00C645DA"/>
    <w:rsid w:val="00C648F7"/>
    <w:rsid w:val="00C64A61"/>
    <w:rsid w:val="00C64A76"/>
    <w:rsid w:val="00C64B67"/>
    <w:rsid w:val="00C652E5"/>
    <w:rsid w:val="00C657D3"/>
    <w:rsid w:val="00C65A0D"/>
    <w:rsid w:val="00C65AA5"/>
    <w:rsid w:val="00C65B1B"/>
    <w:rsid w:val="00C661DD"/>
    <w:rsid w:val="00C66493"/>
    <w:rsid w:val="00C66525"/>
    <w:rsid w:val="00C66EDD"/>
    <w:rsid w:val="00C671F6"/>
    <w:rsid w:val="00C6721F"/>
    <w:rsid w:val="00C672A5"/>
    <w:rsid w:val="00C67901"/>
    <w:rsid w:val="00C67B23"/>
    <w:rsid w:val="00C67D59"/>
    <w:rsid w:val="00C67FFB"/>
    <w:rsid w:val="00C702C7"/>
    <w:rsid w:val="00C703A1"/>
    <w:rsid w:val="00C7046A"/>
    <w:rsid w:val="00C707E5"/>
    <w:rsid w:val="00C70C70"/>
    <w:rsid w:val="00C71D55"/>
    <w:rsid w:val="00C71F66"/>
    <w:rsid w:val="00C7212F"/>
    <w:rsid w:val="00C72172"/>
    <w:rsid w:val="00C72314"/>
    <w:rsid w:val="00C728A3"/>
    <w:rsid w:val="00C72FC4"/>
    <w:rsid w:val="00C7313F"/>
    <w:rsid w:val="00C736AA"/>
    <w:rsid w:val="00C7394E"/>
    <w:rsid w:val="00C74011"/>
    <w:rsid w:val="00C7429C"/>
    <w:rsid w:val="00C742A2"/>
    <w:rsid w:val="00C7433C"/>
    <w:rsid w:val="00C744F2"/>
    <w:rsid w:val="00C74763"/>
    <w:rsid w:val="00C753E0"/>
    <w:rsid w:val="00C75532"/>
    <w:rsid w:val="00C7581D"/>
    <w:rsid w:val="00C75930"/>
    <w:rsid w:val="00C75AF2"/>
    <w:rsid w:val="00C76000"/>
    <w:rsid w:val="00C76135"/>
    <w:rsid w:val="00C7618A"/>
    <w:rsid w:val="00C76274"/>
    <w:rsid w:val="00C76283"/>
    <w:rsid w:val="00C76290"/>
    <w:rsid w:val="00C762EB"/>
    <w:rsid w:val="00C764BE"/>
    <w:rsid w:val="00C7654C"/>
    <w:rsid w:val="00C765DF"/>
    <w:rsid w:val="00C7667B"/>
    <w:rsid w:val="00C7672C"/>
    <w:rsid w:val="00C76744"/>
    <w:rsid w:val="00C767C5"/>
    <w:rsid w:val="00C76A44"/>
    <w:rsid w:val="00C76B43"/>
    <w:rsid w:val="00C76D2F"/>
    <w:rsid w:val="00C76EAC"/>
    <w:rsid w:val="00C76F79"/>
    <w:rsid w:val="00C772C5"/>
    <w:rsid w:val="00C77579"/>
    <w:rsid w:val="00C775B4"/>
    <w:rsid w:val="00C776BE"/>
    <w:rsid w:val="00C77DB1"/>
    <w:rsid w:val="00C77DD5"/>
    <w:rsid w:val="00C800E1"/>
    <w:rsid w:val="00C80598"/>
    <w:rsid w:val="00C80C02"/>
    <w:rsid w:val="00C81054"/>
    <w:rsid w:val="00C81400"/>
    <w:rsid w:val="00C814FD"/>
    <w:rsid w:val="00C815C0"/>
    <w:rsid w:val="00C815F1"/>
    <w:rsid w:val="00C81648"/>
    <w:rsid w:val="00C81A54"/>
    <w:rsid w:val="00C81F30"/>
    <w:rsid w:val="00C82197"/>
    <w:rsid w:val="00C821B4"/>
    <w:rsid w:val="00C828C3"/>
    <w:rsid w:val="00C82A11"/>
    <w:rsid w:val="00C82CA4"/>
    <w:rsid w:val="00C82D0A"/>
    <w:rsid w:val="00C82D6A"/>
    <w:rsid w:val="00C82E78"/>
    <w:rsid w:val="00C82F3B"/>
    <w:rsid w:val="00C8310D"/>
    <w:rsid w:val="00C831FE"/>
    <w:rsid w:val="00C8320D"/>
    <w:rsid w:val="00C834C2"/>
    <w:rsid w:val="00C83508"/>
    <w:rsid w:val="00C8350B"/>
    <w:rsid w:val="00C8388E"/>
    <w:rsid w:val="00C84017"/>
    <w:rsid w:val="00C840A3"/>
    <w:rsid w:val="00C8457D"/>
    <w:rsid w:val="00C84896"/>
    <w:rsid w:val="00C8499B"/>
    <w:rsid w:val="00C84A15"/>
    <w:rsid w:val="00C850F4"/>
    <w:rsid w:val="00C853E0"/>
    <w:rsid w:val="00C85947"/>
    <w:rsid w:val="00C859F4"/>
    <w:rsid w:val="00C86042"/>
    <w:rsid w:val="00C862EA"/>
    <w:rsid w:val="00C8632D"/>
    <w:rsid w:val="00C865E2"/>
    <w:rsid w:val="00C86626"/>
    <w:rsid w:val="00C86776"/>
    <w:rsid w:val="00C86828"/>
    <w:rsid w:val="00C8703B"/>
    <w:rsid w:val="00C8724B"/>
    <w:rsid w:val="00C87798"/>
    <w:rsid w:val="00C87894"/>
    <w:rsid w:val="00C8794F"/>
    <w:rsid w:val="00C87AC7"/>
    <w:rsid w:val="00C87ADD"/>
    <w:rsid w:val="00C87B41"/>
    <w:rsid w:val="00C87CFA"/>
    <w:rsid w:val="00C87D7C"/>
    <w:rsid w:val="00C87D85"/>
    <w:rsid w:val="00C90453"/>
    <w:rsid w:val="00C904FC"/>
    <w:rsid w:val="00C906AF"/>
    <w:rsid w:val="00C906C7"/>
    <w:rsid w:val="00C90829"/>
    <w:rsid w:val="00C90B50"/>
    <w:rsid w:val="00C90CA2"/>
    <w:rsid w:val="00C90D88"/>
    <w:rsid w:val="00C9117E"/>
    <w:rsid w:val="00C91513"/>
    <w:rsid w:val="00C91913"/>
    <w:rsid w:val="00C91C41"/>
    <w:rsid w:val="00C91E95"/>
    <w:rsid w:val="00C92037"/>
    <w:rsid w:val="00C9230D"/>
    <w:rsid w:val="00C92AD5"/>
    <w:rsid w:val="00C92AFF"/>
    <w:rsid w:val="00C92E87"/>
    <w:rsid w:val="00C92FAB"/>
    <w:rsid w:val="00C9324C"/>
    <w:rsid w:val="00C93295"/>
    <w:rsid w:val="00C93354"/>
    <w:rsid w:val="00C937F0"/>
    <w:rsid w:val="00C93A18"/>
    <w:rsid w:val="00C93D44"/>
    <w:rsid w:val="00C94022"/>
    <w:rsid w:val="00C9407A"/>
    <w:rsid w:val="00C94240"/>
    <w:rsid w:val="00C942CF"/>
    <w:rsid w:val="00C943C9"/>
    <w:rsid w:val="00C9484A"/>
    <w:rsid w:val="00C948EB"/>
    <w:rsid w:val="00C94DB9"/>
    <w:rsid w:val="00C951A9"/>
    <w:rsid w:val="00C9566D"/>
    <w:rsid w:val="00C959A6"/>
    <w:rsid w:val="00C95D90"/>
    <w:rsid w:val="00C95E3F"/>
    <w:rsid w:val="00C95EDE"/>
    <w:rsid w:val="00C95FDC"/>
    <w:rsid w:val="00C961D3"/>
    <w:rsid w:val="00C962FF"/>
    <w:rsid w:val="00C96381"/>
    <w:rsid w:val="00C96786"/>
    <w:rsid w:val="00C96A9F"/>
    <w:rsid w:val="00C96AB7"/>
    <w:rsid w:val="00C96D95"/>
    <w:rsid w:val="00C96E1B"/>
    <w:rsid w:val="00C96F6F"/>
    <w:rsid w:val="00C9703B"/>
    <w:rsid w:val="00C97123"/>
    <w:rsid w:val="00C9735F"/>
    <w:rsid w:val="00C974CB"/>
    <w:rsid w:val="00C976DE"/>
    <w:rsid w:val="00C97B26"/>
    <w:rsid w:val="00C97BDA"/>
    <w:rsid w:val="00C97DDF"/>
    <w:rsid w:val="00CA013F"/>
    <w:rsid w:val="00CA018B"/>
    <w:rsid w:val="00CA02DD"/>
    <w:rsid w:val="00CA04CA"/>
    <w:rsid w:val="00CA050F"/>
    <w:rsid w:val="00CA06F6"/>
    <w:rsid w:val="00CA0756"/>
    <w:rsid w:val="00CA0AF7"/>
    <w:rsid w:val="00CA0B35"/>
    <w:rsid w:val="00CA0F36"/>
    <w:rsid w:val="00CA11A0"/>
    <w:rsid w:val="00CA1B38"/>
    <w:rsid w:val="00CA1B64"/>
    <w:rsid w:val="00CA1BC8"/>
    <w:rsid w:val="00CA1DE2"/>
    <w:rsid w:val="00CA1E93"/>
    <w:rsid w:val="00CA1EFF"/>
    <w:rsid w:val="00CA201A"/>
    <w:rsid w:val="00CA2068"/>
    <w:rsid w:val="00CA23EC"/>
    <w:rsid w:val="00CA240C"/>
    <w:rsid w:val="00CA24A7"/>
    <w:rsid w:val="00CA24CC"/>
    <w:rsid w:val="00CA269C"/>
    <w:rsid w:val="00CA32F1"/>
    <w:rsid w:val="00CA35AE"/>
    <w:rsid w:val="00CA3935"/>
    <w:rsid w:val="00CA3957"/>
    <w:rsid w:val="00CA39D0"/>
    <w:rsid w:val="00CA3ACB"/>
    <w:rsid w:val="00CA3B66"/>
    <w:rsid w:val="00CA3F78"/>
    <w:rsid w:val="00CA4CF2"/>
    <w:rsid w:val="00CA4E63"/>
    <w:rsid w:val="00CA5621"/>
    <w:rsid w:val="00CA589D"/>
    <w:rsid w:val="00CA592B"/>
    <w:rsid w:val="00CA5A90"/>
    <w:rsid w:val="00CA5AC4"/>
    <w:rsid w:val="00CA5B05"/>
    <w:rsid w:val="00CA5D42"/>
    <w:rsid w:val="00CA5D48"/>
    <w:rsid w:val="00CA5F1C"/>
    <w:rsid w:val="00CA63CA"/>
    <w:rsid w:val="00CA6677"/>
    <w:rsid w:val="00CA6ADD"/>
    <w:rsid w:val="00CA6CCC"/>
    <w:rsid w:val="00CA6F23"/>
    <w:rsid w:val="00CA71C2"/>
    <w:rsid w:val="00CA72EE"/>
    <w:rsid w:val="00CA781F"/>
    <w:rsid w:val="00CA7C0F"/>
    <w:rsid w:val="00CA7EB6"/>
    <w:rsid w:val="00CB0841"/>
    <w:rsid w:val="00CB0CB9"/>
    <w:rsid w:val="00CB0ED4"/>
    <w:rsid w:val="00CB1191"/>
    <w:rsid w:val="00CB11D0"/>
    <w:rsid w:val="00CB147A"/>
    <w:rsid w:val="00CB15E0"/>
    <w:rsid w:val="00CB16A7"/>
    <w:rsid w:val="00CB175A"/>
    <w:rsid w:val="00CB1C5B"/>
    <w:rsid w:val="00CB1CAB"/>
    <w:rsid w:val="00CB1EF1"/>
    <w:rsid w:val="00CB1F86"/>
    <w:rsid w:val="00CB20EA"/>
    <w:rsid w:val="00CB212E"/>
    <w:rsid w:val="00CB21AE"/>
    <w:rsid w:val="00CB23B8"/>
    <w:rsid w:val="00CB2442"/>
    <w:rsid w:val="00CB260B"/>
    <w:rsid w:val="00CB28E6"/>
    <w:rsid w:val="00CB2F16"/>
    <w:rsid w:val="00CB31ED"/>
    <w:rsid w:val="00CB3347"/>
    <w:rsid w:val="00CB388E"/>
    <w:rsid w:val="00CB3EEB"/>
    <w:rsid w:val="00CB4209"/>
    <w:rsid w:val="00CB46F8"/>
    <w:rsid w:val="00CB4D17"/>
    <w:rsid w:val="00CB4D94"/>
    <w:rsid w:val="00CB505C"/>
    <w:rsid w:val="00CB510F"/>
    <w:rsid w:val="00CB51FF"/>
    <w:rsid w:val="00CB538C"/>
    <w:rsid w:val="00CB564A"/>
    <w:rsid w:val="00CB56AA"/>
    <w:rsid w:val="00CB5A97"/>
    <w:rsid w:val="00CB5AD4"/>
    <w:rsid w:val="00CB5F29"/>
    <w:rsid w:val="00CB63FE"/>
    <w:rsid w:val="00CB6576"/>
    <w:rsid w:val="00CB6895"/>
    <w:rsid w:val="00CB6B7E"/>
    <w:rsid w:val="00CB6B96"/>
    <w:rsid w:val="00CB6C2C"/>
    <w:rsid w:val="00CB6EEE"/>
    <w:rsid w:val="00CB7403"/>
    <w:rsid w:val="00CB7542"/>
    <w:rsid w:val="00CB7BBB"/>
    <w:rsid w:val="00CB7C05"/>
    <w:rsid w:val="00CC0797"/>
    <w:rsid w:val="00CC129B"/>
    <w:rsid w:val="00CC142E"/>
    <w:rsid w:val="00CC2946"/>
    <w:rsid w:val="00CC2A1A"/>
    <w:rsid w:val="00CC2EF8"/>
    <w:rsid w:val="00CC2F6C"/>
    <w:rsid w:val="00CC3047"/>
    <w:rsid w:val="00CC37BC"/>
    <w:rsid w:val="00CC37C4"/>
    <w:rsid w:val="00CC386B"/>
    <w:rsid w:val="00CC3928"/>
    <w:rsid w:val="00CC3964"/>
    <w:rsid w:val="00CC3CC5"/>
    <w:rsid w:val="00CC3F7E"/>
    <w:rsid w:val="00CC3FA0"/>
    <w:rsid w:val="00CC4179"/>
    <w:rsid w:val="00CC4242"/>
    <w:rsid w:val="00CC43B0"/>
    <w:rsid w:val="00CC45F4"/>
    <w:rsid w:val="00CC4D24"/>
    <w:rsid w:val="00CC4E18"/>
    <w:rsid w:val="00CC4FF5"/>
    <w:rsid w:val="00CC53EE"/>
    <w:rsid w:val="00CC55BE"/>
    <w:rsid w:val="00CC5B02"/>
    <w:rsid w:val="00CC5E6E"/>
    <w:rsid w:val="00CC5E8F"/>
    <w:rsid w:val="00CC5EF4"/>
    <w:rsid w:val="00CC5FB6"/>
    <w:rsid w:val="00CC5FF0"/>
    <w:rsid w:val="00CC62B8"/>
    <w:rsid w:val="00CC668E"/>
    <w:rsid w:val="00CC6E4C"/>
    <w:rsid w:val="00CC702D"/>
    <w:rsid w:val="00CC70A2"/>
    <w:rsid w:val="00CC7215"/>
    <w:rsid w:val="00CC7525"/>
    <w:rsid w:val="00CC75C4"/>
    <w:rsid w:val="00CC75FD"/>
    <w:rsid w:val="00CC782C"/>
    <w:rsid w:val="00CC7BA6"/>
    <w:rsid w:val="00CD0208"/>
    <w:rsid w:val="00CD0403"/>
    <w:rsid w:val="00CD0477"/>
    <w:rsid w:val="00CD04EE"/>
    <w:rsid w:val="00CD06DA"/>
    <w:rsid w:val="00CD071A"/>
    <w:rsid w:val="00CD0806"/>
    <w:rsid w:val="00CD0894"/>
    <w:rsid w:val="00CD0D79"/>
    <w:rsid w:val="00CD0D85"/>
    <w:rsid w:val="00CD117D"/>
    <w:rsid w:val="00CD13E8"/>
    <w:rsid w:val="00CD16E1"/>
    <w:rsid w:val="00CD16E3"/>
    <w:rsid w:val="00CD1849"/>
    <w:rsid w:val="00CD1917"/>
    <w:rsid w:val="00CD199C"/>
    <w:rsid w:val="00CD226A"/>
    <w:rsid w:val="00CD251B"/>
    <w:rsid w:val="00CD2624"/>
    <w:rsid w:val="00CD2925"/>
    <w:rsid w:val="00CD2989"/>
    <w:rsid w:val="00CD2B84"/>
    <w:rsid w:val="00CD2BE4"/>
    <w:rsid w:val="00CD2E8B"/>
    <w:rsid w:val="00CD3116"/>
    <w:rsid w:val="00CD3164"/>
    <w:rsid w:val="00CD32E9"/>
    <w:rsid w:val="00CD3607"/>
    <w:rsid w:val="00CD39F8"/>
    <w:rsid w:val="00CD3B78"/>
    <w:rsid w:val="00CD3CDD"/>
    <w:rsid w:val="00CD3DAD"/>
    <w:rsid w:val="00CD3DDF"/>
    <w:rsid w:val="00CD4202"/>
    <w:rsid w:val="00CD4234"/>
    <w:rsid w:val="00CD432C"/>
    <w:rsid w:val="00CD4381"/>
    <w:rsid w:val="00CD44D0"/>
    <w:rsid w:val="00CD45D6"/>
    <w:rsid w:val="00CD47A6"/>
    <w:rsid w:val="00CD47B2"/>
    <w:rsid w:val="00CD4DCF"/>
    <w:rsid w:val="00CD51F0"/>
    <w:rsid w:val="00CD54DC"/>
    <w:rsid w:val="00CD5806"/>
    <w:rsid w:val="00CD5989"/>
    <w:rsid w:val="00CD5AD2"/>
    <w:rsid w:val="00CD5CDA"/>
    <w:rsid w:val="00CD5E00"/>
    <w:rsid w:val="00CD5ED0"/>
    <w:rsid w:val="00CD61D7"/>
    <w:rsid w:val="00CD631D"/>
    <w:rsid w:val="00CD63F9"/>
    <w:rsid w:val="00CD6452"/>
    <w:rsid w:val="00CD67C6"/>
    <w:rsid w:val="00CD6B5C"/>
    <w:rsid w:val="00CD6F92"/>
    <w:rsid w:val="00CD7341"/>
    <w:rsid w:val="00CD7504"/>
    <w:rsid w:val="00CD757C"/>
    <w:rsid w:val="00CD75AE"/>
    <w:rsid w:val="00CD78F9"/>
    <w:rsid w:val="00CD7AFC"/>
    <w:rsid w:val="00CD7CE2"/>
    <w:rsid w:val="00CE0212"/>
    <w:rsid w:val="00CE0398"/>
    <w:rsid w:val="00CE0607"/>
    <w:rsid w:val="00CE061D"/>
    <w:rsid w:val="00CE0939"/>
    <w:rsid w:val="00CE0CD5"/>
    <w:rsid w:val="00CE0E46"/>
    <w:rsid w:val="00CE11DC"/>
    <w:rsid w:val="00CE165B"/>
    <w:rsid w:val="00CE18A5"/>
    <w:rsid w:val="00CE1A4E"/>
    <w:rsid w:val="00CE1A97"/>
    <w:rsid w:val="00CE1C0B"/>
    <w:rsid w:val="00CE1D9F"/>
    <w:rsid w:val="00CE23C4"/>
    <w:rsid w:val="00CE2ABA"/>
    <w:rsid w:val="00CE2CD9"/>
    <w:rsid w:val="00CE2DB0"/>
    <w:rsid w:val="00CE317A"/>
    <w:rsid w:val="00CE34DB"/>
    <w:rsid w:val="00CE35D0"/>
    <w:rsid w:val="00CE36FD"/>
    <w:rsid w:val="00CE389A"/>
    <w:rsid w:val="00CE396C"/>
    <w:rsid w:val="00CE39C0"/>
    <w:rsid w:val="00CE3CA6"/>
    <w:rsid w:val="00CE3D1A"/>
    <w:rsid w:val="00CE3FFF"/>
    <w:rsid w:val="00CE4084"/>
    <w:rsid w:val="00CE41AA"/>
    <w:rsid w:val="00CE4278"/>
    <w:rsid w:val="00CE44D4"/>
    <w:rsid w:val="00CE4651"/>
    <w:rsid w:val="00CE4F82"/>
    <w:rsid w:val="00CE519E"/>
    <w:rsid w:val="00CE51C9"/>
    <w:rsid w:val="00CE5281"/>
    <w:rsid w:val="00CE5505"/>
    <w:rsid w:val="00CE58EC"/>
    <w:rsid w:val="00CE59E7"/>
    <w:rsid w:val="00CE5C01"/>
    <w:rsid w:val="00CE5C27"/>
    <w:rsid w:val="00CE5DB7"/>
    <w:rsid w:val="00CE5E1B"/>
    <w:rsid w:val="00CE670E"/>
    <w:rsid w:val="00CE6755"/>
    <w:rsid w:val="00CE6896"/>
    <w:rsid w:val="00CE6A01"/>
    <w:rsid w:val="00CE6CCA"/>
    <w:rsid w:val="00CE71B4"/>
    <w:rsid w:val="00CE7316"/>
    <w:rsid w:val="00CE75B4"/>
    <w:rsid w:val="00CE761E"/>
    <w:rsid w:val="00CE773E"/>
    <w:rsid w:val="00CE7783"/>
    <w:rsid w:val="00CE7794"/>
    <w:rsid w:val="00CE7E26"/>
    <w:rsid w:val="00CF00F3"/>
    <w:rsid w:val="00CF0796"/>
    <w:rsid w:val="00CF0D05"/>
    <w:rsid w:val="00CF0EFA"/>
    <w:rsid w:val="00CF1029"/>
    <w:rsid w:val="00CF140A"/>
    <w:rsid w:val="00CF15BE"/>
    <w:rsid w:val="00CF1609"/>
    <w:rsid w:val="00CF1915"/>
    <w:rsid w:val="00CF1B09"/>
    <w:rsid w:val="00CF1C05"/>
    <w:rsid w:val="00CF1E21"/>
    <w:rsid w:val="00CF201A"/>
    <w:rsid w:val="00CF23CD"/>
    <w:rsid w:val="00CF254D"/>
    <w:rsid w:val="00CF2597"/>
    <w:rsid w:val="00CF2694"/>
    <w:rsid w:val="00CF274C"/>
    <w:rsid w:val="00CF2BEE"/>
    <w:rsid w:val="00CF2D4E"/>
    <w:rsid w:val="00CF2D9B"/>
    <w:rsid w:val="00CF32D0"/>
    <w:rsid w:val="00CF32E5"/>
    <w:rsid w:val="00CF3CA4"/>
    <w:rsid w:val="00CF3E32"/>
    <w:rsid w:val="00CF435D"/>
    <w:rsid w:val="00CF4702"/>
    <w:rsid w:val="00CF4A2B"/>
    <w:rsid w:val="00CF4FA8"/>
    <w:rsid w:val="00CF52DB"/>
    <w:rsid w:val="00CF546E"/>
    <w:rsid w:val="00CF5585"/>
    <w:rsid w:val="00CF5714"/>
    <w:rsid w:val="00CF611A"/>
    <w:rsid w:val="00CF6338"/>
    <w:rsid w:val="00CF653A"/>
    <w:rsid w:val="00CF67F6"/>
    <w:rsid w:val="00CF692A"/>
    <w:rsid w:val="00CF6E77"/>
    <w:rsid w:val="00CF6EE5"/>
    <w:rsid w:val="00CF728A"/>
    <w:rsid w:val="00CF7602"/>
    <w:rsid w:val="00CF7C0D"/>
    <w:rsid w:val="00CF7D98"/>
    <w:rsid w:val="00CF7E2C"/>
    <w:rsid w:val="00CF7E30"/>
    <w:rsid w:val="00CF7F7F"/>
    <w:rsid w:val="00D0023B"/>
    <w:rsid w:val="00D002AE"/>
    <w:rsid w:val="00D007F2"/>
    <w:rsid w:val="00D00986"/>
    <w:rsid w:val="00D00B8B"/>
    <w:rsid w:val="00D01239"/>
    <w:rsid w:val="00D015A5"/>
    <w:rsid w:val="00D016A8"/>
    <w:rsid w:val="00D02063"/>
    <w:rsid w:val="00D0250F"/>
    <w:rsid w:val="00D02522"/>
    <w:rsid w:val="00D02582"/>
    <w:rsid w:val="00D02675"/>
    <w:rsid w:val="00D0298B"/>
    <w:rsid w:val="00D029DA"/>
    <w:rsid w:val="00D02E6B"/>
    <w:rsid w:val="00D034EC"/>
    <w:rsid w:val="00D03754"/>
    <w:rsid w:val="00D03856"/>
    <w:rsid w:val="00D04F68"/>
    <w:rsid w:val="00D05210"/>
    <w:rsid w:val="00D05230"/>
    <w:rsid w:val="00D0559D"/>
    <w:rsid w:val="00D056F1"/>
    <w:rsid w:val="00D058C7"/>
    <w:rsid w:val="00D05954"/>
    <w:rsid w:val="00D05C25"/>
    <w:rsid w:val="00D05E05"/>
    <w:rsid w:val="00D060B3"/>
    <w:rsid w:val="00D061CC"/>
    <w:rsid w:val="00D0639B"/>
    <w:rsid w:val="00D06D0D"/>
    <w:rsid w:val="00D06D24"/>
    <w:rsid w:val="00D06E35"/>
    <w:rsid w:val="00D07001"/>
    <w:rsid w:val="00D0717B"/>
    <w:rsid w:val="00D0745E"/>
    <w:rsid w:val="00D07659"/>
    <w:rsid w:val="00D077C0"/>
    <w:rsid w:val="00D079B0"/>
    <w:rsid w:val="00D07A12"/>
    <w:rsid w:val="00D07BCF"/>
    <w:rsid w:val="00D07F51"/>
    <w:rsid w:val="00D1026C"/>
    <w:rsid w:val="00D102A8"/>
    <w:rsid w:val="00D10452"/>
    <w:rsid w:val="00D10D3B"/>
    <w:rsid w:val="00D10DC5"/>
    <w:rsid w:val="00D10F79"/>
    <w:rsid w:val="00D11359"/>
    <w:rsid w:val="00D1155D"/>
    <w:rsid w:val="00D11AE0"/>
    <w:rsid w:val="00D11E22"/>
    <w:rsid w:val="00D11F8C"/>
    <w:rsid w:val="00D122C7"/>
    <w:rsid w:val="00D12715"/>
    <w:rsid w:val="00D12756"/>
    <w:rsid w:val="00D12895"/>
    <w:rsid w:val="00D1302C"/>
    <w:rsid w:val="00D1303A"/>
    <w:rsid w:val="00D13207"/>
    <w:rsid w:val="00D13ABA"/>
    <w:rsid w:val="00D13B00"/>
    <w:rsid w:val="00D13BBC"/>
    <w:rsid w:val="00D13DCA"/>
    <w:rsid w:val="00D13EC7"/>
    <w:rsid w:val="00D13FEB"/>
    <w:rsid w:val="00D14060"/>
    <w:rsid w:val="00D14919"/>
    <w:rsid w:val="00D149EC"/>
    <w:rsid w:val="00D14A44"/>
    <w:rsid w:val="00D14F04"/>
    <w:rsid w:val="00D1515F"/>
    <w:rsid w:val="00D15256"/>
    <w:rsid w:val="00D15420"/>
    <w:rsid w:val="00D1564C"/>
    <w:rsid w:val="00D15A8D"/>
    <w:rsid w:val="00D15CD7"/>
    <w:rsid w:val="00D15E08"/>
    <w:rsid w:val="00D16056"/>
    <w:rsid w:val="00D16379"/>
    <w:rsid w:val="00D1641F"/>
    <w:rsid w:val="00D1664B"/>
    <w:rsid w:val="00D166C5"/>
    <w:rsid w:val="00D16A84"/>
    <w:rsid w:val="00D17335"/>
    <w:rsid w:val="00D17A8E"/>
    <w:rsid w:val="00D17CF3"/>
    <w:rsid w:val="00D20258"/>
    <w:rsid w:val="00D202A9"/>
    <w:rsid w:val="00D20422"/>
    <w:rsid w:val="00D20AAA"/>
    <w:rsid w:val="00D20C97"/>
    <w:rsid w:val="00D21373"/>
    <w:rsid w:val="00D216D2"/>
    <w:rsid w:val="00D2177F"/>
    <w:rsid w:val="00D21AA8"/>
    <w:rsid w:val="00D21AE6"/>
    <w:rsid w:val="00D21C75"/>
    <w:rsid w:val="00D21CE0"/>
    <w:rsid w:val="00D21D96"/>
    <w:rsid w:val="00D21EDA"/>
    <w:rsid w:val="00D21F3A"/>
    <w:rsid w:val="00D22004"/>
    <w:rsid w:val="00D220B9"/>
    <w:rsid w:val="00D2248D"/>
    <w:rsid w:val="00D2274C"/>
    <w:rsid w:val="00D22916"/>
    <w:rsid w:val="00D22993"/>
    <w:rsid w:val="00D22C9A"/>
    <w:rsid w:val="00D23187"/>
    <w:rsid w:val="00D231EA"/>
    <w:rsid w:val="00D2338C"/>
    <w:rsid w:val="00D234AC"/>
    <w:rsid w:val="00D236E8"/>
    <w:rsid w:val="00D238CB"/>
    <w:rsid w:val="00D23926"/>
    <w:rsid w:val="00D23935"/>
    <w:rsid w:val="00D23978"/>
    <w:rsid w:val="00D239CE"/>
    <w:rsid w:val="00D23D8E"/>
    <w:rsid w:val="00D23DA1"/>
    <w:rsid w:val="00D23DFE"/>
    <w:rsid w:val="00D2422A"/>
    <w:rsid w:val="00D2436A"/>
    <w:rsid w:val="00D2445E"/>
    <w:rsid w:val="00D24566"/>
    <w:rsid w:val="00D24870"/>
    <w:rsid w:val="00D24C89"/>
    <w:rsid w:val="00D2510B"/>
    <w:rsid w:val="00D25747"/>
    <w:rsid w:val="00D25C35"/>
    <w:rsid w:val="00D2604F"/>
    <w:rsid w:val="00D260D0"/>
    <w:rsid w:val="00D260D4"/>
    <w:rsid w:val="00D2613E"/>
    <w:rsid w:val="00D2626E"/>
    <w:rsid w:val="00D2631A"/>
    <w:rsid w:val="00D26401"/>
    <w:rsid w:val="00D265AE"/>
    <w:rsid w:val="00D2690A"/>
    <w:rsid w:val="00D26F52"/>
    <w:rsid w:val="00D27076"/>
    <w:rsid w:val="00D2709E"/>
    <w:rsid w:val="00D2749F"/>
    <w:rsid w:val="00D27576"/>
    <w:rsid w:val="00D27B73"/>
    <w:rsid w:val="00D27ECE"/>
    <w:rsid w:val="00D3026A"/>
    <w:rsid w:val="00D303C9"/>
    <w:rsid w:val="00D30794"/>
    <w:rsid w:val="00D308E6"/>
    <w:rsid w:val="00D30ACC"/>
    <w:rsid w:val="00D30B44"/>
    <w:rsid w:val="00D30E61"/>
    <w:rsid w:val="00D31264"/>
    <w:rsid w:val="00D313E8"/>
    <w:rsid w:val="00D3147B"/>
    <w:rsid w:val="00D31745"/>
    <w:rsid w:val="00D31780"/>
    <w:rsid w:val="00D31835"/>
    <w:rsid w:val="00D3195F"/>
    <w:rsid w:val="00D31968"/>
    <w:rsid w:val="00D31A09"/>
    <w:rsid w:val="00D31E5C"/>
    <w:rsid w:val="00D32031"/>
    <w:rsid w:val="00D321BA"/>
    <w:rsid w:val="00D327C2"/>
    <w:rsid w:val="00D327D6"/>
    <w:rsid w:val="00D329DF"/>
    <w:rsid w:val="00D32A3B"/>
    <w:rsid w:val="00D32A3F"/>
    <w:rsid w:val="00D330A7"/>
    <w:rsid w:val="00D330D8"/>
    <w:rsid w:val="00D330FB"/>
    <w:rsid w:val="00D33300"/>
    <w:rsid w:val="00D334A9"/>
    <w:rsid w:val="00D33A2B"/>
    <w:rsid w:val="00D33BE1"/>
    <w:rsid w:val="00D33C4B"/>
    <w:rsid w:val="00D33C82"/>
    <w:rsid w:val="00D34D98"/>
    <w:rsid w:val="00D35051"/>
    <w:rsid w:val="00D35388"/>
    <w:rsid w:val="00D3545B"/>
    <w:rsid w:val="00D35574"/>
    <w:rsid w:val="00D35909"/>
    <w:rsid w:val="00D35974"/>
    <w:rsid w:val="00D35B44"/>
    <w:rsid w:val="00D360CD"/>
    <w:rsid w:val="00D3631E"/>
    <w:rsid w:val="00D3643D"/>
    <w:rsid w:val="00D36521"/>
    <w:rsid w:val="00D366A7"/>
    <w:rsid w:val="00D368E4"/>
    <w:rsid w:val="00D36E73"/>
    <w:rsid w:val="00D3768C"/>
    <w:rsid w:val="00D3772B"/>
    <w:rsid w:val="00D3782E"/>
    <w:rsid w:val="00D37921"/>
    <w:rsid w:val="00D37AFC"/>
    <w:rsid w:val="00D37C2C"/>
    <w:rsid w:val="00D37EA7"/>
    <w:rsid w:val="00D40301"/>
    <w:rsid w:val="00D40499"/>
    <w:rsid w:val="00D405BA"/>
    <w:rsid w:val="00D40880"/>
    <w:rsid w:val="00D40990"/>
    <w:rsid w:val="00D40C92"/>
    <w:rsid w:val="00D41203"/>
    <w:rsid w:val="00D412A0"/>
    <w:rsid w:val="00D41464"/>
    <w:rsid w:val="00D41902"/>
    <w:rsid w:val="00D41C43"/>
    <w:rsid w:val="00D42207"/>
    <w:rsid w:val="00D42490"/>
    <w:rsid w:val="00D42656"/>
    <w:rsid w:val="00D42684"/>
    <w:rsid w:val="00D4280C"/>
    <w:rsid w:val="00D4295F"/>
    <w:rsid w:val="00D42D51"/>
    <w:rsid w:val="00D43117"/>
    <w:rsid w:val="00D43ACC"/>
    <w:rsid w:val="00D43AD6"/>
    <w:rsid w:val="00D43CA1"/>
    <w:rsid w:val="00D43D3D"/>
    <w:rsid w:val="00D43DDE"/>
    <w:rsid w:val="00D43E2C"/>
    <w:rsid w:val="00D43EB3"/>
    <w:rsid w:val="00D43F95"/>
    <w:rsid w:val="00D440DC"/>
    <w:rsid w:val="00D441D6"/>
    <w:rsid w:val="00D441E9"/>
    <w:rsid w:val="00D44207"/>
    <w:rsid w:val="00D443DA"/>
    <w:rsid w:val="00D4452B"/>
    <w:rsid w:val="00D44733"/>
    <w:rsid w:val="00D448A3"/>
    <w:rsid w:val="00D44946"/>
    <w:rsid w:val="00D44AFA"/>
    <w:rsid w:val="00D44BA4"/>
    <w:rsid w:val="00D44BD1"/>
    <w:rsid w:val="00D44C1B"/>
    <w:rsid w:val="00D44D6F"/>
    <w:rsid w:val="00D44EF6"/>
    <w:rsid w:val="00D454B2"/>
    <w:rsid w:val="00D4567D"/>
    <w:rsid w:val="00D45746"/>
    <w:rsid w:val="00D457AB"/>
    <w:rsid w:val="00D4580C"/>
    <w:rsid w:val="00D45A03"/>
    <w:rsid w:val="00D45A58"/>
    <w:rsid w:val="00D45ED0"/>
    <w:rsid w:val="00D45FC5"/>
    <w:rsid w:val="00D4616D"/>
    <w:rsid w:val="00D4646D"/>
    <w:rsid w:val="00D4650A"/>
    <w:rsid w:val="00D46816"/>
    <w:rsid w:val="00D46AD7"/>
    <w:rsid w:val="00D46B00"/>
    <w:rsid w:val="00D46CE8"/>
    <w:rsid w:val="00D474C2"/>
    <w:rsid w:val="00D4756E"/>
    <w:rsid w:val="00D47624"/>
    <w:rsid w:val="00D477A5"/>
    <w:rsid w:val="00D47CB9"/>
    <w:rsid w:val="00D47ED9"/>
    <w:rsid w:val="00D50637"/>
    <w:rsid w:val="00D50722"/>
    <w:rsid w:val="00D50853"/>
    <w:rsid w:val="00D50901"/>
    <w:rsid w:val="00D50EAD"/>
    <w:rsid w:val="00D512D8"/>
    <w:rsid w:val="00D51576"/>
    <w:rsid w:val="00D51913"/>
    <w:rsid w:val="00D51B66"/>
    <w:rsid w:val="00D522F0"/>
    <w:rsid w:val="00D52430"/>
    <w:rsid w:val="00D527B5"/>
    <w:rsid w:val="00D527C8"/>
    <w:rsid w:val="00D5297D"/>
    <w:rsid w:val="00D52989"/>
    <w:rsid w:val="00D52A6A"/>
    <w:rsid w:val="00D52B7D"/>
    <w:rsid w:val="00D52B93"/>
    <w:rsid w:val="00D52E71"/>
    <w:rsid w:val="00D53039"/>
    <w:rsid w:val="00D53409"/>
    <w:rsid w:val="00D53438"/>
    <w:rsid w:val="00D5361E"/>
    <w:rsid w:val="00D53755"/>
    <w:rsid w:val="00D539F8"/>
    <w:rsid w:val="00D53A09"/>
    <w:rsid w:val="00D53A30"/>
    <w:rsid w:val="00D53F76"/>
    <w:rsid w:val="00D5406C"/>
    <w:rsid w:val="00D54BBE"/>
    <w:rsid w:val="00D54C4C"/>
    <w:rsid w:val="00D54CA4"/>
    <w:rsid w:val="00D54D65"/>
    <w:rsid w:val="00D54FAA"/>
    <w:rsid w:val="00D5504A"/>
    <w:rsid w:val="00D55226"/>
    <w:rsid w:val="00D5539B"/>
    <w:rsid w:val="00D553AD"/>
    <w:rsid w:val="00D557C4"/>
    <w:rsid w:val="00D5588C"/>
    <w:rsid w:val="00D55E09"/>
    <w:rsid w:val="00D55F0D"/>
    <w:rsid w:val="00D56324"/>
    <w:rsid w:val="00D56329"/>
    <w:rsid w:val="00D56453"/>
    <w:rsid w:val="00D5652D"/>
    <w:rsid w:val="00D56888"/>
    <w:rsid w:val="00D5691D"/>
    <w:rsid w:val="00D56D6D"/>
    <w:rsid w:val="00D56FB0"/>
    <w:rsid w:val="00D57C9A"/>
    <w:rsid w:val="00D57FC4"/>
    <w:rsid w:val="00D60359"/>
    <w:rsid w:val="00D60CA7"/>
    <w:rsid w:val="00D60CC8"/>
    <w:rsid w:val="00D61381"/>
    <w:rsid w:val="00D61DFC"/>
    <w:rsid w:val="00D620C8"/>
    <w:rsid w:val="00D624CC"/>
    <w:rsid w:val="00D630CE"/>
    <w:rsid w:val="00D6343B"/>
    <w:rsid w:val="00D6383C"/>
    <w:rsid w:val="00D63D1A"/>
    <w:rsid w:val="00D63E7E"/>
    <w:rsid w:val="00D63F49"/>
    <w:rsid w:val="00D63FBE"/>
    <w:rsid w:val="00D64279"/>
    <w:rsid w:val="00D642D8"/>
    <w:rsid w:val="00D6446A"/>
    <w:rsid w:val="00D64B4B"/>
    <w:rsid w:val="00D64CEA"/>
    <w:rsid w:val="00D64D48"/>
    <w:rsid w:val="00D6543F"/>
    <w:rsid w:val="00D65480"/>
    <w:rsid w:val="00D654C9"/>
    <w:rsid w:val="00D65756"/>
    <w:rsid w:val="00D658F2"/>
    <w:rsid w:val="00D65AA6"/>
    <w:rsid w:val="00D65C11"/>
    <w:rsid w:val="00D65DBF"/>
    <w:rsid w:val="00D65DD7"/>
    <w:rsid w:val="00D65E64"/>
    <w:rsid w:val="00D65F19"/>
    <w:rsid w:val="00D65F36"/>
    <w:rsid w:val="00D66053"/>
    <w:rsid w:val="00D661EE"/>
    <w:rsid w:val="00D66292"/>
    <w:rsid w:val="00D665F9"/>
    <w:rsid w:val="00D668E6"/>
    <w:rsid w:val="00D66DCB"/>
    <w:rsid w:val="00D66FCE"/>
    <w:rsid w:val="00D67153"/>
    <w:rsid w:val="00D671CE"/>
    <w:rsid w:val="00D671D1"/>
    <w:rsid w:val="00D675C1"/>
    <w:rsid w:val="00D67755"/>
    <w:rsid w:val="00D678BF"/>
    <w:rsid w:val="00D67ABF"/>
    <w:rsid w:val="00D67B2C"/>
    <w:rsid w:val="00D67CCE"/>
    <w:rsid w:val="00D7022F"/>
    <w:rsid w:val="00D70302"/>
    <w:rsid w:val="00D70556"/>
    <w:rsid w:val="00D705E1"/>
    <w:rsid w:val="00D70852"/>
    <w:rsid w:val="00D70854"/>
    <w:rsid w:val="00D70D89"/>
    <w:rsid w:val="00D710E2"/>
    <w:rsid w:val="00D711F6"/>
    <w:rsid w:val="00D71647"/>
    <w:rsid w:val="00D720FD"/>
    <w:rsid w:val="00D721C1"/>
    <w:rsid w:val="00D72211"/>
    <w:rsid w:val="00D72B24"/>
    <w:rsid w:val="00D72D1A"/>
    <w:rsid w:val="00D72D6A"/>
    <w:rsid w:val="00D72F60"/>
    <w:rsid w:val="00D72FCD"/>
    <w:rsid w:val="00D730F6"/>
    <w:rsid w:val="00D732D1"/>
    <w:rsid w:val="00D7341F"/>
    <w:rsid w:val="00D73489"/>
    <w:rsid w:val="00D734F9"/>
    <w:rsid w:val="00D73865"/>
    <w:rsid w:val="00D73CD4"/>
    <w:rsid w:val="00D7429C"/>
    <w:rsid w:val="00D742E9"/>
    <w:rsid w:val="00D744C3"/>
    <w:rsid w:val="00D7472B"/>
    <w:rsid w:val="00D7491B"/>
    <w:rsid w:val="00D74BA5"/>
    <w:rsid w:val="00D750D3"/>
    <w:rsid w:val="00D7511D"/>
    <w:rsid w:val="00D75273"/>
    <w:rsid w:val="00D7550A"/>
    <w:rsid w:val="00D76134"/>
    <w:rsid w:val="00D761CE"/>
    <w:rsid w:val="00D7621B"/>
    <w:rsid w:val="00D7633B"/>
    <w:rsid w:val="00D763A6"/>
    <w:rsid w:val="00D76596"/>
    <w:rsid w:val="00D768FD"/>
    <w:rsid w:val="00D7698E"/>
    <w:rsid w:val="00D76B46"/>
    <w:rsid w:val="00D76C6A"/>
    <w:rsid w:val="00D76C9A"/>
    <w:rsid w:val="00D76F2C"/>
    <w:rsid w:val="00D770F5"/>
    <w:rsid w:val="00D7732D"/>
    <w:rsid w:val="00D773A2"/>
    <w:rsid w:val="00D7771C"/>
    <w:rsid w:val="00D77720"/>
    <w:rsid w:val="00D77B9E"/>
    <w:rsid w:val="00D77D69"/>
    <w:rsid w:val="00D77F9A"/>
    <w:rsid w:val="00D80050"/>
    <w:rsid w:val="00D8068D"/>
    <w:rsid w:val="00D80AD8"/>
    <w:rsid w:val="00D80D1D"/>
    <w:rsid w:val="00D8126E"/>
    <w:rsid w:val="00D81528"/>
    <w:rsid w:val="00D815D0"/>
    <w:rsid w:val="00D8165A"/>
    <w:rsid w:val="00D8203B"/>
    <w:rsid w:val="00D82425"/>
    <w:rsid w:val="00D8252A"/>
    <w:rsid w:val="00D82C00"/>
    <w:rsid w:val="00D82E53"/>
    <w:rsid w:val="00D82F77"/>
    <w:rsid w:val="00D82FF9"/>
    <w:rsid w:val="00D834FB"/>
    <w:rsid w:val="00D83657"/>
    <w:rsid w:val="00D836C2"/>
    <w:rsid w:val="00D84189"/>
    <w:rsid w:val="00D845AB"/>
    <w:rsid w:val="00D84949"/>
    <w:rsid w:val="00D84BA3"/>
    <w:rsid w:val="00D84E28"/>
    <w:rsid w:val="00D850BE"/>
    <w:rsid w:val="00D8525F"/>
    <w:rsid w:val="00D854E5"/>
    <w:rsid w:val="00D854FB"/>
    <w:rsid w:val="00D858F5"/>
    <w:rsid w:val="00D85A7F"/>
    <w:rsid w:val="00D85C08"/>
    <w:rsid w:val="00D861BF"/>
    <w:rsid w:val="00D864CB"/>
    <w:rsid w:val="00D86891"/>
    <w:rsid w:val="00D8699B"/>
    <w:rsid w:val="00D86B80"/>
    <w:rsid w:val="00D86C0B"/>
    <w:rsid w:val="00D86C3C"/>
    <w:rsid w:val="00D86E48"/>
    <w:rsid w:val="00D8755D"/>
    <w:rsid w:val="00D875AE"/>
    <w:rsid w:val="00D879EC"/>
    <w:rsid w:val="00D87CCD"/>
    <w:rsid w:val="00D87D68"/>
    <w:rsid w:val="00D902E5"/>
    <w:rsid w:val="00D9041E"/>
    <w:rsid w:val="00D9084E"/>
    <w:rsid w:val="00D9086A"/>
    <w:rsid w:val="00D90E5E"/>
    <w:rsid w:val="00D90F69"/>
    <w:rsid w:val="00D91090"/>
    <w:rsid w:val="00D912F9"/>
    <w:rsid w:val="00D914C7"/>
    <w:rsid w:val="00D9169B"/>
    <w:rsid w:val="00D91B69"/>
    <w:rsid w:val="00D921A0"/>
    <w:rsid w:val="00D921B5"/>
    <w:rsid w:val="00D921F8"/>
    <w:rsid w:val="00D92505"/>
    <w:rsid w:val="00D927A4"/>
    <w:rsid w:val="00D92814"/>
    <w:rsid w:val="00D92878"/>
    <w:rsid w:val="00D92BBB"/>
    <w:rsid w:val="00D92EB0"/>
    <w:rsid w:val="00D93094"/>
    <w:rsid w:val="00D933A5"/>
    <w:rsid w:val="00D93859"/>
    <w:rsid w:val="00D93DC9"/>
    <w:rsid w:val="00D93F18"/>
    <w:rsid w:val="00D93FF0"/>
    <w:rsid w:val="00D940E2"/>
    <w:rsid w:val="00D9427F"/>
    <w:rsid w:val="00D9437D"/>
    <w:rsid w:val="00D948AE"/>
    <w:rsid w:val="00D94FA4"/>
    <w:rsid w:val="00D9529E"/>
    <w:rsid w:val="00D9538B"/>
    <w:rsid w:val="00D95504"/>
    <w:rsid w:val="00D955DD"/>
    <w:rsid w:val="00D957DD"/>
    <w:rsid w:val="00D957FC"/>
    <w:rsid w:val="00D95859"/>
    <w:rsid w:val="00D95AA3"/>
    <w:rsid w:val="00D95AAD"/>
    <w:rsid w:val="00D95BCE"/>
    <w:rsid w:val="00D95E89"/>
    <w:rsid w:val="00D96296"/>
    <w:rsid w:val="00D9635A"/>
    <w:rsid w:val="00D9638D"/>
    <w:rsid w:val="00D963F5"/>
    <w:rsid w:val="00D96515"/>
    <w:rsid w:val="00D96638"/>
    <w:rsid w:val="00D96649"/>
    <w:rsid w:val="00D96A83"/>
    <w:rsid w:val="00D96AEC"/>
    <w:rsid w:val="00D96D3D"/>
    <w:rsid w:val="00D96FE7"/>
    <w:rsid w:val="00D97193"/>
    <w:rsid w:val="00D9728E"/>
    <w:rsid w:val="00D9733D"/>
    <w:rsid w:val="00D97379"/>
    <w:rsid w:val="00D9762A"/>
    <w:rsid w:val="00D97812"/>
    <w:rsid w:val="00D97952"/>
    <w:rsid w:val="00D9795A"/>
    <w:rsid w:val="00D97974"/>
    <w:rsid w:val="00D97A71"/>
    <w:rsid w:val="00D97A81"/>
    <w:rsid w:val="00D97B1B"/>
    <w:rsid w:val="00D97B58"/>
    <w:rsid w:val="00D97DA8"/>
    <w:rsid w:val="00D97DE4"/>
    <w:rsid w:val="00D97F1F"/>
    <w:rsid w:val="00DA00D6"/>
    <w:rsid w:val="00DA038B"/>
    <w:rsid w:val="00DA0723"/>
    <w:rsid w:val="00DA093F"/>
    <w:rsid w:val="00DA0E42"/>
    <w:rsid w:val="00DA0FCF"/>
    <w:rsid w:val="00DA115C"/>
    <w:rsid w:val="00DA12DA"/>
    <w:rsid w:val="00DA14AF"/>
    <w:rsid w:val="00DA14F7"/>
    <w:rsid w:val="00DA17DB"/>
    <w:rsid w:val="00DA1962"/>
    <w:rsid w:val="00DA1CB4"/>
    <w:rsid w:val="00DA2058"/>
    <w:rsid w:val="00DA2380"/>
    <w:rsid w:val="00DA2719"/>
    <w:rsid w:val="00DA276B"/>
    <w:rsid w:val="00DA29A9"/>
    <w:rsid w:val="00DA2ECA"/>
    <w:rsid w:val="00DA30BF"/>
    <w:rsid w:val="00DA34DC"/>
    <w:rsid w:val="00DA3636"/>
    <w:rsid w:val="00DA3723"/>
    <w:rsid w:val="00DA3814"/>
    <w:rsid w:val="00DA3935"/>
    <w:rsid w:val="00DA3A45"/>
    <w:rsid w:val="00DA478C"/>
    <w:rsid w:val="00DA4929"/>
    <w:rsid w:val="00DA4DC1"/>
    <w:rsid w:val="00DA4DF3"/>
    <w:rsid w:val="00DA4E28"/>
    <w:rsid w:val="00DA4E79"/>
    <w:rsid w:val="00DA5064"/>
    <w:rsid w:val="00DA5081"/>
    <w:rsid w:val="00DA546D"/>
    <w:rsid w:val="00DA5606"/>
    <w:rsid w:val="00DA58E5"/>
    <w:rsid w:val="00DA596D"/>
    <w:rsid w:val="00DA5A4E"/>
    <w:rsid w:val="00DA5E83"/>
    <w:rsid w:val="00DA5EC2"/>
    <w:rsid w:val="00DA615E"/>
    <w:rsid w:val="00DA6642"/>
    <w:rsid w:val="00DA66D1"/>
    <w:rsid w:val="00DA6C13"/>
    <w:rsid w:val="00DA6C36"/>
    <w:rsid w:val="00DA6CE6"/>
    <w:rsid w:val="00DA6CF4"/>
    <w:rsid w:val="00DA6D5E"/>
    <w:rsid w:val="00DA6DDF"/>
    <w:rsid w:val="00DA6E11"/>
    <w:rsid w:val="00DA6F43"/>
    <w:rsid w:val="00DA709C"/>
    <w:rsid w:val="00DA7160"/>
    <w:rsid w:val="00DA78B9"/>
    <w:rsid w:val="00DA7E19"/>
    <w:rsid w:val="00DA7F7A"/>
    <w:rsid w:val="00DB01B4"/>
    <w:rsid w:val="00DB02B0"/>
    <w:rsid w:val="00DB049E"/>
    <w:rsid w:val="00DB0C05"/>
    <w:rsid w:val="00DB0CB1"/>
    <w:rsid w:val="00DB0EAA"/>
    <w:rsid w:val="00DB1101"/>
    <w:rsid w:val="00DB117A"/>
    <w:rsid w:val="00DB192D"/>
    <w:rsid w:val="00DB1D9D"/>
    <w:rsid w:val="00DB1F36"/>
    <w:rsid w:val="00DB2091"/>
    <w:rsid w:val="00DB2167"/>
    <w:rsid w:val="00DB2428"/>
    <w:rsid w:val="00DB28F1"/>
    <w:rsid w:val="00DB2B0C"/>
    <w:rsid w:val="00DB2B17"/>
    <w:rsid w:val="00DB2BE7"/>
    <w:rsid w:val="00DB2E16"/>
    <w:rsid w:val="00DB2F19"/>
    <w:rsid w:val="00DB3037"/>
    <w:rsid w:val="00DB3414"/>
    <w:rsid w:val="00DB3452"/>
    <w:rsid w:val="00DB3FCA"/>
    <w:rsid w:val="00DB4277"/>
    <w:rsid w:val="00DB4345"/>
    <w:rsid w:val="00DB4410"/>
    <w:rsid w:val="00DB45B5"/>
    <w:rsid w:val="00DB4623"/>
    <w:rsid w:val="00DB4AE9"/>
    <w:rsid w:val="00DB4CDD"/>
    <w:rsid w:val="00DB4D2C"/>
    <w:rsid w:val="00DB4E90"/>
    <w:rsid w:val="00DB5445"/>
    <w:rsid w:val="00DB5447"/>
    <w:rsid w:val="00DB5635"/>
    <w:rsid w:val="00DB57C8"/>
    <w:rsid w:val="00DB58C8"/>
    <w:rsid w:val="00DB5B13"/>
    <w:rsid w:val="00DB5C3E"/>
    <w:rsid w:val="00DB5CE6"/>
    <w:rsid w:val="00DB5D79"/>
    <w:rsid w:val="00DB5DD5"/>
    <w:rsid w:val="00DB5E43"/>
    <w:rsid w:val="00DB5F8D"/>
    <w:rsid w:val="00DB5FC2"/>
    <w:rsid w:val="00DB6031"/>
    <w:rsid w:val="00DB6443"/>
    <w:rsid w:val="00DB66EB"/>
    <w:rsid w:val="00DB6754"/>
    <w:rsid w:val="00DB6872"/>
    <w:rsid w:val="00DB6931"/>
    <w:rsid w:val="00DB6AEB"/>
    <w:rsid w:val="00DB707F"/>
    <w:rsid w:val="00DB710D"/>
    <w:rsid w:val="00DB7216"/>
    <w:rsid w:val="00DB78BC"/>
    <w:rsid w:val="00DB7939"/>
    <w:rsid w:val="00DB7A3F"/>
    <w:rsid w:val="00DB7A61"/>
    <w:rsid w:val="00DC00AC"/>
    <w:rsid w:val="00DC01DD"/>
    <w:rsid w:val="00DC02BB"/>
    <w:rsid w:val="00DC04E8"/>
    <w:rsid w:val="00DC07B1"/>
    <w:rsid w:val="00DC0A90"/>
    <w:rsid w:val="00DC0AF8"/>
    <w:rsid w:val="00DC0E0F"/>
    <w:rsid w:val="00DC1741"/>
    <w:rsid w:val="00DC1925"/>
    <w:rsid w:val="00DC1AE2"/>
    <w:rsid w:val="00DC1C5C"/>
    <w:rsid w:val="00DC1FD9"/>
    <w:rsid w:val="00DC24EE"/>
    <w:rsid w:val="00DC2785"/>
    <w:rsid w:val="00DC30C9"/>
    <w:rsid w:val="00DC315A"/>
    <w:rsid w:val="00DC3311"/>
    <w:rsid w:val="00DC352E"/>
    <w:rsid w:val="00DC3811"/>
    <w:rsid w:val="00DC3CFB"/>
    <w:rsid w:val="00DC3F57"/>
    <w:rsid w:val="00DC4224"/>
    <w:rsid w:val="00DC43A7"/>
    <w:rsid w:val="00DC45FE"/>
    <w:rsid w:val="00DC466B"/>
    <w:rsid w:val="00DC46E9"/>
    <w:rsid w:val="00DC48B6"/>
    <w:rsid w:val="00DC4B9F"/>
    <w:rsid w:val="00DC4C67"/>
    <w:rsid w:val="00DC4D91"/>
    <w:rsid w:val="00DC5141"/>
    <w:rsid w:val="00DC51D3"/>
    <w:rsid w:val="00DC5564"/>
    <w:rsid w:val="00DC59B1"/>
    <w:rsid w:val="00DC5B64"/>
    <w:rsid w:val="00DC5D74"/>
    <w:rsid w:val="00DC6005"/>
    <w:rsid w:val="00DC6044"/>
    <w:rsid w:val="00DC6524"/>
    <w:rsid w:val="00DC65D0"/>
    <w:rsid w:val="00DC6A3D"/>
    <w:rsid w:val="00DC6ACF"/>
    <w:rsid w:val="00DC6DFB"/>
    <w:rsid w:val="00DC6FD5"/>
    <w:rsid w:val="00DC700E"/>
    <w:rsid w:val="00DC7145"/>
    <w:rsid w:val="00DC7462"/>
    <w:rsid w:val="00DC74FF"/>
    <w:rsid w:val="00DC77E2"/>
    <w:rsid w:val="00DC7A63"/>
    <w:rsid w:val="00DC7ABD"/>
    <w:rsid w:val="00DC7C3E"/>
    <w:rsid w:val="00DC7CB1"/>
    <w:rsid w:val="00DD011D"/>
    <w:rsid w:val="00DD01AD"/>
    <w:rsid w:val="00DD04C4"/>
    <w:rsid w:val="00DD066A"/>
    <w:rsid w:val="00DD0727"/>
    <w:rsid w:val="00DD0BFF"/>
    <w:rsid w:val="00DD0F9B"/>
    <w:rsid w:val="00DD117A"/>
    <w:rsid w:val="00DD1805"/>
    <w:rsid w:val="00DD1AF5"/>
    <w:rsid w:val="00DD1C34"/>
    <w:rsid w:val="00DD1EB2"/>
    <w:rsid w:val="00DD228C"/>
    <w:rsid w:val="00DD22FF"/>
    <w:rsid w:val="00DD236F"/>
    <w:rsid w:val="00DD23B4"/>
    <w:rsid w:val="00DD2449"/>
    <w:rsid w:val="00DD26AB"/>
    <w:rsid w:val="00DD2917"/>
    <w:rsid w:val="00DD2DCF"/>
    <w:rsid w:val="00DD30D6"/>
    <w:rsid w:val="00DD3378"/>
    <w:rsid w:val="00DD3716"/>
    <w:rsid w:val="00DD3824"/>
    <w:rsid w:val="00DD404D"/>
    <w:rsid w:val="00DD416A"/>
    <w:rsid w:val="00DD481B"/>
    <w:rsid w:val="00DD48A8"/>
    <w:rsid w:val="00DD4A30"/>
    <w:rsid w:val="00DD4DDD"/>
    <w:rsid w:val="00DD529C"/>
    <w:rsid w:val="00DD5535"/>
    <w:rsid w:val="00DD561D"/>
    <w:rsid w:val="00DD57C8"/>
    <w:rsid w:val="00DD5A1B"/>
    <w:rsid w:val="00DD5A63"/>
    <w:rsid w:val="00DD5B50"/>
    <w:rsid w:val="00DD5BC2"/>
    <w:rsid w:val="00DD5CE9"/>
    <w:rsid w:val="00DD5E83"/>
    <w:rsid w:val="00DD6083"/>
    <w:rsid w:val="00DD62BC"/>
    <w:rsid w:val="00DD68C4"/>
    <w:rsid w:val="00DD69C3"/>
    <w:rsid w:val="00DD69E1"/>
    <w:rsid w:val="00DD6D85"/>
    <w:rsid w:val="00DD7150"/>
    <w:rsid w:val="00DD715C"/>
    <w:rsid w:val="00DD7621"/>
    <w:rsid w:val="00DD7A3F"/>
    <w:rsid w:val="00DD7A67"/>
    <w:rsid w:val="00DD7D97"/>
    <w:rsid w:val="00DE03D5"/>
    <w:rsid w:val="00DE0696"/>
    <w:rsid w:val="00DE0731"/>
    <w:rsid w:val="00DE092F"/>
    <w:rsid w:val="00DE0C36"/>
    <w:rsid w:val="00DE0ECA"/>
    <w:rsid w:val="00DE103C"/>
    <w:rsid w:val="00DE10B1"/>
    <w:rsid w:val="00DE1159"/>
    <w:rsid w:val="00DE1206"/>
    <w:rsid w:val="00DE18BC"/>
    <w:rsid w:val="00DE1A33"/>
    <w:rsid w:val="00DE24D3"/>
    <w:rsid w:val="00DE24DF"/>
    <w:rsid w:val="00DE27C2"/>
    <w:rsid w:val="00DE282F"/>
    <w:rsid w:val="00DE2868"/>
    <w:rsid w:val="00DE2A6F"/>
    <w:rsid w:val="00DE2B38"/>
    <w:rsid w:val="00DE2DD9"/>
    <w:rsid w:val="00DE2EA6"/>
    <w:rsid w:val="00DE30A8"/>
    <w:rsid w:val="00DE30AF"/>
    <w:rsid w:val="00DE3290"/>
    <w:rsid w:val="00DE32CE"/>
    <w:rsid w:val="00DE35ED"/>
    <w:rsid w:val="00DE38B6"/>
    <w:rsid w:val="00DE3AF2"/>
    <w:rsid w:val="00DE3C0B"/>
    <w:rsid w:val="00DE408B"/>
    <w:rsid w:val="00DE46DB"/>
    <w:rsid w:val="00DE4869"/>
    <w:rsid w:val="00DE494D"/>
    <w:rsid w:val="00DE4A66"/>
    <w:rsid w:val="00DE540E"/>
    <w:rsid w:val="00DE554C"/>
    <w:rsid w:val="00DE5647"/>
    <w:rsid w:val="00DE5AE3"/>
    <w:rsid w:val="00DE5D4E"/>
    <w:rsid w:val="00DE60FD"/>
    <w:rsid w:val="00DE615E"/>
    <w:rsid w:val="00DE63DA"/>
    <w:rsid w:val="00DE6BC4"/>
    <w:rsid w:val="00DE70BB"/>
    <w:rsid w:val="00DE715A"/>
    <w:rsid w:val="00DE7273"/>
    <w:rsid w:val="00DE7619"/>
    <w:rsid w:val="00DE7ADB"/>
    <w:rsid w:val="00DE7D29"/>
    <w:rsid w:val="00DE7E78"/>
    <w:rsid w:val="00DE7EFE"/>
    <w:rsid w:val="00DE7FE1"/>
    <w:rsid w:val="00DF012D"/>
    <w:rsid w:val="00DF0273"/>
    <w:rsid w:val="00DF06E9"/>
    <w:rsid w:val="00DF09E4"/>
    <w:rsid w:val="00DF0AB6"/>
    <w:rsid w:val="00DF0C59"/>
    <w:rsid w:val="00DF0D08"/>
    <w:rsid w:val="00DF1178"/>
    <w:rsid w:val="00DF11D7"/>
    <w:rsid w:val="00DF11F2"/>
    <w:rsid w:val="00DF15ED"/>
    <w:rsid w:val="00DF163F"/>
    <w:rsid w:val="00DF1756"/>
    <w:rsid w:val="00DF23C2"/>
    <w:rsid w:val="00DF23E3"/>
    <w:rsid w:val="00DF2515"/>
    <w:rsid w:val="00DF254D"/>
    <w:rsid w:val="00DF278D"/>
    <w:rsid w:val="00DF29EF"/>
    <w:rsid w:val="00DF2CA4"/>
    <w:rsid w:val="00DF31D3"/>
    <w:rsid w:val="00DF3902"/>
    <w:rsid w:val="00DF4432"/>
    <w:rsid w:val="00DF45A8"/>
    <w:rsid w:val="00DF48B8"/>
    <w:rsid w:val="00DF4AA9"/>
    <w:rsid w:val="00DF4B62"/>
    <w:rsid w:val="00DF4F39"/>
    <w:rsid w:val="00DF5186"/>
    <w:rsid w:val="00DF5365"/>
    <w:rsid w:val="00DF542D"/>
    <w:rsid w:val="00DF5522"/>
    <w:rsid w:val="00DF5988"/>
    <w:rsid w:val="00DF5D75"/>
    <w:rsid w:val="00DF5E09"/>
    <w:rsid w:val="00DF5F20"/>
    <w:rsid w:val="00DF5FDE"/>
    <w:rsid w:val="00DF60A3"/>
    <w:rsid w:val="00DF6131"/>
    <w:rsid w:val="00DF629E"/>
    <w:rsid w:val="00DF632D"/>
    <w:rsid w:val="00DF64F0"/>
    <w:rsid w:val="00DF65F3"/>
    <w:rsid w:val="00DF6A1C"/>
    <w:rsid w:val="00DF6C9E"/>
    <w:rsid w:val="00DF6DDC"/>
    <w:rsid w:val="00DF6F0B"/>
    <w:rsid w:val="00DF7170"/>
    <w:rsid w:val="00DF74A0"/>
    <w:rsid w:val="00DF77FE"/>
    <w:rsid w:val="00DF78B4"/>
    <w:rsid w:val="00DF78EC"/>
    <w:rsid w:val="00DF7935"/>
    <w:rsid w:val="00E001C7"/>
    <w:rsid w:val="00E0036C"/>
    <w:rsid w:val="00E00693"/>
    <w:rsid w:val="00E00711"/>
    <w:rsid w:val="00E0077E"/>
    <w:rsid w:val="00E00938"/>
    <w:rsid w:val="00E00965"/>
    <w:rsid w:val="00E00EC7"/>
    <w:rsid w:val="00E00F1A"/>
    <w:rsid w:val="00E01039"/>
    <w:rsid w:val="00E01503"/>
    <w:rsid w:val="00E015D2"/>
    <w:rsid w:val="00E0165A"/>
    <w:rsid w:val="00E0169B"/>
    <w:rsid w:val="00E01BC5"/>
    <w:rsid w:val="00E01DFC"/>
    <w:rsid w:val="00E01EF3"/>
    <w:rsid w:val="00E0210F"/>
    <w:rsid w:val="00E02148"/>
    <w:rsid w:val="00E0215E"/>
    <w:rsid w:val="00E02527"/>
    <w:rsid w:val="00E02B46"/>
    <w:rsid w:val="00E02E21"/>
    <w:rsid w:val="00E02EA4"/>
    <w:rsid w:val="00E030FA"/>
    <w:rsid w:val="00E03151"/>
    <w:rsid w:val="00E031EE"/>
    <w:rsid w:val="00E035D5"/>
    <w:rsid w:val="00E03C29"/>
    <w:rsid w:val="00E0427B"/>
    <w:rsid w:val="00E04324"/>
    <w:rsid w:val="00E043F1"/>
    <w:rsid w:val="00E0451F"/>
    <w:rsid w:val="00E0476F"/>
    <w:rsid w:val="00E0489A"/>
    <w:rsid w:val="00E048E8"/>
    <w:rsid w:val="00E0490C"/>
    <w:rsid w:val="00E049C1"/>
    <w:rsid w:val="00E05091"/>
    <w:rsid w:val="00E05177"/>
    <w:rsid w:val="00E0517E"/>
    <w:rsid w:val="00E0535F"/>
    <w:rsid w:val="00E053BC"/>
    <w:rsid w:val="00E053C2"/>
    <w:rsid w:val="00E0574E"/>
    <w:rsid w:val="00E0595D"/>
    <w:rsid w:val="00E059BF"/>
    <w:rsid w:val="00E05DB0"/>
    <w:rsid w:val="00E06044"/>
    <w:rsid w:val="00E0655D"/>
    <w:rsid w:val="00E065E5"/>
    <w:rsid w:val="00E0671F"/>
    <w:rsid w:val="00E069E2"/>
    <w:rsid w:val="00E06B78"/>
    <w:rsid w:val="00E06DB6"/>
    <w:rsid w:val="00E06F2E"/>
    <w:rsid w:val="00E072EA"/>
    <w:rsid w:val="00E07517"/>
    <w:rsid w:val="00E07AE5"/>
    <w:rsid w:val="00E07D72"/>
    <w:rsid w:val="00E10269"/>
    <w:rsid w:val="00E10559"/>
    <w:rsid w:val="00E10BF5"/>
    <w:rsid w:val="00E10EB2"/>
    <w:rsid w:val="00E11004"/>
    <w:rsid w:val="00E11168"/>
    <w:rsid w:val="00E114DA"/>
    <w:rsid w:val="00E1154C"/>
    <w:rsid w:val="00E116F0"/>
    <w:rsid w:val="00E11715"/>
    <w:rsid w:val="00E11AA0"/>
    <w:rsid w:val="00E11C78"/>
    <w:rsid w:val="00E11D99"/>
    <w:rsid w:val="00E11DBB"/>
    <w:rsid w:val="00E11F63"/>
    <w:rsid w:val="00E12128"/>
    <w:rsid w:val="00E12475"/>
    <w:rsid w:val="00E127A9"/>
    <w:rsid w:val="00E127FC"/>
    <w:rsid w:val="00E12829"/>
    <w:rsid w:val="00E12874"/>
    <w:rsid w:val="00E12AA2"/>
    <w:rsid w:val="00E12CF5"/>
    <w:rsid w:val="00E12D94"/>
    <w:rsid w:val="00E12E4F"/>
    <w:rsid w:val="00E130FE"/>
    <w:rsid w:val="00E13276"/>
    <w:rsid w:val="00E13330"/>
    <w:rsid w:val="00E13471"/>
    <w:rsid w:val="00E1347A"/>
    <w:rsid w:val="00E1356D"/>
    <w:rsid w:val="00E13579"/>
    <w:rsid w:val="00E1368D"/>
    <w:rsid w:val="00E13D76"/>
    <w:rsid w:val="00E13E35"/>
    <w:rsid w:val="00E14087"/>
    <w:rsid w:val="00E140AA"/>
    <w:rsid w:val="00E14236"/>
    <w:rsid w:val="00E14341"/>
    <w:rsid w:val="00E14812"/>
    <w:rsid w:val="00E14ABA"/>
    <w:rsid w:val="00E14D3D"/>
    <w:rsid w:val="00E1500C"/>
    <w:rsid w:val="00E151AA"/>
    <w:rsid w:val="00E152F4"/>
    <w:rsid w:val="00E15412"/>
    <w:rsid w:val="00E15434"/>
    <w:rsid w:val="00E15601"/>
    <w:rsid w:val="00E15626"/>
    <w:rsid w:val="00E15DEF"/>
    <w:rsid w:val="00E15E05"/>
    <w:rsid w:val="00E15E55"/>
    <w:rsid w:val="00E15E65"/>
    <w:rsid w:val="00E15E9E"/>
    <w:rsid w:val="00E16282"/>
    <w:rsid w:val="00E163BA"/>
    <w:rsid w:val="00E163E0"/>
    <w:rsid w:val="00E167CB"/>
    <w:rsid w:val="00E16BA1"/>
    <w:rsid w:val="00E16CC9"/>
    <w:rsid w:val="00E16FF3"/>
    <w:rsid w:val="00E1767A"/>
    <w:rsid w:val="00E17828"/>
    <w:rsid w:val="00E17869"/>
    <w:rsid w:val="00E179CD"/>
    <w:rsid w:val="00E17E15"/>
    <w:rsid w:val="00E17E77"/>
    <w:rsid w:val="00E20025"/>
    <w:rsid w:val="00E20042"/>
    <w:rsid w:val="00E206CF"/>
    <w:rsid w:val="00E209D3"/>
    <w:rsid w:val="00E20C09"/>
    <w:rsid w:val="00E2105C"/>
    <w:rsid w:val="00E212C9"/>
    <w:rsid w:val="00E21340"/>
    <w:rsid w:val="00E213E9"/>
    <w:rsid w:val="00E21474"/>
    <w:rsid w:val="00E21494"/>
    <w:rsid w:val="00E217B0"/>
    <w:rsid w:val="00E21B38"/>
    <w:rsid w:val="00E21F73"/>
    <w:rsid w:val="00E2218F"/>
    <w:rsid w:val="00E224D4"/>
    <w:rsid w:val="00E228F4"/>
    <w:rsid w:val="00E22B2A"/>
    <w:rsid w:val="00E22F1D"/>
    <w:rsid w:val="00E235A3"/>
    <w:rsid w:val="00E235F2"/>
    <w:rsid w:val="00E2379B"/>
    <w:rsid w:val="00E237CB"/>
    <w:rsid w:val="00E23928"/>
    <w:rsid w:val="00E23F6E"/>
    <w:rsid w:val="00E249F1"/>
    <w:rsid w:val="00E24B53"/>
    <w:rsid w:val="00E24E18"/>
    <w:rsid w:val="00E251A5"/>
    <w:rsid w:val="00E2565E"/>
    <w:rsid w:val="00E2577D"/>
    <w:rsid w:val="00E2579D"/>
    <w:rsid w:val="00E25A36"/>
    <w:rsid w:val="00E25BB1"/>
    <w:rsid w:val="00E25F68"/>
    <w:rsid w:val="00E260C6"/>
    <w:rsid w:val="00E26113"/>
    <w:rsid w:val="00E26411"/>
    <w:rsid w:val="00E26509"/>
    <w:rsid w:val="00E265A3"/>
    <w:rsid w:val="00E266A4"/>
    <w:rsid w:val="00E26A15"/>
    <w:rsid w:val="00E26BBC"/>
    <w:rsid w:val="00E26C3F"/>
    <w:rsid w:val="00E26C79"/>
    <w:rsid w:val="00E26CED"/>
    <w:rsid w:val="00E2724F"/>
    <w:rsid w:val="00E27320"/>
    <w:rsid w:val="00E27324"/>
    <w:rsid w:val="00E27970"/>
    <w:rsid w:val="00E279F1"/>
    <w:rsid w:val="00E27C5E"/>
    <w:rsid w:val="00E27D6E"/>
    <w:rsid w:val="00E27E9B"/>
    <w:rsid w:val="00E3018E"/>
    <w:rsid w:val="00E30BFE"/>
    <w:rsid w:val="00E31072"/>
    <w:rsid w:val="00E311AF"/>
    <w:rsid w:val="00E311EF"/>
    <w:rsid w:val="00E31489"/>
    <w:rsid w:val="00E31CCE"/>
    <w:rsid w:val="00E31E0E"/>
    <w:rsid w:val="00E32A20"/>
    <w:rsid w:val="00E32B14"/>
    <w:rsid w:val="00E32F58"/>
    <w:rsid w:val="00E32F69"/>
    <w:rsid w:val="00E32FF3"/>
    <w:rsid w:val="00E33023"/>
    <w:rsid w:val="00E336BC"/>
    <w:rsid w:val="00E3383A"/>
    <w:rsid w:val="00E33B5F"/>
    <w:rsid w:val="00E34188"/>
    <w:rsid w:val="00E34289"/>
    <w:rsid w:val="00E342F8"/>
    <w:rsid w:val="00E343F2"/>
    <w:rsid w:val="00E34594"/>
    <w:rsid w:val="00E34657"/>
    <w:rsid w:val="00E34748"/>
    <w:rsid w:val="00E34909"/>
    <w:rsid w:val="00E3498E"/>
    <w:rsid w:val="00E34DB8"/>
    <w:rsid w:val="00E34FBD"/>
    <w:rsid w:val="00E350BB"/>
    <w:rsid w:val="00E352E4"/>
    <w:rsid w:val="00E35306"/>
    <w:rsid w:val="00E353A7"/>
    <w:rsid w:val="00E353AF"/>
    <w:rsid w:val="00E35847"/>
    <w:rsid w:val="00E35BC5"/>
    <w:rsid w:val="00E35C28"/>
    <w:rsid w:val="00E36084"/>
    <w:rsid w:val="00E3636A"/>
    <w:rsid w:val="00E36474"/>
    <w:rsid w:val="00E367C8"/>
    <w:rsid w:val="00E367D5"/>
    <w:rsid w:val="00E369A5"/>
    <w:rsid w:val="00E36B2E"/>
    <w:rsid w:val="00E36C7A"/>
    <w:rsid w:val="00E36D9C"/>
    <w:rsid w:val="00E370B3"/>
    <w:rsid w:val="00E37267"/>
    <w:rsid w:val="00E375E9"/>
    <w:rsid w:val="00E376DB"/>
    <w:rsid w:val="00E37864"/>
    <w:rsid w:val="00E37AF9"/>
    <w:rsid w:val="00E37D5B"/>
    <w:rsid w:val="00E401E2"/>
    <w:rsid w:val="00E403E5"/>
    <w:rsid w:val="00E40513"/>
    <w:rsid w:val="00E4080D"/>
    <w:rsid w:val="00E413D4"/>
    <w:rsid w:val="00E4152B"/>
    <w:rsid w:val="00E4191A"/>
    <w:rsid w:val="00E4195A"/>
    <w:rsid w:val="00E41F45"/>
    <w:rsid w:val="00E4202E"/>
    <w:rsid w:val="00E42151"/>
    <w:rsid w:val="00E42177"/>
    <w:rsid w:val="00E42290"/>
    <w:rsid w:val="00E42418"/>
    <w:rsid w:val="00E427A4"/>
    <w:rsid w:val="00E42BE8"/>
    <w:rsid w:val="00E42DC5"/>
    <w:rsid w:val="00E42E0B"/>
    <w:rsid w:val="00E42FD0"/>
    <w:rsid w:val="00E4362E"/>
    <w:rsid w:val="00E43AB6"/>
    <w:rsid w:val="00E4435B"/>
    <w:rsid w:val="00E449B4"/>
    <w:rsid w:val="00E450EC"/>
    <w:rsid w:val="00E457C4"/>
    <w:rsid w:val="00E45A2B"/>
    <w:rsid w:val="00E45BB2"/>
    <w:rsid w:val="00E461D9"/>
    <w:rsid w:val="00E46514"/>
    <w:rsid w:val="00E4662A"/>
    <w:rsid w:val="00E4667B"/>
    <w:rsid w:val="00E469E4"/>
    <w:rsid w:val="00E46BE0"/>
    <w:rsid w:val="00E46C93"/>
    <w:rsid w:val="00E46D2E"/>
    <w:rsid w:val="00E46DB1"/>
    <w:rsid w:val="00E46EFB"/>
    <w:rsid w:val="00E4702C"/>
    <w:rsid w:val="00E47116"/>
    <w:rsid w:val="00E4742F"/>
    <w:rsid w:val="00E47924"/>
    <w:rsid w:val="00E47DB4"/>
    <w:rsid w:val="00E50091"/>
    <w:rsid w:val="00E5021F"/>
    <w:rsid w:val="00E5043D"/>
    <w:rsid w:val="00E50576"/>
    <w:rsid w:val="00E5060B"/>
    <w:rsid w:val="00E50B80"/>
    <w:rsid w:val="00E50F61"/>
    <w:rsid w:val="00E51297"/>
    <w:rsid w:val="00E51605"/>
    <w:rsid w:val="00E51633"/>
    <w:rsid w:val="00E51673"/>
    <w:rsid w:val="00E51B37"/>
    <w:rsid w:val="00E51F9A"/>
    <w:rsid w:val="00E51FC2"/>
    <w:rsid w:val="00E52286"/>
    <w:rsid w:val="00E5229B"/>
    <w:rsid w:val="00E52310"/>
    <w:rsid w:val="00E52375"/>
    <w:rsid w:val="00E5239B"/>
    <w:rsid w:val="00E52830"/>
    <w:rsid w:val="00E52908"/>
    <w:rsid w:val="00E52C07"/>
    <w:rsid w:val="00E52DDD"/>
    <w:rsid w:val="00E53247"/>
    <w:rsid w:val="00E535B4"/>
    <w:rsid w:val="00E53ABC"/>
    <w:rsid w:val="00E53FC6"/>
    <w:rsid w:val="00E5406F"/>
    <w:rsid w:val="00E541F5"/>
    <w:rsid w:val="00E542B5"/>
    <w:rsid w:val="00E547E2"/>
    <w:rsid w:val="00E54BEF"/>
    <w:rsid w:val="00E54D37"/>
    <w:rsid w:val="00E54F70"/>
    <w:rsid w:val="00E54FB8"/>
    <w:rsid w:val="00E55366"/>
    <w:rsid w:val="00E554EF"/>
    <w:rsid w:val="00E55694"/>
    <w:rsid w:val="00E55745"/>
    <w:rsid w:val="00E55895"/>
    <w:rsid w:val="00E55A56"/>
    <w:rsid w:val="00E55D7A"/>
    <w:rsid w:val="00E563DC"/>
    <w:rsid w:val="00E56516"/>
    <w:rsid w:val="00E565A9"/>
    <w:rsid w:val="00E568DE"/>
    <w:rsid w:val="00E56993"/>
    <w:rsid w:val="00E56AED"/>
    <w:rsid w:val="00E56BA6"/>
    <w:rsid w:val="00E56DF3"/>
    <w:rsid w:val="00E56EA1"/>
    <w:rsid w:val="00E56F4A"/>
    <w:rsid w:val="00E57162"/>
    <w:rsid w:val="00E571F6"/>
    <w:rsid w:val="00E573AE"/>
    <w:rsid w:val="00E574A7"/>
    <w:rsid w:val="00E5766A"/>
    <w:rsid w:val="00E57755"/>
    <w:rsid w:val="00E57A82"/>
    <w:rsid w:val="00E57AD2"/>
    <w:rsid w:val="00E57B43"/>
    <w:rsid w:val="00E57BEA"/>
    <w:rsid w:val="00E57D81"/>
    <w:rsid w:val="00E57E3C"/>
    <w:rsid w:val="00E60088"/>
    <w:rsid w:val="00E603D7"/>
    <w:rsid w:val="00E606E3"/>
    <w:rsid w:val="00E6076D"/>
    <w:rsid w:val="00E60AB2"/>
    <w:rsid w:val="00E60BC7"/>
    <w:rsid w:val="00E60BD1"/>
    <w:rsid w:val="00E60D7E"/>
    <w:rsid w:val="00E61064"/>
    <w:rsid w:val="00E6163E"/>
    <w:rsid w:val="00E616A2"/>
    <w:rsid w:val="00E618EB"/>
    <w:rsid w:val="00E6192F"/>
    <w:rsid w:val="00E61A4B"/>
    <w:rsid w:val="00E61A94"/>
    <w:rsid w:val="00E6206A"/>
    <w:rsid w:val="00E6228D"/>
    <w:rsid w:val="00E6242D"/>
    <w:rsid w:val="00E6249C"/>
    <w:rsid w:val="00E62625"/>
    <w:rsid w:val="00E62A5D"/>
    <w:rsid w:val="00E62CEA"/>
    <w:rsid w:val="00E62D30"/>
    <w:rsid w:val="00E62E5A"/>
    <w:rsid w:val="00E62EB1"/>
    <w:rsid w:val="00E62FFB"/>
    <w:rsid w:val="00E63219"/>
    <w:rsid w:val="00E63440"/>
    <w:rsid w:val="00E63854"/>
    <w:rsid w:val="00E63B6A"/>
    <w:rsid w:val="00E63C21"/>
    <w:rsid w:val="00E63C7F"/>
    <w:rsid w:val="00E63DF8"/>
    <w:rsid w:val="00E63FB8"/>
    <w:rsid w:val="00E6408A"/>
    <w:rsid w:val="00E642C6"/>
    <w:rsid w:val="00E643DA"/>
    <w:rsid w:val="00E648DD"/>
    <w:rsid w:val="00E648DE"/>
    <w:rsid w:val="00E64BA4"/>
    <w:rsid w:val="00E64ECA"/>
    <w:rsid w:val="00E64F1B"/>
    <w:rsid w:val="00E64F76"/>
    <w:rsid w:val="00E650A8"/>
    <w:rsid w:val="00E65104"/>
    <w:rsid w:val="00E656E1"/>
    <w:rsid w:val="00E65A07"/>
    <w:rsid w:val="00E65F25"/>
    <w:rsid w:val="00E66021"/>
    <w:rsid w:val="00E662C0"/>
    <w:rsid w:val="00E66491"/>
    <w:rsid w:val="00E66588"/>
    <w:rsid w:val="00E665A6"/>
    <w:rsid w:val="00E6662B"/>
    <w:rsid w:val="00E66684"/>
    <w:rsid w:val="00E67244"/>
    <w:rsid w:val="00E6726F"/>
    <w:rsid w:val="00E6776E"/>
    <w:rsid w:val="00E6777A"/>
    <w:rsid w:val="00E6781E"/>
    <w:rsid w:val="00E678C3"/>
    <w:rsid w:val="00E67912"/>
    <w:rsid w:val="00E67DC7"/>
    <w:rsid w:val="00E67EDB"/>
    <w:rsid w:val="00E7040C"/>
    <w:rsid w:val="00E70781"/>
    <w:rsid w:val="00E707FF"/>
    <w:rsid w:val="00E70919"/>
    <w:rsid w:val="00E70DD6"/>
    <w:rsid w:val="00E718B7"/>
    <w:rsid w:val="00E71923"/>
    <w:rsid w:val="00E71DD4"/>
    <w:rsid w:val="00E71EA6"/>
    <w:rsid w:val="00E71EBE"/>
    <w:rsid w:val="00E71F5B"/>
    <w:rsid w:val="00E71F95"/>
    <w:rsid w:val="00E71FB4"/>
    <w:rsid w:val="00E726C4"/>
    <w:rsid w:val="00E7273E"/>
    <w:rsid w:val="00E72C4A"/>
    <w:rsid w:val="00E72D23"/>
    <w:rsid w:val="00E72FC4"/>
    <w:rsid w:val="00E73107"/>
    <w:rsid w:val="00E73186"/>
    <w:rsid w:val="00E73430"/>
    <w:rsid w:val="00E735E8"/>
    <w:rsid w:val="00E73845"/>
    <w:rsid w:val="00E73CB7"/>
    <w:rsid w:val="00E73DE1"/>
    <w:rsid w:val="00E73ED2"/>
    <w:rsid w:val="00E73F6C"/>
    <w:rsid w:val="00E74211"/>
    <w:rsid w:val="00E7432F"/>
    <w:rsid w:val="00E7463B"/>
    <w:rsid w:val="00E7466D"/>
    <w:rsid w:val="00E74CD5"/>
    <w:rsid w:val="00E74CD8"/>
    <w:rsid w:val="00E74ED5"/>
    <w:rsid w:val="00E74FAF"/>
    <w:rsid w:val="00E7502B"/>
    <w:rsid w:val="00E75134"/>
    <w:rsid w:val="00E752DE"/>
    <w:rsid w:val="00E75303"/>
    <w:rsid w:val="00E7557F"/>
    <w:rsid w:val="00E7560C"/>
    <w:rsid w:val="00E756B5"/>
    <w:rsid w:val="00E75F3B"/>
    <w:rsid w:val="00E75FCE"/>
    <w:rsid w:val="00E76028"/>
    <w:rsid w:val="00E76172"/>
    <w:rsid w:val="00E7635C"/>
    <w:rsid w:val="00E76504"/>
    <w:rsid w:val="00E76ED4"/>
    <w:rsid w:val="00E76F75"/>
    <w:rsid w:val="00E7703D"/>
    <w:rsid w:val="00E7709D"/>
    <w:rsid w:val="00E77210"/>
    <w:rsid w:val="00E77408"/>
    <w:rsid w:val="00E80720"/>
    <w:rsid w:val="00E80D82"/>
    <w:rsid w:val="00E80EC7"/>
    <w:rsid w:val="00E80F6E"/>
    <w:rsid w:val="00E812B3"/>
    <w:rsid w:val="00E813AB"/>
    <w:rsid w:val="00E813B0"/>
    <w:rsid w:val="00E81742"/>
    <w:rsid w:val="00E81D08"/>
    <w:rsid w:val="00E81EBB"/>
    <w:rsid w:val="00E82182"/>
    <w:rsid w:val="00E822FE"/>
    <w:rsid w:val="00E82652"/>
    <w:rsid w:val="00E82807"/>
    <w:rsid w:val="00E82946"/>
    <w:rsid w:val="00E82AAB"/>
    <w:rsid w:val="00E830FA"/>
    <w:rsid w:val="00E8336D"/>
    <w:rsid w:val="00E83409"/>
    <w:rsid w:val="00E8369F"/>
    <w:rsid w:val="00E83930"/>
    <w:rsid w:val="00E83A93"/>
    <w:rsid w:val="00E83E17"/>
    <w:rsid w:val="00E84216"/>
    <w:rsid w:val="00E8426F"/>
    <w:rsid w:val="00E845BA"/>
    <w:rsid w:val="00E84769"/>
    <w:rsid w:val="00E84A84"/>
    <w:rsid w:val="00E84B6B"/>
    <w:rsid w:val="00E84B94"/>
    <w:rsid w:val="00E84D1F"/>
    <w:rsid w:val="00E84D21"/>
    <w:rsid w:val="00E84E9B"/>
    <w:rsid w:val="00E852F5"/>
    <w:rsid w:val="00E8561D"/>
    <w:rsid w:val="00E856EC"/>
    <w:rsid w:val="00E85F01"/>
    <w:rsid w:val="00E86125"/>
    <w:rsid w:val="00E86485"/>
    <w:rsid w:val="00E8662D"/>
    <w:rsid w:val="00E86909"/>
    <w:rsid w:val="00E86F38"/>
    <w:rsid w:val="00E86FF9"/>
    <w:rsid w:val="00E87064"/>
    <w:rsid w:val="00E873BF"/>
    <w:rsid w:val="00E87432"/>
    <w:rsid w:val="00E8790A"/>
    <w:rsid w:val="00E8798A"/>
    <w:rsid w:val="00E879B0"/>
    <w:rsid w:val="00E87A91"/>
    <w:rsid w:val="00E87AA1"/>
    <w:rsid w:val="00E87B54"/>
    <w:rsid w:val="00E87D48"/>
    <w:rsid w:val="00E87EB2"/>
    <w:rsid w:val="00E901C4"/>
    <w:rsid w:val="00E90564"/>
    <w:rsid w:val="00E90D5B"/>
    <w:rsid w:val="00E915FC"/>
    <w:rsid w:val="00E918F0"/>
    <w:rsid w:val="00E91CDD"/>
    <w:rsid w:val="00E91E0F"/>
    <w:rsid w:val="00E92223"/>
    <w:rsid w:val="00E9223B"/>
    <w:rsid w:val="00E922E7"/>
    <w:rsid w:val="00E923EA"/>
    <w:rsid w:val="00E924E2"/>
    <w:rsid w:val="00E92632"/>
    <w:rsid w:val="00E92715"/>
    <w:rsid w:val="00E927DE"/>
    <w:rsid w:val="00E92A68"/>
    <w:rsid w:val="00E92B8E"/>
    <w:rsid w:val="00E92C8F"/>
    <w:rsid w:val="00E92E4D"/>
    <w:rsid w:val="00E9300F"/>
    <w:rsid w:val="00E93121"/>
    <w:rsid w:val="00E937C4"/>
    <w:rsid w:val="00E937FF"/>
    <w:rsid w:val="00E93928"/>
    <w:rsid w:val="00E93D07"/>
    <w:rsid w:val="00E93EEB"/>
    <w:rsid w:val="00E94059"/>
    <w:rsid w:val="00E940F2"/>
    <w:rsid w:val="00E943B8"/>
    <w:rsid w:val="00E94477"/>
    <w:rsid w:val="00E94766"/>
    <w:rsid w:val="00E94C20"/>
    <w:rsid w:val="00E94EEB"/>
    <w:rsid w:val="00E94F9F"/>
    <w:rsid w:val="00E95120"/>
    <w:rsid w:val="00E95581"/>
    <w:rsid w:val="00E95C48"/>
    <w:rsid w:val="00E96183"/>
    <w:rsid w:val="00E9618F"/>
    <w:rsid w:val="00E96818"/>
    <w:rsid w:val="00E968B5"/>
    <w:rsid w:val="00E969F4"/>
    <w:rsid w:val="00E96C30"/>
    <w:rsid w:val="00E96D6E"/>
    <w:rsid w:val="00E97F33"/>
    <w:rsid w:val="00E97FE6"/>
    <w:rsid w:val="00EA0379"/>
    <w:rsid w:val="00EA0485"/>
    <w:rsid w:val="00EA04E5"/>
    <w:rsid w:val="00EA062A"/>
    <w:rsid w:val="00EA084D"/>
    <w:rsid w:val="00EA09FA"/>
    <w:rsid w:val="00EA0A78"/>
    <w:rsid w:val="00EA0F4B"/>
    <w:rsid w:val="00EA0F78"/>
    <w:rsid w:val="00EA1108"/>
    <w:rsid w:val="00EA148A"/>
    <w:rsid w:val="00EA1CBB"/>
    <w:rsid w:val="00EA1E74"/>
    <w:rsid w:val="00EA204E"/>
    <w:rsid w:val="00EA24E6"/>
    <w:rsid w:val="00EA2AFB"/>
    <w:rsid w:val="00EA2B0D"/>
    <w:rsid w:val="00EA2D98"/>
    <w:rsid w:val="00EA35B3"/>
    <w:rsid w:val="00EA360A"/>
    <w:rsid w:val="00EA3AF5"/>
    <w:rsid w:val="00EA3B1B"/>
    <w:rsid w:val="00EA3F60"/>
    <w:rsid w:val="00EA3FDE"/>
    <w:rsid w:val="00EA4061"/>
    <w:rsid w:val="00EA43C9"/>
    <w:rsid w:val="00EA47D2"/>
    <w:rsid w:val="00EA498A"/>
    <w:rsid w:val="00EA4A35"/>
    <w:rsid w:val="00EA4B90"/>
    <w:rsid w:val="00EA4CAB"/>
    <w:rsid w:val="00EA4CE2"/>
    <w:rsid w:val="00EA4FBC"/>
    <w:rsid w:val="00EA511E"/>
    <w:rsid w:val="00EA56FA"/>
    <w:rsid w:val="00EA58E7"/>
    <w:rsid w:val="00EA5B0A"/>
    <w:rsid w:val="00EA5B57"/>
    <w:rsid w:val="00EA5B65"/>
    <w:rsid w:val="00EA5C64"/>
    <w:rsid w:val="00EA5C71"/>
    <w:rsid w:val="00EA60BF"/>
    <w:rsid w:val="00EA61A4"/>
    <w:rsid w:val="00EA66E5"/>
    <w:rsid w:val="00EA6812"/>
    <w:rsid w:val="00EA6859"/>
    <w:rsid w:val="00EA6BA2"/>
    <w:rsid w:val="00EA6E36"/>
    <w:rsid w:val="00EA7237"/>
    <w:rsid w:val="00EA725F"/>
    <w:rsid w:val="00EA72E7"/>
    <w:rsid w:val="00EA759D"/>
    <w:rsid w:val="00EA7AC7"/>
    <w:rsid w:val="00EA7FA3"/>
    <w:rsid w:val="00EB03A6"/>
    <w:rsid w:val="00EB0414"/>
    <w:rsid w:val="00EB0A6A"/>
    <w:rsid w:val="00EB0D5F"/>
    <w:rsid w:val="00EB0F7C"/>
    <w:rsid w:val="00EB0FC5"/>
    <w:rsid w:val="00EB1074"/>
    <w:rsid w:val="00EB118A"/>
    <w:rsid w:val="00EB1314"/>
    <w:rsid w:val="00EB13BE"/>
    <w:rsid w:val="00EB15D6"/>
    <w:rsid w:val="00EB17E7"/>
    <w:rsid w:val="00EB17EF"/>
    <w:rsid w:val="00EB1A74"/>
    <w:rsid w:val="00EB1B44"/>
    <w:rsid w:val="00EB1C36"/>
    <w:rsid w:val="00EB1E32"/>
    <w:rsid w:val="00EB1F57"/>
    <w:rsid w:val="00EB203F"/>
    <w:rsid w:val="00EB209E"/>
    <w:rsid w:val="00EB3245"/>
    <w:rsid w:val="00EB36C6"/>
    <w:rsid w:val="00EB411C"/>
    <w:rsid w:val="00EB4251"/>
    <w:rsid w:val="00EB45B8"/>
    <w:rsid w:val="00EB4676"/>
    <w:rsid w:val="00EB4CA3"/>
    <w:rsid w:val="00EB5CD1"/>
    <w:rsid w:val="00EB5D9B"/>
    <w:rsid w:val="00EB6049"/>
    <w:rsid w:val="00EB64C8"/>
    <w:rsid w:val="00EB64CC"/>
    <w:rsid w:val="00EB6615"/>
    <w:rsid w:val="00EB66B5"/>
    <w:rsid w:val="00EB6723"/>
    <w:rsid w:val="00EB6E42"/>
    <w:rsid w:val="00EB6F3C"/>
    <w:rsid w:val="00EB7088"/>
    <w:rsid w:val="00EB76C6"/>
    <w:rsid w:val="00EB78A4"/>
    <w:rsid w:val="00EB7AB4"/>
    <w:rsid w:val="00EB7C91"/>
    <w:rsid w:val="00EB7E7C"/>
    <w:rsid w:val="00EC0227"/>
    <w:rsid w:val="00EC07B0"/>
    <w:rsid w:val="00EC0B4C"/>
    <w:rsid w:val="00EC1446"/>
    <w:rsid w:val="00EC153F"/>
    <w:rsid w:val="00EC1695"/>
    <w:rsid w:val="00EC1813"/>
    <w:rsid w:val="00EC189E"/>
    <w:rsid w:val="00EC1F31"/>
    <w:rsid w:val="00EC21D1"/>
    <w:rsid w:val="00EC21EF"/>
    <w:rsid w:val="00EC25D0"/>
    <w:rsid w:val="00EC2603"/>
    <w:rsid w:val="00EC2A2A"/>
    <w:rsid w:val="00EC36ED"/>
    <w:rsid w:val="00EC39C0"/>
    <w:rsid w:val="00EC3ED5"/>
    <w:rsid w:val="00EC4375"/>
    <w:rsid w:val="00EC4925"/>
    <w:rsid w:val="00EC499F"/>
    <w:rsid w:val="00EC4E19"/>
    <w:rsid w:val="00EC4E74"/>
    <w:rsid w:val="00EC4EDF"/>
    <w:rsid w:val="00EC5056"/>
    <w:rsid w:val="00EC5175"/>
    <w:rsid w:val="00EC52AF"/>
    <w:rsid w:val="00EC5628"/>
    <w:rsid w:val="00EC5630"/>
    <w:rsid w:val="00EC5862"/>
    <w:rsid w:val="00EC5BF9"/>
    <w:rsid w:val="00EC5F5B"/>
    <w:rsid w:val="00EC5FB3"/>
    <w:rsid w:val="00EC6696"/>
    <w:rsid w:val="00EC680C"/>
    <w:rsid w:val="00EC6AF1"/>
    <w:rsid w:val="00EC6CC9"/>
    <w:rsid w:val="00EC6DCF"/>
    <w:rsid w:val="00EC6F5A"/>
    <w:rsid w:val="00EC6FCB"/>
    <w:rsid w:val="00EC700C"/>
    <w:rsid w:val="00EC7B28"/>
    <w:rsid w:val="00EC7C17"/>
    <w:rsid w:val="00EC7F95"/>
    <w:rsid w:val="00ED01E2"/>
    <w:rsid w:val="00ED040F"/>
    <w:rsid w:val="00ED0868"/>
    <w:rsid w:val="00ED0924"/>
    <w:rsid w:val="00ED0E35"/>
    <w:rsid w:val="00ED0FF8"/>
    <w:rsid w:val="00ED10A7"/>
    <w:rsid w:val="00ED124A"/>
    <w:rsid w:val="00ED162E"/>
    <w:rsid w:val="00ED16BA"/>
    <w:rsid w:val="00ED173F"/>
    <w:rsid w:val="00ED18D4"/>
    <w:rsid w:val="00ED1903"/>
    <w:rsid w:val="00ED1C3E"/>
    <w:rsid w:val="00ED1D45"/>
    <w:rsid w:val="00ED1F37"/>
    <w:rsid w:val="00ED2142"/>
    <w:rsid w:val="00ED21F8"/>
    <w:rsid w:val="00ED229D"/>
    <w:rsid w:val="00ED30F8"/>
    <w:rsid w:val="00ED33DC"/>
    <w:rsid w:val="00ED358C"/>
    <w:rsid w:val="00ED36FE"/>
    <w:rsid w:val="00ED397A"/>
    <w:rsid w:val="00ED3994"/>
    <w:rsid w:val="00ED3A2D"/>
    <w:rsid w:val="00ED3B63"/>
    <w:rsid w:val="00ED4014"/>
    <w:rsid w:val="00ED4517"/>
    <w:rsid w:val="00ED4741"/>
    <w:rsid w:val="00ED4C5B"/>
    <w:rsid w:val="00ED4E02"/>
    <w:rsid w:val="00ED5111"/>
    <w:rsid w:val="00ED518B"/>
    <w:rsid w:val="00ED52C7"/>
    <w:rsid w:val="00ED5491"/>
    <w:rsid w:val="00ED5C7A"/>
    <w:rsid w:val="00ED5FA3"/>
    <w:rsid w:val="00ED611C"/>
    <w:rsid w:val="00ED64AC"/>
    <w:rsid w:val="00ED664D"/>
    <w:rsid w:val="00ED6732"/>
    <w:rsid w:val="00ED67EE"/>
    <w:rsid w:val="00ED69BF"/>
    <w:rsid w:val="00ED69D7"/>
    <w:rsid w:val="00ED6A77"/>
    <w:rsid w:val="00ED6C5B"/>
    <w:rsid w:val="00ED6CA3"/>
    <w:rsid w:val="00ED6DC6"/>
    <w:rsid w:val="00ED717C"/>
    <w:rsid w:val="00ED7204"/>
    <w:rsid w:val="00ED74A2"/>
    <w:rsid w:val="00ED7864"/>
    <w:rsid w:val="00ED7924"/>
    <w:rsid w:val="00ED7DD8"/>
    <w:rsid w:val="00ED7DEA"/>
    <w:rsid w:val="00ED7EC9"/>
    <w:rsid w:val="00EE018F"/>
    <w:rsid w:val="00EE01B3"/>
    <w:rsid w:val="00EE0336"/>
    <w:rsid w:val="00EE03F3"/>
    <w:rsid w:val="00EE05EA"/>
    <w:rsid w:val="00EE07AD"/>
    <w:rsid w:val="00EE0C2C"/>
    <w:rsid w:val="00EE0C81"/>
    <w:rsid w:val="00EE0DCE"/>
    <w:rsid w:val="00EE0DDB"/>
    <w:rsid w:val="00EE0E62"/>
    <w:rsid w:val="00EE0F3E"/>
    <w:rsid w:val="00EE1004"/>
    <w:rsid w:val="00EE16BD"/>
    <w:rsid w:val="00EE16D4"/>
    <w:rsid w:val="00EE1775"/>
    <w:rsid w:val="00EE188E"/>
    <w:rsid w:val="00EE1892"/>
    <w:rsid w:val="00EE18E4"/>
    <w:rsid w:val="00EE1A97"/>
    <w:rsid w:val="00EE1B0C"/>
    <w:rsid w:val="00EE1BFD"/>
    <w:rsid w:val="00EE1DBF"/>
    <w:rsid w:val="00EE267F"/>
    <w:rsid w:val="00EE2C87"/>
    <w:rsid w:val="00EE3676"/>
    <w:rsid w:val="00EE385F"/>
    <w:rsid w:val="00EE3D4E"/>
    <w:rsid w:val="00EE3D9A"/>
    <w:rsid w:val="00EE3F08"/>
    <w:rsid w:val="00EE4423"/>
    <w:rsid w:val="00EE49FA"/>
    <w:rsid w:val="00EE4AB5"/>
    <w:rsid w:val="00EE4D68"/>
    <w:rsid w:val="00EE4D78"/>
    <w:rsid w:val="00EE5801"/>
    <w:rsid w:val="00EE5A93"/>
    <w:rsid w:val="00EE5CF7"/>
    <w:rsid w:val="00EE61A2"/>
    <w:rsid w:val="00EE6923"/>
    <w:rsid w:val="00EE6929"/>
    <w:rsid w:val="00EE69E3"/>
    <w:rsid w:val="00EE6D0A"/>
    <w:rsid w:val="00EE6DE6"/>
    <w:rsid w:val="00EE6F59"/>
    <w:rsid w:val="00EE7041"/>
    <w:rsid w:val="00EE7081"/>
    <w:rsid w:val="00EE733B"/>
    <w:rsid w:val="00EE754B"/>
    <w:rsid w:val="00EE7787"/>
    <w:rsid w:val="00EE78F0"/>
    <w:rsid w:val="00EE79DC"/>
    <w:rsid w:val="00EF001F"/>
    <w:rsid w:val="00EF0100"/>
    <w:rsid w:val="00EF03E5"/>
    <w:rsid w:val="00EF0539"/>
    <w:rsid w:val="00EF0718"/>
    <w:rsid w:val="00EF0809"/>
    <w:rsid w:val="00EF0925"/>
    <w:rsid w:val="00EF09F0"/>
    <w:rsid w:val="00EF0C98"/>
    <w:rsid w:val="00EF0E59"/>
    <w:rsid w:val="00EF12C9"/>
    <w:rsid w:val="00EF14BE"/>
    <w:rsid w:val="00EF158E"/>
    <w:rsid w:val="00EF1C91"/>
    <w:rsid w:val="00EF1F50"/>
    <w:rsid w:val="00EF20D6"/>
    <w:rsid w:val="00EF274E"/>
    <w:rsid w:val="00EF2D71"/>
    <w:rsid w:val="00EF310F"/>
    <w:rsid w:val="00EF38EC"/>
    <w:rsid w:val="00EF3907"/>
    <w:rsid w:val="00EF39FC"/>
    <w:rsid w:val="00EF3C70"/>
    <w:rsid w:val="00EF3F27"/>
    <w:rsid w:val="00EF4038"/>
    <w:rsid w:val="00EF4086"/>
    <w:rsid w:val="00EF4142"/>
    <w:rsid w:val="00EF4256"/>
    <w:rsid w:val="00EF4501"/>
    <w:rsid w:val="00EF4608"/>
    <w:rsid w:val="00EF4679"/>
    <w:rsid w:val="00EF47F0"/>
    <w:rsid w:val="00EF47F7"/>
    <w:rsid w:val="00EF48C0"/>
    <w:rsid w:val="00EF48D4"/>
    <w:rsid w:val="00EF51BA"/>
    <w:rsid w:val="00EF5798"/>
    <w:rsid w:val="00EF5EDC"/>
    <w:rsid w:val="00EF6002"/>
    <w:rsid w:val="00EF605B"/>
    <w:rsid w:val="00EF627B"/>
    <w:rsid w:val="00EF6A5A"/>
    <w:rsid w:val="00EF6ADE"/>
    <w:rsid w:val="00EF6C2B"/>
    <w:rsid w:val="00EF6D9D"/>
    <w:rsid w:val="00EF6E0D"/>
    <w:rsid w:val="00EF6E20"/>
    <w:rsid w:val="00EF6FDE"/>
    <w:rsid w:val="00EF7003"/>
    <w:rsid w:val="00EF75C6"/>
    <w:rsid w:val="00EF79DF"/>
    <w:rsid w:val="00EF7A21"/>
    <w:rsid w:val="00EF7A38"/>
    <w:rsid w:val="00F000C8"/>
    <w:rsid w:val="00F0018A"/>
    <w:rsid w:val="00F00255"/>
    <w:rsid w:val="00F00494"/>
    <w:rsid w:val="00F00A71"/>
    <w:rsid w:val="00F00B59"/>
    <w:rsid w:val="00F00CD7"/>
    <w:rsid w:val="00F00DF8"/>
    <w:rsid w:val="00F0142E"/>
    <w:rsid w:val="00F01571"/>
    <w:rsid w:val="00F01710"/>
    <w:rsid w:val="00F0194F"/>
    <w:rsid w:val="00F019B3"/>
    <w:rsid w:val="00F01B40"/>
    <w:rsid w:val="00F0215F"/>
    <w:rsid w:val="00F0232D"/>
    <w:rsid w:val="00F0259F"/>
    <w:rsid w:val="00F025D3"/>
    <w:rsid w:val="00F02A2B"/>
    <w:rsid w:val="00F02A7F"/>
    <w:rsid w:val="00F02C2E"/>
    <w:rsid w:val="00F02DEC"/>
    <w:rsid w:val="00F0330A"/>
    <w:rsid w:val="00F03550"/>
    <w:rsid w:val="00F03EAE"/>
    <w:rsid w:val="00F03FF1"/>
    <w:rsid w:val="00F04108"/>
    <w:rsid w:val="00F04407"/>
    <w:rsid w:val="00F045B9"/>
    <w:rsid w:val="00F0474C"/>
    <w:rsid w:val="00F04777"/>
    <w:rsid w:val="00F04A79"/>
    <w:rsid w:val="00F04BFC"/>
    <w:rsid w:val="00F04F1A"/>
    <w:rsid w:val="00F05056"/>
    <w:rsid w:val="00F053E2"/>
    <w:rsid w:val="00F05736"/>
    <w:rsid w:val="00F057DB"/>
    <w:rsid w:val="00F059A8"/>
    <w:rsid w:val="00F05AD7"/>
    <w:rsid w:val="00F05B1F"/>
    <w:rsid w:val="00F05DD5"/>
    <w:rsid w:val="00F05F2A"/>
    <w:rsid w:val="00F076E9"/>
    <w:rsid w:val="00F07BA6"/>
    <w:rsid w:val="00F07C2C"/>
    <w:rsid w:val="00F07D52"/>
    <w:rsid w:val="00F1004A"/>
    <w:rsid w:val="00F1022F"/>
    <w:rsid w:val="00F10230"/>
    <w:rsid w:val="00F102CA"/>
    <w:rsid w:val="00F1035A"/>
    <w:rsid w:val="00F1066E"/>
    <w:rsid w:val="00F109C2"/>
    <w:rsid w:val="00F109E2"/>
    <w:rsid w:val="00F10A88"/>
    <w:rsid w:val="00F10D06"/>
    <w:rsid w:val="00F11014"/>
    <w:rsid w:val="00F11173"/>
    <w:rsid w:val="00F112A7"/>
    <w:rsid w:val="00F11428"/>
    <w:rsid w:val="00F11592"/>
    <w:rsid w:val="00F11695"/>
    <w:rsid w:val="00F1177C"/>
    <w:rsid w:val="00F118E7"/>
    <w:rsid w:val="00F1192C"/>
    <w:rsid w:val="00F11A2A"/>
    <w:rsid w:val="00F11AA2"/>
    <w:rsid w:val="00F11C8B"/>
    <w:rsid w:val="00F11CC0"/>
    <w:rsid w:val="00F11D16"/>
    <w:rsid w:val="00F11D6C"/>
    <w:rsid w:val="00F11DE0"/>
    <w:rsid w:val="00F120ED"/>
    <w:rsid w:val="00F121E0"/>
    <w:rsid w:val="00F123AB"/>
    <w:rsid w:val="00F1269F"/>
    <w:rsid w:val="00F126E3"/>
    <w:rsid w:val="00F128A5"/>
    <w:rsid w:val="00F128DD"/>
    <w:rsid w:val="00F12BDF"/>
    <w:rsid w:val="00F12EFB"/>
    <w:rsid w:val="00F1308C"/>
    <w:rsid w:val="00F13648"/>
    <w:rsid w:val="00F13A32"/>
    <w:rsid w:val="00F14035"/>
    <w:rsid w:val="00F1411D"/>
    <w:rsid w:val="00F1420A"/>
    <w:rsid w:val="00F14407"/>
    <w:rsid w:val="00F14554"/>
    <w:rsid w:val="00F14AB4"/>
    <w:rsid w:val="00F14E7D"/>
    <w:rsid w:val="00F14FBD"/>
    <w:rsid w:val="00F15131"/>
    <w:rsid w:val="00F15166"/>
    <w:rsid w:val="00F1518C"/>
    <w:rsid w:val="00F15270"/>
    <w:rsid w:val="00F152ED"/>
    <w:rsid w:val="00F1547B"/>
    <w:rsid w:val="00F1572A"/>
    <w:rsid w:val="00F15764"/>
    <w:rsid w:val="00F15782"/>
    <w:rsid w:val="00F15B55"/>
    <w:rsid w:val="00F15BB0"/>
    <w:rsid w:val="00F15EAA"/>
    <w:rsid w:val="00F15F5C"/>
    <w:rsid w:val="00F160B4"/>
    <w:rsid w:val="00F1647E"/>
    <w:rsid w:val="00F1656E"/>
    <w:rsid w:val="00F16662"/>
    <w:rsid w:val="00F166B0"/>
    <w:rsid w:val="00F166CE"/>
    <w:rsid w:val="00F167B3"/>
    <w:rsid w:val="00F168D4"/>
    <w:rsid w:val="00F17171"/>
    <w:rsid w:val="00F17434"/>
    <w:rsid w:val="00F174FA"/>
    <w:rsid w:val="00F175CF"/>
    <w:rsid w:val="00F17882"/>
    <w:rsid w:val="00F20D3B"/>
    <w:rsid w:val="00F20D5C"/>
    <w:rsid w:val="00F2103E"/>
    <w:rsid w:val="00F21339"/>
    <w:rsid w:val="00F214CF"/>
    <w:rsid w:val="00F2150E"/>
    <w:rsid w:val="00F21576"/>
    <w:rsid w:val="00F21F2F"/>
    <w:rsid w:val="00F22617"/>
    <w:rsid w:val="00F22C5A"/>
    <w:rsid w:val="00F23135"/>
    <w:rsid w:val="00F23266"/>
    <w:rsid w:val="00F2331E"/>
    <w:rsid w:val="00F23337"/>
    <w:rsid w:val="00F23474"/>
    <w:rsid w:val="00F235C5"/>
    <w:rsid w:val="00F237F8"/>
    <w:rsid w:val="00F23E95"/>
    <w:rsid w:val="00F24017"/>
    <w:rsid w:val="00F240B7"/>
    <w:rsid w:val="00F24129"/>
    <w:rsid w:val="00F242DA"/>
    <w:rsid w:val="00F24441"/>
    <w:rsid w:val="00F24618"/>
    <w:rsid w:val="00F24CFA"/>
    <w:rsid w:val="00F24F0D"/>
    <w:rsid w:val="00F24FBB"/>
    <w:rsid w:val="00F25604"/>
    <w:rsid w:val="00F25697"/>
    <w:rsid w:val="00F25B16"/>
    <w:rsid w:val="00F25BF4"/>
    <w:rsid w:val="00F260E5"/>
    <w:rsid w:val="00F263BA"/>
    <w:rsid w:val="00F26459"/>
    <w:rsid w:val="00F264B8"/>
    <w:rsid w:val="00F268C1"/>
    <w:rsid w:val="00F26A7B"/>
    <w:rsid w:val="00F26B41"/>
    <w:rsid w:val="00F26CF8"/>
    <w:rsid w:val="00F26D14"/>
    <w:rsid w:val="00F270B4"/>
    <w:rsid w:val="00F27276"/>
    <w:rsid w:val="00F27368"/>
    <w:rsid w:val="00F2756B"/>
    <w:rsid w:val="00F279B6"/>
    <w:rsid w:val="00F27A15"/>
    <w:rsid w:val="00F27B92"/>
    <w:rsid w:val="00F27D8F"/>
    <w:rsid w:val="00F27EF9"/>
    <w:rsid w:val="00F27FF3"/>
    <w:rsid w:val="00F30566"/>
    <w:rsid w:val="00F306AF"/>
    <w:rsid w:val="00F3078C"/>
    <w:rsid w:val="00F307BD"/>
    <w:rsid w:val="00F3081C"/>
    <w:rsid w:val="00F30A9D"/>
    <w:rsid w:val="00F30DB1"/>
    <w:rsid w:val="00F310FC"/>
    <w:rsid w:val="00F312BD"/>
    <w:rsid w:val="00F3150F"/>
    <w:rsid w:val="00F31622"/>
    <w:rsid w:val="00F31886"/>
    <w:rsid w:val="00F31898"/>
    <w:rsid w:val="00F322E5"/>
    <w:rsid w:val="00F323D3"/>
    <w:rsid w:val="00F32491"/>
    <w:rsid w:val="00F32631"/>
    <w:rsid w:val="00F326D9"/>
    <w:rsid w:val="00F3294D"/>
    <w:rsid w:val="00F3295D"/>
    <w:rsid w:val="00F32D3B"/>
    <w:rsid w:val="00F3376D"/>
    <w:rsid w:val="00F337DD"/>
    <w:rsid w:val="00F33922"/>
    <w:rsid w:val="00F33CCC"/>
    <w:rsid w:val="00F33D02"/>
    <w:rsid w:val="00F34032"/>
    <w:rsid w:val="00F3411C"/>
    <w:rsid w:val="00F34A53"/>
    <w:rsid w:val="00F34CF7"/>
    <w:rsid w:val="00F34CFD"/>
    <w:rsid w:val="00F34DF6"/>
    <w:rsid w:val="00F34DF7"/>
    <w:rsid w:val="00F34E5A"/>
    <w:rsid w:val="00F35351"/>
    <w:rsid w:val="00F353EB"/>
    <w:rsid w:val="00F35570"/>
    <w:rsid w:val="00F35679"/>
    <w:rsid w:val="00F359DE"/>
    <w:rsid w:val="00F35A69"/>
    <w:rsid w:val="00F35BA0"/>
    <w:rsid w:val="00F35CF4"/>
    <w:rsid w:val="00F35F7B"/>
    <w:rsid w:val="00F3620D"/>
    <w:rsid w:val="00F3682C"/>
    <w:rsid w:val="00F36861"/>
    <w:rsid w:val="00F369A4"/>
    <w:rsid w:val="00F36DD5"/>
    <w:rsid w:val="00F36ECD"/>
    <w:rsid w:val="00F36F6B"/>
    <w:rsid w:val="00F370FC"/>
    <w:rsid w:val="00F37249"/>
    <w:rsid w:val="00F37516"/>
    <w:rsid w:val="00F37573"/>
    <w:rsid w:val="00F375B9"/>
    <w:rsid w:val="00F37810"/>
    <w:rsid w:val="00F37834"/>
    <w:rsid w:val="00F378AD"/>
    <w:rsid w:val="00F37B12"/>
    <w:rsid w:val="00F37B14"/>
    <w:rsid w:val="00F37FD4"/>
    <w:rsid w:val="00F37FEC"/>
    <w:rsid w:val="00F403F9"/>
    <w:rsid w:val="00F40444"/>
    <w:rsid w:val="00F40533"/>
    <w:rsid w:val="00F40806"/>
    <w:rsid w:val="00F40836"/>
    <w:rsid w:val="00F409F6"/>
    <w:rsid w:val="00F40FD7"/>
    <w:rsid w:val="00F41926"/>
    <w:rsid w:val="00F419BB"/>
    <w:rsid w:val="00F41E55"/>
    <w:rsid w:val="00F41E6C"/>
    <w:rsid w:val="00F420FC"/>
    <w:rsid w:val="00F42133"/>
    <w:rsid w:val="00F42178"/>
    <w:rsid w:val="00F4217A"/>
    <w:rsid w:val="00F423FA"/>
    <w:rsid w:val="00F42581"/>
    <w:rsid w:val="00F42A8C"/>
    <w:rsid w:val="00F42B38"/>
    <w:rsid w:val="00F42BBF"/>
    <w:rsid w:val="00F42FA7"/>
    <w:rsid w:val="00F430C9"/>
    <w:rsid w:val="00F4310E"/>
    <w:rsid w:val="00F43171"/>
    <w:rsid w:val="00F432BF"/>
    <w:rsid w:val="00F43310"/>
    <w:rsid w:val="00F43315"/>
    <w:rsid w:val="00F43316"/>
    <w:rsid w:val="00F4351E"/>
    <w:rsid w:val="00F43523"/>
    <w:rsid w:val="00F436B7"/>
    <w:rsid w:val="00F43824"/>
    <w:rsid w:val="00F43841"/>
    <w:rsid w:val="00F43C34"/>
    <w:rsid w:val="00F43CC2"/>
    <w:rsid w:val="00F44262"/>
    <w:rsid w:val="00F44369"/>
    <w:rsid w:val="00F44555"/>
    <w:rsid w:val="00F445E4"/>
    <w:rsid w:val="00F448EC"/>
    <w:rsid w:val="00F44F17"/>
    <w:rsid w:val="00F44F3B"/>
    <w:rsid w:val="00F44FAB"/>
    <w:rsid w:val="00F45208"/>
    <w:rsid w:val="00F45277"/>
    <w:rsid w:val="00F453F9"/>
    <w:rsid w:val="00F45509"/>
    <w:rsid w:val="00F4629B"/>
    <w:rsid w:val="00F46665"/>
    <w:rsid w:val="00F4667D"/>
    <w:rsid w:val="00F4679F"/>
    <w:rsid w:val="00F46A08"/>
    <w:rsid w:val="00F46A4E"/>
    <w:rsid w:val="00F46B56"/>
    <w:rsid w:val="00F46D62"/>
    <w:rsid w:val="00F46DF5"/>
    <w:rsid w:val="00F46F39"/>
    <w:rsid w:val="00F470C6"/>
    <w:rsid w:val="00F47254"/>
    <w:rsid w:val="00F474B3"/>
    <w:rsid w:val="00F47991"/>
    <w:rsid w:val="00F47AD4"/>
    <w:rsid w:val="00F47CAE"/>
    <w:rsid w:val="00F47D21"/>
    <w:rsid w:val="00F47EF5"/>
    <w:rsid w:val="00F47F4B"/>
    <w:rsid w:val="00F503A6"/>
    <w:rsid w:val="00F504BE"/>
    <w:rsid w:val="00F506EF"/>
    <w:rsid w:val="00F50B6A"/>
    <w:rsid w:val="00F50DCA"/>
    <w:rsid w:val="00F511B7"/>
    <w:rsid w:val="00F512BB"/>
    <w:rsid w:val="00F5140D"/>
    <w:rsid w:val="00F51F17"/>
    <w:rsid w:val="00F51F7F"/>
    <w:rsid w:val="00F52413"/>
    <w:rsid w:val="00F52547"/>
    <w:rsid w:val="00F5256A"/>
    <w:rsid w:val="00F5286C"/>
    <w:rsid w:val="00F52CF3"/>
    <w:rsid w:val="00F52D78"/>
    <w:rsid w:val="00F53028"/>
    <w:rsid w:val="00F53167"/>
    <w:rsid w:val="00F532CA"/>
    <w:rsid w:val="00F53364"/>
    <w:rsid w:val="00F533F3"/>
    <w:rsid w:val="00F5358C"/>
    <w:rsid w:val="00F53713"/>
    <w:rsid w:val="00F537CF"/>
    <w:rsid w:val="00F53945"/>
    <w:rsid w:val="00F53B11"/>
    <w:rsid w:val="00F53B14"/>
    <w:rsid w:val="00F53D08"/>
    <w:rsid w:val="00F53D30"/>
    <w:rsid w:val="00F540FD"/>
    <w:rsid w:val="00F54419"/>
    <w:rsid w:val="00F547C8"/>
    <w:rsid w:val="00F547EF"/>
    <w:rsid w:val="00F5491D"/>
    <w:rsid w:val="00F5495E"/>
    <w:rsid w:val="00F54C16"/>
    <w:rsid w:val="00F556F7"/>
    <w:rsid w:val="00F556FB"/>
    <w:rsid w:val="00F5583B"/>
    <w:rsid w:val="00F55941"/>
    <w:rsid w:val="00F55E08"/>
    <w:rsid w:val="00F55E15"/>
    <w:rsid w:val="00F55EC9"/>
    <w:rsid w:val="00F5636A"/>
    <w:rsid w:val="00F565A3"/>
    <w:rsid w:val="00F5689C"/>
    <w:rsid w:val="00F56953"/>
    <w:rsid w:val="00F56F49"/>
    <w:rsid w:val="00F57158"/>
    <w:rsid w:val="00F57244"/>
    <w:rsid w:val="00F572C0"/>
    <w:rsid w:val="00F576CA"/>
    <w:rsid w:val="00F578F5"/>
    <w:rsid w:val="00F57B87"/>
    <w:rsid w:val="00F60276"/>
    <w:rsid w:val="00F606D7"/>
    <w:rsid w:val="00F60762"/>
    <w:rsid w:val="00F60A08"/>
    <w:rsid w:val="00F613EA"/>
    <w:rsid w:val="00F615A6"/>
    <w:rsid w:val="00F61BA1"/>
    <w:rsid w:val="00F61CBF"/>
    <w:rsid w:val="00F6269C"/>
    <w:rsid w:val="00F62812"/>
    <w:rsid w:val="00F6288A"/>
    <w:rsid w:val="00F628DA"/>
    <w:rsid w:val="00F62AC5"/>
    <w:rsid w:val="00F62C73"/>
    <w:rsid w:val="00F62C74"/>
    <w:rsid w:val="00F62DAE"/>
    <w:rsid w:val="00F62E1C"/>
    <w:rsid w:val="00F63557"/>
    <w:rsid w:val="00F63574"/>
    <w:rsid w:val="00F63759"/>
    <w:rsid w:val="00F63A7E"/>
    <w:rsid w:val="00F63B63"/>
    <w:rsid w:val="00F63C39"/>
    <w:rsid w:val="00F6429A"/>
    <w:rsid w:val="00F642F9"/>
    <w:rsid w:val="00F64334"/>
    <w:rsid w:val="00F64352"/>
    <w:rsid w:val="00F647BF"/>
    <w:rsid w:val="00F648C6"/>
    <w:rsid w:val="00F64B92"/>
    <w:rsid w:val="00F64CB9"/>
    <w:rsid w:val="00F64D7E"/>
    <w:rsid w:val="00F64F11"/>
    <w:rsid w:val="00F64FAD"/>
    <w:rsid w:val="00F65275"/>
    <w:rsid w:val="00F65578"/>
    <w:rsid w:val="00F6557D"/>
    <w:rsid w:val="00F65769"/>
    <w:rsid w:val="00F657B0"/>
    <w:rsid w:val="00F65920"/>
    <w:rsid w:val="00F659C5"/>
    <w:rsid w:val="00F65C3E"/>
    <w:rsid w:val="00F65E14"/>
    <w:rsid w:val="00F65E98"/>
    <w:rsid w:val="00F66159"/>
    <w:rsid w:val="00F66196"/>
    <w:rsid w:val="00F665BD"/>
    <w:rsid w:val="00F669D4"/>
    <w:rsid w:val="00F66B1D"/>
    <w:rsid w:val="00F66BC5"/>
    <w:rsid w:val="00F66E97"/>
    <w:rsid w:val="00F67131"/>
    <w:rsid w:val="00F6771E"/>
    <w:rsid w:val="00F67777"/>
    <w:rsid w:val="00F67852"/>
    <w:rsid w:val="00F679D5"/>
    <w:rsid w:val="00F67AF8"/>
    <w:rsid w:val="00F67CD9"/>
    <w:rsid w:val="00F67DD0"/>
    <w:rsid w:val="00F70220"/>
    <w:rsid w:val="00F702FB"/>
    <w:rsid w:val="00F70311"/>
    <w:rsid w:val="00F703BF"/>
    <w:rsid w:val="00F70864"/>
    <w:rsid w:val="00F709D6"/>
    <w:rsid w:val="00F70B55"/>
    <w:rsid w:val="00F710B5"/>
    <w:rsid w:val="00F710FE"/>
    <w:rsid w:val="00F7112A"/>
    <w:rsid w:val="00F7113C"/>
    <w:rsid w:val="00F711CB"/>
    <w:rsid w:val="00F7151B"/>
    <w:rsid w:val="00F71535"/>
    <w:rsid w:val="00F718F2"/>
    <w:rsid w:val="00F71D0C"/>
    <w:rsid w:val="00F71F1E"/>
    <w:rsid w:val="00F72199"/>
    <w:rsid w:val="00F72784"/>
    <w:rsid w:val="00F72A13"/>
    <w:rsid w:val="00F72E14"/>
    <w:rsid w:val="00F72EC2"/>
    <w:rsid w:val="00F73BC8"/>
    <w:rsid w:val="00F73E70"/>
    <w:rsid w:val="00F73F25"/>
    <w:rsid w:val="00F7435C"/>
    <w:rsid w:val="00F74530"/>
    <w:rsid w:val="00F74544"/>
    <w:rsid w:val="00F747EA"/>
    <w:rsid w:val="00F75183"/>
    <w:rsid w:val="00F7524D"/>
    <w:rsid w:val="00F756C1"/>
    <w:rsid w:val="00F758EA"/>
    <w:rsid w:val="00F76407"/>
    <w:rsid w:val="00F7646E"/>
    <w:rsid w:val="00F76A6E"/>
    <w:rsid w:val="00F7724D"/>
    <w:rsid w:val="00F7775D"/>
    <w:rsid w:val="00F777AC"/>
    <w:rsid w:val="00F77AE6"/>
    <w:rsid w:val="00F77C1B"/>
    <w:rsid w:val="00F77EA7"/>
    <w:rsid w:val="00F80270"/>
    <w:rsid w:val="00F809B5"/>
    <w:rsid w:val="00F809F1"/>
    <w:rsid w:val="00F80B92"/>
    <w:rsid w:val="00F80DBA"/>
    <w:rsid w:val="00F80F8F"/>
    <w:rsid w:val="00F80FF4"/>
    <w:rsid w:val="00F81098"/>
    <w:rsid w:val="00F81492"/>
    <w:rsid w:val="00F81749"/>
    <w:rsid w:val="00F8188A"/>
    <w:rsid w:val="00F81ABC"/>
    <w:rsid w:val="00F82225"/>
    <w:rsid w:val="00F8227B"/>
    <w:rsid w:val="00F82610"/>
    <w:rsid w:val="00F82825"/>
    <w:rsid w:val="00F82BF3"/>
    <w:rsid w:val="00F82C74"/>
    <w:rsid w:val="00F82CF1"/>
    <w:rsid w:val="00F82DD2"/>
    <w:rsid w:val="00F82F72"/>
    <w:rsid w:val="00F83099"/>
    <w:rsid w:val="00F839BE"/>
    <w:rsid w:val="00F83B40"/>
    <w:rsid w:val="00F840F8"/>
    <w:rsid w:val="00F8453F"/>
    <w:rsid w:val="00F84828"/>
    <w:rsid w:val="00F84D67"/>
    <w:rsid w:val="00F85291"/>
    <w:rsid w:val="00F85380"/>
    <w:rsid w:val="00F85403"/>
    <w:rsid w:val="00F855B4"/>
    <w:rsid w:val="00F85602"/>
    <w:rsid w:val="00F857CD"/>
    <w:rsid w:val="00F857FF"/>
    <w:rsid w:val="00F85881"/>
    <w:rsid w:val="00F85C3F"/>
    <w:rsid w:val="00F85C74"/>
    <w:rsid w:val="00F85F20"/>
    <w:rsid w:val="00F86259"/>
    <w:rsid w:val="00F8644E"/>
    <w:rsid w:val="00F86611"/>
    <w:rsid w:val="00F86663"/>
    <w:rsid w:val="00F86E8C"/>
    <w:rsid w:val="00F87116"/>
    <w:rsid w:val="00F875BC"/>
    <w:rsid w:val="00F876AD"/>
    <w:rsid w:val="00F8774F"/>
    <w:rsid w:val="00F87C25"/>
    <w:rsid w:val="00F87C71"/>
    <w:rsid w:val="00F87CD1"/>
    <w:rsid w:val="00F901A4"/>
    <w:rsid w:val="00F901C8"/>
    <w:rsid w:val="00F905AB"/>
    <w:rsid w:val="00F90765"/>
    <w:rsid w:val="00F908BE"/>
    <w:rsid w:val="00F909E6"/>
    <w:rsid w:val="00F91000"/>
    <w:rsid w:val="00F9113D"/>
    <w:rsid w:val="00F91176"/>
    <w:rsid w:val="00F9119D"/>
    <w:rsid w:val="00F9158B"/>
    <w:rsid w:val="00F91A73"/>
    <w:rsid w:val="00F91C8F"/>
    <w:rsid w:val="00F91ED3"/>
    <w:rsid w:val="00F91F70"/>
    <w:rsid w:val="00F924F9"/>
    <w:rsid w:val="00F925AF"/>
    <w:rsid w:val="00F926DB"/>
    <w:rsid w:val="00F92815"/>
    <w:rsid w:val="00F9292C"/>
    <w:rsid w:val="00F92A1E"/>
    <w:rsid w:val="00F931A7"/>
    <w:rsid w:val="00F93243"/>
    <w:rsid w:val="00F93865"/>
    <w:rsid w:val="00F93914"/>
    <w:rsid w:val="00F93C8B"/>
    <w:rsid w:val="00F93DD9"/>
    <w:rsid w:val="00F94054"/>
    <w:rsid w:val="00F943B8"/>
    <w:rsid w:val="00F9468D"/>
    <w:rsid w:val="00F94910"/>
    <w:rsid w:val="00F94B51"/>
    <w:rsid w:val="00F94D74"/>
    <w:rsid w:val="00F94D87"/>
    <w:rsid w:val="00F94DA5"/>
    <w:rsid w:val="00F94F7D"/>
    <w:rsid w:val="00F950DB"/>
    <w:rsid w:val="00F9522B"/>
    <w:rsid w:val="00F953AA"/>
    <w:rsid w:val="00F953EE"/>
    <w:rsid w:val="00F954FB"/>
    <w:rsid w:val="00F95864"/>
    <w:rsid w:val="00F958E5"/>
    <w:rsid w:val="00F95D45"/>
    <w:rsid w:val="00F96037"/>
    <w:rsid w:val="00F9663D"/>
    <w:rsid w:val="00F9694B"/>
    <w:rsid w:val="00F96B6A"/>
    <w:rsid w:val="00F96FC2"/>
    <w:rsid w:val="00F97092"/>
    <w:rsid w:val="00F973D7"/>
    <w:rsid w:val="00F97552"/>
    <w:rsid w:val="00F9762B"/>
    <w:rsid w:val="00F97BD2"/>
    <w:rsid w:val="00F97C00"/>
    <w:rsid w:val="00F97C17"/>
    <w:rsid w:val="00F97D3C"/>
    <w:rsid w:val="00F97E14"/>
    <w:rsid w:val="00FA0060"/>
    <w:rsid w:val="00FA00A2"/>
    <w:rsid w:val="00FA04CC"/>
    <w:rsid w:val="00FA0567"/>
    <w:rsid w:val="00FA06D6"/>
    <w:rsid w:val="00FA0952"/>
    <w:rsid w:val="00FA0AFF"/>
    <w:rsid w:val="00FA130F"/>
    <w:rsid w:val="00FA197A"/>
    <w:rsid w:val="00FA1A75"/>
    <w:rsid w:val="00FA1CA8"/>
    <w:rsid w:val="00FA1DDD"/>
    <w:rsid w:val="00FA215C"/>
    <w:rsid w:val="00FA24DF"/>
    <w:rsid w:val="00FA25BC"/>
    <w:rsid w:val="00FA267F"/>
    <w:rsid w:val="00FA270B"/>
    <w:rsid w:val="00FA2A69"/>
    <w:rsid w:val="00FA2A92"/>
    <w:rsid w:val="00FA2B90"/>
    <w:rsid w:val="00FA348A"/>
    <w:rsid w:val="00FA3867"/>
    <w:rsid w:val="00FA3976"/>
    <w:rsid w:val="00FA3EC2"/>
    <w:rsid w:val="00FA3EE1"/>
    <w:rsid w:val="00FA400B"/>
    <w:rsid w:val="00FA4233"/>
    <w:rsid w:val="00FA44C7"/>
    <w:rsid w:val="00FA4535"/>
    <w:rsid w:val="00FA46C6"/>
    <w:rsid w:val="00FA47DB"/>
    <w:rsid w:val="00FA498D"/>
    <w:rsid w:val="00FA49B9"/>
    <w:rsid w:val="00FA4CA4"/>
    <w:rsid w:val="00FA501B"/>
    <w:rsid w:val="00FA50CC"/>
    <w:rsid w:val="00FA5337"/>
    <w:rsid w:val="00FA576D"/>
    <w:rsid w:val="00FA5A55"/>
    <w:rsid w:val="00FA5AC3"/>
    <w:rsid w:val="00FA5AE0"/>
    <w:rsid w:val="00FA5B57"/>
    <w:rsid w:val="00FA5C9B"/>
    <w:rsid w:val="00FA6389"/>
    <w:rsid w:val="00FA669F"/>
    <w:rsid w:val="00FA66E1"/>
    <w:rsid w:val="00FA6D76"/>
    <w:rsid w:val="00FA6EC4"/>
    <w:rsid w:val="00FA7066"/>
    <w:rsid w:val="00FA7B62"/>
    <w:rsid w:val="00FA7B74"/>
    <w:rsid w:val="00FA7F28"/>
    <w:rsid w:val="00FB01E5"/>
    <w:rsid w:val="00FB0218"/>
    <w:rsid w:val="00FB024A"/>
    <w:rsid w:val="00FB025A"/>
    <w:rsid w:val="00FB05E6"/>
    <w:rsid w:val="00FB107E"/>
    <w:rsid w:val="00FB10BF"/>
    <w:rsid w:val="00FB1105"/>
    <w:rsid w:val="00FB1467"/>
    <w:rsid w:val="00FB1736"/>
    <w:rsid w:val="00FB1751"/>
    <w:rsid w:val="00FB1820"/>
    <w:rsid w:val="00FB1ACE"/>
    <w:rsid w:val="00FB1AF2"/>
    <w:rsid w:val="00FB1BE5"/>
    <w:rsid w:val="00FB1D2A"/>
    <w:rsid w:val="00FB1DB2"/>
    <w:rsid w:val="00FB1EEA"/>
    <w:rsid w:val="00FB23EA"/>
    <w:rsid w:val="00FB25C1"/>
    <w:rsid w:val="00FB25E9"/>
    <w:rsid w:val="00FB2839"/>
    <w:rsid w:val="00FB2902"/>
    <w:rsid w:val="00FB2A1A"/>
    <w:rsid w:val="00FB2B21"/>
    <w:rsid w:val="00FB2D22"/>
    <w:rsid w:val="00FB2EA4"/>
    <w:rsid w:val="00FB2F76"/>
    <w:rsid w:val="00FB2FCE"/>
    <w:rsid w:val="00FB3174"/>
    <w:rsid w:val="00FB3479"/>
    <w:rsid w:val="00FB3592"/>
    <w:rsid w:val="00FB3B00"/>
    <w:rsid w:val="00FB3BF7"/>
    <w:rsid w:val="00FB3DB6"/>
    <w:rsid w:val="00FB3FEB"/>
    <w:rsid w:val="00FB4131"/>
    <w:rsid w:val="00FB4336"/>
    <w:rsid w:val="00FB447E"/>
    <w:rsid w:val="00FB4843"/>
    <w:rsid w:val="00FB4ABC"/>
    <w:rsid w:val="00FB5269"/>
    <w:rsid w:val="00FB58F5"/>
    <w:rsid w:val="00FB5FDF"/>
    <w:rsid w:val="00FB600B"/>
    <w:rsid w:val="00FB6C38"/>
    <w:rsid w:val="00FB6C51"/>
    <w:rsid w:val="00FB6F4C"/>
    <w:rsid w:val="00FB7260"/>
    <w:rsid w:val="00FB7425"/>
    <w:rsid w:val="00FB7501"/>
    <w:rsid w:val="00FB77B7"/>
    <w:rsid w:val="00FB77D8"/>
    <w:rsid w:val="00FB7F5D"/>
    <w:rsid w:val="00FC005C"/>
    <w:rsid w:val="00FC01B8"/>
    <w:rsid w:val="00FC01B9"/>
    <w:rsid w:val="00FC0355"/>
    <w:rsid w:val="00FC0426"/>
    <w:rsid w:val="00FC060E"/>
    <w:rsid w:val="00FC092C"/>
    <w:rsid w:val="00FC0C0D"/>
    <w:rsid w:val="00FC1127"/>
    <w:rsid w:val="00FC113A"/>
    <w:rsid w:val="00FC12C3"/>
    <w:rsid w:val="00FC1727"/>
    <w:rsid w:val="00FC177E"/>
    <w:rsid w:val="00FC1EE2"/>
    <w:rsid w:val="00FC2104"/>
    <w:rsid w:val="00FC2115"/>
    <w:rsid w:val="00FC27F1"/>
    <w:rsid w:val="00FC2B0D"/>
    <w:rsid w:val="00FC2B15"/>
    <w:rsid w:val="00FC3475"/>
    <w:rsid w:val="00FC3A87"/>
    <w:rsid w:val="00FC3CD3"/>
    <w:rsid w:val="00FC3DD5"/>
    <w:rsid w:val="00FC416B"/>
    <w:rsid w:val="00FC459C"/>
    <w:rsid w:val="00FC472F"/>
    <w:rsid w:val="00FC49DB"/>
    <w:rsid w:val="00FC4ACB"/>
    <w:rsid w:val="00FC4DB7"/>
    <w:rsid w:val="00FC4DC9"/>
    <w:rsid w:val="00FC4ED6"/>
    <w:rsid w:val="00FC4EDE"/>
    <w:rsid w:val="00FC5012"/>
    <w:rsid w:val="00FC5946"/>
    <w:rsid w:val="00FC5958"/>
    <w:rsid w:val="00FC5B30"/>
    <w:rsid w:val="00FC5C06"/>
    <w:rsid w:val="00FC6122"/>
    <w:rsid w:val="00FC6630"/>
    <w:rsid w:val="00FC6D7B"/>
    <w:rsid w:val="00FC7207"/>
    <w:rsid w:val="00FC72F8"/>
    <w:rsid w:val="00FC77F9"/>
    <w:rsid w:val="00FC7D7B"/>
    <w:rsid w:val="00FD06CD"/>
    <w:rsid w:val="00FD0D84"/>
    <w:rsid w:val="00FD1528"/>
    <w:rsid w:val="00FD1CF6"/>
    <w:rsid w:val="00FD1FFF"/>
    <w:rsid w:val="00FD24A3"/>
    <w:rsid w:val="00FD24FE"/>
    <w:rsid w:val="00FD2A3B"/>
    <w:rsid w:val="00FD2DE2"/>
    <w:rsid w:val="00FD2EDB"/>
    <w:rsid w:val="00FD3169"/>
    <w:rsid w:val="00FD332C"/>
    <w:rsid w:val="00FD33DA"/>
    <w:rsid w:val="00FD3CD1"/>
    <w:rsid w:val="00FD3FC6"/>
    <w:rsid w:val="00FD4049"/>
    <w:rsid w:val="00FD431A"/>
    <w:rsid w:val="00FD48C9"/>
    <w:rsid w:val="00FD505C"/>
    <w:rsid w:val="00FD526C"/>
    <w:rsid w:val="00FD536D"/>
    <w:rsid w:val="00FD5421"/>
    <w:rsid w:val="00FD54B4"/>
    <w:rsid w:val="00FD5D85"/>
    <w:rsid w:val="00FD5EBB"/>
    <w:rsid w:val="00FD6405"/>
    <w:rsid w:val="00FD658A"/>
    <w:rsid w:val="00FD69DA"/>
    <w:rsid w:val="00FD6CF4"/>
    <w:rsid w:val="00FD6FCD"/>
    <w:rsid w:val="00FD705D"/>
    <w:rsid w:val="00FD70D8"/>
    <w:rsid w:val="00FD744F"/>
    <w:rsid w:val="00FD7457"/>
    <w:rsid w:val="00FD7602"/>
    <w:rsid w:val="00FD770B"/>
    <w:rsid w:val="00FD77AD"/>
    <w:rsid w:val="00FD7873"/>
    <w:rsid w:val="00FD78E9"/>
    <w:rsid w:val="00FD78FE"/>
    <w:rsid w:val="00FD7D79"/>
    <w:rsid w:val="00FD7FCB"/>
    <w:rsid w:val="00FE03A9"/>
    <w:rsid w:val="00FE03B4"/>
    <w:rsid w:val="00FE05D3"/>
    <w:rsid w:val="00FE0639"/>
    <w:rsid w:val="00FE07C4"/>
    <w:rsid w:val="00FE0DFA"/>
    <w:rsid w:val="00FE1682"/>
    <w:rsid w:val="00FE1868"/>
    <w:rsid w:val="00FE189B"/>
    <w:rsid w:val="00FE1908"/>
    <w:rsid w:val="00FE1BD3"/>
    <w:rsid w:val="00FE22AE"/>
    <w:rsid w:val="00FE22DE"/>
    <w:rsid w:val="00FE233E"/>
    <w:rsid w:val="00FE2423"/>
    <w:rsid w:val="00FE2B5F"/>
    <w:rsid w:val="00FE305D"/>
    <w:rsid w:val="00FE340E"/>
    <w:rsid w:val="00FE3C0A"/>
    <w:rsid w:val="00FE3DBB"/>
    <w:rsid w:val="00FE429D"/>
    <w:rsid w:val="00FE4338"/>
    <w:rsid w:val="00FE444C"/>
    <w:rsid w:val="00FE4738"/>
    <w:rsid w:val="00FE4778"/>
    <w:rsid w:val="00FE5160"/>
    <w:rsid w:val="00FE525F"/>
    <w:rsid w:val="00FE52A6"/>
    <w:rsid w:val="00FE5318"/>
    <w:rsid w:val="00FE57DD"/>
    <w:rsid w:val="00FE58DB"/>
    <w:rsid w:val="00FE5A41"/>
    <w:rsid w:val="00FE5B93"/>
    <w:rsid w:val="00FE5CBB"/>
    <w:rsid w:val="00FE6274"/>
    <w:rsid w:val="00FE6517"/>
    <w:rsid w:val="00FE6687"/>
    <w:rsid w:val="00FE6CBA"/>
    <w:rsid w:val="00FE6E53"/>
    <w:rsid w:val="00FE71B8"/>
    <w:rsid w:val="00FE7235"/>
    <w:rsid w:val="00FE76C8"/>
    <w:rsid w:val="00FE7E6F"/>
    <w:rsid w:val="00FE7F69"/>
    <w:rsid w:val="00FF036F"/>
    <w:rsid w:val="00FF0C83"/>
    <w:rsid w:val="00FF0DBC"/>
    <w:rsid w:val="00FF0F05"/>
    <w:rsid w:val="00FF0F52"/>
    <w:rsid w:val="00FF1007"/>
    <w:rsid w:val="00FF10B1"/>
    <w:rsid w:val="00FF136E"/>
    <w:rsid w:val="00FF1531"/>
    <w:rsid w:val="00FF1887"/>
    <w:rsid w:val="00FF196F"/>
    <w:rsid w:val="00FF1A0B"/>
    <w:rsid w:val="00FF1A79"/>
    <w:rsid w:val="00FF1C9E"/>
    <w:rsid w:val="00FF1E8D"/>
    <w:rsid w:val="00FF1F49"/>
    <w:rsid w:val="00FF2148"/>
    <w:rsid w:val="00FF229E"/>
    <w:rsid w:val="00FF235E"/>
    <w:rsid w:val="00FF25A3"/>
    <w:rsid w:val="00FF2829"/>
    <w:rsid w:val="00FF2863"/>
    <w:rsid w:val="00FF2866"/>
    <w:rsid w:val="00FF2BFD"/>
    <w:rsid w:val="00FF2C17"/>
    <w:rsid w:val="00FF2E36"/>
    <w:rsid w:val="00FF3309"/>
    <w:rsid w:val="00FF3534"/>
    <w:rsid w:val="00FF38AB"/>
    <w:rsid w:val="00FF3D1C"/>
    <w:rsid w:val="00FF3DE6"/>
    <w:rsid w:val="00FF3F63"/>
    <w:rsid w:val="00FF454C"/>
    <w:rsid w:val="00FF4C04"/>
    <w:rsid w:val="00FF4CEC"/>
    <w:rsid w:val="00FF5043"/>
    <w:rsid w:val="00FF5088"/>
    <w:rsid w:val="00FF5171"/>
    <w:rsid w:val="00FF52CE"/>
    <w:rsid w:val="00FF5647"/>
    <w:rsid w:val="00FF57D0"/>
    <w:rsid w:val="00FF592D"/>
    <w:rsid w:val="00FF59CD"/>
    <w:rsid w:val="00FF59F8"/>
    <w:rsid w:val="00FF5BA3"/>
    <w:rsid w:val="00FF5E6A"/>
    <w:rsid w:val="00FF6086"/>
    <w:rsid w:val="00FF679F"/>
    <w:rsid w:val="00FF6933"/>
    <w:rsid w:val="00FF6A6D"/>
    <w:rsid w:val="00FF6C5E"/>
    <w:rsid w:val="00FF7608"/>
    <w:rsid w:val="00FF76AC"/>
    <w:rsid w:val="00FF78AE"/>
    <w:rsid w:val="00FF7A2F"/>
    <w:rsid w:val="00FF7E35"/>
    <w:rsid w:val="019CBFB2"/>
    <w:rsid w:val="01C83BAB"/>
    <w:rsid w:val="01F40EF9"/>
    <w:rsid w:val="023F613A"/>
    <w:rsid w:val="0325DE4B"/>
    <w:rsid w:val="03E88B4A"/>
    <w:rsid w:val="0654DE64"/>
    <w:rsid w:val="069D9C33"/>
    <w:rsid w:val="070F971F"/>
    <w:rsid w:val="0B2AC88C"/>
    <w:rsid w:val="0BE25265"/>
    <w:rsid w:val="0C06B9D6"/>
    <w:rsid w:val="0CB09D5C"/>
    <w:rsid w:val="0EF9C433"/>
    <w:rsid w:val="1419307E"/>
    <w:rsid w:val="16B9BD23"/>
    <w:rsid w:val="17297572"/>
    <w:rsid w:val="177E2DE9"/>
    <w:rsid w:val="17B0D6BC"/>
    <w:rsid w:val="18A07F3B"/>
    <w:rsid w:val="19A7A355"/>
    <w:rsid w:val="19E82366"/>
    <w:rsid w:val="1DC8013D"/>
    <w:rsid w:val="1E46FA37"/>
    <w:rsid w:val="1FC7747A"/>
    <w:rsid w:val="208B7BC4"/>
    <w:rsid w:val="2228C71F"/>
    <w:rsid w:val="24C4C4CA"/>
    <w:rsid w:val="24F1CF2E"/>
    <w:rsid w:val="2540F7FF"/>
    <w:rsid w:val="25654369"/>
    <w:rsid w:val="261D9CE1"/>
    <w:rsid w:val="27CC418C"/>
    <w:rsid w:val="2A7B04FB"/>
    <w:rsid w:val="2B50203A"/>
    <w:rsid w:val="2E206EA7"/>
    <w:rsid w:val="2EB70A4D"/>
    <w:rsid w:val="2FD74D95"/>
    <w:rsid w:val="3067C89B"/>
    <w:rsid w:val="30BE40FF"/>
    <w:rsid w:val="30C1F92A"/>
    <w:rsid w:val="31911486"/>
    <w:rsid w:val="3266AC59"/>
    <w:rsid w:val="326A16CC"/>
    <w:rsid w:val="3389BD00"/>
    <w:rsid w:val="33C0F29C"/>
    <w:rsid w:val="340BF820"/>
    <w:rsid w:val="35225F19"/>
    <w:rsid w:val="358C512D"/>
    <w:rsid w:val="35FECBBE"/>
    <w:rsid w:val="367BD9AD"/>
    <w:rsid w:val="371DF3C9"/>
    <w:rsid w:val="37FA2C91"/>
    <w:rsid w:val="3B18A0D9"/>
    <w:rsid w:val="3C3C7769"/>
    <w:rsid w:val="40506C01"/>
    <w:rsid w:val="40EF56F3"/>
    <w:rsid w:val="444FC96D"/>
    <w:rsid w:val="481471E9"/>
    <w:rsid w:val="483354A8"/>
    <w:rsid w:val="48A97E74"/>
    <w:rsid w:val="4BE923C4"/>
    <w:rsid w:val="5076A67C"/>
    <w:rsid w:val="514544AB"/>
    <w:rsid w:val="52436BCB"/>
    <w:rsid w:val="52D723BD"/>
    <w:rsid w:val="52F4D7B8"/>
    <w:rsid w:val="531B4043"/>
    <w:rsid w:val="532C2C9E"/>
    <w:rsid w:val="5341B041"/>
    <w:rsid w:val="53EDAA0E"/>
    <w:rsid w:val="55CDAC2A"/>
    <w:rsid w:val="57640B4D"/>
    <w:rsid w:val="58A0FD12"/>
    <w:rsid w:val="5CC91136"/>
    <w:rsid w:val="5D711EBD"/>
    <w:rsid w:val="5DA0151C"/>
    <w:rsid w:val="5EF490F1"/>
    <w:rsid w:val="5F165E70"/>
    <w:rsid w:val="64479AEC"/>
    <w:rsid w:val="65081661"/>
    <w:rsid w:val="66DF0DD8"/>
    <w:rsid w:val="674783E6"/>
    <w:rsid w:val="6785D2AD"/>
    <w:rsid w:val="69B1CF55"/>
    <w:rsid w:val="6AF064FB"/>
    <w:rsid w:val="6B530617"/>
    <w:rsid w:val="6C2EB91B"/>
    <w:rsid w:val="6CD00472"/>
    <w:rsid w:val="6F205372"/>
    <w:rsid w:val="72CF2606"/>
    <w:rsid w:val="755F696F"/>
    <w:rsid w:val="76169C5D"/>
    <w:rsid w:val="7664F0AC"/>
    <w:rsid w:val="767C206F"/>
    <w:rsid w:val="77009F6A"/>
    <w:rsid w:val="776A73E0"/>
    <w:rsid w:val="79DF2402"/>
    <w:rsid w:val="79FC90B2"/>
    <w:rsid w:val="7B3D6C0B"/>
    <w:rsid w:val="7BBA78F1"/>
    <w:rsid w:val="7BBAEFE6"/>
    <w:rsid w:val="7CBA7C2F"/>
    <w:rsid w:val="7CE54C4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6AFBCA"/>
  <w15:docId w15:val="{2D81B3D2-E2C1-40EA-9083-49AD84A7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3.Normal"/>
    <w:qFormat/>
    <w:rsid w:val="00F710FE"/>
    <w:pPr>
      <w:spacing w:after="120"/>
    </w:pPr>
    <w:rPr>
      <w:rFonts w:ascii="Segoe UI Light" w:hAnsi="Segoe UI Light"/>
      <w:sz w:val="20"/>
      <w:lang w:val="en-AU"/>
    </w:rPr>
  </w:style>
  <w:style w:type="paragraph" w:styleId="Heading1">
    <w:name w:val="heading 1"/>
    <w:aliases w:val="1.Heading 1"/>
    <w:basedOn w:val="Normal"/>
    <w:next w:val="Normal"/>
    <w:link w:val="Heading1Char"/>
    <w:uiPriority w:val="1"/>
    <w:qFormat/>
    <w:rsid w:val="00F11014"/>
    <w:pPr>
      <w:keepNext/>
      <w:keepLines/>
      <w:pageBreakBefore/>
      <w:numPr>
        <w:numId w:val="191"/>
      </w:numPr>
      <w:spacing w:after="480" w:line="720" w:lineRule="atLeast"/>
      <w:contextualSpacing/>
      <w:mirrorIndents/>
      <w:outlineLvl w:val="0"/>
    </w:pPr>
    <w:rPr>
      <w:rFonts w:eastAsiaTheme="majorEastAsia" w:cs="Segoe UI Light"/>
      <w:bCs/>
      <w:sz w:val="60"/>
      <w:szCs w:val="28"/>
    </w:rPr>
  </w:style>
  <w:style w:type="paragraph" w:styleId="Heading2">
    <w:name w:val="heading 2"/>
    <w:basedOn w:val="Normal"/>
    <w:next w:val="Normal"/>
    <w:link w:val="Heading2Char"/>
    <w:autoRedefine/>
    <w:uiPriority w:val="1"/>
    <w:qFormat/>
    <w:rsid w:val="00982D63"/>
    <w:pPr>
      <w:keepNext/>
      <w:keepLines/>
      <w:numPr>
        <w:ilvl w:val="1"/>
        <w:numId w:val="191"/>
      </w:numPr>
      <w:spacing w:before="120" w:after="0"/>
      <w:outlineLvl w:val="1"/>
    </w:pPr>
    <w:rPr>
      <w:rFonts w:eastAsiaTheme="majorEastAsia" w:cstheme="majorBidi"/>
      <w:b/>
      <w:bCs/>
      <w:color w:val="62B5E5" w:themeColor="accent3"/>
      <w:szCs w:val="26"/>
    </w:rPr>
  </w:style>
  <w:style w:type="paragraph" w:styleId="Heading3">
    <w:name w:val="heading 3"/>
    <w:basedOn w:val="Normal"/>
    <w:next w:val="Normal"/>
    <w:link w:val="Heading3Char"/>
    <w:uiPriority w:val="1"/>
    <w:qFormat/>
    <w:rsid w:val="00DD2DCF"/>
    <w:pPr>
      <w:keepNext/>
      <w:keepLines/>
      <w:numPr>
        <w:ilvl w:val="2"/>
        <w:numId w:val="191"/>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191"/>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qFormat/>
    <w:rsid w:val="00F9113D"/>
    <w:pPr>
      <w:keepNext/>
      <w:keepLines/>
      <w:numPr>
        <w:ilvl w:val="4"/>
        <w:numId w:val="191"/>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191"/>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numPr>
        <w:ilvl w:val="6"/>
        <w:numId w:val="191"/>
      </w:numPr>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numPr>
        <w:ilvl w:val="7"/>
        <w:numId w:val="191"/>
      </w:numPr>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numPr>
        <w:ilvl w:val="8"/>
        <w:numId w:val="191"/>
      </w:numPr>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Heading 1 Char"/>
    <w:basedOn w:val="DefaultParagraphFont"/>
    <w:link w:val="Heading1"/>
    <w:uiPriority w:val="1"/>
    <w:rsid w:val="008D5735"/>
    <w:rPr>
      <w:rFonts w:ascii="Segoe UI Light" w:eastAsiaTheme="majorEastAsia" w:hAnsi="Segoe UI Light" w:cs="Segoe UI Light"/>
      <w:bCs/>
      <w:sz w:val="60"/>
      <w:szCs w:val="28"/>
      <w:lang w:val="en-AU"/>
    </w:rPr>
  </w:style>
  <w:style w:type="character" w:customStyle="1" w:styleId="Heading2Char">
    <w:name w:val="Heading 2 Char"/>
    <w:basedOn w:val="DefaultParagraphFont"/>
    <w:link w:val="Heading2"/>
    <w:uiPriority w:val="1"/>
    <w:rsid w:val="00982D63"/>
    <w:rPr>
      <w:rFonts w:ascii="Segoe UI Light" w:eastAsiaTheme="majorEastAsia" w:hAnsi="Segoe UI Light" w:cstheme="majorBidi"/>
      <w:b/>
      <w:bCs/>
      <w:color w:val="62B5E5" w:themeColor="accent3"/>
      <w:sz w:val="20"/>
      <w:szCs w:val="26"/>
      <w:lang w:val="en-AU"/>
    </w:rPr>
  </w:style>
  <w:style w:type="table" w:styleId="TableGrid">
    <w:name w:val="Table Grid"/>
    <w:aliases w:val="Table Grid Main Report,Table Financial Statements"/>
    <w:basedOn w:val="TableNormal"/>
    <w:uiPriority w:val="39"/>
    <w:rsid w:val="00D93FF0"/>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lang w:val="en-AU"/>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lang w:val="en-AU"/>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link w:val="ListBulletChar"/>
    <w:uiPriority w:val="3"/>
    <w:qFormat/>
    <w:rsid w:val="00CC7525"/>
    <w:pPr>
      <w:ind w:left="340" w:hanging="340"/>
      <w:contextualSpacing/>
    </w:pPr>
    <w:rPr>
      <w:szCs w:val="17"/>
    </w:rPr>
  </w:style>
  <w:style w:type="paragraph" w:styleId="ListBullet2">
    <w:name w:val="List Bullet 2"/>
    <w:basedOn w:val="Normal"/>
    <w:uiPriority w:val="3"/>
    <w:rsid w:val="00CC7525"/>
    <w:pPr>
      <w:ind w:left="680" w:hanging="340"/>
      <w:contextualSpacing/>
    </w:pPr>
    <w:rPr>
      <w:szCs w:val="17"/>
    </w:rPr>
  </w:style>
  <w:style w:type="paragraph" w:styleId="ListNumber">
    <w:name w:val="List Number"/>
    <w:basedOn w:val="Normal"/>
    <w:uiPriority w:val="3"/>
    <w:qFormat/>
    <w:rsid w:val="007F7A8C"/>
    <w:pPr>
      <w:spacing w:after="0"/>
      <w:ind w:left="360" w:hanging="360"/>
      <w:contextualSpacing/>
    </w:pPr>
    <w:rPr>
      <w:szCs w:val="17"/>
    </w:rPr>
  </w:style>
  <w:style w:type="paragraph" w:styleId="ListNumber2">
    <w:name w:val="List Number 2"/>
    <w:basedOn w:val="Normal"/>
    <w:uiPriority w:val="3"/>
    <w:qFormat/>
    <w:rsid w:val="007F7A8C"/>
    <w:pPr>
      <w:spacing w:after="0"/>
      <w:ind w:left="680" w:hanging="340"/>
      <w:contextualSpacing/>
    </w:pPr>
  </w:style>
  <w:style w:type="character" w:customStyle="1" w:styleId="Heading3Char">
    <w:name w:val="Heading 3 Char"/>
    <w:basedOn w:val="DefaultParagraphFont"/>
    <w:link w:val="Heading3"/>
    <w:uiPriority w:val="1"/>
    <w:rsid w:val="00DD2DCF"/>
    <w:rPr>
      <w:rFonts w:ascii="Segoe UI Light" w:eastAsiaTheme="majorEastAsia" w:hAnsi="Segoe UI Light" w:cstheme="majorBidi"/>
      <w:b/>
      <w:bCs/>
      <w:sz w:val="20"/>
      <w:lang w:val="en-AU"/>
    </w:rPr>
  </w:style>
  <w:style w:type="character" w:customStyle="1" w:styleId="Heading4Char">
    <w:name w:val="Heading 4 Char"/>
    <w:basedOn w:val="DefaultParagraphFont"/>
    <w:link w:val="Heading4"/>
    <w:uiPriority w:val="1"/>
    <w:rsid w:val="00C50447"/>
    <w:rPr>
      <w:rFonts w:ascii="Segoe UI Light" w:eastAsiaTheme="majorEastAsia" w:hAnsi="Segoe UI Light" w:cstheme="majorBidi"/>
      <w:b/>
      <w:bCs/>
      <w:iCs/>
      <w:color w:val="75787B" w:themeColor="accent6"/>
      <w:sz w:val="20"/>
      <w:lang w:val="en-AU"/>
    </w:rPr>
  </w:style>
  <w:style w:type="paragraph" w:styleId="FootnoteText">
    <w:name w:val="footnote text"/>
    <w:aliases w:val="Footnote Text Char1 Char,Footnote Text Char Char1 Char,Footnote Text Char Char Char Char Char1,Char Char,Footnote Text Char Char Char,Footnote Text Char Char Char Char,fn,FT,ft,SD Footnote Text,Footnote Text AG,(NECG) Footnote Text"/>
    <w:basedOn w:val="Normal"/>
    <w:link w:val="FootnoteTextChar"/>
    <w:qFormat/>
    <w:rsid w:val="00335250"/>
    <w:pPr>
      <w:keepLines/>
      <w:spacing w:after="0" w:line="240" w:lineRule="auto"/>
      <w:textboxTightWrap w:val="allLines"/>
    </w:pPr>
    <w:rPr>
      <w:sz w:val="16"/>
      <w:szCs w:val="20"/>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n Char,FT Char,ft Char"/>
    <w:basedOn w:val="DefaultParagraphFont"/>
    <w:link w:val="FootnoteText"/>
    <w:rsid w:val="00335250"/>
    <w:rPr>
      <w:rFonts w:ascii="Segoe UI Light" w:hAnsi="Segoe UI Light"/>
      <w:sz w:val="16"/>
      <w:szCs w:val="20"/>
      <w:lang w:val="en-AU"/>
    </w:rPr>
  </w:style>
  <w:style w:type="paragraph" w:customStyle="1" w:styleId="Documenttitle">
    <w:name w:val="Document title"/>
    <w:next w:val="Documentsubtitle"/>
    <w:uiPriority w:val="7"/>
    <w:rsid w:val="00EA4B90"/>
    <w:pPr>
      <w:spacing w:line="440" w:lineRule="atLeast"/>
    </w:pPr>
    <w:rPr>
      <w:rFonts w:eastAsiaTheme="majorEastAsia" w:cstheme="majorBidi"/>
      <w:b/>
      <w:bCs/>
      <w:color w:val="000000" w:themeColor="text1"/>
      <w:sz w:val="36"/>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aliases w:val="fr,(NECG) Footnote Reference,Ref,de nota al pie"/>
    <w:basedOn w:val="DefaultParagraphFont"/>
    <w:uiPriority w:val="99"/>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link w:val="CaptionChar"/>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F9113D"/>
    <w:pPr>
      <w:spacing w:line="440" w:lineRule="atLeast"/>
    </w:pPr>
    <w:rPr>
      <w:sz w:val="36"/>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A242DE"/>
    <w:pPr>
      <w:tabs>
        <w:tab w:val="left" w:pos="567"/>
        <w:tab w:val="right" w:pos="6917"/>
      </w:tabs>
      <w:spacing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D93FF0"/>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D93FF0"/>
    <w:pPr>
      <w:spacing w:after="0" w:line="200" w:lineRule="atLeast"/>
      <w:ind w:right="57"/>
    </w:pPr>
    <w:rPr>
      <w:sz w:val="17"/>
    </w:rPr>
  </w:style>
  <w:style w:type="paragraph" w:customStyle="1" w:styleId="TableHeadingLeft">
    <w:name w:val="Table Heading Left"/>
    <w:basedOn w:val="TabletextLeft"/>
    <w:uiPriority w:val="5"/>
    <w:rsid w:val="00F9113D"/>
    <w:rPr>
      <w:b/>
      <w:color w:val="62B5E5" w:themeColor="accent3"/>
    </w:rPr>
  </w:style>
  <w:style w:type="paragraph" w:customStyle="1" w:styleId="Tablebullets">
    <w:name w:val="Table bullets"/>
    <w:basedOn w:val="TabletextLeft"/>
    <w:uiPriority w:val="5"/>
    <w:rsid w:val="00F9113D"/>
    <w:pPr>
      <w:framePr w:hSpace="180" w:wrap="around" w:vAnchor="text" w:hAnchor="text" w:y="1"/>
      <w:numPr>
        <w:numId w:val="6"/>
      </w:numPr>
      <w:suppressOverlap/>
    </w:pPr>
  </w:style>
  <w:style w:type="paragraph" w:customStyle="1" w:styleId="Tablenumbered">
    <w:name w:val="Table numbered"/>
    <w:basedOn w:val="TabletextLeft"/>
    <w:uiPriority w:val="5"/>
    <w:rsid w:val="00F9113D"/>
    <w:pPr>
      <w:framePr w:hSpace="180" w:wrap="around" w:vAnchor="text" w:hAnchor="text" w:y="1"/>
      <w:numPr>
        <w:numId w:val="7"/>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uiPriority w:val="99"/>
    <w:semiHidden/>
    <w:rsid w:val="00F9113D"/>
    <w:pPr>
      <w:spacing w:after="240"/>
    </w:pPr>
  </w:style>
  <w:style w:type="character" w:customStyle="1" w:styleId="BodyTextChar">
    <w:name w:val="Body Text Char"/>
    <w:basedOn w:val="DefaultParagraphFont"/>
    <w:link w:val="BodyText"/>
    <w:uiPriority w:val="99"/>
    <w:semiHidden/>
    <w:rsid w:val="00D24870"/>
    <w:rPr>
      <w:lang w:val="en-AU"/>
    </w:rPr>
  </w:style>
  <w:style w:type="paragraph" w:styleId="BodyText2">
    <w:name w:val="Body Text 2"/>
    <w:basedOn w:val="Normal"/>
    <w:link w:val="BodyText2Char"/>
    <w:uiPriority w:val="99"/>
    <w:semiHidden/>
    <w:rsid w:val="00F9113D"/>
    <w:pPr>
      <w:spacing w:line="480" w:lineRule="auto"/>
    </w:pPr>
  </w:style>
  <w:style w:type="character" w:customStyle="1" w:styleId="BodyText2Char">
    <w:name w:val="Body Text 2 Char"/>
    <w:basedOn w:val="DefaultParagraphFont"/>
    <w:link w:val="BodyText2"/>
    <w:uiPriority w:val="99"/>
    <w:semiHidden/>
    <w:rsid w:val="00F9113D"/>
    <w:rPr>
      <w:rFonts w:ascii="Segoe UI Light" w:hAnsi="Segoe UI Light"/>
      <w:sz w:val="20"/>
      <w:lang w:val="en-AU"/>
    </w:rPr>
  </w:style>
  <w:style w:type="paragraph" w:styleId="BodyText3">
    <w:name w:val="Body Text 3"/>
    <w:basedOn w:val="Normal"/>
    <w:link w:val="BodyText3Char"/>
    <w:uiPriority w:val="99"/>
    <w:semiHidden/>
    <w:rsid w:val="00F9113D"/>
    <w:rPr>
      <w:sz w:val="16"/>
      <w:szCs w:val="16"/>
    </w:rPr>
  </w:style>
  <w:style w:type="character" w:customStyle="1" w:styleId="BodyText3Char">
    <w:name w:val="Body Text 3 Char"/>
    <w:basedOn w:val="DefaultParagraphFont"/>
    <w:link w:val="BodyText3"/>
    <w:uiPriority w:val="99"/>
    <w:semiHidden/>
    <w:rsid w:val="00F9113D"/>
    <w:rPr>
      <w:rFonts w:ascii="Segoe UI Light" w:hAnsi="Segoe UI Light"/>
      <w:sz w:val="16"/>
      <w:szCs w:val="16"/>
      <w:lang w:val="en-AU"/>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rPr>
      <w:lang w:val="en-AU"/>
    </w:rPr>
  </w:style>
  <w:style w:type="paragraph" w:styleId="BodyTextIndent">
    <w:name w:val="Body Text Indent"/>
    <w:basedOn w:val="Normal"/>
    <w:link w:val="BodyTextIndentChar"/>
    <w:uiPriority w:val="99"/>
    <w:semiHidden/>
    <w:rsid w:val="00F9113D"/>
    <w:pPr>
      <w:ind w:left="283"/>
    </w:pPr>
  </w:style>
  <w:style w:type="character" w:customStyle="1" w:styleId="BodyTextIndentChar">
    <w:name w:val="Body Text Indent Char"/>
    <w:basedOn w:val="DefaultParagraphFont"/>
    <w:link w:val="BodyTextIndent"/>
    <w:uiPriority w:val="99"/>
    <w:semiHidden/>
    <w:rsid w:val="00F9113D"/>
    <w:rPr>
      <w:rFonts w:ascii="Segoe UI Light" w:hAnsi="Segoe UI Light"/>
      <w:sz w:val="20"/>
      <w:lang w:val="en-AU"/>
    </w:rPr>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rPr>
      <w:rFonts w:ascii="Segoe UI Light" w:hAnsi="Segoe UI Light"/>
      <w:sz w:val="20"/>
      <w:lang w:val="en-AU"/>
    </w:rPr>
  </w:style>
  <w:style w:type="paragraph" w:styleId="BodyTextIndent2">
    <w:name w:val="Body Text Indent 2"/>
    <w:basedOn w:val="Normal"/>
    <w:link w:val="BodyTextIndent2Char"/>
    <w:uiPriority w:val="99"/>
    <w:semiHidden/>
    <w:rsid w:val="00F9113D"/>
    <w:pPr>
      <w:spacing w:line="480" w:lineRule="auto"/>
      <w:ind w:left="283"/>
    </w:pPr>
  </w:style>
  <w:style w:type="character" w:customStyle="1" w:styleId="BodyTextIndent2Char">
    <w:name w:val="Body Text Indent 2 Char"/>
    <w:basedOn w:val="DefaultParagraphFont"/>
    <w:link w:val="BodyTextIndent2"/>
    <w:uiPriority w:val="99"/>
    <w:semiHidden/>
    <w:rsid w:val="00F9113D"/>
    <w:rPr>
      <w:rFonts w:ascii="Segoe UI Light" w:hAnsi="Segoe UI Light"/>
      <w:sz w:val="20"/>
      <w:lang w:val="en-AU"/>
    </w:rPr>
  </w:style>
  <w:style w:type="paragraph" w:styleId="BodyTextIndent3">
    <w:name w:val="Body Text Indent 3"/>
    <w:basedOn w:val="Normal"/>
    <w:link w:val="BodyTextIndent3Char"/>
    <w:uiPriority w:val="99"/>
    <w:semiHidden/>
    <w:rsid w:val="00F9113D"/>
    <w:pPr>
      <w:ind w:left="283"/>
    </w:pPr>
    <w:rPr>
      <w:sz w:val="16"/>
      <w:szCs w:val="16"/>
    </w:rPr>
  </w:style>
  <w:style w:type="character" w:customStyle="1" w:styleId="BodyTextIndent3Char">
    <w:name w:val="Body Text Indent 3 Char"/>
    <w:basedOn w:val="DefaultParagraphFont"/>
    <w:link w:val="BodyTextIndent3"/>
    <w:uiPriority w:val="99"/>
    <w:semiHidden/>
    <w:rsid w:val="00F9113D"/>
    <w:rPr>
      <w:rFonts w:ascii="Segoe UI Light" w:hAnsi="Segoe UI Light"/>
      <w:sz w:val="16"/>
      <w:szCs w:val="16"/>
      <w:lang w:val="en-AU"/>
    </w:rPr>
  </w:style>
  <w:style w:type="character" w:styleId="BookTitle">
    <w:name w:val="Book Title"/>
    <w:basedOn w:val="DefaultParagraphFont"/>
    <w:uiPriority w:val="99"/>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rPr>
      <w:lang w:val="en-AU"/>
    </w:rPr>
  </w:style>
  <w:style w:type="table" w:styleId="ColorfulGrid">
    <w:name w:val="Colorful Grid"/>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lang w:val="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lang w:val="en-AU"/>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lang w:val="en-AU"/>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lang w:val="en-AU"/>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lang w:val="en-AU"/>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lang w:val="en-AU"/>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lang w:val="en-AU"/>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lang w:val="en-AU"/>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lang w:val="en-AU"/>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lang w:val="en-AU"/>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lang w:val="en-AU"/>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rsid w:val="00F9113D"/>
    <w:rPr>
      <w:sz w:val="16"/>
      <w:szCs w:val="16"/>
      <w:lang w:val="en-AU"/>
    </w:rPr>
  </w:style>
  <w:style w:type="paragraph" w:styleId="CommentText">
    <w:name w:val="annotation text"/>
    <w:basedOn w:val="Normal"/>
    <w:link w:val="CommentTextChar"/>
    <w:uiPriority w:val="99"/>
    <w:rsid w:val="00F9113D"/>
    <w:pPr>
      <w:spacing w:line="240" w:lineRule="auto"/>
    </w:pPr>
    <w:rPr>
      <w:szCs w:val="20"/>
    </w:rPr>
  </w:style>
  <w:style w:type="character" w:customStyle="1" w:styleId="CommentTextChar">
    <w:name w:val="Comment Text Char"/>
    <w:basedOn w:val="DefaultParagraphFont"/>
    <w:link w:val="CommentText"/>
    <w:uiPriority w:val="99"/>
    <w:rsid w:val="00F9113D"/>
    <w:rPr>
      <w:sz w:val="20"/>
      <w:szCs w:val="20"/>
      <w:lang w:val="en-AU"/>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lang w:val="en-AU"/>
    </w:rPr>
  </w:style>
  <w:style w:type="table" w:styleId="DarkList">
    <w:name w:val="Dark List"/>
    <w:basedOn w:val="TableNormal"/>
    <w:uiPriority w:val="70"/>
    <w:rsid w:val="00F9113D"/>
    <w:pPr>
      <w:spacing w:line="240" w:lineRule="auto"/>
    </w:pPr>
    <w:rPr>
      <w:color w:val="FFFFFF" w:themeColor="background1"/>
      <w:lang w:val="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lang w:val="en-AU"/>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lang w:val="en-AU"/>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lang w:val="en-AU"/>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lang w:val="en-AU"/>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lang w:val="en-AU"/>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lang w:val="en-AU"/>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rPr>
      <w:lang w:val="en-AU"/>
    </w:rPr>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lang w:val="en-AU"/>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rPr>
      <w:lang w:val="en-AU"/>
    </w:rPr>
  </w:style>
  <w:style w:type="character" w:styleId="Emphasis">
    <w:name w:val="Emphasis"/>
    <w:basedOn w:val="DefaultParagraphFont"/>
    <w:uiPriority w:val="20"/>
    <w:qFormat/>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9113D"/>
    <w:pPr>
      <w:spacing w:line="240" w:lineRule="auto"/>
    </w:pPr>
    <w:rPr>
      <w:szCs w:val="20"/>
    </w:rPr>
  </w:style>
  <w:style w:type="character" w:customStyle="1" w:styleId="EndnoteTextChar">
    <w:name w:val="Endnote Text Char"/>
    <w:basedOn w:val="DefaultParagraphFont"/>
    <w:link w:val="EndnoteText"/>
    <w:uiPriority w:val="99"/>
    <w:semiHidden/>
    <w:rsid w:val="00F9113D"/>
    <w:rPr>
      <w:sz w:val="20"/>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ascii="Segoe UI Light" w:eastAsiaTheme="majorEastAsia" w:hAnsi="Segoe UI Light" w:cstheme="majorBidi"/>
      <w:b/>
      <w:sz w:val="20"/>
      <w:lang w:val="en-AU"/>
    </w:rPr>
  </w:style>
  <w:style w:type="character" w:customStyle="1" w:styleId="Heading6Char">
    <w:name w:val="Heading 6 Char"/>
    <w:basedOn w:val="DefaultParagraphFont"/>
    <w:link w:val="Heading6"/>
    <w:uiPriority w:val="1"/>
    <w:semiHidden/>
    <w:rsid w:val="00F9113D"/>
    <w:rPr>
      <w:rFonts w:ascii="Segoe UI Light" w:eastAsiaTheme="majorEastAsia" w:hAnsi="Segoe UI Light" w:cstheme="majorBidi"/>
      <w:b/>
      <w:iCs/>
      <w:sz w:val="20"/>
      <w:lang w:val="en-AU"/>
    </w:rPr>
  </w:style>
  <w:style w:type="character" w:customStyle="1" w:styleId="Heading7Char">
    <w:name w:val="Heading 7 Char"/>
    <w:basedOn w:val="DefaultParagraphFont"/>
    <w:link w:val="Heading7"/>
    <w:uiPriority w:val="1"/>
    <w:semiHidden/>
    <w:rsid w:val="00F9113D"/>
    <w:rPr>
      <w:rFonts w:ascii="Segoe UI Light" w:eastAsiaTheme="majorEastAsia" w:hAnsi="Segoe UI Light" w:cstheme="majorBidi"/>
      <w:b/>
      <w:iCs/>
      <w:sz w:val="20"/>
      <w:lang w:val="en-AU"/>
    </w:rPr>
  </w:style>
  <w:style w:type="character" w:customStyle="1" w:styleId="Heading8Char">
    <w:name w:val="Heading 8 Char"/>
    <w:basedOn w:val="DefaultParagraphFont"/>
    <w:link w:val="Heading8"/>
    <w:uiPriority w:val="1"/>
    <w:semiHidden/>
    <w:rsid w:val="00F9113D"/>
    <w:rPr>
      <w:rFonts w:ascii="Segoe UI Light" w:eastAsiaTheme="majorEastAsia" w:hAnsi="Segoe UI Light" w:cstheme="majorBidi"/>
      <w:b/>
      <w:sz w:val="20"/>
      <w:szCs w:val="20"/>
      <w:lang w:val="en-AU"/>
    </w:rPr>
  </w:style>
  <w:style w:type="character" w:customStyle="1" w:styleId="Heading9Char">
    <w:name w:val="Heading 9 Char"/>
    <w:basedOn w:val="DefaultParagraphFont"/>
    <w:link w:val="Heading9"/>
    <w:uiPriority w:val="1"/>
    <w:semiHidden/>
    <w:rsid w:val="00F9113D"/>
    <w:rPr>
      <w:rFonts w:ascii="Segoe UI Light" w:eastAsiaTheme="majorEastAsia" w:hAnsi="Segoe UI Light" w:cstheme="majorBidi"/>
      <w:b/>
      <w:iCs/>
      <w:sz w:val="20"/>
      <w:szCs w:val="20"/>
      <w:lang w:val="en-AU"/>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lang w:val="en-AU"/>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lang w:val="en-AU"/>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qFormat/>
    <w:rsid w:val="00F9113D"/>
    <w:rPr>
      <w:b/>
      <w:bCs/>
      <w:i/>
      <w:iCs/>
      <w:color w:val="86BC25" w:themeColor="accent1"/>
      <w:lang w:val="en-AU"/>
    </w:rPr>
  </w:style>
  <w:style w:type="paragraph" w:styleId="IntenseQuote">
    <w:name w:val="Intense Quote"/>
    <w:basedOn w:val="Normal"/>
    <w:next w:val="Normal"/>
    <w:link w:val="IntenseQuoteChar"/>
    <w:uiPriority w:val="30"/>
    <w:qFormat/>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rsid w:val="00F9113D"/>
    <w:rPr>
      <w:b/>
      <w:bCs/>
      <w:i/>
      <w:iCs/>
      <w:color w:val="86BC25" w:themeColor="accent1"/>
      <w:lang w:val="en-AU"/>
    </w:rPr>
  </w:style>
  <w:style w:type="character" w:styleId="IntenseReference">
    <w:name w:val="Intense Reference"/>
    <w:basedOn w:val="DefaultParagraphFont"/>
    <w:uiPriority w:val="99"/>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lang w:val="en-AU"/>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lang w:val="en-AU"/>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lang w:val="en-AU"/>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lang w:val="en-AU"/>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lang w:val="en-AU"/>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lang w:val="en-AU"/>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CC7525"/>
    <w:pPr>
      <w:numPr>
        <w:numId w:val="11"/>
      </w:numPr>
      <w:ind w:left="1020" w:hanging="340"/>
      <w:contextualSpacing/>
    </w:pPr>
  </w:style>
  <w:style w:type="paragraph" w:styleId="ListBullet4">
    <w:name w:val="List Bullet 4"/>
    <w:basedOn w:val="Normal"/>
    <w:uiPriority w:val="99"/>
    <w:semiHidden/>
    <w:rsid w:val="00F9113D"/>
    <w:pPr>
      <w:numPr>
        <w:numId w:val="2"/>
      </w:numPr>
      <w:contextualSpacing/>
    </w:pPr>
  </w:style>
  <w:style w:type="paragraph" w:styleId="ListBullet5">
    <w:name w:val="List Bullet 5"/>
    <w:basedOn w:val="Normal"/>
    <w:uiPriority w:val="99"/>
    <w:semiHidden/>
    <w:rsid w:val="00F9113D"/>
    <w:pPr>
      <w:tabs>
        <w:tab w:val="num" w:pos="1492"/>
      </w:tabs>
      <w:ind w:left="1492" w:hanging="360"/>
      <w:contextualSpacing/>
    </w:pPr>
  </w:style>
  <w:style w:type="paragraph" w:styleId="ListContinue">
    <w:name w:val="List Continue"/>
    <w:basedOn w:val="Normal"/>
    <w:uiPriority w:val="99"/>
    <w:semiHidden/>
    <w:rsid w:val="00F9113D"/>
    <w:pPr>
      <w:ind w:left="283"/>
      <w:contextualSpacing/>
    </w:pPr>
  </w:style>
  <w:style w:type="paragraph" w:styleId="ListContinue2">
    <w:name w:val="List Continue 2"/>
    <w:basedOn w:val="Normal"/>
    <w:uiPriority w:val="99"/>
    <w:semiHidden/>
    <w:rsid w:val="00F9113D"/>
    <w:pPr>
      <w:ind w:left="566"/>
      <w:contextualSpacing/>
    </w:pPr>
  </w:style>
  <w:style w:type="paragraph" w:styleId="ListContinue3">
    <w:name w:val="List Continue 3"/>
    <w:basedOn w:val="Normal"/>
    <w:uiPriority w:val="99"/>
    <w:semiHidden/>
    <w:rsid w:val="00F9113D"/>
    <w:pPr>
      <w:ind w:left="849"/>
      <w:contextualSpacing/>
    </w:pPr>
  </w:style>
  <w:style w:type="paragraph" w:styleId="ListContinue4">
    <w:name w:val="List Continue 4"/>
    <w:basedOn w:val="Normal"/>
    <w:uiPriority w:val="99"/>
    <w:semiHidden/>
    <w:rsid w:val="00F9113D"/>
    <w:pPr>
      <w:ind w:left="1132"/>
      <w:contextualSpacing/>
    </w:pPr>
  </w:style>
  <w:style w:type="paragraph" w:styleId="ListContinue5">
    <w:name w:val="List Continue 5"/>
    <w:basedOn w:val="Normal"/>
    <w:uiPriority w:val="99"/>
    <w:semiHidden/>
    <w:rsid w:val="00F9113D"/>
    <w:pPr>
      <w:ind w:left="1415"/>
      <w:contextualSpacing/>
    </w:pPr>
  </w:style>
  <w:style w:type="paragraph" w:styleId="ListNumber3">
    <w:name w:val="List Number 3"/>
    <w:basedOn w:val="Normal"/>
    <w:uiPriority w:val="99"/>
    <w:semiHidden/>
    <w:rsid w:val="00F9113D"/>
    <w:pPr>
      <w:ind w:left="1020" w:hanging="340"/>
      <w:contextualSpacing/>
    </w:pPr>
  </w:style>
  <w:style w:type="paragraph" w:styleId="ListNumber4">
    <w:name w:val="List Number 4"/>
    <w:basedOn w:val="Normal"/>
    <w:uiPriority w:val="99"/>
    <w:semiHidden/>
    <w:rsid w:val="00F9113D"/>
    <w:pPr>
      <w:numPr>
        <w:numId w:val="3"/>
      </w:numPr>
      <w:contextualSpacing/>
    </w:pPr>
  </w:style>
  <w:style w:type="paragraph" w:styleId="ListNumber5">
    <w:name w:val="List Number 5"/>
    <w:basedOn w:val="Normal"/>
    <w:uiPriority w:val="99"/>
    <w:semiHidden/>
    <w:rsid w:val="00F9113D"/>
    <w:pPr>
      <w:numPr>
        <w:numId w:val="4"/>
      </w:numPr>
      <w:contextualSpacing/>
    </w:pPr>
  </w:style>
  <w:style w:type="paragraph" w:styleId="ListParagraph">
    <w:name w:val="List Paragraph"/>
    <w:aliases w:val="Bullet List,Bullet point,List Paragraph1,List Paragraph11,Recommendation,List Bullet 1,L"/>
    <w:basedOn w:val="Normal"/>
    <w:link w:val="ListParagraphChar"/>
    <w:uiPriority w:val="34"/>
    <w:qFormat/>
    <w:rsid w:val="00E237CB"/>
    <w:pPr>
      <w:ind w:left="720"/>
      <w:contextualSpacing/>
      <w:textboxTightWrap w:val="allLines"/>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lang w:val="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lang w:val="en-AU"/>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lang w:val="en-AU"/>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lang w:val="en-AU"/>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lang w:val="en-AU"/>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lang w:val="en-AU"/>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lang w:val="en-AU"/>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lang w:val="en-AU"/>
    </w:rPr>
  </w:style>
  <w:style w:type="paragraph" w:styleId="NoSpacing">
    <w:name w:val="No Spacing"/>
    <w:qFormat/>
    <w:rsid w:val="00925D97"/>
    <w:rPr>
      <w:rFonts w:ascii="Segoe UI Light" w:hAnsi="Segoe UI Light" w:cs="Segoe UI Light"/>
      <w:sz w:val="20"/>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rPr>
      <w:lang w:val="en-AU"/>
    </w:rPr>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lang w:val="en-AU"/>
    </w:rPr>
  </w:style>
  <w:style w:type="paragraph" w:styleId="Quote">
    <w:name w:val="Quote"/>
    <w:basedOn w:val="Normal"/>
    <w:next w:val="Normal"/>
    <w:link w:val="QuoteChar"/>
    <w:uiPriority w:val="29"/>
    <w:qFormat/>
    <w:rsid w:val="00F9113D"/>
    <w:pPr>
      <w:spacing w:after="0"/>
    </w:pPr>
    <w:rPr>
      <w:i/>
      <w:iCs/>
      <w:color w:val="000000" w:themeColor="text1"/>
    </w:rPr>
  </w:style>
  <w:style w:type="character" w:customStyle="1" w:styleId="QuoteChar">
    <w:name w:val="Quote Char"/>
    <w:basedOn w:val="DefaultParagraphFont"/>
    <w:link w:val="Quote"/>
    <w:uiPriority w:val="29"/>
    <w:rsid w:val="00F9113D"/>
    <w:rPr>
      <w:i/>
      <w:iCs/>
      <w:color w:val="000000" w:themeColor="text1"/>
      <w:lang w:val="en-AU"/>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rPr>
      <w:lang w:val="en-AU"/>
    </w:rPr>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rPr>
      <w:lang w:val="en-AU"/>
    </w:rPr>
  </w:style>
  <w:style w:type="character" w:styleId="Strong">
    <w:name w:val="Strong"/>
    <w:basedOn w:val="DefaultParagraphFont"/>
    <w:uiPriority w:val="22"/>
    <w:qFormat/>
    <w:rsid w:val="00F9113D"/>
    <w:rPr>
      <w:b/>
      <w:bCs/>
      <w:lang w:val="en-AU"/>
    </w:rPr>
  </w:style>
  <w:style w:type="paragraph" w:styleId="Subtitle">
    <w:name w:val="Subtitle"/>
    <w:basedOn w:val="Normal"/>
    <w:next w:val="Normal"/>
    <w:link w:val="SubtitleChar"/>
    <w:uiPriority w:val="29"/>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29"/>
    <w:rsid w:val="00F9113D"/>
    <w:rPr>
      <w:rFonts w:eastAsiaTheme="majorEastAsia" w:cstheme="majorBidi"/>
      <w:i/>
      <w:iCs/>
      <w:color w:val="86BC25" w:themeColor="accent1"/>
      <w:spacing w:val="15"/>
      <w:sz w:val="24"/>
      <w:szCs w:val="24"/>
      <w:lang w:val="en-AU"/>
    </w:rPr>
  </w:style>
  <w:style w:type="character" w:styleId="SubtleEmphasis">
    <w:name w:val="Subtle Emphasis"/>
    <w:basedOn w:val="DefaultParagraphFont"/>
    <w:uiPriority w:val="99"/>
    <w:qFormat/>
    <w:rsid w:val="00F9113D"/>
    <w:rPr>
      <w:i/>
      <w:iCs/>
      <w:color w:val="808080" w:themeColor="text1" w:themeTint="7F"/>
      <w:lang w:val="en-AU"/>
    </w:rPr>
  </w:style>
  <w:style w:type="character" w:styleId="SubtleReference">
    <w:name w:val="Subtle Reference"/>
    <w:basedOn w:val="DefaultParagraphFont"/>
    <w:uiPriority w:val="99"/>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rPr>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rPr>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rPr>
      <w:lang w:val="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lang w:val="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rPr>
      <w:lang w:val="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lang w:val="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rPr>
      <w:lang w:val="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rPr>
      <w:lang w:val="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lang w:val="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lang w:val="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rPr>
      <w:lang w:val="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rPr>
      <w:lang w:val="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rPr>
      <w:lang w:val="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rPr>
      <w:lang w:val="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rPr>
      <w:lang w:val="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rPr>
      <w:lang w:val="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rPr>
      <w:lang w:val="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rPr>
      <w:lang w:val="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rPr>
      <w:lang w:val="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rPr>
      <w:lang w:val="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rPr>
      <w:lang w:val="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rPr>
      <w:lang w:val="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rPr>
      <w:lang w:val="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rPr>
      <w:lang w:val="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rPr>
      <w:lang w:val="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rPr>
      <w:lang w:val="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rPr>
      <w:lang w:val="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rPr>
      <w:lang w:val="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rPr>
      <w:lang w:val="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28"/>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28"/>
    <w:rsid w:val="00F9113D"/>
    <w:rPr>
      <w:rFonts w:eastAsiaTheme="majorEastAsia" w:cstheme="majorBidi"/>
      <w:color w:val="323E4F" w:themeColor="text2" w:themeShade="BF"/>
      <w:spacing w:val="5"/>
      <w:kern w:val="28"/>
      <w:sz w:val="52"/>
      <w:szCs w:val="52"/>
      <w:lang w:val="en-AU"/>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A242DE"/>
    <w:pPr>
      <w:tabs>
        <w:tab w:val="left" w:pos="567"/>
        <w:tab w:val="right" w:pos="6917"/>
      </w:tabs>
      <w:spacing w:after="100"/>
      <w:ind w:left="1134" w:right="567" w:hanging="567"/>
      <w:contextualSpacing/>
    </w:pPr>
  </w:style>
  <w:style w:type="paragraph" w:styleId="TOC3">
    <w:name w:val="toc 3"/>
    <w:basedOn w:val="Normal"/>
    <w:next w:val="Normal"/>
    <w:uiPriority w:val="39"/>
    <w:rsid w:val="00A242DE"/>
    <w:pPr>
      <w:tabs>
        <w:tab w:val="left" w:pos="1021"/>
        <w:tab w:val="right" w:pos="6917"/>
      </w:tabs>
      <w:spacing w:after="100"/>
      <w:ind w:left="567" w:right="567"/>
      <w:contextualSpacing/>
    </w:pPr>
  </w:style>
  <w:style w:type="paragraph" w:styleId="TOC4">
    <w:name w:val="toc 4"/>
    <w:basedOn w:val="Normal"/>
    <w:next w:val="Normal"/>
    <w:uiPriority w:val="39"/>
    <w:rsid w:val="00F0232D"/>
    <w:pPr>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F0232D"/>
    <w:pPr>
      <w:spacing w:after="100"/>
      <w:ind w:right="567"/>
      <w:contextualSpacing/>
    </w:pPr>
  </w:style>
  <w:style w:type="paragraph" w:styleId="TOC7">
    <w:name w:val="toc 7"/>
    <w:basedOn w:val="Normal"/>
    <w:next w:val="Normal"/>
    <w:uiPriority w:val="39"/>
    <w:rsid w:val="00F0232D"/>
    <w:pPr>
      <w:spacing w:after="100"/>
      <w:ind w:right="567"/>
      <w:contextualSpacing/>
    </w:pPr>
  </w:style>
  <w:style w:type="paragraph" w:styleId="TOC8">
    <w:name w:val="toc 8"/>
    <w:basedOn w:val="Normal"/>
    <w:next w:val="Normal"/>
    <w:uiPriority w:val="39"/>
    <w:rsid w:val="00F0232D"/>
    <w:pPr>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semiHidden/>
    <w:qFormat/>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EA7237"/>
  </w:style>
  <w:style w:type="paragraph" w:customStyle="1" w:styleId="Heading3un-numbered">
    <w:name w:val="Heading 3 (un-numbered)"/>
    <w:basedOn w:val="Normal"/>
    <w:next w:val="Normal"/>
    <w:uiPriority w:val="2"/>
    <w:qFormat/>
    <w:rsid w:val="00794A91"/>
    <w:rPr>
      <w:b/>
    </w:rPr>
  </w:style>
  <w:style w:type="paragraph" w:customStyle="1" w:styleId="Heading4un-numbered">
    <w:name w:val="Heading 4 (un-numbered)"/>
    <w:basedOn w:val="Heading4"/>
    <w:next w:val="Normal"/>
    <w:uiPriority w:val="2"/>
    <w:qFormat/>
    <w:rsid w:val="00F9113D"/>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5"/>
      </w:numPr>
      <w:suppressAutoHyphens/>
      <w:spacing w:after="0" w:line="250" w:lineRule="atLeast"/>
    </w:pPr>
  </w:style>
  <w:style w:type="paragraph" w:customStyle="1" w:styleId="Numberslevel2">
    <w:name w:val="Numbers level 2"/>
    <w:basedOn w:val="Normal"/>
    <w:uiPriority w:val="4"/>
    <w:semiHidden/>
    <w:rsid w:val="00F9113D"/>
    <w:pPr>
      <w:numPr>
        <w:ilvl w:val="1"/>
        <w:numId w:val="5"/>
      </w:numPr>
      <w:suppressAutoHyphens/>
      <w:spacing w:after="0" w:line="250" w:lineRule="atLeast"/>
    </w:pPr>
  </w:style>
  <w:style w:type="paragraph" w:customStyle="1" w:styleId="Numberslevel3">
    <w:name w:val="Numbers level 3"/>
    <w:basedOn w:val="Normal"/>
    <w:uiPriority w:val="4"/>
    <w:semiHidden/>
    <w:rsid w:val="00F9113D"/>
    <w:pPr>
      <w:numPr>
        <w:ilvl w:val="2"/>
        <w:numId w:val="5"/>
      </w:numPr>
      <w:suppressAutoHyphens/>
      <w:spacing w:after="0" w:line="250" w:lineRule="atLeast"/>
    </w:pPr>
  </w:style>
  <w:style w:type="paragraph" w:customStyle="1" w:styleId="TabletextLeftTotal">
    <w:name w:val="Table text Left Total"/>
    <w:basedOn w:val="TabletextLeft"/>
    <w:uiPriority w:val="5"/>
    <w:rsid w:val="002E67B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464FD2"/>
    <w:pPr>
      <w:spacing w:line="200" w:lineRule="atLeast"/>
    </w:pPr>
    <w:rPr>
      <w:sz w:val="17"/>
      <w:lang w:val="en-AU"/>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E5001"/>
    <w:pPr>
      <w:keepNext/>
      <w:keepLines/>
      <w:spacing w:before="240"/>
    </w:pPr>
    <w:rPr>
      <w:rFonts w:eastAsia="Times New Roman" w:cs="Times New Roman"/>
      <w:b/>
      <w:color w:val="62B5E5" w:themeColor="accent3"/>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99"/>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qFormat/>
    <w:rsid w:val="006C74B8"/>
    <w:pPr>
      <w:keepNext/>
      <w:keepLines/>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qFormat/>
    <w:rsid w:val="006C74B8"/>
    <w:pPr>
      <w:keepNext/>
      <w:keepLines/>
      <w:ind w:left="5246"/>
    </w:pPr>
    <w:rPr>
      <w:bCs/>
      <w:color w:val="75787B" w:themeColor="accent6"/>
      <w:sz w:val="17"/>
      <w:szCs w:val="22"/>
    </w:rPr>
  </w:style>
  <w:style w:type="paragraph" w:customStyle="1" w:styleId="CaptionChart">
    <w:name w:val="Caption_Chart"/>
    <w:basedOn w:val="Normal"/>
    <w:next w:val="Normal"/>
    <w:uiPriority w:val="4"/>
    <w:qFormat/>
    <w:rsid w:val="006C74B8"/>
    <w:pPr>
      <w:keepNext/>
      <w:keepLines/>
      <w:ind w:left="1560"/>
    </w:pPr>
    <w:rPr>
      <w:color w:val="75787B" w:themeColor="accent6"/>
      <w:sz w:val="17"/>
    </w:rPr>
  </w:style>
  <w:style w:type="paragraph" w:customStyle="1" w:styleId="ExecutiveHeading">
    <w:name w:val="Executive Heading"/>
    <w:basedOn w:val="Heading1un-numbered"/>
    <w:next w:val="Normal"/>
    <w:uiPriority w:val="3"/>
    <w:rsid w:val="005E5001"/>
    <w:pPr>
      <w:numPr>
        <w:numId w:val="8"/>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99"/>
    <w:qFormat/>
    <w:rsid w:val="00CA0756"/>
    <w:pPr>
      <w:numPr>
        <w:ilvl w:val="2"/>
        <w:numId w:val="8"/>
      </w:numPr>
    </w:pPr>
    <w:rPr>
      <w:rFonts w:eastAsia="Times New Roman" w:cs="Times New Roman"/>
      <w:szCs w:val="20"/>
    </w:rPr>
  </w:style>
  <w:style w:type="paragraph" w:customStyle="1" w:styleId="ExecFigureCaption">
    <w:name w:val="Exec Figure Caption"/>
    <w:basedOn w:val="Caption"/>
    <w:next w:val="Normal"/>
    <w:uiPriority w:val="99"/>
    <w:qFormat/>
    <w:rsid w:val="00CA0756"/>
    <w:pPr>
      <w:numPr>
        <w:ilvl w:val="3"/>
        <w:numId w:val="8"/>
      </w:numPr>
    </w:pPr>
    <w:rPr>
      <w:rFonts w:eastAsia="Times New Roman" w:cs="Times New Roman"/>
      <w:szCs w:val="20"/>
    </w:rPr>
  </w:style>
  <w:style w:type="paragraph" w:customStyle="1" w:styleId="ExecTableCaption">
    <w:name w:val="Exec Table Caption"/>
    <w:basedOn w:val="Caption"/>
    <w:next w:val="Normal"/>
    <w:uiPriority w:val="99"/>
    <w:qFormat/>
    <w:rsid w:val="005D6648"/>
    <w:pPr>
      <w:numPr>
        <w:ilvl w:val="1"/>
        <w:numId w:val="8"/>
      </w:numPr>
    </w:pPr>
    <w:rPr>
      <w:rFonts w:eastAsia="Times New Roman" w:cs="Times New Roman"/>
      <w:szCs w:val="20"/>
    </w:rPr>
  </w:style>
  <w:style w:type="paragraph" w:customStyle="1" w:styleId="Appendixhead2">
    <w:name w:val="Appendix_head_2"/>
    <w:basedOn w:val="Heading2"/>
    <w:next w:val="Normal"/>
    <w:link w:val="Appendixhead2Char"/>
    <w:uiPriority w:val="3"/>
    <w:rsid w:val="00A95553"/>
    <w:pPr>
      <w:tabs>
        <w:tab w:val="left" w:pos="851"/>
      </w:tabs>
      <w:ind w:left="0" w:firstLine="0"/>
      <w:outlineLvl w:val="9"/>
    </w:pPr>
    <w:rPr>
      <w:rFonts w:eastAsia="Times New Roman" w:cs="Times New Roman"/>
      <w:bCs w:val="0"/>
      <w:szCs w:val="28"/>
    </w:rPr>
  </w:style>
  <w:style w:type="paragraph" w:customStyle="1" w:styleId="Appendixhead3">
    <w:name w:val="Appendix_head_3"/>
    <w:basedOn w:val="Heading3"/>
    <w:next w:val="Normal"/>
    <w:link w:val="Appendixhead3Char"/>
    <w:uiPriority w:val="3"/>
    <w:rsid w:val="00E06F2E"/>
    <w:pPr>
      <w:numPr>
        <w:numId w:val="114"/>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tabs>
        <w:tab w:val="clear" w:pos="340"/>
      </w:tabs>
      <w:ind w:left="0" w:firstLine="0"/>
      <w:outlineLvl w:val="9"/>
    </w:pPr>
    <w:rPr>
      <w:rFonts w:eastAsia="Times New Roman" w:cs="Times New Roman"/>
      <w:bCs w:val="0"/>
      <w:iCs w:val="0"/>
      <w:szCs w:val="24"/>
    </w:rPr>
  </w:style>
  <w:style w:type="paragraph" w:customStyle="1" w:styleId="Appendixhead1">
    <w:name w:val="Appendix_head_1"/>
    <w:basedOn w:val="Normal"/>
    <w:next w:val="Normal"/>
    <w:link w:val="Appendixhead1Char"/>
    <w:uiPriority w:val="3"/>
    <w:rsid w:val="009E2F33"/>
    <w:pPr>
      <w:keepNext/>
      <w:keepLines/>
      <w:pageBreakBefore/>
      <w:numPr>
        <w:numId w:val="9"/>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ascii="Segoe UI Light" w:eastAsia="Times New Roman" w:hAnsi="Segoe UI Light"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outlineLvl w:val="5"/>
    </w:pPr>
  </w:style>
  <w:style w:type="paragraph" w:customStyle="1" w:styleId="AppendixFigureCaption">
    <w:name w:val="Appendix Figure Caption"/>
    <w:basedOn w:val="AppendixChartCaption"/>
    <w:next w:val="Normal"/>
    <w:link w:val="AppendixFigureCaptionChar"/>
    <w:uiPriority w:val="4"/>
    <w:rsid w:val="00CA0756"/>
    <w:pPr>
      <w:outlineLvl w:val="6"/>
    </w:pPr>
  </w:style>
  <w:style w:type="character" w:customStyle="1" w:styleId="Appendixhead2Char">
    <w:name w:val="Appendix_head_2 Char"/>
    <w:basedOn w:val="DefaultParagraphFont"/>
    <w:link w:val="Appendixhead2"/>
    <w:uiPriority w:val="3"/>
    <w:rsid w:val="00A95553"/>
    <w:rPr>
      <w:rFonts w:ascii="Segoe UI Light" w:eastAsia="Times New Roman" w:hAnsi="Segoe UI Light" w:cs="Times New Roman"/>
      <w:b/>
      <w:color w:val="62B5E5" w:themeColor="accent3"/>
      <w:sz w:val="20"/>
      <w:szCs w:val="28"/>
      <w:lang w:val="en-AU"/>
    </w:rPr>
  </w:style>
  <w:style w:type="character" w:customStyle="1" w:styleId="AppendixTableCaptionChar">
    <w:name w:val="Appendix Table Caption Char"/>
    <w:basedOn w:val="DefaultParagraphFont"/>
    <w:link w:val="AppendixTableCaption"/>
    <w:uiPriority w:val="4"/>
    <w:rsid w:val="00CA0756"/>
    <w:rPr>
      <w:rFonts w:ascii="Segoe UI Light" w:eastAsia="Times New Roman" w:hAnsi="Segoe UI Light" w:cs="Times New Roman"/>
      <w:color w:val="75787B" w:themeColor="accent6"/>
      <w:sz w:val="17"/>
      <w:szCs w:val="22"/>
      <w:lang w:val="en-AU"/>
    </w:rPr>
  </w:style>
  <w:style w:type="character" w:customStyle="1" w:styleId="Appendixhead3Char">
    <w:name w:val="Appendix_head_3 Char"/>
    <w:basedOn w:val="DefaultParagraphFont"/>
    <w:link w:val="Appendixhead3"/>
    <w:uiPriority w:val="3"/>
    <w:rsid w:val="00E06F2E"/>
    <w:rPr>
      <w:rFonts w:ascii="Segoe UI Light" w:eastAsia="Times New Roman" w:hAnsi="Segoe UI Light" w:cs="Times New Roman"/>
      <w:b/>
      <w:sz w:val="20"/>
      <w:szCs w:val="20"/>
      <w:lang w:val="en-AU"/>
    </w:rPr>
  </w:style>
  <w:style w:type="character" w:customStyle="1" w:styleId="AppendixFigureCaptionChar">
    <w:name w:val="Appendix Figure Caption Char"/>
    <w:basedOn w:val="DefaultParagraphFont"/>
    <w:link w:val="AppendixFigureCaption"/>
    <w:uiPriority w:val="4"/>
    <w:rsid w:val="00CA0756"/>
    <w:rPr>
      <w:rFonts w:ascii="Segoe UI Light" w:eastAsia="Times New Roman" w:hAnsi="Segoe UI Light" w:cs="Times New Roman"/>
      <w:color w:val="75787B" w:themeColor="accent6"/>
      <w:sz w:val="17"/>
      <w:szCs w:val="22"/>
      <w:lang w:val="en-AU"/>
    </w:rPr>
  </w:style>
  <w:style w:type="character" w:customStyle="1" w:styleId="AppendixChartCaptionChar">
    <w:name w:val="Appendix Chart Caption Char"/>
    <w:basedOn w:val="AppendixTableCaptionChar"/>
    <w:link w:val="AppendixChartCaption"/>
    <w:uiPriority w:val="4"/>
    <w:rsid w:val="00CA0756"/>
    <w:rPr>
      <w:rFonts w:ascii="Segoe UI Light" w:eastAsia="Times New Roman" w:hAnsi="Segoe UI Light" w:cs="Times New Roman"/>
      <w:color w:val="75787B" w:themeColor="accent6"/>
      <w:sz w:val="17"/>
      <w:szCs w:val="22"/>
      <w:lang w:val="en-AU"/>
    </w:rPr>
  </w:style>
  <w:style w:type="paragraph" w:customStyle="1" w:styleId="SourcetextTableorChart">
    <w:name w:val="Source text Table or Chart"/>
    <w:basedOn w:val="Caption"/>
    <w:next w:val="Normal"/>
    <w:uiPriority w:val="6"/>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0"/>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2E67BC"/>
    <w:pPr>
      <w:jc w:val="center"/>
    </w:pPr>
  </w:style>
  <w:style w:type="paragraph" w:customStyle="1" w:styleId="TableHeadingRight">
    <w:name w:val="Table Heading Right"/>
    <w:basedOn w:val="TableHeadingCentre"/>
    <w:uiPriority w:val="5"/>
    <w:rsid w:val="002E67BC"/>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2E67BC"/>
    <w:pPr>
      <w:jc w:val="center"/>
    </w:pPr>
  </w:style>
  <w:style w:type="paragraph" w:customStyle="1" w:styleId="TableNote">
    <w:name w:val="Table Note"/>
    <w:basedOn w:val="TabletextLeft"/>
    <w:uiPriority w:val="5"/>
    <w:rsid w:val="002E67BC"/>
    <w:rPr>
      <w:sz w:val="15"/>
    </w:rPr>
  </w:style>
  <w:style w:type="paragraph" w:customStyle="1" w:styleId="TabletextCentreTotal">
    <w:name w:val="Table text Centre Total"/>
    <w:basedOn w:val="TabletextCentre"/>
    <w:uiPriority w:val="5"/>
    <w:rsid w:val="002C7E6E"/>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rPr>
      <w:lang w:val="en-AU"/>
    </w:r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rPr>
      <w:lang w:val="en-AU"/>
    </w:r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rPr>
      <w:lang w:val="en-AU"/>
    </w:r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rPr>
      <w:lang w:val="en-AU"/>
    </w:r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rPr>
      <w:lang w:val="en-AU"/>
    </w:r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rPr>
      <w:lang w:val="en-AU"/>
    </w:r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rPr>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rPr>
      <w:lang w:val="en-AU"/>
    </w:r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rPr>
      <w:lang w:val="en-AU"/>
    </w:r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rPr>
      <w:lang w:val="en-AU"/>
    </w:r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rPr>
      <w:lang w:val="en-AU"/>
    </w:r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rPr>
      <w:lang w:val="en-AU"/>
    </w:r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rPr>
      <w:lang w:val="en-AU"/>
    </w:r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rPr>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rPr>
      <w:lang w:val="en-AU"/>
    </w:r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rPr>
      <w:lang w:val="en-AU"/>
    </w:r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rPr>
      <w:lang w:val="en-AU"/>
    </w:r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rPr>
      <w:lang w:val="en-AU"/>
    </w:r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rPr>
      <w:lang w:val="en-AU"/>
    </w:r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rPr>
      <w:lang w:val="en-AU"/>
    </w:r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rPr>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rPr>
      <w:lang w:val="en-AU"/>
    </w:r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rPr>
      <w:lang w:val="en-AU"/>
    </w:r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rPr>
      <w:lang w:val="en-AU"/>
    </w:r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rPr>
      <w:lang w:val="en-AU"/>
    </w:r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rPr>
      <w:lang w:val="en-AU"/>
    </w:r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rPr>
      <w:lang w:val="en-AU"/>
    </w:r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rPr>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rPr>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Bullet1">
    <w:name w:val="Bullet 1"/>
    <w:basedOn w:val="ListParagraph"/>
    <w:link w:val="Bullet1Char"/>
    <w:qFormat/>
    <w:rsid w:val="008D5735"/>
    <w:pPr>
      <w:ind w:hanging="360"/>
    </w:pPr>
  </w:style>
  <w:style w:type="character" w:customStyle="1" w:styleId="Bullet1Char">
    <w:name w:val="Bullet 1 Char"/>
    <w:basedOn w:val="DefaultParagraphFont"/>
    <w:link w:val="Bullet1"/>
    <w:rsid w:val="008D5735"/>
    <w:rPr>
      <w:rFonts w:ascii="Segoe UI Light" w:hAnsi="Segoe UI Light"/>
      <w:sz w:val="20"/>
      <w:lang w:val="en-AU"/>
    </w:rPr>
  </w:style>
  <w:style w:type="paragraph" w:customStyle="1" w:styleId="Default">
    <w:name w:val="Default"/>
    <w:uiPriority w:val="99"/>
    <w:rsid w:val="00E97F33"/>
    <w:pPr>
      <w:autoSpaceDE w:val="0"/>
      <w:autoSpaceDN w:val="0"/>
      <w:adjustRightInd w:val="0"/>
      <w:spacing w:line="240" w:lineRule="auto"/>
    </w:pPr>
    <w:rPr>
      <w:rFonts w:ascii="Calibri" w:eastAsia="MS Mincho" w:hAnsi="Calibri" w:cs="Calibri"/>
      <w:color w:val="000000"/>
      <w:sz w:val="24"/>
      <w:szCs w:val="24"/>
      <w:lang w:val="en-AU" w:eastAsia="en-AU"/>
    </w:rPr>
  </w:style>
  <w:style w:type="table" w:customStyle="1" w:styleId="GridTable1Light1">
    <w:name w:val="Grid Table 1 Light1"/>
    <w:basedOn w:val="TableNormal"/>
    <w:next w:val="GridTable1Light"/>
    <w:uiPriority w:val="46"/>
    <w:rsid w:val="000930D8"/>
    <w:pPr>
      <w:spacing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1">
    <w:name w:val="Grid Table 1 Light11"/>
    <w:basedOn w:val="TableNormal"/>
    <w:next w:val="GridTable1Light"/>
    <w:uiPriority w:val="46"/>
    <w:rsid w:val="00081EBF"/>
    <w:pPr>
      <w:spacing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Bullet point Char,List Paragraph1 Char,List Paragraph11 Char,Recommendation Char,List Bullet 1 Char,L Char"/>
    <w:link w:val="ListParagraph"/>
    <w:uiPriority w:val="34"/>
    <w:locked/>
    <w:rsid w:val="00E237CB"/>
    <w:rPr>
      <w:rFonts w:ascii="Segoe UI Light" w:hAnsi="Segoe UI Light"/>
      <w:sz w:val="20"/>
      <w:lang w:val="en-AU"/>
    </w:rPr>
  </w:style>
  <w:style w:type="character" w:customStyle="1" w:styleId="CaptionChar">
    <w:name w:val="Caption Char"/>
    <w:basedOn w:val="DefaultParagraphFont"/>
    <w:link w:val="Caption"/>
    <w:uiPriority w:val="3"/>
    <w:rsid w:val="00537DB5"/>
    <w:rPr>
      <w:rFonts w:ascii="Segoe UI Light" w:hAnsi="Segoe UI Light"/>
      <w:iCs/>
      <w:color w:val="75787B" w:themeColor="accent6"/>
      <w:sz w:val="17"/>
      <w:lang w:val="en-AU"/>
    </w:rPr>
  </w:style>
  <w:style w:type="paragraph" w:customStyle="1" w:styleId="SubHeading1">
    <w:name w:val="Sub Heading 1"/>
    <w:basedOn w:val="Heading1"/>
    <w:uiPriority w:val="99"/>
    <w:qFormat/>
    <w:rsid w:val="002D1759"/>
    <w:pPr>
      <w:keepLines w:val="0"/>
      <w:pageBreakBefore w:val="0"/>
      <w:spacing w:before="240" w:after="60" w:line="240" w:lineRule="auto"/>
      <w:ind w:left="0" w:firstLine="0"/>
      <w:contextualSpacing w:val="0"/>
    </w:pPr>
    <w:rPr>
      <w:rFonts w:ascii="Arial" w:eastAsia="Times New Roman" w:hAnsi="Arial" w:cs="Arial"/>
      <w:b/>
      <w:kern w:val="32"/>
      <w:sz w:val="32"/>
      <w:szCs w:val="32"/>
      <w:lang w:eastAsia="en-AU"/>
    </w:rPr>
  </w:style>
  <w:style w:type="paragraph" w:customStyle="1" w:styleId="Body2">
    <w:name w:val="_Body2"/>
    <w:basedOn w:val="Normal"/>
    <w:link w:val="Body2Char"/>
    <w:uiPriority w:val="9"/>
    <w:qFormat/>
    <w:rsid w:val="006557F0"/>
    <w:pPr>
      <w:spacing w:after="113"/>
    </w:pPr>
    <w:rPr>
      <w:rFonts w:ascii="Calibri" w:eastAsia="Times New Roman" w:hAnsi="Calibri" w:cs="Arial"/>
      <w:sz w:val="22"/>
      <w:szCs w:val="22"/>
    </w:rPr>
  </w:style>
  <w:style w:type="character" w:customStyle="1" w:styleId="Body2Char">
    <w:name w:val="_Body2 Char"/>
    <w:basedOn w:val="DefaultParagraphFont"/>
    <w:link w:val="Body2"/>
    <w:uiPriority w:val="9"/>
    <w:rsid w:val="006557F0"/>
    <w:rPr>
      <w:rFonts w:ascii="Calibri" w:eastAsia="Times New Roman" w:hAnsi="Calibri" w:cs="Arial"/>
      <w:sz w:val="22"/>
      <w:szCs w:val="22"/>
      <w:lang w:val="en-AU"/>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Revision">
    <w:name w:val="Revision"/>
    <w:hidden/>
    <w:uiPriority w:val="99"/>
    <w:semiHidden/>
    <w:rsid w:val="005171A1"/>
    <w:pPr>
      <w:spacing w:line="240" w:lineRule="auto"/>
    </w:pPr>
    <w:rPr>
      <w:rFonts w:ascii="Segoe UI Light" w:hAnsi="Segoe UI Light"/>
      <w:sz w:val="20"/>
      <w:lang w:val="en-AU"/>
    </w:rPr>
  </w:style>
  <w:style w:type="paragraph" w:customStyle="1" w:styleId="RegBody1">
    <w:name w:val="Reg Body 1"/>
    <w:basedOn w:val="Normal"/>
    <w:autoRedefine/>
    <w:uiPriority w:val="99"/>
    <w:rsid w:val="00701872"/>
    <w:pPr>
      <w:numPr>
        <w:numId w:val="17"/>
      </w:numPr>
      <w:spacing w:after="240" w:line="240" w:lineRule="auto"/>
    </w:pPr>
    <w:rPr>
      <w:rFonts w:ascii="Times New Roman" w:eastAsia="Times New Roman" w:hAnsi="Times New Roman" w:cs="Times New Roman"/>
      <w:sz w:val="24"/>
      <w:szCs w:val="24"/>
      <w:lang w:eastAsia="en-AU"/>
    </w:rPr>
  </w:style>
  <w:style w:type="paragraph" w:customStyle="1" w:styleId="MajorHeading">
    <w:name w:val="Major Heading"/>
    <w:basedOn w:val="Normal"/>
    <w:next w:val="Normal"/>
    <w:uiPriority w:val="99"/>
    <w:rsid w:val="00B515F4"/>
    <w:pPr>
      <w:pageBreakBefore/>
      <w:spacing w:line="240" w:lineRule="auto"/>
      <w:ind w:hanging="113"/>
    </w:pPr>
    <w:rPr>
      <w:rFonts w:ascii="Calibri" w:eastAsia="Times New Roman" w:hAnsi="Calibri" w:cs="Arial"/>
      <w:b/>
      <w:color w:val="002776"/>
      <w:sz w:val="56"/>
      <w:szCs w:val="20"/>
    </w:rPr>
  </w:style>
  <w:style w:type="paragraph" w:customStyle="1" w:styleId="Bullet2">
    <w:name w:val="Bullet 2"/>
    <w:basedOn w:val="Normal"/>
    <w:uiPriority w:val="99"/>
    <w:qFormat/>
    <w:rsid w:val="00997034"/>
    <w:pPr>
      <w:numPr>
        <w:numId w:val="23"/>
      </w:numPr>
      <w:spacing w:before="60" w:after="0" w:line="240" w:lineRule="auto"/>
      <w:jc w:val="both"/>
    </w:pPr>
    <w:rPr>
      <w:rFonts w:ascii="Calibri" w:eastAsia="Times New Roman" w:hAnsi="Calibri" w:cs="Times New Roman"/>
      <w:sz w:val="22"/>
      <w:szCs w:val="20"/>
    </w:rPr>
  </w:style>
  <w:style w:type="paragraph" w:customStyle="1" w:styleId="NumberedList">
    <w:name w:val="Numbered List"/>
    <w:basedOn w:val="Normal"/>
    <w:uiPriority w:val="99"/>
    <w:rsid w:val="00374A46"/>
    <w:pPr>
      <w:numPr>
        <w:numId w:val="25"/>
      </w:numPr>
      <w:spacing w:before="120" w:after="0" w:line="240" w:lineRule="auto"/>
      <w:jc w:val="both"/>
    </w:pPr>
    <w:rPr>
      <w:rFonts w:ascii="Calibri" w:eastAsia="Times New Roman" w:hAnsi="Calibri" w:cs="Arial"/>
      <w:sz w:val="22"/>
      <w:szCs w:val="20"/>
    </w:rPr>
  </w:style>
  <w:style w:type="paragraph" w:customStyle="1" w:styleId="IndentAlphabeticList">
    <w:name w:val="Indent Alphabetic List"/>
    <w:basedOn w:val="Normal"/>
    <w:uiPriority w:val="99"/>
    <w:rsid w:val="00374A46"/>
    <w:pPr>
      <w:numPr>
        <w:numId w:val="24"/>
      </w:numPr>
      <w:tabs>
        <w:tab w:val="left" w:pos="1134"/>
      </w:tabs>
      <w:spacing w:before="60" w:after="0" w:line="240" w:lineRule="auto"/>
      <w:ind w:left="1134" w:hanging="567"/>
      <w:jc w:val="both"/>
    </w:pPr>
    <w:rPr>
      <w:rFonts w:ascii="Calibri" w:eastAsia="Times New Roman" w:hAnsi="Calibri" w:cs="Times New Roman"/>
      <w:sz w:val="22"/>
      <w:szCs w:val="20"/>
    </w:rPr>
  </w:style>
  <w:style w:type="paragraph" w:customStyle="1" w:styleId="Textbox">
    <w:name w:val="Text box"/>
    <w:basedOn w:val="Normal"/>
    <w:uiPriority w:val="99"/>
    <w:qFormat/>
    <w:rsid w:val="007C31B8"/>
    <w:pPr>
      <w:spacing w:before="60" w:after="0" w:line="240" w:lineRule="auto"/>
      <w:jc w:val="center"/>
    </w:pPr>
    <w:rPr>
      <w:rFonts w:ascii="Calibri" w:eastAsia="Times New Roman" w:hAnsi="Calibri" w:cs="Calibri"/>
      <w:color w:val="000000" w:themeColor="text1"/>
      <w:sz w:val="16"/>
      <w:lang w:eastAsia="en-AU"/>
    </w:rPr>
  </w:style>
  <w:style w:type="paragraph" w:customStyle="1" w:styleId="Itemnumber">
    <w:name w:val="Item number"/>
    <w:basedOn w:val="BodyText"/>
    <w:uiPriority w:val="3"/>
    <w:qFormat/>
    <w:rsid w:val="00AD662C"/>
    <w:pPr>
      <w:numPr>
        <w:numId w:val="41"/>
      </w:numPr>
      <w:spacing w:before="120" w:after="120"/>
    </w:pPr>
    <w:rPr>
      <w:rFonts w:ascii="Verdana" w:hAnsi="Verdana"/>
      <w:sz w:val="17"/>
      <w:szCs w:val="17"/>
    </w:rPr>
  </w:style>
  <w:style w:type="table" w:customStyle="1" w:styleId="TableGrid10">
    <w:name w:val="Table Grid1"/>
    <w:basedOn w:val="TableNormal"/>
    <w:next w:val="TableGrid"/>
    <w:rsid w:val="00154326"/>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body">
    <w:name w:val="*body"/>
    <w:basedOn w:val="Normal"/>
    <w:autoRedefine/>
    <w:uiPriority w:val="99"/>
    <w:rsid w:val="00512C93"/>
    <w:pPr>
      <w:widowControl w:val="0"/>
      <w:tabs>
        <w:tab w:val="left" w:pos="340"/>
      </w:tabs>
      <w:suppressAutoHyphens/>
      <w:autoSpaceDE w:val="0"/>
      <w:autoSpaceDN w:val="0"/>
      <w:adjustRightInd w:val="0"/>
      <w:spacing w:after="90" w:line="280" w:lineRule="atLeast"/>
      <w:textAlignment w:val="center"/>
    </w:pPr>
    <w:rPr>
      <w:rFonts w:ascii="Helvetica" w:eastAsiaTheme="minorEastAsia" w:hAnsi="Helvetica" w:cs="VIC-Regular"/>
      <w:color w:val="000000"/>
      <w:sz w:val="22"/>
      <w:szCs w:val="22"/>
      <w:lang w:val="en-GB"/>
    </w:rPr>
  </w:style>
  <w:style w:type="table" w:customStyle="1" w:styleId="TableAE">
    <w:name w:val="Table AE"/>
    <w:basedOn w:val="TableNormal"/>
    <w:uiPriority w:val="99"/>
    <w:rsid w:val="0039417D"/>
    <w:pPr>
      <w:spacing w:line="240" w:lineRule="auto"/>
    </w:pPr>
    <w:rPr>
      <w:rFonts w:ascii="Arial" w:eastAsia="Times New Roman" w:hAnsi="Arial" w:cs="Times New Roman"/>
      <w:sz w:val="20"/>
      <w:szCs w:val="20"/>
      <w:lang w:val="en-AU" w:eastAsia="en-AU"/>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EPANormal">
    <w:name w:val="EPA Normal"/>
    <w:basedOn w:val="Normal"/>
    <w:link w:val="EPANormalChar"/>
    <w:qFormat/>
    <w:rsid w:val="0000321E"/>
    <w:pPr>
      <w:spacing w:after="200" w:line="276" w:lineRule="auto"/>
      <w:jc w:val="both"/>
    </w:pPr>
    <w:rPr>
      <w:rFonts w:asciiTheme="minorHAnsi" w:eastAsiaTheme="minorEastAsia" w:hAnsiTheme="minorHAnsi"/>
      <w:sz w:val="22"/>
      <w:szCs w:val="22"/>
      <w:lang w:eastAsia="en-AU"/>
    </w:rPr>
  </w:style>
  <w:style w:type="character" w:customStyle="1" w:styleId="EPANormalChar">
    <w:name w:val="EPA Normal Char"/>
    <w:link w:val="EPANormal"/>
    <w:locked/>
    <w:rsid w:val="0000321E"/>
    <w:rPr>
      <w:rFonts w:asciiTheme="minorHAnsi" w:eastAsiaTheme="minorEastAsia" w:hAnsiTheme="minorHAnsi"/>
      <w:sz w:val="22"/>
      <w:szCs w:val="22"/>
      <w:lang w:val="en-AU" w:eastAsia="en-AU"/>
    </w:rPr>
  </w:style>
  <w:style w:type="paragraph" w:customStyle="1" w:styleId="2Source">
    <w:name w:val="2.Source"/>
    <w:basedOn w:val="Caption"/>
    <w:next w:val="Normal"/>
    <w:link w:val="2SourceChar"/>
    <w:qFormat/>
    <w:rsid w:val="00615DE0"/>
    <w:pPr>
      <w:keepNext w:val="0"/>
      <w:keepLines w:val="0"/>
      <w:spacing w:before="120"/>
    </w:pPr>
    <w:rPr>
      <w:color w:val="7F7F7F" w:themeColor="text1" w:themeTint="80"/>
      <w:szCs w:val="17"/>
    </w:rPr>
  </w:style>
  <w:style w:type="character" w:customStyle="1" w:styleId="2SourceChar">
    <w:name w:val="2.Source Char"/>
    <w:link w:val="2Source"/>
    <w:rsid w:val="00615DE0"/>
    <w:rPr>
      <w:rFonts w:ascii="Segoe UI Light" w:hAnsi="Segoe UI Light"/>
      <w:iCs/>
      <w:color w:val="7F7F7F" w:themeColor="text1" w:themeTint="80"/>
      <w:sz w:val="17"/>
      <w:szCs w:val="17"/>
      <w:lang w:val="en-AU"/>
    </w:rPr>
  </w:style>
  <w:style w:type="paragraph" w:customStyle="1" w:styleId="1HeadingLv2FIXED">
    <w:name w:val="1.HeadingLv2_FIXED"/>
    <w:basedOn w:val="Heading2"/>
    <w:link w:val="1HeadingLv2FIXEDChar"/>
    <w:qFormat/>
    <w:rsid w:val="00012D01"/>
    <w:pPr>
      <w:ind w:left="0" w:firstLine="0"/>
    </w:pPr>
  </w:style>
  <w:style w:type="paragraph" w:customStyle="1" w:styleId="1HeadingLv3FIXED">
    <w:name w:val="1.Heading_Lv3_FIXED"/>
    <w:basedOn w:val="Heading3"/>
    <w:link w:val="1HeadingLv3FIXEDChar"/>
    <w:qFormat/>
    <w:rsid w:val="00C55069"/>
    <w:pPr>
      <w:numPr>
        <w:ilvl w:val="3"/>
        <w:numId w:val="111"/>
      </w:numPr>
    </w:pPr>
  </w:style>
  <w:style w:type="character" w:customStyle="1" w:styleId="1HeadingLv2FIXEDChar">
    <w:name w:val="1.HeadingLv2_FIXED Char"/>
    <w:basedOn w:val="Heading2Char"/>
    <w:link w:val="1HeadingLv2FIXED"/>
    <w:rsid w:val="00012D01"/>
    <w:rPr>
      <w:rFonts w:ascii="Segoe UI Light" w:eastAsiaTheme="majorEastAsia" w:hAnsi="Segoe UI Light" w:cstheme="majorBidi"/>
      <w:b/>
      <w:bCs/>
      <w:color w:val="62B5E5" w:themeColor="accent3"/>
      <w:sz w:val="20"/>
      <w:szCs w:val="26"/>
      <w:lang w:val="en-AU"/>
    </w:rPr>
  </w:style>
  <w:style w:type="character" w:customStyle="1" w:styleId="1HeadingLv3FIXEDChar">
    <w:name w:val="1.Heading_Lv3_FIXED Char"/>
    <w:basedOn w:val="1HeadingLv2FIXEDChar"/>
    <w:link w:val="1HeadingLv3FIXED"/>
    <w:rsid w:val="00C55069"/>
    <w:rPr>
      <w:rFonts w:ascii="Segoe UI Light" w:eastAsiaTheme="majorEastAsia" w:hAnsi="Segoe UI Light" w:cstheme="majorBidi"/>
      <w:b/>
      <w:bCs/>
      <w:color w:val="62B5E5" w:themeColor="accent3"/>
      <w:sz w:val="20"/>
      <w:szCs w:val="26"/>
      <w:lang w:val="en-AU"/>
    </w:rPr>
  </w:style>
  <w:style w:type="paragraph" w:customStyle="1" w:styleId="0BoxHeading">
    <w:name w:val="0.BoxHeading"/>
    <w:basedOn w:val="Normal"/>
    <w:uiPriority w:val="99"/>
    <w:qFormat/>
    <w:rsid w:val="00615DE0"/>
    <w:pPr>
      <w:ind w:left="113" w:right="57"/>
    </w:pPr>
    <w:rPr>
      <w:b/>
    </w:rPr>
  </w:style>
  <w:style w:type="paragraph" w:customStyle="1" w:styleId="0Box">
    <w:name w:val="0.Box"/>
    <w:basedOn w:val="0BoxHeading"/>
    <w:uiPriority w:val="99"/>
    <w:qFormat/>
    <w:rsid w:val="00615DE0"/>
    <w:rPr>
      <w:b w:val="0"/>
    </w:rPr>
  </w:style>
  <w:style w:type="paragraph" w:customStyle="1" w:styleId="3IndentedQuote">
    <w:name w:val="3.IndentedQuote"/>
    <w:basedOn w:val="Normal"/>
    <w:link w:val="3IndentedQuoteChar"/>
    <w:qFormat/>
    <w:rsid w:val="00615DE0"/>
    <w:pPr>
      <w:ind w:left="737"/>
      <w:mirrorIndents/>
    </w:pPr>
    <w:rPr>
      <w:i/>
      <w:szCs w:val="17"/>
    </w:rPr>
  </w:style>
  <w:style w:type="paragraph" w:customStyle="1" w:styleId="1HeadingLv4FIXED">
    <w:name w:val="1.HeadingLv4_FIXED"/>
    <w:basedOn w:val="1HeadingLv3FIXED"/>
    <w:link w:val="1HeadingLv4FIXEDChar"/>
    <w:qFormat/>
    <w:rsid w:val="00615DE0"/>
    <w:rPr>
      <w:color w:val="808080" w:themeColor="background1" w:themeShade="80"/>
    </w:rPr>
  </w:style>
  <w:style w:type="character" w:customStyle="1" w:styleId="ListBulletChar">
    <w:name w:val="List Bullet Char"/>
    <w:basedOn w:val="DefaultParagraphFont"/>
    <w:link w:val="ListBullet"/>
    <w:uiPriority w:val="3"/>
    <w:rsid w:val="00615DE0"/>
    <w:rPr>
      <w:rFonts w:ascii="Segoe UI Light" w:hAnsi="Segoe UI Light"/>
      <w:sz w:val="20"/>
      <w:szCs w:val="17"/>
      <w:lang w:val="en-AU"/>
    </w:rPr>
  </w:style>
  <w:style w:type="character" w:customStyle="1" w:styleId="3IndentedQuoteChar">
    <w:name w:val="3.IndentedQuote Char"/>
    <w:basedOn w:val="ListBulletChar"/>
    <w:link w:val="3IndentedQuote"/>
    <w:rsid w:val="00615DE0"/>
    <w:rPr>
      <w:rFonts w:ascii="Segoe UI Light" w:hAnsi="Segoe UI Light"/>
      <w:i/>
      <w:sz w:val="20"/>
      <w:szCs w:val="17"/>
      <w:lang w:val="en-AU"/>
    </w:rPr>
  </w:style>
  <w:style w:type="character" w:customStyle="1" w:styleId="1HeadingLv4FIXEDChar">
    <w:name w:val="1.HeadingLv4_FIXED Char"/>
    <w:basedOn w:val="1HeadingLv3FIXEDChar"/>
    <w:link w:val="1HeadingLv4FIXED"/>
    <w:rsid w:val="00615DE0"/>
    <w:rPr>
      <w:rFonts w:ascii="Segoe UI Light" w:eastAsiaTheme="majorEastAsia" w:hAnsi="Segoe UI Light" w:cstheme="majorBidi"/>
      <w:b/>
      <w:bCs/>
      <w:color w:val="808080" w:themeColor="background1" w:themeShade="80"/>
      <w:sz w:val="20"/>
      <w:szCs w:val="26"/>
      <w:lang w:val="en-AU"/>
    </w:rPr>
  </w:style>
  <w:style w:type="character" w:customStyle="1" w:styleId="Mention1">
    <w:name w:val="Mention1"/>
    <w:basedOn w:val="DefaultParagraphFont"/>
    <w:uiPriority w:val="99"/>
    <w:semiHidden/>
    <w:unhideWhenUsed/>
    <w:rsid w:val="00162331"/>
    <w:rPr>
      <w:color w:val="2B579A"/>
      <w:shd w:val="clear" w:color="auto" w:fill="E6E6E6"/>
    </w:rPr>
  </w:style>
  <w:style w:type="paragraph" w:customStyle="1" w:styleId="AmendHeading1">
    <w:name w:val="Amend. Heading 1"/>
    <w:basedOn w:val="Normal"/>
    <w:next w:val="Normal"/>
    <w:link w:val="AmendHeading1Char"/>
    <w:rsid w:val="00C31870"/>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character" w:customStyle="1" w:styleId="AmendHeading1Char">
    <w:name w:val="Amend. Heading 1 Char"/>
    <w:basedOn w:val="DefaultParagraphFont"/>
    <w:link w:val="AmendHeading1"/>
    <w:rsid w:val="00C31870"/>
    <w:rPr>
      <w:rFonts w:ascii="Times New Roman" w:eastAsia="Times New Roman" w:hAnsi="Times New Roman" w:cs="Times New Roman"/>
      <w:sz w:val="24"/>
      <w:szCs w:val="20"/>
      <w:lang w:val="en-AU"/>
    </w:rPr>
  </w:style>
  <w:style w:type="paragraph" w:customStyle="1" w:styleId="AmendHeading2">
    <w:name w:val="Amend. Heading 2"/>
    <w:basedOn w:val="Normal"/>
    <w:next w:val="Normal"/>
    <w:link w:val="AmendHeading2Char"/>
    <w:rsid w:val="00C31870"/>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character" w:customStyle="1" w:styleId="AmendHeading2Char">
    <w:name w:val="Amend. Heading 2 Char"/>
    <w:basedOn w:val="DefaultParagraphFont"/>
    <w:link w:val="AmendHeading2"/>
    <w:rsid w:val="00C31870"/>
    <w:rPr>
      <w:rFonts w:ascii="Times New Roman" w:eastAsia="Times New Roman" w:hAnsi="Times New Roman" w:cs="Times New Roman"/>
      <w:sz w:val="24"/>
      <w:szCs w:val="20"/>
      <w:lang w:val="en-AU"/>
    </w:rPr>
  </w:style>
  <w:style w:type="paragraph" w:customStyle="1" w:styleId="TertiaryTitle">
    <w:name w:val="Tertiary Title"/>
    <w:basedOn w:val="Normal"/>
    <w:uiPriority w:val="99"/>
    <w:rsid w:val="00E8426F"/>
    <w:pPr>
      <w:spacing w:after="0" w:line="440" w:lineRule="exact"/>
    </w:pPr>
    <w:rPr>
      <w:rFonts w:ascii="Calibri" w:eastAsia="Times New Roman" w:hAnsi="Calibri" w:cs="Calibri"/>
      <w:color w:val="4D4D4D"/>
      <w:sz w:val="36"/>
      <w:szCs w:val="40"/>
    </w:rPr>
  </w:style>
  <w:style w:type="paragraph" w:customStyle="1" w:styleId="Style1">
    <w:name w:val="Style1"/>
    <w:basedOn w:val="1HeadingLv2FIXED"/>
    <w:next w:val="Default"/>
    <w:link w:val="Style1Char"/>
    <w:qFormat/>
    <w:rsid w:val="00734F03"/>
  </w:style>
  <w:style w:type="character" w:customStyle="1" w:styleId="Style1Char">
    <w:name w:val="Style1 Char"/>
    <w:basedOn w:val="1HeadingLv2FIXEDChar"/>
    <w:link w:val="Style1"/>
    <w:rsid w:val="00734F03"/>
    <w:rPr>
      <w:rFonts w:ascii="Segoe UI Light" w:eastAsiaTheme="majorEastAsia" w:hAnsi="Segoe UI Light" w:cstheme="majorBidi"/>
      <w:b/>
      <w:bCs/>
      <w:color w:val="62B5E5" w:themeColor="accent3"/>
      <w:sz w:val="20"/>
      <w:szCs w:val="26"/>
      <w:lang w:val="en-AU"/>
    </w:rPr>
  </w:style>
  <w:style w:type="character" w:customStyle="1" w:styleId="TableChar">
    <w:name w:val="Table Char"/>
    <w:basedOn w:val="DefaultParagraphFont"/>
    <w:link w:val="Table"/>
    <w:locked/>
    <w:rsid w:val="00D56329"/>
    <w:rPr>
      <w:rFonts w:ascii="Segoe UI Light" w:hAnsi="Segoe UI Light" w:cs="Segoe UI Light"/>
      <w:sz w:val="20"/>
    </w:rPr>
  </w:style>
  <w:style w:type="paragraph" w:customStyle="1" w:styleId="Table">
    <w:name w:val="Table"/>
    <w:basedOn w:val="Normal"/>
    <w:link w:val="TableChar"/>
    <w:qFormat/>
    <w:rsid w:val="00D56329"/>
    <w:pPr>
      <w:spacing w:after="0"/>
    </w:pPr>
    <w:rPr>
      <w:rFonts w:cs="Segoe UI Light"/>
      <w:lang w:val="en-GB"/>
    </w:rPr>
  </w:style>
  <w:style w:type="paragraph" w:customStyle="1" w:styleId="AmendHeading1s">
    <w:name w:val="Amend. Heading 1s"/>
    <w:basedOn w:val="Normal"/>
    <w:next w:val="Normal"/>
    <w:link w:val="AmendHeading1sChar"/>
    <w:rsid w:val="00486294"/>
    <w:pPr>
      <w:overflowPunct w:val="0"/>
      <w:autoSpaceDE w:val="0"/>
      <w:autoSpaceDN w:val="0"/>
      <w:adjustRightInd w:val="0"/>
      <w:spacing w:before="120" w:after="0" w:line="240" w:lineRule="auto"/>
      <w:textAlignment w:val="baseline"/>
    </w:pPr>
    <w:rPr>
      <w:rFonts w:ascii="Times New Roman" w:eastAsia="Times New Roman" w:hAnsi="Times New Roman" w:cs="Times New Roman"/>
      <w:b/>
      <w:sz w:val="24"/>
      <w:szCs w:val="20"/>
    </w:rPr>
  </w:style>
  <w:style w:type="character" w:customStyle="1" w:styleId="AmendHeading1sChar">
    <w:name w:val="Amend. Heading 1s Char"/>
    <w:basedOn w:val="DefaultParagraphFont"/>
    <w:link w:val="AmendHeading1s"/>
    <w:rsid w:val="00486294"/>
    <w:rPr>
      <w:rFonts w:ascii="Times New Roman" w:eastAsia="Times New Roman" w:hAnsi="Times New Roman" w:cs="Times New Roman"/>
      <w:b/>
      <w:sz w:val="24"/>
      <w:szCs w:val="20"/>
      <w:lang w:val="en-AU"/>
    </w:rPr>
  </w:style>
  <w:style w:type="table" w:customStyle="1" w:styleId="Deloittetable1">
    <w:name w:val="Deloitte table1"/>
    <w:basedOn w:val="TableNormal"/>
    <w:uiPriority w:val="99"/>
    <w:rsid w:val="00CB56AA"/>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Strong-green">
    <w:name w:val="Strong - green"/>
    <w:basedOn w:val="Normal"/>
    <w:link w:val="Strong-greenChar"/>
    <w:qFormat/>
    <w:rsid w:val="00AA64D3"/>
    <w:rPr>
      <w:rFonts w:asciiTheme="minorHAnsi" w:hAnsiTheme="minorHAnsi"/>
      <w:color w:val="86BC25" w:themeColor="accent1"/>
      <w:sz w:val="18"/>
    </w:rPr>
  </w:style>
  <w:style w:type="character" w:customStyle="1" w:styleId="Strong-greenChar">
    <w:name w:val="Strong - green Char"/>
    <w:basedOn w:val="DefaultParagraphFont"/>
    <w:link w:val="Strong-green"/>
    <w:rsid w:val="00AA64D3"/>
    <w:rPr>
      <w:rFonts w:asciiTheme="minorHAnsi" w:hAnsiTheme="minorHAnsi"/>
      <w:color w:val="86BC25" w:themeColor="accent1"/>
      <w:lang w:val="en-AU"/>
    </w:rPr>
  </w:style>
  <w:style w:type="paragraph" w:customStyle="1" w:styleId="Greennumber">
    <w:name w:val="Green number"/>
    <w:basedOn w:val="Itemnumber"/>
    <w:link w:val="GreennumberChar"/>
    <w:qFormat/>
    <w:rsid w:val="008B3311"/>
    <w:rPr>
      <w:rFonts w:ascii="Segoe UI Light" w:hAnsi="Segoe UI Light" w:cs="Segoe UI Light"/>
      <w:b/>
      <w:color w:val="62B5E5" w:themeColor="accent3"/>
      <w:sz w:val="20"/>
      <w:szCs w:val="18"/>
    </w:rPr>
  </w:style>
  <w:style w:type="character" w:customStyle="1" w:styleId="GreennumberChar">
    <w:name w:val="Green number Char"/>
    <w:basedOn w:val="DefaultParagraphFont"/>
    <w:link w:val="Greennumber"/>
    <w:rsid w:val="00925D97"/>
    <w:rPr>
      <w:rFonts w:ascii="Segoe UI Light" w:hAnsi="Segoe UI Light" w:cs="Segoe UI Light"/>
      <w:b/>
      <w:color w:val="62B5E5" w:themeColor="accent3"/>
      <w:sz w:val="20"/>
      <w:lang w:val="en-AU"/>
    </w:rPr>
  </w:style>
  <w:style w:type="character" w:customStyle="1" w:styleId="ilfuvd">
    <w:name w:val="ilfuvd"/>
    <w:basedOn w:val="DefaultParagraphFont"/>
    <w:rsid w:val="001A6BA4"/>
  </w:style>
  <w:style w:type="paragraph" w:customStyle="1" w:styleId="Tabletext">
    <w:name w:val="Table text"/>
    <w:qFormat/>
    <w:rsid w:val="00AF0AF4"/>
    <w:pPr>
      <w:spacing w:before="80" w:after="80" w:line="252" w:lineRule="auto"/>
    </w:pPr>
    <w:rPr>
      <w:rFonts w:ascii="Calibri" w:eastAsia="Times New Roman" w:hAnsi="Calibri" w:cs="Times New Roman"/>
      <w:color w:val="000000"/>
      <w:sz w:val="20"/>
      <w:szCs w:val="20"/>
      <w:lang w:val="en-AU" w:eastAsia="en-AU"/>
    </w:rPr>
  </w:style>
  <w:style w:type="paragraph" w:customStyle="1" w:styleId="paragraph">
    <w:name w:val="paragraph"/>
    <w:basedOn w:val="Normal"/>
    <w:rsid w:val="00D12895"/>
    <w:pPr>
      <w:spacing w:after="0" w:line="240" w:lineRule="auto"/>
    </w:pPr>
    <w:rPr>
      <w:rFonts w:ascii="Times New Roman" w:eastAsia="Times New Roman" w:hAnsi="Times New Roman" w:cs="Times New Roman"/>
      <w:sz w:val="24"/>
      <w:szCs w:val="24"/>
      <w:lang w:eastAsia="en-AU"/>
    </w:rPr>
  </w:style>
  <w:style w:type="character" w:customStyle="1" w:styleId="normaltextrun1">
    <w:name w:val="normaltextrun1"/>
    <w:basedOn w:val="DefaultParagraphFont"/>
    <w:rsid w:val="00D12895"/>
  </w:style>
  <w:style w:type="paragraph" w:customStyle="1" w:styleId="Bullet1indented">
    <w:name w:val="Bullet 1 indented"/>
    <w:basedOn w:val="Bullet1"/>
    <w:qFormat/>
    <w:rsid w:val="00D12895"/>
    <w:pPr>
      <w:ind w:left="357" w:firstLine="0"/>
    </w:pPr>
  </w:style>
  <w:style w:type="table" w:customStyle="1" w:styleId="Deloittetable2">
    <w:name w:val="Deloitte table2"/>
    <w:basedOn w:val="TableNormal"/>
    <w:uiPriority w:val="99"/>
    <w:rsid w:val="00162F2C"/>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character" w:customStyle="1" w:styleId="accordioncontent2">
    <w:name w:val="accordion_content2"/>
    <w:basedOn w:val="DefaultParagraphFont"/>
    <w:rsid w:val="000132ED"/>
  </w:style>
  <w:style w:type="character" w:customStyle="1" w:styleId="Heading1Char1">
    <w:name w:val="Heading 1 Char1"/>
    <w:aliases w:val="1.Heading 1 Char1"/>
    <w:basedOn w:val="DefaultParagraphFont"/>
    <w:uiPriority w:val="1"/>
    <w:rsid w:val="00A3100D"/>
    <w:rPr>
      <w:rFonts w:asciiTheme="majorHAnsi" w:eastAsiaTheme="majorEastAsia" w:hAnsiTheme="majorHAnsi" w:cstheme="majorBidi"/>
      <w:color w:val="638C1B" w:themeColor="accent1" w:themeShade="BF"/>
      <w:sz w:val="32"/>
      <w:szCs w:val="32"/>
      <w:lang w:val="en-AU"/>
    </w:rPr>
  </w:style>
  <w:style w:type="paragraph" w:customStyle="1" w:styleId="msonormal0">
    <w:name w:val="msonormal"/>
    <w:basedOn w:val="Normal"/>
    <w:uiPriority w:val="99"/>
    <w:semiHidden/>
    <w:rsid w:val="00A3100D"/>
    <w:rPr>
      <w:rFonts w:ascii="Times New Roman" w:hAnsi="Times New Roman" w:cs="Times New Roman"/>
      <w:sz w:val="24"/>
      <w:szCs w:val="24"/>
    </w:rPr>
  </w:style>
  <w:style w:type="character" w:customStyle="1" w:styleId="FootnoteTextChar1">
    <w:name w:val="Footnote Text Char1"/>
    <w:aliases w:val="Footnote Text Char1 Char Char1,Footnote Text Char Char1 Char Char1,Footnote Text Char Char Char Char Char1 Char1,Char Char Char1,Footnote Text Char Char Char Char2,Footnote Text Char Char Char Char Char2,fn Char1,FT Char1,ft Char1"/>
    <w:basedOn w:val="DefaultParagraphFont"/>
    <w:semiHidden/>
    <w:rsid w:val="00A3100D"/>
    <w:rPr>
      <w:rFonts w:ascii="Segoe UI Light" w:hAnsi="Segoe UI Light"/>
      <w:sz w:val="20"/>
      <w:szCs w:val="20"/>
      <w:lang w:val="en-AU"/>
    </w:rPr>
  </w:style>
  <w:style w:type="character" w:customStyle="1" w:styleId="RFQBulletChar">
    <w:name w:val="RFQ Bullet Char"/>
    <w:basedOn w:val="DefaultParagraphFont"/>
    <w:link w:val="RFQBullet"/>
    <w:semiHidden/>
    <w:locked/>
    <w:rsid w:val="00A3100D"/>
    <w:rPr>
      <w:rFonts w:asciiTheme="minorHAnsi" w:eastAsia="MS Mincho" w:hAnsiTheme="minorHAnsi" w:cstheme="minorHAnsi"/>
      <w:sz w:val="22"/>
      <w:szCs w:val="22"/>
      <w:lang w:val="en-AU"/>
    </w:rPr>
  </w:style>
  <w:style w:type="paragraph" w:customStyle="1" w:styleId="RFQBullet">
    <w:name w:val="RFQ Bullet"/>
    <w:basedOn w:val="Normal"/>
    <w:link w:val="RFQBulletChar"/>
    <w:semiHidden/>
    <w:qFormat/>
    <w:rsid w:val="00A3100D"/>
    <w:pPr>
      <w:numPr>
        <w:numId w:val="103"/>
      </w:numPr>
      <w:spacing w:beforeLines="50" w:afterLines="50" w:after="0" w:line="264" w:lineRule="auto"/>
    </w:pPr>
    <w:rPr>
      <w:rFonts w:asciiTheme="minorHAnsi" w:eastAsia="MS Mincho" w:hAnsiTheme="minorHAnsi" w:cstheme="minorHAnsi"/>
      <w:sz w:val="22"/>
      <w:szCs w:val="22"/>
    </w:rPr>
  </w:style>
  <w:style w:type="paragraph" w:customStyle="1" w:styleId="Heading2chp2">
    <w:name w:val="Heading 2 (chp2)"/>
    <w:basedOn w:val="Heading2"/>
    <w:link w:val="Heading2chp2Char"/>
    <w:qFormat/>
    <w:rsid w:val="00C55069"/>
    <w:pPr>
      <w:ind w:left="792" w:hanging="432"/>
    </w:pPr>
  </w:style>
  <w:style w:type="character" w:customStyle="1" w:styleId="Heading2chp2Char">
    <w:name w:val="Heading 2 (chp2) Char"/>
    <w:basedOn w:val="Heading2Char"/>
    <w:link w:val="Heading2chp2"/>
    <w:rsid w:val="00C55069"/>
    <w:rPr>
      <w:rFonts w:ascii="Segoe UI Light" w:eastAsiaTheme="majorEastAsia" w:hAnsi="Segoe UI Light" w:cstheme="majorBidi"/>
      <w:b/>
      <w:bCs/>
      <w:color w:val="62B5E5" w:themeColor="accent3"/>
      <w:sz w:val="20"/>
      <w:szCs w:val="26"/>
      <w:lang w:val="en-AU"/>
    </w:rPr>
  </w:style>
  <w:style w:type="character" w:customStyle="1" w:styleId="BenefitsCostsChar">
    <w:name w:val="BenefitsCosts Char"/>
    <w:basedOn w:val="DefaultParagraphFont"/>
    <w:link w:val="BenefitsCosts"/>
    <w:locked/>
    <w:rsid w:val="003073E7"/>
    <w:rPr>
      <w:rFonts w:ascii="Segoe UI Light" w:hAnsi="Segoe UI Light" w:cs="Segoe UI Light"/>
      <w:b/>
      <w:i/>
      <w:sz w:val="20"/>
      <w:lang w:val="en-AU"/>
    </w:rPr>
  </w:style>
  <w:style w:type="paragraph" w:customStyle="1" w:styleId="BenefitsCosts">
    <w:name w:val="BenefitsCosts"/>
    <w:basedOn w:val="Normal"/>
    <w:link w:val="BenefitsCostsChar"/>
    <w:qFormat/>
    <w:rsid w:val="003073E7"/>
    <w:rPr>
      <w:rFonts w:cs="Segoe UI Light"/>
      <w:b/>
      <w:i/>
    </w:rPr>
  </w:style>
  <w:style w:type="paragraph" w:customStyle="1" w:styleId="MJAbulletnormal">
    <w:name w:val="MJA bullet normal"/>
    <w:basedOn w:val="Normal"/>
    <w:rsid w:val="00D11E22"/>
    <w:pPr>
      <w:numPr>
        <w:numId w:val="116"/>
      </w:numPr>
      <w:spacing w:before="120" w:line="280" w:lineRule="atLeast"/>
    </w:pPr>
    <w:rPr>
      <w:rFonts w:ascii="Times New Roman" w:hAnsi="Times New Roman" w:cs="Times New Roman"/>
      <w:sz w:val="22"/>
      <w:szCs w:val="22"/>
      <w:lang w:eastAsia="en-AU"/>
    </w:rPr>
  </w:style>
  <w:style w:type="character" w:customStyle="1" w:styleId="MJAnormalChar1">
    <w:name w:val="MJA normal Char1"/>
    <w:basedOn w:val="DefaultParagraphFont"/>
    <w:link w:val="MJAnormal"/>
    <w:locked/>
    <w:rsid w:val="00D11E22"/>
  </w:style>
  <w:style w:type="paragraph" w:customStyle="1" w:styleId="MJAnormal">
    <w:name w:val="MJA normal"/>
    <w:basedOn w:val="Normal"/>
    <w:link w:val="MJAnormalChar1"/>
    <w:rsid w:val="00D11E22"/>
    <w:pPr>
      <w:spacing w:before="120" w:line="280" w:lineRule="atLeast"/>
    </w:pPr>
    <w:rPr>
      <w:rFonts w:ascii="Verdana" w:hAnsi="Verdana"/>
      <w:sz w:val="18"/>
      <w:lang w:val="en-GB"/>
    </w:rPr>
  </w:style>
  <w:style w:type="paragraph" w:customStyle="1" w:styleId="DraftHeading3">
    <w:name w:val="Draft Heading 3"/>
    <w:basedOn w:val="Normal"/>
    <w:next w:val="Normal"/>
    <w:rsid w:val="00D91090"/>
    <w:pPr>
      <w:overflowPunct w:val="0"/>
      <w:autoSpaceDE w:val="0"/>
      <w:autoSpaceDN w:val="0"/>
      <w:adjustRightInd w:val="0"/>
      <w:spacing w:before="120" w:after="0" w:line="240" w:lineRule="auto"/>
    </w:pPr>
    <w:rPr>
      <w:rFonts w:ascii="Times New Roman" w:eastAsia="Times New Roman" w:hAnsi="Times New Roman" w:cs="Times New Roman"/>
      <w:sz w:val="24"/>
      <w:szCs w:val="20"/>
    </w:rPr>
  </w:style>
  <w:style w:type="character" w:customStyle="1" w:styleId="DraftHeading1Char">
    <w:name w:val="Draft Heading 1 Char"/>
    <w:basedOn w:val="DefaultParagraphFont"/>
    <w:link w:val="DraftHeading1"/>
    <w:locked/>
    <w:rsid w:val="00ED124A"/>
    <w:rPr>
      <w:rFonts w:ascii="Times New Roman" w:eastAsia="Times New Roman" w:hAnsi="Times New Roman" w:cs="Times New Roman"/>
      <w:b/>
      <w:sz w:val="24"/>
      <w:szCs w:val="24"/>
    </w:rPr>
  </w:style>
  <w:style w:type="paragraph" w:customStyle="1" w:styleId="DraftHeading1">
    <w:name w:val="Draft Heading 1"/>
    <w:basedOn w:val="Normal"/>
    <w:next w:val="Normal"/>
    <w:link w:val="DraftHeading1Char"/>
    <w:rsid w:val="00ED124A"/>
    <w:pPr>
      <w:overflowPunct w:val="0"/>
      <w:autoSpaceDE w:val="0"/>
      <w:autoSpaceDN w:val="0"/>
      <w:adjustRightInd w:val="0"/>
      <w:spacing w:before="120" w:after="0" w:line="240" w:lineRule="auto"/>
      <w:outlineLvl w:val="2"/>
    </w:pPr>
    <w:rPr>
      <w:rFonts w:ascii="Times New Roman" w:eastAsia="Times New Roman" w:hAnsi="Times New Roman" w:cs="Times New Roman"/>
      <w:b/>
      <w:sz w:val="24"/>
      <w:szCs w:val="24"/>
      <w:lang w:val="en-GB"/>
    </w:rPr>
  </w:style>
  <w:style w:type="table" w:customStyle="1" w:styleId="Deloittetable3">
    <w:name w:val="Deloitte table3"/>
    <w:basedOn w:val="TableNormal"/>
    <w:uiPriority w:val="99"/>
    <w:rsid w:val="00826899"/>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Deloittetable11">
    <w:name w:val="Deloitte table11"/>
    <w:basedOn w:val="TableNormal"/>
    <w:uiPriority w:val="99"/>
    <w:rsid w:val="00826899"/>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numbering" w:customStyle="1" w:styleId="NoList1">
    <w:name w:val="No List1"/>
    <w:next w:val="NoList"/>
    <w:uiPriority w:val="99"/>
    <w:semiHidden/>
    <w:unhideWhenUsed/>
    <w:rsid w:val="00826899"/>
  </w:style>
  <w:style w:type="table" w:customStyle="1" w:styleId="TableFinancialStatements1">
    <w:name w:val="Table Financial Statements1"/>
    <w:basedOn w:val="TableNormal"/>
    <w:next w:val="TableGrid"/>
    <w:uiPriority w:val="39"/>
    <w:rsid w:val="00826899"/>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4">
    <w:name w:val="Deloitte table4"/>
    <w:basedOn w:val="TableNormal"/>
    <w:uiPriority w:val="99"/>
    <w:rsid w:val="00826899"/>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ColorfulGrid1">
    <w:name w:val="Colorful Grid1"/>
    <w:basedOn w:val="TableNormal"/>
    <w:next w:val="ColorfulGrid"/>
    <w:uiPriority w:val="73"/>
    <w:rsid w:val="00826899"/>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rsid w:val="00826899"/>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customStyle="1" w:styleId="ColorfulGrid-Accent21">
    <w:name w:val="Colorful Grid - Accent 21"/>
    <w:basedOn w:val="TableNormal"/>
    <w:next w:val="ColorfulGrid-Accent2"/>
    <w:uiPriority w:val="73"/>
    <w:rsid w:val="00826899"/>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customStyle="1" w:styleId="ColorfulGrid-Accent31">
    <w:name w:val="Colorful Grid - Accent 31"/>
    <w:basedOn w:val="TableNormal"/>
    <w:next w:val="ColorfulGrid-Accent3"/>
    <w:uiPriority w:val="73"/>
    <w:rsid w:val="00826899"/>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customStyle="1" w:styleId="ColorfulGrid-Accent41">
    <w:name w:val="Colorful Grid - Accent 41"/>
    <w:basedOn w:val="TableNormal"/>
    <w:next w:val="ColorfulGrid-Accent4"/>
    <w:uiPriority w:val="73"/>
    <w:rsid w:val="00826899"/>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customStyle="1" w:styleId="ColorfulGrid-Accent51">
    <w:name w:val="Colorful Grid - Accent 51"/>
    <w:basedOn w:val="TableNormal"/>
    <w:next w:val="ColorfulGrid-Accent5"/>
    <w:uiPriority w:val="73"/>
    <w:rsid w:val="00826899"/>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customStyle="1" w:styleId="ColorfulGrid-Accent61">
    <w:name w:val="Colorful Grid - Accent 61"/>
    <w:basedOn w:val="TableNormal"/>
    <w:next w:val="ColorfulGrid-Accent6"/>
    <w:uiPriority w:val="73"/>
    <w:rsid w:val="00826899"/>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customStyle="1" w:styleId="ColorfulList1">
    <w:name w:val="Colorful List1"/>
    <w:basedOn w:val="TableNormal"/>
    <w:next w:val="ColorfulList"/>
    <w:uiPriority w:val="72"/>
    <w:rsid w:val="00826899"/>
    <w:pPr>
      <w:spacing w:line="240" w:lineRule="auto"/>
    </w:pPr>
    <w:rPr>
      <w:color w:val="000000" w:themeColor="text1"/>
      <w:lang w:val="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rfulList-Accent1"/>
    <w:uiPriority w:val="72"/>
    <w:rsid w:val="00826899"/>
    <w:pPr>
      <w:spacing w:line="240" w:lineRule="auto"/>
    </w:pPr>
    <w:rPr>
      <w:color w:val="000000" w:themeColor="text1"/>
      <w:lang w:val="en-AU"/>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customStyle="1" w:styleId="ColorfulList-Accent21">
    <w:name w:val="Colorful List - Accent 21"/>
    <w:basedOn w:val="TableNormal"/>
    <w:next w:val="ColorfulList-Accent2"/>
    <w:uiPriority w:val="72"/>
    <w:rsid w:val="00826899"/>
    <w:pPr>
      <w:spacing w:line="240" w:lineRule="auto"/>
    </w:pPr>
    <w:rPr>
      <w:color w:val="000000" w:themeColor="text1"/>
      <w:lang w:val="en-AU"/>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customStyle="1" w:styleId="ColorfulList-Accent31">
    <w:name w:val="Colorful List - Accent 31"/>
    <w:basedOn w:val="TableNormal"/>
    <w:next w:val="ColorfulList-Accent3"/>
    <w:uiPriority w:val="72"/>
    <w:rsid w:val="00826899"/>
    <w:pPr>
      <w:spacing w:line="240" w:lineRule="auto"/>
    </w:pPr>
    <w:rPr>
      <w:color w:val="000000" w:themeColor="text1"/>
      <w:lang w:val="en-AU"/>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customStyle="1" w:styleId="ColorfulList-Accent41">
    <w:name w:val="Colorful List - Accent 41"/>
    <w:basedOn w:val="TableNormal"/>
    <w:next w:val="ColorfulList-Accent4"/>
    <w:uiPriority w:val="72"/>
    <w:rsid w:val="00826899"/>
    <w:pPr>
      <w:spacing w:line="240" w:lineRule="auto"/>
    </w:pPr>
    <w:rPr>
      <w:color w:val="000000" w:themeColor="text1"/>
      <w:lang w:val="en-AU"/>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customStyle="1" w:styleId="ColorfulList-Accent51">
    <w:name w:val="Colorful List - Accent 51"/>
    <w:basedOn w:val="TableNormal"/>
    <w:next w:val="ColorfulList-Accent5"/>
    <w:uiPriority w:val="72"/>
    <w:rsid w:val="00826899"/>
    <w:pPr>
      <w:spacing w:line="240" w:lineRule="auto"/>
    </w:pPr>
    <w:rPr>
      <w:color w:val="000000" w:themeColor="text1"/>
      <w:lang w:val="en-AU"/>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customStyle="1" w:styleId="ColorfulList-Accent61">
    <w:name w:val="Colorful List - Accent 61"/>
    <w:basedOn w:val="TableNormal"/>
    <w:next w:val="ColorfulList-Accent6"/>
    <w:uiPriority w:val="72"/>
    <w:rsid w:val="00826899"/>
    <w:pPr>
      <w:spacing w:line="240" w:lineRule="auto"/>
    </w:pPr>
    <w:rPr>
      <w:color w:val="000000" w:themeColor="text1"/>
      <w:lang w:val="en-AU"/>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customStyle="1" w:styleId="ColorfulShading1">
    <w:name w:val="Colorful Shading1"/>
    <w:basedOn w:val="TableNormal"/>
    <w:next w:val="ColorfulShading"/>
    <w:uiPriority w:val="71"/>
    <w:rsid w:val="00826899"/>
    <w:pPr>
      <w:spacing w:line="240" w:lineRule="auto"/>
    </w:pPr>
    <w:rPr>
      <w:color w:val="000000" w:themeColor="text1"/>
      <w:lang w:val="en-AU"/>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rsid w:val="00826899"/>
    <w:pPr>
      <w:spacing w:line="240" w:lineRule="auto"/>
    </w:pPr>
    <w:rPr>
      <w:color w:val="000000" w:themeColor="text1"/>
      <w:lang w:val="en-AU"/>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rsid w:val="00826899"/>
    <w:pPr>
      <w:spacing w:line="240" w:lineRule="auto"/>
    </w:pPr>
    <w:rPr>
      <w:color w:val="000000" w:themeColor="text1"/>
      <w:lang w:val="en-AU"/>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rsid w:val="00826899"/>
    <w:pPr>
      <w:spacing w:line="240" w:lineRule="auto"/>
    </w:pPr>
    <w:rPr>
      <w:color w:val="000000" w:themeColor="text1"/>
      <w:lang w:val="en-AU"/>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customStyle="1" w:styleId="ColorfulShading-Accent41">
    <w:name w:val="Colorful Shading - Accent 41"/>
    <w:basedOn w:val="TableNormal"/>
    <w:next w:val="ColorfulShading-Accent4"/>
    <w:uiPriority w:val="71"/>
    <w:rsid w:val="00826899"/>
    <w:pPr>
      <w:spacing w:line="240" w:lineRule="auto"/>
    </w:pPr>
    <w:rPr>
      <w:color w:val="000000" w:themeColor="text1"/>
      <w:lang w:val="en-AU"/>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rsid w:val="00826899"/>
    <w:pPr>
      <w:spacing w:line="240" w:lineRule="auto"/>
    </w:pPr>
    <w:rPr>
      <w:color w:val="000000" w:themeColor="text1"/>
      <w:lang w:val="en-AU"/>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rsid w:val="00826899"/>
    <w:pPr>
      <w:spacing w:line="240" w:lineRule="auto"/>
    </w:pPr>
    <w:rPr>
      <w:color w:val="000000" w:themeColor="text1"/>
      <w:lang w:val="en-AU"/>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rsid w:val="00826899"/>
    <w:pPr>
      <w:spacing w:line="240" w:lineRule="auto"/>
    </w:pPr>
    <w:rPr>
      <w:color w:val="FFFFFF" w:themeColor="background1"/>
      <w:lang w:val="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rsid w:val="00826899"/>
    <w:pPr>
      <w:spacing w:line="240" w:lineRule="auto"/>
    </w:pPr>
    <w:rPr>
      <w:color w:val="FFFFFF" w:themeColor="background1"/>
      <w:lang w:val="en-AU"/>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customStyle="1" w:styleId="DarkList-Accent21">
    <w:name w:val="Dark List - Accent 21"/>
    <w:basedOn w:val="TableNormal"/>
    <w:next w:val="DarkList-Accent2"/>
    <w:uiPriority w:val="70"/>
    <w:rsid w:val="00826899"/>
    <w:pPr>
      <w:spacing w:line="240" w:lineRule="auto"/>
    </w:pPr>
    <w:rPr>
      <w:color w:val="FFFFFF" w:themeColor="background1"/>
      <w:lang w:val="en-AU"/>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customStyle="1" w:styleId="DarkList-Accent31">
    <w:name w:val="Dark List - Accent 31"/>
    <w:basedOn w:val="TableNormal"/>
    <w:next w:val="DarkList-Accent3"/>
    <w:uiPriority w:val="70"/>
    <w:rsid w:val="00826899"/>
    <w:pPr>
      <w:spacing w:line="240" w:lineRule="auto"/>
    </w:pPr>
    <w:rPr>
      <w:color w:val="FFFFFF" w:themeColor="background1"/>
      <w:lang w:val="en-AU"/>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customStyle="1" w:styleId="DarkList-Accent41">
    <w:name w:val="Dark List - Accent 41"/>
    <w:basedOn w:val="TableNormal"/>
    <w:next w:val="DarkList-Accent4"/>
    <w:uiPriority w:val="70"/>
    <w:rsid w:val="00826899"/>
    <w:pPr>
      <w:spacing w:line="240" w:lineRule="auto"/>
    </w:pPr>
    <w:rPr>
      <w:color w:val="FFFFFF" w:themeColor="background1"/>
      <w:lang w:val="en-AU"/>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customStyle="1" w:styleId="DarkList-Accent51">
    <w:name w:val="Dark List - Accent 51"/>
    <w:basedOn w:val="TableNormal"/>
    <w:next w:val="DarkList-Accent5"/>
    <w:uiPriority w:val="70"/>
    <w:rsid w:val="00826899"/>
    <w:pPr>
      <w:spacing w:line="240" w:lineRule="auto"/>
    </w:pPr>
    <w:rPr>
      <w:color w:val="FFFFFF" w:themeColor="background1"/>
      <w:lang w:val="en-AU"/>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customStyle="1" w:styleId="DarkList-Accent61">
    <w:name w:val="Dark List - Accent 61"/>
    <w:basedOn w:val="TableNormal"/>
    <w:next w:val="DarkList-Accent6"/>
    <w:uiPriority w:val="70"/>
    <w:rsid w:val="00826899"/>
    <w:pPr>
      <w:spacing w:line="240" w:lineRule="auto"/>
    </w:pPr>
    <w:rPr>
      <w:color w:val="FFFFFF" w:themeColor="background1"/>
      <w:lang w:val="en-AU"/>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table" w:customStyle="1" w:styleId="LightGrid1">
    <w:name w:val="Light Grid1"/>
    <w:basedOn w:val="TableNormal"/>
    <w:next w:val="LightGrid"/>
    <w:uiPriority w:val="62"/>
    <w:rsid w:val="00826899"/>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rsid w:val="00826899"/>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customStyle="1" w:styleId="LightGrid-Accent21">
    <w:name w:val="Light Grid - Accent 21"/>
    <w:basedOn w:val="TableNormal"/>
    <w:next w:val="LightGrid-Accent2"/>
    <w:uiPriority w:val="62"/>
    <w:rsid w:val="00826899"/>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customStyle="1" w:styleId="LightGrid-Accent31">
    <w:name w:val="Light Grid - Accent 31"/>
    <w:basedOn w:val="TableNormal"/>
    <w:next w:val="LightGrid-Accent3"/>
    <w:uiPriority w:val="62"/>
    <w:rsid w:val="00826899"/>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customStyle="1" w:styleId="LightGrid-Accent41">
    <w:name w:val="Light Grid - Accent 41"/>
    <w:basedOn w:val="TableNormal"/>
    <w:next w:val="LightGrid-Accent4"/>
    <w:uiPriority w:val="62"/>
    <w:rsid w:val="00826899"/>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customStyle="1" w:styleId="LightGrid-Accent51">
    <w:name w:val="Light Grid - Accent 51"/>
    <w:basedOn w:val="TableNormal"/>
    <w:next w:val="LightGrid-Accent5"/>
    <w:uiPriority w:val="62"/>
    <w:rsid w:val="00826899"/>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customStyle="1" w:styleId="LightGrid-Accent61">
    <w:name w:val="Light Grid - Accent 61"/>
    <w:basedOn w:val="TableNormal"/>
    <w:next w:val="LightGrid-Accent6"/>
    <w:uiPriority w:val="62"/>
    <w:rsid w:val="00826899"/>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customStyle="1" w:styleId="LightList1">
    <w:name w:val="Light List1"/>
    <w:basedOn w:val="TableNormal"/>
    <w:next w:val="LightList"/>
    <w:uiPriority w:val="61"/>
    <w:rsid w:val="00826899"/>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rsid w:val="00826899"/>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customStyle="1" w:styleId="LightList-Accent21">
    <w:name w:val="Light List - Accent 21"/>
    <w:basedOn w:val="TableNormal"/>
    <w:next w:val="LightList-Accent2"/>
    <w:uiPriority w:val="61"/>
    <w:rsid w:val="00826899"/>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customStyle="1" w:styleId="LightList-Accent31">
    <w:name w:val="Light List - Accent 31"/>
    <w:basedOn w:val="TableNormal"/>
    <w:next w:val="LightList-Accent3"/>
    <w:uiPriority w:val="61"/>
    <w:rsid w:val="00826899"/>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customStyle="1" w:styleId="LightList-Accent41">
    <w:name w:val="Light List - Accent 41"/>
    <w:basedOn w:val="TableNormal"/>
    <w:next w:val="LightList-Accent4"/>
    <w:uiPriority w:val="61"/>
    <w:rsid w:val="00826899"/>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customStyle="1" w:styleId="LightList-Accent51">
    <w:name w:val="Light List - Accent 51"/>
    <w:basedOn w:val="TableNormal"/>
    <w:next w:val="LightList-Accent5"/>
    <w:uiPriority w:val="61"/>
    <w:rsid w:val="00826899"/>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customStyle="1" w:styleId="LightList-Accent61">
    <w:name w:val="Light List - Accent 61"/>
    <w:basedOn w:val="TableNormal"/>
    <w:next w:val="LightList-Accent6"/>
    <w:uiPriority w:val="61"/>
    <w:rsid w:val="00826899"/>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customStyle="1" w:styleId="LightShading1">
    <w:name w:val="Light Shading1"/>
    <w:basedOn w:val="TableNormal"/>
    <w:next w:val="LightShading"/>
    <w:uiPriority w:val="60"/>
    <w:rsid w:val="00826899"/>
    <w:pPr>
      <w:spacing w:line="240" w:lineRule="auto"/>
    </w:pPr>
    <w:rPr>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rsid w:val="00826899"/>
    <w:pPr>
      <w:spacing w:line="240" w:lineRule="auto"/>
    </w:pPr>
    <w:rPr>
      <w:color w:val="638C1B" w:themeColor="accent1" w:themeShade="BF"/>
      <w:lang w:val="en-AU"/>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customStyle="1" w:styleId="LightShading-Accent21">
    <w:name w:val="Light Shading - Accent 21"/>
    <w:basedOn w:val="TableNormal"/>
    <w:next w:val="LightShading-Accent2"/>
    <w:uiPriority w:val="60"/>
    <w:rsid w:val="00826899"/>
    <w:pPr>
      <w:spacing w:line="240" w:lineRule="auto"/>
    </w:pPr>
    <w:rPr>
      <w:color w:val="034F29" w:themeColor="accent2" w:themeShade="BF"/>
      <w:lang w:val="en-AU"/>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customStyle="1" w:styleId="LightShading-Accent31">
    <w:name w:val="Light Shading - Accent 31"/>
    <w:basedOn w:val="TableNormal"/>
    <w:next w:val="LightShading-Accent3"/>
    <w:uiPriority w:val="60"/>
    <w:rsid w:val="00826899"/>
    <w:pPr>
      <w:spacing w:line="240" w:lineRule="auto"/>
    </w:pPr>
    <w:rPr>
      <w:color w:val="2291D1" w:themeColor="accent3" w:themeShade="BF"/>
      <w:lang w:val="en-AU"/>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customStyle="1" w:styleId="LightShading-Accent41">
    <w:name w:val="Light Shading - Accent 41"/>
    <w:basedOn w:val="TableNormal"/>
    <w:next w:val="LightShading-Accent4"/>
    <w:uiPriority w:val="60"/>
    <w:rsid w:val="00826899"/>
    <w:pPr>
      <w:spacing w:line="240" w:lineRule="auto"/>
    </w:pPr>
    <w:rPr>
      <w:color w:val="00184E" w:themeColor="accent4" w:themeShade="BF"/>
      <w:lang w:val="en-AU"/>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customStyle="1" w:styleId="LightShading-Accent51">
    <w:name w:val="Light Shading - Accent 51"/>
    <w:basedOn w:val="TableNormal"/>
    <w:next w:val="LightShading-Accent5"/>
    <w:uiPriority w:val="60"/>
    <w:rsid w:val="00826899"/>
    <w:pPr>
      <w:spacing w:line="240" w:lineRule="auto"/>
    </w:pPr>
    <w:rPr>
      <w:color w:val="00707E" w:themeColor="accent5" w:themeShade="BF"/>
      <w:lang w:val="en-AU"/>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customStyle="1" w:styleId="LightShading-Accent61">
    <w:name w:val="Light Shading - Accent 61"/>
    <w:basedOn w:val="TableNormal"/>
    <w:next w:val="LightShading-Accent6"/>
    <w:uiPriority w:val="60"/>
    <w:rsid w:val="00826899"/>
    <w:pPr>
      <w:spacing w:line="240" w:lineRule="auto"/>
    </w:pPr>
    <w:rPr>
      <w:color w:val="57595C" w:themeColor="accent6" w:themeShade="BF"/>
      <w:lang w:val="en-AU"/>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table" w:customStyle="1" w:styleId="MediumGrid11">
    <w:name w:val="Medium Grid 11"/>
    <w:basedOn w:val="TableNormal"/>
    <w:next w:val="MediumGrid1"/>
    <w:uiPriority w:val="67"/>
    <w:rsid w:val="00826899"/>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rsid w:val="00826899"/>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customStyle="1" w:styleId="MediumGrid1-Accent21">
    <w:name w:val="Medium Grid 1 - Accent 21"/>
    <w:basedOn w:val="TableNormal"/>
    <w:next w:val="MediumGrid1-Accent2"/>
    <w:uiPriority w:val="67"/>
    <w:rsid w:val="00826899"/>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customStyle="1" w:styleId="MediumGrid1-Accent31">
    <w:name w:val="Medium Grid 1 - Accent 31"/>
    <w:basedOn w:val="TableNormal"/>
    <w:next w:val="MediumGrid1-Accent3"/>
    <w:uiPriority w:val="67"/>
    <w:rsid w:val="00826899"/>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customStyle="1" w:styleId="MediumGrid1-Accent41">
    <w:name w:val="Medium Grid 1 - Accent 41"/>
    <w:basedOn w:val="TableNormal"/>
    <w:next w:val="MediumGrid1-Accent4"/>
    <w:uiPriority w:val="67"/>
    <w:rsid w:val="00826899"/>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customStyle="1" w:styleId="MediumGrid1-Accent51">
    <w:name w:val="Medium Grid 1 - Accent 51"/>
    <w:basedOn w:val="TableNormal"/>
    <w:next w:val="MediumGrid1-Accent5"/>
    <w:uiPriority w:val="67"/>
    <w:rsid w:val="00826899"/>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customStyle="1" w:styleId="MediumGrid1-Accent61">
    <w:name w:val="Medium Grid 1 - Accent 61"/>
    <w:basedOn w:val="TableNormal"/>
    <w:next w:val="MediumGrid1-Accent6"/>
    <w:uiPriority w:val="67"/>
    <w:rsid w:val="00826899"/>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customStyle="1" w:styleId="MediumGrid21">
    <w:name w:val="Medium Grid 21"/>
    <w:basedOn w:val="TableNormal"/>
    <w:next w:val="MediumGrid2"/>
    <w:uiPriority w:val="68"/>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rsid w:val="00826899"/>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rsid w:val="00826899"/>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customStyle="1" w:styleId="MediumGrid3-Accent21">
    <w:name w:val="Medium Grid 3 - Accent 21"/>
    <w:basedOn w:val="TableNormal"/>
    <w:next w:val="MediumGrid3-Accent2"/>
    <w:uiPriority w:val="69"/>
    <w:rsid w:val="00826899"/>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customStyle="1" w:styleId="MediumGrid3-Accent31">
    <w:name w:val="Medium Grid 3 - Accent 31"/>
    <w:basedOn w:val="TableNormal"/>
    <w:next w:val="MediumGrid3-Accent3"/>
    <w:uiPriority w:val="69"/>
    <w:rsid w:val="00826899"/>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customStyle="1" w:styleId="MediumGrid3-Accent41">
    <w:name w:val="Medium Grid 3 - Accent 41"/>
    <w:basedOn w:val="TableNormal"/>
    <w:next w:val="MediumGrid3-Accent4"/>
    <w:uiPriority w:val="69"/>
    <w:rsid w:val="00826899"/>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customStyle="1" w:styleId="MediumGrid3-Accent51">
    <w:name w:val="Medium Grid 3 - Accent 51"/>
    <w:basedOn w:val="TableNormal"/>
    <w:next w:val="MediumGrid3-Accent5"/>
    <w:uiPriority w:val="69"/>
    <w:rsid w:val="00826899"/>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customStyle="1" w:styleId="MediumGrid3-Accent61">
    <w:name w:val="Medium Grid 3 - Accent 61"/>
    <w:basedOn w:val="TableNormal"/>
    <w:next w:val="MediumGrid3-Accent6"/>
    <w:uiPriority w:val="69"/>
    <w:rsid w:val="00826899"/>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customStyle="1" w:styleId="MediumList11">
    <w:name w:val="Medium List 11"/>
    <w:basedOn w:val="TableNormal"/>
    <w:next w:val="MediumList1"/>
    <w:uiPriority w:val="65"/>
    <w:rsid w:val="00826899"/>
    <w:pPr>
      <w:spacing w:line="240" w:lineRule="auto"/>
    </w:pPr>
    <w:rPr>
      <w:color w:val="000000" w:themeColor="text1"/>
      <w:lang w:val="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rsid w:val="00826899"/>
    <w:pPr>
      <w:spacing w:line="240" w:lineRule="auto"/>
    </w:pPr>
    <w:rPr>
      <w:color w:val="000000" w:themeColor="text1"/>
      <w:lang w:val="en-AU"/>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customStyle="1" w:styleId="MediumList1-Accent21">
    <w:name w:val="Medium List 1 - Accent 21"/>
    <w:basedOn w:val="TableNormal"/>
    <w:next w:val="MediumList1-Accent2"/>
    <w:uiPriority w:val="65"/>
    <w:rsid w:val="00826899"/>
    <w:pPr>
      <w:spacing w:line="240" w:lineRule="auto"/>
    </w:pPr>
    <w:rPr>
      <w:color w:val="000000" w:themeColor="text1"/>
      <w:lang w:val="en-AU"/>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customStyle="1" w:styleId="MediumList1-Accent31">
    <w:name w:val="Medium List 1 - Accent 31"/>
    <w:basedOn w:val="TableNormal"/>
    <w:next w:val="MediumList1-Accent3"/>
    <w:uiPriority w:val="65"/>
    <w:rsid w:val="00826899"/>
    <w:pPr>
      <w:spacing w:line="240" w:lineRule="auto"/>
    </w:pPr>
    <w:rPr>
      <w:color w:val="000000" w:themeColor="text1"/>
      <w:lang w:val="en-AU"/>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customStyle="1" w:styleId="MediumList1-Accent41">
    <w:name w:val="Medium List 1 - Accent 41"/>
    <w:basedOn w:val="TableNormal"/>
    <w:next w:val="MediumList1-Accent4"/>
    <w:uiPriority w:val="65"/>
    <w:rsid w:val="00826899"/>
    <w:pPr>
      <w:spacing w:line="240" w:lineRule="auto"/>
    </w:pPr>
    <w:rPr>
      <w:color w:val="000000" w:themeColor="text1"/>
      <w:lang w:val="en-AU"/>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customStyle="1" w:styleId="MediumList1-Accent51">
    <w:name w:val="Medium List 1 - Accent 51"/>
    <w:basedOn w:val="TableNormal"/>
    <w:next w:val="MediumList1-Accent5"/>
    <w:uiPriority w:val="65"/>
    <w:rsid w:val="00826899"/>
    <w:pPr>
      <w:spacing w:line="240" w:lineRule="auto"/>
    </w:pPr>
    <w:rPr>
      <w:color w:val="000000" w:themeColor="text1"/>
      <w:lang w:val="en-AU"/>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customStyle="1" w:styleId="MediumList1-Accent61">
    <w:name w:val="Medium List 1 - Accent 61"/>
    <w:basedOn w:val="TableNormal"/>
    <w:next w:val="MediumList1-Accent6"/>
    <w:uiPriority w:val="65"/>
    <w:rsid w:val="00826899"/>
    <w:pPr>
      <w:spacing w:line="240" w:lineRule="auto"/>
    </w:pPr>
    <w:rPr>
      <w:color w:val="000000" w:themeColor="text1"/>
      <w:lang w:val="en-AU"/>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customStyle="1" w:styleId="MediumList21">
    <w:name w:val="Medium List 21"/>
    <w:basedOn w:val="TableNormal"/>
    <w:next w:val="MediumList2"/>
    <w:uiPriority w:val="66"/>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826899"/>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826899"/>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826899"/>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826899"/>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826899"/>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826899"/>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826899"/>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826899"/>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826899"/>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826899"/>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826899"/>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826899"/>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826899"/>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826899"/>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826899"/>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26899"/>
    <w:pPr>
      <w:spacing w:after="240"/>
    </w:pPr>
    <w:rPr>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26899"/>
    <w:pPr>
      <w:spacing w:after="240"/>
    </w:pPr>
    <w:rPr>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26899"/>
    <w:pPr>
      <w:spacing w:after="240"/>
    </w:pPr>
    <w:rPr>
      <w:lang w:val="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26899"/>
    <w:pPr>
      <w:spacing w:after="240"/>
    </w:pPr>
    <w:rPr>
      <w:lang w:val="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26899"/>
    <w:pPr>
      <w:spacing w:after="240"/>
    </w:pPr>
    <w:rPr>
      <w:lang w:val="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26899"/>
    <w:pPr>
      <w:spacing w:after="240"/>
    </w:pPr>
    <w:rPr>
      <w:color w:val="000080"/>
      <w:lang w:val="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26899"/>
    <w:pPr>
      <w:spacing w:after="240"/>
    </w:pPr>
    <w:rPr>
      <w:lang w:val="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826899"/>
    <w:pPr>
      <w:spacing w:after="240"/>
    </w:pPr>
    <w:rPr>
      <w:color w:val="FFFFFF"/>
      <w:lang w:val="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826899"/>
    <w:pPr>
      <w:spacing w:after="240"/>
    </w:pPr>
    <w:rPr>
      <w:lang w:val="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826899"/>
    <w:pPr>
      <w:spacing w:after="240"/>
    </w:pPr>
    <w:rPr>
      <w:lang w:val="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26899"/>
    <w:pPr>
      <w:spacing w:after="240"/>
    </w:pPr>
    <w:rPr>
      <w:b/>
      <w:bCs/>
      <w:lang w:val="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26899"/>
    <w:pPr>
      <w:spacing w:after="240"/>
    </w:pPr>
    <w:rPr>
      <w:b/>
      <w:bCs/>
      <w:lang w:val="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26899"/>
    <w:pPr>
      <w:spacing w:after="240"/>
    </w:pPr>
    <w:rPr>
      <w:b/>
      <w:bCs/>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26899"/>
    <w:pPr>
      <w:spacing w:after="240"/>
    </w:pPr>
    <w:rPr>
      <w:lang w:val="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26899"/>
    <w:pPr>
      <w:spacing w:after="240"/>
    </w:pPr>
    <w:rPr>
      <w:lang w:val="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26899"/>
    <w:pPr>
      <w:spacing w:after="240"/>
    </w:pPr>
    <w:rPr>
      <w:lang w:val="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26899"/>
    <w:pPr>
      <w:spacing w:after="240"/>
    </w:pPr>
    <w:rPr>
      <w:lang w:val="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26899"/>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826899"/>
    <w:pPr>
      <w:spacing w:after="240"/>
    </w:pPr>
    <w:rPr>
      <w:lang w:val="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26899"/>
    <w:pPr>
      <w:spacing w:after="240"/>
    </w:pPr>
    <w:rPr>
      <w:lang w:val="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26899"/>
    <w:pPr>
      <w:spacing w:after="240"/>
    </w:pPr>
    <w:rPr>
      <w:lang w:val="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26899"/>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26899"/>
    <w:pPr>
      <w:spacing w:after="240"/>
    </w:pPr>
    <w:rPr>
      <w:lang w:val="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26899"/>
    <w:pPr>
      <w:spacing w:after="240"/>
    </w:pPr>
    <w:rPr>
      <w:b/>
      <w:bCs/>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26899"/>
    <w:pPr>
      <w:spacing w:after="240"/>
    </w:pPr>
    <w:rPr>
      <w:lang w:val="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26899"/>
    <w:pPr>
      <w:spacing w:after="240"/>
    </w:pPr>
    <w:rPr>
      <w:lang w:val="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26899"/>
    <w:pPr>
      <w:spacing w:after="240"/>
    </w:pPr>
    <w:rPr>
      <w:lang w:val="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26899"/>
    <w:pPr>
      <w:spacing w:after="240"/>
    </w:pPr>
    <w:rPr>
      <w:lang w:val="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26899"/>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26899"/>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26899"/>
    <w:pPr>
      <w:spacing w:after="240"/>
    </w:pPr>
    <w:rPr>
      <w:lang w:val="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26899"/>
    <w:pPr>
      <w:spacing w:after="240"/>
    </w:pPr>
    <w:rPr>
      <w:lang w:val="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26899"/>
    <w:pPr>
      <w:spacing w:after="240"/>
    </w:pPr>
    <w:rPr>
      <w:lang w:val="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26899"/>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26899"/>
    <w:pPr>
      <w:spacing w:after="240"/>
    </w:pPr>
    <w:rPr>
      <w:lang w:val="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826899"/>
    <w:pPr>
      <w:spacing w:after="240"/>
    </w:pPr>
    <w:rPr>
      <w:lang w:val="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26899"/>
    <w:pPr>
      <w:spacing w:after="240"/>
    </w:pPr>
    <w:rPr>
      <w:lang w:val="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26899"/>
    <w:pPr>
      <w:spacing w:after="240"/>
    </w:pPr>
    <w:rPr>
      <w:lang w:val="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26899"/>
    <w:pPr>
      <w:spacing w:after="240"/>
    </w:pPr>
    <w:rPr>
      <w:lang w:val="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26899"/>
    <w:pPr>
      <w:spacing w:after="240"/>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826899"/>
    <w:pPr>
      <w:spacing w:after="240"/>
    </w:pPr>
    <w:rPr>
      <w:lang w:val="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26899"/>
    <w:pPr>
      <w:spacing w:after="240"/>
    </w:pPr>
    <w:rPr>
      <w:lang w:val="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26899"/>
    <w:pPr>
      <w:spacing w:after="240"/>
    </w:pPr>
    <w:rPr>
      <w:lang w:val="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DeloitteBandedrows1">
    <w:name w:val="Deloitte Banded rows1"/>
    <w:basedOn w:val="TableNormal"/>
    <w:uiPriority w:val="99"/>
    <w:rsid w:val="00826899"/>
    <w:pPr>
      <w:spacing w:line="200" w:lineRule="atLeast"/>
    </w:pPr>
    <w:rPr>
      <w:sz w:val="17"/>
      <w:lang w:val="en-AU"/>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table" w:customStyle="1" w:styleId="GridTable1Light2">
    <w:name w:val="Grid Table 1 Light2"/>
    <w:basedOn w:val="TableNormal"/>
    <w:next w:val="GridTable1Light"/>
    <w:uiPriority w:val="46"/>
    <w:rsid w:val="00826899"/>
    <w:pPr>
      <w:spacing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826899"/>
    <w:pPr>
      <w:spacing w:line="240" w:lineRule="auto"/>
    </w:pPr>
    <w:rPr>
      <w:lang w:val="en-AU"/>
    </w:r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826899"/>
    <w:pPr>
      <w:spacing w:line="240" w:lineRule="auto"/>
    </w:pPr>
    <w:rPr>
      <w:lang w:val="en-AU"/>
    </w:r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826899"/>
    <w:pPr>
      <w:spacing w:line="240" w:lineRule="auto"/>
    </w:pPr>
    <w:rPr>
      <w:lang w:val="en-AU"/>
    </w:r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826899"/>
    <w:pPr>
      <w:spacing w:line="240" w:lineRule="auto"/>
    </w:pPr>
    <w:rPr>
      <w:lang w:val="en-AU"/>
    </w:r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826899"/>
    <w:pPr>
      <w:spacing w:line="240" w:lineRule="auto"/>
    </w:pPr>
    <w:rPr>
      <w:lang w:val="en-AU"/>
    </w:r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826899"/>
    <w:pPr>
      <w:spacing w:line="240" w:lineRule="auto"/>
    </w:pPr>
    <w:rPr>
      <w:lang w:val="en-AU"/>
    </w:r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826899"/>
    <w:pPr>
      <w:spacing w:line="240" w:lineRule="auto"/>
    </w:pPr>
    <w:rPr>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next w:val="GridTable2-Accent1"/>
    <w:uiPriority w:val="47"/>
    <w:rsid w:val="00826899"/>
    <w:pPr>
      <w:spacing w:line="240" w:lineRule="auto"/>
    </w:pPr>
    <w:rPr>
      <w:lang w:val="en-AU"/>
    </w:r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2-Accent21">
    <w:name w:val="Grid Table 2 - Accent 21"/>
    <w:basedOn w:val="TableNormal"/>
    <w:next w:val="GridTable2-Accent2"/>
    <w:uiPriority w:val="47"/>
    <w:rsid w:val="00826899"/>
    <w:pPr>
      <w:spacing w:line="240" w:lineRule="auto"/>
    </w:pPr>
    <w:rPr>
      <w:lang w:val="en-AU"/>
    </w:r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2-Accent31">
    <w:name w:val="Grid Table 2 - Accent 31"/>
    <w:basedOn w:val="TableNormal"/>
    <w:next w:val="GridTable2-Accent3"/>
    <w:uiPriority w:val="47"/>
    <w:rsid w:val="00826899"/>
    <w:pPr>
      <w:spacing w:line="240" w:lineRule="auto"/>
    </w:pPr>
    <w:rPr>
      <w:lang w:val="en-AU"/>
    </w:r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2-Accent41">
    <w:name w:val="Grid Table 2 - Accent 41"/>
    <w:basedOn w:val="TableNormal"/>
    <w:next w:val="GridTable2-Accent4"/>
    <w:uiPriority w:val="47"/>
    <w:rsid w:val="00826899"/>
    <w:pPr>
      <w:spacing w:line="240" w:lineRule="auto"/>
    </w:pPr>
    <w:rPr>
      <w:lang w:val="en-AU"/>
    </w:r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2-Accent51">
    <w:name w:val="Grid Table 2 - Accent 51"/>
    <w:basedOn w:val="TableNormal"/>
    <w:next w:val="GridTable2-Accent5"/>
    <w:uiPriority w:val="47"/>
    <w:rsid w:val="00826899"/>
    <w:pPr>
      <w:spacing w:line="240" w:lineRule="auto"/>
    </w:pPr>
    <w:rPr>
      <w:lang w:val="en-AU"/>
    </w:r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2-Accent61">
    <w:name w:val="Grid Table 2 - Accent 61"/>
    <w:basedOn w:val="TableNormal"/>
    <w:next w:val="GridTable2-Accent6"/>
    <w:uiPriority w:val="47"/>
    <w:rsid w:val="00826899"/>
    <w:pPr>
      <w:spacing w:line="240" w:lineRule="auto"/>
    </w:pPr>
    <w:rPr>
      <w:lang w:val="en-AU"/>
    </w:r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31">
    <w:name w:val="Grid Table 31"/>
    <w:basedOn w:val="TableNormal"/>
    <w:next w:val="GridTable3"/>
    <w:uiPriority w:val="48"/>
    <w:rsid w:val="00826899"/>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next w:val="GridTable3-Accent1"/>
    <w:uiPriority w:val="48"/>
    <w:rsid w:val="00826899"/>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customStyle="1" w:styleId="GridTable3-Accent21">
    <w:name w:val="Grid Table 3 - Accent 21"/>
    <w:basedOn w:val="TableNormal"/>
    <w:next w:val="GridTable3-Accent2"/>
    <w:uiPriority w:val="48"/>
    <w:rsid w:val="00826899"/>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customStyle="1" w:styleId="GridTable3-Accent31">
    <w:name w:val="Grid Table 3 - Accent 31"/>
    <w:basedOn w:val="TableNormal"/>
    <w:next w:val="GridTable3-Accent3"/>
    <w:uiPriority w:val="48"/>
    <w:rsid w:val="00826899"/>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customStyle="1" w:styleId="GridTable3-Accent41">
    <w:name w:val="Grid Table 3 - Accent 41"/>
    <w:basedOn w:val="TableNormal"/>
    <w:next w:val="GridTable3-Accent4"/>
    <w:uiPriority w:val="48"/>
    <w:rsid w:val="00826899"/>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customStyle="1" w:styleId="GridTable3-Accent51">
    <w:name w:val="Grid Table 3 - Accent 51"/>
    <w:basedOn w:val="TableNormal"/>
    <w:next w:val="GridTable3-Accent5"/>
    <w:uiPriority w:val="48"/>
    <w:rsid w:val="00826899"/>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customStyle="1" w:styleId="GridTable3-Accent61">
    <w:name w:val="Grid Table 3 - Accent 61"/>
    <w:basedOn w:val="TableNormal"/>
    <w:next w:val="GridTable3-Accent6"/>
    <w:uiPriority w:val="48"/>
    <w:rsid w:val="00826899"/>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customStyle="1" w:styleId="GridTable41">
    <w:name w:val="Grid Table 41"/>
    <w:basedOn w:val="TableNormal"/>
    <w:next w:val="GridTable4"/>
    <w:uiPriority w:val="49"/>
    <w:rsid w:val="00826899"/>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next w:val="GridTable4-Accent1"/>
    <w:uiPriority w:val="49"/>
    <w:rsid w:val="00826899"/>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4-Accent21">
    <w:name w:val="Grid Table 4 - Accent 21"/>
    <w:basedOn w:val="TableNormal"/>
    <w:next w:val="GridTable4-Accent2"/>
    <w:uiPriority w:val="49"/>
    <w:rsid w:val="00826899"/>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4-Accent31">
    <w:name w:val="Grid Table 4 - Accent 31"/>
    <w:basedOn w:val="TableNormal"/>
    <w:next w:val="GridTable4-Accent3"/>
    <w:uiPriority w:val="49"/>
    <w:rsid w:val="00826899"/>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4-Accent41">
    <w:name w:val="Grid Table 4 - Accent 41"/>
    <w:basedOn w:val="TableNormal"/>
    <w:next w:val="GridTable4-Accent4"/>
    <w:uiPriority w:val="49"/>
    <w:rsid w:val="00826899"/>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4-Accent51">
    <w:name w:val="Grid Table 4 - Accent 51"/>
    <w:basedOn w:val="TableNormal"/>
    <w:next w:val="GridTable4-Accent5"/>
    <w:uiPriority w:val="49"/>
    <w:rsid w:val="00826899"/>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4-Accent61">
    <w:name w:val="Grid Table 4 - Accent 61"/>
    <w:basedOn w:val="TableNormal"/>
    <w:next w:val="GridTable4-Accent6"/>
    <w:uiPriority w:val="49"/>
    <w:rsid w:val="00826899"/>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5Dark1">
    <w:name w:val="Grid Table 5 Dark1"/>
    <w:basedOn w:val="TableNormal"/>
    <w:next w:val="GridTable5Dark"/>
    <w:uiPriority w:val="50"/>
    <w:rsid w:val="00826899"/>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next w:val="GridTable5Dark-Accent1"/>
    <w:uiPriority w:val="50"/>
    <w:rsid w:val="00826899"/>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customStyle="1" w:styleId="GridTable5Dark-Accent21">
    <w:name w:val="Grid Table 5 Dark - Accent 21"/>
    <w:basedOn w:val="TableNormal"/>
    <w:next w:val="GridTable5Dark-Accent2"/>
    <w:uiPriority w:val="50"/>
    <w:rsid w:val="00826899"/>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customStyle="1" w:styleId="GridTable5Dark-Accent31">
    <w:name w:val="Grid Table 5 Dark - Accent 31"/>
    <w:basedOn w:val="TableNormal"/>
    <w:next w:val="GridTable5Dark-Accent3"/>
    <w:uiPriority w:val="50"/>
    <w:rsid w:val="00826899"/>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customStyle="1" w:styleId="GridTable5Dark-Accent41">
    <w:name w:val="Grid Table 5 Dark - Accent 41"/>
    <w:basedOn w:val="TableNormal"/>
    <w:next w:val="GridTable5Dark-Accent4"/>
    <w:uiPriority w:val="50"/>
    <w:rsid w:val="00826899"/>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customStyle="1" w:styleId="GridTable5Dark-Accent51">
    <w:name w:val="Grid Table 5 Dark - Accent 51"/>
    <w:basedOn w:val="TableNormal"/>
    <w:next w:val="GridTable5Dark-Accent5"/>
    <w:uiPriority w:val="50"/>
    <w:rsid w:val="00826899"/>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customStyle="1" w:styleId="GridTable5Dark-Accent61">
    <w:name w:val="Grid Table 5 Dark - Accent 61"/>
    <w:basedOn w:val="TableNormal"/>
    <w:next w:val="GridTable5Dark-Accent6"/>
    <w:uiPriority w:val="50"/>
    <w:rsid w:val="00826899"/>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customStyle="1" w:styleId="GridTable6Colorful1">
    <w:name w:val="Grid Table 6 Colorful1"/>
    <w:basedOn w:val="TableNormal"/>
    <w:next w:val="GridTable6Colorful"/>
    <w:uiPriority w:val="51"/>
    <w:rsid w:val="00826899"/>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next w:val="GridTable6Colorful-Accent1"/>
    <w:uiPriority w:val="51"/>
    <w:rsid w:val="00826899"/>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6Colorful-Accent21">
    <w:name w:val="Grid Table 6 Colorful - Accent 21"/>
    <w:basedOn w:val="TableNormal"/>
    <w:next w:val="GridTable6Colorful-Accent2"/>
    <w:uiPriority w:val="51"/>
    <w:rsid w:val="00826899"/>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6Colorful-Accent31">
    <w:name w:val="Grid Table 6 Colorful - Accent 31"/>
    <w:basedOn w:val="TableNormal"/>
    <w:next w:val="GridTable6Colorful-Accent3"/>
    <w:uiPriority w:val="51"/>
    <w:rsid w:val="00826899"/>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6Colorful-Accent41">
    <w:name w:val="Grid Table 6 Colorful - Accent 41"/>
    <w:basedOn w:val="TableNormal"/>
    <w:next w:val="GridTable6Colorful-Accent4"/>
    <w:uiPriority w:val="51"/>
    <w:rsid w:val="00826899"/>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6Colorful-Accent51">
    <w:name w:val="Grid Table 6 Colorful - Accent 51"/>
    <w:basedOn w:val="TableNormal"/>
    <w:next w:val="GridTable6Colorful-Accent5"/>
    <w:uiPriority w:val="51"/>
    <w:rsid w:val="00826899"/>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6Colorful-Accent61">
    <w:name w:val="Grid Table 6 Colorful - Accent 61"/>
    <w:basedOn w:val="TableNormal"/>
    <w:next w:val="GridTable6Colorful-Accent6"/>
    <w:uiPriority w:val="51"/>
    <w:rsid w:val="00826899"/>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7Colorful1">
    <w:name w:val="Grid Table 7 Colorful1"/>
    <w:basedOn w:val="TableNormal"/>
    <w:next w:val="GridTable7Colorful"/>
    <w:uiPriority w:val="52"/>
    <w:rsid w:val="00826899"/>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next w:val="GridTable7Colorful-Accent1"/>
    <w:uiPriority w:val="52"/>
    <w:rsid w:val="00826899"/>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customStyle="1" w:styleId="GridTable7Colorful-Accent21">
    <w:name w:val="Grid Table 7 Colorful - Accent 21"/>
    <w:basedOn w:val="TableNormal"/>
    <w:next w:val="GridTable7Colorful-Accent2"/>
    <w:uiPriority w:val="52"/>
    <w:rsid w:val="00826899"/>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customStyle="1" w:styleId="GridTable7Colorful-Accent31">
    <w:name w:val="Grid Table 7 Colorful - Accent 31"/>
    <w:basedOn w:val="TableNormal"/>
    <w:next w:val="GridTable7Colorful-Accent3"/>
    <w:uiPriority w:val="52"/>
    <w:rsid w:val="00826899"/>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customStyle="1" w:styleId="GridTable7Colorful-Accent41">
    <w:name w:val="Grid Table 7 Colorful - Accent 41"/>
    <w:basedOn w:val="TableNormal"/>
    <w:next w:val="GridTable7Colorful-Accent4"/>
    <w:uiPriority w:val="52"/>
    <w:rsid w:val="00826899"/>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customStyle="1" w:styleId="GridTable7Colorful-Accent51">
    <w:name w:val="Grid Table 7 Colorful - Accent 51"/>
    <w:basedOn w:val="TableNormal"/>
    <w:next w:val="GridTable7Colorful-Accent5"/>
    <w:uiPriority w:val="52"/>
    <w:rsid w:val="00826899"/>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customStyle="1" w:styleId="GridTable7Colorful-Accent61">
    <w:name w:val="Grid Table 7 Colorful - Accent 61"/>
    <w:basedOn w:val="TableNormal"/>
    <w:next w:val="GridTable7Colorful-Accent6"/>
    <w:uiPriority w:val="52"/>
    <w:rsid w:val="00826899"/>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customStyle="1" w:styleId="ListTable1Light1">
    <w:name w:val="List Table 1 Light1"/>
    <w:basedOn w:val="TableNormal"/>
    <w:next w:val="ListTable1Light"/>
    <w:uiPriority w:val="46"/>
    <w:rsid w:val="00826899"/>
    <w:pPr>
      <w:spacing w:line="240" w:lineRule="auto"/>
    </w:pPr>
    <w:rPr>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next w:val="ListTable1Light-Accent1"/>
    <w:uiPriority w:val="46"/>
    <w:rsid w:val="00826899"/>
    <w:pPr>
      <w:spacing w:line="240" w:lineRule="auto"/>
    </w:pPr>
    <w:rPr>
      <w:lang w:val="en-AU"/>
    </w:r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1Light-Accent21">
    <w:name w:val="List Table 1 Light - Accent 21"/>
    <w:basedOn w:val="TableNormal"/>
    <w:next w:val="ListTable1Light-Accent2"/>
    <w:uiPriority w:val="46"/>
    <w:rsid w:val="00826899"/>
    <w:pPr>
      <w:spacing w:line="240" w:lineRule="auto"/>
    </w:pPr>
    <w:rPr>
      <w:lang w:val="en-AU"/>
    </w:r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1Light-Accent31">
    <w:name w:val="List Table 1 Light - Accent 31"/>
    <w:basedOn w:val="TableNormal"/>
    <w:next w:val="ListTable1Light-Accent3"/>
    <w:uiPriority w:val="46"/>
    <w:rsid w:val="00826899"/>
    <w:pPr>
      <w:spacing w:line="240" w:lineRule="auto"/>
    </w:pPr>
    <w:rPr>
      <w:lang w:val="en-AU"/>
    </w:r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1Light-Accent41">
    <w:name w:val="List Table 1 Light - Accent 41"/>
    <w:basedOn w:val="TableNormal"/>
    <w:next w:val="ListTable1Light-Accent4"/>
    <w:uiPriority w:val="46"/>
    <w:rsid w:val="00826899"/>
    <w:pPr>
      <w:spacing w:line="240" w:lineRule="auto"/>
    </w:pPr>
    <w:rPr>
      <w:lang w:val="en-AU"/>
    </w:r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1Light-Accent51">
    <w:name w:val="List Table 1 Light - Accent 51"/>
    <w:basedOn w:val="TableNormal"/>
    <w:next w:val="ListTable1Light-Accent5"/>
    <w:uiPriority w:val="46"/>
    <w:rsid w:val="00826899"/>
    <w:pPr>
      <w:spacing w:line="240" w:lineRule="auto"/>
    </w:pPr>
    <w:rPr>
      <w:lang w:val="en-AU"/>
    </w:r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1Light-Accent61">
    <w:name w:val="List Table 1 Light - Accent 61"/>
    <w:basedOn w:val="TableNormal"/>
    <w:next w:val="ListTable1Light-Accent6"/>
    <w:uiPriority w:val="46"/>
    <w:rsid w:val="00826899"/>
    <w:pPr>
      <w:spacing w:line="240" w:lineRule="auto"/>
    </w:pPr>
    <w:rPr>
      <w:lang w:val="en-AU"/>
    </w:r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21">
    <w:name w:val="List Table 21"/>
    <w:basedOn w:val="TableNormal"/>
    <w:next w:val="ListTable2"/>
    <w:uiPriority w:val="47"/>
    <w:rsid w:val="00826899"/>
    <w:pPr>
      <w:spacing w:line="240" w:lineRule="auto"/>
    </w:pPr>
    <w:rPr>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next w:val="ListTable2-Accent1"/>
    <w:uiPriority w:val="47"/>
    <w:rsid w:val="00826899"/>
    <w:pPr>
      <w:spacing w:line="240" w:lineRule="auto"/>
    </w:pPr>
    <w:rPr>
      <w:lang w:val="en-AU"/>
    </w:r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2-Accent21">
    <w:name w:val="List Table 2 - Accent 21"/>
    <w:basedOn w:val="TableNormal"/>
    <w:next w:val="ListTable2-Accent2"/>
    <w:uiPriority w:val="47"/>
    <w:rsid w:val="00826899"/>
    <w:pPr>
      <w:spacing w:line="240" w:lineRule="auto"/>
    </w:pPr>
    <w:rPr>
      <w:lang w:val="en-AU"/>
    </w:r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2-Accent31">
    <w:name w:val="List Table 2 - Accent 31"/>
    <w:basedOn w:val="TableNormal"/>
    <w:next w:val="ListTable2-Accent3"/>
    <w:uiPriority w:val="47"/>
    <w:rsid w:val="00826899"/>
    <w:pPr>
      <w:spacing w:line="240" w:lineRule="auto"/>
    </w:pPr>
    <w:rPr>
      <w:lang w:val="en-AU"/>
    </w:r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2-Accent41">
    <w:name w:val="List Table 2 - Accent 41"/>
    <w:basedOn w:val="TableNormal"/>
    <w:next w:val="ListTable2-Accent4"/>
    <w:uiPriority w:val="47"/>
    <w:rsid w:val="00826899"/>
    <w:pPr>
      <w:spacing w:line="240" w:lineRule="auto"/>
    </w:pPr>
    <w:rPr>
      <w:lang w:val="en-AU"/>
    </w:r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2-Accent51">
    <w:name w:val="List Table 2 - Accent 51"/>
    <w:basedOn w:val="TableNormal"/>
    <w:next w:val="ListTable2-Accent5"/>
    <w:uiPriority w:val="47"/>
    <w:rsid w:val="00826899"/>
    <w:pPr>
      <w:spacing w:line="240" w:lineRule="auto"/>
    </w:pPr>
    <w:rPr>
      <w:lang w:val="en-AU"/>
    </w:r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2-Accent61">
    <w:name w:val="List Table 2 - Accent 61"/>
    <w:basedOn w:val="TableNormal"/>
    <w:next w:val="ListTable2-Accent6"/>
    <w:uiPriority w:val="47"/>
    <w:rsid w:val="00826899"/>
    <w:pPr>
      <w:spacing w:line="240" w:lineRule="auto"/>
    </w:pPr>
    <w:rPr>
      <w:lang w:val="en-AU"/>
    </w:r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31">
    <w:name w:val="List Table 31"/>
    <w:basedOn w:val="TableNormal"/>
    <w:next w:val="ListTable3"/>
    <w:uiPriority w:val="48"/>
    <w:rsid w:val="00826899"/>
    <w:pPr>
      <w:spacing w:line="240" w:lineRule="auto"/>
    </w:pPr>
    <w:rPr>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next w:val="ListTable3-Accent1"/>
    <w:uiPriority w:val="48"/>
    <w:rsid w:val="00826899"/>
    <w:pPr>
      <w:spacing w:line="240" w:lineRule="auto"/>
    </w:pPr>
    <w:rPr>
      <w:lang w:val="en-AU"/>
    </w:r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customStyle="1" w:styleId="ListTable3-Accent21">
    <w:name w:val="List Table 3 - Accent 21"/>
    <w:basedOn w:val="TableNormal"/>
    <w:next w:val="ListTable3-Accent2"/>
    <w:uiPriority w:val="48"/>
    <w:rsid w:val="00826899"/>
    <w:pPr>
      <w:spacing w:line="240" w:lineRule="auto"/>
    </w:pPr>
    <w:rPr>
      <w:lang w:val="en-AU"/>
    </w:r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customStyle="1" w:styleId="ListTable3-Accent31">
    <w:name w:val="List Table 3 - Accent 31"/>
    <w:basedOn w:val="TableNormal"/>
    <w:next w:val="ListTable3-Accent3"/>
    <w:uiPriority w:val="48"/>
    <w:rsid w:val="00826899"/>
    <w:pPr>
      <w:spacing w:line="240" w:lineRule="auto"/>
    </w:pPr>
    <w:rPr>
      <w:lang w:val="en-AU"/>
    </w:r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customStyle="1" w:styleId="ListTable3-Accent41">
    <w:name w:val="List Table 3 - Accent 41"/>
    <w:basedOn w:val="TableNormal"/>
    <w:next w:val="ListTable3-Accent4"/>
    <w:uiPriority w:val="48"/>
    <w:rsid w:val="00826899"/>
    <w:pPr>
      <w:spacing w:line="240" w:lineRule="auto"/>
    </w:pPr>
    <w:rPr>
      <w:lang w:val="en-AU"/>
    </w:r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customStyle="1" w:styleId="ListTable3-Accent51">
    <w:name w:val="List Table 3 - Accent 51"/>
    <w:basedOn w:val="TableNormal"/>
    <w:next w:val="ListTable3-Accent5"/>
    <w:uiPriority w:val="48"/>
    <w:rsid w:val="00826899"/>
    <w:pPr>
      <w:spacing w:line="240" w:lineRule="auto"/>
    </w:pPr>
    <w:rPr>
      <w:lang w:val="en-AU"/>
    </w:r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customStyle="1" w:styleId="ListTable3-Accent61">
    <w:name w:val="List Table 3 - Accent 61"/>
    <w:basedOn w:val="TableNormal"/>
    <w:next w:val="ListTable3-Accent6"/>
    <w:uiPriority w:val="48"/>
    <w:rsid w:val="00826899"/>
    <w:pPr>
      <w:spacing w:line="240" w:lineRule="auto"/>
    </w:pPr>
    <w:rPr>
      <w:lang w:val="en-AU"/>
    </w:r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customStyle="1" w:styleId="ListTable41">
    <w:name w:val="List Table 41"/>
    <w:basedOn w:val="TableNormal"/>
    <w:next w:val="ListTable4"/>
    <w:uiPriority w:val="49"/>
    <w:rsid w:val="00826899"/>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next w:val="ListTable4-Accent1"/>
    <w:uiPriority w:val="49"/>
    <w:rsid w:val="00826899"/>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4-Accent21">
    <w:name w:val="List Table 4 - Accent 21"/>
    <w:basedOn w:val="TableNormal"/>
    <w:next w:val="ListTable4-Accent2"/>
    <w:uiPriority w:val="49"/>
    <w:rsid w:val="00826899"/>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4-Accent31">
    <w:name w:val="List Table 4 - Accent 31"/>
    <w:basedOn w:val="TableNormal"/>
    <w:next w:val="ListTable4-Accent3"/>
    <w:uiPriority w:val="49"/>
    <w:rsid w:val="00826899"/>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4-Accent41">
    <w:name w:val="List Table 4 - Accent 41"/>
    <w:basedOn w:val="TableNormal"/>
    <w:next w:val="ListTable4-Accent4"/>
    <w:uiPriority w:val="49"/>
    <w:rsid w:val="00826899"/>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4-Accent51">
    <w:name w:val="List Table 4 - Accent 51"/>
    <w:basedOn w:val="TableNormal"/>
    <w:next w:val="ListTable4-Accent5"/>
    <w:uiPriority w:val="49"/>
    <w:rsid w:val="00826899"/>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4-Accent61">
    <w:name w:val="List Table 4 - Accent 61"/>
    <w:basedOn w:val="TableNormal"/>
    <w:next w:val="ListTable4-Accent6"/>
    <w:uiPriority w:val="49"/>
    <w:rsid w:val="00826899"/>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5Dark1">
    <w:name w:val="List Table 5 Dark1"/>
    <w:basedOn w:val="TableNormal"/>
    <w:next w:val="ListTable5Dark"/>
    <w:uiPriority w:val="50"/>
    <w:rsid w:val="00826899"/>
    <w:pPr>
      <w:spacing w:line="240" w:lineRule="auto"/>
    </w:pPr>
    <w:rPr>
      <w:color w:val="FFFFFF" w:themeColor="background1"/>
      <w:lang w:val="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50"/>
    <w:rsid w:val="00826899"/>
    <w:pPr>
      <w:spacing w:line="240" w:lineRule="auto"/>
    </w:pPr>
    <w:rPr>
      <w:color w:val="FFFFFF" w:themeColor="background1"/>
      <w:lang w:val="en-AU"/>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50"/>
    <w:rsid w:val="00826899"/>
    <w:pPr>
      <w:spacing w:line="240" w:lineRule="auto"/>
    </w:pPr>
    <w:rPr>
      <w:color w:val="FFFFFF" w:themeColor="background1"/>
      <w:lang w:val="en-AU"/>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50"/>
    <w:rsid w:val="00826899"/>
    <w:pPr>
      <w:spacing w:line="240" w:lineRule="auto"/>
    </w:pPr>
    <w:rPr>
      <w:color w:val="FFFFFF" w:themeColor="background1"/>
      <w:lang w:val="en-AU"/>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50"/>
    <w:rsid w:val="00826899"/>
    <w:pPr>
      <w:spacing w:line="240" w:lineRule="auto"/>
    </w:pPr>
    <w:rPr>
      <w:color w:val="FFFFFF" w:themeColor="background1"/>
      <w:lang w:val="en-AU"/>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50"/>
    <w:rsid w:val="00826899"/>
    <w:pPr>
      <w:spacing w:line="240" w:lineRule="auto"/>
    </w:pPr>
    <w:rPr>
      <w:color w:val="FFFFFF" w:themeColor="background1"/>
      <w:lang w:val="en-AU"/>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50"/>
    <w:rsid w:val="00826899"/>
    <w:pPr>
      <w:spacing w:line="240" w:lineRule="auto"/>
    </w:pPr>
    <w:rPr>
      <w:color w:val="FFFFFF" w:themeColor="background1"/>
      <w:lang w:val="en-AU"/>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next w:val="ListTable6Colorful"/>
    <w:uiPriority w:val="51"/>
    <w:rsid w:val="00826899"/>
    <w:pPr>
      <w:spacing w:line="240" w:lineRule="auto"/>
    </w:pPr>
    <w:rPr>
      <w:color w:val="000000" w:themeColor="text1"/>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next w:val="ListTable6Colorful-Accent1"/>
    <w:uiPriority w:val="51"/>
    <w:rsid w:val="00826899"/>
    <w:pPr>
      <w:spacing w:line="240" w:lineRule="auto"/>
    </w:pPr>
    <w:rPr>
      <w:color w:val="638C1B" w:themeColor="accent1" w:themeShade="BF"/>
      <w:lang w:val="en-AU"/>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6Colorful-Accent21">
    <w:name w:val="List Table 6 Colorful - Accent 21"/>
    <w:basedOn w:val="TableNormal"/>
    <w:next w:val="ListTable6Colorful-Accent2"/>
    <w:uiPriority w:val="51"/>
    <w:rsid w:val="00826899"/>
    <w:pPr>
      <w:spacing w:line="240" w:lineRule="auto"/>
    </w:pPr>
    <w:rPr>
      <w:color w:val="034F29" w:themeColor="accent2" w:themeShade="BF"/>
      <w:lang w:val="en-AU"/>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6Colorful-Accent31">
    <w:name w:val="List Table 6 Colorful - Accent 31"/>
    <w:basedOn w:val="TableNormal"/>
    <w:next w:val="ListTable6Colorful-Accent3"/>
    <w:uiPriority w:val="51"/>
    <w:rsid w:val="00826899"/>
    <w:pPr>
      <w:spacing w:line="240" w:lineRule="auto"/>
    </w:pPr>
    <w:rPr>
      <w:color w:val="2291D1" w:themeColor="accent3" w:themeShade="BF"/>
      <w:lang w:val="en-AU"/>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6Colorful-Accent41">
    <w:name w:val="List Table 6 Colorful - Accent 41"/>
    <w:basedOn w:val="TableNormal"/>
    <w:next w:val="ListTable6Colorful-Accent4"/>
    <w:uiPriority w:val="51"/>
    <w:rsid w:val="00826899"/>
    <w:pPr>
      <w:spacing w:line="240" w:lineRule="auto"/>
    </w:pPr>
    <w:rPr>
      <w:color w:val="00184E" w:themeColor="accent4" w:themeShade="BF"/>
      <w:lang w:val="en-AU"/>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6Colorful-Accent51">
    <w:name w:val="List Table 6 Colorful - Accent 51"/>
    <w:basedOn w:val="TableNormal"/>
    <w:next w:val="ListTable6Colorful-Accent5"/>
    <w:uiPriority w:val="51"/>
    <w:rsid w:val="00826899"/>
    <w:pPr>
      <w:spacing w:line="240" w:lineRule="auto"/>
    </w:pPr>
    <w:rPr>
      <w:color w:val="00707E" w:themeColor="accent5" w:themeShade="BF"/>
      <w:lang w:val="en-AU"/>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6Colorful-Accent61">
    <w:name w:val="List Table 6 Colorful - Accent 61"/>
    <w:basedOn w:val="TableNormal"/>
    <w:next w:val="ListTable6Colorful-Accent6"/>
    <w:uiPriority w:val="51"/>
    <w:rsid w:val="00826899"/>
    <w:pPr>
      <w:spacing w:line="240" w:lineRule="auto"/>
    </w:pPr>
    <w:rPr>
      <w:color w:val="57595C" w:themeColor="accent6" w:themeShade="BF"/>
      <w:lang w:val="en-AU"/>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7Colorful1">
    <w:name w:val="List Table 7 Colorful1"/>
    <w:basedOn w:val="TableNormal"/>
    <w:next w:val="ListTable7Colorful"/>
    <w:uiPriority w:val="52"/>
    <w:rsid w:val="00826899"/>
    <w:pPr>
      <w:spacing w:line="240" w:lineRule="auto"/>
    </w:pPr>
    <w:rPr>
      <w:color w:val="000000" w:themeColor="text1"/>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52"/>
    <w:rsid w:val="00826899"/>
    <w:pPr>
      <w:spacing w:line="240" w:lineRule="auto"/>
    </w:pPr>
    <w:rPr>
      <w:color w:val="638C1B" w:themeColor="accent1"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rful-Accent2"/>
    <w:uiPriority w:val="52"/>
    <w:rsid w:val="00826899"/>
    <w:pPr>
      <w:spacing w:line="240" w:lineRule="auto"/>
    </w:pPr>
    <w:rPr>
      <w:color w:val="034F29" w:themeColor="accent2"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826899"/>
    <w:pPr>
      <w:spacing w:line="240" w:lineRule="auto"/>
    </w:pPr>
    <w:rPr>
      <w:color w:val="2291D1" w:themeColor="accent3"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826899"/>
    <w:pPr>
      <w:spacing w:line="240" w:lineRule="auto"/>
    </w:pPr>
    <w:rPr>
      <w:color w:val="00184E" w:themeColor="accent4"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826899"/>
    <w:pPr>
      <w:spacing w:line="240" w:lineRule="auto"/>
    </w:pPr>
    <w:rPr>
      <w:color w:val="00707E" w:themeColor="accent5"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826899"/>
    <w:pPr>
      <w:spacing w:line="240" w:lineRule="auto"/>
    </w:pPr>
    <w:rPr>
      <w:color w:val="57595C" w:themeColor="accent6"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next w:val="PlainTable1"/>
    <w:uiPriority w:val="41"/>
    <w:rsid w:val="00826899"/>
    <w:pPr>
      <w:spacing w:line="240" w:lineRule="auto"/>
    </w:pPr>
    <w:rPr>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next w:val="PlainTable2"/>
    <w:uiPriority w:val="42"/>
    <w:rsid w:val="00826899"/>
    <w:pPr>
      <w:spacing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next w:val="PlainTable3"/>
    <w:uiPriority w:val="43"/>
    <w:rsid w:val="00826899"/>
    <w:pPr>
      <w:spacing w:line="240" w:lineRule="auto"/>
    </w:pPr>
    <w:rPr>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826899"/>
    <w:pPr>
      <w:spacing w:line="240" w:lineRule="auto"/>
    </w:pPr>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next w:val="PlainTable5"/>
    <w:uiPriority w:val="45"/>
    <w:rsid w:val="00826899"/>
    <w:pPr>
      <w:spacing w:line="240" w:lineRule="auto"/>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next w:val="TableGridLight"/>
    <w:uiPriority w:val="40"/>
    <w:rsid w:val="00826899"/>
    <w:pPr>
      <w:spacing w:line="240" w:lineRule="auto"/>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1">
    <w:name w:val="Tabel - Gitter11"/>
    <w:basedOn w:val="TableNormal"/>
    <w:next w:val="TableGrid"/>
    <w:uiPriority w:val="59"/>
    <w:rsid w:val="00826899"/>
    <w:pPr>
      <w:spacing w:line="240" w:lineRule="auto"/>
    </w:pPr>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GridTable1Light12">
    <w:name w:val="Grid Table 1 Light12"/>
    <w:basedOn w:val="TableNormal"/>
    <w:next w:val="GridTable1Light"/>
    <w:uiPriority w:val="46"/>
    <w:rsid w:val="00826899"/>
    <w:pPr>
      <w:spacing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11">
    <w:name w:val="Grid Table 1 Light111"/>
    <w:basedOn w:val="TableNormal"/>
    <w:next w:val="GridTable1Light"/>
    <w:uiPriority w:val="46"/>
    <w:rsid w:val="00826899"/>
    <w:pPr>
      <w:spacing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10">
    <w:name w:val="Table Grid11"/>
    <w:basedOn w:val="TableNormal"/>
    <w:next w:val="TableGrid"/>
    <w:rsid w:val="00826899"/>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TableAE1">
    <w:name w:val="Table AE1"/>
    <w:basedOn w:val="TableNormal"/>
    <w:uiPriority w:val="99"/>
    <w:rsid w:val="00826899"/>
    <w:pPr>
      <w:spacing w:line="240" w:lineRule="auto"/>
    </w:pPr>
    <w:rPr>
      <w:rFonts w:ascii="Arial" w:eastAsia="Times New Roman" w:hAnsi="Arial" w:cs="Times New Roman"/>
      <w:sz w:val="20"/>
      <w:szCs w:val="20"/>
      <w:lang w:val="en-AU" w:eastAsia="en-AU"/>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character" w:customStyle="1" w:styleId="Mention10">
    <w:name w:val="Mention10"/>
    <w:basedOn w:val="DefaultParagraphFont"/>
    <w:uiPriority w:val="99"/>
    <w:semiHidden/>
    <w:unhideWhenUsed/>
    <w:rsid w:val="00826899"/>
    <w:rPr>
      <w:color w:val="2B579A"/>
      <w:shd w:val="clear" w:color="auto" w:fill="E6E6E6"/>
    </w:rPr>
  </w:style>
  <w:style w:type="table" w:customStyle="1" w:styleId="Deloittetable12">
    <w:name w:val="Deloitte table12"/>
    <w:basedOn w:val="TableNormal"/>
    <w:uiPriority w:val="99"/>
    <w:rsid w:val="00826899"/>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Deloittetable21">
    <w:name w:val="Deloitte table21"/>
    <w:basedOn w:val="TableNormal"/>
    <w:uiPriority w:val="99"/>
    <w:rsid w:val="00826899"/>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character" w:customStyle="1" w:styleId="Mention100">
    <w:name w:val="Mention100"/>
    <w:basedOn w:val="DefaultParagraphFont"/>
    <w:uiPriority w:val="99"/>
    <w:semiHidden/>
    <w:unhideWhenUsed/>
    <w:rsid w:val="00600C9A"/>
    <w:rPr>
      <w:color w:val="2B579A"/>
      <w:shd w:val="clear" w:color="auto" w:fill="E6E6E6"/>
    </w:rPr>
  </w:style>
  <w:style w:type="character" w:customStyle="1" w:styleId="Mention1000">
    <w:name w:val="Mention1000"/>
    <w:basedOn w:val="DefaultParagraphFont"/>
    <w:uiPriority w:val="99"/>
    <w:semiHidden/>
    <w:unhideWhenUsed/>
    <w:rsid w:val="009A0299"/>
    <w:rPr>
      <w:color w:val="2B579A"/>
      <w:shd w:val="clear" w:color="auto" w:fill="E6E6E6"/>
    </w:rPr>
  </w:style>
  <w:style w:type="character" w:customStyle="1" w:styleId="Mention10000">
    <w:name w:val="Mention10000"/>
    <w:basedOn w:val="DefaultParagraphFont"/>
    <w:uiPriority w:val="99"/>
    <w:semiHidden/>
    <w:unhideWhenUsed/>
    <w:rsid w:val="00CA6677"/>
    <w:rPr>
      <w:color w:val="2B579A"/>
      <w:shd w:val="clear" w:color="auto" w:fill="E6E6E6"/>
    </w:rPr>
  </w:style>
  <w:style w:type="character" w:customStyle="1" w:styleId="Mention100000">
    <w:name w:val="Mention100000"/>
    <w:basedOn w:val="DefaultParagraphFont"/>
    <w:uiPriority w:val="99"/>
    <w:semiHidden/>
    <w:unhideWhenUsed/>
    <w:rsid w:val="00CA6677"/>
    <w:rPr>
      <w:color w:val="2B579A"/>
      <w:shd w:val="clear" w:color="auto" w:fill="E6E6E6"/>
    </w:rPr>
  </w:style>
  <w:style w:type="character" w:customStyle="1" w:styleId="Mention1000000">
    <w:name w:val="Mention1000000"/>
    <w:basedOn w:val="DefaultParagraphFont"/>
    <w:uiPriority w:val="99"/>
    <w:semiHidden/>
    <w:unhideWhenUsed/>
    <w:rsid w:val="00CA6677"/>
    <w:rPr>
      <w:color w:val="2B579A"/>
      <w:shd w:val="clear" w:color="auto" w:fill="E6E6E6"/>
    </w:rPr>
  </w:style>
  <w:style w:type="character" w:customStyle="1" w:styleId="Mention10000000">
    <w:name w:val="Mention10000000"/>
    <w:basedOn w:val="DefaultParagraphFont"/>
    <w:uiPriority w:val="99"/>
    <w:semiHidden/>
    <w:unhideWhenUsed/>
    <w:rsid w:val="002B4CF0"/>
    <w:rPr>
      <w:color w:val="2B579A"/>
      <w:shd w:val="clear" w:color="auto" w:fill="E6E6E6"/>
    </w:rPr>
  </w:style>
  <w:style w:type="character" w:customStyle="1" w:styleId="Mention100000000">
    <w:name w:val="Mention100000000"/>
    <w:basedOn w:val="DefaultParagraphFont"/>
    <w:uiPriority w:val="99"/>
    <w:semiHidden/>
    <w:unhideWhenUsed/>
    <w:rsid w:val="00DF65F3"/>
    <w:rPr>
      <w:color w:val="2B579A"/>
      <w:shd w:val="clear" w:color="auto" w:fill="E6E6E6"/>
    </w:rPr>
  </w:style>
  <w:style w:type="character" w:customStyle="1" w:styleId="Mention1000000000">
    <w:name w:val="Mention1000000000"/>
    <w:basedOn w:val="DefaultParagraphFont"/>
    <w:uiPriority w:val="99"/>
    <w:semiHidden/>
    <w:unhideWhenUsed/>
    <w:rsid w:val="00DF65F3"/>
    <w:rPr>
      <w:color w:val="2B579A"/>
      <w:shd w:val="clear" w:color="auto" w:fill="E6E6E6"/>
    </w:rPr>
  </w:style>
  <w:style w:type="character" w:customStyle="1" w:styleId="Mention10000000000">
    <w:name w:val="Mention10000000000"/>
    <w:basedOn w:val="DefaultParagraphFont"/>
    <w:uiPriority w:val="99"/>
    <w:semiHidden/>
    <w:unhideWhenUsed/>
    <w:rsid w:val="00DF65F3"/>
    <w:rPr>
      <w:color w:val="2B579A"/>
      <w:shd w:val="clear" w:color="auto" w:fill="E6E6E6"/>
    </w:rPr>
  </w:style>
  <w:style w:type="character" w:customStyle="1" w:styleId="Mention100000000000">
    <w:name w:val="Mention100000000000"/>
    <w:basedOn w:val="DefaultParagraphFont"/>
    <w:uiPriority w:val="99"/>
    <w:semiHidden/>
    <w:unhideWhenUsed/>
    <w:rsid w:val="00DF65F3"/>
    <w:rPr>
      <w:color w:val="2B579A"/>
      <w:shd w:val="clear" w:color="auto" w:fill="E6E6E6"/>
    </w:rPr>
  </w:style>
  <w:style w:type="character" w:customStyle="1" w:styleId="Mention1000000000000">
    <w:name w:val="Mention1000000000000"/>
    <w:basedOn w:val="DefaultParagraphFont"/>
    <w:uiPriority w:val="99"/>
    <w:semiHidden/>
    <w:unhideWhenUsed/>
    <w:rsid w:val="00DF65F3"/>
    <w:rPr>
      <w:color w:val="2B579A"/>
      <w:shd w:val="clear" w:color="auto" w:fill="E6E6E6"/>
    </w:rPr>
  </w:style>
  <w:style w:type="character" w:customStyle="1" w:styleId="Mention10000000000000">
    <w:name w:val="Mention10000000000000"/>
    <w:basedOn w:val="DefaultParagraphFont"/>
    <w:uiPriority w:val="99"/>
    <w:semiHidden/>
    <w:unhideWhenUsed/>
    <w:rsid w:val="00DF65F3"/>
    <w:rPr>
      <w:color w:val="2B579A"/>
      <w:shd w:val="clear" w:color="auto" w:fill="E6E6E6"/>
    </w:rPr>
  </w:style>
  <w:style w:type="character" w:customStyle="1" w:styleId="Mention100000000000000">
    <w:name w:val="Mention100000000000000"/>
    <w:basedOn w:val="DefaultParagraphFont"/>
    <w:uiPriority w:val="99"/>
    <w:semiHidden/>
    <w:unhideWhenUsed/>
    <w:rsid w:val="00DF65F3"/>
    <w:rPr>
      <w:color w:val="2B579A"/>
      <w:shd w:val="clear" w:color="auto" w:fill="E6E6E6"/>
    </w:rPr>
  </w:style>
  <w:style w:type="character" w:customStyle="1" w:styleId="Mention1000000000000000">
    <w:name w:val="Mention1000000000000000"/>
    <w:basedOn w:val="DefaultParagraphFont"/>
    <w:uiPriority w:val="99"/>
    <w:semiHidden/>
    <w:unhideWhenUsed/>
    <w:rsid w:val="00DF65F3"/>
    <w:rPr>
      <w:color w:val="2B579A"/>
      <w:shd w:val="clear" w:color="auto" w:fill="E6E6E6"/>
    </w:rPr>
  </w:style>
  <w:style w:type="character" w:customStyle="1" w:styleId="Mention10000000000000000">
    <w:name w:val="Mention10000000000000000"/>
    <w:basedOn w:val="DefaultParagraphFont"/>
    <w:uiPriority w:val="99"/>
    <w:semiHidden/>
    <w:unhideWhenUsed/>
    <w:rsid w:val="00DF65F3"/>
    <w:rPr>
      <w:color w:val="2B579A"/>
      <w:shd w:val="clear" w:color="auto" w:fill="E6E6E6"/>
    </w:rPr>
  </w:style>
  <w:style w:type="character" w:customStyle="1" w:styleId="Mention100000000000000000">
    <w:name w:val="Mention100000000000000000"/>
    <w:basedOn w:val="DefaultParagraphFont"/>
    <w:uiPriority w:val="99"/>
    <w:semiHidden/>
    <w:unhideWhenUsed/>
    <w:rsid w:val="00DF65F3"/>
    <w:rPr>
      <w:color w:val="2B579A"/>
      <w:shd w:val="clear" w:color="auto" w:fill="E6E6E6"/>
    </w:rPr>
  </w:style>
  <w:style w:type="character" w:customStyle="1" w:styleId="Mention1000000000000000000">
    <w:name w:val="Mention1000000000000000000"/>
    <w:basedOn w:val="DefaultParagraphFont"/>
    <w:uiPriority w:val="99"/>
    <w:semiHidden/>
    <w:unhideWhenUsed/>
    <w:rsid w:val="00DF65F3"/>
    <w:rPr>
      <w:color w:val="2B579A"/>
      <w:shd w:val="clear" w:color="auto" w:fill="E6E6E6"/>
    </w:rPr>
  </w:style>
  <w:style w:type="character" w:customStyle="1" w:styleId="Mention10000000000000000000">
    <w:name w:val="Mention10000000000000000000"/>
    <w:basedOn w:val="DefaultParagraphFont"/>
    <w:uiPriority w:val="99"/>
    <w:semiHidden/>
    <w:unhideWhenUsed/>
    <w:rsid w:val="00DF65F3"/>
    <w:rPr>
      <w:color w:val="2B579A"/>
      <w:shd w:val="clear" w:color="auto" w:fill="E6E6E6"/>
    </w:rPr>
  </w:style>
  <w:style w:type="character" w:customStyle="1" w:styleId="Mention100000000000000000000">
    <w:name w:val="Mention100000000000000000000"/>
    <w:basedOn w:val="DefaultParagraphFont"/>
    <w:uiPriority w:val="99"/>
    <w:semiHidden/>
    <w:unhideWhenUsed/>
    <w:rsid w:val="00DF65F3"/>
    <w:rPr>
      <w:color w:val="2B579A"/>
      <w:shd w:val="clear" w:color="auto" w:fill="E6E6E6"/>
    </w:rPr>
  </w:style>
  <w:style w:type="character" w:customStyle="1" w:styleId="Mention1000000000000000000000">
    <w:name w:val="Mention1000000000000000000000"/>
    <w:basedOn w:val="DefaultParagraphFont"/>
    <w:uiPriority w:val="99"/>
    <w:semiHidden/>
    <w:unhideWhenUsed/>
    <w:rsid w:val="00DF65F3"/>
    <w:rPr>
      <w:color w:val="2B579A"/>
      <w:shd w:val="clear" w:color="auto" w:fill="E6E6E6"/>
    </w:rPr>
  </w:style>
  <w:style w:type="character" w:customStyle="1" w:styleId="Mention10000000000000000000000">
    <w:name w:val="Mention10000000000000000000000"/>
    <w:basedOn w:val="DefaultParagraphFont"/>
    <w:uiPriority w:val="99"/>
    <w:semiHidden/>
    <w:unhideWhenUsed/>
    <w:rsid w:val="00DF65F3"/>
    <w:rPr>
      <w:color w:val="2B579A"/>
      <w:shd w:val="clear" w:color="auto" w:fill="E6E6E6"/>
    </w:rPr>
  </w:style>
  <w:style w:type="character" w:customStyle="1" w:styleId="Mention100000000000000000000000">
    <w:name w:val="Mention100000000000000000000000"/>
    <w:basedOn w:val="DefaultParagraphFont"/>
    <w:uiPriority w:val="99"/>
    <w:semiHidden/>
    <w:unhideWhenUsed/>
    <w:rsid w:val="00DF65F3"/>
    <w:rPr>
      <w:color w:val="2B579A"/>
      <w:shd w:val="clear" w:color="auto" w:fill="E6E6E6"/>
    </w:rPr>
  </w:style>
  <w:style w:type="paragraph" w:customStyle="1" w:styleId="DraftDefinition2">
    <w:name w:val="Draft Definition 2"/>
    <w:basedOn w:val="Normal"/>
    <w:rsid w:val="00DF65F3"/>
    <w:pPr>
      <w:spacing w:before="120" w:after="0" w:line="240" w:lineRule="auto"/>
      <w:ind w:left="1871" w:hanging="510"/>
    </w:pPr>
    <w:rPr>
      <w:rFonts w:ascii="Times New Roman" w:hAnsi="Times New Roman" w:cs="Times New Roman"/>
      <w:sz w:val="24"/>
      <w:szCs w:val="24"/>
    </w:rPr>
  </w:style>
  <w:style w:type="character" w:customStyle="1" w:styleId="Mention2">
    <w:name w:val="Mention2"/>
    <w:basedOn w:val="DefaultParagraphFont"/>
    <w:uiPriority w:val="99"/>
    <w:unhideWhenUsed/>
    <w:rsid w:val="00501089"/>
    <w:rPr>
      <w:color w:val="2B579A"/>
      <w:shd w:val="clear" w:color="auto" w:fill="E6E6E6"/>
    </w:rPr>
  </w:style>
  <w:style w:type="paragraph" w:customStyle="1" w:styleId="BodyParagraphSub">
    <w:name w:val="Body Paragraph (Sub)"/>
    <w:next w:val="Normal"/>
    <w:rsid w:val="006C6E7B"/>
    <w:pPr>
      <w:overflowPunct w:val="0"/>
      <w:autoSpaceDE w:val="0"/>
      <w:autoSpaceDN w:val="0"/>
      <w:adjustRightInd w:val="0"/>
      <w:spacing w:before="120" w:line="240" w:lineRule="auto"/>
      <w:ind w:left="2381"/>
      <w:textAlignment w:val="baseline"/>
    </w:pPr>
    <w:rPr>
      <w:rFonts w:ascii="Times New Roman" w:eastAsia="Times New Roman" w:hAnsi="Times New Roman" w:cs="Times New Roman"/>
      <w:sz w:val="24"/>
      <w:szCs w:val="20"/>
      <w:lang w:val="en-AU"/>
    </w:rPr>
  </w:style>
  <w:style w:type="paragraph" w:customStyle="1" w:styleId="DraftHeading2">
    <w:name w:val="Draft Heading 2"/>
    <w:basedOn w:val="Normal"/>
    <w:next w:val="Normal"/>
    <w:link w:val="DraftHeading2Char"/>
    <w:rsid w:val="006C6E7B"/>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DraftPenalty2">
    <w:name w:val="Draft Penalty 2"/>
    <w:basedOn w:val="Normal"/>
    <w:next w:val="Normal"/>
    <w:rsid w:val="006C6E7B"/>
    <w:pPr>
      <w:tabs>
        <w:tab w:val="left" w:pos="851"/>
        <w:tab w:val="left" w:pos="1361"/>
        <w:tab w:val="left" w:pos="1871"/>
        <w:tab w:val="decimal" w:pos="2381"/>
        <w:tab w:val="decimal" w:pos="2892"/>
        <w:tab w:val="decimal" w:pos="3402"/>
      </w:tabs>
      <w:overflowPunct w:val="0"/>
      <w:autoSpaceDE w:val="0"/>
      <w:autoSpaceDN w:val="0"/>
      <w:adjustRightInd w:val="0"/>
      <w:spacing w:before="120" w:after="0" w:line="240" w:lineRule="auto"/>
      <w:ind w:left="2382" w:hanging="1021"/>
      <w:textAlignment w:val="baseline"/>
    </w:pPr>
    <w:rPr>
      <w:rFonts w:ascii="Times New Roman" w:eastAsia="Times New Roman" w:hAnsi="Times New Roman" w:cs="Times New Roman"/>
      <w:sz w:val="24"/>
      <w:szCs w:val="20"/>
    </w:rPr>
  </w:style>
  <w:style w:type="character" w:customStyle="1" w:styleId="DraftHeading2Char">
    <w:name w:val="Draft Heading 2 Char"/>
    <w:basedOn w:val="DefaultParagraphFont"/>
    <w:link w:val="DraftHeading2"/>
    <w:rsid w:val="006C6E7B"/>
    <w:rPr>
      <w:rFonts w:ascii="Times New Roman" w:eastAsia="Times New Roman" w:hAnsi="Times New Roman" w:cs="Times New Roman"/>
      <w:sz w:val="24"/>
      <w:szCs w:val="20"/>
      <w:lang w:val="en-AU"/>
    </w:rPr>
  </w:style>
  <w:style w:type="character" w:customStyle="1" w:styleId="eop">
    <w:name w:val="eop"/>
    <w:basedOn w:val="DefaultParagraphFont"/>
    <w:rsid w:val="00AF110E"/>
  </w:style>
  <w:style w:type="character" w:customStyle="1" w:styleId="UnresolvedMention2">
    <w:name w:val="Unresolved Mention2"/>
    <w:basedOn w:val="DefaultParagraphFont"/>
    <w:uiPriority w:val="99"/>
    <w:unhideWhenUsed/>
    <w:rsid w:val="003E0C05"/>
    <w:rPr>
      <w:color w:val="605E5C"/>
      <w:shd w:val="clear" w:color="auto" w:fill="E1DFDD"/>
    </w:rPr>
  </w:style>
  <w:style w:type="table" w:customStyle="1" w:styleId="Deloittetable5">
    <w:name w:val="Deloitte table5"/>
    <w:basedOn w:val="TableNormal"/>
    <w:uiPriority w:val="99"/>
    <w:rsid w:val="00AA7ACF"/>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LDStandardBodyText">
    <w:name w:val="LD_Standard_BodyText"/>
    <w:basedOn w:val="Normal"/>
    <w:qFormat/>
    <w:rsid w:val="003A3F78"/>
    <w:pPr>
      <w:spacing w:after="240" w:line="240" w:lineRule="auto"/>
    </w:pPr>
    <w:rPr>
      <w:rFonts w:ascii="Segoe UI" w:hAnsi="Segoe UI"/>
      <w:sz w:val="22"/>
      <w:szCs w:val="24"/>
    </w:rPr>
  </w:style>
  <w:style w:type="paragraph" w:customStyle="1" w:styleId="VGSOHdg2">
    <w:name w:val="VGSO Hdg 2"/>
    <w:basedOn w:val="Normal"/>
    <w:next w:val="LDStandardBodyText"/>
    <w:uiPriority w:val="4"/>
    <w:qFormat/>
    <w:rsid w:val="003A3F78"/>
    <w:pPr>
      <w:keepNext/>
      <w:keepLines/>
      <w:spacing w:after="240" w:line="240" w:lineRule="auto"/>
    </w:pPr>
    <w:rPr>
      <w:rFonts w:ascii="Segoe UI" w:hAnsi="Segoe UI"/>
      <w:b/>
      <w:i/>
      <w:kern w:val="24"/>
      <w:sz w:val="22"/>
      <w:szCs w:val="24"/>
    </w:rPr>
  </w:style>
  <w:style w:type="paragraph" w:customStyle="1" w:styleId="VGSOHdg3">
    <w:name w:val="VGSO Hdg 3"/>
    <w:basedOn w:val="VGSOHdg2"/>
    <w:next w:val="LDStandardBodyText"/>
    <w:uiPriority w:val="4"/>
    <w:qFormat/>
    <w:rsid w:val="003A3F78"/>
    <w:rPr>
      <w:b w:val="0"/>
    </w:rPr>
  </w:style>
  <w:style w:type="character" w:customStyle="1" w:styleId="UnresolvedMention3">
    <w:name w:val="Unresolved Mention3"/>
    <w:basedOn w:val="DefaultParagraphFont"/>
    <w:uiPriority w:val="99"/>
    <w:unhideWhenUsed/>
    <w:rsid w:val="0066109B"/>
    <w:rPr>
      <w:color w:val="605E5C"/>
      <w:shd w:val="clear" w:color="auto" w:fill="E1DFDD"/>
    </w:rPr>
  </w:style>
  <w:style w:type="character" w:customStyle="1" w:styleId="Mention3">
    <w:name w:val="Mention3"/>
    <w:basedOn w:val="DefaultParagraphFont"/>
    <w:uiPriority w:val="99"/>
    <w:unhideWhenUsed/>
    <w:rsid w:val="0066109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4908">
      <w:bodyDiv w:val="1"/>
      <w:marLeft w:val="0"/>
      <w:marRight w:val="0"/>
      <w:marTop w:val="0"/>
      <w:marBottom w:val="0"/>
      <w:divBdr>
        <w:top w:val="none" w:sz="0" w:space="0" w:color="auto"/>
        <w:left w:val="none" w:sz="0" w:space="0" w:color="auto"/>
        <w:bottom w:val="none" w:sz="0" w:space="0" w:color="auto"/>
        <w:right w:val="none" w:sz="0" w:space="0" w:color="auto"/>
      </w:divBdr>
    </w:div>
    <w:div w:id="7603229">
      <w:bodyDiv w:val="1"/>
      <w:marLeft w:val="0"/>
      <w:marRight w:val="0"/>
      <w:marTop w:val="0"/>
      <w:marBottom w:val="0"/>
      <w:divBdr>
        <w:top w:val="none" w:sz="0" w:space="0" w:color="auto"/>
        <w:left w:val="none" w:sz="0" w:space="0" w:color="auto"/>
        <w:bottom w:val="none" w:sz="0" w:space="0" w:color="auto"/>
        <w:right w:val="none" w:sz="0" w:space="0" w:color="auto"/>
      </w:divBdr>
    </w:div>
    <w:div w:id="15546258">
      <w:bodyDiv w:val="1"/>
      <w:marLeft w:val="0"/>
      <w:marRight w:val="0"/>
      <w:marTop w:val="0"/>
      <w:marBottom w:val="0"/>
      <w:divBdr>
        <w:top w:val="none" w:sz="0" w:space="0" w:color="auto"/>
        <w:left w:val="none" w:sz="0" w:space="0" w:color="auto"/>
        <w:bottom w:val="none" w:sz="0" w:space="0" w:color="auto"/>
        <w:right w:val="none" w:sz="0" w:space="0" w:color="auto"/>
      </w:divBdr>
      <w:divsChild>
        <w:div w:id="674574052">
          <w:marLeft w:val="0"/>
          <w:marRight w:val="0"/>
          <w:marTop w:val="0"/>
          <w:marBottom w:val="0"/>
          <w:divBdr>
            <w:top w:val="none" w:sz="0" w:space="0" w:color="auto"/>
            <w:left w:val="none" w:sz="0" w:space="0" w:color="auto"/>
            <w:bottom w:val="none" w:sz="0" w:space="0" w:color="auto"/>
            <w:right w:val="none" w:sz="0" w:space="0" w:color="auto"/>
          </w:divBdr>
          <w:divsChild>
            <w:div w:id="877009022">
              <w:marLeft w:val="0"/>
              <w:marRight w:val="0"/>
              <w:marTop w:val="0"/>
              <w:marBottom w:val="0"/>
              <w:divBdr>
                <w:top w:val="none" w:sz="0" w:space="0" w:color="auto"/>
                <w:left w:val="none" w:sz="0" w:space="0" w:color="auto"/>
                <w:bottom w:val="none" w:sz="0" w:space="0" w:color="auto"/>
                <w:right w:val="none" w:sz="0" w:space="0" w:color="auto"/>
              </w:divBdr>
              <w:divsChild>
                <w:div w:id="1501966074">
                  <w:marLeft w:val="0"/>
                  <w:marRight w:val="0"/>
                  <w:marTop w:val="0"/>
                  <w:marBottom w:val="0"/>
                  <w:divBdr>
                    <w:top w:val="none" w:sz="0" w:space="0" w:color="auto"/>
                    <w:left w:val="none" w:sz="0" w:space="0" w:color="auto"/>
                    <w:bottom w:val="none" w:sz="0" w:space="0" w:color="auto"/>
                    <w:right w:val="none" w:sz="0" w:space="0" w:color="auto"/>
                  </w:divBdr>
                  <w:divsChild>
                    <w:div w:id="2107071567">
                      <w:marLeft w:val="0"/>
                      <w:marRight w:val="0"/>
                      <w:marTop w:val="0"/>
                      <w:marBottom w:val="300"/>
                      <w:divBdr>
                        <w:top w:val="none" w:sz="0" w:space="0" w:color="auto"/>
                        <w:left w:val="none" w:sz="0" w:space="0" w:color="auto"/>
                        <w:bottom w:val="none" w:sz="0" w:space="0" w:color="auto"/>
                        <w:right w:val="none" w:sz="0" w:space="0" w:color="auto"/>
                      </w:divBdr>
                      <w:divsChild>
                        <w:div w:id="1124270760">
                          <w:marLeft w:val="0"/>
                          <w:marRight w:val="0"/>
                          <w:marTop w:val="0"/>
                          <w:marBottom w:val="0"/>
                          <w:divBdr>
                            <w:top w:val="none" w:sz="0" w:space="0" w:color="auto"/>
                            <w:left w:val="none" w:sz="0" w:space="0" w:color="auto"/>
                            <w:bottom w:val="none" w:sz="0" w:space="0" w:color="auto"/>
                            <w:right w:val="none" w:sz="0" w:space="0" w:color="auto"/>
                          </w:divBdr>
                          <w:divsChild>
                            <w:div w:id="99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95574">
      <w:bodyDiv w:val="1"/>
      <w:marLeft w:val="0"/>
      <w:marRight w:val="0"/>
      <w:marTop w:val="0"/>
      <w:marBottom w:val="0"/>
      <w:divBdr>
        <w:top w:val="none" w:sz="0" w:space="0" w:color="auto"/>
        <w:left w:val="none" w:sz="0" w:space="0" w:color="auto"/>
        <w:bottom w:val="none" w:sz="0" w:space="0" w:color="auto"/>
        <w:right w:val="none" w:sz="0" w:space="0" w:color="auto"/>
      </w:divBdr>
    </w:div>
    <w:div w:id="48500400">
      <w:bodyDiv w:val="1"/>
      <w:marLeft w:val="0"/>
      <w:marRight w:val="0"/>
      <w:marTop w:val="0"/>
      <w:marBottom w:val="0"/>
      <w:divBdr>
        <w:top w:val="none" w:sz="0" w:space="0" w:color="auto"/>
        <w:left w:val="none" w:sz="0" w:space="0" w:color="auto"/>
        <w:bottom w:val="none" w:sz="0" w:space="0" w:color="auto"/>
        <w:right w:val="none" w:sz="0" w:space="0" w:color="auto"/>
      </w:divBdr>
    </w:div>
    <w:div w:id="48848819">
      <w:bodyDiv w:val="1"/>
      <w:marLeft w:val="0"/>
      <w:marRight w:val="0"/>
      <w:marTop w:val="0"/>
      <w:marBottom w:val="0"/>
      <w:divBdr>
        <w:top w:val="none" w:sz="0" w:space="0" w:color="auto"/>
        <w:left w:val="none" w:sz="0" w:space="0" w:color="auto"/>
        <w:bottom w:val="none" w:sz="0" w:space="0" w:color="auto"/>
        <w:right w:val="none" w:sz="0" w:space="0" w:color="auto"/>
      </w:divBdr>
    </w:div>
    <w:div w:id="75178752">
      <w:bodyDiv w:val="1"/>
      <w:marLeft w:val="0"/>
      <w:marRight w:val="0"/>
      <w:marTop w:val="0"/>
      <w:marBottom w:val="0"/>
      <w:divBdr>
        <w:top w:val="none" w:sz="0" w:space="0" w:color="auto"/>
        <w:left w:val="none" w:sz="0" w:space="0" w:color="auto"/>
        <w:bottom w:val="none" w:sz="0" w:space="0" w:color="auto"/>
        <w:right w:val="none" w:sz="0" w:space="0" w:color="auto"/>
      </w:divBdr>
    </w:div>
    <w:div w:id="95759898">
      <w:bodyDiv w:val="1"/>
      <w:marLeft w:val="0"/>
      <w:marRight w:val="0"/>
      <w:marTop w:val="0"/>
      <w:marBottom w:val="0"/>
      <w:divBdr>
        <w:top w:val="none" w:sz="0" w:space="0" w:color="auto"/>
        <w:left w:val="none" w:sz="0" w:space="0" w:color="auto"/>
        <w:bottom w:val="none" w:sz="0" w:space="0" w:color="auto"/>
        <w:right w:val="none" w:sz="0" w:space="0" w:color="auto"/>
      </w:divBdr>
    </w:div>
    <w:div w:id="106051323">
      <w:bodyDiv w:val="1"/>
      <w:marLeft w:val="0"/>
      <w:marRight w:val="0"/>
      <w:marTop w:val="0"/>
      <w:marBottom w:val="0"/>
      <w:divBdr>
        <w:top w:val="none" w:sz="0" w:space="0" w:color="auto"/>
        <w:left w:val="none" w:sz="0" w:space="0" w:color="auto"/>
        <w:bottom w:val="none" w:sz="0" w:space="0" w:color="auto"/>
        <w:right w:val="none" w:sz="0" w:space="0" w:color="auto"/>
      </w:divBdr>
    </w:div>
    <w:div w:id="112680034">
      <w:bodyDiv w:val="1"/>
      <w:marLeft w:val="0"/>
      <w:marRight w:val="0"/>
      <w:marTop w:val="0"/>
      <w:marBottom w:val="0"/>
      <w:divBdr>
        <w:top w:val="none" w:sz="0" w:space="0" w:color="auto"/>
        <w:left w:val="none" w:sz="0" w:space="0" w:color="auto"/>
        <w:bottom w:val="none" w:sz="0" w:space="0" w:color="auto"/>
        <w:right w:val="none" w:sz="0" w:space="0" w:color="auto"/>
      </w:divBdr>
    </w:div>
    <w:div w:id="122115403">
      <w:bodyDiv w:val="1"/>
      <w:marLeft w:val="0"/>
      <w:marRight w:val="0"/>
      <w:marTop w:val="0"/>
      <w:marBottom w:val="0"/>
      <w:divBdr>
        <w:top w:val="none" w:sz="0" w:space="0" w:color="auto"/>
        <w:left w:val="none" w:sz="0" w:space="0" w:color="auto"/>
        <w:bottom w:val="none" w:sz="0" w:space="0" w:color="auto"/>
        <w:right w:val="none" w:sz="0" w:space="0" w:color="auto"/>
      </w:divBdr>
    </w:div>
    <w:div w:id="127820775">
      <w:bodyDiv w:val="1"/>
      <w:marLeft w:val="0"/>
      <w:marRight w:val="0"/>
      <w:marTop w:val="0"/>
      <w:marBottom w:val="0"/>
      <w:divBdr>
        <w:top w:val="none" w:sz="0" w:space="0" w:color="auto"/>
        <w:left w:val="none" w:sz="0" w:space="0" w:color="auto"/>
        <w:bottom w:val="none" w:sz="0" w:space="0" w:color="auto"/>
        <w:right w:val="none" w:sz="0" w:space="0" w:color="auto"/>
      </w:divBdr>
    </w:div>
    <w:div w:id="133180399">
      <w:bodyDiv w:val="1"/>
      <w:marLeft w:val="0"/>
      <w:marRight w:val="0"/>
      <w:marTop w:val="0"/>
      <w:marBottom w:val="0"/>
      <w:divBdr>
        <w:top w:val="none" w:sz="0" w:space="0" w:color="auto"/>
        <w:left w:val="none" w:sz="0" w:space="0" w:color="auto"/>
        <w:bottom w:val="none" w:sz="0" w:space="0" w:color="auto"/>
        <w:right w:val="none" w:sz="0" w:space="0" w:color="auto"/>
      </w:divBdr>
    </w:div>
    <w:div w:id="148451457">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02714603">
      <w:bodyDiv w:val="1"/>
      <w:marLeft w:val="0"/>
      <w:marRight w:val="0"/>
      <w:marTop w:val="0"/>
      <w:marBottom w:val="0"/>
      <w:divBdr>
        <w:top w:val="none" w:sz="0" w:space="0" w:color="auto"/>
        <w:left w:val="none" w:sz="0" w:space="0" w:color="auto"/>
        <w:bottom w:val="none" w:sz="0" w:space="0" w:color="auto"/>
        <w:right w:val="none" w:sz="0" w:space="0" w:color="auto"/>
      </w:divBdr>
    </w:div>
    <w:div w:id="230845540">
      <w:bodyDiv w:val="1"/>
      <w:marLeft w:val="0"/>
      <w:marRight w:val="0"/>
      <w:marTop w:val="0"/>
      <w:marBottom w:val="0"/>
      <w:divBdr>
        <w:top w:val="none" w:sz="0" w:space="0" w:color="auto"/>
        <w:left w:val="none" w:sz="0" w:space="0" w:color="auto"/>
        <w:bottom w:val="none" w:sz="0" w:space="0" w:color="auto"/>
        <w:right w:val="none" w:sz="0" w:space="0" w:color="auto"/>
      </w:divBdr>
    </w:div>
    <w:div w:id="234631555">
      <w:bodyDiv w:val="1"/>
      <w:marLeft w:val="0"/>
      <w:marRight w:val="0"/>
      <w:marTop w:val="0"/>
      <w:marBottom w:val="0"/>
      <w:divBdr>
        <w:top w:val="none" w:sz="0" w:space="0" w:color="auto"/>
        <w:left w:val="none" w:sz="0" w:space="0" w:color="auto"/>
        <w:bottom w:val="none" w:sz="0" w:space="0" w:color="auto"/>
        <w:right w:val="none" w:sz="0" w:space="0" w:color="auto"/>
      </w:divBdr>
    </w:div>
    <w:div w:id="248346868">
      <w:bodyDiv w:val="1"/>
      <w:marLeft w:val="0"/>
      <w:marRight w:val="0"/>
      <w:marTop w:val="0"/>
      <w:marBottom w:val="0"/>
      <w:divBdr>
        <w:top w:val="none" w:sz="0" w:space="0" w:color="auto"/>
        <w:left w:val="none" w:sz="0" w:space="0" w:color="auto"/>
        <w:bottom w:val="none" w:sz="0" w:space="0" w:color="auto"/>
        <w:right w:val="none" w:sz="0" w:space="0" w:color="auto"/>
      </w:divBdr>
    </w:div>
    <w:div w:id="298264979">
      <w:bodyDiv w:val="1"/>
      <w:marLeft w:val="0"/>
      <w:marRight w:val="0"/>
      <w:marTop w:val="0"/>
      <w:marBottom w:val="0"/>
      <w:divBdr>
        <w:top w:val="none" w:sz="0" w:space="0" w:color="auto"/>
        <w:left w:val="none" w:sz="0" w:space="0" w:color="auto"/>
        <w:bottom w:val="none" w:sz="0" w:space="0" w:color="auto"/>
        <w:right w:val="none" w:sz="0" w:space="0" w:color="auto"/>
      </w:divBdr>
    </w:div>
    <w:div w:id="303586866">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7727712">
      <w:bodyDiv w:val="1"/>
      <w:marLeft w:val="0"/>
      <w:marRight w:val="0"/>
      <w:marTop w:val="0"/>
      <w:marBottom w:val="0"/>
      <w:divBdr>
        <w:top w:val="none" w:sz="0" w:space="0" w:color="auto"/>
        <w:left w:val="none" w:sz="0" w:space="0" w:color="auto"/>
        <w:bottom w:val="none" w:sz="0" w:space="0" w:color="auto"/>
        <w:right w:val="none" w:sz="0" w:space="0" w:color="auto"/>
      </w:divBdr>
    </w:div>
    <w:div w:id="323559077">
      <w:bodyDiv w:val="1"/>
      <w:marLeft w:val="0"/>
      <w:marRight w:val="0"/>
      <w:marTop w:val="0"/>
      <w:marBottom w:val="0"/>
      <w:divBdr>
        <w:top w:val="none" w:sz="0" w:space="0" w:color="auto"/>
        <w:left w:val="none" w:sz="0" w:space="0" w:color="auto"/>
        <w:bottom w:val="none" w:sz="0" w:space="0" w:color="auto"/>
        <w:right w:val="none" w:sz="0" w:space="0" w:color="auto"/>
      </w:divBdr>
    </w:div>
    <w:div w:id="333073448">
      <w:bodyDiv w:val="1"/>
      <w:marLeft w:val="0"/>
      <w:marRight w:val="0"/>
      <w:marTop w:val="0"/>
      <w:marBottom w:val="0"/>
      <w:divBdr>
        <w:top w:val="none" w:sz="0" w:space="0" w:color="auto"/>
        <w:left w:val="none" w:sz="0" w:space="0" w:color="auto"/>
        <w:bottom w:val="none" w:sz="0" w:space="0" w:color="auto"/>
        <w:right w:val="none" w:sz="0" w:space="0" w:color="auto"/>
      </w:divBdr>
    </w:div>
    <w:div w:id="334117494">
      <w:bodyDiv w:val="1"/>
      <w:marLeft w:val="0"/>
      <w:marRight w:val="0"/>
      <w:marTop w:val="0"/>
      <w:marBottom w:val="0"/>
      <w:divBdr>
        <w:top w:val="none" w:sz="0" w:space="0" w:color="auto"/>
        <w:left w:val="none" w:sz="0" w:space="0" w:color="auto"/>
        <w:bottom w:val="none" w:sz="0" w:space="0" w:color="auto"/>
        <w:right w:val="none" w:sz="0" w:space="0" w:color="auto"/>
      </w:divBdr>
    </w:div>
    <w:div w:id="338309487">
      <w:bodyDiv w:val="1"/>
      <w:marLeft w:val="0"/>
      <w:marRight w:val="0"/>
      <w:marTop w:val="0"/>
      <w:marBottom w:val="0"/>
      <w:divBdr>
        <w:top w:val="none" w:sz="0" w:space="0" w:color="auto"/>
        <w:left w:val="none" w:sz="0" w:space="0" w:color="auto"/>
        <w:bottom w:val="none" w:sz="0" w:space="0" w:color="auto"/>
        <w:right w:val="none" w:sz="0" w:space="0" w:color="auto"/>
      </w:divBdr>
    </w:div>
    <w:div w:id="350643688">
      <w:bodyDiv w:val="1"/>
      <w:marLeft w:val="0"/>
      <w:marRight w:val="0"/>
      <w:marTop w:val="0"/>
      <w:marBottom w:val="0"/>
      <w:divBdr>
        <w:top w:val="none" w:sz="0" w:space="0" w:color="auto"/>
        <w:left w:val="none" w:sz="0" w:space="0" w:color="auto"/>
        <w:bottom w:val="none" w:sz="0" w:space="0" w:color="auto"/>
        <w:right w:val="none" w:sz="0" w:space="0" w:color="auto"/>
      </w:divBdr>
      <w:divsChild>
        <w:div w:id="1814524373">
          <w:marLeft w:val="0"/>
          <w:marRight w:val="0"/>
          <w:marTop w:val="0"/>
          <w:marBottom w:val="0"/>
          <w:divBdr>
            <w:top w:val="none" w:sz="0" w:space="0" w:color="auto"/>
            <w:left w:val="none" w:sz="0" w:space="0" w:color="auto"/>
            <w:bottom w:val="none" w:sz="0" w:space="0" w:color="auto"/>
            <w:right w:val="none" w:sz="0" w:space="0" w:color="auto"/>
          </w:divBdr>
          <w:divsChild>
            <w:div w:id="1645501326">
              <w:marLeft w:val="0"/>
              <w:marRight w:val="0"/>
              <w:marTop w:val="0"/>
              <w:marBottom w:val="0"/>
              <w:divBdr>
                <w:top w:val="none" w:sz="0" w:space="0" w:color="auto"/>
                <w:left w:val="none" w:sz="0" w:space="0" w:color="auto"/>
                <w:bottom w:val="none" w:sz="0" w:space="0" w:color="auto"/>
                <w:right w:val="none" w:sz="0" w:space="0" w:color="auto"/>
              </w:divBdr>
              <w:divsChild>
                <w:div w:id="34817532">
                  <w:marLeft w:val="0"/>
                  <w:marRight w:val="0"/>
                  <w:marTop w:val="0"/>
                  <w:marBottom w:val="0"/>
                  <w:divBdr>
                    <w:top w:val="none" w:sz="0" w:space="0" w:color="auto"/>
                    <w:left w:val="none" w:sz="0" w:space="0" w:color="auto"/>
                    <w:bottom w:val="none" w:sz="0" w:space="0" w:color="auto"/>
                    <w:right w:val="none" w:sz="0" w:space="0" w:color="auto"/>
                  </w:divBdr>
                  <w:divsChild>
                    <w:div w:id="2071726651">
                      <w:marLeft w:val="0"/>
                      <w:marRight w:val="0"/>
                      <w:marTop w:val="0"/>
                      <w:marBottom w:val="0"/>
                      <w:divBdr>
                        <w:top w:val="none" w:sz="0" w:space="0" w:color="auto"/>
                        <w:left w:val="none" w:sz="0" w:space="0" w:color="auto"/>
                        <w:bottom w:val="none" w:sz="0" w:space="0" w:color="auto"/>
                        <w:right w:val="none" w:sz="0" w:space="0" w:color="auto"/>
                      </w:divBdr>
                      <w:divsChild>
                        <w:div w:id="1909805422">
                          <w:marLeft w:val="0"/>
                          <w:marRight w:val="0"/>
                          <w:marTop w:val="0"/>
                          <w:marBottom w:val="0"/>
                          <w:divBdr>
                            <w:top w:val="none" w:sz="0" w:space="0" w:color="auto"/>
                            <w:left w:val="none" w:sz="0" w:space="0" w:color="auto"/>
                            <w:bottom w:val="none" w:sz="0" w:space="0" w:color="auto"/>
                            <w:right w:val="none" w:sz="0" w:space="0" w:color="auto"/>
                          </w:divBdr>
                          <w:divsChild>
                            <w:div w:id="1916936421">
                              <w:marLeft w:val="0"/>
                              <w:marRight w:val="0"/>
                              <w:marTop w:val="0"/>
                              <w:marBottom w:val="0"/>
                              <w:divBdr>
                                <w:top w:val="none" w:sz="0" w:space="0" w:color="auto"/>
                                <w:left w:val="none" w:sz="0" w:space="0" w:color="auto"/>
                                <w:bottom w:val="none" w:sz="0" w:space="0" w:color="auto"/>
                                <w:right w:val="none" w:sz="0" w:space="0" w:color="auto"/>
                              </w:divBdr>
                              <w:divsChild>
                                <w:div w:id="13287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555028">
      <w:bodyDiv w:val="1"/>
      <w:marLeft w:val="0"/>
      <w:marRight w:val="0"/>
      <w:marTop w:val="0"/>
      <w:marBottom w:val="0"/>
      <w:divBdr>
        <w:top w:val="none" w:sz="0" w:space="0" w:color="auto"/>
        <w:left w:val="none" w:sz="0" w:space="0" w:color="auto"/>
        <w:bottom w:val="none" w:sz="0" w:space="0" w:color="auto"/>
        <w:right w:val="none" w:sz="0" w:space="0" w:color="auto"/>
      </w:divBdr>
    </w:div>
    <w:div w:id="367294156">
      <w:bodyDiv w:val="1"/>
      <w:marLeft w:val="0"/>
      <w:marRight w:val="0"/>
      <w:marTop w:val="0"/>
      <w:marBottom w:val="0"/>
      <w:divBdr>
        <w:top w:val="none" w:sz="0" w:space="0" w:color="auto"/>
        <w:left w:val="none" w:sz="0" w:space="0" w:color="auto"/>
        <w:bottom w:val="none" w:sz="0" w:space="0" w:color="auto"/>
        <w:right w:val="none" w:sz="0" w:space="0" w:color="auto"/>
      </w:divBdr>
    </w:div>
    <w:div w:id="368261410">
      <w:bodyDiv w:val="1"/>
      <w:marLeft w:val="0"/>
      <w:marRight w:val="0"/>
      <w:marTop w:val="0"/>
      <w:marBottom w:val="0"/>
      <w:divBdr>
        <w:top w:val="none" w:sz="0" w:space="0" w:color="auto"/>
        <w:left w:val="none" w:sz="0" w:space="0" w:color="auto"/>
        <w:bottom w:val="none" w:sz="0" w:space="0" w:color="auto"/>
        <w:right w:val="none" w:sz="0" w:space="0" w:color="auto"/>
      </w:divBdr>
    </w:div>
    <w:div w:id="370957608">
      <w:bodyDiv w:val="1"/>
      <w:marLeft w:val="0"/>
      <w:marRight w:val="0"/>
      <w:marTop w:val="0"/>
      <w:marBottom w:val="0"/>
      <w:divBdr>
        <w:top w:val="none" w:sz="0" w:space="0" w:color="auto"/>
        <w:left w:val="none" w:sz="0" w:space="0" w:color="auto"/>
        <w:bottom w:val="none" w:sz="0" w:space="0" w:color="auto"/>
        <w:right w:val="none" w:sz="0" w:space="0" w:color="auto"/>
      </w:divBdr>
    </w:div>
    <w:div w:id="384184423">
      <w:bodyDiv w:val="1"/>
      <w:marLeft w:val="0"/>
      <w:marRight w:val="0"/>
      <w:marTop w:val="0"/>
      <w:marBottom w:val="0"/>
      <w:divBdr>
        <w:top w:val="none" w:sz="0" w:space="0" w:color="auto"/>
        <w:left w:val="none" w:sz="0" w:space="0" w:color="auto"/>
        <w:bottom w:val="none" w:sz="0" w:space="0" w:color="auto"/>
        <w:right w:val="none" w:sz="0" w:space="0" w:color="auto"/>
      </w:divBdr>
    </w:div>
    <w:div w:id="386731578">
      <w:bodyDiv w:val="1"/>
      <w:marLeft w:val="0"/>
      <w:marRight w:val="0"/>
      <w:marTop w:val="0"/>
      <w:marBottom w:val="0"/>
      <w:divBdr>
        <w:top w:val="none" w:sz="0" w:space="0" w:color="auto"/>
        <w:left w:val="none" w:sz="0" w:space="0" w:color="auto"/>
        <w:bottom w:val="none" w:sz="0" w:space="0" w:color="auto"/>
        <w:right w:val="none" w:sz="0" w:space="0" w:color="auto"/>
      </w:divBdr>
    </w:div>
    <w:div w:id="388118633">
      <w:bodyDiv w:val="1"/>
      <w:marLeft w:val="0"/>
      <w:marRight w:val="0"/>
      <w:marTop w:val="0"/>
      <w:marBottom w:val="0"/>
      <w:divBdr>
        <w:top w:val="none" w:sz="0" w:space="0" w:color="auto"/>
        <w:left w:val="none" w:sz="0" w:space="0" w:color="auto"/>
        <w:bottom w:val="none" w:sz="0" w:space="0" w:color="auto"/>
        <w:right w:val="none" w:sz="0" w:space="0" w:color="auto"/>
      </w:divBdr>
    </w:div>
    <w:div w:id="395010637">
      <w:bodyDiv w:val="1"/>
      <w:marLeft w:val="0"/>
      <w:marRight w:val="0"/>
      <w:marTop w:val="0"/>
      <w:marBottom w:val="0"/>
      <w:divBdr>
        <w:top w:val="none" w:sz="0" w:space="0" w:color="auto"/>
        <w:left w:val="none" w:sz="0" w:space="0" w:color="auto"/>
        <w:bottom w:val="none" w:sz="0" w:space="0" w:color="auto"/>
        <w:right w:val="none" w:sz="0" w:space="0" w:color="auto"/>
      </w:divBdr>
    </w:div>
    <w:div w:id="408889284">
      <w:bodyDiv w:val="1"/>
      <w:marLeft w:val="0"/>
      <w:marRight w:val="0"/>
      <w:marTop w:val="0"/>
      <w:marBottom w:val="0"/>
      <w:divBdr>
        <w:top w:val="none" w:sz="0" w:space="0" w:color="auto"/>
        <w:left w:val="none" w:sz="0" w:space="0" w:color="auto"/>
        <w:bottom w:val="none" w:sz="0" w:space="0" w:color="auto"/>
        <w:right w:val="none" w:sz="0" w:space="0" w:color="auto"/>
      </w:divBdr>
    </w:div>
    <w:div w:id="419106347">
      <w:bodyDiv w:val="1"/>
      <w:marLeft w:val="0"/>
      <w:marRight w:val="0"/>
      <w:marTop w:val="0"/>
      <w:marBottom w:val="0"/>
      <w:divBdr>
        <w:top w:val="none" w:sz="0" w:space="0" w:color="auto"/>
        <w:left w:val="none" w:sz="0" w:space="0" w:color="auto"/>
        <w:bottom w:val="none" w:sz="0" w:space="0" w:color="auto"/>
        <w:right w:val="none" w:sz="0" w:space="0" w:color="auto"/>
      </w:divBdr>
    </w:div>
    <w:div w:id="459227136">
      <w:bodyDiv w:val="1"/>
      <w:marLeft w:val="0"/>
      <w:marRight w:val="0"/>
      <w:marTop w:val="0"/>
      <w:marBottom w:val="0"/>
      <w:divBdr>
        <w:top w:val="none" w:sz="0" w:space="0" w:color="auto"/>
        <w:left w:val="none" w:sz="0" w:space="0" w:color="auto"/>
        <w:bottom w:val="none" w:sz="0" w:space="0" w:color="auto"/>
        <w:right w:val="none" w:sz="0" w:space="0" w:color="auto"/>
      </w:divBdr>
    </w:div>
    <w:div w:id="468135528">
      <w:bodyDiv w:val="1"/>
      <w:marLeft w:val="0"/>
      <w:marRight w:val="0"/>
      <w:marTop w:val="0"/>
      <w:marBottom w:val="0"/>
      <w:divBdr>
        <w:top w:val="none" w:sz="0" w:space="0" w:color="auto"/>
        <w:left w:val="none" w:sz="0" w:space="0" w:color="auto"/>
        <w:bottom w:val="none" w:sz="0" w:space="0" w:color="auto"/>
        <w:right w:val="none" w:sz="0" w:space="0" w:color="auto"/>
      </w:divBdr>
    </w:div>
    <w:div w:id="475757089">
      <w:bodyDiv w:val="1"/>
      <w:marLeft w:val="0"/>
      <w:marRight w:val="0"/>
      <w:marTop w:val="0"/>
      <w:marBottom w:val="0"/>
      <w:divBdr>
        <w:top w:val="none" w:sz="0" w:space="0" w:color="auto"/>
        <w:left w:val="none" w:sz="0" w:space="0" w:color="auto"/>
        <w:bottom w:val="none" w:sz="0" w:space="0" w:color="auto"/>
        <w:right w:val="none" w:sz="0" w:space="0" w:color="auto"/>
      </w:divBdr>
    </w:div>
    <w:div w:id="496655718">
      <w:bodyDiv w:val="1"/>
      <w:marLeft w:val="0"/>
      <w:marRight w:val="0"/>
      <w:marTop w:val="0"/>
      <w:marBottom w:val="0"/>
      <w:divBdr>
        <w:top w:val="none" w:sz="0" w:space="0" w:color="auto"/>
        <w:left w:val="none" w:sz="0" w:space="0" w:color="auto"/>
        <w:bottom w:val="none" w:sz="0" w:space="0" w:color="auto"/>
        <w:right w:val="none" w:sz="0" w:space="0" w:color="auto"/>
      </w:divBdr>
    </w:div>
    <w:div w:id="508983389">
      <w:bodyDiv w:val="1"/>
      <w:marLeft w:val="0"/>
      <w:marRight w:val="0"/>
      <w:marTop w:val="0"/>
      <w:marBottom w:val="0"/>
      <w:divBdr>
        <w:top w:val="none" w:sz="0" w:space="0" w:color="auto"/>
        <w:left w:val="none" w:sz="0" w:space="0" w:color="auto"/>
        <w:bottom w:val="none" w:sz="0" w:space="0" w:color="auto"/>
        <w:right w:val="none" w:sz="0" w:space="0" w:color="auto"/>
      </w:divBdr>
    </w:div>
    <w:div w:id="521823957">
      <w:bodyDiv w:val="1"/>
      <w:marLeft w:val="0"/>
      <w:marRight w:val="0"/>
      <w:marTop w:val="0"/>
      <w:marBottom w:val="0"/>
      <w:divBdr>
        <w:top w:val="none" w:sz="0" w:space="0" w:color="auto"/>
        <w:left w:val="none" w:sz="0" w:space="0" w:color="auto"/>
        <w:bottom w:val="none" w:sz="0" w:space="0" w:color="auto"/>
        <w:right w:val="none" w:sz="0" w:space="0" w:color="auto"/>
      </w:divBdr>
    </w:div>
    <w:div w:id="521944976">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37007372">
      <w:bodyDiv w:val="1"/>
      <w:marLeft w:val="0"/>
      <w:marRight w:val="0"/>
      <w:marTop w:val="0"/>
      <w:marBottom w:val="0"/>
      <w:divBdr>
        <w:top w:val="none" w:sz="0" w:space="0" w:color="auto"/>
        <w:left w:val="none" w:sz="0" w:space="0" w:color="auto"/>
        <w:bottom w:val="none" w:sz="0" w:space="0" w:color="auto"/>
        <w:right w:val="none" w:sz="0" w:space="0" w:color="auto"/>
      </w:divBdr>
      <w:divsChild>
        <w:div w:id="1234511815">
          <w:marLeft w:val="0"/>
          <w:marRight w:val="0"/>
          <w:marTop w:val="0"/>
          <w:marBottom w:val="0"/>
          <w:divBdr>
            <w:top w:val="none" w:sz="0" w:space="0" w:color="auto"/>
            <w:left w:val="none" w:sz="0" w:space="0" w:color="auto"/>
            <w:bottom w:val="none" w:sz="0" w:space="0" w:color="auto"/>
            <w:right w:val="none" w:sz="0" w:space="0" w:color="auto"/>
          </w:divBdr>
          <w:divsChild>
            <w:div w:id="1411080494">
              <w:marLeft w:val="0"/>
              <w:marRight w:val="0"/>
              <w:marTop w:val="0"/>
              <w:marBottom w:val="0"/>
              <w:divBdr>
                <w:top w:val="none" w:sz="0" w:space="0" w:color="auto"/>
                <w:left w:val="none" w:sz="0" w:space="0" w:color="auto"/>
                <w:bottom w:val="none" w:sz="0" w:space="0" w:color="auto"/>
                <w:right w:val="none" w:sz="0" w:space="0" w:color="auto"/>
              </w:divBdr>
              <w:divsChild>
                <w:div w:id="1413577345">
                  <w:marLeft w:val="0"/>
                  <w:marRight w:val="0"/>
                  <w:marTop w:val="0"/>
                  <w:marBottom w:val="0"/>
                  <w:divBdr>
                    <w:top w:val="none" w:sz="0" w:space="0" w:color="auto"/>
                    <w:left w:val="none" w:sz="0" w:space="0" w:color="auto"/>
                    <w:bottom w:val="none" w:sz="0" w:space="0" w:color="auto"/>
                    <w:right w:val="none" w:sz="0" w:space="0" w:color="auto"/>
                  </w:divBdr>
                  <w:divsChild>
                    <w:div w:id="1479570092">
                      <w:marLeft w:val="0"/>
                      <w:marRight w:val="0"/>
                      <w:marTop w:val="0"/>
                      <w:marBottom w:val="300"/>
                      <w:divBdr>
                        <w:top w:val="none" w:sz="0" w:space="0" w:color="auto"/>
                        <w:left w:val="none" w:sz="0" w:space="0" w:color="auto"/>
                        <w:bottom w:val="none" w:sz="0" w:space="0" w:color="auto"/>
                        <w:right w:val="none" w:sz="0" w:space="0" w:color="auto"/>
                      </w:divBdr>
                      <w:divsChild>
                        <w:div w:id="1062174131">
                          <w:marLeft w:val="0"/>
                          <w:marRight w:val="0"/>
                          <w:marTop w:val="0"/>
                          <w:marBottom w:val="0"/>
                          <w:divBdr>
                            <w:top w:val="none" w:sz="0" w:space="0" w:color="auto"/>
                            <w:left w:val="none" w:sz="0" w:space="0" w:color="auto"/>
                            <w:bottom w:val="none" w:sz="0" w:space="0" w:color="auto"/>
                            <w:right w:val="none" w:sz="0" w:space="0" w:color="auto"/>
                          </w:divBdr>
                          <w:divsChild>
                            <w:div w:id="17752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405893">
      <w:bodyDiv w:val="1"/>
      <w:marLeft w:val="0"/>
      <w:marRight w:val="0"/>
      <w:marTop w:val="0"/>
      <w:marBottom w:val="0"/>
      <w:divBdr>
        <w:top w:val="none" w:sz="0" w:space="0" w:color="auto"/>
        <w:left w:val="none" w:sz="0" w:space="0" w:color="auto"/>
        <w:bottom w:val="none" w:sz="0" w:space="0" w:color="auto"/>
        <w:right w:val="none" w:sz="0" w:space="0" w:color="auto"/>
      </w:divBdr>
    </w:div>
    <w:div w:id="568272855">
      <w:bodyDiv w:val="1"/>
      <w:marLeft w:val="0"/>
      <w:marRight w:val="0"/>
      <w:marTop w:val="0"/>
      <w:marBottom w:val="0"/>
      <w:divBdr>
        <w:top w:val="none" w:sz="0" w:space="0" w:color="auto"/>
        <w:left w:val="none" w:sz="0" w:space="0" w:color="auto"/>
        <w:bottom w:val="none" w:sz="0" w:space="0" w:color="auto"/>
        <w:right w:val="none" w:sz="0" w:space="0" w:color="auto"/>
      </w:divBdr>
    </w:div>
    <w:div w:id="576522873">
      <w:bodyDiv w:val="1"/>
      <w:marLeft w:val="0"/>
      <w:marRight w:val="0"/>
      <w:marTop w:val="0"/>
      <w:marBottom w:val="0"/>
      <w:divBdr>
        <w:top w:val="none" w:sz="0" w:space="0" w:color="auto"/>
        <w:left w:val="none" w:sz="0" w:space="0" w:color="auto"/>
        <w:bottom w:val="none" w:sz="0" w:space="0" w:color="auto"/>
        <w:right w:val="none" w:sz="0" w:space="0" w:color="auto"/>
      </w:divBdr>
    </w:div>
    <w:div w:id="578561033">
      <w:bodyDiv w:val="1"/>
      <w:marLeft w:val="0"/>
      <w:marRight w:val="0"/>
      <w:marTop w:val="0"/>
      <w:marBottom w:val="0"/>
      <w:divBdr>
        <w:top w:val="none" w:sz="0" w:space="0" w:color="auto"/>
        <w:left w:val="none" w:sz="0" w:space="0" w:color="auto"/>
        <w:bottom w:val="none" w:sz="0" w:space="0" w:color="auto"/>
        <w:right w:val="none" w:sz="0" w:space="0" w:color="auto"/>
      </w:divBdr>
    </w:div>
    <w:div w:id="585186950">
      <w:bodyDiv w:val="1"/>
      <w:marLeft w:val="0"/>
      <w:marRight w:val="0"/>
      <w:marTop w:val="0"/>
      <w:marBottom w:val="0"/>
      <w:divBdr>
        <w:top w:val="none" w:sz="0" w:space="0" w:color="auto"/>
        <w:left w:val="none" w:sz="0" w:space="0" w:color="auto"/>
        <w:bottom w:val="none" w:sz="0" w:space="0" w:color="auto"/>
        <w:right w:val="none" w:sz="0" w:space="0" w:color="auto"/>
      </w:divBdr>
    </w:div>
    <w:div w:id="587353032">
      <w:bodyDiv w:val="1"/>
      <w:marLeft w:val="0"/>
      <w:marRight w:val="0"/>
      <w:marTop w:val="0"/>
      <w:marBottom w:val="0"/>
      <w:divBdr>
        <w:top w:val="none" w:sz="0" w:space="0" w:color="auto"/>
        <w:left w:val="none" w:sz="0" w:space="0" w:color="auto"/>
        <w:bottom w:val="none" w:sz="0" w:space="0" w:color="auto"/>
        <w:right w:val="none" w:sz="0" w:space="0" w:color="auto"/>
      </w:divBdr>
    </w:div>
    <w:div w:id="592515762">
      <w:bodyDiv w:val="1"/>
      <w:marLeft w:val="0"/>
      <w:marRight w:val="0"/>
      <w:marTop w:val="0"/>
      <w:marBottom w:val="0"/>
      <w:divBdr>
        <w:top w:val="none" w:sz="0" w:space="0" w:color="auto"/>
        <w:left w:val="none" w:sz="0" w:space="0" w:color="auto"/>
        <w:bottom w:val="none" w:sz="0" w:space="0" w:color="auto"/>
        <w:right w:val="none" w:sz="0" w:space="0" w:color="auto"/>
      </w:divBdr>
    </w:div>
    <w:div w:id="615792411">
      <w:bodyDiv w:val="1"/>
      <w:marLeft w:val="0"/>
      <w:marRight w:val="0"/>
      <w:marTop w:val="0"/>
      <w:marBottom w:val="0"/>
      <w:divBdr>
        <w:top w:val="none" w:sz="0" w:space="0" w:color="auto"/>
        <w:left w:val="none" w:sz="0" w:space="0" w:color="auto"/>
        <w:bottom w:val="none" w:sz="0" w:space="0" w:color="auto"/>
        <w:right w:val="none" w:sz="0" w:space="0" w:color="auto"/>
      </w:divBdr>
    </w:div>
    <w:div w:id="617420379">
      <w:bodyDiv w:val="1"/>
      <w:marLeft w:val="0"/>
      <w:marRight w:val="0"/>
      <w:marTop w:val="0"/>
      <w:marBottom w:val="0"/>
      <w:divBdr>
        <w:top w:val="none" w:sz="0" w:space="0" w:color="auto"/>
        <w:left w:val="none" w:sz="0" w:space="0" w:color="auto"/>
        <w:bottom w:val="none" w:sz="0" w:space="0" w:color="auto"/>
        <w:right w:val="none" w:sz="0" w:space="0" w:color="auto"/>
      </w:divBdr>
    </w:div>
    <w:div w:id="638998920">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65666603">
      <w:bodyDiv w:val="1"/>
      <w:marLeft w:val="0"/>
      <w:marRight w:val="0"/>
      <w:marTop w:val="0"/>
      <w:marBottom w:val="0"/>
      <w:divBdr>
        <w:top w:val="none" w:sz="0" w:space="0" w:color="auto"/>
        <w:left w:val="none" w:sz="0" w:space="0" w:color="auto"/>
        <w:bottom w:val="none" w:sz="0" w:space="0" w:color="auto"/>
        <w:right w:val="none" w:sz="0" w:space="0" w:color="auto"/>
      </w:divBdr>
    </w:div>
    <w:div w:id="675811712">
      <w:bodyDiv w:val="1"/>
      <w:marLeft w:val="0"/>
      <w:marRight w:val="0"/>
      <w:marTop w:val="0"/>
      <w:marBottom w:val="0"/>
      <w:divBdr>
        <w:top w:val="none" w:sz="0" w:space="0" w:color="auto"/>
        <w:left w:val="none" w:sz="0" w:space="0" w:color="auto"/>
        <w:bottom w:val="none" w:sz="0" w:space="0" w:color="auto"/>
        <w:right w:val="none" w:sz="0" w:space="0" w:color="auto"/>
      </w:divBdr>
      <w:divsChild>
        <w:div w:id="350953612">
          <w:marLeft w:val="0"/>
          <w:marRight w:val="0"/>
          <w:marTop w:val="0"/>
          <w:marBottom w:val="0"/>
          <w:divBdr>
            <w:top w:val="none" w:sz="0" w:space="0" w:color="auto"/>
            <w:left w:val="none" w:sz="0" w:space="0" w:color="auto"/>
            <w:bottom w:val="none" w:sz="0" w:space="0" w:color="auto"/>
            <w:right w:val="none" w:sz="0" w:space="0" w:color="auto"/>
          </w:divBdr>
          <w:divsChild>
            <w:div w:id="500971638">
              <w:marLeft w:val="0"/>
              <w:marRight w:val="0"/>
              <w:marTop w:val="0"/>
              <w:marBottom w:val="0"/>
              <w:divBdr>
                <w:top w:val="none" w:sz="0" w:space="0" w:color="auto"/>
                <w:left w:val="none" w:sz="0" w:space="0" w:color="auto"/>
                <w:bottom w:val="none" w:sz="0" w:space="0" w:color="auto"/>
                <w:right w:val="none" w:sz="0" w:space="0" w:color="auto"/>
              </w:divBdr>
              <w:divsChild>
                <w:div w:id="1375345276">
                  <w:marLeft w:val="0"/>
                  <w:marRight w:val="0"/>
                  <w:marTop w:val="0"/>
                  <w:marBottom w:val="0"/>
                  <w:divBdr>
                    <w:top w:val="none" w:sz="0" w:space="0" w:color="auto"/>
                    <w:left w:val="none" w:sz="0" w:space="0" w:color="auto"/>
                    <w:bottom w:val="none" w:sz="0" w:space="0" w:color="auto"/>
                    <w:right w:val="none" w:sz="0" w:space="0" w:color="auto"/>
                  </w:divBdr>
                  <w:divsChild>
                    <w:div w:id="1286695665">
                      <w:marLeft w:val="0"/>
                      <w:marRight w:val="0"/>
                      <w:marTop w:val="0"/>
                      <w:marBottom w:val="300"/>
                      <w:divBdr>
                        <w:top w:val="none" w:sz="0" w:space="0" w:color="auto"/>
                        <w:left w:val="none" w:sz="0" w:space="0" w:color="auto"/>
                        <w:bottom w:val="none" w:sz="0" w:space="0" w:color="auto"/>
                        <w:right w:val="none" w:sz="0" w:space="0" w:color="auto"/>
                      </w:divBdr>
                      <w:divsChild>
                        <w:div w:id="651759596">
                          <w:marLeft w:val="0"/>
                          <w:marRight w:val="0"/>
                          <w:marTop w:val="0"/>
                          <w:marBottom w:val="0"/>
                          <w:divBdr>
                            <w:top w:val="none" w:sz="0" w:space="0" w:color="auto"/>
                            <w:left w:val="none" w:sz="0" w:space="0" w:color="auto"/>
                            <w:bottom w:val="none" w:sz="0" w:space="0" w:color="auto"/>
                            <w:right w:val="none" w:sz="0" w:space="0" w:color="auto"/>
                          </w:divBdr>
                          <w:divsChild>
                            <w:div w:id="1011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033094">
      <w:bodyDiv w:val="1"/>
      <w:marLeft w:val="0"/>
      <w:marRight w:val="0"/>
      <w:marTop w:val="0"/>
      <w:marBottom w:val="0"/>
      <w:divBdr>
        <w:top w:val="none" w:sz="0" w:space="0" w:color="auto"/>
        <w:left w:val="none" w:sz="0" w:space="0" w:color="auto"/>
        <w:bottom w:val="none" w:sz="0" w:space="0" w:color="auto"/>
        <w:right w:val="none" w:sz="0" w:space="0" w:color="auto"/>
      </w:divBdr>
    </w:div>
    <w:div w:id="678046711">
      <w:bodyDiv w:val="1"/>
      <w:marLeft w:val="0"/>
      <w:marRight w:val="0"/>
      <w:marTop w:val="0"/>
      <w:marBottom w:val="0"/>
      <w:divBdr>
        <w:top w:val="none" w:sz="0" w:space="0" w:color="auto"/>
        <w:left w:val="none" w:sz="0" w:space="0" w:color="auto"/>
        <w:bottom w:val="none" w:sz="0" w:space="0" w:color="auto"/>
        <w:right w:val="none" w:sz="0" w:space="0" w:color="auto"/>
      </w:divBdr>
    </w:div>
    <w:div w:id="685056764">
      <w:bodyDiv w:val="1"/>
      <w:marLeft w:val="0"/>
      <w:marRight w:val="0"/>
      <w:marTop w:val="0"/>
      <w:marBottom w:val="0"/>
      <w:divBdr>
        <w:top w:val="none" w:sz="0" w:space="0" w:color="auto"/>
        <w:left w:val="none" w:sz="0" w:space="0" w:color="auto"/>
        <w:bottom w:val="none" w:sz="0" w:space="0" w:color="auto"/>
        <w:right w:val="none" w:sz="0" w:space="0" w:color="auto"/>
      </w:divBdr>
    </w:div>
    <w:div w:id="693923779">
      <w:bodyDiv w:val="1"/>
      <w:marLeft w:val="0"/>
      <w:marRight w:val="0"/>
      <w:marTop w:val="0"/>
      <w:marBottom w:val="0"/>
      <w:divBdr>
        <w:top w:val="none" w:sz="0" w:space="0" w:color="auto"/>
        <w:left w:val="none" w:sz="0" w:space="0" w:color="auto"/>
        <w:bottom w:val="none" w:sz="0" w:space="0" w:color="auto"/>
        <w:right w:val="none" w:sz="0" w:space="0" w:color="auto"/>
      </w:divBdr>
    </w:div>
    <w:div w:id="695927295">
      <w:bodyDiv w:val="1"/>
      <w:marLeft w:val="0"/>
      <w:marRight w:val="0"/>
      <w:marTop w:val="0"/>
      <w:marBottom w:val="0"/>
      <w:divBdr>
        <w:top w:val="none" w:sz="0" w:space="0" w:color="auto"/>
        <w:left w:val="none" w:sz="0" w:space="0" w:color="auto"/>
        <w:bottom w:val="none" w:sz="0" w:space="0" w:color="auto"/>
        <w:right w:val="none" w:sz="0" w:space="0" w:color="auto"/>
      </w:divBdr>
    </w:div>
    <w:div w:id="704907690">
      <w:bodyDiv w:val="1"/>
      <w:marLeft w:val="0"/>
      <w:marRight w:val="0"/>
      <w:marTop w:val="0"/>
      <w:marBottom w:val="0"/>
      <w:divBdr>
        <w:top w:val="none" w:sz="0" w:space="0" w:color="auto"/>
        <w:left w:val="none" w:sz="0" w:space="0" w:color="auto"/>
        <w:bottom w:val="none" w:sz="0" w:space="0" w:color="auto"/>
        <w:right w:val="none" w:sz="0" w:space="0" w:color="auto"/>
      </w:divBdr>
    </w:div>
    <w:div w:id="711659598">
      <w:bodyDiv w:val="1"/>
      <w:marLeft w:val="0"/>
      <w:marRight w:val="0"/>
      <w:marTop w:val="0"/>
      <w:marBottom w:val="0"/>
      <w:divBdr>
        <w:top w:val="none" w:sz="0" w:space="0" w:color="auto"/>
        <w:left w:val="none" w:sz="0" w:space="0" w:color="auto"/>
        <w:bottom w:val="none" w:sz="0" w:space="0" w:color="auto"/>
        <w:right w:val="none" w:sz="0" w:space="0" w:color="auto"/>
      </w:divBdr>
    </w:div>
    <w:div w:id="717360667">
      <w:bodyDiv w:val="1"/>
      <w:marLeft w:val="0"/>
      <w:marRight w:val="0"/>
      <w:marTop w:val="0"/>
      <w:marBottom w:val="0"/>
      <w:divBdr>
        <w:top w:val="none" w:sz="0" w:space="0" w:color="auto"/>
        <w:left w:val="none" w:sz="0" w:space="0" w:color="auto"/>
        <w:bottom w:val="none" w:sz="0" w:space="0" w:color="auto"/>
        <w:right w:val="none" w:sz="0" w:space="0" w:color="auto"/>
      </w:divBdr>
    </w:div>
    <w:div w:id="719134690">
      <w:bodyDiv w:val="1"/>
      <w:marLeft w:val="0"/>
      <w:marRight w:val="0"/>
      <w:marTop w:val="0"/>
      <w:marBottom w:val="0"/>
      <w:divBdr>
        <w:top w:val="none" w:sz="0" w:space="0" w:color="auto"/>
        <w:left w:val="none" w:sz="0" w:space="0" w:color="auto"/>
        <w:bottom w:val="none" w:sz="0" w:space="0" w:color="auto"/>
        <w:right w:val="none" w:sz="0" w:space="0" w:color="auto"/>
      </w:divBdr>
    </w:div>
    <w:div w:id="728191536">
      <w:bodyDiv w:val="1"/>
      <w:marLeft w:val="0"/>
      <w:marRight w:val="0"/>
      <w:marTop w:val="0"/>
      <w:marBottom w:val="0"/>
      <w:divBdr>
        <w:top w:val="none" w:sz="0" w:space="0" w:color="auto"/>
        <w:left w:val="none" w:sz="0" w:space="0" w:color="auto"/>
        <w:bottom w:val="none" w:sz="0" w:space="0" w:color="auto"/>
        <w:right w:val="none" w:sz="0" w:space="0" w:color="auto"/>
      </w:divBdr>
    </w:div>
    <w:div w:id="730469178">
      <w:bodyDiv w:val="1"/>
      <w:marLeft w:val="0"/>
      <w:marRight w:val="0"/>
      <w:marTop w:val="0"/>
      <w:marBottom w:val="0"/>
      <w:divBdr>
        <w:top w:val="none" w:sz="0" w:space="0" w:color="auto"/>
        <w:left w:val="none" w:sz="0" w:space="0" w:color="auto"/>
        <w:bottom w:val="none" w:sz="0" w:space="0" w:color="auto"/>
        <w:right w:val="none" w:sz="0" w:space="0" w:color="auto"/>
      </w:divBdr>
      <w:divsChild>
        <w:div w:id="1920671871">
          <w:marLeft w:val="0"/>
          <w:marRight w:val="0"/>
          <w:marTop w:val="0"/>
          <w:marBottom w:val="0"/>
          <w:divBdr>
            <w:top w:val="none" w:sz="0" w:space="0" w:color="auto"/>
            <w:left w:val="none" w:sz="0" w:space="0" w:color="auto"/>
            <w:bottom w:val="none" w:sz="0" w:space="0" w:color="auto"/>
            <w:right w:val="none" w:sz="0" w:space="0" w:color="auto"/>
          </w:divBdr>
          <w:divsChild>
            <w:div w:id="1817530890">
              <w:marLeft w:val="0"/>
              <w:marRight w:val="0"/>
              <w:marTop w:val="0"/>
              <w:marBottom w:val="0"/>
              <w:divBdr>
                <w:top w:val="none" w:sz="0" w:space="0" w:color="auto"/>
                <w:left w:val="none" w:sz="0" w:space="0" w:color="auto"/>
                <w:bottom w:val="none" w:sz="0" w:space="0" w:color="auto"/>
                <w:right w:val="none" w:sz="0" w:space="0" w:color="auto"/>
              </w:divBdr>
              <w:divsChild>
                <w:div w:id="4946862">
                  <w:marLeft w:val="0"/>
                  <w:marRight w:val="0"/>
                  <w:marTop w:val="0"/>
                  <w:marBottom w:val="0"/>
                  <w:divBdr>
                    <w:top w:val="none" w:sz="0" w:space="0" w:color="auto"/>
                    <w:left w:val="none" w:sz="0" w:space="0" w:color="auto"/>
                    <w:bottom w:val="none" w:sz="0" w:space="0" w:color="auto"/>
                    <w:right w:val="none" w:sz="0" w:space="0" w:color="auto"/>
                  </w:divBdr>
                  <w:divsChild>
                    <w:div w:id="1331057419">
                      <w:marLeft w:val="0"/>
                      <w:marRight w:val="0"/>
                      <w:marTop w:val="0"/>
                      <w:marBottom w:val="0"/>
                      <w:divBdr>
                        <w:top w:val="none" w:sz="0" w:space="0" w:color="auto"/>
                        <w:left w:val="none" w:sz="0" w:space="0" w:color="auto"/>
                        <w:bottom w:val="none" w:sz="0" w:space="0" w:color="auto"/>
                        <w:right w:val="none" w:sz="0" w:space="0" w:color="auto"/>
                      </w:divBdr>
                      <w:divsChild>
                        <w:div w:id="846092209">
                          <w:marLeft w:val="0"/>
                          <w:marRight w:val="0"/>
                          <w:marTop w:val="0"/>
                          <w:marBottom w:val="0"/>
                          <w:divBdr>
                            <w:top w:val="none" w:sz="0" w:space="0" w:color="auto"/>
                            <w:left w:val="none" w:sz="0" w:space="0" w:color="auto"/>
                            <w:bottom w:val="none" w:sz="0" w:space="0" w:color="auto"/>
                            <w:right w:val="none" w:sz="0" w:space="0" w:color="auto"/>
                          </w:divBdr>
                          <w:divsChild>
                            <w:div w:id="296566242">
                              <w:marLeft w:val="0"/>
                              <w:marRight w:val="0"/>
                              <w:marTop w:val="0"/>
                              <w:marBottom w:val="0"/>
                              <w:divBdr>
                                <w:top w:val="none" w:sz="0" w:space="0" w:color="auto"/>
                                <w:left w:val="none" w:sz="0" w:space="0" w:color="auto"/>
                                <w:bottom w:val="none" w:sz="0" w:space="0" w:color="auto"/>
                                <w:right w:val="none" w:sz="0" w:space="0" w:color="auto"/>
                              </w:divBdr>
                              <w:divsChild>
                                <w:div w:id="1054891342">
                                  <w:marLeft w:val="0"/>
                                  <w:marRight w:val="0"/>
                                  <w:marTop w:val="0"/>
                                  <w:marBottom w:val="0"/>
                                  <w:divBdr>
                                    <w:top w:val="none" w:sz="0" w:space="0" w:color="auto"/>
                                    <w:left w:val="none" w:sz="0" w:space="0" w:color="auto"/>
                                    <w:bottom w:val="none" w:sz="0" w:space="0" w:color="auto"/>
                                    <w:right w:val="none" w:sz="0" w:space="0" w:color="auto"/>
                                  </w:divBdr>
                                  <w:divsChild>
                                    <w:div w:id="815410788">
                                      <w:marLeft w:val="0"/>
                                      <w:marRight w:val="0"/>
                                      <w:marTop w:val="0"/>
                                      <w:marBottom w:val="0"/>
                                      <w:divBdr>
                                        <w:top w:val="none" w:sz="0" w:space="0" w:color="auto"/>
                                        <w:left w:val="none" w:sz="0" w:space="0" w:color="auto"/>
                                        <w:bottom w:val="none" w:sz="0" w:space="0" w:color="auto"/>
                                        <w:right w:val="none" w:sz="0" w:space="0" w:color="auto"/>
                                      </w:divBdr>
                                      <w:divsChild>
                                        <w:div w:id="2112779644">
                                          <w:marLeft w:val="0"/>
                                          <w:marRight w:val="0"/>
                                          <w:marTop w:val="0"/>
                                          <w:marBottom w:val="0"/>
                                          <w:divBdr>
                                            <w:top w:val="none" w:sz="0" w:space="0" w:color="auto"/>
                                            <w:left w:val="none" w:sz="0" w:space="0" w:color="auto"/>
                                            <w:bottom w:val="none" w:sz="0" w:space="0" w:color="auto"/>
                                            <w:right w:val="none" w:sz="0" w:space="0" w:color="auto"/>
                                          </w:divBdr>
                                          <w:divsChild>
                                            <w:div w:id="1768309741">
                                              <w:marLeft w:val="0"/>
                                              <w:marRight w:val="0"/>
                                              <w:marTop w:val="0"/>
                                              <w:marBottom w:val="0"/>
                                              <w:divBdr>
                                                <w:top w:val="none" w:sz="0" w:space="0" w:color="auto"/>
                                                <w:left w:val="none" w:sz="0" w:space="0" w:color="auto"/>
                                                <w:bottom w:val="none" w:sz="0" w:space="0" w:color="auto"/>
                                                <w:right w:val="none" w:sz="0" w:space="0" w:color="auto"/>
                                              </w:divBdr>
                                              <w:divsChild>
                                                <w:div w:id="1811820730">
                                                  <w:marLeft w:val="0"/>
                                                  <w:marRight w:val="0"/>
                                                  <w:marTop w:val="0"/>
                                                  <w:marBottom w:val="0"/>
                                                  <w:divBdr>
                                                    <w:top w:val="none" w:sz="0" w:space="0" w:color="auto"/>
                                                    <w:left w:val="none" w:sz="0" w:space="0" w:color="auto"/>
                                                    <w:bottom w:val="none" w:sz="0" w:space="0" w:color="auto"/>
                                                    <w:right w:val="none" w:sz="0" w:space="0" w:color="auto"/>
                                                  </w:divBdr>
                                                  <w:divsChild>
                                                    <w:div w:id="470443208">
                                                      <w:marLeft w:val="0"/>
                                                      <w:marRight w:val="0"/>
                                                      <w:marTop w:val="0"/>
                                                      <w:marBottom w:val="0"/>
                                                      <w:divBdr>
                                                        <w:top w:val="single" w:sz="6" w:space="0" w:color="ABABAB"/>
                                                        <w:left w:val="single" w:sz="6" w:space="0" w:color="ABABAB"/>
                                                        <w:bottom w:val="single" w:sz="12" w:space="0" w:color="ABABAB"/>
                                                        <w:right w:val="single" w:sz="6" w:space="0" w:color="ABABAB"/>
                                                      </w:divBdr>
                                                      <w:divsChild>
                                                        <w:div w:id="57481465">
                                                          <w:marLeft w:val="0"/>
                                                          <w:marRight w:val="0"/>
                                                          <w:marTop w:val="0"/>
                                                          <w:marBottom w:val="0"/>
                                                          <w:divBdr>
                                                            <w:top w:val="none" w:sz="0" w:space="0" w:color="auto"/>
                                                            <w:left w:val="none" w:sz="0" w:space="0" w:color="auto"/>
                                                            <w:bottom w:val="none" w:sz="0" w:space="0" w:color="auto"/>
                                                            <w:right w:val="none" w:sz="0" w:space="0" w:color="auto"/>
                                                          </w:divBdr>
                                                          <w:divsChild>
                                                            <w:div w:id="1942761465">
                                                              <w:marLeft w:val="0"/>
                                                              <w:marRight w:val="0"/>
                                                              <w:marTop w:val="0"/>
                                                              <w:marBottom w:val="0"/>
                                                              <w:divBdr>
                                                                <w:top w:val="none" w:sz="0" w:space="0" w:color="auto"/>
                                                                <w:left w:val="none" w:sz="0" w:space="0" w:color="auto"/>
                                                                <w:bottom w:val="none" w:sz="0" w:space="0" w:color="auto"/>
                                                                <w:right w:val="none" w:sz="0" w:space="0" w:color="auto"/>
                                                              </w:divBdr>
                                                              <w:divsChild>
                                                                <w:div w:id="1531724831">
                                                                  <w:marLeft w:val="0"/>
                                                                  <w:marRight w:val="0"/>
                                                                  <w:marTop w:val="0"/>
                                                                  <w:marBottom w:val="0"/>
                                                                  <w:divBdr>
                                                                    <w:top w:val="none" w:sz="0" w:space="0" w:color="auto"/>
                                                                    <w:left w:val="none" w:sz="0" w:space="0" w:color="auto"/>
                                                                    <w:bottom w:val="none" w:sz="0" w:space="0" w:color="auto"/>
                                                                    <w:right w:val="none" w:sz="0" w:space="0" w:color="auto"/>
                                                                  </w:divBdr>
                                                                  <w:divsChild>
                                                                    <w:div w:id="1347754542">
                                                                      <w:marLeft w:val="0"/>
                                                                      <w:marRight w:val="0"/>
                                                                      <w:marTop w:val="0"/>
                                                                      <w:marBottom w:val="0"/>
                                                                      <w:divBdr>
                                                                        <w:top w:val="none" w:sz="0" w:space="0" w:color="auto"/>
                                                                        <w:left w:val="none" w:sz="0" w:space="0" w:color="auto"/>
                                                                        <w:bottom w:val="none" w:sz="0" w:space="0" w:color="auto"/>
                                                                        <w:right w:val="none" w:sz="0" w:space="0" w:color="auto"/>
                                                                      </w:divBdr>
                                                                      <w:divsChild>
                                                                        <w:div w:id="485784650">
                                                                          <w:marLeft w:val="0"/>
                                                                          <w:marRight w:val="0"/>
                                                                          <w:marTop w:val="0"/>
                                                                          <w:marBottom w:val="0"/>
                                                                          <w:divBdr>
                                                                            <w:top w:val="none" w:sz="0" w:space="0" w:color="auto"/>
                                                                            <w:left w:val="none" w:sz="0" w:space="0" w:color="auto"/>
                                                                            <w:bottom w:val="none" w:sz="0" w:space="0" w:color="auto"/>
                                                                            <w:right w:val="none" w:sz="0" w:space="0" w:color="auto"/>
                                                                          </w:divBdr>
                                                                          <w:divsChild>
                                                                            <w:div w:id="228923838">
                                                                              <w:marLeft w:val="0"/>
                                                                              <w:marRight w:val="0"/>
                                                                              <w:marTop w:val="0"/>
                                                                              <w:marBottom w:val="0"/>
                                                                              <w:divBdr>
                                                                                <w:top w:val="none" w:sz="0" w:space="0" w:color="auto"/>
                                                                                <w:left w:val="none" w:sz="0" w:space="0" w:color="auto"/>
                                                                                <w:bottom w:val="none" w:sz="0" w:space="0" w:color="auto"/>
                                                                                <w:right w:val="none" w:sz="0" w:space="0" w:color="auto"/>
                                                                              </w:divBdr>
                                                                              <w:divsChild>
                                                                                <w:div w:id="166933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624870">
      <w:bodyDiv w:val="1"/>
      <w:marLeft w:val="0"/>
      <w:marRight w:val="0"/>
      <w:marTop w:val="0"/>
      <w:marBottom w:val="0"/>
      <w:divBdr>
        <w:top w:val="none" w:sz="0" w:space="0" w:color="auto"/>
        <w:left w:val="none" w:sz="0" w:space="0" w:color="auto"/>
        <w:bottom w:val="none" w:sz="0" w:space="0" w:color="auto"/>
        <w:right w:val="none" w:sz="0" w:space="0" w:color="auto"/>
      </w:divBdr>
      <w:divsChild>
        <w:div w:id="1743942362">
          <w:marLeft w:val="0"/>
          <w:marRight w:val="0"/>
          <w:marTop w:val="0"/>
          <w:marBottom w:val="0"/>
          <w:divBdr>
            <w:top w:val="none" w:sz="0" w:space="0" w:color="auto"/>
            <w:left w:val="none" w:sz="0" w:space="0" w:color="auto"/>
            <w:bottom w:val="none" w:sz="0" w:space="0" w:color="auto"/>
            <w:right w:val="none" w:sz="0" w:space="0" w:color="auto"/>
          </w:divBdr>
          <w:divsChild>
            <w:div w:id="1598362077">
              <w:marLeft w:val="0"/>
              <w:marRight w:val="0"/>
              <w:marTop w:val="0"/>
              <w:marBottom w:val="0"/>
              <w:divBdr>
                <w:top w:val="none" w:sz="0" w:space="0" w:color="auto"/>
                <w:left w:val="none" w:sz="0" w:space="0" w:color="auto"/>
                <w:bottom w:val="none" w:sz="0" w:space="0" w:color="auto"/>
                <w:right w:val="none" w:sz="0" w:space="0" w:color="auto"/>
              </w:divBdr>
              <w:divsChild>
                <w:div w:id="2121950391">
                  <w:marLeft w:val="0"/>
                  <w:marRight w:val="0"/>
                  <w:marTop w:val="0"/>
                  <w:marBottom w:val="0"/>
                  <w:divBdr>
                    <w:top w:val="none" w:sz="0" w:space="0" w:color="auto"/>
                    <w:left w:val="none" w:sz="0" w:space="0" w:color="auto"/>
                    <w:bottom w:val="none" w:sz="0" w:space="0" w:color="auto"/>
                    <w:right w:val="none" w:sz="0" w:space="0" w:color="auto"/>
                  </w:divBdr>
                  <w:divsChild>
                    <w:div w:id="46145815">
                      <w:marLeft w:val="0"/>
                      <w:marRight w:val="0"/>
                      <w:marTop w:val="0"/>
                      <w:marBottom w:val="0"/>
                      <w:divBdr>
                        <w:top w:val="none" w:sz="0" w:space="0" w:color="auto"/>
                        <w:left w:val="none" w:sz="0" w:space="0" w:color="auto"/>
                        <w:bottom w:val="none" w:sz="0" w:space="0" w:color="auto"/>
                        <w:right w:val="none" w:sz="0" w:space="0" w:color="auto"/>
                      </w:divBdr>
                      <w:divsChild>
                        <w:div w:id="1665887987">
                          <w:marLeft w:val="0"/>
                          <w:marRight w:val="0"/>
                          <w:marTop w:val="0"/>
                          <w:marBottom w:val="0"/>
                          <w:divBdr>
                            <w:top w:val="none" w:sz="0" w:space="0" w:color="auto"/>
                            <w:left w:val="none" w:sz="0" w:space="0" w:color="auto"/>
                            <w:bottom w:val="none" w:sz="0" w:space="0" w:color="auto"/>
                            <w:right w:val="none" w:sz="0" w:space="0" w:color="auto"/>
                          </w:divBdr>
                          <w:divsChild>
                            <w:div w:id="190205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520086">
      <w:bodyDiv w:val="1"/>
      <w:marLeft w:val="0"/>
      <w:marRight w:val="0"/>
      <w:marTop w:val="0"/>
      <w:marBottom w:val="0"/>
      <w:divBdr>
        <w:top w:val="none" w:sz="0" w:space="0" w:color="auto"/>
        <w:left w:val="none" w:sz="0" w:space="0" w:color="auto"/>
        <w:bottom w:val="none" w:sz="0" w:space="0" w:color="auto"/>
        <w:right w:val="none" w:sz="0" w:space="0" w:color="auto"/>
      </w:divBdr>
    </w:div>
    <w:div w:id="762997714">
      <w:bodyDiv w:val="1"/>
      <w:marLeft w:val="0"/>
      <w:marRight w:val="0"/>
      <w:marTop w:val="0"/>
      <w:marBottom w:val="0"/>
      <w:divBdr>
        <w:top w:val="none" w:sz="0" w:space="0" w:color="auto"/>
        <w:left w:val="none" w:sz="0" w:space="0" w:color="auto"/>
        <w:bottom w:val="none" w:sz="0" w:space="0" w:color="auto"/>
        <w:right w:val="none" w:sz="0" w:space="0" w:color="auto"/>
      </w:divBdr>
    </w:div>
    <w:div w:id="771173231">
      <w:bodyDiv w:val="1"/>
      <w:marLeft w:val="0"/>
      <w:marRight w:val="0"/>
      <w:marTop w:val="0"/>
      <w:marBottom w:val="0"/>
      <w:divBdr>
        <w:top w:val="none" w:sz="0" w:space="0" w:color="auto"/>
        <w:left w:val="none" w:sz="0" w:space="0" w:color="auto"/>
        <w:bottom w:val="none" w:sz="0" w:space="0" w:color="auto"/>
        <w:right w:val="none" w:sz="0" w:space="0" w:color="auto"/>
      </w:divBdr>
    </w:div>
    <w:div w:id="773984522">
      <w:bodyDiv w:val="1"/>
      <w:marLeft w:val="0"/>
      <w:marRight w:val="0"/>
      <w:marTop w:val="0"/>
      <w:marBottom w:val="0"/>
      <w:divBdr>
        <w:top w:val="none" w:sz="0" w:space="0" w:color="auto"/>
        <w:left w:val="none" w:sz="0" w:space="0" w:color="auto"/>
        <w:bottom w:val="none" w:sz="0" w:space="0" w:color="auto"/>
        <w:right w:val="none" w:sz="0" w:space="0" w:color="auto"/>
      </w:divBdr>
      <w:divsChild>
        <w:div w:id="386607118">
          <w:marLeft w:val="0"/>
          <w:marRight w:val="0"/>
          <w:marTop w:val="0"/>
          <w:marBottom w:val="0"/>
          <w:divBdr>
            <w:top w:val="none" w:sz="0" w:space="0" w:color="auto"/>
            <w:left w:val="none" w:sz="0" w:space="0" w:color="auto"/>
            <w:bottom w:val="none" w:sz="0" w:space="0" w:color="auto"/>
            <w:right w:val="none" w:sz="0" w:space="0" w:color="auto"/>
          </w:divBdr>
          <w:divsChild>
            <w:div w:id="6317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5836">
      <w:bodyDiv w:val="1"/>
      <w:marLeft w:val="0"/>
      <w:marRight w:val="0"/>
      <w:marTop w:val="0"/>
      <w:marBottom w:val="0"/>
      <w:divBdr>
        <w:top w:val="none" w:sz="0" w:space="0" w:color="auto"/>
        <w:left w:val="none" w:sz="0" w:space="0" w:color="auto"/>
        <w:bottom w:val="none" w:sz="0" w:space="0" w:color="auto"/>
        <w:right w:val="none" w:sz="0" w:space="0" w:color="auto"/>
      </w:divBdr>
    </w:div>
    <w:div w:id="782387994">
      <w:bodyDiv w:val="1"/>
      <w:marLeft w:val="0"/>
      <w:marRight w:val="0"/>
      <w:marTop w:val="0"/>
      <w:marBottom w:val="0"/>
      <w:divBdr>
        <w:top w:val="none" w:sz="0" w:space="0" w:color="auto"/>
        <w:left w:val="none" w:sz="0" w:space="0" w:color="auto"/>
        <w:bottom w:val="none" w:sz="0" w:space="0" w:color="auto"/>
        <w:right w:val="none" w:sz="0" w:space="0" w:color="auto"/>
      </w:divBdr>
    </w:div>
    <w:div w:id="783499905">
      <w:bodyDiv w:val="1"/>
      <w:marLeft w:val="0"/>
      <w:marRight w:val="0"/>
      <w:marTop w:val="0"/>
      <w:marBottom w:val="0"/>
      <w:divBdr>
        <w:top w:val="none" w:sz="0" w:space="0" w:color="auto"/>
        <w:left w:val="none" w:sz="0" w:space="0" w:color="auto"/>
        <w:bottom w:val="none" w:sz="0" w:space="0" w:color="auto"/>
        <w:right w:val="none" w:sz="0" w:space="0" w:color="auto"/>
      </w:divBdr>
    </w:div>
    <w:div w:id="785347900">
      <w:bodyDiv w:val="1"/>
      <w:marLeft w:val="0"/>
      <w:marRight w:val="0"/>
      <w:marTop w:val="0"/>
      <w:marBottom w:val="0"/>
      <w:divBdr>
        <w:top w:val="none" w:sz="0" w:space="0" w:color="auto"/>
        <w:left w:val="none" w:sz="0" w:space="0" w:color="auto"/>
        <w:bottom w:val="none" w:sz="0" w:space="0" w:color="auto"/>
        <w:right w:val="none" w:sz="0" w:space="0" w:color="auto"/>
      </w:divBdr>
    </w:div>
    <w:div w:id="786654775">
      <w:bodyDiv w:val="1"/>
      <w:marLeft w:val="0"/>
      <w:marRight w:val="0"/>
      <w:marTop w:val="0"/>
      <w:marBottom w:val="0"/>
      <w:divBdr>
        <w:top w:val="none" w:sz="0" w:space="0" w:color="auto"/>
        <w:left w:val="none" w:sz="0" w:space="0" w:color="auto"/>
        <w:bottom w:val="none" w:sz="0" w:space="0" w:color="auto"/>
        <w:right w:val="none" w:sz="0" w:space="0" w:color="auto"/>
      </w:divBdr>
    </w:div>
    <w:div w:id="791367261">
      <w:bodyDiv w:val="1"/>
      <w:marLeft w:val="0"/>
      <w:marRight w:val="0"/>
      <w:marTop w:val="0"/>
      <w:marBottom w:val="0"/>
      <w:divBdr>
        <w:top w:val="none" w:sz="0" w:space="0" w:color="auto"/>
        <w:left w:val="none" w:sz="0" w:space="0" w:color="auto"/>
        <w:bottom w:val="none" w:sz="0" w:space="0" w:color="auto"/>
        <w:right w:val="none" w:sz="0" w:space="0" w:color="auto"/>
      </w:divBdr>
    </w:div>
    <w:div w:id="813715224">
      <w:bodyDiv w:val="1"/>
      <w:marLeft w:val="0"/>
      <w:marRight w:val="0"/>
      <w:marTop w:val="0"/>
      <w:marBottom w:val="0"/>
      <w:divBdr>
        <w:top w:val="none" w:sz="0" w:space="0" w:color="auto"/>
        <w:left w:val="none" w:sz="0" w:space="0" w:color="auto"/>
        <w:bottom w:val="none" w:sz="0" w:space="0" w:color="auto"/>
        <w:right w:val="none" w:sz="0" w:space="0" w:color="auto"/>
      </w:divBdr>
    </w:div>
    <w:div w:id="832643569">
      <w:bodyDiv w:val="1"/>
      <w:marLeft w:val="0"/>
      <w:marRight w:val="0"/>
      <w:marTop w:val="0"/>
      <w:marBottom w:val="0"/>
      <w:divBdr>
        <w:top w:val="none" w:sz="0" w:space="0" w:color="auto"/>
        <w:left w:val="none" w:sz="0" w:space="0" w:color="auto"/>
        <w:bottom w:val="none" w:sz="0" w:space="0" w:color="auto"/>
        <w:right w:val="none" w:sz="0" w:space="0" w:color="auto"/>
      </w:divBdr>
      <w:divsChild>
        <w:div w:id="755398402">
          <w:marLeft w:val="0"/>
          <w:marRight w:val="0"/>
          <w:marTop w:val="0"/>
          <w:marBottom w:val="0"/>
          <w:divBdr>
            <w:top w:val="none" w:sz="0" w:space="0" w:color="auto"/>
            <w:left w:val="none" w:sz="0" w:space="0" w:color="auto"/>
            <w:bottom w:val="none" w:sz="0" w:space="0" w:color="auto"/>
            <w:right w:val="none" w:sz="0" w:space="0" w:color="auto"/>
          </w:divBdr>
          <w:divsChild>
            <w:div w:id="2052999838">
              <w:marLeft w:val="0"/>
              <w:marRight w:val="0"/>
              <w:marTop w:val="0"/>
              <w:marBottom w:val="0"/>
              <w:divBdr>
                <w:top w:val="none" w:sz="0" w:space="0" w:color="auto"/>
                <w:left w:val="none" w:sz="0" w:space="0" w:color="auto"/>
                <w:bottom w:val="none" w:sz="0" w:space="0" w:color="auto"/>
                <w:right w:val="none" w:sz="0" w:space="0" w:color="auto"/>
              </w:divBdr>
              <w:divsChild>
                <w:div w:id="2052148606">
                  <w:marLeft w:val="0"/>
                  <w:marRight w:val="0"/>
                  <w:marTop w:val="0"/>
                  <w:marBottom w:val="0"/>
                  <w:divBdr>
                    <w:top w:val="none" w:sz="0" w:space="0" w:color="auto"/>
                    <w:left w:val="none" w:sz="0" w:space="0" w:color="auto"/>
                    <w:bottom w:val="none" w:sz="0" w:space="0" w:color="auto"/>
                    <w:right w:val="none" w:sz="0" w:space="0" w:color="auto"/>
                  </w:divBdr>
                  <w:divsChild>
                    <w:div w:id="1140074542">
                      <w:marLeft w:val="0"/>
                      <w:marRight w:val="0"/>
                      <w:marTop w:val="0"/>
                      <w:marBottom w:val="0"/>
                      <w:divBdr>
                        <w:top w:val="none" w:sz="0" w:space="0" w:color="auto"/>
                        <w:left w:val="none" w:sz="0" w:space="0" w:color="auto"/>
                        <w:bottom w:val="none" w:sz="0" w:space="0" w:color="auto"/>
                        <w:right w:val="none" w:sz="0" w:space="0" w:color="auto"/>
                      </w:divBdr>
                      <w:divsChild>
                        <w:div w:id="581452353">
                          <w:marLeft w:val="0"/>
                          <w:marRight w:val="0"/>
                          <w:marTop w:val="0"/>
                          <w:marBottom w:val="0"/>
                          <w:divBdr>
                            <w:top w:val="none" w:sz="0" w:space="0" w:color="auto"/>
                            <w:left w:val="none" w:sz="0" w:space="0" w:color="auto"/>
                            <w:bottom w:val="none" w:sz="0" w:space="0" w:color="auto"/>
                            <w:right w:val="none" w:sz="0" w:space="0" w:color="auto"/>
                          </w:divBdr>
                          <w:divsChild>
                            <w:div w:id="622930828">
                              <w:marLeft w:val="0"/>
                              <w:marRight w:val="0"/>
                              <w:marTop w:val="0"/>
                              <w:marBottom w:val="0"/>
                              <w:divBdr>
                                <w:top w:val="none" w:sz="0" w:space="0" w:color="auto"/>
                                <w:left w:val="none" w:sz="0" w:space="0" w:color="auto"/>
                                <w:bottom w:val="none" w:sz="0" w:space="0" w:color="auto"/>
                                <w:right w:val="none" w:sz="0" w:space="0" w:color="auto"/>
                              </w:divBdr>
                              <w:divsChild>
                                <w:div w:id="19551459">
                                  <w:marLeft w:val="0"/>
                                  <w:marRight w:val="0"/>
                                  <w:marTop w:val="0"/>
                                  <w:marBottom w:val="0"/>
                                  <w:divBdr>
                                    <w:top w:val="none" w:sz="0" w:space="0" w:color="auto"/>
                                    <w:left w:val="none" w:sz="0" w:space="0" w:color="auto"/>
                                    <w:bottom w:val="none" w:sz="0" w:space="0" w:color="auto"/>
                                    <w:right w:val="none" w:sz="0" w:space="0" w:color="auto"/>
                                  </w:divBdr>
                                  <w:divsChild>
                                    <w:div w:id="1916160812">
                                      <w:marLeft w:val="0"/>
                                      <w:marRight w:val="0"/>
                                      <w:marTop w:val="0"/>
                                      <w:marBottom w:val="0"/>
                                      <w:divBdr>
                                        <w:top w:val="none" w:sz="0" w:space="0" w:color="auto"/>
                                        <w:left w:val="none" w:sz="0" w:space="0" w:color="auto"/>
                                        <w:bottom w:val="none" w:sz="0" w:space="0" w:color="auto"/>
                                        <w:right w:val="none" w:sz="0" w:space="0" w:color="auto"/>
                                      </w:divBdr>
                                      <w:divsChild>
                                        <w:div w:id="1793355093">
                                          <w:marLeft w:val="0"/>
                                          <w:marRight w:val="0"/>
                                          <w:marTop w:val="0"/>
                                          <w:marBottom w:val="0"/>
                                          <w:divBdr>
                                            <w:top w:val="none" w:sz="0" w:space="0" w:color="auto"/>
                                            <w:left w:val="none" w:sz="0" w:space="0" w:color="auto"/>
                                            <w:bottom w:val="none" w:sz="0" w:space="0" w:color="auto"/>
                                            <w:right w:val="none" w:sz="0" w:space="0" w:color="auto"/>
                                          </w:divBdr>
                                          <w:divsChild>
                                            <w:div w:id="1112745225">
                                              <w:marLeft w:val="0"/>
                                              <w:marRight w:val="0"/>
                                              <w:marTop w:val="0"/>
                                              <w:marBottom w:val="0"/>
                                              <w:divBdr>
                                                <w:top w:val="none" w:sz="0" w:space="0" w:color="auto"/>
                                                <w:left w:val="none" w:sz="0" w:space="0" w:color="auto"/>
                                                <w:bottom w:val="none" w:sz="0" w:space="0" w:color="auto"/>
                                                <w:right w:val="none" w:sz="0" w:space="0" w:color="auto"/>
                                              </w:divBdr>
                                              <w:divsChild>
                                                <w:div w:id="1816557992">
                                                  <w:marLeft w:val="0"/>
                                                  <w:marRight w:val="0"/>
                                                  <w:marTop w:val="0"/>
                                                  <w:marBottom w:val="0"/>
                                                  <w:divBdr>
                                                    <w:top w:val="none" w:sz="0" w:space="0" w:color="auto"/>
                                                    <w:left w:val="none" w:sz="0" w:space="0" w:color="auto"/>
                                                    <w:bottom w:val="none" w:sz="0" w:space="0" w:color="auto"/>
                                                    <w:right w:val="none" w:sz="0" w:space="0" w:color="auto"/>
                                                  </w:divBdr>
                                                  <w:divsChild>
                                                    <w:div w:id="494221135">
                                                      <w:marLeft w:val="0"/>
                                                      <w:marRight w:val="0"/>
                                                      <w:marTop w:val="0"/>
                                                      <w:marBottom w:val="0"/>
                                                      <w:divBdr>
                                                        <w:top w:val="single" w:sz="6" w:space="0" w:color="ABABAB"/>
                                                        <w:left w:val="single" w:sz="6" w:space="0" w:color="ABABAB"/>
                                                        <w:bottom w:val="none" w:sz="0" w:space="0" w:color="auto"/>
                                                        <w:right w:val="single" w:sz="6" w:space="0" w:color="ABABAB"/>
                                                      </w:divBdr>
                                                      <w:divsChild>
                                                        <w:div w:id="747924465">
                                                          <w:marLeft w:val="0"/>
                                                          <w:marRight w:val="0"/>
                                                          <w:marTop w:val="0"/>
                                                          <w:marBottom w:val="0"/>
                                                          <w:divBdr>
                                                            <w:top w:val="none" w:sz="0" w:space="0" w:color="auto"/>
                                                            <w:left w:val="none" w:sz="0" w:space="0" w:color="auto"/>
                                                            <w:bottom w:val="none" w:sz="0" w:space="0" w:color="auto"/>
                                                            <w:right w:val="none" w:sz="0" w:space="0" w:color="auto"/>
                                                          </w:divBdr>
                                                          <w:divsChild>
                                                            <w:div w:id="221604879">
                                                              <w:marLeft w:val="0"/>
                                                              <w:marRight w:val="0"/>
                                                              <w:marTop w:val="0"/>
                                                              <w:marBottom w:val="0"/>
                                                              <w:divBdr>
                                                                <w:top w:val="none" w:sz="0" w:space="0" w:color="auto"/>
                                                                <w:left w:val="none" w:sz="0" w:space="0" w:color="auto"/>
                                                                <w:bottom w:val="none" w:sz="0" w:space="0" w:color="auto"/>
                                                                <w:right w:val="none" w:sz="0" w:space="0" w:color="auto"/>
                                                              </w:divBdr>
                                                              <w:divsChild>
                                                                <w:div w:id="1533225450">
                                                                  <w:marLeft w:val="0"/>
                                                                  <w:marRight w:val="0"/>
                                                                  <w:marTop w:val="0"/>
                                                                  <w:marBottom w:val="0"/>
                                                                  <w:divBdr>
                                                                    <w:top w:val="none" w:sz="0" w:space="0" w:color="auto"/>
                                                                    <w:left w:val="none" w:sz="0" w:space="0" w:color="auto"/>
                                                                    <w:bottom w:val="none" w:sz="0" w:space="0" w:color="auto"/>
                                                                    <w:right w:val="none" w:sz="0" w:space="0" w:color="auto"/>
                                                                  </w:divBdr>
                                                                  <w:divsChild>
                                                                    <w:div w:id="921329863">
                                                                      <w:marLeft w:val="0"/>
                                                                      <w:marRight w:val="0"/>
                                                                      <w:marTop w:val="0"/>
                                                                      <w:marBottom w:val="0"/>
                                                                      <w:divBdr>
                                                                        <w:top w:val="none" w:sz="0" w:space="0" w:color="auto"/>
                                                                        <w:left w:val="none" w:sz="0" w:space="0" w:color="auto"/>
                                                                        <w:bottom w:val="none" w:sz="0" w:space="0" w:color="auto"/>
                                                                        <w:right w:val="none" w:sz="0" w:space="0" w:color="auto"/>
                                                                      </w:divBdr>
                                                                      <w:divsChild>
                                                                        <w:div w:id="193930234">
                                                                          <w:marLeft w:val="0"/>
                                                                          <w:marRight w:val="0"/>
                                                                          <w:marTop w:val="0"/>
                                                                          <w:marBottom w:val="0"/>
                                                                          <w:divBdr>
                                                                            <w:top w:val="none" w:sz="0" w:space="0" w:color="auto"/>
                                                                            <w:left w:val="none" w:sz="0" w:space="0" w:color="auto"/>
                                                                            <w:bottom w:val="none" w:sz="0" w:space="0" w:color="auto"/>
                                                                            <w:right w:val="none" w:sz="0" w:space="0" w:color="auto"/>
                                                                          </w:divBdr>
                                                                          <w:divsChild>
                                                                            <w:div w:id="542520874">
                                                                              <w:marLeft w:val="0"/>
                                                                              <w:marRight w:val="0"/>
                                                                              <w:marTop w:val="0"/>
                                                                              <w:marBottom w:val="0"/>
                                                                              <w:divBdr>
                                                                                <w:top w:val="none" w:sz="0" w:space="0" w:color="auto"/>
                                                                                <w:left w:val="none" w:sz="0" w:space="0" w:color="auto"/>
                                                                                <w:bottom w:val="none" w:sz="0" w:space="0" w:color="auto"/>
                                                                                <w:right w:val="none" w:sz="0" w:space="0" w:color="auto"/>
                                                                              </w:divBdr>
                                                                              <w:divsChild>
                                                                                <w:div w:id="19634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031546">
      <w:bodyDiv w:val="1"/>
      <w:marLeft w:val="0"/>
      <w:marRight w:val="0"/>
      <w:marTop w:val="0"/>
      <w:marBottom w:val="0"/>
      <w:divBdr>
        <w:top w:val="none" w:sz="0" w:space="0" w:color="auto"/>
        <w:left w:val="none" w:sz="0" w:space="0" w:color="auto"/>
        <w:bottom w:val="none" w:sz="0" w:space="0" w:color="auto"/>
        <w:right w:val="none" w:sz="0" w:space="0" w:color="auto"/>
      </w:divBdr>
    </w:div>
    <w:div w:id="848788928">
      <w:bodyDiv w:val="1"/>
      <w:marLeft w:val="0"/>
      <w:marRight w:val="0"/>
      <w:marTop w:val="0"/>
      <w:marBottom w:val="0"/>
      <w:divBdr>
        <w:top w:val="none" w:sz="0" w:space="0" w:color="auto"/>
        <w:left w:val="none" w:sz="0" w:space="0" w:color="auto"/>
        <w:bottom w:val="none" w:sz="0" w:space="0" w:color="auto"/>
        <w:right w:val="none" w:sz="0" w:space="0" w:color="auto"/>
      </w:divBdr>
    </w:div>
    <w:div w:id="861824328">
      <w:bodyDiv w:val="1"/>
      <w:marLeft w:val="0"/>
      <w:marRight w:val="0"/>
      <w:marTop w:val="0"/>
      <w:marBottom w:val="0"/>
      <w:divBdr>
        <w:top w:val="none" w:sz="0" w:space="0" w:color="auto"/>
        <w:left w:val="none" w:sz="0" w:space="0" w:color="auto"/>
        <w:bottom w:val="none" w:sz="0" w:space="0" w:color="auto"/>
        <w:right w:val="none" w:sz="0" w:space="0" w:color="auto"/>
      </w:divBdr>
      <w:divsChild>
        <w:div w:id="1864434232">
          <w:marLeft w:val="0"/>
          <w:marRight w:val="0"/>
          <w:marTop w:val="0"/>
          <w:marBottom w:val="0"/>
          <w:divBdr>
            <w:top w:val="none" w:sz="0" w:space="0" w:color="auto"/>
            <w:left w:val="none" w:sz="0" w:space="0" w:color="auto"/>
            <w:bottom w:val="none" w:sz="0" w:space="0" w:color="auto"/>
            <w:right w:val="none" w:sz="0" w:space="0" w:color="auto"/>
          </w:divBdr>
          <w:divsChild>
            <w:div w:id="1001663701">
              <w:marLeft w:val="0"/>
              <w:marRight w:val="0"/>
              <w:marTop w:val="0"/>
              <w:marBottom w:val="0"/>
              <w:divBdr>
                <w:top w:val="none" w:sz="0" w:space="0" w:color="auto"/>
                <w:left w:val="none" w:sz="0" w:space="0" w:color="auto"/>
                <w:bottom w:val="none" w:sz="0" w:space="0" w:color="auto"/>
                <w:right w:val="none" w:sz="0" w:space="0" w:color="auto"/>
              </w:divBdr>
              <w:divsChild>
                <w:div w:id="1327824974">
                  <w:marLeft w:val="0"/>
                  <w:marRight w:val="0"/>
                  <w:marTop w:val="0"/>
                  <w:marBottom w:val="0"/>
                  <w:divBdr>
                    <w:top w:val="none" w:sz="0" w:space="0" w:color="auto"/>
                    <w:left w:val="none" w:sz="0" w:space="0" w:color="auto"/>
                    <w:bottom w:val="none" w:sz="0" w:space="0" w:color="auto"/>
                    <w:right w:val="none" w:sz="0" w:space="0" w:color="auto"/>
                  </w:divBdr>
                  <w:divsChild>
                    <w:div w:id="1402602468">
                      <w:marLeft w:val="0"/>
                      <w:marRight w:val="0"/>
                      <w:marTop w:val="0"/>
                      <w:marBottom w:val="300"/>
                      <w:divBdr>
                        <w:top w:val="none" w:sz="0" w:space="0" w:color="auto"/>
                        <w:left w:val="none" w:sz="0" w:space="0" w:color="auto"/>
                        <w:bottom w:val="none" w:sz="0" w:space="0" w:color="auto"/>
                        <w:right w:val="none" w:sz="0" w:space="0" w:color="auto"/>
                      </w:divBdr>
                      <w:divsChild>
                        <w:div w:id="1657765038">
                          <w:marLeft w:val="0"/>
                          <w:marRight w:val="0"/>
                          <w:marTop w:val="0"/>
                          <w:marBottom w:val="0"/>
                          <w:divBdr>
                            <w:top w:val="none" w:sz="0" w:space="0" w:color="auto"/>
                            <w:left w:val="none" w:sz="0" w:space="0" w:color="auto"/>
                            <w:bottom w:val="none" w:sz="0" w:space="0" w:color="auto"/>
                            <w:right w:val="none" w:sz="0" w:space="0" w:color="auto"/>
                          </w:divBdr>
                          <w:divsChild>
                            <w:div w:id="3410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024689">
      <w:bodyDiv w:val="1"/>
      <w:marLeft w:val="0"/>
      <w:marRight w:val="0"/>
      <w:marTop w:val="0"/>
      <w:marBottom w:val="0"/>
      <w:divBdr>
        <w:top w:val="none" w:sz="0" w:space="0" w:color="auto"/>
        <w:left w:val="none" w:sz="0" w:space="0" w:color="auto"/>
        <w:bottom w:val="none" w:sz="0" w:space="0" w:color="auto"/>
        <w:right w:val="none" w:sz="0" w:space="0" w:color="auto"/>
      </w:divBdr>
      <w:divsChild>
        <w:div w:id="884609236">
          <w:marLeft w:val="0"/>
          <w:marRight w:val="0"/>
          <w:marTop w:val="0"/>
          <w:marBottom w:val="0"/>
          <w:divBdr>
            <w:top w:val="none" w:sz="0" w:space="0" w:color="auto"/>
            <w:left w:val="none" w:sz="0" w:space="0" w:color="auto"/>
            <w:bottom w:val="none" w:sz="0" w:space="0" w:color="auto"/>
            <w:right w:val="none" w:sz="0" w:space="0" w:color="auto"/>
          </w:divBdr>
          <w:divsChild>
            <w:div w:id="2003312020">
              <w:marLeft w:val="0"/>
              <w:marRight w:val="0"/>
              <w:marTop w:val="0"/>
              <w:marBottom w:val="0"/>
              <w:divBdr>
                <w:top w:val="none" w:sz="0" w:space="0" w:color="auto"/>
                <w:left w:val="none" w:sz="0" w:space="0" w:color="auto"/>
                <w:bottom w:val="none" w:sz="0" w:space="0" w:color="auto"/>
                <w:right w:val="none" w:sz="0" w:space="0" w:color="auto"/>
              </w:divBdr>
              <w:divsChild>
                <w:div w:id="103883481">
                  <w:marLeft w:val="0"/>
                  <w:marRight w:val="0"/>
                  <w:marTop w:val="0"/>
                  <w:marBottom w:val="0"/>
                  <w:divBdr>
                    <w:top w:val="none" w:sz="0" w:space="0" w:color="auto"/>
                    <w:left w:val="none" w:sz="0" w:space="0" w:color="auto"/>
                    <w:bottom w:val="none" w:sz="0" w:space="0" w:color="auto"/>
                    <w:right w:val="none" w:sz="0" w:space="0" w:color="auto"/>
                  </w:divBdr>
                  <w:divsChild>
                    <w:div w:id="301662295">
                      <w:marLeft w:val="0"/>
                      <w:marRight w:val="0"/>
                      <w:marTop w:val="0"/>
                      <w:marBottom w:val="0"/>
                      <w:divBdr>
                        <w:top w:val="none" w:sz="0" w:space="0" w:color="auto"/>
                        <w:left w:val="none" w:sz="0" w:space="0" w:color="auto"/>
                        <w:bottom w:val="none" w:sz="0" w:space="0" w:color="auto"/>
                        <w:right w:val="none" w:sz="0" w:space="0" w:color="auto"/>
                      </w:divBdr>
                      <w:divsChild>
                        <w:div w:id="1774858400">
                          <w:marLeft w:val="0"/>
                          <w:marRight w:val="0"/>
                          <w:marTop w:val="0"/>
                          <w:marBottom w:val="0"/>
                          <w:divBdr>
                            <w:top w:val="none" w:sz="0" w:space="0" w:color="auto"/>
                            <w:left w:val="none" w:sz="0" w:space="0" w:color="auto"/>
                            <w:bottom w:val="none" w:sz="0" w:space="0" w:color="auto"/>
                            <w:right w:val="none" w:sz="0" w:space="0" w:color="auto"/>
                          </w:divBdr>
                          <w:divsChild>
                            <w:div w:id="229577418">
                              <w:marLeft w:val="0"/>
                              <w:marRight w:val="0"/>
                              <w:marTop w:val="0"/>
                              <w:marBottom w:val="0"/>
                              <w:divBdr>
                                <w:top w:val="none" w:sz="0" w:space="0" w:color="auto"/>
                                <w:left w:val="none" w:sz="0" w:space="0" w:color="auto"/>
                                <w:bottom w:val="none" w:sz="0" w:space="0" w:color="auto"/>
                                <w:right w:val="none" w:sz="0" w:space="0" w:color="auto"/>
                              </w:divBdr>
                              <w:divsChild>
                                <w:div w:id="15298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69270061">
      <w:bodyDiv w:val="1"/>
      <w:marLeft w:val="0"/>
      <w:marRight w:val="0"/>
      <w:marTop w:val="0"/>
      <w:marBottom w:val="0"/>
      <w:divBdr>
        <w:top w:val="none" w:sz="0" w:space="0" w:color="auto"/>
        <w:left w:val="none" w:sz="0" w:space="0" w:color="auto"/>
        <w:bottom w:val="none" w:sz="0" w:space="0" w:color="auto"/>
        <w:right w:val="none" w:sz="0" w:space="0" w:color="auto"/>
      </w:divBdr>
    </w:div>
    <w:div w:id="882324241">
      <w:bodyDiv w:val="1"/>
      <w:marLeft w:val="0"/>
      <w:marRight w:val="0"/>
      <w:marTop w:val="0"/>
      <w:marBottom w:val="0"/>
      <w:divBdr>
        <w:top w:val="none" w:sz="0" w:space="0" w:color="auto"/>
        <w:left w:val="none" w:sz="0" w:space="0" w:color="auto"/>
        <w:bottom w:val="none" w:sz="0" w:space="0" w:color="auto"/>
        <w:right w:val="none" w:sz="0" w:space="0" w:color="auto"/>
      </w:divBdr>
    </w:div>
    <w:div w:id="885142227">
      <w:bodyDiv w:val="1"/>
      <w:marLeft w:val="0"/>
      <w:marRight w:val="0"/>
      <w:marTop w:val="0"/>
      <w:marBottom w:val="0"/>
      <w:divBdr>
        <w:top w:val="none" w:sz="0" w:space="0" w:color="auto"/>
        <w:left w:val="none" w:sz="0" w:space="0" w:color="auto"/>
        <w:bottom w:val="none" w:sz="0" w:space="0" w:color="auto"/>
        <w:right w:val="none" w:sz="0" w:space="0" w:color="auto"/>
      </w:divBdr>
    </w:div>
    <w:div w:id="914783253">
      <w:bodyDiv w:val="1"/>
      <w:marLeft w:val="0"/>
      <w:marRight w:val="0"/>
      <w:marTop w:val="0"/>
      <w:marBottom w:val="0"/>
      <w:divBdr>
        <w:top w:val="none" w:sz="0" w:space="0" w:color="auto"/>
        <w:left w:val="none" w:sz="0" w:space="0" w:color="auto"/>
        <w:bottom w:val="none" w:sz="0" w:space="0" w:color="auto"/>
        <w:right w:val="none" w:sz="0" w:space="0" w:color="auto"/>
      </w:divBdr>
    </w:div>
    <w:div w:id="915356693">
      <w:bodyDiv w:val="1"/>
      <w:marLeft w:val="0"/>
      <w:marRight w:val="0"/>
      <w:marTop w:val="0"/>
      <w:marBottom w:val="0"/>
      <w:divBdr>
        <w:top w:val="none" w:sz="0" w:space="0" w:color="auto"/>
        <w:left w:val="none" w:sz="0" w:space="0" w:color="auto"/>
        <w:bottom w:val="none" w:sz="0" w:space="0" w:color="auto"/>
        <w:right w:val="none" w:sz="0" w:space="0" w:color="auto"/>
      </w:divBdr>
    </w:div>
    <w:div w:id="919943635">
      <w:bodyDiv w:val="1"/>
      <w:marLeft w:val="0"/>
      <w:marRight w:val="0"/>
      <w:marTop w:val="0"/>
      <w:marBottom w:val="0"/>
      <w:divBdr>
        <w:top w:val="none" w:sz="0" w:space="0" w:color="auto"/>
        <w:left w:val="none" w:sz="0" w:space="0" w:color="auto"/>
        <w:bottom w:val="none" w:sz="0" w:space="0" w:color="auto"/>
        <w:right w:val="none" w:sz="0" w:space="0" w:color="auto"/>
      </w:divBdr>
      <w:divsChild>
        <w:div w:id="1419057896">
          <w:marLeft w:val="0"/>
          <w:marRight w:val="0"/>
          <w:marTop w:val="0"/>
          <w:marBottom w:val="0"/>
          <w:divBdr>
            <w:top w:val="none" w:sz="0" w:space="0" w:color="auto"/>
            <w:left w:val="none" w:sz="0" w:space="0" w:color="auto"/>
            <w:bottom w:val="none" w:sz="0" w:space="0" w:color="auto"/>
            <w:right w:val="none" w:sz="0" w:space="0" w:color="auto"/>
          </w:divBdr>
          <w:divsChild>
            <w:div w:id="2084059866">
              <w:marLeft w:val="0"/>
              <w:marRight w:val="0"/>
              <w:marTop w:val="0"/>
              <w:marBottom w:val="0"/>
              <w:divBdr>
                <w:top w:val="none" w:sz="0" w:space="0" w:color="auto"/>
                <w:left w:val="none" w:sz="0" w:space="0" w:color="auto"/>
                <w:bottom w:val="none" w:sz="0" w:space="0" w:color="auto"/>
                <w:right w:val="none" w:sz="0" w:space="0" w:color="auto"/>
              </w:divBdr>
              <w:divsChild>
                <w:div w:id="1581787742">
                  <w:marLeft w:val="0"/>
                  <w:marRight w:val="0"/>
                  <w:marTop w:val="0"/>
                  <w:marBottom w:val="0"/>
                  <w:divBdr>
                    <w:top w:val="none" w:sz="0" w:space="0" w:color="auto"/>
                    <w:left w:val="none" w:sz="0" w:space="0" w:color="auto"/>
                    <w:bottom w:val="none" w:sz="0" w:space="0" w:color="auto"/>
                    <w:right w:val="none" w:sz="0" w:space="0" w:color="auto"/>
                  </w:divBdr>
                  <w:divsChild>
                    <w:div w:id="609550475">
                      <w:marLeft w:val="0"/>
                      <w:marRight w:val="0"/>
                      <w:marTop w:val="0"/>
                      <w:marBottom w:val="300"/>
                      <w:divBdr>
                        <w:top w:val="none" w:sz="0" w:space="0" w:color="auto"/>
                        <w:left w:val="none" w:sz="0" w:space="0" w:color="auto"/>
                        <w:bottom w:val="none" w:sz="0" w:space="0" w:color="auto"/>
                        <w:right w:val="none" w:sz="0" w:space="0" w:color="auto"/>
                      </w:divBdr>
                      <w:divsChild>
                        <w:div w:id="1119950850">
                          <w:marLeft w:val="0"/>
                          <w:marRight w:val="0"/>
                          <w:marTop w:val="0"/>
                          <w:marBottom w:val="0"/>
                          <w:divBdr>
                            <w:top w:val="none" w:sz="0" w:space="0" w:color="auto"/>
                            <w:left w:val="none" w:sz="0" w:space="0" w:color="auto"/>
                            <w:bottom w:val="none" w:sz="0" w:space="0" w:color="auto"/>
                            <w:right w:val="none" w:sz="0" w:space="0" w:color="auto"/>
                          </w:divBdr>
                          <w:divsChild>
                            <w:div w:id="461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966435">
      <w:bodyDiv w:val="1"/>
      <w:marLeft w:val="0"/>
      <w:marRight w:val="0"/>
      <w:marTop w:val="0"/>
      <w:marBottom w:val="0"/>
      <w:divBdr>
        <w:top w:val="none" w:sz="0" w:space="0" w:color="auto"/>
        <w:left w:val="none" w:sz="0" w:space="0" w:color="auto"/>
        <w:bottom w:val="none" w:sz="0" w:space="0" w:color="auto"/>
        <w:right w:val="none" w:sz="0" w:space="0" w:color="auto"/>
      </w:divBdr>
      <w:divsChild>
        <w:div w:id="50228960">
          <w:marLeft w:val="446"/>
          <w:marRight w:val="0"/>
          <w:marTop w:val="0"/>
          <w:marBottom w:val="120"/>
          <w:divBdr>
            <w:top w:val="none" w:sz="0" w:space="0" w:color="auto"/>
            <w:left w:val="none" w:sz="0" w:space="0" w:color="auto"/>
            <w:bottom w:val="none" w:sz="0" w:space="0" w:color="auto"/>
            <w:right w:val="none" w:sz="0" w:space="0" w:color="auto"/>
          </w:divBdr>
        </w:div>
        <w:div w:id="362444493">
          <w:marLeft w:val="446"/>
          <w:marRight w:val="0"/>
          <w:marTop w:val="0"/>
          <w:marBottom w:val="120"/>
          <w:divBdr>
            <w:top w:val="none" w:sz="0" w:space="0" w:color="auto"/>
            <w:left w:val="none" w:sz="0" w:space="0" w:color="auto"/>
            <w:bottom w:val="none" w:sz="0" w:space="0" w:color="auto"/>
            <w:right w:val="none" w:sz="0" w:space="0" w:color="auto"/>
          </w:divBdr>
        </w:div>
        <w:div w:id="863053114">
          <w:marLeft w:val="446"/>
          <w:marRight w:val="0"/>
          <w:marTop w:val="0"/>
          <w:marBottom w:val="120"/>
          <w:divBdr>
            <w:top w:val="none" w:sz="0" w:space="0" w:color="auto"/>
            <w:left w:val="none" w:sz="0" w:space="0" w:color="auto"/>
            <w:bottom w:val="none" w:sz="0" w:space="0" w:color="auto"/>
            <w:right w:val="none" w:sz="0" w:space="0" w:color="auto"/>
          </w:divBdr>
        </w:div>
        <w:div w:id="1017270014">
          <w:marLeft w:val="446"/>
          <w:marRight w:val="0"/>
          <w:marTop w:val="0"/>
          <w:marBottom w:val="120"/>
          <w:divBdr>
            <w:top w:val="none" w:sz="0" w:space="0" w:color="auto"/>
            <w:left w:val="none" w:sz="0" w:space="0" w:color="auto"/>
            <w:bottom w:val="none" w:sz="0" w:space="0" w:color="auto"/>
            <w:right w:val="none" w:sz="0" w:space="0" w:color="auto"/>
          </w:divBdr>
        </w:div>
        <w:div w:id="1442411915">
          <w:marLeft w:val="446"/>
          <w:marRight w:val="0"/>
          <w:marTop w:val="0"/>
          <w:marBottom w:val="120"/>
          <w:divBdr>
            <w:top w:val="none" w:sz="0" w:space="0" w:color="auto"/>
            <w:left w:val="none" w:sz="0" w:space="0" w:color="auto"/>
            <w:bottom w:val="none" w:sz="0" w:space="0" w:color="auto"/>
            <w:right w:val="none" w:sz="0" w:space="0" w:color="auto"/>
          </w:divBdr>
        </w:div>
        <w:div w:id="1818523012">
          <w:marLeft w:val="446"/>
          <w:marRight w:val="0"/>
          <w:marTop w:val="0"/>
          <w:marBottom w:val="120"/>
          <w:divBdr>
            <w:top w:val="none" w:sz="0" w:space="0" w:color="auto"/>
            <w:left w:val="none" w:sz="0" w:space="0" w:color="auto"/>
            <w:bottom w:val="none" w:sz="0" w:space="0" w:color="auto"/>
            <w:right w:val="none" w:sz="0" w:space="0" w:color="auto"/>
          </w:divBdr>
        </w:div>
      </w:divsChild>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40181886">
      <w:bodyDiv w:val="1"/>
      <w:marLeft w:val="0"/>
      <w:marRight w:val="0"/>
      <w:marTop w:val="0"/>
      <w:marBottom w:val="0"/>
      <w:divBdr>
        <w:top w:val="none" w:sz="0" w:space="0" w:color="auto"/>
        <w:left w:val="none" w:sz="0" w:space="0" w:color="auto"/>
        <w:bottom w:val="none" w:sz="0" w:space="0" w:color="auto"/>
        <w:right w:val="none" w:sz="0" w:space="0" w:color="auto"/>
      </w:divBdr>
    </w:div>
    <w:div w:id="941569686">
      <w:bodyDiv w:val="1"/>
      <w:marLeft w:val="0"/>
      <w:marRight w:val="0"/>
      <w:marTop w:val="0"/>
      <w:marBottom w:val="0"/>
      <w:divBdr>
        <w:top w:val="none" w:sz="0" w:space="0" w:color="auto"/>
        <w:left w:val="none" w:sz="0" w:space="0" w:color="auto"/>
        <w:bottom w:val="none" w:sz="0" w:space="0" w:color="auto"/>
        <w:right w:val="none" w:sz="0" w:space="0" w:color="auto"/>
      </w:divBdr>
    </w:div>
    <w:div w:id="955134353">
      <w:bodyDiv w:val="1"/>
      <w:marLeft w:val="0"/>
      <w:marRight w:val="0"/>
      <w:marTop w:val="0"/>
      <w:marBottom w:val="0"/>
      <w:divBdr>
        <w:top w:val="none" w:sz="0" w:space="0" w:color="auto"/>
        <w:left w:val="none" w:sz="0" w:space="0" w:color="auto"/>
        <w:bottom w:val="none" w:sz="0" w:space="0" w:color="auto"/>
        <w:right w:val="none" w:sz="0" w:space="0" w:color="auto"/>
      </w:divBdr>
    </w:div>
    <w:div w:id="963927967">
      <w:bodyDiv w:val="1"/>
      <w:marLeft w:val="0"/>
      <w:marRight w:val="0"/>
      <w:marTop w:val="0"/>
      <w:marBottom w:val="0"/>
      <w:divBdr>
        <w:top w:val="none" w:sz="0" w:space="0" w:color="auto"/>
        <w:left w:val="none" w:sz="0" w:space="0" w:color="auto"/>
        <w:bottom w:val="none" w:sz="0" w:space="0" w:color="auto"/>
        <w:right w:val="none" w:sz="0" w:space="0" w:color="auto"/>
      </w:divBdr>
    </w:div>
    <w:div w:id="974260212">
      <w:bodyDiv w:val="1"/>
      <w:marLeft w:val="0"/>
      <w:marRight w:val="0"/>
      <w:marTop w:val="0"/>
      <w:marBottom w:val="0"/>
      <w:divBdr>
        <w:top w:val="none" w:sz="0" w:space="0" w:color="auto"/>
        <w:left w:val="none" w:sz="0" w:space="0" w:color="auto"/>
        <w:bottom w:val="none" w:sz="0" w:space="0" w:color="auto"/>
        <w:right w:val="none" w:sz="0" w:space="0" w:color="auto"/>
      </w:divBdr>
      <w:divsChild>
        <w:div w:id="1885752417">
          <w:marLeft w:val="0"/>
          <w:marRight w:val="0"/>
          <w:marTop w:val="0"/>
          <w:marBottom w:val="0"/>
          <w:divBdr>
            <w:top w:val="none" w:sz="0" w:space="0" w:color="auto"/>
            <w:left w:val="none" w:sz="0" w:space="0" w:color="auto"/>
            <w:bottom w:val="none" w:sz="0" w:space="0" w:color="auto"/>
            <w:right w:val="none" w:sz="0" w:space="0" w:color="auto"/>
          </w:divBdr>
          <w:divsChild>
            <w:div w:id="8650988">
              <w:marLeft w:val="0"/>
              <w:marRight w:val="0"/>
              <w:marTop w:val="0"/>
              <w:marBottom w:val="0"/>
              <w:divBdr>
                <w:top w:val="none" w:sz="0" w:space="0" w:color="auto"/>
                <w:left w:val="none" w:sz="0" w:space="0" w:color="auto"/>
                <w:bottom w:val="none" w:sz="0" w:space="0" w:color="auto"/>
                <w:right w:val="none" w:sz="0" w:space="0" w:color="auto"/>
              </w:divBdr>
              <w:divsChild>
                <w:div w:id="619530839">
                  <w:marLeft w:val="0"/>
                  <w:marRight w:val="0"/>
                  <w:marTop w:val="0"/>
                  <w:marBottom w:val="0"/>
                  <w:divBdr>
                    <w:top w:val="none" w:sz="0" w:space="0" w:color="auto"/>
                    <w:left w:val="none" w:sz="0" w:space="0" w:color="auto"/>
                    <w:bottom w:val="none" w:sz="0" w:space="0" w:color="auto"/>
                    <w:right w:val="none" w:sz="0" w:space="0" w:color="auto"/>
                  </w:divBdr>
                  <w:divsChild>
                    <w:div w:id="421879846">
                      <w:marLeft w:val="0"/>
                      <w:marRight w:val="0"/>
                      <w:marTop w:val="0"/>
                      <w:marBottom w:val="300"/>
                      <w:divBdr>
                        <w:top w:val="none" w:sz="0" w:space="0" w:color="auto"/>
                        <w:left w:val="none" w:sz="0" w:space="0" w:color="auto"/>
                        <w:bottom w:val="none" w:sz="0" w:space="0" w:color="auto"/>
                        <w:right w:val="none" w:sz="0" w:space="0" w:color="auto"/>
                      </w:divBdr>
                      <w:divsChild>
                        <w:div w:id="5663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568993">
      <w:bodyDiv w:val="1"/>
      <w:marLeft w:val="0"/>
      <w:marRight w:val="0"/>
      <w:marTop w:val="0"/>
      <w:marBottom w:val="0"/>
      <w:divBdr>
        <w:top w:val="none" w:sz="0" w:space="0" w:color="auto"/>
        <w:left w:val="none" w:sz="0" w:space="0" w:color="auto"/>
        <w:bottom w:val="none" w:sz="0" w:space="0" w:color="auto"/>
        <w:right w:val="none" w:sz="0" w:space="0" w:color="auto"/>
      </w:divBdr>
      <w:divsChild>
        <w:div w:id="1377779244">
          <w:marLeft w:val="0"/>
          <w:marRight w:val="0"/>
          <w:marTop w:val="0"/>
          <w:marBottom w:val="0"/>
          <w:divBdr>
            <w:top w:val="none" w:sz="0" w:space="0" w:color="auto"/>
            <w:left w:val="none" w:sz="0" w:space="0" w:color="auto"/>
            <w:bottom w:val="none" w:sz="0" w:space="0" w:color="auto"/>
            <w:right w:val="none" w:sz="0" w:space="0" w:color="auto"/>
          </w:divBdr>
          <w:divsChild>
            <w:div w:id="1162619389">
              <w:marLeft w:val="0"/>
              <w:marRight w:val="0"/>
              <w:marTop w:val="0"/>
              <w:marBottom w:val="0"/>
              <w:divBdr>
                <w:top w:val="none" w:sz="0" w:space="0" w:color="auto"/>
                <w:left w:val="none" w:sz="0" w:space="0" w:color="auto"/>
                <w:bottom w:val="none" w:sz="0" w:space="0" w:color="auto"/>
                <w:right w:val="none" w:sz="0" w:space="0" w:color="auto"/>
              </w:divBdr>
              <w:divsChild>
                <w:div w:id="1437477255">
                  <w:marLeft w:val="0"/>
                  <w:marRight w:val="0"/>
                  <w:marTop w:val="0"/>
                  <w:marBottom w:val="0"/>
                  <w:divBdr>
                    <w:top w:val="none" w:sz="0" w:space="0" w:color="auto"/>
                    <w:left w:val="none" w:sz="0" w:space="0" w:color="auto"/>
                    <w:bottom w:val="none" w:sz="0" w:space="0" w:color="auto"/>
                    <w:right w:val="none" w:sz="0" w:space="0" w:color="auto"/>
                  </w:divBdr>
                  <w:divsChild>
                    <w:div w:id="1286934524">
                      <w:marLeft w:val="0"/>
                      <w:marRight w:val="0"/>
                      <w:marTop w:val="0"/>
                      <w:marBottom w:val="300"/>
                      <w:divBdr>
                        <w:top w:val="none" w:sz="0" w:space="0" w:color="auto"/>
                        <w:left w:val="none" w:sz="0" w:space="0" w:color="auto"/>
                        <w:bottom w:val="none" w:sz="0" w:space="0" w:color="auto"/>
                        <w:right w:val="none" w:sz="0" w:space="0" w:color="auto"/>
                      </w:divBdr>
                      <w:divsChild>
                        <w:div w:id="1998991122">
                          <w:marLeft w:val="0"/>
                          <w:marRight w:val="0"/>
                          <w:marTop w:val="0"/>
                          <w:marBottom w:val="0"/>
                          <w:divBdr>
                            <w:top w:val="none" w:sz="0" w:space="0" w:color="auto"/>
                            <w:left w:val="none" w:sz="0" w:space="0" w:color="auto"/>
                            <w:bottom w:val="none" w:sz="0" w:space="0" w:color="auto"/>
                            <w:right w:val="none" w:sz="0" w:space="0" w:color="auto"/>
                          </w:divBdr>
                          <w:divsChild>
                            <w:div w:id="6785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302199">
      <w:bodyDiv w:val="1"/>
      <w:marLeft w:val="0"/>
      <w:marRight w:val="0"/>
      <w:marTop w:val="0"/>
      <w:marBottom w:val="0"/>
      <w:divBdr>
        <w:top w:val="none" w:sz="0" w:space="0" w:color="auto"/>
        <w:left w:val="none" w:sz="0" w:space="0" w:color="auto"/>
        <w:bottom w:val="none" w:sz="0" w:space="0" w:color="auto"/>
        <w:right w:val="none" w:sz="0" w:space="0" w:color="auto"/>
      </w:divBdr>
    </w:div>
    <w:div w:id="980310712">
      <w:bodyDiv w:val="1"/>
      <w:marLeft w:val="0"/>
      <w:marRight w:val="0"/>
      <w:marTop w:val="0"/>
      <w:marBottom w:val="0"/>
      <w:divBdr>
        <w:top w:val="none" w:sz="0" w:space="0" w:color="auto"/>
        <w:left w:val="none" w:sz="0" w:space="0" w:color="auto"/>
        <w:bottom w:val="none" w:sz="0" w:space="0" w:color="auto"/>
        <w:right w:val="none" w:sz="0" w:space="0" w:color="auto"/>
      </w:divBdr>
      <w:divsChild>
        <w:div w:id="1790854604">
          <w:marLeft w:val="0"/>
          <w:marRight w:val="0"/>
          <w:marTop w:val="0"/>
          <w:marBottom w:val="0"/>
          <w:divBdr>
            <w:top w:val="none" w:sz="0" w:space="0" w:color="auto"/>
            <w:left w:val="none" w:sz="0" w:space="0" w:color="auto"/>
            <w:bottom w:val="none" w:sz="0" w:space="0" w:color="auto"/>
            <w:right w:val="none" w:sz="0" w:space="0" w:color="auto"/>
          </w:divBdr>
          <w:divsChild>
            <w:div w:id="14901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7384">
      <w:bodyDiv w:val="1"/>
      <w:marLeft w:val="0"/>
      <w:marRight w:val="0"/>
      <w:marTop w:val="0"/>
      <w:marBottom w:val="0"/>
      <w:divBdr>
        <w:top w:val="none" w:sz="0" w:space="0" w:color="auto"/>
        <w:left w:val="none" w:sz="0" w:space="0" w:color="auto"/>
        <w:bottom w:val="none" w:sz="0" w:space="0" w:color="auto"/>
        <w:right w:val="none" w:sz="0" w:space="0" w:color="auto"/>
      </w:divBdr>
    </w:div>
    <w:div w:id="1012488857">
      <w:bodyDiv w:val="1"/>
      <w:marLeft w:val="0"/>
      <w:marRight w:val="0"/>
      <w:marTop w:val="0"/>
      <w:marBottom w:val="0"/>
      <w:divBdr>
        <w:top w:val="none" w:sz="0" w:space="0" w:color="auto"/>
        <w:left w:val="none" w:sz="0" w:space="0" w:color="auto"/>
        <w:bottom w:val="none" w:sz="0" w:space="0" w:color="auto"/>
        <w:right w:val="none" w:sz="0" w:space="0" w:color="auto"/>
      </w:divBdr>
    </w:div>
    <w:div w:id="1016612402">
      <w:bodyDiv w:val="1"/>
      <w:marLeft w:val="0"/>
      <w:marRight w:val="0"/>
      <w:marTop w:val="0"/>
      <w:marBottom w:val="0"/>
      <w:divBdr>
        <w:top w:val="none" w:sz="0" w:space="0" w:color="auto"/>
        <w:left w:val="none" w:sz="0" w:space="0" w:color="auto"/>
        <w:bottom w:val="none" w:sz="0" w:space="0" w:color="auto"/>
        <w:right w:val="none" w:sz="0" w:space="0" w:color="auto"/>
      </w:divBdr>
    </w:div>
    <w:div w:id="1029717648">
      <w:bodyDiv w:val="1"/>
      <w:marLeft w:val="0"/>
      <w:marRight w:val="0"/>
      <w:marTop w:val="0"/>
      <w:marBottom w:val="0"/>
      <w:divBdr>
        <w:top w:val="none" w:sz="0" w:space="0" w:color="auto"/>
        <w:left w:val="none" w:sz="0" w:space="0" w:color="auto"/>
        <w:bottom w:val="none" w:sz="0" w:space="0" w:color="auto"/>
        <w:right w:val="none" w:sz="0" w:space="0" w:color="auto"/>
      </w:divBdr>
    </w:div>
    <w:div w:id="1039822382">
      <w:bodyDiv w:val="1"/>
      <w:marLeft w:val="0"/>
      <w:marRight w:val="0"/>
      <w:marTop w:val="0"/>
      <w:marBottom w:val="0"/>
      <w:divBdr>
        <w:top w:val="none" w:sz="0" w:space="0" w:color="auto"/>
        <w:left w:val="none" w:sz="0" w:space="0" w:color="auto"/>
        <w:bottom w:val="none" w:sz="0" w:space="0" w:color="auto"/>
        <w:right w:val="none" w:sz="0" w:space="0" w:color="auto"/>
      </w:divBdr>
    </w:div>
    <w:div w:id="1068766361">
      <w:bodyDiv w:val="1"/>
      <w:marLeft w:val="0"/>
      <w:marRight w:val="0"/>
      <w:marTop w:val="0"/>
      <w:marBottom w:val="0"/>
      <w:divBdr>
        <w:top w:val="none" w:sz="0" w:space="0" w:color="auto"/>
        <w:left w:val="none" w:sz="0" w:space="0" w:color="auto"/>
        <w:bottom w:val="none" w:sz="0" w:space="0" w:color="auto"/>
        <w:right w:val="none" w:sz="0" w:space="0" w:color="auto"/>
      </w:divBdr>
    </w:div>
    <w:div w:id="1069307381">
      <w:bodyDiv w:val="1"/>
      <w:marLeft w:val="0"/>
      <w:marRight w:val="0"/>
      <w:marTop w:val="0"/>
      <w:marBottom w:val="0"/>
      <w:divBdr>
        <w:top w:val="none" w:sz="0" w:space="0" w:color="auto"/>
        <w:left w:val="none" w:sz="0" w:space="0" w:color="auto"/>
        <w:bottom w:val="none" w:sz="0" w:space="0" w:color="auto"/>
        <w:right w:val="none" w:sz="0" w:space="0" w:color="auto"/>
      </w:divBdr>
    </w:div>
    <w:div w:id="1072123912">
      <w:bodyDiv w:val="1"/>
      <w:marLeft w:val="0"/>
      <w:marRight w:val="0"/>
      <w:marTop w:val="0"/>
      <w:marBottom w:val="0"/>
      <w:divBdr>
        <w:top w:val="none" w:sz="0" w:space="0" w:color="auto"/>
        <w:left w:val="none" w:sz="0" w:space="0" w:color="auto"/>
        <w:bottom w:val="none" w:sz="0" w:space="0" w:color="auto"/>
        <w:right w:val="none" w:sz="0" w:space="0" w:color="auto"/>
      </w:divBdr>
    </w:div>
    <w:div w:id="1073548983">
      <w:bodyDiv w:val="1"/>
      <w:marLeft w:val="0"/>
      <w:marRight w:val="0"/>
      <w:marTop w:val="0"/>
      <w:marBottom w:val="0"/>
      <w:divBdr>
        <w:top w:val="none" w:sz="0" w:space="0" w:color="auto"/>
        <w:left w:val="none" w:sz="0" w:space="0" w:color="auto"/>
        <w:bottom w:val="none" w:sz="0" w:space="0" w:color="auto"/>
        <w:right w:val="none" w:sz="0" w:space="0" w:color="auto"/>
      </w:divBdr>
    </w:div>
    <w:div w:id="1073890625">
      <w:bodyDiv w:val="1"/>
      <w:marLeft w:val="0"/>
      <w:marRight w:val="0"/>
      <w:marTop w:val="0"/>
      <w:marBottom w:val="0"/>
      <w:divBdr>
        <w:top w:val="none" w:sz="0" w:space="0" w:color="auto"/>
        <w:left w:val="none" w:sz="0" w:space="0" w:color="auto"/>
        <w:bottom w:val="none" w:sz="0" w:space="0" w:color="auto"/>
        <w:right w:val="none" w:sz="0" w:space="0" w:color="auto"/>
      </w:divBdr>
    </w:div>
    <w:div w:id="1081372273">
      <w:bodyDiv w:val="1"/>
      <w:marLeft w:val="0"/>
      <w:marRight w:val="0"/>
      <w:marTop w:val="0"/>
      <w:marBottom w:val="0"/>
      <w:divBdr>
        <w:top w:val="none" w:sz="0" w:space="0" w:color="auto"/>
        <w:left w:val="none" w:sz="0" w:space="0" w:color="auto"/>
        <w:bottom w:val="none" w:sz="0" w:space="0" w:color="auto"/>
        <w:right w:val="none" w:sz="0" w:space="0" w:color="auto"/>
      </w:divBdr>
    </w:div>
    <w:div w:id="1101221805">
      <w:bodyDiv w:val="1"/>
      <w:marLeft w:val="0"/>
      <w:marRight w:val="0"/>
      <w:marTop w:val="0"/>
      <w:marBottom w:val="0"/>
      <w:divBdr>
        <w:top w:val="none" w:sz="0" w:space="0" w:color="auto"/>
        <w:left w:val="none" w:sz="0" w:space="0" w:color="auto"/>
        <w:bottom w:val="none" w:sz="0" w:space="0" w:color="auto"/>
        <w:right w:val="none" w:sz="0" w:space="0" w:color="auto"/>
      </w:divBdr>
    </w:div>
    <w:div w:id="1104181741">
      <w:bodyDiv w:val="1"/>
      <w:marLeft w:val="0"/>
      <w:marRight w:val="0"/>
      <w:marTop w:val="0"/>
      <w:marBottom w:val="0"/>
      <w:divBdr>
        <w:top w:val="none" w:sz="0" w:space="0" w:color="auto"/>
        <w:left w:val="none" w:sz="0" w:space="0" w:color="auto"/>
        <w:bottom w:val="none" w:sz="0" w:space="0" w:color="auto"/>
        <w:right w:val="none" w:sz="0" w:space="0" w:color="auto"/>
      </w:divBdr>
    </w:div>
    <w:div w:id="1108234122">
      <w:bodyDiv w:val="1"/>
      <w:marLeft w:val="0"/>
      <w:marRight w:val="0"/>
      <w:marTop w:val="0"/>
      <w:marBottom w:val="0"/>
      <w:divBdr>
        <w:top w:val="none" w:sz="0" w:space="0" w:color="auto"/>
        <w:left w:val="none" w:sz="0" w:space="0" w:color="auto"/>
        <w:bottom w:val="none" w:sz="0" w:space="0" w:color="auto"/>
        <w:right w:val="none" w:sz="0" w:space="0" w:color="auto"/>
      </w:divBdr>
    </w:div>
    <w:div w:id="1116412107">
      <w:bodyDiv w:val="1"/>
      <w:marLeft w:val="0"/>
      <w:marRight w:val="0"/>
      <w:marTop w:val="0"/>
      <w:marBottom w:val="0"/>
      <w:divBdr>
        <w:top w:val="none" w:sz="0" w:space="0" w:color="auto"/>
        <w:left w:val="none" w:sz="0" w:space="0" w:color="auto"/>
        <w:bottom w:val="none" w:sz="0" w:space="0" w:color="auto"/>
        <w:right w:val="none" w:sz="0" w:space="0" w:color="auto"/>
      </w:divBdr>
    </w:div>
    <w:div w:id="1125998742">
      <w:bodyDiv w:val="1"/>
      <w:marLeft w:val="0"/>
      <w:marRight w:val="0"/>
      <w:marTop w:val="0"/>
      <w:marBottom w:val="0"/>
      <w:divBdr>
        <w:top w:val="none" w:sz="0" w:space="0" w:color="auto"/>
        <w:left w:val="none" w:sz="0" w:space="0" w:color="auto"/>
        <w:bottom w:val="none" w:sz="0" w:space="0" w:color="auto"/>
        <w:right w:val="none" w:sz="0" w:space="0" w:color="auto"/>
      </w:divBdr>
    </w:div>
    <w:div w:id="1134173215">
      <w:bodyDiv w:val="1"/>
      <w:marLeft w:val="0"/>
      <w:marRight w:val="0"/>
      <w:marTop w:val="0"/>
      <w:marBottom w:val="0"/>
      <w:divBdr>
        <w:top w:val="none" w:sz="0" w:space="0" w:color="auto"/>
        <w:left w:val="none" w:sz="0" w:space="0" w:color="auto"/>
        <w:bottom w:val="none" w:sz="0" w:space="0" w:color="auto"/>
        <w:right w:val="none" w:sz="0" w:space="0" w:color="auto"/>
      </w:divBdr>
      <w:divsChild>
        <w:div w:id="2133009963">
          <w:marLeft w:val="0"/>
          <w:marRight w:val="0"/>
          <w:marTop w:val="0"/>
          <w:marBottom w:val="0"/>
          <w:divBdr>
            <w:top w:val="none" w:sz="0" w:space="0" w:color="auto"/>
            <w:left w:val="none" w:sz="0" w:space="0" w:color="auto"/>
            <w:bottom w:val="none" w:sz="0" w:space="0" w:color="auto"/>
            <w:right w:val="none" w:sz="0" w:space="0" w:color="auto"/>
          </w:divBdr>
          <w:divsChild>
            <w:div w:id="1770815387">
              <w:marLeft w:val="0"/>
              <w:marRight w:val="0"/>
              <w:marTop w:val="0"/>
              <w:marBottom w:val="0"/>
              <w:divBdr>
                <w:top w:val="none" w:sz="0" w:space="0" w:color="auto"/>
                <w:left w:val="none" w:sz="0" w:space="0" w:color="auto"/>
                <w:bottom w:val="none" w:sz="0" w:space="0" w:color="auto"/>
                <w:right w:val="none" w:sz="0" w:space="0" w:color="auto"/>
              </w:divBdr>
              <w:divsChild>
                <w:div w:id="1458985406">
                  <w:marLeft w:val="0"/>
                  <w:marRight w:val="0"/>
                  <w:marTop w:val="0"/>
                  <w:marBottom w:val="0"/>
                  <w:divBdr>
                    <w:top w:val="none" w:sz="0" w:space="0" w:color="auto"/>
                    <w:left w:val="none" w:sz="0" w:space="0" w:color="auto"/>
                    <w:bottom w:val="none" w:sz="0" w:space="0" w:color="auto"/>
                    <w:right w:val="none" w:sz="0" w:space="0" w:color="auto"/>
                  </w:divBdr>
                  <w:divsChild>
                    <w:div w:id="52090149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35945606">
      <w:bodyDiv w:val="1"/>
      <w:marLeft w:val="0"/>
      <w:marRight w:val="0"/>
      <w:marTop w:val="0"/>
      <w:marBottom w:val="0"/>
      <w:divBdr>
        <w:top w:val="none" w:sz="0" w:space="0" w:color="auto"/>
        <w:left w:val="none" w:sz="0" w:space="0" w:color="auto"/>
        <w:bottom w:val="none" w:sz="0" w:space="0" w:color="auto"/>
        <w:right w:val="none" w:sz="0" w:space="0" w:color="auto"/>
      </w:divBdr>
    </w:div>
    <w:div w:id="1155411573">
      <w:bodyDiv w:val="1"/>
      <w:marLeft w:val="0"/>
      <w:marRight w:val="0"/>
      <w:marTop w:val="0"/>
      <w:marBottom w:val="0"/>
      <w:divBdr>
        <w:top w:val="none" w:sz="0" w:space="0" w:color="auto"/>
        <w:left w:val="none" w:sz="0" w:space="0" w:color="auto"/>
        <w:bottom w:val="none" w:sz="0" w:space="0" w:color="auto"/>
        <w:right w:val="none" w:sz="0" w:space="0" w:color="auto"/>
      </w:divBdr>
    </w:div>
    <w:div w:id="1164125742">
      <w:bodyDiv w:val="1"/>
      <w:marLeft w:val="0"/>
      <w:marRight w:val="0"/>
      <w:marTop w:val="0"/>
      <w:marBottom w:val="0"/>
      <w:divBdr>
        <w:top w:val="none" w:sz="0" w:space="0" w:color="auto"/>
        <w:left w:val="none" w:sz="0" w:space="0" w:color="auto"/>
        <w:bottom w:val="none" w:sz="0" w:space="0" w:color="auto"/>
        <w:right w:val="none" w:sz="0" w:space="0" w:color="auto"/>
      </w:divBdr>
    </w:div>
    <w:div w:id="1174684679">
      <w:bodyDiv w:val="1"/>
      <w:marLeft w:val="0"/>
      <w:marRight w:val="0"/>
      <w:marTop w:val="0"/>
      <w:marBottom w:val="0"/>
      <w:divBdr>
        <w:top w:val="none" w:sz="0" w:space="0" w:color="auto"/>
        <w:left w:val="none" w:sz="0" w:space="0" w:color="auto"/>
        <w:bottom w:val="none" w:sz="0" w:space="0" w:color="auto"/>
        <w:right w:val="none" w:sz="0" w:space="0" w:color="auto"/>
      </w:divBdr>
    </w:div>
    <w:div w:id="1180851783">
      <w:bodyDiv w:val="1"/>
      <w:marLeft w:val="0"/>
      <w:marRight w:val="0"/>
      <w:marTop w:val="0"/>
      <w:marBottom w:val="0"/>
      <w:divBdr>
        <w:top w:val="none" w:sz="0" w:space="0" w:color="auto"/>
        <w:left w:val="none" w:sz="0" w:space="0" w:color="auto"/>
        <w:bottom w:val="none" w:sz="0" w:space="0" w:color="auto"/>
        <w:right w:val="none" w:sz="0" w:space="0" w:color="auto"/>
      </w:divBdr>
    </w:div>
    <w:div w:id="1200706846">
      <w:bodyDiv w:val="1"/>
      <w:marLeft w:val="0"/>
      <w:marRight w:val="0"/>
      <w:marTop w:val="0"/>
      <w:marBottom w:val="0"/>
      <w:divBdr>
        <w:top w:val="none" w:sz="0" w:space="0" w:color="auto"/>
        <w:left w:val="none" w:sz="0" w:space="0" w:color="auto"/>
        <w:bottom w:val="none" w:sz="0" w:space="0" w:color="auto"/>
        <w:right w:val="none" w:sz="0" w:space="0" w:color="auto"/>
      </w:divBdr>
    </w:div>
    <w:div w:id="1201943177">
      <w:bodyDiv w:val="1"/>
      <w:marLeft w:val="0"/>
      <w:marRight w:val="0"/>
      <w:marTop w:val="0"/>
      <w:marBottom w:val="0"/>
      <w:divBdr>
        <w:top w:val="none" w:sz="0" w:space="0" w:color="auto"/>
        <w:left w:val="none" w:sz="0" w:space="0" w:color="auto"/>
        <w:bottom w:val="none" w:sz="0" w:space="0" w:color="auto"/>
        <w:right w:val="none" w:sz="0" w:space="0" w:color="auto"/>
      </w:divBdr>
    </w:div>
    <w:div w:id="1213465175">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31503560">
      <w:bodyDiv w:val="1"/>
      <w:marLeft w:val="0"/>
      <w:marRight w:val="0"/>
      <w:marTop w:val="0"/>
      <w:marBottom w:val="0"/>
      <w:divBdr>
        <w:top w:val="none" w:sz="0" w:space="0" w:color="auto"/>
        <w:left w:val="none" w:sz="0" w:space="0" w:color="auto"/>
        <w:bottom w:val="none" w:sz="0" w:space="0" w:color="auto"/>
        <w:right w:val="none" w:sz="0" w:space="0" w:color="auto"/>
      </w:divBdr>
    </w:div>
    <w:div w:id="1268540371">
      <w:bodyDiv w:val="1"/>
      <w:marLeft w:val="0"/>
      <w:marRight w:val="0"/>
      <w:marTop w:val="0"/>
      <w:marBottom w:val="0"/>
      <w:divBdr>
        <w:top w:val="none" w:sz="0" w:space="0" w:color="auto"/>
        <w:left w:val="none" w:sz="0" w:space="0" w:color="auto"/>
        <w:bottom w:val="none" w:sz="0" w:space="0" w:color="auto"/>
        <w:right w:val="none" w:sz="0" w:space="0" w:color="auto"/>
      </w:divBdr>
    </w:div>
    <w:div w:id="1281380609">
      <w:bodyDiv w:val="1"/>
      <w:marLeft w:val="0"/>
      <w:marRight w:val="0"/>
      <w:marTop w:val="0"/>
      <w:marBottom w:val="0"/>
      <w:divBdr>
        <w:top w:val="none" w:sz="0" w:space="0" w:color="auto"/>
        <w:left w:val="none" w:sz="0" w:space="0" w:color="auto"/>
        <w:bottom w:val="none" w:sz="0" w:space="0" w:color="auto"/>
        <w:right w:val="none" w:sz="0" w:space="0" w:color="auto"/>
      </w:divBdr>
    </w:div>
    <w:div w:id="1282151794">
      <w:bodyDiv w:val="1"/>
      <w:marLeft w:val="0"/>
      <w:marRight w:val="0"/>
      <w:marTop w:val="0"/>
      <w:marBottom w:val="0"/>
      <w:divBdr>
        <w:top w:val="none" w:sz="0" w:space="0" w:color="auto"/>
        <w:left w:val="none" w:sz="0" w:space="0" w:color="auto"/>
        <w:bottom w:val="none" w:sz="0" w:space="0" w:color="auto"/>
        <w:right w:val="none" w:sz="0" w:space="0" w:color="auto"/>
      </w:divBdr>
    </w:div>
    <w:div w:id="1292009157">
      <w:bodyDiv w:val="1"/>
      <w:marLeft w:val="0"/>
      <w:marRight w:val="0"/>
      <w:marTop w:val="0"/>
      <w:marBottom w:val="0"/>
      <w:divBdr>
        <w:top w:val="none" w:sz="0" w:space="0" w:color="auto"/>
        <w:left w:val="none" w:sz="0" w:space="0" w:color="auto"/>
        <w:bottom w:val="none" w:sz="0" w:space="0" w:color="auto"/>
        <w:right w:val="none" w:sz="0" w:space="0" w:color="auto"/>
      </w:divBdr>
      <w:divsChild>
        <w:div w:id="1878271467">
          <w:marLeft w:val="0"/>
          <w:marRight w:val="0"/>
          <w:marTop w:val="0"/>
          <w:marBottom w:val="0"/>
          <w:divBdr>
            <w:top w:val="none" w:sz="0" w:space="0" w:color="auto"/>
            <w:left w:val="none" w:sz="0" w:space="0" w:color="auto"/>
            <w:bottom w:val="none" w:sz="0" w:space="0" w:color="auto"/>
            <w:right w:val="none" w:sz="0" w:space="0" w:color="auto"/>
          </w:divBdr>
          <w:divsChild>
            <w:div w:id="674693436">
              <w:marLeft w:val="0"/>
              <w:marRight w:val="0"/>
              <w:marTop w:val="0"/>
              <w:marBottom w:val="0"/>
              <w:divBdr>
                <w:top w:val="none" w:sz="0" w:space="0" w:color="auto"/>
                <w:left w:val="none" w:sz="0" w:space="0" w:color="auto"/>
                <w:bottom w:val="none" w:sz="0" w:space="0" w:color="auto"/>
                <w:right w:val="none" w:sz="0" w:space="0" w:color="auto"/>
              </w:divBdr>
              <w:divsChild>
                <w:div w:id="1613508876">
                  <w:marLeft w:val="0"/>
                  <w:marRight w:val="0"/>
                  <w:marTop w:val="0"/>
                  <w:marBottom w:val="0"/>
                  <w:divBdr>
                    <w:top w:val="none" w:sz="0" w:space="0" w:color="auto"/>
                    <w:left w:val="none" w:sz="0" w:space="0" w:color="auto"/>
                    <w:bottom w:val="none" w:sz="0" w:space="0" w:color="auto"/>
                    <w:right w:val="none" w:sz="0" w:space="0" w:color="auto"/>
                  </w:divBdr>
                  <w:divsChild>
                    <w:div w:id="1319727495">
                      <w:marLeft w:val="0"/>
                      <w:marRight w:val="0"/>
                      <w:marTop w:val="0"/>
                      <w:marBottom w:val="0"/>
                      <w:divBdr>
                        <w:top w:val="none" w:sz="0" w:space="0" w:color="auto"/>
                        <w:left w:val="none" w:sz="0" w:space="0" w:color="auto"/>
                        <w:bottom w:val="none" w:sz="0" w:space="0" w:color="auto"/>
                        <w:right w:val="none" w:sz="0" w:space="0" w:color="auto"/>
                      </w:divBdr>
                      <w:divsChild>
                        <w:div w:id="324820737">
                          <w:marLeft w:val="0"/>
                          <w:marRight w:val="0"/>
                          <w:marTop w:val="0"/>
                          <w:marBottom w:val="0"/>
                          <w:divBdr>
                            <w:top w:val="none" w:sz="0" w:space="0" w:color="auto"/>
                            <w:left w:val="none" w:sz="0" w:space="0" w:color="auto"/>
                            <w:bottom w:val="none" w:sz="0" w:space="0" w:color="auto"/>
                            <w:right w:val="none" w:sz="0" w:space="0" w:color="auto"/>
                          </w:divBdr>
                          <w:divsChild>
                            <w:div w:id="689989439">
                              <w:marLeft w:val="0"/>
                              <w:marRight w:val="0"/>
                              <w:marTop w:val="0"/>
                              <w:marBottom w:val="0"/>
                              <w:divBdr>
                                <w:top w:val="none" w:sz="0" w:space="0" w:color="auto"/>
                                <w:left w:val="none" w:sz="0" w:space="0" w:color="auto"/>
                                <w:bottom w:val="none" w:sz="0" w:space="0" w:color="auto"/>
                                <w:right w:val="none" w:sz="0" w:space="0" w:color="auto"/>
                              </w:divBdr>
                              <w:divsChild>
                                <w:div w:id="70001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756097">
      <w:bodyDiv w:val="1"/>
      <w:marLeft w:val="0"/>
      <w:marRight w:val="0"/>
      <w:marTop w:val="0"/>
      <w:marBottom w:val="0"/>
      <w:divBdr>
        <w:top w:val="none" w:sz="0" w:space="0" w:color="auto"/>
        <w:left w:val="none" w:sz="0" w:space="0" w:color="auto"/>
        <w:bottom w:val="none" w:sz="0" w:space="0" w:color="auto"/>
        <w:right w:val="none" w:sz="0" w:space="0" w:color="auto"/>
      </w:divBdr>
    </w:div>
    <w:div w:id="1320769507">
      <w:bodyDiv w:val="1"/>
      <w:marLeft w:val="0"/>
      <w:marRight w:val="0"/>
      <w:marTop w:val="0"/>
      <w:marBottom w:val="0"/>
      <w:divBdr>
        <w:top w:val="none" w:sz="0" w:space="0" w:color="auto"/>
        <w:left w:val="none" w:sz="0" w:space="0" w:color="auto"/>
        <w:bottom w:val="none" w:sz="0" w:space="0" w:color="auto"/>
        <w:right w:val="none" w:sz="0" w:space="0" w:color="auto"/>
      </w:divBdr>
    </w:div>
    <w:div w:id="1338114178">
      <w:bodyDiv w:val="1"/>
      <w:marLeft w:val="0"/>
      <w:marRight w:val="0"/>
      <w:marTop w:val="0"/>
      <w:marBottom w:val="0"/>
      <w:divBdr>
        <w:top w:val="none" w:sz="0" w:space="0" w:color="auto"/>
        <w:left w:val="none" w:sz="0" w:space="0" w:color="auto"/>
        <w:bottom w:val="none" w:sz="0" w:space="0" w:color="auto"/>
        <w:right w:val="none" w:sz="0" w:space="0" w:color="auto"/>
      </w:divBdr>
    </w:div>
    <w:div w:id="1340045092">
      <w:bodyDiv w:val="1"/>
      <w:marLeft w:val="0"/>
      <w:marRight w:val="0"/>
      <w:marTop w:val="0"/>
      <w:marBottom w:val="0"/>
      <w:divBdr>
        <w:top w:val="none" w:sz="0" w:space="0" w:color="auto"/>
        <w:left w:val="none" w:sz="0" w:space="0" w:color="auto"/>
        <w:bottom w:val="none" w:sz="0" w:space="0" w:color="auto"/>
        <w:right w:val="none" w:sz="0" w:space="0" w:color="auto"/>
      </w:divBdr>
    </w:div>
    <w:div w:id="1355425086">
      <w:bodyDiv w:val="1"/>
      <w:marLeft w:val="0"/>
      <w:marRight w:val="0"/>
      <w:marTop w:val="0"/>
      <w:marBottom w:val="0"/>
      <w:divBdr>
        <w:top w:val="none" w:sz="0" w:space="0" w:color="auto"/>
        <w:left w:val="none" w:sz="0" w:space="0" w:color="auto"/>
        <w:bottom w:val="none" w:sz="0" w:space="0" w:color="auto"/>
        <w:right w:val="none" w:sz="0" w:space="0" w:color="auto"/>
      </w:divBdr>
    </w:div>
    <w:div w:id="1364405577">
      <w:bodyDiv w:val="1"/>
      <w:marLeft w:val="0"/>
      <w:marRight w:val="0"/>
      <w:marTop w:val="0"/>
      <w:marBottom w:val="0"/>
      <w:divBdr>
        <w:top w:val="none" w:sz="0" w:space="0" w:color="auto"/>
        <w:left w:val="none" w:sz="0" w:space="0" w:color="auto"/>
        <w:bottom w:val="none" w:sz="0" w:space="0" w:color="auto"/>
        <w:right w:val="none" w:sz="0" w:space="0" w:color="auto"/>
      </w:divBdr>
    </w:div>
    <w:div w:id="1371764634">
      <w:bodyDiv w:val="1"/>
      <w:marLeft w:val="0"/>
      <w:marRight w:val="0"/>
      <w:marTop w:val="0"/>
      <w:marBottom w:val="0"/>
      <w:divBdr>
        <w:top w:val="none" w:sz="0" w:space="0" w:color="auto"/>
        <w:left w:val="none" w:sz="0" w:space="0" w:color="auto"/>
        <w:bottom w:val="none" w:sz="0" w:space="0" w:color="auto"/>
        <w:right w:val="none" w:sz="0" w:space="0" w:color="auto"/>
      </w:divBdr>
    </w:div>
    <w:div w:id="1382443189">
      <w:bodyDiv w:val="1"/>
      <w:marLeft w:val="0"/>
      <w:marRight w:val="0"/>
      <w:marTop w:val="0"/>
      <w:marBottom w:val="0"/>
      <w:divBdr>
        <w:top w:val="none" w:sz="0" w:space="0" w:color="auto"/>
        <w:left w:val="none" w:sz="0" w:space="0" w:color="auto"/>
        <w:bottom w:val="none" w:sz="0" w:space="0" w:color="auto"/>
        <w:right w:val="none" w:sz="0" w:space="0" w:color="auto"/>
      </w:divBdr>
    </w:div>
    <w:div w:id="1386484928">
      <w:bodyDiv w:val="1"/>
      <w:marLeft w:val="0"/>
      <w:marRight w:val="0"/>
      <w:marTop w:val="0"/>
      <w:marBottom w:val="0"/>
      <w:divBdr>
        <w:top w:val="none" w:sz="0" w:space="0" w:color="auto"/>
        <w:left w:val="none" w:sz="0" w:space="0" w:color="auto"/>
        <w:bottom w:val="none" w:sz="0" w:space="0" w:color="auto"/>
        <w:right w:val="none" w:sz="0" w:space="0" w:color="auto"/>
      </w:divBdr>
    </w:div>
    <w:div w:id="1394354627">
      <w:bodyDiv w:val="1"/>
      <w:marLeft w:val="0"/>
      <w:marRight w:val="0"/>
      <w:marTop w:val="0"/>
      <w:marBottom w:val="0"/>
      <w:divBdr>
        <w:top w:val="none" w:sz="0" w:space="0" w:color="auto"/>
        <w:left w:val="none" w:sz="0" w:space="0" w:color="auto"/>
        <w:bottom w:val="none" w:sz="0" w:space="0" w:color="auto"/>
        <w:right w:val="none" w:sz="0" w:space="0" w:color="auto"/>
      </w:divBdr>
    </w:div>
    <w:div w:id="1417821809">
      <w:bodyDiv w:val="1"/>
      <w:marLeft w:val="0"/>
      <w:marRight w:val="0"/>
      <w:marTop w:val="0"/>
      <w:marBottom w:val="0"/>
      <w:divBdr>
        <w:top w:val="none" w:sz="0" w:space="0" w:color="auto"/>
        <w:left w:val="none" w:sz="0" w:space="0" w:color="auto"/>
        <w:bottom w:val="none" w:sz="0" w:space="0" w:color="auto"/>
        <w:right w:val="none" w:sz="0" w:space="0" w:color="auto"/>
      </w:divBdr>
    </w:div>
    <w:div w:id="1424499289">
      <w:bodyDiv w:val="1"/>
      <w:marLeft w:val="0"/>
      <w:marRight w:val="0"/>
      <w:marTop w:val="0"/>
      <w:marBottom w:val="0"/>
      <w:divBdr>
        <w:top w:val="none" w:sz="0" w:space="0" w:color="auto"/>
        <w:left w:val="none" w:sz="0" w:space="0" w:color="auto"/>
        <w:bottom w:val="none" w:sz="0" w:space="0" w:color="auto"/>
        <w:right w:val="none" w:sz="0" w:space="0" w:color="auto"/>
      </w:divBdr>
    </w:div>
    <w:div w:id="1429472683">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0684874">
      <w:bodyDiv w:val="1"/>
      <w:marLeft w:val="0"/>
      <w:marRight w:val="0"/>
      <w:marTop w:val="0"/>
      <w:marBottom w:val="0"/>
      <w:divBdr>
        <w:top w:val="none" w:sz="0" w:space="0" w:color="auto"/>
        <w:left w:val="none" w:sz="0" w:space="0" w:color="auto"/>
        <w:bottom w:val="none" w:sz="0" w:space="0" w:color="auto"/>
        <w:right w:val="none" w:sz="0" w:space="0" w:color="auto"/>
      </w:divBdr>
    </w:div>
    <w:div w:id="1442265828">
      <w:bodyDiv w:val="1"/>
      <w:marLeft w:val="0"/>
      <w:marRight w:val="0"/>
      <w:marTop w:val="0"/>
      <w:marBottom w:val="0"/>
      <w:divBdr>
        <w:top w:val="none" w:sz="0" w:space="0" w:color="auto"/>
        <w:left w:val="none" w:sz="0" w:space="0" w:color="auto"/>
        <w:bottom w:val="none" w:sz="0" w:space="0" w:color="auto"/>
        <w:right w:val="none" w:sz="0" w:space="0" w:color="auto"/>
      </w:divBdr>
    </w:div>
    <w:div w:id="1444767560">
      <w:bodyDiv w:val="1"/>
      <w:marLeft w:val="0"/>
      <w:marRight w:val="0"/>
      <w:marTop w:val="0"/>
      <w:marBottom w:val="0"/>
      <w:divBdr>
        <w:top w:val="none" w:sz="0" w:space="0" w:color="auto"/>
        <w:left w:val="none" w:sz="0" w:space="0" w:color="auto"/>
        <w:bottom w:val="none" w:sz="0" w:space="0" w:color="auto"/>
        <w:right w:val="none" w:sz="0" w:space="0" w:color="auto"/>
      </w:divBdr>
    </w:div>
    <w:div w:id="1453327872">
      <w:bodyDiv w:val="1"/>
      <w:marLeft w:val="0"/>
      <w:marRight w:val="0"/>
      <w:marTop w:val="0"/>
      <w:marBottom w:val="0"/>
      <w:divBdr>
        <w:top w:val="none" w:sz="0" w:space="0" w:color="auto"/>
        <w:left w:val="none" w:sz="0" w:space="0" w:color="auto"/>
        <w:bottom w:val="none" w:sz="0" w:space="0" w:color="auto"/>
        <w:right w:val="none" w:sz="0" w:space="0" w:color="auto"/>
      </w:divBdr>
    </w:div>
    <w:div w:id="1454714559">
      <w:bodyDiv w:val="1"/>
      <w:marLeft w:val="0"/>
      <w:marRight w:val="0"/>
      <w:marTop w:val="0"/>
      <w:marBottom w:val="0"/>
      <w:divBdr>
        <w:top w:val="none" w:sz="0" w:space="0" w:color="auto"/>
        <w:left w:val="none" w:sz="0" w:space="0" w:color="auto"/>
        <w:bottom w:val="none" w:sz="0" w:space="0" w:color="auto"/>
        <w:right w:val="none" w:sz="0" w:space="0" w:color="auto"/>
      </w:divBdr>
    </w:div>
    <w:div w:id="1458448843">
      <w:bodyDiv w:val="1"/>
      <w:marLeft w:val="0"/>
      <w:marRight w:val="0"/>
      <w:marTop w:val="0"/>
      <w:marBottom w:val="0"/>
      <w:divBdr>
        <w:top w:val="none" w:sz="0" w:space="0" w:color="auto"/>
        <w:left w:val="none" w:sz="0" w:space="0" w:color="auto"/>
        <w:bottom w:val="none" w:sz="0" w:space="0" w:color="auto"/>
        <w:right w:val="none" w:sz="0" w:space="0" w:color="auto"/>
      </w:divBdr>
      <w:divsChild>
        <w:div w:id="2019697862">
          <w:marLeft w:val="0"/>
          <w:marRight w:val="0"/>
          <w:marTop w:val="0"/>
          <w:marBottom w:val="0"/>
          <w:divBdr>
            <w:top w:val="none" w:sz="0" w:space="0" w:color="auto"/>
            <w:left w:val="none" w:sz="0" w:space="0" w:color="auto"/>
            <w:bottom w:val="none" w:sz="0" w:space="0" w:color="auto"/>
            <w:right w:val="none" w:sz="0" w:space="0" w:color="auto"/>
          </w:divBdr>
          <w:divsChild>
            <w:div w:id="1881356532">
              <w:marLeft w:val="0"/>
              <w:marRight w:val="0"/>
              <w:marTop w:val="0"/>
              <w:marBottom w:val="0"/>
              <w:divBdr>
                <w:top w:val="none" w:sz="0" w:space="0" w:color="auto"/>
                <w:left w:val="none" w:sz="0" w:space="0" w:color="auto"/>
                <w:bottom w:val="none" w:sz="0" w:space="0" w:color="auto"/>
                <w:right w:val="none" w:sz="0" w:space="0" w:color="auto"/>
              </w:divBdr>
              <w:divsChild>
                <w:div w:id="1001934076">
                  <w:marLeft w:val="0"/>
                  <w:marRight w:val="0"/>
                  <w:marTop w:val="0"/>
                  <w:marBottom w:val="0"/>
                  <w:divBdr>
                    <w:top w:val="none" w:sz="0" w:space="0" w:color="auto"/>
                    <w:left w:val="none" w:sz="0" w:space="0" w:color="auto"/>
                    <w:bottom w:val="none" w:sz="0" w:space="0" w:color="auto"/>
                    <w:right w:val="none" w:sz="0" w:space="0" w:color="auto"/>
                  </w:divBdr>
                  <w:divsChild>
                    <w:div w:id="568418379">
                      <w:marLeft w:val="0"/>
                      <w:marRight w:val="0"/>
                      <w:marTop w:val="0"/>
                      <w:marBottom w:val="300"/>
                      <w:divBdr>
                        <w:top w:val="none" w:sz="0" w:space="0" w:color="auto"/>
                        <w:left w:val="none" w:sz="0" w:space="0" w:color="auto"/>
                        <w:bottom w:val="none" w:sz="0" w:space="0" w:color="auto"/>
                        <w:right w:val="none" w:sz="0" w:space="0" w:color="auto"/>
                      </w:divBdr>
                      <w:divsChild>
                        <w:div w:id="519979087">
                          <w:marLeft w:val="0"/>
                          <w:marRight w:val="0"/>
                          <w:marTop w:val="0"/>
                          <w:marBottom w:val="0"/>
                          <w:divBdr>
                            <w:top w:val="none" w:sz="0" w:space="0" w:color="auto"/>
                            <w:left w:val="none" w:sz="0" w:space="0" w:color="auto"/>
                            <w:bottom w:val="none" w:sz="0" w:space="0" w:color="auto"/>
                            <w:right w:val="none" w:sz="0" w:space="0" w:color="auto"/>
                          </w:divBdr>
                          <w:divsChild>
                            <w:div w:id="9034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665404">
      <w:bodyDiv w:val="1"/>
      <w:marLeft w:val="0"/>
      <w:marRight w:val="0"/>
      <w:marTop w:val="0"/>
      <w:marBottom w:val="0"/>
      <w:divBdr>
        <w:top w:val="none" w:sz="0" w:space="0" w:color="auto"/>
        <w:left w:val="none" w:sz="0" w:space="0" w:color="auto"/>
        <w:bottom w:val="none" w:sz="0" w:space="0" w:color="auto"/>
        <w:right w:val="none" w:sz="0" w:space="0" w:color="auto"/>
      </w:divBdr>
    </w:div>
    <w:div w:id="1486312317">
      <w:bodyDiv w:val="1"/>
      <w:marLeft w:val="0"/>
      <w:marRight w:val="0"/>
      <w:marTop w:val="0"/>
      <w:marBottom w:val="0"/>
      <w:divBdr>
        <w:top w:val="none" w:sz="0" w:space="0" w:color="auto"/>
        <w:left w:val="none" w:sz="0" w:space="0" w:color="auto"/>
        <w:bottom w:val="none" w:sz="0" w:space="0" w:color="auto"/>
        <w:right w:val="none" w:sz="0" w:space="0" w:color="auto"/>
      </w:divBdr>
    </w:div>
    <w:div w:id="150282052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10947350">
      <w:bodyDiv w:val="1"/>
      <w:marLeft w:val="0"/>
      <w:marRight w:val="0"/>
      <w:marTop w:val="0"/>
      <w:marBottom w:val="0"/>
      <w:divBdr>
        <w:top w:val="none" w:sz="0" w:space="0" w:color="auto"/>
        <w:left w:val="none" w:sz="0" w:space="0" w:color="auto"/>
        <w:bottom w:val="none" w:sz="0" w:space="0" w:color="auto"/>
        <w:right w:val="none" w:sz="0" w:space="0" w:color="auto"/>
      </w:divBdr>
    </w:div>
    <w:div w:id="1565408823">
      <w:bodyDiv w:val="1"/>
      <w:marLeft w:val="0"/>
      <w:marRight w:val="0"/>
      <w:marTop w:val="0"/>
      <w:marBottom w:val="0"/>
      <w:divBdr>
        <w:top w:val="none" w:sz="0" w:space="0" w:color="auto"/>
        <w:left w:val="none" w:sz="0" w:space="0" w:color="auto"/>
        <w:bottom w:val="none" w:sz="0" w:space="0" w:color="auto"/>
        <w:right w:val="none" w:sz="0" w:space="0" w:color="auto"/>
      </w:divBdr>
      <w:divsChild>
        <w:div w:id="890921219">
          <w:marLeft w:val="0"/>
          <w:marRight w:val="0"/>
          <w:marTop w:val="0"/>
          <w:marBottom w:val="0"/>
          <w:divBdr>
            <w:top w:val="none" w:sz="0" w:space="0" w:color="auto"/>
            <w:left w:val="none" w:sz="0" w:space="0" w:color="auto"/>
            <w:bottom w:val="none" w:sz="0" w:space="0" w:color="auto"/>
            <w:right w:val="none" w:sz="0" w:space="0" w:color="auto"/>
          </w:divBdr>
          <w:divsChild>
            <w:div w:id="73205565">
              <w:marLeft w:val="0"/>
              <w:marRight w:val="0"/>
              <w:marTop w:val="0"/>
              <w:marBottom w:val="0"/>
              <w:divBdr>
                <w:top w:val="none" w:sz="0" w:space="0" w:color="auto"/>
                <w:left w:val="none" w:sz="0" w:space="0" w:color="auto"/>
                <w:bottom w:val="none" w:sz="0" w:space="0" w:color="auto"/>
                <w:right w:val="none" w:sz="0" w:space="0" w:color="auto"/>
              </w:divBdr>
              <w:divsChild>
                <w:div w:id="237832813">
                  <w:marLeft w:val="0"/>
                  <w:marRight w:val="0"/>
                  <w:marTop w:val="0"/>
                  <w:marBottom w:val="0"/>
                  <w:divBdr>
                    <w:top w:val="none" w:sz="0" w:space="0" w:color="auto"/>
                    <w:left w:val="none" w:sz="0" w:space="0" w:color="auto"/>
                    <w:bottom w:val="none" w:sz="0" w:space="0" w:color="auto"/>
                    <w:right w:val="none" w:sz="0" w:space="0" w:color="auto"/>
                  </w:divBdr>
                  <w:divsChild>
                    <w:div w:id="1843275405">
                      <w:marLeft w:val="0"/>
                      <w:marRight w:val="0"/>
                      <w:marTop w:val="0"/>
                      <w:marBottom w:val="300"/>
                      <w:divBdr>
                        <w:top w:val="none" w:sz="0" w:space="0" w:color="auto"/>
                        <w:left w:val="none" w:sz="0" w:space="0" w:color="auto"/>
                        <w:bottom w:val="none" w:sz="0" w:space="0" w:color="auto"/>
                        <w:right w:val="none" w:sz="0" w:space="0" w:color="auto"/>
                      </w:divBdr>
                      <w:divsChild>
                        <w:div w:id="1501235750">
                          <w:marLeft w:val="0"/>
                          <w:marRight w:val="0"/>
                          <w:marTop w:val="0"/>
                          <w:marBottom w:val="0"/>
                          <w:divBdr>
                            <w:top w:val="none" w:sz="0" w:space="0" w:color="auto"/>
                            <w:left w:val="none" w:sz="0" w:space="0" w:color="auto"/>
                            <w:bottom w:val="none" w:sz="0" w:space="0" w:color="auto"/>
                            <w:right w:val="none" w:sz="0" w:space="0" w:color="auto"/>
                          </w:divBdr>
                          <w:divsChild>
                            <w:div w:id="12598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103393">
      <w:bodyDiv w:val="1"/>
      <w:marLeft w:val="0"/>
      <w:marRight w:val="0"/>
      <w:marTop w:val="0"/>
      <w:marBottom w:val="0"/>
      <w:divBdr>
        <w:top w:val="none" w:sz="0" w:space="0" w:color="auto"/>
        <w:left w:val="none" w:sz="0" w:space="0" w:color="auto"/>
        <w:bottom w:val="none" w:sz="0" w:space="0" w:color="auto"/>
        <w:right w:val="none" w:sz="0" w:space="0" w:color="auto"/>
      </w:divBdr>
    </w:div>
    <w:div w:id="1572546548">
      <w:bodyDiv w:val="1"/>
      <w:marLeft w:val="0"/>
      <w:marRight w:val="0"/>
      <w:marTop w:val="0"/>
      <w:marBottom w:val="0"/>
      <w:divBdr>
        <w:top w:val="none" w:sz="0" w:space="0" w:color="auto"/>
        <w:left w:val="none" w:sz="0" w:space="0" w:color="auto"/>
        <w:bottom w:val="none" w:sz="0" w:space="0" w:color="auto"/>
        <w:right w:val="none" w:sz="0" w:space="0" w:color="auto"/>
      </w:divBdr>
    </w:div>
    <w:div w:id="1576892944">
      <w:bodyDiv w:val="1"/>
      <w:marLeft w:val="0"/>
      <w:marRight w:val="0"/>
      <w:marTop w:val="0"/>
      <w:marBottom w:val="0"/>
      <w:divBdr>
        <w:top w:val="none" w:sz="0" w:space="0" w:color="auto"/>
        <w:left w:val="none" w:sz="0" w:space="0" w:color="auto"/>
        <w:bottom w:val="none" w:sz="0" w:space="0" w:color="auto"/>
        <w:right w:val="none" w:sz="0" w:space="0" w:color="auto"/>
      </w:divBdr>
    </w:div>
    <w:div w:id="1591623822">
      <w:bodyDiv w:val="1"/>
      <w:marLeft w:val="0"/>
      <w:marRight w:val="0"/>
      <w:marTop w:val="0"/>
      <w:marBottom w:val="0"/>
      <w:divBdr>
        <w:top w:val="none" w:sz="0" w:space="0" w:color="auto"/>
        <w:left w:val="none" w:sz="0" w:space="0" w:color="auto"/>
        <w:bottom w:val="none" w:sz="0" w:space="0" w:color="auto"/>
        <w:right w:val="none" w:sz="0" w:space="0" w:color="auto"/>
      </w:divBdr>
    </w:div>
    <w:div w:id="1603418827">
      <w:bodyDiv w:val="1"/>
      <w:marLeft w:val="0"/>
      <w:marRight w:val="0"/>
      <w:marTop w:val="0"/>
      <w:marBottom w:val="0"/>
      <w:divBdr>
        <w:top w:val="none" w:sz="0" w:space="0" w:color="auto"/>
        <w:left w:val="none" w:sz="0" w:space="0" w:color="auto"/>
        <w:bottom w:val="none" w:sz="0" w:space="0" w:color="auto"/>
        <w:right w:val="none" w:sz="0" w:space="0" w:color="auto"/>
      </w:divBdr>
    </w:div>
    <w:div w:id="1605725814">
      <w:bodyDiv w:val="1"/>
      <w:marLeft w:val="0"/>
      <w:marRight w:val="0"/>
      <w:marTop w:val="0"/>
      <w:marBottom w:val="0"/>
      <w:divBdr>
        <w:top w:val="none" w:sz="0" w:space="0" w:color="auto"/>
        <w:left w:val="none" w:sz="0" w:space="0" w:color="auto"/>
        <w:bottom w:val="none" w:sz="0" w:space="0" w:color="auto"/>
        <w:right w:val="none" w:sz="0" w:space="0" w:color="auto"/>
      </w:divBdr>
    </w:div>
    <w:div w:id="1606183158">
      <w:bodyDiv w:val="1"/>
      <w:marLeft w:val="0"/>
      <w:marRight w:val="0"/>
      <w:marTop w:val="0"/>
      <w:marBottom w:val="0"/>
      <w:divBdr>
        <w:top w:val="none" w:sz="0" w:space="0" w:color="auto"/>
        <w:left w:val="none" w:sz="0" w:space="0" w:color="auto"/>
        <w:bottom w:val="none" w:sz="0" w:space="0" w:color="auto"/>
        <w:right w:val="none" w:sz="0" w:space="0" w:color="auto"/>
      </w:divBdr>
    </w:div>
    <w:div w:id="1612930371">
      <w:bodyDiv w:val="1"/>
      <w:marLeft w:val="0"/>
      <w:marRight w:val="0"/>
      <w:marTop w:val="0"/>
      <w:marBottom w:val="0"/>
      <w:divBdr>
        <w:top w:val="none" w:sz="0" w:space="0" w:color="auto"/>
        <w:left w:val="none" w:sz="0" w:space="0" w:color="auto"/>
        <w:bottom w:val="none" w:sz="0" w:space="0" w:color="auto"/>
        <w:right w:val="none" w:sz="0" w:space="0" w:color="auto"/>
      </w:divBdr>
    </w:div>
    <w:div w:id="1614631246">
      <w:bodyDiv w:val="1"/>
      <w:marLeft w:val="0"/>
      <w:marRight w:val="0"/>
      <w:marTop w:val="0"/>
      <w:marBottom w:val="0"/>
      <w:divBdr>
        <w:top w:val="none" w:sz="0" w:space="0" w:color="auto"/>
        <w:left w:val="none" w:sz="0" w:space="0" w:color="auto"/>
        <w:bottom w:val="none" w:sz="0" w:space="0" w:color="auto"/>
        <w:right w:val="none" w:sz="0" w:space="0" w:color="auto"/>
      </w:divBdr>
      <w:divsChild>
        <w:div w:id="1550728312">
          <w:marLeft w:val="0"/>
          <w:marRight w:val="0"/>
          <w:marTop w:val="0"/>
          <w:marBottom w:val="0"/>
          <w:divBdr>
            <w:top w:val="none" w:sz="0" w:space="0" w:color="auto"/>
            <w:left w:val="none" w:sz="0" w:space="0" w:color="auto"/>
            <w:bottom w:val="none" w:sz="0" w:space="0" w:color="auto"/>
            <w:right w:val="none" w:sz="0" w:space="0" w:color="auto"/>
          </w:divBdr>
          <w:divsChild>
            <w:div w:id="1232233158">
              <w:marLeft w:val="0"/>
              <w:marRight w:val="0"/>
              <w:marTop w:val="0"/>
              <w:marBottom w:val="0"/>
              <w:divBdr>
                <w:top w:val="none" w:sz="0" w:space="0" w:color="auto"/>
                <w:left w:val="none" w:sz="0" w:space="0" w:color="auto"/>
                <w:bottom w:val="none" w:sz="0" w:space="0" w:color="auto"/>
                <w:right w:val="none" w:sz="0" w:space="0" w:color="auto"/>
              </w:divBdr>
              <w:divsChild>
                <w:div w:id="1695573548">
                  <w:marLeft w:val="0"/>
                  <w:marRight w:val="0"/>
                  <w:marTop w:val="0"/>
                  <w:marBottom w:val="0"/>
                  <w:divBdr>
                    <w:top w:val="none" w:sz="0" w:space="0" w:color="auto"/>
                    <w:left w:val="none" w:sz="0" w:space="0" w:color="auto"/>
                    <w:bottom w:val="none" w:sz="0" w:space="0" w:color="auto"/>
                    <w:right w:val="none" w:sz="0" w:space="0" w:color="auto"/>
                  </w:divBdr>
                  <w:divsChild>
                    <w:div w:id="2088990531">
                      <w:marLeft w:val="0"/>
                      <w:marRight w:val="0"/>
                      <w:marTop w:val="0"/>
                      <w:marBottom w:val="0"/>
                      <w:divBdr>
                        <w:top w:val="none" w:sz="0" w:space="0" w:color="auto"/>
                        <w:left w:val="none" w:sz="0" w:space="0" w:color="auto"/>
                        <w:bottom w:val="none" w:sz="0" w:space="0" w:color="auto"/>
                        <w:right w:val="none" w:sz="0" w:space="0" w:color="auto"/>
                      </w:divBdr>
                      <w:divsChild>
                        <w:div w:id="837812781">
                          <w:marLeft w:val="0"/>
                          <w:marRight w:val="0"/>
                          <w:marTop w:val="0"/>
                          <w:marBottom w:val="0"/>
                          <w:divBdr>
                            <w:top w:val="none" w:sz="0" w:space="0" w:color="auto"/>
                            <w:left w:val="none" w:sz="0" w:space="0" w:color="auto"/>
                            <w:bottom w:val="none" w:sz="0" w:space="0" w:color="auto"/>
                            <w:right w:val="none" w:sz="0" w:space="0" w:color="auto"/>
                          </w:divBdr>
                          <w:divsChild>
                            <w:div w:id="10559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149686">
      <w:bodyDiv w:val="1"/>
      <w:marLeft w:val="0"/>
      <w:marRight w:val="0"/>
      <w:marTop w:val="0"/>
      <w:marBottom w:val="0"/>
      <w:divBdr>
        <w:top w:val="none" w:sz="0" w:space="0" w:color="auto"/>
        <w:left w:val="none" w:sz="0" w:space="0" w:color="auto"/>
        <w:bottom w:val="none" w:sz="0" w:space="0" w:color="auto"/>
        <w:right w:val="none" w:sz="0" w:space="0" w:color="auto"/>
      </w:divBdr>
    </w:div>
    <w:div w:id="1643538705">
      <w:bodyDiv w:val="1"/>
      <w:marLeft w:val="0"/>
      <w:marRight w:val="0"/>
      <w:marTop w:val="0"/>
      <w:marBottom w:val="0"/>
      <w:divBdr>
        <w:top w:val="none" w:sz="0" w:space="0" w:color="auto"/>
        <w:left w:val="none" w:sz="0" w:space="0" w:color="auto"/>
        <w:bottom w:val="none" w:sz="0" w:space="0" w:color="auto"/>
        <w:right w:val="none" w:sz="0" w:space="0" w:color="auto"/>
      </w:divBdr>
    </w:div>
    <w:div w:id="1680505195">
      <w:bodyDiv w:val="1"/>
      <w:marLeft w:val="0"/>
      <w:marRight w:val="0"/>
      <w:marTop w:val="0"/>
      <w:marBottom w:val="0"/>
      <w:divBdr>
        <w:top w:val="none" w:sz="0" w:space="0" w:color="auto"/>
        <w:left w:val="none" w:sz="0" w:space="0" w:color="auto"/>
        <w:bottom w:val="none" w:sz="0" w:space="0" w:color="auto"/>
        <w:right w:val="none" w:sz="0" w:space="0" w:color="auto"/>
      </w:divBdr>
    </w:div>
    <w:div w:id="1704356414">
      <w:bodyDiv w:val="1"/>
      <w:marLeft w:val="0"/>
      <w:marRight w:val="0"/>
      <w:marTop w:val="0"/>
      <w:marBottom w:val="0"/>
      <w:divBdr>
        <w:top w:val="none" w:sz="0" w:space="0" w:color="auto"/>
        <w:left w:val="none" w:sz="0" w:space="0" w:color="auto"/>
        <w:bottom w:val="none" w:sz="0" w:space="0" w:color="auto"/>
        <w:right w:val="none" w:sz="0" w:space="0" w:color="auto"/>
      </w:divBdr>
    </w:div>
    <w:div w:id="1715734132">
      <w:bodyDiv w:val="1"/>
      <w:marLeft w:val="0"/>
      <w:marRight w:val="0"/>
      <w:marTop w:val="0"/>
      <w:marBottom w:val="0"/>
      <w:divBdr>
        <w:top w:val="none" w:sz="0" w:space="0" w:color="auto"/>
        <w:left w:val="none" w:sz="0" w:space="0" w:color="auto"/>
        <w:bottom w:val="none" w:sz="0" w:space="0" w:color="auto"/>
        <w:right w:val="none" w:sz="0" w:space="0" w:color="auto"/>
      </w:divBdr>
    </w:div>
    <w:div w:id="1722707562">
      <w:bodyDiv w:val="1"/>
      <w:marLeft w:val="0"/>
      <w:marRight w:val="0"/>
      <w:marTop w:val="0"/>
      <w:marBottom w:val="0"/>
      <w:divBdr>
        <w:top w:val="none" w:sz="0" w:space="0" w:color="auto"/>
        <w:left w:val="none" w:sz="0" w:space="0" w:color="auto"/>
        <w:bottom w:val="none" w:sz="0" w:space="0" w:color="auto"/>
        <w:right w:val="none" w:sz="0" w:space="0" w:color="auto"/>
      </w:divBdr>
    </w:div>
    <w:div w:id="1728140162">
      <w:bodyDiv w:val="1"/>
      <w:marLeft w:val="0"/>
      <w:marRight w:val="0"/>
      <w:marTop w:val="0"/>
      <w:marBottom w:val="0"/>
      <w:divBdr>
        <w:top w:val="none" w:sz="0" w:space="0" w:color="auto"/>
        <w:left w:val="none" w:sz="0" w:space="0" w:color="auto"/>
        <w:bottom w:val="none" w:sz="0" w:space="0" w:color="auto"/>
        <w:right w:val="none" w:sz="0" w:space="0" w:color="auto"/>
      </w:divBdr>
    </w:div>
    <w:div w:id="1750080442">
      <w:bodyDiv w:val="1"/>
      <w:marLeft w:val="0"/>
      <w:marRight w:val="0"/>
      <w:marTop w:val="0"/>
      <w:marBottom w:val="0"/>
      <w:divBdr>
        <w:top w:val="none" w:sz="0" w:space="0" w:color="auto"/>
        <w:left w:val="none" w:sz="0" w:space="0" w:color="auto"/>
        <w:bottom w:val="none" w:sz="0" w:space="0" w:color="auto"/>
        <w:right w:val="none" w:sz="0" w:space="0" w:color="auto"/>
      </w:divBdr>
    </w:div>
    <w:div w:id="1759406790">
      <w:bodyDiv w:val="1"/>
      <w:marLeft w:val="0"/>
      <w:marRight w:val="0"/>
      <w:marTop w:val="0"/>
      <w:marBottom w:val="0"/>
      <w:divBdr>
        <w:top w:val="none" w:sz="0" w:space="0" w:color="auto"/>
        <w:left w:val="none" w:sz="0" w:space="0" w:color="auto"/>
        <w:bottom w:val="none" w:sz="0" w:space="0" w:color="auto"/>
        <w:right w:val="none" w:sz="0" w:space="0" w:color="auto"/>
      </w:divBdr>
    </w:div>
    <w:div w:id="1760713756">
      <w:bodyDiv w:val="1"/>
      <w:marLeft w:val="0"/>
      <w:marRight w:val="0"/>
      <w:marTop w:val="0"/>
      <w:marBottom w:val="0"/>
      <w:divBdr>
        <w:top w:val="none" w:sz="0" w:space="0" w:color="auto"/>
        <w:left w:val="none" w:sz="0" w:space="0" w:color="auto"/>
        <w:bottom w:val="none" w:sz="0" w:space="0" w:color="auto"/>
        <w:right w:val="none" w:sz="0" w:space="0" w:color="auto"/>
      </w:divBdr>
    </w:div>
    <w:div w:id="1761216944">
      <w:bodyDiv w:val="1"/>
      <w:marLeft w:val="0"/>
      <w:marRight w:val="0"/>
      <w:marTop w:val="0"/>
      <w:marBottom w:val="0"/>
      <w:divBdr>
        <w:top w:val="none" w:sz="0" w:space="0" w:color="auto"/>
        <w:left w:val="none" w:sz="0" w:space="0" w:color="auto"/>
        <w:bottom w:val="none" w:sz="0" w:space="0" w:color="auto"/>
        <w:right w:val="none" w:sz="0" w:space="0" w:color="auto"/>
      </w:divBdr>
    </w:div>
    <w:div w:id="1766072700">
      <w:bodyDiv w:val="1"/>
      <w:marLeft w:val="0"/>
      <w:marRight w:val="0"/>
      <w:marTop w:val="0"/>
      <w:marBottom w:val="0"/>
      <w:divBdr>
        <w:top w:val="none" w:sz="0" w:space="0" w:color="auto"/>
        <w:left w:val="none" w:sz="0" w:space="0" w:color="auto"/>
        <w:bottom w:val="none" w:sz="0" w:space="0" w:color="auto"/>
        <w:right w:val="none" w:sz="0" w:space="0" w:color="auto"/>
      </w:divBdr>
    </w:div>
    <w:div w:id="1777096363">
      <w:bodyDiv w:val="1"/>
      <w:marLeft w:val="0"/>
      <w:marRight w:val="0"/>
      <w:marTop w:val="0"/>
      <w:marBottom w:val="0"/>
      <w:divBdr>
        <w:top w:val="none" w:sz="0" w:space="0" w:color="auto"/>
        <w:left w:val="none" w:sz="0" w:space="0" w:color="auto"/>
        <w:bottom w:val="none" w:sz="0" w:space="0" w:color="auto"/>
        <w:right w:val="none" w:sz="0" w:space="0" w:color="auto"/>
      </w:divBdr>
      <w:divsChild>
        <w:div w:id="218714554">
          <w:marLeft w:val="0"/>
          <w:marRight w:val="0"/>
          <w:marTop w:val="0"/>
          <w:marBottom w:val="0"/>
          <w:divBdr>
            <w:top w:val="none" w:sz="0" w:space="0" w:color="auto"/>
            <w:left w:val="none" w:sz="0" w:space="0" w:color="auto"/>
            <w:bottom w:val="none" w:sz="0" w:space="0" w:color="auto"/>
            <w:right w:val="none" w:sz="0" w:space="0" w:color="auto"/>
          </w:divBdr>
          <w:divsChild>
            <w:div w:id="706372402">
              <w:marLeft w:val="-225"/>
              <w:marRight w:val="-225"/>
              <w:marTop w:val="0"/>
              <w:marBottom w:val="0"/>
              <w:divBdr>
                <w:top w:val="none" w:sz="0" w:space="0" w:color="auto"/>
                <w:left w:val="none" w:sz="0" w:space="0" w:color="auto"/>
                <w:bottom w:val="none" w:sz="0" w:space="0" w:color="auto"/>
                <w:right w:val="none" w:sz="0" w:space="0" w:color="auto"/>
              </w:divBdr>
              <w:divsChild>
                <w:div w:id="1724021219">
                  <w:marLeft w:val="0"/>
                  <w:marRight w:val="0"/>
                  <w:marTop w:val="0"/>
                  <w:marBottom w:val="0"/>
                  <w:divBdr>
                    <w:top w:val="none" w:sz="0" w:space="0" w:color="auto"/>
                    <w:left w:val="none" w:sz="0" w:space="0" w:color="auto"/>
                    <w:bottom w:val="none" w:sz="0" w:space="0" w:color="auto"/>
                    <w:right w:val="none" w:sz="0" w:space="0" w:color="auto"/>
                  </w:divBdr>
                  <w:divsChild>
                    <w:div w:id="1655140596">
                      <w:marLeft w:val="-225"/>
                      <w:marRight w:val="-225"/>
                      <w:marTop w:val="0"/>
                      <w:marBottom w:val="0"/>
                      <w:divBdr>
                        <w:top w:val="none" w:sz="0" w:space="0" w:color="auto"/>
                        <w:left w:val="none" w:sz="0" w:space="0" w:color="auto"/>
                        <w:bottom w:val="none" w:sz="0" w:space="0" w:color="auto"/>
                        <w:right w:val="none" w:sz="0" w:space="0" w:color="auto"/>
                      </w:divBdr>
                      <w:divsChild>
                        <w:div w:id="521091992">
                          <w:marLeft w:val="0"/>
                          <w:marRight w:val="0"/>
                          <w:marTop w:val="0"/>
                          <w:marBottom w:val="0"/>
                          <w:divBdr>
                            <w:top w:val="none" w:sz="0" w:space="0" w:color="auto"/>
                            <w:left w:val="none" w:sz="0" w:space="0" w:color="auto"/>
                            <w:bottom w:val="none" w:sz="0" w:space="0" w:color="auto"/>
                            <w:right w:val="none" w:sz="0" w:space="0" w:color="auto"/>
                          </w:divBdr>
                          <w:divsChild>
                            <w:div w:id="835731234">
                              <w:marLeft w:val="0"/>
                              <w:marRight w:val="0"/>
                              <w:marTop w:val="0"/>
                              <w:marBottom w:val="0"/>
                              <w:divBdr>
                                <w:top w:val="none" w:sz="0" w:space="0" w:color="auto"/>
                                <w:left w:val="none" w:sz="0" w:space="0" w:color="auto"/>
                                <w:bottom w:val="none" w:sz="0" w:space="0" w:color="auto"/>
                                <w:right w:val="none" w:sz="0" w:space="0" w:color="auto"/>
                              </w:divBdr>
                              <w:divsChild>
                                <w:div w:id="5111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685060">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794597410">
      <w:bodyDiv w:val="1"/>
      <w:marLeft w:val="0"/>
      <w:marRight w:val="0"/>
      <w:marTop w:val="0"/>
      <w:marBottom w:val="0"/>
      <w:divBdr>
        <w:top w:val="none" w:sz="0" w:space="0" w:color="auto"/>
        <w:left w:val="none" w:sz="0" w:space="0" w:color="auto"/>
        <w:bottom w:val="none" w:sz="0" w:space="0" w:color="auto"/>
        <w:right w:val="none" w:sz="0" w:space="0" w:color="auto"/>
      </w:divBdr>
    </w:div>
    <w:div w:id="1795248154">
      <w:bodyDiv w:val="1"/>
      <w:marLeft w:val="0"/>
      <w:marRight w:val="0"/>
      <w:marTop w:val="0"/>
      <w:marBottom w:val="0"/>
      <w:divBdr>
        <w:top w:val="none" w:sz="0" w:space="0" w:color="auto"/>
        <w:left w:val="none" w:sz="0" w:space="0" w:color="auto"/>
        <w:bottom w:val="none" w:sz="0" w:space="0" w:color="auto"/>
        <w:right w:val="none" w:sz="0" w:space="0" w:color="auto"/>
      </w:divBdr>
      <w:divsChild>
        <w:div w:id="1622954953">
          <w:marLeft w:val="0"/>
          <w:marRight w:val="0"/>
          <w:marTop w:val="0"/>
          <w:marBottom w:val="0"/>
          <w:divBdr>
            <w:top w:val="none" w:sz="0" w:space="0" w:color="auto"/>
            <w:left w:val="none" w:sz="0" w:space="0" w:color="auto"/>
            <w:bottom w:val="none" w:sz="0" w:space="0" w:color="auto"/>
            <w:right w:val="none" w:sz="0" w:space="0" w:color="auto"/>
          </w:divBdr>
          <w:divsChild>
            <w:div w:id="1448042739">
              <w:marLeft w:val="0"/>
              <w:marRight w:val="0"/>
              <w:marTop w:val="0"/>
              <w:marBottom w:val="0"/>
              <w:divBdr>
                <w:top w:val="none" w:sz="0" w:space="0" w:color="auto"/>
                <w:left w:val="none" w:sz="0" w:space="0" w:color="auto"/>
                <w:bottom w:val="none" w:sz="0" w:space="0" w:color="auto"/>
                <w:right w:val="none" w:sz="0" w:space="0" w:color="auto"/>
              </w:divBdr>
              <w:divsChild>
                <w:div w:id="122845285">
                  <w:marLeft w:val="0"/>
                  <w:marRight w:val="0"/>
                  <w:marTop w:val="0"/>
                  <w:marBottom w:val="0"/>
                  <w:divBdr>
                    <w:top w:val="none" w:sz="0" w:space="0" w:color="auto"/>
                    <w:left w:val="none" w:sz="0" w:space="0" w:color="auto"/>
                    <w:bottom w:val="none" w:sz="0" w:space="0" w:color="auto"/>
                    <w:right w:val="none" w:sz="0" w:space="0" w:color="auto"/>
                  </w:divBdr>
                  <w:divsChild>
                    <w:div w:id="1953972342">
                      <w:marLeft w:val="0"/>
                      <w:marRight w:val="0"/>
                      <w:marTop w:val="0"/>
                      <w:marBottom w:val="300"/>
                      <w:divBdr>
                        <w:top w:val="none" w:sz="0" w:space="0" w:color="auto"/>
                        <w:left w:val="none" w:sz="0" w:space="0" w:color="auto"/>
                        <w:bottom w:val="none" w:sz="0" w:space="0" w:color="auto"/>
                        <w:right w:val="none" w:sz="0" w:space="0" w:color="auto"/>
                      </w:divBdr>
                      <w:divsChild>
                        <w:div w:id="1493986384">
                          <w:marLeft w:val="0"/>
                          <w:marRight w:val="0"/>
                          <w:marTop w:val="0"/>
                          <w:marBottom w:val="0"/>
                          <w:divBdr>
                            <w:top w:val="none" w:sz="0" w:space="0" w:color="auto"/>
                            <w:left w:val="none" w:sz="0" w:space="0" w:color="auto"/>
                            <w:bottom w:val="none" w:sz="0" w:space="0" w:color="auto"/>
                            <w:right w:val="none" w:sz="0" w:space="0" w:color="auto"/>
                          </w:divBdr>
                          <w:divsChild>
                            <w:div w:id="15210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588366">
      <w:bodyDiv w:val="1"/>
      <w:marLeft w:val="0"/>
      <w:marRight w:val="0"/>
      <w:marTop w:val="0"/>
      <w:marBottom w:val="0"/>
      <w:divBdr>
        <w:top w:val="none" w:sz="0" w:space="0" w:color="auto"/>
        <w:left w:val="none" w:sz="0" w:space="0" w:color="auto"/>
        <w:bottom w:val="none" w:sz="0" w:space="0" w:color="auto"/>
        <w:right w:val="none" w:sz="0" w:space="0" w:color="auto"/>
      </w:divBdr>
    </w:div>
    <w:div w:id="1826965731">
      <w:bodyDiv w:val="1"/>
      <w:marLeft w:val="0"/>
      <w:marRight w:val="0"/>
      <w:marTop w:val="0"/>
      <w:marBottom w:val="0"/>
      <w:divBdr>
        <w:top w:val="none" w:sz="0" w:space="0" w:color="auto"/>
        <w:left w:val="none" w:sz="0" w:space="0" w:color="auto"/>
        <w:bottom w:val="none" w:sz="0" w:space="0" w:color="auto"/>
        <w:right w:val="none" w:sz="0" w:space="0" w:color="auto"/>
      </w:divBdr>
    </w:div>
    <w:div w:id="1827168438">
      <w:bodyDiv w:val="1"/>
      <w:marLeft w:val="0"/>
      <w:marRight w:val="0"/>
      <w:marTop w:val="0"/>
      <w:marBottom w:val="0"/>
      <w:divBdr>
        <w:top w:val="none" w:sz="0" w:space="0" w:color="auto"/>
        <w:left w:val="none" w:sz="0" w:space="0" w:color="auto"/>
        <w:bottom w:val="none" w:sz="0" w:space="0" w:color="auto"/>
        <w:right w:val="none" w:sz="0" w:space="0" w:color="auto"/>
      </w:divBdr>
      <w:divsChild>
        <w:div w:id="1983775176">
          <w:marLeft w:val="0"/>
          <w:marRight w:val="0"/>
          <w:marTop w:val="0"/>
          <w:marBottom w:val="0"/>
          <w:divBdr>
            <w:top w:val="none" w:sz="0" w:space="0" w:color="auto"/>
            <w:left w:val="none" w:sz="0" w:space="0" w:color="auto"/>
            <w:bottom w:val="none" w:sz="0" w:space="0" w:color="auto"/>
            <w:right w:val="none" w:sz="0" w:space="0" w:color="auto"/>
          </w:divBdr>
          <w:divsChild>
            <w:div w:id="1688943913">
              <w:marLeft w:val="0"/>
              <w:marRight w:val="0"/>
              <w:marTop w:val="0"/>
              <w:marBottom w:val="0"/>
              <w:divBdr>
                <w:top w:val="none" w:sz="0" w:space="0" w:color="auto"/>
                <w:left w:val="none" w:sz="0" w:space="0" w:color="auto"/>
                <w:bottom w:val="none" w:sz="0" w:space="0" w:color="auto"/>
                <w:right w:val="none" w:sz="0" w:space="0" w:color="auto"/>
              </w:divBdr>
              <w:divsChild>
                <w:div w:id="406072252">
                  <w:marLeft w:val="0"/>
                  <w:marRight w:val="0"/>
                  <w:marTop w:val="0"/>
                  <w:marBottom w:val="0"/>
                  <w:divBdr>
                    <w:top w:val="none" w:sz="0" w:space="0" w:color="auto"/>
                    <w:left w:val="none" w:sz="0" w:space="0" w:color="auto"/>
                    <w:bottom w:val="none" w:sz="0" w:space="0" w:color="auto"/>
                    <w:right w:val="none" w:sz="0" w:space="0" w:color="auto"/>
                  </w:divBdr>
                  <w:divsChild>
                    <w:div w:id="1143963461">
                      <w:marLeft w:val="0"/>
                      <w:marRight w:val="0"/>
                      <w:marTop w:val="0"/>
                      <w:marBottom w:val="300"/>
                      <w:divBdr>
                        <w:top w:val="none" w:sz="0" w:space="0" w:color="auto"/>
                        <w:left w:val="none" w:sz="0" w:space="0" w:color="auto"/>
                        <w:bottom w:val="none" w:sz="0" w:space="0" w:color="auto"/>
                        <w:right w:val="none" w:sz="0" w:space="0" w:color="auto"/>
                      </w:divBdr>
                      <w:divsChild>
                        <w:div w:id="7841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862201">
      <w:bodyDiv w:val="1"/>
      <w:marLeft w:val="0"/>
      <w:marRight w:val="0"/>
      <w:marTop w:val="0"/>
      <w:marBottom w:val="0"/>
      <w:divBdr>
        <w:top w:val="none" w:sz="0" w:space="0" w:color="auto"/>
        <w:left w:val="none" w:sz="0" w:space="0" w:color="auto"/>
        <w:bottom w:val="none" w:sz="0" w:space="0" w:color="auto"/>
        <w:right w:val="none" w:sz="0" w:space="0" w:color="auto"/>
      </w:divBdr>
    </w:div>
    <w:div w:id="1856530181">
      <w:bodyDiv w:val="1"/>
      <w:marLeft w:val="0"/>
      <w:marRight w:val="0"/>
      <w:marTop w:val="0"/>
      <w:marBottom w:val="0"/>
      <w:divBdr>
        <w:top w:val="none" w:sz="0" w:space="0" w:color="auto"/>
        <w:left w:val="none" w:sz="0" w:space="0" w:color="auto"/>
        <w:bottom w:val="none" w:sz="0" w:space="0" w:color="auto"/>
        <w:right w:val="none" w:sz="0" w:space="0" w:color="auto"/>
      </w:divBdr>
    </w:div>
    <w:div w:id="1876847830">
      <w:bodyDiv w:val="1"/>
      <w:marLeft w:val="0"/>
      <w:marRight w:val="0"/>
      <w:marTop w:val="0"/>
      <w:marBottom w:val="0"/>
      <w:divBdr>
        <w:top w:val="none" w:sz="0" w:space="0" w:color="auto"/>
        <w:left w:val="none" w:sz="0" w:space="0" w:color="auto"/>
        <w:bottom w:val="none" w:sz="0" w:space="0" w:color="auto"/>
        <w:right w:val="none" w:sz="0" w:space="0" w:color="auto"/>
      </w:divBdr>
    </w:div>
    <w:div w:id="1891648805">
      <w:bodyDiv w:val="1"/>
      <w:marLeft w:val="0"/>
      <w:marRight w:val="0"/>
      <w:marTop w:val="0"/>
      <w:marBottom w:val="0"/>
      <w:divBdr>
        <w:top w:val="none" w:sz="0" w:space="0" w:color="auto"/>
        <w:left w:val="none" w:sz="0" w:space="0" w:color="auto"/>
        <w:bottom w:val="none" w:sz="0" w:space="0" w:color="auto"/>
        <w:right w:val="none" w:sz="0" w:space="0" w:color="auto"/>
      </w:divBdr>
    </w:div>
    <w:div w:id="1897936932">
      <w:bodyDiv w:val="1"/>
      <w:marLeft w:val="0"/>
      <w:marRight w:val="0"/>
      <w:marTop w:val="0"/>
      <w:marBottom w:val="0"/>
      <w:divBdr>
        <w:top w:val="none" w:sz="0" w:space="0" w:color="auto"/>
        <w:left w:val="none" w:sz="0" w:space="0" w:color="auto"/>
        <w:bottom w:val="none" w:sz="0" w:space="0" w:color="auto"/>
        <w:right w:val="none" w:sz="0" w:space="0" w:color="auto"/>
      </w:divBdr>
    </w:div>
    <w:div w:id="1922593591">
      <w:bodyDiv w:val="1"/>
      <w:marLeft w:val="0"/>
      <w:marRight w:val="0"/>
      <w:marTop w:val="0"/>
      <w:marBottom w:val="0"/>
      <w:divBdr>
        <w:top w:val="none" w:sz="0" w:space="0" w:color="auto"/>
        <w:left w:val="none" w:sz="0" w:space="0" w:color="auto"/>
        <w:bottom w:val="none" w:sz="0" w:space="0" w:color="auto"/>
        <w:right w:val="none" w:sz="0" w:space="0" w:color="auto"/>
      </w:divBdr>
    </w:div>
    <w:div w:id="1924606284">
      <w:bodyDiv w:val="1"/>
      <w:marLeft w:val="0"/>
      <w:marRight w:val="0"/>
      <w:marTop w:val="0"/>
      <w:marBottom w:val="0"/>
      <w:divBdr>
        <w:top w:val="none" w:sz="0" w:space="0" w:color="auto"/>
        <w:left w:val="none" w:sz="0" w:space="0" w:color="auto"/>
        <w:bottom w:val="none" w:sz="0" w:space="0" w:color="auto"/>
        <w:right w:val="none" w:sz="0" w:space="0" w:color="auto"/>
      </w:divBdr>
    </w:div>
    <w:div w:id="1929344351">
      <w:bodyDiv w:val="1"/>
      <w:marLeft w:val="0"/>
      <w:marRight w:val="0"/>
      <w:marTop w:val="0"/>
      <w:marBottom w:val="0"/>
      <w:divBdr>
        <w:top w:val="none" w:sz="0" w:space="0" w:color="auto"/>
        <w:left w:val="none" w:sz="0" w:space="0" w:color="auto"/>
        <w:bottom w:val="none" w:sz="0" w:space="0" w:color="auto"/>
        <w:right w:val="none" w:sz="0" w:space="0" w:color="auto"/>
      </w:divBdr>
    </w:div>
    <w:div w:id="1938322578">
      <w:bodyDiv w:val="1"/>
      <w:marLeft w:val="0"/>
      <w:marRight w:val="0"/>
      <w:marTop w:val="0"/>
      <w:marBottom w:val="0"/>
      <w:divBdr>
        <w:top w:val="none" w:sz="0" w:space="0" w:color="auto"/>
        <w:left w:val="none" w:sz="0" w:space="0" w:color="auto"/>
        <w:bottom w:val="none" w:sz="0" w:space="0" w:color="auto"/>
        <w:right w:val="none" w:sz="0" w:space="0" w:color="auto"/>
      </w:divBdr>
      <w:divsChild>
        <w:div w:id="78213284">
          <w:marLeft w:val="0"/>
          <w:marRight w:val="0"/>
          <w:marTop w:val="0"/>
          <w:marBottom w:val="0"/>
          <w:divBdr>
            <w:top w:val="none" w:sz="0" w:space="0" w:color="auto"/>
            <w:left w:val="none" w:sz="0" w:space="0" w:color="auto"/>
            <w:bottom w:val="none" w:sz="0" w:space="0" w:color="auto"/>
            <w:right w:val="none" w:sz="0" w:space="0" w:color="auto"/>
          </w:divBdr>
          <w:divsChild>
            <w:div w:id="867570229">
              <w:marLeft w:val="0"/>
              <w:marRight w:val="0"/>
              <w:marTop w:val="0"/>
              <w:marBottom w:val="0"/>
              <w:divBdr>
                <w:top w:val="none" w:sz="0" w:space="0" w:color="auto"/>
                <w:left w:val="none" w:sz="0" w:space="0" w:color="auto"/>
                <w:bottom w:val="none" w:sz="0" w:space="0" w:color="auto"/>
                <w:right w:val="none" w:sz="0" w:space="0" w:color="auto"/>
              </w:divBdr>
              <w:divsChild>
                <w:div w:id="1263998962">
                  <w:marLeft w:val="0"/>
                  <w:marRight w:val="0"/>
                  <w:marTop w:val="0"/>
                  <w:marBottom w:val="0"/>
                  <w:divBdr>
                    <w:top w:val="none" w:sz="0" w:space="0" w:color="auto"/>
                    <w:left w:val="none" w:sz="0" w:space="0" w:color="auto"/>
                    <w:bottom w:val="none" w:sz="0" w:space="0" w:color="auto"/>
                    <w:right w:val="none" w:sz="0" w:space="0" w:color="auto"/>
                  </w:divBdr>
                  <w:divsChild>
                    <w:div w:id="1205560232">
                      <w:marLeft w:val="0"/>
                      <w:marRight w:val="0"/>
                      <w:marTop w:val="0"/>
                      <w:marBottom w:val="0"/>
                      <w:divBdr>
                        <w:top w:val="none" w:sz="0" w:space="0" w:color="auto"/>
                        <w:left w:val="none" w:sz="0" w:space="0" w:color="auto"/>
                        <w:bottom w:val="none" w:sz="0" w:space="0" w:color="auto"/>
                        <w:right w:val="none" w:sz="0" w:space="0" w:color="auto"/>
                      </w:divBdr>
                      <w:divsChild>
                        <w:div w:id="1084573820">
                          <w:marLeft w:val="0"/>
                          <w:marRight w:val="0"/>
                          <w:marTop w:val="0"/>
                          <w:marBottom w:val="0"/>
                          <w:divBdr>
                            <w:top w:val="none" w:sz="0" w:space="0" w:color="auto"/>
                            <w:left w:val="none" w:sz="0" w:space="0" w:color="auto"/>
                            <w:bottom w:val="none" w:sz="0" w:space="0" w:color="auto"/>
                            <w:right w:val="none" w:sz="0" w:space="0" w:color="auto"/>
                          </w:divBdr>
                          <w:divsChild>
                            <w:div w:id="6307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733700">
      <w:bodyDiv w:val="1"/>
      <w:marLeft w:val="0"/>
      <w:marRight w:val="0"/>
      <w:marTop w:val="0"/>
      <w:marBottom w:val="0"/>
      <w:divBdr>
        <w:top w:val="none" w:sz="0" w:space="0" w:color="auto"/>
        <w:left w:val="none" w:sz="0" w:space="0" w:color="auto"/>
        <w:bottom w:val="none" w:sz="0" w:space="0" w:color="auto"/>
        <w:right w:val="none" w:sz="0" w:space="0" w:color="auto"/>
      </w:divBdr>
    </w:div>
    <w:div w:id="1955288350">
      <w:bodyDiv w:val="1"/>
      <w:marLeft w:val="0"/>
      <w:marRight w:val="0"/>
      <w:marTop w:val="0"/>
      <w:marBottom w:val="0"/>
      <w:divBdr>
        <w:top w:val="none" w:sz="0" w:space="0" w:color="auto"/>
        <w:left w:val="none" w:sz="0" w:space="0" w:color="auto"/>
        <w:bottom w:val="none" w:sz="0" w:space="0" w:color="auto"/>
        <w:right w:val="none" w:sz="0" w:space="0" w:color="auto"/>
      </w:divBdr>
    </w:div>
    <w:div w:id="1979259070">
      <w:bodyDiv w:val="1"/>
      <w:marLeft w:val="0"/>
      <w:marRight w:val="0"/>
      <w:marTop w:val="0"/>
      <w:marBottom w:val="0"/>
      <w:divBdr>
        <w:top w:val="none" w:sz="0" w:space="0" w:color="auto"/>
        <w:left w:val="none" w:sz="0" w:space="0" w:color="auto"/>
        <w:bottom w:val="none" w:sz="0" w:space="0" w:color="auto"/>
        <w:right w:val="none" w:sz="0" w:space="0" w:color="auto"/>
      </w:divBdr>
    </w:div>
    <w:div w:id="1979534009">
      <w:bodyDiv w:val="1"/>
      <w:marLeft w:val="0"/>
      <w:marRight w:val="0"/>
      <w:marTop w:val="0"/>
      <w:marBottom w:val="0"/>
      <w:divBdr>
        <w:top w:val="none" w:sz="0" w:space="0" w:color="auto"/>
        <w:left w:val="none" w:sz="0" w:space="0" w:color="auto"/>
        <w:bottom w:val="none" w:sz="0" w:space="0" w:color="auto"/>
        <w:right w:val="none" w:sz="0" w:space="0" w:color="auto"/>
      </w:divBdr>
    </w:div>
    <w:div w:id="1981108666">
      <w:bodyDiv w:val="1"/>
      <w:marLeft w:val="0"/>
      <w:marRight w:val="0"/>
      <w:marTop w:val="0"/>
      <w:marBottom w:val="0"/>
      <w:divBdr>
        <w:top w:val="none" w:sz="0" w:space="0" w:color="auto"/>
        <w:left w:val="none" w:sz="0" w:space="0" w:color="auto"/>
        <w:bottom w:val="none" w:sz="0" w:space="0" w:color="auto"/>
        <w:right w:val="none" w:sz="0" w:space="0" w:color="auto"/>
      </w:divBdr>
    </w:div>
    <w:div w:id="1994944178">
      <w:bodyDiv w:val="1"/>
      <w:marLeft w:val="0"/>
      <w:marRight w:val="0"/>
      <w:marTop w:val="0"/>
      <w:marBottom w:val="0"/>
      <w:divBdr>
        <w:top w:val="none" w:sz="0" w:space="0" w:color="auto"/>
        <w:left w:val="none" w:sz="0" w:space="0" w:color="auto"/>
        <w:bottom w:val="none" w:sz="0" w:space="0" w:color="auto"/>
        <w:right w:val="none" w:sz="0" w:space="0" w:color="auto"/>
      </w:divBdr>
    </w:div>
    <w:div w:id="2005164806">
      <w:bodyDiv w:val="1"/>
      <w:marLeft w:val="0"/>
      <w:marRight w:val="0"/>
      <w:marTop w:val="0"/>
      <w:marBottom w:val="0"/>
      <w:divBdr>
        <w:top w:val="none" w:sz="0" w:space="0" w:color="auto"/>
        <w:left w:val="none" w:sz="0" w:space="0" w:color="auto"/>
        <w:bottom w:val="none" w:sz="0" w:space="0" w:color="auto"/>
        <w:right w:val="none" w:sz="0" w:space="0" w:color="auto"/>
      </w:divBdr>
    </w:div>
    <w:div w:id="2011787162">
      <w:bodyDiv w:val="1"/>
      <w:marLeft w:val="0"/>
      <w:marRight w:val="0"/>
      <w:marTop w:val="0"/>
      <w:marBottom w:val="0"/>
      <w:divBdr>
        <w:top w:val="none" w:sz="0" w:space="0" w:color="auto"/>
        <w:left w:val="none" w:sz="0" w:space="0" w:color="auto"/>
        <w:bottom w:val="none" w:sz="0" w:space="0" w:color="auto"/>
        <w:right w:val="none" w:sz="0" w:space="0" w:color="auto"/>
      </w:divBdr>
    </w:div>
    <w:div w:id="2021352570">
      <w:bodyDiv w:val="1"/>
      <w:marLeft w:val="0"/>
      <w:marRight w:val="0"/>
      <w:marTop w:val="0"/>
      <w:marBottom w:val="0"/>
      <w:divBdr>
        <w:top w:val="none" w:sz="0" w:space="0" w:color="auto"/>
        <w:left w:val="none" w:sz="0" w:space="0" w:color="auto"/>
        <w:bottom w:val="none" w:sz="0" w:space="0" w:color="auto"/>
        <w:right w:val="none" w:sz="0" w:space="0" w:color="auto"/>
      </w:divBdr>
    </w:div>
    <w:div w:id="2031952774">
      <w:bodyDiv w:val="1"/>
      <w:marLeft w:val="0"/>
      <w:marRight w:val="0"/>
      <w:marTop w:val="0"/>
      <w:marBottom w:val="0"/>
      <w:divBdr>
        <w:top w:val="none" w:sz="0" w:space="0" w:color="auto"/>
        <w:left w:val="none" w:sz="0" w:space="0" w:color="auto"/>
        <w:bottom w:val="none" w:sz="0" w:space="0" w:color="auto"/>
        <w:right w:val="none" w:sz="0" w:space="0" w:color="auto"/>
      </w:divBdr>
    </w:div>
    <w:div w:id="2037271180">
      <w:bodyDiv w:val="1"/>
      <w:marLeft w:val="0"/>
      <w:marRight w:val="0"/>
      <w:marTop w:val="0"/>
      <w:marBottom w:val="0"/>
      <w:divBdr>
        <w:top w:val="none" w:sz="0" w:space="0" w:color="auto"/>
        <w:left w:val="none" w:sz="0" w:space="0" w:color="auto"/>
        <w:bottom w:val="none" w:sz="0" w:space="0" w:color="auto"/>
        <w:right w:val="none" w:sz="0" w:space="0" w:color="auto"/>
      </w:divBdr>
    </w:div>
    <w:div w:id="2074961037">
      <w:bodyDiv w:val="1"/>
      <w:marLeft w:val="0"/>
      <w:marRight w:val="0"/>
      <w:marTop w:val="0"/>
      <w:marBottom w:val="0"/>
      <w:divBdr>
        <w:top w:val="none" w:sz="0" w:space="0" w:color="auto"/>
        <w:left w:val="none" w:sz="0" w:space="0" w:color="auto"/>
        <w:bottom w:val="none" w:sz="0" w:space="0" w:color="auto"/>
        <w:right w:val="none" w:sz="0" w:space="0" w:color="auto"/>
      </w:divBdr>
    </w:div>
    <w:div w:id="2081831995">
      <w:bodyDiv w:val="1"/>
      <w:marLeft w:val="0"/>
      <w:marRight w:val="0"/>
      <w:marTop w:val="0"/>
      <w:marBottom w:val="0"/>
      <w:divBdr>
        <w:top w:val="none" w:sz="0" w:space="0" w:color="auto"/>
        <w:left w:val="none" w:sz="0" w:space="0" w:color="auto"/>
        <w:bottom w:val="none" w:sz="0" w:space="0" w:color="auto"/>
        <w:right w:val="none" w:sz="0" w:space="0" w:color="auto"/>
      </w:divBdr>
    </w:div>
    <w:div w:id="2086953704">
      <w:bodyDiv w:val="1"/>
      <w:marLeft w:val="0"/>
      <w:marRight w:val="0"/>
      <w:marTop w:val="0"/>
      <w:marBottom w:val="0"/>
      <w:divBdr>
        <w:top w:val="none" w:sz="0" w:space="0" w:color="auto"/>
        <w:left w:val="none" w:sz="0" w:space="0" w:color="auto"/>
        <w:bottom w:val="none" w:sz="0" w:space="0" w:color="auto"/>
        <w:right w:val="none" w:sz="0" w:space="0" w:color="auto"/>
      </w:divBdr>
    </w:div>
    <w:div w:id="2103062222">
      <w:bodyDiv w:val="1"/>
      <w:marLeft w:val="0"/>
      <w:marRight w:val="0"/>
      <w:marTop w:val="0"/>
      <w:marBottom w:val="0"/>
      <w:divBdr>
        <w:top w:val="none" w:sz="0" w:space="0" w:color="auto"/>
        <w:left w:val="none" w:sz="0" w:space="0" w:color="auto"/>
        <w:bottom w:val="none" w:sz="0" w:space="0" w:color="auto"/>
        <w:right w:val="none" w:sz="0" w:space="0" w:color="auto"/>
      </w:divBdr>
    </w:div>
    <w:div w:id="2113354724">
      <w:bodyDiv w:val="1"/>
      <w:marLeft w:val="0"/>
      <w:marRight w:val="0"/>
      <w:marTop w:val="0"/>
      <w:marBottom w:val="0"/>
      <w:divBdr>
        <w:top w:val="none" w:sz="0" w:space="0" w:color="auto"/>
        <w:left w:val="none" w:sz="0" w:space="0" w:color="auto"/>
        <w:bottom w:val="none" w:sz="0" w:space="0" w:color="auto"/>
        <w:right w:val="none" w:sz="0" w:space="0" w:color="auto"/>
      </w:divBdr>
    </w:div>
    <w:div w:id="2122725839">
      <w:bodyDiv w:val="1"/>
      <w:marLeft w:val="0"/>
      <w:marRight w:val="0"/>
      <w:marTop w:val="0"/>
      <w:marBottom w:val="0"/>
      <w:divBdr>
        <w:top w:val="none" w:sz="0" w:space="0" w:color="auto"/>
        <w:left w:val="none" w:sz="0" w:space="0" w:color="auto"/>
        <w:bottom w:val="none" w:sz="0" w:space="0" w:color="auto"/>
        <w:right w:val="none" w:sz="0" w:space="0" w:color="auto"/>
      </w:divBdr>
    </w:div>
    <w:div w:id="2123524986">
      <w:bodyDiv w:val="1"/>
      <w:marLeft w:val="0"/>
      <w:marRight w:val="0"/>
      <w:marTop w:val="0"/>
      <w:marBottom w:val="0"/>
      <w:divBdr>
        <w:top w:val="none" w:sz="0" w:space="0" w:color="auto"/>
        <w:left w:val="none" w:sz="0" w:space="0" w:color="auto"/>
        <w:bottom w:val="none" w:sz="0" w:space="0" w:color="auto"/>
        <w:right w:val="none" w:sz="0" w:space="0" w:color="auto"/>
      </w:divBdr>
    </w:div>
    <w:div w:id="212699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www.epa.vic.gov.au/about-us/legislation/acts-administered-by-epa/guide-to-the-environment-protection-acts" TargetMode="External"/><Relationship Id="rId39" Type="http://schemas.openxmlformats.org/officeDocument/2006/relationships/header" Target="header5.xml"/><Relationship Id="rId21" Type="http://schemas.openxmlformats.org/officeDocument/2006/relationships/hyperlink" Target="tel:1300372842" TargetMode="External"/><Relationship Id="rId34" Type="http://schemas.openxmlformats.org/officeDocument/2006/relationships/image" Target="media/image7.emf"/><Relationship Id="rId42" Type="http://schemas.openxmlformats.org/officeDocument/2006/relationships/header" Target="header6.xml"/><Relationship Id="rId47" Type="http://schemas.openxmlformats.org/officeDocument/2006/relationships/hyperlink" Target="http://doi.org/10.4225/61/5a3ae6d48570c" TargetMode="External"/><Relationship Id="rId50" Type="http://schemas.openxmlformats.org/officeDocument/2006/relationships/image" Target="media/image15.png"/><Relationship Id="rId55" Type="http://schemas.openxmlformats.org/officeDocument/2006/relationships/hyperlink" Target="https://www.ces.vic.gov.au/reports/state-environment-2018/water-quality/occurrence-algal-blooms" TargetMode="External"/><Relationship Id="rId63" Type="http://schemas.openxmlformats.org/officeDocument/2006/relationships/hyperlink" Target="https://www.ces.vic.gov.au/reports/state-environment-2018/water-quality/volume-sewage-discharge-surface-waters-epa" TargetMode="External"/><Relationship Id="rId68" Type="http://schemas.openxmlformats.org/officeDocument/2006/relationships/hyperlink" Target="https://www.ces.vic.gov.au/reports/state-environment-2018/marine-coastal-environments/estuarine-condition" TargetMode="External"/><Relationship Id="rId76" Type="http://schemas.openxmlformats.org/officeDocument/2006/relationships/header" Target="header9.xml"/><Relationship Id="rId84" Type="http://schemas.openxmlformats.org/officeDocument/2006/relationships/hyperlink" Target="https://www.vicroads.vic.gov.au/~/media/files/documents/planning-and-projects/aguidetoreductionoftrafficnoise2003.ashx?la=en" TargetMode="External"/><Relationship Id="rId89"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image" Target="media/image16.emf"/><Relationship Id="rId92"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epa.vic.gov.au/about-us/legislation/regulations" TargetMode="External"/><Relationship Id="rId11" Type="http://schemas.openxmlformats.org/officeDocument/2006/relationships/image" Target="media/image1.emf"/><Relationship Id="rId24" Type="http://schemas.openxmlformats.org/officeDocument/2006/relationships/hyperlink" Target="https://www.epa.vic.gov.au/about-us/legislation/acts-administered-by-epa/guide-to-the-environment-protection-acts" TargetMode="External"/><Relationship Id="rId32" Type="http://schemas.openxmlformats.org/officeDocument/2006/relationships/hyperlink" Target="https://www.epa.vic.gov.au/about-us/legislation/regulations" TargetMode="External"/><Relationship Id="rId37" Type="http://schemas.openxmlformats.org/officeDocument/2006/relationships/hyperlink" Target="javascript:void(0);" TargetMode="External"/><Relationship Id="rId40" Type="http://schemas.openxmlformats.org/officeDocument/2006/relationships/footer" Target="footer4.xml"/><Relationship Id="rId45" Type="http://schemas.openxmlformats.org/officeDocument/2006/relationships/image" Target="media/image12.png"/><Relationship Id="rId53" Type="http://schemas.openxmlformats.org/officeDocument/2006/relationships/hyperlink" Target="http://classic.austlii.edu.au/au/legis/vic/consol_act/epa1970284/s4.html" TargetMode="External"/><Relationship Id="rId58" Type="http://schemas.openxmlformats.org/officeDocument/2006/relationships/hyperlink" Target="https://www.ces.vic.gov.au/reports/state-environment-2018/water-quality/reported-inland-water-pollution-incidents-epa" TargetMode="External"/><Relationship Id="rId66" Type="http://schemas.openxmlformats.org/officeDocument/2006/relationships/hyperlink" Target="https://www.ces.vic.gov.au/reports/state-environment-2018/marine-coastal-environments/conservation-marine-ecosystems-protected" TargetMode="External"/><Relationship Id="rId74" Type="http://schemas.openxmlformats.org/officeDocument/2006/relationships/footer" Target="footer7.xml"/><Relationship Id="rId79" Type="http://schemas.openxmlformats.org/officeDocument/2006/relationships/hyperlink" Target="https://secure-web.cisco.com/1GsxqxNOBLLZyFRjMheq-37Z9rJvwO_W9RK4g56xv06wIidSK-0RscIoJePEPtIyL76xsPAqCn8GpVEdEaRTc3Z-aL8jMDXsFHL-bukiKO2bvzMhe7UrbLaYdeSV8OkTr9A9sXdLNJO-ibH1j26tGGxHXrid6n0j7mbI_cbkZPnDrBuTuCKCUbvj5V3kbHaJ_uaxq0NLJKWsbbBELa4DgsgDCVlOmqRFPE4fXDSq3lFbaU8g_2pL0SiQ_1JNqaFMr1ZnKwMDVXGSXTkA5MKfN32O1xqLHE_kn5qMnFUf5EByNZWf4Ao9bq0lzNRdNioeTJM5qo-Nwe3gkN-2CKdyz8g/https%3A%2F%2Fwww.epa.vic.gov.au%2F%7E%2Fmedia%2FPublications%2F1478%25204.pdf" TargetMode="External"/><Relationship Id="rId87"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hyperlink" Target="https://www.ces.vic.gov.au/reports/state-environment-2018/water-quality/total-phosphorus-concentrations-rivers" TargetMode="External"/><Relationship Id="rId82" Type="http://schemas.openxmlformats.org/officeDocument/2006/relationships/hyperlink" Target="https://www.vicroads.vic.gov.au/~/media/files/documents/planning-and-projects/trafficnoisereductionpolicy.ashx?la=en" TargetMode="External"/><Relationship Id="rId90" Type="http://schemas.openxmlformats.org/officeDocument/2006/relationships/footer" Target="footer1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www.epa.vic.gov.au/about-us/legislation/acts-administered-by-epa/guide-to-the-environment-protection-acts" TargetMode="External"/><Relationship Id="rId27" Type="http://schemas.openxmlformats.org/officeDocument/2006/relationships/hyperlink" Target="http://www.legislation.vic.gov.au/domino/Web_Notes/LDMS/LTObject_Store/LTObjSt3.nsf/d1a8d8a9bed958efca25761600042ef5/01a2c17de6bd4c6dca257761002ac701/$FILE/86-27a033.pdf" TargetMode="External"/><Relationship Id="rId30" Type="http://schemas.openxmlformats.org/officeDocument/2006/relationships/hyperlink" Target="https://www.epa.vic.gov.au/about-us/legislation/regulations" TargetMode="External"/><Relationship Id="rId35" Type="http://schemas.openxmlformats.org/officeDocument/2006/relationships/image" Target="media/image8.png"/><Relationship Id="rId43" Type="http://schemas.openxmlformats.org/officeDocument/2006/relationships/footer" Target="footer6.xml"/><Relationship Id="rId48" Type="http://schemas.openxmlformats.org/officeDocument/2006/relationships/image" Target="media/image14.png"/><Relationship Id="rId56" Type="http://schemas.openxmlformats.org/officeDocument/2006/relationships/hyperlink" Target="https://www.ces.vic.gov.au/reports/state-environment-2018/water-quality/ph" TargetMode="External"/><Relationship Id="rId64" Type="http://schemas.openxmlformats.org/officeDocument/2006/relationships/hyperlink" Target="https://www.ces.vic.gov.au/reports/state-environment-2018/marine-coastal-environments/catchment-inputs-coastal-waters" TargetMode="External"/><Relationship Id="rId69" Type="http://schemas.openxmlformats.org/officeDocument/2006/relationships/hyperlink" Target="https://www.ces.vic.gov.au/reports/state-environment-2018/marine-coastal-environments/harmful-algae-blooms" TargetMode="External"/><Relationship Id="rId77"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classic.austlii.edu.au/au/legis/vic/consol_act/epa1970284/s4.html" TargetMode="External"/><Relationship Id="rId72" Type="http://schemas.openxmlformats.org/officeDocument/2006/relationships/header" Target="header7.xml"/><Relationship Id="rId80" Type="http://schemas.openxmlformats.org/officeDocument/2006/relationships/image" Target="media/image17.emf"/><Relationship Id="rId85" Type="http://schemas.openxmlformats.org/officeDocument/2006/relationships/image" Target="media/image18.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hyperlink" Target="https://www.epa.vic.gov.au/about-us/legislation/acts-administered-by-epa/guide-to-the-environment-protection-acts" TargetMode="External"/><Relationship Id="rId33" Type="http://schemas.openxmlformats.org/officeDocument/2006/relationships/hyperlink" Target="https://www.epa.vic.gov.au/about-us/legislation/air-legislation" TargetMode="External"/><Relationship Id="rId38" Type="http://schemas.openxmlformats.org/officeDocument/2006/relationships/header" Target="header4.xml"/><Relationship Id="rId46" Type="http://schemas.openxmlformats.org/officeDocument/2006/relationships/image" Target="media/image13.png"/><Relationship Id="rId59" Type="http://schemas.openxmlformats.org/officeDocument/2006/relationships/hyperlink" Target="https://www.ces.vic.gov.au/reports/state-environment-2018/water-quality/salinity-concentrations-rivers-ec" TargetMode="External"/><Relationship Id="rId67" Type="http://schemas.openxmlformats.org/officeDocument/2006/relationships/hyperlink" Target="https://www.ces.vic.gov.au/reports/state-environment-2018/marine-coastal-environments/enterococci-bacteria" TargetMode="External"/><Relationship Id="rId20" Type="http://schemas.openxmlformats.org/officeDocument/2006/relationships/hyperlink" Target="mailto:sublegreform@epa.vic.gov.au" TargetMode="External"/><Relationship Id="rId41" Type="http://schemas.openxmlformats.org/officeDocument/2006/relationships/footer" Target="footer5.xml"/><Relationship Id="rId54" Type="http://schemas.openxmlformats.org/officeDocument/2006/relationships/hyperlink" Target="https://www.ces.vic.gov.au/reports/state-environment-2018/water-quality/dissolved-oxygen-concentration-rivers" TargetMode="External"/><Relationship Id="rId62" Type="http://schemas.openxmlformats.org/officeDocument/2006/relationships/hyperlink" Target="https://www.ces.vic.gov.au/reports/state-environment-2018/water-quality/turbidity-levels-rivers" TargetMode="External"/><Relationship Id="rId70" Type="http://schemas.openxmlformats.org/officeDocument/2006/relationships/hyperlink" Target="https://www.ces.vic.gov.au/reports/state-environment-2018/marine-coastal-environments/point-source-discharges-marine-waters" TargetMode="External"/><Relationship Id="rId75" Type="http://schemas.openxmlformats.org/officeDocument/2006/relationships/footer" Target="footer8.xml"/><Relationship Id="rId83" Type="http://schemas.openxmlformats.org/officeDocument/2006/relationships/hyperlink" Target="http://consult.vicroads.vic.gov.au/trafficnoise" TargetMode="External"/><Relationship Id="rId88" Type="http://schemas.openxmlformats.org/officeDocument/2006/relationships/header" Target="header11.xml"/><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epa.vic.gov.au/about-us/legislation/acts-administered-by-epa/guide-to-the-environment-protection-acts" TargetMode="External"/><Relationship Id="rId28" Type="http://schemas.openxmlformats.org/officeDocument/2006/relationships/hyperlink" Target="http://www.legislation.vic.gov.au/Domino/Web_Notes/LDMS/PubLawToday.nsf/95c43dd4eac71a68ca256dde00056e7b/53cdcb0ec2abee62ca256e660008b515!OpenDocument" TargetMode="External"/><Relationship Id="rId36" Type="http://schemas.openxmlformats.org/officeDocument/2006/relationships/image" Target="media/image9.png"/><Relationship Id="rId49" Type="http://schemas.openxmlformats.org/officeDocument/2006/relationships/chart" Target="charts/chart1.xml"/><Relationship Id="rId57" Type="http://schemas.openxmlformats.org/officeDocument/2006/relationships/hyperlink" Target="https://www.ces.vic.gov.au/reports/state-environment-2018/water-quality/proportion-bodies-water-good-ambient-water-quality" TargetMode="External"/><Relationship Id="rId10" Type="http://schemas.openxmlformats.org/officeDocument/2006/relationships/endnotes" Target="endnotes.xml"/><Relationship Id="rId31" Type="http://schemas.openxmlformats.org/officeDocument/2006/relationships/hyperlink" Target="http://www.epa.vic.gov.au/about-us/legislation/regulations" TargetMode="External"/><Relationship Id="rId44" Type="http://schemas.microsoft.com/office/2014/relationships/chartEx" Target="charts/chartEx1.xml"/><Relationship Id="rId52" Type="http://schemas.openxmlformats.org/officeDocument/2006/relationships/hyperlink" Target="http://classic.austlii.edu.au/au/legis/vic/consol_act/epa1970284/s4.html" TargetMode="External"/><Relationship Id="rId60" Type="http://schemas.openxmlformats.org/officeDocument/2006/relationships/hyperlink" Target="https://www.ces.vic.gov.au/reports/state-environment-2018/water-quality/total-nitrogen-concentration-rivers" TargetMode="External"/><Relationship Id="rId65" Type="http://schemas.openxmlformats.org/officeDocument/2006/relationships/hyperlink" Target="https://www.ces.vic.gov.au/reports/state-environment-2018/marine-coastal-environments/conservation-coastal-ecosystems-protected" TargetMode="External"/><Relationship Id="rId73" Type="http://schemas.openxmlformats.org/officeDocument/2006/relationships/header" Target="header8.xml"/><Relationship Id="rId78" Type="http://schemas.openxmlformats.org/officeDocument/2006/relationships/hyperlink" Target="http://www.legislation.vic.gov.au/domino/web_notes/ldms/ltobject_store/ltobjst5.nsf/b1612aeaf0625227ca257619000d0882/d75744e9527474d5ca25780100107fae/$FILE/83-9921a154.pdf" TargetMode="External"/><Relationship Id="rId81" Type="http://schemas.openxmlformats.org/officeDocument/2006/relationships/hyperlink" Target="https://engage.vic.gov.au/waste/plastic-pollution" TargetMode="External"/><Relationship Id="rId86" Type="http://schemas.openxmlformats.org/officeDocument/2006/relationships/image" Target="media/image19.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abc.net.au/news/2018-10-21/melbourne-recycling-facilities-pose-fire-risk/10368302" TargetMode="External"/><Relationship Id="rId18" Type="http://schemas.openxmlformats.org/officeDocument/2006/relationships/hyperlink" Target="https://eur-lex.europa.eu/legal-content/EN/TXT/PDF/?uri=CELEX:52018XC0409(01)&amp;from=EN" TargetMode="External"/><Relationship Id="rId26" Type="http://schemas.openxmlformats.org/officeDocument/2006/relationships/hyperlink" Target="http://www.acor.org.au/uploads/2/1/5/4/21549240/deloitte_sa_waste_levy_final_2015.pdf" TargetMode="External"/><Relationship Id="rId39" Type="http://schemas.openxmlformats.org/officeDocument/2006/relationships/hyperlink" Target="https://www.environment.gov.au/system/files/resources/92a045e5-5afa-4fcf-a1d7-2bd35d24927c/files/qps-uses-methyl-bromide-2013-2016.pdf" TargetMode="External"/><Relationship Id="rId3" Type="http://schemas.openxmlformats.org/officeDocument/2006/relationships/hyperlink" Target="http://www.aton.com.au/publications/Proceedings_AARES_2003.pdf" TargetMode="External"/><Relationship Id="rId21" Type="http://schemas.openxmlformats.org/officeDocument/2006/relationships/hyperlink" Target="https://www.epa.vic.gov.au/~/media/Publications/IWRG422.pdf" TargetMode="External"/><Relationship Id="rId34" Type="http://schemas.openxmlformats.org/officeDocument/2006/relationships/hyperlink" Target="https://www.epa.vic.gov.au/your-environment/air/protecting-victorias-air/protection-of-the-ozone-layer" TargetMode="External"/><Relationship Id="rId42" Type="http://schemas.openxmlformats.org/officeDocument/2006/relationships/hyperlink" Target="https://www.ces.vic.gov.au/reports/state-environment-2018/water-quality" TargetMode="External"/><Relationship Id="rId47" Type="http://schemas.openxmlformats.org/officeDocument/2006/relationships/hyperlink" Target="https://www.epa.vic.gov.au/~/media/Publications/1543.pdf" TargetMode="External"/><Relationship Id="rId50" Type="http://schemas.openxmlformats.org/officeDocument/2006/relationships/hyperlink" Target="https://www.epa.vic.gov.au/~/media/Publications/1543.pdf" TargetMode="External"/><Relationship Id="rId7" Type="http://schemas.openxmlformats.org/officeDocument/2006/relationships/hyperlink" Target="https://www.researchgate.net/publication/43449867_Process_performance_and_pollution_potential_A_review_of_septic_tank-soil_absorption_systems" TargetMode="External"/><Relationship Id="rId12" Type="http://schemas.openxmlformats.org/officeDocument/2006/relationships/hyperlink" Target="https://www.igem.vic.gov.au/reports-and-publications/igem-reports/review-of-skm-coolaroo-recycling-plant-fire" TargetMode="External"/><Relationship Id="rId17" Type="http://schemas.openxmlformats.org/officeDocument/2006/relationships/hyperlink" Target="https://www.epa.nsw.gov.au/-/media/epa/corporate-site/resources/illegaldumping/17p0158-epa-illegal-dumping-strategy.pdf" TargetMode="External"/><Relationship Id="rId25" Type="http://schemas.openxmlformats.org/officeDocument/2006/relationships/hyperlink" Target="http://www.acor.org.au/uploads/2/1/5/4/21549240/deloitte_sa_waste_levy_final_2015.pdf" TargetMode="External"/><Relationship Id="rId33" Type="http://schemas.openxmlformats.org/officeDocument/2006/relationships/hyperlink" Target="http://www.npi.gov.au/" TargetMode="External"/><Relationship Id="rId38" Type="http://schemas.openxmlformats.org/officeDocument/2006/relationships/hyperlink" Target="https://www.environment.gov.au/protection/ozone/ozone-science/ozone-depleting-substances" TargetMode="External"/><Relationship Id="rId46" Type="http://schemas.openxmlformats.org/officeDocument/2006/relationships/hyperlink" Target="http://www.abs.gov.au/AUSSTATS/abs@.nsf/DetailsPage/9309.031%20Jan%202018?OpenDocument" TargetMode="External"/><Relationship Id="rId2" Type="http://schemas.openxmlformats.org/officeDocument/2006/relationships/hyperlink" Target="https://www.dtf.vic.gov.au/sites/default/files/2018-01/Cost-Recovery-Guidelines-Jan2013_0.pdf" TargetMode="External"/><Relationship Id="rId16" Type="http://schemas.openxmlformats.org/officeDocument/2006/relationships/hyperlink" Target="https://www.epa.vic.gov.au/about-us/who-we-are/annual-reports-and-plans" TargetMode="External"/><Relationship Id="rId20" Type="http://schemas.openxmlformats.org/officeDocument/2006/relationships/hyperlink" Target="https://www.epa.vic.gov.au/~/media/Publications/IWRG423.pdf" TargetMode="External"/><Relationship Id="rId29" Type="http://schemas.openxmlformats.org/officeDocument/2006/relationships/hyperlink" Target="https://www.theguardian.com/environment/2018/jun/06/coles-and-woolworths-plastic-bag-ban-and-the-choices-that-remain" TargetMode="External"/><Relationship Id="rId41" Type="http://schemas.openxmlformats.org/officeDocument/2006/relationships/hyperlink" Target="https://www.ces.vic.gov.au/reports/state-environment-2018/water-quality" TargetMode="External"/><Relationship Id="rId1" Type="http://schemas.openxmlformats.org/officeDocument/2006/relationships/hyperlink" Target="http://www.betterregulation.vic.gov.au/Guidance-and-Resources" TargetMode="External"/><Relationship Id="rId6" Type="http://schemas.openxmlformats.org/officeDocument/2006/relationships/hyperlink" Target="https://www.payscale.com/research/AU/Country=Australia/Salary" TargetMode="External"/><Relationship Id="rId11" Type="http://schemas.openxmlformats.org/officeDocument/2006/relationships/hyperlink" Target="https://www.abc.net.au/news/2018-10-21/melbourne-recycling-facilities-pose-fire-risk/10368302" TargetMode="External"/><Relationship Id="rId24" Type="http://schemas.openxmlformats.org/officeDocument/2006/relationships/hyperlink" Target="http://www.acor.org.au/uploads/2/1/5/4/21549240/deloitte_sa_waste_levy_final_2015.pdf" TargetMode="External"/><Relationship Id="rId32" Type="http://schemas.openxmlformats.org/officeDocument/2006/relationships/hyperlink" Target="https://www.who.int/en/news-room/fact-sheets/detail/dioxins-and-their-effects-on-human-health" TargetMode="External"/><Relationship Id="rId37" Type="http://schemas.openxmlformats.org/officeDocument/2006/relationships/hyperlink" Target="http://www.npi.gov.au/" TargetMode="External"/><Relationship Id="rId40" Type="http://schemas.openxmlformats.org/officeDocument/2006/relationships/hyperlink" Target="https://www.abc.net.au/news/2015-03-29/toxic-pesticide-used-on-australian-strawberries/6354488" TargetMode="External"/><Relationship Id="rId45" Type="http://schemas.openxmlformats.org/officeDocument/2006/relationships/hyperlink" Target="https://www.ces.vic.gov.au/reports/state-environment-2018/water-quality" TargetMode="External"/><Relationship Id="rId5" Type="http://schemas.openxmlformats.org/officeDocument/2006/relationships/hyperlink" Target="https://www.epa.vic.gov.au/business-and-industry/guidelines/waste-guidance/combustible-recyclable-and-waste-materials" TargetMode="External"/><Relationship Id="rId15" Type="http://schemas.openxmlformats.org/officeDocument/2006/relationships/hyperlink" Target="https://www.theage.com.au/national/victoria/up-to-19-million-litres-of-toxic-waste-dumped-in-eight-suburban-warehouses-20190315-p514lm.html" TargetMode="External"/><Relationship Id="rId23" Type="http://schemas.openxmlformats.org/officeDocument/2006/relationships/hyperlink" Target="https://www.sepa.org.uk/media/28988/guidance-on-landfill-gas-flaring.pdf" TargetMode="External"/><Relationship Id="rId28" Type="http://schemas.openxmlformats.org/officeDocument/2006/relationships/hyperlink" Target="https://www.epa.vic.gov.au/~/media/Publications/1142%202.pdf" TargetMode="External"/><Relationship Id="rId36" Type="http://schemas.openxmlformats.org/officeDocument/2006/relationships/hyperlink" Target="https://www.epa.sa.gov.au/environmental_info/air_quality/understanding_air_quality" TargetMode="External"/><Relationship Id="rId49" Type="http://schemas.openxmlformats.org/officeDocument/2006/relationships/hyperlink" Target="https://www.epa.vic.gov.au/~/media/Publications/1543.pdf" TargetMode="External"/><Relationship Id="rId10" Type="http://schemas.openxmlformats.org/officeDocument/2006/relationships/hyperlink" Target="https://www.epa.vic.gov.au/about-us/news-centre/news-and-updates/news/2018/september/12/corkman-pair-ordered-to-pay-over-$600000" TargetMode="External"/><Relationship Id="rId19" Type="http://schemas.openxmlformats.org/officeDocument/2006/relationships/hyperlink" Target="https://www.payscale.com/research/AU/Country=Australia/Salary" TargetMode="External"/><Relationship Id="rId31" Type="http://schemas.openxmlformats.org/officeDocument/2006/relationships/hyperlink" Target="https://engage.vic.gov.au/waste/plastic-pollution" TargetMode="External"/><Relationship Id="rId44" Type="http://schemas.openxmlformats.org/officeDocument/2006/relationships/hyperlink" Target="https://yarraandbay.vic.gov.au/beach-report" TargetMode="External"/><Relationship Id="rId52" Type="http://schemas.openxmlformats.org/officeDocument/2006/relationships/hyperlink" Target="http://www.betterregulation.vic.gov.au/files/98181269-905c-4893-bff3-%20a6bb009df93c/Victorian-Guide-to-Regulation-PDF-final.pdf" TargetMode="External"/><Relationship Id="rId4" Type="http://schemas.openxmlformats.org/officeDocument/2006/relationships/hyperlink" Target="https://www.epa.vic.gov.au/our-work/licences-and-approvals/financial-assurances" TargetMode="External"/><Relationship Id="rId9" Type="http://schemas.openxmlformats.org/officeDocument/2006/relationships/hyperlink" Target="https://www.epa.nsw.gov.au/news/media-releases/2017/epamedia17020601" TargetMode="External"/><Relationship Id="rId14" Type="http://schemas.openxmlformats.org/officeDocument/2006/relationships/hyperlink" Target="https://www.theage.com.au/national/victoria/the-tipping-point-illegal-dumping-swamps-the-waste-industry-20170806-gxq8m0.html" TargetMode="External"/><Relationship Id="rId22" Type="http://schemas.openxmlformats.org/officeDocument/2006/relationships/hyperlink" Target="https://www.sepa.org.uk/media/28988/guidance-on-landfill-gas-flaring.pdf" TargetMode="External"/><Relationship Id="rId27" Type="http://schemas.openxmlformats.org/officeDocument/2006/relationships/hyperlink" Target="https://www.sustainability.vic.gov.au/Government/Litter-and-illegal-dumping/National-Litter-Index" TargetMode="External"/><Relationship Id="rId30" Type="http://schemas.openxmlformats.org/officeDocument/2006/relationships/hyperlink" Target="https://www.sciencedirect.com/science/article/pii/S0095069618305291?utm_source=npr_newsletter&amp;utm_medium=email&amp;utm_content=20190408&amp;utm_campaign=money&amp;utm_term=nprnews" TargetMode="External"/><Relationship Id="rId35" Type="http://schemas.openxmlformats.org/officeDocument/2006/relationships/hyperlink" Target="http://www.who.int/airpollution/ambient/health-impacts/en/" TargetMode="External"/><Relationship Id="rId43" Type="http://schemas.openxmlformats.org/officeDocument/2006/relationships/hyperlink" Target="https://www.ces.vic.gov.au/reports/state-environment-2018/water-quality" TargetMode="External"/><Relationship Id="rId48" Type="http://schemas.openxmlformats.org/officeDocument/2006/relationships/hyperlink" Target="https://www.epa.vic.gov.au/your-environment/air/vehicle-emissions-and-air-quality" TargetMode="External"/><Relationship Id="rId8" Type="http://schemas.openxmlformats.org/officeDocument/2006/relationships/hyperlink" Target="http://doi.org/10.4225/61/5a3ae6d48570c" TargetMode="External"/><Relationship Id="rId51" Type="http://schemas.openxmlformats.org/officeDocument/2006/relationships/hyperlink" Target="https://www.epa.vic.gov.au/~/media/Publications/154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4.png"/><Relationship Id="rId1" Type="http://schemas.openxmlformats.org/officeDocument/2006/relationships/image" Target="media/image10.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png"/><Relationship Id="rId1" Type="http://schemas.openxmlformats.org/officeDocument/2006/relationships/image" Target="media/image6.emf"/><Relationship Id="rId5" Type="http://schemas.openxmlformats.org/officeDocument/2006/relationships/image" Target="media/image5.png"/><Relationship Id="rId4" Type="http://schemas.openxmlformats.org/officeDocument/2006/relationships/image" Target="media/image11.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fa.edreams.au.deloitte.com/W/WBSENVA0012-01/AllDocuments/ENG.4.%20Client%20documents%20and%20data%20requests/0.%20Strictly%20Confidential%20_%20LIA/4.%20Historical%20landuse%20graphs/Historical%20landuse%20graphs%20-%20modifi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000968865276109E-2"/>
          <c:y val="6.9400630914826497E-2"/>
          <c:w val="0.91774079677256692"/>
          <c:h val="0.794395290494051"/>
        </c:manualLayout>
      </c:layout>
      <c:barChart>
        <c:barDir val="bar"/>
        <c:grouping val="stacked"/>
        <c:varyColors val="0"/>
        <c:ser>
          <c:idx val="0"/>
          <c:order val="0"/>
          <c:tx>
            <c:strRef>
              <c:f>Sheet1!$A$2</c:f>
              <c:strCache>
                <c:ptCount val="1"/>
                <c:pt idx="0">
                  <c:v>Inert waste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c:formatCode>
                <c:ptCount val="1"/>
                <c:pt idx="0">
                  <c:v>0.61</c:v>
                </c:pt>
              </c:numCache>
            </c:numRef>
          </c:val>
          <c:extLst>
            <c:ext xmlns:c16="http://schemas.microsoft.com/office/drawing/2014/chart" uri="{C3380CC4-5D6E-409C-BE32-E72D297353CC}">
              <c16:uniqueId val="{00000000-4360-4111-AADC-12D57864CEB0}"/>
            </c:ext>
          </c:extLst>
        </c:ser>
        <c:ser>
          <c:idx val="1"/>
          <c:order val="1"/>
          <c:tx>
            <c:strRef>
              <c:f>Sheet1!$A$3</c:f>
              <c:strCache>
                <c:ptCount val="1"/>
                <c:pt idx="0">
                  <c:v>Asbestos</c:v>
                </c:pt>
              </c:strCache>
            </c:strRef>
          </c:tx>
          <c:spPr>
            <a:solidFill>
              <a:schemeClr val="accent2"/>
            </a:solidFill>
            <a:ln>
              <a:noFill/>
            </a:ln>
            <a:effectLst/>
          </c:spPr>
          <c:invertIfNegative val="0"/>
          <c:dLbls>
            <c:dLbl>
              <c:idx val="0"/>
              <c:layout>
                <c:manualLayout>
                  <c:x val="-5.0114532698012956E-2"/>
                  <c:y val="0.30452538990477429"/>
                </c:manualLayout>
              </c:layout>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4360-4111-AADC-12D57864CE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c:formatCode>
                <c:ptCount val="1"/>
                <c:pt idx="0">
                  <c:v>0.16</c:v>
                </c:pt>
              </c:numCache>
            </c:numRef>
          </c:val>
          <c:extLst>
            <c:ext xmlns:c16="http://schemas.microsoft.com/office/drawing/2014/chart" uri="{C3380CC4-5D6E-409C-BE32-E72D297353CC}">
              <c16:uniqueId val="{00000002-4360-4111-AADC-12D57864CEB0}"/>
            </c:ext>
          </c:extLst>
        </c:ser>
        <c:ser>
          <c:idx val="2"/>
          <c:order val="2"/>
          <c:tx>
            <c:strRef>
              <c:f>Sheet1!$A$4</c:f>
              <c:strCache>
                <c:ptCount val="1"/>
                <c:pt idx="0">
                  <c:v>Contaminated 
soil</c:v>
                </c:pt>
              </c:strCache>
            </c:strRef>
          </c:tx>
          <c:spPr>
            <a:solidFill>
              <a:schemeClr val="accent3"/>
            </a:solidFill>
            <a:ln>
              <a:noFill/>
            </a:ln>
            <a:effectLst/>
          </c:spPr>
          <c:invertIfNegative val="0"/>
          <c:dLbls>
            <c:dLbl>
              <c:idx val="0"/>
              <c:layout>
                <c:manualLayout>
                  <c:x val="-0.11549460109162109"/>
                  <c:y val="-0.34639704127893106"/>
                </c:manualLayout>
              </c:layout>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4360-4111-AADC-12D57864CE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c:formatCode>
                <c:ptCount val="1"/>
                <c:pt idx="0">
                  <c:v>0.08</c:v>
                </c:pt>
              </c:numCache>
            </c:numRef>
          </c:val>
          <c:extLst>
            <c:ext xmlns:c16="http://schemas.microsoft.com/office/drawing/2014/chart" uri="{C3380CC4-5D6E-409C-BE32-E72D297353CC}">
              <c16:uniqueId val="{00000004-4360-4111-AADC-12D57864CEB0}"/>
            </c:ext>
          </c:extLst>
        </c:ser>
        <c:ser>
          <c:idx val="3"/>
          <c:order val="3"/>
          <c:tx>
            <c:strRef>
              <c:f>Sheet1!$A$5</c:f>
              <c:strCache>
                <c:ptCount val="1"/>
                <c:pt idx="0">
                  <c:v>Putrescible</c:v>
                </c:pt>
              </c:strCache>
            </c:strRef>
          </c:tx>
          <c:spPr>
            <a:solidFill>
              <a:schemeClr val="tx2"/>
            </a:solidFill>
            <a:ln>
              <a:noFill/>
            </a:ln>
            <a:effectLst/>
          </c:spPr>
          <c:invertIfNegative val="0"/>
          <c:dLbls>
            <c:dLbl>
              <c:idx val="0"/>
              <c:layout>
                <c:manualLayout>
                  <c:x val="6.7187368630564816E-3"/>
                  <c:y val="-0.37669817357541052"/>
                </c:manualLayout>
              </c:layout>
              <c:dLblPos val="ctr"/>
              <c:showLegendKey val="0"/>
              <c:showVal val="1"/>
              <c:showCatName val="0"/>
              <c:showSerName val="1"/>
              <c:showPercent val="0"/>
              <c:showBubbleSize val="0"/>
              <c:extLst>
                <c:ext xmlns:c15="http://schemas.microsoft.com/office/drawing/2012/chart" uri="{CE6537A1-D6FC-4f65-9D91-7224C49458BB}">
                  <c15:layout>
                    <c:manualLayout>
                      <c:w val="0.1665356904477156"/>
                      <c:h val="0.15839732326847569"/>
                    </c:manualLayout>
                  </c15:layout>
                </c:ext>
                <c:ext xmlns:c16="http://schemas.microsoft.com/office/drawing/2014/chart" uri="{C3380CC4-5D6E-409C-BE32-E72D297353CC}">
                  <c16:uniqueId val="{00000005-4360-4111-AADC-12D57864CE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c:f>
              <c:numCache>
                <c:formatCode>0%</c:formatCode>
                <c:ptCount val="1"/>
                <c:pt idx="0">
                  <c:v>0.04</c:v>
                </c:pt>
              </c:numCache>
            </c:numRef>
          </c:val>
          <c:extLst>
            <c:ext xmlns:c16="http://schemas.microsoft.com/office/drawing/2014/chart" uri="{C3380CC4-5D6E-409C-BE32-E72D297353CC}">
              <c16:uniqueId val="{00000006-4360-4111-AADC-12D57864CEB0}"/>
            </c:ext>
          </c:extLst>
        </c:ser>
        <c:ser>
          <c:idx val="4"/>
          <c:order val="4"/>
          <c:tx>
            <c:strRef>
              <c:f>Sheet1!$A$6</c:f>
              <c:strCache>
                <c:ptCount val="1"/>
                <c:pt idx="0">
                  <c:v>Organics</c:v>
                </c:pt>
              </c:strCache>
            </c:strRef>
          </c:tx>
          <c:spPr>
            <a:solidFill>
              <a:schemeClr val="accent5"/>
            </a:solidFill>
            <a:ln>
              <a:noFill/>
            </a:ln>
            <a:effectLst/>
          </c:spPr>
          <c:invertIfNegative val="0"/>
          <c:dLbls>
            <c:dLbl>
              <c:idx val="0"/>
              <c:layout>
                <c:manualLayout>
                  <c:x val="-9.1523379255082762E-2"/>
                  <c:y val="0.3238601114943277"/>
                </c:manualLayout>
              </c:layout>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360-4111-AADC-12D57864CE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Sheet1!$B$6</c:f>
              <c:numCache>
                <c:formatCode>0%</c:formatCode>
                <c:ptCount val="1"/>
                <c:pt idx="0">
                  <c:v>0.03</c:v>
                </c:pt>
              </c:numCache>
            </c:numRef>
          </c:val>
          <c:extLst>
            <c:ext xmlns:c16="http://schemas.microsoft.com/office/drawing/2014/chart" uri="{C3380CC4-5D6E-409C-BE32-E72D297353CC}">
              <c16:uniqueId val="{00000008-4360-4111-AADC-12D57864CEB0}"/>
            </c:ext>
          </c:extLst>
        </c:ser>
        <c:ser>
          <c:idx val="5"/>
          <c:order val="5"/>
          <c:tx>
            <c:strRef>
              <c:f>Sheet1!$A$7</c:f>
              <c:strCache>
                <c:ptCount val="1"/>
                <c:pt idx="0">
                  <c:v>Sludge/ biosolids</c:v>
                </c:pt>
              </c:strCache>
            </c:strRef>
          </c:tx>
          <c:spPr>
            <a:solidFill>
              <a:schemeClr val="accent6"/>
            </a:solidFill>
            <a:ln>
              <a:noFill/>
            </a:ln>
            <a:effectLst/>
          </c:spPr>
          <c:invertIfNegative val="0"/>
          <c:dLbls>
            <c:dLbl>
              <c:idx val="0"/>
              <c:layout>
                <c:manualLayout>
                  <c:x val="3.3894643644593457E-2"/>
                  <c:y val="0.33746556473829203"/>
                </c:manualLayout>
              </c:layout>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E413-4504-BD00-12798669F76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Sheet1!$B$7</c:f>
              <c:numCache>
                <c:formatCode>0%</c:formatCode>
                <c:ptCount val="1"/>
                <c:pt idx="0">
                  <c:v>0.01</c:v>
                </c:pt>
              </c:numCache>
            </c:numRef>
          </c:val>
          <c:extLst>
            <c:ext xmlns:c16="http://schemas.microsoft.com/office/drawing/2014/chart" uri="{C3380CC4-5D6E-409C-BE32-E72D297353CC}">
              <c16:uniqueId val="{00000009-4360-4111-AADC-12D57864CEB0}"/>
            </c:ext>
          </c:extLst>
        </c:ser>
        <c:ser>
          <c:idx val="6"/>
          <c:order val="6"/>
          <c:tx>
            <c:strRef>
              <c:f>Sheet1!$A$8</c:f>
              <c:strCache>
                <c:ptCount val="1"/>
                <c:pt idx="0">
                  <c:v>Other</c:v>
                </c:pt>
              </c:strCache>
            </c:strRef>
          </c:tx>
          <c:spPr>
            <a:solidFill>
              <a:schemeClr val="accent4"/>
            </a:solidFill>
            <a:ln>
              <a:noFill/>
            </a:ln>
            <a:effectLst/>
          </c:spPr>
          <c:invertIfNegative val="0"/>
          <c:dLbls>
            <c:dLbl>
              <c:idx val="0"/>
              <c:layout>
                <c:manualLayout>
                  <c:x val="2.6149487905861843E-2"/>
                  <c:y val="-0.35295438276826968"/>
                </c:manualLayout>
              </c:layout>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360-4111-AADC-12D57864CE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Sheet1!$B$8</c:f>
              <c:numCache>
                <c:formatCode>0%</c:formatCode>
                <c:ptCount val="1"/>
                <c:pt idx="0">
                  <c:v>7.0000000000000007E-2</c:v>
                </c:pt>
              </c:numCache>
            </c:numRef>
          </c:val>
          <c:extLst>
            <c:ext xmlns:c16="http://schemas.microsoft.com/office/drawing/2014/chart" uri="{C3380CC4-5D6E-409C-BE32-E72D297353CC}">
              <c16:uniqueId val="{0000000B-4360-4111-AADC-12D57864CEB0}"/>
            </c:ext>
          </c:extLst>
        </c:ser>
        <c:dLbls>
          <c:dLblPos val="ctr"/>
          <c:showLegendKey val="0"/>
          <c:showVal val="1"/>
          <c:showCatName val="0"/>
          <c:showSerName val="0"/>
          <c:showPercent val="0"/>
          <c:showBubbleSize val="0"/>
        </c:dLbls>
        <c:gapWidth val="150"/>
        <c:overlap val="100"/>
        <c:axId val="15203231"/>
        <c:axId val="15198239"/>
      </c:barChart>
      <c:catAx>
        <c:axId val="15203231"/>
        <c:scaling>
          <c:orientation val="minMax"/>
        </c:scaling>
        <c:delete val="1"/>
        <c:axPos val="l"/>
        <c:numFmt formatCode="General" sourceLinked="1"/>
        <c:majorTickMark val="none"/>
        <c:minorTickMark val="none"/>
        <c:tickLblPos val="nextTo"/>
        <c:crossAx val="15198239"/>
        <c:crosses val="autoZero"/>
        <c:auto val="1"/>
        <c:lblAlgn val="ctr"/>
        <c:lblOffset val="100"/>
        <c:noMultiLvlLbl val="0"/>
      </c:catAx>
      <c:valAx>
        <c:axId val="1519823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52032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'[Historical landuse graphs - modified.xlsx]new1'!$J$2:$J$12</cx:f>
        <cx:lvl ptCount="11">
          <cx:pt idx="0">Service station/fuel storage</cx:pt>
          <cx:pt idx="1">Other</cx:pt>
          <cx:pt idx="2">Manufacturing</cx:pt>
          <cx:pt idx="3">Agriculture</cx:pt>
          <cx:pt idx="4">Gasworks</cx:pt>
          <cx:pt idx="5">Automotive repair/engine works &amp; Electroplating</cx:pt>
          <cx:pt idx="6">Mixed industrial use</cx:pt>
          <cx:pt idx="7">Waste</cx:pt>
          <cx:pt idx="8">Mixed commercial use</cx:pt>
          <cx:pt idx="9">Railways &amp; Docklands</cx:pt>
          <cx:pt idx="10">Quarry</cx:pt>
        </cx:lvl>
      </cx:strDim>
      <cx:numDim type="size">
        <cx:f>'[Historical landuse graphs - modified.xlsx]new1'!$L$2:$L$12</cx:f>
        <cx:lvl ptCount="11" formatCode="0%">
          <cx:pt idx="0">0.31125827814569534</cx:pt>
          <cx:pt idx="1">0.16225165562913907</cx:pt>
          <cx:pt idx="2">0.14238410596026491</cx:pt>
          <cx:pt idx="3">0.062913907284768214</cx:pt>
          <cx:pt idx="4">0.062913907284768214</cx:pt>
          <cx:pt idx="5">0.056291390728476824</cx:pt>
          <cx:pt idx="6">0.049668874172185427</cx:pt>
          <cx:pt idx="7">0.046357615894039736</cx:pt>
          <cx:pt idx="8">0.043046357615894038</cx:pt>
          <cx:pt idx="9">0.036423841059602648</cx:pt>
          <cx:pt idx="10">0.026490066225165563</cx:pt>
        </cx:lvl>
      </cx:numDim>
    </cx:data>
  </cx:chartData>
  <cx:chart>
    <cx:plotArea>
      <cx:plotAreaRegion>
        <cx:series layoutId="treemap" uniqueId="{9E6F3253-BE45-47AE-B813-B46A99E0115E}">
          <cx:dataLabels pos="inEnd">
            <cx:numFmt formatCode="0%" sourceLinked="0"/>
            <cx:txPr>
              <a:bodyPr spcFirstLastPara="1" vertOverflow="ellipsis" wrap="square" lIns="0" tIns="0" rIns="0" bIns="0" anchor="ctr" anchorCtr="1"/>
              <a:lstStyle/>
              <a:p>
                <a:pPr>
                  <a:defRPr lang="en-US" sz="800" b="0" i="0" u="none" strike="noStrike" baseline="0">
                    <a:solidFill>
                      <a:srgbClr val="FFFFFF"/>
                    </a:solidFill>
                    <a:latin typeface="Verdana" panose="020B0604030504040204" pitchFamily="34" charset="0"/>
                    <a:ea typeface="Verdana" panose="020B0604030504040204" pitchFamily="34" charset="0"/>
                    <a:cs typeface="Verdana" panose="020B0604030504040204" pitchFamily="34" charset="0"/>
                  </a:defRPr>
                </a:pPr>
                <a:endParaRPr lang="en-US" sz="800">
                  <a:latin typeface="Verdana" panose="020B0604030504040204" pitchFamily="34" charset="0"/>
                  <a:ea typeface="Verdana" panose="020B0604030504040204" pitchFamily="34" charset="0"/>
                  <a:cs typeface="Verdana" panose="020B0604030504040204" pitchFamily="34" charset="0"/>
                </a:endParaRPr>
              </a:p>
            </cx:txPr>
            <cx:visibility seriesName="0" categoryName="1" value="1"/>
            <cx:separator> </cx:separator>
          </cx:dataLabels>
          <cx:dataId val="0"/>
          <cx:layoutPr>
            <cx:parentLabelLayout val="overlapping"/>
          </cx:layoutPr>
        </cx:series>
      </cx:plotAreaRegion>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word/theme/themeOverride1.xml><?xml version="1.0" encoding="utf-8"?>
<a:themeOverride xmlns:a="http://schemas.openxmlformats.org/drawingml/2006/main">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efd56804-0da9-4e05-b059-afcb4c17c8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66BFE504BBFC46B88D5A2BBAC4040C" ma:contentTypeVersion="7" ma:contentTypeDescription="Create a new document." ma:contentTypeScope="" ma:versionID="558d647a664e112ec3e6b4ae2d430221">
  <xsd:schema xmlns:xsd="http://www.w3.org/2001/XMLSchema" xmlns:xs="http://www.w3.org/2001/XMLSchema" xmlns:p="http://schemas.microsoft.com/office/2006/metadata/properties" xmlns:ns2="efd56804-0da9-4e05-b059-afcb4c17c853" xmlns:ns3="c7843b56-1269-49e6-95d1-46e8db6c00e6" targetNamespace="http://schemas.microsoft.com/office/2006/metadata/properties" ma:root="true" ma:fieldsID="ae9357ed2eba027b1c57abacb29f86c2" ns2:_="" ns3:_="">
    <xsd:import namespace="efd56804-0da9-4e05-b059-afcb4c17c853"/>
    <xsd:import namespace="c7843b56-1269-49e6-95d1-46e8db6c00e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d56804-0da9-4e05-b059-afcb4c17c8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Comments" ma:index="14" nillable="true" ma:displayName="Comments" ma:description="For clarification regarding document control"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843b56-1269-49e6-95d1-46e8db6c00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E5B1E-125D-45EC-B845-EDD61093C20A}">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7843b56-1269-49e6-95d1-46e8db6c00e6"/>
    <ds:schemaRef ds:uri="http://purl.org/dc/elements/1.1/"/>
    <ds:schemaRef ds:uri="efd56804-0da9-4e05-b059-afcb4c17c853"/>
    <ds:schemaRef ds:uri="http://www.w3.org/XML/1998/namespace"/>
    <ds:schemaRef ds:uri="http://purl.org/dc/dcmitype/"/>
  </ds:schemaRefs>
</ds:datastoreItem>
</file>

<file path=customXml/itemProps2.xml><?xml version="1.0" encoding="utf-8"?>
<ds:datastoreItem xmlns:ds="http://schemas.openxmlformats.org/officeDocument/2006/customXml" ds:itemID="{14F3EF4E-3896-4EC4-9F09-009D63179B68}">
  <ds:schemaRefs>
    <ds:schemaRef ds:uri="http://schemas.microsoft.com/sharepoint/v3/contenttype/forms"/>
  </ds:schemaRefs>
</ds:datastoreItem>
</file>

<file path=customXml/itemProps3.xml><?xml version="1.0" encoding="utf-8"?>
<ds:datastoreItem xmlns:ds="http://schemas.openxmlformats.org/officeDocument/2006/customXml" ds:itemID="{D37B6B5C-0902-4CB2-A501-DC84A23B0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d56804-0da9-4e05-b059-afcb4c17c853"/>
    <ds:schemaRef ds:uri="c7843b56-1269-49e6-95d1-46e8db6c0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783B76-0EF5-4610-B61A-D81106AA9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131470</Words>
  <Characters>749381</Characters>
  <Application>Microsoft Office Word</Application>
  <DocSecurity>0</DocSecurity>
  <Lines>6244</Lines>
  <Paragraphs>1758</Paragraphs>
  <ScaleCrop>false</ScaleCrop>
  <HeadingPairs>
    <vt:vector size="2" baseType="variant">
      <vt:variant>
        <vt:lpstr>Title</vt:lpstr>
      </vt:variant>
      <vt:variant>
        <vt:i4>1</vt:i4>
      </vt:variant>
    </vt:vector>
  </HeadingPairs>
  <TitlesOfParts>
    <vt:vector size="1" baseType="lpstr">
      <vt:lpstr>Regulatory Impact Statement: Proposed Environment Protection Regulations</vt:lpstr>
    </vt:vector>
  </TitlesOfParts>
  <Company/>
  <LinksUpToDate>false</LinksUpToDate>
  <CharactersWithSpaces>879093</CharactersWithSpaces>
  <SharedDoc>false</SharedDoc>
  <HLinks>
    <vt:vector size="570" baseType="variant">
      <vt:variant>
        <vt:i4>6029394</vt:i4>
      </vt:variant>
      <vt:variant>
        <vt:i4>959</vt:i4>
      </vt:variant>
      <vt:variant>
        <vt:i4>0</vt:i4>
      </vt:variant>
      <vt:variant>
        <vt:i4>5</vt:i4>
      </vt:variant>
      <vt:variant>
        <vt:lpwstr>https://www.vicroads.vic.gov.au/~/media/files/documents/planning-and-projects/aguidetoreductionoftrafficnoise2003.ashx?la=en</vt:lpwstr>
      </vt:variant>
      <vt:variant>
        <vt:lpwstr/>
      </vt:variant>
      <vt:variant>
        <vt:i4>6815854</vt:i4>
      </vt:variant>
      <vt:variant>
        <vt:i4>956</vt:i4>
      </vt:variant>
      <vt:variant>
        <vt:i4>0</vt:i4>
      </vt:variant>
      <vt:variant>
        <vt:i4>5</vt:i4>
      </vt:variant>
      <vt:variant>
        <vt:lpwstr>http://consult.vicroads.vic.gov.au/trafficnoise</vt:lpwstr>
      </vt:variant>
      <vt:variant>
        <vt:lpwstr/>
      </vt:variant>
      <vt:variant>
        <vt:i4>5832799</vt:i4>
      </vt:variant>
      <vt:variant>
        <vt:i4>953</vt:i4>
      </vt:variant>
      <vt:variant>
        <vt:i4>0</vt:i4>
      </vt:variant>
      <vt:variant>
        <vt:i4>5</vt:i4>
      </vt:variant>
      <vt:variant>
        <vt:lpwstr>https://www.vicroads.vic.gov.au/~/media/files/documents/planning-and-projects/trafficnoisereductionpolicy.ashx?la=en</vt:lpwstr>
      </vt:variant>
      <vt:variant>
        <vt:lpwstr/>
      </vt:variant>
      <vt:variant>
        <vt:i4>4718623</vt:i4>
      </vt:variant>
      <vt:variant>
        <vt:i4>950</vt:i4>
      </vt:variant>
      <vt:variant>
        <vt:i4>0</vt:i4>
      </vt:variant>
      <vt:variant>
        <vt:i4>5</vt:i4>
      </vt:variant>
      <vt:variant>
        <vt:lpwstr>https://engage.vic.gov.au/waste/plastic-pollution</vt:lpwstr>
      </vt:variant>
      <vt:variant>
        <vt:lpwstr/>
      </vt:variant>
      <vt:variant>
        <vt:i4>5767223</vt:i4>
      </vt:variant>
      <vt:variant>
        <vt:i4>917</vt:i4>
      </vt:variant>
      <vt:variant>
        <vt:i4>0</vt:i4>
      </vt:variant>
      <vt:variant>
        <vt:i4>5</vt:i4>
      </vt:variant>
      <vt:variant>
        <vt:lpwstr>https://secure-web.cisco.com/1GsxqxNOBLLZyFRjMheq-37Z9rJvwO_W9RK4g56xv06wIidSK-0RscIoJePEPtIyL76xsPAqCn8GpVEdEaRTc3Z-aL8jMDXsFHL-bukiKO2bvzMhe7UrbLaYdeSV8OkTr9A9sXdLNJO-ibH1j26tGGxHXrid6n0j7mbI_cbkZPnDrBuTuCKCUbvj5V3kbHaJ_uaxq0NLJKWsbbBELa4DgsgDCVlOmqRFPE4fXDSq3lFbaU8g_2pL0SiQ_1JNqaFMr1ZnKwMDVXGSXTkA5MKfN32O1xqLHE_kn5qMnFUf5EByNZWf4Ao9bq0lzNRdNioeTJM5qo-Nwe3gkN-2CKdyz8g/https%3A%2F%2Fwww.epa.vic.gov.au%2F~%2Fmedia%2FPublications%2F1478%25204.pdf</vt:lpwstr>
      </vt:variant>
      <vt:variant>
        <vt:lpwstr/>
      </vt:variant>
      <vt:variant>
        <vt:i4>2818082</vt:i4>
      </vt:variant>
      <vt:variant>
        <vt:i4>893</vt:i4>
      </vt:variant>
      <vt:variant>
        <vt:i4>0</vt:i4>
      </vt:variant>
      <vt:variant>
        <vt:i4>5</vt:i4>
      </vt:variant>
      <vt:variant>
        <vt:lpwstr>http://www.legislation.vic.gov.au/domino/web_notes/ldms/ltobject_store/ltobjst5.nsf/b1612aeaf0625227ca257619000d0882/d75744e9527474d5ca25780100107fae/$FILE/83-9921a154.pdf</vt:lpwstr>
      </vt:variant>
      <vt:variant>
        <vt:lpwstr/>
      </vt:variant>
      <vt:variant>
        <vt:i4>8192062</vt:i4>
      </vt:variant>
      <vt:variant>
        <vt:i4>704</vt:i4>
      </vt:variant>
      <vt:variant>
        <vt:i4>0</vt:i4>
      </vt:variant>
      <vt:variant>
        <vt:i4>5</vt:i4>
      </vt:variant>
      <vt:variant>
        <vt:lpwstr>https://www.ces.vic.gov.au/reports/state-environment-2018/marine-coastal-environments/point-source-discharges-marine-waters</vt:lpwstr>
      </vt:variant>
      <vt:variant>
        <vt:lpwstr/>
      </vt:variant>
      <vt:variant>
        <vt:i4>7602223</vt:i4>
      </vt:variant>
      <vt:variant>
        <vt:i4>701</vt:i4>
      </vt:variant>
      <vt:variant>
        <vt:i4>0</vt:i4>
      </vt:variant>
      <vt:variant>
        <vt:i4>5</vt:i4>
      </vt:variant>
      <vt:variant>
        <vt:lpwstr>https://www.ces.vic.gov.au/reports/state-environment-2018/marine-coastal-environments/harmful-algae-blooms</vt:lpwstr>
      </vt:variant>
      <vt:variant>
        <vt:lpwstr/>
      </vt:variant>
      <vt:variant>
        <vt:i4>5701709</vt:i4>
      </vt:variant>
      <vt:variant>
        <vt:i4>698</vt:i4>
      </vt:variant>
      <vt:variant>
        <vt:i4>0</vt:i4>
      </vt:variant>
      <vt:variant>
        <vt:i4>5</vt:i4>
      </vt:variant>
      <vt:variant>
        <vt:lpwstr>https://www.ces.vic.gov.au/reports/state-environment-2018/marine-coastal-environments/estuarine-condition</vt:lpwstr>
      </vt:variant>
      <vt:variant>
        <vt:lpwstr/>
      </vt:variant>
      <vt:variant>
        <vt:i4>3342395</vt:i4>
      </vt:variant>
      <vt:variant>
        <vt:i4>695</vt:i4>
      </vt:variant>
      <vt:variant>
        <vt:i4>0</vt:i4>
      </vt:variant>
      <vt:variant>
        <vt:i4>5</vt:i4>
      </vt:variant>
      <vt:variant>
        <vt:lpwstr>https://www.ces.vic.gov.au/reports/state-environment-2018/marine-coastal-environments/enterococci-bacteria</vt:lpwstr>
      </vt:variant>
      <vt:variant>
        <vt:lpwstr/>
      </vt:variant>
      <vt:variant>
        <vt:i4>3866686</vt:i4>
      </vt:variant>
      <vt:variant>
        <vt:i4>692</vt:i4>
      </vt:variant>
      <vt:variant>
        <vt:i4>0</vt:i4>
      </vt:variant>
      <vt:variant>
        <vt:i4>5</vt:i4>
      </vt:variant>
      <vt:variant>
        <vt:lpwstr>https://www.ces.vic.gov.au/reports/state-environment-2018/marine-coastal-environments/conservation-marine-ecosystems-protected</vt:lpwstr>
      </vt:variant>
      <vt:variant>
        <vt:lpwstr/>
      </vt:variant>
      <vt:variant>
        <vt:i4>2424895</vt:i4>
      </vt:variant>
      <vt:variant>
        <vt:i4>689</vt:i4>
      </vt:variant>
      <vt:variant>
        <vt:i4>0</vt:i4>
      </vt:variant>
      <vt:variant>
        <vt:i4>5</vt:i4>
      </vt:variant>
      <vt:variant>
        <vt:lpwstr>https://www.ces.vic.gov.au/reports/state-environment-2018/marine-coastal-environments/conservation-coastal-ecosystems-protected</vt:lpwstr>
      </vt:variant>
      <vt:variant>
        <vt:lpwstr/>
      </vt:variant>
      <vt:variant>
        <vt:i4>6225990</vt:i4>
      </vt:variant>
      <vt:variant>
        <vt:i4>686</vt:i4>
      </vt:variant>
      <vt:variant>
        <vt:i4>0</vt:i4>
      </vt:variant>
      <vt:variant>
        <vt:i4>5</vt:i4>
      </vt:variant>
      <vt:variant>
        <vt:lpwstr>https://www.ces.vic.gov.au/reports/state-environment-2018/marine-coastal-environments/catchment-inputs-coastal-waters</vt:lpwstr>
      </vt:variant>
      <vt:variant>
        <vt:lpwstr/>
      </vt:variant>
      <vt:variant>
        <vt:i4>6488099</vt:i4>
      </vt:variant>
      <vt:variant>
        <vt:i4>677</vt:i4>
      </vt:variant>
      <vt:variant>
        <vt:i4>0</vt:i4>
      </vt:variant>
      <vt:variant>
        <vt:i4>5</vt:i4>
      </vt:variant>
      <vt:variant>
        <vt:lpwstr>https://www.ces.vic.gov.au/reports/state-environment-2018/water-quality/volume-sewage-discharge-surface-waters-epa</vt:lpwstr>
      </vt:variant>
      <vt:variant>
        <vt:lpwstr/>
      </vt:variant>
      <vt:variant>
        <vt:i4>7471217</vt:i4>
      </vt:variant>
      <vt:variant>
        <vt:i4>674</vt:i4>
      </vt:variant>
      <vt:variant>
        <vt:i4>0</vt:i4>
      </vt:variant>
      <vt:variant>
        <vt:i4>5</vt:i4>
      </vt:variant>
      <vt:variant>
        <vt:lpwstr>https://www.ces.vic.gov.au/reports/state-environment-2018/water-quality/turbidity-levels-rivers</vt:lpwstr>
      </vt:variant>
      <vt:variant>
        <vt:lpwstr/>
      </vt:variant>
      <vt:variant>
        <vt:i4>2359395</vt:i4>
      </vt:variant>
      <vt:variant>
        <vt:i4>671</vt:i4>
      </vt:variant>
      <vt:variant>
        <vt:i4>0</vt:i4>
      </vt:variant>
      <vt:variant>
        <vt:i4>5</vt:i4>
      </vt:variant>
      <vt:variant>
        <vt:lpwstr>https://www.ces.vic.gov.au/reports/state-environment-2018/water-quality/total-phosphorus-concentrations-rivers</vt:lpwstr>
      </vt:variant>
      <vt:variant>
        <vt:lpwstr/>
      </vt:variant>
      <vt:variant>
        <vt:i4>6291490</vt:i4>
      </vt:variant>
      <vt:variant>
        <vt:i4>668</vt:i4>
      </vt:variant>
      <vt:variant>
        <vt:i4>0</vt:i4>
      </vt:variant>
      <vt:variant>
        <vt:i4>5</vt:i4>
      </vt:variant>
      <vt:variant>
        <vt:lpwstr>https://www.ces.vic.gov.au/reports/state-environment-2018/water-quality/total-nitrogen-concentration-rivers</vt:lpwstr>
      </vt:variant>
      <vt:variant>
        <vt:lpwstr/>
      </vt:variant>
      <vt:variant>
        <vt:i4>524370</vt:i4>
      </vt:variant>
      <vt:variant>
        <vt:i4>665</vt:i4>
      </vt:variant>
      <vt:variant>
        <vt:i4>0</vt:i4>
      </vt:variant>
      <vt:variant>
        <vt:i4>5</vt:i4>
      </vt:variant>
      <vt:variant>
        <vt:lpwstr>https://www.ces.vic.gov.au/reports/state-environment-2018/water-quality/salinity-concentrations-rivers-ec</vt:lpwstr>
      </vt:variant>
      <vt:variant>
        <vt:lpwstr/>
      </vt:variant>
      <vt:variant>
        <vt:i4>5636099</vt:i4>
      </vt:variant>
      <vt:variant>
        <vt:i4>662</vt:i4>
      </vt:variant>
      <vt:variant>
        <vt:i4>0</vt:i4>
      </vt:variant>
      <vt:variant>
        <vt:i4>5</vt:i4>
      </vt:variant>
      <vt:variant>
        <vt:lpwstr>https://www.ces.vic.gov.au/reports/state-environment-2018/water-quality/reported-inland-water-pollution-incidents-epa</vt:lpwstr>
      </vt:variant>
      <vt:variant>
        <vt:lpwstr/>
      </vt:variant>
      <vt:variant>
        <vt:i4>2424893</vt:i4>
      </vt:variant>
      <vt:variant>
        <vt:i4>659</vt:i4>
      </vt:variant>
      <vt:variant>
        <vt:i4>0</vt:i4>
      </vt:variant>
      <vt:variant>
        <vt:i4>5</vt:i4>
      </vt:variant>
      <vt:variant>
        <vt:lpwstr>https://www.ces.vic.gov.au/reports/state-environment-2018/water-quality/proportion-bodies-water-good-ambient-water-quality</vt:lpwstr>
      </vt:variant>
      <vt:variant>
        <vt:lpwstr/>
      </vt:variant>
      <vt:variant>
        <vt:i4>3473449</vt:i4>
      </vt:variant>
      <vt:variant>
        <vt:i4>656</vt:i4>
      </vt:variant>
      <vt:variant>
        <vt:i4>0</vt:i4>
      </vt:variant>
      <vt:variant>
        <vt:i4>5</vt:i4>
      </vt:variant>
      <vt:variant>
        <vt:lpwstr>https://www.ces.vic.gov.au/reports/state-environment-2018/water-quality/ph</vt:lpwstr>
      </vt:variant>
      <vt:variant>
        <vt:lpwstr/>
      </vt:variant>
      <vt:variant>
        <vt:i4>3670063</vt:i4>
      </vt:variant>
      <vt:variant>
        <vt:i4>653</vt:i4>
      </vt:variant>
      <vt:variant>
        <vt:i4>0</vt:i4>
      </vt:variant>
      <vt:variant>
        <vt:i4>5</vt:i4>
      </vt:variant>
      <vt:variant>
        <vt:lpwstr>https://www.ces.vic.gov.au/reports/state-environment-2018/water-quality/occurrence-algal-blooms</vt:lpwstr>
      </vt:variant>
      <vt:variant>
        <vt:lpwstr/>
      </vt:variant>
      <vt:variant>
        <vt:i4>1966151</vt:i4>
      </vt:variant>
      <vt:variant>
        <vt:i4>650</vt:i4>
      </vt:variant>
      <vt:variant>
        <vt:i4>0</vt:i4>
      </vt:variant>
      <vt:variant>
        <vt:i4>5</vt:i4>
      </vt:variant>
      <vt:variant>
        <vt:lpwstr>https://www.ces.vic.gov.au/reports/state-environment-2018/water-quality/dissolved-oxygen-concentration-rivers</vt:lpwstr>
      </vt:variant>
      <vt:variant>
        <vt:lpwstr/>
      </vt:variant>
      <vt:variant>
        <vt:i4>4390960</vt:i4>
      </vt:variant>
      <vt:variant>
        <vt:i4>527</vt:i4>
      </vt:variant>
      <vt:variant>
        <vt:i4>0</vt:i4>
      </vt:variant>
      <vt:variant>
        <vt:i4>5</vt:i4>
      </vt:variant>
      <vt:variant>
        <vt:lpwstr>http://classic.austlii.edu.au/au/legis/vic/consol_act/epa1970284/s4.html</vt:lpwstr>
      </vt:variant>
      <vt:variant>
        <vt:lpwstr>litter</vt:lpwstr>
      </vt:variant>
      <vt:variant>
        <vt:i4>5177386</vt:i4>
      </vt:variant>
      <vt:variant>
        <vt:i4>524</vt:i4>
      </vt:variant>
      <vt:variant>
        <vt:i4>0</vt:i4>
      </vt:variant>
      <vt:variant>
        <vt:i4>5</vt:i4>
      </vt:variant>
      <vt:variant>
        <vt:lpwstr>http://classic.austlii.edu.au/au/legis/vic/consol_act/epa1970284/s4.html</vt:lpwstr>
      </vt:variant>
      <vt:variant>
        <vt:lpwstr>deposit</vt:lpwstr>
      </vt:variant>
      <vt:variant>
        <vt:i4>4390960</vt:i4>
      </vt:variant>
      <vt:variant>
        <vt:i4>521</vt:i4>
      </vt:variant>
      <vt:variant>
        <vt:i4>0</vt:i4>
      </vt:variant>
      <vt:variant>
        <vt:i4>5</vt:i4>
      </vt:variant>
      <vt:variant>
        <vt:lpwstr>http://classic.austlii.edu.au/au/legis/vic/consol_act/epa1970284/s4.html</vt:lpwstr>
      </vt:variant>
      <vt:variant>
        <vt:lpwstr>litter</vt:lpwstr>
      </vt:variant>
      <vt:variant>
        <vt:i4>2621493</vt:i4>
      </vt:variant>
      <vt:variant>
        <vt:i4>377</vt:i4>
      </vt:variant>
      <vt:variant>
        <vt:i4>0</vt:i4>
      </vt:variant>
      <vt:variant>
        <vt:i4>5</vt:i4>
      </vt:variant>
      <vt:variant>
        <vt:lpwstr>http://doi.org/10.4225/61/5a3ae6d48570c</vt:lpwstr>
      </vt:variant>
      <vt:variant>
        <vt:lpwstr/>
      </vt:variant>
      <vt:variant>
        <vt:i4>4391000</vt:i4>
      </vt:variant>
      <vt:variant>
        <vt:i4>174</vt:i4>
      </vt:variant>
      <vt:variant>
        <vt:i4>0</vt:i4>
      </vt:variant>
      <vt:variant>
        <vt:i4>5</vt:i4>
      </vt:variant>
      <vt:variant>
        <vt:lpwstr>https://www.epa.vic.gov.au/about-us/legislation/water-legislation</vt:lpwstr>
      </vt:variant>
      <vt:variant>
        <vt:lpwstr/>
      </vt:variant>
      <vt:variant>
        <vt:i4>3014714</vt:i4>
      </vt:variant>
      <vt:variant>
        <vt:i4>171</vt:i4>
      </vt:variant>
      <vt:variant>
        <vt:i4>0</vt:i4>
      </vt:variant>
      <vt:variant>
        <vt:i4>5</vt:i4>
      </vt:variant>
      <vt:variant>
        <vt:lpwstr>https://www.epa.vic.gov.au/about-us/legislation/air-legislation</vt:lpwstr>
      </vt:variant>
      <vt:variant>
        <vt:lpwstr/>
      </vt:variant>
      <vt:variant>
        <vt:i4>7405608</vt:i4>
      </vt:variant>
      <vt:variant>
        <vt:i4>168</vt:i4>
      </vt:variant>
      <vt:variant>
        <vt:i4>0</vt:i4>
      </vt:variant>
      <vt:variant>
        <vt:i4>5</vt:i4>
      </vt:variant>
      <vt:variant>
        <vt:lpwstr>https://www.epa.vic.gov.au/about-us/legislation/regulations</vt:lpwstr>
      </vt:variant>
      <vt:variant>
        <vt:lpwstr>Scheduled</vt:lpwstr>
      </vt:variant>
      <vt:variant>
        <vt:i4>5505046</vt:i4>
      </vt:variant>
      <vt:variant>
        <vt:i4>165</vt:i4>
      </vt:variant>
      <vt:variant>
        <vt:i4>0</vt:i4>
      </vt:variant>
      <vt:variant>
        <vt:i4>5</vt:i4>
      </vt:variant>
      <vt:variant>
        <vt:lpwstr>http://www.epa.vic.gov.au/about-us/legislation/regulations</vt:lpwstr>
      </vt:variant>
      <vt:variant>
        <vt:lpwstr>iwr</vt:lpwstr>
      </vt:variant>
      <vt:variant>
        <vt:i4>7405624</vt:i4>
      </vt:variant>
      <vt:variant>
        <vt:i4>162</vt:i4>
      </vt:variant>
      <vt:variant>
        <vt:i4>0</vt:i4>
      </vt:variant>
      <vt:variant>
        <vt:i4>5</vt:i4>
      </vt:variant>
      <vt:variant>
        <vt:lpwstr>https://www.epa.vic.gov.au/about-us/legislation/regulations</vt:lpwstr>
      </vt:variant>
      <vt:variant>
        <vt:lpwstr>fees</vt:lpwstr>
      </vt:variant>
      <vt:variant>
        <vt:i4>6750259</vt:i4>
      </vt:variant>
      <vt:variant>
        <vt:i4>159</vt:i4>
      </vt:variant>
      <vt:variant>
        <vt:i4>0</vt:i4>
      </vt:variant>
      <vt:variant>
        <vt:i4>5</vt:i4>
      </vt:variant>
      <vt:variant>
        <vt:lpwstr>https://www.epa.vic.gov.au/about-us/legislation/regulations</vt:lpwstr>
      </vt:variant>
      <vt:variant>
        <vt:lpwstr>landfill</vt:lpwstr>
      </vt:variant>
      <vt:variant>
        <vt:i4>4718609</vt:i4>
      </vt:variant>
      <vt:variant>
        <vt:i4>156</vt:i4>
      </vt:variant>
      <vt:variant>
        <vt:i4>0</vt:i4>
      </vt:variant>
      <vt:variant>
        <vt:i4>5</vt:i4>
      </vt:variant>
      <vt:variant>
        <vt:lpwstr>http://www.legislation.vic.gov.au/domino/Web_Notes/LDMS/LTObject_Store/LTObjSt3.nsf/d1a8d8a9bed958efca25761600042ef5/01a2c17de6bd4c6dca257761002ac701/$FILE/86-27a033.pdf</vt:lpwstr>
      </vt:variant>
      <vt:variant>
        <vt:lpwstr/>
      </vt:variant>
      <vt:variant>
        <vt:i4>3997779</vt:i4>
      </vt:variant>
      <vt:variant>
        <vt:i4>153</vt:i4>
      </vt:variant>
      <vt:variant>
        <vt:i4>0</vt:i4>
      </vt:variant>
      <vt:variant>
        <vt:i4>5</vt:i4>
      </vt:variant>
      <vt:variant>
        <vt:lpwstr>http://www.legislation.vic.gov.au/Domino/Web_Notes/LDMS/PubLawToday.nsf/95c43dd4eac71a68ca256dde00056e7b/53cdcb0ec2abee62ca256e660008b515!OpenDocument</vt:lpwstr>
      </vt:variant>
      <vt:variant>
        <vt:lpwstr/>
      </vt:variant>
      <vt:variant>
        <vt:i4>4718609</vt:i4>
      </vt:variant>
      <vt:variant>
        <vt:i4>150</vt:i4>
      </vt:variant>
      <vt:variant>
        <vt:i4>0</vt:i4>
      </vt:variant>
      <vt:variant>
        <vt:i4>5</vt:i4>
      </vt:variant>
      <vt:variant>
        <vt:lpwstr>http://www.legislation.vic.gov.au/domino/Web_Notes/LDMS/LTObject_Store/LTObjSt3.nsf/d1a8d8a9bed958efca25761600042ef5/01a2c17de6bd4c6dca257761002ac701/$FILE/86-27a033.pdf</vt:lpwstr>
      </vt:variant>
      <vt:variant>
        <vt:lpwstr/>
      </vt:variant>
      <vt:variant>
        <vt:i4>1966095</vt:i4>
      </vt:variant>
      <vt:variant>
        <vt:i4>144</vt:i4>
      </vt:variant>
      <vt:variant>
        <vt:i4>0</vt:i4>
      </vt:variant>
      <vt:variant>
        <vt:i4>5</vt:i4>
      </vt:variant>
      <vt:variant>
        <vt:lpwstr>https://www.epa.vic.gov.au/about-us/legislation/acts-administered-by-epa/guide-to-the-environment-protection-acts</vt:lpwstr>
      </vt:variant>
      <vt:variant>
        <vt:lpwstr>Motorvehicles</vt:lpwstr>
      </vt:variant>
      <vt:variant>
        <vt:i4>1703939</vt:i4>
      </vt:variant>
      <vt:variant>
        <vt:i4>141</vt:i4>
      </vt:variant>
      <vt:variant>
        <vt:i4>0</vt:i4>
      </vt:variant>
      <vt:variant>
        <vt:i4>5</vt:i4>
      </vt:variant>
      <vt:variant>
        <vt:lpwstr>https://www.epa.vic.gov.au/about-us/legislation/acts-administered-by-epa/guide-to-the-environment-protection-acts</vt:lpwstr>
      </vt:variant>
      <vt:variant>
        <vt:lpwstr>Noise</vt:lpwstr>
      </vt:variant>
      <vt:variant>
        <vt:i4>6881401</vt:i4>
      </vt:variant>
      <vt:variant>
        <vt:i4>138</vt:i4>
      </vt:variant>
      <vt:variant>
        <vt:i4>0</vt:i4>
      </vt:variant>
      <vt:variant>
        <vt:i4>5</vt:i4>
      </vt:variant>
      <vt:variant>
        <vt:lpwstr>https://www.epa.vic.gov.au/about-us/legislation/acts-administered-by-epa/guide-to-the-environment-protection-acts</vt:lpwstr>
      </vt:variant>
      <vt:variant>
        <vt:lpwstr>litter</vt:lpwstr>
      </vt:variant>
      <vt:variant>
        <vt:i4>1245184</vt:i4>
      </vt:variant>
      <vt:variant>
        <vt:i4>135</vt:i4>
      </vt:variant>
      <vt:variant>
        <vt:i4>0</vt:i4>
      </vt:variant>
      <vt:variant>
        <vt:i4>5</vt:i4>
      </vt:variant>
      <vt:variant>
        <vt:lpwstr>https://www.epa.vic.gov.au/about-us/legislation/acts-administered-by-epa/guide-to-the-environment-protection-acts</vt:lpwstr>
      </vt:variant>
      <vt:variant>
        <vt:lpwstr>waste</vt:lpwstr>
      </vt:variant>
      <vt:variant>
        <vt:i4>1966084</vt:i4>
      </vt:variant>
      <vt:variant>
        <vt:i4>132</vt:i4>
      </vt:variant>
      <vt:variant>
        <vt:i4>0</vt:i4>
      </vt:variant>
      <vt:variant>
        <vt:i4>5</vt:i4>
      </vt:variant>
      <vt:variant>
        <vt:lpwstr>https://www.epa.vic.gov.au/about-us/legislation/acts-administered-by-epa/guide-to-the-environment-protection-acts</vt:lpwstr>
      </vt:variant>
      <vt:variant>
        <vt:lpwstr>pollution</vt:lpwstr>
      </vt:variant>
      <vt:variant>
        <vt:i4>6357036</vt:i4>
      </vt:variant>
      <vt:variant>
        <vt:i4>123</vt:i4>
      </vt:variant>
      <vt:variant>
        <vt:i4>0</vt:i4>
      </vt:variant>
      <vt:variant>
        <vt:i4>5</vt:i4>
      </vt:variant>
      <vt:variant>
        <vt:lpwstr>tel:1300372842</vt:lpwstr>
      </vt:variant>
      <vt:variant>
        <vt:lpwstr/>
      </vt:variant>
      <vt:variant>
        <vt:i4>1900594</vt:i4>
      </vt:variant>
      <vt:variant>
        <vt:i4>120</vt:i4>
      </vt:variant>
      <vt:variant>
        <vt:i4>0</vt:i4>
      </vt:variant>
      <vt:variant>
        <vt:i4>5</vt:i4>
      </vt:variant>
      <vt:variant>
        <vt:lpwstr>mailto:sublegreform@epa.vic.gov.au</vt:lpwstr>
      </vt:variant>
      <vt:variant>
        <vt:lpwstr/>
      </vt:variant>
      <vt:variant>
        <vt:i4>3997792</vt:i4>
      </vt:variant>
      <vt:variant>
        <vt:i4>153</vt:i4>
      </vt:variant>
      <vt:variant>
        <vt:i4>0</vt:i4>
      </vt:variant>
      <vt:variant>
        <vt:i4>5</vt:i4>
      </vt:variant>
      <vt:variant>
        <vt:lpwstr>http://www.betterregulation.vic.gov.au/files/98181269-905c-4893-bff3- a6bb009df93c/Victorian-Guide-to-Regulation-PDF-final.pdf</vt:lpwstr>
      </vt:variant>
      <vt:variant>
        <vt:lpwstr/>
      </vt:variant>
      <vt:variant>
        <vt:i4>5308511</vt:i4>
      </vt:variant>
      <vt:variant>
        <vt:i4>150</vt:i4>
      </vt:variant>
      <vt:variant>
        <vt:i4>0</vt:i4>
      </vt:variant>
      <vt:variant>
        <vt:i4>5</vt:i4>
      </vt:variant>
      <vt:variant>
        <vt:lpwstr>https://www.epa.vic.gov.au/~/media/Publications/1543.pdf</vt:lpwstr>
      </vt:variant>
      <vt:variant>
        <vt:lpwstr/>
      </vt:variant>
      <vt:variant>
        <vt:i4>5308511</vt:i4>
      </vt:variant>
      <vt:variant>
        <vt:i4>147</vt:i4>
      </vt:variant>
      <vt:variant>
        <vt:i4>0</vt:i4>
      </vt:variant>
      <vt:variant>
        <vt:i4>5</vt:i4>
      </vt:variant>
      <vt:variant>
        <vt:lpwstr>https://www.epa.vic.gov.au/~/media/Publications/1543.pdf</vt:lpwstr>
      </vt:variant>
      <vt:variant>
        <vt:lpwstr/>
      </vt:variant>
      <vt:variant>
        <vt:i4>5308511</vt:i4>
      </vt:variant>
      <vt:variant>
        <vt:i4>144</vt:i4>
      </vt:variant>
      <vt:variant>
        <vt:i4>0</vt:i4>
      </vt:variant>
      <vt:variant>
        <vt:i4>5</vt:i4>
      </vt:variant>
      <vt:variant>
        <vt:lpwstr>https://www.epa.vic.gov.au/~/media/Publications/1543.pdf</vt:lpwstr>
      </vt:variant>
      <vt:variant>
        <vt:lpwstr/>
      </vt:variant>
      <vt:variant>
        <vt:i4>5570570</vt:i4>
      </vt:variant>
      <vt:variant>
        <vt:i4>141</vt:i4>
      </vt:variant>
      <vt:variant>
        <vt:i4>0</vt:i4>
      </vt:variant>
      <vt:variant>
        <vt:i4>5</vt:i4>
      </vt:variant>
      <vt:variant>
        <vt:lpwstr>https://www.epa.vic.gov.au/your-environment/air/vehicle-emissions-and-air-quality</vt:lpwstr>
      </vt:variant>
      <vt:variant>
        <vt:lpwstr/>
      </vt:variant>
      <vt:variant>
        <vt:i4>5308511</vt:i4>
      </vt:variant>
      <vt:variant>
        <vt:i4>138</vt:i4>
      </vt:variant>
      <vt:variant>
        <vt:i4>0</vt:i4>
      </vt:variant>
      <vt:variant>
        <vt:i4>5</vt:i4>
      </vt:variant>
      <vt:variant>
        <vt:lpwstr>https://www.epa.vic.gov.au/~/media/Publications/1543.pdf</vt:lpwstr>
      </vt:variant>
      <vt:variant>
        <vt:lpwstr/>
      </vt:variant>
      <vt:variant>
        <vt:i4>6553666</vt:i4>
      </vt:variant>
      <vt:variant>
        <vt:i4>135</vt:i4>
      </vt:variant>
      <vt:variant>
        <vt:i4>0</vt:i4>
      </vt:variant>
      <vt:variant>
        <vt:i4>5</vt:i4>
      </vt:variant>
      <vt:variant>
        <vt:lpwstr>http://www.abs.gov.au/AUSSTATS/abs@.nsf/DetailsPage/9309.031 Jan 2018?OpenDocument</vt:lpwstr>
      </vt:variant>
      <vt:variant>
        <vt:lpwstr/>
      </vt:variant>
      <vt:variant>
        <vt:i4>7471136</vt:i4>
      </vt:variant>
      <vt:variant>
        <vt:i4>132</vt:i4>
      </vt:variant>
      <vt:variant>
        <vt:i4>0</vt:i4>
      </vt:variant>
      <vt:variant>
        <vt:i4>5</vt:i4>
      </vt:variant>
      <vt:variant>
        <vt:lpwstr>https://www.ces.vic.gov.au/reports/state-environment-2018/water-quality</vt:lpwstr>
      </vt:variant>
      <vt:variant>
        <vt:lpwstr/>
      </vt:variant>
      <vt:variant>
        <vt:i4>2097204</vt:i4>
      </vt:variant>
      <vt:variant>
        <vt:i4>129</vt:i4>
      </vt:variant>
      <vt:variant>
        <vt:i4>0</vt:i4>
      </vt:variant>
      <vt:variant>
        <vt:i4>5</vt:i4>
      </vt:variant>
      <vt:variant>
        <vt:lpwstr>https://yarraandbay.vic.gov.au/beach-report</vt:lpwstr>
      </vt:variant>
      <vt:variant>
        <vt:lpwstr/>
      </vt:variant>
      <vt:variant>
        <vt:i4>7471136</vt:i4>
      </vt:variant>
      <vt:variant>
        <vt:i4>126</vt:i4>
      </vt:variant>
      <vt:variant>
        <vt:i4>0</vt:i4>
      </vt:variant>
      <vt:variant>
        <vt:i4>5</vt:i4>
      </vt:variant>
      <vt:variant>
        <vt:lpwstr>https://www.ces.vic.gov.au/reports/state-environment-2018/water-quality</vt:lpwstr>
      </vt:variant>
      <vt:variant>
        <vt:lpwstr/>
      </vt:variant>
      <vt:variant>
        <vt:i4>7471136</vt:i4>
      </vt:variant>
      <vt:variant>
        <vt:i4>123</vt:i4>
      </vt:variant>
      <vt:variant>
        <vt:i4>0</vt:i4>
      </vt:variant>
      <vt:variant>
        <vt:i4>5</vt:i4>
      </vt:variant>
      <vt:variant>
        <vt:lpwstr>https://www.ces.vic.gov.au/reports/state-environment-2018/water-quality</vt:lpwstr>
      </vt:variant>
      <vt:variant>
        <vt:lpwstr/>
      </vt:variant>
      <vt:variant>
        <vt:i4>7471136</vt:i4>
      </vt:variant>
      <vt:variant>
        <vt:i4>120</vt:i4>
      </vt:variant>
      <vt:variant>
        <vt:i4>0</vt:i4>
      </vt:variant>
      <vt:variant>
        <vt:i4>5</vt:i4>
      </vt:variant>
      <vt:variant>
        <vt:lpwstr>https://www.ces.vic.gov.au/reports/state-environment-2018/water-quality</vt:lpwstr>
      </vt:variant>
      <vt:variant>
        <vt:lpwstr/>
      </vt:variant>
      <vt:variant>
        <vt:i4>2555958</vt:i4>
      </vt:variant>
      <vt:variant>
        <vt:i4>117</vt:i4>
      </vt:variant>
      <vt:variant>
        <vt:i4>0</vt:i4>
      </vt:variant>
      <vt:variant>
        <vt:i4>5</vt:i4>
      </vt:variant>
      <vt:variant>
        <vt:lpwstr>https://www.abc.net.au/news/2015-03-29/toxic-pesticide-used-on-australian-strawberries/6354488</vt:lpwstr>
      </vt:variant>
      <vt:variant>
        <vt:lpwstr/>
      </vt:variant>
      <vt:variant>
        <vt:i4>8257659</vt:i4>
      </vt:variant>
      <vt:variant>
        <vt:i4>114</vt:i4>
      </vt:variant>
      <vt:variant>
        <vt:i4>0</vt:i4>
      </vt:variant>
      <vt:variant>
        <vt:i4>5</vt:i4>
      </vt:variant>
      <vt:variant>
        <vt:lpwstr>https://www.environment.gov.au/system/files/resources/92a045e5-5afa-4fcf-a1d7-2bd35d24927c/files/qps-uses-methyl-bromide-2013-2016.pdf</vt:lpwstr>
      </vt:variant>
      <vt:variant>
        <vt:lpwstr/>
      </vt:variant>
      <vt:variant>
        <vt:i4>5177350</vt:i4>
      </vt:variant>
      <vt:variant>
        <vt:i4>111</vt:i4>
      </vt:variant>
      <vt:variant>
        <vt:i4>0</vt:i4>
      </vt:variant>
      <vt:variant>
        <vt:i4>5</vt:i4>
      </vt:variant>
      <vt:variant>
        <vt:lpwstr>https://www.environment.gov.au/protection/ozone/ozone-science/ozone-depleting-substances</vt:lpwstr>
      </vt:variant>
      <vt:variant>
        <vt:lpwstr/>
      </vt:variant>
      <vt:variant>
        <vt:i4>7536698</vt:i4>
      </vt:variant>
      <vt:variant>
        <vt:i4>108</vt:i4>
      </vt:variant>
      <vt:variant>
        <vt:i4>0</vt:i4>
      </vt:variant>
      <vt:variant>
        <vt:i4>5</vt:i4>
      </vt:variant>
      <vt:variant>
        <vt:lpwstr>http://www.npi.gov.au/</vt:lpwstr>
      </vt:variant>
      <vt:variant>
        <vt:lpwstr/>
      </vt:variant>
      <vt:variant>
        <vt:i4>720924</vt:i4>
      </vt:variant>
      <vt:variant>
        <vt:i4>105</vt:i4>
      </vt:variant>
      <vt:variant>
        <vt:i4>0</vt:i4>
      </vt:variant>
      <vt:variant>
        <vt:i4>5</vt:i4>
      </vt:variant>
      <vt:variant>
        <vt:lpwstr>https://www.epa.sa.gov.au/environmental_info/air_quality/understanding_air_quality</vt:lpwstr>
      </vt:variant>
      <vt:variant>
        <vt:lpwstr/>
      </vt:variant>
      <vt:variant>
        <vt:i4>7143467</vt:i4>
      </vt:variant>
      <vt:variant>
        <vt:i4>102</vt:i4>
      </vt:variant>
      <vt:variant>
        <vt:i4>0</vt:i4>
      </vt:variant>
      <vt:variant>
        <vt:i4>5</vt:i4>
      </vt:variant>
      <vt:variant>
        <vt:lpwstr>http://www.who.int/airpollution/ambient/health-impacts/en/</vt:lpwstr>
      </vt:variant>
      <vt:variant>
        <vt:lpwstr/>
      </vt:variant>
      <vt:variant>
        <vt:i4>6750318</vt:i4>
      </vt:variant>
      <vt:variant>
        <vt:i4>99</vt:i4>
      </vt:variant>
      <vt:variant>
        <vt:i4>0</vt:i4>
      </vt:variant>
      <vt:variant>
        <vt:i4>5</vt:i4>
      </vt:variant>
      <vt:variant>
        <vt:lpwstr>https://www.epa.vic.gov.au/your-environment/air/protecting-victorias-air/protection-of-the-ozone-layer</vt:lpwstr>
      </vt:variant>
      <vt:variant>
        <vt:lpwstr/>
      </vt:variant>
      <vt:variant>
        <vt:i4>7536698</vt:i4>
      </vt:variant>
      <vt:variant>
        <vt:i4>96</vt:i4>
      </vt:variant>
      <vt:variant>
        <vt:i4>0</vt:i4>
      </vt:variant>
      <vt:variant>
        <vt:i4>5</vt:i4>
      </vt:variant>
      <vt:variant>
        <vt:lpwstr>http://www.npi.gov.au/</vt:lpwstr>
      </vt:variant>
      <vt:variant>
        <vt:lpwstr/>
      </vt:variant>
      <vt:variant>
        <vt:i4>524301</vt:i4>
      </vt:variant>
      <vt:variant>
        <vt:i4>93</vt:i4>
      </vt:variant>
      <vt:variant>
        <vt:i4>0</vt:i4>
      </vt:variant>
      <vt:variant>
        <vt:i4>5</vt:i4>
      </vt:variant>
      <vt:variant>
        <vt:lpwstr>https://www.who.int/en/news-room/fact-sheets/detail/dioxins-and-their-effects-on-human-health</vt:lpwstr>
      </vt:variant>
      <vt:variant>
        <vt:lpwstr/>
      </vt:variant>
      <vt:variant>
        <vt:i4>4718623</vt:i4>
      </vt:variant>
      <vt:variant>
        <vt:i4>90</vt:i4>
      </vt:variant>
      <vt:variant>
        <vt:i4>0</vt:i4>
      </vt:variant>
      <vt:variant>
        <vt:i4>5</vt:i4>
      </vt:variant>
      <vt:variant>
        <vt:lpwstr>https://engage.vic.gov.au/waste/plastic-pollution</vt:lpwstr>
      </vt:variant>
      <vt:variant>
        <vt:lpwstr/>
      </vt:variant>
      <vt:variant>
        <vt:i4>5242909</vt:i4>
      </vt:variant>
      <vt:variant>
        <vt:i4>87</vt:i4>
      </vt:variant>
      <vt:variant>
        <vt:i4>0</vt:i4>
      </vt:variant>
      <vt:variant>
        <vt:i4>5</vt:i4>
      </vt:variant>
      <vt:variant>
        <vt:lpwstr>https://www.sciencedirect.com/science/article/pii/S0095069618305291?utm_source=npr_newsletter&amp;utm_medium=email&amp;utm_content=20190408&amp;utm_campaign=money&amp;utm_term=nprnews</vt:lpwstr>
      </vt:variant>
      <vt:variant>
        <vt:lpwstr/>
      </vt:variant>
      <vt:variant>
        <vt:i4>4194398</vt:i4>
      </vt:variant>
      <vt:variant>
        <vt:i4>84</vt:i4>
      </vt:variant>
      <vt:variant>
        <vt:i4>0</vt:i4>
      </vt:variant>
      <vt:variant>
        <vt:i4>5</vt:i4>
      </vt:variant>
      <vt:variant>
        <vt:lpwstr>https://www.theguardian.com/environment/2018/jun/06/coles-and-woolworths-plastic-bag-ban-and-the-choices-that-remain</vt:lpwstr>
      </vt:variant>
      <vt:variant>
        <vt:lpwstr/>
      </vt:variant>
      <vt:variant>
        <vt:i4>6684799</vt:i4>
      </vt:variant>
      <vt:variant>
        <vt:i4>81</vt:i4>
      </vt:variant>
      <vt:variant>
        <vt:i4>0</vt:i4>
      </vt:variant>
      <vt:variant>
        <vt:i4>5</vt:i4>
      </vt:variant>
      <vt:variant>
        <vt:lpwstr>https://www.epa.vic.gov.au/~/media/Publications/1142 2.pdf</vt:lpwstr>
      </vt:variant>
      <vt:variant>
        <vt:lpwstr/>
      </vt:variant>
      <vt:variant>
        <vt:i4>4456479</vt:i4>
      </vt:variant>
      <vt:variant>
        <vt:i4>78</vt:i4>
      </vt:variant>
      <vt:variant>
        <vt:i4>0</vt:i4>
      </vt:variant>
      <vt:variant>
        <vt:i4>5</vt:i4>
      </vt:variant>
      <vt:variant>
        <vt:lpwstr>https://www.sustainability.vic.gov.au/Government/Litter-and-illegal-dumping/National-Litter-Index</vt:lpwstr>
      </vt:variant>
      <vt:variant>
        <vt:lpwstr/>
      </vt:variant>
      <vt:variant>
        <vt:i4>4325497</vt:i4>
      </vt:variant>
      <vt:variant>
        <vt:i4>75</vt:i4>
      </vt:variant>
      <vt:variant>
        <vt:i4>0</vt:i4>
      </vt:variant>
      <vt:variant>
        <vt:i4>5</vt:i4>
      </vt:variant>
      <vt:variant>
        <vt:lpwstr>http://www.acor.org.au/uploads/2/1/5/4/21549240/deloitte_sa_waste_levy_final_2015.pdf</vt:lpwstr>
      </vt:variant>
      <vt:variant>
        <vt:lpwstr/>
      </vt:variant>
      <vt:variant>
        <vt:i4>4325497</vt:i4>
      </vt:variant>
      <vt:variant>
        <vt:i4>72</vt:i4>
      </vt:variant>
      <vt:variant>
        <vt:i4>0</vt:i4>
      </vt:variant>
      <vt:variant>
        <vt:i4>5</vt:i4>
      </vt:variant>
      <vt:variant>
        <vt:lpwstr>http://www.acor.org.au/uploads/2/1/5/4/21549240/deloitte_sa_waste_levy_final_2015.pdf</vt:lpwstr>
      </vt:variant>
      <vt:variant>
        <vt:lpwstr/>
      </vt:variant>
      <vt:variant>
        <vt:i4>4325497</vt:i4>
      </vt:variant>
      <vt:variant>
        <vt:i4>69</vt:i4>
      </vt:variant>
      <vt:variant>
        <vt:i4>0</vt:i4>
      </vt:variant>
      <vt:variant>
        <vt:i4>5</vt:i4>
      </vt:variant>
      <vt:variant>
        <vt:lpwstr>http://www.acor.org.au/uploads/2/1/5/4/21549240/deloitte_sa_waste_levy_final_2015.pdf</vt:lpwstr>
      </vt:variant>
      <vt:variant>
        <vt:lpwstr/>
      </vt:variant>
      <vt:variant>
        <vt:i4>4259869</vt:i4>
      </vt:variant>
      <vt:variant>
        <vt:i4>66</vt:i4>
      </vt:variant>
      <vt:variant>
        <vt:i4>0</vt:i4>
      </vt:variant>
      <vt:variant>
        <vt:i4>5</vt:i4>
      </vt:variant>
      <vt:variant>
        <vt:lpwstr>https://www.sepa.org.uk/media/28988/guidance-on-landfill-gas-flaring.pdf</vt:lpwstr>
      </vt:variant>
      <vt:variant>
        <vt:lpwstr/>
      </vt:variant>
      <vt:variant>
        <vt:i4>4259869</vt:i4>
      </vt:variant>
      <vt:variant>
        <vt:i4>63</vt:i4>
      </vt:variant>
      <vt:variant>
        <vt:i4>0</vt:i4>
      </vt:variant>
      <vt:variant>
        <vt:i4>5</vt:i4>
      </vt:variant>
      <vt:variant>
        <vt:lpwstr>https://www.sepa.org.uk/media/28988/guidance-on-landfill-gas-flaring.pdf</vt:lpwstr>
      </vt:variant>
      <vt:variant>
        <vt:lpwstr/>
      </vt:variant>
      <vt:variant>
        <vt:i4>2687101</vt:i4>
      </vt:variant>
      <vt:variant>
        <vt:i4>60</vt:i4>
      </vt:variant>
      <vt:variant>
        <vt:i4>0</vt:i4>
      </vt:variant>
      <vt:variant>
        <vt:i4>5</vt:i4>
      </vt:variant>
      <vt:variant>
        <vt:lpwstr>https://www.epa.vic.gov.au/~/media/Publications/IWRG422.pdf</vt:lpwstr>
      </vt:variant>
      <vt:variant>
        <vt:lpwstr/>
      </vt:variant>
      <vt:variant>
        <vt:i4>2687100</vt:i4>
      </vt:variant>
      <vt:variant>
        <vt:i4>57</vt:i4>
      </vt:variant>
      <vt:variant>
        <vt:i4>0</vt:i4>
      </vt:variant>
      <vt:variant>
        <vt:i4>5</vt:i4>
      </vt:variant>
      <vt:variant>
        <vt:lpwstr>https://www.epa.vic.gov.au/~/media/Publications/IWRG423.pdf</vt:lpwstr>
      </vt:variant>
      <vt:variant>
        <vt:lpwstr/>
      </vt:variant>
      <vt:variant>
        <vt:i4>1179668</vt:i4>
      </vt:variant>
      <vt:variant>
        <vt:i4>54</vt:i4>
      </vt:variant>
      <vt:variant>
        <vt:i4>0</vt:i4>
      </vt:variant>
      <vt:variant>
        <vt:i4>5</vt:i4>
      </vt:variant>
      <vt:variant>
        <vt:lpwstr>https://www.payscale.com/research/AU/Country=Australia/Salary</vt:lpwstr>
      </vt:variant>
      <vt:variant>
        <vt:lpwstr/>
      </vt:variant>
      <vt:variant>
        <vt:i4>4980807</vt:i4>
      </vt:variant>
      <vt:variant>
        <vt:i4>51</vt:i4>
      </vt:variant>
      <vt:variant>
        <vt:i4>0</vt:i4>
      </vt:variant>
      <vt:variant>
        <vt:i4>5</vt:i4>
      </vt:variant>
      <vt:variant>
        <vt:lpwstr>https://eur-lex.europa.eu/legal-content/EN/TXT/PDF/?uri=CELEX:52018XC0409(01)&amp;from=EN</vt:lpwstr>
      </vt:variant>
      <vt:variant>
        <vt:lpwstr/>
      </vt:variant>
      <vt:variant>
        <vt:i4>2883711</vt:i4>
      </vt:variant>
      <vt:variant>
        <vt:i4>48</vt:i4>
      </vt:variant>
      <vt:variant>
        <vt:i4>0</vt:i4>
      </vt:variant>
      <vt:variant>
        <vt:i4>5</vt:i4>
      </vt:variant>
      <vt:variant>
        <vt:lpwstr>https://www.epa.nsw.gov.au/-/media/epa/corporate-site/resources/illegaldumping/17p0158-epa-illegal-dumping-strategy.pdf</vt:lpwstr>
      </vt:variant>
      <vt:variant>
        <vt:lpwstr/>
      </vt:variant>
      <vt:variant>
        <vt:i4>3145784</vt:i4>
      </vt:variant>
      <vt:variant>
        <vt:i4>45</vt:i4>
      </vt:variant>
      <vt:variant>
        <vt:i4>0</vt:i4>
      </vt:variant>
      <vt:variant>
        <vt:i4>5</vt:i4>
      </vt:variant>
      <vt:variant>
        <vt:lpwstr>https://www.epa.vic.gov.au/about-us/who-we-are/annual-reports-and-plans</vt:lpwstr>
      </vt:variant>
      <vt:variant>
        <vt:lpwstr/>
      </vt:variant>
      <vt:variant>
        <vt:i4>2556001</vt:i4>
      </vt:variant>
      <vt:variant>
        <vt:i4>42</vt:i4>
      </vt:variant>
      <vt:variant>
        <vt:i4>0</vt:i4>
      </vt:variant>
      <vt:variant>
        <vt:i4>5</vt:i4>
      </vt:variant>
      <vt:variant>
        <vt:lpwstr>https://www.theage.com.au/national/victoria/up-to-19-million-litres-of-toxic-waste-dumped-in-eight-suburban-warehouses-20190315-p514lm.html</vt:lpwstr>
      </vt:variant>
      <vt:variant>
        <vt:lpwstr/>
      </vt:variant>
      <vt:variant>
        <vt:i4>1966105</vt:i4>
      </vt:variant>
      <vt:variant>
        <vt:i4>39</vt:i4>
      </vt:variant>
      <vt:variant>
        <vt:i4>0</vt:i4>
      </vt:variant>
      <vt:variant>
        <vt:i4>5</vt:i4>
      </vt:variant>
      <vt:variant>
        <vt:lpwstr>https://www.theage.com.au/national/victoria/the-tipping-point-illegal-dumping-swamps-the-waste-industry-20170806-gxq8m0.html</vt:lpwstr>
      </vt:variant>
      <vt:variant>
        <vt:lpwstr/>
      </vt:variant>
      <vt:variant>
        <vt:i4>4325443</vt:i4>
      </vt:variant>
      <vt:variant>
        <vt:i4>36</vt:i4>
      </vt:variant>
      <vt:variant>
        <vt:i4>0</vt:i4>
      </vt:variant>
      <vt:variant>
        <vt:i4>5</vt:i4>
      </vt:variant>
      <vt:variant>
        <vt:lpwstr>https://www.abc.net.au/news/2018-10-21/melbourne-recycling-facilities-pose-fire-risk/10368302</vt:lpwstr>
      </vt:variant>
      <vt:variant>
        <vt:lpwstr/>
      </vt:variant>
      <vt:variant>
        <vt:i4>1441858</vt:i4>
      </vt:variant>
      <vt:variant>
        <vt:i4>33</vt:i4>
      </vt:variant>
      <vt:variant>
        <vt:i4>0</vt:i4>
      </vt:variant>
      <vt:variant>
        <vt:i4>5</vt:i4>
      </vt:variant>
      <vt:variant>
        <vt:lpwstr>https://www.igem.vic.gov.au/reports-and-publications/igem-reports/review-of-skm-coolaroo-recycling-plant-fire</vt:lpwstr>
      </vt:variant>
      <vt:variant>
        <vt:lpwstr/>
      </vt:variant>
      <vt:variant>
        <vt:i4>4325443</vt:i4>
      </vt:variant>
      <vt:variant>
        <vt:i4>30</vt:i4>
      </vt:variant>
      <vt:variant>
        <vt:i4>0</vt:i4>
      </vt:variant>
      <vt:variant>
        <vt:i4>5</vt:i4>
      </vt:variant>
      <vt:variant>
        <vt:lpwstr>https://www.abc.net.au/news/2018-10-21/melbourne-recycling-facilities-pose-fire-risk/10368302</vt:lpwstr>
      </vt:variant>
      <vt:variant>
        <vt:lpwstr/>
      </vt:variant>
      <vt:variant>
        <vt:i4>1245211</vt:i4>
      </vt:variant>
      <vt:variant>
        <vt:i4>27</vt:i4>
      </vt:variant>
      <vt:variant>
        <vt:i4>0</vt:i4>
      </vt:variant>
      <vt:variant>
        <vt:i4>5</vt:i4>
      </vt:variant>
      <vt:variant>
        <vt:lpwstr>https://www.epa.vic.gov.au/about-us/news-centre/news-and-updates/news/2018/september/12/corkman-pair-ordered-to-pay-over-$600000</vt:lpwstr>
      </vt:variant>
      <vt:variant>
        <vt:lpwstr/>
      </vt:variant>
      <vt:variant>
        <vt:i4>6160455</vt:i4>
      </vt:variant>
      <vt:variant>
        <vt:i4>24</vt:i4>
      </vt:variant>
      <vt:variant>
        <vt:i4>0</vt:i4>
      </vt:variant>
      <vt:variant>
        <vt:i4>5</vt:i4>
      </vt:variant>
      <vt:variant>
        <vt:lpwstr>https://www.epa.nsw.gov.au/news/media-releases/2017/epamedia17020601</vt:lpwstr>
      </vt:variant>
      <vt:variant>
        <vt:lpwstr/>
      </vt:variant>
      <vt:variant>
        <vt:i4>2621493</vt:i4>
      </vt:variant>
      <vt:variant>
        <vt:i4>21</vt:i4>
      </vt:variant>
      <vt:variant>
        <vt:i4>0</vt:i4>
      </vt:variant>
      <vt:variant>
        <vt:i4>5</vt:i4>
      </vt:variant>
      <vt:variant>
        <vt:lpwstr>http://doi.org/10.4225/61/5a3ae6d48570c</vt:lpwstr>
      </vt:variant>
      <vt:variant>
        <vt:lpwstr/>
      </vt:variant>
      <vt:variant>
        <vt:i4>3145768</vt:i4>
      </vt:variant>
      <vt:variant>
        <vt:i4>18</vt:i4>
      </vt:variant>
      <vt:variant>
        <vt:i4>0</vt:i4>
      </vt:variant>
      <vt:variant>
        <vt:i4>5</vt:i4>
      </vt:variant>
      <vt:variant>
        <vt:lpwstr>https://www.researchgate.net/publication/43449867_Process_performance_and_pollution_potential_A_review_of_septic_tank-soil_absorption_systems</vt:lpwstr>
      </vt:variant>
      <vt:variant>
        <vt:lpwstr/>
      </vt:variant>
      <vt:variant>
        <vt:i4>1179668</vt:i4>
      </vt:variant>
      <vt:variant>
        <vt:i4>15</vt:i4>
      </vt:variant>
      <vt:variant>
        <vt:i4>0</vt:i4>
      </vt:variant>
      <vt:variant>
        <vt:i4>5</vt:i4>
      </vt:variant>
      <vt:variant>
        <vt:lpwstr>https://www.payscale.com/research/AU/Country=Australia/Salary</vt:lpwstr>
      </vt:variant>
      <vt:variant>
        <vt:lpwstr/>
      </vt:variant>
      <vt:variant>
        <vt:i4>5963855</vt:i4>
      </vt:variant>
      <vt:variant>
        <vt:i4>12</vt:i4>
      </vt:variant>
      <vt:variant>
        <vt:i4>0</vt:i4>
      </vt:variant>
      <vt:variant>
        <vt:i4>5</vt:i4>
      </vt:variant>
      <vt:variant>
        <vt:lpwstr>https://www.epa.vic.gov.au/business-and-industry/guidelines/waste-guidance/combustible-recyclable-and-waste-materials</vt:lpwstr>
      </vt:variant>
      <vt:variant>
        <vt:lpwstr/>
      </vt:variant>
      <vt:variant>
        <vt:i4>2752563</vt:i4>
      </vt:variant>
      <vt:variant>
        <vt:i4>9</vt:i4>
      </vt:variant>
      <vt:variant>
        <vt:i4>0</vt:i4>
      </vt:variant>
      <vt:variant>
        <vt:i4>5</vt:i4>
      </vt:variant>
      <vt:variant>
        <vt:lpwstr>https://www.epa.vic.gov.au/our-work/licences-and-approvals/financial-assurances</vt:lpwstr>
      </vt:variant>
      <vt:variant>
        <vt:lpwstr>QandA</vt:lpwstr>
      </vt:variant>
      <vt:variant>
        <vt:i4>6684723</vt:i4>
      </vt:variant>
      <vt:variant>
        <vt:i4>6</vt:i4>
      </vt:variant>
      <vt:variant>
        <vt:i4>0</vt:i4>
      </vt:variant>
      <vt:variant>
        <vt:i4>5</vt:i4>
      </vt:variant>
      <vt:variant>
        <vt:lpwstr>http://www.aton.com.au/publications/Proceedings_AARES_2003.pdf</vt:lpwstr>
      </vt:variant>
      <vt:variant>
        <vt:lpwstr/>
      </vt:variant>
      <vt:variant>
        <vt:i4>6684764</vt:i4>
      </vt:variant>
      <vt:variant>
        <vt:i4>3</vt:i4>
      </vt:variant>
      <vt:variant>
        <vt:i4>0</vt:i4>
      </vt:variant>
      <vt:variant>
        <vt:i4>5</vt:i4>
      </vt:variant>
      <vt:variant>
        <vt:lpwstr>https://www.dtf.vic.gov.au/sites/default/files/2018-01/Cost-Recovery-Guidelines-Jan2013_0.pdf</vt:lpwstr>
      </vt:variant>
      <vt:variant>
        <vt:lpwstr/>
      </vt:variant>
      <vt:variant>
        <vt:i4>1572871</vt:i4>
      </vt:variant>
      <vt:variant>
        <vt:i4>0</vt:i4>
      </vt:variant>
      <vt:variant>
        <vt:i4>0</vt:i4>
      </vt:variant>
      <vt:variant>
        <vt:i4>5</vt:i4>
      </vt:variant>
      <vt:variant>
        <vt:lpwstr>http://www.betterregulation.vic.gov.au/Guidance-and-Resources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Impact Statement: Proposed Environment Protection Regulations</dc:title>
  <dc:subject/>
  <dc:creator>Carrick, Sally (AU - Melbourne)</dc:creator>
  <cp:keywords/>
  <dc:description/>
  <cp:lastModifiedBy>Jean Bailey</cp:lastModifiedBy>
  <cp:revision>2</cp:revision>
  <cp:lastPrinted>2019-08-14T00:14:00Z</cp:lastPrinted>
  <dcterms:created xsi:type="dcterms:W3CDTF">2019-08-26T01:23:00Z</dcterms:created>
  <dcterms:modified xsi:type="dcterms:W3CDTF">2019-08-26T01:23:00Z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CustomerId">
    <vt:lpwstr>deloitteaus</vt:lpwstr>
  </property>
  <property fmtid="{D5CDD505-2E9C-101B-9397-08002B2CF9AE}" pid="5" name="TemplateId">
    <vt:lpwstr>636293878503869688</vt:lpwstr>
  </property>
  <property fmtid="{D5CDD505-2E9C-101B-9397-08002B2CF9AE}" pid="6" name="UserProfileId">
    <vt:lpwstr>636148678790098269</vt:lpwstr>
  </property>
  <property fmtid="{D5CDD505-2E9C-101B-9397-08002B2CF9AE}" pid="7" name="ContentTypeId">
    <vt:lpwstr>0x0101007B66BFE504BBFC46B88D5A2BBAC4040C</vt:lpwstr>
  </property>
  <property fmtid="{D5CDD505-2E9C-101B-9397-08002B2CF9AE}" pid="8" name="TitusGUID">
    <vt:lpwstr>4e50bfa6-0194-49ac-9a8b-5949578a740b</vt:lpwstr>
  </property>
  <property fmtid="{D5CDD505-2E9C-101B-9397-08002B2CF9AE}" pid="9" name="Classification">
    <vt:lpwstr>Do Not Mark</vt:lpwstr>
  </property>
  <property fmtid="{D5CDD505-2E9C-101B-9397-08002B2CF9AE}" pid="10" name="AuthorIds_UIVersion_2560">
    <vt:lpwstr>179,707</vt:lpwstr>
  </property>
</Properties>
</file>